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76C9C" w14:textId="77777777" w:rsidR="00D60365" w:rsidRDefault="00D60365">
      <w:pPr>
        <w:widowControl w:val="0"/>
        <w:spacing w:after="0" w:line="240" w:lineRule="auto"/>
        <w:rPr>
          <w:rFonts w:ascii="Times New Roman" w:eastAsia="Times New Roman" w:hAnsi="Times New Roman" w:cs="Times New Roman"/>
          <w:snapToGrid w:val="0"/>
        </w:rPr>
      </w:pPr>
      <w:bookmarkStart w:id="0" w:name="Tab"/>
      <w:bookmarkEnd w:id="0"/>
    </w:p>
    <w:p w14:paraId="644E72EA" w14:textId="77777777" w:rsidR="00D60365" w:rsidRDefault="00D60365">
      <w:pPr>
        <w:widowControl w:val="0"/>
        <w:tabs>
          <w:tab w:val="left" w:pos="567"/>
        </w:tabs>
        <w:spacing w:after="0" w:line="240" w:lineRule="auto"/>
        <w:outlineLvl w:val="0"/>
        <w:rPr>
          <w:rFonts w:ascii="Times New Roman" w:eastAsia="Times New Roman" w:hAnsi="Times New Roman" w:cs="Times New Roman"/>
          <w:b/>
          <w:snapToGrid w:val="0"/>
        </w:rPr>
      </w:pPr>
    </w:p>
    <w:p w14:paraId="309B5778" w14:textId="77777777" w:rsidR="00D60365" w:rsidRDefault="00D60365">
      <w:pPr>
        <w:widowControl w:val="0"/>
        <w:tabs>
          <w:tab w:val="left" w:pos="567"/>
        </w:tabs>
        <w:spacing w:after="0" w:line="240" w:lineRule="auto"/>
        <w:outlineLvl w:val="0"/>
        <w:rPr>
          <w:rFonts w:ascii="Times New Roman" w:eastAsia="Times New Roman" w:hAnsi="Times New Roman" w:cs="Times New Roman"/>
          <w:b/>
          <w:snapToGrid w:val="0"/>
        </w:rPr>
      </w:pPr>
    </w:p>
    <w:p w14:paraId="527775FA" w14:textId="77777777" w:rsidR="00D60365" w:rsidRDefault="00D60365">
      <w:pPr>
        <w:widowControl w:val="0"/>
        <w:tabs>
          <w:tab w:val="left" w:pos="567"/>
        </w:tabs>
        <w:spacing w:after="0" w:line="240" w:lineRule="auto"/>
        <w:outlineLvl w:val="0"/>
        <w:rPr>
          <w:rFonts w:ascii="Times New Roman" w:eastAsia="Times New Roman" w:hAnsi="Times New Roman" w:cs="Times New Roman"/>
          <w:b/>
          <w:snapToGrid w:val="0"/>
        </w:rPr>
      </w:pPr>
    </w:p>
    <w:p w14:paraId="4BF5DA6D" w14:textId="77777777" w:rsidR="00D60365" w:rsidRDefault="00D60365">
      <w:pPr>
        <w:widowControl w:val="0"/>
        <w:tabs>
          <w:tab w:val="left" w:pos="567"/>
        </w:tabs>
        <w:spacing w:after="0" w:line="240" w:lineRule="auto"/>
        <w:outlineLvl w:val="0"/>
        <w:rPr>
          <w:rFonts w:ascii="Times New Roman" w:eastAsia="Times New Roman" w:hAnsi="Times New Roman" w:cs="Times New Roman"/>
          <w:b/>
          <w:snapToGrid w:val="0"/>
        </w:rPr>
      </w:pPr>
    </w:p>
    <w:p w14:paraId="31C962F0"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15E554C7"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19F203A1"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7481E6D7"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3681BE84"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2A76A3E6"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247A6F25"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0806A7F3"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0265D006"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16EA393E"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32A2C8CF"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29FE6A0B"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2036EE5B"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7662E209"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4A867053"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22900023"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09620C58"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11804657" w14:textId="77777777" w:rsidR="00D60365" w:rsidRDefault="00D60365">
      <w:pPr>
        <w:widowControl w:val="0"/>
        <w:tabs>
          <w:tab w:val="left" w:pos="-1440"/>
          <w:tab w:val="left" w:pos="-720"/>
          <w:tab w:val="left" w:pos="567"/>
        </w:tabs>
        <w:spacing w:after="0" w:line="240" w:lineRule="auto"/>
        <w:rPr>
          <w:rFonts w:ascii="Times New Roman" w:eastAsia="Times New Roman" w:hAnsi="Times New Roman" w:cs="Times New Roman"/>
          <w:b/>
          <w:snapToGrid w:val="0"/>
        </w:rPr>
      </w:pPr>
    </w:p>
    <w:p w14:paraId="01173E31" w14:textId="77777777" w:rsidR="00D60365" w:rsidRDefault="00C12095">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I PRIEDAS</w:t>
      </w:r>
    </w:p>
    <w:p w14:paraId="73B99552"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1A25B7C" w14:textId="77777777" w:rsidR="00D60365" w:rsidRDefault="00C12095">
      <w:pPr>
        <w:widowControl w:val="0"/>
        <w:tabs>
          <w:tab w:val="left" w:pos="-1440"/>
          <w:tab w:val="left" w:pos="-720"/>
          <w:tab w:val="left" w:pos="567"/>
        </w:tabs>
        <w:spacing w:after="0" w:line="240" w:lineRule="auto"/>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PREPARATO CHARAKTERISTIKŲ SANTRAUKA</w:t>
      </w:r>
    </w:p>
    <w:p w14:paraId="3C9C6A41" w14:textId="77777777" w:rsidR="00D60365" w:rsidRDefault="00C12095">
      <w:pPr>
        <w:widowControl w:val="0"/>
        <w:tabs>
          <w:tab w:val="left" w:pos="-1440"/>
          <w:tab w:val="left" w:pos="-720"/>
          <w:tab w:val="left" w:pos="567"/>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lang w:eastAsia="zh-CN"/>
        </w:rPr>
        <w:br w:type="page"/>
      </w:r>
    </w:p>
    <w:p w14:paraId="57A52105"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lastRenderedPageBreak/>
        <w:t>1.</w:t>
      </w:r>
      <w:r>
        <w:rPr>
          <w:rFonts w:ascii="Times New Roman" w:eastAsia="Times New Roman" w:hAnsi="Times New Roman" w:cs="Times New Roman"/>
          <w:b/>
          <w:bCs/>
          <w:snapToGrid w:val="0"/>
          <w:lang w:eastAsia="x-none"/>
        </w:rPr>
        <w:tab/>
        <w:t>VAISTINIO PREPARATO PAVADINIMAS</w:t>
      </w:r>
    </w:p>
    <w:p w14:paraId="74F09BB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D93F3E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30 mg skrandyje neirios kietosios kapsulės</w:t>
      </w:r>
    </w:p>
    <w:p w14:paraId="4000FF7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highlight w:val="lightGray"/>
        </w:rPr>
        <w:t>Dulsevia</w:t>
      </w:r>
      <w:proofErr w:type="spellEnd"/>
      <w:r>
        <w:rPr>
          <w:rFonts w:ascii="Times New Roman" w:eastAsia="Times New Roman" w:hAnsi="Times New Roman" w:cs="Times New Roman"/>
          <w:snapToGrid w:val="0"/>
          <w:highlight w:val="lightGray"/>
        </w:rPr>
        <w:t xml:space="preserve"> 60 mg skrandyje neirios kietosios kapsulės</w:t>
      </w:r>
    </w:p>
    <w:p w14:paraId="01567A6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DA2EEB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EAD3495"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2.</w:t>
      </w:r>
      <w:r>
        <w:rPr>
          <w:rFonts w:ascii="Times New Roman" w:eastAsia="Times New Roman" w:hAnsi="Times New Roman" w:cs="Times New Roman"/>
          <w:b/>
          <w:bCs/>
          <w:snapToGrid w:val="0"/>
          <w:lang w:eastAsia="x-none"/>
        </w:rPr>
        <w:tab/>
        <w:t>KOKYBINĖ IR KIEKYBINĖ SUDĖTIS</w:t>
      </w:r>
    </w:p>
    <w:p w14:paraId="75C7036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EDB81DA"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Kiekvienoje skrandyje neirioje kietojoje kapsulėje yra 30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hidrochlorido pavidalu).</w:t>
      </w:r>
    </w:p>
    <w:p w14:paraId="761181C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 xml:space="preserve">Kiekvienoje skrandyje neirioje kietojoje kapsulėje yra 60 mg </w:t>
      </w:r>
      <w:proofErr w:type="spellStart"/>
      <w:r>
        <w:rPr>
          <w:rFonts w:ascii="Times New Roman" w:eastAsia="Times New Roman" w:hAnsi="Times New Roman" w:cs="Times New Roman"/>
          <w:snapToGrid w:val="0"/>
          <w:highlight w:val="lightGray"/>
        </w:rPr>
        <w:t>duloksetino</w:t>
      </w:r>
      <w:proofErr w:type="spellEnd"/>
      <w:r>
        <w:rPr>
          <w:rFonts w:ascii="Times New Roman" w:eastAsia="Times New Roman" w:hAnsi="Times New Roman" w:cs="Times New Roman"/>
          <w:snapToGrid w:val="0"/>
          <w:highlight w:val="lightGray"/>
        </w:rPr>
        <w:t xml:space="preserve"> (</w:t>
      </w:r>
      <w:proofErr w:type="spellStart"/>
      <w:r>
        <w:rPr>
          <w:rFonts w:ascii="Times New Roman" w:eastAsia="Times New Roman" w:hAnsi="Times New Roman" w:cs="Times New Roman"/>
          <w:snapToGrid w:val="0"/>
          <w:highlight w:val="lightGray"/>
        </w:rPr>
        <w:t>duloksetino</w:t>
      </w:r>
      <w:proofErr w:type="spellEnd"/>
      <w:r>
        <w:rPr>
          <w:rFonts w:ascii="Times New Roman" w:eastAsia="Times New Roman" w:hAnsi="Times New Roman" w:cs="Times New Roman"/>
          <w:snapToGrid w:val="0"/>
          <w:highlight w:val="lightGray"/>
        </w:rPr>
        <w:t xml:space="preserve"> hidrochlorido pavidalu).</w:t>
      </w:r>
    </w:p>
    <w:p w14:paraId="18AD8E2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5346C87"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Pagalbinė medžiaga, kurios poveikis žinomas</w:t>
      </w:r>
      <w:r>
        <w:rPr>
          <w:rFonts w:ascii="Times New Roman" w:eastAsia="Times New Roman" w:hAnsi="Times New Roman" w:cs="Times New Roman"/>
          <w:snapToGrid w:val="0"/>
        </w:rPr>
        <w:t>: sacharozė.</w:t>
      </w:r>
    </w:p>
    <w:p w14:paraId="57344D82" w14:textId="62E7C783"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Kiekvienoje 30 mg skrandyje neirioje kietojoje kapsulėje yra ne daugiau kaip 34 mg sacharozės.</w:t>
      </w:r>
    </w:p>
    <w:p w14:paraId="0C8E6599" w14:textId="70DDD496"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Kiekvienoje 60 mg skrandyje neirioje kietojoje kapsulėje yra ne daugiau kaip 68 mg sacharozės.</w:t>
      </w:r>
    </w:p>
    <w:p w14:paraId="4DDC4B3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73F46E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Visos pagalbinės medžiagos išvardytos 6.1 skyriuje.</w:t>
      </w:r>
    </w:p>
    <w:p w14:paraId="718F699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5D30B7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C6AC771"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3.</w:t>
      </w:r>
      <w:r>
        <w:rPr>
          <w:rFonts w:ascii="Times New Roman" w:eastAsia="Times New Roman" w:hAnsi="Times New Roman" w:cs="Times New Roman"/>
          <w:b/>
          <w:bCs/>
          <w:snapToGrid w:val="0"/>
          <w:lang w:eastAsia="x-none"/>
        </w:rPr>
        <w:tab/>
        <w:t>FARMACINĖ FORMA</w:t>
      </w:r>
    </w:p>
    <w:p w14:paraId="1772084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CB4578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Skrandyje neiri kietoji kapsulė</w:t>
      </w:r>
    </w:p>
    <w:p w14:paraId="7D8F61D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0A92FA1" w14:textId="718C21F0"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 xml:space="preserve">30 mg: </w:t>
      </w:r>
      <w:r>
        <w:rPr>
          <w:rFonts w:ascii="Times New Roman" w:eastAsia="Times New Roman" w:hAnsi="Times New Roman" w:cs="Times New Roman"/>
          <w:snapToGrid w:val="0"/>
        </w:rPr>
        <w:t xml:space="preserve">Kieta „3“ dydžio (kapsulės ilgis maždaug 16 mm) želatinos kapsulė su baltomis arba </w:t>
      </w:r>
      <w:bookmarkStart w:id="1" w:name="_Hlk221024108"/>
      <w:r>
        <w:rPr>
          <w:rFonts w:ascii="Times New Roman" w:eastAsia="Times New Roman" w:hAnsi="Times New Roman" w:cs="Times New Roman"/>
          <w:snapToGrid w:val="0"/>
        </w:rPr>
        <w:t>šiek tiek spalvotomis</w:t>
      </w:r>
      <w:bookmarkEnd w:id="1"/>
      <w:r>
        <w:rPr>
          <w:rFonts w:ascii="Times New Roman" w:eastAsia="Times New Roman" w:hAnsi="Times New Roman" w:cs="Times New Roman"/>
          <w:snapToGrid w:val="0"/>
        </w:rPr>
        <w:t xml:space="preserve"> granulėmis. Kapsulės korpusas yra baltas, kapsulės dangtelis tamsiai mėlynas. Ant kapsulės korpuso juodais dažais įspaustas skaičius „30“.</w:t>
      </w:r>
    </w:p>
    <w:p w14:paraId="7594E1B7" w14:textId="4E2FC014"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 xml:space="preserve">60 mg: Kieta „1“ dydžio (kapsulės ilgis maždaug 19 mm) želatinos kapsulė su baltomis arba </w:t>
      </w:r>
      <w:r w:rsidRPr="00B22F9D">
        <w:rPr>
          <w:rFonts w:ascii="Times New Roman" w:eastAsia="Times New Roman" w:hAnsi="Times New Roman" w:cs="Times New Roman"/>
          <w:snapToGrid w:val="0"/>
          <w:highlight w:val="lightGray"/>
        </w:rPr>
        <w:t>šiek tiek spalvotomis</w:t>
      </w:r>
      <w:r>
        <w:rPr>
          <w:rFonts w:ascii="Times New Roman" w:eastAsia="Times New Roman" w:hAnsi="Times New Roman" w:cs="Times New Roman"/>
          <w:snapToGrid w:val="0"/>
          <w:highlight w:val="lightGray"/>
        </w:rPr>
        <w:t xml:space="preserve"> granulėmis. Kapsulės korpusas yra geltonai žalias, kapsulės dangtelis tamsiai mėlynas. Ant kapsulės korpuso juodais dažais įspaustas skaičius „60“.</w:t>
      </w:r>
    </w:p>
    <w:p w14:paraId="6BA42C7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44A570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2F87465"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w:t>
      </w:r>
      <w:r>
        <w:rPr>
          <w:rFonts w:ascii="Times New Roman" w:eastAsia="Times New Roman" w:hAnsi="Times New Roman" w:cs="Times New Roman"/>
          <w:b/>
          <w:bCs/>
          <w:snapToGrid w:val="0"/>
          <w:lang w:eastAsia="x-none"/>
        </w:rPr>
        <w:tab/>
        <w:t>KLINIKINĖ INFORMACIJA</w:t>
      </w:r>
    </w:p>
    <w:p w14:paraId="1095EE8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2ED8957"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4.1</w:t>
      </w:r>
      <w:r>
        <w:rPr>
          <w:rFonts w:ascii="Times New Roman" w:eastAsia="Times New Roman" w:hAnsi="Times New Roman" w:cs="Times New Roman"/>
          <w:b/>
          <w:bCs/>
          <w:snapToGrid w:val="0"/>
          <w:lang w:eastAsia="x-none"/>
        </w:rPr>
        <w:tab/>
        <w:t>Terapinės indikacijos</w:t>
      </w:r>
    </w:p>
    <w:p w14:paraId="4DBAB19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E3B9F50" w14:textId="77777777" w:rsidR="00D60365" w:rsidRDefault="00C1209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r>
        <w:rPr>
          <w:rFonts w:ascii="Times New Roman" w:eastAsia="Times New Roman" w:hAnsi="Times New Roman" w:cs="Times New Roman"/>
          <w:snapToGrid w:val="0"/>
        </w:rPr>
        <w:t>Didžiosios depresijos sutrikimo gydymas.</w:t>
      </w:r>
    </w:p>
    <w:p w14:paraId="205B6F0B" w14:textId="77777777" w:rsidR="00D60365" w:rsidRDefault="00C1209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r>
        <w:rPr>
          <w:rFonts w:ascii="Times New Roman" w:eastAsia="Times New Roman" w:hAnsi="Times New Roman" w:cs="Times New Roman"/>
          <w:snapToGrid w:val="0"/>
        </w:rPr>
        <w:t>Skausmo dėl periferinės diabetinės neuropatijos gydymas.</w:t>
      </w:r>
    </w:p>
    <w:p w14:paraId="6EBFCE90" w14:textId="77777777" w:rsidR="00D60365" w:rsidRDefault="00C1209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sutrikimo gydymas.</w:t>
      </w:r>
    </w:p>
    <w:p w14:paraId="4F6454C9"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7158134" w14:textId="77777777" w:rsidR="00D60365" w:rsidRDefault="00C1209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skirtas suaugusiesiems.</w:t>
      </w:r>
    </w:p>
    <w:p w14:paraId="6F0A8E17" w14:textId="77777777" w:rsidR="00D60365" w:rsidRDefault="00C1209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r>
        <w:rPr>
          <w:rFonts w:ascii="Times New Roman" w:eastAsia="Times New Roman" w:hAnsi="Times New Roman" w:cs="Times New Roman"/>
          <w:snapToGrid w:val="0"/>
        </w:rPr>
        <w:t>Daugiau informacijos žr. 5.1 skyriuje.</w:t>
      </w:r>
    </w:p>
    <w:p w14:paraId="02F9FF4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BC2B7BB"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4.2</w:t>
      </w:r>
      <w:r>
        <w:rPr>
          <w:rFonts w:ascii="Times New Roman" w:eastAsia="Times New Roman" w:hAnsi="Times New Roman" w:cs="Times New Roman"/>
          <w:b/>
          <w:bCs/>
          <w:snapToGrid w:val="0"/>
          <w:lang w:eastAsia="x-none"/>
        </w:rPr>
        <w:tab/>
        <w:t>Dozavimas ir vartojimo metodas</w:t>
      </w:r>
    </w:p>
    <w:p w14:paraId="080F6D9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2EBC625"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Dozavimas</w:t>
      </w:r>
    </w:p>
    <w:p w14:paraId="3A1D4B30" w14:textId="77777777" w:rsidR="00D60365" w:rsidRDefault="00C1209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r>
        <w:rPr>
          <w:rFonts w:ascii="Times New Roman" w:eastAsia="Times New Roman" w:hAnsi="Times New Roman" w:cs="Times New Roman"/>
          <w:i/>
          <w:iCs/>
          <w:snapToGrid w:val="0"/>
        </w:rPr>
        <w:t>Didžiosios depresijos sutrikimas</w:t>
      </w:r>
    </w:p>
    <w:p w14:paraId="10DA50C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Pradinė ir rekomenduojama palaikomoji dozė yra 60 mg per parą, neatsižvelgiant į valgį. Klinikinių tyrimų metu, buvo įvertintas didesnių nei 60 mg per parą iki maksimalios 120 mg per parą dozių saugumas. Tačiau nėra jokių klinikinių įrodymų, kad pacientams, kuriems pradinė rekomenduojama dozė buvo neveiksminga, gali būti naudinga didinti dozę.</w:t>
      </w:r>
    </w:p>
    <w:p w14:paraId="225A6C3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1F6461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Terapinis poveikis paprastai pastebimas po 2-4 gydymo savaičių.</w:t>
      </w:r>
    </w:p>
    <w:p w14:paraId="5FEC68A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B76B4C5"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Norint išvengti atkryčio, rekomenduojama tęsti gydymą keletą mėnesių po to kai pasiekiamas stabilus </w:t>
      </w:r>
      <w:proofErr w:type="spellStart"/>
      <w:r>
        <w:rPr>
          <w:rFonts w:ascii="Times New Roman" w:eastAsia="Times New Roman" w:hAnsi="Times New Roman" w:cs="Times New Roman"/>
          <w:snapToGrid w:val="0"/>
        </w:rPr>
        <w:t>antidepresinis</w:t>
      </w:r>
      <w:proofErr w:type="spellEnd"/>
      <w:r>
        <w:rPr>
          <w:rFonts w:ascii="Times New Roman" w:eastAsia="Times New Roman" w:hAnsi="Times New Roman" w:cs="Times New Roman"/>
          <w:snapToGrid w:val="0"/>
        </w:rPr>
        <w:t xml:space="preserve"> atsakas. Pacientams, kuriems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buvo veiksmingas ir kuriems buvo kartotinių didžiosios depresijos epizodų, galėtų būti svarstomas tolesnis ilgalaikis gydymas 60-120 mg paros </w:t>
      </w:r>
      <w:r>
        <w:rPr>
          <w:rFonts w:ascii="Times New Roman" w:eastAsia="Times New Roman" w:hAnsi="Times New Roman" w:cs="Times New Roman"/>
          <w:snapToGrid w:val="0"/>
        </w:rPr>
        <w:lastRenderedPageBreak/>
        <w:t>doze.</w:t>
      </w:r>
    </w:p>
    <w:p w14:paraId="6401B099" w14:textId="77777777" w:rsidR="00D60365" w:rsidRDefault="00D60365">
      <w:pPr>
        <w:widowControl w:val="0"/>
        <w:tabs>
          <w:tab w:val="left" w:pos="567"/>
        </w:tabs>
        <w:autoSpaceDE w:val="0"/>
        <w:autoSpaceDN w:val="0"/>
        <w:adjustRightInd w:val="0"/>
        <w:spacing w:after="0" w:line="240" w:lineRule="auto"/>
        <w:ind w:left="2"/>
        <w:rPr>
          <w:rFonts w:ascii="Times New Roman" w:eastAsia="Times New Roman" w:hAnsi="Times New Roman" w:cs="Times New Roman"/>
          <w:i/>
          <w:iCs/>
          <w:snapToGrid w:val="0"/>
        </w:rPr>
      </w:pPr>
    </w:p>
    <w:p w14:paraId="2FE0BEEA" w14:textId="77777777" w:rsidR="00D60365" w:rsidRDefault="00C12095">
      <w:pPr>
        <w:widowControl w:val="0"/>
        <w:tabs>
          <w:tab w:val="left" w:pos="567"/>
        </w:tabs>
        <w:spacing w:after="0" w:line="240" w:lineRule="auto"/>
        <w:rPr>
          <w:rFonts w:ascii="Times New Roman" w:eastAsia="Times New Roman" w:hAnsi="Times New Roman" w:cs="Times New Roman"/>
          <w:i/>
          <w:snapToGrid w:val="0"/>
        </w:rPr>
      </w:pPr>
      <w:proofErr w:type="spellStart"/>
      <w:r>
        <w:rPr>
          <w:rFonts w:ascii="Times New Roman" w:eastAsia="Times New Roman" w:hAnsi="Times New Roman" w:cs="Times New Roman"/>
          <w:i/>
          <w:snapToGrid w:val="0"/>
        </w:rPr>
        <w:t>Generalizuoto</w:t>
      </w:r>
      <w:proofErr w:type="spellEnd"/>
      <w:r>
        <w:rPr>
          <w:rFonts w:ascii="Times New Roman" w:eastAsia="Times New Roman" w:hAnsi="Times New Roman" w:cs="Times New Roman"/>
          <w:i/>
          <w:snapToGrid w:val="0"/>
        </w:rPr>
        <w:t xml:space="preserve"> nerimo sutrikimas</w:t>
      </w:r>
    </w:p>
    <w:p w14:paraId="5C08EEF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Rekomenduojama pradinė dozė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sutrikimui gydyti yra 30 mg kartą per parą. Ji geriama valgio metu arba nevalgius. Jeigu atsakas nepakankamas, dozę galima didinti iki 60 mg. Ši dozė yra įprastinė palaikomoji dozė daugeliui pacientų.</w:t>
      </w:r>
    </w:p>
    <w:p w14:paraId="5DC4A9B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CB084F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Pacientams, kurių sutrikimas susijęs su didžiosios depresijos sutrikimu, pradinė ir palaikomoji dozė yra 60 mg kartą per parą (prašom žiūrėti ir aukščiau pateiktas dozavimo rekomendacijas).</w:t>
      </w:r>
    </w:p>
    <w:p w14:paraId="7AEAA2C4" w14:textId="77777777" w:rsidR="00D60365" w:rsidRDefault="00D60365">
      <w:pPr>
        <w:widowControl w:val="0"/>
        <w:tabs>
          <w:tab w:val="left" w:pos="567"/>
        </w:tabs>
        <w:spacing w:after="0" w:line="240" w:lineRule="auto"/>
        <w:rPr>
          <w:rFonts w:ascii="Times New Roman" w:eastAsia="Times New Roman" w:hAnsi="Times New Roman" w:cs="Times New Roman"/>
          <w:i/>
          <w:snapToGrid w:val="0"/>
        </w:rPr>
      </w:pPr>
    </w:p>
    <w:p w14:paraId="167336A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Įrodyta, kad veiksmingos paros dozės yra iki 120 mg ir jų saugumas buvo nustatytas klinikiniais tyrimais. Pacientams, kurių reakcija į 60 mg dozę yra nepakankama, paros dozę galima didinti iki 90 mg arba 120 mg. Dozę reikia didinti, atsižvelgiant į klinikinį atsaką ir vaistinio preparato toleravimą.</w:t>
      </w:r>
    </w:p>
    <w:p w14:paraId="5D03C16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41ED950"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Atsaką įtvirtinus, gydymą rekomenduojama tęsti kelis mėnesius, kad būtų išvengta recidyvo.</w:t>
      </w:r>
    </w:p>
    <w:p w14:paraId="5E83D6E9"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i/>
          <w:iCs/>
          <w:snapToGrid w:val="0"/>
        </w:rPr>
      </w:pPr>
    </w:p>
    <w:p w14:paraId="02D88470" w14:textId="77777777" w:rsidR="00D60365" w:rsidRDefault="00C1209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Skausmas dėl periferinės diabetinės neuropatijos</w:t>
      </w:r>
    </w:p>
    <w:p w14:paraId="475D5D5B" w14:textId="77777777" w:rsidR="00D60365" w:rsidRDefault="00C12095">
      <w:pPr>
        <w:widowControl w:val="0"/>
        <w:tabs>
          <w:tab w:val="left" w:pos="567"/>
        </w:tabs>
        <w:overflowPunct w:val="0"/>
        <w:autoSpaceDE w:val="0"/>
        <w:autoSpaceDN w:val="0"/>
        <w:adjustRightInd w:val="0"/>
        <w:spacing w:after="0" w:line="240" w:lineRule="auto"/>
        <w:ind w:right="80"/>
        <w:rPr>
          <w:rFonts w:ascii="Times New Roman" w:eastAsia="Times New Roman" w:hAnsi="Times New Roman" w:cs="Times New Roman"/>
          <w:snapToGrid w:val="0"/>
        </w:rPr>
      </w:pPr>
      <w:r>
        <w:rPr>
          <w:rFonts w:ascii="Times New Roman" w:eastAsia="Times New Roman" w:hAnsi="Times New Roman" w:cs="Times New Roman"/>
          <w:snapToGrid w:val="0"/>
        </w:rPr>
        <w:t xml:space="preserve">Pradinė ir rekomenduojama palaikomoji dozė yra 60 mg per parą, neatsižvelgiant į valgį. Klinikinių tyrimų metu, buvo įvertintas didesnių nei 60 mg per parą iki maksimalios 120 mg per parą dozių saugumas, skiriant jas tolygiai padalinant į dalis. Įvairių žmonių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koncentracija plazmoje būna labai skirtinga (žr. 5.2 skyrių). Todėl kai kuriems pacientams, kuriems 60 mg dozė nebuvo pakankamai veiksminga, gali būti naudinga didinti dozę.</w:t>
      </w:r>
    </w:p>
    <w:p w14:paraId="63D34D64" w14:textId="77777777" w:rsidR="00D60365" w:rsidRDefault="00D60365">
      <w:pPr>
        <w:widowControl w:val="0"/>
        <w:tabs>
          <w:tab w:val="left" w:pos="567"/>
        </w:tabs>
        <w:overflowPunct w:val="0"/>
        <w:autoSpaceDE w:val="0"/>
        <w:autoSpaceDN w:val="0"/>
        <w:adjustRightInd w:val="0"/>
        <w:spacing w:after="0" w:line="240" w:lineRule="auto"/>
        <w:ind w:right="80"/>
        <w:rPr>
          <w:rFonts w:ascii="Times New Roman" w:eastAsia="Times New Roman" w:hAnsi="Times New Roman" w:cs="Times New Roman"/>
          <w:snapToGrid w:val="0"/>
        </w:rPr>
      </w:pPr>
    </w:p>
    <w:p w14:paraId="3C4CE44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Po 2 gydymo mėnesių reikia įvertinti organizmo atsaką į gydymą. Pacientams, kurių pradinis atsakas nepakankamas, papildomas atsakas po šio laikotarpio vargu ar galimas.</w:t>
      </w:r>
    </w:p>
    <w:p w14:paraId="6CDF11D2"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4BB99C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Gydymo nauda turi būti reguliariai iš naujo įvertinama (mažiausiai kas 3 mėnesius) (žr. 5.1 skyrių).</w:t>
      </w:r>
    </w:p>
    <w:p w14:paraId="6C0838B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273DBBC" w14:textId="77777777" w:rsidR="00D60365" w:rsidRDefault="00C12095">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Specialių populiacijų pacientai</w:t>
      </w:r>
    </w:p>
    <w:p w14:paraId="01C1717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52AEEF1" w14:textId="77777777" w:rsidR="00D60365" w:rsidRDefault="00C12095">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Senyvi pacientai</w:t>
      </w:r>
    </w:p>
    <w:p w14:paraId="0B1D986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Senyviems pacientams nėra rekomenduojama koreguoti dozės vien dėl amžiaus. Tačiau, kaip ir bet kuriais kitais vaistiniais preparatais, gydant senyvus pacientus, reikia paisyti atsargumo priemonių, ypač gydant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120 mg paros doze didžiosios depresijos sutrikimą arba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sutrikimą, nes apie tokį gydymą duomenų yra mažai (žr. 4.4 ir 5.2 skyrius).</w:t>
      </w:r>
    </w:p>
    <w:p w14:paraId="096C73C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0A229EE" w14:textId="77777777" w:rsidR="00D60365" w:rsidRDefault="00C12095">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Kepenų funkcijos sutrikimas</w:t>
      </w:r>
    </w:p>
    <w:p w14:paraId="082F4F61"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negalima vartoti pacientams, sergantiems kepenų ligomis, sukeliančiomis kepenų pažeidimą (žr. 4.3 ir 5.2 skyrius).</w:t>
      </w:r>
    </w:p>
    <w:p w14:paraId="1A04ED6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A13F529" w14:textId="77777777" w:rsidR="00D60365" w:rsidRDefault="00C12095">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Inkstų funkcijos sutrikimas</w:t>
      </w:r>
    </w:p>
    <w:p w14:paraId="7AB10BF2"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Pacientams, kuriems yra lengvas arba vidutinio sunkumo inkstų funkcijos sutrikimas (kreatinino klirensas 30-80 ml/min.) dozės keisti nebūtina. Pacientus, kuriems yra sunkus inkstų funkcijos sutrikimas (kreatinino klirensas &lt; 30 ml/min.),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gydyti negalima (žr. 4.3 skyrių).</w:t>
      </w:r>
    </w:p>
    <w:p w14:paraId="75242BE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7B48FBD" w14:textId="77777777" w:rsidR="00D60365" w:rsidRDefault="00C12095">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Vaikų populiacija</w:t>
      </w:r>
    </w:p>
    <w:p w14:paraId="34FB0B45"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negalima vartoti vaikams ir jaunesniems kaip 18 metų paaugliams didžiosios depresijos sutrikimui gydyti, kadangi yra abejonių dėl saugumo ir veiksmingumo (žr. 4.4, 4.8 ir 5.1 skyrius).</w:t>
      </w:r>
    </w:p>
    <w:p w14:paraId="1DEC261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sutrikimo gydymo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saugumas ir veiksmingumas 7-17 metų vaikų populiacijos pacientams neištirti. Šiuo metu turimi duomenys pateikiami 4.8, 5.1 ir 5.2 skyriuose.</w:t>
      </w:r>
    </w:p>
    <w:p w14:paraId="077E19E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BB4425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saugumas ir veiksmingumas gydant diabetinės periferinės neuropatijos sukeltą skausmą neištirti. Duomenų nėra.</w:t>
      </w:r>
    </w:p>
    <w:p w14:paraId="1D626092"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21F8DC4" w14:textId="77777777" w:rsidR="00D60365" w:rsidRDefault="00C12095">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Gydymo nutraukimas</w:t>
      </w:r>
    </w:p>
    <w:p w14:paraId="6F8E720A"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Reikia vengti staigiai nutraukti medikamento vartojimą. Kad sumažėtų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nutraukimo reakcijų </w:t>
      </w:r>
      <w:r>
        <w:rPr>
          <w:rFonts w:ascii="Times New Roman" w:eastAsia="Times New Roman" w:hAnsi="Times New Roman" w:cs="Times New Roman"/>
          <w:snapToGrid w:val="0"/>
        </w:rPr>
        <w:lastRenderedPageBreak/>
        <w:t>pasireiškimo rizika (žr. 4.4 ir 4.8 skyrius), dozę reikia palaipsniui sumažinti ne greičiau kaip per 1-2 savaites. Jeigu sumažinus dozę ar nutraukus medikamento vartojimą atsiranda netoleruojamų simptomų, svarstytinas gydymo anksčiau vartota doze atnaujinimas. Vėliau gydytojas dozę vėl gali mažinti, tačiau tą reikia daryti labiau palaipsniui.</w:t>
      </w:r>
    </w:p>
    <w:p w14:paraId="46B9E1A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41336A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Vartojimo metodas</w:t>
      </w:r>
    </w:p>
    <w:p w14:paraId="5024CD8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Vartoti per burną.</w:t>
      </w:r>
    </w:p>
    <w:p w14:paraId="2EEEAA7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50E3D99"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4.3</w:t>
      </w:r>
      <w:r>
        <w:rPr>
          <w:rFonts w:ascii="Times New Roman" w:eastAsia="Times New Roman" w:hAnsi="Times New Roman" w:cs="Times New Roman"/>
          <w:b/>
          <w:bCs/>
          <w:snapToGrid w:val="0"/>
          <w:lang w:eastAsia="x-none"/>
        </w:rPr>
        <w:tab/>
        <w:t>Kontraindikacijos</w:t>
      </w:r>
    </w:p>
    <w:p w14:paraId="5E5DCA0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F1D731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Padidėjęs jautrumas veikliajai arba bet kuriai 6.1 skyriuje nurodytai pagalbinei medžiagai.</w:t>
      </w:r>
    </w:p>
    <w:p w14:paraId="37D645A7" w14:textId="77777777" w:rsidR="00D60365" w:rsidRDefault="00D60365">
      <w:pPr>
        <w:widowControl w:val="0"/>
        <w:tabs>
          <w:tab w:val="left" w:pos="567"/>
        </w:tabs>
        <w:overflowPunct w:val="0"/>
        <w:autoSpaceDE w:val="0"/>
        <w:autoSpaceDN w:val="0"/>
        <w:adjustRightInd w:val="0"/>
        <w:spacing w:after="0" w:line="240" w:lineRule="auto"/>
        <w:ind w:left="2" w:right="100"/>
        <w:rPr>
          <w:rFonts w:ascii="Times New Roman" w:eastAsia="Times New Roman" w:hAnsi="Times New Roman" w:cs="Times New Roman"/>
          <w:snapToGrid w:val="0"/>
        </w:rPr>
      </w:pPr>
    </w:p>
    <w:p w14:paraId="323AE5E5" w14:textId="77777777" w:rsidR="00D60365" w:rsidRDefault="00C12095">
      <w:pPr>
        <w:widowControl w:val="0"/>
        <w:tabs>
          <w:tab w:val="left" w:pos="567"/>
        </w:tabs>
        <w:overflowPunct w:val="0"/>
        <w:autoSpaceDE w:val="0"/>
        <w:autoSpaceDN w:val="0"/>
        <w:adjustRightInd w:val="0"/>
        <w:spacing w:after="0" w:line="240" w:lineRule="auto"/>
        <w:ind w:left="2" w:right="10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negalima vartoti kartu su neselektyviaisiais, negrįžtamo veikimo </w:t>
      </w:r>
      <w:proofErr w:type="spellStart"/>
      <w:r>
        <w:rPr>
          <w:rFonts w:ascii="Times New Roman" w:eastAsia="Times New Roman" w:hAnsi="Times New Roman" w:cs="Times New Roman"/>
          <w:snapToGrid w:val="0"/>
        </w:rPr>
        <w:t>monoaminooksidazės</w:t>
      </w:r>
      <w:proofErr w:type="spellEnd"/>
      <w:r>
        <w:rPr>
          <w:rFonts w:ascii="Times New Roman" w:eastAsia="Times New Roman" w:hAnsi="Times New Roman" w:cs="Times New Roman"/>
          <w:snapToGrid w:val="0"/>
        </w:rPr>
        <w:t xml:space="preserve"> inhibitoriais (MAOI) (žr. 4.5 skyrių).</w:t>
      </w:r>
    </w:p>
    <w:p w14:paraId="18924DF2"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FC508E4" w14:textId="77777777" w:rsidR="00D60365" w:rsidRDefault="00C1209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r>
        <w:rPr>
          <w:rFonts w:ascii="Times New Roman" w:eastAsia="Times New Roman" w:hAnsi="Times New Roman" w:cs="Times New Roman"/>
          <w:snapToGrid w:val="0"/>
        </w:rPr>
        <w:t>Kepenų liga, sukelianti kepenų pažeidimą (žr. 5.2 skyrių).</w:t>
      </w:r>
    </w:p>
    <w:p w14:paraId="04F2F3B7"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77C61A2" w14:textId="77777777" w:rsidR="00D60365" w:rsidRDefault="00C12095">
      <w:pPr>
        <w:widowControl w:val="0"/>
        <w:tabs>
          <w:tab w:val="left" w:pos="567"/>
        </w:tabs>
        <w:overflowPunct w:val="0"/>
        <w:autoSpaceDE w:val="0"/>
        <w:autoSpaceDN w:val="0"/>
        <w:adjustRightInd w:val="0"/>
        <w:spacing w:after="0" w:line="240" w:lineRule="auto"/>
        <w:ind w:lef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negalima vartoti kartu su CYP1A2 inhibitoriais, tokiais kaip </w:t>
      </w:r>
      <w:proofErr w:type="spellStart"/>
      <w:r>
        <w:rPr>
          <w:rFonts w:ascii="Times New Roman" w:eastAsia="Times New Roman" w:hAnsi="Times New Roman" w:cs="Times New Roman"/>
          <w:snapToGrid w:val="0"/>
        </w:rPr>
        <w:t>fluvoksaminas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ciprofloksacinas</w:t>
      </w:r>
      <w:proofErr w:type="spellEnd"/>
      <w:r>
        <w:rPr>
          <w:rFonts w:ascii="Times New Roman" w:eastAsia="Times New Roman" w:hAnsi="Times New Roman" w:cs="Times New Roman"/>
          <w:snapToGrid w:val="0"/>
        </w:rPr>
        <w:t xml:space="preserve"> arba </w:t>
      </w:r>
      <w:proofErr w:type="spellStart"/>
      <w:r>
        <w:rPr>
          <w:rFonts w:ascii="Times New Roman" w:eastAsia="Times New Roman" w:hAnsi="Times New Roman" w:cs="Times New Roman"/>
          <w:snapToGrid w:val="0"/>
        </w:rPr>
        <w:t>enoksacinas</w:t>
      </w:r>
      <w:proofErr w:type="spellEnd"/>
      <w:r>
        <w:rPr>
          <w:rFonts w:ascii="Times New Roman" w:eastAsia="Times New Roman" w:hAnsi="Times New Roman" w:cs="Times New Roman"/>
          <w:snapToGrid w:val="0"/>
        </w:rPr>
        <w:t xml:space="preserve">, kadangi vartojant juos kartu padidėja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koncentracija kraujo plazmoje (žr. 4.5 skyrių).</w:t>
      </w:r>
    </w:p>
    <w:p w14:paraId="79BA7FDB"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2C7E614" w14:textId="77777777" w:rsidR="00D60365" w:rsidRDefault="00C1209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r>
        <w:rPr>
          <w:rFonts w:ascii="Times New Roman" w:eastAsia="Times New Roman" w:hAnsi="Times New Roman" w:cs="Times New Roman"/>
          <w:snapToGrid w:val="0"/>
        </w:rPr>
        <w:t>Sunkus inkstų funkcijos sutrikimas (kreatinino klirensas &lt; 30 ml/min.) (žr. 4.4 skyrių).</w:t>
      </w:r>
    </w:p>
    <w:p w14:paraId="49D247EF"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31E7E49" w14:textId="77777777" w:rsidR="00D60365" w:rsidRDefault="00C12095">
      <w:pPr>
        <w:widowControl w:val="0"/>
        <w:tabs>
          <w:tab w:val="left" w:pos="567"/>
        </w:tabs>
        <w:overflowPunct w:val="0"/>
        <w:autoSpaceDE w:val="0"/>
        <w:autoSpaceDN w:val="0"/>
        <w:adjustRightInd w:val="0"/>
        <w:spacing w:after="0" w:line="240" w:lineRule="auto"/>
        <w:ind w:left="2" w:right="60"/>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Pacientų, sergančių nesukontroliuota hipertenzija, pradėti gydyti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negalima, kadangi gali kilti </w:t>
      </w:r>
      <w:proofErr w:type="spellStart"/>
      <w:r>
        <w:rPr>
          <w:rFonts w:ascii="Times New Roman" w:eastAsia="Times New Roman" w:hAnsi="Times New Roman" w:cs="Times New Roman"/>
          <w:snapToGrid w:val="0"/>
        </w:rPr>
        <w:t>hipertenzinės</w:t>
      </w:r>
      <w:proofErr w:type="spellEnd"/>
      <w:r>
        <w:rPr>
          <w:rFonts w:ascii="Times New Roman" w:eastAsia="Times New Roman" w:hAnsi="Times New Roman" w:cs="Times New Roman"/>
          <w:snapToGrid w:val="0"/>
        </w:rPr>
        <w:t xml:space="preserve"> krizės rizika (žr. 4.4 ir 4.8 skyrius).</w:t>
      </w:r>
    </w:p>
    <w:p w14:paraId="63DF748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E877B14"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4.4</w:t>
      </w:r>
      <w:r>
        <w:rPr>
          <w:rFonts w:ascii="Times New Roman" w:eastAsia="Times New Roman" w:hAnsi="Times New Roman" w:cs="Times New Roman"/>
          <w:b/>
          <w:bCs/>
          <w:snapToGrid w:val="0"/>
          <w:lang w:eastAsia="x-none"/>
        </w:rPr>
        <w:tab/>
        <w:t>Specialūs įspėjimai ir atsargumo priemonės</w:t>
      </w:r>
    </w:p>
    <w:p w14:paraId="7E895BA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68EB22B"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Manija ir traukuliai</w:t>
      </w:r>
    </w:p>
    <w:p w14:paraId="5B560FF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reikia atsargiai skirti pacientams, kuriems praeityje buvo diagnozuota manija arba </w:t>
      </w:r>
      <w:proofErr w:type="spellStart"/>
      <w:r>
        <w:rPr>
          <w:rFonts w:ascii="Times New Roman" w:eastAsia="Times New Roman" w:hAnsi="Times New Roman" w:cs="Times New Roman"/>
          <w:snapToGrid w:val="0"/>
        </w:rPr>
        <w:t>bipolinis</w:t>
      </w:r>
      <w:proofErr w:type="spellEnd"/>
      <w:r>
        <w:rPr>
          <w:rFonts w:ascii="Times New Roman" w:eastAsia="Times New Roman" w:hAnsi="Times New Roman" w:cs="Times New Roman"/>
          <w:snapToGrid w:val="0"/>
        </w:rPr>
        <w:t xml:space="preserve"> sutrikimas ir (arba) pasireiškė traukuliai.</w:t>
      </w:r>
    </w:p>
    <w:p w14:paraId="0FB013D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0F5B1AF"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Midriazė</w:t>
      </w:r>
      <w:proofErr w:type="spellEnd"/>
    </w:p>
    <w:p w14:paraId="1CAE889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Buvo nustatyta, kad </w:t>
      </w:r>
      <w:proofErr w:type="spellStart"/>
      <w:r>
        <w:rPr>
          <w:rFonts w:ascii="Times New Roman" w:eastAsia="Times New Roman" w:hAnsi="Times New Roman" w:cs="Times New Roman"/>
          <w:snapToGrid w:val="0"/>
        </w:rPr>
        <w:t>midriazė</w:t>
      </w:r>
      <w:proofErr w:type="spellEnd"/>
      <w:r>
        <w:rPr>
          <w:rFonts w:ascii="Times New Roman" w:eastAsia="Times New Roman" w:hAnsi="Times New Roman" w:cs="Times New Roman"/>
          <w:snapToGrid w:val="0"/>
        </w:rPr>
        <w:t xml:space="preserve"> gali būti susijusi su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vartojimu, todėl reikia būti atsargiems skiriant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pacientams, kuriems yra padidėjęs akispūdis arba yra ūminės uždaro kampo glaukomos atsiradimo pavojus.</w:t>
      </w:r>
    </w:p>
    <w:p w14:paraId="6EBA4EE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C73175D"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Kraujo spaudimas ir širdies susitraukimų dažnis</w:t>
      </w:r>
    </w:p>
    <w:p w14:paraId="6654446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Kai kuriems pacientams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vartojimas buvo susijęs su kraujo spaudimo padidėjimu ir klinikai reikšminga hipertenzija. Toks pokytis galimas dėl </w:t>
      </w:r>
      <w:proofErr w:type="spellStart"/>
      <w:r>
        <w:rPr>
          <w:rFonts w:ascii="Times New Roman" w:eastAsia="Times New Roman" w:hAnsi="Times New Roman" w:cs="Times New Roman"/>
          <w:snapToGrid w:val="0"/>
        </w:rPr>
        <w:t>noradrenerginio</w:t>
      </w:r>
      <w:proofErr w:type="spellEnd"/>
      <w:r>
        <w:rPr>
          <w:rFonts w:ascii="Times New Roman" w:eastAsia="Times New Roman" w:hAnsi="Times New Roman" w:cs="Times New Roman"/>
          <w:snapToGrid w:val="0"/>
        </w:rPr>
        <w:t xml:space="preserve"> medikamento poveikio. Gydant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buvo </w:t>
      </w:r>
      <w:proofErr w:type="spellStart"/>
      <w:r>
        <w:rPr>
          <w:rFonts w:ascii="Times New Roman" w:eastAsia="Times New Roman" w:hAnsi="Times New Roman" w:cs="Times New Roman"/>
          <w:snapToGrid w:val="0"/>
        </w:rPr>
        <w:t>hipertenzinės</w:t>
      </w:r>
      <w:proofErr w:type="spellEnd"/>
      <w:r>
        <w:rPr>
          <w:rFonts w:ascii="Times New Roman" w:eastAsia="Times New Roman" w:hAnsi="Times New Roman" w:cs="Times New Roman"/>
          <w:snapToGrid w:val="0"/>
        </w:rPr>
        <w:t xml:space="preserve"> krizės atvejų, ypač pacientams, kuriems prieš pradedant gydyti buvo hipertenzija. Vadinasi, pacientams, sergantiems hipertenzija ir (arba) kita širdies liga, rekomenduojama stebėti kraujo spaudimą, ypač pirmą gydymo mėnesį. Pacientus, kurių būklė dėl širdies susitraukimų dažnio ar kraujo spaudimo padidėjimo gali tapti pavojinga,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reikia gydyti atsargiai. Atsarga būtina ir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vartojant kartu su vaistiniais preparatais, galinčiais trikdyti jo metabolizmą (žr. 4.5 skyrių). Pacientams, kuriems gydymo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metu pasireiškia ilgalaikis kraujospūdžio padidėjimas, svarstytinas dozės mažinimas arba </w:t>
      </w:r>
      <w:proofErr w:type="spellStart"/>
      <w:r>
        <w:rPr>
          <w:rFonts w:ascii="Times New Roman" w:eastAsia="Times New Roman" w:hAnsi="Times New Roman" w:cs="Times New Roman"/>
          <w:snapToGrid w:val="0"/>
        </w:rPr>
        <w:t>palaipsnis</w:t>
      </w:r>
      <w:proofErr w:type="spellEnd"/>
      <w:r>
        <w:rPr>
          <w:rFonts w:ascii="Times New Roman" w:eastAsia="Times New Roman" w:hAnsi="Times New Roman" w:cs="Times New Roman"/>
          <w:snapToGrid w:val="0"/>
        </w:rPr>
        <w:t xml:space="preserve"> gydymo šiuo preparatu nutraukimas (žr. 4.8 skyrių). Pacientų, kurių hipertenzija nesukontroliuota, pradėti gydyti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negalima (žr. 4.3 skyrių).</w:t>
      </w:r>
    </w:p>
    <w:p w14:paraId="49D0A90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4F1B002"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Inkstų funkcijos sutrikimas</w:t>
      </w:r>
    </w:p>
    <w:p w14:paraId="26FA3297"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Pacientams, kuriems yra sunkus inkstų funkcijos sutrikimas ir kuriems taikoma hemodializė (kreatinino klirensas &lt; 30 ml/min.), padidėja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koncentracija plazmoje. Žr. 4.3 skyrių apie sunkų inkstų funkcijos sutrikimą. Informacija apie pacientus, kuriems yra lengvas arba vidutinio sunkumo inkstų funkcijos sutrikimas pateikta 4.2 skyriuje.</w:t>
      </w:r>
    </w:p>
    <w:p w14:paraId="677399F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8E704D4"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bookmarkStart w:id="2" w:name="page5"/>
      <w:bookmarkEnd w:id="2"/>
      <w:proofErr w:type="spellStart"/>
      <w:r>
        <w:rPr>
          <w:rFonts w:ascii="Times New Roman" w:eastAsia="Times New Roman" w:hAnsi="Times New Roman" w:cs="Times New Roman"/>
          <w:snapToGrid w:val="0"/>
          <w:u w:val="single"/>
        </w:rPr>
        <w:t>Serotonininis</w:t>
      </w:r>
      <w:proofErr w:type="spellEnd"/>
      <w:r>
        <w:rPr>
          <w:rFonts w:ascii="Times New Roman" w:eastAsia="Times New Roman" w:hAnsi="Times New Roman" w:cs="Times New Roman"/>
          <w:snapToGrid w:val="0"/>
          <w:u w:val="single"/>
        </w:rPr>
        <w:t xml:space="preserve"> sindromas</w:t>
      </w:r>
      <w:r>
        <w:t>/p</w:t>
      </w:r>
      <w:r>
        <w:rPr>
          <w:rFonts w:ascii="Times New Roman" w:eastAsia="Times New Roman" w:hAnsi="Times New Roman" w:cs="Times New Roman"/>
          <w:snapToGrid w:val="0"/>
          <w:u w:val="single"/>
        </w:rPr>
        <w:t xml:space="preserve">iktybinis </w:t>
      </w:r>
      <w:proofErr w:type="spellStart"/>
      <w:r>
        <w:rPr>
          <w:rFonts w:ascii="Times New Roman" w:eastAsia="Times New Roman" w:hAnsi="Times New Roman" w:cs="Times New Roman"/>
          <w:snapToGrid w:val="0"/>
          <w:u w:val="single"/>
        </w:rPr>
        <w:t>neurolepsinis</w:t>
      </w:r>
      <w:proofErr w:type="spellEnd"/>
      <w:r>
        <w:rPr>
          <w:rFonts w:ascii="Times New Roman" w:eastAsia="Times New Roman" w:hAnsi="Times New Roman" w:cs="Times New Roman"/>
          <w:snapToGrid w:val="0"/>
          <w:u w:val="single"/>
        </w:rPr>
        <w:t xml:space="preserve"> sindromas</w:t>
      </w:r>
    </w:p>
    <w:p w14:paraId="31B12045"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Vartojant </w:t>
      </w:r>
      <w:proofErr w:type="spellStart"/>
      <w:r>
        <w:rPr>
          <w:rFonts w:ascii="Times New Roman" w:eastAsia="Times New Roman" w:hAnsi="Times New Roman" w:cs="Times New Roman"/>
          <w:snapToGrid w:val="0"/>
        </w:rPr>
        <w:t>duloksetiną</w:t>
      </w:r>
      <w:proofErr w:type="spellEnd"/>
      <w:r>
        <w:rPr>
          <w:rFonts w:ascii="Times New Roman" w:eastAsia="Times New Roman" w:hAnsi="Times New Roman" w:cs="Times New Roman"/>
          <w:snapToGrid w:val="0"/>
        </w:rPr>
        <w:t xml:space="preserve">, kaip ir kitokius </w:t>
      </w:r>
      <w:proofErr w:type="spellStart"/>
      <w:r>
        <w:rPr>
          <w:rFonts w:ascii="Times New Roman" w:eastAsia="Times New Roman" w:hAnsi="Times New Roman" w:cs="Times New Roman"/>
          <w:snapToGrid w:val="0"/>
        </w:rPr>
        <w:t>serotoninerginius</w:t>
      </w:r>
      <w:proofErr w:type="spellEnd"/>
      <w:r>
        <w:rPr>
          <w:rFonts w:ascii="Times New Roman" w:eastAsia="Times New Roman" w:hAnsi="Times New Roman" w:cs="Times New Roman"/>
          <w:snapToGrid w:val="0"/>
        </w:rPr>
        <w:t xml:space="preserve"> vaistinius preparatus, gali pasireikšti pavojų gyvybei galinti lemti būklė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w:t>
      </w:r>
      <w:r>
        <w:t xml:space="preserve"> </w:t>
      </w:r>
      <w:r>
        <w:rPr>
          <w:rFonts w:ascii="Times New Roman" w:eastAsia="Times New Roman" w:hAnsi="Times New Roman" w:cs="Times New Roman"/>
          <w:snapToGrid w:val="0"/>
        </w:rPr>
        <w:t xml:space="preserve">arba piktybinis </w:t>
      </w:r>
      <w:proofErr w:type="spellStart"/>
      <w:r>
        <w:rPr>
          <w:rFonts w:ascii="Times New Roman" w:eastAsia="Times New Roman" w:hAnsi="Times New Roman" w:cs="Times New Roman"/>
          <w:snapToGrid w:val="0"/>
        </w:rPr>
        <w:t>neurolepsinis</w:t>
      </w:r>
      <w:proofErr w:type="spellEnd"/>
      <w:r>
        <w:rPr>
          <w:rFonts w:ascii="Times New Roman" w:eastAsia="Times New Roman" w:hAnsi="Times New Roman" w:cs="Times New Roman"/>
          <w:snapToGrid w:val="0"/>
        </w:rPr>
        <w:t xml:space="preserve"> sindromas (PNS), ypač vartojant kartu su kitais </w:t>
      </w:r>
      <w:proofErr w:type="spellStart"/>
      <w:r>
        <w:rPr>
          <w:rFonts w:ascii="Times New Roman" w:eastAsia="Times New Roman" w:hAnsi="Times New Roman" w:cs="Times New Roman"/>
          <w:snapToGrid w:val="0"/>
        </w:rPr>
        <w:t>serotoninerginiais</w:t>
      </w:r>
      <w:proofErr w:type="spellEnd"/>
      <w:r>
        <w:rPr>
          <w:rFonts w:ascii="Times New Roman" w:eastAsia="Times New Roman" w:hAnsi="Times New Roman" w:cs="Times New Roman"/>
          <w:snapToGrid w:val="0"/>
        </w:rPr>
        <w:t xml:space="preserve"> vaistiniais preparatais (įskaitant SSRI, SNRI, </w:t>
      </w:r>
      <w:proofErr w:type="spellStart"/>
      <w:r>
        <w:rPr>
          <w:rFonts w:ascii="Times New Roman" w:eastAsia="Times New Roman" w:hAnsi="Times New Roman" w:cs="Times New Roman"/>
          <w:snapToGrid w:val="0"/>
        </w:rPr>
        <w:t>triciklius</w:t>
      </w:r>
      <w:proofErr w:type="spellEnd"/>
      <w:r>
        <w:rPr>
          <w:rFonts w:ascii="Times New Roman" w:eastAsia="Times New Roman" w:hAnsi="Times New Roman" w:cs="Times New Roman"/>
          <w:snapToGrid w:val="0"/>
        </w:rPr>
        <w:t xml:space="preserve"> antidepresantus ar </w:t>
      </w:r>
      <w:proofErr w:type="spellStart"/>
      <w:r>
        <w:rPr>
          <w:rFonts w:ascii="Times New Roman" w:eastAsia="Times New Roman" w:hAnsi="Times New Roman" w:cs="Times New Roman"/>
          <w:snapToGrid w:val="0"/>
        </w:rPr>
        <w:t>triptanus</w:t>
      </w:r>
      <w:proofErr w:type="spellEnd"/>
      <w:r>
        <w:rPr>
          <w:rFonts w:ascii="Times New Roman" w:eastAsia="Times New Roman" w:hAnsi="Times New Roman" w:cs="Times New Roman"/>
          <w:snapToGrid w:val="0"/>
        </w:rPr>
        <w:t xml:space="preserve">), vaistiniais preparatais, kurie trikdo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metabolizmą, pavyzdžiui: MAOI, kartu su </w:t>
      </w:r>
      <w:proofErr w:type="spellStart"/>
      <w:r>
        <w:rPr>
          <w:rFonts w:ascii="Times New Roman" w:eastAsia="Times New Roman" w:hAnsi="Times New Roman" w:cs="Times New Roman"/>
          <w:snapToGrid w:val="0"/>
        </w:rPr>
        <w:t>antipsichoziniais</w:t>
      </w:r>
      <w:proofErr w:type="spellEnd"/>
      <w:r>
        <w:rPr>
          <w:rFonts w:ascii="Times New Roman" w:eastAsia="Times New Roman" w:hAnsi="Times New Roman" w:cs="Times New Roman"/>
          <w:snapToGrid w:val="0"/>
        </w:rPr>
        <w:t xml:space="preserve"> vaistiniais preparatais ar kitokiais dopamino antagonistais arba </w:t>
      </w:r>
      <w:proofErr w:type="spellStart"/>
      <w:r>
        <w:rPr>
          <w:rFonts w:ascii="Times New Roman" w:eastAsia="Times New Roman" w:hAnsi="Times New Roman" w:cs="Times New Roman"/>
          <w:snapToGrid w:val="0"/>
        </w:rPr>
        <w:t>buprenorfinu</w:t>
      </w:r>
      <w:proofErr w:type="spellEnd"/>
      <w:r>
        <w:rPr>
          <w:rFonts w:ascii="Times New Roman" w:eastAsia="Times New Roman" w:hAnsi="Times New Roman" w:cs="Times New Roman"/>
          <w:snapToGrid w:val="0"/>
        </w:rPr>
        <w:t xml:space="preserve">, kurie gali veikti </w:t>
      </w:r>
      <w:proofErr w:type="spellStart"/>
      <w:r>
        <w:rPr>
          <w:rFonts w:ascii="Times New Roman" w:eastAsia="Times New Roman" w:hAnsi="Times New Roman" w:cs="Times New Roman"/>
          <w:snapToGrid w:val="0"/>
        </w:rPr>
        <w:t>serotoninerginių</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neurotransmiterių</w:t>
      </w:r>
      <w:proofErr w:type="spellEnd"/>
      <w:r>
        <w:rPr>
          <w:rFonts w:ascii="Times New Roman" w:eastAsia="Times New Roman" w:hAnsi="Times New Roman" w:cs="Times New Roman"/>
          <w:snapToGrid w:val="0"/>
        </w:rPr>
        <w:t xml:space="preserve"> sistemą (žr. 4.3 ir 4.5 skyrius).</w:t>
      </w:r>
    </w:p>
    <w:p w14:paraId="732FB61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8691441"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atsižvelgiant į paciento klinikinę būklę, yra būtina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vartoti kartu su kitais </w:t>
      </w:r>
      <w:proofErr w:type="spellStart"/>
      <w:r>
        <w:rPr>
          <w:rFonts w:ascii="Times New Roman" w:eastAsia="Times New Roman" w:hAnsi="Times New Roman" w:cs="Times New Roman"/>
          <w:snapToGrid w:val="0"/>
        </w:rPr>
        <w:t>serotoninerginiais</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neurolepsiniais</w:t>
      </w:r>
      <w:proofErr w:type="spellEnd"/>
      <w:r>
        <w:rPr>
          <w:rFonts w:ascii="Times New Roman" w:eastAsia="Times New Roman" w:hAnsi="Times New Roman" w:cs="Times New Roman"/>
          <w:snapToGrid w:val="0"/>
        </w:rPr>
        <w:t xml:space="preserve"> vaistiniais preparatais, kurie gali veikti </w:t>
      </w:r>
      <w:proofErr w:type="spellStart"/>
      <w:r>
        <w:rPr>
          <w:rFonts w:ascii="Times New Roman" w:eastAsia="Times New Roman" w:hAnsi="Times New Roman" w:cs="Times New Roman"/>
          <w:snapToGrid w:val="0"/>
        </w:rPr>
        <w:t>serotoninerginių</w:t>
      </w:r>
      <w:proofErr w:type="spellEnd"/>
      <w:r>
        <w:rPr>
          <w:rFonts w:ascii="Times New Roman" w:eastAsia="Times New Roman" w:hAnsi="Times New Roman" w:cs="Times New Roman"/>
          <w:snapToGrid w:val="0"/>
        </w:rPr>
        <w:t xml:space="preserve"> ir (arba) </w:t>
      </w:r>
      <w:proofErr w:type="spellStart"/>
      <w:r>
        <w:rPr>
          <w:rFonts w:ascii="Times New Roman" w:eastAsia="Times New Roman" w:hAnsi="Times New Roman" w:cs="Times New Roman"/>
          <w:snapToGrid w:val="0"/>
        </w:rPr>
        <w:t>dopaminerginių</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neurotransmiterių</w:t>
      </w:r>
      <w:proofErr w:type="spellEnd"/>
      <w:r>
        <w:rPr>
          <w:rFonts w:ascii="Times New Roman" w:eastAsia="Times New Roman" w:hAnsi="Times New Roman" w:cs="Times New Roman"/>
          <w:snapToGrid w:val="0"/>
        </w:rPr>
        <w:t xml:space="preserve"> sistemą, paciento būklę rekomenduojama atidžiai stebėti, ypač gydymo pradžioje ir didinant vaistinio preparato dozę.</w:t>
      </w:r>
      <w:r>
        <w:t xml:space="preserve"> </w:t>
      </w:r>
      <w:r>
        <w:rPr>
          <w:rFonts w:ascii="Times New Roman" w:eastAsia="Times New Roman" w:hAnsi="Times New Roman" w:cs="Times New Roman"/>
          <w:snapToGrid w:val="0"/>
        </w:rPr>
        <w:t xml:space="preserve">Sunkiausios formos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gali būti panašus į PNS, kuris apima hipertermiją, raumenų </w:t>
      </w:r>
      <w:proofErr w:type="spellStart"/>
      <w:r>
        <w:rPr>
          <w:rFonts w:ascii="Times New Roman" w:eastAsia="Times New Roman" w:hAnsi="Times New Roman" w:cs="Times New Roman"/>
          <w:snapToGrid w:val="0"/>
        </w:rPr>
        <w:t>rigidiškumą</w:t>
      </w:r>
      <w:proofErr w:type="spellEnd"/>
      <w:r>
        <w:rPr>
          <w:rFonts w:ascii="Times New Roman" w:eastAsia="Times New Roman" w:hAnsi="Times New Roman" w:cs="Times New Roman"/>
          <w:snapToGrid w:val="0"/>
        </w:rPr>
        <w:t xml:space="preserve">, padidėjusį </w:t>
      </w:r>
      <w:proofErr w:type="spellStart"/>
      <w:r>
        <w:rPr>
          <w:rFonts w:ascii="Times New Roman" w:eastAsia="Times New Roman" w:hAnsi="Times New Roman" w:cs="Times New Roman"/>
          <w:snapToGrid w:val="0"/>
        </w:rPr>
        <w:t>kreatinkinazės</w:t>
      </w:r>
      <w:proofErr w:type="spellEnd"/>
      <w:r>
        <w:rPr>
          <w:rFonts w:ascii="Times New Roman" w:eastAsia="Times New Roman" w:hAnsi="Times New Roman" w:cs="Times New Roman"/>
          <w:snapToGrid w:val="0"/>
        </w:rPr>
        <w:t xml:space="preserve"> aktyvumą serume, autonominės nervų sistemos nestabilumą su galimu greitu gyvybinių požymių svyravimu ir psichinės būklės pokyčiais.</w:t>
      </w:r>
    </w:p>
    <w:p w14:paraId="423AC62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3D1678A"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Serotonininis</w:t>
      </w:r>
      <w:proofErr w:type="spellEnd"/>
      <w:r>
        <w:rPr>
          <w:rFonts w:ascii="Times New Roman" w:eastAsia="Times New Roman" w:hAnsi="Times New Roman" w:cs="Times New Roman"/>
          <w:snapToGrid w:val="0"/>
        </w:rPr>
        <w:t xml:space="preserve"> sindromas gali pasireikšti psichinės būklės pokyčiais (pvz.: susijaudinimu, haliucinacijomis, koma), autonominės nervų sistemos nestabilumu (pvz.: tachikardija, kintamu kraujospūdžiu, hipertermija), nervų ir raumenų sutrikimais (pvz.: </w:t>
      </w:r>
      <w:proofErr w:type="spellStart"/>
      <w:r>
        <w:rPr>
          <w:rFonts w:ascii="Times New Roman" w:eastAsia="Times New Roman" w:hAnsi="Times New Roman" w:cs="Times New Roman"/>
          <w:snapToGrid w:val="0"/>
        </w:rPr>
        <w:t>hiperrefleksija</w:t>
      </w:r>
      <w:proofErr w:type="spellEnd"/>
      <w:r>
        <w:rPr>
          <w:rFonts w:ascii="Times New Roman" w:eastAsia="Times New Roman" w:hAnsi="Times New Roman" w:cs="Times New Roman"/>
          <w:snapToGrid w:val="0"/>
        </w:rPr>
        <w:t>, koordinacijos nebuvimu) ir (arba) virškinimo sutrikimų simptomais (pvz.: pykinimu, vėmimu, viduriavimu).</w:t>
      </w:r>
    </w:p>
    <w:p w14:paraId="737E060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4B92B48"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Paprastoji jonažolė</w:t>
      </w:r>
    </w:p>
    <w:p w14:paraId="0EBE379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vartojant kartu su augaliniais preparatais, kuriuose yra paprastųjų jonažolių (</w:t>
      </w:r>
      <w:proofErr w:type="spellStart"/>
      <w:r>
        <w:rPr>
          <w:rFonts w:ascii="Times New Roman" w:eastAsia="Times New Roman" w:hAnsi="Times New Roman" w:cs="Times New Roman"/>
          <w:i/>
          <w:snapToGrid w:val="0"/>
        </w:rPr>
        <w:t>Hypericum</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perforatum</w:t>
      </w:r>
      <w:proofErr w:type="spellEnd"/>
      <w:r>
        <w:rPr>
          <w:rFonts w:ascii="Times New Roman" w:eastAsia="Times New Roman" w:hAnsi="Times New Roman" w:cs="Times New Roman"/>
          <w:snapToGrid w:val="0"/>
        </w:rPr>
        <w:t>), gali dažniau pasireikšti nepageidaujamos reakcijos.</w:t>
      </w:r>
    </w:p>
    <w:p w14:paraId="326815F8"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E1F8AB5"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Savižudybė</w:t>
      </w:r>
    </w:p>
    <w:p w14:paraId="7B1923C2"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Didžiosios depresijos sutrikimas ir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sutrikimas. Depresija susijusi su minčių apie savižudybę, savęs žalojimo ir savižudybės (su savižudybe susijusių reiškinių) rizikos padidėjimu. Ši rizika yra tol, kol pasireiškia žymus pagerėjimas. Pagerėjimo gali nebūti keletą pirmų gydymo savaičių ar ilgiau, taigi pacientus reikia atidžiai stebėti, kol šis pagerėjimas pasireikš. Remiantis bendrąja klinikine patirtimi, ankstyvuoju sveikimo laikotarpiu savižudybės rizika gali padidėti.</w:t>
      </w:r>
    </w:p>
    <w:p w14:paraId="0E7DB9C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84D8561"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Su savižudybe susijusių reiškinių rizika gali padidėti ir kitų psichikos sutrikimų, kuriems gydyti skiriama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metu. Be to, šie sutrikimai gali būti susiję su didžiosios depresijos sutrikimu. Vadinasi, gydant kitokį psichikos sutrikimą, reikia laikytis tokių pačių atsargumo priemonių, kaip gydant didžiosios depresijos sutrikimą.</w:t>
      </w:r>
    </w:p>
    <w:p w14:paraId="21028B8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9B01AE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Žinoma, kad pacientams, kuriems anksčiau buvo su savižudybe susijusių reiškinių arba kurie prieš pradedant gydymą daug galvoja apie savižudybę, su savižudybe susijusių minčių ar savižudiško elgesio rizika yra didesnė, taigi juos gydymo metu reikia atidžiai stebėti. Klinikinių placebu kontroliuojamųjų psichikos sutrikimų gydymo antidepresantais tyrimų </w:t>
      </w:r>
      <w:proofErr w:type="spellStart"/>
      <w:r>
        <w:rPr>
          <w:rFonts w:ascii="Times New Roman" w:eastAsia="Times New Roman" w:hAnsi="Times New Roman" w:cs="Times New Roman"/>
          <w:snapToGrid w:val="0"/>
        </w:rPr>
        <w:t>metaanalizė</w:t>
      </w:r>
      <w:proofErr w:type="spellEnd"/>
      <w:r>
        <w:rPr>
          <w:rFonts w:ascii="Times New Roman" w:eastAsia="Times New Roman" w:hAnsi="Times New Roman" w:cs="Times New Roman"/>
          <w:snapToGrid w:val="0"/>
        </w:rPr>
        <w:t xml:space="preserve"> rodo, kad jaunesniems nei 25 metų ligoniams, vartojantiems antidepresantų, palyginti su placebu, savižudiško elgesio rizika yra didesnė.</w:t>
      </w:r>
    </w:p>
    <w:p w14:paraId="7404EDB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C20E24A"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Gydantis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arba netrukus po gydymo nutraukimo nustatyta savižudiškų minčių ir savižudiško elgesio atvejų (žr. 4.8 skyrių).</w:t>
      </w:r>
    </w:p>
    <w:p w14:paraId="14963C7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29AD71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Gydymo metu reikia atidžiai prižiūrėti pacientus ir ypač tuos, kuriems yra didelė rizika, ypač ankstyvuoju gydymo laikotarpiu ar po dozės pakeitimo. Pacientus (taip pat asmenis, prižiūrinčius pacientus) reikia įspėti, kad būtina stebėti, ar būklė neblogėja, ar neatsiranda savižudiškų minčių arba elgesio, ar nepasireiškia neįprastas elgesys, o šiems simptomams pasireiškus, nedelsiant kreiptis medicininės pagalbos.</w:t>
      </w:r>
    </w:p>
    <w:p w14:paraId="693A146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42D69B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snapToGrid w:val="0"/>
        </w:rPr>
        <w:t>Skausmas dėl periferinės diabetinės neuropatijos:</w:t>
      </w:r>
      <w:r>
        <w:rPr>
          <w:rFonts w:ascii="Times New Roman" w:eastAsia="Times New Roman" w:hAnsi="Times New Roman" w:cs="Times New Roman"/>
          <w:snapToGrid w:val="0"/>
        </w:rPr>
        <w:t xml:space="preserve"> kaip ir vartojant kitus panašaus farmakologinio poveikio vaistus (antidepresantus), buvo pavienių pranešimų apie atsiradusias savižudiškas mintis ir elgesį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vartojimo metu arba netrukus po gydymo nutraukimo. Apie su depresija susijusį savižudišką </w:t>
      </w:r>
      <w:bookmarkStart w:id="3" w:name="page6"/>
      <w:bookmarkEnd w:id="3"/>
      <w:r>
        <w:rPr>
          <w:rFonts w:ascii="Times New Roman" w:eastAsia="Times New Roman" w:hAnsi="Times New Roman" w:cs="Times New Roman"/>
          <w:snapToGrid w:val="0"/>
        </w:rPr>
        <w:t>elgesį žr. anksčiau. Gydytojai turi paraginti pacientus visada pranešti apie bet kokias kankinančias mintis ar jausmus.</w:t>
      </w:r>
    </w:p>
    <w:p w14:paraId="0D3E6BF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EC01F85"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Vartojimas vaikams ir jaunesniems kaip 18 metų paaugliams</w:t>
      </w:r>
    </w:p>
    <w:p w14:paraId="1B860DC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Vaikams ir paaugliams iki 18 metų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vartoti draudžiama. Klinikinių tyrimų metu pastebėta, kad vartojusiems antidepresantų vaikams ir paaugliams dažniau atsirasdavo elgesys siejamas su savižudišku elgesiu (bandymai nusižudyti, savižudiškos mintys) bei priešiškumas (daugiausiai agresija, opozicinis neklusnumas, pyktis), nei vartojusiems placebo. Jei remiantis klinikiniu poreikiu, vis tiek nusprendžiama taikyti gydymą šiuo vaistu, pacientą reikia atidžiai nuolat stebėti dėl polinkio į savižudybę apraiškų (žr. 5.1 skyrių). Be to, nepakanka ilgalaikių saugumo duomenų apie preparato poveikį vaikų ir paauglių augimui, brendimui, pažinimo ir elgsenos vystymuisi (žr. 4.8 skyrių).</w:t>
      </w:r>
    </w:p>
    <w:p w14:paraId="00CB6AA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6C85175"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Kraujavimas</w:t>
      </w:r>
    </w:p>
    <w:p w14:paraId="1DE9AA7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Yra buvę atvejų, kai vartojantiems selektyviųjų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reabsorbcijos inhibitorių (SSRI) arba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 </w:t>
      </w:r>
      <w:proofErr w:type="spellStart"/>
      <w:r>
        <w:rPr>
          <w:rFonts w:ascii="Times New Roman" w:eastAsia="Times New Roman" w:hAnsi="Times New Roman" w:cs="Times New Roman"/>
          <w:snapToGrid w:val="0"/>
        </w:rPr>
        <w:t>noradrenalino</w:t>
      </w:r>
      <w:proofErr w:type="spellEnd"/>
      <w:r>
        <w:rPr>
          <w:rFonts w:ascii="Times New Roman" w:eastAsia="Times New Roman" w:hAnsi="Times New Roman" w:cs="Times New Roman"/>
          <w:snapToGrid w:val="0"/>
        </w:rPr>
        <w:t xml:space="preserve"> reabsorbcijos inhibitorių (SNRI), įskaitant </w:t>
      </w:r>
      <w:proofErr w:type="spellStart"/>
      <w:r>
        <w:rPr>
          <w:rFonts w:ascii="Times New Roman" w:eastAsia="Times New Roman" w:hAnsi="Times New Roman" w:cs="Times New Roman"/>
          <w:snapToGrid w:val="0"/>
        </w:rPr>
        <w:t>duloksetiną</w:t>
      </w:r>
      <w:proofErr w:type="spellEnd"/>
      <w:r>
        <w:rPr>
          <w:rFonts w:ascii="Times New Roman" w:eastAsia="Times New Roman" w:hAnsi="Times New Roman" w:cs="Times New Roman"/>
          <w:snapToGrid w:val="0"/>
        </w:rPr>
        <w:t xml:space="preserve">, pasireiškė kraujavimas – </w:t>
      </w:r>
      <w:proofErr w:type="spellStart"/>
      <w:r>
        <w:rPr>
          <w:rFonts w:ascii="Times New Roman" w:eastAsia="Times New Roman" w:hAnsi="Times New Roman" w:cs="Times New Roman"/>
          <w:snapToGrid w:val="0"/>
        </w:rPr>
        <w:t>ekchimozės</w:t>
      </w:r>
      <w:proofErr w:type="spellEnd"/>
      <w:r>
        <w:rPr>
          <w:rFonts w:ascii="Times New Roman" w:eastAsia="Times New Roman" w:hAnsi="Times New Roman" w:cs="Times New Roman"/>
          <w:snapToGrid w:val="0"/>
        </w:rPr>
        <w:t xml:space="preserve">, purpura bei virškinimo trakto kraujavimas.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gali didinti kraujavimo po gimdymo riziką (žr. 4.6 skyrių). Rekomenduojama atsargiai skirti preparato pacientams, kurie vartoja antikoaguliantų ir (arba) medikamentų, veikiančių trombocitų funkciją (pvz., NVNU arba </w:t>
      </w:r>
      <w:proofErr w:type="spellStart"/>
      <w:r>
        <w:rPr>
          <w:rFonts w:ascii="Times New Roman" w:eastAsia="Times New Roman" w:hAnsi="Times New Roman" w:cs="Times New Roman"/>
          <w:snapToGrid w:val="0"/>
        </w:rPr>
        <w:t>acetilsalicilo</w:t>
      </w:r>
      <w:proofErr w:type="spellEnd"/>
      <w:r>
        <w:rPr>
          <w:rFonts w:ascii="Times New Roman" w:eastAsia="Times New Roman" w:hAnsi="Times New Roman" w:cs="Times New Roman"/>
          <w:snapToGrid w:val="0"/>
        </w:rPr>
        <w:t xml:space="preserve"> rūgšties), ir tiems pacientams, kuriems yra nustatytas polinkis kraujuoti.</w:t>
      </w:r>
    </w:p>
    <w:p w14:paraId="283DFFC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D8A0AE8"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Hiponatremija</w:t>
      </w:r>
      <w:proofErr w:type="spellEnd"/>
    </w:p>
    <w:p w14:paraId="63D162C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Buvo pranešta apie </w:t>
      </w:r>
      <w:proofErr w:type="spellStart"/>
      <w:r>
        <w:rPr>
          <w:rFonts w:ascii="Times New Roman" w:eastAsia="Times New Roman" w:hAnsi="Times New Roman" w:cs="Times New Roman"/>
          <w:snapToGrid w:val="0"/>
        </w:rPr>
        <w:t>hiponatremiją</w:t>
      </w:r>
      <w:proofErr w:type="spellEnd"/>
      <w:r>
        <w:rPr>
          <w:rFonts w:ascii="Times New Roman" w:eastAsia="Times New Roman" w:hAnsi="Times New Roman" w:cs="Times New Roman"/>
          <w:snapToGrid w:val="0"/>
        </w:rPr>
        <w:t xml:space="preserve"> vartojant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įskaitant mažesnės kaip 110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 xml:space="preserve">/l natrio koncentracijos serume atvejus. </w:t>
      </w:r>
      <w:proofErr w:type="spellStart"/>
      <w:r>
        <w:rPr>
          <w:rFonts w:ascii="Times New Roman" w:eastAsia="Times New Roman" w:hAnsi="Times New Roman" w:cs="Times New Roman"/>
          <w:snapToGrid w:val="0"/>
        </w:rPr>
        <w:t>Hiponatremija</w:t>
      </w:r>
      <w:proofErr w:type="spellEnd"/>
      <w:r>
        <w:rPr>
          <w:rFonts w:ascii="Times New Roman" w:eastAsia="Times New Roman" w:hAnsi="Times New Roman" w:cs="Times New Roman"/>
          <w:snapToGrid w:val="0"/>
        </w:rPr>
        <w:t xml:space="preserve"> gali atsirasti dėl </w:t>
      </w:r>
      <w:proofErr w:type="spellStart"/>
      <w:r>
        <w:rPr>
          <w:rFonts w:ascii="Times New Roman" w:eastAsia="Times New Roman" w:hAnsi="Times New Roman" w:cs="Times New Roman"/>
          <w:snapToGrid w:val="0"/>
        </w:rPr>
        <w:t>antidiurezinio</w:t>
      </w:r>
      <w:proofErr w:type="spellEnd"/>
      <w:r>
        <w:rPr>
          <w:rFonts w:ascii="Times New Roman" w:eastAsia="Times New Roman" w:hAnsi="Times New Roman" w:cs="Times New Roman"/>
          <w:snapToGrid w:val="0"/>
        </w:rPr>
        <w:t xml:space="preserve"> hormono sutrikusios sekrecijos sindromo (ADHSSS). Dauguma praneštų </w:t>
      </w:r>
      <w:proofErr w:type="spellStart"/>
      <w:r>
        <w:rPr>
          <w:rFonts w:ascii="Times New Roman" w:eastAsia="Times New Roman" w:hAnsi="Times New Roman" w:cs="Times New Roman"/>
          <w:snapToGrid w:val="0"/>
        </w:rPr>
        <w:t>hiponatremijos</w:t>
      </w:r>
      <w:proofErr w:type="spellEnd"/>
      <w:r>
        <w:rPr>
          <w:rFonts w:ascii="Times New Roman" w:eastAsia="Times New Roman" w:hAnsi="Times New Roman" w:cs="Times New Roman"/>
          <w:snapToGrid w:val="0"/>
        </w:rPr>
        <w:t xml:space="preserve"> atvejų pasireiškė senyviems pacientams, ypač kai jiems neseniai buvo pasireiškęs skysčių pusiausvyros organizme sutrikimas arba buvo būklių, skatinančių skysčių pusiausvyros pokyčius. Reikia laikytis atsargumo priemonių gydant pacientus, kuriems yra padidėjusi </w:t>
      </w:r>
      <w:proofErr w:type="spellStart"/>
      <w:r>
        <w:rPr>
          <w:rFonts w:ascii="Times New Roman" w:eastAsia="Times New Roman" w:hAnsi="Times New Roman" w:cs="Times New Roman"/>
          <w:snapToGrid w:val="0"/>
        </w:rPr>
        <w:t>hiponatremijos</w:t>
      </w:r>
      <w:proofErr w:type="spellEnd"/>
      <w:r>
        <w:rPr>
          <w:rFonts w:ascii="Times New Roman" w:eastAsia="Times New Roman" w:hAnsi="Times New Roman" w:cs="Times New Roman"/>
          <w:snapToGrid w:val="0"/>
        </w:rPr>
        <w:t xml:space="preserve"> rizika, pavyzdžiui, senyvus, sergančius kepenų ciroze, patyrusius dehidrataciją arba gydomus diuretikais.</w:t>
      </w:r>
    </w:p>
    <w:p w14:paraId="72C72B28"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DCF8694"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Gydymo nutraukimas</w:t>
      </w:r>
    </w:p>
    <w:p w14:paraId="7D6ACF1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Gydymą nutraukus, ypač staiga, dažnai atsiranda nutraukimo simptomų (žr. 4.8 skyrių). Klinikinių tyrimų metu staigiai nutraukus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vartojimą nepageidaujamų reiškinių atsirado 45 % pacientų, staigiai nutraukus placebo vartojimą − 23 %. SSRI arba SNRI sukeliamų nutraukimo simptomų rizika gali priklausyti nuo kelių veiksnių, įskaitant gydymo trukmę, vartotą dozę ir jos mažinimo greitį. Dažniausiai pasireiškusios reakcijos išvardytos 4.8 skyriuje. Pasireiškę simptomai paprastai būna lengvi arba vidutinio sunkumo, tačiau kai kuriems pacientams jie gali būti sunkūs. Dažniausiai tokių simptomų atsiranda pirmas kelias dienas po gydymo nutraukimo, tačiau labai retais atvejais jų atsirasdavo ir pacientams, kurie netyčia praleisdavo dozę. Paprastai tokie simptomai būna trumpalaikiai ir dažniausiai per 2 savaites išnyksta, tačiau kai kuriems pacientams jie gali išsilaikyti ilgai (2-3 mėn. arba ilgiau). Dėl to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vartojimą patariama nutraukti ne greičiau kaip per 2 savaites palaipsniui mažinant dozę ir atsižvelgiant į paciento būklę (žr. 4.2 skyrių).</w:t>
      </w:r>
    </w:p>
    <w:p w14:paraId="0597210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1DA358D"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Senyvi pacientai</w:t>
      </w:r>
    </w:p>
    <w:p w14:paraId="7B45244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Duomenų apie senyvų žmonių didžiosios depresijos sutrikimų ir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sutrikimo gydymą 120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doze yra mažai. Todėl gydant senyvus pacientus didžiausia doze, reikia paisyti atsargumo priemonių (žr. 4.2 ir 5.2 skyrius).</w:t>
      </w:r>
    </w:p>
    <w:p w14:paraId="268ECC7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F47662C"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Akatizija</w:t>
      </w:r>
      <w:proofErr w:type="spellEnd"/>
      <w:r>
        <w:rPr>
          <w:rFonts w:ascii="Times New Roman" w:eastAsia="Times New Roman" w:hAnsi="Times New Roman" w:cs="Times New Roman"/>
          <w:snapToGrid w:val="0"/>
          <w:u w:val="single"/>
        </w:rPr>
        <w:t xml:space="preserve">, </w:t>
      </w:r>
      <w:proofErr w:type="spellStart"/>
      <w:r>
        <w:rPr>
          <w:rFonts w:ascii="Times New Roman" w:eastAsia="Times New Roman" w:hAnsi="Times New Roman" w:cs="Times New Roman"/>
          <w:snapToGrid w:val="0"/>
          <w:u w:val="single"/>
        </w:rPr>
        <w:t>psichomotorinis</w:t>
      </w:r>
      <w:proofErr w:type="spellEnd"/>
      <w:r>
        <w:rPr>
          <w:rFonts w:ascii="Times New Roman" w:eastAsia="Times New Roman" w:hAnsi="Times New Roman" w:cs="Times New Roman"/>
          <w:snapToGrid w:val="0"/>
          <w:u w:val="single"/>
        </w:rPr>
        <w:t xml:space="preserve"> neramumas</w:t>
      </w:r>
    </w:p>
    <w:p w14:paraId="0127778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vartojimas siejamas su </w:t>
      </w:r>
      <w:proofErr w:type="spellStart"/>
      <w:r>
        <w:rPr>
          <w:rFonts w:ascii="Times New Roman" w:eastAsia="Times New Roman" w:hAnsi="Times New Roman" w:cs="Times New Roman"/>
          <w:snapToGrid w:val="0"/>
        </w:rPr>
        <w:t>akatizijos</w:t>
      </w:r>
      <w:proofErr w:type="spellEnd"/>
      <w:r>
        <w:rPr>
          <w:rFonts w:ascii="Times New Roman" w:eastAsia="Times New Roman" w:hAnsi="Times New Roman" w:cs="Times New Roman"/>
          <w:snapToGrid w:val="0"/>
        </w:rPr>
        <w:t>, pasireiškiančios subjektyviai suvokiamu nemaloniu arba varginančiu neramumu ir poreikiu judėti, kuris dažnai būna susijęs su negalėjimu ramiai sėdėti arba stovėti. Dažniausiai ji tikėtina pirmas gydymo savaites. Jeigu šių simptomų atsiranda, dozės didinimas gali būti kenksmingas paciento sveikatai.</w:t>
      </w:r>
    </w:p>
    <w:p w14:paraId="622081A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41BC6AF"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bookmarkStart w:id="4" w:name="page7"/>
      <w:bookmarkEnd w:id="4"/>
      <w:r>
        <w:rPr>
          <w:rFonts w:ascii="Times New Roman" w:eastAsia="Times New Roman" w:hAnsi="Times New Roman" w:cs="Times New Roman"/>
          <w:snapToGrid w:val="0"/>
          <w:u w:val="single"/>
        </w:rPr>
        <w:t xml:space="preserve">Vaistiniai preparatai, kuriuose yra </w:t>
      </w:r>
      <w:proofErr w:type="spellStart"/>
      <w:r>
        <w:rPr>
          <w:rFonts w:ascii="Times New Roman" w:eastAsia="Times New Roman" w:hAnsi="Times New Roman" w:cs="Times New Roman"/>
          <w:snapToGrid w:val="0"/>
          <w:u w:val="single"/>
        </w:rPr>
        <w:t>duloksetino</w:t>
      </w:r>
      <w:proofErr w:type="spellEnd"/>
    </w:p>
    <w:p w14:paraId="08A1D7A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Skirtingais prekiniais pavadinimais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skiriamas kelioms indikacijoms (skausmo dėl periferinės diabetinės neuropatijos gydymui, didžiosios depresijos sutrikimo gydymui,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sutrikimo gydymui ir šlapimo nelaikymo dėl įtampos gydymui). Negalima vartoti daugiau kaip vieno šių preparatų vienu metu.</w:t>
      </w:r>
    </w:p>
    <w:p w14:paraId="43DBF93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8F48600"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lastRenderedPageBreak/>
        <w:t>Hepatitas bei kepenų fermentų kiekio padidėjimas</w:t>
      </w:r>
    </w:p>
    <w:p w14:paraId="07C591B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Buvo pranešimų apie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vartojimo metu atsiradusį kepenų pažeidimą, įskaitant ryškų kepenų fermentų kiekio padidėjimą (&gt; 10 kartų daugiau normos), hepatitą, geltą (žr. 4.8 skyrių). Dauguma šių reiškinių atsirado pirmaisiais gydymo mėnesiais. Dominavo </w:t>
      </w:r>
      <w:proofErr w:type="spellStart"/>
      <w:r>
        <w:rPr>
          <w:rFonts w:ascii="Times New Roman" w:eastAsia="Times New Roman" w:hAnsi="Times New Roman" w:cs="Times New Roman"/>
          <w:snapToGrid w:val="0"/>
        </w:rPr>
        <w:t>hepatoceliulinis</w:t>
      </w:r>
      <w:proofErr w:type="spellEnd"/>
      <w:r>
        <w:rPr>
          <w:rFonts w:ascii="Times New Roman" w:eastAsia="Times New Roman" w:hAnsi="Times New Roman" w:cs="Times New Roman"/>
          <w:snapToGrid w:val="0"/>
        </w:rPr>
        <w:t xml:space="preserve"> kepenų pažeidimas. Reikia laikytis atsargumo priemonių skiriant </w:t>
      </w:r>
      <w:proofErr w:type="spellStart"/>
      <w:r>
        <w:rPr>
          <w:rFonts w:ascii="Times New Roman" w:eastAsia="Times New Roman" w:hAnsi="Times New Roman" w:cs="Times New Roman"/>
          <w:snapToGrid w:val="0"/>
        </w:rPr>
        <w:t>duloksetiną</w:t>
      </w:r>
      <w:proofErr w:type="spellEnd"/>
      <w:r>
        <w:rPr>
          <w:rFonts w:ascii="Times New Roman" w:eastAsia="Times New Roman" w:hAnsi="Times New Roman" w:cs="Times New Roman"/>
          <w:snapToGrid w:val="0"/>
        </w:rPr>
        <w:t xml:space="preserve"> kartu su kitais siejamais su kepenų pažeidimu vaistiniais preparatais.</w:t>
      </w:r>
    </w:p>
    <w:p w14:paraId="417483B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DED8940"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Lytinės funkcijos sutrikimas</w:t>
      </w:r>
    </w:p>
    <w:p w14:paraId="0CB73591"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Selektyvieji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reabsorbcijos inhibitoriai (SSRI) / </w:t>
      </w:r>
      <w:proofErr w:type="spellStart"/>
      <w:r>
        <w:rPr>
          <w:rFonts w:ascii="Times New Roman" w:eastAsia="Times New Roman" w:hAnsi="Times New Roman" w:cs="Times New Roman"/>
          <w:snapToGrid w:val="0"/>
        </w:rPr>
        <w:t>serotonino-norepinefrino</w:t>
      </w:r>
      <w:proofErr w:type="spellEnd"/>
      <w:r>
        <w:rPr>
          <w:rFonts w:ascii="Times New Roman" w:eastAsia="Times New Roman" w:hAnsi="Times New Roman" w:cs="Times New Roman"/>
          <w:snapToGrid w:val="0"/>
        </w:rPr>
        <w:t xml:space="preserve"> reabsorbcijos inhibitoriai (SNRI) gali sukelti lytinės funkcijos sutrikimo simptomus (žr. 4.8 skyrių). Gauta pranešimų apie ilgalaikį lytinės funkcijos sutrikimą, kurio simptomai išliko nepaisant to, kad gydymas SSRI / SNRI buvo nutrauktas.</w:t>
      </w:r>
    </w:p>
    <w:p w14:paraId="6B8EC2E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ED91AB2"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Sacharozė</w:t>
      </w:r>
    </w:p>
    <w:p w14:paraId="49E210C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skrandyje neiriose kietosiose kapsulėse yra sacharozės. Šio vaistinio preparato negalima vartoti pacientams, kuriems nustatytas retas paveldimas sutrikimas − fruktozės netoleravimas, gliukozės ir </w:t>
      </w:r>
      <w:proofErr w:type="spellStart"/>
      <w:r>
        <w:rPr>
          <w:rFonts w:ascii="Times New Roman" w:eastAsia="Times New Roman" w:hAnsi="Times New Roman" w:cs="Times New Roman"/>
          <w:snapToGrid w:val="0"/>
        </w:rPr>
        <w:t>galaktozės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malabsorbcija</w:t>
      </w:r>
      <w:proofErr w:type="spellEnd"/>
      <w:r>
        <w:rPr>
          <w:rFonts w:ascii="Times New Roman" w:eastAsia="Times New Roman" w:hAnsi="Times New Roman" w:cs="Times New Roman"/>
          <w:snapToGrid w:val="0"/>
        </w:rPr>
        <w:t xml:space="preserve"> arba </w:t>
      </w:r>
      <w:proofErr w:type="spellStart"/>
      <w:r>
        <w:rPr>
          <w:rFonts w:ascii="Times New Roman" w:eastAsia="Times New Roman" w:hAnsi="Times New Roman" w:cs="Times New Roman"/>
          <w:snapToGrid w:val="0"/>
        </w:rPr>
        <w:t>sacharazės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izomaltazės</w:t>
      </w:r>
      <w:proofErr w:type="spellEnd"/>
      <w:r>
        <w:rPr>
          <w:rFonts w:ascii="Times New Roman" w:eastAsia="Times New Roman" w:hAnsi="Times New Roman" w:cs="Times New Roman"/>
          <w:snapToGrid w:val="0"/>
        </w:rPr>
        <w:t xml:space="preserve"> stygius.</w:t>
      </w:r>
    </w:p>
    <w:p w14:paraId="00AA94A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B14EBBC"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4.5</w:t>
      </w:r>
      <w:r>
        <w:rPr>
          <w:rFonts w:ascii="Times New Roman" w:eastAsia="Times New Roman" w:hAnsi="Times New Roman" w:cs="Times New Roman"/>
          <w:b/>
          <w:bCs/>
          <w:snapToGrid w:val="0"/>
          <w:lang w:eastAsia="x-none"/>
        </w:rPr>
        <w:tab/>
        <w:t>Sąveika su kitais vaistiniais preparatais ir kitokia sąveika</w:t>
      </w:r>
    </w:p>
    <w:p w14:paraId="5CA45FD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8FCB612"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Monoaminooksidazės</w:t>
      </w:r>
      <w:proofErr w:type="spellEnd"/>
      <w:r>
        <w:rPr>
          <w:rFonts w:ascii="Times New Roman" w:eastAsia="Times New Roman" w:hAnsi="Times New Roman" w:cs="Times New Roman"/>
          <w:i/>
          <w:iCs/>
          <w:snapToGrid w:val="0"/>
        </w:rPr>
        <w:t xml:space="preserve"> inhibitoriai (MAOI). </w:t>
      </w:r>
      <w:r>
        <w:rPr>
          <w:rFonts w:ascii="Times New Roman" w:eastAsia="Times New Roman" w:hAnsi="Times New Roman" w:cs="Times New Roman"/>
          <w:snapToGrid w:val="0"/>
        </w:rPr>
        <w:t xml:space="preserve">Kadangi yra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sindromo pasireiškimo rizika,</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negalima vartoti kartu su neselektyviaisiais nepraeinančio poveikio </w:t>
      </w:r>
      <w:proofErr w:type="spellStart"/>
      <w:r>
        <w:rPr>
          <w:rFonts w:ascii="Times New Roman" w:eastAsia="Times New Roman" w:hAnsi="Times New Roman" w:cs="Times New Roman"/>
          <w:snapToGrid w:val="0"/>
        </w:rPr>
        <w:t>monoaminooksidazės</w:t>
      </w:r>
      <w:proofErr w:type="spellEnd"/>
      <w:r>
        <w:rPr>
          <w:rFonts w:ascii="Times New Roman" w:eastAsia="Times New Roman" w:hAnsi="Times New Roman" w:cs="Times New Roman"/>
          <w:snapToGrid w:val="0"/>
        </w:rPr>
        <w:t xml:space="preserve"> inhibitoriais (MAOI) ir mažiausiai 14 dienų po jų vartojimo nutraukimo. Remiantis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pusinės eliminacijos laiku, turi praeiti mažiausiai 5 dienos nuo gydymo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nutraukimo iki gydymo MAOI pradžios (žr. 4.3 skyrių).</w:t>
      </w:r>
    </w:p>
    <w:p w14:paraId="01E1AA4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94F3D0A"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vartoti kartu su selektyviaisiais grįžtamojo veikimo MAOI, pavyzdžiui, </w:t>
      </w:r>
      <w:proofErr w:type="spellStart"/>
      <w:r>
        <w:rPr>
          <w:rFonts w:ascii="Times New Roman" w:eastAsia="Times New Roman" w:hAnsi="Times New Roman" w:cs="Times New Roman"/>
          <w:snapToGrid w:val="0"/>
        </w:rPr>
        <w:t>moklobemidu</w:t>
      </w:r>
      <w:proofErr w:type="spellEnd"/>
      <w:r>
        <w:rPr>
          <w:rFonts w:ascii="Times New Roman" w:eastAsia="Times New Roman" w:hAnsi="Times New Roman" w:cs="Times New Roman"/>
          <w:snapToGrid w:val="0"/>
        </w:rPr>
        <w:t xml:space="preserve">, nerekomenduojama (žr. 4.4 skyrių). Antibiotikas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yra neselektyvusis grįžtamojo veikimo MAOI ir jo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gydomiems pacientams vartoti negalima (žr. 4.4 skyrių).</w:t>
      </w:r>
    </w:p>
    <w:p w14:paraId="7FE5862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3581E4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CYP1A2 inhibitoriai.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metabolizmą veikia CYP1A2, todėl tikėtina, kad vartojant </w:t>
      </w:r>
      <w:proofErr w:type="spellStart"/>
      <w:r>
        <w:rPr>
          <w:rFonts w:ascii="Times New Roman" w:eastAsia="Times New Roman" w:hAnsi="Times New Roman" w:cs="Times New Roman"/>
          <w:snapToGrid w:val="0"/>
        </w:rPr>
        <w:t>duloksetiną</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kartu su stipriais CYP1A2 inhibitoriais, padidės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koncentracijos. Stiprus CYP1A2 inhibitorius </w:t>
      </w:r>
      <w:proofErr w:type="spellStart"/>
      <w:r>
        <w:rPr>
          <w:rFonts w:ascii="Times New Roman" w:eastAsia="Times New Roman" w:hAnsi="Times New Roman" w:cs="Times New Roman"/>
          <w:snapToGrid w:val="0"/>
        </w:rPr>
        <w:t>fluvoksaminas</w:t>
      </w:r>
      <w:proofErr w:type="spellEnd"/>
      <w:r>
        <w:rPr>
          <w:rFonts w:ascii="Times New Roman" w:eastAsia="Times New Roman" w:hAnsi="Times New Roman" w:cs="Times New Roman"/>
          <w:snapToGrid w:val="0"/>
        </w:rPr>
        <w:t xml:space="preserve"> (100 mg vieną kartą per parą) sumažino menamą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klirensą iš plazmos maždaug 77 % ir 6 kartus padidino </w:t>
      </w:r>
      <w:r>
        <w:rPr>
          <w:rFonts w:ascii="Times New Roman" w:eastAsia="Times New Roman" w:hAnsi="Times New Roman" w:cs="Times New Roman"/>
          <w:i/>
          <w:iCs/>
          <w:snapToGrid w:val="0"/>
        </w:rPr>
        <w:t>AUC</w:t>
      </w:r>
      <w:r>
        <w:rPr>
          <w:rFonts w:ascii="Times New Roman" w:eastAsia="Times New Roman" w:hAnsi="Times New Roman" w:cs="Times New Roman"/>
          <w:i/>
          <w:iCs/>
          <w:snapToGrid w:val="0"/>
          <w:vertAlign w:val="subscript"/>
        </w:rPr>
        <w:t>0-t</w:t>
      </w:r>
      <w:r>
        <w:rPr>
          <w:rFonts w:ascii="Times New Roman" w:eastAsia="Times New Roman" w:hAnsi="Times New Roman" w:cs="Times New Roman"/>
          <w:snapToGrid w:val="0"/>
        </w:rPr>
        <w:t xml:space="preserve">. Todėl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negalima vartoti kartu su stipriais CYP1A2 inhibitoriais, pavyzdžiui, </w:t>
      </w:r>
      <w:proofErr w:type="spellStart"/>
      <w:r>
        <w:rPr>
          <w:rFonts w:ascii="Times New Roman" w:eastAsia="Times New Roman" w:hAnsi="Times New Roman" w:cs="Times New Roman"/>
          <w:snapToGrid w:val="0"/>
        </w:rPr>
        <w:t>fluvoksaminu</w:t>
      </w:r>
      <w:proofErr w:type="spellEnd"/>
      <w:r>
        <w:rPr>
          <w:rFonts w:ascii="Times New Roman" w:eastAsia="Times New Roman" w:hAnsi="Times New Roman" w:cs="Times New Roman"/>
          <w:snapToGrid w:val="0"/>
        </w:rPr>
        <w:t xml:space="preserve"> (žr. 4.3 skyrių).</w:t>
      </w:r>
    </w:p>
    <w:p w14:paraId="068F0FF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964661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CNS veikiantys vaistiniai preparatai.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vartojimo kartu su kitais CNS veikiančiais vaistiniais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preparatais rizika nebuvo sistemiškai įvertinta, išskyrus atvejus, aprašytus šiame skyriuje. Todėl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vartoti kartu su kitais centrinę nervų sistemą veikiančiais vaistiniais preparatais ar medžiagomis, įskaitant alkoholį ir </w:t>
      </w:r>
      <w:proofErr w:type="spellStart"/>
      <w:r>
        <w:rPr>
          <w:rFonts w:ascii="Times New Roman" w:eastAsia="Times New Roman" w:hAnsi="Times New Roman" w:cs="Times New Roman"/>
          <w:snapToGrid w:val="0"/>
        </w:rPr>
        <w:t>sedaciją</w:t>
      </w:r>
      <w:proofErr w:type="spellEnd"/>
      <w:r>
        <w:rPr>
          <w:rFonts w:ascii="Times New Roman" w:eastAsia="Times New Roman" w:hAnsi="Times New Roman" w:cs="Times New Roman"/>
          <w:snapToGrid w:val="0"/>
        </w:rPr>
        <w:t xml:space="preserve"> sukeliančius vaistinius preparatus (pvz.: benzodiazepinus, </w:t>
      </w:r>
      <w:proofErr w:type="spellStart"/>
      <w:r>
        <w:rPr>
          <w:rFonts w:ascii="Times New Roman" w:eastAsia="Times New Roman" w:hAnsi="Times New Roman" w:cs="Times New Roman"/>
          <w:snapToGrid w:val="0"/>
        </w:rPr>
        <w:t>morfinomimetikus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antipsichozinius</w:t>
      </w:r>
      <w:proofErr w:type="spellEnd"/>
      <w:r>
        <w:rPr>
          <w:rFonts w:ascii="Times New Roman" w:eastAsia="Times New Roman" w:hAnsi="Times New Roman" w:cs="Times New Roman"/>
          <w:snapToGrid w:val="0"/>
        </w:rPr>
        <w:t xml:space="preserve"> vaistinius preparatus, </w:t>
      </w:r>
      <w:proofErr w:type="spellStart"/>
      <w:r>
        <w:rPr>
          <w:rFonts w:ascii="Times New Roman" w:eastAsia="Times New Roman" w:hAnsi="Times New Roman" w:cs="Times New Roman"/>
          <w:snapToGrid w:val="0"/>
        </w:rPr>
        <w:t>fenobarbitalį</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sedaciją</w:t>
      </w:r>
      <w:proofErr w:type="spellEnd"/>
      <w:r>
        <w:rPr>
          <w:rFonts w:ascii="Times New Roman" w:eastAsia="Times New Roman" w:hAnsi="Times New Roman" w:cs="Times New Roman"/>
          <w:snapToGrid w:val="0"/>
        </w:rPr>
        <w:t xml:space="preserve"> sukeliančius </w:t>
      </w:r>
      <w:proofErr w:type="spellStart"/>
      <w:r>
        <w:rPr>
          <w:rFonts w:ascii="Times New Roman" w:eastAsia="Times New Roman" w:hAnsi="Times New Roman" w:cs="Times New Roman"/>
          <w:snapToGrid w:val="0"/>
        </w:rPr>
        <w:t>antihistamininius</w:t>
      </w:r>
      <w:proofErr w:type="spellEnd"/>
      <w:r>
        <w:rPr>
          <w:rFonts w:ascii="Times New Roman" w:eastAsia="Times New Roman" w:hAnsi="Times New Roman" w:cs="Times New Roman"/>
          <w:snapToGrid w:val="0"/>
        </w:rPr>
        <w:t xml:space="preserve"> preparatus), rekomenduojama atsargiai.</w:t>
      </w:r>
    </w:p>
    <w:p w14:paraId="5BACBD98"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CF25021"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Serotoninerginiai</w:t>
      </w:r>
      <w:proofErr w:type="spellEnd"/>
      <w:r>
        <w:rPr>
          <w:rFonts w:ascii="Times New Roman" w:eastAsia="Times New Roman" w:hAnsi="Times New Roman" w:cs="Times New Roman"/>
          <w:i/>
          <w:iCs/>
          <w:snapToGrid w:val="0"/>
        </w:rPr>
        <w:t xml:space="preserve"> vaistiniai preparatai. </w:t>
      </w:r>
      <w:r>
        <w:rPr>
          <w:rFonts w:ascii="Times New Roman" w:eastAsia="Times New Roman" w:hAnsi="Times New Roman" w:cs="Times New Roman"/>
          <w:snapToGrid w:val="0"/>
        </w:rPr>
        <w:t xml:space="preserve">Buvo pranešta apie retus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sindromo atvejus pacientams,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kurie vartojo SSRI ar SNRI kartu su </w:t>
      </w:r>
      <w:proofErr w:type="spellStart"/>
      <w:r>
        <w:rPr>
          <w:rFonts w:ascii="Times New Roman" w:eastAsia="Times New Roman" w:hAnsi="Times New Roman" w:cs="Times New Roman"/>
          <w:snapToGrid w:val="0"/>
        </w:rPr>
        <w:t>serotoninerginiais</w:t>
      </w:r>
      <w:proofErr w:type="spellEnd"/>
      <w:r>
        <w:rPr>
          <w:rFonts w:ascii="Times New Roman" w:eastAsia="Times New Roman" w:hAnsi="Times New Roman" w:cs="Times New Roman"/>
          <w:snapToGrid w:val="0"/>
        </w:rPr>
        <w:t xml:space="preserve"> vaistiniais preparatais. Patartina atsargiai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kartu su </w:t>
      </w:r>
      <w:proofErr w:type="spellStart"/>
      <w:r>
        <w:rPr>
          <w:rFonts w:ascii="Times New Roman" w:eastAsia="Times New Roman" w:hAnsi="Times New Roman" w:cs="Times New Roman"/>
          <w:snapToGrid w:val="0"/>
        </w:rPr>
        <w:t>serotoninerginiais</w:t>
      </w:r>
      <w:proofErr w:type="spellEnd"/>
      <w:r>
        <w:rPr>
          <w:rFonts w:ascii="Times New Roman" w:eastAsia="Times New Roman" w:hAnsi="Times New Roman" w:cs="Times New Roman"/>
          <w:snapToGrid w:val="0"/>
        </w:rPr>
        <w:t xml:space="preserve"> vaistiniais preparatais (pvz.: SSRI, SNRI, </w:t>
      </w:r>
      <w:proofErr w:type="spellStart"/>
      <w:r>
        <w:rPr>
          <w:rFonts w:ascii="Times New Roman" w:eastAsia="Times New Roman" w:hAnsi="Times New Roman" w:cs="Times New Roman"/>
          <w:snapToGrid w:val="0"/>
        </w:rPr>
        <w:t>tricikliais</w:t>
      </w:r>
      <w:proofErr w:type="spellEnd"/>
      <w:r>
        <w:rPr>
          <w:rFonts w:ascii="Times New Roman" w:eastAsia="Times New Roman" w:hAnsi="Times New Roman" w:cs="Times New Roman"/>
          <w:snapToGrid w:val="0"/>
        </w:rPr>
        <w:t xml:space="preserve"> antidepresantais [tokiais kaip </w:t>
      </w:r>
      <w:proofErr w:type="spellStart"/>
      <w:r>
        <w:rPr>
          <w:rFonts w:ascii="Times New Roman" w:eastAsia="Times New Roman" w:hAnsi="Times New Roman" w:cs="Times New Roman"/>
          <w:snapToGrid w:val="0"/>
        </w:rPr>
        <w:t>klomipraminas</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amitriptilinas</w:t>
      </w:r>
      <w:proofErr w:type="spellEnd"/>
      <w:r>
        <w:rPr>
          <w:rFonts w:ascii="Times New Roman" w:eastAsia="Times New Roman" w:hAnsi="Times New Roman" w:cs="Times New Roman"/>
          <w:snapToGrid w:val="0"/>
        </w:rPr>
        <w:t xml:space="preserve">], MAOI [tokiais kaip </w:t>
      </w:r>
      <w:proofErr w:type="spellStart"/>
      <w:r>
        <w:rPr>
          <w:rFonts w:ascii="Times New Roman" w:eastAsia="Times New Roman" w:hAnsi="Times New Roman" w:cs="Times New Roman"/>
          <w:snapToGrid w:val="0"/>
        </w:rPr>
        <w:t>moklobemidas</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jonažolės [</w:t>
      </w:r>
      <w:proofErr w:type="spellStart"/>
      <w:r>
        <w:rPr>
          <w:rFonts w:ascii="Times New Roman" w:eastAsia="Times New Roman" w:hAnsi="Times New Roman" w:cs="Times New Roman"/>
          <w:i/>
          <w:iCs/>
          <w:snapToGrid w:val="0"/>
        </w:rPr>
        <w:t>Hypericum</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perforatum</w:t>
      </w:r>
      <w:proofErr w:type="spellEnd"/>
      <w:r>
        <w:rPr>
          <w:rFonts w:ascii="Times New Roman" w:eastAsia="Times New Roman" w:hAnsi="Times New Roman" w:cs="Times New Roman"/>
          <w:snapToGrid w:val="0"/>
        </w:rPr>
        <w:t xml:space="preserve">] preparatais arba </w:t>
      </w:r>
      <w:proofErr w:type="spellStart"/>
      <w:r>
        <w:rPr>
          <w:rFonts w:ascii="Times New Roman" w:eastAsia="Times New Roman" w:hAnsi="Times New Roman" w:cs="Times New Roman"/>
          <w:snapToGrid w:val="0"/>
        </w:rPr>
        <w:t>triptanais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tramadoliu</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petidinu</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triptofanu</w:t>
      </w:r>
      <w:proofErr w:type="spellEnd"/>
      <w:r>
        <w:rPr>
          <w:rFonts w:ascii="Times New Roman" w:eastAsia="Times New Roman" w:hAnsi="Times New Roman" w:cs="Times New Roman"/>
          <w:snapToGrid w:val="0"/>
        </w:rPr>
        <w:t>) (žr. 4.4 skyrių).</w:t>
      </w:r>
    </w:p>
    <w:p w14:paraId="46F8C8A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13646CB" w14:textId="77777777" w:rsidR="00D60365" w:rsidRDefault="00C12095">
      <w:pPr>
        <w:widowControl w:val="0"/>
        <w:tabs>
          <w:tab w:val="left" w:pos="567"/>
        </w:tabs>
        <w:spacing w:after="0" w:line="240" w:lineRule="auto"/>
        <w:rPr>
          <w:rFonts w:ascii="Times New Roman" w:eastAsia="Times New Roman" w:hAnsi="Times New Roman" w:cs="Times New Roman"/>
          <w:i/>
          <w:snapToGrid w:val="0"/>
        </w:rPr>
      </w:pPr>
      <w:bookmarkStart w:id="5" w:name="page8"/>
      <w:bookmarkEnd w:id="5"/>
      <w:proofErr w:type="spellStart"/>
      <w:r>
        <w:rPr>
          <w:rFonts w:ascii="Times New Roman" w:eastAsia="Times New Roman" w:hAnsi="Times New Roman" w:cs="Times New Roman"/>
          <w:i/>
          <w:iCs/>
          <w:snapToGrid w:val="0"/>
        </w:rPr>
        <w:t>Duloksetino</w:t>
      </w:r>
      <w:proofErr w:type="spellEnd"/>
      <w:r>
        <w:rPr>
          <w:rFonts w:ascii="Times New Roman" w:eastAsia="Times New Roman" w:hAnsi="Times New Roman" w:cs="Times New Roman"/>
          <w:i/>
          <w:iCs/>
          <w:snapToGrid w:val="0"/>
        </w:rPr>
        <w:t xml:space="preserve"> įtaka kitiems vaistiniams preparatams</w:t>
      </w:r>
    </w:p>
    <w:p w14:paraId="2A46C652"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CYP1A2 </w:t>
      </w:r>
      <w:proofErr w:type="spellStart"/>
      <w:r>
        <w:rPr>
          <w:rFonts w:ascii="Times New Roman" w:eastAsia="Times New Roman" w:hAnsi="Times New Roman" w:cs="Times New Roman"/>
          <w:i/>
          <w:iCs/>
          <w:snapToGrid w:val="0"/>
        </w:rPr>
        <w:t>metabolizuojami</w:t>
      </w:r>
      <w:proofErr w:type="spellEnd"/>
      <w:r>
        <w:rPr>
          <w:rFonts w:ascii="Times New Roman" w:eastAsia="Times New Roman" w:hAnsi="Times New Roman" w:cs="Times New Roman"/>
          <w:i/>
          <w:iCs/>
          <w:snapToGrid w:val="0"/>
        </w:rPr>
        <w:t xml:space="preserve"> vaistai. </w:t>
      </w:r>
      <w:proofErr w:type="spellStart"/>
      <w:r>
        <w:rPr>
          <w:rFonts w:ascii="Times New Roman" w:eastAsia="Times New Roman" w:hAnsi="Times New Roman" w:cs="Times New Roman"/>
          <w:snapToGrid w:val="0"/>
        </w:rPr>
        <w:t>Teofilino</w:t>
      </w:r>
      <w:proofErr w:type="spellEnd"/>
      <w:r>
        <w:rPr>
          <w:rFonts w:ascii="Times New Roman" w:eastAsia="Times New Roman" w:hAnsi="Times New Roman" w:cs="Times New Roman"/>
          <w:snapToGrid w:val="0"/>
        </w:rPr>
        <w:t xml:space="preserve"> – CYP1A2 substrato – farmakokinetikos kartu skiriamas</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(60 mg du kartus per parą) smarkiai nepaveikė.</w:t>
      </w:r>
    </w:p>
    <w:p w14:paraId="7832F2D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CYP2D6 </w:t>
      </w:r>
      <w:proofErr w:type="spellStart"/>
      <w:r>
        <w:rPr>
          <w:rFonts w:ascii="Times New Roman" w:eastAsia="Times New Roman" w:hAnsi="Times New Roman" w:cs="Times New Roman"/>
          <w:i/>
          <w:iCs/>
          <w:snapToGrid w:val="0"/>
        </w:rPr>
        <w:t>metabolizuojami</w:t>
      </w:r>
      <w:proofErr w:type="spellEnd"/>
      <w:r>
        <w:rPr>
          <w:rFonts w:ascii="Times New Roman" w:eastAsia="Times New Roman" w:hAnsi="Times New Roman" w:cs="Times New Roman"/>
          <w:i/>
          <w:iCs/>
          <w:snapToGrid w:val="0"/>
        </w:rPr>
        <w:t xml:space="preserve"> preparatai.</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yra vidutinio stiprumo CYP 2D6 inhibitorius. Kartu</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su 2 kartus per parą vartojama 60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doze išgėrus vieną CYP 2D6 substrato </w:t>
      </w:r>
      <w:proofErr w:type="spellStart"/>
      <w:r>
        <w:rPr>
          <w:rFonts w:ascii="Times New Roman" w:eastAsia="Times New Roman" w:hAnsi="Times New Roman" w:cs="Times New Roman"/>
          <w:snapToGrid w:val="0"/>
        </w:rPr>
        <w:t>dezipramino</w:t>
      </w:r>
      <w:proofErr w:type="spellEnd"/>
      <w:r>
        <w:rPr>
          <w:rFonts w:ascii="Times New Roman" w:eastAsia="Times New Roman" w:hAnsi="Times New Roman" w:cs="Times New Roman"/>
          <w:snapToGrid w:val="0"/>
        </w:rPr>
        <w:t xml:space="preserve"> dozę, pastarojo preparato </w:t>
      </w:r>
      <w:r>
        <w:rPr>
          <w:rFonts w:ascii="Times New Roman" w:eastAsia="Times New Roman" w:hAnsi="Times New Roman" w:cs="Times New Roman"/>
          <w:i/>
          <w:iCs/>
          <w:snapToGrid w:val="0"/>
        </w:rPr>
        <w:t>AUC</w:t>
      </w:r>
      <w:r>
        <w:rPr>
          <w:rFonts w:ascii="Times New Roman" w:eastAsia="Times New Roman" w:hAnsi="Times New Roman" w:cs="Times New Roman"/>
          <w:snapToGrid w:val="0"/>
        </w:rPr>
        <w:t xml:space="preserve"> padidėjo 3 kartus.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(40 mg du kartus per parą), skiriamas kartu su </w:t>
      </w:r>
      <w:proofErr w:type="spellStart"/>
      <w:r>
        <w:rPr>
          <w:rFonts w:ascii="Times New Roman" w:eastAsia="Times New Roman" w:hAnsi="Times New Roman" w:cs="Times New Roman"/>
          <w:snapToGrid w:val="0"/>
        </w:rPr>
        <w:t>tolterodinu</w:t>
      </w:r>
      <w:proofErr w:type="spellEnd"/>
      <w:r>
        <w:rPr>
          <w:rFonts w:ascii="Times New Roman" w:eastAsia="Times New Roman" w:hAnsi="Times New Roman" w:cs="Times New Roman"/>
          <w:snapToGrid w:val="0"/>
        </w:rPr>
        <w:t xml:space="preserve"> (2 mg du kartus per parą), padidina 71 % pastarojo </w:t>
      </w:r>
      <w:proofErr w:type="spellStart"/>
      <w:r>
        <w:rPr>
          <w:rFonts w:ascii="Times New Roman" w:eastAsia="Times New Roman" w:hAnsi="Times New Roman" w:cs="Times New Roman"/>
          <w:snapToGrid w:val="0"/>
        </w:rPr>
        <w:lastRenderedPageBreak/>
        <w:t>pusiausvyrinės</w:t>
      </w:r>
      <w:proofErr w:type="spellEnd"/>
      <w:r>
        <w:rPr>
          <w:rFonts w:ascii="Times New Roman" w:eastAsia="Times New Roman" w:hAnsi="Times New Roman" w:cs="Times New Roman"/>
          <w:snapToGrid w:val="0"/>
        </w:rPr>
        <w:t xml:space="preserve"> koncentracijos </w:t>
      </w:r>
      <w:r>
        <w:rPr>
          <w:rFonts w:ascii="Times New Roman" w:eastAsia="Times New Roman" w:hAnsi="Times New Roman" w:cs="Times New Roman"/>
          <w:i/>
          <w:iCs/>
          <w:snapToGrid w:val="0"/>
        </w:rPr>
        <w:t>AUC</w:t>
      </w:r>
      <w:r>
        <w:rPr>
          <w:rFonts w:ascii="Times New Roman" w:eastAsia="Times New Roman" w:hAnsi="Times New Roman" w:cs="Times New Roman"/>
          <w:snapToGrid w:val="0"/>
        </w:rPr>
        <w:t xml:space="preserve">, tačiau neveikia jo aktyvaus 5-hidroksilinto metabolito farmakokinetikos, todėl dozės koreguoti nerekomenduojama. Patartina atsargiai skirti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kartu su medikamentais, kuriuos daugiausia </w:t>
      </w:r>
      <w:proofErr w:type="spellStart"/>
      <w:r>
        <w:rPr>
          <w:rFonts w:ascii="Times New Roman" w:eastAsia="Times New Roman" w:hAnsi="Times New Roman" w:cs="Times New Roman"/>
          <w:snapToGrid w:val="0"/>
        </w:rPr>
        <w:t>metabolizuoja</w:t>
      </w:r>
      <w:proofErr w:type="spellEnd"/>
      <w:r>
        <w:rPr>
          <w:rFonts w:ascii="Times New Roman" w:eastAsia="Times New Roman" w:hAnsi="Times New Roman" w:cs="Times New Roman"/>
          <w:snapToGrid w:val="0"/>
        </w:rPr>
        <w:t xml:space="preserve"> CYP2D6 (</w:t>
      </w:r>
      <w:proofErr w:type="spellStart"/>
      <w:r>
        <w:rPr>
          <w:rFonts w:ascii="Times New Roman" w:eastAsia="Times New Roman" w:hAnsi="Times New Roman" w:cs="Times New Roman"/>
          <w:snapToGrid w:val="0"/>
        </w:rPr>
        <w:t>risperidonu</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tricikliais</w:t>
      </w:r>
      <w:proofErr w:type="spellEnd"/>
      <w:r>
        <w:rPr>
          <w:rFonts w:ascii="Times New Roman" w:eastAsia="Times New Roman" w:hAnsi="Times New Roman" w:cs="Times New Roman"/>
          <w:snapToGrid w:val="0"/>
        </w:rPr>
        <w:t xml:space="preserve"> antidepresantais, pvz., </w:t>
      </w:r>
      <w:proofErr w:type="spellStart"/>
      <w:r>
        <w:rPr>
          <w:rFonts w:ascii="Times New Roman" w:eastAsia="Times New Roman" w:hAnsi="Times New Roman" w:cs="Times New Roman"/>
          <w:snapToGrid w:val="0"/>
        </w:rPr>
        <w:t>nortriptilinu</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amitriptilinu</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imipraminu</w:t>
      </w:r>
      <w:proofErr w:type="spellEnd"/>
      <w:r>
        <w:rPr>
          <w:rFonts w:ascii="Times New Roman" w:eastAsia="Times New Roman" w:hAnsi="Times New Roman" w:cs="Times New Roman"/>
          <w:snapToGrid w:val="0"/>
        </w:rPr>
        <w:t xml:space="preserve">), ypač tais, kurių siauras terapinis indeksas (pvz., </w:t>
      </w:r>
      <w:proofErr w:type="spellStart"/>
      <w:r>
        <w:rPr>
          <w:rFonts w:ascii="Times New Roman" w:eastAsia="Times New Roman" w:hAnsi="Times New Roman" w:cs="Times New Roman"/>
          <w:snapToGrid w:val="0"/>
        </w:rPr>
        <w:t>flekainidu</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propafenonu</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metoprololiu</w:t>
      </w:r>
      <w:proofErr w:type="spellEnd"/>
      <w:r>
        <w:rPr>
          <w:rFonts w:ascii="Times New Roman" w:eastAsia="Times New Roman" w:hAnsi="Times New Roman" w:cs="Times New Roman"/>
          <w:snapToGrid w:val="0"/>
        </w:rPr>
        <w:t>).</w:t>
      </w:r>
    </w:p>
    <w:p w14:paraId="559AB45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B04404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Geriamieji kontraceptikai ir kiti steroidiniai preparatai</w:t>
      </w:r>
      <w:r>
        <w:rPr>
          <w:rFonts w:ascii="Times New Roman" w:eastAsia="Times New Roman" w:hAnsi="Times New Roman" w:cs="Times New Roman"/>
          <w:snapToGrid w:val="0"/>
        </w:rPr>
        <w:t>. Tyrimų</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vitro</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rezultatai rodo, kad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neskatina katalizinio CYP3A aktyvumo. Specifinių vaistų sąveikos tyrimų </w:t>
      </w: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vivo</w:t>
      </w:r>
      <w:proofErr w:type="spellEnd"/>
      <w:r>
        <w:rPr>
          <w:rFonts w:ascii="Times New Roman" w:eastAsia="Times New Roman" w:hAnsi="Times New Roman" w:cs="Times New Roman"/>
          <w:snapToGrid w:val="0"/>
        </w:rPr>
        <w:t xml:space="preserve"> nebuvo atlikta.</w:t>
      </w:r>
    </w:p>
    <w:p w14:paraId="5D23784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4CA1F60"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Antikoaguliantai ir </w:t>
      </w:r>
      <w:proofErr w:type="spellStart"/>
      <w:r>
        <w:rPr>
          <w:rFonts w:ascii="Times New Roman" w:eastAsia="Times New Roman" w:hAnsi="Times New Roman" w:cs="Times New Roman"/>
          <w:i/>
          <w:iCs/>
          <w:snapToGrid w:val="0"/>
        </w:rPr>
        <w:t>antitrombocitiniai</w:t>
      </w:r>
      <w:proofErr w:type="spellEnd"/>
      <w:r>
        <w:rPr>
          <w:rFonts w:ascii="Times New Roman" w:eastAsia="Times New Roman" w:hAnsi="Times New Roman" w:cs="Times New Roman"/>
          <w:i/>
          <w:iCs/>
          <w:snapToGrid w:val="0"/>
        </w:rPr>
        <w:t xml:space="preserve"> vaistiniai preparatai.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kartu su geriamaisiais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antikoaguliantais arba </w:t>
      </w:r>
      <w:proofErr w:type="spellStart"/>
      <w:r>
        <w:rPr>
          <w:rFonts w:ascii="Times New Roman" w:eastAsia="Times New Roman" w:hAnsi="Times New Roman" w:cs="Times New Roman"/>
          <w:snapToGrid w:val="0"/>
        </w:rPr>
        <w:t>antitrombocitiniais</w:t>
      </w:r>
      <w:proofErr w:type="spellEnd"/>
      <w:r>
        <w:rPr>
          <w:rFonts w:ascii="Times New Roman" w:eastAsia="Times New Roman" w:hAnsi="Times New Roman" w:cs="Times New Roman"/>
          <w:snapToGrid w:val="0"/>
        </w:rPr>
        <w:t xml:space="preserve"> preparatais reikia gydyti atsargiai, kadangi gali padidėti kraujavimo rizika, paaiškinama </w:t>
      </w:r>
      <w:proofErr w:type="spellStart"/>
      <w:r>
        <w:rPr>
          <w:rFonts w:ascii="Times New Roman" w:eastAsia="Times New Roman" w:hAnsi="Times New Roman" w:cs="Times New Roman"/>
          <w:snapToGrid w:val="0"/>
        </w:rPr>
        <w:t>farmakodinamine</w:t>
      </w:r>
      <w:proofErr w:type="spellEnd"/>
      <w:r>
        <w:rPr>
          <w:rFonts w:ascii="Times New Roman" w:eastAsia="Times New Roman" w:hAnsi="Times New Roman" w:cs="Times New Roman"/>
          <w:snapToGrid w:val="0"/>
        </w:rPr>
        <w:t xml:space="preserve"> sąveika. Be to, pacientus gydant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ir kartu varfarinu, buvo TNS padidėjimo atvejų. Tačiau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skiriant kartu su varfarinu sveikiems savanoriams klinikinio farmakologinio poveikio tyrimo metu, kai kraujyje nusistovi </w:t>
      </w:r>
      <w:proofErr w:type="spellStart"/>
      <w:r>
        <w:rPr>
          <w:rFonts w:ascii="Times New Roman" w:eastAsia="Times New Roman" w:hAnsi="Times New Roman" w:cs="Times New Roman"/>
          <w:snapToGrid w:val="0"/>
        </w:rPr>
        <w:t>pusiausvyrinė</w:t>
      </w:r>
      <w:proofErr w:type="spellEnd"/>
      <w:r>
        <w:rPr>
          <w:rFonts w:ascii="Times New Roman" w:eastAsia="Times New Roman" w:hAnsi="Times New Roman" w:cs="Times New Roman"/>
          <w:snapToGrid w:val="0"/>
        </w:rPr>
        <w:t xml:space="preserve"> koncentracija, kliniškai svarbių TNS pokyčių nuo normos, ar R- ar S- varfarino farmakokinetikos pokyčių nenustatyta.</w:t>
      </w:r>
    </w:p>
    <w:p w14:paraId="492268B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817E8DB" w14:textId="77777777" w:rsidR="00D60365" w:rsidRDefault="00C12095">
      <w:pPr>
        <w:widowControl w:val="0"/>
        <w:tabs>
          <w:tab w:val="left" w:pos="567"/>
        </w:tabs>
        <w:spacing w:after="0" w:line="240" w:lineRule="auto"/>
        <w:rPr>
          <w:rFonts w:ascii="Times New Roman" w:eastAsia="Times New Roman" w:hAnsi="Times New Roman" w:cs="Times New Roman"/>
          <w:snapToGrid w:val="0"/>
          <w:lang w:val="pt-PT"/>
        </w:rPr>
      </w:pPr>
      <w:r>
        <w:rPr>
          <w:rFonts w:ascii="Times New Roman" w:eastAsia="Times New Roman" w:hAnsi="Times New Roman" w:cs="Times New Roman"/>
          <w:i/>
          <w:iCs/>
          <w:snapToGrid w:val="0"/>
        </w:rPr>
        <w:t xml:space="preserve">Kitų vaistinių preparatų įtaka </w:t>
      </w:r>
      <w:proofErr w:type="spellStart"/>
      <w:r>
        <w:rPr>
          <w:rFonts w:ascii="Times New Roman" w:eastAsia="Times New Roman" w:hAnsi="Times New Roman" w:cs="Times New Roman"/>
          <w:i/>
          <w:iCs/>
          <w:snapToGrid w:val="0"/>
        </w:rPr>
        <w:t>duloksetinui</w:t>
      </w:r>
      <w:proofErr w:type="spellEnd"/>
    </w:p>
    <w:p w14:paraId="584CF21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Antacidiniai</w:t>
      </w:r>
      <w:proofErr w:type="spellEnd"/>
      <w:r>
        <w:rPr>
          <w:rFonts w:ascii="Times New Roman" w:eastAsia="Times New Roman" w:hAnsi="Times New Roman" w:cs="Times New Roman"/>
          <w:i/>
          <w:iCs/>
          <w:snapToGrid w:val="0"/>
        </w:rPr>
        <w:t xml:space="preserve"> vaistai ir H</w:t>
      </w:r>
      <w:r>
        <w:rPr>
          <w:rFonts w:ascii="Times New Roman" w:eastAsia="Times New Roman" w:hAnsi="Times New Roman" w:cs="Times New Roman"/>
          <w:i/>
          <w:iCs/>
          <w:snapToGrid w:val="0"/>
          <w:vertAlign w:val="subscript"/>
        </w:rPr>
        <w:t>2</w:t>
      </w:r>
      <w:r>
        <w:rPr>
          <w:rFonts w:ascii="Times New Roman" w:eastAsia="Times New Roman" w:hAnsi="Times New Roman" w:cs="Times New Roman"/>
          <w:i/>
          <w:iCs/>
          <w:snapToGrid w:val="0"/>
        </w:rPr>
        <w:t xml:space="preserve"> blokatoriai.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skyrimas kartu su </w:t>
      </w:r>
      <w:proofErr w:type="spellStart"/>
      <w:r>
        <w:rPr>
          <w:rFonts w:ascii="Times New Roman" w:eastAsia="Times New Roman" w:hAnsi="Times New Roman" w:cs="Times New Roman"/>
          <w:snapToGrid w:val="0"/>
        </w:rPr>
        <w:t>antacidiniais</w:t>
      </w:r>
      <w:proofErr w:type="spellEnd"/>
      <w:r>
        <w:rPr>
          <w:rFonts w:ascii="Times New Roman" w:eastAsia="Times New Roman" w:hAnsi="Times New Roman" w:cs="Times New Roman"/>
          <w:snapToGrid w:val="0"/>
        </w:rPr>
        <w:t xml:space="preserve"> preparatais, kurių</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sudėtyje yra aliuminio ir magnio bei su </w:t>
      </w:r>
      <w:proofErr w:type="spellStart"/>
      <w:r>
        <w:rPr>
          <w:rFonts w:ascii="Times New Roman" w:eastAsia="Times New Roman" w:hAnsi="Times New Roman" w:cs="Times New Roman"/>
          <w:snapToGrid w:val="0"/>
        </w:rPr>
        <w:t>famotidinu</w:t>
      </w:r>
      <w:proofErr w:type="spellEnd"/>
      <w:r>
        <w:rPr>
          <w:rFonts w:ascii="Times New Roman" w:eastAsia="Times New Roman" w:hAnsi="Times New Roman" w:cs="Times New Roman"/>
          <w:snapToGrid w:val="0"/>
        </w:rPr>
        <w:t xml:space="preserve"> neturėjo žymaus poveikio išgerto 40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rezorbcijos</w:t>
      </w:r>
      <w:proofErr w:type="spellEnd"/>
      <w:r>
        <w:rPr>
          <w:rFonts w:ascii="Times New Roman" w:eastAsia="Times New Roman" w:hAnsi="Times New Roman" w:cs="Times New Roman"/>
          <w:snapToGrid w:val="0"/>
        </w:rPr>
        <w:t xml:space="preserve"> greičiui ir apimčiai.</w:t>
      </w:r>
    </w:p>
    <w:p w14:paraId="1AF183E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E5EEDD2"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CYP1A2 </w:t>
      </w:r>
      <w:proofErr w:type="spellStart"/>
      <w:r>
        <w:rPr>
          <w:rFonts w:ascii="Times New Roman" w:eastAsia="Times New Roman" w:hAnsi="Times New Roman" w:cs="Times New Roman"/>
          <w:i/>
          <w:iCs/>
          <w:snapToGrid w:val="0"/>
        </w:rPr>
        <w:t>induktoriai</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Populiacijos farmakokinetikos tyrimų analizė parodė, kad rūkalių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koncentracija kraujo plazmoje yra beveik 50 % mažesnė nei nerūkančių asmenų.</w:t>
      </w:r>
    </w:p>
    <w:p w14:paraId="5AD6592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C26C1B2"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4.6</w:t>
      </w:r>
      <w:r>
        <w:rPr>
          <w:rFonts w:ascii="Times New Roman" w:eastAsia="Times New Roman" w:hAnsi="Times New Roman" w:cs="Times New Roman"/>
          <w:b/>
          <w:bCs/>
          <w:snapToGrid w:val="0"/>
          <w:lang w:eastAsia="x-none"/>
        </w:rPr>
        <w:tab/>
        <w:t>Vaisingumas, nėštumo ir žindymo laikotarpis</w:t>
      </w:r>
    </w:p>
    <w:p w14:paraId="25E1C10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0B6EAA7"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Vaisingumas</w:t>
      </w:r>
    </w:p>
    <w:p w14:paraId="645502F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Su gyvūnais atlikti tyrimai parodė, kad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neveikė vyrų vaisingumo, o poveikis moterims pastebėtas tik vartojant dozes, kurios sukelia toksinį poveikį.</w:t>
      </w:r>
    </w:p>
    <w:p w14:paraId="2C5F0EE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5CB799A"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Nėštumas</w:t>
      </w:r>
    </w:p>
    <w:p w14:paraId="7A04DFE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Su gyvūnais atlikti tyrimai parodė toksinį poveikį reprodukcijai esant mažesnei sisteminei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ekspozicijai (AUC) nei maksimali klinikinė (žr. 5.3 skyrių).</w:t>
      </w:r>
    </w:p>
    <w:p w14:paraId="280FCF9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19C49D9" w14:textId="77777777" w:rsidR="00D60365" w:rsidRDefault="00C12095">
      <w:pPr>
        <w:widowControl w:val="0"/>
        <w:tabs>
          <w:tab w:val="left" w:pos="567"/>
        </w:tabs>
        <w:spacing w:after="0" w:line="240" w:lineRule="auto"/>
        <w:rPr>
          <w:rFonts w:ascii="Times New Roman" w:hAnsi="Times New Roman" w:cs="Times New Roman"/>
        </w:rPr>
      </w:pPr>
      <w:r>
        <w:rPr>
          <w:rFonts w:ascii="Times New Roman" w:hAnsi="Times New Roman" w:cs="Times New Roman"/>
        </w:rPr>
        <w:t>Du dideli stebėjimo tyrimai (vienas JAV, apimantis 2 500 </w:t>
      </w:r>
      <w:proofErr w:type="spellStart"/>
      <w:r>
        <w:rPr>
          <w:rFonts w:ascii="Times New Roman" w:hAnsi="Times New Roman" w:cs="Times New Roman"/>
        </w:rPr>
        <w:t>duloksetino</w:t>
      </w:r>
      <w:proofErr w:type="spellEnd"/>
      <w:r>
        <w:rPr>
          <w:rFonts w:ascii="Times New Roman" w:hAnsi="Times New Roman" w:cs="Times New Roman"/>
        </w:rPr>
        <w:t xml:space="preserve"> ekspozicijos per pirmąjį nėštumo trimestrą atvejų, ir vienas ES, apimantis 1 500 </w:t>
      </w:r>
      <w:proofErr w:type="spellStart"/>
      <w:r>
        <w:rPr>
          <w:rFonts w:ascii="Times New Roman" w:hAnsi="Times New Roman" w:cs="Times New Roman"/>
        </w:rPr>
        <w:t>duloksetino</w:t>
      </w:r>
      <w:proofErr w:type="spellEnd"/>
      <w:r>
        <w:rPr>
          <w:rFonts w:ascii="Times New Roman" w:hAnsi="Times New Roman" w:cs="Times New Roman"/>
        </w:rPr>
        <w:t xml:space="preserve"> ekspozicijos per pirmąjį nėštumo trimestrą atvejų) neparodė didžiųjų apsigimimų bendrosios rizikos padidėjimo. Specifinių apsigimimų, tokių kaip širdies apsigimimų, analizė, parodė neįtikimus rezultatus.</w:t>
      </w:r>
    </w:p>
    <w:p w14:paraId="63C9C9D2" w14:textId="77777777" w:rsidR="00D60365" w:rsidRDefault="00C12095">
      <w:pPr>
        <w:widowControl w:val="0"/>
        <w:tabs>
          <w:tab w:val="left" w:pos="567"/>
        </w:tabs>
        <w:spacing w:after="0" w:line="240" w:lineRule="auto"/>
        <w:rPr>
          <w:rFonts w:ascii="Times New Roman" w:hAnsi="Times New Roman" w:cs="Times New Roman"/>
        </w:rPr>
      </w:pPr>
      <w:r>
        <w:rPr>
          <w:rFonts w:ascii="Times New Roman" w:hAnsi="Times New Roman" w:cs="Times New Roman"/>
        </w:rPr>
        <w:t xml:space="preserve">ES atlikto tyrimo duomenimis, </w:t>
      </w:r>
      <w:proofErr w:type="spellStart"/>
      <w:r>
        <w:rPr>
          <w:rFonts w:ascii="Times New Roman" w:hAnsi="Times New Roman" w:cs="Times New Roman"/>
        </w:rPr>
        <w:t>duloksetino</w:t>
      </w:r>
      <w:proofErr w:type="spellEnd"/>
      <w:r>
        <w:rPr>
          <w:rFonts w:ascii="Times New Roman" w:hAnsi="Times New Roman" w:cs="Times New Roman"/>
        </w:rPr>
        <w:t xml:space="preserve"> ekspozicija vėlyvuoju nėštumo laikotarpiu (bet kuriuo metu nuo 20 nėštumo savaitės iki gimdymo) buvo susijusi su priešlaikinio gimdymo rizikos padidėjimu (mažiau kaip 2 kartus – tai atitinka maždaug 6 papildomus priešlaikinius gimdymus 100 moterų, gydytų </w:t>
      </w:r>
      <w:proofErr w:type="spellStart"/>
      <w:r>
        <w:rPr>
          <w:rFonts w:ascii="Times New Roman" w:hAnsi="Times New Roman" w:cs="Times New Roman"/>
        </w:rPr>
        <w:t>duloksetinu</w:t>
      </w:r>
      <w:proofErr w:type="spellEnd"/>
      <w:r>
        <w:rPr>
          <w:rFonts w:ascii="Times New Roman" w:hAnsi="Times New Roman" w:cs="Times New Roman"/>
        </w:rPr>
        <w:t xml:space="preserve"> vėlyvuoju nėštumo laikotarpiu). Dauguma jų įvyko 35 ir 36 nėštumo savaitėmis. Tokio ryšio nepastebėta JAV atliktame tyrime.</w:t>
      </w:r>
    </w:p>
    <w:p w14:paraId="4F505BC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hAnsi="Times New Roman" w:cs="Times New Roman"/>
        </w:rPr>
        <w:t xml:space="preserve">Stebėjimo duomenys JAV parodė, kad per mėnesį iki gimdymo pavartojus </w:t>
      </w:r>
      <w:proofErr w:type="spellStart"/>
      <w:r>
        <w:rPr>
          <w:rFonts w:ascii="Times New Roman" w:hAnsi="Times New Roman" w:cs="Times New Roman"/>
        </w:rPr>
        <w:t>duloksetino</w:t>
      </w:r>
      <w:proofErr w:type="spellEnd"/>
      <w:r>
        <w:rPr>
          <w:rFonts w:ascii="Times New Roman" w:hAnsi="Times New Roman" w:cs="Times New Roman"/>
        </w:rPr>
        <w:t>, padidėjo kraujavimo po gimdymo rizika (mažiau kaip 2 kartus).</w:t>
      </w:r>
    </w:p>
    <w:p w14:paraId="58DDA21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9A0C43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Epidemiologiniai duomenys parodė, kad SSRI vartojimas nėštumo metu, ypač vėlyvuoju periodu, gali didinti išlikusios naujagimio plaučių hipertenzijos (angl. </w:t>
      </w:r>
      <w:proofErr w:type="spellStart"/>
      <w:r>
        <w:rPr>
          <w:rFonts w:ascii="Times New Roman" w:eastAsia="Times New Roman" w:hAnsi="Times New Roman" w:cs="Times New Roman"/>
          <w:snapToGrid w:val="0"/>
        </w:rPr>
        <w:t>persistent</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pulmonary</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hypertension</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in</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the</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newborn</w:t>
      </w:r>
      <w:proofErr w:type="spellEnd"/>
      <w:r>
        <w:rPr>
          <w:rFonts w:ascii="Times New Roman" w:eastAsia="Times New Roman" w:hAnsi="Times New Roman" w:cs="Times New Roman"/>
          <w:snapToGrid w:val="0"/>
        </w:rPr>
        <w:t xml:space="preserve"> – PPHN) riziką. Nors PPHN pasireiškimo ryšio su gydymu SNRI tyrimų neatlikta,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vartojimo metu galimos rizikos atmesti negalima dėl jo veikimo mechanizmo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reabsorbcijos slopinimo).</w:t>
      </w:r>
    </w:p>
    <w:p w14:paraId="37946D1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429CF8A"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Prieš gimdymą moteriai vartojus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kaip ir kitokių </w:t>
      </w:r>
      <w:proofErr w:type="spellStart"/>
      <w:r>
        <w:rPr>
          <w:rFonts w:ascii="Times New Roman" w:eastAsia="Times New Roman" w:hAnsi="Times New Roman" w:cs="Times New Roman"/>
          <w:snapToGrid w:val="0"/>
        </w:rPr>
        <w:t>serotoninerginių</w:t>
      </w:r>
      <w:proofErr w:type="spellEnd"/>
      <w:r>
        <w:rPr>
          <w:rFonts w:ascii="Times New Roman" w:eastAsia="Times New Roman" w:hAnsi="Times New Roman" w:cs="Times New Roman"/>
          <w:snapToGrid w:val="0"/>
        </w:rPr>
        <w:t xml:space="preserve"> vaistinių preparatų, jos naujagimiui gali pasireikšti nutraukimo simptomų. Nutraukimo simptomai, susiję su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w:t>
      </w:r>
      <w:bookmarkStart w:id="6" w:name="page9"/>
      <w:bookmarkEnd w:id="6"/>
      <w:r>
        <w:rPr>
          <w:rFonts w:ascii="Times New Roman" w:eastAsia="Times New Roman" w:hAnsi="Times New Roman" w:cs="Times New Roman"/>
          <w:snapToGrid w:val="0"/>
        </w:rPr>
        <w:t xml:space="preserve">vartojimo nutraukimu, gali būti hipotonija, tremoras, nervingumas, maitinimosi pasunkėjimas, </w:t>
      </w:r>
      <w:r>
        <w:rPr>
          <w:rFonts w:ascii="Times New Roman" w:eastAsia="Times New Roman" w:hAnsi="Times New Roman" w:cs="Times New Roman"/>
          <w:snapToGrid w:val="0"/>
        </w:rPr>
        <w:lastRenderedPageBreak/>
        <w:t>kvėpavimo sutrikimas ir traukuliai. Daugumas tokių atvejų pasitaikė arba gimimo metu, arba per pirmąsias kelias dienas po gimimo.</w:t>
      </w:r>
    </w:p>
    <w:p w14:paraId="630BC63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5BFE0B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Nėštumo metu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vartoti draudžiama, nebent jei galima nauda pateisina galimą riziką vaisiui. Moterims reikia patarti, kad jos pasakytų savo gydytojui, jei pastojo ar ketina pastoti gydymo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metu.</w:t>
      </w:r>
    </w:p>
    <w:p w14:paraId="3D1D3AF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56C68E1"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Žindymo laikotarpis</w:t>
      </w:r>
    </w:p>
    <w:p w14:paraId="4B005455"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Remiantis 6 moterų, kurios pieno išsiskyrimo laikotarpiu kūdikio krūtimi nemaitino, tyrimų duomenimis, su motinos pienu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išsiskiria labai mažai. Apskaičiuota, į kūdikio organizmą per parą patenkanti dozė mg/kg kūno svorio, yra 0,14 % motinos pavartotos dozės (žr. 5.2 skyrių). Kadangi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saugumas kūdikiams nežinomas, žindymo laikotarpiu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vartoti nerekomenduojama.</w:t>
      </w:r>
    </w:p>
    <w:p w14:paraId="66B01D7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D6831BC"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4.7</w:t>
      </w:r>
      <w:r>
        <w:rPr>
          <w:rFonts w:ascii="Times New Roman" w:eastAsia="Times New Roman" w:hAnsi="Times New Roman" w:cs="Times New Roman"/>
          <w:b/>
          <w:bCs/>
          <w:snapToGrid w:val="0"/>
          <w:lang w:eastAsia="x-none"/>
        </w:rPr>
        <w:tab/>
        <w:t>Poveikis gebėjimui vairuoti ir valdyti mechanizmus</w:t>
      </w:r>
    </w:p>
    <w:p w14:paraId="7148AD4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C2D18B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Poveikio gebėjimui vairuoti ir valdyti mechanizmus tyrimų neatlikta.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vartojimas gali būti susijęs su </w:t>
      </w:r>
      <w:proofErr w:type="spellStart"/>
      <w:r>
        <w:rPr>
          <w:rFonts w:ascii="Times New Roman" w:eastAsia="Times New Roman" w:hAnsi="Times New Roman" w:cs="Times New Roman"/>
          <w:snapToGrid w:val="0"/>
        </w:rPr>
        <w:t>sedacija</w:t>
      </w:r>
      <w:proofErr w:type="spellEnd"/>
      <w:r>
        <w:rPr>
          <w:rFonts w:ascii="Times New Roman" w:eastAsia="Times New Roman" w:hAnsi="Times New Roman" w:cs="Times New Roman"/>
          <w:snapToGrid w:val="0"/>
        </w:rPr>
        <w:t xml:space="preserve"> ir galvos svaigimu. Pacientus reikia įspėti, kad atsiradus </w:t>
      </w:r>
      <w:proofErr w:type="spellStart"/>
      <w:r>
        <w:rPr>
          <w:rFonts w:ascii="Times New Roman" w:eastAsia="Times New Roman" w:hAnsi="Times New Roman" w:cs="Times New Roman"/>
          <w:snapToGrid w:val="0"/>
        </w:rPr>
        <w:t>sedacijai</w:t>
      </w:r>
      <w:proofErr w:type="spellEnd"/>
      <w:r>
        <w:rPr>
          <w:rFonts w:ascii="Times New Roman" w:eastAsia="Times New Roman" w:hAnsi="Times New Roman" w:cs="Times New Roman"/>
          <w:snapToGrid w:val="0"/>
        </w:rPr>
        <w:t xml:space="preserve"> arba galvos svaigimui, reikia vengti galimai pavojingo darbo, pvz., vairavimo ar mechanizmų valdymo.</w:t>
      </w:r>
    </w:p>
    <w:p w14:paraId="391947A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9DE5CC3" w14:textId="77777777" w:rsidR="00D60365" w:rsidRDefault="00C12095">
      <w:pPr>
        <w:widowControl w:val="0"/>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4.8</w:t>
      </w:r>
      <w:r>
        <w:rPr>
          <w:rFonts w:ascii="Times New Roman" w:eastAsia="Times New Roman" w:hAnsi="Times New Roman" w:cs="Times New Roman"/>
          <w:b/>
          <w:snapToGrid w:val="0"/>
        </w:rPr>
        <w:tab/>
        <w:t>Nepageidaujamas poveikis</w:t>
      </w:r>
    </w:p>
    <w:p w14:paraId="029953D3" w14:textId="77777777" w:rsidR="00D60365" w:rsidRDefault="00D60365">
      <w:pPr>
        <w:widowControl w:val="0"/>
        <w:tabs>
          <w:tab w:val="left" w:pos="567"/>
        </w:tabs>
        <w:spacing w:after="0" w:line="240" w:lineRule="auto"/>
        <w:rPr>
          <w:rFonts w:ascii="Times New Roman" w:eastAsia="Times New Roman" w:hAnsi="Times New Roman" w:cs="Times New Roman"/>
          <w:snapToGrid w:val="0"/>
          <w:u w:val="single"/>
        </w:rPr>
      </w:pPr>
    </w:p>
    <w:p w14:paraId="4F3174DB"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a. Saugumo duomenų santrauka</w:t>
      </w:r>
    </w:p>
    <w:p w14:paraId="375CE00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vartojusiems pacientams dažniausiai pasireiškė šios nepageidaujamos reakcijos: pykinimas, galvos skausmas, burnos džiūvimas, </w:t>
      </w:r>
      <w:proofErr w:type="spellStart"/>
      <w:r>
        <w:rPr>
          <w:rFonts w:ascii="Times New Roman" w:eastAsia="Times New Roman" w:hAnsi="Times New Roman" w:cs="Times New Roman"/>
          <w:snapToGrid w:val="0"/>
        </w:rPr>
        <w:t>somnolencija</w:t>
      </w:r>
      <w:proofErr w:type="spellEnd"/>
      <w:r>
        <w:rPr>
          <w:rFonts w:ascii="Times New Roman" w:eastAsia="Times New Roman" w:hAnsi="Times New Roman" w:cs="Times New Roman"/>
          <w:snapToGrid w:val="0"/>
        </w:rPr>
        <w:t xml:space="preserve"> ir galvos svaigimas. Tačiau dauguma šių dažnų nepageidaujamų reakcijų buvo lengvos arba vidutinio sunkumo. Paprastai jos pasireikšdavo gydymo pradžioje ir dauguma turėjo polinkį į išnykimą net tęsiant gydymą</w:t>
      </w:r>
    </w:p>
    <w:p w14:paraId="010B880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26DFDFC"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b. Nepageidaujamų reakcijų santrauka lentelėje</w:t>
      </w:r>
    </w:p>
    <w:p w14:paraId="40B5820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1-ojoje lentelėje išvardytos nepageidaujamos reakcijos, apie kurias buvo pranešta spontaninių pranešimų metu bei kurios buvo pastebėtos placebu kontroliuojamų klinikinių tyrimų metu.</w:t>
      </w:r>
    </w:p>
    <w:p w14:paraId="0E4AA8A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134660E"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1 lentelė. Nepageidaujamos reakcijos</w:t>
      </w:r>
    </w:p>
    <w:p w14:paraId="323C160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Dažnio apibūdinimas: labai dažnas (≥ 1/10), dažnas (nuo ≥ 1/100 iki &lt; 1/10), nedažnas (nuo ≥ 1/1000 iki &lt; 1/100), retas (nuo ≥ 1/10 000 iki &lt; 1/1000), labai retas (&lt; 1/10000)</w:t>
      </w:r>
      <w:r>
        <w:t xml:space="preserve"> </w:t>
      </w:r>
      <w:r>
        <w:rPr>
          <w:rFonts w:ascii="Times New Roman" w:eastAsia="Times New Roman" w:hAnsi="Times New Roman" w:cs="Times New Roman"/>
          <w:snapToGrid w:val="0"/>
        </w:rPr>
        <w:t>ir nežinomas (</w:t>
      </w:r>
      <w:bookmarkStart w:id="7" w:name="_Hlk167958916"/>
      <w:r>
        <w:rPr>
          <w:rFonts w:ascii="Times New Roman" w:eastAsia="Times New Roman" w:hAnsi="Times New Roman" w:cs="Times New Roman"/>
          <w:snapToGrid w:val="0"/>
        </w:rPr>
        <w:t>negali būti apskaičiuotas pagal turimus duomenis</w:t>
      </w:r>
      <w:bookmarkEnd w:id="7"/>
      <w:r>
        <w:rPr>
          <w:rFonts w:ascii="Times New Roman" w:eastAsia="Times New Roman" w:hAnsi="Times New Roman" w:cs="Times New Roman"/>
          <w:snapToGrid w:val="0"/>
        </w:rPr>
        <w:t>).</w:t>
      </w:r>
    </w:p>
    <w:p w14:paraId="4626F14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F03E51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Kiekvienoje dažnio grupėje nepageidaujamas poveikis pateikiamas mažėjančio sunkumo tvarka.</w:t>
      </w:r>
    </w:p>
    <w:p w14:paraId="3379C169"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1560"/>
        <w:gridCol w:w="1701"/>
        <w:gridCol w:w="1701"/>
        <w:gridCol w:w="1835"/>
      </w:tblGrid>
      <w:tr w:rsidR="00D60365" w14:paraId="5BA6BE72" w14:textId="77777777">
        <w:tc>
          <w:tcPr>
            <w:tcW w:w="1129" w:type="dxa"/>
            <w:tcBorders>
              <w:top w:val="single" w:sz="4" w:space="0" w:color="auto"/>
              <w:left w:val="single" w:sz="4" w:space="0" w:color="auto"/>
              <w:bottom w:val="single" w:sz="4" w:space="0" w:color="auto"/>
              <w:right w:val="single" w:sz="4" w:space="0" w:color="auto"/>
            </w:tcBorders>
            <w:vAlign w:val="bottom"/>
            <w:hideMark/>
          </w:tcPr>
          <w:p w14:paraId="60FDA93E" w14:textId="77777777" w:rsidR="00D60365" w:rsidRDefault="00C12095">
            <w:pPr>
              <w:widowControl w:val="0"/>
              <w:tabs>
                <w:tab w:val="left" w:pos="567"/>
              </w:tabs>
              <w:autoSpaceDE w:val="0"/>
              <w:autoSpaceDN w:val="0"/>
              <w:adjustRightInd w:val="0"/>
              <w:spacing w:after="0" w:line="240" w:lineRule="auto"/>
              <w:ind w:left="120"/>
              <w:rPr>
                <w:rFonts w:ascii="Times New Roman" w:eastAsia="Times New Roman" w:hAnsi="Times New Roman" w:cs="Times New Roman"/>
                <w:snapToGrid w:val="0"/>
              </w:rPr>
            </w:pPr>
            <w:r>
              <w:rPr>
                <w:rFonts w:ascii="Times New Roman" w:eastAsia="Times New Roman" w:hAnsi="Times New Roman" w:cs="Times New Roman"/>
                <w:b/>
                <w:bCs/>
                <w:snapToGrid w:val="0"/>
              </w:rPr>
              <w:t>Labai dažni</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E529007" w14:textId="77777777" w:rsidR="00D60365" w:rsidRDefault="00C12095">
            <w:pPr>
              <w:widowControl w:val="0"/>
              <w:tabs>
                <w:tab w:val="left" w:pos="567"/>
              </w:tabs>
              <w:autoSpaceDE w:val="0"/>
              <w:autoSpaceDN w:val="0"/>
              <w:adjustRightInd w:val="0"/>
              <w:spacing w:after="0" w:line="240" w:lineRule="auto"/>
              <w:ind w:left="80"/>
              <w:rPr>
                <w:rFonts w:ascii="Times New Roman" w:eastAsia="Times New Roman" w:hAnsi="Times New Roman" w:cs="Times New Roman"/>
                <w:snapToGrid w:val="0"/>
              </w:rPr>
            </w:pPr>
            <w:r>
              <w:rPr>
                <w:rFonts w:ascii="Times New Roman" w:eastAsia="Times New Roman" w:hAnsi="Times New Roman" w:cs="Times New Roman"/>
                <w:b/>
                <w:bCs/>
                <w:snapToGrid w:val="0"/>
              </w:rPr>
              <w:t>Dažnas</w:t>
            </w:r>
          </w:p>
        </w:tc>
        <w:tc>
          <w:tcPr>
            <w:tcW w:w="1560" w:type="dxa"/>
            <w:tcBorders>
              <w:top w:val="single" w:sz="4" w:space="0" w:color="auto"/>
              <w:left w:val="single" w:sz="4" w:space="0" w:color="auto"/>
              <w:bottom w:val="single" w:sz="4" w:space="0" w:color="auto"/>
              <w:right w:val="single" w:sz="4" w:space="0" w:color="auto"/>
            </w:tcBorders>
            <w:vAlign w:val="bottom"/>
            <w:hideMark/>
          </w:tcPr>
          <w:p w14:paraId="406C5AF3" w14:textId="77777777" w:rsidR="00D60365" w:rsidRDefault="00C12095">
            <w:pPr>
              <w:widowControl w:val="0"/>
              <w:tabs>
                <w:tab w:val="left" w:pos="567"/>
              </w:tabs>
              <w:autoSpaceDE w:val="0"/>
              <w:autoSpaceDN w:val="0"/>
              <w:adjustRightInd w:val="0"/>
              <w:spacing w:after="0" w:line="240" w:lineRule="auto"/>
              <w:ind w:left="100"/>
              <w:rPr>
                <w:rFonts w:ascii="Times New Roman" w:eastAsia="Times New Roman" w:hAnsi="Times New Roman" w:cs="Times New Roman"/>
                <w:snapToGrid w:val="0"/>
              </w:rPr>
            </w:pPr>
            <w:r>
              <w:rPr>
                <w:rFonts w:ascii="Times New Roman" w:eastAsia="Times New Roman" w:hAnsi="Times New Roman" w:cs="Times New Roman"/>
                <w:b/>
                <w:bCs/>
                <w:snapToGrid w:val="0"/>
              </w:rPr>
              <w:t>Nedažnas</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7E9E03D" w14:textId="77777777" w:rsidR="00D60365" w:rsidRDefault="00C12095">
            <w:pPr>
              <w:widowControl w:val="0"/>
              <w:tabs>
                <w:tab w:val="left" w:pos="567"/>
              </w:tabs>
              <w:autoSpaceDE w:val="0"/>
              <w:autoSpaceDN w:val="0"/>
              <w:adjustRightInd w:val="0"/>
              <w:spacing w:after="0" w:line="240" w:lineRule="auto"/>
              <w:ind w:left="100"/>
              <w:rPr>
                <w:rFonts w:ascii="Times New Roman" w:eastAsia="Times New Roman" w:hAnsi="Times New Roman" w:cs="Times New Roman"/>
                <w:snapToGrid w:val="0"/>
              </w:rPr>
            </w:pPr>
            <w:r>
              <w:rPr>
                <w:rFonts w:ascii="Times New Roman" w:eastAsia="Times New Roman" w:hAnsi="Times New Roman" w:cs="Times New Roman"/>
                <w:b/>
                <w:bCs/>
                <w:snapToGrid w:val="0"/>
              </w:rPr>
              <w:t>Retas</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24C5456" w14:textId="77777777" w:rsidR="00D60365" w:rsidRDefault="00C12095">
            <w:pPr>
              <w:widowControl w:val="0"/>
              <w:tabs>
                <w:tab w:val="left" w:pos="567"/>
              </w:tabs>
              <w:autoSpaceDE w:val="0"/>
              <w:autoSpaceDN w:val="0"/>
              <w:adjustRightInd w:val="0"/>
              <w:spacing w:after="0" w:line="240" w:lineRule="auto"/>
              <w:ind w:left="100"/>
              <w:rPr>
                <w:rFonts w:ascii="Times New Roman" w:eastAsia="Times New Roman" w:hAnsi="Times New Roman" w:cs="Times New Roman"/>
                <w:snapToGrid w:val="0"/>
              </w:rPr>
            </w:pPr>
            <w:r>
              <w:rPr>
                <w:rFonts w:ascii="Times New Roman" w:eastAsia="Times New Roman" w:hAnsi="Times New Roman" w:cs="Times New Roman"/>
                <w:b/>
                <w:bCs/>
                <w:snapToGrid w:val="0"/>
              </w:rPr>
              <w:t>Labai retas</w:t>
            </w:r>
          </w:p>
        </w:tc>
        <w:tc>
          <w:tcPr>
            <w:tcW w:w="1835" w:type="dxa"/>
            <w:tcBorders>
              <w:top w:val="single" w:sz="4" w:space="0" w:color="auto"/>
              <w:left w:val="single" w:sz="4" w:space="0" w:color="auto"/>
              <w:bottom w:val="single" w:sz="4" w:space="0" w:color="auto"/>
              <w:right w:val="single" w:sz="4" w:space="0" w:color="auto"/>
            </w:tcBorders>
          </w:tcPr>
          <w:p w14:paraId="454C285B" w14:textId="77777777" w:rsidR="00D60365" w:rsidRDefault="00D60365">
            <w:pPr>
              <w:widowControl w:val="0"/>
              <w:tabs>
                <w:tab w:val="left" w:pos="567"/>
              </w:tabs>
              <w:autoSpaceDE w:val="0"/>
              <w:autoSpaceDN w:val="0"/>
              <w:adjustRightInd w:val="0"/>
              <w:spacing w:after="0" w:line="240" w:lineRule="auto"/>
              <w:ind w:left="100"/>
              <w:rPr>
                <w:rFonts w:ascii="Times New Roman" w:eastAsia="Times New Roman" w:hAnsi="Times New Roman" w:cs="Times New Roman"/>
                <w:b/>
                <w:bCs/>
                <w:snapToGrid w:val="0"/>
              </w:rPr>
            </w:pPr>
          </w:p>
          <w:p w14:paraId="15B4FEFC" w14:textId="77777777" w:rsidR="00D60365" w:rsidRDefault="00C12095">
            <w:pPr>
              <w:widowControl w:val="0"/>
              <w:tabs>
                <w:tab w:val="left" w:pos="567"/>
              </w:tabs>
              <w:autoSpaceDE w:val="0"/>
              <w:autoSpaceDN w:val="0"/>
              <w:adjustRightInd w:val="0"/>
              <w:spacing w:after="0" w:line="240" w:lineRule="auto"/>
              <w:ind w:left="100"/>
              <w:rPr>
                <w:rFonts w:ascii="Times New Roman" w:eastAsia="Times New Roman" w:hAnsi="Times New Roman" w:cs="Times New Roman"/>
                <w:b/>
                <w:bCs/>
                <w:snapToGrid w:val="0"/>
              </w:rPr>
            </w:pPr>
            <w:r>
              <w:rPr>
                <w:rFonts w:ascii="Times New Roman" w:eastAsia="Times New Roman" w:hAnsi="Times New Roman" w:cs="Times New Roman"/>
                <w:b/>
                <w:bCs/>
                <w:snapToGrid w:val="0"/>
              </w:rPr>
              <w:t>Dažnis nežinomas</w:t>
            </w:r>
          </w:p>
        </w:tc>
      </w:tr>
      <w:tr w:rsidR="00D60365" w14:paraId="36B79092"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26E4FE6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Infekcijos ir </w:t>
            </w:r>
            <w:proofErr w:type="spellStart"/>
            <w:r>
              <w:rPr>
                <w:rFonts w:ascii="Times New Roman" w:eastAsia="Times New Roman" w:hAnsi="Times New Roman" w:cs="Times New Roman"/>
                <w:i/>
                <w:iCs/>
                <w:snapToGrid w:val="0"/>
              </w:rPr>
              <w:t>infestacijos</w:t>
            </w:r>
            <w:proofErr w:type="spellEnd"/>
          </w:p>
        </w:tc>
        <w:tc>
          <w:tcPr>
            <w:tcW w:w="1835" w:type="dxa"/>
            <w:tcBorders>
              <w:top w:val="single" w:sz="4" w:space="0" w:color="auto"/>
              <w:left w:val="single" w:sz="4" w:space="0" w:color="auto"/>
              <w:bottom w:val="single" w:sz="4" w:space="0" w:color="auto"/>
              <w:right w:val="single" w:sz="4" w:space="0" w:color="auto"/>
            </w:tcBorders>
          </w:tcPr>
          <w:p w14:paraId="3A004082"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iCs/>
                <w:snapToGrid w:val="0"/>
              </w:rPr>
            </w:pPr>
          </w:p>
        </w:tc>
      </w:tr>
      <w:tr w:rsidR="00D60365" w14:paraId="27D31F6B" w14:textId="77777777">
        <w:tc>
          <w:tcPr>
            <w:tcW w:w="1129" w:type="dxa"/>
            <w:tcBorders>
              <w:top w:val="single" w:sz="4" w:space="0" w:color="auto"/>
              <w:left w:val="single" w:sz="4" w:space="0" w:color="auto"/>
              <w:bottom w:val="single" w:sz="4" w:space="0" w:color="auto"/>
              <w:right w:val="single" w:sz="4" w:space="0" w:color="auto"/>
            </w:tcBorders>
          </w:tcPr>
          <w:p w14:paraId="3B32069C"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tcPr>
          <w:p w14:paraId="093452C9"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560" w:type="dxa"/>
            <w:tcBorders>
              <w:top w:val="single" w:sz="4" w:space="0" w:color="auto"/>
              <w:left w:val="single" w:sz="4" w:space="0" w:color="auto"/>
              <w:bottom w:val="single" w:sz="4" w:space="0" w:color="auto"/>
              <w:right w:val="single" w:sz="4" w:space="0" w:color="auto"/>
            </w:tcBorders>
            <w:hideMark/>
          </w:tcPr>
          <w:p w14:paraId="3758A0C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Laringitas</w:t>
            </w:r>
          </w:p>
        </w:tc>
        <w:tc>
          <w:tcPr>
            <w:tcW w:w="1701" w:type="dxa"/>
            <w:tcBorders>
              <w:top w:val="single" w:sz="4" w:space="0" w:color="auto"/>
              <w:left w:val="single" w:sz="4" w:space="0" w:color="auto"/>
              <w:bottom w:val="single" w:sz="4" w:space="0" w:color="auto"/>
              <w:right w:val="single" w:sz="4" w:space="0" w:color="auto"/>
            </w:tcBorders>
          </w:tcPr>
          <w:p w14:paraId="5E1C5E6F"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701" w:type="dxa"/>
            <w:tcBorders>
              <w:top w:val="single" w:sz="4" w:space="0" w:color="auto"/>
              <w:left w:val="single" w:sz="4" w:space="0" w:color="auto"/>
              <w:bottom w:val="single" w:sz="4" w:space="0" w:color="auto"/>
              <w:right w:val="single" w:sz="4" w:space="0" w:color="auto"/>
            </w:tcBorders>
          </w:tcPr>
          <w:p w14:paraId="015FC35C"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51D65DA3"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7192FEB6"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69690BB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i/>
                <w:iCs/>
                <w:snapToGrid w:val="0"/>
              </w:rPr>
              <w:t>Imuninės sistemos sutrikimai</w:t>
            </w:r>
          </w:p>
        </w:tc>
        <w:tc>
          <w:tcPr>
            <w:tcW w:w="1835" w:type="dxa"/>
            <w:tcBorders>
              <w:top w:val="single" w:sz="4" w:space="0" w:color="auto"/>
              <w:left w:val="single" w:sz="4" w:space="0" w:color="auto"/>
              <w:bottom w:val="single" w:sz="4" w:space="0" w:color="auto"/>
              <w:right w:val="single" w:sz="4" w:space="0" w:color="auto"/>
            </w:tcBorders>
          </w:tcPr>
          <w:p w14:paraId="7DF315A9"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iCs/>
                <w:snapToGrid w:val="0"/>
              </w:rPr>
            </w:pPr>
          </w:p>
        </w:tc>
      </w:tr>
      <w:tr w:rsidR="00D60365" w14:paraId="5439F95B" w14:textId="77777777">
        <w:tc>
          <w:tcPr>
            <w:tcW w:w="1129" w:type="dxa"/>
            <w:tcBorders>
              <w:top w:val="single" w:sz="4" w:space="0" w:color="auto"/>
              <w:left w:val="single" w:sz="4" w:space="0" w:color="auto"/>
              <w:bottom w:val="single" w:sz="4" w:space="0" w:color="auto"/>
              <w:right w:val="single" w:sz="4" w:space="0" w:color="auto"/>
            </w:tcBorders>
          </w:tcPr>
          <w:p w14:paraId="2F4271F2"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tcPr>
          <w:p w14:paraId="231A2510"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560" w:type="dxa"/>
            <w:tcBorders>
              <w:top w:val="single" w:sz="4" w:space="0" w:color="auto"/>
              <w:left w:val="single" w:sz="4" w:space="0" w:color="auto"/>
              <w:bottom w:val="single" w:sz="4" w:space="0" w:color="auto"/>
              <w:right w:val="single" w:sz="4" w:space="0" w:color="auto"/>
            </w:tcBorders>
          </w:tcPr>
          <w:p w14:paraId="3D0C899D"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701" w:type="dxa"/>
            <w:tcBorders>
              <w:top w:val="single" w:sz="4" w:space="0" w:color="auto"/>
              <w:left w:val="single" w:sz="4" w:space="0" w:color="auto"/>
              <w:bottom w:val="single" w:sz="4" w:space="0" w:color="auto"/>
              <w:right w:val="single" w:sz="4" w:space="0" w:color="auto"/>
            </w:tcBorders>
            <w:hideMark/>
          </w:tcPr>
          <w:p w14:paraId="25082BB8"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Anafilaksinė reakcija</w:t>
            </w:r>
          </w:p>
          <w:p w14:paraId="458209F6"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Padidėjusio jautrumo sutrikimas</w:t>
            </w:r>
          </w:p>
        </w:tc>
        <w:tc>
          <w:tcPr>
            <w:tcW w:w="1701" w:type="dxa"/>
            <w:tcBorders>
              <w:top w:val="single" w:sz="4" w:space="0" w:color="auto"/>
              <w:left w:val="single" w:sz="4" w:space="0" w:color="auto"/>
              <w:bottom w:val="single" w:sz="4" w:space="0" w:color="auto"/>
              <w:right w:val="single" w:sz="4" w:space="0" w:color="auto"/>
            </w:tcBorders>
          </w:tcPr>
          <w:p w14:paraId="28C4ED39"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25CD68CB"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161218C9"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4F1FE81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Endokrininės sistemos sutrikimai</w:t>
            </w:r>
          </w:p>
        </w:tc>
        <w:tc>
          <w:tcPr>
            <w:tcW w:w="1835" w:type="dxa"/>
            <w:tcBorders>
              <w:top w:val="single" w:sz="4" w:space="0" w:color="auto"/>
              <w:left w:val="single" w:sz="4" w:space="0" w:color="auto"/>
              <w:bottom w:val="single" w:sz="4" w:space="0" w:color="auto"/>
              <w:right w:val="single" w:sz="4" w:space="0" w:color="auto"/>
            </w:tcBorders>
          </w:tcPr>
          <w:p w14:paraId="1617472C"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798CAFE7" w14:textId="77777777">
        <w:tc>
          <w:tcPr>
            <w:tcW w:w="1129" w:type="dxa"/>
            <w:tcBorders>
              <w:top w:val="single" w:sz="4" w:space="0" w:color="auto"/>
              <w:left w:val="single" w:sz="4" w:space="0" w:color="auto"/>
              <w:bottom w:val="single" w:sz="4" w:space="0" w:color="auto"/>
              <w:right w:val="single" w:sz="4" w:space="0" w:color="auto"/>
            </w:tcBorders>
          </w:tcPr>
          <w:p w14:paraId="4F4D9A88"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tcPr>
          <w:p w14:paraId="6F2E2021"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560" w:type="dxa"/>
            <w:tcBorders>
              <w:top w:val="single" w:sz="4" w:space="0" w:color="auto"/>
              <w:left w:val="single" w:sz="4" w:space="0" w:color="auto"/>
              <w:bottom w:val="single" w:sz="4" w:space="0" w:color="auto"/>
              <w:right w:val="single" w:sz="4" w:space="0" w:color="auto"/>
            </w:tcBorders>
          </w:tcPr>
          <w:p w14:paraId="57939231"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701" w:type="dxa"/>
            <w:tcBorders>
              <w:top w:val="single" w:sz="4" w:space="0" w:color="auto"/>
              <w:left w:val="single" w:sz="4" w:space="0" w:color="auto"/>
              <w:bottom w:val="single" w:sz="4" w:space="0" w:color="auto"/>
              <w:right w:val="single" w:sz="4" w:space="0" w:color="auto"/>
            </w:tcBorders>
            <w:hideMark/>
          </w:tcPr>
          <w:p w14:paraId="535C338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Hipotirozė</w:t>
            </w:r>
            <w:proofErr w:type="spellEnd"/>
          </w:p>
        </w:tc>
        <w:tc>
          <w:tcPr>
            <w:tcW w:w="1701" w:type="dxa"/>
            <w:tcBorders>
              <w:top w:val="single" w:sz="4" w:space="0" w:color="auto"/>
              <w:left w:val="single" w:sz="4" w:space="0" w:color="auto"/>
              <w:bottom w:val="single" w:sz="4" w:space="0" w:color="auto"/>
              <w:right w:val="single" w:sz="4" w:space="0" w:color="auto"/>
            </w:tcBorders>
          </w:tcPr>
          <w:p w14:paraId="13326238"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0EEEC873"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7FBFEA72"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25451FBD"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Metabolizmo ir mitybos sutrikimai</w:t>
            </w:r>
          </w:p>
        </w:tc>
        <w:tc>
          <w:tcPr>
            <w:tcW w:w="1835" w:type="dxa"/>
            <w:tcBorders>
              <w:top w:val="single" w:sz="4" w:space="0" w:color="auto"/>
              <w:left w:val="single" w:sz="4" w:space="0" w:color="auto"/>
              <w:bottom w:val="single" w:sz="4" w:space="0" w:color="auto"/>
              <w:right w:val="single" w:sz="4" w:space="0" w:color="auto"/>
            </w:tcBorders>
          </w:tcPr>
          <w:p w14:paraId="67DF6203"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7A24F1A3" w14:textId="77777777">
        <w:tc>
          <w:tcPr>
            <w:tcW w:w="1129" w:type="dxa"/>
            <w:tcBorders>
              <w:top w:val="single" w:sz="4" w:space="0" w:color="auto"/>
              <w:left w:val="single" w:sz="4" w:space="0" w:color="auto"/>
              <w:bottom w:val="single" w:sz="4" w:space="0" w:color="auto"/>
              <w:right w:val="single" w:sz="4" w:space="0" w:color="auto"/>
            </w:tcBorders>
          </w:tcPr>
          <w:p w14:paraId="0092240F"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017E04A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Apetito sumažėjimas</w:t>
            </w:r>
          </w:p>
        </w:tc>
        <w:tc>
          <w:tcPr>
            <w:tcW w:w="1560" w:type="dxa"/>
            <w:tcBorders>
              <w:top w:val="single" w:sz="4" w:space="0" w:color="auto"/>
              <w:left w:val="single" w:sz="4" w:space="0" w:color="auto"/>
              <w:bottom w:val="single" w:sz="4" w:space="0" w:color="auto"/>
              <w:right w:val="single" w:sz="4" w:space="0" w:color="auto"/>
            </w:tcBorders>
            <w:hideMark/>
          </w:tcPr>
          <w:p w14:paraId="5A8647A6"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Hiperglikemija (pastebėta daugiausiai cukriniu </w:t>
            </w:r>
            <w:r>
              <w:rPr>
                <w:rFonts w:ascii="Times New Roman" w:eastAsia="Times New Roman" w:hAnsi="Times New Roman" w:cs="Times New Roman"/>
                <w:snapToGrid w:val="0"/>
              </w:rPr>
              <w:lastRenderedPageBreak/>
              <w:t>diabetu sergantiems pacientams)</w:t>
            </w:r>
          </w:p>
        </w:tc>
        <w:tc>
          <w:tcPr>
            <w:tcW w:w="1701" w:type="dxa"/>
            <w:tcBorders>
              <w:top w:val="single" w:sz="4" w:space="0" w:color="auto"/>
              <w:left w:val="single" w:sz="4" w:space="0" w:color="auto"/>
              <w:bottom w:val="single" w:sz="4" w:space="0" w:color="auto"/>
              <w:right w:val="single" w:sz="4" w:space="0" w:color="auto"/>
            </w:tcBorders>
            <w:hideMark/>
          </w:tcPr>
          <w:p w14:paraId="6C7798B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lastRenderedPageBreak/>
              <w:t>Dehidracija</w:t>
            </w:r>
            <w:proofErr w:type="spellEnd"/>
          </w:p>
          <w:p w14:paraId="432B455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Hiponatremija</w:t>
            </w:r>
            <w:proofErr w:type="spellEnd"/>
          </w:p>
          <w:p w14:paraId="6E0F8A0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vertAlign w:val="superscript"/>
              </w:rPr>
            </w:pPr>
            <w:r>
              <w:rPr>
                <w:rFonts w:ascii="Times New Roman" w:eastAsia="Times New Roman" w:hAnsi="Times New Roman" w:cs="Times New Roman"/>
                <w:snapToGrid w:val="0"/>
              </w:rPr>
              <w:t>ADHSSS</w:t>
            </w:r>
            <w:r>
              <w:rPr>
                <w:rFonts w:ascii="Times New Roman" w:eastAsia="Times New Roman" w:hAnsi="Times New Roman" w:cs="Times New Roman"/>
                <w:snapToGrid w:val="0"/>
                <w:vertAlign w:val="superscript"/>
              </w:rPr>
              <w:t>6</w:t>
            </w:r>
          </w:p>
        </w:tc>
        <w:tc>
          <w:tcPr>
            <w:tcW w:w="1701" w:type="dxa"/>
            <w:tcBorders>
              <w:top w:val="single" w:sz="4" w:space="0" w:color="auto"/>
              <w:left w:val="single" w:sz="4" w:space="0" w:color="auto"/>
              <w:bottom w:val="single" w:sz="4" w:space="0" w:color="auto"/>
              <w:right w:val="single" w:sz="4" w:space="0" w:color="auto"/>
            </w:tcBorders>
          </w:tcPr>
          <w:p w14:paraId="652FC2BA"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744E47C9"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6BF00E83"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7656F1B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Psichikos sutrikimai</w:t>
            </w:r>
          </w:p>
        </w:tc>
        <w:tc>
          <w:tcPr>
            <w:tcW w:w="1835" w:type="dxa"/>
            <w:tcBorders>
              <w:top w:val="single" w:sz="4" w:space="0" w:color="auto"/>
              <w:left w:val="single" w:sz="4" w:space="0" w:color="auto"/>
              <w:bottom w:val="single" w:sz="4" w:space="0" w:color="auto"/>
              <w:right w:val="single" w:sz="4" w:space="0" w:color="auto"/>
            </w:tcBorders>
          </w:tcPr>
          <w:p w14:paraId="00843BA0"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7ECE258C" w14:textId="77777777">
        <w:tc>
          <w:tcPr>
            <w:tcW w:w="1129" w:type="dxa"/>
            <w:tcBorders>
              <w:top w:val="single" w:sz="4" w:space="0" w:color="auto"/>
              <w:left w:val="single" w:sz="4" w:space="0" w:color="auto"/>
              <w:bottom w:val="single" w:sz="4" w:space="0" w:color="auto"/>
              <w:right w:val="single" w:sz="4" w:space="0" w:color="auto"/>
            </w:tcBorders>
          </w:tcPr>
          <w:p w14:paraId="7369A9EE"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37A8FBE2"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Nemiga</w:t>
            </w:r>
          </w:p>
          <w:p w14:paraId="68D3E0A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Ažitacija</w:t>
            </w:r>
            <w:proofErr w:type="spellEnd"/>
          </w:p>
          <w:p w14:paraId="235E081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Lytinio potraukio sumažėjimas</w:t>
            </w:r>
          </w:p>
          <w:p w14:paraId="69690E4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Nerimas</w:t>
            </w:r>
          </w:p>
          <w:p w14:paraId="7E55B54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Orgazmo sutrikimai</w:t>
            </w:r>
          </w:p>
          <w:p w14:paraId="3918257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Nenormalūs sapnai</w:t>
            </w:r>
          </w:p>
        </w:tc>
        <w:tc>
          <w:tcPr>
            <w:tcW w:w="1560" w:type="dxa"/>
            <w:tcBorders>
              <w:top w:val="single" w:sz="4" w:space="0" w:color="auto"/>
              <w:left w:val="single" w:sz="4" w:space="0" w:color="auto"/>
              <w:bottom w:val="single" w:sz="4" w:space="0" w:color="auto"/>
              <w:right w:val="single" w:sz="4" w:space="0" w:color="auto"/>
            </w:tcBorders>
          </w:tcPr>
          <w:p w14:paraId="6E61CA0D"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vertAlign w:val="superscript"/>
              </w:rPr>
            </w:pPr>
            <w:r>
              <w:rPr>
                <w:rFonts w:ascii="Times New Roman" w:eastAsia="Times New Roman" w:hAnsi="Times New Roman" w:cs="Times New Roman"/>
                <w:snapToGrid w:val="0"/>
              </w:rPr>
              <w:t xml:space="preserve">Mintys apie savižudybę </w:t>
            </w:r>
            <w:r>
              <w:rPr>
                <w:rFonts w:ascii="Times New Roman" w:eastAsia="Times New Roman" w:hAnsi="Times New Roman" w:cs="Times New Roman"/>
                <w:snapToGrid w:val="0"/>
                <w:vertAlign w:val="superscript"/>
              </w:rPr>
              <w:t>5, 7</w:t>
            </w:r>
          </w:p>
          <w:p w14:paraId="389138A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Miego sutrikimai</w:t>
            </w:r>
          </w:p>
          <w:p w14:paraId="36382AAD"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Dantų griežimas</w:t>
            </w:r>
          </w:p>
          <w:p w14:paraId="23CA02E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Dezorientacija</w:t>
            </w:r>
          </w:p>
          <w:p w14:paraId="17DEC392"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Apatija</w:t>
            </w:r>
          </w:p>
          <w:p w14:paraId="5801757B"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701" w:type="dxa"/>
            <w:tcBorders>
              <w:top w:val="single" w:sz="4" w:space="0" w:color="auto"/>
              <w:left w:val="single" w:sz="4" w:space="0" w:color="auto"/>
              <w:bottom w:val="single" w:sz="4" w:space="0" w:color="auto"/>
              <w:right w:val="single" w:sz="4" w:space="0" w:color="auto"/>
            </w:tcBorders>
          </w:tcPr>
          <w:p w14:paraId="4B04C76D"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vertAlign w:val="superscript"/>
              </w:rPr>
            </w:pPr>
            <w:r>
              <w:rPr>
                <w:rFonts w:ascii="Times New Roman" w:eastAsia="Times New Roman" w:hAnsi="Times New Roman" w:cs="Times New Roman"/>
                <w:snapToGrid w:val="0"/>
              </w:rPr>
              <w:t>Savižudiškas elgesys</w:t>
            </w:r>
            <w:r>
              <w:rPr>
                <w:rFonts w:ascii="Times New Roman" w:eastAsia="Times New Roman" w:hAnsi="Times New Roman" w:cs="Times New Roman"/>
                <w:snapToGrid w:val="0"/>
                <w:vertAlign w:val="superscript"/>
              </w:rPr>
              <w:t>5, 7</w:t>
            </w:r>
          </w:p>
          <w:p w14:paraId="11636EFA"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Manija</w:t>
            </w:r>
          </w:p>
          <w:p w14:paraId="2EA52026"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Haliucinacijos</w:t>
            </w:r>
          </w:p>
          <w:p w14:paraId="0FCF158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Agresija ir pyktis</w:t>
            </w:r>
            <w:r>
              <w:rPr>
                <w:rFonts w:ascii="Times New Roman" w:eastAsia="Times New Roman" w:hAnsi="Times New Roman" w:cs="Times New Roman"/>
                <w:snapToGrid w:val="0"/>
                <w:vertAlign w:val="superscript"/>
              </w:rPr>
              <w:t>4</w:t>
            </w:r>
          </w:p>
          <w:p w14:paraId="167A30C4"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701" w:type="dxa"/>
            <w:tcBorders>
              <w:top w:val="single" w:sz="4" w:space="0" w:color="auto"/>
              <w:left w:val="single" w:sz="4" w:space="0" w:color="auto"/>
              <w:bottom w:val="single" w:sz="4" w:space="0" w:color="auto"/>
              <w:right w:val="single" w:sz="4" w:space="0" w:color="auto"/>
            </w:tcBorders>
          </w:tcPr>
          <w:p w14:paraId="68AD9CAD"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67609201"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54D9487F"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45836F5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Nervų sistemos sutrikimai</w:t>
            </w:r>
          </w:p>
        </w:tc>
        <w:tc>
          <w:tcPr>
            <w:tcW w:w="1835" w:type="dxa"/>
            <w:tcBorders>
              <w:top w:val="single" w:sz="4" w:space="0" w:color="auto"/>
              <w:left w:val="single" w:sz="4" w:space="0" w:color="auto"/>
              <w:bottom w:val="single" w:sz="4" w:space="0" w:color="auto"/>
              <w:right w:val="single" w:sz="4" w:space="0" w:color="auto"/>
            </w:tcBorders>
          </w:tcPr>
          <w:p w14:paraId="5E53EDDE"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6BE63911" w14:textId="77777777">
        <w:tc>
          <w:tcPr>
            <w:tcW w:w="1129" w:type="dxa"/>
            <w:tcBorders>
              <w:top w:val="single" w:sz="4" w:space="0" w:color="auto"/>
              <w:left w:val="single" w:sz="4" w:space="0" w:color="auto"/>
              <w:bottom w:val="single" w:sz="4" w:space="0" w:color="auto"/>
              <w:right w:val="single" w:sz="4" w:space="0" w:color="auto"/>
            </w:tcBorders>
            <w:hideMark/>
          </w:tcPr>
          <w:p w14:paraId="2EBF0ABA"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Galvos skausmas</w:t>
            </w:r>
          </w:p>
          <w:p w14:paraId="720B4C32"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Somnolencija</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36771712"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Svaigulys</w:t>
            </w:r>
          </w:p>
          <w:p w14:paraId="11BCDF9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Letargija</w:t>
            </w:r>
          </w:p>
          <w:p w14:paraId="15DA535D"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Tremoras</w:t>
            </w:r>
          </w:p>
          <w:p w14:paraId="73BCD06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Parestezija</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2D93F36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Mioklonusas</w:t>
            </w:r>
            <w:proofErr w:type="spellEnd"/>
          </w:p>
          <w:p w14:paraId="1FEDBD8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Akatizija</w:t>
            </w:r>
            <w:r>
              <w:rPr>
                <w:rFonts w:ascii="Times New Roman" w:eastAsia="Times New Roman" w:hAnsi="Times New Roman" w:cs="Times New Roman"/>
                <w:snapToGrid w:val="0"/>
                <w:vertAlign w:val="superscript"/>
              </w:rPr>
              <w:t>7</w:t>
            </w:r>
          </w:p>
          <w:p w14:paraId="7E8C3788"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Nervingumas</w:t>
            </w:r>
          </w:p>
          <w:p w14:paraId="643B60A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Dėmesio sutrikimas</w:t>
            </w:r>
          </w:p>
          <w:p w14:paraId="54F7D76F"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Disgeuzija</w:t>
            </w:r>
            <w:proofErr w:type="spellEnd"/>
          </w:p>
          <w:p w14:paraId="4310A55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Diskinezija</w:t>
            </w:r>
            <w:proofErr w:type="spellEnd"/>
          </w:p>
          <w:p w14:paraId="70A33F7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Neramių kojų sindromas</w:t>
            </w:r>
          </w:p>
          <w:p w14:paraId="41C76C30"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Bloga miego kokybė</w:t>
            </w:r>
          </w:p>
        </w:tc>
        <w:tc>
          <w:tcPr>
            <w:tcW w:w="1701" w:type="dxa"/>
            <w:tcBorders>
              <w:top w:val="single" w:sz="4" w:space="0" w:color="auto"/>
              <w:left w:val="single" w:sz="4" w:space="0" w:color="auto"/>
              <w:bottom w:val="single" w:sz="4" w:space="0" w:color="auto"/>
              <w:right w:val="single" w:sz="4" w:space="0" w:color="auto"/>
            </w:tcBorders>
          </w:tcPr>
          <w:p w14:paraId="1A8E35E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Serotonininis</w:t>
            </w:r>
            <w:proofErr w:type="spellEnd"/>
            <w:r>
              <w:rPr>
                <w:rFonts w:ascii="Times New Roman" w:eastAsia="Times New Roman" w:hAnsi="Times New Roman" w:cs="Times New Roman"/>
                <w:snapToGrid w:val="0"/>
              </w:rPr>
              <w:t xml:space="preserve"> sindromas</w:t>
            </w:r>
            <w:r>
              <w:rPr>
                <w:rFonts w:ascii="Times New Roman" w:eastAsia="Times New Roman" w:hAnsi="Times New Roman" w:cs="Times New Roman"/>
                <w:snapToGrid w:val="0"/>
                <w:vertAlign w:val="superscript"/>
              </w:rPr>
              <w:t>6</w:t>
            </w:r>
          </w:p>
          <w:p w14:paraId="5CB65E78"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Konvulsijos</w:t>
            </w:r>
          </w:p>
          <w:p w14:paraId="5B52F7F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Psichomotorinis</w:t>
            </w:r>
            <w:proofErr w:type="spellEnd"/>
            <w:r>
              <w:rPr>
                <w:rFonts w:ascii="Times New Roman" w:eastAsia="Times New Roman" w:hAnsi="Times New Roman" w:cs="Times New Roman"/>
                <w:snapToGrid w:val="0"/>
              </w:rPr>
              <w:t xml:space="preserve"> neramumas</w:t>
            </w:r>
            <w:r>
              <w:rPr>
                <w:rFonts w:ascii="Times New Roman" w:eastAsia="Times New Roman" w:hAnsi="Times New Roman" w:cs="Times New Roman"/>
                <w:snapToGrid w:val="0"/>
                <w:vertAlign w:val="superscript"/>
              </w:rPr>
              <w:t>6</w:t>
            </w:r>
          </w:p>
          <w:p w14:paraId="190068F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vertAlign w:val="superscript"/>
              </w:rPr>
            </w:pPr>
            <w:proofErr w:type="spellStart"/>
            <w:r>
              <w:rPr>
                <w:rFonts w:ascii="Times New Roman" w:eastAsia="Times New Roman" w:hAnsi="Times New Roman" w:cs="Times New Roman"/>
                <w:snapToGrid w:val="0"/>
              </w:rPr>
              <w:t>Ekstrapiramidiniai</w:t>
            </w:r>
            <w:proofErr w:type="spellEnd"/>
            <w:r>
              <w:rPr>
                <w:rFonts w:ascii="Times New Roman" w:eastAsia="Times New Roman" w:hAnsi="Times New Roman" w:cs="Times New Roman"/>
                <w:snapToGrid w:val="0"/>
              </w:rPr>
              <w:t xml:space="preserve"> simptomai</w:t>
            </w:r>
            <w:r>
              <w:rPr>
                <w:rFonts w:ascii="Times New Roman" w:eastAsia="Times New Roman" w:hAnsi="Times New Roman" w:cs="Times New Roman"/>
                <w:snapToGrid w:val="0"/>
                <w:vertAlign w:val="superscript"/>
              </w:rPr>
              <w:t>6</w:t>
            </w:r>
          </w:p>
          <w:p w14:paraId="3FC6E30E"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701" w:type="dxa"/>
            <w:tcBorders>
              <w:top w:val="single" w:sz="4" w:space="0" w:color="auto"/>
              <w:left w:val="single" w:sz="4" w:space="0" w:color="auto"/>
              <w:bottom w:val="single" w:sz="4" w:space="0" w:color="auto"/>
              <w:right w:val="single" w:sz="4" w:space="0" w:color="auto"/>
            </w:tcBorders>
          </w:tcPr>
          <w:p w14:paraId="4C017371"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6EB68A58"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5B49227A"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7A283EFA"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Akių sutrikimai</w:t>
            </w:r>
          </w:p>
        </w:tc>
        <w:tc>
          <w:tcPr>
            <w:tcW w:w="1835" w:type="dxa"/>
            <w:tcBorders>
              <w:top w:val="single" w:sz="4" w:space="0" w:color="auto"/>
              <w:left w:val="single" w:sz="4" w:space="0" w:color="auto"/>
              <w:bottom w:val="single" w:sz="4" w:space="0" w:color="auto"/>
              <w:right w:val="single" w:sz="4" w:space="0" w:color="auto"/>
            </w:tcBorders>
          </w:tcPr>
          <w:p w14:paraId="7504FC1F"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1274C35A" w14:textId="77777777">
        <w:tc>
          <w:tcPr>
            <w:tcW w:w="1129" w:type="dxa"/>
            <w:tcBorders>
              <w:top w:val="single" w:sz="4" w:space="0" w:color="auto"/>
              <w:left w:val="single" w:sz="4" w:space="0" w:color="auto"/>
              <w:bottom w:val="single" w:sz="4" w:space="0" w:color="auto"/>
              <w:right w:val="single" w:sz="4" w:space="0" w:color="auto"/>
            </w:tcBorders>
          </w:tcPr>
          <w:p w14:paraId="1FBC8DD8"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1F9A640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Neryškus matymas</w:t>
            </w:r>
          </w:p>
        </w:tc>
        <w:tc>
          <w:tcPr>
            <w:tcW w:w="1560" w:type="dxa"/>
            <w:tcBorders>
              <w:top w:val="single" w:sz="4" w:space="0" w:color="auto"/>
              <w:left w:val="single" w:sz="4" w:space="0" w:color="auto"/>
              <w:bottom w:val="single" w:sz="4" w:space="0" w:color="auto"/>
              <w:right w:val="single" w:sz="4" w:space="0" w:color="auto"/>
            </w:tcBorders>
            <w:hideMark/>
          </w:tcPr>
          <w:p w14:paraId="00FCEC4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Midriazė</w:t>
            </w:r>
            <w:proofErr w:type="spellEnd"/>
          </w:p>
          <w:p w14:paraId="0200A042"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Regos sutrikimas</w:t>
            </w:r>
          </w:p>
        </w:tc>
        <w:tc>
          <w:tcPr>
            <w:tcW w:w="1701" w:type="dxa"/>
            <w:tcBorders>
              <w:top w:val="single" w:sz="4" w:space="0" w:color="auto"/>
              <w:left w:val="single" w:sz="4" w:space="0" w:color="auto"/>
              <w:bottom w:val="single" w:sz="4" w:space="0" w:color="auto"/>
              <w:right w:val="single" w:sz="4" w:space="0" w:color="auto"/>
            </w:tcBorders>
            <w:hideMark/>
          </w:tcPr>
          <w:p w14:paraId="6D10B641"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Glaukoma</w:t>
            </w:r>
          </w:p>
        </w:tc>
        <w:tc>
          <w:tcPr>
            <w:tcW w:w="1701" w:type="dxa"/>
            <w:tcBorders>
              <w:top w:val="single" w:sz="4" w:space="0" w:color="auto"/>
              <w:left w:val="single" w:sz="4" w:space="0" w:color="auto"/>
              <w:bottom w:val="single" w:sz="4" w:space="0" w:color="auto"/>
              <w:right w:val="single" w:sz="4" w:space="0" w:color="auto"/>
            </w:tcBorders>
          </w:tcPr>
          <w:p w14:paraId="352CBC62"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1043C1F6"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75DB4B03"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2477040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Ausų ir labirintų sutrikimai</w:t>
            </w:r>
          </w:p>
        </w:tc>
        <w:tc>
          <w:tcPr>
            <w:tcW w:w="1835" w:type="dxa"/>
            <w:tcBorders>
              <w:top w:val="single" w:sz="4" w:space="0" w:color="auto"/>
              <w:left w:val="single" w:sz="4" w:space="0" w:color="auto"/>
              <w:bottom w:val="single" w:sz="4" w:space="0" w:color="auto"/>
              <w:right w:val="single" w:sz="4" w:space="0" w:color="auto"/>
            </w:tcBorders>
          </w:tcPr>
          <w:p w14:paraId="04E23A18"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538728D7" w14:textId="77777777">
        <w:tc>
          <w:tcPr>
            <w:tcW w:w="1129" w:type="dxa"/>
            <w:tcBorders>
              <w:top w:val="single" w:sz="4" w:space="0" w:color="auto"/>
              <w:left w:val="single" w:sz="4" w:space="0" w:color="auto"/>
              <w:bottom w:val="single" w:sz="4" w:space="0" w:color="auto"/>
              <w:right w:val="single" w:sz="4" w:space="0" w:color="auto"/>
            </w:tcBorders>
          </w:tcPr>
          <w:p w14:paraId="78D996F1"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4E80884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Ūžesys (</w:t>
            </w:r>
            <w:proofErr w:type="spellStart"/>
            <w:r>
              <w:rPr>
                <w:rFonts w:ascii="Times New Roman" w:eastAsia="Times New Roman" w:hAnsi="Times New Roman" w:cs="Times New Roman"/>
                <w:i/>
                <w:snapToGrid w:val="0"/>
              </w:rPr>
              <w:t>tinnitus</w:t>
            </w:r>
            <w:proofErr w:type="spellEnd"/>
            <w:r>
              <w:rPr>
                <w:rFonts w:ascii="Times New Roman" w:eastAsia="Times New Roman" w:hAnsi="Times New Roman" w:cs="Times New Roman"/>
                <w:snapToGrid w:val="0"/>
              </w:rPr>
              <w:t>)</w:t>
            </w:r>
            <w:r>
              <w:rPr>
                <w:rFonts w:ascii="Times New Roman" w:eastAsia="Times New Roman" w:hAnsi="Times New Roman" w:cs="Times New Roman"/>
                <w:snapToGrid w:val="0"/>
                <w:vertAlign w:val="superscript"/>
              </w:rPr>
              <w:t>1</w:t>
            </w:r>
          </w:p>
        </w:tc>
        <w:tc>
          <w:tcPr>
            <w:tcW w:w="1560" w:type="dxa"/>
            <w:tcBorders>
              <w:top w:val="single" w:sz="4" w:space="0" w:color="auto"/>
              <w:left w:val="single" w:sz="4" w:space="0" w:color="auto"/>
              <w:bottom w:val="single" w:sz="4" w:space="0" w:color="auto"/>
              <w:right w:val="single" w:sz="4" w:space="0" w:color="auto"/>
            </w:tcBorders>
            <w:hideMark/>
          </w:tcPr>
          <w:p w14:paraId="33F8AE7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Galvos sukimasis (</w:t>
            </w:r>
            <w:proofErr w:type="spellStart"/>
            <w:r>
              <w:rPr>
                <w:rFonts w:ascii="Times New Roman" w:eastAsia="Times New Roman" w:hAnsi="Times New Roman" w:cs="Times New Roman"/>
                <w:i/>
                <w:snapToGrid w:val="0"/>
              </w:rPr>
              <w:t>vertigo</w:t>
            </w:r>
            <w:proofErr w:type="spellEnd"/>
            <w:r>
              <w:rPr>
                <w:rFonts w:ascii="Times New Roman" w:eastAsia="Times New Roman" w:hAnsi="Times New Roman" w:cs="Times New Roman"/>
                <w:snapToGrid w:val="0"/>
              </w:rPr>
              <w:t>)</w:t>
            </w:r>
          </w:p>
          <w:p w14:paraId="664AA8B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Ausies skausmas</w:t>
            </w:r>
          </w:p>
        </w:tc>
        <w:tc>
          <w:tcPr>
            <w:tcW w:w="1701" w:type="dxa"/>
            <w:tcBorders>
              <w:top w:val="single" w:sz="4" w:space="0" w:color="auto"/>
              <w:left w:val="single" w:sz="4" w:space="0" w:color="auto"/>
              <w:bottom w:val="single" w:sz="4" w:space="0" w:color="auto"/>
              <w:right w:val="single" w:sz="4" w:space="0" w:color="auto"/>
            </w:tcBorders>
          </w:tcPr>
          <w:p w14:paraId="5937038A"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701" w:type="dxa"/>
            <w:tcBorders>
              <w:top w:val="single" w:sz="4" w:space="0" w:color="auto"/>
              <w:left w:val="single" w:sz="4" w:space="0" w:color="auto"/>
              <w:bottom w:val="single" w:sz="4" w:space="0" w:color="auto"/>
              <w:right w:val="single" w:sz="4" w:space="0" w:color="auto"/>
            </w:tcBorders>
          </w:tcPr>
          <w:p w14:paraId="2E8FB288"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59C0C660"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0791341C"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0336A36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Širdies sutrikimai</w:t>
            </w:r>
          </w:p>
        </w:tc>
        <w:tc>
          <w:tcPr>
            <w:tcW w:w="1835" w:type="dxa"/>
            <w:tcBorders>
              <w:top w:val="single" w:sz="4" w:space="0" w:color="auto"/>
              <w:left w:val="single" w:sz="4" w:space="0" w:color="auto"/>
              <w:bottom w:val="single" w:sz="4" w:space="0" w:color="auto"/>
              <w:right w:val="single" w:sz="4" w:space="0" w:color="auto"/>
            </w:tcBorders>
          </w:tcPr>
          <w:p w14:paraId="6226DA4A"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36EB5343" w14:textId="77777777">
        <w:tc>
          <w:tcPr>
            <w:tcW w:w="1129" w:type="dxa"/>
            <w:tcBorders>
              <w:top w:val="single" w:sz="4" w:space="0" w:color="auto"/>
              <w:left w:val="single" w:sz="4" w:space="0" w:color="auto"/>
              <w:bottom w:val="single" w:sz="4" w:space="0" w:color="auto"/>
              <w:right w:val="single" w:sz="4" w:space="0" w:color="auto"/>
            </w:tcBorders>
          </w:tcPr>
          <w:p w14:paraId="6888DDE0"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65B4D40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Palpitacijos</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65381CB0"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Tachikardija</w:t>
            </w:r>
          </w:p>
          <w:p w14:paraId="34B1729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Supraventrikulinė</w:t>
            </w:r>
            <w:proofErr w:type="spellEnd"/>
            <w:r>
              <w:rPr>
                <w:rFonts w:ascii="Times New Roman" w:eastAsia="Times New Roman" w:hAnsi="Times New Roman" w:cs="Times New Roman"/>
                <w:snapToGrid w:val="0"/>
              </w:rPr>
              <w:t xml:space="preserve"> aritmija, daugiausiai prieširdžių virpėjimas</w:t>
            </w:r>
          </w:p>
        </w:tc>
        <w:tc>
          <w:tcPr>
            <w:tcW w:w="1701" w:type="dxa"/>
            <w:tcBorders>
              <w:top w:val="single" w:sz="4" w:space="0" w:color="auto"/>
              <w:left w:val="single" w:sz="4" w:space="0" w:color="auto"/>
              <w:bottom w:val="single" w:sz="4" w:space="0" w:color="auto"/>
              <w:right w:val="single" w:sz="4" w:space="0" w:color="auto"/>
            </w:tcBorders>
          </w:tcPr>
          <w:p w14:paraId="1685DEDA"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701" w:type="dxa"/>
            <w:tcBorders>
              <w:top w:val="single" w:sz="4" w:space="0" w:color="auto"/>
              <w:left w:val="single" w:sz="4" w:space="0" w:color="auto"/>
              <w:bottom w:val="single" w:sz="4" w:space="0" w:color="auto"/>
              <w:right w:val="single" w:sz="4" w:space="0" w:color="auto"/>
            </w:tcBorders>
          </w:tcPr>
          <w:p w14:paraId="28C31C6D"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6026432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Streso sukelta kardiomiopatija (</w:t>
            </w:r>
            <w:proofErr w:type="spellStart"/>
            <w:r>
              <w:rPr>
                <w:rFonts w:ascii="Times New Roman" w:eastAsia="Times New Roman" w:hAnsi="Times New Roman" w:cs="Times New Roman"/>
                <w:snapToGrid w:val="0"/>
              </w:rPr>
              <w:t>Takotsubo</w:t>
            </w:r>
            <w:proofErr w:type="spellEnd"/>
            <w:r>
              <w:rPr>
                <w:rFonts w:ascii="Times New Roman" w:eastAsia="Times New Roman" w:hAnsi="Times New Roman" w:cs="Times New Roman"/>
                <w:snapToGrid w:val="0"/>
              </w:rPr>
              <w:t xml:space="preserve"> kardiomiopatija)</w:t>
            </w:r>
          </w:p>
        </w:tc>
      </w:tr>
      <w:tr w:rsidR="00D60365" w14:paraId="50DE7194"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7CE6033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Kraujagyslių sutrikimai</w:t>
            </w:r>
          </w:p>
        </w:tc>
        <w:tc>
          <w:tcPr>
            <w:tcW w:w="1835" w:type="dxa"/>
            <w:tcBorders>
              <w:top w:val="single" w:sz="4" w:space="0" w:color="auto"/>
              <w:left w:val="single" w:sz="4" w:space="0" w:color="auto"/>
              <w:bottom w:val="single" w:sz="4" w:space="0" w:color="auto"/>
              <w:right w:val="single" w:sz="4" w:space="0" w:color="auto"/>
            </w:tcBorders>
          </w:tcPr>
          <w:p w14:paraId="1F170318"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5BCE0381" w14:textId="77777777">
        <w:tc>
          <w:tcPr>
            <w:tcW w:w="1129" w:type="dxa"/>
            <w:tcBorders>
              <w:top w:val="single" w:sz="4" w:space="0" w:color="auto"/>
              <w:left w:val="single" w:sz="4" w:space="0" w:color="auto"/>
              <w:bottom w:val="single" w:sz="4" w:space="0" w:color="auto"/>
              <w:right w:val="single" w:sz="4" w:space="0" w:color="auto"/>
            </w:tcBorders>
          </w:tcPr>
          <w:p w14:paraId="00B82E02"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34C9C42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Kraujospūdžio padidėjimas</w:t>
            </w:r>
            <w:r>
              <w:rPr>
                <w:rFonts w:ascii="Times New Roman" w:eastAsia="Times New Roman" w:hAnsi="Times New Roman" w:cs="Times New Roman"/>
                <w:snapToGrid w:val="0"/>
                <w:vertAlign w:val="superscript"/>
              </w:rPr>
              <w:t>3</w:t>
            </w:r>
          </w:p>
          <w:p w14:paraId="3B766282"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Veido ir kaklo paraudimas su karščio pojūčiu</w:t>
            </w:r>
          </w:p>
        </w:tc>
        <w:tc>
          <w:tcPr>
            <w:tcW w:w="1560" w:type="dxa"/>
            <w:tcBorders>
              <w:top w:val="single" w:sz="4" w:space="0" w:color="auto"/>
              <w:left w:val="single" w:sz="4" w:space="0" w:color="auto"/>
              <w:bottom w:val="single" w:sz="4" w:space="0" w:color="auto"/>
              <w:right w:val="single" w:sz="4" w:space="0" w:color="auto"/>
            </w:tcBorders>
            <w:hideMark/>
          </w:tcPr>
          <w:p w14:paraId="47ADFAD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Sinkopė</w:t>
            </w:r>
            <w:r>
              <w:rPr>
                <w:rFonts w:ascii="Times New Roman" w:eastAsia="Times New Roman" w:hAnsi="Times New Roman" w:cs="Times New Roman"/>
                <w:snapToGrid w:val="0"/>
                <w:vertAlign w:val="superscript"/>
              </w:rPr>
              <w:t>2</w:t>
            </w:r>
          </w:p>
          <w:p w14:paraId="787DEC8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Hipertenzija</w:t>
            </w:r>
            <w:r>
              <w:rPr>
                <w:rFonts w:ascii="Times New Roman" w:eastAsia="Times New Roman" w:hAnsi="Times New Roman" w:cs="Times New Roman"/>
                <w:snapToGrid w:val="0"/>
                <w:vertAlign w:val="superscript"/>
              </w:rPr>
              <w:t>3, 7</w:t>
            </w:r>
          </w:p>
          <w:p w14:paraId="11E763F0"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Ortostatinė</w:t>
            </w:r>
            <w:proofErr w:type="spellEnd"/>
            <w:r>
              <w:rPr>
                <w:rFonts w:ascii="Times New Roman" w:eastAsia="Times New Roman" w:hAnsi="Times New Roman" w:cs="Times New Roman"/>
                <w:snapToGrid w:val="0"/>
              </w:rPr>
              <w:t xml:space="preserve"> hipotenzija</w:t>
            </w:r>
            <w:r>
              <w:rPr>
                <w:rFonts w:ascii="Times New Roman" w:eastAsia="Times New Roman" w:hAnsi="Times New Roman" w:cs="Times New Roman"/>
                <w:snapToGrid w:val="0"/>
                <w:vertAlign w:val="superscript"/>
              </w:rPr>
              <w:t>2</w:t>
            </w:r>
          </w:p>
          <w:p w14:paraId="74F1BBE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Šaltos galūnės</w:t>
            </w:r>
          </w:p>
        </w:tc>
        <w:tc>
          <w:tcPr>
            <w:tcW w:w="1701" w:type="dxa"/>
            <w:tcBorders>
              <w:top w:val="single" w:sz="4" w:space="0" w:color="auto"/>
              <w:left w:val="single" w:sz="4" w:space="0" w:color="auto"/>
              <w:bottom w:val="single" w:sz="4" w:space="0" w:color="auto"/>
              <w:right w:val="single" w:sz="4" w:space="0" w:color="auto"/>
            </w:tcBorders>
            <w:hideMark/>
          </w:tcPr>
          <w:p w14:paraId="78C1DB2A"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vertAlign w:val="superscript"/>
              </w:rPr>
            </w:pPr>
            <w:proofErr w:type="spellStart"/>
            <w:r>
              <w:rPr>
                <w:rFonts w:ascii="Times New Roman" w:eastAsia="Times New Roman" w:hAnsi="Times New Roman" w:cs="Times New Roman"/>
                <w:snapToGrid w:val="0"/>
              </w:rPr>
              <w:t>Hipertenzinė</w:t>
            </w:r>
            <w:proofErr w:type="spellEnd"/>
            <w:r>
              <w:rPr>
                <w:rFonts w:ascii="Times New Roman" w:eastAsia="Times New Roman" w:hAnsi="Times New Roman" w:cs="Times New Roman"/>
                <w:snapToGrid w:val="0"/>
              </w:rPr>
              <w:t xml:space="preserve"> krizė</w:t>
            </w:r>
            <w:r>
              <w:rPr>
                <w:rFonts w:ascii="Times New Roman" w:eastAsia="Times New Roman" w:hAnsi="Times New Roman" w:cs="Times New Roman"/>
                <w:snapToGrid w:val="0"/>
                <w:vertAlign w:val="superscript"/>
              </w:rPr>
              <w:t>3,6</w:t>
            </w:r>
          </w:p>
        </w:tc>
        <w:tc>
          <w:tcPr>
            <w:tcW w:w="1701" w:type="dxa"/>
            <w:tcBorders>
              <w:top w:val="single" w:sz="4" w:space="0" w:color="auto"/>
              <w:left w:val="single" w:sz="4" w:space="0" w:color="auto"/>
              <w:bottom w:val="single" w:sz="4" w:space="0" w:color="auto"/>
              <w:right w:val="single" w:sz="4" w:space="0" w:color="auto"/>
            </w:tcBorders>
          </w:tcPr>
          <w:p w14:paraId="4001C315"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1EA5DAF7"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37B528CF"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09695A8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Kvėpavimo sistemos, krūtinės ląstos ir tarpuplaučio sutrikimai</w:t>
            </w:r>
          </w:p>
        </w:tc>
        <w:tc>
          <w:tcPr>
            <w:tcW w:w="1835" w:type="dxa"/>
            <w:tcBorders>
              <w:top w:val="single" w:sz="4" w:space="0" w:color="auto"/>
              <w:left w:val="single" w:sz="4" w:space="0" w:color="auto"/>
              <w:bottom w:val="single" w:sz="4" w:space="0" w:color="auto"/>
              <w:right w:val="single" w:sz="4" w:space="0" w:color="auto"/>
            </w:tcBorders>
          </w:tcPr>
          <w:p w14:paraId="29C2F81D"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25DF70F9" w14:textId="77777777">
        <w:tc>
          <w:tcPr>
            <w:tcW w:w="1129" w:type="dxa"/>
            <w:tcBorders>
              <w:top w:val="single" w:sz="4" w:space="0" w:color="auto"/>
              <w:left w:val="single" w:sz="4" w:space="0" w:color="auto"/>
              <w:bottom w:val="single" w:sz="4" w:space="0" w:color="auto"/>
              <w:right w:val="single" w:sz="4" w:space="0" w:color="auto"/>
            </w:tcBorders>
          </w:tcPr>
          <w:p w14:paraId="3BEB507C"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4D7B833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Žiovulys</w:t>
            </w:r>
          </w:p>
        </w:tc>
        <w:tc>
          <w:tcPr>
            <w:tcW w:w="1560" w:type="dxa"/>
            <w:tcBorders>
              <w:top w:val="single" w:sz="4" w:space="0" w:color="auto"/>
              <w:left w:val="single" w:sz="4" w:space="0" w:color="auto"/>
              <w:bottom w:val="single" w:sz="4" w:space="0" w:color="auto"/>
              <w:right w:val="single" w:sz="4" w:space="0" w:color="auto"/>
            </w:tcBorders>
            <w:hideMark/>
          </w:tcPr>
          <w:p w14:paraId="166654A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Gerklės veržimas</w:t>
            </w:r>
          </w:p>
          <w:p w14:paraId="6EC9C1C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Epistaksė</w:t>
            </w:r>
            <w:proofErr w:type="spellEnd"/>
          </w:p>
        </w:tc>
        <w:tc>
          <w:tcPr>
            <w:tcW w:w="1701" w:type="dxa"/>
            <w:tcBorders>
              <w:top w:val="single" w:sz="4" w:space="0" w:color="auto"/>
              <w:left w:val="single" w:sz="4" w:space="0" w:color="auto"/>
              <w:bottom w:val="single" w:sz="4" w:space="0" w:color="auto"/>
              <w:right w:val="single" w:sz="4" w:space="0" w:color="auto"/>
            </w:tcBorders>
          </w:tcPr>
          <w:p w14:paraId="4D1B39C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Intersticinė</w:t>
            </w:r>
            <w:proofErr w:type="spellEnd"/>
            <w:r>
              <w:rPr>
                <w:rFonts w:ascii="Times New Roman" w:eastAsia="Times New Roman" w:hAnsi="Times New Roman" w:cs="Times New Roman"/>
                <w:snapToGrid w:val="0"/>
              </w:rPr>
              <w:t xml:space="preserve"> plaučių liga</w:t>
            </w:r>
            <w:r>
              <w:rPr>
                <w:rFonts w:ascii="Times New Roman" w:eastAsia="Times New Roman" w:hAnsi="Times New Roman" w:cs="Times New Roman"/>
                <w:snapToGrid w:val="0"/>
                <w:vertAlign w:val="superscript"/>
              </w:rPr>
              <w:t>10</w:t>
            </w:r>
          </w:p>
          <w:p w14:paraId="2885069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Eozinofilinė</w:t>
            </w:r>
            <w:proofErr w:type="spellEnd"/>
            <w:r>
              <w:rPr>
                <w:rFonts w:ascii="Times New Roman" w:eastAsia="Times New Roman" w:hAnsi="Times New Roman" w:cs="Times New Roman"/>
                <w:snapToGrid w:val="0"/>
              </w:rPr>
              <w:t xml:space="preserve"> pneumonija</w:t>
            </w:r>
            <w:r>
              <w:rPr>
                <w:rFonts w:ascii="Times New Roman" w:eastAsia="Times New Roman" w:hAnsi="Times New Roman" w:cs="Times New Roman"/>
                <w:snapToGrid w:val="0"/>
                <w:vertAlign w:val="superscript"/>
              </w:rPr>
              <w:t>6</w:t>
            </w:r>
          </w:p>
        </w:tc>
        <w:tc>
          <w:tcPr>
            <w:tcW w:w="1701" w:type="dxa"/>
            <w:tcBorders>
              <w:top w:val="single" w:sz="4" w:space="0" w:color="auto"/>
              <w:left w:val="single" w:sz="4" w:space="0" w:color="auto"/>
              <w:bottom w:val="single" w:sz="4" w:space="0" w:color="auto"/>
              <w:right w:val="single" w:sz="4" w:space="0" w:color="auto"/>
            </w:tcBorders>
          </w:tcPr>
          <w:p w14:paraId="125A097A"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232A3928"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514F799B"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07FDD83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Virškinimo trakto sutrikimai</w:t>
            </w:r>
          </w:p>
        </w:tc>
        <w:tc>
          <w:tcPr>
            <w:tcW w:w="1835" w:type="dxa"/>
            <w:tcBorders>
              <w:top w:val="single" w:sz="4" w:space="0" w:color="auto"/>
              <w:left w:val="single" w:sz="4" w:space="0" w:color="auto"/>
              <w:bottom w:val="single" w:sz="4" w:space="0" w:color="auto"/>
              <w:right w:val="single" w:sz="4" w:space="0" w:color="auto"/>
            </w:tcBorders>
          </w:tcPr>
          <w:p w14:paraId="305BEAE7"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0D245B02" w14:textId="77777777">
        <w:tc>
          <w:tcPr>
            <w:tcW w:w="1129" w:type="dxa"/>
            <w:tcBorders>
              <w:top w:val="single" w:sz="4" w:space="0" w:color="auto"/>
              <w:left w:val="single" w:sz="4" w:space="0" w:color="auto"/>
              <w:bottom w:val="single" w:sz="4" w:space="0" w:color="auto"/>
              <w:right w:val="single" w:sz="4" w:space="0" w:color="auto"/>
            </w:tcBorders>
            <w:hideMark/>
          </w:tcPr>
          <w:p w14:paraId="70F91968"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Pykinimas</w:t>
            </w:r>
          </w:p>
          <w:p w14:paraId="1F508C6A"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Burnos džiūvimas</w:t>
            </w:r>
          </w:p>
        </w:tc>
        <w:tc>
          <w:tcPr>
            <w:tcW w:w="1134" w:type="dxa"/>
            <w:tcBorders>
              <w:top w:val="single" w:sz="4" w:space="0" w:color="auto"/>
              <w:left w:val="single" w:sz="4" w:space="0" w:color="auto"/>
              <w:bottom w:val="single" w:sz="4" w:space="0" w:color="auto"/>
              <w:right w:val="single" w:sz="4" w:space="0" w:color="auto"/>
            </w:tcBorders>
            <w:hideMark/>
          </w:tcPr>
          <w:p w14:paraId="70278C0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Vidurių užkietėjimas</w:t>
            </w:r>
          </w:p>
          <w:p w14:paraId="3834F53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Viduriavimas</w:t>
            </w:r>
          </w:p>
          <w:p w14:paraId="62B009D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Pilvo skausmas</w:t>
            </w:r>
          </w:p>
          <w:p w14:paraId="16761BD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Vėmimas</w:t>
            </w:r>
          </w:p>
          <w:p w14:paraId="4C1659A0"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Dispepsija</w:t>
            </w:r>
          </w:p>
          <w:p w14:paraId="10791F2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Vidurių pūtimas</w:t>
            </w:r>
          </w:p>
        </w:tc>
        <w:tc>
          <w:tcPr>
            <w:tcW w:w="1560" w:type="dxa"/>
            <w:tcBorders>
              <w:top w:val="single" w:sz="4" w:space="0" w:color="auto"/>
              <w:left w:val="single" w:sz="4" w:space="0" w:color="auto"/>
              <w:bottom w:val="single" w:sz="4" w:space="0" w:color="auto"/>
              <w:right w:val="single" w:sz="4" w:space="0" w:color="auto"/>
            </w:tcBorders>
            <w:hideMark/>
          </w:tcPr>
          <w:p w14:paraId="11ACCE5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Kraujavimas iš virškinimo trakto</w:t>
            </w:r>
            <w:r>
              <w:rPr>
                <w:rFonts w:ascii="Times New Roman" w:eastAsia="Times New Roman" w:hAnsi="Times New Roman" w:cs="Times New Roman"/>
                <w:snapToGrid w:val="0"/>
                <w:vertAlign w:val="superscript"/>
              </w:rPr>
              <w:t>7</w:t>
            </w:r>
          </w:p>
          <w:p w14:paraId="2D74E222"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Gastroenteritas</w:t>
            </w:r>
            <w:proofErr w:type="spellEnd"/>
          </w:p>
          <w:p w14:paraId="7813F5D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Raugulys</w:t>
            </w:r>
          </w:p>
          <w:p w14:paraId="30CBEC0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Gastritas</w:t>
            </w:r>
          </w:p>
          <w:p w14:paraId="1A2A08E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Disfagija</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9A56422"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Stomatitas</w:t>
            </w:r>
          </w:p>
          <w:p w14:paraId="38FF45B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Hematochezija</w:t>
            </w:r>
            <w:proofErr w:type="spellEnd"/>
          </w:p>
          <w:p w14:paraId="34235840"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Blogas burnos kvapas</w:t>
            </w:r>
          </w:p>
          <w:p w14:paraId="4AFD5B01"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Calibri" w:hAnsi="Times New Roman" w:cs="Times New Roman"/>
              </w:rPr>
              <w:t>Mikroskopinis kolitas</w:t>
            </w:r>
            <w:r>
              <w:rPr>
                <w:rFonts w:ascii="Times New Roman" w:eastAsia="Calibri" w:hAnsi="Times New Roman" w:cs="Times New Roman"/>
                <w:vertAlign w:val="superscript"/>
              </w:rPr>
              <w:t>9</w:t>
            </w:r>
          </w:p>
        </w:tc>
        <w:tc>
          <w:tcPr>
            <w:tcW w:w="1701" w:type="dxa"/>
            <w:tcBorders>
              <w:top w:val="single" w:sz="4" w:space="0" w:color="auto"/>
              <w:left w:val="single" w:sz="4" w:space="0" w:color="auto"/>
              <w:bottom w:val="single" w:sz="4" w:space="0" w:color="auto"/>
              <w:right w:val="single" w:sz="4" w:space="0" w:color="auto"/>
            </w:tcBorders>
          </w:tcPr>
          <w:p w14:paraId="74990156"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2CD5477D"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70F72EA7"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46C411F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Kepenų, tulžies pūslės ir latakų sutrikimai</w:t>
            </w:r>
          </w:p>
        </w:tc>
        <w:tc>
          <w:tcPr>
            <w:tcW w:w="1835" w:type="dxa"/>
            <w:tcBorders>
              <w:top w:val="single" w:sz="4" w:space="0" w:color="auto"/>
              <w:left w:val="single" w:sz="4" w:space="0" w:color="auto"/>
              <w:bottom w:val="single" w:sz="4" w:space="0" w:color="auto"/>
              <w:right w:val="single" w:sz="4" w:space="0" w:color="auto"/>
            </w:tcBorders>
          </w:tcPr>
          <w:p w14:paraId="6AF26AC6"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16B3E8D5" w14:textId="77777777">
        <w:tc>
          <w:tcPr>
            <w:tcW w:w="1129" w:type="dxa"/>
            <w:tcBorders>
              <w:top w:val="single" w:sz="4" w:space="0" w:color="auto"/>
              <w:left w:val="single" w:sz="4" w:space="0" w:color="auto"/>
              <w:bottom w:val="single" w:sz="4" w:space="0" w:color="auto"/>
              <w:right w:val="single" w:sz="4" w:space="0" w:color="auto"/>
            </w:tcBorders>
          </w:tcPr>
          <w:p w14:paraId="55C5BF44"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tcPr>
          <w:p w14:paraId="1E47849F"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560" w:type="dxa"/>
            <w:tcBorders>
              <w:top w:val="single" w:sz="4" w:space="0" w:color="auto"/>
              <w:left w:val="single" w:sz="4" w:space="0" w:color="auto"/>
              <w:bottom w:val="single" w:sz="4" w:space="0" w:color="auto"/>
              <w:right w:val="single" w:sz="4" w:space="0" w:color="auto"/>
            </w:tcBorders>
            <w:hideMark/>
          </w:tcPr>
          <w:p w14:paraId="38B79756"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Hepatitas</w:t>
            </w:r>
            <w:r>
              <w:rPr>
                <w:rFonts w:ascii="Times New Roman" w:eastAsia="Times New Roman" w:hAnsi="Times New Roman" w:cs="Times New Roman"/>
                <w:snapToGrid w:val="0"/>
                <w:vertAlign w:val="superscript"/>
              </w:rPr>
              <w:t>3</w:t>
            </w:r>
          </w:p>
          <w:p w14:paraId="7635945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Kepenų fermentų (ALT, AST, šarminės fosfatazės) aktyvumo kraujyje padidėjimas</w:t>
            </w:r>
          </w:p>
          <w:p w14:paraId="008875C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Ūminė kepenų pažaida</w:t>
            </w:r>
          </w:p>
        </w:tc>
        <w:tc>
          <w:tcPr>
            <w:tcW w:w="1701" w:type="dxa"/>
            <w:tcBorders>
              <w:top w:val="single" w:sz="4" w:space="0" w:color="auto"/>
              <w:left w:val="single" w:sz="4" w:space="0" w:color="auto"/>
              <w:bottom w:val="single" w:sz="4" w:space="0" w:color="auto"/>
              <w:right w:val="single" w:sz="4" w:space="0" w:color="auto"/>
            </w:tcBorders>
            <w:hideMark/>
          </w:tcPr>
          <w:p w14:paraId="0E1AC7D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vertAlign w:val="superscript"/>
              </w:rPr>
            </w:pPr>
            <w:r>
              <w:rPr>
                <w:rFonts w:ascii="Times New Roman" w:eastAsia="Times New Roman" w:hAnsi="Times New Roman" w:cs="Times New Roman"/>
                <w:snapToGrid w:val="0"/>
              </w:rPr>
              <w:t>Kepenų nepakankamumas</w:t>
            </w:r>
            <w:r>
              <w:rPr>
                <w:rFonts w:ascii="Times New Roman" w:eastAsia="Times New Roman" w:hAnsi="Times New Roman" w:cs="Times New Roman"/>
                <w:snapToGrid w:val="0"/>
                <w:vertAlign w:val="superscript"/>
              </w:rPr>
              <w:t>6</w:t>
            </w:r>
          </w:p>
          <w:p w14:paraId="3470F1E0"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vertAlign w:val="superscript"/>
              </w:rPr>
            </w:pPr>
            <w:r>
              <w:rPr>
                <w:rFonts w:ascii="Times New Roman" w:eastAsia="Times New Roman" w:hAnsi="Times New Roman" w:cs="Times New Roman"/>
                <w:snapToGrid w:val="0"/>
              </w:rPr>
              <w:t>Gelta</w:t>
            </w:r>
            <w:r>
              <w:rPr>
                <w:rFonts w:ascii="Times New Roman" w:eastAsia="Times New Roman" w:hAnsi="Times New Roman" w:cs="Times New Roman"/>
                <w:snapToGrid w:val="0"/>
                <w:vertAlign w:val="superscript"/>
              </w:rPr>
              <w:t>6</w:t>
            </w:r>
          </w:p>
        </w:tc>
        <w:tc>
          <w:tcPr>
            <w:tcW w:w="1701" w:type="dxa"/>
            <w:tcBorders>
              <w:top w:val="single" w:sz="4" w:space="0" w:color="auto"/>
              <w:left w:val="single" w:sz="4" w:space="0" w:color="auto"/>
              <w:bottom w:val="single" w:sz="4" w:space="0" w:color="auto"/>
              <w:right w:val="single" w:sz="4" w:space="0" w:color="auto"/>
            </w:tcBorders>
          </w:tcPr>
          <w:p w14:paraId="6BFBE5E4"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39AF5746"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28466567"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0EF7E30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Odos ir poodinio audinio sutrikimai</w:t>
            </w:r>
          </w:p>
        </w:tc>
        <w:tc>
          <w:tcPr>
            <w:tcW w:w="1835" w:type="dxa"/>
            <w:tcBorders>
              <w:top w:val="single" w:sz="4" w:space="0" w:color="auto"/>
              <w:left w:val="single" w:sz="4" w:space="0" w:color="auto"/>
              <w:bottom w:val="single" w:sz="4" w:space="0" w:color="auto"/>
              <w:right w:val="single" w:sz="4" w:space="0" w:color="auto"/>
            </w:tcBorders>
          </w:tcPr>
          <w:p w14:paraId="56CD97D3"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7B522F5E" w14:textId="77777777">
        <w:tc>
          <w:tcPr>
            <w:tcW w:w="1129" w:type="dxa"/>
            <w:tcBorders>
              <w:top w:val="single" w:sz="4" w:space="0" w:color="auto"/>
              <w:left w:val="single" w:sz="4" w:space="0" w:color="auto"/>
              <w:bottom w:val="single" w:sz="4" w:space="0" w:color="auto"/>
              <w:right w:val="single" w:sz="4" w:space="0" w:color="auto"/>
            </w:tcBorders>
          </w:tcPr>
          <w:p w14:paraId="2FACDB8A"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156EFCAD"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Padidėjęs prakaitavimas</w:t>
            </w:r>
          </w:p>
          <w:p w14:paraId="5DE02D8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Išbėrimas</w:t>
            </w:r>
          </w:p>
        </w:tc>
        <w:tc>
          <w:tcPr>
            <w:tcW w:w="1560" w:type="dxa"/>
            <w:tcBorders>
              <w:top w:val="single" w:sz="4" w:space="0" w:color="auto"/>
              <w:left w:val="single" w:sz="4" w:space="0" w:color="auto"/>
              <w:bottom w:val="single" w:sz="4" w:space="0" w:color="auto"/>
              <w:right w:val="single" w:sz="4" w:space="0" w:color="auto"/>
            </w:tcBorders>
            <w:hideMark/>
          </w:tcPr>
          <w:p w14:paraId="7C3F3BC0"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Prakaitavimas naktį</w:t>
            </w:r>
          </w:p>
          <w:p w14:paraId="20E43F4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Dilgėlinė</w:t>
            </w:r>
          </w:p>
          <w:p w14:paraId="6F5CF48A"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Kontaktinis dermatitas</w:t>
            </w:r>
          </w:p>
          <w:p w14:paraId="5C1E393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Šaltas prakaitas</w:t>
            </w:r>
          </w:p>
          <w:p w14:paraId="0E868A3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Padidėjusio jautrumo šviesai reakcijos</w:t>
            </w:r>
          </w:p>
          <w:p w14:paraId="5A721F06"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Polinkio į kraujosruvas padidėjimas</w:t>
            </w:r>
          </w:p>
        </w:tc>
        <w:tc>
          <w:tcPr>
            <w:tcW w:w="1701" w:type="dxa"/>
            <w:tcBorders>
              <w:top w:val="single" w:sz="4" w:space="0" w:color="auto"/>
              <w:left w:val="single" w:sz="4" w:space="0" w:color="auto"/>
              <w:bottom w:val="single" w:sz="4" w:space="0" w:color="auto"/>
              <w:right w:val="single" w:sz="4" w:space="0" w:color="auto"/>
            </w:tcBorders>
            <w:hideMark/>
          </w:tcPr>
          <w:p w14:paraId="671D135A"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Stivenso</w:t>
            </w:r>
            <w:proofErr w:type="spellEnd"/>
            <w:r>
              <w:rPr>
                <w:rFonts w:ascii="Times New Roman" w:eastAsia="Times New Roman" w:hAnsi="Times New Roman" w:cs="Times New Roman"/>
                <w:snapToGrid w:val="0"/>
              </w:rPr>
              <w:t xml:space="preserve"> ir Džonsono (</w:t>
            </w:r>
            <w:proofErr w:type="spellStart"/>
            <w:r>
              <w:rPr>
                <w:rFonts w:ascii="Times New Roman" w:eastAsia="Times New Roman" w:hAnsi="Times New Roman" w:cs="Times New Roman"/>
                <w:i/>
                <w:snapToGrid w:val="0"/>
              </w:rPr>
              <w:t>Stevens-Johnson</w:t>
            </w:r>
            <w:proofErr w:type="spellEnd"/>
            <w:r>
              <w:rPr>
                <w:rFonts w:ascii="Times New Roman" w:eastAsia="Times New Roman" w:hAnsi="Times New Roman" w:cs="Times New Roman"/>
                <w:snapToGrid w:val="0"/>
              </w:rPr>
              <w:t>) sindromas</w:t>
            </w:r>
            <w:r>
              <w:rPr>
                <w:rFonts w:ascii="Times New Roman" w:eastAsia="Times New Roman" w:hAnsi="Times New Roman" w:cs="Times New Roman"/>
                <w:snapToGrid w:val="0"/>
                <w:vertAlign w:val="superscript"/>
              </w:rPr>
              <w:t>6</w:t>
            </w:r>
          </w:p>
          <w:p w14:paraId="617C4C4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Angioneurozinė</w:t>
            </w:r>
            <w:proofErr w:type="spellEnd"/>
            <w:r>
              <w:rPr>
                <w:rFonts w:ascii="Times New Roman" w:eastAsia="Times New Roman" w:hAnsi="Times New Roman" w:cs="Times New Roman"/>
                <w:snapToGrid w:val="0"/>
              </w:rPr>
              <w:t xml:space="preserve"> edema</w:t>
            </w:r>
            <w:r>
              <w:rPr>
                <w:rFonts w:ascii="Times New Roman" w:eastAsia="Times New Roman" w:hAnsi="Times New Roman" w:cs="Times New Roman"/>
                <w:snapToGrid w:val="0"/>
                <w:vertAlign w:val="superscript"/>
              </w:rPr>
              <w:t>6</w:t>
            </w:r>
          </w:p>
        </w:tc>
        <w:tc>
          <w:tcPr>
            <w:tcW w:w="1701" w:type="dxa"/>
            <w:tcBorders>
              <w:top w:val="single" w:sz="4" w:space="0" w:color="auto"/>
              <w:left w:val="single" w:sz="4" w:space="0" w:color="auto"/>
              <w:bottom w:val="single" w:sz="4" w:space="0" w:color="auto"/>
              <w:right w:val="single" w:sz="4" w:space="0" w:color="auto"/>
            </w:tcBorders>
            <w:hideMark/>
          </w:tcPr>
          <w:p w14:paraId="7887C8F6"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Odos </w:t>
            </w:r>
            <w:proofErr w:type="spellStart"/>
            <w:r>
              <w:rPr>
                <w:rFonts w:ascii="Times New Roman" w:eastAsia="Times New Roman" w:hAnsi="Times New Roman" w:cs="Times New Roman"/>
                <w:snapToGrid w:val="0"/>
              </w:rPr>
              <w:t>vaskulitas</w:t>
            </w:r>
            <w:proofErr w:type="spellEnd"/>
          </w:p>
        </w:tc>
        <w:tc>
          <w:tcPr>
            <w:tcW w:w="1835" w:type="dxa"/>
            <w:tcBorders>
              <w:top w:val="single" w:sz="4" w:space="0" w:color="auto"/>
              <w:left w:val="single" w:sz="4" w:space="0" w:color="auto"/>
              <w:bottom w:val="single" w:sz="4" w:space="0" w:color="auto"/>
              <w:right w:val="single" w:sz="4" w:space="0" w:color="auto"/>
            </w:tcBorders>
          </w:tcPr>
          <w:p w14:paraId="0C357EE8"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04B79934"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1AF025F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Skeleto, raumenų ir jungiamojo audinio sutrikimai</w:t>
            </w:r>
          </w:p>
        </w:tc>
        <w:tc>
          <w:tcPr>
            <w:tcW w:w="1835" w:type="dxa"/>
            <w:tcBorders>
              <w:top w:val="single" w:sz="4" w:space="0" w:color="auto"/>
              <w:left w:val="single" w:sz="4" w:space="0" w:color="auto"/>
              <w:bottom w:val="single" w:sz="4" w:space="0" w:color="auto"/>
              <w:right w:val="single" w:sz="4" w:space="0" w:color="auto"/>
            </w:tcBorders>
          </w:tcPr>
          <w:p w14:paraId="09EDD957"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59F6B0D5" w14:textId="77777777">
        <w:tc>
          <w:tcPr>
            <w:tcW w:w="1129" w:type="dxa"/>
            <w:tcBorders>
              <w:top w:val="single" w:sz="4" w:space="0" w:color="auto"/>
              <w:left w:val="single" w:sz="4" w:space="0" w:color="auto"/>
              <w:bottom w:val="single" w:sz="4" w:space="0" w:color="auto"/>
              <w:right w:val="single" w:sz="4" w:space="0" w:color="auto"/>
            </w:tcBorders>
          </w:tcPr>
          <w:p w14:paraId="127D1505"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639C0BF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Kaulų ir raumenų skausmas</w:t>
            </w:r>
          </w:p>
          <w:p w14:paraId="7484414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Raumenų spazmas</w:t>
            </w:r>
          </w:p>
        </w:tc>
        <w:tc>
          <w:tcPr>
            <w:tcW w:w="1560" w:type="dxa"/>
            <w:tcBorders>
              <w:top w:val="single" w:sz="4" w:space="0" w:color="auto"/>
              <w:left w:val="single" w:sz="4" w:space="0" w:color="auto"/>
              <w:bottom w:val="single" w:sz="4" w:space="0" w:color="auto"/>
              <w:right w:val="single" w:sz="4" w:space="0" w:color="auto"/>
            </w:tcBorders>
            <w:hideMark/>
          </w:tcPr>
          <w:p w14:paraId="10C8F0E6"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Raumenų įtempimas</w:t>
            </w:r>
          </w:p>
          <w:p w14:paraId="07CE72B6"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Raumenų trūkčiojimas</w:t>
            </w:r>
          </w:p>
        </w:tc>
        <w:tc>
          <w:tcPr>
            <w:tcW w:w="1701" w:type="dxa"/>
            <w:tcBorders>
              <w:top w:val="single" w:sz="4" w:space="0" w:color="auto"/>
              <w:left w:val="single" w:sz="4" w:space="0" w:color="auto"/>
              <w:bottom w:val="single" w:sz="4" w:space="0" w:color="auto"/>
              <w:right w:val="single" w:sz="4" w:space="0" w:color="auto"/>
            </w:tcBorders>
            <w:hideMark/>
          </w:tcPr>
          <w:p w14:paraId="16136AB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Trizmas</w:t>
            </w:r>
            <w:proofErr w:type="spellEnd"/>
          </w:p>
        </w:tc>
        <w:tc>
          <w:tcPr>
            <w:tcW w:w="1701" w:type="dxa"/>
            <w:tcBorders>
              <w:top w:val="single" w:sz="4" w:space="0" w:color="auto"/>
              <w:left w:val="single" w:sz="4" w:space="0" w:color="auto"/>
              <w:bottom w:val="single" w:sz="4" w:space="0" w:color="auto"/>
              <w:right w:val="single" w:sz="4" w:space="0" w:color="auto"/>
            </w:tcBorders>
          </w:tcPr>
          <w:p w14:paraId="01F1A39C"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2E1E42D5"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5DBF8D32"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67EAC8D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Inkstų ir šlapimo takų sutrikimai</w:t>
            </w:r>
          </w:p>
        </w:tc>
        <w:tc>
          <w:tcPr>
            <w:tcW w:w="1835" w:type="dxa"/>
            <w:tcBorders>
              <w:top w:val="single" w:sz="4" w:space="0" w:color="auto"/>
              <w:left w:val="single" w:sz="4" w:space="0" w:color="auto"/>
              <w:bottom w:val="single" w:sz="4" w:space="0" w:color="auto"/>
              <w:right w:val="single" w:sz="4" w:space="0" w:color="auto"/>
            </w:tcBorders>
          </w:tcPr>
          <w:p w14:paraId="35281522"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605DD4FB" w14:textId="77777777">
        <w:tc>
          <w:tcPr>
            <w:tcW w:w="1129" w:type="dxa"/>
            <w:tcBorders>
              <w:top w:val="single" w:sz="4" w:space="0" w:color="auto"/>
              <w:left w:val="single" w:sz="4" w:space="0" w:color="auto"/>
              <w:bottom w:val="single" w:sz="4" w:space="0" w:color="auto"/>
              <w:right w:val="single" w:sz="4" w:space="0" w:color="auto"/>
            </w:tcBorders>
          </w:tcPr>
          <w:p w14:paraId="18989AD2"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31783418"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Dizurija</w:t>
            </w:r>
            <w:proofErr w:type="spellEnd"/>
          </w:p>
          <w:p w14:paraId="6B73535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Dažnas šlapinimasis</w:t>
            </w:r>
          </w:p>
        </w:tc>
        <w:tc>
          <w:tcPr>
            <w:tcW w:w="1560" w:type="dxa"/>
            <w:tcBorders>
              <w:top w:val="single" w:sz="4" w:space="0" w:color="auto"/>
              <w:left w:val="single" w:sz="4" w:space="0" w:color="auto"/>
              <w:bottom w:val="single" w:sz="4" w:space="0" w:color="auto"/>
              <w:right w:val="single" w:sz="4" w:space="0" w:color="auto"/>
            </w:tcBorders>
            <w:hideMark/>
          </w:tcPr>
          <w:p w14:paraId="4250E32F"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Šlapimo susilaikymas</w:t>
            </w:r>
          </w:p>
          <w:p w14:paraId="34284CE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Užsilaikymas pradedant šlapintis</w:t>
            </w:r>
          </w:p>
          <w:p w14:paraId="091C0B8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Nikturija</w:t>
            </w:r>
            <w:proofErr w:type="spellEnd"/>
          </w:p>
          <w:p w14:paraId="13F3BF7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lastRenderedPageBreak/>
              <w:t>Poliurija</w:t>
            </w:r>
            <w:proofErr w:type="spellEnd"/>
          </w:p>
          <w:p w14:paraId="09052E9F"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Šlapinimosi srovės sumažėjimas</w:t>
            </w:r>
          </w:p>
        </w:tc>
        <w:tc>
          <w:tcPr>
            <w:tcW w:w="1701" w:type="dxa"/>
            <w:tcBorders>
              <w:top w:val="single" w:sz="4" w:space="0" w:color="auto"/>
              <w:left w:val="single" w:sz="4" w:space="0" w:color="auto"/>
              <w:bottom w:val="single" w:sz="4" w:space="0" w:color="auto"/>
              <w:right w:val="single" w:sz="4" w:space="0" w:color="auto"/>
            </w:tcBorders>
            <w:hideMark/>
          </w:tcPr>
          <w:p w14:paraId="26DA3CF1"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Nenormalus šlapimo kvapas</w:t>
            </w:r>
          </w:p>
        </w:tc>
        <w:tc>
          <w:tcPr>
            <w:tcW w:w="1701" w:type="dxa"/>
            <w:tcBorders>
              <w:top w:val="single" w:sz="4" w:space="0" w:color="auto"/>
              <w:left w:val="single" w:sz="4" w:space="0" w:color="auto"/>
              <w:bottom w:val="single" w:sz="4" w:space="0" w:color="auto"/>
              <w:right w:val="single" w:sz="4" w:space="0" w:color="auto"/>
            </w:tcBorders>
          </w:tcPr>
          <w:p w14:paraId="1D609F5A"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1ECE0335"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49429296"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0AC07B0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Lytinės sistemos ir krūties sutrikimai</w:t>
            </w:r>
          </w:p>
        </w:tc>
        <w:tc>
          <w:tcPr>
            <w:tcW w:w="1835" w:type="dxa"/>
            <w:tcBorders>
              <w:top w:val="single" w:sz="4" w:space="0" w:color="auto"/>
              <w:left w:val="single" w:sz="4" w:space="0" w:color="auto"/>
              <w:bottom w:val="single" w:sz="4" w:space="0" w:color="auto"/>
              <w:right w:val="single" w:sz="4" w:space="0" w:color="auto"/>
            </w:tcBorders>
          </w:tcPr>
          <w:p w14:paraId="153C66DB"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28BC96F2" w14:textId="77777777">
        <w:tc>
          <w:tcPr>
            <w:tcW w:w="1129" w:type="dxa"/>
            <w:tcBorders>
              <w:top w:val="single" w:sz="4" w:space="0" w:color="auto"/>
              <w:left w:val="single" w:sz="4" w:space="0" w:color="auto"/>
              <w:bottom w:val="single" w:sz="4" w:space="0" w:color="auto"/>
              <w:right w:val="single" w:sz="4" w:space="0" w:color="auto"/>
            </w:tcBorders>
          </w:tcPr>
          <w:p w14:paraId="19FE52B8"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4CB8289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Erekcijos sutrikimas</w:t>
            </w:r>
          </w:p>
          <w:p w14:paraId="4FFA418F"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Ejakuliacijos sutrikimas</w:t>
            </w:r>
          </w:p>
          <w:p w14:paraId="4EB1EBD5"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Uždelsta ejakuliacija</w:t>
            </w:r>
          </w:p>
        </w:tc>
        <w:tc>
          <w:tcPr>
            <w:tcW w:w="1560" w:type="dxa"/>
            <w:tcBorders>
              <w:top w:val="single" w:sz="4" w:space="0" w:color="auto"/>
              <w:left w:val="single" w:sz="4" w:space="0" w:color="auto"/>
              <w:bottom w:val="single" w:sz="4" w:space="0" w:color="auto"/>
              <w:right w:val="single" w:sz="4" w:space="0" w:color="auto"/>
            </w:tcBorders>
            <w:hideMark/>
          </w:tcPr>
          <w:p w14:paraId="1AB11EE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Kraujavimas iš moters lytinių organų</w:t>
            </w:r>
          </w:p>
          <w:p w14:paraId="17FB333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Mėnesinių sutrikimas</w:t>
            </w:r>
          </w:p>
          <w:p w14:paraId="1AE7F69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Seksualinės funkcijos sutrikimas</w:t>
            </w:r>
          </w:p>
          <w:p w14:paraId="4FEC724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Sėklidžių skausmas</w:t>
            </w:r>
          </w:p>
        </w:tc>
        <w:tc>
          <w:tcPr>
            <w:tcW w:w="1701" w:type="dxa"/>
            <w:tcBorders>
              <w:top w:val="single" w:sz="4" w:space="0" w:color="auto"/>
              <w:left w:val="single" w:sz="4" w:space="0" w:color="auto"/>
              <w:bottom w:val="single" w:sz="4" w:space="0" w:color="auto"/>
              <w:right w:val="single" w:sz="4" w:space="0" w:color="auto"/>
            </w:tcBorders>
            <w:hideMark/>
          </w:tcPr>
          <w:p w14:paraId="3CE9AD38"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Menopauzės simptomai</w:t>
            </w:r>
          </w:p>
          <w:p w14:paraId="6BA70E7D"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Galaktorėja</w:t>
            </w:r>
            <w:proofErr w:type="spellEnd"/>
          </w:p>
          <w:p w14:paraId="02E3C6C0"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Hiperprolaktinemija</w:t>
            </w:r>
            <w:proofErr w:type="spellEnd"/>
          </w:p>
          <w:p w14:paraId="774C789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Kraujavimas po gimdymo</w:t>
            </w:r>
            <w:r>
              <w:rPr>
                <w:rFonts w:ascii="Times New Roman" w:eastAsia="Times New Roman" w:hAnsi="Times New Roman" w:cs="Times New Roman"/>
                <w:snapToGrid w:val="0"/>
                <w:vertAlign w:val="superscript"/>
              </w:rPr>
              <w:t>6</w:t>
            </w:r>
          </w:p>
        </w:tc>
        <w:tc>
          <w:tcPr>
            <w:tcW w:w="1701" w:type="dxa"/>
            <w:tcBorders>
              <w:top w:val="single" w:sz="4" w:space="0" w:color="auto"/>
              <w:left w:val="single" w:sz="4" w:space="0" w:color="auto"/>
              <w:bottom w:val="single" w:sz="4" w:space="0" w:color="auto"/>
              <w:right w:val="single" w:sz="4" w:space="0" w:color="auto"/>
            </w:tcBorders>
          </w:tcPr>
          <w:p w14:paraId="4BBBCFBE"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7F1D791F"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439B7E65"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65F77EF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Bendrieji sutrikimai ir vartojimo vietos pažeidimai</w:t>
            </w:r>
          </w:p>
        </w:tc>
        <w:tc>
          <w:tcPr>
            <w:tcW w:w="1835" w:type="dxa"/>
            <w:tcBorders>
              <w:top w:val="single" w:sz="4" w:space="0" w:color="auto"/>
              <w:left w:val="single" w:sz="4" w:space="0" w:color="auto"/>
              <w:bottom w:val="single" w:sz="4" w:space="0" w:color="auto"/>
              <w:right w:val="single" w:sz="4" w:space="0" w:color="auto"/>
            </w:tcBorders>
          </w:tcPr>
          <w:p w14:paraId="62CF3E72"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78E27BE8" w14:textId="77777777">
        <w:tc>
          <w:tcPr>
            <w:tcW w:w="1129" w:type="dxa"/>
            <w:tcBorders>
              <w:top w:val="single" w:sz="4" w:space="0" w:color="auto"/>
              <w:left w:val="single" w:sz="4" w:space="0" w:color="auto"/>
              <w:bottom w:val="single" w:sz="4" w:space="0" w:color="auto"/>
              <w:right w:val="single" w:sz="4" w:space="0" w:color="auto"/>
            </w:tcBorders>
          </w:tcPr>
          <w:p w14:paraId="3F4CC082"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7E821091"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Griuvimas</w:t>
            </w:r>
            <w:r>
              <w:rPr>
                <w:rFonts w:ascii="Times New Roman" w:eastAsia="Times New Roman" w:hAnsi="Times New Roman" w:cs="Times New Roman"/>
                <w:snapToGrid w:val="0"/>
                <w:vertAlign w:val="superscript"/>
              </w:rPr>
              <w:t>8</w:t>
            </w:r>
          </w:p>
          <w:p w14:paraId="5EC2869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Nuovargis</w:t>
            </w:r>
          </w:p>
        </w:tc>
        <w:tc>
          <w:tcPr>
            <w:tcW w:w="1560" w:type="dxa"/>
            <w:tcBorders>
              <w:top w:val="single" w:sz="4" w:space="0" w:color="auto"/>
              <w:left w:val="single" w:sz="4" w:space="0" w:color="auto"/>
              <w:bottom w:val="single" w:sz="4" w:space="0" w:color="auto"/>
              <w:right w:val="single" w:sz="4" w:space="0" w:color="auto"/>
            </w:tcBorders>
            <w:hideMark/>
          </w:tcPr>
          <w:p w14:paraId="67B2D2E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Krūtinės skausmas</w:t>
            </w:r>
            <w:r>
              <w:rPr>
                <w:rFonts w:ascii="Times New Roman" w:eastAsia="Times New Roman" w:hAnsi="Times New Roman" w:cs="Times New Roman"/>
                <w:snapToGrid w:val="0"/>
                <w:vertAlign w:val="superscript"/>
              </w:rPr>
              <w:t>7</w:t>
            </w:r>
          </w:p>
          <w:p w14:paraId="5252E082"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Nenormali savijauta</w:t>
            </w:r>
          </w:p>
          <w:p w14:paraId="507BB238"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Šalčio pojūtis</w:t>
            </w:r>
          </w:p>
          <w:p w14:paraId="3470E3C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Troškulys</w:t>
            </w:r>
          </w:p>
          <w:p w14:paraId="69DE8C60"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Šalčio krėtimas</w:t>
            </w:r>
          </w:p>
          <w:p w14:paraId="19BC253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Negalavimas</w:t>
            </w:r>
          </w:p>
          <w:p w14:paraId="61ED008E"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Karščio pojūtis</w:t>
            </w:r>
          </w:p>
          <w:p w14:paraId="5C3B234C"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Eisenos sutrikimas</w:t>
            </w:r>
          </w:p>
        </w:tc>
        <w:tc>
          <w:tcPr>
            <w:tcW w:w="1701" w:type="dxa"/>
            <w:tcBorders>
              <w:top w:val="single" w:sz="4" w:space="0" w:color="auto"/>
              <w:left w:val="single" w:sz="4" w:space="0" w:color="auto"/>
              <w:bottom w:val="single" w:sz="4" w:space="0" w:color="auto"/>
              <w:right w:val="single" w:sz="4" w:space="0" w:color="auto"/>
            </w:tcBorders>
          </w:tcPr>
          <w:p w14:paraId="63C60109"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701" w:type="dxa"/>
            <w:tcBorders>
              <w:top w:val="single" w:sz="4" w:space="0" w:color="auto"/>
              <w:left w:val="single" w:sz="4" w:space="0" w:color="auto"/>
              <w:bottom w:val="single" w:sz="4" w:space="0" w:color="auto"/>
              <w:right w:val="single" w:sz="4" w:space="0" w:color="auto"/>
            </w:tcBorders>
          </w:tcPr>
          <w:p w14:paraId="3E229BB9"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50BCDFCC"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r w:rsidR="00D60365" w14:paraId="2A25514C" w14:textId="77777777">
        <w:tc>
          <w:tcPr>
            <w:tcW w:w="7225" w:type="dxa"/>
            <w:gridSpan w:val="5"/>
            <w:tcBorders>
              <w:top w:val="single" w:sz="4" w:space="0" w:color="auto"/>
              <w:left w:val="single" w:sz="4" w:space="0" w:color="auto"/>
              <w:bottom w:val="single" w:sz="4" w:space="0" w:color="auto"/>
              <w:right w:val="single" w:sz="4" w:space="0" w:color="auto"/>
            </w:tcBorders>
            <w:hideMark/>
          </w:tcPr>
          <w:p w14:paraId="23B87B9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Tyrimai</w:t>
            </w:r>
          </w:p>
        </w:tc>
        <w:tc>
          <w:tcPr>
            <w:tcW w:w="1835" w:type="dxa"/>
            <w:tcBorders>
              <w:top w:val="single" w:sz="4" w:space="0" w:color="auto"/>
              <w:left w:val="single" w:sz="4" w:space="0" w:color="auto"/>
              <w:bottom w:val="single" w:sz="4" w:space="0" w:color="auto"/>
              <w:right w:val="single" w:sz="4" w:space="0" w:color="auto"/>
            </w:tcBorders>
          </w:tcPr>
          <w:p w14:paraId="77699FD3"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i/>
                <w:snapToGrid w:val="0"/>
              </w:rPr>
            </w:pPr>
          </w:p>
        </w:tc>
      </w:tr>
      <w:tr w:rsidR="00D60365" w14:paraId="0245EB74" w14:textId="77777777">
        <w:tc>
          <w:tcPr>
            <w:tcW w:w="1129" w:type="dxa"/>
            <w:tcBorders>
              <w:top w:val="single" w:sz="4" w:space="0" w:color="auto"/>
              <w:left w:val="single" w:sz="4" w:space="0" w:color="auto"/>
              <w:bottom w:val="single" w:sz="4" w:space="0" w:color="auto"/>
              <w:right w:val="single" w:sz="4" w:space="0" w:color="auto"/>
            </w:tcBorders>
          </w:tcPr>
          <w:p w14:paraId="74AC9CF5"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134" w:type="dxa"/>
            <w:tcBorders>
              <w:top w:val="single" w:sz="4" w:space="0" w:color="auto"/>
              <w:left w:val="single" w:sz="4" w:space="0" w:color="auto"/>
              <w:bottom w:val="single" w:sz="4" w:space="0" w:color="auto"/>
              <w:right w:val="single" w:sz="4" w:space="0" w:color="auto"/>
            </w:tcBorders>
            <w:hideMark/>
          </w:tcPr>
          <w:p w14:paraId="1D0E66B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Kūno svorio sumažėjimas</w:t>
            </w:r>
          </w:p>
        </w:tc>
        <w:tc>
          <w:tcPr>
            <w:tcW w:w="1560" w:type="dxa"/>
            <w:tcBorders>
              <w:top w:val="single" w:sz="4" w:space="0" w:color="auto"/>
              <w:left w:val="single" w:sz="4" w:space="0" w:color="auto"/>
              <w:bottom w:val="single" w:sz="4" w:space="0" w:color="auto"/>
              <w:right w:val="single" w:sz="4" w:space="0" w:color="auto"/>
            </w:tcBorders>
            <w:hideMark/>
          </w:tcPr>
          <w:p w14:paraId="4C87D3FF"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Kūno svorio padidėjimas</w:t>
            </w:r>
          </w:p>
          <w:p w14:paraId="11DCC318"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kreatinfosfokinazės</w:t>
            </w:r>
            <w:proofErr w:type="spellEnd"/>
            <w:r>
              <w:rPr>
                <w:rFonts w:ascii="Times New Roman" w:eastAsia="Times New Roman" w:hAnsi="Times New Roman" w:cs="Times New Roman"/>
                <w:snapToGrid w:val="0"/>
              </w:rPr>
              <w:t xml:space="preserve"> kiekio kraujyje padidėjimas</w:t>
            </w:r>
          </w:p>
          <w:p w14:paraId="5D3520F2"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Kalio kiekio kraujyje padidėjimas</w:t>
            </w:r>
          </w:p>
        </w:tc>
        <w:tc>
          <w:tcPr>
            <w:tcW w:w="1701" w:type="dxa"/>
            <w:tcBorders>
              <w:top w:val="single" w:sz="4" w:space="0" w:color="auto"/>
              <w:left w:val="single" w:sz="4" w:space="0" w:color="auto"/>
              <w:bottom w:val="single" w:sz="4" w:space="0" w:color="auto"/>
              <w:right w:val="single" w:sz="4" w:space="0" w:color="auto"/>
            </w:tcBorders>
            <w:hideMark/>
          </w:tcPr>
          <w:p w14:paraId="5A3DCAB7"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Cholesterolio koncentracijos kraujyje padidėjimas</w:t>
            </w:r>
          </w:p>
        </w:tc>
        <w:tc>
          <w:tcPr>
            <w:tcW w:w="1701" w:type="dxa"/>
            <w:tcBorders>
              <w:top w:val="single" w:sz="4" w:space="0" w:color="auto"/>
              <w:left w:val="single" w:sz="4" w:space="0" w:color="auto"/>
              <w:bottom w:val="single" w:sz="4" w:space="0" w:color="auto"/>
              <w:right w:val="single" w:sz="4" w:space="0" w:color="auto"/>
            </w:tcBorders>
          </w:tcPr>
          <w:p w14:paraId="0F96B06A"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c>
          <w:tcPr>
            <w:tcW w:w="1835" w:type="dxa"/>
            <w:tcBorders>
              <w:top w:val="single" w:sz="4" w:space="0" w:color="auto"/>
              <w:left w:val="single" w:sz="4" w:space="0" w:color="auto"/>
              <w:bottom w:val="single" w:sz="4" w:space="0" w:color="auto"/>
              <w:right w:val="single" w:sz="4" w:space="0" w:color="auto"/>
            </w:tcBorders>
          </w:tcPr>
          <w:p w14:paraId="22FA957F"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tc>
      </w:tr>
    </w:tbl>
    <w:p w14:paraId="4F666B1A"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vertAlign w:val="superscript"/>
        </w:rPr>
      </w:pPr>
    </w:p>
    <w:p w14:paraId="27279380"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vertAlign w:val="superscript"/>
        </w:rPr>
        <w:t>1</w:t>
      </w:r>
      <w:r>
        <w:rPr>
          <w:rFonts w:ascii="Times New Roman" w:eastAsia="Times New Roman" w:hAnsi="Times New Roman" w:cs="Times New Roman"/>
          <w:snapToGrid w:val="0"/>
        </w:rPr>
        <w:t xml:space="preserve"> Traukulių ir ūžesio atvejų buvo ir nutraukus gydymą.</w:t>
      </w:r>
    </w:p>
    <w:p w14:paraId="345251D1"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Buvo </w:t>
      </w:r>
      <w:proofErr w:type="spellStart"/>
      <w:r>
        <w:rPr>
          <w:rFonts w:ascii="Times New Roman" w:eastAsia="Times New Roman" w:hAnsi="Times New Roman" w:cs="Times New Roman"/>
          <w:snapToGrid w:val="0"/>
        </w:rPr>
        <w:t>ortostatinės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hipotenzijos</w:t>
      </w:r>
      <w:proofErr w:type="spellEnd"/>
      <w:r>
        <w:rPr>
          <w:rFonts w:ascii="Times New Roman" w:eastAsia="Times New Roman" w:hAnsi="Times New Roman" w:cs="Times New Roman"/>
          <w:snapToGrid w:val="0"/>
        </w:rPr>
        <w:t xml:space="preserve"> ir sinkopės atvejų, ypač gydymo pradžioje.</w:t>
      </w:r>
    </w:p>
    <w:p w14:paraId="5519A13B"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vertAlign w:val="superscript"/>
        </w:rPr>
        <w:t>3</w:t>
      </w:r>
      <w:r>
        <w:rPr>
          <w:rFonts w:ascii="Times New Roman" w:eastAsia="Times New Roman" w:hAnsi="Times New Roman" w:cs="Times New Roman"/>
          <w:snapToGrid w:val="0"/>
        </w:rPr>
        <w:t xml:space="preserve"> Žr. 4.4 skyrių.</w:t>
      </w:r>
    </w:p>
    <w:p w14:paraId="534B3A43"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vertAlign w:val="superscript"/>
        </w:rPr>
        <w:t>4</w:t>
      </w:r>
      <w:r>
        <w:rPr>
          <w:rFonts w:ascii="Times New Roman" w:eastAsia="Times New Roman" w:hAnsi="Times New Roman" w:cs="Times New Roman"/>
          <w:snapToGrid w:val="0"/>
        </w:rPr>
        <w:t xml:space="preserve"> Buvo agresijos ir pykčio atvejų, ypač ankstyvuoju gydymo laikotarpiu arba gydymą nutraukus.</w:t>
      </w:r>
    </w:p>
    <w:p w14:paraId="0806F06A"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vertAlign w:val="superscript"/>
        </w:rPr>
        <w:t>5</w:t>
      </w:r>
      <w:r>
        <w:rPr>
          <w:rFonts w:ascii="Times New Roman" w:eastAsia="Times New Roman" w:hAnsi="Times New Roman" w:cs="Times New Roman"/>
          <w:snapToGrid w:val="0"/>
        </w:rPr>
        <w:t xml:space="preserve"> Gydymo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metu arba greitai po gydymo nutraukimo buvo minčių apie savižudybę ir savižudiško elgesio atvejų (žr. 4.4 skyrių).</w:t>
      </w:r>
    </w:p>
    <w:p w14:paraId="0D41BE58"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vertAlign w:val="superscript"/>
        </w:rPr>
        <w:t>6</w:t>
      </w:r>
      <w:r>
        <w:rPr>
          <w:rFonts w:ascii="Times New Roman" w:eastAsia="Times New Roman" w:hAnsi="Times New Roman" w:cs="Times New Roman"/>
          <w:snapToGrid w:val="0"/>
        </w:rPr>
        <w:t xml:space="preserve"> Dažnis nustatytas pagal stebėjimo po vaistinio preparato patekimo į rinką nepageidaujamų reakcijų duomenis. Šių nepageidaujamų reakcijų nebuvo pastebėta placebu kontroliuojamųjų tyrimų metu.</w:t>
      </w:r>
    </w:p>
    <w:p w14:paraId="2E2FF369"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vertAlign w:val="superscript"/>
        </w:rPr>
        <w:t>7</w:t>
      </w:r>
      <w:r>
        <w:rPr>
          <w:rFonts w:ascii="Times New Roman" w:eastAsia="Times New Roman" w:hAnsi="Times New Roman" w:cs="Times New Roman"/>
          <w:snapToGrid w:val="0"/>
        </w:rPr>
        <w:t xml:space="preserve"> Statistiškai reikšmingai nesiskyrė nuo placebo.</w:t>
      </w:r>
    </w:p>
    <w:p w14:paraId="0099DAE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vertAlign w:val="superscript"/>
        </w:rPr>
        <w:t>8</w:t>
      </w:r>
      <w:r>
        <w:rPr>
          <w:rFonts w:ascii="Times New Roman" w:eastAsia="Times New Roman" w:hAnsi="Times New Roman" w:cs="Times New Roman"/>
          <w:snapToGrid w:val="0"/>
        </w:rPr>
        <w:t xml:space="preserve"> Senyviems (≥ 65 metų) pacientams griuvimo dažnis buvo didesnis.</w:t>
      </w:r>
    </w:p>
    <w:p w14:paraId="296F04D7" w14:textId="77777777" w:rsidR="00D60365" w:rsidRDefault="00C12095">
      <w:p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vertAlign w:val="superscript"/>
        </w:rPr>
        <w:t>9</w:t>
      </w:r>
      <w:r>
        <w:rPr>
          <w:rFonts w:ascii="Times New Roman" w:eastAsia="Calibri" w:hAnsi="Times New Roman" w:cs="Times New Roman"/>
        </w:rPr>
        <w:t xml:space="preserve"> Dažnis nustatytas remiantis visų klinikinių tyrimų duomenimis.</w:t>
      </w:r>
    </w:p>
    <w:p w14:paraId="231985CC" w14:textId="77777777" w:rsidR="00D60365" w:rsidRDefault="00C12095">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vertAlign w:val="superscript"/>
        </w:rPr>
        <w:t>10</w:t>
      </w:r>
      <w:r>
        <w:rPr>
          <w:rFonts w:ascii="Times New Roman" w:eastAsia="Times New Roman" w:hAnsi="Times New Roman" w:cs="Times New Roman"/>
          <w:snapToGrid w:val="0"/>
        </w:rPr>
        <w:t xml:space="preserve"> Remiantis placebu kontroliuotų klinikinių tyrimų duomenims apytikriai apskaičiuotas dažnis.</w:t>
      </w:r>
    </w:p>
    <w:p w14:paraId="252EB259"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p w14:paraId="0B7CCA41"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c. Tam tikrų nepageidaujamų reakcijų aprašymas</w:t>
      </w:r>
    </w:p>
    <w:p w14:paraId="4D67C72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vartojimo nutraukimas, ypač staigus, dažnai lemia nutraukimo simptomų atsiradimą. Dažniausiai pasireiškiančios reakcijos yra galvos svaigimas, jutimų sutrikimas (įskaitant </w:t>
      </w:r>
      <w:proofErr w:type="spellStart"/>
      <w:r>
        <w:rPr>
          <w:rFonts w:ascii="Times New Roman" w:eastAsia="Times New Roman" w:hAnsi="Times New Roman" w:cs="Times New Roman"/>
          <w:snapToGrid w:val="0"/>
        </w:rPr>
        <w:t>paresteziją</w:t>
      </w:r>
      <w:proofErr w:type="spellEnd"/>
      <w:r>
        <w:rPr>
          <w:rFonts w:ascii="Times New Roman" w:eastAsia="Times New Roman" w:hAnsi="Times New Roman" w:cs="Times New Roman"/>
          <w:snapToGrid w:val="0"/>
        </w:rPr>
        <w:t xml:space="preserve">, į elektros šoko poveikį panašų pojūtį, ypač galvoje), miego sutrikimas (įskaitant nemigą ir intensyvius sapnus), nuovargis, </w:t>
      </w:r>
      <w:proofErr w:type="spellStart"/>
      <w:r>
        <w:rPr>
          <w:rFonts w:ascii="Times New Roman" w:eastAsia="Times New Roman" w:hAnsi="Times New Roman" w:cs="Times New Roman"/>
          <w:snapToGrid w:val="0"/>
        </w:rPr>
        <w:t>somnolencija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ažitacija</w:t>
      </w:r>
      <w:proofErr w:type="spellEnd"/>
      <w:r>
        <w:rPr>
          <w:rFonts w:ascii="Times New Roman" w:eastAsia="Times New Roman" w:hAnsi="Times New Roman" w:cs="Times New Roman"/>
          <w:snapToGrid w:val="0"/>
        </w:rPr>
        <w:t xml:space="preserve"> ar nerimas, pykinimas ir (ar) vėmimas, tremoras, galvos </w:t>
      </w:r>
      <w:r>
        <w:rPr>
          <w:rFonts w:ascii="Times New Roman" w:eastAsia="Times New Roman" w:hAnsi="Times New Roman" w:cs="Times New Roman"/>
          <w:snapToGrid w:val="0"/>
        </w:rPr>
        <w:lastRenderedPageBreak/>
        <w:t xml:space="preserve">skausmas, </w:t>
      </w:r>
      <w:proofErr w:type="spellStart"/>
      <w:r>
        <w:rPr>
          <w:rFonts w:ascii="Times New Roman" w:eastAsia="Times New Roman" w:hAnsi="Times New Roman" w:cs="Times New Roman"/>
          <w:snapToGrid w:val="0"/>
        </w:rPr>
        <w:t>mialgija</w:t>
      </w:r>
      <w:proofErr w:type="spellEnd"/>
      <w:r>
        <w:rPr>
          <w:rFonts w:ascii="Times New Roman" w:eastAsia="Times New Roman" w:hAnsi="Times New Roman" w:cs="Times New Roman"/>
          <w:snapToGrid w:val="0"/>
        </w:rPr>
        <w:t>, dirglumas, viduriavimas, per stiprus prakaitavimas ir galvos sukimasis.</w:t>
      </w:r>
    </w:p>
    <w:p w14:paraId="214F6FA8"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F7B4B6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Su SSRI ar SNRI vartojimu susiję minėti reiškiniai paprastai būna lengvi arba vidutinio sunkumo ir laikini, tačiau kai kuriems pacientams jie gali būti sunkūs ir (arba) ilgalaikiai. Dėl to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vartojimą patariama nutraukti palaipsniui mažinant dozę (žr. 4.2 ir 4.4 skyrius).</w:t>
      </w:r>
    </w:p>
    <w:p w14:paraId="3808CAA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452EB2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Trijų klinikinių tyrimų ūminės 12 savaičių fazės metu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gydomiems pacientams, besiskundžiantiems diabetinės neuropatijos skausmu, nedaug, tačiau statistiškai reikšmingai, padidėjo gliukozės kiekis kraujyje nevalgius. HbA1c kiekis nekito nei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gydomų, nei placebo vartojusių tiriamųjų organizme. Šio tyrimo tęstinės gydymo fazės, trukusios ne ilgiau kaip 52 savaites, metu HbA1c kiekis padidėjo ir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ir įprastiniu būdu gydomiems tiriamiesiems, tačiau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vartojusiems pacientams vidutinis padidėjimas buvo 0,3 % didesnis. Be to,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gydomų tiriamųjų kraujyje šiek tiek padidėjo gliukozės kiekis nevalgius ir bendro cholesterolio kiekis.</w:t>
      </w:r>
    </w:p>
    <w:p w14:paraId="3C139DB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795726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gydomų pacientų QT intervalas, apskaičiuotas atsižvelgiant į širdies ritmą, nesiskyrė nuo placebą vartojusių pacientų šio intervalo. Nebuvo jokių klinikai reikšmingų QT, PR, QRS bei </w:t>
      </w:r>
      <w:proofErr w:type="spellStart"/>
      <w:r>
        <w:rPr>
          <w:rFonts w:ascii="Times New Roman" w:eastAsia="Times New Roman" w:hAnsi="Times New Roman" w:cs="Times New Roman"/>
          <w:snapToGrid w:val="0"/>
        </w:rPr>
        <w:t>QTcB</w:t>
      </w:r>
      <w:proofErr w:type="spellEnd"/>
      <w:r>
        <w:rPr>
          <w:rFonts w:ascii="Times New Roman" w:eastAsia="Times New Roman" w:hAnsi="Times New Roman" w:cs="Times New Roman"/>
          <w:snapToGrid w:val="0"/>
        </w:rPr>
        <w:t xml:space="preserve"> intervalų skirtumų tarp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ir placebu gydytų pacientų.</w:t>
      </w:r>
    </w:p>
    <w:p w14:paraId="1B53CBB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8BAF894"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d. Vaikų populiacija</w:t>
      </w:r>
    </w:p>
    <w:p w14:paraId="37DF4272"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Klinikinių tyrimų metu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buvo gydyti iš viso 509 vaikų populiacijos pacientai nuo 7 iki 17 metų, kuriems buvo diagnozuotas didžiosios depresijos sutrikimas, ir 241 vaikų populiacijos pacientas nuo 7 iki 17 metų, kuriam buvo diagnozuotas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sutrikimas. Apskritai, vaikams ir paaugliams pasireiškusių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sukeltų nepageidaujamų reakcijų pobūdis buvo panašus į nustatytąjį suaugusiesiems.</w:t>
      </w:r>
    </w:p>
    <w:p w14:paraId="0B04F2D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7E523B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Iš viso 467 vaikų populiacijos pacientams, kuriems klinikinių tyrimų metu iš pradžių atsitiktinės atrankos būdu buvo paskirtas vartoti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buvo nustatytas 0,1 kg vidutinis kūno masės sumažėjimas 10-ąją savaitę, palyginus su vidutiniu 0,9 kg padidėjimu 353 placebą vartojusiems pacientams. Vėliau, atsižvelgiant į panašių pagal amžių ir lytį asmenų populiacijos duomenis, per nuo keturių iki šešių mėnesių trukmės tęstinio tyrimo laikotarpį vidutiniškai buvo stebėtos pacientų kūno masės atsistatymo iki numatytosios jų pradinės kūno masės </w:t>
      </w:r>
      <w:proofErr w:type="spellStart"/>
      <w:r>
        <w:rPr>
          <w:rFonts w:ascii="Times New Roman" w:eastAsia="Times New Roman" w:hAnsi="Times New Roman" w:cs="Times New Roman"/>
          <w:snapToGrid w:val="0"/>
        </w:rPr>
        <w:t>procentilės</w:t>
      </w:r>
      <w:proofErr w:type="spellEnd"/>
      <w:r>
        <w:rPr>
          <w:rFonts w:ascii="Times New Roman" w:eastAsia="Times New Roman" w:hAnsi="Times New Roman" w:cs="Times New Roman"/>
          <w:snapToGrid w:val="0"/>
        </w:rPr>
        <w:t xml:space="preserve"> tendencijos.</w:t>
      </w:r>
    </w:p>
    <w:p w14:paraId="0C989FE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63BABD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Iki 9 mėnesių trukusių tyrimų duomenimis, vaikų populiacijos pacientams bendrai buvo stebėtas vidutinis 1 % ūgio </w:t>
      </w:r>
      <w:proofErr w:type="spellStart"/>
      <w:r>
        <w:rPr>
          <w:rFonts w:ascii="Times New Roman" w:eastAsia="Times New Roman" w:hAnsi="Times New Roman" w:cs="Times New Roman"/>
          <w:snapToGrid w:val="0"/>
        </w:rPr>
        <w:t>procentilės</w:t>
      </w:r>
      <w:proofErr w:type="spellEnd"/>
      <w:r>
        <w:rPr>
          <w:rFonts w:ascii="Times New Roman" w:eastAsia="Times New Roman" w:hAnsi="Times New Roman" w:cs="Times New Roman"/>
          <w:snapToGrid w:val="0"/>
        </w:rPr>
        <w:t xml:space="preserve"> sumažėjimas (2 % sumažėjimas vaikams [7-11 metų] ir 0,3 % padidėjimas paaugliams [12-17 metų]) (žr. 4.4 skyrių).</w:t>
      </w:r>
    </w:p>
    <w:p w14:paraId="4A3B92FF" w14:textId="77777777" w:rsidR="00D60365" w:rsidRDefault="00D6036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rPr>
      </w:pPr>
    </w:p>
    <w:p w14:paraId="6A831634" w14:textId="77777777" w:rsidR="00D60365" w:rsidRDefault="00C12095">
      <w:pPr>
        <w:widowControl w:val="0"/>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Pranešimas apie įtariamas nepageidaujamas reakcijas</w:t>
      </w:r>
    </w:p>
    <w:p w14:paraId="41F7B35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w:t>
      </w:r>
      <w:r>
        <w:rPr>
          <w:rFonts w:ascii="Times New Roman" w:eastAsia="Calibri" w:hAnsi="Times New Roman" w:cs="Times New Roman"/>
          <w:noProof/>
        </w:rPr>
        <w:t>.</w:t>
      </w:r>
    </w:p>
    <w:p w14:paraId="56A8D4E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5FC346D"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4.9</w:t>
      </w:r>
      <w:r>
        <w:rPr>
          <w:rFonts w:ascii="Times New Roman" w:eastAsia="Times New Roman" w:hAnsi="Times New Roman" w:cs="Times New Roman"/>
          <w:b/>
          <w:bCs/>
          <w:snapToGrid w:val="0"/>
          <w:lang w:eastAsia="x-none"/>
        </w:rPr>
        <w:tab/>
        <w:t>Perdozavimas</w:t>
      </w:r>
    </w:p>
    <w:p w14:paraId="57740E4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A542A4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Perdozavimo atvejų buvo pacientams, išgėrusiems 5 400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(vieno arba kartu su kitais vaistiniais preparatais) dozę. Keli pacientai mirė, daugiausiai perdozavę kelis medikamentus, tačiau mirties atvejų buvo ir pacientams, išgėrusiems vien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maždaug 1 000 mg jo dozę. Perdozavimo (tiek vien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tiek jo kartu su kitais vaistiniais preparatais) požymiai ir simptomai yra </w:t>
      </w:r>
      <w:proofErr w:type="spellStart"/>
      <w:r>
        <w:rPr>
          <w:rFonts w:ascii="Times New Roman" w:eastAsia="Times New Roman" w:hAnsi="Times New Roman" w:cs="Times New Roman"/>
          <w:snapToGrid w:val="0"/>
        </w:rPr>
        <w:t>somnolencija</w:t>
      </w:r>
      <w:proofErr w:type="spellEnd"/>
      <w:r>
        <w:rPr>
          <w:rFonts w:ascii="Times New Roman" w:eastAsia="Times New Roman" w:hAnsi="Times New Roman" w:cs="Times New Roman"/>
          <w:snapToGrid w:val="0"/>
        </w:rPr>
        <w:t xml:space="preserve">, koma, </w:t>
      </w:r>
      <w:proofErr w:type="spellStart"/>
      <w:r>
        <w:rPr>
          <w:rFonts w:ascii="Times New Roman" w:eastAsia="Times New Roman" w:hAnsi="Times New Roman" w:cs="Times New Roman"/>
          <w:snapToGrid w:val="0"/>
        </w:rPr>
        <w:t>serotoninerginis</w:t>
      </w:r>
      <w:proofErr w:type="spellEnd"/>
      <w:r>
        <w:rPr>
          <w:rFonts w:ascii="Times New Roman" w:eastAsia="Times New Roman" w:hAnsi="Times New Roman" w:cs="Times New Roman"/>
          <w:snapToGrid w:val="0"/>
        </w:rPr>
        <w:t xml:space="preserve"> sindromas, traukuliai, vėmimas ir tachikardija.</w:t>
      </w:r>
    </w:p>
    <w:p w14:paraId="29E6F55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C5F7EC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Specifinis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priešnuodis nežinomas. tačiau pasireiškus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sindromui, specifinis gydymas (pvz., </w:t>
      </w:r>
      <w:proofErr w:type="spellStart"/>
      <w:r>
        <w:rPr>
          <w:rFonts w:ascii="Times New Roman" w:eastAsia="Times New Roman" w:hAnsi="Times New Roman" w:cs="Times New Roman"/>
          <w:snapToGrid w:val="0"/>
        </w:rPr>
        <w:t>ciproheptadinu</w:t>
      </w:r>
      <w:proofErr w:type="spellEnd"/>
      <w:r>
        <w:rPr>
          <w:rFonts w:ascii="Times New Roman" w:eastAsia="Times New Roman" w:hAnsi="Times New Roman" w:cs="Times New Roman"/>
          <w:snapToGrid w:val="0"/>
        </w:rPr>
        <w:t xml:space="preserve"> ir (arba) temperatūros reguliavimu) galimas. Reikia užtikrinti kvėpavimo takų praeinamumą. Rekomenduojama pastoviai tikrinti širdies veiklą ir gyvybines funkcijas kartu taikant atitinkamą simptominį ir palaikomąjį gydymą. Skrandžio plovimas gali būti naudingas, jeigu jis atliekamas netrukus po vaisto išgėrimo arba tuo atveju, jeigu pacientui pasireiškia simptomai. Gali padėti aktyvinta anglis, nes ji sumažina absorbciją.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pasiskirstymo tūris </w:t>
      </w:r>
      <w:r>
        <w:rPr>
          <w:rFonts w:ascii="Times New Roman" w:eastAsia="Times New Roman" w:hAnsi="Times New Roman" w:cs="Times New Roman"/>
          <w:snapToGrid w:val="0"/>
        </w:rPr>
        <w:lastRenderedPageBreak/>
        <w:t xml:space="preserve">yra didelis, todėl mažai tikėtina, kad būtų naudinga forsuota diurezė, </w:t>
      </w:r>
      <w:proofErr w:type="spellStart"/>
      <w:r>
        <w:rPr>
          <w:rFonts w:ascii="Times New Roman" w:eastAsia="Times New Roman" w:hAnsi="Times New Roman" w:cs="Times New Roman"/>
          <w:snapToGrid w:val="0"/>
        </w:rPr>
        <w:t>hemoperfuzija</w:t>
      </w:r>
      <w:proofErr w:type="spellEnd"/>
      <w:r>
        <w:rPr>
          <w:rFonts w:ascii="Times New Roman" w:eastAsia="Times New Roman" w:hAnsi="Times New Roman" w:cs="Times New Roman"/>
          <w:snapToGrid w:val="0"/>
        </w:rPr>
        <w:t xml:space="preserve"> ir pakeičiamoji </w:t>
      </w:r>
      <w:proofErr w:type="spellStart"/>
      <w:r>
        <w:rPr>
          <w:rFonts w:ascii="Times New Roman" w:eastAsia="Times New Roman" w:hAnsi="Times New Roman" w:cs="Times New Roman"/>
          <w:snapToGrid w:val="0"/>
        </w:rPr>
        <w:t>perfuzija</w:t>
      </w:r>
      <w:proofErr w:type="spellEnd"/>
      <w:r>
        <w:rPr>
          <w:rFonts w:ascii="Times New Roman" w:eastAsia="Times New Roman" w:hAnsi="Times New Roman" w:cs="Times New Roman"/>
          <w:snapToGrid w:val="0"/>
        </w:rPr>
        <w:t>.</w:t>
      </w:r>
    </w:p>
    <w:p w14:paraId="169030A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4A82B2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28C2387"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w:t>
      </w:r>
      <w:r>
        <w:rPr>
          <w:rFonts w:ascii="Times New Roman" w:eastAsia="Times New Roman" w:hAnsi="Times New Roman" w:cs="Times New Roman"/>
          <w:b/>
          <w:bCs/>
          <w:snapToGrid w:val="0"/>
          <w:lang w:eastAsia="x-none"/>
        </w:rPr>
        <w:tab/>
        <w:t>FARMAKOLOGINĖS SAVYBĖS</w:t>
      </w:r>
    </w:p>
    <w:p w14:paraId="453BB9E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F578DD0"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5.1</w:t>
      </w:r>
      <w:r>
        <w:rPr>
          <w:rFonts w:ascii="Times New Roman" w:eastAsia="Times New Roman" w:hAnsi="Times New Roman" w:cs="Times New Roman"/>
          <w:b/>
          <w:bCs/>
          <w:snapToGrid w:val="0"/>
          <w:lang w:eastAsia="x-none"/>
        </w:rPr>
        <w:tab/>
      </w:r>
      <w:proofErr w:type="spellStart"/>
      <w:r>
        <w:rPr>
          <w:rFonts w:ascii="Times New Roman" w:eastAsia="Times New Roman" w:hAnsi="Times New Roman" w:cs="Times New Roman"/>
          <w:b/>
          <w:bCs/>
          <w:snapToGrid w:val="0"/>
          <w:lang w:eastAsia="x-none"/>
        </w:rPr>
        <w:t>Farmakodinaminės</w:t>
      </w:r>
      <w:proofErr w:type="spellEnd"/>
      <w:r>
        <w:rPr>
          <w:rFonts w:ascii="Times New Roman" w:eastAsia="Times New Roman" w:hAnsi="Times New Roman" w:cs="Times New Roman"/>
          <w:b/>
          <w:bCs/>
          <w:snapToGrid w:val="0"/>
          <w:lang w:eastAsia="x-none"/>
        </w:rPr>
        <w:t xml:space="preserve"> savybės</w:t>
      </w:r>
    </w:p>
    <w:p w14:paraId="7CE8358E" w14:textId="77777777" w:rsidR="00D60365" w:rsidRDefault="00D6036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p>
    <w:p w14:paraId="735B965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Farmakoterapinė</w:t>
      </w:r>
      <w:proofErr w:type="spellEnd"/>
      <w:r>
        <w:rPr>
          <w:rFonts w:ascii="Times New Roman" w:eastAsia="Times New Roman" w:hAnsi="Times New Roman" w:cs="Times New Roman"/>
          <w:snapToGrid w:val="0"/>
        </w:rPr>
        <w:t xml:space="preserve"> grupė – kiti antidepresantai, ATC kodas – N06AX21.</w:t>
      </w:r>
    </w:p>
    <w:p w14:paraId="1BA3C7A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52EF3C2"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iCs/>
          <w:snapToGrid w:val="0"/>
          <w:u w:val="single"/>
        </w:rPr>
        <w:t>Veikimo mechanizmas</w:t>
      </w:r>
    </w:p>
    <w:p w14:paraId="254A4C1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yra jungtinis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(5-HT) ir </w:t>
      </w:r>
      <w:proofErr w:type="spellStart"/>
      <w:r>
        <w:rPr>
          <w:rFonts w:ascii="Times New Roman" w:eastAsia="Times New Roman" w:hAnsi="Times New Roman" w:cs="Times New Roman"/>
          <w:snapToGrid w:val="0"/>
        </w:rPr>
        <w:t>noradrenalino</w:t>
      </w:r>
      <w:proofErr w:type="spellEnd"/>
      <w:r>
        <w:rPr>
          <w:rFonts w:ascii="Times New Roman" w:eastAsia="Times New Roman" w:hAnsi="Times New Roman" w:cs="Times New Roman"/>
          <w:snapToGrid w:val="0"/>
        </w:rPr>
        <w:t xml:space="preserve"> (NA) reabsorbcijos inhibitorius. Jis silpnai slopina dopamino reabsorbciją ir neturi stipraus </w:t>
      </w:r>
      <w:proofErr w:type="spellStart"/>
      <w:r>
        <w:rPr>
          <w:rFonts w:ascii="Times New Roman" w:eastAsia="Times New Roman" w:hAnsi="Times New Roman" w:cs="Times New Roman"/>
          <w:snapToGrid w:val="0"/>
        </w:rPr>
        <w:t>afiniteto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histaminerginiams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dopaminerginiams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cholinerginiams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adrenerginiams</w:t>
      </w:r>
      <w:proofErr w:type="spellEnd"/>
      <w:r>
        <w:rPr>
          <w:rFonts w:ascii="Times New Roman" w:eastAsia="Times New Roman" w:hAnsi="Times New Roman" w:cs="Times New Roman"/>
          <w:snapToGrid w:val="0"/>
        </w:rPr>
        <w:t xml:space="preserve"> receptoriams.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priklausomai nuo dozės padidina </w:t>
      </w:r>
      <w:proofErr w:type="spellStart"/>
      <w:r>
        <w:rPr>
          <w:rFonts w:ascii="Times New Roman" w:eastAsia="Times New Roman" w:hAnsi="Times New Roman" w:cs="Times New Roman"/>
          <w:snapToGrid w:val="0"/>
        </w:rPr>
        <w:t>ekstraląstelinio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noradrenalino</w:t>
      </w:r>
      <w:proofErr w:type="spellEnd"/>
      <w:r>
        <w:rPr>
          <w:rFonts w:ascii="Times New Roman" w:eastAsia="Times New Roman" w:hAnsi="Times New Roman" w:cs="Times New Roman"/>
          <w:snapToGrid w:val="0"/>
        </w:rPr>
        <w:t xml:space="preserve"> kiekį įvairiose gyvūnų smegenų srityse.</w:t>
      </w:r>
    </w:p>
    <w:p w14:paraId="2E56F17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8794E05"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iCs/>
          <w:snapToGrid w:val="0"/>
          <w:u w:val="single"/>
        </w:rPr>
        <w:t>Farmakodinaminis</w:t>
      </w:r>
      <w:proofErr w:type="spellEnd"/>
      <w:r>
        <w:rPr>
          <w:rFonts w:ascii="Times New Roman" w:eastAsia="Times New Roman" w:hAnsi="Times New Roman" w:cs="Times New Roman"/>
          <w:iCs/>
          <w:snapToGrid w:val="0"/>
          <w:u w:val="single"/>
        </w:rPr>
        <w:t xml:space="preserve"> poveikis</w:t>
      </w:r>
    </w:p>
    <w:p w14:paraId="40B30B1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Keliuose </w:t>
      </w:r>
      <w:proofErr w:type="spellStart"/>
      <w:r>
        <w:rPr>
          <w:rFonts w:ascii="Times New Roman" w:eastAsia="Times New Roman" w:hAnsi="Times New Roman" w:cs="Times New Roman"/>
          <w:snapToGrid w:val="0"/>
        </w:rPr>
        <w:t>ikiklinikiniuose</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neuropatinio</w:t>
      </w:r>
      <w:proofErr w:type="spellEnd"/>
      <w:r>
        <w:rPr>
          <w:rFonts w:ascii="Times New Roman" w:eastAsia="Times New Roman" w:hAnsi="Times New Roman" w:cs="Times New Roman"/>
          <w:snapToGrid w:val="0"/>
        </w:rPr>
        <w:t xml:space="preserve"> ir uždegiminio skausmo modeliuose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normalizavo skausmo jutimo slenkstį, o nuolatinio skausmo modelyje susilpnino reakciją į skausmą. Manoma, kad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slopina skausmą sustiprindamas nusileidžiančiųjų skausmo slopinimo grandžių veikimą centrinėje nervų sistemoje.</w:t>
      </w:r>
    </w:p>
    <w:p w14:paraId="2FBCE25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C4523C2"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iCs/>
          <w:snapToGrid w:val="0"/>
          <w:u w:val="single"/>
        </w:rPr>
        <w:t>Klinikinis efektyvumas ir saugumas</w:t>
      </w:r>
    </w:p>
    <w:p w14:paraId="0379D41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Didžiosios depresijos sutrikimas.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buvo tirtas klinikinės programos metu, apimančios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3 158 pacientus (1 285 pacientų metų ekspozicija), atitinkantį didžiosios depresijos pagal DSM-IV kriterijus. Rekomenduojamos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60 mg vieną kartą per parą dozės veiksmingumas buvo patvirtintas trijų iš trijų atsitiktinių imčių, dvigubai aklų, placebu kontroliuojamų, fiksuotos dozės ūmių klinikinių tyrimų metu su suaugusiais ambulatoriškai gydomais didžiąja depresija sergančiais pacientais. Bendrai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60–120 mg per parą dozės veiksmingumas buvo patvirtintas penkių iš septynių atsitiktinių imčių, dvigubai aklų, placebu kontroliuojamų, fiksuotos dozės ūmių klinikinių tyrimų metu su suaugusiais ambulatoriškai gydomais didžiąja depresija sergančiais pacientais.</w:t>
      </w:r>
    </w:p>
    <w:p w14:paraId="73CA780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96C9B0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Galutiniai 17 dalių Hamiltono depresijos vertinimo skalės (HAM-D) rezultatai (įskaitant tiek emocinius, tiek somatinius depresijos simptomus) parodė, kad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yra statistiškai pranašesnis už placebą. Terapinio atsako ir remisijų dažnis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grupėje taip pat buvo statistiškai žymiai aukštesnis nei placebo. Tik nedidelė dalyvavusių pagrindiniame klinikiniame tyrime pacientų dalis sirgo sunkia depresija (bazinis HAM - D &gt; 25).</w:t>
      </w:r>
    </w:p>
    <w:p w14:paraId="16847C1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39A4830"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Atkryčio prevencijos klinikinių tyrimų metu pacientai, kuriems 12 savaičių ūmus gydymas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60 mg vieną kartą per parą buvo veiksmingas, toliau buvo gydomi 6 mėnesius atsitiktinių imčių būdu skiriant arba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60 mg vieną kartą per parą arba placebo.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60 mg vieną kartą per parą buvo statistiškai žymiai pranašesnis už placebą (p = 0,004) pirminių depresijos atkryčio vertinimų metu, vertinant laiką iki atkryčio. Atkryčio dažnis per 6 dvigubai aklo stebėjimo mėnesius buvo 17 % ir 29 % atitinkamai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ir placebo grupėje.</w:t>
      </w:r>
    </w:p>
    <w:p w14:paraId="00D0499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1A49600"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52 savaičių placebu kontroliuojamo dvigubai aklo gydymo metu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gydytiems pacientams, kuriems didžiosios depresijos sutrikimas pasikartojo, laikotarpis be simptomų buvo reikšmingai ilgesnis, negu atsitiktinių imčių būdu atrinktiems pacientams, kurie buvo gydyti placebu (p &lt;0,001). Visiems pacientams gydymas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anksčiau buvo veiksmingas − atviru būdu atliekamo gydymo (28-34savaičių) 60-120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paros doze metu. 52 savaičių placebu kontroliuojamo dvigubai aklo gydymo fazės metu depresijos simptomai atsinaujino 14,4 % pacientų, gydomų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ir 33,1 % pacientų, gydomų placebu (p &lt; 0,001).</w:t>
      </w:r>
    </w:p>
    <w:p w14:paraId="321B5DE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EEE85C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60 mg vieną kartą per parą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veiksmingumas depresija sergantiems senyviems pacientams (≥ 65 metų) buvo specifiškai ištirtas klinikinio tyrimo metu. Tyrimas parodė statistiškai reikšmingą skirtumą mažinant HAMD17 rezultatus tarp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ir placebu gydytų pacientų. 60 mg vieną kartą per parą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buvo toleruojama senyvų pacientų panašiai kaip jaunesnių suaugusiųjų. Tačiau </w:t>
      </w:r>
      <w:r>
        <w:rPr>
          <w:rFonts w:ascii="Times New Roman" w:eastAsia="Times New Roman" w:hAnsi="Times New Roman" w:cs="Times New Roman"/>
          <w:snapToGrid w:val="0"/>
        </w:rPr>
        <w:lastRenderedPageBreak/>
        <w:t xml:space="preserve">senyvų pacientų gydymo maksimaliomis (120 mg per parą)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dozėmis patirtis ribota, todėl gydant šios populiacijos grupės pacientus reikia paisyti atsargumo priemonių.</w:t>
      </w:r>
    </w:p>
    <w:p w14:paraId="7F8E8D0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AC5947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Generalizuoto</w:t>
      </w:r>
      <w:proofErr w:type="spellEnd"/>
      <w:r>
        <w:rPr>
          <w:rFonts w:ascii="Times New Roman" w:eastAsia="Times New Roman" w:hAnsi="Times New Roman" w:cs="Times New Roman"/>
          <w:i/>
          <w:iCs/>
          <w:snapToGrid w:val="0"/>
        </w:rPr>
        <w:t xml:space="preserve"> nerimo sutrikimas. </w:t>
      </w:r>
      <w:r>
        <w:rPr>
          <w:rFonts w:ascii="Times New Roman" w:eastAsia="Times New Roman" w:hAnsi="Times New Roman" w:cs="Times New Roman"/>
          <w:snapToGrid w:val="0"/>
        </w:rPr>
        <w:t>Penkių iš penkių atliktų tyrimų, įskaitant keturis atsitiktinių imčių</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dvigubai aklus placebu kontroliuojamus ūminės fazės tyrimus ir recidyvo profilaktikos tyrimą su suaugusiais pacientais, sergančiais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sutrikimu, metu gydymas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buvo statistiškai reikšmingai pranašesnis už gydymą placebu.</w:t>
      </w:r>
    </w:p>
    <w:p w14:paraId="28DE9A4A"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Gydymas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buvo statistiškai reikšmingai pranašesnis už gydymą placebu, atsižvelgiant į bendrus Hamiltono depresijos vertinimo skalės (angl. HAM-A) balus ir </w:t>
      </w:r>
      <w:proofErr w:type="spellStart"/>
      <w:r>
        <w:rPr>
          <w:rFonts w:ascii="Times New Roman" w:eastAsia="Times New Roman" w:hAnsi="Times New Roman" w:cs="Times New Roman"/>
          <w:snapToGrid w:val="0"/>
        </w:rPr>
        <w:t>Sheeham</w:t>
      </w:r>
      <w:proofErr w:type="spellEnd"/>
      <w:r>
        <w:rPr>
          <w:rFonts w:ascii="Times New Roman" w:eastAsia="Times New Roman" w:hAnsi="Times New Roman" w:cs="Times New Roman"/>
          <w:snapToGrid w:val="0"/>
        </w:rPr>
        <w:t xml:space="preserve"> neįgalumo vertinimo skalės (angl., SDS) funkcijos sutrikimo balus. Atsako ir remisijos dažnis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gydytiems pacientams irgi buvo didesnis, negu vartojusiems placebo. Atsižvelgiant į HAM-A balų pagerėjimą,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veiksmingumas buvo lygintinas su </w:t>
      </w:r>
      <w:proofErr w:type="spellStart"/>
      <w:r>
        <w:rPr>
          <w:rFonts w:ascii="Times New Roman" w:eastAsia="Times New Roman" w:hAnsi="Times New Roman" w:cs="Times New Roman"/>
          <w:snapToGrid w:val="0"/>
        </w:rPr>
        <w:t>venlafaksino</w:t>
      </w:r>
      <w:proofErr w:type="spellEnd"/>
      <w:r>
        <w:rPr>
          <w:rFonts w:ascii="Times New Roman" w:eastAsia="Times New Roman" w:hAnsi="Times New Roman" w:cs="Times New Roman"/>
          <w:snapToGrid w:val="0"/>
        </w:rPr>
        <w:t>.</w:t>
      </w:r>
    </w:p>
    <w:p w14:paraId="7ED1CDA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1CBE93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Pacientai, kurie recidyvo profilaktikos tyrimo, atlikto atviru būdų, metu reagavo į 6 mėn. ūminės fazės gydymą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atsitiktinių imčių būdu buvo suskirstyti į grupes tolesnius 6 mėn. vartoti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arba placebo. Recidyvo profilaktikai, atsižvelgiant į laiką iki recidyvo, gydymas kartą per parą geriama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60-120 mg doze buvo statistikai reikšmingai pranašesnis už gydymą placebu (p &lt; 0,001). 6 mėn. sekimo dvigubai aklu būdu laikotarpiu recidyvo dažnis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vartojusiems pacientams buvo 14 %, vartojusiems placebo – 42 %.</w:t>
      </w:r>
    </w:p>
    <w:p w14:paraId="16BEE9E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521081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30-120 mg dozių (lanksčių dozių), vartojamų vieną kartą per parą senyviems pacientams (&gt; 65 metų), veiksmingumas gydant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sutrikimą buvo įvertintas atlikus tyrimą, kuris parodė statistiškai reikšmingą HAM-A bendrojo balo pagerėjimą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gydytiems pacientams, palyginus su placebą vartojusiais pacientais.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30-120 mg dozių, vartojamų vieną kartą per parą gydant senyvus pacientus, kuriems yra diagnozuotas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sutrikimas, veiksmingumas ir saugumas buvo panašus į jaunesnių suaugusių pacientų tyrimų duomenis. Vis dėlto yra mažai duomenų apie senyvus pacientus, kurie vartojo didžiausią dozę (120 mg per parą), ir todėl šia doze gydyti senyvų žmonių populiacijos pacientus rekomenduojama atsargiai.</w:t>
      </w:r>
    </w:p>
    <w:p w14:paraId="4F40D9E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5F595C5"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Diabetinės periferinės neuropatijos sukeltas skausmas.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veiksmingumas gydant skausmą</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dėl diabetinės neuropatijos buvo patvirtintas dvejų atsitiktinių imčių, 12 savaičių trukmės, dvigubai aklų, placebu kontroliuojamų, fiksuotos dozės klinikinių tyrimų metu su suaugusiais (nuo 22 iki 88 metų) pacientais, kuriems skausmas dėl diabetinės neuropatijos truko mažiausiai 6 mėnesius. Pacientai, atitikę didžiosios depresijos diagnozės kriterijus, šiuose tyrimuose nedalyvavo. Pagrindinis poveikio vertinimo kriterijus buvo 24 valandų vidutinio skausmo savaitinis dydis, apskaičiuojamas iš dienoraščio, kuriame pacientai kasdien pažymėdavo skausmo stiprumą pagal 11 dalių </w:t>
      </w:r>
      <w:proofErr w:type="spellStart"/>
      <w:r>
        <w:rPr>
          <w:rFonts w:ascii="Times New Roman" w:eastAsia="Times New Roman" w:hAnsi="Times New Roman" w:cs="Times New Roman"/>
          <w:snapToGrid w:val="0"/>
        </w:rPr>
        <w:t>Likert</w:t>
      </w:r>
      <w:proofErr w:type="spellEnd"/>
      <w:r>
        <w:rPr>
          <w:rFonts w:ascii="Times New Roman" w:eastAsia="Times New Roman" w:hAnsi="Times New Roman" w:cs="Times New Roman"/>
          <w:snapToGrid w:val="0"/>
        </w:rPr>
        <w:t xml:space="preserve"> skalę.</w:t>
      </w:r>
    </w:p>
    <w:p w14:paraId="397F684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7D0511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Abiejų klinikinių tyrimų metu 60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vieną kartą per parą ir 60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du kartus per parą dozė ženkliai sumažino skausmą lyginant su placebu. Kai kuriems pacientams poveikis atsirado pirmąją gydymo savaitę. Vidutinio pagerėjimo skirtumas tarp dviejų aktyvaus gydymo grupių buvo nežymus. Skausmo sumažėjimas mažiausiai 30 % buvo užfiksuotas maždaug 65 %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gydytų pacientų, lyginant su 40 % vartojusių placebo. Skausmo sumažėjimas mažiausiai 50 % buvo užfiksuotas atitinkamai 50 % ir 26 %. Klinikinio atsako dydis (50 % ar didesnis skausmo sumažėjimas) buvo analizuojamas atsižvelgiant į tai, ar pacientas gydymo metu buvo mieguistas. Nepatyrusių mieguistumo grupėje klinikinis atsakas buvo 47 %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gydytiems pacientams ir 27 % vartojusiems placebo. Patyrusių mieguistumą grupėje klinikinis atsakas buvo 60 %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gydytiems pacientams ir 30 % vartojusiems placebo. Pacientams, kuriems per 60 gydymo dienų skausmo sumažėjimas nepasiekė 30 %, mažai tikėtina, kad tolimesnis gydymas sumažins skausmą iki šio lygio.</w:t>
      </w:r>
    </w:p>
    <w:p w14:paraId="3DC3F5B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1B71C5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Atviru būdu atliekamo ilgalaikio tyrimo metu pacientams, reagavusiems į ūminį 8 savaičių trukmės gydymą kartą per parą vartojama 60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doze, skausmo mažinimas, atsižvelgiant į trumpos skausmo vertinimo lentelės (angl., BPI) vidutinio 24 valandų skausmo stiprumo įverčio pokytį, buvo palaikomas ir tolesnio 6 mėn. trukmės gydymo metu.</w:t>
      </w:r>
    </w:p>
    <w:p w14:paraId="08C716C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8C20D69"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iCs/>
          <w:snapToGrid w:val="0"/>
          <w:u w:val="single"/>
        </w:rPr>
        <w:t>Vaikų populiacija</w:t>
      </w:r>
    </w:p>
    <w:p w14:paraId="278960A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lastRenderedPageBreak/>
        <w:t>Duloksetino</w:t>
      </w:r>
      <w:proofErr w:type="spellEnd"/>
      <w:r>
        <w:rPr>
          <w:rFonts w:ascii="Times New Roman" w:eastAsia="Times New Roman" w:hAnsi="Times New Roman" w:cs="Times New Roman"/>
          <w:snapToGrid w:val="0"/>
        </w:rPr>
        <w:t xml:space="preserve"> tyrimų su jaunesniais kaip 7 metų pacientais neatlikta. Buvo atlikti du atsitiktinių imčių dvigubai koduoti lygiagrečių grupių klinikiniai tyrimai, kuriuose dalyvavo 800 vaikų populiacijos 7-17 metų pacientų, kuriems buvo diagnozuotas DDS (žr. 4.2 skyrių). Šie du tyrimai apėmė 10 savaičių trukmės placebu ir veikliuoju vaistiniu preparatu (</w:t>
      </w:r>
      <w:proofErr w:type="spellStart"/>
      <w:r>
        <w:rPr>
          <w:rFonts w:ascii="Times New Roman" w:eastAsia="Times New Roman" w:hAnsi="Times New Roman" w:cs="Times New Roman"/>
          <w:snapToGrid w:val="0"/>
        </w:rPr>
        <w:t>fluoksetinu</w:t>
      </w:r>
      <w:proofErr w:type="spellEnd"/>
      <w:r>
        <w:rPr>
          <w:rFonts w:ascii="Times New Roman" w:eastAsia="Times New Roman" w:hAnsi="Times New Roman" w:cs="Times New Roman"/>
          <w:snapToGrid w:val="0"/>
        </w:rPr>
        <w:t xml:space="preserve">) kontroliuojamąją ūminės būklės gydymo fazę, po kurios buvo šešių mėnesių trukmės veikliuoju preparatu kontroliuojamojo tęstinio gydymo fazė. Atsižvelgiant į bendrųjų balų pagal peržiūrėtą vaikų depresijos įvertinimo skalę (angl., </w:t>
      </w:r>
      <w:proofErr w:type="spellStart"/>
      <w:r>
        <w:rPr>
          <w:rFonts w:ascii="Times New Roman" w:eastAsia="Times New Roman" w:hAnsi="Times New Roman" w:cs="Times New Roman"/>
          <w:i/>
          <w:iCs/>
          <w:snapToGrid w:val="0"/>
        </w:rPr>
        <w:t>the</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Children‘s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Depression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Rating</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Scale-revised</w:t>
      </w:r>
      <w:proofErr w:type="spellEnd"/>
      <w:r>
        <w:rPr>
          <w:rFonts w:ascii="Times New Roman" w:eastAsia="Times New Roman" w:hAnsi="Times New Roman" w:cs="Times New Roman"/>
          <w:i/>
          <w:iCs/>
          <w:snapToGrid w:val="0"/>
        </w:rPr>
        <w:t xml:space="preserve"> [CDRS-R]</w:t>
      </w:r>
      <w:r>
        <w:rPr>
          <w:rFonts w:ascii="Times New Roman" w:eastAsia="Times New Roman" w:hAnsi="Times New Roman" w:cs="Times New Roman"/>
          <w:snapToGrid w:val="0"/>
        </w:rPr>
        <w:t xml:space="preserve">) pokytį nuo pradinių reikšmių, nei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(30-120 mg), nei kontrolinėje, kurioje buvo vartotas veiklusis palyginamasis vaistinis preparatas (20-40 mg </w:t>
      </w:r>
      <w:proofErr w:type="spellStart"/>
      <w:r>
        <w:rPr>
          <w:rFonts w:ascii="Times New Roman" w:eastAsia="Times New Roman" w:hAnsi="Times New Roman" w:cs="Times New Roman"/>
          <w:snapToGrid w:val="0"/>
        </w:rPr>
        <w:t>fluoksetino</w:t>
      </w:r>
      <w:proofErr w:type="spellEnd"/>
      <w:r>
        <w:rPr>
          <w:rFonts w:ascii="Times New Roman" w:eastAsia="Times New Roman" w:hAnsi="Times New Roman" w:cs="Times New Roman"/>
          <w:snapToGrid w:val="0"/>
        </w:rPr>
        <w:t xml:space="preserve"> dozė), grupėje pokyčiai vertinamosios baigties metu statistiškai reikšmingai nesiskyrė nuo placebo. Vaistinio preparato vartojimą dėl nepageidaujamų reiškinių, daugiausia dėl pykinimo, dažniau nutraukė pacientai, vartoję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nei gydyti </w:t>
      </w:r>
      <w:proofErr w:type="spellStart"/>
      <w:r>
        <w:rPr>
          <w:rFonts w:ascii="Times New Roman" w:eastAsia="Times New Roman" w:hAnsi="Times New Roman" w:cs="Times New Roman"/>
          <w:snapToGrid w:val="0"/>
        </w:rPr>
        <w:t>fluoksetinu</w:t>
      </w:r>
      <w:proofErr w:type="spellEnd"/>
      <w:r>
        <w:rPr>
          <w:rFonts w:ascii="Times New Roman" w:eastAsia="Times New Roman" w:hAnsi="Times New Roman" w:cs="Times New Roman"/>
          <w:snapToGrid w:val="0"/>
        </w:rPr>
        <w:t>. 10 savaičių trukmės ūminės būklės gydymo laikotarpiu buvo gauta pranešimų apie su savižudybe siejamo elgesio atvejus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grupėje – 0 iš 333 [0 %], </w:t>
      </w:r>
      <w:proofErr w:type="spellStart"/>
      <w:r>
        <w:rPr>
          <w:rFonts w:ascii="Times New Roman" w:eastAsia="Times New Roman" w:hAnsi="Times New Roman" w:cs="Times New Roman"/>
          <w:snapToGrid w:val="0"/>
        </w:rPr>
        <w:t>fluoksetino</w:t>
      </w:r>
      <w:proofErr w:type="spellEnd"/>
      <w:r>
        <w:rPr>
          <w:rFonts w:ascii="Times New Roman" w:eastAsia="Times New Roman" w:hAnsi="Times New Roman" w:cs="Times New Roman"/>
          <w:snapToGrid w:val="0"/>
        </w:rPr>
        <w:t xml:space="preserve"> grupėje – 2 iš 225 [0,9 %] ir placebo grupėje 1 iš 220 [0,5 %]). Per visą 36 savaičių trukmės tyrimo laikotarpį 6 iš 333 pacientų, kuriems iš pradžių atsitiktiniu būdu buvo paskirtas gydymas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ir 3 iš 225 pacientų, kuriems iš pradžių atsitiktiniu būdu buvo paskirtas gydymas </w:t>
      </w:r>
      <w:proofErr w:type="spellStart"/>
      <w:r>
        <w:rPr>
          <w:rFonts w:ascii="Times New Roman" w:eastAsia="Times New Roman" w:hAnsi="Times New Roman" w:cs="Times New Roman"/>
          <w:snapToGrid w:val="0"/>
        </w:rPr>
        <w:t>fluoksetinu</w:t>
      </w:r>
      <w:proofErr w:type="spellEnd"/>
      <w:r>
        <w:rPr>
          <w:rFonts w:ascii="Times New Roman" w:eastAsia="Times New Roman" w:hAnsi="Times New Roman" w:cs="Times New Roman"/>
          <w:snapToGrid w:val="0"/>
        </w:rPr>
        <w:t xml:space="preserve">, pasireiškė su savižudybe siejamas elgesys (dažnį koregavus pagal ekspoziciją, buvo nustatyta 0,039 atvejo paciento metams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grupėje ir 0,026 atvejo paciento metams </w:t>
      </w:r>
      <w:proofErr w:type="spellStart"/>
      <w:r>
        <w:rPr>
          <w:rFonts w:ascii="Times New Roman" w:eastAsia="Times New Roman" w:hAnsi="Times New Roman" w:cs="Times New Roman"/>
          <w:snapToGrid w:val="0"/>
        </w:rPr>
        <w:t>fluoksetino</w:t>
      </w:r>
      <w:proofErr w:type="spellEnd"/>
      <w:r>
        <w:rPr>
          <w:rFonts w:ascii="Times New Roman" w:eastAsia="Times New Roman" w:hAnsi="Times New Roman" w:cs="Times New Roman"/>
          <w:snapToGrid w:val="0"/>
        </w:rPr>
        <w:t xml:space="preserve"> grupėje). Be to, vienam pacientui, kuriam vietoje placebo buvo paskirtas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pasireiškė su savižudybe siejamas elgesys vartojant </w:t>
      </w:r>
      <w:proofErr w:type="spellStart"/>
      <w:r>
        <w:rPr>
          <w:rFonts w:ascii="Times New Roman" w:eastAsia="Times New Roman" w:hAnsi="Times New Roman" w:cs="Times New Roman"/>
          <w:snapToGrid w:val="0"/>
        </w:rPr>
        <w:t>duloksetiną</w:t>
      </w:r>
      <w:proofErr w:type="spellEnd"/>
      <w:r>
        <w:rPr>
          <w:rFonts w:ascii="Times New Roman" w:eastAsia="Times New Roman" w:hAnsi="Times New Roman" w:cs="Times New Roman"/>
          <w:snapToGrid w:val="0"/>
        </w:rPr>
        <w:t>.</w:t>
      </w:r>
    </w:p>
    <w:p w14:paraId="5C4E4CB2"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2E13AE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Atsitiktinių imčių dvigubai koduotame placebu kontroliuojamame tyrime dalyvavo 272 nuo 7 iki 17 metų pacientai, kuriems pasireiškė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sutrikimas. Šiame tyrime buvo 10 savaičių placebu kontroliuojama ūminės būklės gydymo fazė, po kurios buvo 18 savaičių trukmės tęstinio gydymo fazė. Šiame tyrime buvo naudojamas lanksčių dozių planas, kad dozę nuo 30 mg vieną kartą per parą būtų galima lėtai padidinti iki didesnių dozių (didžiausia dozė 120 mg vieną kartą per parą). Gydant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buvo pasiektas statistiškai reikšmingai didesnis GNS simptomų palengvėjimas, atsižvelgiant į GNS sunkumo balą pagal vaikų populiacijos pacientų nerimo vertinimo skalę (angl., </w:t>
      </w:r>
      <w:proofErr w:type="spellStart"/>
      <w:r>
        <w:rPr>
          <w:rFonts w:ascii="Times New Roman" w:eastAsia="Times New Roman" w:hAnsi="Times New Roman" w:cs="Times New Roman"/>
          <w:i/>
          <w:iCs/>
          <w:snapToGrid w:val="0"/>
        </w:rPr>
        <w:t>the</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paediatric</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i/>
          <w:iCs/>
          <w:snapToGrid w:val="0"/>
        </w:rPr>
        <w:t>anxiety</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rating</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scale</w:t>
      </w:r>
      <w:proofErr w:type="spellEnd"/>
      <w:r>
        <w:rPr>
          <w:rFonts w:ascii="Times New Roman" w:eastAsia="Times New Roman" w:hAnsi="Times New Roman" w:cs="Times New Roman"/>
          <w:i/>
          <w:iCs/>
          <w:snapToGrid w:val="0"/>
        </w:rPr>
        <w:t xml:space="preserve"> [PARS]</w:t>
      </w:r>
      <w:r>
        <w:rPr>
          <w:rFonts w:ascii="Times New Roman" w:eastAsia="Times New Roman" w:hAnsi="Times New Roman" w:cs="Times New Roman"/>
          <w:snapToGrid w:val="0"/>
        </w:rPr>
        <w:t>) po 10 gydymo</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savaičių</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(vidutinis 2,7 balų</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skirtumas [95 % PI 1,3-4,0],</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lyginant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ir placebo vartojusiųjų grupes). Šio poveikio išlikimas nebuvo įvertintas. Statistiškai reikšmingų tiriamųjų vaistinių preparatų vartojimo nutraukimo dėl nepageidaujamų reiškinių pasireiškimo skirtumų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ir placebo vartojusiųjų grupėse per 10 savaičių ūminės būklės gydymo fazę nebuvo. Dviem pacientams, kurie vietoje placebo pradėjo vartoti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po ūminės būklės gydymo fazės, pasireiškė savižudiškas elgesys, vartojant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tęstinio gydymo fazės metu. Bendrojo naudos ir rizikos santykio įvertinimo šioje amžiaus grupėje išvada nepateikta (taip pat žr. 4.2 ir 4.8 skyrius).</w:t>
      </w:r>
    </w:p>
    <w:p w14:paraId="559E966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FFBB984" w14:textId="77777777" w:rsidR="00D60365" w:rsidRDefault="00C12095">
      <w:pPr>
        <w:widowControl w:val="0"/>
        <w:tabs>
          <w:tab w:val="left" w:pos="567"/>
        </w:tabs>
        <w:rPr>
          <w:rFonts w:ascii="Times New Roman" w:eastAsia="Times New Roman" w:hAnsi="Times New Roman" w:cs="Times New Roman"/>
          <w:snapToGrid w:val="0"/>
        </w:rPr>
      </w:pPr>
      <w:r>
        <w:rPr>
          <w:rFonts w:ascii="Times New Roman" w:eastAsia="Times New Roman" w:hAnsi="Times New Roman" w:cs="Times New Roman"/>
          <w:snapToGrid w:val="0"/>
        </w:rPr>
        <w:t xml:space="preserve">Buvo atliktas atskiras tyrimas, kuriame dalyvavo vaikai, sergantys jaunatviniu pirminiu </w:t>
      </w:r>
      <w:proofErr w:type="spellStart"/>
      <w:r>
        <w:rPr>
          <w:rFonts w:ascii="Times New Roman" w:eastAsia="Times New Roman" w:hAnsi="Times New Roman" w:cs="Times New Roman"/>
          <w:snapToGrid w:val="0"/>
        </w:rPr>
        <w:t>fibromialgijos</w:t>
      </w:r>
      <w:proofErr w:type="spellEnd"/>
      <w:r>
        <w:rPr>
          <w:rFonts w:ascii="Times New Roman" w:eastAsia="Times New Roman" w:hAnsi="Times New Roman" w:cs="Times New Roman"/>
          <w:snapToGrid w:val="0"/>
        </w:rPr>
        <w:t xml:space="preserve"> sindromu (JPFS), ir tyrimo duomenimis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gydytos grupės rezultatai nesiskyrė nuo placebo grupės analizuojant pagrindinę veiksmingumo vertinamąją baigtį. Todėl veiksmingumo įrodymų šioje vaikų populiacijos grupėje nėra. Be to, buvo atliktas atsitiktinių imčių, dvigubai koduotas, placebu kontroliuojamas, lygiagrečių grupių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tyrimas, kuriame dalyvavo 184 paaugliai nuo 13 iki 18 metų (vidutinis amžius 15,53 metų) sergantys JPFS. Šį tyrimą sudarė 13 savaičių trukmės dvigubai koduotas laikotarpis, kai pacientai buvo atsitiktinai suskirstyti į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30 mg/60 mg per parą ar placebo vartojimo grupes. Nebuvo nustatyta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veiksmingumo mažinant skausmą, vertinant pagal pagrindinę vertinamąją baigtį, t. y., pagal Trumposios skausmo vertinimo skalės (angl. </w:t>
      </w:r>
      <w:proofErr w:type="spellStart"/>
      <w:r>
        <w:rPr>
          <w:rFonts w:ascii="Times New Roman" w:eastAsia="Times New Roman" w:hAnsi="Times New Roman" w:cs="Times New Roman"/>
          <w:snapToGrid w:val="0"/>
        </w:rPr>
        <w:t>Brief</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Pain</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Inventory</w:t>
      </w:r>
      <w:proofErr w:type="spellEnd"/>
      <w:r>
        <w:rPr>
          <w:rFonts w:ascii="Times New Roman" w:eastAsia="Times New Roman" w:hAnsi="Times New Roman" w:cs="Times New Roman"/>
          <w:snapToGrid w:val="0"/>
        </w:rPr>
        <w:t xml:space="preserve"> – BPI) vidutinį skausmo įverčio balą: BPI skalės vidutinio skausmo įverčio balo mažiausiųjų kvadratų (angl. </w:t>
      </w:r>
      <w:proofErr w:type="spellStart"/>
      <w:r>
        <w:rPr>
          <w:rFonts w:ascii="Times New Roman" w:eastAsia="Times New Roman" w:hAnsi="Times New Roman" w:cs="Times New Roman"/>
          <w:snapToGrid w:val="0"/>
        </w:rPr>
        <w:t>least</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squares</w:t>
      </w:r>
      <w:proofErr w:type="spellEnd"/>
      <w:r>
        <w:rPr>
          <w:rFonts w:ascii="Times New Roman" w:eastAsia="Times New Roman" w:hAnsi="Times New Roman" w:cs="Times New Roman"/>
          <w:snapToGrid w:val="0"/>
        </w:rPr>
        <w:t xml:space="preserve"> – LS) vidutinis pokytis nuo pradinių reikšmių iki 13-osios savaitės buvo -0,97 placebo grupėje, palyginti su -1,62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30 mg/60 mg vartojusiųjų grupėje (p = 0,052). Šio tyrimo metu gauti saugumo rezultatai atitiko žinomas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saugumo savybes.</w:t>
      </w:r>
    </w:p>
    <w:p w14:paraId="3708D23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875A34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Europos vaistų agentūra atleido nuo įsipareigojimo pateikti didžiosios depresijos sutrikimo, diabetinės neuropatijos sukelto skausmo ar </w:t>
      </w: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sutrikimo gydymo </w:t>
      </w:r>
      <w:proofErr w:type="spellStart"/>
      <w:r>
        <w:rPr>
          <w:rFonts w:ascii="Times New Roman" w:eastAsia="Times New Roman" w:hAnsi="Times New Roman" w:cs="Times New Roman"/>
          <w:snapToGrid w:val="0"/>
        </w:rPr>
        <w:t>duloksetinu</w:t>
      </w:r>
      <w:proofErr w:type="spellEnd"/>
      <w:r>
        <w:rPr>
          <w:rFonts w:ascii="Times New Roman" w:eastAsia="Times New Roman" w:hAnsi="Times New Roman" w:cs="Times New Roman"/>
          <w:snapToGrid w:val="0"/>
        </w:rPr>
        <w:t xml:space="preserve"> tyrimų su visais vaikų populiacijos pogrupiais duomenis (vartojimo vaikams informacija pateikiama 4.2 skyriuje).</w:t>
      </w:r>
    </w:p>
    <w:p w14:paraId="0406D5E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549E933"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5.2</w:t>
      </w:r>
      <w:r>
        <w:rPr>
          <w:rFonts w:ascii="Times New Roman" w:eastAsia="Times New Roman" w:hAnsi="Times New Roman" w:cs="Times New Roman"/>
          <w:b/>
          <w:bCs/>
          <w:snapToGrid w:val="0"/>
          <w:lang w:eastAsia="x-none"/>
        </w:rPr>
        <w:tab/>
      </w:r>
      <w:proofErr w:type="spellStart"/>
      <w:r>
        <w:rPr>
          <w:rFonts w:ascii="Times New Roman" w:eastAsia="Times New Roman" w:hAnsi="Times New Roman" w:cs="Times New Roman"/>
          <w:b/>
          <w:bCs/>
          <w:snapToGrid w:val="0"/>
          <w:lang w:eastAsia="x-none"/>
        </w:rPr>
        <w:t>Farmakokinetinės</w:t>
      </w:r>
      <w:proofErr w:type="spellEnd"/>
      <w:r>
        <w:rPr>
          <w:rFonts w:ascii="Times New Roman" w:eastAsia="Times New Roman" w:hAnsi="Times New Roman" w:cs="Times New Roman"/>
          <w:b/>
          <w:bCs/>
          <w:snapToGrid w:val="0"/>
          <w:lang w:eastAsia="x-none"/>
        </w:rPr>
        <w:t xml:space="preserve"> savybės</w:t>
      </w:r>
    </w:p>
    <w:p w14:paraId="4F8405EB" w14:textId="77777777" w:rsidR="00D60365" w:rsidRDefault="00D60365">
      <w:pPr>
        <w:widowControl w:val="0"/>
        <w:spacing w:after="0" w:line="240" w:lineRule="auto"/>
        <w:rPr>
          <w:rFonts w:ascii="Times New Roman" w:eastAsia="Times New Roman" w:hAnsi="Times New Roman" w:cs="Times New Roman"/>
          <w:snapToGrid w:val="0"/>
        </w:rPr>
      </w:pPr>
    </w:p>
    <w:p w14:paraId="16E3F1A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vartojamas kaip atskiras </w:t>
      </w:r>
      <w:proofErr w:type="spellStart"/>
      <w:r>
        <w:rPr>
          <w:rFonts w:ascii="Times New Roman" w:eastAsia="Times New Roman" w:hAnsi="Times New Roman" w:cs="Times New Roman"/>
          <w:snapToGrid w:val="0"/>
        </w:rPr>
        <w:t>enantiomeras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smarkiai </w:t>
      </w:r>
      <w:proofErr w:type="spellStart"/>
      <w:r>
        <w:rPr>
          <w:rFonts w:ascii="Times New Roman" w:eastAsia="Times New Roman" w:hAnsi="Times New Roman" w:cs="Times New Roman"/>
          <w:snapToGrid w:val="0"/>
        </w:rPr>
        <w:t>metabolizuojamas</w:t>
      </w:r>
      <w:proofErr w:type="spellEnd"/>
      <w:r>
        <w:rPr>
          <w:rFonts w:ascii="Times New Roman" w:eastAsia="Times New Roman" w:hAnsi="Times New Roman" w:cs="Times New Roman"/>
          <w:snapToGrid w:val="0"/>
        </w:rPr>
        <w:t xml:space="preserve"> oksiduojančių fermentų (CYP1A2 ir </w:t>
      </w:r>
      <w:proofErr w:type="spellStart"/>
      <w:r>
        <w:rPr>
          <w:rFonts w:ascii="Times New Roman" w:eastAsia="Times New Roman" w:hAnsi="Times New Roman" w:cs="Times New Roman"/>
          <w:snapToGrid w:val="0"/>
        </w:rPr>
        <w:t>polimorfinio</w:t>
      </w:r>
      <w:proofErr w:type="spellEnd"/>
      <w:r>
        <w:rPr>
          <w:rFonts w:ascii="Times New Roman" w:eastAsia="Times New Roman" w:hAnsi="Times New Roman" w:cs="Times New Roman"/>
          <w:snapToGrid w:val="0"/>
        </w:rPr>
        <w:t xml:space="preserve"> CYP2D6), vėliau </w:t>
      </w:r>
      <w:proofErr w:type="spellStart"/>
      <w:r>
        <w:rPr>
          <w:rFonts w:ascii="Times New Roman" w:eastAsia="Times New Roman" w:hAnsi="Times New Roman" w:cs="Times New Roman"/>
          <w:snapToGrid w:val="0"/>
        </w:rPr>
        <w:t>konjuguojamas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farmakokinetikai būdingas labai didelis kintamumas tarp tiriamųjų (bendrai 50-60 %), iš dalies dėl lyties, amžiaus, rūkymo ir CYP2D6 aktyvumo būklės.</w:t>
      </w:r>
    </w:p>
    <w:p w14:paraId="41BA28A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DB63CC0"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Cs/>
          <w:snapToGrid w:val="0"/>
          <w:u w:val="single"/>
        </w:rPr>
        <w:t>Absorbcija.</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Išgertas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yra gerai rezorbuojamas, preparato išgėrus</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C</w:t>
      </w:r>
      <w:r>
        <w:rPr>
          <w:rFonts w:ascii="Times New Roman" w:eastAsia="Times New Roman" w:hAnsi="Times New Roman" w:cs="Times New Roman"/>
          <w:i/>
          <w:iCs/>
          <w:snapToGrid w:val="0"/>
          <w:vertAlign w:val="subscript"/>
        </w:rPr>
        <w:t>max</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susidaro po 6 valandų.</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Absoliutus geriamojo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biologinis pasisavinimas svyruoja nuo 32 % iki 80 % (vidurkis 50 %). Dėl maisto vartojimo pailgėja (nuo 6 iki 10 valandų) laikas, per kurį susidaro didžiausia koncentracija ir nedaug sumažėja </w:t>
      </w:r>
      <w:proofErr w:type="spellStart"/>
      <w:r>
        <w:rPr>
          <w:rFonts w:ascii="Times New Roman" w:eastAsia="Times New Roman" w:hAnsi="Times New Roman" w:cs="Times New Roman"/>
          <w:snapToGrid w:val="0"/>
        </w:rPr>
        <w:t>rezorbcijos</w:t>
      </w:r>
      <w:proofErr w:type="spellEnd"/>
      <w:r>
        <w:rPr>
          <w:rFonts w:ascii="Times New Roman" w:eastAsia="Times New Roman" w:hAnsi="Times New Roman" w:cs="Times New Roman"/>
          <w:snapToGrid w:val="0"/>
        </w:rPr>
        <w:t xml:space="preserve"> apimtis (maždaug 11 %). Šie pokyčiai neturi jokios klinikinės reikšmės.</w:t>
      </w:r>
    </w:p>
    <w:p w14:paraId="7345606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Cs/>
          <w:snapToGrid w:val="0"/>
        </w:rPr>
        <w:t>Pasiskirstymas.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Maždaug 96 %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susijungia su žmogaus plazmos baltymais.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jungiasi tiek su </w:t>
      </w:r>
      <w:proofErr w:type="spellStart"/>
      <w:r>
        <w:rPr>
          <w:rFonts w:ascii="Times New Roman" w:eastAsia="Times New Roman" w:hAnsi="Times New Roman" w:cs="Times New Roman"/>
          <w:snapToGrid w:val="0"/>
        </w:rPr>
        <w:t>albuminu</w:t>
      </w:r>
      <w:proofErr w:type="spellEnd"/>
      <w:r>
        <w:rPr>
          <w:rFonts w:ascii="Times New Roman" w:eastAsia="Times New Roman" w:hAnsi="Times New Roman" w:cs="Times New Roman"/>
          <w:snapToGrid w:val="0"/>
        </w:rPr>
        <w:t>, tiek su rūgščiuoju α-1 </w:t>
      </w:r>
      <w:proofErr w:type="spellStart"/>
      <w:r>
        <w:rPr>
          <w:rFonts w:ascii="Times New Roman" w:eastAsia="Times New Roman" w:hAnsi="Times New Roman" w:cs="Times New Roman"/>
          <w:snapToGrid w:val="0"/>
        </w:rPr>
        <w:t>glikoproteinu</w:t>
      </w:r>
      <w:proofErr w:type="spellEnd"/>
      <w:r>
        <w:rPr>
          <w:rFonts w:ascii="Times New Roman" w:eastAsia="Times New Roman" w:hAnsi="Times New Roman" w:cs="Times New Roman"/>
          <w:snapToGrid w:val="0"/>
        </w:rPr>
        <w:t>. Inkstų ar kepenų funkcijos sutrikimas neįtakoja jungimosi su baltymais.</w:t>
      </w:r>
    </w:p>
    <w:p w14:paraId="479104C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171DFC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Cs/>
          <w:snapToGrid w:val="0"/>
          <w:u w:val="single"/>
        </w:rPr>
        <w:t>Biotransformacija</w:t>
      </w:r>
      <w:proofErr w:type="spellEnd"/>
      <w:r>
        <w:rPr>
          <w:rFonts w:ascii="Times New Roman" w:eastAsia="Times New Roman" w:hAnsi="Times New Roman" w:cs="Times New Roman"/>
          <w:snapToGrid w:val="0"/>
          <w:u w:val="single"/>
        </w:rPr>
        <w:t xml:space="preserve">.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smarkiai </w:t>
      </w:r>
      <w:proofErr w:type="spellStart"/>
      <w:r>
        <w:rPr>
          <w:rFonts w:ascii="Times New Roman" w:eastAsia="Times New Roman" w:hAnsi="Times New Roman" w:cs="Times New Roman"/>
          <w:snapToGrid w:val="0"/>
        </w:rPr>
        <w:t>metabolizuojamas</w:t>
      </w:r>
      <w:proofErr w:type="spellEnd"/>
      <w:r>
        <w:rPr>
          <w:rFonts w:ascii="Times New Roman" w:eastAsia="Times New Roman" w:hAnsi="Times New Roman" w:cs="Times New Roman"/>
          <w:snapToGrid w:val="0"/>
        </w:rPr>
        <w:t>, o metabolitai pašalinami daugiausia su</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šlapimu. Abu </w:t>
      </w:r>
      <w:proofErr w:type="spellStart"/>
      <w:r>
        <w:rPr>
          <w:rFonts w:ascii="Times New Roman" w:eastAsia="Times New Roman" w:hAnsi="Times New Roman" w:cs="Times New Roman"/>
          <w:snapToGrid w:val="0"/>
        </w:rPr>
        <w:t>citochromai</w:t>
      </w:r>
      <w:proofErr w:type="spellEnd"/>
      <w:r>
        <w:rPr>
          <w:rFonts w:ascii="Times New Roman" w:eastAsia="Times New Roman" w:hAnsi="Times New Roman" w:cs="Times New Roman"/>
          <w:snapToGrid w:val="0"/>
        </w:rPr>
        <w:t xml:space="preserve"> P450-2D6 ir 1A2 katalizuoja dviejų pagrindinių metabolitų – 4-hidroksiduloksetino </w:t>
      </w:r>
      <w:proofErr w:type="spellStart"/>
      <w:r>
        <w:rPr>
          <w:rFonts w:ascii="Times New Roman" w:eastAsia="Times New Roman" w:hAnsi="Times New Roman" w:cs="Times New Roman"/>
          <w:snapToGrid w:val="0"/>
        </w:rPr>
        <w:t>gliukuronido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konjugato</w:t>
      </w:r>
      <w:proofErr w:type="spellEnd"/>
      <w:r>
        <w:rPr>
          <w:rFonts w:ascii="Times New Roman" w:eastAsia="Times New Roman" w:hAnsi="Times New Roman" w:cs="Times New Roman"/>
          <w:snapToGrid w:val="0"/>
        </w:rPr>
        <w:t xml:space="preserve"> ir 5-hidroksi, 6-metoksiduloksetino sulfato </w:t>
      </w:r>
      <w:proofErr w:type="spellStart"/>
      <w:r>
        <w:rPr>
          <w:rFonts w:ascii="Times New Roman" w:eastAsia="Times New Roman" w:hAnsi="Times New Roman" w:cs="Times New Roman"/>
          <w:snapToGrid w:val="0"/>
        </w:rPr>
        <w:t>konjugato</w:t>
      </w:r>
      <w:proofErr w:type="spellEnd"/>
      <w:r>
        <w:rPr>
          <w:rFonts w:ascii="Times New Roman" w:eastAsia="Times New Roman" w:hAnsi="Times New Roman" w:cs="Times New Roman"/>
          <w:snapToGrid w:val="0"/>
        </w:rPr>
        <w:t xml:space="preserve"> – susidarymą. Remiantis </w:t>
      </w: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vitro</w:t>
      </w:r>
      <w:proofErr w:type="spellEnd"/>
      <w:r>
        <w:rPr>
          <w:rFonts w:ascii="Times New Roman" w:eastAsia="Times New Roman" w:hAnsi="Times New Roman" w:cs="Times New Roman"/>
          <w:snapToGrid w:val="0"/>
        </w:rPr>
        <w:t xml:space="preserve"> tyrimais, cirkuliuojantys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metabolitai yra farmakologiškai neveiklūs.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farmakokinetika pacientams, kurių CYP2D6 aktyvumas sumažėjęs, nebuvo specialiai tirta. Ribotas duomenų kiekis leidžia manyti, kad šių pacientų kraujo plazmoje susidaro didesnė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koncentracija.</w:t>
      </w:r>
    </w:p>
    <w:p w14:paraId="28A37F3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353F5E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Cs/>
          <w:snapToGrid w:val="0"/>
          <w:u w:val="single"/>
        </w:rPr>
        <w:t>Eliminacija</w:t>
      </w:r>
      <w:r>
        <w:rPr>
          <w:rFonts w:ascii="Times New Roman" w:eastAsia="Times New Roman" w:hAnsi="Times New Roman" w:cs="Times New Roman"/>
          <w:snapToGrid w:val="0"/>
          <w:u w:val="single"/>
        </w:rPr>
        <w:t xml:space="preserve">. </w:t>
      </w:r>
      <w:r>
        <w:rPr>
          <w:rFonts w:ascii="Times New Roman" w:eastAsia="Times New Roman" w:hAnsi="Times New Roman" w:cs="Times New Roman"/>
          <w:snapToGrid w:val="0"/>
        </w:rPr>
        <w:t xml:space="preserve">Išgerto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pusinės eliminacijos laikas svyruoja nuo 8 iki 17 valandų (vidurkis 12 valandų). Suleidus į veną,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plazmos klirensas svyruoja nuo 22 l/val. iki 46 l/val. (vidurkis 36 l/val.). Išgėrus vaisto,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plazmos klirensas yra 33-261 l/val. (vidurkis 101 l/val.).</w:t>
      </w:r>
    </w:p>
    <w:p w14:paraId="670CD2F0" w14:textId="77777777" w:rsidR="00D60365" w:rsidRDefault="00D60365">
      <w:pPr>
        <w:widowControl w:val="0"/>
        <w:tabs>
          <w:tab w:val="left" w:pos="567"/>
        </w:tabs>
        <w:spacing w:after="0" w:line="240" w:lineRule="auto"/>
        <w:rPr>
          <w:rFonts w:ascii="Times New Roman" w:eastAsia="Times New Roman" w:hAnsi="Times New Roman" w:cs="Times New Roman"/>
          <w:i/>
          <w:iCs/>
          <w:snapToGrid w:val="0"/>
        </w:rPr>
      </w:pPr>
    </w:p>
    <w:p w14:paraId="72053A58" w14:textId="77777777" w:rsidR="00D60365" w:rsidRDefault="00C12095">
      <w:pPr>
        <w:widowControl w:val="0"/>
        <w:tabs>
          <w:tab w:val="left" w:pos="567"/>
        </w:tabs>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iCs/>
          <w:snapToGrid w:val="0"/>
          <w:u w:val="single"/>
        </w:rPr>
        <w:t>Specialių grupių pacientai</w:t>
      </w:r>
    </w:p>
    <w:p w14:paraId="4D9C372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Lytis. </w:t>
      </w:r>
      <w:r>
        <w:rPr>
          <w:rFonts w:ascii="Times New Roman" w:eastAsia="Times New Roman" w:hAnsi="Times New Roman" w:cs="Times New Roman"/>
          <w:snapToGrid w:val="0"/>
        </w:rPr>
        <w:t>Nustatyta, kad</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vyrų ir moterų organizme farmakokinetika skiriasi: moterų kraujo plazmoje klirensas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yra maždaug 50 % mažesnis). Remiantis daliniu klirenso sutapimu, dėl nuo lyties priklausomų farmakokinetikos skirtumų nėra pagrindo rekomenduoti moterims mažinti dozę.</w:t>
      </w:r>
    </w:p>
    <w:p w14:paraId="7CFCD6A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AC42F7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Amžius. </w:t>
      </w:r>
      <w:r>
        <w:rPr>
          <w:rFonts w:ascii="Times New Roman" w:eastAsia="Times New Roman" w:hAnsi="Times New Roman" w:cs="Times New Roman"/>
          <w:snapToGrid w:val="0"/>
        </w:rPr>
        <w:t>Buvo nustatyta skirtumų tarp jaunesnių ir vyresnio amžiaus (≥</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65 metų) moterų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farmakokinetikos (vyresniųjų moterų </w:t>
      </w:r>
      <w:r>
        <w:rPr>
          <w:rFonts w:ascii="Times New Roman" w:eastAsia="Times New Roman" w:hAnsi="Times New Roman" w:cs="Times New Roman"/>
          <w:i/>
          <w:iCs/>
          <w:snapToGrid w:val="0"/>
        </w:rPr>
        <w:t>AUC</w:t>
      </w:r>
      <w:r>
        <w:rPr>
          <w:rFonts w:ascii="Times New Roman" w:eastAsia="Times New Roman" w:hAnsi="Times New Roman" w:cs="Times New Roman"/>
          <w:snapToGrid w:val="0"/>
        </w:rPr>
        <w:t xml:space="preserve"> yra maždaug 25 % didesnis, o pusinės eliminacijos laikas – maždaug 25 % ilgesnis), tačiau šie pokyčiai nėra tokie dideli, kad reikėtų koreguoti dozę. Bendrai, gydant senyvus pacientus, rekomenduojama paisyti atsargumo priemonių (žr. 4.2 ir 4.4 skyrius).</w:t>
      </w:r>
    </w:p>
    <w:p w14:paraId="235ED8C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8B01D1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Inkstų funkcijos sutrikimas</w:t>
      </w:r>
      <w:r>
        <w:rPr>
          <w:rFonts w:ascii="Times New Roman" w:eastAsia="Times New Roman" w:hAnsi="Times New Roman" w:cs="Times New Roman"/>
          <w:snapToGrid w:val="0"/>
        </w:rPr>
        <w:t xml:space="preserve">. Pacientų, kurie serga paskutinės stadijos inkstų liga (PSIL) ir yra </w:t>
      </w:r>
      <w:proofErr w:type="spellStart"/>
      <w:r>
        <w:rPr>
          <w:rFonts w:ascii="Times New Roman" w:eastAsia="Times New Roman" w:hAnsi="Times New Roman" w:cs="Times New Roman"/>
          <w:snapToGrid w:val="0"/>
        </w:rPr>
        <w:t>dializuojami</w:t>
      </w:r>
      <w:proofErr w:type="spellEnd"/>
      <w:r>
        <w:rPr>
          <w:rFonts w:ascii="Times New Roman" w:eastAsia="Times New Roman" w:hAnsi="Times New Roman" w:cs="Times New Roman"/>
          <w:snapToGrid w:val="0"/>
        </w:rPr>
        <w:t>,</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i/>
          <w:iCs/>
          <w:snapToGrid w:val="0"/>
        </w:rPr>
        <w:t>C</w:t>
      </w:r>
      <w:r>
        <w:rPr>
          <w:rFonts w:ascii="Times New Roman" w:eastAsia="Times New Roman" w:hAnsi="Times New Roman" w:cs="Times New Roman"/>
          <w:i/>
          <w:iCs/>
          <w:snapToGrid w:val="0"/>
          <w:vertAlign w:val="subscript"/>
        </w:rPr>
        <w:t>max</w:t>
      </w:r>
      <w:proofErr w:type="spellEnd"/>
      <w:r>
        <w:rPr>
          <w:rFonts w:ascii="Times New Roman" w:eastAsia="Times New Roman" w:hAnsi="Times New Roman" w:cs="Times New Roman"/>
          <w:snapToGrid w:val="0"/>
        </w:rPr>
        <w:t xml:space="preserve"> ir </w:t>
      </w:r>
      <w:r>
        <w:rPr>
          <w:rFonts w:ascii="Times New Roman" w:eastAsia="Times New Roman" w:hAnsi="Times New Roman" w:cs="Times New Roman"/>
          <w:i/>
          <w:iCs/>
          <w:snapToGrid w:val="0"/>
        </w:rPr>
        <w:t>AUC</w:t>
      </w:r>
      <w:r>
        <w:rPr>
          <w:rFonts w:ascii="Times New Roman" w:eastAsia="Times New Roman" w:hAnsi="Times New Roman" w:cs="Times New Roman"/>
          <w:snapToGrid w:val="0"/>
        </w:rPr>
        <w:t xml:space="preserve"> buvo 2 kartus didesni lyginant su sveikų asmenų atitinkamais duomenimis.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farmakokinetikos duomenų pacientams, kuriems yra lengvas arba vidutinis inkstų sutrikimas, yra nepakankamai.</w:t>
      </w:r>
    </w:p>
    <w:p w14:paraId="6759F04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063883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Kepenų funkcijos sutrikimas. </w:t>
      </w:r>
      <w:r>
        <w:rPr>
          <w:rFonts w:ascii="Times New Roman" w:eastAsia="Times New Roman" w:hAnsi="Times New Roman" w:cs="Times New Roman"/>
          <w:snapToGrid w:val="0"/>
        </w:rPr>
        <w:t xml:space="preserve">Dėl vidutinio sunkumo kepenų ligos (B klasė pagal </w:t>
      </w:r>
      <w:proofErr w:type="spellStart"/>
      <w:r>
        <w:rPr>
          <w:rFonts w:ascii="Times New Roman" w:eastAsia="Times New Roman" w:hAnsi="Times New Roman" w:cs="Times New Roman"/>
          <w:snapToGrid w:val="0"/>
        </w:rPr>
        <w:t>Child-Pugh</w:t>
      </w:r>
      <w:proofErr w:type="spellEnd"/>
      <w:r>
        <w:rPr>
          <w:rFonts w:ascii="Times New Roman" w:eastAsia="Times New Roman" w:hAnsi="Times New Roman" w:cs="Times New Roman"/>
          <w:snapToGrid w:val="0"/>
        </w:rPr>
        <w:t>) pakito</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farmakokinetika. Pacientų, sergančių vidutinio sunkumo kepenų liga, tariamasis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plazmos klirensas buvo 79 % mažesnis, tariamasis galutinis pusinės eliminacijos laikas – 2,3 karto ilgesnis, o </w:t>
      </w:r>
      <w:r>
        <w:rPr>
          <w:rFonts w:ascii="Times New Roman" w:eastAsia="Times New Roman" w:hAnsi="Times New Roman" w:cs="Times New Roman"/>
          <w:i/>
          <w:iCs/>
          <w:snapToGrid w:val="0"/>
        </w:rPr>
        <w:t>AUC</w:t>
      </w:r>
      <w:r>
        <w:rPr>
          <w:rFonts w:ascii="Times New Roman" w:eastAsia="Times New Roman" w:hAnsi="Times New Roman" w:cs="Times New Roman"/>
          <w:snapToGrid w:val="0"/>
        </w:rPr>
        <w:t xml:space="preserve"> – 3,7 karto didesnis negu sveikų asmenų.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ir jo metabolitų farmakokinetika lengvu arba vidutiniu kepenų nepakankamumu sergantiems pacientams nebuvo tirta.</w:t>
      </w:r>
    </w:p>
    <w:p w14:paraId="056E921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DE613A0"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Žindančios motinos.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farmakokinetika tirta</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6 žindyvių, kurioms po gydymo buvo praėję ne</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mažiau kaip 12 savaičių, organizme. Nustatyta, kad į moters pieną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patenka. Moters piene jo koncentracija tuo metu, kai apykaita </w:t>
      </w:r>
      <w:proofErr w:type="spellStart"/>
      <w:r>
        <w:rPr>
          <w:rFonts w:ascii="Times New Roman" w:eastAsia="Times New Roman" w:hAnsi="Times New Roman" w:cs="Times New Roman"/>
          <w:snapToGrid w:val="0"/>
        </w:rPr>
        <w:t>pusiausvyrinė</w:t>
      </w:r>
      <w:proofErr w:type="spellEnd"/>
      <w:r>
        <w:rPr>
          <w:rFonts w:ascii="Times New Roman" w:eastAsia="Times New Roman" w:hAnsi="Times New Roman" w:cs="Times New Roman"/>
          <w:snapToGrid w:val="0"/>
        </w:rPr>
        <w:t xml:space="preserve">, būna ketvirtadalis tos koncentracijos, kokia yra jos kraujo plazmoje. Moters, vartojančios 40 mg dozę 2 kartus per parą, piene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kiekis būna maždaug 7 </w:t>
      </w:r>
      <w:proofErr w:type="spellStart"/>
      <w:r>
        <w:rPr>
          <w:rFonts w:ascii="Times New Roman" w:eastAsia="Times New Roman" w:hAnsi="Times New Roman" w:cs="Times New Roman"/>
          <w:snapToGrid w:val="0"/>
        </w:rPr>
        <w:t>mikrogramai</w:t>
      </w:r>
      <w:proofErr w:type="spellEnd"/>
      <w:r>
        <w:rPr>
          <w:rFonts w:ascii="Times New Roman" w:eastAsia="Times New Roman" w:hAnsi="Times New Roman" w:cs="Times New Roman"/>
          <w:snapToGrid w:val="0"/>
        </w:rPr>
        <w:t xml:space="preserve">/parą. Žindymas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farmakokinetikai įtakos nedaro.</w:t>
      </w:r>
    </w:p>
    <w:p w14:paraId="7E8BE8F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874CE0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Vaikų populiacija.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farmakokinetikos savybės vaikų populiacijos pacientų nuo 7 iki 17 metų,</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kuriems buvo diagnozuotas didžiosios depresijos sutrikimas, organizmuose po 20-120 mg </w:t>
      </w:r>
      <w:r>
        <w:rPr>
          <w:rFonts w:ascii="Times New Roman" w:eastAsia="Times New Roman" w:hAnsi="Times New Roman" w:cs="Times New Roman"/>
          <w:snapToGrid w:val="0"/>
        </w:rPr>
        <w:lastRenderedPageBreak/>
        <w:t xml:space="preserve">dozės vieną kartą per parą pavartojimo per burną buvo nustatytos naudojant populiacijos modeliavimo analizę, pagrįstą 3 tyrimų duomenimis. Pagal modelį numatytos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pusiausvyros apykaitos koncentracijos vaikų populiacijos pacientų plazmoje daugiausia buvo suaugusiems pacientams išmatuotų koncentracijų ribose.</w:t>
      </w:r>
    </w:p>
    <w:p w14:paraId="1411BAD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7399616"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5.3</w:t>
      </w:r>
      <w:r>
        <w:rPr>
          <w:rFonts w:ascii="Times New Roman" w:eastAsia="Times New Roman" w:hAnsi="Times New Roman" w:cs="Times New Roman"/>
          <w:b/>
          <w:bCs/>
          <w:snapToGrid w:val="0"/>
          <w:lang w:eastAsia="x-none"/>
        </w:rPr>
        <w:tab/>
      </w:r>
      <w:proofErr w:type="spellStart"/>
      <w:r>
        <w:rPr>
          <w:rFonts w:ascii="Times New Roman" w:eastAsia="Times New Roman" w:hAnsi="Times New Roman" w:cs="Times New Roman"/>
          <w:b/>
          <w:bCs/>
          <w:snapToGrid w:val="0"/>
          <w:lang w:eastAsia="x-none"/>
        </w:rPr>
        <w:t>Ikiklinikinių</w:t>
      </w:r>
      <w:proofErr w:type="spellEnd"/>
      <w:r>
        <w:rPr>
          <w:rFonts w:ascii="Times New Roman" w:eastAsia="Times New Roman" w:hAnsi="Times New Roman" w:cs="Times New Roman"/>
          <w:b/>
          <w:bCs/>
          <w:snapToGrid w:val="0"/>
          <w:lang w:eastAsia="x-none"/>
        </w:rPr>
        <w:t xml:space="preserve"> saugumo tyrimų duomenys</w:t>
      </w:r>
    </w:p>
    <w:p w14:paraId="473F8483" w14:textId="77777777" w:rsidR="00D60365" w:rsidRDefault="00D60365">
      <w:pPr>
        <w:widowControl w:val="0"/>
        <w:spacing w:after="0" w:line="240" w:lineRule="auto"/>
        <w:rPr>
          <w:rFonts w:ascii="Times New Roman" w:eastAsia="Times New Roman" w:hAnsi="Times New Roman" w:cs="Times New Roman"/>
          <w:snapToGrid w:val="0"/>
        </w:rPr>
      </w:pPr>
    </w:p>
    <w:p w14:paraId="6ACB6A1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Atlikus įprastinius tyrimus </w:t>
      </w:r>
      <w:proofErr w:type="spellStart"/>
      <w:r>
        <w:rPr>
          <w:rFonts w:ascii="Times New Roman" w:eastAsia="Times New Roman" w:hAnsi="Times New Roman" w:cs="Times New Roman"/>
          <w:snapToGrid w:val="0"/>
        </w:rPr>
        <w:t>genotoksinio</w:t>
      </w:r>
      <w:proofErr w:type="spellEnd"/>
      <w:r>
        <w:rPr>
          <w:rFonts w:ascii="Times New Roman" w:eastAsia="Times New Roman" w:hAnsi="Times New Roman" w:cs="Times New Roman"/>
          <w:snapToGrid w:val="0"/>
        </w:rPr>
        <w:t xml:space="preserve"> poveikio nenustatyta, preparatas nebuvo </w:t>
      </w:r>
      <w:proofErr w:type="spellStart"/>
      <w:r>
        <w:rPr>
          <w:rFonts w:ascii="Times New Roman" w:eastAsia="Times New Roman" w:hAnsi="Times New Roman" w:cs="Times New Roman"/>
          <w:snapToGrid w:val="0"/>
        </w:rPr>
        <w:t>kancerogeniškas</w:t>
      </w:r>
      <w:proofErr w:type="spellEnd"/>
      <w:r>
        <w:rPr>
          <w:rFonts w:ascii="Times New Roman" w:eastAsia="Times New Roman" w:hAnsi="Times New Roman" w:cs="Times New Roman"/>
          <w:snapToGrid w:val="0"/>
        </w:rPr>
        <w:t xml:space="preserve"> žiurkėms. Žiurkių </w:t>
      </w:r>
      <w:proofErr w:type="spellStart"/>
      <w:r>
        <w:rPr>
          <w:rFonts w:ascii="Times New Roman" w:eastAsia="Times New Roman" w:hAnsi="Times New Roman" w:cs="Times New Roman"/>
          <w:snapToGrid w:val="0"/>
        </w:rPr>
        <w:t>kancerogeniškumo</w:t>
      </w:r>
      <w:proofErr w:type="spellEnd"/>
      <w:r>
        <w:rPr>
          <w:rFonts w:ascii="Times New Roman" w:eastAsia="Times New Roman" w:hAnsi="Times New Roman" w:cs="Times New Roman"/>
          <w:snapToGrid w:val="0"/>
        </w:rPr>
        <w:t xml:space="preserve"> tyrimo metu buvo aptikta </w:t>
      </w:r>
      <w:proofErr w:type="spellStart"/>
      <w:r>
        <w:rPr>
          <w:rFonts w:ascii="Times New Roman" w:eastAsia="Times New Roman" w:hAnsi="Times New Roman" w:cs="Times New Roman"/>
          <w:snapToGrid w:val="0"/>
        </w:rPr>
        <w:t>daugiabranduolių</w:t>
      </w:r>
      <w:proofErr w:type="spellEnd"/>
      <w:r>
        <w:rPr>
          <w:rFonts w:ascii="Times New Roman" w:eastAsia="Times New Roman" w:hAnsi="Times New Roman" w:cs="Times New Roman"/>
          <w:snapToGrid w:val="0"/>
        </w:rPr>
        <w:t xml:space="preserve"> kepenų ląstelių, kitų </w:t>
      </w:r>
      <w:proofErr w:type="spellStart"/>
      <w:r>
        <w:rPr>
          <w:rFonts w:ascii="Times New Roman" w:eastAsia="Times New Roman" w:hAnsi="Times New Roman" w:cs="Times New Roman"/>
          <w:snapToGrid w:val="0"/>
        </w:rPr>
        <w:t>histopatologinių</w:t>
      </w:r>
      <w:proofErr w:type="spellEnd"/>
      <w:r>
        <w:rPr>
          <w:rFonts w:ascii="Times New Roman" w:eastAsia="Times New Roman" w:hAnsi="Times New Roman" w:cs="Times New Roman"/>
          <w:snapToGrid w:val="0"/>
        </w:rPr>
        <w:t xml:space="preserve"> pokyčių nenustatyta. Šio reiškinio atsiradimo mechanizmas ir klinikinė reikšmė nėra žinoma. Pelėms patelėms, kurioms 2 metus buvo duodamos didelės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dozės (144 mg/kg per parą), padidėjo kepenų ląstelių adenomų ir karcinomų atvejų skaičius, tačiau manoma, kad tai yra antrinė pasekmė dėl kepenų </w:t>
      </w:r>
      <w:proofErr w:type="spellStart"/>
      <w:r>
        <w:rPr>
          <w:rFonts w:ascii="Times New Roman" w:eastAsia="Times New Roman" w:hAnsi="Times New Roman" w:cs="Times New Roman"/>
          <w:snapToGrid w:val="0"/>
        </w:rPr>
        <w:t>mikrosominių</w:t>
      </w:r>
      <w:proofErr w:type="spellEnd"/>
      <w:r>
        <w:rPr>
          <w:rFonts w:ascii="Times New Roman" w:eastAsia="Times New Roman" w:hAnsi="Times New Roman" w:cs="Times New Roman"/>
          <w:snapToGrid w:val="0"/>
        </w:rPr>
        <w:t xml:space="preserve"> fermentų sužadinimo. Ar šių pelių tyrimų duomenys reikšmingi žmonėms, nežinoma. Žiurkių patelės, kurioms prieš poravimąsi, poravimosi ir ankstyvo nėštumo metu buvo skiriama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(45 mg/kg/per parą), mažiau suvartodavo maisto, jų svoris buvo mažesnis, pasireiškė rujos ciklo sutrikimai, sumažėjo gimstančių gyvų jauniklių skaičius ir palikuonių išgyvenamumo rodikliai, sulėtėjo palikuonių augimas, esant sisteminės ekspozicijos (</w:t>
      </w:r>
      <w:r>
        <w:rPr>
          <w:rFonts w:ascii="Times New Roman" w:eastAsia="Times New Roman" w:hAnsi="Times New Roman" w:cs="Times New Roman"/>
          <w:i/>
          <w:iCs/>
          <w:snapToGrid w:val="0"/>
        </w:rPr>
        <w:t>AUC</w:t>
      </w:r>
      <w:r>
        <w:rPr>
          <w:rFonts w:ascii="Times New Roman" w:eastAsia="Times New Roman" w:hAnsi="Times New Roman" w:cs="Times New Roman"/>
          <w:snapToGrid w:val="0"/>
        </w:rPr>
        <w:t xml:space="preserve">) dydžiui, atitinkančiam maksimalią klinikinę ekspoziciją. </w:t>
      </w:r>
      <w:proofErr w:type="spellStart"/>
      <w:r>
        <w:rPr>
          <w:rFonts w:ascii="Times New Roman" w:eastAsia="Times New Roman" w:hAnsi="Times New Roman" w:cs="Times New Roman"/>
          <w:snapToGrid w:val="0"/>
        </w:rPr>
        <w:t>Embriotoksiškumo</w:t>
      </w:r>
      <w:proofErr w:type="spellEnd"/>
      <w:r>
        <w:rPr>
          <w:rFonts w:ascii="Times New Roman" w:eastAsia="Times New Roman" w:hAnsi="Times New Roman" w:cs="Times New Roman"/>
          <w:snapToGrid w:val="0"/>
        </w:rPr>
        <w:t xml:space="preserve"> tyrimo su triušiais metu, esant mažesnei nei maksimali klinikinė sisteminei ekspozicijai (</w:t>
      </w:r>
      <w:r>
        <w:rPr>
          <w:rFonts w:ascii="Times New Roman" w:eastAsia="Times New Roman" w:hAnsi="Times New Roman" w:cs="Times New Roman"/>
          <w:i/>
          <w:iCs/>
          <w:snapToGrid w:val="0"/>
        </w:rPr>
        <w:t>AUC</w:t>
      </w:r>
      <w:r>
        <w:rPr>
          <w:rFonts w:ascii="Times New Roman" w:eastAsia="Times New Roman" w:hAnsi="Times New Roman" w:cs="Times New Roman"/>
          <w:snapToGrid w:val="0"/>
        </w:rPr>
        <w:t xml:space="preserve">), buvo nustatytas didesnis širdies ir kraujagyslių bei skeleto apsigimimų dažnis. Kito tyrimo metu, tiriant didesnių kitos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druskos dozių skyrimą, nebuvo nustatyta jokių apsigimimų. </w:t>
      </w:r>
      <w:proofErr w:type="spellStart"/>
      <w:r>
        <w:rPr>
          <w:rFonts w:ascii="Times New Roman" w:eastAsia="Times New Roman" w:hAnsi="Times New Roman" w:cs="Times New Roman"/>
          <w:snapToGrid w:val="0"/>
        </w:rPr>
        <w:t>Prenatalinio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postnatalinio</w:t>
      </w:r>
      <w:proofErr w:type="spellEnd"/>
      <w:r>
        <w:rPr>
          <w:rFonts w:ascii="Times New Roman" w:eastAsia="Times New Roman" w:hAnsi="Times New Roman" w:cs="Times New Roman"/>
          <w:snapToGrid w:val="0"/>
        </w:rPr>
        <w:t xml:space="preserve"> toksiškumo klinikinio tyrimo su žiurkėmis metu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palikuoniams sukėlė nepageidaujamų elgesio reiškinių, esant mažesnėms nei maksimali klinikinė sisteminėms ekspozicijoms (</w:t>
      </w:r>
      <w:r>
        <w:rPr>
          <w:rFonts w:ascii="Times New Roman" w:eastAsia="Times New Roman" w:hAnsi="Times New Roman" w:cs="Times New Roman"/>
          <w:i/>
          <w:iCs/>
          <w:snapToGrid w:val="0"/>
        </w:rPr>
        <w:t>AUC</w:t>
      </w:r>
      <w:r>
        <w:rPr>
          <w:rFonts w:ascii="Times New Roman" w:eastAsia="Times New Roman" w:hAnsi="Times New Roman" w:cs="Times New Roman"/>
          <w:snapToGrid w:val="0"/>
        </w:rPr>
        <w:t>).</w:t>
      </w:r>
    </w:p>
    <w:p w14:paraId="18B289D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45DE215"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Tyrimai su žiurkių jaunikliais parodė trumpalaikį poveikį nervų sistemai ir elgsenai, o taip pat reikšmingą kūno masės sumažėjimą ir mažesnį maisto suvartojimą, kepenų fermentų sužadinimą bei kepenų ląstelių </w:t>
      </w:r>
      <w:proofErr w:type="spellStart"/>
      <w:r>
        <w:rPr>
          <w:rFonts w:ascii="Times New Roman" w:eastAsia="Times New Roman" w:hAnsi="Times New Roman" w:cs="Times New Roman"/>
          <w:snapToGrid w:val="0"/>
        </w:rPr>
        <w:t>vakuolizaciją</w:t>
      </w:r>
      <w:proofErr w:type="spellEnd"/>
      <w:r>
        <w:rPr>
          <w:rFonts w:ascii="Times New Roman" w:eastAsia="Times New Roman" w:hAnsi="Times New Roman" w:cs="Times New Roman"/>
          <w:snapToGrid w:val="0"/>
        </w:rPr>
        <w:t xml:space="preserve"> vartojant 45 mg/kg kūno svorio per parą dozes. Bendrasis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toksinio poveikio žiurkių jaunikliams pobūdis buvo panašus į nustatytąjį suaugusioms žiurkėms. Buvo nustatyta, kad nepageidaujamo poveikio nesukeliančios koncentracijos susidaro vartojant 20 mg/kg kūno svorio dozę per parą.</w:t>
      </w:r>
    </w:p>
    <w:p w14:paraId="70B6FA38" w14:textId="77777777" w:rsidR="00D60365" w:rsidRDefault="00D60365">
      <w:pPr>
        <w:widowControl w:val="0"/>
        <w:spacing w:after="0" w:line="240" w:lineRule="auto"/>
        <w:rPr>
          <w:rFonts w:ascii="Times New Roman" w:eastAsia="Times New Roman" w:hAnsi="Times New Roman" w:cs="Times New Roman"/>
          <w:snapToGrid w:val="0"/>
        </w:rPr>
      </w:pPr>
    </w:p>
    <w:p w14:paraId="36AA3832" w14:textId="77777777" w:rsidR="00D60365" w:rsidRDefault="00D60365">
      <w:pPr>
        <w:widowControl w:val="0"/>
        <w:spacing w:after="0" w:line="240" w:lineRule="auto"/>
        <w:rPr>
          <w:rFonts w:ascii="Times New Roman" w:eastAsia="Times New Roman" w:hAnsi="Times New Roman" w:cs="Times New Roman"/>
          <w:snapToGrid w:val="0"/>
        </w:rPr>
      </w:pPr>
    </w:p>
    <w:p w14:paraId="3B3AA7C3"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w:t>
      </w:r>
      <w:r>
        <w:rPr>
          <w:rFonts w:ascii="Times New Roman" w:eastAsia="Times New Roman" w:hAnsi="Times New Roman" w:cs="Times New Roman"/>
          <w:b/>
          <w:bCs/>
          <w:snapToGrid w:val="0"/>
          <w:lang w:eastAsia="x-none"/>
        </w:rPr>
        <w:tab/>
        <w:t>FARMACINĖ INFORMACIJA</w:t>
      </w:r>
    </w:p>
    <w:p w14:paraId="5442B643" w14:textId="77777777" w:rsidR="00D60365" w:rsidRDefault="00D60365">
      <w:pPr>
        <w:widowControl w:val="0"/>
        <w:spacing w:after="0" w:line="240" w:lineRule="auto"/>
        <w:rPr>
          <w:rFonts w:ascii="Times New Roman" w:eastAsia="Times New Roman" w:hAnsi="Times New Roman" w:cs="Times New Roman"/>
          <w:snapToGrid w:val="0"/>
        </w:rPr>
      </w:pPr>
    </w:p>
    <w:p w14:paraId="1E56FAB0"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6.1</w:t>
      </w:r>
      <w:r>
        <w:rPr>
          <w:rFonts w:ascii="Times New Roman" w:eastAsia="Times New Roman" w:hAnsi="Times New Roman" w:cs="Times New Roman"/>
          <w:b/>
          <w:bCs/>
          <w:snapToGrid w:val="0"/>
          <w:lang w:eastAsia="x-none"/>
        </w:rPr>
        <w:tab/>
        <w:t>Pagalbinių medžiagų sąrašas</w:t>
      </w:r>
    </w:p>
    <w:p w14:paraId="09DBFD52" w14:textId="77777777" w:rsidR="00D60365" w:rsidRDefault="00D60365">
      <w:pPr>
        <w:widowControl w:val="0"/>
        <w:spacing w:after="0" w:line="240" w:lineRule="auto"/>
        <w:rPr>
          <w:rFonts w:ascii="Times New Roman" w:eastAsia="Times New Roman" w:hAnsi="Times New Roman" w:cs="Times New Roman"/>
          <w:snapToGrid w:val="0"/>
        </w:rPr>
      </w:pPr>
    </w:p>
    <w:p w14:paraId="5791DBEC" w14:textId="77777777" w:rsidR="00D60365" w:rsidRDefault="00C12095">
      <w:pPr>
        <w:widowControl w:val="0"/>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Kapsulės turinys</w:t>
      </w:r>
    </w:p>
    <w:p w14:paraId="11AEE23A"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Cukriniai branduoliai (sacharozė, kukurūzų krakmolas)</w:t>
      </w:r>
    </w:p>
    <w:p w14:paraId="7D297759" w14:textId="77777777" w:rsidR="00D60365" w:rsidRDefault="00C12095">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Hipromeliozė</w:t>
      </w:r>
      <w:proofErr w:type="spellEnd"/>
      <w:r>
        <w:rPr>
          <w:rFonts w:ascii="Times New Roman" w:eastAsia="Times New Roman" w:hAnsi="Times New Roman" w:cs="Times New Roman"/>
          <w:snapToGrid w:val="0"/>
        </w:rPr>
        <w:t xml:space="preserve"> 6 </w:t>
      </w:r>
      <w:proofErr w:type="spellStart"/>
      <w:r>
        <w:rPr>
          <w:rFonts w:ascii="Times New Roman" w:eastAsia="Times New Roman" w:hAnsi="Times New Roman" w:cs="Times New Roman"/>
          <w:snapToGrid w:val="0"/>
        </w:rPr>
        <w:t>cP</w:t>
      </w:r>
      <w:proofErr w:type="spellEnd"/>
    </w:p>
    <w:p w14:paraId="3AD49EF2"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Sacharozė</w:t>
      </w:r>
    </w:p>
    <w:p w14:paraId="09E28F72" w14:textId="77777777" w:rsidR="00D60365" w:rsidRDefault="00C12095">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Askorbo</w:t>
      </w:r>
      <w:proofErr w:type="spellEnd"/>
      <w:r>
        <w:rPr>
          <w:rFonts w:ascii="Times New Roman" w:eastAsia="Times New Roman" w:hAnsi="Times New Roman" w:cs="Times New Roman"/>
          <w:snapToGrid w:val="0"/>
        </w:rPr>
        <w:t xml:space="preserve"> rūgštis</w:t>
      </w:r>
    </w:p>
    <w:p w14:paraId="18DB035B" w14:textId="18E8A4F2" w:rsidR="00D60365" w:rsidRDefault="00C12095">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Hipromeliozės</w:t>
      </w:r>
      <w:proofErr w:type="spellEnd"/>
      <w:r>
        <w:rPr>
          <w:rFonts w:ascii="Times New Roman" w:eastAsia="Times New Roman" w:hAnsi="Times New Roman" w:cs="Times New Roman"/>
          <w:snapToGrid w:val="0"/>
        </w:rPr>
        <w:t xml:space="preserve"> acetato </w:t>
      </w:r>
      <w:proofErr w:type="spellStart"/>
      <w:r>
        <w:rPr>
          <w:rFonts w:ascii="Times New Roman" w:eastAsia="Times New Roman" w:hAnsi="Times New Roman" w:cs="Times New Roman"/>
          <w:snapToGrid w:val="0"/>
        </w:rPr>
        <w:t>sukcinatas</w:t>
      </w:r>
      <w:proofErr w:type="spellEnd"/>
    </w:p>
    <w:p w14:paraId="251C7601"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Talkas</w:t>
      </w:r>
    </w:p>
    <w:p w14:paraId="4FE7C3D4" w14:textId="77777777" w:rsidR="00D60365" w:rsidRDefault="00C12095">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Trietilo</w:t>
      </w:r>
      <w:proofErr w:type="spellEnd"/>
      <w:r>
        <w:rPr>
          <w:rFonts w:ascii="Times New Roman" w:eastAsia="Times New Roman" w:hAnsi="Times New Roman" w:cs="Times New Roman"/>
          <w:snapToGrid w:val="0"/>
        </w:rPr>
        <w:t xml:space="preserve"> citratas</w:t>
      </w:r>
    </w:p>
    <w:p w14:paraId="09507017"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Titano dioksidas (E171)</w:t>
      </w:r>
    </w:p>
    <w:p w14:paraId="6DE8CE30" w14:textId="77777777" w:rsidR="00D60365" w:rsidRDefault="00D60365">
      <w:pPr>
        <w:widowControl w:val="0"/>
        <w:spacing w:after="0" w:line="240" w:lineRule="auto"/>
        <w:rPr>
          <w:rFonts w:ascii="Times New Roman" w:eastAsia="Times New Roman" w:hAnsi="Times New Roman" w:cs="Times New Roman"/>
          <w:snapToGrid w:val="0"/>
        </w:rPr>
      </w:pPr>
    </w:p>
    <w:p w14:paraId="173AEB3F" w14:textId="77777777" w:rsidR="00D60365" w:rsidRDefault="00C12095">
      <w:pPr>
        <w:widowControl w:val="0"/>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Kapsulės apvalkalas</w:t>
      </w:r>
    </w:p>
    <w:p w14:paraId="4A5F8144"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Želatina</w:t>
      </w:r>
    </w:p>
    <w:p w14:paraId="4CEEDC14"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Titano dioksidas (E171)</w:t>
      </w:r>
    </w:p>
    <w:p w14:paraId="027DC4F5" w14:textId="77777777" w:rsidR="00D60365" w:rsidRDefault="00C12095">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Indigotinas</w:t>
      </w:r>
      <w:proofErr w:type="spellEnd"/>
      <w:r>
        <w:rPr>
          <w:rFonts w:ascii="Times New Roman" w:eastAsia="Times New Roman" w:hAnsi="Times New Roman" w:cs="Times New Roman"/>
          <w:snapToGrid w:val="0"/>
        </w:rPr>
        <w:t xml:space="preserve"> (E132)</w:t>
      </w:r>
    </w:p>
    <w:p w14:paraId="2DF9AEBE"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Geltonasis geležies oksidas (E172) – tik 60 mg kapsulėse</w:t>
      </w:r>
    </w:p>
    <w:p w14:paraId="5EB16A4B" w14:textId="40069E96"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Dažai (</w:t>
      </w:r>
      <w:proofErr w:type="spellStart"/>
      <w:r>
        <w:rPr>
          <w:rFonts w:ascii="Times New Roman" w:eastAsia="Times New Roman" w:hAnsi="Times New Roman" w:cs="Times New Roman"/>
          <w:snapToGrid w:val="0"/>
        </w:rPr>
        <w:t>šelakas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propilenglikolis</w:t>
      </w:r>
      <w:proofErr w:type="spellEnd"/>
      <w:r>
        <w:rPr>
          <w:rFonts w:ascii="Times New Roman" w:eastAsia="Times New Roman" w:hAnsi="Times New Roman" w:cs="Times New Roman"/>
          <w:snapToGrid w:val="0"/>
        </w:rPr>
        <w:t xml:space="preserve"> (E1520), juodasis geležies oksidas (E172),</w:t>
      </w:r>
      <w:r>
        <w:t xml:space="preserve"> </w:t>
      </w:r>
      <w:r>
        <w:rPr>
          <w:rFonts w:ascii="Times New Roman" w:eastAsia="Times New Roman" w:hAnsi="Times New Roman" w:cs="Times New Roman"/>
          <w:snapToGrid w:val="0"/>
        </w:rPr>
        <w:t>kalio hidroksidas (E525))</w:t>
      </w:r>
    </w:p>
    <w:p w14:paraId="5747A3B9" w14:textId="77777777" w:rsidR="00D60365" w:rsidRDefault="00D60365">
      <w:pPr>
        <w:widowControl w:val="0"/>
        <w:spacing w:after="0" w:line="240" w:lineRule="auto"/>
        <w:rPr>
          <w:rFonts w:ascii="Times New Roman" w:eastAsia="Times New Roman" w:hAnsi="Times New Roman" w:cs="Times New Roman"/>
          <w:snapToGrid w:val="0"/>
        </w:rPr>
      </w:pPr>
    </w:p>
    <w:p w14:paraId="7260E04C"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6.2</w:t>
      </w:r>
      <w:r>
        <w:rPr>
          <w:rFonts w:ascii="Times New Roman" w:eastAsia="Times New Roman" w:hAnsi="Times New Roman" w:cs="Times New Roman"/>
          <w:b/>
          <w:bCs/>
          <w:snapToGrid w:val="0"/>
          <w:lang w:eastAsia="x-none"/>
        </w:rPr>
        <w:tab/>
        <w:t>Nesuderinamumas</w:t>
      </w:r>
    </w:p>
    <w:p w14:paraId="0989B9A0" w14:textId="77777777" w:rsidR="00D60365" w:rsidRDefault="00D60365">
      <w:pPr>
        <w:widowControl w:val="0"/>
        <w:spacing w:after="0" w:line="240" w:lineRule="auto"/>
        <w:rPr>
          <w:rFonts w:ascii="Times New Roman" w:eastAsia="Times New Roman" w:hAnsi="Times New Roman" w:cs="Times New Roman"/>
          <w:snapToGrid w:val="0"/>
        </w:rPr>
      </w:pPr>
    </w:p>
    <w:p w14:paraId="03A2E5E7"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Duomenys nebūtini.</w:t>
      </w:r>
    </w:p>
    <w:p w14:paraId="1B5A79EE" w14:textId="77777777" w:rsidR="00D60365" w:rsidRDefault="00D60365">
      <w:pPr>
        <w:widowControl w:val="0"/>
        <w:spacing w:after="0" w:line="240" w:lineRule="auto"/>
        <w:rPr>
          <w:rFonts w:ascii="Times New Roman" w:eastAsia="Times New Roman" w:hAnsi="Times New Roman" w:cs="Times New Roman"/>
          <w:snapToGrid w:val="0"/>
        </w:rPr>
      </w:pPr>
    </w:p>
    <w:p w14:paraId="79045CF9"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lastRenderedPageBreak/>
        <w:t>6.3</w:t>
      </w:r>
      <w:r>
        <w:rPr>
          <w:rFonts w:ascii="Times New Roman" w:eastAsia="Times New Roman" w:hAnsi="Times New Roman" w:cs="Times New Roman"/>
          <w:b/>
          <w:bCs/>
          <w:snapToGrid w:val="0"/>
          <w:lang w:eastAsia="x-none"/>
        </w:rPr>
        <w:tab/>
        <w:t>Tinkamumo laikas</w:t>
      </w:r>
    </w:p>
    <w:p w14:paraId="376FC188" w14:textId="77777777" w:rsidR="00D60365" w:rsidRDefault="00D60365">
      <w:pPr>
        <w:widowControl w:val="0"/>
        <w:spacing w:after="0" w:line="240" w:lineRule="auto"/>
        <w:rPr>
          <w:rFonts w:ascii="Times New Roman" w:eastAsia="Times New Roman" w:hAnsi="Times New Roman" w:cs="Times New Roman"/>
          <w:snapToGrid w:val="0"/>
        </w:rPr>
      </w:pPr>
    </w:p>
    <w:p w14:paraId="556048A9"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 metai</w:t>
      </w:r>
    </w:p>
    <w:p w14:paraId="69D05575" w14:textId="77777777" w:rsidR="00D60365" w:rsidRDefault="00D60365">
      <w:pPr>
        <w:widowControl w:val="0"/>
        <w:spacing w:after="0" w:line="240" w:lineRule="auto"/>
        <w:rPr>
          <w:rFonts w:ascii="Times New Roman" w:eastAsia="Times New Roman" w:hAnsi="Times New Roman" w:cs="Times New Roman"/>
          <w:snapToGrid w:val="0"/>
        </w:rPr>
      </w:pPr>
    </w:p>
    <w:p w14:paraId="786B5014"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6.4</w:t>
      </w:r>
      <w:r>
        <w:rPr>
          <w:rFonts w:ascii="Times New Roman" w:eastAsia="Times New Roman" w:hAnsi="Times New Roman" w:cs="Times New Roman"/>
          <w:b/>
          <w:bCs/>
          <w:snapToGrid w:val="0"/>
          <w:lang w:eastAsia="x-none"/>
        </w:rPr>
        <w:tab/>
        <w:t>Specialios laikymo sąlygos</w:t>
      </w:r>
    </w:p>
    <w:p w14:paraId="47EC02A8" w14:textId="77777777" w:rsidR="00D60365" w:rsidRDefault="00D60365">
      <w:pPr>
        <w:widowControl w:val="0"/>
        <w:spacing w:after="0" w:line="240" w:lineRule="auto"/>
        <w:rPr>
          <w:rFonts w:ascii="Times New Roman" w:eastAsia="Times New Roman" w:hAnsi="Times New Roman" w:cs="Times New Roman"/>
          <w:snapToGrid w:val="0"/>
        </w:rPr>
      </w:pPr>
    </w:p>
    <w:p w14:paraId="442EB661" w14:textId="300C9E0C"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color w:val="0D0D0D"/>
        </w:rPr>
        <w:t>Laikyti ne aukštesnėje kaip 30 </w:t>
      </w:r>
      <w:r>
        <w:rPr>
          <w:rFonts w:ascii="Times New Roman" w:eastAsia="Times New Roman" w:hAnsi="Times New Roman" w:cs="Times New Roman"/>
          <w:snapToGrid w:val="0"/>
        </w:rPr>
        <w:t>°C temperatūroje.</w:t>
      </w:r>
    </w:p>
    <w:p w14:paraId="4F178ECA" w14:textId="77777777" w:rsidR="00D60365" w:rsidRDefault="00C12095">
      <w:pPr>
        <w:widowControl w:val="0"/>
        <w:spacing w:after="0" w:line="240" w:lineRule="auto"/>
        <w:rPr>
          <w:rFonts w:ascii="Times New Roman" w:eastAsia="Times New Roman" w:hAnsi="Times New Roman" w:cs="Times New Roman"/>
          <w:snapToGrid w:val="0"/>
          <w:color w:val="0D0D0D"/>
        </w:rPr>
      </w:pPr>
      <w:r>
        <w:rPr>
          <w:rFonts w:ascii="Times New Roman" w:eastAsia="Times New Roman" w:hAnsi="Times New Roman" w:cs="Times New Roman"/>
          <w:snapToGrid w:val="0"/>
        </w:rPr>
        <w:t>Laikyti gamintojo pakuotėje, kad vaistinis preparatas būtų apsaugotas nuo drėgmės.</w:t>
      </w:r>
    </w:p>
    <w:p w14:paraId="55CDB645" w14:textId="77777777" w:rsidR="00D60365" w:rsidRDefault="00D60365">
      <w:pPr>
        <w:widowControl w:val="0"/>
        <w:spacing w:after="0" w:line="240" w:lineRule="auto"/>
        <w:rPr>
          <w:rFonts w:ascii="Times New Roman" w:eastAsia="Times New Roman" w:hAnsi="Times New Roman" w:cs="Times New Roman"/>
          <w:snapToGrid w:val="0"/>
        </w:rPr>
      </w:pPr>
    </w:p>
    <w:p w14:paraId="4FD65B91"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6.5</w:t>
      </w:r>
      <w:r>
        <w:rPr>
          <w:rFonts w:ascii="Times New Roman" w:eastAsia="Times New Roman" w:hAnsi="Times New Roman" w:cs="Times New Roman"/>
          <w:b/>
          <w:bCs/>
          <w:snapToGrid w:val="0"/>
          <w:lang w:eastAsia="x-none"/>
        </w:rPr>
        <w:tab/>
      </w:r>
      <w:proofErr w:type="spellStart"/>
      <w:r>
        <w:rPr>
          <w:rFonts w:ascii="Times New Roman" w:eastAsia="Times New Roman" w:hAnsi="Times New Roman" w:cs="Times New Roman"/>
          <w:b/>
          <w:bCs/>
          <w:snapToGrid w:val="0"/>
          <w:lang w:eastAsia="x-none"/>
        </w:rPr>
        <w:t>Talpyklės</w:t>
      </w:r>
      <w:proofErr w:type="spellEnd"/>
      <w:r>
        <w:rPr>
          <w:rFonts w:ascii="Times New Roman" w:eastAsia="Times New Roman" w:hAnsi="Times New Roman" w:cs="Times New Roman"/>
          <w:b/>
          <w:bCs/>
          <w:snapToGrid w:val="0"/>
          <w:lang w:eastAsia="x-none"/>
        </w:rPr>
        <w:t xml:space="preserve"> pobūdis ir jos turinys</w:t>
      </w:r>
    </w:p>
    <w:p w14:paraId="6D83B618" w14:textId="77777777" w:rsidR="00D60365" w:rsidRDefault="00D60365">
      <w:pPr>
        <w:widowControl w:val="0"/>
        <w:spacing w:after="0" w:line="240" w:lineRule="auto"/>
        <w:rPr>
          <w:rFonts w:ascii="Times New Roman" w:eastAsia="Times New Roman" w:hAnsi="Times New Roman" w:cs="Times New Roman"/>
          <w:snapToGrid w:val="0"/>
        </w:rPr>
      </w:pPr>
    </w:p>
    <w:p w14:paraId="70EDB08D" w14:textId="08AFD12B"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Lizdinės plokštelės (OPA/Al/[PE+DES] folijos – Al/PE folijos): 7, 10, 14, 28, 30, 56, 60, 90 ir 100 skrandyje neirių kietųjų kapsulių dėžutėje.</w:t>
      </w:r>
    </w:p>
    <w:p w14:paraId="699AF88C" w14:textId="77777777" w:rsidR="00D60365" w:rsidRDefault="00D60365">
      <w:pPr>
        <w:widowControl w:val="0"/>
        <w:spacing w:after="0" w:line="240" w:lineRule="auto"/>
        <w:rPr>
          <w:rFonts w:ascii="Times New Roman" w:eastAsia="Times New Roman" w:hAnsi="Times New Roman" w:cs="Times New Roman"/>
          <w:snapToGrid w:val="0"/>
        </w:rPr>
      </w:pPr>
    </w:p>
    <w:p w14:paraId="793DFF47"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Gali būti tiekiamos ne visų dydžių pakuotės.</w:t>
      </w:r>
    </w:p>
    <w:p w14:paraId="5A7740A0" w14:textId="77777777" w:rsidR="00D60365" w:rsidRDefault="00D60365">
      <w:pPr>
        <w:widowControl w:val="0"/>
        <w:spacing w:after="0" w:line="240" w:lineRule="auto"/>
        <w:rPr>
          <w:rFonts w:ascii="Times New Roman" w:eastAsia="Times New Roman" w:hAnsi="Times New Roman" w:cs="Times New Roman"/>
          <w:snapToGrid w:val="0"/>
        </w:rPr>
      </w:pPr>
    </w:p>
    <w:p w14:paraId="2BF72174"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bookmarkStart w:id="8" w:name="OLE_LINK1"/>
      <w:r>
        <w:rPr>
          <w:rFonts w:ascii="Times New Roman" w:eastAsia="Times New Roman" w:hAnsi="Times New Roman" w:cs="Times New Roman"/>
          <w:b/>
          <w:bCs/>
          <w:snapToGrid w:val="0"/>
          <w:lang w:eastAsia="x-none"/>
        </w:rPr>
        <w:t>6.6</w:t>
      </w:r>
      <w:r>
        <w:rPr>
          <w:rFonts w:ascii="Times New Roman" w:eastAsia="Times New Roman" w:hAnsi="Times New Roman" w:cs="Times New Roman"/>
          <w:b/>
          <w:bCs/>
          <w:snapToGrid w:val="0"/>
          <w:lang w:eastAsia="x-none"/>
        </w:rPr>
        <w:tab/>
        <w:t>Specialūs reikalavimai atliekoms tvarkyti</w:t>
      </w:r>
    </w:p>
    <w:bookmarkEnd w:id="8"/>
    <w:p w14:paraId="42CB2520" w14:textId="77777777" w:rsidR="00D60365" w:rsidRDefault="00D60365">
      <w:pPr>
        <w:widowControl w:val="0"/>
        <w:spacing w:after="0" w:line="240" w:lineRule="auto"/>
        <w:rPr>
          <w:rFonts w:ascii="Times New Roman" w:eastAsia="Times New Roman" w:hAnsi="Times New Roman" w:cs="Times New Roman"/>
          <w:snapToGrid w:val="0"/>
        </w:rPr>
      </w:pPr>
    </w:p>
    <w:p w14:paraId="065C0921"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Specialių reikalavimų nėra.</w:t>
      </w:r>
    </w:p>
    <w:p w14:paraId="13D6FBED"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Nesuvartotą vaistinį preparatą ar atliekas reikia tvarkyti laikantis vietinių reikalavimų.</w:t>
      </w:r>
    </w:p>
    <w:p w14:paraId="398B6AC5" w14:textId="77777777" w:rsidR="00D60365" w:rsidRDefault="00D60365">
      <w:pPr>
        <w:widowControl w:val="0"/>
        <w:spacing w:after="0" w:line="240" w:lineRule="auto"/>
        <w:rPr>
          <w:rFonts w:ascii="Times New Roman" w:eastAsia="Times New Roman" w:hAnsi="Times New Roman" w:cs="Times New Roman"/>
          <w:snapToGrid w:val="0"/>
        </w:rPr>
      </w:pPr>
    </w:p>
    <w:p w14:paraId="348BDFD5" w14:textId="77777777" w:rsidR="00D60365" w:rsidRDefault="00D60365">
      <w:pPr>
        <w:widowControl w:val="0"/>
        <w:spacing w:after="0" w:line="240" w:lineRule="auto"/>
        <w:rPr>
          <w:rFonts w:ascii="Times New Roman" w:eastAsia="Times New Roman" w:hAnsi="Times New Roman" w:cs="Times New Roman"/>
          <w:snapToGrid w:val="0"/>
        </w:rPr>
      </w:pPr>
    </w:p>
    <w:p w14:paraId="7516C72B"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7.</w:t>
      </w:r>
      <w:r>
        <w:rPr>
          <w:rFonts w:ascii="Times New Roman" w:eastAsia="Times New Roman" w:hAnsi="Times New Roman" w:cs="Times New Roman"/>
          <w:b/>
          <w:bCs/>
          <w:snapToGrid w:val="0"/>
          <w:lang w:eastAsia="x-none"/>
        </w:rPr>
        <w:tab/>
        <w:t>REGISTRUOTOJAS</w:t>
      </w:r>
    </w:p>
    <w:p w14:paraId="05E39FD4" w14:textId="77777777" w:rsidR="00D60365" w:rsidRDefault="00D60365">
      <w:pPr>
        <w:widowControl w:val="0"/>
        <w:spacing w:after="0" w:line="240" w:lineRule="auto"/>
        <w:rPr>
          <w:rFonts w:ascii="Times New Roman" w:eastAsia="Times New Roman" w:hAnsi="Times New Roman" w:cs="Times New Roman"/>
          <w:snapToGrid w:val="0"/>
        </w:rPr>
      </w:pPr>
    </w:p>
    <w:p w14:paraId="08774E61"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KRKA, d. d., Novo mesto</w:t>
      </w:r>
    </w:p>
    <w:p w14:paraId="640681DA" w14:textId="77777777" w:rsidR="00D60365" w:rsidRDefault="00C12095">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68B08540"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56F4C828"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07AF938E" w14:textId="77777777" w:rsidR="00D60365" w:rsidRDefault="00D60365">
      <w:pPr>
        <w:widowControl w:val="0"/>
        <w:spacing w:after="0" w:line="240" w:lineRule="auto"/>
        <w:rPr>
          <w:rFonts w:ascii="Times New Roman" w:eastAsia="Times New Roman" w:hAnsi="Times New Roman" w:cs="Times New Roman"/>
          <w:snapToGrid w:val="0"/>
        </w:rPr>
      </w:pPr>
    </w:p>
    <w:p w14:paraId="75BC6D13" w14:textId="77777777" w:rsidR="00D60365" w:rsidRDefault="00D60365">
      <w:pPr>
        <w:widowControl w:val="0"/>
        <w:spacing w:after="0" w:line="240" w:lineRule="auto"/>
        <w:rPr>
          <w:rFonts w:ascii="Times New Roman" w:eastAsia="Times New Roman" w:hAnsi="Times New Roman" w:cs="Times New Roman"/>
          <w:snapToGrid w:val="0"/>
        </w:rPr>
      </w:pPr>
    </w:p>
    <w:p w14:paraId="58B15E79"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8.</w:t>
      </w:r>
      <w:r>
        <w:rPr>
          <w:rFonts w:ascii="Times New Roman" w:eastAsia="Times New Roman" w:hAnsi="Times New Roman" w:cs="Times New Roman"/>
          <w:b/>
          <w:bCs/>
          <w:snapToGrid w:val="0"/>
          <w:lang w:eastAsia="x-none"/>
        </w:rPr>
        <w:tab/>
        <w:t>REGISTRACIJOS PAŽYMĖJIMO NUMERIS (-IAI)</w:t>
      </w:r>
    </w:p>
    <w:p w14:paraId="27822971" w14:textId="77777777" w:rsidR="00D60365" w:rsidRDefault="00D60365">
      <w:pPr>
        <w:widowControl w:val="0"/>
        <w:spacing w:after="0" w:line="240" w:lineRule="auto"/>
        <w:rPr>
          <w:rFonts w:ascii="Times New Roman" w:eastAsia="Times New Roman" w:hAnsi="Times New Roman" w:cs="Times New Roman"/>
          <w:snapToGrid w:val="0"/>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D60365" w14:paraId="0A9219D4" w14:textId="77777777">
        <w:tc>
          <w:tcPr>
            <w:tcW w:w="4643" w:type="dxa"/>
            <w:hideMark/>
          </w:tcPr>
          <w:p w14:paraId="477C9397" w14:textId="77777777" w:rsidR="00D60365" w:rsidRPr="006F6FBE" w:rsidRDefault="00C12095">
            <w:pPr>
              <w:widowControl w:val="0"/>
              <w:rPr>
                <w:rFonts w:eastAsia="Calibri"/>
                <w:snapToGrid w:val="0"/>
                <w:sz w:val="22"/>
                <w:szCs w:val="22"/>
                <w:u w:val="single"/>
                <w:lang w:val="pt-PT" w:eastAsia="lt-LT"/>
              </w:rPr>
            </w:pPr>
            <w:r w:rsidRPr="006F6FBE">
              <w:rPr>
                <w:rFonts w:eastAsia="Calibri"/>
                <w:snapToGrid w:val="0"/>
                <w:sz w:val="22"/>
                <w:szCs w:val="22"/>
                <w:u w:val="single"/>
                <w:lang w:val="pt-PT" w:eastAsia="lt-LT"/>
              </w:rPr>
              <w:t>30 mg</w:t>
            </w:r>
          </w:p>
          <w:p w14:paraId="1136E2E6" w14:textId="77777777" w:rsidR="00D60365" w:rsidRPr="006F6FBE" w:rsidRDefault="00C12095">
            <w:pPr>
              <w:rPr>
                <w:rFonts w:eastAsia="Calibri"/>
                <w:bCs/>
                <w:sz w:val="22"/>
                <w:szCs w:val="22"/>
                <w:lang w:val="pt-PT" w:eastAsia="lt-LT"/>
              </w:rPr>
            </w:pPr>
            <w:r w:rsidRPr="006F6FBE">
              <w:rPr>
                <w:rFonts w:eastAsia="Calibri"/>
                <w:bCs/>
                <w:sz w:val="22"/>
                <w:szCs w:val="22"/>
                <w:lang w:val="pt-PT" w:eastAsia="lt-LT"/>
              </w:rPr>
              <w:t>LT/1/15/3722/001 – N7</w:t>
            </w:r>
          </w:p>
          <w:p w14:paraId="01AB3945" w14:textId="77777777" w:rsidR="00D60365" w:rsidRPr="006F6FBE" w:rsidRDefault="00C12095">
            <w:pPr>
              <w:rPr>
                <w:rFonts w:eastAsia="Calibri"/>
                <w:bCs/>
                <w:sz w:val="22"/>
                <w:szCs w:val="22"/>
                <w:lang w:val="pt-PT" w:eastAsia="lt-LT"/>
              </w:rPr>
            </w:pPr>
            <w:r w:rsidRPr="006F6FBE">
              <w:rPr>
                <w:rFonts w:eastAsia="Calibri"/>
                <w:bCs/>
                <w:sz w:val="22"/>
                <w:szCs w:val="22"/>
                <w:lang w:val="pt-PT" w:eastAsia="lt-LT"/>
              </w:rPr>
              <w:t>LT/1/15/3722/002 – N10</w:t>
            </w:r>
          </w:p>
          <w:p w14:paraId="20C0C9E2" w14:textId="77777777" w:rsidR="00D60365" w:rsidRPr="006F6FBE" w:rsidRDefault="00C12095">
            <w:pPr>
              <w:rPr>
                <w:rFonts w:eastAsia="Calibri"/>
                <w:bCs/>
                <w:sz w:val="22"/>
                <w:szCs w:val="22"/>
                <w:lang w:val="pt-PT" w:eastAsia="lt-LT"/>
              </w:rPr>
            </w:pPr>
            <w:r w:rsidRPr="006F6FBE">
              <w:rPr>
                <w:rFonts w:eastAsia="Calibri"/>
                <w:bCs/>
                <w:sz w:val="22"/>
                <w:szCs w:val="22"/>
                <w:lang w:val="pt-PT" w:eastAsia="lt-LT"/>
              </w:rPr>
              <w:t>LT/1/15/3722/003 – N14</w:t>
            </w:r>
          </w:p>
          <w:p w14:paraId="1F0DB753" w14:textId="77777777" w:rsidR="00D60365" w:rsidRPr="006F6FBE" w:rsidRDefault="00C12095">
            <w:pPr>
              <w:rPr>
                <w:rFonts w:eastAsia="Calibri"/>
                <w:bCs/>
                <w:sz w:val="22"/>
                <w:szCs w:val="22"/>
                <w:lang w:val="pt-PT" w:eastAsia="lt-LT"/>
              </w:rPr>
            </w:pPr>
            <w:r w:rsidRPr="006F6FBE">
              <w:rPr>
                <w:rFonts w:eastAsia="Calibri"/>
                <w:bCs/>
                <w:sz w:val="22"/>
                <w:szCs w:val="22"/>
                <w:lang w:val="pt-PT" w:eastAsia="lt-LT"/>
              </w:rPr>
              <w:t>LT/1/15/3722/004 – N28</w:t>
            </w:r>
          </w:p>
          <w:p w14:paraId="6C3EBBEC" w14:textId="77777777" w:rsidR="00D60365" w:rsidRPr="006F6FBE" w:rsidRDefault="00C12095">
            <w:pPr>
              <w:rPr>
                <w:rFonts w:eastAsia="Calibri"/>
                <w:bCs/>
                <w:sz w:val="22"/>
                <w:szCs w:val="22"/>
                <w:lang w:val="pt-PT" w:eastAsia="lt-LT"/>
              </w:rPr>
            </w:pPr>
            <w:r w:rsidRPr="006F6FBE">
              <w:rPr>
                <w:rFonts w:eastAsia="Calibri"/>
                <w:bCs/>
                <w:sz w:val="22"/>
                <w:szCs w:val="22"/>
                <w:lang w:val="pt-PT" w:eastAsia="lt-LT"/>
              </w:rPr>
              <w:t>LT/1/15/3722/005 – N30</w:t>
            </w:r>
          </w:p>
          <w:p w14:paraId="3DBC4598" w14:textId="77777777" w:rsidR="00D60365" w:rsidRPr="006F6FBE" w:rsidRDefault="00C12095">
            <w:pPr>
              <w:rPr>
                <w:rFonts w:eastAsia="Calibri"/>
                <w:bCs/>
                <w:sz w:val="22"/>
                <w:szCs w:val="22"/>
                <w:lang w:val="pt-PT" w:eastAsia="lt-LT"/>
              </w:rPr>
            </w:pPr>
            <w:r w:rsidRPr="006F6FBE">
              <w:rPr>
                <w:rFonts w:eastAsia="Calibri"/>
                <w:bCs/>
                <w:sz w:val="22"/>
                <w:szCs w:val="22"/>
                <w:lang w:val="pt-PT" w:eastAsia="lt-LT"/>
              </w:rPr>
              <w:t>LT/1/15/3722/006 – N56</w:t>
            </w:r>
          </w:p>
          <w:p w14:paraId="7AC6B19B" w14:textId="77777777" w:rsidR="00D60365" w:rsidRPr="006F6FBE" w:rsidRDefault="00C12095">
            <w:pPr>
              <w:rPr>
                <w:rFonts w:eastAsia="Calibri"/>
                <w:bCs/>
                <w:sz w:val="22"/>
                <w:szCs w:val="22"/>
                <w:lang w:val="pt-PT" w:eastAsia="lt-LT"/>
              </w:rPr>
            </w:pPr>
            <w:r w:rsidRPr="006F6FBE">
              <w:rPr>
                <w:rFonts w:eastAsia="Calibri"/>
                <w:bCs/>
                <w:sz w:val="22"/>
                <w:szCs w:val="22"/>
                <w:lang w:val="pt-PT" w:eastAsia="lt-LT"/>
              </w:rPr>
              <w:t>LT/1/15/3722/007 – N60</w:t>
            </w:r>
          </w:p>
          <w:p w14:paraId="33987BE6" w14:textId="77777777" w:rsidR="00D60365" w:rsidRPr="006F6FBE" w:rsidRDefault="00C12095">
            <w:pPr>
              <w:rPr>
                <w:rFonts w:eastAsia="Calibri"/>
                <w:bCs/>
                <w:sz w:val="22"/>
                <w:szCs w:val="22"/>
                <w:lang w:eastAsia="lt-LT"/>
              </w:rPr>
            </w:pPr>
            <w:r w:rsidRPr="006F6FBE">
              <w:rPr>
                <w:rFonts w:eastAsia="Calibri"/>
                <w:bCs/>
                <w:sz w:val="22"/>
                <w:szCs w:val="22"/>
                <w:lang w:eastAsia="lt-LT"/>
              </w:rPr>
              <w:t>LT/1/15/3722/008 – N90</w:t>
            </w:r>
          </w:p>
          <w:p w14:paraId="7BD5F24E" w14:textId="77777777" w:rsidR="00D60365" w:rsidRPr="006F6FBE" w:rsidRDefault="00C12095">
            <w:pPr>
              <w:rPr>
                <w:rFonts w:eastAsia="Calibri"/>
                <w:snapToGrid w:val="0"/>
                <w:sz w:val="22"/>
                <w:szCs w:val="22"/>
                <w:lang w:eastAsia="lt-LT"/>
              </w:rPr>
            </w:pPr>
            <w:r w:rsidRPr="006F6FBE">
              <w:rPr>
                <w:rFonts w:eastAsia="Calibri"/>
                <w:bCs/>
                <w:sz w:val="22"/>
                <w:szCs w:val="22"/>
                <w:lang w:eastAsia="lt-LT"/>
              </w:rPr>
              <w:t>LT/1/15/3722/009 – N100</w:t>
            </w:r>
          </w:p>
        </w:tc>
        <w:tc>
          <w:tcPr>
            <w:tcW w:w="4644" w:type="dxa"/>
            <w:hideMark/>
          </w:tcPr>
          <w:p w14:paraId="59BD8CAD" w14:textId="77777777" w:rsidR="00D60365" w:rsidRPr="006F6FBE" w:rsidRDefault="00C12095">
            <w:pPr>
              <w:widowControl w:val="0"/>
              <w:rPr>
                <w:rFonts w:eastAsia="Calibri"/>
                <w:snapToGrid w:val="0"/>
                <w:sz w:val="22"/>
                <w:szCs w:val="22"/>
                <w:u w:val="single"/>
                <w:lang w:val="pt-PT" w:eastAsia="lt-LT"/>
              </w:rPr>
            </w:pPr>
            <w:r w:rsidRPr="006F6FBE">
              <w:rPr>
                <w:rFonts w:eastAsia="Calibri"/>
                <w:snapToGrid w:val="0"/>
                <w:sz w:val="22"/>
                <w:szCs w:val="22"/>
                <w:u w:val="single"/>
                <w:lang w:val="pt-PT" w:eastAsia="lt-LT"/>
              </w:rPr>
              <w:t>60 mg</w:t>
            </w:r>
          </w:p>
          <w:p w14:paraId="57CAA9E1" w14:textId="77777777" w:rsidR="00D60365" w:rsidRPr="006F6FBE" w:rsidRDefault="00C12095">
            <w:pPr>
              <w:rPr>
                <w:bCs/>
                <w:sz w:val="22"/>
                <w:szCs w:val="22"/>
                <w:lang w:val="lt-LT"/>
              </w:rPr>
            </w:pPr>
            <w:r w:rsidRPr="006F6FBE">
              <w:rPr>
                <w:bCs/>
                <w:sz w:val="22"/>
                <w:szCs w:val="22"/>
                <w:lang w:val="lt-LT"/>
              </w:rPr>
              <w:t>LT/1/15/3722/010 – N7</w:t>
            </w:r>
          </w:p>
          <w:p w14:paraId="14E3FF32" w14:textId="77777777" w:rsidR="00D60365" w:rsidRPr="006F6FBE" w:rsidRDefault="00C12095">
            <w:pPr>
              <w:rPr>
                <w:bCs/>
                <w:sz w:val="22"/>
                <w:szCs w:val="22"/>
                <w:lang w:val="lt-LT"/>
              </w:rPr>
            </w:pPr>
            <w:r w:rsidRPr="006F6FBE">
              <w:rPr>
                <w:bCs/>
                <w:sz w:val="22"/>
                <w:szCs w:val="22"/>
                <w:lang w:val="lt-LT"/>
              </w:rPr>
              <w:t>LT/1/15/3722/011 – N10</w:t>
            </w:r>
          </w:p>
          <w:p w14:paraId="09C1EE92" w14:textId="77777777" w:rsidR="00D60365" w:rsidRPr="006F6FBE" w:rsidRDefault="00C12095">
            <w:pPr>
              <w:rPr>
                <w:bCs/>
                <w:sz w:val="22"/>
                <w:szCs w:val="22"/>
                <w:lang w:val="lt-LT"/>
              </w:rPr>
            </w:pPr>
            <w:r w:rsidRPr="006F6FBE">
              <w:rPr>
                <w:bCs/>
                <w:sz w:val="22"/>
                <w:szCs w:val="22"/>
                <w:lang w:val="lt-LT"/>
              </w:rPr>
              <w:t>LT/1/15/3722/012 – N14</w:t>
            </w:r>
          </w:p>
          <w:p w14:paraId="6FE9FC80" w14:textId="77777777" w:rsidR="00D60365" w:rsidRPr="006F6FBE" w:rsidRDefault="00C12095">
            <w:pPr>
              <w:rPr>
                <w:bCs/>
                <w:sz w:val="22"/>
                <w:szCs w:val="22"/>
                <w:lang w:val="lt-LT"/>
              </w:rPr>
            </w:pPr>
            <w:r w:rsidRPr="006F6FBE">
              <w:rPr>
                <w:bCs/>
                <w:sz w:val="22"/>
                <w:szCs w:val="22"/>
                <w:lang w:val="lt-LT"/>
              </w:rPr>
              <w:t>LT/1/15/3722/013 – N28</w:t>
            </w:r>
          </w:p>
          <w:p w14:paraId="7E88B3CE" w14:textId="77777777" w:rsidR="00D60365" w:rsidRPr="006F6FBE" w:rsidRDefault="00C12095">
            <w:pPr>
              <w:rPr>
                <w:bCs/>
                <w:sz w:val="22"/>
                <w:szCs w:val="22"/>
                <w:lang w:val="lt-LT"/>
              </w:rPr>
            </w:pPr>
            <w:r w:rsidRPr="006F6FBE">
              <w:rPr>
                <w:bCs/>
                <w:sz w:val="22"/>
                <w:szCs w:val="22"/>
                <w:lang w:val="lt-LT"/>
              </w:rPr>
              <w:t>LT/1/15/3722/014 – N30</w:t>
            </w:r>
          </w:p>
          <w:p w14:paraId="5D66E909" w14:textId="77777777" w:rsidR="00D60365" w:rsidRPr="006F6FBE" w:rsidRDefault="00C12095">
            <w:pPr>
              <w:rPr>
                <w:bCs/>
                <w:sz w:val="22"/>
                <w:szCs w:val="22"/>
                <w:lang w:val="lt-LT"/>
              </w:rPr>
            </w:pPr>
            <w:r w:rsidRPr="006F6FBE">
              <w:rPr>
                <w:bCs/>
                <w:sz w:val="22"/>
                <w:szCs w:val="22"/>
                <w:lang w:val="lt-LT"/>
              </w:rPr>
              <w:t>LT/1/15/3722/015 – N56</w:t>
            </w:r>
          </w:p>
          <w:p w14:paraId="5006DA35" w14:textId="77777777" w:rsidR="00D60365" w:rsidRPr="006F6FBE" w:rsidRDefault="00C12095">
            <w:pPr>
              <w:rPr>
                <w:bCs/>
                <w:sz w:val="22"/>
                <w:szCs w:val="22"/>
                <w:lang w:val="lt-LT"/>
              </w:rPr>
            </w:pPr>
            <w:r w:rsidRPr="006F6FBE">
              <w:rPr>
                <w:bCs/>
                <w:sz w:val="22"/>
                <w:szCs w:val="22"/>
                <w:lang w:val="lt-LT"/>
              </w:rPr>
              <w:t>LT/1/15/3722/016 – N60</w:t>
            </w:r>
          </w:p>
          <w:p w14:paraId="31EDF839" w14:textId="77777777" w:rsidR="00D60365" w:rsidRPr="006F6FBE" w:rsidRDefault="00C12095">
            <w:pPr>
              <w:rPr>
                <w:bCs/>
                <w:sz w:val="22"/>
                <w:szCs w:val="22"/>
                <w:lang w:val="lt-LT"/>
              </w:rPr>
            </w:pPr>
            <w:r w:rsidRPr="006F6FBE">
              <w:rPr>
                <w:bCs/>
                <w:sz w:val="22"/>
                <w:szCs w:val="22"/>
                <w:lang w:val="lt-LT"/>
              </w:rPr>
              <w:t>LT/1/15/3722/017 – N90</w:t>
            </w:r>
          </w:p>
          <w:p w14:paraId="11587BCD" w14:textId="77777777" w:rsidR="00D60365" w:rsidRPr="006F6FBE" w:rsidRDefault="00C12095">
            <w:pPr>
              <w:widowControl w:val="0"/>
              <w:rPr>
                <w:rFonts w:eastAsia="Calibri"/>
                <w:snapToGrid w:val="0"/>
                <w:sz w:val="22"/>
                <w:szCs w:val="22"/>
                <w:lang w:eastAsia="lt-LT"/>
              </w:rPr>
            </w:pPr>
            <w:r w:rsidRPr="006F6FBE">
              <w:rPr>
                <w:bCs/>
                <w:sz w:val="22"/>
                <w:szCs w:val="22"/>
                <w:lang w:val="lt-LT"/>
              </w:rPr>
              <w:t>LT/1/15/3722/018 – N100</w:t>
            </w:r>
          </w:p>
        </w:tc>
      </w:tr>
    </w:tbl>
    <w:p w14:paraId="21F58FE4" w14:textId="77777777" w:rsidR="00D60365" w:rsidRDefault="00D60365">
      <w:pPr>
        <w:widowControl w:val="0"/>
        <w:spacing w:after="0" w:line="240" w:lineRule="auto"/>
        <w:rPr>
          <w:rFonts w:ascii="Times New Roman" w:eastAsia="Times New Roman" w:hAnsi="Times New Roman" w:cs="Times New Roman"/>
          <w:snapToGrid w:val="0"/>
        </w:rPr>
      </w:pPr>
    </w:p>
    <w:p w14:paraId="649DE84E" w14:textId="77777777" w:rsidR="00D60365" w:rsidRDefault="00D60365">
      <w:pPr>
        <w:widowControl w:val="0"/>
        <w:spacing w:after="0" w:line="240" w:lineRule="auto"/>
        <w:rPr>
          <w:rFonts w:ascii="Times New Roman" w:eastAsia="Times New Roman" w:hAnsi="Times New Roman" w:cs="Times New Roman"/>
          <w:snapToGrid w:val="0"/>
        </w:rPr>
      </w:pPr>
    </w:p>
    <w:p w14:paraId="18E5E74F"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9.</w:t>
      </w:r>
      <w:r>
        <w:rPr>
          <w:rFonts w:ascii="Times New Roman" w:eastAsia="Times New Roman" w:hAnsi="Times New Roman" w:cs="Times New Roman"/>
          <w:b/>
          <w:bCs/>
          <w:snapToGrid w:val="0"/>
          <w:lang w:eastAsia="x-none"/>
        </w:rPr>
        <w:tab/>
        <w:t>REGISTRAVIMO / PERREGISTRAVIMO DATA</w:t>
      </w:r>
    </w:p>
    <w:p w14:paraId="46E7758D" w14:textId="77777777" w:rsidR="00D60365" w:rsidRDefault="00D60365">
      <w:pPr>
        <w:widowControl w:val="0"/>
        <w:spacing w:after="0" w:line="240" w:lineRule="auto"/>
        <w:rPr>
          <w:rFonts w:ascii="Times New Roman" w:eastAsia="Times New Roman" w:hAnsi="Times New Roman" w:cs="Times New Roman"/>
          <w:snapToGrid w:val="0"/>
        </w:rPr>
      </w:pPr>
    </w:p>
    <w:p w14:paraId="38957060" w14:textId="77777777" w:rsidR="00D60365" w:rsidRDefault="00C12095">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Registravimo data 2015 m. gegužės 13 d.</w:t>
      </w:r>
    </w:p>
    <w:p w14:paraId="5804D7A8" w14:textId="77777777" w:rsidR="00D60365" w:rsidRDefault="00C12095">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Paskutinio perregistravimo data 2020 m. vasario 27 d.</w:t>
      </w:r>
    </w:p>
    <w:p w14:paraId="4CD23E7E" w14:textId="77777777" w:rsidR="00D60365" w:rsidRDefault="00D60365">
      <w:pPr>
        <w:widowControl w:val="0"/>
        <w:spacing w:after="0" w:line="240" w:lineRule="auto"/>
        <w:rPr>
          <w:rFonts w:ascii="Times New Roman" w:eastAsia="Times New Roman" w:hAnsi="Times New Roman" w:cs="Times New Roman"/>
          <w:snapToGrid w:val="0"/>
        </w:rPr>
      </w:pPr>
    </w:p>
    <w:p w14:paraId="38B44848" w14:textId="77777777" w:rsidR="00D60365" w:rsidRDefault="00D60365">
      <w:pPr>
        <w:widowControl w:val="0"/>
        <w:spacing w:after="0" w:line="240" w:lineRule="auto"/>
        <w:rPr>
          <w:rFonts w:ascii="Times New Roman" w:eastAsia="Times New Roman" w:hAnsi="Times New Roman" w:cs="Times New Roman"/>
          <w:snapToGrid w:val="0"/>
        </w:rPr>
      </w:pPr>
    </w:p>
    <w:p w14:paraId="7745CA32"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10.</w:t>
      </w:r>
      <w:r>
        <w:rPr>
          <w:rFonts w:ascii="Times New Roman" w:eastAsia="Times New Roman" w:hAnsi="Times New Roman" w:cs="Times New Roman"/>
          <w:b/>
          <w:bCs/>
          <w:snapToGrid w:val="0"/>
          <w:lang w:eastAsia="x-none"/>
        </w:rPr>
        <w:tab/>
        <w:t>TEKSTO PERŽIŪROS DATA</w:t>
      </w:r>
    </w:p>
    <w:p w14:paraId="4B6ACA69" w14:textId="77777777" w:rsidR="00D60365" w:rsidRDefault="00D60365">
      <w:pPr>
        <w:widowControl w:val="0"/>
        <w:spacing w:after="0" w:line="240" w:lineRule="auto"/>
        <w:rPr>
          <w:rFonts w:ascii="Times New Roman" w:eastAsia="Times New Roman" w:hAnsi="Times New Roman" w:cs="Times New Roman"/>
          <w:snapToGrid w:val="0"/>
        </w:rPr>
      </w:pPr>
    </w:p>
    <w:p w14:paraId="5AE40DDC" w14:textId="579E91F5" w:rsidR="00D60365" w:rsidRDefault="00C12095">
      <w:pPr>
        <w:widowControl w:val="0"/>
        <w:tabs>
          <w:tab w:val="left" w:pos="5954"/>
          <w:tab w:val="left" w:pos="6237"/>
          <w:tab w:val="left" w:pos="6663"/>
          <w:tab w:val="left" w:pos="6946"/>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2026 m kovo 5 d.</w:t>
      </w:r>
    </w:p>
    <w:p w14:paraId="79F4AA74" w14:textId="77777777" w:rsidR="00D60365" w:rsidRDefault="00D60365">
      <w:pPr>
        <w:widowControl w:val="0"/>
        <w:tabs>
          <w:tab w:val="left" w:pos="5954"/>
          <w:tab w:val="left" w:pos="6237"/>
          <w:tab w:val="left" w:pos="6663"/>
          <w:tab w:val="left" w:pos="6946"/>
        </w:tabs>
        <w:spacing w:after="0" w:line="240" w:lineRule="auto"/>
        <w:rPr>
          <w:rFonts w:ascii="Times New Roman" w:eastAsia="SimSun" w:hAnsi="Times New Roman" w:cs="Times New Roman"/>
        </w:rPr>
      </w:pPr>
    </w:p>
    <w:p w14:paraId="3A3C15CF" w14:textId="77777777" w:rsidR="00D60365" w:rsidRDefault="00C12095">
      <w:pPr>
        <w:widowControl w:val="0"/>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rPr>
        <w:t xml:space="preserve"> </w:t>
      </w:r>
      <w:hyperlink r:id="rId8" w:history="1">
        <w:r w:rsidRPr="0015450D">
          <w:rPr>
            <w:rStyle w:val="Hipersaitas"/>
            <w:sz w:val="22"/>
            <w:lang w:val="lt-LT"/>
          </w:rPr>
          <w:t>https://vvkt.lrv.lt/lt/</w:t>
        </w:r>
      </w:hyperlink>
      <w:r w:rsidRPr="0015450D">
        <w:rPr>
          <w:rFonts w:ascii="Times New Roman" w:hAnsi="Times New Roman"/>
        </w:rPr>
        <w:t>.</w:t>
      </w:r>
    </w:p>
    <w:p w14:paraId="2E1D6ECE" w14:textId="77777777" w:rsidR="00D60365" w:rsidRDefault="00C1209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r>
        <w:rPr>
          <w:rFonts w:ascii="Times New Roman" w:eastAsia="SimSun" w:hAnsi="Times New Roman" w:cs="Times New Roman"/>
        </w:rPr>
        <w:br w:type="page"/>
      </w:r>
    </w:p>
    <w:p w14:paraId="3A30AF0D"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78B853DF"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52767D29"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26AC5E25"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3DA47986"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69D6D97A"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72620851"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35E5F3F4"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51CC9A1A"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3140B5B5"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1A87A790"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61340BBD"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24B335FE"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0A2B0D12" w14:textId="77777777" w:rsidR="00D60365" w:rsidRDefault="00D60365">
      <w:pPr>
        <w:widowControl w:val="0"/>
        <w:tabs>
          <w:tab w:val="left" w:pos="5954"/>
          <w:tab w:val="left" w:pos="6237"/>
          <w:tab w:val="left" w:pos="6663"/>
          <w:tab w:val="left" w:pos="6946"/>
        </w:tabs>
        <w:spacing w:after="0" w:line="240" w:lineRule="auto"/>
        <w:jc w:val="center"/>
        <w:rPr>
          <w:rFonts w:ascii="Times New Roman" w:eastAsia="SimSun" w:hAnsi="Times New Roman" w:cs="Times New Roman"/>
        </w:rPr>
      </w:pPr>
    </w:p>
    <w:p w14:paraId="30A11D11"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2FE4F17D"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7D1119DB"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1419D169"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3D835D85"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73A78FE1"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7E479F66"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1CBB0537"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4DC3DDE1" w14:textId="77777777" w:rsidR="00D60365" w:rsidRDefault="00D60365">
      <w:pPr>
        <w:widowControl w:val="0"/>
        <w:tabs>
          <w:tab w:val="left" w:pos="567"/>
        </w:tabs>
        <w:spacing w:after="0" w:line="240" w:lineRule="auto"/>
        <w:jc w:val="center"/>
        <w:rPr>
          <w:rFonts w:ascii="Times New Roman" w:eastAsia="Times New Roman" w:hAnsi="Times New Roman" w:cs="Times New Roman"/>
          <w:b/>
          <w:snapToGrid w:val="0"/>
        </w:rPr>
      </w:pPr>
    </w:p>
    <w:p w14:paraId="6E23E4D7" w14:textId="77777777" w:rsidR="00D60365" w:rsidRDefault="00C12095">
      <w:pPr>
        <w:widowControl w:val="0"/>
        <w:tabs>
          <w:tab w:val="left" w:pos="567"/>
        </w:tabs>
        <w:spacing w:after="0" w:line="240" w:lineRule="auto"/>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II PRIEDAS</w:t>
      </w:r>
    </w:p>
    <w:p w14:paraId="720EFFB8" w14:textId="77777777" w:rsidR="00D60365" w:rsidRDefault="00D60365">
      <w:pPr>
        <w:widowControl w:val="0"/>
        <w:tabs>
          <w:tab w:val="left" w:pos="567"/>
        </w:tabs>
        <w:spacing w:after="0" w:line="240" w:lineRule="auto"/>
        <w:ind w:left="1701" w:right="1416" w:hanging="567"/>
        <w:jc w:val="center"/>
        <w:rPr>
          <w:rFonts w:ascii="Times New Roman" w:eastAsia="Times New Roman" w:hAnsi="Times New Roman" w:cs="Times New Roman"/>
          <w:snapToGrid w:val="0"/>
        </w:rPr>
      </w:pPr>
    </w:p>
    <w:p w14:paraId="44751A2C" w14:textId="77777777" w:rsidR="00D60365" w:rsidRDefault="00C12095">
      <w:pPr>
        <w:widowControl w:val="0"/>
        <w:tabs>
          <w:tab w:val="left" w:pos="567"/>
        </w:tabs>
        <w:spacing w:after="0" w:line="240" w:lineRule="auto"/>
        <w:jc w:val="center"/>
        <w:rPr>
          <w:rFonts w:ascii="Times New Roman" w:eastAsia="Times New Roman" w:hAnsi="Times New Roman" w:cs="Times New Roman"/>
          <w:i/>
          <w:snapToGrid w:val="0"/>
        </w:rPr>
      </w:pPr>
      <w:r>
        <w:rPr>
          <w:rFonts w:ascii="Times New Roman" w:eastAsia="Times New Roman" w:hAnsi="Times New Roman" w:cs="Times New Roman"/>
          <w:b/>
          <w:snapToGrid w:val="0"/>
        </w:rPr>
        <w:t>REGISTRACIJOS SĄLYGOS</w:t>
      </w:r>
    </w:p>
    <w:p w14:paraId="5B79EC37"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6F67D8D6" w14:textId="77777777" w:rsidR="00D60365" w:rsidRDefault="00C12095">
      <w:pPr>
        <w:widowControl w:val="0"/>
        <w:tabs>
          <w:tab w:val="left" w:pos="1701"/>
        </w:tabs>
        <w:spacing w:after="0" w:line="240" w:lineRule="auto"/>
        <w:ind w:left="1701" w:right="567" w:hanging="567"/>
        <w:rPr>
          <w:rFonts w:ascii="Times New Roman" w:eastAsia="Times New Roman" w:hAnsi="Times New Roman" w:cs="Times New Roman"/>
          <w:b/>
          <w:snapToGrid w:val="0"/>
        </w:rPr>
      </w:pPr>
      <w:r>
        <w:rPr>
          <w:rFonts w:ascii="Times New Roman" w:eastAsia="Times New Roman" w:hAnsi="Times New Roman" w:cs="Times New Roman"/>
          <w:b/>
          <w:snapToGrid w:val="0"/>
        </w:rPr>
        <w:t>A.</w:t>
      </w:r>
      <w:r>
        <w:rPr>
          <w:rFonts w:ascii="Times New Roman" w:eastAsia="Times New Roman" w:hAnsi="Times New Roman" w:cs="Times New Roman"/>
          <w:b/>
          <w:snapToGrid w:val="0"/>
        </w:rPr>
        <w:tab/>
        <w:t>GAMINTOJAS (-AI), ATSAKINGAS (-I) UŽ SERIJŲ IŠLEIDIMĄ</w:t>
      </w:r>
    </w:p>
    <w:p w14:paraId="7DF6884B" w14:textId="77777777" w:rsidR="00D60365" w:rsidRDefault="00D60365">
      <w:pPr>
        <w:widowControl w:val="0"/>
        <w:tabs>
          <w:tab w:val="left" w:pos="1701"/>
        </w:tabs>
        <w:spacing w:after="0" w:line="240" w:lineRule="auto"/>
        <w:ind w:left="567" w:right="567" w:hanging="567"/>
        <w:jc w:val="center"/>
        <w:rPr>
          <w:rFonts w:ascii="Times New Roman" w:eastAsia="Times New Roman" w:hAnsi="Times New Roman" w:cs="Times New Roman"/>
          <w:snapToGrid w:val="0"/>
        </w:rPr>
      </w:pPr>
    </w:p>
    <w:p w14:paraId="75D79D81" w14:textId="77777777" w:rsidR="00D60365" w:rsidRDefault="00C12095">
      <w:pPr>
        <w:widowControl w:val="0"/>
        <w:tabs>
          <w:tab w:val="left" w:pos="1701"/>
        </w:tabs>
        <w:spacing w:after="0" w:line="240" w:lineRule="auto"/>
        <w:ind w:left="1701" w:right="567" w:hanging="567"/>
        <w:rPr>
          <w:rFonts w:ascii="Times New Roman" w:eastAsia="Times New Roman" w:hAnsi="Times New Roman" w:cs="Times New Roman"/>
          <w:b/>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6BC24C3B" w14:textId="77777777" w:rsidR="00D60365" w:rsidRDefault="00D60365">
      <w:pPr>
        <w:widowControl w:val="0"/>
        <w:tabs>
          <w:tab w:val="left" w:pos="1701"/>
        </w:tabs>
        <w:spacing w:after="0" w:line="240" w:lineRule="auto"/>
        <w:ind w:left="567" w:right="567" w:hanging="567"/>
        <w:rPr>
          <w:rFonts w:ascii="Times New Roman" w:eastAsia="Times New Roman" w:hAnsi="Times New Roman" w:cs="Times New Roman"/>
          <w:snapToGrid w:val="0"/>
        </w:rPr>
      </w:pPr>
    </w:p>
    <w:p w14:paraId="17F362B4" w14:textId="77777777" w:rsidR="00D60365" w:rsidRDefault="00D60365">
      <w:pPr>
        <w:widowControl w:val="0"/>
        <w:tabs>
          <w:tab w:val="left" w:pos="567"/>
        </w:tabs>
        <w:spacing w:after="0" w:line="240" w:lineRule="auto"/>
        <w:ind w:left="567" w:hanging="567"/>
        <w:rPr>
          <w:rFonts w:ascii="Times New Roman" w:eastAsia="Times New Roman" w:hAnsi="Times New Roman" w:cs="Times New Roman"/>
          <w:snapToGrid w:val="0"/>
        </w:rPr>
      </w:pPr>
    </w:p>
    <w:p w14:paraId="6F1E6330" w14:textId="77777777" w:rsidR="00D60365" w:rsidRDefault="00D60365">
      <w:pPr>
        <w:widowControl w:val="0"/>
        <w:tabs>
          <w:tab w:val="left" w:pos="567"/>
        </w:tabs>
        <w:spacing w:after="0" w:line="240" w:lineRule="auto"/>
        <w:ind w:right="-1"/>
        <w:rPr>
          <w:rFonts w:ascii="Times New Roman" w:eastAsia="Times New Roman" w:hAnsi="Times New Roman" w:cs="Times New Roman"/>
          <w:snapToGrid w:val="0"/>
        </w:rPr>
      </w:pPr>
    </w:p>
    <w:p w14:paraId="7BD0136F" w14:textId="77777777" w:rsidR="00D60365" w:rsidRDefault="00C12095">
      <w:pPr>
        <w:widowControl w:val="0"/>
        <w:tabs>
          <w:tab w:val="left" w:pos="567"/>
        </w:tabs>
        <w:spacing w:after="0" w:line="240" w:lineRule="auto"/>
        <w:ind w:left="567" w:hanging="567"/>
        <w:rPr>
          <w:rFonts w:ascii="Times New Roman" w:eastAsia="Times New Roman" w:hAnsi="Times New Roman" w:cs="Times New Roman"/>
          <w:b/>
          <w:snapToGrid w:val="0"/>
        </w:rPr>
      </w:pPr>
      <w:r>
        <w:rPr>
          <w:rFonts w:ascii="Times New Roman" w:eastAsia="Times New Roman" w:hAnsi="Times New Roman" w:cs="Times New Roman"/>
          <w:snapToGrid w:val="0"/>
        </w:rPr>
        <w:br w:type="page"/>
      </w:r>
      <w:r>
        <w:rPr>
          <w:rFonts w:ascii="Times New Roman" w:eastAsia="Times New Roman" w:hAnsi="Times New Roman" w:cs="Times New Roman"/>
          <w:b/>
          <w:snapToGrid w:val="0"/>
        </w:rPr>
        <w:lastRenderedPageBreak/>
        <w:t>A.</w:t>
      </w:r>
      <w:r>
        <w:rPr>
          <w:rFonts w:ascii="Times New Roman" w:eastAsia="Times New Roman" w:hAnsi="Times New Roman" w:cs="Times New Roman"/>
          <w:b/>
          <w:snapToGrid w:val="0"/>
        </w:rPr>
        <w:tab/>
        <w:t>GAMINTOJAS (-AI), ATSAKINGAS (-I) UŽ SERIJŲ IŠLEIDIMĄ</w:t>
      </w:r>
    </w:p>
    <w:p w14:paraId="788671D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8CA7AA8" w14:textId="77777777" w:rsidR="00D60365" w:rsidRDefault="00C12095">
      <w:pPr>
        <w:widowControl w:val="0"/>
        <w:tabs>
          <w:tab w:val="left" w:pos="567"/>
        </w:tabs>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u w:val="single"/>
        </w:rPr>
        <w:t>Gamintojo (-ų), atsakingo (-ų) už serijų išleidimą, pavadinimas (-ai) ir adresas (-ai)</w:t>
      </w:r>
    </w:p>
    <w:p w14:paraId="6AD05D5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69AACEC"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KRKA, d. d., Novo mesto</w:t>
      </w:r>
    </w:p>
    <w:p w14:paraId="06E8C88F" w14:textId="77777777" w:rsidR="00D60365" w:rsidRDefault="00C12095">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2B62BBDD"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05CDE3AE"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46A44E3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85A9E08" w14:textId="77777777" w:rsidR="00D60365" w:rsidRDefault="00C12095">
      <w:pPr>
        <w:widowControl w:val="0"/>
        <w:tabs>
          <w:tab w:val="left" w:pos="567"/>
        </w:tabs>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arba</w:t>
      </w:r>
    </w:p>
    <w:p w14:paraId="376D55E6" w14:textId="77777777" w:rsidR="00D60365" w:rsidRDefault="00D60365">
      <w:pPr>
        <w:widowControl w:val="0"/>
        <w:tabs>
          <w:tab w:val="left" w:pos="567"/>
        </w:tabs>
        <w:spacing w:after="0" w:line="240" w:lineRule="auto"/>
        <w:jc w:val="both"/>
        <w:rPr>
          <w:rFonts w:ascii="Times New Roman" w:eastAsia="Times New Roman" w:hAnsi="Times New Roman" w:cs="Times New Roman"/>
          <w:snapToGrid w:val="0"/>
        </w:rPr>
      </w:pPr>
    </w:p>
    <w:p w14:paraId="78852CD9" w14:textId="77777777" w:rsidR="00D60365" w:rsidRDefault="00C12095">
      <w:pPr>
        <w:spacing w:after="0" w:line="240" w:lineRule="auto"/>
        <w:rPr>
          <w:rFonts w:ascii="Times New Roman" w:eastAsia="TimesNewRoman" w:hAnsi="Times New Roman" w:cs="Times New Roman"/>
          <w:lang w:eastAsia="sk-SK"/>
        </w:rPr>
      </w:pPr>
      <w:r>
        <w:rPr>
          <w:rFonts w:ascii="Times New Roman" w:eastAsia="TimesNewRoman" w:hAnsi="Times New Roman" w:cs="Times New Roman"/>
          <w:lang w:eastAsia="sk-SK"/>
        </w:rPr>
        <w:t xml:space="preserve">TAD Pharma </w:t>
      </w:r>
      <w:proofErr w:type="spellStart"/>
      <w:r>
        <w:rPr>
          <w:rFonts w:ascii="Times New Roman" w:eastAsia="TimesNewRoman" w:hAnsi="Times New Roman" w:cs="Times New Roman"/>
          <w:lang w:eastAsia="sk-SK"/>
        </w:rPr>
        <w:t>GmbH</w:t>
      </w:r>
      <w:proofErr w:type="spellEnd"/>
    </w:p>
    <w:p w14:paraId="281667EF" w14:textId="77777777" w:rsidR="00D60365" w:rsidRDefault="00C12095">
      <w:pPr>
        <w:spacing w:after="0" w:line="240" w:lineRule="auto"/>
        <w:rPr>
          <w:rFonts w:ascii="Times New Roman" w:eastAsia="TimesNewRoman" w:hAnsi="Times New Roman" w:cs="Times New Roman"/>
          <w:lang w:eastAsia="sk-SK"/>
        </w:rPr>
      </w:pPr>
      <w:proofErr w:type="spellStart"/>
      <w:r>
        <w:rPr>
          <w:rFonts w:ascii="Times New Roman" w:eastAsia="TimesNewRoman" w:hAnsi="Times New Roman" w:cs="Times New Roman"/>
          <w:lang w:eastAsia="sk-SK"/>
        </w:rPr>
        <w:t>Heinz-Lohmann-Straße</w:t>
      </w:r>
      <w:proofErr w:type="spellEnd"/>
      <w:r>
        <w:rPr>
          <w:rFonts w:ascii="Times New Roman" w:eastAsia="TimesNewRoman" w:hAnsi="Times New Roman" w:cs="Times New Roman"/>
          <w:lang w:eastAsia="sk-SK"/>
        </w:rPr>
        <w:t xml:space="preserve"> 5</w:t>
      </w:r>
    </w:p>
    <w:p w14:paraId="7E9E1343" w14:textId="77777777" w:rsidR="00D60365" w:rsidRDefault="00C12095">
      <w:pPr>
        <w:widowControl w:val="0"/>
        <w:tabs>
          <w:tab w:val="left" w:pos="567"/>
        </w:tabs>
        <w:spacing w:after="0" w:line="240" w:lineRule="auto"/>
        <w:jc w:val="both"/>
        <w:rPr>
          <w:rFonts w:ascii="Times New Roman" w:eastAsia="TimesNewRoman" w:hAnsi="Times New Roman" w:cs="Times New Roman"/>
          <w:lang w:eastAsia="sk-SK"/>
        </w:rPr>
      </w:pPr>
      <w:r>
        <w:rPr>
          <w:rFonts w:ascii="Times New Roman" w:eastAsia="TimesNewRoman" w:hAnsi="Times New Roman" w:cs="Times New Roman"/>
          <w:lang w:eastAsia="sk-SK"/>
        </w:rPr>
        <w:t xml:space="preserve">27472 </w:t>
      </w:r>
      <w:proofErr w:type="spellStart"/>
      <w:r>
        <w:rPr>
          <w:rFonts w:ascii="Times New Roman" w:eastAsia="TimesNewRoman" w:hAnsi="Times New Roman" w:cs="Times New Roman"/>
          <w:lang w:eastAsia="sk-SK"/>
        </w:rPr>
        <w:t>Cuxhaven</w:t>
      </w:r>
      <w:proofErr w:type="spellEnd"/>
    </w:p>
    <w:p w14:paraId="1155F092" w14:textId="77777777" w:rsidR="00D60365" w:rsidRDefault="00C12095">
      <w:pPr>
        <w:widowControl w:val="0"/>
        <w:tabs>
          <w:tab w:val="left" w:pos="567"/>
        </w:tabs>
        <w:spacing w:after="0" w:line="240" w:lineRule="auto"/>
        <w:jc w:val="both"/>
        <w:rPr>
          <w:rFonts w:ascii="Times New Roman" w:eastAsia="TimesNewRoman" w:hAnsi="Times New Roman" w:cs="Times New Roman"/>
          <w:lang w:eastAsia="sk-SK"/>
        </w:rPr>
      </w:pPr>
      <w:r>
        <w:rPr>
          <w:rFonts w:ascii="Times New Roman" w:eastAsia="TimesNewRoman" w:hAnsi="Times New Roman" w:cs="Times New Roman"/>
          <w:lang w:eastAsia="sk-SK"/>
        </w:rPr>
        <w:t>Vokietija</w:t>
      </w:r>
    </w:p>
    <w:p w14:paraId="28FAD500" w14:textId="77777777" w:rsidR="00D60365" w:rsidRDefault="00D60365">
      <w:pPr>
        <w:widowControl w:val="0"/>
        <w:tabs>
          <w:tab w:val="left" w:pos="567"/>
        </w:tabs>
        <w:spacing w:after="0" w:line="240" w:lineRule="auto"/>
        <w:jc w:val="both"/>
        <w:rPr>
          <w:rFonts w:ascii="Times New Roman" w:eastAsia="Times New Roman" w:hAnsi="Times New Roman" w:cs="Times New Roman"/>
          <w:snapToGrid w:val="0"/>
        </w:rPr>
      </w:pPr>
    </w:p>
    <w:p w14:paraId="39CA312D" w14:textId="77777777" w:rsidR="00D60365" w:rsidRDefault="00C12095">
      <w:pPr>
        <w:widowControl w:val="0"/>
        <w:tabs>
          <w:tab w:val="left" w:pos="567"/>
        </w:tabs>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Su pakuote pateikiamame lapelyje nurodomas gamintojo, atsakingo už konkrečios serijos išleidimą, pavadinimas ir adresas.</w:t>
      </w:r>
    </w:p>
    <w:p w14:paraId="1CCD4C7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AFB1EC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ED8EFA4" w14:textId="77777777" w:rsidR="00D60365" w:rsidRDefault="00C12095">
      <w:pPr>
        <w:widowControl w:val="0"/>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436E52A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A649B1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Receptinis vaistinis preparatas.</w:t>
      </w:r>
    </w:p>
    <w:p w14:paraId="009FA352"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74936F7" w14:textId="77777777" w:rsidR="00D60365" w:rsidRDefault="00C12095">
      <w:pPr>
        <w:widowControl w:val="0"/>
        <w:tabs>
          <w:tab w:val="left" w:pos="567"/>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1ECE61B9" w14:textId="77777777" w:rsidR="00D60365" w:rsidRDefault="00D60365">
      <w:pPr>
        <w:widowControl w:val="0"/>
        <w:tabs>
          <w:tab w:val="left" w:pos="567"/>
        </w:tabs>
        <w:spacing w:after="0" w:line="240" w:lineRule="auto"/>
        <w:ind w:right="566"/>
        <w:jc w:val="center"/>
        <w:rPr>
          <w:rFonts w:ascii="Times New Roman" w:eastAsia="Times New Roman" w:hAnsi="Times New Roman" w:cs="Times New Roman"/>
          <w:snapToGrid w:val="0"/>
        </w:rPr>
      </w:pPr>
    </w:p>
    <w:p w14:paraId="6E87B9D4"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67F0E460"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1F761DC1"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116037A7"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3343C089"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493E0A75"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6C23F74E"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3AD34C25"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571CF4FE"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0CEF8E0A"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5D28E056"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043320C2"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387C59F7"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15942802"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6FCF8EF1"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08ABB8ED"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3EE21BDD"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0353B6DE"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3D9B245C"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03CEC2BB"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2E113A3B"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65F3A90C" w14:textId="77777777" w:rsidR="00D60365" w:rsidRDefault="00D60365">
      <w:pPr>
        <w:widowControl w:val="0"/>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4FA9135D" w14:textId="77777777" w:rsidR="00D60365" w:rsidRDefault="00C12095">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III PRIEDAS</w:t>
      </w:r>
    </w:p>
    <w:p w14:paraId="2458C71B"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7CDB14FF" w14:textId="77777777" w:rsidR="00D60365" w:rsidRDefault="00C12095">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ŽENKLINIMAS IR PAKUOTĖS LAPELIS</w:t>
      </w:r>
    </w:p>
    <w:p w14:paraId="7BC171B2" w14:textId="77777777" w:rsidR="00D60365" w:rsidRDefault="00C12095">
      <w:pPr>
        <w:widowControl w:val="0"/>
        <w:tabs>
          <w:tab w:val="left" w:pos="567"/>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4733ABA1"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244C23F8"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180CAAD3"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3902304D"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2403D709"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425D3EAC"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0E3A347D"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69FC5761"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10B11861"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7501098B"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43D7FE33"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503FC929"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3A15138B"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559B99AE"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4D638E6A"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7F5B490D"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6C0E820A"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039F9F77"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1DB54604"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4E4BBA41"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4A352F4C"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75644EB9" w14:textId="77777777" w:rsidR="00D60365" w:rsidRDefault="00D60365">
      <w:pPr>
        <w:widowControl w:val="0"/>
        <w:tabs>
          <w:tab w:val="left" w:pos="567"/>
        </w:tabs>
        <w:spacing w:after="0" w:line="240" w:lineRule="auto"/>
        <w:jc w:val="center"/>
        <w:rPr>
          <w:rFonts w:ascii="Times New Roman" w:eastAsia="Times New Roman" w:hAnsi="Times New Roman" w:cs="Times New Roman"/>
          <w:snapToGrid w:val="0"/>
        </w:rPr>
      </w:pPr>
    </w:p>
    <w:p w14:paraId="242D006D" w14:textId="77777777" w:rsidR="00D60365" w:rsidRDefault="00D60365">
      <w:pPr>
        <w:widowControl w:val="0"/>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6D761AC1" w14:textId="77777777" w:rsidR="00D60365" w:rsidRDefault="00C12095">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A. ŽENKLINIMAS</w:t>
      </w:r>
    </w:p>
    <w:p w14:paraId="66ED510D" w14:textId="77777777" w:rsidR="00D60365" w:rsidRDefault="00C12095">
      <w:pPr>
        <w:widowControl w:val="0"/>
        <w:tabs>
          <w:tab w:val="left" w:pos="567"/>
        </w:tabs>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394B5224"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lastRenderedPageBreak/>
        <w:t>INFORMACIJA ANT IŠORINĖS PAKUOTĖS</w:t>
      </w:r>
    </w:p>
    <w:p w14:paraId="199AF091" w14:textId="77777777" w:rsidR="00D60365" w:rsidRDefault="00D6036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680BBB12"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LIZDINIŲ PLOKŠTELIŲ DĖŽUTĖ</w:t>
      </w:r>
    </w:p>
    <w:p w14:paraId="25149DE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2FB2E4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92BB8A2"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VAISTINIO</w:t>
      </w:r>
      <w:r>
        <w:rPr>
          <w:rFonts w:ascii="Times New Roman" w:eastAsia="Times New Roman" w:hAnsi="Times New Roman" w:cs="Times New Roman"/>
          <w:b/>
          <w:snapToGrid w:val="0"/>
        </w:rPr>
        <w:t xml:space="preserve"> PREPARATO PAVADINIMAS</w:t>
      </w:r>
    </w:p>
    <w:p w14:paraId="3D56D9F8"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7F4E4F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30 mg skrandyje neirios kietosios kapsulės</w:t>
      </w:r>
    </w:p>
    <w:p w14:paraId="1901E5A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highlight w:val="lightGray"/>
        </w:rPr>
        <w:t>Dulsevia</w:t>
      </w:r>
      <w:proofErr w:type="spellEnd"/>
      <w:r>
        <w:rPr>
          <w:rFonts w:ascii="Times New Roman" w:eastAsia="Times New Roman" w:hAnsi="Times New Roman" w:cs="Times New Roman"/>
          <w:snapToGrid w:val="0"/>
          <w:highlight w:val="lightGray"/>
        </w:rPr>
        <w:t xml:space="preserve"> 60 mg skrandyje neirios kietosios kapsulės</w:t>
      </w:r>
    </w:p>
    <w:p w14:paraId="78D4EBE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B6BA0E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duloksetinas</w:t>
      </w:r>
      <w:proofErr w:type="spellEnd"/>
    </w:p>
    <w:p w14:paraId="0B09054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41D4212"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17CAA59"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2.</w:t>
      </w:r>
      <w:r>
        <w:rPr>
          <w:rFonts w:ascii="Times New Roman" w:eastAsia="Times New Roman" w:hAnsi="Times New Roman" w:cs="Times New Roman"/>
          <w:b/>
          <w:snapToGrid w:val="0"/>
        </w:rPr>
        <w:tab/>
        <w:t>VEIKLIOJI (-IOS) MEDŽIAGA (-OS) IR JOS (-Ų) KIEKIS (-IAI)</w:t>
      </w:r>
    </w:p>
    <w:p w14:paraId="469FCAE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B38176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Kiekvienoje skrandyje neirioje kietojoje kapsulėje yra 30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hidrochlorido pavidalu).</w:t>
      </w:r>
    </w:p>
    <w:p w14:paraId="31E76EB7"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 xml:space="preserve">Kiekvienoje skrandyje neirioje kietojoje kapsulėje yra 60 mg </w:t>
      </w:r>
      <w:proofErr w:type="spellStart"/>
      <w:r>
        <w:rPr>
          <w:rFonts w:ascii="Times New Roman" w:eastAsia="Times New Roman" w:hAnsi="Times New Roman" w:cs="Times New Roman"/>
          <w:snapToGrid w:val="0"/>
          <w:highlight w:val="lightGray"/>
        </w:rPr>
        <w:t>duloksetino</w:t>
      </w:r>
      <w:proofErr w:type="spellEnd"/>
      <w:r>
        <w:rPr>
          <w:rFonts w:ascii="Times New Roman" w:eastAsia="Times New Roman" w:hAnsi="Times New Roman" w:cs="Times New Roman"/>
          <w:snapToGrid w:val="0"/>
          <w:highlight w:val="lightGray"/>
        </w:rPr>
        <w:t xml:space="preserve"> (</w:t>
      </w:r>
      <w:proofErr w:type="spellStart"/>
      <w:r>
        <w:rPr>
          <w:rFonts w:ascii="Times New Roman" w:eastAsia="Times New Roman" w:hAnsi="Times New Roman" w:cs="Times New Roman"/>
          <w:snapToGrid w:val="0"/>
          <w:highlight w:val="lightGray"/>
        </w:rPr>
        <w:t>duloksetino</w:t>
      </w:r>
      <w:proofErr w:type="spellEnd"/>
      <w:r>
        <w:rPr>
          <w:rFonts w:ascii="Times New Roman" w:eastAsia="Times New Roman" w:hAnsi="Times New Roman" w:cs="Times New Roman"/>
          <w:snapToGrid w:val="0"/>
          <w:highlight w:val="lightGray"/>
        </w:rPr>
        <w:t xml:space="preserve"> hidrochlorido pavidalu).</w:t>
      </w:r>
    </w:p>
    <w:p w14:paraId="168F2C4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DA2C32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824EEA8"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3.</w:t>
      </w:r>
      <w:r>
        <w:rPr>
          <w:rFonts w:ascii="Times New Roman" w:eastAsia="Times New Roman" w:hAnsi="Times New Roman" w:cs="Times New Roman"/>
          <w:b/>
          <w:snapToGrid w:val="0"/>
        </w:rPr>
        <w:tab/>
        <w:t>PAGALBINIŲ MEDŽIAGŲ SĄRAŠAS</w:t>
      </w:r>
    </w:p>
    <w:p w14:paraId="7BE46DC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55582A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Sudėtyje taip pat yra sacharozės.</w:t>
      </w:r>
    </w:p>
    <w:p w14:paraId="3C83170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Daugiau informacijos pateikta pakuotės lapelyje.</w:t>
      </w:r>
    </w:p>
    <w:p w14:paraId="0C16CB1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1794A7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52B1B77"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4.</w:t>
      </w:r>
      <w:r>
        <w:rPr>
          <w:rFonts w:ascii="Times New Roman" w:eastAsia="Times New Roman" w:hAnsi="Times New Roman" w:cs="Times New Roman"/>
          <w:b/>
          <w:snapToGrid w:val="0"/>
        </w:rPr>
        <w:tab/>
        <w:t>FARMACINĖ FORMA IR KIEKIS PAKUOTĖJE</w:t>
      </w:r>
    </w:p>
    <w:p w14:paraId="61C96258"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5CEBA11"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Skrandyje neiri kietoji kapsulė</w:t>
      </w:r>
    </w:p>
    <w:p w14:paraId="66C4C77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624D6E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7 skrandyje neirios kietosios kapsulės</w:t>
      </w:r>
    </w:p>
    <w:p w14:paraId="6E5632DD" w14:textId="77777777" w:rsidR="00D60365" w:rsidRDefault="00C12095">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10 skrandyje neirių kietųjų kapsulių</w:t>
      </w:r>
    </w:p>
    <w:p w14:paraId="7BEA3048" w14:textId="77777777" w:rsidR="00D60365" w:rsidRDefault="00C12095">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14 skrandyje neirių kietųjų kapsulių</w:t>
      </w:r>
    </w:p>
    <w:p w14:paraId="624B3EDA" w14:textId="77777777" w:rsidR="00D60365" w:rsidRDefault="00C12095">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28 skrandyje neirios kietosios kapsulės</w:t>
      </w:r>
    </w:p>
    <w:p w14:paraId="7BB72568" w14:textId="77777777" w:rsidR="00D60365" w:rsidRDefault="00C12095">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30 skrandyje neirių kietųjų kapsulių</w:t>
      </w:r>
    </w:p>
    <w:p w14:paraId="3C22FC6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56 skrandyje neirios kietosios kapsulės</w:t>
      </w:r>
    </w:p>
    <w:p w14:paraId="253A759B" w14:textId="77777777" w:rsidR="00D60365" w:rsidRDefault="00C12095">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60 skrandyje neirių kietųjų kapsulių</w:t>
      </w:r>
    </w:p>
    <w:p w14:paraId="4EBE81E4" w14:textId="77777777" w:rsidR="00D60365" w:rsidRDefault="00C12095">
      <w:pPr>
        <w:widowControl w:val="0"/>
        <w:tabs>
          <w:tab w:val="left" w:pos="567"/>
        </w:tabs>
        <w:spacing w:after="0" w:line="240" w:lineRule="auto"/>
        <w:rPr>
          <w:rFonts w:ascii="Times New Roman" w:eastAsia="Times New Roman" w:hAnsi="Times New Roman" w:cs="Times New Roman"/>
          <w:snapToGrid w:val="0"/>
          <w:highlight w:val="lightGray"/>
        </w:rPr>
      </w:pPr>
      <w:r>
        <w:rPr>
          <w:rFonts w:ascii="Times New Roman" w:eastAsia="Times New Roman" w:hAnsi="Times New Roman" w:cs="Times New Roman"/>
          <w:snapToGrid w:val="0"/>
          <w:highlight w:val="lightGray"/>
        </w:rPr>
        <w:t>90 skrandyje neirių kietųjų kapsulių</w:t>
      </w:r>
    </w:p>
    <w:p w14:paraId="7D89E5B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highlight w:val="lightGray"/>
        </w:rPr>
        <w:t>100 skrandyje neirių kietųjų kapsulių</w:t>
      </w:r>
    </w:p>
    <w:p w14:paraId="2E3E67D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B21513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83626E4"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5.</w:t>
      </w:r>
      <w:r>
        <w:rPr>
          <w:rFonts w:ascii="Times New Roman" w:eastAsia="Times New Roman" w:hAnsi="Times New Roman" w:cs="Times New Roman"/>
          <w:b/>
          <w:snapToGrid w:val="0"/>
        </w:rPr>
        <w:tab/>
        <w:t>VARTOJIMO METODAS IR BŪDAS (-AI)</w:t>
      </w:r>
    </w:p>
    <w:p w14:paraId="107EC63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A879142"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Vartoti per burną</w:t>
      </w:r>
    </w:p>
    <w:p w14:paraId="6DDC8A4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Prieš vartojimą perskaitykite pakuotės lapelį.</w:t>
      </w:r>
    </w:p>
    <w:p w14:paraId="40B1EF48"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535723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E6AEE95"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6.</w:t>
      </w:r>
      <w:r>
        <w:rPr>
          <w:rFonts w:ascii="Times New Roman" w:eastAsia="Times New Roman" w:hAnsi="Times New Roman" w:cs="Times New Roman"/>
          <w:b/>
          <w:snapToGrid w:val="0"/>
        </w:rPr>
        <w:tab/>
        <w:t>SPECIALUS ĮSPĖJIMAS, KAD VAISTINĮ PREPARATĄ BŪTINA LAIKYTI VAIKAMS NEPASTEBIMOJE IR NEPASIEKIAMOJE VIETOJE</w:t>
      </w:r>
    </w:p>
    <w:p w14:paraId="174FC51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A48B9A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Laikyti vaikams nepastebimoje ir nepasiekiamoje vietoje.</w:t>
      </w:r>
    </w:p>
    <w:p w14:paraId="0308162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84612F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3521D77"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7.</w:t>
      </w:r>
      <w:r>
        <w:rPr>
          <w:rFonts w:ascii="Times New Roman" w:eastAsia="Times New Roman" w:hAnsi="Times New Roman" w:cs="Times New Roman"/>
          <w:b/>
          <w:snapToGrid w:val="0"/>
        </w:rPr>
        <w:tab/>
        <w:t>KITAS (-I) SPECIALUS (-ŪS) ĮSPĖJIMAS (-AI) (JEI REIKIA)</w:t>
      </w:r>
    </w:p>
    <w:p w14:paraId="6041549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5580AF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DA87559"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8.</w:t>
      </w:r>
      <w:r>
        <w:rPr>
          <w:rFonts w:ascii="Times New Roman" w:eastAsia="Times New Roman" w:hAnsi="Times New Roman" w:cs="Times New Roman"/>
          <w:b/>
          <w:snapToGrid w:val="0"/>
        </w:rPr>
        <w:tab/>
        <w:t>TINKAMUMO LAIKAS</w:t>
      </w:r>
    </w:p>
    <w:p w14:paraId="22AAC13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BC2DAF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EXP (mm/MMMM)</w:t>
      </w:r>
    </w:p>
    <w:p w14:paraId="4D57A90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6FC1CD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0EBB097"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9.</w:t>
      </w:r>
      <w:r>
        <w:rPr>
          <w:rFonts w:ascii="Times New Roman" w:eastAsia="Times New Roman" w:hAnsi="Times New Roman" w:cs="Times New Roman"/>
          <w:b/>
          <w:snapToGrid w:val="0"/>
        </w:rPr>
        <w:tab/>
        <w:t>SPECIALIOS LAIKYMO SĄLYGOS</w:t>
      </w:r>
    </w:p>
    <w:p w14:paraId="6CE238B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DA6B699" w14:textId="79525811"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color w:val="0D0D0D"/>
        </w:rPr>
        <w:t>Laikyti ne aukštesnėje kaip 30 </w:t>
      </w:r>
      <w:r>
        <w:rPr>
          <w:rFonts w:ascii="Times New Roman" w:eastAsia="Times New Roman" w:hAnsi="Times New Roman" w:cs="Times New Roman"/>
          <w:snapToGrid w:val="0"/>
        </w:rPr>
        <w:t>°C temperatūroje.</w:t>
      </w:r>
    </w:p>
    <w:p w14:paraId="3FB7E32C" w14:textId="77777777" w:rsidR="00D60365" w:rsidRDefault="00C12095">
      <w:pPr>
        <w:widowControl w:val="0"/>
        <w:spacing w:after="0" w:line="240" w:lineRule="auto"/>
        <w:rPr>
          <w:rFonts w:ascii="Times New Roman" w:eastAsia="Times New Roman" w:hAnsi="Times New Roman" w:cs="Times New Roman"/>
          <w:snapToGrid w:val="0"/>
          <w:color w:val="0D0D0D"/>
        </w:rPr>
      </w:pPr>
      <w:r>
        <w:rPr>
          <w:rFonts w:ascii="Times New Roman" w:eastAsia="Times New Roman" w:hAnsi="Times New Roman" w:cs="Times New Roman"/>
          <w:snapToGrid w:val="0"/>
        </w:rPr>
        <w:t>Laikyti gamintojo pakuotėje, kad vaistas būtų apsaugotas nuo drėgmės.</w:t>
      </w:r>
    </w:p>
    <w:p w14:paraId="0C92F5C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CEC01F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513B0A1"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10.</w:t>
      </w:r>
      <w:r>
        <w:rPr>
          <w:rFonts w:ascii="Times New Roman" w:eastAsia="Times New Roman" w:hAnsi="Times New Roman" w:cs="Times New Roman"/>
          <w:b/>
          <w:snapToGrid w:val="0"/>
        </w:rPr>
        <w:tab/>
        <w:t>SPECIALIOS ATSARGUMO PRIEMONĖS DĖL NESUVARTOTO VAISTINIO PREPARATO AR JO ATLIEKŲ TVARKYMO (JEI REIKIA)</w:t>
      </w:r>
    </w:p>
    <w:p w14:paraId="5F6BD2F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688928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06A7EF2"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11.</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rEGISTRUOtojo PAVADINIMAS IR ADRESAS</w:t>
      </w:r>
    </w:p>
    <w:p w14:paraId="1094AFF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32FEE27"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KRKA, d. d., Novo mesto</w:t>
      </w:r>
    </w:p>
    <w:p w14:paraId="50D01576" w14:textId="77777777" w:rsidR="00D60365" w:rsidRDefault="00C12095">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59D43668"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3D38108B"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2ADF796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A40C37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196EF9E"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12.</w:t>
      </w:r>
      <w:r>
        <w:rPr>
          <w:rFonts w:ascii="Times New Roman" w:eastAsia="Times New Roman" w:hAnsi="Times New Roman" w:cs="Times New Roman"/>
          <w:b/>
          <w:snapToGrid w:val="0"/>
        </w:rPr>
        <w:tab/>
        <w:t>REGISTRACIJOS PAŽYMĖJIMO NUMERIS (-IAI)</w:t>
      </w:r>
    </w:p>
    <w:p w14:paraId="167335E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CE7868E"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30 mg</w:t>
      </w:r>
    </w:p>
    <w:p w14:paraId="3921DE4D"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rPr>
        <w:t xml:space="preserve">LT/1/15/3722/001 </w:t>
      </w:r>
      <w:r>
        <w:rPr>
          <w:rFonts w:ascii="Times New Roman" w:eastAsia="Times New Roman" w:hAnsi="Times New Roman" w:cs="Times New Roman"/>
          <w:snapToGrid w:val="0"/>
          <w:shd w:val="clear" w:color="auto" w:fill="D9D9D9" w:themeFill="background1" w:themeFillShade="D9"/>
        </w:rPr>
        <w:t>– N7</w:t>
      </w:r>
    </w:p>
    <w:p w14:paraId="6359F08F"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LT/1/15/3722/002 – N10</w:t>
      </w:r>
    </w:p>
    <w:p w14:paraId="0C6E8DD2"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LT/1/15/3722/003 – N14</w:t>
      </w:r>
    </w:p>
    <w:p w14:paraId="08436C09"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LT/1/15/3722/004 – N28</w:t>
      </w:r>
    </w:p>
    <w:p w14:paraId="1D945855"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LT/1/15/3722/005 – N30</w:t>
      </w:r>
    </w:p>
    <w:p w14:paraId="5F0D7E28"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LT/1/15/3722/006 – N56</w:t>
      </w:r>
    </w:p>
    <w:p w14:paraId="23ADB719"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LT/1/15/3722/007 – N60</w:t>
      </w:r>
    </w:p>
    <w:p w14:paraId="5A560981"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LT/1/15/3722/008 – N90</w:t>
      </w:r>
    </w:p>
    <w:p w14:paraId="31B78862"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LT/1/15/3722/009 – N100</w:t>
      </w:r>
    </w:p>
    <w:p w14:paraId="68F7EE5E"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60 mg</w:t>
      </w:r>
    </w:p>
    <w:p w14:paraId="0A807307"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LT/1/15/3722/010 – N7</w:t>
      </w:r>
    </w:p>
    <w:p w14:paraId="7CC99613"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LT/1/15/3722/011 – N10</w:t>
      </w:r>
    </w:p>
    <w:p w14:paraId="5C8F627E"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LT/1/15/3722/012 – N14</w:t>
      </w:r>
    </w:p>
    <w:p w14:paraId="03C264E7"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LT/1/15/3722/013 – N28</w:t>
      </w:r>
    </w:p>
    <w:p w14:paraId="53A59F53"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LT/1/15/3722/014 – N30</w:t>
      </w:r>
    </w:p>
    <w:p w14:paraId="13DE0FD7"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LT/1/15/3722/015 – N56</w:t>
      </w:r>
    </w:p>
    <w:p w14:paraId="49127908"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LT/1/15/3722/016 – N60</w:t>
      </w:r>
    </w:p>
    <w:p w14:paraId="64B9FE26"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LT/1/15/3722/017 – N90</w:t>
      </w:r>
    </w:p>
    <w:p w14:paraId="4E57D444" w14:textId="77777777" w:rsidR="00D60365" w:rsidRDefault="00C12095">
      <w:pPr>
        <w:spacing w:after="0" w:line="240" w:lineRule="auto"/>
        <w:rPr>
          <w:rFonts w:ascii="Times New Roman" w:eastAsia="Times New Roman" w:hAnsi="Times New Roman" w:cs="Times New Roman"/>
          <w:snapToGrid w:val="0"/>
          <w:shd w:val="clear" w:color="auto" w:fill="D9D9D9" w:themeFill="background1" w:themeFillShade="D9"/>
        </w:rPr>
      </w:pPr>
      <w:r>
        <w:rPr>
          <w:rFonts w:ascii="Times New Roman" w:eastAsia="Times New Roman" w:hAnsi="Times New Roman" w:cs="Times New Roman"/>
          <w:snapToGrid w:val="0"/>
          <w:shd w:val="clear" w:color="auto" w:fill="D9D9D9" w:themeFill="background1" w:themeFillShade="D9"/>
        </w:rPr>
        <w:t>LT/1/15/3722/018 – N100</w:t>
      </w:r>
    </w:p>
    <w:p w14:paraId="1A77141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54A729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41B32EB"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13.</w:t>
      </w:r>
      <w:r>
        <w:rPr>
          <w:rFonts w:ascii="Times New Roman" w:eastAsia="Times New Roman" w:hAnsi="Times New Roman" w:cs="Times New Roman"/>
          <w:b/>
          <w:snapToGrid w:val="0"/>
        </w:rPr>
        <w:tab/>
        <w:t>SERIJOS NUMERIS</w:t>
      </w:r>
    </w:p>
    <w:p w14:paraId="527D4B52"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BBF5CA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6751968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007C308"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4D1E087"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14.</w:t>
      </w:r>
      <w:r>
        <w:rPr>
          <w:rFonts w:ascii="Times New Roman" w:eastAsia="Times New Roman" w:hAnsi="Times New Roman" w:cs="Times New Roman"/>
          <w:b/>
          <w:snapToGrid w:val="0"/>
        </w:rPr>
        <w:tab/>
        <w:t>PARDAVIMO (IŠDAVIMO) TVARKA</w:t>
      </w:r>
    </w:p>
    <w:p w14:paraId="029F4DA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471978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Receptinis vaistas</w:t>
      </w:r>
    </w:p>
    <w:p w14:paraId="04CF6D9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4AD00C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C034C27" w14:textId="77777777" w:rsidR="00D60365" w:rsidRDefault="00C12095">
      <w:pPr>
        <w:widowControl w:val="0"/>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15.</w:t>
      </w:r>
      <w:r>
        <w:rPr>
          <w:rFonts w:ascii="Times New Roman" w:eastAsia="Times New Roman" w:hAnsi="Times New Roman" w:cs="Times New Roman"/>
          <w:b/>
          <w:snapToGrid w:val="0"/>
        </w:rPr>
        <w:tab/>
        <w:t>VARTOJIMO INSTRUKCIJA</w:t>
      </w:r>
    </w:p>
    <w:p w14:paraId="458D2BB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3D1EFA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7E2D485" w14:textId="77777777" w:rsidR="00D60365" w:rsidRDefault="00C12095">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Pr>
          <w:rFonts w:ascii="Times New Roman" w:eastAsia="Times New Roman" w:hAnsi="Times New Roman" w:cs="Times New Roman"/>
          <w:b/>
          <w:snapToGrid w:val="0"/>
        </w:rPr>
        <w:t>16.</w:t>
      </w:r>
      <w:r>
        <w:rPr>
          <w:rFonts w:ascii="Times New Roman" w:eastAsia="Times New Roman" w:hAnsi="Times New Roman" w:cs="Times New Roman"/>
          <w:b/>
          <w:snapToGrid w:val="0"/>
        </w:rPr>
        <w:tab/>
        <w:t>INFORMACIJA BRAILIO RAŠTU</w:t>
      </w:r>
    </w:p>
    <w:p w14:paraId="13FFD4C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8927D5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30 mg</w:t>
      </w:r>
    </w:p>
    <w:p w14:paraId="06DEF1B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highlight w:val="lightGray"/>
        </w:rPr>
        <w:t>Dulsevia</w:t>
      </w:r>
      <w:proofErr w:type="spellEnd"/>
      <w:r>
        <w:rPr>
          <w:rFonts w:ascii="Times New Roman" w:eastAsia="Times New Roman" w:hAnsi="Times New Roman" w:cs="Times New Roman"/>
          <w:snapToGrid w:val="0"/>
          <w:highlight w:val="lightGray"/>
        </w:rPr>
        <w:t xml:space="preserve"> 60 mg</w:t>
      </w:r>
    </w:p>
    <w:p w14:paraId="31EB7FB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28ED2CA" w14:textId="77777777" w:rsidR="00D60365" w:rsidRDefault="00D60365">
      <w:pPr>
        <w:widowControl w:val="0"/>
        <w:spacing w:after="0" w:line="240" w:lineRule="auto"/>
        <w:rPr>
          <w:rFonts w:ascii="Times New Roman" w:eastAsia="Times New Roman" w:hAnsi="Times New Roman" w:cs="Times New Roman"/>
          <w:lang w:val="sl-SI" w:eastAsia="sl-SI"/>
        </w:rPr>
      </w:pPr>
    </w:p>
    <w:p w14:paraId="2C396447" w14:textId="77777777" w:rsidR="00D60365" w:rsidRDefault="00C12095">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szCs w:val="20"/>
        </w:rPr>
      </w:pPr>
      <w:r>
        <w:rPr>
          <w:rFonts w:ascii="Times New Roman" w:eastAsia="Times New Roman" w:hAnsi="Times New Roman" w:cs="Times New Roman"/>
          <w:b/>
          <w:noProof/>
          <w:szCs w:val="20"/>
        </w:rPr>
        <w:t>17.</w:t>
      </w:r>
      <w:r>
        <w:rPr>
          <w:rFonts w:ascii="Times New Roman" w:eastAsia="Times New Roman" w:hAnsi="Times New Roman" w:cs="Times New Roman"/>
          <w:b/>
          <w:noProof/>
          <w:szCs w:val="20"/>
        </w:rPr>
        <w:tab/>
        <w:t>UNIKALUS IDENTIFIKATORIUS – 2D BRŪKŠNINIS KODAS</w:t>
      </w:r>
    </w:p>
    <w:p w14:paraId="30C8C9EA" w14:textId="77777777" w:rsidR="00D60365" w:rsidRDefault="00D60365">
      <w:pPr>
        <w:widowControl w:val="0"/>
        <w:spacing w:after="0" w:line="240" w:lineRule="auto"/>
        <w:ind w:left="539" w:hanging="539"/>
        <w:rPr>
          <w:rFonts w:ascii="Times New Roman" w:eastAsia="Calibri" w:hAnsi="Times New Roman" w:cs="Times New Roman"/>
        </w:rPr>
      </w:pPr>
    </w:p>
    <w:p w14:paraId="21F6F2D9" w14:textId="77777777" w:rsidR="00D60365" w:rsidRDefault="00C12095">
      <w:pPr>
        <w:widowControl w:val="0"/>
        <w:spacing w:after="0" w:line="240" w:lineRule="auto"/>
        <w:ind w:left="539" w:hanging="539"/>
        <w:rPr>
          <w:rFonts w:ascii="Times New Roman" w:eastAsia="Calibri" w:hAnsi="Times New Roman" w:cs="Times New Roman"/>
          <w:highlight w:val="lightGray"/>
        </w:rPr>
      </w:pPr>
      <w:r>
        <w:rPr>
          <w:rFonts w:ascii="Times New Roman" w:eastAsia="Calibri" w:hAnsi="Times New Roman" w:cs="Times New Roman"/>
          <w:highlight w:val="lightGray"/>
        </w:rPr>
        <w:t>2D brūkšninis kodas su nurodytu unikaliu identifikatoriumi.</w:t>
      </w:r>
    </w:p>
    <w:p w14:paraId="19CF2455" w14:textId="77777777" w:rsidR="00D60365" w:rsidRDefault="00D60365">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3AB19EE1" w14:textId="77777777" w:rsidR="00D60365" w:rsidRDefault="00D60365">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4B28FAF3" w14:textId="77777777" w:rsidR="00D60365" w:rsidRDefault="00C12095">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szCs w:val="20"/>
          <w:lang w:val="en-GB"/>
        </w:rPr>
      </w:pPr>
      <w:r>
        <w:rPr>
          <w:rFonts w:ascii="Times New Roman" w:eastAsia="Times New Roman" w:hAnsi="Times New Roman" w:cs="Times New Roman"/>
          <w:b/>
          <w:noProof/>
          <w:szCs w:val="20"/>
          <w:lang w:val="en-GB"/>
        </w:rPr>
        <w:t>18.</w:t>
      </w:r>
      <w:r>
        <w:rPr>
          <w:rFonts w:ascii="Times New Roman" w:eastAsia="Times New Roman" w:hAnsi="Times New Roman" w:cs="Times New Roman"/>
          <w:b/>
          <w:noProof/>
          <w:szCs w:val="20"/>
          <w:lang w:val="en-GB"/>
        </w:rPr>
        <w:tab/>
        <w:t xml:space="preserve">UNIKALUS IDENTIFIKATORIUS – </w:t>
      </w:r>
      <w:r>
        <w:rPr>
          <w:rFonts w:ascii="Times New Roman" w:eastAsia="Times New Roman" w:hAnsi="Times New Roman" w:cs="Times New Roman"/>
          <w:b/>
          <w:noProof/>
          <w:szCs w:val="20"/>
          <w:lang w:val="en-US"/>
        </w:rPr>
        <w:t>ŽMONĖMS SUPRANTAMI DUOMENYS</w:t>
      </w:r>
    </w:p>
    <w:p w14:paraId="7E30149D" w14:textId="77777777" w:rsidR="00D60365" w:rsidRDefault="00D60365">
      <w:pPr>
        <w:widowControl w:val="0"/>
        <w:spacing w:after="0" w:line="240" w:lineRule="auto"/>
        <w:ind w:left="539" w:hanging="539"/>
        <w:rPr>
          <w:rFonts w:ascii="Times New Roman" w:eastAsia="Calibri" w:hAnsi="Times New Roman" w:cs="Times New Roman"/>
        </w:rPr>
      </w:pPr>
    </w:p>
    <w:p w14:paraId="1593D129" w14:textId="77777777" w:rsidR="00D60365" w:rsidRDefault="00C12095">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PC</w:t>
      </w:r>
    </w:p>
    <w:p w14:paraId="62CBCAC3" w14:textId="77777777" w:rsidR="00D60365" w:rsidRDefault="00C12095">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SN</w:t>
      </w:r>
    </w:p>
    <w:p w14:paraId="3F2E95DF" w14:textId="77777777" w:rsidR="00D60365" w:rsidRDefault="00C12095">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highlight w:val="lightGray"/>
        </w:rPr>
        <w:t>NN</w:t>
      </w:r>
    </w:p>
    <w:p w14:paraId="79386F9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51DDD0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65B63CD2"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lastRenderedPageBreak/>
        <w:t>MINIMALI INFORMACIJA ANT LIZDINIŲ PLOKŠTELIŲ ARBA DVISLUOKSNIŲ JUOSTELIŲ</w:t>
      </w:r>
    </w:p>
    <w:p w14:paraId="1B484338" w14:textId="77777777" w:rsidR="00D60365" w:rsidRDefault="00D6036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3E4789A5"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r>
        <w:rPr>
          <w:rFonts w:ascii="Times New Roman" w:eastAsia="Times New Roman" w:hAnsi="Times New Roman" w:cs="Times New Roman"/>
          <w:b/>
          <w:snapToGrid w:val="0"/>
        </w:rPr>
        <w:t>LIZDINĖ PLOKŠTELĖ</w:t>
      </w:r>
    </w:p>
    <w:p w14:paraId="597851A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7E1AE9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7F49E4B"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VAISTINIO</w:t>
      </w:r>
      <w:r>
        <w:rPr>
          <w:rFonts w:ascii="Times New Roman" w:eastAsia="Times New Roman" w:hAnsi="Times New Roman" w:cs="Times New Roman"/>
          <w:b/>
          <w:snapToGrid w:val="0"/>
        </w:rPr>
        <w:t xml:space="preserve"> PREPARATO PAVADINIMAS</w:t>
      </w:r>
    </w:p>
    <w:p w14:paraId="6E69746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EA315AA"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30 mg skrandyje neirios kietosios kapsulės</w:t>
      </w:r>
    </w:p>
    <w:p w14:paraId="318305F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highlight w:val="lightGray"/>
        </w:rPr>
        <w:t>Dulsevia</w:t>
      </w:r>
      <w:proofErr w:type="spellEnd"/>
      <w:r>
        <w:rPr>
          <w:rFonts w:ascii="Times New Roman" w:eastAsia="Times New Roman" w:hAnsi="Times New Roman" w:cs="Times New Roman"/>
          <w:snapToGrid w:val="0"/>
          <w:highlight w:val="lightGray"/>
        </w:rPr>
        <w:t xml:space="preserve"> 60 mg skrandyje neirios kietosios kapsulės</w:t>
      </w:r>
    </w:p>
    <w:p w14:paraId="0A89454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F3284A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duloksetinas</w:t>
      </w:r>
      <w:proofErr w:type="spellEnd"/>
    </w:p>
    <w:p w14:paraId="601739A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60ABC3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4E364F2"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2.</w:t>
      </w:r>
      <w:r>
        <w:rPr>
          <w:rFonts w:ascii="Times New Roman" w:eastAsia="Times New Roman" w:hAnsi="Times New Roman" w:cs="Times New Roman"/>
          <w:b/>
          <w:snapToGrid w:val="0"/>
        </w:rPr>
        <w:tab/>
      </w:r>
      <w:r>
        <w:rPr>
          <w:rFonts w:ascii="Times New Roman" w:eastAsia="Times New Roman" w:hAnsi="Times New Roman" w:cs="Times New Roman"/>
          <w:b/>
          <w:caps/>
          <w:snapToGrid w:val="0"/>
        </w:rPr>
        <w:t>rEGISTRUOtojo pavadinimas</w:t>
      </w:r>
    </w:p>
    <w:p w14:paraId="72A45F2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6E3EADC"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KRKA</w:t>
      </w:r>
    </w:p>
    <w:p w14:paraId="10B5C5A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86D49D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3B6048A" w14:textId="77777777" w:rsidR="00D60365" w:rsidRDefault="00C12095">
      <w:pPr>
        <w:widowControl w:val="0"/>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3.</w:t>
      </w:r>
      <w:r>
        <w:rPr>
          <w:rFonts w:ascii="Times New Roman" w:eastAsia="Times New Roman" w:hAnsi="Times New Roman" w:cs="Times New Roman"/>
          <w:b/>
          <w:snapToGrid w:val="0"/>
        </w:rPr>
        <w:tab/>
        <w:t>TINKAMUMO LAIKAS</w:t>
      </w:r>
    </w:p>
    <w:p w14:paraId="78D8D049"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0BB7C87"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EXP (mm/MMMM)</w:t>
      </w:r>
    </w:p>
    <w:p w14:paraId="23A5123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EB7E92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07725C0"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4.</w:t>
      </w:r>
      <w:r>
        <w:rPr>
          <w:rFonts w:ascii="Times New Roman" w:eastAsia="Times New Roman" w:hAnsi="Times New Roman" w:cs="Times New Roman"/>
          <w:b/>
          <w:snapToGrid w:val="0"/>
        </w:rPr>
        <w:tab/>
        <w:t>SERIJOS NUMERIS</w:t>
      </w:r>
    </w:p>
    <w:p w14:paraId="35F0084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47A30E2"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6EB2249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331C00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6A13917" w14:textId="77777777" w:rsidR="00D60365" w:rsidRDefault="00C12095">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5.</w:t>
      </w:r>
      <w:r>
        <w:rPr>
          <w:rFonts w:ascii="Times New Roman" w:eastAsia="Times New Roman" w:hAnsi="Times New Roman" w:cs="Times New Roman"/>
          <w:b/>
          <w:snapToGrid w:val="0"/>
        </w:rPr>
        <w:tab/>
        <w:t>KITA</w:t>
      </w:r>
    </w:p>
    <w:p w14:paraId="5218120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0796FBE" w14:textId="77777777" w:rsidR="00D60365" w:rsidRDefault="00D60365">
      <w:pPr>
        <w:widowControl w:val="0"/>
        <w:tabs>
          <w:tab w:val="left" w:pos="567"/>
        </w:tabs>
        <w:spacing w:after="0" w:line="240" w:lineRule="auto"/>
        <w:outlineLvl w:val="0"/>
        <w:rPr>
          <w:rFonts w:ascii="Times New Roman" w:eastAsia="Times New Roman" w:hAnsi="Times New Roman" w:cs="Times New Roman"/>
          <w:snapToGrid w:val="0"/>
        </w:rPr>
      </w:pPr>
    </w:p>
    <w:p w14:paraId="4DC07888" w14:textId="77777777" w:rsidR="00D60365" w:rsidRDefault="00C12095">
      <w:pPr>
        <w:widowControl w:val="0"/>
        <w:tabs>
          <w:tab w:val="left" w:pos="567"/>
        </w:tabs>
        <w:spacing w:after="0" w:line="240" w:lineRule="auto"/>
        <w:jc w:val="center"/>
        <w:outlineLvl w:val="0"/>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6BDCCF33"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1105BC02"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240A6288"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3D72D206"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78F0091E"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2B9AB50B"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69202542"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11425302"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38773B22"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51246529"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7C49BF9D"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3448F58D"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6E010473"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3814B500"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0D709958"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33B77E5D"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217794DF"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0396F5BF"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515E65D8"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2D75F7EC"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21B4D428"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313BB795"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snapToGrid w:val="0"/>
        </w:rPr>
      </w:pPr>
    </w:p>
    <w:p w14:paraId="5AFE99AE" w14:textId="77777777" w:rsidR="00D60365" w:rsidRDefault="00D60365">
      <w:pPr>
        <w:widowControl w:val="0"/>
        <w:tabs>
          <w:tab w:val="left" w:pos="567"/>
        </w:tabs>
        <w:spacing w:after="0" w:line="240" w:lineRule="auto"/>
        <w:jc w:val="center"/>
        <w:outlineLvl w:val="0"/>
        <w:rPr>
          <w:rFonts w:ascii="Times New Roman" w:eastAsia="Times New Roman" w:hAnsi="Times New Roman" w:cs="Times New Roman"/>
          <w:b/>
          <w:snapToGrid w:val="0"/>
        </w:rPr>
      </w:pPr>
    </w:p>
    <w:p w14:paraId="745A9E25" w14:textId="77777777" w:rsidR="00D60365" w:rsidRDefault="00C12095">
      <w:pPr>
        <w:widowControl w:val="0"/>
        <w:tabs>
          <w:tab w:val="left" w:pos="567"/>
        </w:tabs>
        <w:spacing w:after="0" w:line="240" w:lineRule="auto"/>
        <w:jc w:val="center"/>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B. PAKUOTĖS LAPELIS</w:t>
      </w:r>
    </w:p>
    <w:p w14:paraId="5371EDE5" w14:textId="77777777" w:rsidR="00D60365" w:rsidRDefault="00C12095">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br w:type="page"/>
      </w:r>
      <w:r>
        <w:rPr>
          <w:rFonts w:ascii="Times New Roman" w:eastAsia="Times New Roman" w:hAnsi="Times New Roman" w:cs="Times New Roman"/>
          <w:b/>
          <w:bCs/>
          <w:iCs/>
          <w:snapToGrid w:val="0"/>
          <w:lang w:eastAsia="x-none"/>
        </w:rPr>
        <w:lastRenderedPageBreak/>
        <w:t>Pakuotės lapelis:</w:t>
      </w:r>
      <w:r>
        <w:rPr>
          <w:rFonts w:ascii="Times New Roman" w:eastAsia="Times New Roman" w:hAnsi="Times New Roman" w:cs="Times New Roman"/>
          <w:b/>
          <w:snapToGrid w:val="0"/>
          <w:lang w:eastAsia="x-none"/>
        </w:rPr>
        <w:t xml:space="preserve"> </w:t>
      </w:r>
      <w:r>
        <w:rPr>
          <w:rFonts w:ascii="Times New Roman" w:eastAsia="Times New Roman" w:hAnsi="Times New Roman" w:cs="Times New Roman"/>
          <w:b/>
          <w:bCs/>
          <w:iCs/>
          <w:snapToGrid w:val="0"/>
          <w:lang w:eastAsia="x-none"/>
        </w:rPr>
        <w:t>informacija pacientui</w:t>
      </w:r>
    </w:p>
    <w:p w14:paraId="54C05F27" w14:textId="77777777" w:rsidR="00D60365" w:rsidRDefault="00D60365">
      <w:pPr>
        <w:widowControl w:val="0"/>
        <w:numPr>
          <w:ilvl w:val="12"/>
          <w:numId w:val="0"/>
        </w:numPr>
        <w:shd w:val="clear" w:color="auto" w:fill="FFFFFF"/>
        <w:spacing w:after="0" w:line="240" w:lineRule="auto"/>
        <w:jc w:val="center"/>
        <w:rPr>
          <w:rFonts w:ascii="Times New Roman" w:eastAsia="Times New Roman" w:hAnsi="Times New Roman" w:cs="Times New Roman"/>
          <w:snapToGrid w:val="0"/>
        </w:rPr>
      </w:pPr>
    </w:p>
    <w:p w14:paraId="730F49C2" w14:textId="77777777" w:rsidR="00D60365" w:rsidRDefault="00C12095">
      <w:pPr>
        <w:widowControl w:val="0"/>
        <w:tabs>
          <w:tab w:val="left" w:pos="567"/>
        </w:tabs>
        <w:spacing w:after="0" w:line="240" w:lineRule="auto"/>
        <w:jc w:val="center"/>
        <w:rPr>
          <w:rFonts w:ascii="Times New Roman" w:eastAsia="Times New Roman" w:hAnsi="Times New Roman" w:cs="Times New Roman"/>
          <w:b/>
          <w:snapToGrid w:val="0"/>
        </w:rPr>
      </w:pPr>
      <w:proofErr w:type="spellStart"/>
      <w:r>
        <w:rPr>
          <w:rFonts w:ascii="Times New Roman" w:eastAsia="Times New Roman" w:hAnsi="Times New Roman" w:cs="Times New Roman"/>
          <w:b/>
          <w:snapToGrid w:val="0"/>
        </w:rPr>
        <w:t>Dulsevia</w:t>
      </w:r>
      <w:proofErr w:type="spellEnd"/>
      <w:r>
        <w:rPr>
          <w:rFonts w:ascii="Times New Roman" w:eastAsia="Times New Roman" w:hAnsi="Times New Roman" w:cs="Times New Roman"/>
          <w:b/>
          <w:snapToGrid w:val="0"/>
        </w:rPr>
        <w:t xml:space="preserve"> 30 mg skrandyje neirios kietosios kapsulės</w:t>
      </w:r>
    </w:p>
    <w:p w14:paraId="2C8D9B94" w14:textId="77777777" w:rsidR="00D60365" w:rsidRDefault="00C12095">
      <w:pPr>
        <w:widowControl w:val="0"/>
        <w:tabs>
          <w:tab w:val="left" w:pos="567"/>
        </w:tabs>
        <w:spacing w:after="0" w:line="240" w:lineRule="auto"/>
        <w:jc w:val="center"/>
        <w:rPr>
          <w:rFonts w:ascii="Times New Roman" w:eastAsia="Times New Roman" w:hAnsi="Times New Roman" w:cs="Times New Roman"/>
          <w:b/>
          <w:snapToGrid w:val="0"/>
        </w:rPr>
      </w:pPr>
      <w:proofErr w:type="spellStart"/>
      <w:r>
        <w:rPr>
          <w:rFonts w:ascii="Times New Roman" w:eastAsia="Times New Roman" w:hAnsi="Times New Roman" w:cs="Times New Roman"/>
          <w:b/>
          <w:snapToGrid w:val="0"/>
        </w:rPr>
        <w:t>Dulsevia</w:t>
      </w:r>
      <w:proofErr w:type="spellEnd"/>
      <w:r>
        <w:rPr>
          <w:rFonts w:ascii="Times New Roman" w:eastAsia="Times New Roman" w:hAnsi="Times New Roman" w:cs="Times New Roman"/>
          <w:b/>
          <w:snapToGrid w:val="0"/>
        </w:rPr>
        <w:t xml:space="preserve"> 60 mg skrandyje neirios kietosios kapsulės</w:t>
      </w:r>
    </w:p>
    <w:p w14:paraId="4F96393B" w14:textId="77777777" w:rsidR="00D60365" w:rsidRDefault="00C12095">
      <w:pPr>
        <w:widowControl w:val="0"/>
        <w:numPr>
          <w:ilvl w:val="12"/>
          <w:numId w:val="0"/>
        </w:numPr>
        <w:spacing w:after="0" w:line="240" w:lineRule="auto"/>
        <w:jc w:val="center"/>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duloksetinas</w:t>
      </w:r>
      <w:proofErr w:type="spellEnd"/>
    </w:p>
    <w:p w14:paraId="511E7CA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9A1D670"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snapToGrid w:val="0"/>
        </w:rPr>
        <w:t>Atidžiai perskaitykite visą šį lapelį, prieš pradėdami vartoti vaistą, nes jame pateikiama Jums svarbi informacija.</w:t>
      </w:r>
    </w:p>
    <w:p w14:paraId="70AC3524" w14:textId="77777777" w:rsidR="00D60365" w:rsidRDefault="00C12095">
      <w:pPr>
        <w:widowControl w:val="0"/>
        <w:numPr>
          <w:ilvl w:val="0"/>
          <w:numId w:val="1"/>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Neišmeskite šio lapelio, nes vėl gali prireikti jį perskaityti.</w:t>
      </w:r>
    </w:p>
    <w:p w14:paraId="197F9799" w14:textId="77777777" w:rsidR="00D60365" w:rsidRDefault="00C12095">
      <w:pPr>
        <w:widowControl w:val="0"/>
        <w:numPr>
          <w:ilvl w:val="0"/>
          <w:numId w:val="1"/>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Jeigu kiltų daugiau klausimų, kreipkitės į gydytoją arba vaistininką.</w:t>
      </w:r>
    </w:p>
    <w:p w14:paraId="4EE78340" w14:textId="77777777" w:rsidR="00D60365" w:rsidRDefault="00C12095">
      <w:pPr>
        <w:widowControl w:val="0"/>
        <w:numPr>
          <w:ilvl w:val="0"/>
          <w:numId w:val="1"/>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Šis vaistas skirtas tik Jums, todėl kitiems žmonėms jo duoti negalima. Vaistas gali jiems pakenkti (net tiems, kurių ligos požymiai yra tokie patys kaip Jūsų).</w:t>
      </w:r>
    </w:p>
    <w:p w14:paraId="22A310B5" w14:textId="77777777" w:rsidR="00D60365" w:rsidRDefault="00C12095">
      <w:pPr>
        <w:widowControl w:val="0"/>
        <w:numPr>
          <w:ilvl w:val="0"/>
          <w:numId w:val="1"/>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Jeigu pasireiškė šalutinis poveikis (net jeigu jis šiame lapelyje nenurodytas), kreipkitės į gydytoją, arba vaistininką. Žr. 4 skyrių.</w:t>
      </w:r>
    </w:p>
    <w:p w14:paraId="64C4BD27" w14:textId="77777777" w:rsidR="00D60365" w:rsidRDefault="00D60365">
      <w:pPr>
        <w:widowControl w:val="0"/>
        <w:spacing w:after="0" w:line="240" w:lineRule="auto"/>
        <w:ind w:right="-2"/>
        <w:rPr>
          <w:rFonts w:ascii="Times New Roman" w:eastAsia="Times New Roman" w:hAnsi="Times New Roman" w:cs="Times New Roman"/>
          <w:snapToGrid w:val="0"/>
        </w:rPr>
      </w:pPr>
    </w:p>
    <w:p w14:paraId="6A99735B"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Apie ką rašoma šiame lapelyje?</w:t>
      </w:r>
    </w:p>
    <w:p w14:paraId="1BEB635F"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304FE9E9" w14:textId="77777777" w:rsidR="00D60365" w:rsidRDefault="00C12095">
      <w:pPr>
        <w:widowControl w:val="0"/>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1.</w:t>
      </w:r>
      <w:r>
        <w:rPr>
          <w:rFonts w:ascii="Times New Roman" w:eastAsia="Times New Roman" w:hAnsi="Times New Roman" w:cs="Times New Roman"/>
          <w:snapToGrid w:val="0"/>
        </w:rPr>
        <w:tab/>
        <w:t xml:space="preserve">Kas yra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ir kam jis vartojamas</w:t>
      </w:r>
    </w:p>
    <w:p w14:paraId="04CD648B" w14:textId="77777777" w:rsidR="00D60365" w:rsidRDefault="00C12095">
      <w:pPr>
        <w:widowControl w:val="0"/>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2.</w:t>
      </w:r>
      <w:r>
        <w:rPr>
          <w:rFonts w:ascii="Times New Roman" w:eastAsia="Times New Roman" w:hAnsi="Times New Roman" w:cs="Times New Roman"/>
          <w:snapToGrid w:val="0"/>
        </w:rPr>
        <w:tab/>
        <w:t xml:space="preserve">Kas žinotina prieš vartojant </w:t>
      </w:r>
      <w:proofErr w:type="spellStart"/>
      <w:r>
        <w:rPr>
          <w:rFonts w:ascii="Times New Roman" w:eastAsia="Times New Roman" w:hAnsi="Times New Roman" w:cs="Times New Roman"/>
          <w:snapToGrid w:val="0"/>
        </w:rPr>
        <w:t>Dulsevia</w:t>
      </w:r>
      <w:proofErr w:type="spellEnd"/>
    </w:p>
    <w:p w14:paraId="5696D441" w14:textId="77777777" w:rsidR="00D60365" w:rsidRDefault="00C12095">
      <w:pPr>
        <w:widowControl w:val="0"/>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3.</w:t>
      </w:r>
      <w:r>
        <w:rPr>
          <w:rFonts w:ascii="Times New Roman" w:eastAsia="Times New Roman" w:hAnsi="Times New Roman" w:cs="Times New Roman"/>
          <w:snapToGrid w:val="0"/>
        </w:rPr>
        <w:tab/>
        <w:t xml:space="preserve">Kaip vartoti </w:t>
      </w:r>
      <w:proofErr w:type="spellStart"/>
      <w:r>
        <w:rPr>
          <w:rFonts w:ascii="Times New Roman" w:eastAsia="Times New Roman" w:hAnsi="Times New Roman" w:cs="Times New Roman"/>
          <w:snapToGrid w:val="0"/>
        </w:rPr>
        <w:t>Dulsevia</w:t>
      </w:r>
      <w:proofErr w:type="spellEnd"/>
    </w:p>
    <w:p w14:paraId="73599E72" w14:textId="77777777" w:rsidR="00D60365" w:rsidRDefault="00C12095">
      <w:pPr>
        <w:widowControl w:val="0"/>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4.</w:t>
      </w:r>
      <w:r>
        <w:rPr>
          <w:rFonts w:ascii="Times New Roman" w:eastAsia="Times New Roman" w:hAnsi="Times New Roman" w:cs="Times New Roman"/>
          <w:snapToGrid w:val="0"/>
        </w:rPr>
        <w:tab/>
        <w:t>Galimas šalutinis poveikis</w:t>
      </w:r>
    </w:p>
    <w:p w14:paraId="50207DA4" w14:textId="77777777" w:rsidR="00D60365" w:rsidRDefault="00C12095">
      <w:pPr>
        <w:widowControl w:val="0"/>
        <w:tabs>
          <w:tab w:val="left" w:pos="709"/>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5.</w:t>
      </w:r>
      <w:r>
        <w:rPr>
          <w:rFonts w:ascii="Times New Roman" w:eastAsia="Times New Roman" w:hAnsi="Times New Roman" w:cs="Times New Roman"/>
          <w:snapToGrid w:val="0"/>
        </w:rPr>
        <w:tab/>
        <w:t xml:space="preserve">Kaip laikyti </w:t>
      </w:r>
      <w:proofErr w:type="spellStart"/>
      <w:r>
        <w:rPr>
          <w:rFonts w:ascii="Times New Roman" w:eastAsia="Times New Roman" w:hAnsi="Times New Roman" w:cs="Times New Roman"/>
          <w:snapToGrid w:val="0"/>
        </w:rPr>
        <w:t>Dulsevia</w:t>
      </w:r>
      <w:proofErr w:type="spellEnd"/>
    </w:p>
    <w:p w14:paraId="0980CABB" w14:textId="77777777" w:rsidR="00D60365" w:rsidRDefault="00C12095">
      <w:pPr>
        <w:widowControl w:val="0"/>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6.</w:t>
      </w:r>
      <w:r>
        <w:rPr>
          <w:rFonts w:ascii="Times New Roman" w:eastAsia="Times New Roman" w:hAnsi="Times New Roman" w:cs="Times New Roman"/>
          <w:snapToGrid w:val="0"/>
        </w:rPr>
        <w:tab/>
        <w:t>Pakuotės turinys ir kita informacija</w:t>
      </w:r>
    </w:p>
    <w:p w14:paraId="2CEE2CB8"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48365EF1"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68E5240E"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1.</w:t>
      </w:r>
      <w:r>
        <w:rPr>
          <w:rFonts w:ascii="Times New Roman" w:eastAsia="Times New Roman" w:hAnsi="Times New Roman" w:cs="Times New Roman"/>
          <w:b/>
          <w:bCs/>
          <w:snapToGrid w:val="0"/>
          <w:lang w:eastAsia="x-none"/>
        </w:rPr>
        <w:tab/>
        <w:t xml:space="preserve">Kas yra </w:t>
      </w: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ir kam jis vartojamas</w:t>
      </w:r>
    </w:p>
    <w:p w14:paraId="39A52B7E"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108244A9" w14:textId="77777777" w:rsidR="00D60365" w:rsidRDefault="00C12095">
      <w:pPr>
        <w:widowControl w:val="0"/>
        <w:tabs>
          <w:tab w:val="left" w:pos="567"/>
        </w:tabs>
        <w:overflowPunct w:val="0"/>
        <w:autoSpaceDE w:val="0"/>
        <w:autoSpaceDN w:val="0"/>
        <w:adjustRightInd w:val="0"/>
        <w:spacing w:after="0" w:line="240" w:lineRule="auto"/>
        <w:ind w:left="2" w:right="32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sudėtyje yra veikliosios medžiagos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didina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noradrenalino</w:t>
      </w:r>
      <w:proofErr w:type="spellEnd"/>
      <w:r>
        <w:rPr>
          <w:rFonts w:ascii="Times New Roman" w:eastAsia="Times New Roman" w:hAnsi="Times New Roman" w:cs="Times New Roman"/>
          <w:snapToGrid w:val="0"/>
        </w:rPr>
        <w:t xml:space="preserve"> kiekį nervų sistemoje.</w:t>
      </w:r>
    </w:p>
    <w:p w14:paraId="7090D099"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E9F692D" w14:textId="77777777" w:rsidR="00D60365" w:rsidRDefault="00C1209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vartojamas šiems suaugusių žmonių sutrikimams gydyti:</w:t>
      </w:r>
    </w:p>
    <w:p w14:paraId="4492DD42" w14:textId="77777777" w:rsidR="00D60365" w:rsidRDefault="00C12095">
      <w:pPr>
        <w:widowControl w:val="0"/>
        <w:numPr>
          <w:ilvl w:val="0"/>
          <w:numId w:val="2"/>
        </w:numPr>
        <w:tabs>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depresijai;</w:t>
      </w:r>
    </w:p>
    <w:p w14:paraId="513EF4D5" w14:textId="77777777" w:rsidR="00D60365" w:rsidRDefault="00C12095">
      <w:pPr>
        <w:widowControl w:val="0"/>
        <w:numPr>
          <w:ilvl w:val="0"/>
          <w:numId w:val="2"/>
        </w:numPr>
        <w:tabs>
          <w:tab w:val="num" w:pos="567"/>
        </w:tabs>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generalizuoto</w:t>
      </w:r>
      <w:proofErr w:type="spellEnd"/>
      <w:r>
        <w:rPr>
          <w:rFonts w:ascii="Times New Roman" w:eastAsia="Times New Roman" w:hAnsi="Times New Roman" w:cs="Times New Roman"/>
          <w:snapToGrid w:val="0"/>
        </w:rPr>
        <w:t xml:space="preserve"> nerimo sutrikimui (nuolatinis nerimo ar nervingumo pojūtis);</w:t>
      </w:r>
    </w:p>
    <w:p w14:paraId="774370A2" w14:textId="77777777" w:rsidR="00D60365" w:rsidRDefault="00C12095">
      <w:pPr>
        <w:widowControl w:val="0"/>
        <w:numPr>
          <w:ilvl w:val="0"/>
          <w:numId w:val="2"/>
        </w:numPr>
        <w:tabs>
          <w:tab w:val="num" w:pos="567"/>
        </w:tabs>
        <w:overflowPunct w:val="0"/>
        <w:autoSpaceDE w:val="0"/>
        <w:autoSpaceDN w:val="0"/>
        <w:adjustRightInd w:val="0"/>
        <w:spacing w:after="0" w:line="240" w:lineRule="auto"/>
        <w:ind w:left="567" w:right="160" w:hanging="567"/>
        <w:rPr>
          <w:rFonts w:ascii="Times New Roman" w:eastAsia="Times New Roman" w:hAnsi="Times New Roman" w:cs="Times New Roman"/>
          <w:snapToGrid w:val="0"/>
        </w:rPr>
      </w:pPr>
      <w:r>
        <w:rPr>
          <w:rFonts w:ascii="Times New Roman" w:eastAsia="Times New Roman" w:hAnsi="Times New Roman" w:cs="Times New Roman"/>
          <w:snapToGrid w:val="0"/>
        </w:rPr>
        <w:t>skausmui dėl diabetinės neuropatijos gydyti (dažnai apibūdinamas kaip deginimas, dūrimas, dilginimas, diegimas arba gėlimas, arba lyg elektros smūgio jutimas. Pažeistame plote gali sutrikti jutimas, o tokie reiškiniai kaip prisilietimas, karštis, šaltis, ar spaudimas gali sukelti skausmą).</w:t>
      </w:r>
    </w:p>
    <w:p w14:paraId="7144EE36"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C737517" w14:textId="77777777" w:rsidR="00D60365" w:rsidRDefault="00C12095">
      <w:pPr>
        <w:widowControl w:val="0"/>
        <w:tabs>
          <w:tab w:val="left" w:pos="567"/>
        </w:tabs>
        <w:overflowPunct w:val="0"/>
        <w:autoSpaceDE w:val="0"/>
        <w:autoSpaceDN w:val="0"/>
        <w:adjustRightInd w:val="0"/>
        <w:spacing w:after="0" w:line="240" w:lineRule="auto"/>
        <w:ind w:left="2" w:right="260"/>
        <w:rPr>
          <w:rFonts w:ascii="Times New Roman" w:eastAsia="Times New Roman" w:hAnsi="Times New Roman" w:cs="Times New Roman"/>
          <w:snapToGrid w:val="0"/>
        </w:rPr>
      </w:pPr>
      <w:r>
        <w:rPr>
          <w:rFonts w:ascii="Times New Roman" w:eastAsia="Times New Roman" w:hAnsi="Times New Roman" w:cs="Times New Roman"/>
          <w:snapToGrid w:val="0"/>
        </w:rPr>
        <w:t xml:space="preserve">Daugumai žmonių, kuriems pasireiškia depresija ar nerimas,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poveikis pradeda reikštis per dvi savaites nuo gydymo pradžios, bet gali prireikti vartoti vaistą 2-4 savaites, kol pradėsite geriau jaustis. Jeigu praėjus šiam laikotarpiui nepradėjote geriau jaustis, pasakykite savo gydytojui. Jūsų gydytojas gali ir toliau Jus gydyti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kai jaučiatės geriau, kad depresija ar nerimas neatsinaujintų.</w:t>
      </w:r>
    </w:p>
    <w:p w14:paraId="745FEDB6"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F2F50C9" w14:textId="77777777" w:rsidR="00D60365" w:rsidRDefault="00C12095">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Žmonėms, kuriems pasireiškia skausmas dėl diabetinės neuropatijos, gali tekti gydytis keletą savaičių, kol pradės geriau jaustis. Jeigu po 2 mėnesių nepradėjote geriau jaustis, apie tai pasakykite gydytojui.</w:t>
      </w:r>
    </w:p>
    <w:p w14:paraId="753AF79F"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723A8F56"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4B99CAC1" w14:textId="77777777" w:rsidR="00D60365" w:rsidRDefault="00C12095">
      <w:pPr>
        <w:widowControl w:val="0"/>
        <w:spacing w:after="0" w:line="240" w:lineRule="auto"/>
        <w:ind w:left="567" w:hanging="567"/>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2.</w:t>
      </w:r>
      <w:r>
        <w:rPr>
          <w:rFonts w:ascii="Times New Roman" w:eastAsia="Times New Roman" w:hAnsi="Times New Roman" w:cs="Times New Roman"/>
          <w:b/>
          <w:bCs/>
          <w:snapToGrid w:val="0"/>
          <w:lang w:eastAsia="x-none"/>
        </w:rPr>
        <w:tab/>
        <w:t xml:space="preserve">Kas žinotina prieš vartojant </w:t>
      </w:r>
      <w:proofErr w:type="spellStart"/>
      <w:r>
        <w:rPr>
          <w:rFonts w:ascii="Times New Roman" w:eastAsia="Times New Roman" w:hAnsi="Times New Roman" w:cs="Times New Roman"/>
          <w:b/>
          <w:bCs/>
          <w:snapToGrid w:val="0"/>
          <w:lang w:eastAsia="x-none"/>
        </w:rPr>
        <w:t>Dulsevia</w:t>
      </w:r>
      <w:proofErr w:type="spellEnd"/>
    </w:p>
    <w:p w14:paraId="66043955"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4B186F4F"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vartoti negalima, jeigu:</w:t>
      </w:r>
    </w:p>
    <w:p w14:paraId="03730617" w14:textId="77777777" w:rsidR="00D60365" w:rsidRDefault="00C12095">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yra alergija </w:t>
      </w:r>
      <w:proofErr w:type="spellStart"/>
      <w:r>
        <w:rPr>
          <w:rFonts w:ascii="Times New Roman" w:eastAsia="Times New Roman" w:hAnsi="Times New Roman" w:cs="Times New Roman"/>
          <w:snapToGrid w:val="0"/>
        </w:rPr>
        <w:t>duloksetinui</w:t>
      </w:r>
      <w:proofErr w:type="spellEnd"/>
      <w:r>
        <w:rPr>
          <w:rFonts w:ascii="Times New Roman" w:eastAsia="Times New Roman" w:hAnsi="Times New Roman" w:cs="Times New Roman"/>
          <w:snapToGrid w:val="0"/>
        </w:rPr>
        <w:t xml:space="preserve"> arba bet kuriai pagalbinei šio vaisto medžiagai (jos išvardytos 6 skyriuje);</w:t>
      </w:r>
    </w:p>
    <w:p w14:paraId="6EBD5268" w14:textId="77777777" w:rsidR="00D60365" w:rsidRDefault="00C12095">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sergate kepenų liga;</w:t>
      </w:r>
    </w:p>
    <w:p w14:paraId="700F4681" w14:textId="77777777" w:rsidR="00D60365" w:rsidRDefault="00C12095">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sergate sunkia inkstų liga;</w:t>
      </w:r>
    </w:p>
    <w:p w14:paraId="1510C444" w14:textId="77777777" w:rsidR="00D60365" w:rsidRDefault="00C12095">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arba vartojote per paskutiniąsias 14 dienų kitus medikamentus, kurie vadinasi </w:t>
      </w:r>
      <w:proofErr w:type="spellStart"/>
      <w:r>
        <w:rPr>
          <w:rFonts w:ascii="Times New Roman" w:eastAsia="Times New Roman" w:hAnsi="Times New Roman" w:cs="Times New Roman"/>
          <w:snapToGrid w:val="0"/>
        </w:rPr>
        <w:lastRenderedPageBreak/>
        <w:t>monoaminooksidazės</w:t>
      </w:r>
      <w:proofErr w:type="spellEnd"/>
      <w:r>
        <w:rPr>
          <w:rFonts w:ascii="Times New Roman" w:eastAsia="Times New Roman" w:hAnsi="Times New Roman" w:cs="Times New Roman"/>
          <w:snapToGrid w:val="0"/>
        </w:rPr>
        <w:t xml:space="preserve"> inhibitoriai (MAOI) (žr. „Kiti vaistai ir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w:t>
      </w:r>
    </w:p>
    <w:p w14:paraId="3F4632DB" w14:textId="77777777" w:rsidR="00D60365" w:rsidRDefault="00C12095">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w:t>
      </w:r>
      <w:proofErr w:type="spellStart"/>
      <w:r>
        <w:rPr>
          <w:rFonts w:ascii="Times New Roman" w:eastAsia="Times New Roman" w:hAnsi="Times New Roman" w:cs="Times New Roman"/>
          <w:snapToGrid w:val="0"/>
        </w:rPr>
        <w:t>fluvoksamino</w:t>
      </w:r>
      <w:proofErr w:type="spellEnd"/>
      <w:r>
        <w:rPr>
          <w:rFonts w:ascii="Times New Roman" w:eastAsia="Times New Roman" w:hAnsi="Times New Roman" w:cs="Times New Roman"/>
          <w:snapToGrid w:val="0"/>
        </w:rPr>
        <w:t xml:space="preserve">, kuriuo paprastai gydoma depresija, </w:t>
      </w:r>
      <w:proofErr w:type="spellStart"/>
      <w:r>
        <w:rPr>
          <w:rFonts w:ascii="Times New Roman" w:eastAsia="Times New Roman" w:hAnsi="Times New Roman" w:cs="Times New Roman"/>
          <w:snapToGrid w:val="0"/>
        </w:rPr>
        <w:t>ciprofloksacino</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enoksacino</w:t>
      </w:r>
      <w:proofErr w:type="spellEnd"/>
      <w:r>
        <w:rPr>
          <w:rFonts w:ascii="Times New Roman" w:eastAsia="Times New Roman" w:hAnsi="Times New Roman" w:cs="Times New Roman"/>
          <w:snapToGrid w:val="0"/>
        </w:rPr>
        <w:t>, kuriais gydomos kai kurios infekcinės ligos;</w:t>
      </w:r>
    </w:p>
    <w:p w14:paraId="0319C059" w14:textId="77777777" w:rsidR="00D60365" w:rsidRDefault="00C12095">
      <w:pPr>
        <w:widowControl w:val="0"/>
        <w:numPr>
          <w:ilvl w:val="0"/>
          <w:numId w:val="3"/>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kitų vaistų, kuriuose yra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(žr. „Kiti vaistai ir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w:t>
      </w:r>
    </w:p>
    <w:p w14:paraId="0DF4C012"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1792CB1"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Pasitarkite su Jus gydančiu gydytoju, jeigu sergate didelio kraujospūdžio liga. Jūsų gydytojas pasakys, ar turite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w:t>
      </w:r>
    </w:p>
    <w:p w14:paraId="20B4249F"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39EDA295"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Įspėjimai ir atsargumo priemonės</w:t>
      </w:r>
    </w:p>
    <w:p w14:paraId="6C8303A8" w14:textId="77777777" w:rsidR="00D60365" w:rsidRDefault="00C12095">
      <w:pPr>
        <w:widowControl w:val="0"/>
        <w:tabs>
          <w:tab w:val="left" w:pos="567"/>
        </w:tabs>
        <w:autoSpaceDE w:val="0"/>
        <w:autoSpaceDN w:val="0"/>
        <w:adjustRightInd w:val="0"/>
        <w:spacing w:after="0" w:line="240" w:lineRule="auto"/>
        <w:ind w:left="2"/>
        <w:rPr>
          <w:rFonts w:ascii="Times New Roman" w:eastAsia="Times New Roman" w:hAnsi="Times New Roman" w:cs="Times New Roman"/>
          <w:snapToGrid w:val="0"/>
        </w:rPr>
      </w:pPr>
      <w:r>
        <w:rPr>
          <w:rFonts w:ascii="Times New Roman" w:eastAsia="Times New Roman" w:hAnsi="Times New Roman" w:cs="Times New Roman"/>
          <w:snapToGrid w:val="0"/>
        </w:rPr>
        <w:t xml:space="preserve">Toliau pateikiamos priežastys, dėl kurių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Jums netikti. Prieš pradėdami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pasitarkite su savo gydytoju, jei:</w:t>
      </w:r>
    </w:p>
    <w:p w14:paraId="79303E29" w14:textId="77777777" w:rsidR="00D60365" w:rsidRDefault="00C12095">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kitų vaistų depresijai gydyti, </w:t>
      </w:r>
      <w:proofErr w:type="spellStart"/>
      <w:r>
        <w:rPr>
          <w:rFonts w:ascii="Times New Roman" w:eastAsia="Times New Roman" w:hAnsi="Times New Roman" w:cs="Times New Roman"/>
          <w:snapToGrid w:val="0"/>
        </w:rPr>
        <w:t>triptanų</w:t>
      </w:r>
      <w:proofErr w:type="spellEnd"/>
      <w:r>
        <w:rPr>
          <w:rFonts w:ascii="Times New Roman" w:eastAsia="Times New Roman" w:hAnsi="Times New Roman" w:cs="Times New Roman"/>
          <w:snapToGrid w:val="0"/>
        </w:rPr>
        <w:t xml:space="preserve">, vaistų nuo psichozių, </w:t>
      </w:r>
      <w:proofErr w:type="spellStart"/>
      <w:r>
        <w:rPr>
          <w:rFonts w:ascii="Times New Roman" w:eastAsia="Times New Roman" w:hAnsi="Times New Roman" w:cs="Times New Roman"/>
          <w:snapToGrid w:val="0"/>
        </w:rPr>
        <w:t>buprenorfino</w:t>
      </w:r>
      <w:proofErr w:type="spellEnd"/>
      <w:r>
        <w:rPr>
          <w:rFonts w:ascii="Times New Roman" w:eastAsia="Times New Roman" w:hAnsi="Times New Roman" w:cs="Times New Roman"/>
          <w:snapToGrid w:val="0"/>
        </w:rPr>
        <w:t xml:space="preserve">. Šių vaistų vartojimas kartu su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sukelti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sindromą, t. y. gyvybei pavojų kelti galinčią būklę (žr. „Kiti vaistai ir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ir „Galimas šalutinis poveikis“);</w:t>
      </w:r>
    </w:p>
    <w:p w14:paraId="4ACDAE18" w14:textId="77777777" w:rsidR="00D60365" w:rsidRDefault="00C12095">
      <w:pPr>
        <w:widowControl w:val="0"/>
        <w:numPr>
          <w:ilvl w:val="0"/>
          <w:numId w:val="4"/>
        </w:numPr>
        <w:tabs>
          <w:tab w:val="left" w:pos="567"/>
        </w:tabs>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vartojate augalinių preparatų, kuriuose yra paprastųjų jonažolių (</w:t>
      </w:r>
      <w:proofErr w:type="spellStart"/>
      <w:r>
        <w:rPr>
          <w:rFonts w:ascii="Times New Roman" w:eastAsia="Times New Roman" w:hAnsi="Times New Roman" w:cs="Times New Roman"/>
          <w:i/>
          <w:iCs/>
          <w:snapToGrid w:val="0"/>
        </w:rPr>
        <w:t>Hypericum</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perforatum</w:t>
      </w:r>
      <w:proofErr w:type="spellEnd"/>
      <w:r>
        <w:rPr>
          <w:rFonts w:ascii="Times New Roman" w:eastAsia="Times New Roman" w:hAnsi="Times New Roman" w:cs="Times New Roman"/>
          <w:snapToGrid w:val="0"/>
        </w:rPr>
        <w:t>);</w:t>
      </w:r>
    </w:p>
    <w:p w14:paraId="4F9CAAA8" w14:textId="77777777" w:rsidR="00D60365" w:rsidRDefault="00C12095">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sergate inkstų liga;</w:t>
      </w:r>
    </w:p>
    <w:p w14:paraId="484BC400" w14:textId="77777777" w:rsidR="00D60365" w:rsidRDefault="00C12095">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yra buvę traukulių priepuolių;</w:t>
      </w:r>
    </w:p>
    <w:p w14:paraId="1DAB0D18" w14:textId="77777777" w:rsidR="00D60365" w:rsidRDefault="00C12095">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sirgote manija;</w:t>
      </w:r>
    </w:p>
    <w:p w14:paraId="46220412" w14:textId="77777777" w:rsidR="00D60365" w:rsidRDefault="00C12095">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sergate </w:t>
      </w:r>
      <w:proofErr w:type="spellStart"/>
      <w:r>
        <w:rPr>
          <w:rFonts w:ascii="Times New Roman" w:eastAsia="Times New Roman" w:hAnsi="Times New Roman" w:cs="Times New Roman"/>
          <w:snapToGrid w:val="0"/>
        </w:rPr>
        <w:t>bipoliniu</w:t>
      </w:r>
      <w:proofErr w:type="spellEnd"/>
      <w:r>
        <w:rPr>
          <w:rFonts w:ascii="Times New Roman" w:eastAsia="Times New Roman" w:hAnsi="Times New Roman" w:cs="Times New Roman"/>
          <w:snapToGrid w:val="0"/>
        </w:rPr>
        <w:t xml:space="preserve"> sutrikimu;</w:t>
      </w:r>
    </w:p>
    <w:p w14:paraId="220302C7" w14:textId="77777777" w:rsidR="00D60365" w:rsidRDefault="00C12095">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sergate akių liga, pvz., tam tikros rūšies glaukoma (yra padidėjęs akispūdis);</w:t>
      </w:r>
    </w:p>
    <w:p w14:paraId="688E56C5" w14:textId="77777777" w:rsidR="00D60365" w:rsidRDefault="00C12095">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ankščiau yra buvęs kraujavimo sutrikimas (polinkis į kraujosruvas, t. y. mėlynes) ypač tuomet, jeigu esate nėščia (žr. „Nėštumas ir žindymo laikotarpis“);</w:t>
      </w:r>
    </w:p>
    <w:p w14:paraId="37A3B289" w14:textId="77777777" w:rsidR="00D60365" w:rsidRDefault="00C12095">
      <w:pPr>
        <w:widowControl w:val="0"/>
        <w:numPr>
          <w:ilvl w:val="0"/>
          <w:numId w:val="4"/>
        </w:numPr>
        <w:overflowPunct w:val="0"/>
        <w:autoSpaceDE w:val="0"/>
        <w:autoSpaceDN w:val="0"/>
        <w:adjustRightInd w:val="0"/>
        <w:spacing w:after="0" w:line="240" w:lineRule="auto"/>
        <w:ind w:left="567" w:right="360"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yra mažos natrio koncentracijos kraujyje atsiradimo rizika (pvz., vartojant diuretikus, ypač jeigu esate senyvas žmogus);</w:t>
      </w:r>
    </w:p>
    <w:p w14:paraId="1E050BFC" w14:textId="77777777" w:rsidR="00D60365" w:rsidRDefault="00C12095">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vartojate kitokių vaistų, galinčių pažeisti kepenis;</w:t>
      </w:r>
    </w:p>
    <w:p w14:paraId="42A990B2" w14:textId="77777777" w:rsidR="00D60365" w:rsidRDefault="00C12095">
      <w:pPr>
        <w:widowControl w:val="0"/>
        <w:numPr>
          <w:ilvl w:val="0"/>
          <w:numId w:val="4"/>
        </w:numPr>
        <w:overflowPunct w:val="0"/>
        <w:autoSpaceDE w:val="0"/>
        <w:autoSpaceDN w:val="0"/>
        <w:adjustRightInd w:val="0"/>
        <w:spacing w:after="0" w:line="240" w:lineRule="auto"/>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kitokių vaistų, kuriuose yra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(žr. „Kiti vaistai ir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w:t>
      </w:r>
    </w:p>
    <w:p w14:paraId="7E20E7CF"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F69E6A9" w14:textId="77777777" w:rsidR="00D60365" w:rsidRDefault="00C1209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Taip pat turite kreiptis į gydytoją:</w:t>
      </w:r>
    </w:p>
    <w:p w14:paraId="2CC2C1FB"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69872D4" w14:textId="77777777" w:rsidR="00D60365" w:rsidRDefault="00C1209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 atsiranda neramumo, haliucinacijų, koordinacijos praradimo, greito širdies plakimo, padidėjusios kūno temperatūros, greitų kraujospūdžio pokyčių, pernelyg aktyvių refleksų, viduriavimo, komos, pykinimo, vėmimo požymių ir simptomų, nes galbūt sergate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sindromu.</w:t>
      </w:r>
    </w:p>
    <w:p w14:paraId="617A1524" w14:textId="77777777" w:rsidR="00D60365" w:rsidRDefault="00C1209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Sunkiausios formos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gali būti panašus į piktybinį </w:t>
      </w:r>
      <w:proofErr w:type="spellStart"/>
      <w:r>
        <w:rPr>
          <w:rFonts w:ascii="Times New Roman" w:eastAsia="Times New Roman" w:hAnsi="Times New Roman" w:cs="Times New Roman"/>
          <w:snapToGrid w:val="0"/>
        </w:rPr>
        <w:t>neurolepsinį</w:t>
      </w:r>
      <w:proofErr w:type="spellEnd"/>
      <w:r>
        <w:rPr>
          <w:rFonts w:ascii="Times New Roman" w:eastAsia="Times New Roman" w:hAnsi="Times New Roman" w:cs="Times New Roman"/>
          <w:snapToGrid w:val="0"/>
        </w:rPr>
        <w:t xml:space="preserve"> sindromą (PNS). PNS požymiai ir simptomai gali būti karščiavimo, greito širdies plakimo, prakaitavimo, stipraus raumenų sustingimo, sumišimo, raumenyse gaminamų fermentų aktyvumo padidėjimo (nustatoma atlikus kraujo tyrimą) derinys.</w:t>
      </w:r>
    </w:p>
    <w:p w14:paraId="2389F606"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EB005E3" w14:textId="77777777" w:rsidR="00D60365" w:rsidRDefault="00C1209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Tokie vaistai kaip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(vadinamieji SSRI / SNRI) gali sukelti lytinės funkcijos sutrikimo simptomus (žr. 4 skyrių). Kai kuriais atvejais nutraukus gydymą šie simptomai išliko.</w:t>
      </w:r>
    </w:p>
    <w:p w14:paraId="41DEE122" w14:textId="77777777" w:rsidR="00D60365" w:rsidRDefault="00D60365">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E6F9F02"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sukelti neramumo pojūtį ir negalėjimą ramiai sėdėti ar stovėti. Jeigu toks poveikis pasireiškia, reikia pasakyti gydytojui.</w:t>
      </w:r>
    </w:p>
    <w:p w14:paraId="3B33D868"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F01EEF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i/>
          <w:iCs/>
          <w:snapToGrid w:val="0"/>
        </w:rPr>
        <w:t>Mintys apie savižudybę ir depresijos arba nerimo sutrikimo pasunkėjimas</w:t>
      </w:r>
    </w:p>
    <w:p w14:paraId="183943C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sergate depresija ar nerimo sutrikimu, gali atsirasti minčių apie kenkimą sau arba savižudybę. Jos gali suaktyvėti pirmą kartą pradėjus gydytis antidepresantais, kadangi jų poveikis pasireiškia tik po tam tikro laiko, paprastai po maždaug dviejų savaičių, tačiau kartais net vėliau.</w:t>
      </w:r>
    </w:p>
    <w:p w14:paraId="67E954F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Tokios mintys labiau tikėtinos, jeigu:</w:t>
      </w:r>
    </w:p>
    <w:p w14:paraId="7D6EAD93" w14:textId="77777777" w:rsidR="00D60365" w:rsidRDefault="00C12095">
      <w:pPr>
        <w:widowControl w:val="0"/>
        <w:numPr>
          <w:ilvl w:val="0"/>
          <w:numId w:val="5"/>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anksčiau galvojote apie kenkimą sau arba savižudybę;</w:t>
      </w:r>
    </w:p>
    <w:p w14:paraId="1A05D2AC" w14:textId="77777777" w:rsidR="00D60365" w:rsidRDefault="00C12095">
      <w:pPr>
        <w:widowControl w:val="0"/>
        <w:numPr>
          <w:ilvl w:val="0"/>
          <w:numId w:val="5"/>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esate jaunas suaugęs asmuo. Klinikinių tyrimų informacija rodo, kad antidepresantais gydomiems psichikos sutrikimų turintiems jaunesniems negu 25 metų suaugusiems žmonėms padidėja savižudiško elgesio rizika.</w:t>
      </w:r>
    </w:p>
    <w:p w14:paraId="6C6FC41C"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6C345C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Jeigu bet kuriuo laiku atsiranda minčių apie kenkimą sau arba savižudybę, tuoj pat susisiekite su savo gydytoju arba vykite į ligoninę.</w:t>
      </w:r>
    </w:p>
    <w:p w14:paraId="5C58DACD"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7CEDFC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Apie depresiją arba nerimo sutrikimą gali būti naudinga pasakyti giminaičiui arba artimam draugui ir paprašyti, kad jis perskaitytų šį pakuotės lapelį. Galite jų paprašyti, kad pasakytų, jeigu jiems atrodo, kad sunkėja Jūsų depresija arba nerimo sutrikimas arba pakito elgesys.</w:t>
      </w:r>
    </w:p>
    <w:p w14:paraId="366CF346"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0CBD8D90"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i/>
          <w:snapToGrid w:val="0"/>
          <w:lang w:eastAsia="x-none"/>
        </w:rPr>
      </w:pPr>
      <w:r>
        <w:rPr>
          <w:rFonts w:ascii="Times New Roman" w:eastAsia="Times New Roman" w:hAnsi="Times New Roman" w:cs="Times New Roman"/>
          <w:b/>
          <w:bCs/>
          <w:i/>
          <w:snapToGrid w:val="0"/>
          <w:lang w:eastAsia="x-none"/>
        </w:rPr>
        <w:t>Vaikams ir jaunesniems kaip 18 metų paaugliams</w:t>
      </w:r>
    </w:p>
    <w:p w14:paraId="5EEC8B9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paprastai nėra skiriamas vaikams ir jaunesniems nei 18 metų paaugliams. Taip pat turėtumėte žinoti, kad jaunesniems nei 18 metų pacientams, vartojantiems šios klasės medikamentus, padidėja šalutinio poveikio, pvz., bandymo nusižudyti, galvojimo apie savižudybę ir priešiškumo (daugiausia agresijos, opozicinio neklusnumo ir pykčio) apraiškų tikimybė. Nepaisant to, gydytojas gali skirti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jaunesniems nei 18 metų pacientams, jei, jo manymu, tai yra jiems tinkamiausias gydymas. Jeigu gydytojas skyrė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jaunesniam nei 18 metų pacientui ir Jūs pageidaujate tai išsamiau aptarti, dar kartą kreipkitės į gydytoją. Būtinai pasakykite gydytojui, jei jaunesniems nei 18 metų pacientams, vartojantiems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pasireiškė ar pasunkėjo bent vienas iš pirmiau išvardytų simptomų. Taip pat šiuo metu dar nėra pateikta ilgalaikio saugumo duomenų apie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poveikį šios amžiaus grupės pacientų augimui, brendimui ir jų pažinimo bei elgsenos vystymuisi.</w:t>
      </w:r>
    </w:p>
    <w:p w14:paraId="33B3846F" w14:textId="77777777" w:rsidR="00D60365" w:rsidRDefault="00D60365">
      <w:pPr>
        <w:widowControl w:val="0"/>
        <w:tabs>
          <w:tab w:val="left" w:pos="567"/>
        </w:tabs>
        <w:spacing w:after="0" w:line="240" w:lineRule="auto"/>
        <w:rPr>
          <w:rFonts w:ascii="Times New Roman" w:eastAsia="Times New Roman" w:hAnsi="Times New Roman" w:cs="Times New Roman"/>
          <w:b/>
          <w:snapToGrid w:val="0"/>
        </w:rPr>
      </w:pPr>
    </w:p>
    <w:p w14:paraId="08EC5DBC"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Kiti vaistai ir </w:t>
      </w:r>
      <w:proofErr w:type="spellStart"/>
      <w:r>
        <w:rPr>
          <w:rFonts w:ascii="Times New Roman" w:eastAsia="Times New Roman" w:hAnsi="Times New Roman" w:cs="Times New Roman"/>
          <w:b/>
          <w:bCs/>
          <w:snapToGrid w:val="0"/>
          <w:lang w:eastAsia="x-none"/>
        </w:rPr>
        <w:t>Dulsevia</w:t>
      </w:r>
      <w:proofErr w:type="spellEnd"/>
    </w:p>
    <w:p w14:paraId="6ED4ACB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vartojate ar neseniai vartojote kitų vaistų arba dėl to nesate tikri, apie tai pasakykite gydytojui arba vaistininkui.</w:t>
      </w:r>
    </w:p>
    <w:p w14:paraId="6FF3DEB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9B52A9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  pagrindinė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sudedamoji dalis, įeina į kelių vaistų sudėtį, vartojamų skirtingoms ligoms gydyti:</w:t>
      </w:r>
    </w:p>
    <w:p w14:paraId="3630B229" w14:textId="77777777" w:rsidR="00D60365" w:rsidRDefault="00C12095">
      <w:pPr>
        <w:widowControl w:val="0"/>
        <w:numPr>
          <w:ilvl w:val="0"/>
          <w:numId w:val="6"/>
        </w:numPr>
        <w:spacing w:after="20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skausmui dėl diabetinės neuropatijos, depresijai, nerimui ir šlapimo nelaikymui.</w:t>
      </w:r>
    </w:p>
    <w:p w14:paraId="052FA2B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F831051"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Negalima vartoti daugiau kaip vieno šių preparatų vienu metu. Paklauskite savo gydytojo, ar jau nevartojate kitų,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turinčių, vaistų.</w:t>
      </w:r>
    </w:p>
    <w:p w14:paraId="3215BD3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709570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Jūsų gydytojas nuspręs, ar galite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su kitais medikamentais. </w:t>
      </w:r>
      <w:r>
        <w:rPr>
          <w:rFonts w:ascii="Times New Roman" w:eastAsia="Times New Roman" w:hAnsi="Times New Roman" w:cs="Times New Roman"/>
          <w:b/>
          <w:bCs/>
          <w:snapToGrid w:val="0"/>
        </w:rPr>
        <w:t>Nepradėkite vartoti ir</w:t>
      </w:r>
      <w:r>
        <w:rPr>
          <w:rFonts w:ascii="Times New Roman" w:eastAsia="Times New Roman" w:hAnsi="Times New Roman" w:cs="Times New Roman"/>
          <w:snapToGrid w:val="0"/>
        </w:rPr>
        <w:t xml:space="preserve"> </w:t>
      </w:r>
      <w:r>
        <w:rPr>
          <w:rFonts w:ascii="Times New Roman" w:eastAsia="Times New Roman" w:hAnsi="Times New Roman" w:cs="Times New Roman"/>
          <w:b/>
          <w:bCs/>
          <w:snapToGrid w:val="0"/>
        </w:rPr>
        <w:t>nenutraukite vartojimo jokių vaistų, įskaitant įsigytus be recepto ir žolinius preparatus, prieš tai nepasitarę su gydytoju.</w:t>
      </w:r>
    </w:p>
    <w:p w14:paraId="0C5D66A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638528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Praneškite savo gydytojui, jei vartojate bet kuriuos iš žemiau išvardytų vaistų:</w:t>
      </w:r>
    </w:p>
    <w:p w14:paraId="69C3363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104FF0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b/>
          <w:bCs/>
          <w:i/>
          <w:iCs/>
          <w:snapToGrid w:val="0"/>
        </w:rPr>
        <w:t>Monoaminooksidazės</w:t>
      </w:r>
      <w:proofErr w:type="spellEnd"/>
      <w:r>
        <w:rPr>
          <w:rFonts w:ascii="Times New Roman" w:eastAsia="Times New Roman" w:hAnsi="Times New Roman" w:cs="Times New Roman"/>
          <w:b/>
          <w:bCs/>
          <w:i/>
          <w:iCs/>
          <w:snapToGrid w:val="0"/>
        </w:rPr>
        <w:t xml:space="preserve"> inhibitoriai (MAOI). </w:t>
      </w:r>
      <w:r>
        <w:rPr>
          <w:rFonts w:ascii="Times New Roman" w:eastAsia="Times New Roman" w:hAnsi="Times New Roman" w:cs="Times New Roman"/>
          <w:snapToGrid w:val="0"/>
        </w:rPr>
        <w:t xml:space="preserve">Negalima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kartu su kitais</w:t>
      </w:r>
      <w:r>
        <w:rPr>
          <w:rFonts w:ascii="Times New Roman" w:eastAsia="Times New Roman" w:hAnsi="Times New Roman" w:cs="Times New Roman"/>
          <w:b/>
          <w:bCs/>
          <w:i/>
          <w:iCs/>
          <w:snapToGrid w:val="0"/>
        </w:rPr>
        <w:t xml:space="preserve"> </w:t>
      </w:r>
      <w:r>
        <w:rPr>
          <w:rFonts w:ascii="Times New Roman" w:eastAsia="Times New Roman" w:hAnsi="Times New Roman" w:cs="Times New Roman"/>
          <w:snapToGrid w:val="0"/>
        </w:rPr>
        <w:t xml:space="preserve">antidepresantais, vadinamais </w:t>
      </w:r>
      <w:proofErr w:type="spellStart"/>
      <w:r>
        <w:rPr>
          <w:rFonts w:ascii="Times New Roman" w:eastAsia="Times New Roman" w:hAnsi="Times New Roman" w:cs="Times New Roman"/>
          <w:snapToGrid w:val="0"/>
        </w:rPr>
        <w:t>monoaminooksidazės</w:t>
      </w:r>
      <w:proofErr w:type="spellEnd"/>
      <w:r>
        <w:rPr>
          <w:rFonts w:ascii="Times New Roman" w:eastAsia="Times New Roman" w:hAnsi="Times New Roman" w:cs="Times New Roman"/>
          <w:snapToGrid w:val="0"/>
        </w:rPr>
        <w:t xml:space="preserve"> inhibitoriais (MAOI), arba jeigu neseniai vartojote MAOI (nepraėjus 14 dienų po vartojimo). MAOI yra, pavyzdžiui: </w:t>
      </w:r>
      <w:proofErr w:type="spellStart"/>
      <w:r>
        <w:rPr>
          <w:rFonts w:ascii="Times New Roman" w:eastAsia="Times New Roman" w:hAnsi="Times New Roman" w:cs="Times New Roman"/>
          <w:snapToGrid w:val="0"/>
        </w:rPr>
        <w:t>moklobemidas</w:t>
      </w:r>
      <w:proofErr w:type="spellEnd"/>
      <w:r>
        <w:rPr>
          <w:rFonts w:ascii="Times New Roman" w:eastAsia="Times New Roman" w:hAnsi="Times New Roman" w:cs="Times New Roman"/>
          <w:snapToGrid w:val="0"/>
        </w:rPr>
        <w:t xml:space="preserve"> (antidepresantas) ir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(antibiotikas). MAOI vartojimas kartu su daugeliu receptinių vaistų, įskaitant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turėti sunkių ar net gyvybei pavojingų padarinių. Baigę vartoti MAOI, turite palaukti mažiausiai 14 dienų ir tik tuomet galite pradėti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Taip pat nustoję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turite palaukti mažiausiai 5 dienas, kol galėsite pradėti vartoti MAOI.</w:t>
      </w:r>
    </w:p>
    <w:p w14:paraId="37B992B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53DDC5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i/>
          <w:iCs/>
          <w:snapToGrid w:val="0"/>
        </w:rPr>
        <w:t>Mieguistumą sukeliantys vaistai</w:t>
      </w:r>
      <w:r>
        <w:rPr>
          <w:rFonts w:ascii="Times New Roman" w:eastAsia="Times New Roman" w:hAnsi="Times New Roman" w:cs="Times New Roman"/>
          <w:i/>
          <w:iCs/>
          <w:snapToGrid w:val="0"/>
        </w:rPr>
        <w:t>.</w:t>
      </w:r>
      <w:r>
        <w:rPr>
          <w:rFonts w:ascii="Times New Roman" w:eastAsia="Times New Roman" w:hAnsi="Times New Roman" w:cs="Times New Roman"/>
          <w:b/>
          <w:bCs/>
          <w:i/>
          <w:iCs/>
          <w:snapToGrid w:val="0"/>
        </w:rPr>
        <w:t xml:space="preserve"> </w:t>
      </w:r>
      <w:r>
        <w:rPr>
          <w:rFonts w:ascii="Times New Roman" w:eastAsia="Times New Roman" w:hAnsi="Times New Roman" w:cs="Times New Roman"/>
          <w:snapToGrid w:val="0"/>
        </w:rPr>
        <w:t>Tai gali būti Jūsų gydytojo paskirti vaistai, tokie kaip benzodiazepinai,</w:t>
      </w:r>
      <w:r>
        <w:rPr>
          <w:rFonts w:ascii="Times New Roman" w:eastAsia="Times New Roman" w:hAnsi="Times New Roman" w:cs="Times New Roman"/>
          <w:b/>
          <w:bCs/>
          <w:i/>
          <w:iCs/>
          <w:snapToGrid w:val="0"/>
        </w:rPr>
        <w:t xml:space="preserve"> </w:t>
      </w:r>
      <w:r>
        <w:rPr>
          <w:rFonts w:ascii="Times New Roman" w:eastAsia="Times New Roman" w:hAnsi="Times New Roman" w:cs="Times New Roman"/>
          <w:snapToGrid w:val="0"/>
        </w:rPr>
        <w:t xml:space="preserve">stiprūs skausmą malšinantys vaistai, </w:t>
      </w:r>
      <w:proofErr w:type="spellStart"/>
      <w:r>
        <w:rPr>
          <w:rFonts w:ascii="Times New Roman" w:eastAsia="Times New Roman" w:hAnsi="Times New Roman" w:cs="Times New Roman"/>
          <w:snapToGrid w:val="0"/>
        </w:rPr>
        <w:t>antipsichoziniai</w:t>
      </w:r>
      <w:proofErr w:type="spellEnd"/>
      <w:r>
        <w:rPr>
          <w:rFonts w:ascii="Times New Roman" w:eastAsia="Times New Roman" w:hAnsi="Times New Roman" w:cs="Times New Roman"/>
          <w:snapToGrid w:val="0"/>
        </w:rPr>
        <w:t xml:space="preserve"> vaistai, </w:t>
      </w:r>
      <w:proofErr w:type="spellStart"/>
      <w:r>
        <w:rPr>
          <w:rFonts w:ascii="Times New Roman" w:eastAsia="Times New Roman" w:hAnsi="Times New Roman" w:cs="Times New Roman"/>
          <w:snapToGrid w:val="0"/>
        </w:rPr>
        <w:t>fenobarbitalis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antihistamininiai</w:t>
      </w:r>
      <w:proofErr w:type="spellEnd"/>
      <w:r>
        <w:rPr>
          <w:rFonts w:ascii="Times New Roman" w:eastAsia="Times New Roman" w:hAnsi="Times New Roman" w:cs="Times New Roman"/>
          <w:snapToGrid w:val="0"/>
        </w:rPr>
        <w:t xml:space="preserve"> vaistai.</w:t>
      </w:r>
    </w:p>
    <w:p w14:paraId="113A7F20"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C2BA4BA"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i/>
          <w:iCs/>
          <w:snapToGrid w:val="0"/>
        </w:rPr>
        <w:t xml:space="preserve">Vaistai, didinantys </w:t>
      </w:r>
      <w:proofErr w:type="spellStart"/>
      <w:r>
        <w:rPr>
          <w:rFonts w:ascii="Times New Roman" w:eastAsia="Times New Roman" w:hAnsi="Times New Roman" w:cs="Times New Roman"/>
          <w:b/>
          <w:bCs/>
          <w:i/>
          <w:iCs/>
          <w:snapToGrid w:val="0"/>
        </w:rPr>
        <w:t>serotonino</w:t>
      </w:r>
      <w:proofErr w:type="spellEnd"/>
      <w:r>
        <w:rPr>
          <w:rFonts w:ascii="Times New Roman" w:eastAsia="Times New Roman" w:hAnsi="Times New Roman" w:cs="Times New Roman"/>
          <w:b/>
          <w:bCs/>
          <w:i/>
          <w:iCs/>
          <w:snapToGrid w:val="0"/>
        </w:rPr>
        <w:t xml:space="preserve"> kiekį. </w:t>
      </w:r>
      <w:r>
        <w:rPr>
          <w:rFonts w:ascii="Times New Roman" w:eastAsia="Times New Roman" w:hAnsi="Times New Roman" w:cs="Times New Roman"/>
          <w:snapToGrid w:val="0"/>
        </w:rPr>
        <w:t xml:space="preserve">Tai </w:t>
      </w:r>
      <w:proofErr w:type="spellStart"/>
      <w:r>
        <w:rPr>
          <w:rFonts w:ascii="Times New Roman" w:eastAsia="Times New Roman" w:hAnsi="Times New Roman" w:cs="Times New Roman"/>
          <w:snapToGrid w:val="0"/>
        </w:rPr>
        <w:t>triptanai</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buprenorfinas</w:t>
      </w:r>
      <w:proofErr w:type="spellEnd"/>
      <w:r>
        <w:rPr>
          <w:rFonts w:ascii="Times New Roman" w:eastAsia="Times New Roman" w:hAnsi="Times New Roman" w:cs="Times New Roman"/>
          <w:snapToGrid w:val="0"/>
        </w:rPr>
        <w:t xml:space="preserve"> (vaistas skausmui malšinti ar priklausomybei nuo </w:t>
      </w:r>
      <w:proofErr w:type="spellStart"/>
      <w:r>
        <w:rPr>
          <w:rFonts w:ascii="Times New Roman" w:eastAsia="Times New Roman" w:hAnsi="Times New Roman" w:cs="Times New Roman"/>
          <w:snapToGrid w:val="0"/>
        </w:rPr>
        <w:t>opioidų</w:t>
      </w:r>
      <w:proofErr w:type="spellEnd"/>
      <w:r>
        <w:rPr>
          <w:rFonts w:ascii="Times New Roman" w:eastAsia="Times New Roman" w:hAnsi="Times New Roman" w:cs="Times New Roman"/>
          <w:snapToGrid w:val="0"/>
        </w:rPr>
        <w:t xml:space="preserve"> gydyti), </w:t>
      </w:r>
      <w:proofErr w:type="spellStart"/>
      <w:r>
        <w:rPr>
          <w:rFonts w:ascii="Times New Roman" w:eastAsia="Times New Roman" w:hAnsi="Times New Roman" w:cs="Times New Roman"/>
          <w:snapToGrid w:val="0"/>
        </w:rPr>
        <w:t>tramadolis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triptofanas</w:t>
      </w:r>
      <w:proofErr w:type="spellEnd"/>
      <w:r>
        <w:rPr>
          <w:rFonts w:ascii="Times New Roman" w:eastAsia="Times New Roman" w:hAnsi="Times New Roman" w:cs="Times New Roman"/>
          <w:snapToGrid w:val="0"/>
        </w:rPr>
        <w:t xml:space="preserve">, SSRI (pvz.: </w:t>
      </w:r>
      <w:proofErr w:type="spellStart"/>
      <w:r>
        <w:rPr>
          <w:rFonts w:ascii="Times New Roman" w:eastAsia="Times New Roman" w:hAnsi="Times New Roman" w:cs="Times New Roman"/>
          <w:snapToGrid w:val="0"/>
        </w:rPr>
        <w:t>paroksetinas</w:t>
      </w:r>
      <w:proofErr w:type="spellEnd"/>
      <w:r>
        <w:rPr>
          <w:rFonts w:ascii="Times New Roman" w:eastAsia="Times New Roman" w:hAnsi="Times New Roman" w:cs="Times New Roman"/>
          <w:snapToGrid w:val="0"/>
        </w:rPr>
        <w:t xml:space="preserve"> arba</w:t>
      </w:r>
      <w:r>
        <w:rPr>
          <w:rFonts w:ascii="Times New Roman" w:eastAsia="Times New Roman" w:hAnsi="Times New Roman" w:cs="Times New Roman"/>
          <w:b/>
          <w:bCs/>
          <w:i/>
          <w:iCs/>
          <w:snapToGrid w:val="0"/>
        </w:rPr>
        <w:t xml:space="preserve"> </w:t>
      </w:r>
      <w:proofErr w:type="spellStart"/>
      <w:r>
        <w:rPr>
          <w:rFonts w:ascii="Times New Roman" w:eastAsia="Times New Roman" w:hAnsi="Times New Roman" w:cs="Times New Roman"/>
          <w:snapToGrid w:val="0"/>
        </w:rPr>
        <w:t>fluoksetinas</w:t>
      </w:r>
      <w:proofErr w:type="spellEnd"/>
      <w:r>
        <w:rPr>
          <w:rFonts w:ascii="Times New Roman" w:eastAsia="Times New Roman" w:hAnsi="Times New Roman" w:cs="Times New Roman"/>
          <w:snapToGrid w:val="0"/>
        </w:rPr>
        <w:t xml:space="preserve">), SNRI (pvz., </w:t>
      </w:r>
      <w:proofErr w:type="spellStart"/>
      <w:r>
        <w:rPr>
          <w:rFonts w:ascii="Times New Roman" w:eastAsia="Times New Roman" w:hAnsi="Times New Roman" w:cs="Times New Roman"/>
          <w:snapToGrid w:val="0"/>
        </w:rPr>
        <w:t>venlafaksinas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tricikliai</w:t>
      </w:r>
      <w:proofErr w:type="spellEnd"/>
      <w:r>
        <w:rPr>
          <w:rFonts w:ascii="Times New Roman" w:eastAsia="Times New Roman" w:hAnsi="Times New Roman" w:cs="Times New Roman"/>
          <w:snapToGrid w:val="0"/>
        </w:rPr>
        <w:t xml:space="preserve"> antidepresantai (pvz.: </w:t>
      </w:r>
      <w:proofErr w:type="spellStart"/>
      <w:r>
        <w:rPr>
          <w:rFonts w:ascii="Times New Roman" w:eastAsia="Times New Roman" w:hAnsi="Times New Roman" w:cs="Times New Roman"/>
          <w:snapToGrid w:val="0"/>
        </w:rPr>
        <w:t>klomipraminas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amitriptilinas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petidinas</w:t>
      </w:r>
      <w:proofErr w:type="spellEnd"/>
      <w:r>
        <w:rPr>
          <w:rFonts w:ascii="Times New Roman" w:eastAsia="Times New Roman" w:hAnsi="Times New Roman" w:cs="Times New Roman"/>
          <w:snapToGrid w:val="0"/>
        </w:rPr>
        <w:t xml:space="preserve">, jonažolių preparatai ir MAOI (pvz.: </w:t>
      </w:r>
      <w:proofErr w:type="spellStart"/>
      <w:r>
        <w:rPr>
          <w:rFonts w:ascii="Times New Roman" w:eastAsia="Times New Roman" w:hAnsi="Times New Roman" w:cs="Times New Roman"/>
          <w:snapToGrid w:val="0"/>
        </w:rPr>
        <w:t>moklobemidas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Šių medikamentų vartojimas padidina šalutinio poveikio, tokio kaip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tikimybę (žr. „Įspėjimai ir atsargumo priemonės“ ir „Galimas šalutinis poveikis“). Jeigu vartojant bet kurį iš šių medikamentų kartu su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atsiranda bet kokių neįprastų simptomų, reikia kreiptis į gydytoją.</w:t>
      </w:r>
    </w:p>
    <w:p w14:paraId="015B2C98"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1CA7F77"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i/>
          <w:iCs/>
          <w:snapToGrid w:val="0"/>
        </w:rPr>
        <w:t xml:space="preserve">Geriamieji antikoaguliantai arba </w:t>
      </w:r>
      <w:proofErr w:type="spellStart"/>
      <w:r>
        <w:rPr>
          <w:rFonts w:ascii="Times New Roman" w:eastAsia="Times New Roman" w:hAnsi="Times New Roman" w:cs="Times New Roman"/>
          <w:b/>
          <w:bCs/>
          <w:i/>
          <w:iCs/>
          <w:snapToGrid w:val="0"/>
        </w:rPr>
        <w:t>antitrombocitiniai</w:t>
      </w:r>
      <w:proofErr w:type="spellEnd"/>
      <w:r>
        <w:rPr>
          <w:rFonts w:ascii="Times New Roman" w:eastAsia="Times New Roman" w:hAnsi="Times New Roman" w:cs="Times New Roman"/>
          <w:b/>
          <w:bCs/>
          <w:i/>
          <w:iCs/>
          <w:snapToGrid w:val="0"/>
        </w:rPr>
        <w:t xml:space="preserve"> preparatai. </w:t>
      </w:r>
      <w:r>
        <w:rPr>
          <w:rFonts w:ascii="Times New Roman" w:eastAsia="Times New Roman" w:hAnsi="Times New Roman" w:cs="Times New Roman"/>
          <w:snapToGrid w:val="0"/>
        </w:rPr>
        <w:t>Tai vaistai, skystinantys kraują arba</w:t>
      </w:r>
      <w:r>
        <w:rPr>
          <w:rFonts w:ascii="Times New Roman" w:eastAsia="Times New Roman" w:hAnsi="Times New Roman" w:cs="Times New Roman"/>
          <w:b/>
          <w:bCs/>
          <w:i/>
          <w:iCs/>
          <w:snapToGrid w:val="0"/>
        </w:rPr>
        <w:t xml:space="preserve"> </w:t>
      </w:r>
      <w:r>
        <w:rPr>
          <w:rFonts w:ascii="Times New Roman" w:eastAsia="Times New Roman" w:hAnsi="Times New Roman" w:cs="Times New Roman"/>
          <w:snapToGrid w:val="0"/>
        </w:rPr>
        <w:t>apsaugantys nuo kraujo krešulių susidarymo. Šie medikamentai gali didinti kraujavimo riziką.</w:t>
      </w:r>
    </w:p>
    <w:p w14:paraId="7088AD34"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46699957"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lastRenderedPageBreak/>
        <w:t>Dulsevia</w:t>
      </w:r>
      <w:proofErr w:type="spellEnd"/>
      <w:r>
        <w:rPr>
          <w:rFonts w:ascii="Times New Roman" w:eastAsia="Times New Roman" w:hAnsi="Times New Roman" w:cs="Times New Roman"/>
          <w:b/>
          <w:bCs/>
          <w:snapToGrid w:val="0"/>
          <w:lang w:eastAsia="x-none"/>
        </w:rPr>
        <w:t xml:space="preserve"> vartojimas su maistu, gėrimais</w:t>
      </w:r>
      <w:r>
        <w:rPr>
          <w:rFonts w:ascii="Times New Roman" w:eastAsia="Times New Roman" w:hAnsi="Times New Roman" w:cs="Times New Roman"/>
          <w:b/>
          <w:snapToGrid w:val="0"/>
          <w:lang w:eastAsia="x-none"/>
        </w:rPr>
        <w:t xml:space="preserve"> </w:t>
      </w:r>
      <w:r>
        <w:rPr>
          <w:rFonts w:ascii="Times New Roman" w:eastAsia="Times New Roman" w:hAnsi="Times New Roman" w:cs="Times New Roman"/>
          <w:b/>
          <w:bCs/>
          <w:snapToGrid w:val="0"/>
          <w:lang w:eastAsia="x-none"/>
        </w:rPr>
        <w:t>ir alkoholiu</w:t>
      </w:r>
    </w:p>
    <w:p w14:paraId="5C2C80FC" w14:textId="77777777" w:rsidR="00D60365" w:rsidRDefault="00C12095">
      <w:pPr>
        <w:widowControl w:val="0"/>
        <w:numPr>
          <w:ilvl w:val="12"/>
          <w:numId w:val="0"/>
        </w:numPr>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galima vartoti tiek kartu su maistu, tiek ir be jo. Jums reikėtų elgtis ypač atsargiai, jeigu vartojate alkoholį gydymo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metu.</w:t>
      </w:r>
    </w:p>
    <w:p w14:paraId="325D3058" w14:textId="77777777" w:rsidR="00D60365" w:rsidRDefault="00D60365">
      <w:pPr>
        <w:widowControl w:val="0"/>
        <w:numPr>
          <w:ilvl w:val="12"/>
          <w:numId w:val="0"/>
        </w:numPr>
        <w:spacing w:after="0" w:line="240" w:lineRule="auto"/>
        <w:rPr>
          <w:rFonts w:ascii="Times New Roman" w:eastAsia="Times New Roman" w:hAnsi="Times New Roman" w:cs="Times New Roman"/>
          <w:snapToGrid w:val="0"/>
        </w:rPr>
      </w:pPr>
    </w:p>
    <w:p w14:paraId="3C146FEB"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Nėštumas ir žindymo laikotarpis</w:t>
      </w:r>
    </w:p>
    <w:p w14:paraId="77165CF0"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vaistininku.</w:t>
      </w:r>
    </w:p>
    <w:p w14:paraId="2FF869D6" w14:textId="77777777" w:rsidR="00D60365" w:rsidRDefault="00C12095">
      <w:pPr>
        <w:widowControl w:val="0"/>
        <w:numPr>
          <w:ilvl w:val="0"/>
          <w:numId w:val="7"/>
        </w:numPr>
        <w:spacing w:after="0" w:line="240" w:lineRule="auto"/>
        <w:ind w:left="357" w:hanging="357"/>
        <w:rPr>
          <w:rFonts w:ascii="Times New Roman" w:eastAsia="Times New Roman" w:hAnsi="Times New Roman" w:cs="Times New Roman"/>
          <w:snapToGrid w:val="0"/>
        </w:rPr>
      </w:pPr>
      <w:r>
        <w:rPr>
          <w:rFonts w:ascii="Times New Roman" w:eastAsia="Times New Roman" w:hAnsi="Times New Roman" w:cs="Times New Roman"/>
          <w:snapToGrid w:val="0"/>
        </w:rPr>
        <w:t xml:space="preserve">Pasakykite savo gydytojui, jeigu gydymo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metu tapote nėščia arba ketinate pastoti.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galite vartoti tik su gydytoju aptarę galimos naudos ir rizikos Jūsų negimusiam vaikui santykį.</w:t>
      </w:r>
    </w:p>
    <w:p w14:paraId="6800F9F3"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881DCDC" w14:textId="77777777" w:rsidR="00D60365" w:rsidRDefault="00C12095">
      <w:pPr>
        <w:pStyle w:val="Sraopastraipa"/>
        <w:widowControl w:val="0"/>
        <w:numPr>
          <w:ilvl w:val="0"/>
          <w:numId w:val="14"/>
        </w:numPr>
        <w:spacing w:line="240" w:lineRule="auto"/>
        <w:ind w:left="360"/>
        <w:rPr>
          <w:snapToGrid w:val="0"/>
          <w:lang w:val="lt-LT"/>
        </w:rPr>
      </w:pPr>
      <w:r>
        <w:rPr>
          <w:snapToGrid w:val="0"/>
          <w:lang w:val="lt-LT"/>
        </w:rPr>
        <w:t xml:space="preserve">Būkite tikri, kad Jūsų akušerė ir (arba) gydytojas žino, kad vartojate </w:t>
      </w:r>
      <w:proofErr w:type="spellStart"/>
      <w:r>
        <w:rPr>
          <w:snapToGrid w:val="0"/>
          <w:lang w:val="lt-LT"/>
        </w:rPr>
        <w:t>Dulsevia</w:t>
      </w:r>
      <w:proofErr w:type="spellEnd"/>
      <w:r>
        <w:rPr>
          <w:snapToGrid w:val="0"/>
          <w:lang w:val="lt-LT"/>
        </w:rPr>
        <w:t xml:space="preserve">. Panašūs vaistai (SSRI), vartojami nėštumo metu, kūdikiui gali didinti sunkios būklės, kuri vadinama išlikusia naujagimio </w:t>
      </w:r>
      <w:proofErr w:type="spellStart"/>
      <w:r>
        <w:rPr>
          <w:snapToGrid w:val="0"/>
          <w:lang w:val="lt-LT"/>
        </w:rPr>
        <w:t>plautine</w:t>
      </w:r>
      <w:proofErr w:type="spellEnd"/>
      <w:r>
        <w:rPr>
          <w:snapToGrid w:val="0"/>
          <w:lang w:val="lt-LT"/>
        </w:rPr>
        <w:t xml:space="preserve"> hipertenzija (angl., PPHN), pasireiškimo pavojų; dėl šios būklės kūdikis pradeda kvėpuoti dažniau ir pamelsvėja. Šių simptomų paprastai atsiranda per pirmąsias 24 valandas po gimimo. Jeigu tai atsitinka Jūsų kūdikiui, turite nedelsdami susisiekti su savo akušere ir (arba) gydytoju.</w:t>
      </w:r>
    </w:p>
    <w:p w14:paraId="7902A7E1" w14:textId="77777777" w:rsidR="00D60365" w:rsidRDefault="00D60365">
      <w:pPr>
        <w:widowControl w:val="0"/>
        <w:spacing w:after="0" w:line="240" w:lineRule="auto"/>
        <w:ind w:left="567" w:hanging="567"/>
        <w:rPr>
          <w:rFonts w:ascii="Times New Roman" w:eastAsia="Times New Roman" w:hAnsi="Times New Roman" w:cs="Times New Roman"/>
          <w:snapToGrid w:val="0"/>
        </w:rPr>
      </w:pPr>
    </w:p>
    <w:p w14:paraId="75EF5946" w14:textId="77777777" w:rsidR="00D60365" w:rsidRDefault="00C12095">
      <w:pPr>
        <w:pStyle w:val="Sraopastraipa"/>
        <w:widowControl w:val="0"/>
        <w:numPr>
          <w:ilvl w:val="0"/>
          <w:numId w:val="14"/>
        </w:numPr>
        <w:spacing w:line="240" w:lineRule="auto"/>
        <w:ind w:left="360"/>
        <w:rPr>
          <w:snapToGrid w:val="0"/>
          <w:lang w:val="lt-LT"/>
        </w:rPr>
      </w:pPr>
      <w:r>
        <w:rPr>
          <w:snapToGrid w:val="0"/>
          <w:lang w:val="lt-LT"/>
        </w:rPr>
        <w:t xml:space="preserve">Jeigu </w:t>
      </w:r>
      <w:proofErr w:type="spellStart"/>
      <w:r>
        <w:rPr>
          <w:snapToGrid w:val="0"/>
          <w:lang w:val="lt-LT"/>
        </w:rPr>
        <w:t>Dulsevia</w:t>
      </w:r>
      <w:proofErr w:type="spellEnd"/>
      <w:r>
        <w:rPr>
          <w:snapToGrid w:val="0"/>
          <w:lang w:val="lt-LT"/>
        </w:rPr>
        <w:t xml:space="preserve"> vartojote prieš baigiantis nėštumui, Jūsų gimusiam kūdikiui gali pasireikšti kai kurių simptomų. Jų paprastai atsiranda gimimo metu arba per kelias dienas po gimimo. Iš tokių simptomų gali būti raumenų suglebimas, drebėjimas, nervingumas, maitinimosi sutrikimas, kvėpavimo sutrikimas ir traukuliai. Jeigu Jūsų gimusiam kūdikiui pasireiškia kuris nors iš minėtų simptomų arba jeigu nerimaujate dėl jo sveikatos, susisiekite su savo gydytoju arba akušere, kurie galės Jums duoti patarimų.</w:t>
      </w:r>
    </w:p>
    <w:p w14:paraId="7A40BA0D" w14:textId="77777777" w:rsidR="00D60365" w:rsidRDefault="00D60365">
      <w:pPr>
        <w:pStyle w:val="Sraopastraipa"/>
        <w:rPr>
          <w:snapToGrid w:val="0"/>
          <w:lang w:val="lt-LT"/>
        </w:rPr>
      </w:pPr>
    </w:p>
    <w:p w14:paraId="202E8D05" w14:textId="77777777" w:rsidR="00D60365" w:rsidRDefault="00C12095">
      <w:pPr>
        <w:pStyle w:val="Sraopastraipa"/>
        <w:widowControl w:val="0"/>
        <w:numPr>
          <w:ilvl w:val="0"/>
          <w:numId w:val="14"/>
        </w:numPr>
        <w:ind w:left="360"/>
        <w:rPr>
          <w:snapToGrid w:val="0"/>
          <w:lang w:val="lt-LT"/>
        </w:rPr>
      </w:pPr>
      <w:r>
        <w:rPr>
          <w:snapToGrid w:val="0"/>
          <w:lang w:val="lt-LT"/>
        </w:rPr>
        <w:t xml:space="preserve">Jeigu vartojate </w:t>
      </w:r>
      <w:proofErr w:type="spellStart"/>
      <w:r>
        <w:rPr>
          <w:snapToGrid w:val="0"/>
          <w:lang w:val="lt-LT"/>
        </w:rPr>
        <w:t>Dulsevia</w:t>
      </w:r>
      <w:proofErr w:type="spellEnd"/>
      <w:r>
        <w:rPr>
          <w:snapToGrid w:val="0"/>
          <w:lang w:val="lt-LT"/>
        </w:rPr>
        <w:t xml:space="preserve"> artėjant nėštumo pabaigai, padidėja pernelyg gausaus kraujavimo iš makšties netrukus po gimimo rizika, ypač tuomet, jeigu anksčiau Jums yra buvę kraujavimo sutrikimų. Gydytojas ar akušerė turėtų žinoti, kad vartojate </w:t>
      </w:r>
      <w:proofErr w:type="spellStart"/>
      <w:r>
        <w:rPr>
          <w:snapToGrid w:val="0"/>
          <w:lang w:val="lt-LT"/>
        </w:rPr>
        <w:t>duloksetiną</w:t>
      </w:r>
      <w:proofErr w:type="spellEnd"/>
      <w:r>
        <w:rPr>
          <w:snapToGrid w:val="0"/>
          <w:lang w:val="lt-LT"/>
        </w:rPr>
        <w:t>, kad galėtų Jums patarti.</w:t>
      </w:r>
    </w:p>
    <w:p w14:paraId="34E4BBE1" w14:textId="77777777" w:rsidR="00D60365" w:rsidRDefault="00D60365">
      <w:pPr>
        <w:pStyle w:val="Sraopastraipa"/>
        <w:rPr>
          <w:snapToGrid w:val="0"/>
          <w:lang w:val="lt-LT"/>
        </w:rPr>
      </w:pPr>
    </w:p>
    <w:p w14:paraId="46087005" w14:textId="77777777" w:rsidR="00D60365" w:rsidRDefault="00C12095">
      <w:pPr>
        <w:pStyle w:val="Sraopastraipa"/>
        <w:widowControl w:val="0"/>
        <w:numPr>
          <w:ilvl w:val="0"/>
          <w:numId w:val="14"/>
        </w:numPr>
        <w:ind w:left="360"/>
        <w:rPr>
          <w:snapToGrid w:val="0"/>
          <w:lang w:val="lt-LT"/>
        </w:rPr>
      </w:pPr>
      <w:r>
        <w:rPr>
          <w:lang w:val="lt-LT"/>
        </w:rPr>
        <w:t xml:space="preserve">Turimi </w:t>
      </w:r>
      <w:proofErr w:type="spellStart"/>
      <w:r>
        <w:rPr>
          <w:lang w:val="lt-LT"/>
        </w:rPr>
        <w:t>Dulsevia</w:t>
      </w:r>
      <w:proofErr w:type="spellEnd"/>
      <w:r>
        <w:rPr>
          <w:lang w:val="lt-LT"/>
        </w:rPr>
        <w:t xml:space="preserve"> vartojimo per pirmuosius tris nėštumo mėnesius duomenys nerodo bendrosios apsigimimų rizikos naujagimiui padidėjimo. </w:t>
      </w:r>
      <w:proofErr w:type="spellStart"/>
      <w:r>
        <w:rPr>
          <w:lang w:val="lt-LT"/>
        </w:rPr>
        <w:t>Dulsevia</w:t>
      </w:r>
      <w:proofErr w:type="spellEnd"/>
      <w:r>
        <w:rPr>
          <w:lang w:val="lt-LT"/>
        </w:rPr>
        <w:t xml:space="preserve"> vartojant antroje nėštumo pusėje, gali padidėti rizika, kad kūdikis gims anksti (6 papildomi neišnešioti kūdikiai kiekvienam 100 moterų, vartojančių </w:t>
      </w:r>
      <w:proofErr w:type="spellStart"/>
      <w:r>
        <w:rPr>
          <w:lang w:val="lt-LT"/>
        </w:rPr>
        <w:t>Dulsevia</w:t>
      </w:r>
      <w:proofErr w:type="spellEnd"/>
      <w:r>
        <w:rPr>
          <w:lang w:val="lt-LT"/>
        </w:rPr>
        <w:t xml:space="preserve"> antroje nėštumo pusėje), dažniausiai tarp 35 ir 36 nėštumo savaičių.</w:t>
      </w:r>
    </w:p>
    <w:p w14:paraId="4CBE3C05" w14:textId="77777777" w:rsidR="00D60365" w:rsidRDefault="00D60365">
      <w:pPr>
        <w:widowControl w:val="0"/>
        <w:spacing w:after="0" w:line="240" w:lineRule="auto"/>
        <w:ind w:left="567" w:hanging="567"/>
        <w:rPr>
          <w:rFonts w:ascii="Times New Roman" w:eastAsia="Times New Roman" w:hAnsi="Times New Roman" w:cs="Times New Roman"/>
          <w:snapToGrid w:val="0"/>
        </w:rPr>
      </w:pPr>
    </w:p>
    <w:p w14:paraId="39115B3E" w14:textId="77777777" w:rsidR="00D60365" w:rsidRDefault="00C12095">
      <w:pPr>
        <w:widowControl w:val="0"/>
        <w:numPr>
          <w:ilvl w:val="0"/>
          <w:numId w:val="14"/>
        </w:numPr>
        <w:spacing w:after="0" w:line="240" w:lineRule="auto"/>
        <w:ind w:left="357" w:hanging="35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žindote kūdikį, pasakykite savo gydytojui. Žindymo metu nerekomenduojama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Pasitarkite su savo gydytoju ar vaistininku</w:t>
      </w:r>
    </w:p>
    <w:p w14:paraId="69E621AD" w14:textId="77777777" w:rsidR="00D60365" w:rsidRDefault="00D60365">
      <w:pPr>
        <w:widowControl w:val="0"/>
        <w:spacing w:after="0" w:line="240" w:lineRule="auto"/>
        <w:rPr>
          <w:rFonts w:ascii="Times New Roman" w:eastAsia="Times New Roman" w:hAnsi="Times New Roman" w:cs="Times New Roman"/>
          <w:snapToGrid w:val="0"/>
        </w:rPr>
      </w:pPr>
    </w:p>
    <w:p w14:paraId="3CA6E6FA"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Vairavimas ir mechanizmų valdymas</w:t>
      </w:r>
    </w:p>
    <w:p w14:paraId="69F7EBB2"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sukelti mieguistumą ar apsvaigimą. Nevairuokite ir nevaldykite jokių mechanizmų, kol nežinote, kokį poveikį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Jums darys.</w:t>
      </w:r>
    </w:p>
    <w:p w14:paraId="6719F490"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69C81D8A"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sudėtyje yra sacharozės</w:t>
      </w:r>
    </w:p>
    <w:p w14:paraId="3D22202F"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gydytojas Jums yra sakęs, kad netoleruojate kokių nors angliavandenių, kreipkitės į jį prieš pradėdami vartoti šį vaistą.</w:t>
      </w:r>
    </w:p>
    <w:p w14:paraId="613977E0"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74B8AD2E"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6BD8B19F"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3.</w:t>
      </w:r>
      <w:r>
        <w:rPr>
          <w:rFonts w:ascii="Times New Roman" w:eastAsia="Times New Roman" w:hAnsi="Times New Roman" w:cs="Times New Roman"/>
          <w:b/>
          <w:bCs/>
          <w:snapToGrid w:val="0"/>
          <w:lang w:eastAsia="x-none"/>
        </w:rPr>
        <w:tab/>
        <w:t xml:space="preserve">Kaip vartoti </w:t>
      </w:r>
      <w:proofErr w:type="spellStart"/>
      <w:r>
        <w:rPr>
          <w:rFonts w:ascii="Times New Roman" w:eastAsia="Times New Roman" w:hAnsi="Times New Roman" w:cs="Times New Roman"/>
          <w:b/>
          <w:bCs/>
          <w:snapToGrid w:val="0"/>
          <w:lang w:eastAsia="x-none"/>
        </w:rPr>
        <w:t>Dulsevia</w:t>
      </w:r>
      <w:proofErr w:type="spellEnd"/>
    </w:p>
    <w:p w14:paraId="732320F6"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25B4757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Visada vartokite šį vaistą tiksliai kaip nurodė gydytojas arba vaistininkas. Jeigu abejojate, kreipkitės į gydytoją arba vaistininką.</w:t>
      </w:r>
    </w:p>
    <w:p w14:paraId="170BA9C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57C2230"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yra per burną vartojamas vaistas. Turite nuryti visą kapsulę užgerdami vandeniu.</w:t>
      </w:r>
    </w:p>
    <w:p w14:paraId="7638537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69E6053E"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Depresijai ar skausmui dėl diabetinės neuropatijos gydyti</w:t>
      </w:r>
    </w:p>
    <w:p w14:paraId="38640AA5"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Įprasta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dozė yra 60 mg vieną kartą per parą, tačiau Jūsų gydytojas paskirs Jums reikiamą dozę.</w:t>
      </w:r>
    </w:p>
    <w:p w14:paraId="70F91DB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FF654D8"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lastRenderedPageBreak/>
        <w:t>Generalizuoto</w:t>
      </w:r>
      <w:proofErr w:type="spellEnd"/>
      <w:r>
        <w:rPr>
          <w:rFonts w:ascii="Times New Roman" w:eastAsia="Times New Roman" w:hAnsi="Times New Roman" w:cs="Times New Roman"/>
          <w:i/>
          <w:iCs/>
          <w:snapToGrid w:val="0"/>
        </w:rPr>
        <w:t xml:space="preserve"> nerimo sutrikimui gydyti</w:t>
      </w:r>
    </w:p>
    <w:p w14:paraId="4821A81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Įprasta pradinė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dozė yra 30 mg kartą per parą. Po to daugumas pacientų gydomi kartą per parą vartojama 60 mg doze, tačiau Jums tinkamą dozę paskirs Jūsų gydytojas. Paros dozę Jums jis gali padidinti iki 120 mg, atsižvelgdamas į Jūsų reakciją į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w:t>
      </w:r>
    </w:p>
    <w:p w14:paraId="4E39D74A"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C050B6D"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Kad nepamirštumėte išgerti vaisto, geriau būtų gerti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kiekvieną dieną tuo pačiu metu.</w:t>
      </w:r>
    </w:p>
    <w:p w14:paraId="08940A6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25FAE91"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Pasiteiraukite savo gydytojo, kiek laiko turite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Nenustokite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ir nekeiskite vaisto dozės, prieš tai nepranešę gydytojui. Svarbu tinkamai gydyti sutrikimą, kuris Jums yra, kad pradėtumėte geriau jaustis. Negydoma Jūsų būklė gali nepraeiti ir sunkėti, o pasunkėjusią būklę sunkiau gydyti.</w:t>
      </w:r>
    </w:p>
    <w:p w14:paraId="1BB8BD68"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1946F242"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Ką daryti pavartojus per didelę </w:t>
      </w: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dozę?</w:t>
      </w:r>
    </w:p>
    <w:p w14:paraId="51C89FA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išgėrėte didesnę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dozę, negu paskyrė Jūsų gydytojas, nedelsdami kreipkitės į gydytoją arba vaistininką. Perdozavimo simptomai yra mieguistumas, koma,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(reta reakcija, dėl kurios pasireiškia didelės laimės pojūtis, mieguistumas, nerangumas, neramumas, girtumo pojūtis, karščiavimas, prakaitavimas ar raumenų sąstingis), traukuliai, vėmimas ir dažnas širdies plakimas.</w:t>
      </w:r>
    </w:p>
    <w:p w14:paraId="18A17CB2"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063986E5"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Pamiršus pavartoti </w:t>
      </w:r>
      <w:proofErr w:type="spellStart"/>
      <w:r>
        <w:rPr>
          <w:rFonts w:ascii="Times New Roman" w:eastAsia="Times New Roman" w:hAnsi="Times New Roman" w:cs="Times New Roman"/>
          <w:b/>
          <w:bCs/>
          <w:snapToGrid w:val="0"/>
          <w:lang w:eastAsia="x-none"/>
        </w:rPr>
        <w:t>Dulsevia</w:t>
      </w:r>
      <w:proofErr w:type="spellEnd"/>
    </w:p>
    <w:p w14:paraId="67F8A494"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pamiršote išgerti vaisto dozę, išgerkite ją kai tik prisiminsite. Tačiau jeigu jau atėjo laikas gerti sekančią dozę, nekreipkite dėmesio į praleistąją ir gerkite tik vieną dozę kaip įprasta. Negalima vartoti dvigubos dozės norint kompensuoti praleistą dozę. Negerkite didesnės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paros dozės, negu Jums paskyrė gydytojas.</w:t>
      </w:r>
    </w:p>
    <w:p w14:paraId="48CEB41B"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3CE050B1"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Nustojus vartoti </w:t>
      </w:r>
      <w:proofErr w:type="spellStart"/>
      <w:r>
        <w:rPr>
          <w:rFonts w:ascii="Times New Roman" w:eastAsia="Times New Roman" w:hAnsi="Times New Roman" w:cs="Times New Roman"/>
          <w:b/>
          <w:bCs/>
          <w:snapToGrid w:val="0"/>
          <w:lang w:eastAsia="x-none"/>
        </w:rPr>
        <w:t>Dulsevia</w:t>
      </w:r>
      <w:proofErr w:type="spellEnd"/>
    </w:p>
    <w:p w14:paraId="04846AD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NENUSTOKITE gerti kapsulių, nepasitarę su gydytoju, net ir tuo atveju, jeigu jaučiatės geriau. Jeigu gydytojas nuspręs, kad Jums nebereikia vartoti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jis ar ji nurodys Jums mažinti vaisto dozę mažiausiai 2 savaičių laikotarpiu.</w:t>
      </w:r>
    </w:p>
    <w:p w14:paraId="6702CFE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71EFCEE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Kai kurie pacientai, kurie staiga nutraukė </w:t>
      </w: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vartojimą, patyrė šių simptomų:</w:t>
      </w:r>
    </w:p>
    <w:p w14:paraId="17E14DE9" w14:textId="77777777" w:rsidR="00D60365" w:rsidRDefault="00C12095">
      <w:pPr>
        <w:widowControl w:val="0"/>
        <w:numPr>
          <w:ilvl w:val="0"/>
          <w:numId w:val="9"/>
        </w:numPr>
        <w:spacing w:after="20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galvos svaigimą, dilgčiojimo ar dilgsėjimo pojūtį arba į elektros šoko poveikį panašų pojūtį (ypač galvoje), miego sutrikimų (vaizdingus sapnus, košmarus, negalėjimą miegoti), nuovargį, mieguistumą, nerimastingumą ar sujaudinimą, nerimą, šleikštulį (pykinimą arba vėmimą), drebulį (virpėjimą), galvos skausmą, raumenų skausmą, dirglumą, viduriavimą, smarkų prakaitavimą arba galvos sukimąsi.</w:t>
      </w:r>
    </w:p>
    <w:p w14:paraId="39769CF7"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67087D9"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Šie simptomai paprastai būna nesunkūs ir praeina per kelias dienas, tačiau jeigu pasireiškia simptomai, kurie kelia Jums nerimą, pasakykite apie tai gydytojui.</w:t>
      </w:r>
    </w:p>
    <w:p w14:paraId="76185AA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1F5BD70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kiltų daugiau klausimų dėl šio vaisto vartojimo, kreipkitės į gydytoją arba vaistininką.</w:t>
      </w:r>
    </w:p>
    <w:p w14:paraId="2154C6F1"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C60C32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372B5A1A"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w:t>
      </w:r>
      <w:r>
        <w:rPr>
          <w:rFonts w:ascii="Times New Roman" w:eastAsia="Times New Roman" w:hAnsi="Times New Roman" w:cs="Times New Roman"/>
          <w:b/>
          <w:bCs/>
          <w:snapToGrid w:val="0"/>
          <w:lang w:eastAsia="x-none"/>
        </w:rPr>
        <w:tab/>
        <w:t>Galimas šalutinis poveikis</w:t>
      </w:r>
    </w:p>
    <w:p w14:paraId="152C745C" w14:textId="77777777" w:rsidR="00D60365" w:rsidRDefault="00D60365">
      <w:pPr>
        <w:widowControl w:val="0"/>
        <w:numPr>
          <w:ilvl w:val="12"/>
          <w:numId w:val="0"/>
        </w:numPr>
        <w:spacing w:after="0" w:line="240" w:lineRule="auto"/>
        <w:rPr>
          <w:rFonts w:ascii="Times New Roman" w:eastAsia="Times New Roman" w:hAnsi="Times New Roman" w:cs="Times New Roman"/>
          <w:snapToGrid w:val="0"/>
        </w:rPr>
      </w:pPr>
    </w:p>
    <w:p w14:paraId="6578A9E3"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Šis vaistas, kaip ir visi kiti, gali sukelti šalutinį poveikį, nors jis pasireiškia ne visiems žmonėms. Šis poveikis dažniausiai yra silpnas arba vidutinio stiprumo ir dažnai išnyksta per kelias savaites.</w:t>
      </w:r>
    </w:p>
    <w:p w14:paraId="611A59B5"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AF05257"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Labai dažni šalutinio poveikio reiškiniai (gali pasireikšti </w:t>
      </w:r>
      <w:r>
        <w:rPr>
          <w:rFonts w:ascii="Times New Roman" w:eastAsia="Times New Roman" w:hAnsi="Times New Roman" w:cs="Times New Roman"/>
          <w:b/>
          <w:bCs/>
        </w:rPr>
        <w:t>ne rečiau</w:t>
      </w:r>
      <w:r>
        <w:rPr>
          <w:rFonts w:ascii="Times New Roman" w:eastAsia="Times New Roman" w:hAnsi="Times New Roman" w:cs="Times New Roman"/>
          <w:b/>
          <w:bCs/>
          <w:snapToGrid w:val="0"/>
        </w:rPr>
        <w:t xml:space="preserve"> kaip 1 iš 10 asmenų)</w:t>
      </w:r>
    </w:p>
    <w:p w14:paraId="0093A86E"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galvos skausmas, mieguistumas;</w:t>
      </w:r>
    </w:p>
    <w:p w14:paraId="3BB128C0"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pykinimas (šleikštulys), burnos džiūvimas.</w:t>
      </w:r>
    </w:p>
    <w:p w14:paraId="16752EB6"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88DBCB5"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Dažni šalutinio poveikio reiškiniai (gali pasireikšti rečiau kaip 1 iš 10 asmenų)</w:t>
      </w:r>
    </w:p>
    <w:p w14:paraId="608D3542"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apetito praradimas;</w:t>
      </w:r>
    </w:p>
    <w:p w14:paraId="24410616"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miego sutrikimas, sujaudinimas, lytinio potraukio sumažėjimas, nerimas, sunkumas pasiekti orgazmą ar jo nebuvimas, neįprasti sapnai;</w:t>
      </w:r>
    </w:p>
    <w:p w14:paraId="6D933D0D"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galvos svaigimas, nerangumas, drebulys, tirpulys, įskaitant odos tirpulį, </w:t>
      </w:r>
      <w:proofErr w:type="spellStart"/>
      <w:r>
        <w:rPr>
          <w:rFonts w:ascii="Times New Roman" w:eastAsia="Times New Roman" w:hAnsi="Times New Roman" w:cs="Times New Roman"/>
          <w:snapToGrid w:val="0"/>
        </w:rPr>
        <w:t>dygčiojimą</w:t>
      </w:r>
      <w:proofErr w:type="spellEnd"/>
      <w:r>
        <w:rPr>
          <w:rFonts w:ascii="Times New Roman" w:eastAsia="Times New Roman" w:hAnsi="Times New Roman" w:cs="Times New Roman"/>
          <w:snapToGrid w:val="0"/>
        </w:rPr>
        <w:t xml:space="preserve"> arba dilgčiojimą;</w:t>
      </w:r>
    </w:p>
    <w:p w14:paraId="449A0B5E"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neryškus matymas;</w:t>
      </w:r>
    </w:p>
    <w:p w14:paraId="64B2E180"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spengimas ausyse (garsų ausyse girdėjimas, kai jų išorėje nėra);</w:t>
      </w:r>
    </w:p>
    <w:p w14:paraId="3D81C8DC"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širdies plakimo krūtinėje jutimas;</w:t>
      </w:r>
    </w:p>
    <w:p w14:paraId="37038633"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kraujospūdžio padidėjimas, trumpalaikis veido ir kaklo paraudimas su karščio pojūčiu;</w:t>
      </w:r>
    </w:p>
    <w:p w14:paraId="1D402A0C"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žiovulio padažnėjimas;</w:t>
      </w:r>
    </w:p>
    <w:p w14:paraId="4199C7D4"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vidurių užkietėjimas, viduriavimas, skrandžio skausmas, vėmimas, rėmuo arba </w:t>
      </w:r>
      <w:proofErr w:type="spellStart"/>
      <w:r>
        <w:rPr>
          <w:rFonts w:ascii="Times New Roman" w:eastAsia="Times New Roman" w:hAnsi="Times New Roman" w:cs="Times New Roman"/>
          <w:snapToGrid w:val="0"/>
        </w:rPr>
        <w:t>nevirškinimas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meteorizmas</w:t>
      </w:r>
      <w:proofErr w:type="spellEnd"/>
      <w:r>
        <w:rPr>
          <w:rFonts w:ascii="Times New Roman" w:eastAsia="Times New Roman" w:hAnsi="Times New Roman" w:cs="Times New Roman"/>
          <w:snapToGrid w:val="0"/>
        </w:rPr>
        <w:t>;</w:t>
      </w:r>
    </w:p>
    <w:p w14:paraId="4393F611"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prakaitavimo padidėjimas, niežtintis išbėrimas;</w:t>
      </w:r>
    </w:p>
    <w:p w14:paraId="1E53D327"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raumenų skausmas, raumenų spazmai;</w:t>
      </w:r>
    </w:p>
    <w:p w14:paraId="10D84501"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skausmingas šlapinimasis, dažnas šlapinimasis;</w:t>
      </w:r>
    </w:p>
    <w:p w14:paraId="53DBF5ED"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erekcijos sutrikimas, ejakuliacijos pokytis;</w:t>
      </w:r>
    </w:p>
    <w:p w14:paraId="387678A3"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griuvimas (dažniausiai senyvų žmonių), nuovargis;</w:t>
      </w:r>
    </w:p>
    <w:p w14:paraId="33FEE280"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kūno masės sumažėjimas.</w:t>
      </w:r>
    </w:p>
    <w:p w14:paraId="544427CF"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55B80BD6"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Vaikams ir jaunesniems kaip 18 metų paaugliams, sergantiems depresija ir gydytiems šiuo vaistu, šiek tiek sumažėjo kūno masė pirmą kartą pradėjus vartoti šį vaistą. Po 6 gydymo mėnesių kūno masė padidėjo tiek, kad vėl atitiko kitų vaikų ir paauglių kūno masę, atsižvelgiant į jų amžių ir lytį.</w:t>
      </w:r>
    </w:p>
    <w:p w14:paraId="10AAF034"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8CDBE1B"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Nedažni šalutinio poveikio reiškiniai (gali pasireikšti rečiau kaip 1 iš 100 asmenų)</w:t>
      </w:r>
    </w:p>
    <w:p w14:paraId="5802C2A9"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ryklės uždegimas, sukeliantis balso užkimimą;</w:t>
      </w:r>
    </w:p>
    <w:p w14:paraId="7CF2B7B7"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mintys apie savižudybę, sunkumas užmigti, dantų griežimas arba sukandimas, orientacijos sutrikimas, motyvacijos stoka;</w:t>
      </w:r>
    </w:p>
    <w:p w14:paraId="067EDE05"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staigios nevalingos raumenų konvulsijos arba trūkčiojimas, neramumas arba negalėjimas ramiai sėdėti arba stovėti, nervingumas, dėmesio sukaupimo pasunkėjimas, skonio pojūčio pokytis, judesių kontroliavimo pasunkėjimas, pvz., koordinacijos stoka arba nevalingi raumenų judesiai, neramių kojų sindromas, bloga miego kokybė;</w:t>
      </w:r>
    </w:p>
    <w:p w14:paraId="4C182714"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išsiplėtę vyzdžiai (tamsus akių centras), regos sutrikimas;</w:t>
      </w:r>
    </w:p>
    <w:p w14:paraId="55A00C1F"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galvos svaigimo arba sukimosi (</w:t>
      </w:r>
      <w:proofErr w:type="spellStart"/>
      <w:r>
        <w:rPr>
          <w:rFonts w:ascii="Times New Roman" w:eastAsia="Times New Roman" w:hAnsi="Times New Roman" w:cs="Times New Roman"/>
          <w:i/>
          <w:iCs/>
          <w:snapToGrid w:val="0"/>
        </w:rPr>
        <w:t>vertigo</w:t>
      </w:r>
      <w:proofErr w:type="spellEnd"/>
      <w:r>
        <w:rPr>
          <w:rFonts w:ascii="Times New Roman" w:eastAsia="Times New Roman" w:hAnsi="Times New Roman" w:cs="Times New Roman"/>
          <w:snapToGrid w:val="0"/>
        </w:rPr>
        <w:t>) pojūtis, ausų skausmas;</w:t>
      </w:r>
    </w:p>
    <w:p w14:paraId="77FDE3A4"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dažnas arba (ir) nereguliarus širdies plakimas;</w:t>
      </w:r>
    </w:p>
    <w:p w14:paraId="6212F75F"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alpulys, galvos svaigimas, apsvaigimas arba alpimas stojantis, šalti rankų ir (arba) kojų pirštai;</w:t>
      </w:r>
    </w:p>
    <w:p w14:paraId="0CA8EDD4"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gerklės veržimas, kraujavimas iš nosies;</w:t>
      </w:r>
    </w:p>
    <w:p w14:paraId="47B88A39"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vėmimas krauju arba juodos deguto išvaizdos išmatos, skrandžio ir plonosios žarnos uždegimas, raugulys, rijimo pasunkėjimas;</w:t>
      </w:r>
    </w:p>
    <w:p w14:paraId="0D9B8CFE"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kepenų uždegimas, galintis sukelti pilvo skausmą ir odos bei akių baltymo pageltimą;</w:t>
      </w:r>
    </w:p>
    <w:p w14:paraId="237CAF69"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naktinis prakaitavimas, dilgėlinė, šaltas prakaitas, padidėjęs jautrumas saulės šviesai, polinkio į kraujosruvas padidėjimas;</w:t>
      </w:r>
    </w:p>
    <w:p w14:paraId="01621F66"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raumenų įtempimas, raumenų trūkčiojimas;</w:t>
      </w:r>
    </w:p>
    <w:p w14:paraId="2C5B2DC6"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šlapinimosi pasunkėjimas arba negalėjimas nusišlapinti, sunkumas pradėti šlapintis, poreikis šlapintis naktį, didesnio už normalų šlapimo kiekio išskyrimas, silpnesnė išskiriamo šlapimo srovė;</w:t>
      </w:r>
    </w:p>
    <w:p w14:paraId="40F7D4BB"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nenormalus kraujavimas iš makšties, nenormalios mėnesinės (įskaitant gausias, skausmingas, nereguliarias ar pailgėjusias, neįprastai silpnas) arba jų nebuvimas, sėklidžių arba kapšelio skausmas;</w:t>
      </w:r>
    </w:p>
    <w:p w14:paraId="7EA8DA11"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krūtinės skausmas, šalčio pojūtis, troškulys, virpulys, karščio pojūtis, nenormali eisena;</w:t>
      </w:r>
    </w:p>
    <w:p w14:paraId="2EC2B550"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kūno masės padidėjimas;</w:t>
      </w:r>
    </w:p>
    <w:p w14:paraId="7EB290B4" w14:textId="77777777" w:rsidR="00D60365" w:rsidRDefault="00C12095">
      <w:pPr>
        <w:widowControl w:val="0"/>
        <w:numPr>
          <w:ilvl w:val="0"/>
          <w:numId w:val="8"/>
        </w:numPr>
        <w:spacing w:after="0" w:line="240" w:lineRule="auto"/>
        <w:ind w:left="567"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gali sukelti Jums nežinomus poveikius, tokius kaip kepenų fermentų kraujyje padidėjimas, kalio kiekio kraujyje padidėjimas, </w:t>
      </w:r>
      <w:proofErr w:type="spellStart"/>
      <w:r>
        <w:rPr>
          <w:rFonts w:ascii="Times New Roman" w:eastAsia="Times New Roman" w:hAnsi="Times New Roman" w:cs="Times New Roman"/>
          <w:snapToGrid w:val="0"/>
        </w:rPr>
        <w:t>kreatinfosfokinazės</w:t>
      </w:r>
      <w:proofErr w:type="spellEnd"/>
      <w:r>
        <w:rPr>
          <w:rFonts w:ascii="Times New Roman" w:eastAsia="Times New Roman" w:hAnsi="Times New Roman" w:cs="Times New Roman"/>
          <w:snapToGrid w:val="0"/>
        </w:rPr>
        <w:t xml:space="preserve"> kiekio kraujyje padidėjimas, cukraus ar cholesterolio kiekio kraujyje padidėjimas.</w:t>
      </w:r>
    </w:p>
    <w:p w14:paraId="23665702"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2824A6E5" w14:textId="77777777"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Reti šalutinio poveikio reiškiniai (gali pasireikšti rečiau kaip 1 iš 1000 asmenų)</w:t>
      </w:r>
    </w:p>
    <w:p w14:paraId="21235764"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sunkios alerginės reakcijos, sukeliančios kvėpavimo pasunkėjimą arba galvos svaigimą, susijusį su liežuvio ar lūpų patinimu, alerginės reakcijos;</w:t>
      </w:r>
    </w:p>
    <w:p w14:paraId="63DC53A5"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skydliaukės aktyvumo sumažėjimas, galintis sukelti nuovargį ir kūno svorio padidėjimą;</w:t>
      </w:r>
    </w:p>
    <w:p w14:paraId="1681C340"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organizmo skysčių netekimas, mažas natrio kiekis kraujyje (daugiausia senyviems pacientams; jo simptomai gali būti galvos svaigimas, silpnumas, sumišimas, mieguistumas arba didelis </w:t>
      </w:r>
      <w:r>
        <w:rPr>
          <w:rFonts w:ascii="Times New Roman" w:eastAsia="Times New Roman" w:hAnsi="Times New Roman" w:cs="Times New Roman"/>
          <w:snapToGrid w:val="0"/>
        </w:rPr>
        <w:lastRenderedPageBreak/>
        <w:t xml:space="preserve">nuovargis, pykinimas arba vėmimas, pavojingesni simptomai yra alpulys, traukuliai arba griuvimas), </w:t>
      </w:r>
      <w:proofErr w:type="spellStart"/>
      <w:r>
        <w:rPr>
          <w:rFonts w:ascii="Times New Roman" w:eastAsia="Times New Roman" w:hAnsi="Times New Roman" w:cs="Times New Roman"/>
          <w:snapToGrid w:val="0"/>
        </w:rPr>
        <w:t>antidiurezinio</w:t>
      </w:r>
      <w:proofErr w:type="spellEnd"/>
      <w:r>
        <w:rPr>
          <w:rFonts w:ascii="Times New Roman" w:eastAsia="Times New Roman" w:hAnsi="Times New Roman" w:cs="Times New Roman"/>
          <w:snapToGrid w:val="0"/>
        </w:rPr>
        <w:t xml:space="preserve"> hormono sutrikusios sekrecijos sindromas;</w:t>
      </w:r>
    </w:p>
    <w:p w14:paraId="0B2C2DB8"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savižudiškas elgesys, manija (per didelis aktyvumas, minčių kaita, miego poreikio sumažėjimas), haliucinacijos, agresija ir pyktis;</w:t>
      </w:r>
    </w:p>
    <w:p w14:paraId="38E2998D"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(reta reakcija, kurios galimi simptomai yra nevalingi ritmiški raumenų, įskaitant akių judesius kontroliuojančius judesius, susitraukimai, baimingas susijaudinimas (</w:t>
      </w:r>
      <w:proofErr w:type="spellStart"/>
      <w:r>
        <w:rPr>
          <w:rFonts w:ascii="Times New Roman" w:eastAsia="Times New Roman" w:hAnsi="Times New Roman" w:cs="Times New Roman"/>
          <w:snapToGrid w:val="0"/>
        </w:rPr>
        <w:t>ažitacija</w:t>
      </w:r>
      <w:proofErr w:type="spellEnd"/>
      <w:r>
        <w:rPr>
          <w:rFonts w:ascii="Times New Roman" w:eastAsia="Times New Roman" w:hAnsi="Times New Roman" w:cs="Times New Roman"/>
          <w:snapToGrid w:val="0"/>
        </w:rPr>
        <w:t>), haliucinacijos, koma, smarkus prakaitavimas, drebulys, refleksų sustiprėjimas, padidėjusi raumenų įtampa, didesnė kaip 38 °C kūno temperatūra, pykinimas, vėmimas, viduriavimas), traukuliai;</w:t>
      </w:r>
    </w:p>
    <w:p w14:paraId="6829886B"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akispūdžio padidėjimas (glaukoma);</w:t>
      </w:r>
    </w:p>
    <w:p w14:paraId="1C6354AE"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kosulys, švokštimas ir dusulys, kurie gali pasireikšti kartu su didele temperatūra;</w:t>
      </w:r>
    </w:p>
    <w:p w14:paraId="29B44897"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burnos uždegimas, šviesiai raudonas kraujas išmatose, blogas kvapas iš burnos,</w:t>
      </w:r>
      <w:r>
        <w:rPr>
          <w:rFonts w:ascii="Times New Roman" w:eastAsia="Calibri" w:hAnsi="Times New Roman" w:cs="Times New Roman"/>
          <w:color w:val="000000"/>
        </w:rPr>
        <w:t xml:space="preserve"> storosios žarnos uždegimas (sukeliantis viduriavimą)</w:t>
      </w:r>
      <w:r>
        <w:rPr>
          <w:rFonts w:ascii="Times New Roman" w:eastAsia="Times New Roman" w:hAnsi="Times New Roman" w:cs="Times New Roman"/>
          <w:snapToGrid w:val="0"/>
        </w:rPr>
        <w:t>;</w:t>
      </w:r>
    </w:p>
    <w:p w14:paraId="0451973C"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kepenų nepakankamumas, odos ar akių baltymo pageltimas (gelta);</w:t>
      </w:r>
    </w:p>
    <w:p w14:paraId="49238C1F"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Stivenso</w:t>
      </w:r>
      <w:proofErr w:type="spellEnd"/>
      <w:r>
        <w:rPr>
          <w:rFonts w:ascii="Times New Roman" w:eastAsia="Times New Roman" w:hAnsi="Times New Roman" w:cs="Times New Roman"/>
          <w:snapToGrid w:val="0"/>
        </w:rPr>
        <w:t>-Džonsono (</w:t>
      </w:r>
      <w:proofErr w:type="spellStart"/>
      <w:r>
        <w:rPr>
          <w:rFonts w:ascii="Times New Roman" w:eastAsia="Times New Roman" w:hAnsi="Times New Roman" w:cs="Times New Roman"/>
          <w:i/>
          <w:snapToGrid w:val="0"/>
        </w:rPr>
        <w:t>Stevens-Johnson</w:t>
      </w:r>
      <w:proofErr w:type="spellEnd"/>
      <w:r>
        <w:rPr>
          <w:rFonts w:ascii="Times New Roman" w:eastAsia="Times New Roman" w:hAnsi="Times New Roman" w:cs="Times New Roman"/>
          <w:snapToGrid w:val="0"/>
        </w:rPr>
        <w:t>) sindromas (sunki liga, susijusi su odos, burnos, akių ir lytinių organų pūslėjimu), sunki alerginė reakcija, sukelianti veido ir ryklės patinimą (</w:t>
      </w:r>
      <w:proofErr w:type="spellStart"/>
      <w:r>
        <w:rPr>
          <w:rFonts w:ascii="Times New Roman" w:eastAsia="Times New Roman" w:hAnsi="Times New Roman" w:cs="Times New Roman"/>
          <w:snapToGrid w:val="0"/>
        </w:rPr>
        <w:t>angioneurozinė</w:t>
      </w:r>
      <w:proofErr w:type="spellEnd"/>
      <w:r>
        <w:rPr>
          <w:rFonts w:ascii="Times New Roman" w:eastAsia="Times New Roman" w:hAnsi="Times New Roman" w:cs="Times New Roman"/>
          <w:snapToGrid w:val="0"/>
        </w:rPr>
        <w:t xml:space="preserve"> edema);</w:t>
      </w:r>
    </w:p>
    <w:p w14:paraId="73C36B5B"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žandikaulio raumenų susitraukimas;</w:t>
      </w:r>
    </w:p>
    <w:p w14:paraId="2AFA8A0E"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nenormalus šlapimo kvapas;</w:t>
      </w:r>
    </w:p>
    <w:p w14:paraId="688F08A2"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menopauzės simptomai, nenormali pieno gamyba pieno liaukose moterims arba vyrams;</w:t>
      </w:r>
    </w:p>
    <w:p w14:paraId="524B2EFA" w14:textId="77777777" w:rsidR="00D60365" w:rsidRDefault="00C12095">
      <w:pPr>
        <w:widowControl w:val="0"/>
        <w:numPr>
          <w:ilvl w:val="0"/>
          <w:numId w:val="10"/>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pernelyg gausus kraujavimas iš makšties netrukus po gimdymo (kraujavimas po gimdymo).</w:t>
      </w:r>
    </w:p>
    <w:p w14:paraId="29561DE4" w14:textId="77777777" w:rsidR="00D60365" w:rsidRDefault="00D60365">
      <w:pPr>
        <w:widowControl w:val="0"/>
        <w:tabs>
          <w:tab w:val="left" w:pos="567"/>
        </w:tabs>
        <w:spacing w:after="0" w:line="240" w:lineRule="auto"/>
        <w:rPr>
          <w:rFonts w:ascii="Times New Roman" w:eastAsia="Times New Roman" w:hAnsi="Times New Roman" w:cs="Times New Roman"/>
          <w:b/>
          <w:snapToGrid w:val="0"/>
        </w:rPr>
      </w:pPr>
    </w:p>
    <w:p w14:paraId="67C56AF9" w14:textId="77777777" w:rsidR="00D60365" w:rsidRDefault="00C12095">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Labai reti šalutinio poveikio reiškiniai (gali pasireikšti </w:t>
      </w:r>
      <w:r>
        <w:rPr>
          <w:rFonts w:ascii="Times New Roman" w:eastAsia="Times New Roman" w:hAnsi="Times New Roman" w:cs="Times New Roman"/>
          <w:b/>
          <w:bCs/>
          <w:snapToGrid w:val="0"/>
        </w:rPr>
        <w:t>rečiau</w:t>
      </w:r>
      <w:r>
        <w:rPr>
          <w:rFonts w:ascii="Times New Roman" w:eastAsia="Times New Roman" w:hAnsi="Times New Roman" w:cs="Times New Roman"/>
          <w:b/>
          <w:snapToGrid w:val="0"/>
        </w:rPr>
        <w:t xml:space="preserve"> kaip 1 iš 10000 asmenų)</w:t>
      </w:r>
    </w:p>
    <w:p w14:paraId="1BA5C6AC" w14:textId="77777777" w:rsidR="00D60365" w:rsidRDefault="00C12095">
      <w:pPr>
        <w:widowControl w:val="0"/>
        <w:numPr>
          <w:ilvl w:val="0"/>
          <w:numId w:val="10"/>
        </w:numPr>
        <w:tabs>
          <w:tab w:val="left" w:pos="567"/>
        </w:tabs>
        <w:snapToGrid w:val="0"/>
        <w:spacing w:after="200" w:line="240" w:lineRule="auto"/>
        <w:ind w:left="567" w:hanging="567"/>
        <w:rPr>
          <w:rFonts w:ascii="Times New Roman" w:eastAsia="Times New Roman" w:hAnsi="Times New Roman" w:cs="Times New Roman"/>
          <w:szCs w:val="20"/>
        </w:rPr>
      </w:pPr>
      <w:r>
        <w:rPr>
          <w:rFonts w:ascii="Times New Roman" w:eastAsia="Times New Roman" w:hAnsi="Times New Roman" w:cs="Times New Roman"/>
          <w:szCs w:val="20"/>
          <w:lang w:val="pt-PT"/>
        </w:rPr>
        <w:t>Odos kraujagyslių uždegimas (odos vaskulitas).</w:t>
      </w:r>
    </w:p>
    <w:p w14:paraId="41C383C2" w14:textId="77777777" w:rsidR="00D60365" w:rsidRDefault="00C12095">
      <w:pPr>
        <w:widowControl w:val="0"/>
        <w:tabs>
          <w:tab w:val="left" w:pos="567"/>
        </w:tabs>
        <w:snapToGrid w:val="0"/>
        <w:spacing w:after="0" w:line="240" w:lineRule="auto"/>
        <w:rPr>
          <w:rFonts w:ascii="Times New Roman" w:eastAsia="Times New Roman" w:hAnsi="Times New Roman" w:cs="Times New Roman"/>
          <w:b/>
          <w:szCs w:val="20"/>
        </w:rPr>
      </w:pPr>
      <w:r>
        <w:rPr>
          <w:rFonts w:ascii="Times New Roman" w:eastAsia="Times New Roman" w:hAnsi="Times New Roman" w:cs="Times New Roman"/>
          <w:b/>
          <w:szCs w:val="20"/>
        </w:rPr>
        <w:t>Dažnis nežinomas (negali būti apskaičiuotas pagal turimus duomenis)</w:t>
      </w:r>
    </w:p>
    <w:p w14:paraId="04A28A10" w14:textId="77777777" w:rsidR="00D60365" w:rsidRDefault="00C12095">
      <w:pPr>
        <w:widowControl w:val="0"/>
        <w:numPr>
          <w:ilvl w:val="0"/>
          <w:numId w:val="10"/>
        </w:numPr>
        <w:tabs>
          <w:tab w:val="left" w:pos="567"/>
        </w:tabs>
        <w:snapToGrid w:val="0"/>
        <w:spacing w:after="200" w:line="240" w:lineRule="auto"/>
        <w:ind w:left="567" w:hanging="567"/>
        <w:rPr>
          <w:rFonts w:ascii="Times New Roman" w:eastAsia="Times New Roman" w:hAnsi="Times New Roman" w:cs="Times New Roman"/>
          <w:szCs w:val="20"/>
        </w:rPr>
      </w:pPr>
      <w:r>
        <w:rPr>
          <w:rFonts w:ascii="Times New Roman" w:eastAsia="Times New Roman" w:hAnsi="Times New Roman" w:cs="Times New Roman"/>
          <w:bCs/>
          <w:szCs w:val="20"/>
        </w:rPr>
        <w:t>būklės, vadinamos „streso sukelta kardiomiopatija“, požymiai ir simptomai, kurie gali būti krūtinės skausmas, dusulys, galvos svaigimas, alpimas, nereguliarus širdies plakimas.</w:t>
      </w:r>
    </w:p>
    <w:p w14:paraId="6A974075" w14:textId="77777777" w:rsidR="00D60365" w:rsidRDefault="00D60365">
      <w:pPr>
        <w:widowControl w:val="0"/>
        <w:tabs>
          <w:tab w:val="left" w:pos="567"/>
        </w:tabs>
        <w:snapToGrid w:val="0"/>
        <w:spacing w:after="0" w:line="240" w:lineRule="auto"/>
        <w:rPr>
          <w:rFonts w:ascii="Times New Roman" w:eastAsia="Times New Roman" w:hAnsi="Times New Roman" w:cs="Times New Roman"/>
          <w:b/>
          <w:szCs w:val="20"/>
        </w:rPr>
      </w:pPr>
    </w:p>
    <w:p w14:paraId="4790AEA2" w14:textId="77777777" w:rsidR="00D60365" w:rsidRDefault="00C12095">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Pranešimas apie šalutinį poveikį</w:t>
      </w:r>
    </w:p>
    <w:p w14:paraId="1488466F" w14:textId="67096BE0"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pasireiškė šalutinis poveikis, įskaitant šiame lapelyje nenurodytą, pasakykite gydytojui arba vaistininkui. </w:t>
      </w:r>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Calibri" w:hAnsi="Times New Roman" w:cs="Times New Roman"/>
        </w:rPr>
        <w:t>.</w:t>
      </w:r>
    </w:p>
    <w:p w14:paraId="4B02D209" w14:textId="77777777" w:rsidR="00D60365" w:rsidRDefault="00D60365">
      <w:pPr>
        <w:widowControl w:val="0"/>
        <w:tabs>
          <w:tab w:val="left" w:pos="567"/>
        </w:tabs>
        <w:spacing w:after="0" w:line="240" w:lineRule="auto"/>
        <w:ind w:right="-449"/>
        <w:rPr>
          <w:rFonts w:ascii="Times New Roman" w:eastAsia="Times New Roman" w:hAnsi="Times New Roman" w:cs="Times New Roman"/>
          <w:snapToGrid w:val="0"/>
        </w:rPr>
      </w:pPr>
    </w:p>
    <w:p w14:paraId="46408893" w14:textId="77777777" w:rsidR="00D60365" w:rsidRDefault="00D60365">
      <w:pPr>
        <w:widowControl w:val="0"/>
        <w:tabs>
          <w:tab w:val="left" w:pos="567"/>
        </w:tabs>
        <w:spacing w:after="0" w:line="240" w:lineRule="auto"/>
        <w:ind w:right="-449"/>
        <w:rPr>
          <w:rFonts w:ascii="Times New Roman" w:eastAsia="Times New Roman" w:hAnsi="Times New Roman" w:cs="Times New Roman"/>
          <w:snapToGrid w:val="0"/>
        </w:rPr>
      </w:pPr>
    </w:p>
    <w:p w14:paraId="34C4390F"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w:t>
      </w:r>
      <w:r>
        <w:rPr>
          <w:rFonts w:ascii="Times New Roman" w:eastAsia="Times New Roman" w:hAnsi="Times New Roman" w:cs="Times New Roman"/>
          <w:b/>
          <w:bCs/>
          <w:snapToGrid w:val="0"/>
          <w:lang w:eastAsia="x-none"/>
        </w:rPr>
        <w:tab/>
        <w:t xml:space="preserve">Kaip laikyti </w:t>
      </w:r>
      <w:proofErr w:type="spellStart"/>
      <w:r>
        <w:rPr>
          <w:rFonts w:ascii="Times New Roman" w:eastAsia="Times New Roman" w:hAnsi="Times New Roman" w:cs="Times New Roman"/>
          <w:b/>
          <w:bCs/>
          <w:snapToGrid w:val="0"/>
          <w:lang w:eastAsia="x-none"/>
        </w:rPr>
        <w:t>Dulsevia</w:t>
      </w:r>
      <w:proofErr w:type="spellEnd"/>
    </w:p>
    <w:p w14:paraId="66CDBD21"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7DDD7C2B" w14:textId="77777777" w:rsidR="00D60365" w:rsidRDefault="00C12095">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Šį vaistą laikykite vaikams nepastebimoje ir nepasiekiamoje vietoje.</w:t>
      </w:r>
    </w:p>
    <w:p w14:paraId="34F16E04"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2D16549D" w14:textId="77777777" w:rsidR="00D60365" w:rsidRDefault="00C12095">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Ant pakuotės po „EXP“ nurodytam tinkamumo laikui pasibaigus, šio vaisto vartoti negalima. Vaistas tinkamas vartoti iki paskutinės nurodyto mėnesio dienos.</w:t>
      </w:r>
    </w:p>
    <w:p w14:paraId="4CB8D79D"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6A346DEF" w14:textId="6F7C5932"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color w:val="0D0D0D"/>
        </w:rPr>
        <w:t>Laikyti ne aukštesnėje kaip 30 </w:t>
      </w:r>
      <w:r>
        <w:rPr>
          <w:rFonts w:ascii="Times New Roman" w:eastAsia="Times New Roman" w:hAnsi="Times New Roman" w:cs="Times New Roman"/>
          <w:snapToGrid w:val="0"/>
        </w:rPr>
        <w:t>°C temperatūroje.</w:t>
      </w:r>
    </w:p>
    <w:p w14:paraId="786A6A19" w14:textId="77777777" w:rsidR="00D60365" w:rsidRDefault="00C12095">
      <w:pPr>
        <w:widowControl w:val="0"/>
        <w:spacing w:after="0" w:line="240" w:lineRule="auto"/>
        <w:rPr>
          <w:rFonts w:ascii="Times New Roman" w:eastAsia="Times New Roman" w:hAnsi="Times New Roman" w:cs="Times New Roman"/>
          <w:snapToGrid w:val="0"/>
          <w:color w:val="0D0D0D"/>
        </w:rPr>
      </w:pPr>
      <w:r>
        <w:rPr>
          <w:rFonts w:ascii="Times New Roman" w:eastAsia="Times New Roman" w:hAnsi="Times New Roman" w:cs="Times New Roman"/>
          <w:snapToGrid w:val="0"/>
        </w:rPr>
        <w:t>Laikyti gamintojo pakuotėje, kad vaistas būtų apsaugotas nuo drėgmės.</w:t>
      </w:r>
    </w:p>
    <w:p w14:paraId="25754016"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1E286157" w14:textId="77777777" w:rsidR="00D60365" w:rsidRDefault="00C12095">
      <w:pPr>
        <w:widowControl w:val="0"/>
        <w:numPr>
          <w:ilvl w:val="12"/>
          <w:numId w:val="0"/>
        </w:numPr>
        <w:spacing w:after="0" w:line="240" w:lineRule="auto"/>
        <w:ind w:right="-2"/>
        <w:rPr>
          <w:rFonts w:ascii="Times New Roman" w:eastAsia="Times New Roman" w:hAnsi="Times New Roman" w:cs="Times New Roman"/>
          <w:i/>
          <w:snapToGrid w:val="0"/>
        </w:rPr>
      </w:pPr>
      <w:r>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0E2AF5D0"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2124F0AD"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2131D499" w14:textId="77777777" w:rsidR="00D60365" w:rsidRDefault="00C12095">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w:t>
      </w:r>
      <w:r>
        <w:rPr>
          <w:rFonts w:ascii="Times New Roman" w:eastAsia="Times New Roman" w:hAnsi="Times New Roman" w:cs="Times New Roman"/>
          <w:bCs/>
          <w:snapToGrid w:val="0"/>
          <w:lang w:eastAsia="x-none"/>
        </w:rPr>
        <w:tab/>
      </w:r>
      <w:r>
        <w:rPr>
          <w:rFonts w:ascii="Times New Roman" w:eastAsia="Times New Roman" w:hAnsi="Times New Roman" w:cs="Times New Roman"/>
          <w:b/>
          <w:bCs/>
          <w:snapToGrid w:val="0"/>
          <w:lang w:eastAsia="x-none"/>
        </w:rPr>
        <w:t>Pakuotės turinys ir kita informacija</w:t>
      </w:r>
    </w:p>
    <w:p w14:paraId="0FB5AA75" w14:textId="77777777" w:rsidR="00D60365" w:rsidRDefault="00D60365">
      <w:pPr>
        <w:widowControl w:val="0"/>
        <w:numPr>
          <w:ilvl w:val="12"/>
          <w:numId w:val="0"/>
        </w:numPr>
        <w:spacing w:after="0" w:line="240" w:lineRule="auto"/>
        <w:rPr>
          <w:rFonts w:ascii="Times New Roman" w:eastAsia="Times New Roman" w:hAnsi="Times New Roman" w:cs="Times New Roman"/>
          <w:snapToGrid w:val="0"/>
        </w:rPr>
      </w:pPr>
    </w:p>
    <w:p w14:paraId="4758F8CF"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sudėtis</w:t>
      </w:r>
    </w:p>
    <w:p w14:paraId="3B4E00C8" w14:textId="77777777" w:rsidR="00D60365" w:rsidRDefault="00C12095">
      <w:pPr>
        <w:widowControl w:val="0"/>
        <w:numPr>
          <w:ilvl w:val="0"/>
          <w:numId w:val="11"/>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Veiklioji medžiaga yra </w:t>
      </w:r>
      <w:proofErr w:type="spellStart"/>
      <w:r>
        <w:rPr>
          <w:rFonts w:ascii="Times New Roman" w:eastAsia="Times New Roman" w:hAnsi="Times New Roman" w:cs="Times New Roman"/>
          <w:snapToGrid w:val="0"/>
        </w:rPr>
        <w:t>duloksetinas</w:t>
      </w:r>
      <w:proofErr w:type="spellEnd"/>
      <w:r>
        <w:rPr>
          <w:rFonts w:ascii="Times New Roman" w:eastAsia="Times New Roman" w:hAnsi="Times New Roman" w:cs="Times New Roman"/>
          <w:snapToGrid w:val="0"/>
        </w:rPr>
        <w:t xml:space="preserve">. Kiekvienoje skrandyje neirioje kietojoje kapsulėje yra </w:t>
      </w:r>
      <w:r>
        <w:rPr>
          <w:rFonts w:ascii="Times New Roman" w:eastAsia="Times New Roman" w:hAnsi="Times New Roman" w:cs="Times New Roman"/>
          <w:snapToGrid w:val="0"/>
        </w:rPr>
        <w:lastRenderedPageBreak/>
        <w:t xml:space="preserve">30 mg arba 60 mg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duloksetino</w:t>
      </w:r>
      <w:proofErr w:type="spellEnd"/>
      <w:r>
        <w:rPr>
          <w:rFonts w:ascii="Times New Roman" w:eastAsia="Times New Roman" w:hAnsi="Times New Roman" w:cs="Times New Roman"/>
          <w:snapToGrid w:val="0"/>
        </w:rPr>
        <w:t xml:space="preserve"> hidrochlorido pavidalu).</w:t>
      </w:r>
    </w:p>
    <w:p w14:paraId="3A80BB7E" w14:textId="77777777" w:rsidR="00D60365" w:rsidRDefault="00C12095">
      <w:pPr>
        <w:widowControl w:val="0"/>
        <w:numPr>
          <w:ilvl w:val="0"/>
          <w:numId w:val="11"/>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Pagalbinės medžiagos yra:</w:t>
      </w:r>
    </w:p>
    <w:p w14:paraId="77A5AB82" w14:textId="1076D7CA" w:rsidR="00D60365" w:rsidRDefault="00C12095" w:rsidP="0015450D">
      <w:pPr>
        <w:widowControl w:val="0"/>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napToGrid w:val="0"/>
          <w:u w:val="single"/>
        </w:rPr>
        <w:t>kapsulės turinys</w:t>
      </w:r>
      <w:r>
        <w:rPr>
          <w:rFonts w:ascii="Times New Roman" w:eastAsia="Times New Roman" w:hAnsi="Times New Roman" w:cs="Times New Roman"/>
          <w:snapToGrid w:val="0"/>
        </w:rPr>
        <w:t xml:space="preserve">: cukriniai branduoliai (sacharozė, kukurūzų krakmolas), </w:t>
      </w:r>
      <w:proofErr w:type="spellStart"/>
      <w:r>
        <w:rPr>
          <w:rFonts w:ascii="Times New Roman" w:eastAsia="Times New Roman" w:hAnsi="Times New Roman" w:cs="Times New Roman"/>
          <w:snapToGrid w:val="0"/>
        </w:rPr>
        <w:t>hipromeliozė</w:t>
      </w:r>
      <w:proofErr w:type="spellEnd"/>
      <w:r>
        <w:rPr>
          <w:rFonts w:ascii="Times New Roman" w:eastAsia="Times New Roman" w:hAnsi="Times New Roman" w:cs="Times New Roman"/>
          <w:snapToGrid w:val="0"/>
        </w:rPr>
        <w:t xml:space="preserve"> 6 </w:t>
      </w:r>
      <w:proofErr w:type="spellStart"/>
      <w:r>
        <w:rPr>
          <w:rFonts w:ascii="Times New Roman" w:eastAsia="Times New Roman" w:hAnsi="Times New Roman" w:cs="Times New Roman"/>
          <w:snapToGrid w:val="0"/>
        </w:rPr>
        <w:t>cP</w:t>
      </w:r>
      <w:proofErr w:type="spellEnd"/>
      <w:r>
        <w:rPr>
          <w:rFonts w:ascii="Times New Roman" w:eastAsia="Times New Roman" w:hAnsi="Times New Roman" w:cs="Times New Roman"/>
          <w:snapToGrid w:val="0"/>
        </w:rPr>
        <w:t xml:space="preserve">, sacharozė, </w:t>
      </w:r>
      <w:proofErr w:type="spellStart"/>
      <w:r>
        <w:rPr>
          <w:rFonts w:ascii="Times New Roman" w:eastAsia="Times New Roman" w:hAnsi="Times New Roman" w:cs="Times New Roman"/>
          <w:snapToGrid w:val="0"/>
        </w:rPr>
        <w:t>askorbo</w:t>
      </w:r>
      <w:proofErr w:type="spellEnd"/>
      <w:r>
        <w:rPr>
          <w:rFonts w:ascii="Times New Roman" w:eastAsia="Times New Roman" w:hAnsi="Times New Roman" w:cs="Times New Roman"/>
          <w:snapToGrid w:val="0"/>
        </w:rPr>
        <w:t xml:space="preserve"> rūgštis, </w:t>
      </w:r>
      <w:proofErr w:type="spellStart"/>
      <w:r>
        <w:rPr>
          <w:rFonts w:ascii="Times New Roman" w:eastAsia="Times New Roman" w:hAnsi="Times New Roman" w:cs="Times New Roman"/>
          <w:snapToGrid w:val="0"/>
        </w:rPr>
        <w:t>hipromeliozės</w:t>
      </w:r>
      <w:proofErr w:type="spellEnd"/>
      <w:r>
        <w:rPr>
          <w:rFonts w:ascii="Times New Roman" w:eastAsia="Times New Roman" w:hAnsi="Times New Roman" w:cs="Times New Roman"/>
          <w:snapToGrid w:val="0"/>
        </w:rPr>
        <w:t xml:space="preserve"> acetato </w:t>
      </w:r>
      <w:proofErr w:type="spellStart"/>
      <w:r>
        <w:rPr>
          <w:rFonts w:ascii="Times New Roman" w:eastAsia="Times New Roman" w:hAnsi="Times New Roman" w:cs="Times New Roman"/>
          <w:snapToGrid w:val="0"/>
        </w:rPr>
        <w:t>sukcinatas</w:t>
      </w:r>
      <w:proofErr w:type="spellEnd"/>
      <w:r>
        <w:rPr>
          <w:rFonts w:ascii="Times New Roman" w:eastAsia="Times New Roman" w:hAnsi="Times New Roman" w:cs="Times New Roman"/>
          <w:snapToGrid w:val="0"/>
        </w:rPr>
        <w:t xml:space="preserve">, talkas, </w:t>
      </w:r>
      <w:proofErr w:type="spellStart"/>
      <w:r>
        <w:rPr>
          <w:rFonts w:ascii="Times New Roman" w:eastAsia="Times New Roman" w:hAnsi="Times New Roman" w:cs="Times New Roman"/>
          <w:snapToGrid w:val="0"/>
        </w:rPr>
        <w:t>trietilo</w:t>
      </w:r>
      <w:proofErr w:type="spellEnd"/>
      <w:r>
        <w:rPr>
          <w:rFonts w:ascii="Times New Roman" w:eastAsia="Times New Roman" w:hAnsi="Times New Roman" w:cs="Times New Roman"/>
          <w:snapToGrid w:val="0"/>
        </w:rPr>
        <w:t xml:space="preserve"> citratas ir titano dioksidas (E171)</w:t>
      </w:r>
    </w:p>
    <w:p w14:paraId="29B19928" w14:textId="77777777" w:rsidR="00D60365" w:rsidRDefault="00C12095" w:rsidP="0015450D">
      <w:pPr>
        <w:widowControl w:val="0"/>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napToGrid w:val="0"/>
          <w:u w:val="single"/>
        </w:rPr>
        <w:t>kapsulės apvalkalas</w:t>
      </w:r>
      <w:r>
        <w:rPr>
          <w:rFonts w:ascii="Times New Roman" w:eastAsia="Times New Roman" w:hAnsi="Times New Roman" w:cs="Times New Roman"/>
          <w:snapToGrid w:val="0"/>
        </w:rPr>
        <w:t xml:space="preserve">: želatina, titano dioksidas (E171), </w:t>
      </w:r>
      <w:proofErr w:type="spellStart"/>
      <w:r>
        <w:rPr>
          <w:rFonts w:ascii="Times New Roman" w:eastAsia="Times New Roman" w:hAnsi="Times New Roman" w:cs="Times New Roman"/>
          <w:snapToGrid w:val="0"/>
        </w:rPr>
        <w:t>indigotinas</w:t>
      </w:r>
      <w:proofErr w:type="spellEnd"/>
      <w:r>
        <w:rPr>
          <w:rFonts w:ascii="Times New Roman" w:eastAsia="Times New Roman" w:hAnsi="Times New Roman" w:cs="Times New Roman"/>
          <w:snapToGrid w:val="0"/>
        </w:rPr>
        <w:t xml:space="preserve"> (E132), geltonasis geležies oksidas (E172) – tik 60 mg kapsulėse, dažai (</w:t>
      </w:r>
      <w:proofErr w:type="spellStart"/>
      <w:r>
        <w:rPr>
          <w:rFonts w:ascii="Times New Roman" w:eastAsia="Times New Roman" w:hAnsi="Times New Roman" w:cs="Times New Roman"/>
          <w:snapToGrid w:val="0"/>
        </w:rPr>
        <w:t>šelakas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propilenglikolis</w:t>
      </w:r>
      <w:proofErr w:type="spellEnd"/>
      <w:r>
        <w:rPr>
          <w:rFonts w:ascii="Times New Roman" w:eastAsia="Times New Roman" w:hAnsi="Times New Roman" w:cs="Times New Roman"/>
          <w:snapToGrid w:val="0"/>
        </w:rPr>
        <w:t xml:space="preserve"> (E1520), juodasis geležies oksidas (E172),</w:t>
      </w:r>
      <w:r>
        <w:t xml:space="preserve"> </w:t>
      </w:r>
      <w:r>
        <w:rPr>
          <w:rFonts w:ascii="Times New Roman" w:eastAsia="Times New Roman" w:hAnsi="Times New Roman" w:cs="Times New Roman"/>
          <w:snapToGrid w:val="0"/>
        </w:rPr>
        <w:t>kalio hidroksidas (E525))</w:t>
      </w:r>
    </w:p>
    <w:p w14:paraId="1D4D61FC" w14:textId="77777777" w:rsidR="00D60365" w:rsidRDefault="00C12095">
      <w:pPr>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Žr. 2 skyrių „</w:t>
      </w:r>
      <w:proofErr w:type="spellStart"/>
      <w:r>
        <w:rPr>
          <w:rFonts w:ascii="Times New Roman" w:eastAsia="Times New Roman" w:hAnsi="Times New Roman" w:cs="Times New Roman"/>
          <w:lang w:eastAsia="sl-SI"/>
        </w:rPr>
        <w:t>Dulsevia</w:t>
      </w:r>
      <w:proofErr w:type="spellEnd"/>
      <w:r>
        <w:rPr>
          <w:rFonts w:ascii="Times New Roman" w:eastAsia="Times New Roman" w:hAnsi="Times New Roman" w:cs="Times New Roman"/>
          <w:lang w:eastAsia="sl-SI"/>
        </w:rPr>
        <w:t xml:space="preserve"> sudėtyje yra sacharozės“.</w:t>
      </w:r>
    </w:p>
    <w:p w14:paraId="3CB4BAD7"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7C70B014"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Dulsevia</w:t>
      </w:r>
      <w:proofErr w:type="spellEnd"/>
      <w:r>
        <w:rPr>
          <w:rFonts w:ascii="Times New Roman" w:eastAsia="Times New Roman" w:hAnsi="Times New Roman" w:cs="Times New Roman"/>
          <w:b/>
          <w:bCs/>
          <w:snapToGrid w:val="0"/>
          <w:lang w:eastAsia="x-none"/>
        </w:rPr>
        <w:t xml:space="preserve"> išvaizda ir kiekis pakuotėje</w:t>
      </w:r>
    </w:p>
    <w:p w14:paraId="0A1FF7A4" w14:textId="3B3E1C2E" w:rsidR="00D60365" w:rsidRDefault="00C1209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u w:val="single"/>
        </w:rPr>
        <w:t>30 mg skrandyje neirios kietosios kapsulės:</w:t>
      </w:r>
      <w:r>
        <w:rPr>
          <w:rFonts w:ascii="Times New Roman" w:eastAsia="Times New Roman" w:hAnsi="Times New Roman" w:cs="Times New Roman"/>
          <w:snapToGrid w:val="0"/>
        </w:rPr>
        <w:t xml:space="preserve"> kietos „3“ dydžio (kapsulės ilgis maždaug 16 mm) želatinos kapsulės su baltomis arba šiek tiek spalvotomis granulėmis. Kapsulių korpusas yra baltas, kapsulių dangtelis tamsiai mėlynas. Ant kapsulių korpuso juodais dažais įspaustas skaičius „30“.</w:t>
      </w:r>
    </w:p>
    <w:p w14:paraId="076BF22C" w14:textId="67DB453D" w:rsidR="00D60365" w:rsidRDefault="00C12095">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u w:val="single"/>
        </w:rPr>
        <w:t>60 mg skrandyje neirios kietosios kapsulės:</w:t>
      </w:r>
      <w:r>
        <w:rPr>
          <w:rFonts w:ascii="Times New Roman" w:eastAsia="Times New Roman" w:hAnsi="Times New Roman" w:cs="Times New Roman"/>
          <w:snapToGrid w:val="0"/>
        </w:rPr>
        <w:t xml:space="preserve"> kietos „1“ dydžio (kapsulės ilgis maždaug 19 mm) želatinos kapsulės su baltomis arba šiek tiek spalvotomis granulėmis. Kapsulių korpusas yra geltonai žalias, kapsulių dangtelis tamsiai mėlynas. Ant kapsulių korpuso juodais dažais įspaustas skaičius „60“.</w:t>
      </w:r>
    </w:p>
    <w:p w14:paraId="5336402D"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6348CF0B" w14:textId="77777777" w:rsidR="00D60365" w:rsidRDefault="00C12095">
      <w:pPr>
        <w:widowControl w:val="0"/>
        <w:numPr>
          <w:ilvl w:val="12"/>
          <w:numId w:val="0"/>
        </w:numPr>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Dulsevia</w:t>
      </w:r>
      <w:proofErr w:type="spellEnd"/>
      <w:r>
        <w:rPr>
          <w:rFonts w:ascii="Times New Roman" w:eastAsia="Times New Roman" w:hAnsi="Times New Roman" w:cs="Times New Roman"/>
          <w:snapToGrid w:val="0"/>
        </w:rPr>
        <w:t xml:space="preserve"> tiekiamas pakuotėse, kuriose yra 7, 10, 14, 28, 30, 56, 60, 90 ir 100 skrandyje neirių kietųjų kapsulių lizdinėse plokštelėse.</w:t>
      </w:r>
    </w:p>
    <w:p w14:paraId="7B3BCAE2" w14:textId="77777777" w:rsidR="00D60365" w:rsidRDefault="00C12095">
      <w:pPr>
        <w:widowControl w:val="0"/>
        <w:tabs>
          <w:tab w:val="left" w:pos="567"/>
        </w:tabs>
        <w:spacing w:after="0" w:line="240" w:lineRule="auto"/>
        <w:rPr>
          <w:rFonts w:ascii="Times New Roman" w:eastAsia="SimSun" w:hAnsi="Times New Roman" w:cs="Times New Roman"/>
          <w:snapToGrid w:val="0"/>
        </w:rPr>
      </w:pPr>
      <w:r>
        <w:rPr>
          <w:rFonts w:ascii="Times New Roman" w:eastAsia="SimSun" w:hAnsi="Times New Roman" w:cs="Times New Roman"/>
          <w:snapToGrid w:val="0"/>
        </w:rPr>
        <w:t>Gali būti tiekiamos ne visų dydžių pakuotės.</w:t>
      </w:r>
    </w:p>
    <w:p w14:paraId="3FE343E7"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0CB0BBE1" w14:textId="77777777" w:rsidR="00D60365" w:rsidRDefault="00C12095">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Registruotojas ir gamintojas</w:t>
      </w:r>
    </w:p>
    <w:p w14:paraId="73245ABC" w14:textId="77777777" w:rsidR="00D60365" w:rsidRDefault="00D60365">
      <w:pPr>
        <w:widowControl w:val="0"/>
        <w:numPr>
          <w:ilvl w:val="12"/>
          <w:numId w:val="0"/>
        </w:numPr>
        <w:spacing w:after="0" w:line="240" w:lineRule="auto"/>
        <w:ind w:right="-2"/>
        <w:rPr>
          <w:rFonts w:ascii="Times New Roman" w:eastAsia="Times New Roman" w:hAnsi="Times New Roman" w:cs="Times New Roman"/>
          <w:snapToGrid w:val="0"/>
        </w:rPr>
      </w:pPr>
    </w:p>
    <w:p w14:paraId="54B9E0BF" w14:textId="77777777" w:rsidR="00D60365" w:rsidRDefault="00C12095">
      <w:pPr>
        <w:widowControl w:val="0"/>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Registruotojas</w:t>
      </w:r>
    </w:p>
    <w:p w14:paraId="79EFE25D"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KRKA, d. d., Novo mesto</w:t>
      </w:r>
    </w:p>
    <w:p w14:paraId="02CC07F8" w14:textId="77777777" w:rsidR="00D60365" w:rsidRDefault="00C12095">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685A6412"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6EBE0278"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0A71B713" w14:textId="77777777" w:rsidR="00D60365" w:rsidRDefault="00D60365">
      <w:pPr>
        <w:widowControl w:val="0"/>
        <w:spacing w:after="0" w:line="240" w:lineRule="auto"/>
        <w:rPr>
          <w:rFonts w:ascii="Times New Roman" w:eastAsia="Times New Roman" w:hAnsi="Times New Roman" w:cs="Times New Roman"/>
          <w:snapToGrid w:val="0"/>
        </w:rPr>
      </w:pPr>
    </w:p>
    <w:p w14:paraId="47890295" w14:textId="77777777" w:rsidR="00D60365" w:rsidRDefault="00C12095">
      <w:pPr>
        <w:widowControl w:val="0"/>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Gamintojas</w:t>
      </w:r>
    </w:p>
    <w:p w14:paraId="6E34EE2F"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KRKA, d. d., Novo mesto</w:t>
      </w:r>
    </w:p>
    <w:p w14:paraId="7FA27C07" w14:textId="77777777" w:rsidR="00D60365" w:rsidRDefault="00C12095">
      <w:pPr>
        <w:widowControl w:val="0"/>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177D1B98"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35986438" w14:textId="77777777" w:rsidR="00D60365" w:rsidRDefault="00C12095">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3249958E"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4BFB40ED" w14:textId="77777777" w:rsidR="00D60365" w:rsidRDefault="00C12095">
      <w:pPr>
        <w:widowControl w:val="0"/>
        <w:tabs>
          <w:tab w:val="left" w:pos="567"/>
        </w:tabs>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arba</w:t>
      </w:r>
    </w:p>
    <w:p w14:paraId="00F6A3DC" w14:textId="77777777" w:rsidR="00D60365" w:rsidRDefault="00D60365">
      <w:pPr>
        <w:widowControl w:val="0"/>
        <w:tabs>
          <w:tab w:val="left" w:pos="567"/>
        </w:tabs>
        <w:spacing w:after="0" w:line="240" w:lineRule="auto"/>
        <w:jc w:val="both"/>
        <w:rPr>
          <w:rFonts w:ascii="Times New Roman" w:eastAsia="Times New Roman" w:hAnsi="Times New Roman" w:cs="Times New Roman"/>
          <w:snapToGrid w:val="0"/>
        </w:rPr>
      </w:pPr>
    </w:p>
    <w:p w14:paraId="10F8E7A5" w14:textId="77777777" w:rsidR="00D60365" w:rsidRDefault="00C12095">
      <w:pPr>
        <w:spacing w:after="0" w:line="240" w:lineRule="auto"/>
        <w:rPr>
          <w:rFonts w:ascii="Times New Roman" w:eastAsia="TimesNewRoman" w:hAnsi="Times New Roman" w:cs="Times New Roman"/>
          <w:lang w:eastAsia="sk-SK"/>
        </w:rPr>
      </w:pPr>
      <w:r>
        <w:rPr>
          <w:rFonts w:ascii="Times New Roman" w:eastAsia="TimesNewRoman" w:hAnsi="Times New Roman" w:cs="Times New Roman"/>
          <w:lang w:eastAsia="sk-SK"/>
        </w:rPr>
        <w:t xml:space="preserve">TAD Pharma </w:t>
      </w:r>
      <w:proofErr w:type="spellStart"/>
      <w:r>
        <w:rPr>
          <w:rFonts w:ascii="Times New Roman" w:eastAsia="TimesNewRoman" w:hAnsi="Times New Roman" w:cs="Times New Roman"/>
          <w:lang w:eastAsia="sk-SK"/>
        </w:rPr>
        <w:t>GmbH</w:t>
      </w:r>
      <w:proofErr w:type="spellEnd"/>
    </w:p>
    <w:p w14:paraId="37DB6BAD" w14:textId="77777777" w:rsidR="00D60365" w:rsidRDefault="00C12095">
      <w:pPr>
        <w:spacing w:after="0" w:line="240" w:lineRule="auto"/>
        <w:rPr>
          <w:rFonts w:ascii="Times New Roman" w:eastAsia="TimesNewRoman" w:hAnsi="Times New Roman" w:cs="Times New Roman"/>
          <w:lang w:eastAsia="sk-SK"/>
        </w:rPr>
      </w:pPr>
      <w:proofErr w:type="spellStart"/>
      <w:r>
        <w:rPr>
          <w:rFonts w:ascii="Times New Roman" w:eastAsia="TimesNewRoman" w:hAnsi="Times New Roman" w:cs="Times New Roman"/>
          <w:lang w:eastAsia="sk-SK"/>
        </w:rPr>
        <w:t>Heinz-Lohmann-Straße</w:t>
      </w:r>
      <w:proofErr w:type="spellEnd"/>
      <w:r>
        <w:rPr>
          <w:rFonts w:ascii="Times New Roman" w:eastAsia="TimesNewRoman" w:hAnsi="Times New Roman" w:cs="Times New Roman"/>
          <w:lang w:eastAsia="sk-SK"/>
        </w:rPr>
        <w:t xml:space="preserve"> 5</w:t>
      </w:r>
    </w:p>
    <w:p w14:paraId="77BE9CCE" w14:textId="77777777" w:rsidR="00D60365" w:rsidRDefault="00C12095">
      <w:pPr>
        <w:widowControl w:val="0"/>
        <w:tabs>
          <w:tab w:val="left" w:pos="567"/>
        </w:tabs>
        <w:spacing w:after="0" w:line="240" w:lineRule="auto"/>
        <w:jc w:val="both"/>
        <w:rPr>
          <w:rFonts w:ascii="Times New Roman" w:eastAsia="TimesNewRoman" w:hAnsi="Times New Roman" w:cs="Times New Roman"/>
          <w:lang w:eastAsia="sk-SK"/>
        </w:rPr>
      </w:pPr>
      <w:r>
        <w:rPr>
          <w:rFonts w:ascii="Times New Roman" w:eastAsia="TimesNewRoman" w:hAnsi="Times New Roman" w:cs="Times New Roman"/>
          <w:lang w:eastAsia="sk-SK"/>
        </w:rPr>
        <w:t xml:space="preserve">27472 </w:t>
      </w:r>
      <w:proofErr w:type="spellStart"/>
      <w:r>
        <w:rPr>
          <w:rFonts w:ascii="Times New Roman" w:eastAsia="TimesNewRoman" w:hAnsi="Times New Roman" w:cs="Times New Roman"/>
          <w:lang w:eastAsia="sk-SK"/>
        </w:rPr>
        <w:t>Cuxhaven</w:t>
      </w:r>
      <w:proofErr w:type="spellEnd"/>
    </w:p>
    <w:p w14:paraId="669281F8" w14:textId="77777777" w:rsidR="00D60365" w:rsidRDefault="00C12095">
      <w:pPr>
        <w:widowControl w:val="0"/>
        <w:tabs>
          <w:tab w:val="left" w:pos="567"/>
        </w:tabs>
        <w:spacing w:after="0" w:line="240" w:lineRule="auto"/>
        <w:jc w:val="both"/>
        <w:rPr>
          <w:rFonts w:ascii="Times New Roman" w:eastAsia="TimesNewRoman" w:hAnsi="Times New Roman" w:cs="Times New Roman"/>
          <w:lang w:eastAsia="sk-SK"/>
        </w:rPr>
      </w:pPr>
      <w:r>
        <w:rPr>
          <w:rFonts w:ascii="Times New Roman" w:eastAsia="TimesNewRoman" w:hAnsi="Times New Roman" w:cs="Times New Roman"/>
          <w:lang w:eastAsia="sk-SK"/>
        </w:rPr>
        <w:t>Vokietija</w:t>
      </w:r>
    </w:p>
    <w:p w14:paraId="1D91001B" w14:textId="77777777" w:rsidR="00D60365" w:rsidRDefault="00D60365">
      <w:pPr>
        <w:widowControl w:val="0"/>
        <w:spacing w:after="0" w:line="240" w:lineRule="auto"/>
        <w:rPr>
          <w:rFonts w:ascii="Times New Roman" w:eastAsia="Times New Roman" w:hAnsi="Times New Roman" w:cs="Times New Roman"/>
          <w:snapToGrid w:val="0"/>
        </w:rPr>
      </w:pPr>
    </w:p>
    <w:p w14:paraId="5EBDCCB2" w14:textId="77777777" w:rsidR="00D60365" w:rsidRDefault="00C12095">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Jeigu apie šį vaistą norite sužinoti daugiau, kreipkitės į vietinį registruotojo atstovą.</w:t>
      </w:r>
    </w:p>
    <w:p w14:paraId="3262AE0B" w14:textId="77777777" w:rsidR="00D60365" w:rsidRDefault="00D60365">
      <w:pPr>
        <w:widowControl w:val="0"/>
        <w:tabs>
          <w:tab w:val="left" w:pos="567"/>
        </w:tabs>
        <w:spacing w:after="0" w:line="240" w:lineRule="auto"/>
        <w:rPr>
          <w:rFonts w:ascii="Times New Roman" w:eastAsia="Times New Roman" w:hAnsi="Times New Roman" w:cs="Times New Roman"/>
          <w:snapToGrid w:val="0"/>
        </w:rPr>
      </w:pPr>
    </w:p>
    <w:p w14:paraId="0EBBAC9F" w14:textId="77777777" w:rsidR="00D60365" w:rsidRDefault="00C12095">
      <w:pPr>
        <w:widowControl w:val="0"/>
        <w:tabs>
          <w:tab w:val="left" w:pos="567"/>
        </w:tabs>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snapToGrid w:val="0"/>
          <w:lang w:eastAsia="lt-LT"/>
        </w:rPr>
        <w:t>UAB KRKA Lietuva</w:t>
      </w:r>
    </w:p>
    <w:p w14:paraId="50DA1452" w14:textId="77777777" w:rsidR="00D60365" w:rsidRDefault="00C12095">
      <w:pPr>
        <w:widowControl w:val="0"/>
        <w:tabs>
          <w:tab w:val="left" w:pos="567"/>
        </w:tabs>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snapToGrid w:val="0"/>
          <w:lang w:eastAsia="lt-LT"/>
        </w:rPr>
        <w:t>Senasis Ukmergės kelias 4,</w:t>
      </w:r>
    </w:p>
    <w:p w14:paraId="594A6F58" w14:textId="77777777" w:rsidR="00D60365" w:rsidRDefault="00C12095">
      <w:pPr>
        <w:widowControl w:val="0"/>
        <w:tabs>
          <w:tab w:val="left" w:pos="567"/>
        </w:tabs>
        <w:spacing w:after="0" w:line="240" w:lineRule="auto"/>
        <w:rPr>
          <w:rFonts w:ascii="Times New Roman" w:eastAsia="Times New Roman" w:hAnsi="Times New Roman" w:cs="Times New Roman"/>
          <w:snapToGrid w:val="0"/>
          <w:lang w:eastAsia="lt-LT"/>
        </w:rPr>
      </w:pPr>
      <w:proofErr w:type="spellStart"/>
      <w:r>
        <w:rPr>
          <w:rFonts w:ascii="Times New Roman" w:eastAsia="Times New Roman" w:hAnsi="Times New Roman" w:cs="Times New Roman"/>
          <w:snapToGrid w:val="0"/>
          <w:lang w:eastAsia="lt-LT"/>
        </w:rPr>
        <w:t>Užubalių</w:t>
      </w:r>
      <w:proofErr w:type="spellEnd"/>
      <w:r>
        <w:rPr>
          <w:rFonts w:ascii="Times New Roman" w:eastAsia="Times New Roman" w:hAnsi="Times New Roman" w:cs="Times New Roman"/>
          <w:snapToGrid w:val="0"/>
          <w:lang w:eastAsia="lt-LT"/>
        </w:rPr>
        <w:t xml:space="preserve"> km., Vilniaus r.</w:t>
      </w:r>
    </w:p>
    <w:p w14:paraId="179E6FD8" w14:textId="77777777" w:rsidR="00D60365" w:rsidRDefault="00C12095">
      <w:pPr>
        <w:widowControl w:val="0"/>
        <w:tabs>
          <w:tab w:val="left" w:pos="567"/>
        </w:tabs>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snapToGrid w:val="0"/>
          <w:lang w:eastAsia="lt-LT"/>
        </w:rPr>
        <w:t>LT - 14013</w:t>
      </w:r>
    </w:p>
    <w:p w14:paraId="34356206" w14:textId="77777777" w:rsidR="00D60365" w:rsidRDefault="00C12095">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lang w:eastAsia="lt-LT"/>
        </w:rPr>
        <w:t>Tel. + 370 5 236 27 40</w:t>
      </w:r>
    </w:p>
    <w:p w14:paraId="7EFE4EA0" w14:textId="77777777" w:rsidR="00D60365" w:rsidRDefault="00D60365">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7D1B5724" w14:textId="77777777" w:rsidR="00D60365" w:rsidRDefault="00C12095">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b/>
          <w:snapToGrid w:val="0"/>
        </w:rPr>
        <w:t>Šis vaistas Europos ekonominės erdvės valstybėse narėse registruotas tokiais pavadinimais:</w:t>
      </w:r>
    </w:p>
    <w:p w14:paraId="1CEB0C92" w14:textId="77777777" w:rsidR="00D60365" w:rsidRDefault="00D60365">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3827"/>
      </w:tblGrid>
      <w:tr w:rsidR="00D60365" w14:paraId="257E4827" w14:textId="77777777">
        <w:tc>
          <w:tcPr>
            <w:tcW w:w="4962" w:type="dxa"/>
            <w:tcBorders>
              <w:top w:val="single" w:sz="4" w:space="0" w:color="auto"/>
              <w:left w:val="single" w:sz="4" w:space="0" w:color="auto"/>
              <w:bottom w:val="single" w:sz="4" w:space="0" w:color="auto"/>
              <w:right w:val="single" w:sz="4" w:space="0" w:color="auto"/>
            </w:tcBorders>
            <w:hideMark/>
          </w:tcPr>
          <w:p w14:paraId="004E06B3" w14:textId="77777777" w:rsidR="00D60365" w:rsidRDefault="00C12095">
            <w:pPr>
              <w:widowControl w:val="0"/>
              <w:tabs>
                <w:tab w:val="left" w:pos="567"/>
              </w:tabs>
              <w:spacing w:after="0" w:line="240" w:lineRule="auto"/>
              <w:ind w:left="567" w:hanging="567"/>
              <w:outlineLvl w:val="1"/>
              <w:rPr>
                <w:rFonts w:ascii="Times New Roman" w:eastAsia="Calibri" w:hAnsi="Times New Roman" w:cs="Times New Roman"/>
                <w:b/>
                <w:snapToGrid w:val="0"/>
              </w:rPr>
            </w:pPr>
            <w:r>
              <w:rPr>
                <w:rFonts w:ascii="Times New Roman" w:eastAsia="Times New Roman" w:hAnsi="Times New Roman" w:cs="Times New Roman"/>
                <w:b/>
                <w:snapToGrid w:val="0"/>
              </w:rPr>
              <w:t>Valstybės narės pavadinimas</w:t>
            </w:r>
          </w:p>
        </w:tc>
        <w:tc>
          <w:tcPr>
            <w:tcW w:w="3827" w:type="dxa"/>
            <w:tcBorders>
              <w:top w:val="single" w:sz="4" w:space="0" w:color="auto"/>
              <w:left w:val="single" w:sz="4" w:space="0" w:color="auto"/>
              <w:bottom w:val="single" w:sz="4" w:space="0" w:color="auto"/>
              <w:right w:val="single" w:sz="4" w:space="0" w:color="auto"/>
            </w:tcBorders>
            <w:hideMark/>
          </w:tcPr>
          <w:p w14:paraId="4C63A358" w14:textId="77777777" w:rsidR="00D60365" w:rsidRDefault="00C12095">
            <w:pPr>
              <w:widowControl w:val="0"/>
              <w:tabs>
                <w:tab w:val="left" w:pos="567"/>
              </w:tabs>
              <w:spacing w:after="0" w:line="240" w:lineRule="auto"/>
              <w:ind w:left="567" w:hanging="567"/>
              <w:outlineLvl w:val="1"/>
              <w:rPr>
                <w:rFonts w:ascii="Times New Roman" w:eastAsia="Calibri" w:hAnsi="Times New Roman" w:cs="Times New Roman"/>
                <w:b/>
                <w:snapToGrid w:val="0"/>
              </w:rPr>
            </w:pPr>
            <w:r>
              <w:rPr>
                <w:rFonts w:ascii="Times New Roman" w:eastAsia="Calibri" w:hAnsi="Times New Roman" w:cs="Times New Roman"/>
                <w:b/>
                <w:snapToGrid w:val="0"/>
              </w:rPr>
              <w:t>Vaisto pavadinimas</w:t>
            </w:r>
          </w:p>
        </w:tc>
      </w:tr>
      <w:tr w:rsidR="00D60365" w14:paraId="4AE95699" w14:textId="77777777">
        <w:tc>
          <w:tcPr>
            <w:tcW w:w="4962" w:type="dxa"/>
            <w:tcBorders>
              <w:top w:val="single" w:sz="4" w:space="0" w:color="auto"/>
              <w:left w:val="single" w:sz="4" w:space="0" w:color="auto"/>
              <w:bottom w:val="single" w:sz="4" w:space="0" w:color="auto"/>
              <w:right w:val="single" w:sz="4" w:space="0" w:color="auto"/>
            </w:tcBorders>
            <w:hideMark/>
          </w:tcPr>
          <w:p w14:paraId="78A2D895" w14:textId="77777777" w:rsidR="00D60365" w:rsidRDefault="00C12095">
            <w:pPr>
              <w:widowControl w:val="0"/>
              <w:tabs>
                <w:tab w:val="left" w:pos="567"/>
              </w:tabs>
              <w:spacing w:after="0" w:line="240" w:lineRule="auto"/>
              <w:outlineLvl w:val="1"/>
              <w:rPr>
                <w:rFonts w:ascii="Times New Roman" w:eastAsia="Calibri" w:hAnsi="Times New Roman" w:cs="Times New Roman"/>
                <w:snapToGrid w:val="0"/>
                <w:highlight w:val="green"/>
              </w:rPr>
            </w:pPr>
            <w:r>
              <w:rPr>
                <w:rFonts w:ascii="Times New Roman" w:eastAsia="Times New Roman" w:hAnsi="Times New Roman" w:cs="Times New Roman"/>
                <w:snapToGrid w:val="0"/>
              </w:rPr>
              <w:t xml:space="preserve">Slovėnija, Bulgarija, Čekija, Slovakija, Estija, Kroatija, Latvija, Lenkija, Vengrija, Rumunija, </w:t>
            </w:r>
            <w:r>
              <w:rPr>
                <w:rFonts w:ascii="Times New Roman" w:eastAsia="Times New Roman" w:hAnsi="Times New Roman" w:cs="Times New Roman"/>
                <w:snapToGrid w:val="0"/>
              </w:rPr>
              <w:lastRenderedPageBreak/>
              <w:t>Kipras, Graikija</w:t>
            </w:r>
          </w:p>
        </w:tc>
        <w:tc>
          <w:tcPr>
            <w:tcW w:w="3827" w:type="dxa"/>
            <w:tcBorders>
              <w:top w:val="single" w:sz="4" w:space="0" w:color="auto"/>
              <w:left w:val="single" w:sz="4" w:space="0" w:color="auto"/>
              <w:bottom w:val="single" w:sz="4" w:space="0" w:color="auto"/>
              <w:right w:val="single" w:sz="4" w:space="0" w:color="auto"/>
            </w:tcBorders>
            <w:hideMark/>
          </w:tcPr>
          <w:p w14:paraId="1A5BB2DC" w14:textId="77777777" w:rsidR="00D60365" w:rsidRDefault="00C12095">
            <w:pPr>
              <w:widowControl w:val="0"/>
              <w:tabs>
                <w:tab w:val="left" w:pos="567"/>
              </w:tabs>
              <w:spacing w:after="0" w:line="240" w:lineRule="auto"/>
              <w:ind w:left="567" w:hanging="567"/>
              <w:outlineLvl w:val="1"/>
              <w:rPr>
                <w:rFonts w:ascii="Times New Roman" w:eastAsia="Calibri" w:hAnsi="Times New Roman" w:cs="Times New Roman"/>
                <w:snapToGrid w:val="0"/>
                <w:highlight w:val="green"/>
              </w:rPr>
            </w:pPr>
            <w:proofErr w:type="spellStart"/>
            <w:r>
              <w:rPr>
                <w:rFonts w:ascii="Times New Roman" w:eastAsia="Times New Roman" w:hAnsi="Times New Roman" w:cs="Times New Roman"/>
                <w:snapToGrid w:val="0"/>
              </w:rPr>
              <w:lastRenderedPageBreak/>
              <w:t>Dulsevia</w:t>
            </w:r>
            <w:proofErr w:type="spellEnd"/>
          </w:p>
        </w:tc>
      </w:tr>
    </w:tbl>
    <w:p w14:paraId="74ABF9A8" w14:textId="77777777" w:rsidR="00D60365" w:rsidRDefault="00D60365">
      <w:pPr>
        <w:widowControl w:val="0"/>
        <w:tabs>
          <w:tab w:val="left" w:pos="567"/>
        </w:tabs>
        <w:spacing w:after="0" w:line="240" w:lineRule="auto"/>
        <w:ind w:left="567" w:hanging="567"/>
        <w:rPr>
          <w:rFonts w:ascii="Times New Roman" w:eastAsia="Times New Roman" w:hAnsi="Times New Roman" w:cs="Times New Roman"/>
          <w:snapToGrid w:val="0"/>
        </w:rPr>
      </w:pPr>
    </w:p>
    <w:p w14:paraId="04958637" w14:textId="77777777" w:rsidR="00D60365" w:rsidRDefault="00D60365">
      <w:pPr>
        <w:widowControl w:val="0"/>
        <w:tabs>
          <w:tab w:val="left" w:pos="567"/>
        </w:tabs>
        <w:spacing w:after="0" w:line="240" w:lineRule="auto"/>
        <w:ind w:left="567" w:hanging="567"/>
        <w:rPr>
          <w:rFonts w:ascii="Times New Roman" w:eastAsia="Times New Roman" w:hAnsi="Times New Roman" w:cs="Times New Roman"/>
          <w:snapToGrid w:val="0"/>
        </w:rPr>
      </w:pPr>
    </w:p>
    <w:p w14:paraId="774A99E9" w14:textId="61FC3117" w:rsidR="00D60365" w:rsidRDefault="00C12095">
      <w:pPr>
        <w:widowControl w:val="0"/>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Šis pakuotės lapelis paskutinį kartą peržiūrėtas 2026-03-05.</w:t>
      </w:r>
    </w:p>
    <w:p w14:paraId="03FF66C0" w14:textId="77777777" w:rsidR="00D60365" w:rsidRDefault="00D60365">
      <w:pPr>
        <w:widowControl w:val="0"/>
        <w:numPr>
          <w:ilvl w:val="12"/>
          <w:numId w:val="0"/>
        </w:numPr>
        <w:tabs>
          <w:tab w:val="left" w:pos="567"/>
        </w:tabs>
        <w:spacing w:after="0" w:line="240" w:lineRule="auto"/>
        <w:ind w:right="-2"/>
        <w:rPr>
          <w:rFonts w:ascii="Times New Roman" w:eastAsia="Times New Roman" w:hAnsi="Times New Roman" w:cs="Times New Roman"/>
          <w:i/>
          <w:snapToGrid w:val="0"/>
        </w:rPr>
      </w:pPr>
    </w:p>
    <w:p w14:paraId="781584D3" w14:textId="77777777" w:rsidR="00D60365" w:rsidRDefault="00C12095">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snapToGrid w:val="0"/>
        </w:rPr>
        <w:t>.</w:t>
      </w:r>
    </w:p>
    <w:p w14:paraId="6C9591E1" w14:textId="77777777" w:rsidR="00D60365" w:rsidRDefault="00D60365">
      <w:pPr>
        <w:spacing w:after="0" w:line="240" w:lineRule="auto"/>
        <w:rPr>
          <w:rFonts w:ascii="Calibri" w:eastAsia="Calibri" w:hAnsi="Calibri" w:cs="Times New Roman"/>
        </w:rPr>
      </w:pPr>
    </w:p>
    <w:p w14:paraId="410A4F10" w14:textId="77777777" w:rsidR="00D60365" w:rsidRDefault="00D60365"/>
    <w:sectPr w:rsidR="00D60365">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B8662" w14:textId="77777777" w:rsidR="00E74AAF" w:rsidRDefault="00E74AAF">
      <w:pPr>
        <w:spacing w:after="0" w:line="240" w:lineRule="auto"/>
      </w:pPr>
      <w:r>
        <w:separator/>
      </w:r>
    </w:p>
  </w:endnote>
  <w:endnote w:type="continuationSeparator" w:id="0">
    <w:p w14:paraId="0301CD42" w14:textId="77777777" w:rsidR="00E74AAF" w:rsidRDefault="00E74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
    <w:altName w:val="MS Gothic"/>
    <w:panose1 w:val="00000000000000000000"/>
    <w:charset w:val="00"/>
    <w:family w:val="roman"/>
    <w:notTrueType/>
    <w:pitch w:val="default"/>
    <w:sig w:usb0="00000083" w:usb1="08070000" w:usb2="00000010" w:usb3="00000000" w:csb0="00020009"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918E4" w14:textId="77777777" w:rsidR="00D60365" w:rsidRDefault="00D6036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9D5B5" w14:textId="77777777" w:rsidR="00D60365" w:rsidRDefault="00D6036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3864" w14:textId="77777777" w:rsidR="00D60365" w:rsidRDefault="00D6036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A9E36" w14:textId="77777777" w:rsidR="00E74AAF" w:rsidRDefault="00E74AAF">
      <w:pPr>
        <w:spacing w:after="0" w:line="240" w:lineRule="auto"/>
      </w:pPr>
      <w:r>
        <w:separator/>
      </w:r>
    </w:p>
  </w:footnote>
  <w:footnote w:type="continuationSeparator" w:id="0">
    <w:p w14:paraId="7D3FD834" w14:textId="77777777" w:rsidR="00E74AAF" w:rsidRDefault="00E74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5BE9" w14:textId="77777777" w:rsidR="00D60365" w:rsidRDefault="00D6036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D1A8" w14:textId="77777777" w:rsidR="00D60365" w:rsidRDefault="00D6036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A1CC" w14:textId="77777777" w:rsidR="00D60365" w:rsidRDefault="00D6036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D2B"/>
    <w:multiLevelType w:val="hybridMultilevel"/>
    <w:tmpl w:val="4BE275BE"/>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F062B4"/>
    <w:multiLevelType w:val="hybridMultilevel"/>
    <w:tmpl w:val="A882EF6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21441FD"/>
    <w:multiLevelType w:val="hybridMultilevel"/>
    <w:tmpl w:val="B600D19C"/>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12B846E6"/>
    <w:multiLevelType w:val="hybridMultilevel"/>
    <w:tmpl w:val="4E3496E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2358E4"/>
    <w:multiLevelType w:val="hybridMultilevel"/>
    <w:tmpl w:val="B99070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257093"/>
    <w:multiLevelType w:val="hybridMultilevel"/>
    <w:tmpl w:val="0308C23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251ACB"/>
    <w:multiLevelType w:val="hybridMultilevel"/>
    <w:tmpl w:val="14C2C40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0A97413"/>
    <w:multiLevelType w:val="hybridMultilevel"/>
    <w:tmpl w:val="BBFAD58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A6F6D6B"/>
    <w:multiLevelType w:val="hybridMultilevel"/>
    <w:tmpl w:val="DF92928A"/>
    <w:lvl w:ilvl="0" w:tplc="00000EA9">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077547"/>
    <w:multiLevelType w:val="hybridMultilevel"/>
    <w:tmpl w:val="EEA2564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3A4150C"/>
    <w:multiLevelType w:val="hybridMultilevel"/>
    <w:tmpl w:val="46B62CB2"/>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5B0F160A"/>
    <w:multiLevelType w:val="hybridMultilevel"/>
    <w:tmpl w:val="54ACD86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5D739EE"/>
    <w:multiLevelType w:val="hybridMultilevel"/>
    <w:tmpl w:val="22F42C7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3CE6A3B"/>
    <w:multiLevelType w:val="hybridMultilevel"/>
    <w:tmpl w:val="388A89F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AB67A2F"/>
    <w:multiLevelType w:val="hybridMultilevel"/>
    <w:tmpl w:val="512EA1B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96885258">
    <w:abstractNumId w:val="11"/>
  </w:num>
  <w:num w:numId="2" w16cid:durableId="366609516">
    <w:abstractNumId w:val="2"/>
  </w:num>
  <w:num w:numId="3" w16cid:durableId="1730228326">
    <w:abstractNumId w:val="13"/>
  </w:num>
  <w:num w:numId="4" w16cid:durableId="316038523">
    <w:abstractNumId w:val="1"/>
  </w:num>
  <w:num w:numId="5" w16cid:durableId="454368921">
    <w:abstractNumId w:val="14"/>
  </w:num>
  <w:num w:numId="6" w16cid:durableId="561134024">
    <w:abstractNumId w:val="6"/>
  </w:num>
  <w:num w:numId="7" w16cid:durableId="1786150412">
    <w:abstractNumId w:val="7"/>
  </w:num>
  <w:num w:numId="8" w16cid:durableId="753550940">
    <w:abstractNumId w:val="8"/>
  </w:num>
  <w:num w:numId="9" w16cid:durableId="1622496533">
    <w:abstractNumId w:val="3"/>
  </w:num>
  <w:num w:numId="10" w16cid:durableId="1939948982">
    <w:abstractNumId w:val="9"/>
  </w:num>
  <w:num w:numId="11" w16cid:durableId="927924961">
    <w:abstractNumId w:val="12"/>
  </w:num>
  <w:num w:numId="12" w16cid:durableId="169566783">
    <w:abstractNumId w:val="4"/>
  </w:num>
  <w:num w:numId="13" w16cid:durableId="1785691057">
    <w:abstractNumId w:val="0"/>
  </w:num>
  <w:num w:numId="14" w16cid:durableId="983579249">
    <w:abstractNumId w:val="5"/>
  </w:num>
  <w:num w:numId="15" w16cid:durableId="21397624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365"/>
    <w:rsid w:val="00015AE3"/>
    <w:rsid w:val="000A03AA"/>
    <w:rsid w:val="0015450D"/>
    <w:rsid w:val="00167701"/>
    <w:rsid w:val="003079AF"/>
    <w:rsid w:val="00361DF7"/>
    <w:rsid w:val="00421BA5"/>
    <w:rsid w:val="005464E2"/>
    <w:rsid w:val="00571F5D"/>
    <w:rsid w:val="00617ACD"/>
    <w:rsid w:val="006F6FBE"/>
    <w:rsid w:val="0076137F"/>
    <w:rsid w:val="00783C82"/>
    <w:rsid w:val="007D1CCA"/>
    <w:rsid w:val="008246DB"/>
    <w:rsid w:val="00884DF3"/>
    <w:rsid w:val="00905FEA"/>
    <w:rsid w:val="009C0259"/>
    <w:rsid w:val="00A06746"/>
    <w:rsid w:val="00A1210E"/>
    <w:rsid w:val="00A83D4D"/>
    <w:rsid w:val="00AD0169"/>
    <w:rsid w:val="00B22F9D"/>
    <w:rsid w:val="00BA3FBF"/>
    <w:rsid w:val="00C12095"/>
    <w:rsid w:val="00C61ABF"/>
    <w:rsid w:val="00D46CD2"/>
    <w:rsid w:val="00D60365"/>
    <w:rsid w:val="00E74AAF"/>
    <w:rsid w:val="00EE4367"/>
    <w:rsid w:val="00FA74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572AD"/>
  <w15:chartTrackingRefBased/>
  <w15:docId w15:val="{869D4339-BE45-4500-930C-63412FFE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semiHidden/>
    <w:unhideWhenUsed/>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semiHidden/>
    <w:unhideWhenUsed/>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semiHidden/>
    <w:unhideWhenUsed/>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semiHidden/>
    <w:unhideWhenUsed/>
    <w:qFormat/>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semiHidden/>
    <w:unhideWhenUsed/>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semiHidden/>
    <w:unhideWhenUsed/>
    <w:qFormat/>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semiHidden/>
    <w:unhideWhenUsed/>
    <w:qFormat/>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semiHidden/>
    <w:unhideWhenUsed/>
    <w:qFormat/>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semiHidden/>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semiHidden/>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semiHidden/>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semiHidden/>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semiHidden/>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character" w:styleId="Hipersaitas">
    <w:name w:val="Hyperlink"/>
    <w:uiPriority w:val="99"/>
    <w:unhideWhenUsed/>
    <w:rPr>
      <w:rFonts w:ascii="Times New Roman" w:hAnsi="Times New Roman" w:cs="Times New Roman" w:hint="default"/>
      <w:color w:val="auto"/>
      <w:sz w:val="24"/>
      <w:szCs w:val="24"/>
      <w:u w:val="single"/>
      <w:lang w:val="en-US"/>
    </w:rPr>
  </w:style>
  <w:style w:type="character" w:styleId="Perirtashipersaitas">
    <w:name w:val="FollowedHyperlink"/>
    <w:uiPriority w:val="99"/>
    <w:semiHidden/>
    <w:unhideWhenUsed/>
    <w:rPr>
      <w:color w:val="800080"/>
      <w:u w:val="single"/>
    </w:rPr>
  </w:style>
  <w:style w:type="character" w:styleId="Grietas">
    <w:name w:val="Strong"/>
    <w:uiPriority w:val="99"/>
    <w:qFormat/>
    <w:rPr>
      <w:rFonts w:ascii="Times New Roman" w:hAnsi="Times New Roman" w:cs="Times New Roman" w:hint="default"/>
      <w:b/>
      <w:bCs/>
    </w:rPr>
  </w:style>
  <w:style w:type="paragraph" w:styleId="Turinys1">
    <w:name w:val="toc 1"/>
    <w:basedOn w:val="prastasis"/>
    <w:next w:val="prastasis"/>
    <w:autoRedefine/>
    <w:semiHidden/>
    <w:unhideWhenUsed/>
    <w:pPr>
      <w:spacing w:before="120" w:after="0" w:line="240" w:lineRule="auto"/>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uiPriority w:val="99"/>
    <w:semiHidden/>
    <w:unhideWhenUsed/>
    <w:pPr>
      <w:tabs>
        <w:tab w:val="left" w:pos="567"/>
      </w:tabs>
      <w:snapToGrid w:val="0"/>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Pr>
      <w:rFonts w:ascii="Times New Roman" w:eastAsia="Times New Roman" w:hAnsi="Times New Roman" w:cs="Times New Roman"/>
      <w:sz w:val="20"/>
      <w:szCs w:val="20"/>
      <w:lang w:val="en-GB"/>
    </w:rPr>
  </w:style>
  <w:style w:type="paragraph" w:styleId="Antrats">
    <w:name w:val="header"/>
    <w:basedOn w:val="prastasis"/>
    <w:link w:val="AntratsDiagrama"/>
    <w:uiPriority w:val="99"/>
    <w:unhideWhenUsed/>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pPr>
      <w:spacing w:after="0" w:line="240" w:lineRule="auto"/>
      <w:jc w:val="both"/>
    </w:pPr>
    <w:rPr>
      <w:rFonts w:ascii="Times New Roman" w:eastAsia="Times New Roman" w:hAnsi="Times New Roman" w:cs="Times New Roman"/>
      <w:sz w:val="24"/>
      <w:szCs w:val="20"/>
      <w:lang w:val="en-GB" w:eastAsia="sl-SI"/>
    </w:rPr>
  </w:style>
  <w:style w:type="paragraph" w:styleId="Dokumentoinaostekstas">
    <w:name w:val="endnote text"/>
    <w:basedOn w:val="prastasis"/>
    <w:link w:val="DokumentoinaostekstasDiagrama"/>
    <w:uiPriority w:val="99"/>
    <w:semiHidden/>
    <w:unhideWhenUsed/>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semiHidden/>
    <w:rPr>
      <w:rFonts w:ascii="Times New Roman" w:eastAsia="SimSun" w:hAnsi="Times New Roman" w:cs="Times New Roman"/>
      <w:szCs w:val="20"/>
      <w:lang w:val="en-GB"/>
    </w:rPr>
  </w:style>
  <w:style w:type="paragraph" w:styleId="Pavadinimas">
    <w:name w:val="Title"/>
    <w:basedOn w:val="prastasis"/>
    <w:link w:val="PavadinimasDiagrama"/>
    <w:uiPriority w:val="99"/>
    <w:qFormat/>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semiHidden/>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uiPriority w:val="99"/>
    <w:semiHidden/>
    <w:unhideWhenUsed/>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semiHidden/>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semiHidden/>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uiPriority w:val="99"/>
    <w:semiHidden/>
    <w:unhideWhenUsed/>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semiHidden/>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semiHidden/>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semiHidden/>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semiHidden/>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semiHidden/>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pPr>
      <w:tabs>
        <w:tab w:val="left" w:pos="567"/>
      </w:tabs>
      <w:snapToGrid w:val="0"/>
      <w:spacing w:after="0" w:line="240" w:lineRule="auto"/>
    </w:pPr>
    <w:rPr>
      <w:rFonts w:ascii="Tahoma" w:eastAsia="Times New Roman" w:hAnsi="Tahoma" w:cs="Times New Roman"/>
      <w:sz w:val="16"/>
      <w:szCs w:val="16"/>
      <w:lang w:val="en-GB" w:eastAsia="x-none"/>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imes New Roman"/>
      <w:sz w:val="16"/>
      <w:szCs w:val="16"/>
      <w:lang w:val="en-GB" w:eastAsia="x-none"/>
    </w:rPr>
  </w:style>
  <w:style w:type="paragraph" w:styleId="Betarp">
    <w:name w:val="No Spacing"/>
    <w:uiPriority w:val="1"/>
    <w:qFormat/>
    <w:pPr>
      <w:tabs>
        <w:tab w:val="left" w:pos="567"/>
      </w:tabs>
      <w:snapToGrid w:val="0"/>
      <w:spacing w:after="0" w:line="240" w:lineRule="auto"/>
    </w:pPr>
    <w:rPr>
      <w:rFonts w:ascii="Times New Roman" w:eastAsia="Times New Roman" w:hAnsi="Times New Roman" w:cs="Times New Roman"/>
      <w:szCs w:val="20"/>
      <w:lang w:val="en-GB"/>
    </w:rPr>
  </w:style>
  <w:style w:type="paragraph" w:styleId="Pataisymai">
    <w:name w:val="Revision"/>
    <w:uiPriority w:val="99"/>
    <w:semiHidden/>
    <w:pPr>
      <w:snapToGrid w:val="0"/>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34"/>
    <w:qFormat/>
    <w:pPr>
      <w:tabs>
        <w:tab w:val="left" w:pos="567"/>
      </w:tabs>
      <w:snapToGrid w:val="0"/>
      <w:spacing w:after="0" w:line="260" w:lineRule="exact"/>
      <w:ind w:left="720"/>
    </w:pPr>
    <w:rPr>
      <w:rFonts w:ascii="Times New Roman" w:eastAsia="Times New Roman" w:hAnsi="Times New Roman" w:cs="Times New Roman"/>
      <w:szCs w:val="20"/>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uiPriority w:val="9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BodytextAgencyChar">
    <w:name w:val="Body text (Agency) Char"/>
    <w:link w:val="BodytextAgency"/>
    <w:uiPriority w:val="99"/>
    <w:locked/>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pPr>
      <w:snapToGrid w:val="0"/>
      <w:spacing w:after="140" w:line="280" w:lineRule="atLeast"/>
    </w:pPr>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locked/>
    <w:rPr>
      <w:rFonts w:ascii="Verdana" w:eastAsia="Times New Roman" w:hAnsi="Verdana" w:cs="Times New Roman"/>
      <w:sz w:val="18"/>
      <w:lang w:val="en-GB" w:eastAsia="lt-LT"/>
    </w:rPr>
  </w:style>
  <w:style w:type="paragraph" w:customStyle="1" w:styleId="NormalAgency">
    <w:name w:val="Normal (Agency)"/>
    <w:link w:val="NormalAgencyChar"/>
    <w:uiPriority w:val="99"/>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pPr>
      <w:snapToGrid w:val="0"/>
      <w:spacing w:after="0" w:line="280" w:lineRule="exact"/>
    </w:pPr>
    <w:rPr>
      <w:rFonts w:ascii="Verdana" w:eastAsia="Times New Roman" w:hAnsi="Verdana" w:cs="Times New Roman"/>
      <w:sz w:val="18"/>
      <w:szCs w:val="20"/>
      <w:lang w:val="en-GB"/>
    </w:rPr>
  </w:style>
  <w:style w:type="paragraph" w:customStyle="1" w:styleId="AHeader1">
    <w:name w:val="AHeader 1"/>
    <w:basedOn w:val="prastasis"/>
    <w:uiPriority w:val="9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character" w:customStyle="1" w:styleId="BTEMEASMCAChar">
    <w:name w:val="BT EMEA_SMCA Char"/>
    <w:link w:val="BTEMEASMCA"/>
    <w:uiPriority w:val="99"/>
    <w:locked/>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pPr>
      <w:spacing w:after="0" w:line="240" w:lineRule="auto"/>
    </w:pPr>
    <w:rPr>
      <w:rFonts w:ascii="Times New Roman" w:eastAsia="SimSun" w:hAnsi="Times New Roman" w:cs="Times New Roman"/>
      <w:noProof/>
      <w:sz w:val="20"/>
      <w:szCs w:val="20"/>
      <w:lang w:val="x-none" w:eastAsia="x-none"/>
    </w:rPr>
  </w:style>
  <w:style w:type="character" w:styleId="Komentaronuoroda">
    <w:name w:val="annotation reference"/>
    <w:uiPriority w:val="99"/>
    <w:semiHidden/>
    <w:unhideWhenUsed/>
    <w:rPr>
      <w:sz w:val="16"/>
      <w:szCs w:val="16"/>
    </w:rPr>
  </w:style>
  <w:style w:type="character" w:customStyle="1" w:styleId="HeaderChar">
    <w:name w:val="Header Char"/>
    <w:basedOn w:val="Numatytasispastraiposriftas"/>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val="0"/>
    </w:rPr>
  </w:style>
  <w:style w:type="character" w:customStyle="1" w:styleId="CharChar12">
    <w:name w:val="Char Char12"/>
    <w:locked/>
    <w:rPr>
      <w:snapToGrid/>
      <w:lang w:val="en-GB" w:eastAsia="en-US" w:bidi="ar-SA"/>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val="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elamrea1">
    <w:name w:val="Tabela – mreža1"/>
    <w:basedOn w:val="prastojilentel"/>
    <w:uiPriority w:val="59"/>
    <w:pPr>
      <w:spacing w:after="0" w:line="240" w:lineRule="auto"/>
    </w:pPr>
    <w:rPr>
      <w:rFonts w:ascii="Calibri" w:eastAsia="Calibri"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8530E-623D-40E5-A27F-5AE94B5A8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54901</Words>
  <Characters>31294</Characters>
  <Application>Microsoft Office Word</Application>
  <DocSecurity>0</DocSecurity>
  <Lines>260</Lines>
  <Paragraphs>172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dc:creator>
  <cp:keywords/>
  <dc:description/>
  <cp:lastModifiedBy>Albina Burkauskaitė</cp:lastModifiedBy>
  <cp:revision>3</cp:revision>
  <dcterms:created xsi:type="dcterms:W3CDTF">2026-03-13T12:22:00Z</dcterms:created>
  <dcterms:modified xsi:type="dcterms:W3CDTF">2026-03-13T12:23:00Z</dcterms:modified>
</cp:coreProperties>
</file>