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25BC2" w14:textId="77777777" w:rsidR="005427AE" w:rsidRPr="00EE75B4" w:rsidRDefault="005427AE" w:rsidP="005427AE">
      <w:pPr>
        <w:spacing w:after="0" w:line="240" w:lineRule="auto"/>
        <w:ind w:left="567" w:hanging="567"/>
        <w:rPr>
          <w:rFonts w:ascii="Times New Roman" w:hAnsi="Times New Roman"/>
          <w:lang w:val="lt-LT"/>
        </w:rPr>
      </w:pPr>
    </w:p>
    <w:p w14:paraId="2136F1CD" w14:textId="77777777" w:rsidR="005427AE" w:rsidRPr="00EE75B4" w:rsidRDefault="005427AE" w:rsidP="005427AE">
      <w:pPr>
        <w:spacing w:after="0" w:line="240" w:lineRule="auto"/>
        <w:ind w:left="567" w:hanging="567"/>
        <w:rPr>
          <w:rFonts w:ascii="Times New Roman" w:hAnsi="Times New Roman"/>
          <w:lang w:val="lt-LT"/>
        </w:rPr>
      </w:pPr>
    </w:p>
    <w:p w14:paraId="53E71485" w14:textId="77777777" w:rsidR="005427AE" w:rsidRPr="00EE75B4" w:rsidRDefault="005427AE" w:rsidP="005427AE">
      <w:pPr>
        <w:spacing w:after="0" w:line="240" w:lineRule="auto"/>
        <w:ind w:left="567" w:hanging="567"/>
        <w:rPr>
          <w:rFonts w:ascii="Times New Roman" w:hAnsi="Times New Roman"/>
          <w:lang w:val="lt-LT"/>
        </w:rPr>
      </w:pPr>
    </w:p>
    <w:p w14:paraId="630B245B" w14:textId="77777777" w:rsidR="005427AE" w:rsidRPr="00EE75B4" w:rsidRDefault="005427AE" w:rsidP="005427AE">
      <w:pPr>
        <w:spacing w:after="0" w:line="240" w:lineRule="auto"/>
        <w:ind w:left="567" w:hanging="567"/>
        <w:rPr>
          <w:rFonts w:ascii="Times New Roman" w:hAnsi="Times New Roman"/>
          <w:lang w:val="lt-LT"/>
        </w:rPr>
      </w:pPr>
    </w:p>
    <w:p w14:paraId="3D7EA26E" w14:textId="77777777" w:rsidR="005427AE" w:rsidRPr="00EE75B4" w:rsidRDefault="005427AE" w:rsidP="005427AE">
      <w:pPr>
        <w:spacing w:after="0" w:line="240" w:lineRule="auto"/>
        <w:ind w:left="567" w:hanging="567"/>
        <w:rPr>
          <w:rFonts w:ascii="Times New Roman" w:hAnsi="Times New Roman"/>
          <w:lang w:val="lt-LT"/>
        </w:rPr>
      </w:pPr>
    </w:p>
    <w:p w14:paraId="3E2A3AF7" w14:textId="77777777" w:rsidR="005427AE" w:rsidRPr="00EE75B4" w:rsidRDefault="005427AE" w:rsidP="005427AE">
      <w:pPr>
        <w:spacing w:after="0" w:line="240" w:lineRule="auto"/>
        <w:ind w:left="567" w:hanging="567"/>
        <w:rPr>
          <w:rFonts w:ascii="Times New Roman" w:hAnsi="Times New Roman"/>
          <w:lang w:val="lt-LT"/>
        </w:rPr>
      </w:pPr>
    </w:p>
    <w:p w14:paraId="7524E9DF" w14:textId="77777777" w:rsidR="005427AE" w:rsidRPr="00EE75B4" w:rsidRDefault="005427AE" w:rsidP="005427AE">
      <w:pPr>
        <w:spacing w:after="0" w:line="240" w:lineRule="auto"/>
        <w:ind w:left="567" w:hanging="567"/>
        <w:rPr>
          <w:rFonts w:ascii="Times New Roman" w:hAnsi="Times New Roman"/>
          <w:lang w:val="lt-LT"/>
        </w:rPr>
      </w:pPr>
    </w:p>
    <w:p w14:paraId="242D0F8B" w14:textId="77777777" w:rsidR="005427AE" w:rsidRPr="00EE75B4" w:rsidRDefault="005427AE" w:rsidP="005427AE">
      <w:pPr>
        <w:spacing w:after="0" w:line="240" w:lineRule="auto"/>
        <w:ind w:left="567" w:hanging="567"/>
        <w:rPr>
          <w:rFonts w:ascii="Times New Roman" w:hAnsi="Times New Roman"/>
          <w:lang w:val="lt-LT"/>
        </w:rPr>
      </w:pPr>
    </w:p>
    <w:p w14:paraId="6FBA00F7" w14:textId="77777777" w:rsidR="005427AE" w:rsidRPr="00EE75B4" w:rsidRDefault="005427AE" w:rsidP="005427AE">
      <w:pPr>
        <w:spacing w:after="0" w:line="240" w:lineRule="auto"/>
        <w:ind w:left="567" w:hanging="567"/>
        <w:rPr>
          <w:rFonts w:ascii="Times New Roman" w:hAnsi="Times New Roman"/>
          <w:lang w:val="lt-LT"/>
        </w:rPr>
      </w:pPr>
    </w:p>
    <w:p w14:paraId="4DC3E9C8" w14:textId="77777777" w:rsidR="005427AE" w:rsidRPr="00EE75B4" w:rsidRDefault="005427AE" w:rsidP="005427AE">
      <w:pPr>
        <w:spacing w:after="0" w:line="240" w:lineRule="auto"/>
        <w:ind w:left="567" w:hanging="567"/>
        <w:rPr>
          <w:rFonts w:ascii="Times New Roman" w:hAnsi="Times New Roman"/>
          <w:lang w:val="lt-LT"/>
        </w:rPr>
      </w:pPr>
    </w:p>
    <w:p w14:paraId="6FEC86C7" w14:textId="77777777" w:rsidR="005427AE" w:rsidRPr="00EE75B4" w:rsidRDefault="005427AE" w:rsidP="005427AE">
      <w:pPr>
        <w:spacing w:after="0" w:line="240" w:lineRule="auto"/>
        <w:ind w:left="567" w:hanging="567"/>
        <w:rPr>
          <w:rFonts w:ascii="Times New Roman" w:hAnsi="Times New Roman"/>
          <w:lang w:val="lt-LT"/>
        </w:rPr>
      </w:pPr>
    </w:p>
    <w:p w14:paraId="5FFB7A6D" w14:textId="77777777" w:rsidR="005427AE" w:rsidRPr="00EE75B4" w:rsidRDefault="005427AE" w:rsidP="005427AE">
      <w:pPr>
        <w:spacing w:after="0" w:line="240" w:lineRule="auto"/>
        <w:ind w:left="567" w:hanging="567"/>
        <w:rPr>
          <w:rFonts w:ascii="Times New Roman" w:hAnsi="Times New Roman"/>
          <w:lang w:val="lt-LT"/>
        </w:rPr>
      </w:pPr>
    </w:p>
    <w:p w14:paraId="4D94846F" w14:textId="77777777" w:rsidR="005427AE" w:rsidRPr="00EE75B4" w:rsidRDefault="005427AE" w:rsidP="005427AE">
      <w:pPr>
        <w:spacing w:after="0" w:line="240" w:lineRule="auto"/>
        <w:ind w:left="567" w:hanging="567"/>
        <w:rPr>
          <w:rFonts w:ascii="Times New Roman" w:hAnsi="Times New Roman"/>
          <w:lang w:val="lt-LT"/>
        </w:rPr>
      </w:pPr>
    </w:p>
    <w:p w14:paraId="55A9722F" w14:textId="77777777" w:rsidR="005427AE" w:rsidRPr="00EE75B4" w:rsidRDefault="005427AE" w:rsidP="005427AE">
      <w:pPr>
        <w:spacing w:after="0" w:line="240" w:lineRule="auto"/>
        <w:ind w:left="567" w:hanging="567"/>
        <w:rPr>
          <w:rFonts w:ascii="Times New Roman" w:hAnsi="Times New Roman"/>
          <w:lang w:val="lt-LT"/>
        </w:rPr>
      </w:pPr>
    </w:p>
    <w:p w14:paraId="608E6970" w14:textId="77777777" w:rsidR="005427AE" w:rsidRPr="00EE75B4" w:rsidRDefault="005427AE" w:rsidP="005427AE">
      <w:pPr>
        <w:spacing w:after="0" w:line="240" w:lineRule="auto"/>
        <w:ind w:left="567" w:hanging="567"/>
        <w:rPr>
          <w:rFonts w:ascii="Times New Roman" w:hAnsi="Times New Roman"/>
          <w:lang w:val="lt-LT"/>
        </w:rPr>
      </w:pPr>
    </w:p>
    <w:p w14:paraId="526FCAE6" w14:textId="77777777" w:rsidR="005427AE" w:rsidRPr="00EE75B4" w:rsidRDefault="005427AE" w:rsidP="005427AE">
      <w:pPr>
        <w:spacing w:after="0" w:line="240" w:lineRule="auto"/>
        <w:ind w:left="567" w:hanging="567"/>
        <w:rPr>
          <w:rFonts w:ascii="Times New Roman" w:hAnsi="Times New Roman"/>
          <w:lang w:val="lt-LT"/>
        </w:rPr>
      </w:pPr>
    </w:p>
    <w:p w14:paraId="25C7B1E6" w14:textId="77777777" w:rsidR="005427AE" w:rsidRPr="00EE75B4" w:rsidRDefault="005427AE" w:rsidP="005427AE">
      <w:pPr>
        <w:spacing w:after="0" w:line="240" w:lineRule="auto"/>
        <w:ind w:left="567" w:hanging="567"/>
        <w:rPr>
          <w:rFonts w:ascii="Times New Roman" w:hAnsi="Times New Roman"/>
          <w:lang w:val="lt-LT"/>
        </w:rPr>
      </w:pPr>
    </w:p>
    <w:p w14:paraId="79007DF2" w14:textId="77777777" w:rsidR="005427AE" w:rsidRPr="00EE75B4" w:rsidRDefault="005427AE" w:rsidP="005427AE">
      <w:pPr>
        <w:spacing w:after="0" w:line="240" w:lineRule="auto"/>
        <w:ind w:left="567" w:hanging="567"/>
        <w:rPr>
          <w:rFonts w:ascii="Times New Roman" w:hAnsi="Times New Roman"/>
          <w:lang w:val="lt-LT"/>
        </w:rPr>
      </w:pPr>
    </w:p>
    <w:p w14:paraId="22ECB25D" w14:textId="77777777" w:rsidR="005427AE" w:rsidRPr="00EE75B4" w:rsidRDefault="005427AE" w:rsidP="005427AE">
      <w:pPr>
        <w:spacing w:after="0" w:line="240" w:lineRule="auto"/>
        <w:ind w:left="567" w:hanging="567"/>
        <w:rPr>
          <w:rFonts w:ascii="Times New Roman" w:hAnsi="Times New Roman"/>
          <w:lang w:val="lt-LT"/>
        </w:rPr>
      </w:pPr>
    </w:p>
    <w:p w14:paraId="6D836097" w14:textId="77777777" w:rsidR="005427AE" w:rsidRPr="00EE75B4" w:rsidRDefault="005427AE" w:rsidP="005427AE">
      <w:pPr>
        <w:spacing w:after="0" w:line="240" w:lineRule="auto"/>
        <w:ind w:left="567" w:hanging="567"/>
        <w:rPr>
          <w:rFonts w:ascii="Times New Roman" w:hAnsi="Times New Roman"/>
          <w:lang w:val="lt-LT"/>
        </w:rPr>
      </w:pPr>
    </w:p>
    <w:p w14:paraId="641D73A5" w14:textId="77777777" w:rsidR="005427AE" w:rsidRPr="00EE75B4" w:rsidRDefault="005427AE" w:rsidP="005427AE">
      <w:pPr>
        <w:spacing w:after="0" w:line="240" w:lineRule="auto"/>
        <w:ind w:left="567" w:hanging="567"/>
        <w:rPr>
          <w:rFonts w:ascii="Times New Roman" w:hAnsi="Times New Roman"/>
          <w:lang w:val="lt-LT"/>
        </w:rPr>
      </w:pPr>
    </w:p>
    <w:p w14:paraId="58EA6545" w14:textId="77777777" w:rsidR="005427AE" w:rsidRPr="00EE75B4" w:rsidRDefault="005427AE" w:rsidP="005427AE">
      <w:pPr>
        <w:spacing w:after="0" w:line="240" w:lineRule="auto"/>
        <w:ind w:left="567" w:hanging="567"/>
        <w:jc w:val="center"/>
        <w:rPr>
          <w:rFonts w:ascii="Times New Roman" w:hAnsi="Times New Roman"/>
          <w:b/>
          <w:lang w:val="lt-LT"/>
        </w:rPr>
      </w:pPr>
    </w:p>
    <w:p w14:paraId="333BEA39" w14:textId="77777777" w:rsidR="005427AE" w:rsidRPr="00EE75B4" w:rsidRDefault="005427AE" w:rsidP="005427AE">
      <w:pPr>
        <w:spacing w:after="0" w:line="240" w:lineRule="auto"/>
        <w:ind w:left="567" w:hanging="567"/>
        <w:jc w:val="center"/>
        <w:rPr>
          <w:rFonts w:ascii="Times New Roman" w:hAnsi="Times New Roman"/>
          <w:b/>
          <w:lang w:val="lt-LT"/>
        </w:rPr>
      </w:pPr>
    </w:p>
    <w:p w14:paraId="1C95649A" w14:textId="77777777" w:rsidR="005427AE" w:rsidRPr="00EE75B4" w:rsidRDefault="005427AE" w:rsidP="005427AE">
      <w:pPr>
        <w:spacing w:after="0" w:line="240" w:lineRule="auto"/>
        <w:ind w:left="567" w:hanging="567"/>
        <w:jc w:val="center"/>
        <w:rPr>
          <w:rFonts w:ascii="Times New Roman" w:hAnsi="Times New Roman"/>
          <w:lang w:val="lt-LT"/>
        </w:rPr>
      </w:pPr>
      <w:r w:rsidRPr="00EE75B4">
        <w:rPr>
          <w:rFonts w:ascii="Times New Roman" w:hAnsi="Times New Roman"/>
          <w:b/>
          <w:lang w:val="lt-LT"/>
        </w:rPr>
        <w:t>I PRIEDAS</w:t>
      </w:r>
    </w:p>
    <w:p w14:paraId="2A411DE5" w14:textId="77777777" w:rsidR="005427AE" w:rsidRPr="00EE75B4" w:rsidRDefault="005427AE" w:rsidP="005427AE">
      <w:pPr>
        <w:spacing w:after="0" w:line="240" w:lineRule="auto"/>
        <w:ind w:left="567" w:hanging="567"/>
        <w:jc w:val="center"/>
        <w:rPr>
          <w:rFonts w:ascii="Times New Roman" w:hAnsi="Times New Roman"/>
          <w:b/>
          <w:lang w:val="lt-LT"/>
        </w:rPr>
      </w:pPr>
    </w:p>
    <w:p w14:paraId="1F24ABA4" w14:textId="77777777" w:rsidR="005427AE" w:rsidRPr="00EE75B4" w:rsidRDefault="005427AE" w:rsidP="005427AE">
      <w:pPr>
        <w:spacing w:after="0" w:line="240" w:lineRule="auto"/>
        <w:ind w:left="567" w:hanging="567"/>
        <w:jc w:val="center"/>
        <w:rPr>
          <w:rFonts w:ascii="Times New Roman" w:hAnsi="Times New Roman"/>
          <w:b/>
          <w:lang w:val="lt-LT"/>
        </w:rPr>
      </w:pPr>
      <w:r w:rsidRPr="00EE75B4">
        <w:rPr>
          <w:rFonts w:ascii="Times New Roman" w:hAnsi="Times New Roman"/>
          <w:b/>
          <w:lang w:val="lt-LT"/>
        </w:rPr>
        <w:t>PREPARATO CHARAKTERISTIKŲ SANTRAUKA</w:t>
      </w:r>
    </w:p>
    <w:p w14:paraId="5CD97710" w14:textId="77777777" w:rsidR="005427AE" w:rsidRPr="00EE75B4" w:rsidRDefault="005427AE" w:rsidP="005427AE">
      <w:pPr>
        <w:spacing w:after="0" w:line="240" w:lineRule="auto"/>
        <w:ind w:left="567" w:hanging="567"/>
        <w:jc w:val="center"/>
        <w:rPr>
          <w:rFonts w:ascii="Times New Roman" w:hAnsi="Times New Roman"/>
          <w:b/>
          <w:lang w:val="lt-LT"/>
        </w:rPr>
      </w:pPr>
    </w:p>
    <w:p w14:paraId="1DB97B67"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br w:type="page"/>
      </w:r>
    </w:p>
    <w:p w14:paraId="6FBFE90B" w14:textId="77777777" w:rsidR="005427AE" w:rsidRPr="00EE75B4" w:rsidRDefault="005427AE" w:rsidP="005427AE">
      <w:pPr>
        <w:tabs>
          <w:tab w:val="left" w:pos="567"/>
        </w:tabs>
        <w:spacing w:after="0" w:line="240" w:lineRule="auto"/>
        <w:rPr>
          <w:rFonts w:ascii="Times New Roman" w:hAnsi="Times New Roman"/>
          <w:b/>
          <w:lang w:val="lt-LT"/>
        </w:rPr>
      </w:pPr>
      <w:r w:rsidRPr="00EE75B4">
        <w:rPr>
          <w:rFonts w:ascii="Times New Roman" w:hAnsi="Times New Roman"/>
          <w:b/>
          <w:lang w:val="lt-LT"/>
        </w:rPr>
        <w:lastRenderedPageBreak/>
        <w:t>1.</w:t>
      </w:r>
      <w:r w:rsidRPr="00EE75B4">
        <w:rPr>
          <w:rFonts w:ascii="Times New Roman" w:hAnsi="Times New Roman"/>
          <w:b/>
          <w:lang w:val="lt-LT"/>
        </w:rPr>
        <w:tab/>
        <w:t>VAISTINIO PREPARATO PAVADINIMAS</w:t>
      </w:r>
    </w:p>
    <w:p w14:paraId="305C47E7" w14:textId="77777777" w:rsidR="005427AE" w:rsidRPr="00EE75B4" w:rsidRDefault="005427AE" w:rsidP="005427AE">
      <w:pPr>
        <w:spacing w:after="0" w:line="240" w:lineRule="auto"/>
        <w:rPr>
          <w:rFonts w:ascii="Times New Roman" w:hAnsi="Times New Roman"/>
          <w:lang w:val="lt-LT"/>
        </w:rPr>
      </w:pPr>
    </w:p>
    <w:p w14:paraId="5F3F3AF6"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plėvele dengtos tabletės</w:t>
      </w:r>
    </w:p>
    <w:p w14:paraId="17C5EB9A" w14:textId="77777777" w:rsidR="005427AE" w:rsidRPr="00EE75B4" w:rsidRDefault="005427AE" w:rsidP="005427AE">
      <w:pPr>
        <w:spacing w:after="0" w:line="240" w:lineRule="auto"/>
        <w:rPr>
          <w:rFonts w:ascii="Times New Roman" w:hAnsi="Times New Roman"/>
          <w:lang w:val="lt-LT"/>
        </w:rPr>
      </w:pPr>
    </w:p>
    <w:p w14:paraId="1EEC2C91" w14:textId="77777777" w:rsidR="005427AE" w:rsidRPr="00EE75B4" w:rsidRDefault="005427AE" w:rsidP="005427AE">
      <w:pPr>
        <w:spacing w:after="0" w:line="240" w:lineRule="auto"/>
        <w:rPr>
          <w:rFonts w:ascii="Times New Roman" w:hAnsi="Times New Roman"/>
          <w:lang w:val="lt-LT"/>
        </w:rPr>
      </w:pPr>
    </w:p>
    <w:p w14:paraId="6576844D" w14:textId="77777777" w:rsidR="005427AE" w:rsidRPr="00EE75B4" w:rsidRDefault="005427AE" w:rsidP="005427AE">
      <w:pPr>
        <w:spacing w:after="0" w:line="240" w:lineRule="auto"/>
        <w:ind w:left="567" w:hanging="567"/>
        <w:outlineLvl w:val="0"/>
        <w:rPr>
          <w:rFonts w:ascii="Times New Roman" w:hAnsi="Times New Roman"/>
          <w:b/>
          <w:caps/>
          <w:kern w:val="28"/>
          <w:lang w:val="lt-LT"/>
        </w:rPr>
      </w:pPr>
      <w:r w:rsidRPr="00EE75B4">
        <w:rPr>
          <w:rFonts w:ascii="Times New Roman" w:hAnsi="Times New Roman"/>
          <w:b/>
          <w:caps/>
          <w:kern w:val="28"/>
          <w:lang w:val="lt-LT"/>
        </w:rPr>
        <w:t>2.</w:t>
      </w:r>
      <w:r w:rsidRPr="00EE75B4">
        <w:rPr>
          <w:rFonts w:ascii="Times New Roman" w:hAnsi="Times New Roman"/>
          <w:b/>
          <w:caps/>
          <w:kern w:val="28"/>
          <w:lang w:val="lt-LT"/>
        </w:rPr>
        <w:tab/>
        <w:t>KOKYBINĖ IR KIEKYBINĖ SUDĖTIS</w:t>
      </w:r>
    </w:p>
    <w:p w14:paraId="0EBE5EB5" w14:textId="77777777" w:rsidR="005427AE" w:rsidRPr="00EE75B4" w:rsidRDefault="005427AE" w:rsidP="005427AE">
      <w:pPr>
        <w:spacing w:after="0" w:line="240" w:lineRule="auto"/>
        <w:rPr>
          <w:rFonts w:ascii="Times New Roman" w:hAnsi="Times New Roman"/>
          <w:i/>
          <w:lang w:val="lt-LT"/>
        </w:rPr>
      </w:pPr>
    </w:p>
    <w:p w14:paraId="38440C56"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Kiekvienoje plėvele dengtoje tabletėje yra 496,3 mg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hidrochlorido, atitinkančio 450 mg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(laisvosios bazės pavidalu).</w:t>
      </w:r>
    </w:p>
    <w:p w14:paraId="259A1D21" w14:textId="77777777" w:rsidR="005427AE" w:rsidRPr="00EE75B4" w:rsidRDefault="005427AE" w:rsidP="005427AE">
      <w:pPr>
        <w:spacing w:after="0" w:line="240" w:lineRule="auto"/>
        <w:rPr>
          <w:rFonts w:ascii="Times New Roman" w:hAnsi="Times New Roman"/>
          <w:lang w:val="lt-LT"/>
        </w:rPr>
      </w:pPr>
    </w:p>
    <w:p w14:paraId="245C4552"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Visos pagalbinės medžiagos išvardytos 6.1 skyriuje.</w:t>
      </w:r>
    </w:p>
    <w:p w14:paraId="02DC1576" w14:textId="77777777" w:rsidR="005427AE" w:rsidRPr="00EE75B4" w:rsidRDefault="005427AE" w:rsidP="005427AE">
      <w:pPr>
        <w:spacing w:after="0" w:line="240" w:lineRule="auto"/>
        <w:rPr>
          <w:rFonts w:ascii="Times New Roman" w:hAnsi="Times New Roman"/>
          <w:lang w:val="lt-LT"/>
        </w:rPr>
      </w:pPr>
    </w:p>
    <w:p w14:paraId="50300BF6" w14:textId="77777777" w:rsidR="005427AE" w:rsidRPr="00EE75B4" w:rsidRDefault="005427AE" w:rsidP="005427AE">
      <w:pPr>
        <w:spacing w:after="0" w:line="240" w:lineRule="auto"/>
        <w:rPr>
          <w:rFonts w:ascii="Times New Roman" w:hAnsi="Times New Roman"/>
          <w:lang w:val="lt-LT"/>
        </w:rPr>
      </w:pPr>
    </w:p>
    <w:p w14:paraId="5E47A9C5" w14:textId="77777777" w:rsidR="005427AE" w:rsidRPr="00EE75B4" w:rsidRDefault="005427AE" w:rsidP="005427AE">
      <w:pPr>
        <w:spacing w:after="0" w:line="240" w:lineRule="auto"/>
        <w:ind w:left="567" w:hanging="567"/>
        <w:outlineLvl w:val="0"/>
        <w:rPr>
          <w:rFonts w:ascii="Times New Roman" w:hAnsi="Times New Roman"/>
          <w:b/>
          <w:kern w:val="28"/>
          <w:lang w:val="lt-LT"/>
        </w:rPr>
      </w:pPr>
      <w:r w:rsidRPr="00EE75B4">
        <w:rPr>
          <w:rFonts w:ascii="Times New Roman" w:hAnsi="Times New Roman"/>
          <w:b/>
          <w:caps/>
          <w:kern w:val="28"/>
          <w:lang w:val="lt-LT"/>
        </w:rPr>
        <w:t>3.</w:t>
      </w:r>
      <w:r w:rsidRPr="00EE75B4">
        <w:rPr>
          <w:rFonts w:ascii="Times New Roman" w:hAnsi="Times New Roman"/>
          <w:b/>
          <w:caps/>
          <w:kern w:val="28"/>
          <w:lang w:val="lt-LT"/>
        </w:rPr>
        <w:tab/>
        <w:t xml:space="preserve">FARMACINĖ </w:t>
      </w:r>
      <w:r w:rsidRPr="00EE75B4">
        <w:rPr>
          <w:rFonts w:ascii="Times New Roman" w:hAnsi="Times New Roman"/>
          <w:b/>
          <w:kern w:val="28"/>
          <w:lang w:val="lt-LT"/>
        </w:rPr>
        <w:t>FORMA</w:t>
      </w:r>
    </w:p>
    <w:p w14:paraId="7E48CD65" w14:textId="77777777" w:rsidR="005427AE" w:rsidRPr="00EE75B4" w:rsidRDefault="005427AE" w:rsidP="005427AE">
      <w:pPr>
        <w:spacing w:after="0" w:line="240" w:lineRule="auto"/>
        <w:rPr>
          <w:rFonts w:ascii="Times New Roman" w:hAnsi="Times New Roman"/>
          <w:lang w:val="lt-LT"/>
        </w:rPr>
      </w:pPr>
    </w:p>
    <w:p w14:paraId="49FC8BEF"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t>Plėvele dengta tabletė (tabletė).</w:t>
      </w:r>
    </w:p>
    <w:p w14:paraId="78912D8E" w14:textId="77777777" w:rsidR="005427AE" w:rsidRPr="00EE75B4" w:rsidRDefault="005427AE" w:rsidP="005427AE">
      <w:pPr>
        <w:spacing w:after="0" w:line="240" w:lineRule="auto"/>
        <w:jc w:val="both"/>
        <w:rPr>
          <w:rFonts w:ascii="Times New Roman" w:hAnsi="Times New Roman"/>
          <w:i/>
          <w:lang w:val="lt-LT"/>
        </w:rPr>
      </w:pPr>
    </w:p>
    <w:p w14:paraId="748DA9B4"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Maždaug 16,7 x 7,8 mm, rožinės spalvos, ovalios, abipus išgaubtos plėvele dengtos tabletės, kurių vienoje pusėje įspausta „J”, o kitoje – “156”. </w:t>
      </w:r>
    </w:p>
    <w:p w14:paraId="79B447D0" w14:textId="77777777" w:rsidR="005427AE" w:rsidRPr="00EE75B4" w:rsidRDefault="005427AE" w:rsidP="005427AE">
      <w:pPr>
        <w:spacing w:after="0" w:line="240" w:lineRule="auto"/>
        <w:rPr>
          <w:rFonts w:ascii="Times New Roman" w:hAnsi="Times New Roman"/>
          <w:lang w:val="lt-LT"/>
        </w:rPr>
      </w:pPr>
    </w:p>
    <w:p w14:paraId="1433E649" w14:textId="77777777" w:rsidR="005427AE" w:rsidRPr="00EE75B4" w:rsidRDefault="005427AE" w:rsidP="005427AE">
      <w:pPr>
        <w:spacing w:after="0" w:line="240" w:lineRule="auto"/>
        <w:rPr>
          <w:rFonts w:ascii="Times New Roman" w:hAnsi="Times New Roman"/>
          <w:lang w:val="lt-LT"/>
        </w:rPr>
      </w:pPr>
    </w:p>
    <w:p w14:paraId="26162B67" w14:textId="77777777" w:rsidR="005427AE" w:rsidRPr="00EE75B4" w:rsidRDefault="005427AE" w:rsidP="005427AE">
      <w:pPr>
        <w:spacing w:after="0" w:line="240" w:lineRule="auto"/>
        <w:ind w:left="567" w:hanging="567"/>
        <w:outlineLvl w:val="0"/>
        <w:rPr>
          <w:rFonts w:ascii="Times New Roman" w:hAnsi="Times New Roman"/>
          <w:b/>
          <w:caps/>
          <w:kern w:val="28"/>
          <w:lang w:val="lt-LT"/>
        </w:rPr>
      </w:pPr>
      <w:r w:rsidRPr="00EE75B4">
        <w:rPr>
          <w:rFonts w:ascii="Times New Roman" w:hAnsi="Times New Roman"/>
          <w:b/>
          <w:caps/>
          <w:kern w:val="28"/>
          <w:lang w:val="lt-LT"/>
        </w:rPr>
        <w:t>4.</w:t>
      </w:r>
      <w:r w:rsidRPr="00EE75B4">
        <w:rPr>
          <w:rFonts w:ascii="Times New Roman" w:hAnsi="Times New Roman"/>
          <w:b/>
          <w:caps/>
          <w:kern w:val="28"/>
          <w:lang w:val="lt-LT"/>
        </w:rPr>
        <w:tab/>
        <w:t>KliniKINĖ informacija</w:t>
      </w:r>
    </w:p>
    <w:p w14:paraId="3B8BE0B1" w14:textId="77777777" w:rsidR="005427AE" w:rsidRPr="00EE75B4" w:rsidRDefault="005427AE" w:rsidP="005427AE">
      <w:pPr>
        <w:spacing w:after="0" w:line="240" w:lineRule="auto"/>
        <w:rPr>
          <w:rFonts w:ascii="Times New Roman" w:hAnsi="Times New Roman"/>
          <w:lang w:val="lt-LT"/>
        </w:rPr>
      </w:pPr>
    </w:p>
    <w:p w14:paraId="0037AAB7" w14:textId="77777777" w:rsidR="005427AE" w:rsidRPr="00EE75B4" w:rsidRDefault="005427AE" w:rsidP="005427AE">
      <w:pPr>
        <w:spacing w:after="0" w:line="240" w:lineRule="auto"/>
        <w:ind w:left="567" w:hanging="567"/>
        <w:outlineLvl w:val="1"/>
        <w:rPr>
          <w:rFonts w:ascii="Times New Roman" w:hAnsi="Times New Roman"/>
          <w:b/>
          <w:kern w:val="28"/>
          <w:lang w:val="lt-LT"/>
        </w:rPr>
      </w:pPr>
      <w:r w:rsidRPr="00EE75B4">
        <w:rPr>
          <w:rFonts w:ascii="Times New Roman" w:hAnsi="Times New Roman"/>
          <w:b/>
          <w:kern w:val="28"/>
          <w:lang w:val="lt-LT"/>
        </w:rPr>
        <w:t>4.1</w:t>
      </w:r>
      <w:r w:rsidRPr="00EE75B4">
        <w:rPr>
          <w:rFonts w:ascii="Times New Roman" w:hAnsi="Times New Roman"/>
          <w:b/>
          <w:kern w:val="28"/>
          <w:lang w:val="lt-LT"/>
        </w:rPr>
        <w:tab/>
        <w:t>Terapinės indikacijos</w:t>
      </w:r>
    </w:p>
    <w:p w14:paraId="729CDBBC" w14:textId="77777777" w:rsidR="005427AE" w:rsidRPr="00EE75B4" w:rsidRDefault="005427AE" w:rsidP="005427AE">
      <w:pPr>
        <w:spacing w:after="0" w:line="240" w:lineRule="auto"/>
        <w:rPr>
          <w:rFonts w:ascii="Times New Roman" w:hAnsi="Times New Roman"/>
          <w:lang w:val="lt-LT"/>
        </w:rPr>
      </w:pPr>
    </w:p>
    <w:p w14:paraId="06A6B06A" w14:textId="3A93A264"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yra skirtas įgyto imunodeficito sindromu (AIDS) sergan</w:t>
      </w:r>
      <w:r w:rsidR="009A20E3">
        <w:rPr>
          <w:rFonts w:ascii="Times New Roman" w:hAnsi="Times New Roman"/>
          <w:lang w:val="lt-LT"/>
        </w:rPr>
        <w:t>čių</w:t>
      </w:r>
      <w:r w:rsidRPr="00EE75B4">
        <w:rPr>
          <w:rFonts w:ascii="Times New Roman" w:hAnsi="Times New Roman"/>
          <w:lang w:val="lt-LT"/>
        </w:rPr>
        <w:t xml:space="preserve"> suaugusi</w:t>
      </w:r>
      <w:r w:rsidR="009A20E3">
        <w:rPr>
          <w:rFonts w:ascii="Times New Roman" w:hAnsi="Times New Roman"/>
          <w:lang w:val="lt-LT"/>
        </w:rPr>
        <w:t>ų</w:t>
      </w:r>
      <w:r w:rsidRPr="00EE75B4">
        <w:rPr>
          <w:rFonts w:ascii="Times New Roman" w:hAnsi="Times New Roman"/>
          <w:lang w:val="lt-LT"/>
        </w:rPr>
        <w:t xml:space="preserve"> pacient</w:t>
      </w:r>
      <w:r w:rsidR="009A20E3">
        <w:rPr>
          <w:rFonts w:ascii="Times New Roman" w:hAnsi="Times New Roman"/>
          <w:lang w:val="lt-LT"/>
        </w:rPr>
        <w:t>ų</w:t>
      </w:r>
      <w:r w:rsidRPr="00EE75B4">
        <w:rPr>
          <w:rFonts w:ascii="Times New Roman" w:hAnsi="Times New Roman"/>
          <w:lang w:val="lt-LT"/>
        </w:rPr>
        <w:t xml:space="preserve"> </w:t>
      </w:r>
      <w:proofErr w:type="spellStart"/>
      <w:r w:rsidRPr="00EE75B4">
        <w:rPr>
          <w:rFonts w:ascii="Times New Roman" w:hAnsi="Times New Roman"/>
          <w:lang w:val="lt-LT"/>
        </w:rPr>
        <w:t>citomegalo</w:t>
      </w:r>
      <w:proofErr w:type="spellEnd"/>
      <w:r w:rsidRPr="00EE75B4">
        <w:rPr>
          <w:rFonts w:ascii="Times New Roman" w:hAnsi="Times New Roman"/>
          <w:lang w:val="lt-LT"/>
        </w:rPr>
        <w:t xml:space="preserve"> viruso (CMV) sukelto </w:t>
      </w:r>
      <w:proofErr w:type="spellStart"/>
      <w:r w:rsidRPr="00EE75B4">
        <w:rPr>
          <w:rFonts w:ascii="Times New Roman" w:hAnsi="Times New Roman"/>
          <w:lang w:val="lt-LT"/>
        </w:rPr>
        <w:t>retinito</w:t>
      </w:r>
      <w:proofErr w:type="spellEnd"/>
      <w:r w:rsidRPr="00EE75B4">
        <w:rPr>
          <w:rFonts w:ascii="Times New Roman" w:hAnsi="Times New Roman"/>
          <w:lang w:val="lt-LT"/>
        </w:rPr>
        <w:t xml:space="preserve"> įvadiniam ir palaikomajam gydymui.</w:t>
      </w:r>
    </w:p>
    <w:p w14:paraId="43CA90C6" w14:textId="77777777" w:rsidR="005427AE" w:rsidRPr="00EE75B4" w:rsidRDefault="005427AE" w:rsidP="005427AE">
      <w:pPr>
        <w:spacing w:after="0" w:line="240" w:lineRule="auto"/>
        <w:rPr>
          <w:rFonts w:ascii="Times New Roman" w:hAnsi="Times New Roman"/>
          <w:lang w:val="lt-LT"/>
        </w:rPr>
      </w:pPr>
    </w:p>
    <w:p w14:paraId="4D20D398"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yra skirtas CMV sukeltos ligos profilaktikai suaugusiesiems ir vaikams (nuo gimimo iki 18 metų), kurie neužsikrėtę CMV, tačiau jiems yra persodintas CMV infekuoto donoro </w:t>
      </w:r>
      <w:proofErr w:type="spellStart"/>
      <w:r w:rsidRPr="00EE75B4">
        <w:rPr>
          <w:rFonts w:ascii="Times New Roman" w:hAnsi="Times New Roman"/>
          <w:lang w:val="lt-LT"/>
        </w:rPr>
        <w:t>solidinis</w:t>
      </w:r>
      <w:proofErr w:type="spellEnd"/>
      <w:r w:rsidRPr="00EE75B4">
        <w:rPr>
          <w:rFonts w:ascii="Times New Roman" w:hAnsi="Times New Roman"/>
          <w:lang w:val="lt-LT"/>
        </w:rPr>
        <w:t xml:space="preserve"> organas.</w:t>
      </w:r>
    </w:p>
    <w:p w14:paraId="7F625BFC" w14:textId="77777777" w:rsidR="005427AE" w:rsidRPr="00EE75B4" w:rsidRDefault="005427AE" w:rsidP="005427AE">
      <w:pPr>
        <w:spacing w:after="0" w:line="240" w:lineRule="auto"/>
        <w:rPr>
          <w:rFonts w:ascii="Times New Roman" w:hAnsi="Times New Roman"/>
          <w:lang w:val="lt-LT"/>
        </w:rPr>
      </w:pPr>
    </w:p>
    <w:p w14:paraId="7B6FD6B8" w14:textId="77777777" w:rsidR="005427AE" w:rsidRPr="00EE75B4" w:rsidRDefault="005427AE" w:rsidP="005427AE">
      <w:pPr>
        <w:spacing w:after="0" w:line="240" w:lineRule="auto"/>
        <w:ind w:left="567" w:hanging="567"/>
        <w:outlineLvl w:val="1"/>
        <w:rPr>
          <w:rFonts w:ascii="Times New Roman" w:hAnsi="Times New Roman"/>
          <w:b/>
          <w:kern w:val="28"/>
          <w:lang w:val="lt-LT"/>
        </w:rPr>
      </w:pPr>
      <w:r w:rsidRPr="00EE75B4">
        <w:rPr>
          <w:rFonts w:ascii="Times New Roman" w:hAnsi="Times New Roman"/>
          <w:b/>
          <w:kern w:val="28"/>
          <w:lang w:val="lt-LT"/>
        </w:rPr>
        <w:t>4.2</w:t>
      </w:r>
      <w:r w:rsidRPr="00EE75B4">
        <w:rPr>
          <w:rFonts w:ascii="Times New Roman" w:hAnsi="Times New Roman"/>
          <w:b/>
          <w:kern w:val="28"/>
          <w:lang w:val="lt-LT"/>
        </w:rPr>
        <w:tab/>
        <w:t>Dozavimas ir vartojimo metodas</w:t>
      </w:r>
    </w:p>
    <w:p w14:paraId="0C8D3A92" w14:textId="77777777" w:rsidR="005427AE" w:rsidRPr="00EE75B4" w:rsidRDefault="005427AE" w:rsidP="005427AE">
      <w:pPr>
        <w:spacing w:after="0" w:line="240" w:lineRule="auto"/>
        <w:rPr>
          <w:rFonts w:ascii="Times New Roman" w:hAnsi="Times New Roman"/>
          <w:lang w:val="lt-LT"/>
        </w:rPr>
      </w:pPr>
    </w:p>
    <w:p w14:paraId="210CB1E8"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Dozavimas</w:t>
      </w:r>
    </w:p>
    <w:p w14:paraId="7F11D3F7" w14:textId="77777777" w:rsidR="005427AE" w:rsidRPr="00EE75B4" w:rsidRDefault="005427AE" w:rsidP="005427AE">
      <w:pPr>
        <w:spacing w:after="0" w:line="240" w:lineRule="auto"/>
        <w:rPr>
          <w:rFonts w:ascii="Times New Roman" w:hAnsi="Times New Roman"/>
          <w:b/>
          <w:lang w:val="lt-LT"/>
        </w:rPr>
      </w:pPr>
      <w:r w:rsidRPr="00EE75B4">
        <w:rPr>
          <w:rFonts w:ascii="Times New Roman" w:hAnsi="Times New Roman"/>
          <w:b/>
          <w:lang w:val="lt-LT"/>
        </w:rPr>
        <w:t>Dėmesio! Kad vaistinio preparato nebūtų perdozuota, būtina griežtai laikytis dozavimo rekomendacijų (žr. 4.4</w:t>
      </w:r>
      <w:r w:rsidRPr="00EE75B4">
        <w:rPr>
          <w:rFonts w:ascii="Times New Roman" w:hAnsi="Times New Roman"/>
          <w:b/>
          <w:i/>
          <w:lang w:val="lt-LT"/>
        </w:rPr>
        <w:t xml:space="preserve"> </w:t>
      </w:r>
      <w:r w:rsidRPr="00EE75B4">
        <w:rPr>
          <w:rFonts w:ascii="Times New Roman" w:hAnsi="Times New Roman"/>
          <w:b/>
          <w:lang w:val="lt-LT"/>
        </w:rPr>
        <w:t>ir 4.9 skyrius).</w:t>
      </w:r>
    </w:p>
    <w:p w14:paraId="69FD9DE5" w14:textId="77777777" w:rsidR="005427AE" w:rsidRPr="00EE75B4" w:rsidRDefault="005427AE" w:rsidP="005427AE">
      <w:pPr>
        <w:spacing w:after="0" w:line="240" w:lineRule="auto"/>
        <w:rPr>
          <w:rFonts w:ascii="Times New Roman" w:hAnsi="Times New Roman"/>
          <w:u w:val="single"/>
          <w:lang w:val="lt-LT"/>
        </w:rPr>
      </w:pPr>
    </w:p>
    <w:p w14:paraId="419F3B13"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Išgertas </w:t>
      </w:r>
      <w:proofErr w:type="spellStart"/>
      <w:r w:rsidRPr="00EE75B4">
        <w:rPr>
          <w:rFonts w:ascii="Times New Roman" w:hAnsi="Times New Roman"/>
          <w:lang w:val="lt-LT"/>
        </w:rPr>
        <w:t>valgancikloviras</w:t>
      </w:r>
      <w:proofErr w:type="spellEnd"/>
      <w:r w:rsidRPr="00EE75B4">
        <w:rPr>
          <w:rFonts w:ascii="Times New Roman" w:hAnsi="Times New Roman"/>
          <w:lang w:val="lt-LT"/>
        </w:rPr>
        <w:t xml:space="preserve"> greitai ir ekstensyviai </w:t>
      </w:r>
      <w:proofErr w:type="spellStart"/>
      <w:r w:rsidRPr="00EE75B4">
        <w:rPr>
          <w:rFonts w:ascii="Times New Roman" w:hAnsi="Times New Roman"/>
          <w:lang w:val="lt-LT"/>
        </w:rPr>
        <w:t>metabolizuojamas</w:t>
      </w:r>
      <w:proofErr w:type="spellEnd"/>
      <w:r w:rsidRPr="00EE75B4">
        <w:rPr>
          <w:rFonts w:ascii="Times New Roman" w:hAnsi="Times New Roman"/>
          <w:lang w:val="lt-LT"/>
        </w:rPr>
        <w:t xml:space="preserve"> į </w:t>
      </w:r>
      <w:proofErr w:type="spellStart"/>
      <w:r w:rsidRPr="00EE75B4">
        <w:rPr>
          <w:rFonts w:ascii="Times New Roman" w:hAnsi="Times New Roman"/>
          <w:lang w:val="lt-LT"/>
        </w:rPr>
        <w:t>ganciklovirą</w:t>
      </w:r>
      <w:proofErr w:type="spellEnd"/>
      <w:r w:rsidRPr="00EE75B4">
        <w:rPr>
          <w:rFonts w:ascii="Times New Roman" w:hAnsi="Times New Roman"/>
          <w:lang w:val="lt-LT"/>
        </w:rPr>
        <w:t xml:space="preserve">. Geriamojo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900 mg du kartus per parą vartojama dozė gydomuoju poveikiu ekvivalentiška 5 mg/kg kūno svorio du kartus per parą į veną leidžiamo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dozei.</w:t>
      </w:r>
    </w:p>
    <w:p w14:paraId="14AA1C6D" w14:textId="77777777" w:rsidR="005427AE" w:rsidRPr="00EE75B4" w:rsidRDefault="005427AE" w:rsidP="005427AE">
      <w:pPr>
        <w:spacing w:after="0" w:line="240" w:lineRule="auto"/>
        <w:jc w:val="both"/>
        <w:rPr>
          <w:rFonts w:ascii="Times New Roman" w:hAnsi="Times New Roman"/>
          <w:lang w:val="lt-LT"/>
        </w:rPr>
      </w:pPr>
    </w:p>
    <w:p w14:paraId="5D1130E0" w14:textId="77777777" w:rsidR="005427AE" w:rsidRPr="00EE75B4" w:rsidRDefault="005427AE" w:rsidP="005427AE">
      <w:pPr>
        <w:spacing w:after="0" w:line="240" w:lineRule="auto"/>
        <w:rPr>
          <w:rFonts w:ascii="Times New Roman" w:hAnsi="Times New Roman"/>
          <w:b/>
          <w:lang w:val="lt-LT"/>
        </w:rPr>
      </w:pPr>
      <w:proofErr w:type="spellStart"/>
      <w:r w:rsidRPr="00EE75B4">
        <w:rPr>
          <w:rFonts w:ascii="Times New Roman" w:hAnsi="Times New Roman"/>
          <w:b/>
          <w:lang w:val="lt-LT"/>
        </w:rPr>
        <w:t>Citomegalo</w:t>
      </w:r>
      <w:proofErr w:type="spellEnd"/>
      <w:r w:rsidRPr="00EE75B4">
        <w:rPr>
          <w:rFonts w:ascii="Times New Roman" w:hAnsi="Times New Roman"/>
          <w:b/>
          <w:lang w:val="lt-LT"/>
        </w:rPr>
        <w:t xml:space="preserve"> viruso (CMV) sukelto </w:t>
      </w:r>
      <w:proofErr w:type="spellStart"/>
      <w:r w:rsidRPr="00EE75B4">
        <w:rPr>
          <w:rFonts w:ascii="Times New Roman" w:hAnsi="Times New Roman"/>
          <w:b/>
          <w:lang w:val="lt-LT"/>
        </w:rPr>
        <w:t>retinito</w:t>
      </w:r>
      <w:proofErr w:type="spellEnd"/>
      <w:r w:rsidRPr="00EE75B4">
        <w:rPr>
          <w:rFonts w:ascii="Times New Roman" w:hAnsi="Times New Roman"/>
          <w:b/>
          <w:lang w:val="lt-LT"/>
        </w:rPr>
        <w:t xml:space="preserve"> gydymas</w:t>
      </w:r>
    </w:p>
    <w:p w14:paraId="778CF2D0" w14:textId="77777777" w:rsidR="005427AE" w:rsidRPr="00EE75B4" w:rsidRDefault="005427AE" w:rsidP="005427AE">
      <w:pPr>
        <w:spacing w:after="0" w:line="240" w:lineRule="auto"/>
        <w:rPr>
          <w:rFonts w:ascii="Times New Roman" w:hAnsi="Times New Roman"/>
          <w:i/>
          <w:u w:val="single"/>
          <w:lang w:val="lt-LT"/>
        </w:rPr>
      </w:pPr>
    </w:p>
    <w:p w14:paraId="754C15E9" w14:textId="77777777" w:rsidR="005427AE" w:rsidRPr="00EE75B4" w:rsidRDefault="005427AE" w:rsidP="005427AE">
      <w:pPr>
        <w:spacing w:after="0" w:line="240" w:lineRule="auto"/>
        <w:rPr>
          <w:rFonts w:ascii="Times New Roman" w:hAnsi="Times New Roman"/>
          <w:i/>
          <w:u w:val="single"/>
          <w:lang w:val="lt-LT"/>
        </w:rPr>
      </w:pPr>
      <w:r w:rsidRPr="00EE75B4">
        <w:rPr>
          <w:rFonts w:ascii="Times New Roman" w:hAnsi="Times New Roman"/>
          <w:i/>
          <w:u w:val="single"/>
          <w:lang w:val="lt-LT"/>
        </w:rPr>
        <w:t>Suaugusiems pacientams</w:t>
      </w:r>
    </w:p>
    <w:p w14:paraId="02F191B2" w14:textId="77777777" w:rsidR="005427AE" w:rsidRPr="00EE75B4" w:rsidRDefault="005427AE" w:rsidP="005427AE">
      <w:pPr>
        <w:spacing w:after="0" w:line="240" w:lineRule="auto"/>
        <w:jc w:val="both"/>
        <w:rPr>
          <w:rFonts w:ascii="Times New Roman" w:hAnsi="Times New Roman"/>
          <w:i/>
          <w:lang w:val="lt-LT"/>
        </w:rPr>
      </w:pPr>
      <w:r w:rsidRPr="00EE75B4">
        <w:rPr>
          <w:rFonts w:ascii="Times New Roman" w:hAnsi="Times New Roman"/>
          <w:i/>
          <w:lang w:val="lt-LT"/>
        </w:rPr>
        <w:t xml:space="preserve">CMV sukelto </w:t>
      </w:r>
      <w:proofErr w:type="spellStart"/>
      <w:r w:rsidRPr="00EE75B4">
        <w:rPr>
          <w:rFonts w:ascii="Times New Roman" w:hAnsi="Times New Roman"/>
          <w:i/>
          <w:lang w:val="lt-LT"/>
        </w:rPr>
        <w:t>retinito</w:t>
      </w:r>
      <w:proofErr w:type="spellEnd"/>
      <w:r w:rsidRPr="00EE75B4">
        <w:rPr>
          <w:rFonts w:ascii="Times New Roman" w:hAnsi="Times New Roman"/>
          <w:i/>
          <w:lang w:val="lt-LT"/>
        </w:rPr>
        <w:t xml:space="preserve"> įvadinis gydymas</w:t>
      </w:r>
    </w:p>
    <w:p w14:paraId="086F0B7F" w14:textId="77777777" w:rsidR="005427AE" w:rsidRPr="00EE75B4" w:rsidRDefault="005427AE" w:rsidP="005427AE">
      <w:pPr>
        <w:spacing w:after="0" w:line="240" w:lineRule="auto"/>
        <w:jc w:val="both"/>
        <w:rPr>
          <w:rFonts w:ascii="Times New Roman" w:hAnsi="Times New Roman"/>
          <w:i/>
          <w:lang w:val="lt-LT"/>
        </w:rPr>
      </w:pPr>
    </w:p>
    <w:p w14:paraId="2718B299"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Aktyviu CMV sukeltu </w:t>
      </w:r>
      <w:proofErr w:type="spellStart"/>
      <w:r w:rsidRPr="00EE75B4">
        <w:rPr>
          <w:rFonts w:ascii="Times New Roman" w:hAnsi="Times New Roman"/>
          <w:lang w:val="lt-LT"/>
        </w:rPr>
        <w:t>retinitu</w:t>
      </w:r>
      <w:proofErr w:type="spellEnd"/>
      <w:r w:rsidRPr="00EE75B4">
        <w:rPr>
          <w:rFonts w:ascii="Times New Roman" w:hAnsi="Times New Roman"/>
          <w:lang w:val="lt-LT"/>
        </w:rPr>
        <w:t xml:space="preserve"> sergantiems pacientams rekomenduojama dozė yra 900 mg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(dvi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tabletės) du kartus per parą 21 parą (jeigu įmanoma, vartoti su maistu). Užtęstas įvadinis gydymas gali padidinti toksinio poveikio kaulų čiulpams riziką (žr. 4.4 skyrių).</w:t>
      </w:r>
    </w:p>
    <w:p w14:paraId="79886F89" w14:textId="77777777" w:rsidR="005427AE" w:rsidRPr="00EE75B4" w:rsidRDefault="005427AE" w:rsidP="005427AE">
      <w:pPr>
        <w:spacing w:after="0" w:line="240" w:lineRule="auto"/>
        <w:rPr>
          <w:rFonts w:ascii="Times New Roman" w:hAnsi="Times New Roman"/>
          <w:lang w:val="lt-LT"/>
        </w:rPr>
      </w:pPr>
    </w:p>
    <w:p w14:paraId="022BD52B" w14:textId="77777777" w:rsidR="005427AE" w:rsidRPr="00EE75B4" w:rsidRDefault="005427AE" w:rsidP="005427AE">
      <w:pPr>
        <w:keepNext/>
        <w:keepLines/>
        <w:spacing w:after="0" w:line="240" w:lineRule="auto"/>
        <w:rPr>
          <w:rFonts w:ascii="Times New Roman" w:hAnsi="Times New Roman"/>
          <w:i/>
          <w:lang w:val="lt-LT"/>
        </w:rPr>
      </w:pPr>
      <w:r w:rsidRPr="00EE75B4">
        <w:rPr>
          <w:rFonts w:ascii="Times New Roman" w:hAnsi="Times New Roman"/>
          <w:i/>
          <w:lang w:val="lt-LT"/>
        </w:rPr>
        <w:lastRenderedPageBreak/>
        <w:t xml:space="preserve">Palaikomasis CMV sukelto </w:t>
      </w:r>
      <w:proofErr w:type="spellStart"/>
      <w:r w:rsidRPr="00EE75B4">
        <w:rPr>
          <w:rFonts w:ascii="Times New Roman" w:hAnsi="Times New Roman"/>
          <w:i/>
          <w:lang w:val="lt-LT"/>
        </w:rPr>
        <w:t>retinito</w:t>
      </w:r>
      <w:proofErr w:type="spellEnd"/>
      <w:r w:rsidRPr="00EE75B4">
        <w:rPr>
          <w:rFonts w:ascii="Times New Roman" w:hAnsi="Times New Roman"/>
          <w:i/>
          <w:lang w:val="lt-LT"/>
        </w:rPr>
        <w:t xml:space="preserve"> gydymas</w:t>
      </w:r>
    </w:p>
    <w:p w14:paraId="669D8E30" w14:textId="77777777" w:rsidR="005427AE" w:rsidRPr="00EE75B4" w:rsidRDefault="005427AE" w:rsidP="005427AE">
      <w:pPr>
        <w:keepNext/>
        <w:keepLines/>
        <w:spacing w:after="0" w:line="240" w:lineRule="auto"/>
        <w:rPr>
          <w:rFonts w:ascii="Times New Roman" w:hAnsi="Times New Roman"/>
          <w:lang w:val="lt-LT"/>
        </w:rPr>
      </w:pPr>
      <w:r w:rsidRPr="00EE75B4">
        <w:rPr>
          <w:rFonts w:ascii="Times New Roman" w:hAnsi="Times New Roman"/>
          <w:lang w:val="lt-LT"/>
        </w:rPr>
        <w:t xml:space="preserve">Po įvadinio gydymo arba gydant pacientus, kuriems yra neaktyvus CMV sukeltas </w:t>
      </w:r>
      <w:proofErr w:type="spellStart"/>
      <w:r w:rsidRPr="00EE75B4">
        <w:rPr>
          <w:rFonts w:ascii="Times New Roman" w:hAnsi="Times New Roman"/>
          <w:lang w:val="lt-LT"/>
        </w:rPr>
        <w:t>retinitas</w:t>
      </w:r>
      <w:proofErr w:type="spellEnd"/>
      <w:r w:rsidRPr="00EE75B4">
        <w:rPr>
          <w:rFonts w:ascii="Times New Roman" w:hAnsi="Times New Roman"/>
          <w:lang w:val="lt-LT"/>
        </w:rPr>
        <w:t xml:space="preserve">, rekomenduojama dozė yra 900 mg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(dvi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tabletės) vieną kartą per parą (jeigu įmanoma, vartoti su maistu). Pacientams, kurių </w:t>
      </w:r>
      <w:proofErr w:type="spellStart"/>
      <w:r w:rsidRPr="00EE75B4">
        <w:rPr>
          <w:rFonts w:ascii="Times New Roman" w:hAnsi="Times New Roman"/>
          <w:lang w:val="lt-LT"/>
        </w:rPr>
        <w:t>retinitas</w:t>
      </w:r>
      <w:proofErr w:type="spellEnd"/>
      <w:r w:rsidRPr="00EE75B4">
        <w:rPr>
          <w:rFonts w:ascii="Times New Roman" w:hAnsi="Times New Roman"/>
          <w:lang w:val="lt-LT"/>
        </w:rPr>
        <w:t xml:space="preserve"> blogėja, galima kartoti įvadinį gydymą, tačiau reikia atsižvelgti į viruso atsparumo vaistiniam preparatui galimybę.</w:t>
      </w:r>
    </w:p>
    <w:p w14:paraId="4564B0CA" w14:textId="77777777" w:rsidR="005427AE" w:rsidRPr="00EE75B4" w:rsidRDefault="005427AE" w:rsidP="005427AE">
      <w:pPr>
        <w:keepNext/>
        <w:keepLines/>
        <w:spacing w:after="0" w:line="240" w:lineRule="auto"/>
        <w:rPr>
          <w:rFonts w:ascii="Times New Roman" w:hAnsi="Times New Roman"/>
          <w:lang w:val="lt-LT"/>
        </w:rPr>
      </w:pPr>
    </w:p>
    <w:p w14:paraId="42DF0EB3" w14:textId="77777777" w:rsidR="00BB21C4" w:rsidRPr="00EE75B4" w:rsidRDefault="00BB21C4" w:rsidP="005427AE">
      <w:pPr>
        <w:keepNext/>
        <w:keepLines/>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Palaikomojo gydymo trukmė turi būti nustatoma individualiai.</w:t>
      </w:r>
    </w:p>
    <w:p w14:paraId="0243B04A" w14:textId="77777777" w:rsidR="00BB21C4" w:rsidRPr="00EE75B4" w:rsidRDefault="00BB21C4" w:rsidP="005427AE">
      <w:pPr>
        <w:keepNext/>
        <w:keepLines/>
        <w:spacing w:after="0" w:line="240" w:lineRule="auto"/>
        <w:rPr>
          <w:rFonts w:ascii="Times New Roman" w:eastAsia="Times New Roman" w:hAnsi="Times New Roman"/>
          <w:lang w:val="lt-LT" w:eastAsia="ja-JP"/>
        </w:rPr>
      </w:pPr>
    </w:p>
    <w:p w14:paraId="79CEB064" w14:textId="77777777" w:rsidR="005427AE" w:rsidRPr="00EE75B4" w:rsidRDefault="005427AE" w:rsidP="005427AE">
      <w:pPr>
        <w:tabs>
          <w:tab w:val="left" w:pos="567"/>
        </w:tabs>
        <w:spacing w:after="0" w:line="240" w:lineRule="auto"/>
        <w:rPr>
          <w:rFonts w:ascii="Times New Roman" w:hAnsi="Times New Roman"/>
          <w:i/>
          <w:lang w:val="lt-LT"/>
        </w:rPr>
      </w:pPr>
      <w:r w:rsidRPr="00EE75B4">
        <w:rPr>
          <w:rFonts w:ascii="Times New Roman" w:hAnsi="Times New Roman"/>
          <w:i/>
          <w:lang w:val="lt-LT"/>
        </w:rPr>
        <w:t>Vaikų populiacija</w:t>
      </w:r>
    </w:p>
    <w:p w14:paraId="0951DE4D"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saugumas ir veiksmingumas, gydant CMV sukeltą </w:t>
      </w:r>
      <w:proofErr w:type="spellStart"/>
      <w:r w:rsidRPr="00EE75B4">
        <w:rPr>
          <w:rFonts w:ascii="Times New Roman" w:hAnsi="Times New Roman"/>
          <w:lang w:val="lt-LT"/>
        </w:rPr>
        <w:t>retinitą</w:t>
      </w:r>
      <w:proofErr w:type="spellEnd"/>
      <w:r w:rsidRPr="00EE75B4">
        <w:rPr>
          <w:rFonts w:ascii="Times New Roman" w:hAnsi="Times New Roman"/>
          <w:lang w:val="lt-LT"/>
        </w:rPr>
        <w:t>, pakankamais ir gerai kontroliuotais pediatrinių pacientų klinikiniais tyrimais neištirti.</w:t>
      </w:r>
    </w:p>
    <w:p w14:paraId="24C9DEA8" w14:textId="77777777" w:rsidR="005427AE" w:rsidRPr="00EE75B4" w:rsidRDefault="005427AE" w:rsidP="005427AE">
      <w:pPr>
        <w:spacing w:after="0" w:line="240" w:lineRule="auto"/>
        <w:rPr>
          <w:rFonts w:ascii="Times New Roman" w:hAnsi="Times New Roman"/>
          <w:lang w:val="lt-LT"/>
        </w:rPr>
      </w:pPr>
    </w:p>
    <w:p w14:paraId="6F6F8CB9" w14:textId="77777777" w:rsidR="005427AE" w:rsidRPr="00EE75B4" w:rsidRDefault="005427AE" w:rsidP="005427AE">
      <w:pPr>
        <w:spacing w:after="0" w:line="240" w:lineRule="auto"/>
        <w:rPr>
          <w:rFonts w:ascii="Times New Roman" w:hAnsi="Times New Roman"/>
          <w:i/>
          <w:lang w:val="lt-LT"/>
        </w:rPr>
      </w:pPr>
      <w:r w:rsidRPr="00EE75B4">
        <w:rPr>
          <w:rFonts w:ascii="Times New Roman" w:hAnsi="Times New Roman"/>
          <w:i/>
          <w:lang w:val="lt-LT"/>
        </w:rPr>
        <w:t xml:space="preserve">CMV ligos profilaktika persodinus </w:t>
      </w:r>
      <w:proofErr w:type="spellStart"/>
      <w:r w:rsidRPr="00EE75B4">
        <w:rPr>
          <w:rFonts w:ascii="Times New Roman" w:hAnsi="Times New Roman"/>
          <w:i/>
          <w:lang w:val="lt-LT"/>
        </w:rPr>
        <w:t>solidinį</w:t>
      </w:r>
      <w:proofErr w:type="spellEnd"/>
      <w:r w:rsidRPr="00EE75B4">
        <w:rPr>
          <w:rFonts w:ascii="Times New Roman" w:hAnsi="Times New Roman"/>
          <w:i/>
          <w:lang w:val="lt-LT"/>
        </w:rPr>
        <w:t xml:space="preserve"> organą</w:t>
      </w:r>
    </w:p>
    <w:p w14:paraId="2576902B" w14:textId="77777777" w:rsidR="005427AE" w:rsidRPr="00EE75B4" w:rsidRDefault="005427AE" w:rsidP="005427AE">
      <w:pPr>
        <w:spacing w:after="0" w:line="240" w:lineRule="auto"/>
        <w:rPr>
          <w:rFonts w:ascii="Times New Roman" w:hAnsi="Times New Roman"/>
          <w:i/>
          <w:lang w:val="lt-LT"/>
        </w:rPr>
      </w:pPr>
    </w:p>
    <w:p w14:paraId="508577F2" w14:textId="77777777" w:rsidR="005427AE" w:rsidRPr="00EE75B4" w:rsidRDefault="005427AE" w:rsidP="005427AE">
      <w:pPr>
        <w:spacing w:after="0" w:line="240" w:lineRule="auto"/>
        <w:rPr>
          <w:rFonts w:ascii="Times New Roman" w:hAnsi="Times New Roman"/>
          <w:i/>
          <w:lang w:val="lt-LT"/>
        </w:rPr>
      </w:pPr>
      <w:r w:rsidRPr="00EE75B4">
        <w:rPr>
          <w:rFonts w:ascii="Times New Roman" w:hAnsi="Times New Roman"/>
          <w:i/>
          <w:lang w:val="lt-LT"/>
        </w:rPr>
        <w:t>Suaugusiems pacientams</w:t>
      </w:r>
    </w:p>
    <w:p w14:paraId="2B574CD7"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Pacientams, kuriems persodintas inkstas, rekomenduojama dozė yra 900 mg (dvi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tabletės) kartą per parą, pradedant pirmosiomis 10 parų po persodinimo ir tęsiant iki šimtosios paros po persodinimo. Profilaktika gali būti tęsiama iki 200 parų po persodinimo (žr. 4.4, 4.8 ir 5.1 skyrius).</w:t>
      </w:r>
    </w:p>
    <w:p w14:paraId="4F2BAA59" w14:textId="77777777" w:rsidR="005427AE" w:rsidRPr="00EE75B4" w:rsidRDefault="005427AE" w:rsidP="005427AE">
      <w:pPr>
        <w:spacing w:after="0" w:line="240" w:lineRule="auto"/>
        <w:rPr>
          <w:rFonts w:ascii="Times New Roman" w:hAnsi="Times New Roman"/>
          <w:lang w:val="lt-LT"/>
        </w:rPr>
      </w:pPr>
    </w:p>
    <w:p w14:paraId="5932F4CB"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Pacientams, kuriems persodintas kitoks nei inkstas </w:t>
      </w:r>
      <w:proofErr w:type="spellStart"/>
      <w:r w:rsidRPr="00EE75B4">
        <w:rPr>
          <w:rFonts w:ascii="Times New Roman" w:hAnsi="Times New Roman"/>
          <w:lang w:val="lt-LT"/>
        </w:rPr>
        <w:t>solidinis</w:t>
      </w:r>
      <w:proofErr w:type="spellEnd"/>
      <w:r w:rsidRPr="00EE75B4">
        <w:rPr>
          <w:rFonts w:ascii="Times New Roman" w:hAnsi="Times New Roman"/>
          <w:lang w:val="lt-LT"/>
        </w:rPr>
        <w:t xml:space="preserve"> organas, rekomenduojama dozė yra 900 mg (dvi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tabletės) kartą per parą, pradedant pirmosiomis 10 parų po persodinimo ir tęsiant iki šimtosios paros po persodinimo.</w:t>
      </w:r>
    </w:p>
    <w:p w14:paraId="12E5EF22" w14:textId="77777777" w:rsidR="005427AE" w:rsidRPr="00EE75B4" w:rsidRDefault="005427AE" w:rsidP="005427AE">
      <w:pPr>
        <w:spacing w:after="0" w:line="240" w:lineRule="auto"/>
        <w:rPr>
          <w:rFonts w:ascii="Times New Roman" w:hAnsi="Times New Roman"/>
          <w:lang w:val="lt-LT"/>
        </w:rPr>
      </w:pPr>
    </w:p>
    <w:p w14:paraId="1A13A799"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Jeigu įmanoma, tabletės turėtų būti vartojamos su maistu.</w:t>
      </w:r>
    </w:p>
    <w:p w14:paraId="7F114D8E" w14:textId="77777777" w:rsidR="005427AE" w:rsidRPr="00EE75B4" w:rsidRDefault="005427AE" w:rsidP="005427AE">
      <w:pPr>
        <w:spacing w:after="0" w:line="240" w:lineRule="auto"/>
        <w:rPr>
          <w:rFonts w:ascii="Times New Roman" w:hAnsi="Times New Roman"/>
          <w:lang w:val="lt-LT"/>
        </w:rPr>
      </w:pPr>
    </w:p>
    <w:p w14:paraId="55D92A89" w14:textId="77777777" w:rsidR="005427AE" w:rsidRPr="00EE75B4" w:rsidRDefault="005427AE" w:rsidP="005427AE">
      <w:pPr>
        <w:spacing w:after="0" w:line="240" w:lineRule="auto"/>
        <w:rPr>
          <w:rFonts w:ascii="Times New Roman" w:hAnsi="Times New Roman"/>
          <w:i/>
          <w:lang w:val="lt-LT"/>
        </w:rPr>
      </w:pPr>
      <w:r w:rsidRPr="00EE75B4">
        <w:rPr>
          <w:rFonts w:ascii="Times New Roman" w:hAnsi="Times New Roman"/>
          <w:i/>
          <w:lang w:val="lt-LT"/>
        </w:rPr>
        <w:t>Vaikų populiacija</w:t>
      </w:r>
    </w:p>
    <w:p w14:paraId="07419D9E"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Persodintą </w:t>
      </w:r>
      <w:proofErr w:type="spellStart"/>
      <w:r w:rsidRPr="00EE75B4">
        <w:rPr>
          <w:rFonts w:ascii="Times New Roman" w:hAnsi="Times New Roman"/>
          <w:lang w:val="lt-LT"/>
        </w:rPr>
        <w:t>solidinį</w:t>
      </w:r>
      <w:proofErr w:type="spellEnd"/>
      <w:r w:rsidRPr="00EE75B4">
        <w:rPr>
          <w:rFonts w:ascii="Times New Roman" w:hAnsi="Times New Roman"/>
          <w:lang w:val="lt-LT"/>
        </w:rPr>
        <w:t xml:space="preserve"> organą turintiems vaikams (nuo gimimo), kuriems yra rizika susirgti CMV sukelta liga, rekomenduojama vieną kartą per parą vartoti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dozę, kuri yra nustatoma remiantis kūno paviršiaus plotu (KPP) ir </w:t>
      </w:r>
      <w:proofErr w:type="spellStart"/>
      <w:r w:rsidRPr="00EE75B4">
        <w:rPr>
          <w:rFonts w:ascii="Times New Roman" w:hAnsi="Times New Roman"/>
          <w:lang w:val="lt-LT"/>
        </w:rPr>
        <w:t>kreatinino</w:t>
      </w:r>
      <w:proofErr w:type="spellEnd"/>
      <w:r w:rsidRPr="00EE75B4">
        <w:rPr>
          <w:rFonts w:ascii="Times New Roman" w:hAnsi="Times New Roman"/>
          <w:lang w:val="lt-LT"/>
        </w:rPr>
        <w:t xml:space="preserve"> klirensu (KK), nustatytu pagal </w:t>
      </w:r>
      <w:proofErr w:type="spellStart"/>
      <w:r w:rsidRPr="00EE75B4">
        <w:rPr>
          <w:rFonts w:ascii="Times New Roman" w:hAnsi="Times New Roman"/>
          <w:i/>
          <w:lang w:val="lt-LT"/>
        </w:rPr>
        <w:t>Schwartz</w:t>
      </w:r>
      <w:proofErr w:type="spellEnd"/>
      <w:r w:rsidRPr="00EE75B4">
        <w:rPr>
          <w:rFonts w:ascii="Times New Roman" w:hAnsi="Times New Roman"/>
          <w:lang w:val="lt-LT"/>
        </w:rPr>
        <w:t xml:space="preserve"> formulę. Ši dozė apskaičiuojama pagal toliau pateiktą lygtį:</w:t>
      </w:r>
    </w:p>
    <w:p w14:paraId="7B4873B0" w14:textId="77777777" w:rsidR="005427AE" w:rsidRPr="00EE75B4" w:rsidRDefault="005427AE" w:rsidP="005427AE">
      <w:pPr>
        <w:spacing w:after="0" w:line="240" w:lineRule="auto"/>
        <w:rPr>
          <w:rFonts w:ascii="Times New Roman" w:hAnsi="Times New Roman"/>
          <w:lang w:val="lt-LT"/>
        </w:rPr>
      </w:pPr>
    </w:p>
    <w:p w14:paraId="258B171B"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Dozė vaikams ir paaugliams (mg) = 7 x KPP x KK pagal </w:t>
      </w:r>
      <w:proofErr w:type="spellStart"/>
      <w:r w:rsidRPr="00EE75B4">
        <w:rPr>
          <w:rFonts w:ascii="Times New Roman" w:hAnsi="Times New Roman"/>
          <w:i/>
          <w:lang w:val="lt-LT"/>
        </w:rPr>
        <w:t>Schwartz</w:t>
      </w:r>
      <w:proofErr w:type="spellEnd"/>
      <w:r w:rsidRPr="00EE75B4">
        <w:rPr>
          <w:rFonts w:ascii="Times New Roman" w:hAnsi="Times New Roman"/>
          <w:lang w:val="lt-LT"/>
        </w:rPr>
        <w:t xml:space="preserve"> (žiūrėkite toliau pateiktas </w:t>
      </w:r>
      <w:proofErr w:type="spellStart"/>
      <w:r w:rsidRPr="00EE75B4">
        <w:rPr>
          <w:rFonts w:ascii="Times New Roman" w:hAnsi="Times New Roman"/>
          <w:i/>
          <w:lang w:val="lt-LT"/>
        </w:rPr>
        <w:t>Mosteller</w:t>
      </w:r>
      <w:proofErr w:type="spellEnd"/>
      <w:r w:rsidRPr="00EE75B4">
        <w:rPr>
          <w:rFonts w:ascii="Times New Roman" w:hAnsi="Times New Roman"/>
          <w:lang w:val="lt-LT"/>
        </w:rPr>
        <w:t xml:space="preserve"> KPP formulę ir </w:t>
      </w:r>
      <w:proofErr w:type="spellStart"/>
      <w:r w:rsidRPr="00EE75B4">
        <w:rPr>
          <w:rFonts w:ascii="Times New Roman" w:hAnsi="Times New Roman"/>
          <w:lang w:val="lt-LT"/>
        </w:rPr>
        <w:t>kreatinino</w:t>
      </w:r>
      <w:proofErr w:type="spellEnd"/>
      <w:r w:rsidRPr="00EE75B4">
        <w:rPr>
          <w:rFonts w:ascii="Times New Roman" w:hAnsi="Times New Roman"/>
          <w:lang w:val="lt-LT"/>
        </w:rPr>
        <w:t xml:space="preserve"> klirenso pagal </w:t>
      </w:r>
      <w:proofErr w:type="spellStart"/>
      <w:r w:rsidRPr="00EE75B4">
        <w:rPr>
          <w:rFonts w:ascii="Times New Roman" w:hAnsi="Times New Roman"/>
          <w:i/>
          <w:lang w:val="lt-LT"/>
        </w:rPr>
        <w:t>Schwartz</w:t>
      </w:r>
      <w:proofErr w:type="spellEnd"/>
      <w:r w:rsidRPr="00EE75B4">
        <w:rPr>
          <w:rFonts w:ascii="Times New Roman" w:hAnsi="Times New Roman"/>
          <w:lang w:val="lt-LT"/>
        </w:rPr>
        <w:t xml:space="preserve"> formulę).</w:t>
      </w:r>
    </w:p>
    <w:p w14:paraId="64023D80" w14:textId="77777777" w:rsidR="005427AE" w:rsidRPr="00EE75B4" w:rsidRDefault="005427AE" w:rsidP="005427AE">
      <w:pPr>
        <w:spacing w:after="0" w:line="240" w:lineRule="auto"/>
        <w:rPr>
          <w:rFonts w:ascii="Times New Roman" w:hAnsi="Times New Roman"/>
          <w:lang w:val="lt-LT"/>
        </w:rPr>
      </w:pPr>
    </w:p>
    <w:p w14:paraId="44FE3769"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Jeigu pagal </w:t>
      </w:r>
      <w:proofErr w:type="spellStart"/>
      <w:r w:rsidRPr="00EE75B4">
        <w:rPr>
          <w:rFonts w:ascii="Times New Roman" w:hAnsi="Times New Roman"/>
          <w:i/>
          <w:lang w:val="lt-LT"/>
        </w:rPr>
        <w:t>Schwartz</w:t>
      </w:r>
      <w:proofErr w:type="spellEnd"/>
      <w:r w:rsidRPr="00EE75B4">
        <w:rPr>
          <w:rFonts w:ascii="Times New Roman" w:hAnsi="Times New Roman"/>
          <w:lang w:val="lt-LT"/>
        </w:rPr>
        <w:t xml:space="preserve"> formulę apskaičiuotas </w:t>
      </w:r>
      <w:proofErr w:type="spellStart"/>
      <w:r w:rsidRPr="00EE75B4">
        <w:rPr>
          <w:rFonts w:ascii="Times New Roman" w:hAnsi="Times New Roman"/>
          <w:lang w:val="lt-LT"/>
        </w:rPr>
        <w:t>kreatinino</w:t>
      </w:r>
      <w:proofErr w:type="spellEnd"/>
      <w:r w:rsidRPr="00EE75B4">
        <w:rPr>
          <w:rFonts w:ascii="Times New Roman" w:hAnsi="Times New Roman"/>
          <w:lang w:val="lt-LT"/>
        </w:rPr>
        <w:t xml:space="preserve"> klirensas yra didesnis nei 150 ml/min/1,73 m</w:t>
      </w:r>
      <w:r w:rsidRPr="00EE75B4">
        <w:rPr>
          <w:rFonts w:ascii="Times New Roman" w:hAnsi="Times New Roman"/>
          <w:vertAlign w:val="superscript"/>
          <w:lang w:val="lt-LT"/>
        </w:rPr>
        <w:t>2</w:t>
      </w:r>
      <w:r w:rsidRPr="00EE75B4">
        <w:rPr>
          <w:rFonts w:ascii="Times New Roman" w:hAnsi="Times New Roman"/>
          <w:lang w:val="lt-LT"/>
        </w:rPr>
        <w:t>, tuomet lygtyje reikia naudoti maksimalią reikšmę 150 ml/min/1,73 m</w:t>
      </w:r>
      <w:r w:rsidRPr="00EE75B4">
        <w:rPr>
          <w:rFonts w:ascii="Times New Roman" w:hAnsi="Times New Roman"/>
          <w:vertAlign w:val="superscript"/>
          <w:lang w:val="lt-LT"/>
        </w:rPr>
        <w:t>2</w:t>
      </w:r>
      <w:r w:rsidRPr="00EE75B4">
        <w:rPr>
          <w:rFonts w:ascii="Times New Roman" w:hAnsi="Times New Roman"/>
          <w:lang w:val="lt-LT"/>
        </w:rPr>
        <w:t>.</w:t>
      </w:r>
    </w:p>
    <w:p w14:paraId="67A07DCD" w14:textId="77777777" w:rsidR="005427AE" w:rsidRPr="00EE75B4" w:rsidRDefault="005427AE" w:rsidP="005427AE">
      <w:pPr>
        <w:spacing w:after="0" w:line="240" w:lineRule="auto"/>
        <w:rPr>
          <w:rFonts w:ascii="Times New Roman" w:hAnsi="Times New Roman"/>
          <w:lang w:val="lt-LT"/>
        </w:rPr>
      </w:pPr>
    </w:p>
    <w:p w14:paraId="13070654"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i/>
          <w:lang w:val="lt-LT"/>
        </w:rPr>
        <w:t>Mosteller</w:t>
      </w:r>
      <w:proofErr w:type="spellEnd"/>
      <w:r w:rsidRPr="00EE75B4">
        <w:rPr>
          <w:rFonts w:ascii="Times New Roman" w:hAnsi="Times New Roman"/>
          <w:lang w:val="lt-LT"/>
        </w:rPr>
        <w:t xml:space="preserve"> lygtis</w:t>
      </w:r>
    </w:p>
    <w:p w14:paraId="0F8A8ABA" w14:textId="416DDF0F"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ab/>
      </w:r>
      <w:r w:rsidR="00151F06" w:rsidRPr="00EE75B4">
        <w:rPr>
          <w:rFonts w:ascii="Times New Roman" w:hAnsi="Times New Roman"/>
          <w:noProof/>
          <w:lang w:val="lt-LT" w:eastAsia="lt-LT"/>
        </w:rPr>
        <w:drawing>
          <wp:inline distT="0" distB="0" distL="0" distR="0" wp14:anchorId="0C2DA319" wp14:editId="42159E7E">
            <wp:extent cx="2305050" cy="641350"/>
            <wp:effectExtent l="0" t="0" r="0" b="0"/>
            <wp:docPr id="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641350"/>
                    </a:xfrm>
                    <a:prstGeom prst="rect">
                      <a:avLst/>
                    </a:prstGeom>
                    <a:noFill/>
                    <a:ln>
                      <a:noFill/>
                    </a:ln>
                  </pic:spPr>
                </pic:pic>
              </a:graphicData>
            </a:graphic>
          </wp:inline>
        </w:drawing>
      </w:r>
    </w:p>
    <w:p w14:paraId="50F8BC9D" w14:textId="77777777" w:rsidR="005427AE" w:rsidRPr="00EE75B4" w:rsidRDefault="005427AE" w:rsidP="005427AE">
      <w:pPr>
        <w:spacing w:after="0" w:line="240" w:lineRule="auto"/>
        <w:rPr>
          <w:rFonts w:ascii="Times New Roman" w:hAnsi="Times New Roman"/>
          <w:lang w:val="lt-LT"/>
        </w:rPr>
      </w:pPr>
    </w:p>
    <w:p w14:paraId="7168B1F7" w14:textId="67416CA9" w:rsidR="005427AE" w:rsidRPr="00EE75B4" w:rsidRDefault="00151F06" w:rsidP="005427AE">
      <w:pPr>
        <w:spacing w:after="0" w:line="240" w:lineRule="auto"/>
        <w:jc w:val="center"/>
        <w:rPr>
          <w:rFonts w:ascii="Times New Roman" w:hAnsi="Times New Roman"/>
          <w:lang w:val="lt-LT"/>
        </w:rPr>
      </w:pPr>
      <w:r w:rsidRPr="00EE75B4">
        <w:rPr>
          <w:rFonts w:ascii="Times New Roman" w:hAnsi="Times New Roman"/>
          <w:noProof/>
          <w:lang w:val="lt-LT" w:eastAsia="lt-LT"/>
        </w:rPr>
        <w:drawing>
          <wp:inline distT="0" distB="0" distL="0" distR="0" wp14:anchorId="4DD6A30A" wp14:editId="21161572">
            <wp:extent cx="4921250" cy="41910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1250" cy="419100"/>
                    </a:xfrm>
                    <a:prstGeom prst="rect">
                      <a:avLst/>
                    </a:prstGeom>
                    <a:noFill/>
                    <a:ln>
                      <a:noFill/>
                    </a:ln>
                  </pic:spPr>
                </pic:pic>
              </a:graphicData>
            </a:graphic>
          </wp:inline>
        </w:drawing>
      </w:r>
    </w:p>
    <w:p w14:paraId="58805640" w14:textId="77777777" w:rsidR="005427AE" w:rsidRPr="00EE75B4" w:rsidRDefault="005427AE" w:rsidP="005427AE">
      <w:pPr>
        <w:spacing w:after="0" w:line="240" w:lineRule="auto"/>
        <w:jc w:val="center"/>
        <w:rPr>
          <w:rFonts w:ascii="Times New Roman" w:hAnsi="Times New Roman"/>
          <w:lang w:val="lt-LT"/>
        </w:rPr>
      </w:pPr>
    </w:p>
    <w:p w14:paraId="4E79C977"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kur k = 0,45* jaunesniems nei 2 metų pacientams, 0,55 - nuo 2 iki &lt; 13 metų berniukams ir nuo 2 iki 16 metų mergaitėms bei 0,7 - nuo 13 iki 16 metų berniukams. Vyresniems nei 16 metų pacientams reikia dozuoti kaip suaugusiesiems.</w:t>
      </w:r>
    </w:p>
    <w:p w14:paraId="3132A981" w14:textId="77777777" w:rsidR="005427AE" w:rsidRPr="00EE75B4" w:rsidRDefault="005427AE" w:rsidP="005427AE">
      <w:pPr>
        <w:spacing w:after="0" w:line="240" w:lineRule="auto"/>
        <w:rPr>
          <w:rFonts w:ascii="Times New Roman" w:hAnsi="Times New Roman"/>
          <w:lang w:val="lt-LT"/>
        </w:rPr>
      </w:pPr>
    </w:p>
    <w:p w14:paraId="7F9D9A71"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Pateiktos koeficiento k reikšmės yra pagrįstos </w:t>
      </w:r>
      <w:proofErr w:type="spellStart"/>
      <w:r w:rsidRPr="00EE75B4">
        <w:rPr>
          <w:rFonts w:ascii="Times New Roman" w:hAnsi="Times New Roman"/>
          <w:lang w:val="lt-LT"/>
        </w:rPr>
        <w:t>kreatinino</w:t>
      </w:r>
      <w:proofErr w:type="spellEnd"/>
      <w:r w:rsidRPr="00EE75B4">
        <w:rPr>
          <w:rFonts w:ascii="Times New Roman" w:hAnsi="Times New Roman"/>
          <w:lang w:val="lt-LT"/>
        </w:rPr>
        <w:t xml:space="preserve"> kiekio serume </w:t>
      </w:r>
      <w:proofErr w:type="spellStart"/>
      <w:r w:rsidRPr="00EE75B4">
        <w:rPr>
          <w:rFonts w:ascii="Times New Roman" w:hAnsi="Times New Roman"/>
          <w:lang w:val="lt-LT"/>
        </w:rPr>
        <w:t>matavimais</w:t>
      </w:r>
      <w:proofErr w:type="spellEnd"/>
      <w:r w:rsidRPr="00EE75B4">
        <w:rPr>
          <w:rFonts w:ascii="Times New Roman" w:hAnsi="Times New Roman"/>
          <w:lang w:val="lt-LT"/>
        </w:rPr>
        <w:t xml:space="preserve"> </w:t>
      </w:r>
      <w:proofErr w:type="spellStart"/>
      <w:r w:rsidRPr="00EE75B4">
        <w:rPr>
          <w:rFonts w:ascii="Times New Roman" w:hAnsi="Times New Roman"/>
          <w:i/>
          <w:lang w:val="lt-LT"/>
        </w:rPr>
        <w:t>Jaffe</w:t>
      </w:r>
      <w:proofErr w:type="spellEnd"/>
      <w:r w:rsidRPr="00EE75B4">
        <w:rPr>
          <w:rFonts w:ascii="Times New Roman" w:hAnsi="Times New Roman"/>
          <w:lang w:val="lt-LT"/>
        </w:rPr>
        <w:t xml:space="preserve"> metodu, o naudojant fermentinius metodus jas gali reikėti koreguoti.</w:t>
      </w:r>
    </w:p>
    <w:p w14:paraId="5C3AE66C" w14:textId="77777777" w:rsidR="005427AE" w:rsidRPr="00EE75B4" w:rsidRDefault="005427AE" w:rsidP="005427AE">
      <w:pPr>
        <w:spacing w:after="0" w:line="240" w:lineRule="auto"/>
        <w:rPr>
          <w:rFonts w:ascii="Times New Roman" w:hAnsi="Times New Roman"/>
          <w:lang w:val="lt-LT"/>
        </w:rPr>
      </w:pPr>
    </w:p>
    <w:p w14:paraId="5AA6A35C"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tam tikriems pogrupiams k reikšmę taip pat gali reikėti sumažinti (pvz., mažos kūno masės vaikams).</w:t>
      </w:r>
    </w:p>
    <w:p w14:paraId="45D5F05D" w14:textId="77777777" w:rsidR="005427AE" w:rsidRPr="00EE75B4" w:rsidRDefault="005427AE" w:rsidP="005427AE">
      <w:pPr>
        <w:spacing w:after="0" w:line="240" w:lineRule="auto"/>
        <w:rPr>
          <w:rFonts w:ascii="Times New Roman" w:hAnsi="Times New Roman"/>
          <w:lang w:val="lt-LT"/>
        </w:rPr>
      </w:pPr>
    </w:p>
    <w:p w14:paraId="3B7307DC"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Vaikams, kuriems persodintas inkstas, rekomenduojamą vieną kartą per parą vartojamą dozę mg (7 x KPP x KK pagal </w:t>
      </w:r>
      <w:proofErr w:type="spellStart"/>
      <w:r w:rsidRPr="00EE75B4">
        <w:rPr>
          <w:rFonts w:ascii="Times New Roman" w:hAnsi="Times New Roman"/>
          <w:i/>
          <w:lang w:val="lt-LT"/>
        </w:rPr>
        <w:t>Schwartz</w:t>
      </w:r>
      <w:proofErr w:type="spellEnd"/>
      <w:r w:rsidRPr="00EE75B4">
        <w:rPr>
          <w:rFonts w:ascii="Times New Roman" w:hAnsi="Times New Roman"/>
          <w:lang w:val="lt-LT"/>
        </w:rPr>
        <w:t>) reikia pradėti vartoti per 10 parų po persodinimo ir tęsti iki 200</w:t>
      </w:r>
      <w:r w:rsidRPr="00EE75B4">
        <w:rPr>
          <w:rFonts w:ascii="Times New Roman" w:hAnsi="Times New Roman"/>
          <w:lang w:val="lt-LT"/>
        </w:rPr>
        <w:noBreakHyphen/>
        <w:t>osios paros po persodinimo.</w:t>
      </w:r>
    </w:p>
    <w:p w14:paraId="4701683A" w14:textId="77777777" w:rsidR="005427AE" w:rsidRPr="00EE75B4" w:rsidRDefault="005427AE" w:rsidP="005427AE">
      <w:pPr>
        <w:spacing w:after="0" w:line="240" w:lineRule="auto"/>
        <w:rPr>
          <w:rFonts w:ascii="Times New Roman" w:hAnsi="Times New Roman"/>
          <w:lang w:val="lt-LT"/>
        </w:rPr>
      </w:pPr>
    </w:p>
    <w:p w14:paraId="1C0842BA"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Vaikams, kuriems persodintas kitoks negu inkstas </w:t>
      </w:r>
      <w:proofErr w:type="spellStart"/>
      <w:r w:rsidRPr="00EE75B4">
        <w:rPr>
          <w:rFonts w:ascii="Times New Roman" w:hAnsi="Times New Roman"/>
          <w:lang w:val="lt-LT"/>
        </w:rPr>
        <w:t>solidinis</w:t>
      </w:r>
      <w:proofErr w:type="spellEnd"/>
      <w:r w:rsidRPr="00EE75B4">
        <w:rPr>
          <w:rFonts w:ascii="Times New Roman" w:hAnsi="Times New Roman"/>
          <w:lang w:val="lt-LT"/>
        </w:rPr>
        <w:t xml:space="preserve"> organas, rekomenduojamą vieną kartą per parą vartojamą dozę mg (7 x KPP x KK pagal </w:t>
      </w:r>
      <w:proofErr w:type="spellStart"/>
      <w:r w:rsidRPr="00EE75B4">
        <w:rPr>
          <w:rFonts w:ascii="Times New Roman" w:hAnsi="Times New Roman"/>
          <w:i/>
          <w:lang w:val="lt-LT"/>
        </w:rPr>
        <w:t>Schwartz</w:t>
      </w:r>
      <w:proofErr w:type="spellEnd"/>
      <w:r w:rsidRPr="00EE75B4">
        <w:rPr>
          <w:rFonts w:ascii="Times New Roman" w:hAnsi="Times New Roman"/>
          <w:lang w:val="lt-LT"/>
        </w:rPr>
        <w:t>) reikia pradėti vartoti per 10 parų po persodinimo ir tęsti iki 100</w:t>
      </w:r>
      <w:r w:rsidRPr="00EE75B4">
        <w:rPr>
          <w:rFonts w:ascii="Times New Roman" w:hAnsi="Times New Roman"/>
          <w:lang w:val="lt-LT"/>
        </w:rPr>
        <w:noBreakHyphen/>
        <w:t>osios paros po persodinimo.</w:t>
      </w:r>
    </w:p>
    <w:p w14:paraId="03F4A241" w14:textId="77777777" w:rsidR="005427AE" w:rsidRPr="00EE75B4" w:rsidRDefault="005427AE" w:rsidP="005427AE">
      <w:pPr>
        <w:spacing w:after="0" w:line="240" w:lineRule="auto"/>
        <w:rPr>
          <w:rFonts w:ascii="Times New Roman" w:hAnsi="Times New Roman"/>
          <w:lang w:val="lt-LT"/>
        </w:rPr>
      </w:pPr>
    </w:p>
    <w:p w14:paraId="5B01526E"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Visas apskaičiuotas dozes reikia suapvalinti į viršų iki artimiausios 25 mg dalies, kad atitiktų faktiškai tiekiamą dozę. Jeigu apskaičiuota dozė viršija 900 mg, tuomet reikia skirti didžiausią paros dozę – 900 mg. Tinkamesnė farmacinė forma yra geriamasis tirpalas, nes tai suteikia galimybę paskirti pagal anksčiau pateiktą formulę apskaičiuotą dozę. Vis dėlto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plėvele dengtų tablečių skirti galima, jeigu apskaičiuotos dozės nesiskiria daugiau kaip 10 % nuo turimų tablečių stiprumo ir pacientas geba tabletes nuryti. Pavyzdžiui, jeigu apskaičiuota dozė yra tarp 405 mg ir 495 mg, galima vartoti vieną 450 mg tabletę.</w:t>
      </w:r>
    </w:p>
    <w:p w14:paraId="5CC4365A" w14:textId="77777777" w:rsidR="005427AE" w:rsidRPr="00EE75B4" w:rsidRDefault="005427AE" w:rsidP="005427AE">
      <w:pPr>
        <w:spacing w:after="0" w:line="240" w:lineRule="auto"/>
        <w:rPr>
          <w:rFonts w:ascii="Times New Roman" w:hAnsi="Times New Roman"/>
          <w:lang w:val="lt-LT"/>
        </w:rPr>
      </w:pPr>
    </w:p>
    <w:p w14:paraId="6E660637"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Profilaktikos taikymo laikotarpiu rekomenduojama reguliariai stebėti </w:t>
      </w:r>
      <w:proofErr w:type="spellStart"/>
      <w:r w:rsidRPr="00EE75B4">
        <w:rPr>
          <w:rFonts w:ascii="Times New Roman" w:hAnsi="Times New Roman"/>
          <w:lang w:val="lt-LT"/>
        </w:rPr>
        <w:t>kreatinino</w:t>
      </w:r>
      <w:proofErr w:type="spellEnd"/>
      <w:r w:rsidRPr="00EE75B4">
        <w:rPr>
          <w:rFonts w:ascii="Times New Roman" w:hAnsi="Times New Roman"/>
          <w:lang w:val="lt-LT"/>
        </w:rPr>
        <w:t xml:space="preserve"> kiekį serume, atkreipti dėmesį į ūgio ir kūno masės pokyčius bei atitinkamai pritaikyti dozę.</w:t>
      </w:r>
    </w:p>
    <w:p w14:paraId="5B095EEB" w14:textId="77777777" w:rsidR="005427AE" w:rsidRPr="00EE75B4" w:rsidRDefault="005427AE" w:rsidP="005427AE">
      <w:pPr>
        <w:spacing w:after="0" w:line="240" w:lineRule="auto"/>
        <w:rPr>
          <w:rFonts w:ascii="Times New Roman" w:hAnsi="Times New Roman"/>
          <w:lang w:val="lt-LT"/>
        </w:rPr>
      </w:pPr>
    </w:p>
    <w:p w14:paraId="118B4FCA"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Specialūs dozavimo nurodymai</w:t>
      </w:r>
    </w:p>
    <w:p w14:paraId="2880B9DF" w14:textId="77777777" w:rsidR="00BB21C4" w:rsidRPr="00EE75B4" w:rsidRDefault="00BB21C4" w:rsidP="00813362">
      <w:pPr>
        <w:spacing w:after="0" w:line="240" w:lineRule="auto"/>
        <w:rPr>
          <w:rFonts w:ascii="Times New Roman" w:hAnsi="Times New Roman"/>
          <w:i/>
          <w:lang w:val="lt-LT"/>
        </w:rPr>
      </w:pPr>
    </w:p>
    <w:p w14:paraId="6D677068" w14:textId="77777777" w:rsidR="00BB21C4" w:rsidRPr="00EE75B4" w:rsidRDefault="00BB21C4" w:rsidP="005427AE">
      <w:pPr>
        <w:spacing w:after="0" w:line="240" w:lineRule="auto"/>
        <w:rPr>
          <w:rFonts w:ascii="Times New Roman" w:hAnsi="Times New Roman"/>
          <w:i/>
          <w:lang w:val="lt-LT"/>
        </w:rPr>
      </w:pPr>
      <w:r w:rsidRPr="00EE75B4">
        <w:rPr>
          <w:rFonts w:ascii="Times New Roman" w:hAnsi="Times New Roman"/>
          <w:i/>
          <w:lang w:val="lt-LT"/>
        </w:rPr>
        <w:t>Vaikų populiacija</w:t>
      </w:r>
    </w:p>
    <w:p w14:paraId="3450422A" w14:textId="77777777" w:rsidR="00BB21C4" w:rsidRPr="00EE75B4" w:rsidRDefault="00AF2159" w:rsidP="005427AE">
      <w:pPr>
        <w:spacing w:after="0" w:line="240" w:lineRule="auto"/>
        <w:rPr>
          <w:rFonts w:ascii="Times New Roman" w:hAnsi="Times New Roman"/>
          <w:lang w:val="lt-LT"/>
        </w:rPr>
      </w:pPr>
      <w:r w:rsidRPr="00EE75B4">
        <w:rPr>
          <w:rFonts w:ascii="Times New Roman" w:hAnsi="Times New Roman"/>
          <w:lang w:val="lt-LT"/>
        </w:rPr>
        <w:t>Doz</w:t>
      </w:r>
      <w:r w:rsidR="00A67A1E" w:rsidRPr="00EE75B4">
        <w:rPr>
          <w:rFonts w:ascii="Times New Roman" w:hAnsi="Times New Roman"/>
          <w:lang w:val="lt-LT"/>
        </w:rPr>
        <w:t xml:space="preserve">avimas vaikams, kuriems persodintas </w:t>
      </w:r>
      <w:proofErr w:type="spellStart"/>
      <w:r w:rsidR="00A67A1E" w:rsidRPr="00EE75B4">
        <w:rPr>
          <w:rFonts w:ascii="Times New Roman" w:hAnsi="Times New Roman"/>
          <w:lang w:val="lt-LT"/>
        </w:rPr>
        <w:t>solidinis</w:t>
      </w:r>
      <w:proofErr w:type="spellEnd"/>
      <w:r w:rsidR="00A67A1E" w:rsidRPr="00EE75B4">
        <w:rPr>
          <w:rFonts w:ascii="Times New Roman" w:hAnsi="Times New Roman"/>
          <w:lang w:val="lt-LT"/>
        </w:rPr>
        <w:t xml:space="preserve"> organas, turi būti individualus ir paremtas paciento inkstų funkcijos bei ūgio ir kūno masės rodmenimis</w:t>
      </w:r>
      <w:r w:rsidRPr="00EE75B4">
        <w:rPr>
          <w:rFonts w:ascii="Times New Roman" w:hAnsi="Times New Roman"/>
          <w:lang w:val="lt-LT"/>
        </w:rPr>
        <w:t>.</w:t>
      </w:r>
    </w:p>
    <w:p w14:paraId="06070CD1" w14:textId="77777777" w:rsidR="00AF2159" w:rsidRPr="00EE75B4" w:rsidRDefault="00AF2159" w:rsidP="005427AE">
      <w:pPr>
        <w:spacing w:after="0" w:line="240" w:lineRule="auto"/>
        <w:rPr>
          <w:rFonts w:ascii="Times New Roman" w:hAnsi="Times New Roman"/>
          <w:lang w:val="lt-LT"/>
        </w:rPr>
      </w:pPr>
    </w:p>
    <w:p w14:paraId="5783734F" w14:textId="77777777" w:rsidR="00AF2159" w:rsidRPr="00EE75B4" w:rsidRDefault="00AF2159" w:rsidP="005427AE">
      <w:pPr>
        <w:spacing w:after="0" w:line="240" w:lineRule="auto"/>
        <w:rPr>
          <w:rFonts w:ascii="Times New Roman" w:eastAsia="Times New Roman" w:hAnsi="Times New Roman"/>
          <w:i/>
          <w:lang w:val="lt-LT" w:eastAsia="ja-JP"/>
        </w:rPr>
      </w:pPr>
      <w:r w:rsidRPr="00EE75B4">
        <w:rPr>
          <w:rFonts w:ascii="Times New Roman" w:eastAsia="Times New Roman" w:hAnsi="Times New Roman"/>
          <w:i/>
          <w:lang w:val="lt-LT" w:eastAsia="ja-JP"/>
        </w:rPr>
        <w:t>Senyvi pacientai</w:t>
      </w:r>
    </w:p>
    <w:p w14:paraId="68EB7F2E" w14:textId="77777777" w:rsidR="00A67A1E" w:rsidRPr="00EE75B4" w:rsidRDefault="00A67A1E" w:rsidP="005427AE">
      <w:pPr>
        <w:spacing w:after="0" w:line="240" w:lineRule="auto"/>
        <w:rPr>
          <w:rFonts w:ascii="Times New Roman" w:eastAsia="Times New Roman" w:hAnsi="Times New Roman"/>
          <w:lang w:val="lt-LT" w:eastAsia="ja-JP"/>
        </w:rPr>
      </w:pPr>
      <w:r w:rsidRPr="00EE75B4">
        <w:rPr>
          <w:rFonts w:ascii="Times New Roman" w:hAnsi="Times New Roman"/>
          <w:lang w:val="lt-LT"/>
        </w:rPr>
        <w:t>Senyvų pacientų gydymo šiuo vaistiniu preparatu saugumas ir veiksmingumas neištirti.</w:t>
      </w:r>
      <w:r w:rsidRPr="00EE75B4">
        <w:rPr>
          <w:rFonts w:ascii="Times New Roman" w:eastAsia="Times New Roman" w:hAnsi="Times New Roman"/>
          <w:lang w:val="lt-LT" w:eastAsia="ja-JP"/>
        </w:rPr>
        <w:t xml:space="preserve"> Su vyresniais kaip 65 metų suaugusiaisiais tyrimų atlikta nebuvo. Kadangi inkstų klirensas su amžiumi mažėja, </w:t>
      </w:r>
      <w:proofErr w:type="spellStart"/>
      <w:r w:rsidRPr="00EE75B4">
        <w:rPr>
          <w:rFonts w:ascii="Times New Roman" w:eastAsia="Times New Roman" w:hAnsi="Times New Roman"/>
          <w:lang w:val="lt-LT" w:eastAsia="ja-JP"/>
        </w:rPr>
        <w:t>Valganciclovir</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Accord</w:t>
      </w:r>
      <w:proofErr w:type="spellEnd"/>
      <w:r w:rsidRPr="00EE75B4">
        <w:rPr>
          <w:rFonts w:ascii="Times New Roman" w:eastAsia="Times New Roman" w:hAnsi="Times New Roman"/>
          <w:lang w:val="lt-LT" w:eastAsia="ja-JP"/>
        </w:rPr>
        <w:t xml:space="preserve"> senyviems pacientams turi būti skiriamas ypač gerai įvertinus jų inkstų būklę (žr. žemiau pateiktą lentelę). (Žr. 5.2 skyrių). </w:t>
      </w:r>
    </w:p>
    <w:p w14:paraId="2D7AED9D" w14:textId="77777777" w:rsidR="00BB21C4" w:rsidRPr="00EE75B4" w:rsidRDefault="00BB21C4" w:rsidP="005427AE">
      <w:pPr>
        <w:spacing w:after="0" w:line="240" w:lineRule="auto"/>
        <w:rPr>
          <w:rFonts w:ascii="Times New Roman" w:eastAsia="Times New Roman" w:hAnsi="Times New Roman"/>
          <w:i/>
          <w:lang w:val="lt-LT" w:eastAsia="ja-JP"/>
        </w:rPr>
      </w:pPr>
    </w:p>
    <w:p w14:paraId="5FFA7B12" w14:textId="77777777" w:rsidR="005427AE" w:rsidRPr="00EE75B4" w:rsidRDefault="005427AE" w:rsidP="005427AE">
      <w:pPr>
        <w:spacing w:after="0" w:line="240" w:lineRule="auto"/>
        <w:rPr>
          <w:rFonts w:ascii="Times New Roman" w:hAnsi="Times New Roman"/>
          <w:i/>
          <w:lang w:val="lt-LT"/>
        </w:rPr>
      </w:pPr>
      <w:r w:rsidRPr="00EE75B4">
        <w:rPr>
          <w:rFonts w:ascii="Times New Roman" w:hAnsi="Times New Roman"/>
          <w:i/>
          <w:lang w:val="lt-LT"/>
        </w:rPr>
        <w:t>Pacientams, kurių inkstų funkcija sutrikusi</w:t>
      </w:r>
    </w:p>
    <w:p w14:paraId="275055FB"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Reikia atidžiai stebėti </w:t>
      </w:r>
      <w:proofErr w:type="spellStart"/>
      <w:r w:rsidRPr="00EE75B4">
        <w:rPr>
          <w:rFonts w:ascii="Times New Roman" w:hAnsi="Times New Roman"/>
          <w:lang w:val="lt-LT"/>
        </w:rPr>
        <w:t>kreatinino</w:t>
      </w:r>
      <w:proofErr w:type="spellEnd"/>
      <w:r w:rsidRPr="00EE75B4">
        <w:rPr>
          <w:rFonts w:ascii="Times New Roman" w:hAnsi="Times New Roman"/>
          <w:lang w:val="lt-LT"/>
        </w:rPr>
        <w:t xml:space="preserve"> kiekį serume arba </w:t>
      </w:r>
      <w:r w:rsidR="0009553F" w:rsidRPr="00EE75B4">
        <w:rPr>
          <w:rFonts w:ascii="Times New Roman" w:eastAsia="Times New Roman" w:hAnsi="Times New Roman"/>
          <w:lang w:val="lt-LT" w:eastAsia="ja-JP"/>
        </w:rPr>
        <w:t xml:space="preserve">numanomą </w:t>
      </w:r>
      <w:proofErr w:type="spellStart"/>
      <w:r w:rsidRPr="00EE75B4">
        <w:rPr>
          <w:rFonts w:ascii="Times New Roman" w:hAnsi="Times New Roman"/>
          <w:lang w:val="lt-LT"/>
        </w:rPr>
        <w:t>kreatinino</w:t>
      </w:r>
      <w:proofErr w:type="spellEnd"/>
      <w:r w:rsidRPr="00EE75B4">
        <w:rPr>
          <w:rFonts w:ascii="Times New Roman" w:hAnsi="Times New Roman"/>
          <w:lang w:val="lt-LT"/>
        </w:rPr>
        <w:t xml:space="preserve"> klirensą. Dozavimo koregavimas yra būtinas pagal </w:t>
      </w:r>
      <w:proofErr w:type="spellStart"/>
      <w:r w:rsidRPr="00EE75B4">
        <w:rPr>
          <w:rFonts w:ascii="Times New Roman" w:hAnsi="Times New Roman"/>
          <w:lang w:val="lt-LT"/>
        </w:rPr>
        <w:t>kreatinino</w:t>
      </w:r>
      <w:proofErr w:type="spellEnd"/>
      <w:r w:rsidRPr="00EE75B4">
        <w:rPr>
          <w:rFonts w:ascii="Times New Roman" w:hAnsi="Times New Roman"/>
          <w:lang w:val="lt-LT"/>
        </w:rPr>
        <w:t xml:space="preserve"> klirensą, kaip parodyta toliau lentelėje (žr. 4.4 ir 5.2 skyrius).</w:t>
      </w:r>
    </w:p>
    <w:p w14:paraId="4FFF3C00" w14:textId="77777777" w:rsidR="005427AE" w:rsidRPr="00EE75B4" w:rsidRDefault="005427AE" w:rsidP="005427AE">
      <w:pPr>
        <w:spacing w:after="0" w:line="240" w:lineRule="auto"/>
        <w:rPr>
          <w:rFonts w:ascii="Times New Roman" w:hAnsi="Times New Roman"/>
          <w:lang w:val="lt-LT"/>
        </w:rPr>
      </w:pPr>
    </w:p>
    <w:p w14:paraId="0DADA039"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Žinant </w:t>
      </w:r>
      <w:proofErr w:type="spellStart"/>
      <w:r w:rsidRPr="00EE75B4">
        <w:rPr>
          <w:rFonts w:ascii="Times New Roman" w:hAnsi="Times New Roman"/>
          <w:lang w:val="lt-LT"/>
        </w:rPr>
        <w:t>kreatinino</w:t>
      </w:r>
      <w:proofErr w:type="spellEnd"/>
      <w:r w:rsidRPr="00EE75B4">
        <w:rPr>
          <w:rFonts w:ascii="Times New Roman" w:hAnsi="Times New Roman"/>
          <w:lang w:val="lt-LT"/>
        </w:rPr>
        <w:t xml:space="preserve"> kiekį serume galima apskaičiuoti </w:t>
      </w:r>
      <w:proofErr w:type="spellStart"/>
      <w:r w:rsidRPr="00EE75B4">
        <w:rPr>
          <w:rFonts w:ascii="Times New Roman" w:hAnsi="Times New Roman"/>
          <w:lang w:val="lt-LT"/>
        </w:rPr>
        <w:t>kreatinino</w:t>
      </w:r>
      <w:proofErr w:type="spellEnd"/>
      <w:r w:rsidRPr="00EE75B4">
        <w:rPr>
          <w:rFonts w:ascii="Times New Roman" w:hAnsi="Times New Roman"/>
          <w:lang w:val="lt-LT"/>
        </w:rPr>
        <w:t xml:space="preserve"> klirensą (ml/min) pagal formulę:</w:t>
      </w:r>
    </w:p>
    <w:p w14:paraId="58E8647A" w14:textId="77777777" w:rsidR="005427AE" w:rsidRPr="00EE75B4" w:rsidRDefault="005427AE" w:rsidP="005427AE">
      <w:pPr>
        <w:spacing w:after="0" w:line="240" w:lineRule="auto"/>
        <w:rPr>
          <w:rFonts w:ascii="Times New Roman" w:hAnsi="Times New Roman"/>
          <w:lang w:val="lt-LT"/>
        </w:rPr>
      </w:pPr>
    </w:p>
    <w:tbl>
      <w:tblPr>
        <w:tblW w:w="0" w:type="auto"/>
        <w:tblCellMar>
          <w:left w:w="0" w:type="dxa"/>
        </w:tblCellMar>
        <w:tblLook w:val="0000" w:firstRow="0" w:lastRow="0" w:firstColumn="0" w:lastColumn="0" w:noHBand="0" w:noVBand="0"/>
      </w:tblPr>
      <w:tblGrid>
        <w:gridCol w:w="792"/>
        <w:gridCol w:w="4500"/>
      </w:tblGrid>
      <w:tr w:rsidR="007923DA" w:rsidRPr="00EE75B4" w14:paraId="06131B8E" w14:textId="77777777" w:rsidTr="00BB21C4">
        <w:trPr>
          <w:trHeight w:val="428"/>
        </w:trPr>
        <w:tc>
          <w:tcPr>
            <w:tcW w:w="792" w:type="dxa"/>
            <w:vMerge w:val="restart"/>
            <w:vAlign w:val="center"/>
          </w:tcPr>
          <w:p w14:paraId="666377E1" w14:textId="77777777" w:rsidR="005427AE" w:rsidRPr="00EE75B4" w:rsidRDefault="005427AE" w:rsidP="005427AE">
            <w:pPr>
              <w:spacing w:after="0" w:line="240" w:lineRule="auto"/>
              <w:rPr>
                <w:rFonts w:ascii="Times New Roman" w:hAnsi="Times New Roman"/>
                <w:i/>
                <w:lang w:val="lt-LT"/>
              </w:rPr>
            </w:pPr>
            <w:r w:rsidRPr="00EE75B4">
              <w:rPr>
                <w:rFonts w:ascii="Times New Roman" w:hAnsi="Times New Roman"/>
                <w:i/>
                <w:lang w:val="lt-LT"/>
              </w:rPr>
              <w:t>Vyrų =</w:t>
            </w:r>
          </w:p>
        </w:tc>
        <w:tc>
          <w:tcPr>
            <w:tcW w:w="4500" w:type="dxa"/>
            <w:tcBorders>
              <w:top w:val="nil"/>
              <w:left w:val="nil"/>
              <w:bottom w:val="single" w:sz="4" w:space="0" w:color="auto"/>
              <w:right w:val="nil"/>
            </w:tcBorders>
            <w:vAlign w:val="bottom"/>
          </w:tcPr>
          <w:p w14:paraId="10FAF198" w14:textId="77777777" w:rsidR="005427AE" w:rsidRPr="00EE75B4" w:rsidRDefault="005427AE" w:rsidP="005427AE">
            <w:pPr>
              <w:spacing w:after="0" w:line="240" w:lineRule="auto"/>
              <w:jc w:val="center"/>
              <w:rPr>
                <w:rFonts w:ascii="Times New Roman" w:hAnsi="Times New Roman"/>
                <w:i/>
                <w:lang w:val="lt-LT"/>
              </w:rPr>
            </w:pPr>
            <w:r w:rsidRPr="00EE75B4">
              <w:rPr>
                <w:rFonts w:ascii="Times New Roman" w:hAnsi="Times New Roman"/>
                <w:i/>
                <w:lang w:val="lt-LT"/>
              </w:rPr>
              <w:t xml:space="preserve">140 – amžius [metais]) </w:t>
            </w:r>
            <w:r w:rsidRPr="00EE75B4">
              <w:rPr>
                <w:rFonts w:ascii="Times New Roman" w:hAnsi="Times New Roman"/>
                <w:i/>
                <w:lang w:val="lt-LT"/>
              </w:rPr>
              <w:sym w:font="Symbol" w:char="F0B4"/>
            </w:r>
            <w:r w:rsidRPr="00EE75B4">
              <w:rPr>
                <w:rFonts w:ascii="Times New Roman" w:hAnsi="Times New Roman"/>
                <w:i/>
                <w:lang w:val="lt-LT"/>
              </w:rPr>
              <w:t xml:space="preserve"> (kūno svoris [kg])</w:t>
            </w:r>
          </w:p>
        </w:tc>
      </w:tr>
      <w:tr w:rsidR="007923DA" w:rsidRPr="00EE75B4" w14:paraId="6C4477CF" w14:textId="77777777" w:rsidTr="00BB21C4">
        <w:trPr>
          <w:trHeight w:val="429"/>
        </w:trPr>
        <w:tc>
          <w:tcPr>
            <w:tcW w:w="0" w:type="auto"/>
            <w:vMerge/>
            <w:vAlign w:val="center"/>
          </w:tcPr>
          <w:p w14:paraId="2614C711" w14:textId="77777777" w:rsidR="005427AE" w:rsidRPr="00EE75B4" w:rsidRDefault="005427AE" w:rsidP="005427AE">
            <w:pPr>
              <w:spacing w:after="0" w:line="240" w:lineRule="auto"/>
              <w:rPr>
                <w:rFonts w:ascii="Times New Roman" w:hAnsi="Times New Roman"/>
                <w:i/>
                <w:lang w:val="lt-LT"/>
              </w:rPr>
            </w:pPr>
          </w:p>
        </w:tc>
        <w:tc>
          <w:tcPr>
            <w:tcW w:w="4500" w:type="dxa"/>
            <w:tcBorders>
              <w:top w:val="single" w:sz="4" w:space="0" w:color="auto"/>
              <w:left w:val="nil"/>
              <w:bottom w:val="nil"/>
              <w:right w:val="nil"/>
            </w:tcBorders>
          </w:tcPr>
          <w:p w14:paraId="06259EA9" w14:textId="77777777" w:rsidR="005427AE" w:rsidRPr="00EE75B4" w:rsidRDefault="005427AE" w:rsidP="005427AE">
            <w:pPr>
              <w:spacing w:after="0" w:line="240" w:lineRule="auto"/>
              <w:jc w:val="center"/>
              <w:rPr>
                <w:rFonts w:ascii="Times New Roman" w:hAnsi="Times New Roman"/>
                <w:i/>
                <w:lang w:val="lt-LT"/>
              </w:rPr>
            </w:pPr>
            <w:r w:rsidRPr="00EE75B4">
              <w:rPr>
                <w:rFonts w:ascii="Times New Roman" w:hAnsi="Times New Roman"/>
                <w:i/>
                <w:lang w:val="lt-LT"/>
              </w:rPr>
              <w:t xml:space="preserve">(72) </w:t>
            </w:r>
            <w:r w:rsidRPr="00EE75B4">
              <w:rPr>
                <w:rFonts w:ascii="Times New Roman" w:hAnsi="Times New Roman"/>
                <w:i/>
                <w:lang w:val="lt-LT"/>
              </w:rPr>
              <w:sym w:font="Symbol" w:char="F0B4"/>
            </w:r>
            <w:r w:rsidRPr="00EE75B4">
              <w:rPr>
                <w:rFonts w:ascii="Times New Roman" w:hAnsi="Times New Roman"/>
                <w:i/>
                <w:lang w:val="lt-LT"/>
              </w:rPr>
              <w:t xml:space="preserve"> (0,011 </w:t>
            </w:r>
            <w:r w:rsidRPr="00EE75B4">
              <w:rPr>
                <w:rFonts w:ascii="Times New Roman" w:hAnsi="Times New Roman"/>
                <w:i/>
                <w:lang w:val="lt-LT"/>
              </w:rPr>
              <w:sym w:font="Symbol" w:char="F0B4"/>
            </w:r>
            <w:r w:rsidRPr="00EE75B4">
              <w:rPr>
                <w:rFonts w:ascii="Times New Roman" w:hAnsi="Times New Roman"/>
                <w:i/>
                <w:lang w:val="lt-LT"/>
              </w:rPr>
              <w:t xml:space="preserve"> serumo </w:t>
            </w:r>
            <w:proofErr w:type="spellStart"/>
            <w:r w:rsidRPr="00EE75B4">
              <w:rPr>
                <w:rFonts w:ascii="Times New Roman" w:hAnsi="Times New Roman"/>
                <w:i/>
                <w:lang w:val="lt-LT"/>
              </w:rPr>
              <w:t>kreatininas</w:t>
            </w:r>
            <w:proofErr w:type="spellEnd"/>
            <w:r w:rsidRPr="00EE75B4">
              <w:rPr>
                <w:rFonts w:ascii="Times New Roman" w:hAnsi="Times New Roman"/>
                <w:i/>
                <w:lang w:val="lt-LT"/>
              </w:rPr>
              <w:t xml:space="preserve"> [</w:t>
            </w:r>
            <w:proofErr w:type="spellStart"/>
            <w:r w:rsidRPr="00EE75B4">
              <w:rPr>
                <w:rFonts w:ascii="Times New Roman" w:hAnsi="Times New Roman"/>
                <w:i/>
                <w:lang w:val="lt-LT"/>
              </w:rPr>
              <w:t>mikromol</w:t>
            </w:r>
            <w:proofErr w:type="spellEnd"/>
            <w:r w:rsidRPr="00EE75B4">
              <w:rPr>
                <w:rFonts w:ascii="Times New Roman" w:hAnsi="Times New Roman"/>
                <w:i/>
                <w:lang w:val="lt-LT"/>
              </w:rPr>
              <w:t>/l])</w:t>
            </w:r>
          </w:p>
        </w:tc>
      </w:tr>
    </w:tbl>
    <w:p w14:paraId="19B525CE" w14:textId="77777777" w:rsidR="005427AE" w:rsidRPr="00EE75B4" w:rsidRDefault="005427AE" w:rsidP="005427AE">
      <w:pPr>
        <w:spacing w:after="0" w:line="240" w:lineRule="auto"/>
        <w:rPr>
          <w:rFonts w:ascii="Times New Roman" w:hAnsi="Times New Roman"/>
          <w:i/>
          <w:lang w:val="lt-LT"/>
        </w:rPr>
      </w:pPr>
    </w:p>
    <w:p w14:paraId="55780F00" w14:textId="77777777" w:rsidR="005427AE" w:rsidRPr="00EE75B4" w:rsidRDefault="005427AE" w:rsidP="005427AE">
      <w:pPr>
        <w:spacing w:after="0" w:line="240" w:lineRule="auto"/>
        <w:rPr>
          <w:rFonts w:ascii="Times New Roman" w:hAnsi="Times New Roman"/>
          <w:i/>
          <w:lang w:val="lt-LT"/>
        </w:rPr>
      </w:pPr>
      <w:r w:rsidRPr="00EE75B4">
        <w:rPr>
          <w:rFonts w:ascii="Times New Roman" w:hAnsi="Times New Roman"/>
          <w:i/>
          <w:lang w:val="lt-LT"/>
        </w:rPr>
        <w:t xml:space="preserve">Moterų = 0,85 </w:t>
      </w:r>
      <w:r w:rsidRPr="00EE75B4">
        <w:rPr>
          <w:rFonts w:ascii="Times New Roman" w:hAnsi="Times New Roman"/>
          <w:i/>
          <w:lang w:val="lt-LT"/>
        </w:rPr>
        <w:sym w:font="Symbol" w:char="F0B4"/>
      </w:r>
      <w:r w:rsidRPr="00EE75B4">
        <w:rPr>
          <w:rFonts w:ascii="Times New Roman" w:hAnsi="Times New Roman"/>
          <w:i/>
          <w:lang w:val="lt-LT"/>
        </w:rPr>
        <w:t xml:space="preserve"> vyrų klirenso reikšmė</w:t>
      </w:r>
    </w:p>
    <w:p w14:paraId="79E4518E" w14:textId="77777777" w:rsidR="005427AE" w:rsidRPr="00EE75B4" w:rsidRDefault="005427AE" w:rsidP="005427AE">
      <w:pPr>
        <w:spacing w:after="0" w:line="240" w:lineRule="auto"/>
        <w:rPr>
          <w:rFonts w:ascii="Times New Roman" w:hAnsi="Times New Roman"/>
          <w:lang w:val="lt-LT"/>
        </w:rPr>
      </w:pPr>
    </w:p>
    <w:tbl>
      <w:tblPr>
        <w:tblW w:w="0" w:type="auto"/>
        <w:tblLayout w:type="fixed"/>
        <w:tblLook w:val="0000" w:firstRow="0" w:lastRow="0" w:firstColumn="0" w:lastColumn="0" w:noHBand="0" w:noVBand="0"/>
      </w:tblPr>
      <w:tblGrid>
        <w:gridCol w:w="1809"/>
        <w:gridCol w:w="3686"/>
        <w:gridCol w:w="3790"/>
      </w:tblGrid>
      <w:tr w:rsidR="007923DA" w:rsidRPr="00EE75B4" w14:paraId="3CDCF55D" w14:textId="77777777" w:rsidTr="00752171">
        <w:tc>
          <w:tcPr>
            <w:tcW w:w="1809" w:type="dxa"/>
            <w:tcBorders>
              <w:top w:val="single" w:sz="4" w:space="0" w:color="auto"/>
              <w:bottom w:val="single" w:sz="4" w:space="0" w:color="auto"/>
            </w:tcBorders>
          </w:tcPr>
          <w:p w14:paraId="4719BDA1"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t>KK (ml/min.)</w:t>
            </w:r>
          </w:p>
        </w:tc>
        <w:tc>
          <w:tcPr>
            <w:tcW w:w="3686" w:type="dxa"/>
            <w:tcBorders>
              <w:top w:val="single" w:sz="4" w:space="0" w:color="auto"/>
              <w:left w:val="single" w:sz="4" w:space="0" w:color="auto"/>
              <w:bottom w:val="single" w:sz="4" w:space="0" w:color="auto"/>
              <w:right w:val="single" w:sz="4" w:space="0" w:color="auto"/>
            </w:tcBorders>
          </w:tcPr>
          <w:p w14:paraId="418CABDF"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t xml:space="preserve">Įvadinė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dozė</w:t>
            </w:r>
          </w:p>
        </w:tc>
        <w:tc>
          <w:tcPr>
            <w:tcW w:w="3790" w:type="dxa"/>
            <w:tcBorders>
              <w:top w:val="single" w:sz="4" w:space="0" w:color="auto"/>
              <w:left w:val="nil"/>
              <w:bottom w:val="single" w:sz="4" w:space="0" w:color="auto"/>
            </w:tcBorders>
          </w:tcPr>
          <w:p w14:paraId="4CAA5072"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Palaikomoji arba profilaktinė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dozė</w:t>
            </w:r>
          </w:p>
        </w:tc>
      </w:tr>
      <w:tr w:rsidR="007923DA" w:rsidRPr="00EE75B4" w14:paraId="7124CD0E" w14:textId="77777777" w:rsidTr="00752171">
        <w:tc>
          <w:tcPr>
            <w:tcW w:w="1809" w:type="dxa"/>
            <w:tcBorders>
              <w:top w:val="single" w:sz="4" w:space="0" w:color="auto"/>
            </w:tcBorders>
          </w:tcPr>
          <w:p w14:paraId="03BDC35C"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sym w:font="Symbol" w:char="F0B3"/>
            </w:r>
            <w:r w:rsidRPr="00EE75B4">
              <w:rPr>
                <w:rFonts w:ascii="Times New Roman" w:hAnsi="Times New Roman"/>
                <w:lang w:val="lt-LT"/>
              </w:rPr>
              <w:t xml:space="preserve"> 60</w:t>
            </w:r>
          </w:p>
        </w:tc>
        <w:tc>
          <w:tcPr>
            <w:tcW w:w="3686" w:type="dxa"/>
            <w:tcBorders>
              <w:top w:val="single" w:sz="4" w:space="0" w:color="auto"/>
              <w:left w:val="single" w:sz="4" w:space="0" w:color="auto"/>
              <w:right w:val="single" w:sz="4" w:space="0" w:color="auto"/>
            </w:tcBorders>
          </w:tcPr>
          <w:p w14:paraId="21FC5A58"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t>900 mg (2 tabletės) du kartus per parą</w:t>
            </w:r>
          </w:p>
        </w:tc>
        <w:tc>
          <w:tcPr>
            <w:tcW w:w="3790" w:type="dxa"/>
            <w:tcBorders>
              <w:top w:val="single" w:sz="4" w:space="0" w:color="auto"/>
              <w:left w:val="nil"/>
            </w:tcBorders>
          </w:tcPr>
          <w:p w14:paraId="6922A51A"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t>900 mg (2 tabletės) kartą per parą</w:t>
            </w:r>
          </w:p>
        </w:tc>
      </w:tr>
      <w:tr w:rsidR="007923DA" w:rsidRPr="00EE75B4" w14:paraId="15A57AC6" w14:textId="77777777" w:rsidTr="00752171">
        <w:tc>
          <w:tcPr>
            <w:tcW w:w="1809" w:type="dxa"/>
          </w:tcPr>
          <w:p w14:paraId="2BDB8088"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t>40–59</w:t>
            </w:r>
          </w:p>
        </w:tc>
        <w:tc>
          <w:tcPr>
            <w:tcW w:w="3686" w:type="dxa"/>
            <w:tcBorders>
              <w:left w:val="single" w:sz="4" w:space="0" w:color="auto"/>
              <w:right w:val="single" w:sz="4" w:space="0" w:color="auto"/>
            </w:tcBorders>
          </w:tcPr>
          <w:p w14:paraId="1EDEB15B"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t>450 mg (1 tabletė) du kartus per parą</w:t>
            </w:r>
          </w:p>
        </w:tc>
        <w:tc>
          <w:tcPr>
            <w:tcW w:w="3790" w:type="dxa"/>
            <w:tcBorders>
              <w:left w:val="nil"/>
            </w:tcBorders>
          </w:tcPr>
          <w:p w14:paraId="6046C2A1"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t>450 mg (1 tabletė) kartą per parą</w:t>
            </w:r>
          </w:p>
        </w:tc>
      </w:tr>
      <w:tr w:rsidR="007923DA" w:rsidRPr="00EE75B4" w14:paraId="2CBE6D29" w14:textId="77777777" w:rsidTr="00752171">
        <w:tc>
          <w:tcPr>
            <w:tcW w:w="1809" w:type="dxa"/>
          </w:tcPr>
          <w:p w14:paraId="0863C112"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t>25–39</w:t>
            </w:r>
          </w:p>
        </w:tc>
        <w:tc>
          <w:tcPr>
            <w:tcW w:w="3686" w:type="dxa"/>
            <w:tcBorders>
              <w:left w:val="single" w:sz="4" w:space="0" w:color="auto"/>
              <w:right w:val="single" w:sz="4" w:space="0" w:color="auto"/>
            </w:tcBorders>
          </w:tcPr>
          <w:p w14:paraId="75F2796C"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t>450 mg (1 tabletė) kartą per parą</w:t>
            </w:r>
          </w:p>
        </w:tc>
        <w:tc>
          <w:tcPr>
            <w:tcW w:w="3790" w:type="dxa"/>
            <w:tcBorders>
              <w:left w:val="nil"/>
            </w:tcBorders>
          </w:tcPr>
          <w:p w14:paraId="722912AD"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t>450 mg (1 tabletė) kas antrą parą</w:t>
            </w:r>
          </w:p>
        </w:tc>
      </w:tr>
      <w:tr w:rsidR="005427AE" w:rsidRPr="00EE75B4" w14:paraId="2ECCA1C8" w14:textId="77777777" w:rsidTr="00752171">
        <w:tc>
          <w:tcPr>
            <w:tcW w:w="1809" w:type="dxa"/>
            <w:tcBorders>
              <w:bottom w:val="single" w:sz="4" w:space="0" w:color="auto"/>
            </w:tcBorders>
          </w:tcPr>
          <w:p w14:paraId="206E908B"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t>10–24</w:t>
            </w:r>
          </w:p>
          <w:p w14:paraId="4CABE562"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t>&lt; 10</w:t>
            </w:r>
          </w:p>
        </w:tc>
        <w:tc>
          <w:tcPr>
            <w:tcW w:w="3686" w:type="dxa"/>
            <w:tcBorders>
              <w:left w:val="single" w:sz="4" w:space="0" w:color="auto"/>
              <w:bottom w:val="single" w:sz="4" w:space="0" w:color="auto"/>
              <w:right w:val="single" w:sz="4" w:space="0" w:color="auto"/>
            </w:tcBorders>
          </w:tcPr>
          <w:p w14:paraId="798BC5FA"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t>450 mg (1 tabletė) kas antrą parą</w:t>
            </w:r>
          </w:p>
          <w:p w14:paraId="0236FECF"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Vaistinio preparato skirti nerekomenduojama</w:t>
            </w:r>
          </w:p>
        </w:tc>
        <w:tc>
          <w:tcPr>
            <w:tcW w:w="3790" w:type="dxa"/>
            <w:tcBorders>
              <w:left w:val="nil"/>
              <w:bottom w:val="single" w:sz="4" w:space="0" w:color="auto"/>
            </w:tcBorders>
          </w:tcPr>
          <w:p w14:paraId="12DA0FC3"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t>450 mg (1 tabletė) du kartus per savaitę</w:t>
            </w:r>
          </w:p>
          <w:p w14:paraId="529B6709"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Vaistinio preparato skirti nerekomenduojama</w:t>
            </w:r>
          </w:p>
        </w:tc>
      </w:tr>
    </w:tbl>
    <w:p w14:paraId="7B674381" w14:textId="77777777" w:rsidR="005427AE" w:rsidRPr="00EE75B4" w:rsidRDefault="005427AE" w:rsidP="005427AE">
      <w:pPr>
        <w:spacing w:after="0" w:line="240" w:lineRule="auto"/>
        <w:rPr>
          <w:rFonts w:ascii="Times New Roman" w:hAnsi="Times New Roman"/>
          <w:lang w:val="lt-LT"/>
        </w:rPr>
      </w:pPr>
    </w:p>
    <w:p w14:paraId="4395A180" w14:textId="77777777" w:rsidR="005427AE" w:rsidRPr="00EE75B4" w:rsidRDefault="005427AE" w:rsidP="005427AE">
      <w:pPr>
        <w:spacing w:after="0" w:line="240" w:lineRule="auto"/>
        <w:rPr>
          <w:rFonts w:ascii="Times New Roman" w:hAnsi="Times New Roman"/>
          <w:i/>
          <w:lang w:val="lt-LT"/>
        </w:rPr>
      </w:pPr>
      <w:r w:rsidRPr="00EE75B4">
        <w:rPr>
          <w:rFonts w:ascii="Times New Roman" w:hAnsi="Times New Roman"/>
          <w:i/>
          <w:lang w:val="lt-LT"/>
        </w:rPr>
        <w:t>Pacientams, kuriems taikoma hemodializė</w:t>
      </w:r>
    </w:p>
    <w:p w14:paraId="5E618C3B"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lastRenderedPageBreak/>
        <w:t xml:space="preserve">Pacientams, kuriems taikoma hemodializė (KK &lt; 10 ml/min.), dozavimo rekomendacijų pateikti negalima. Taigi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plėvele dengtų tablečių šie pacientai vartoti negali (žr. 4.4 ir 5.2 skyrius).</w:t>
      </w:r>
    </w:p>
    <w:p w14:paraId="5F4DA061" w14:textId="77777777" w:rsidR="005427AE" w:rsidRPr="00EE75B4" w:rsidRDefault="005427AE" w:rsidP="005427AE">
      <w:pPr>
        <w:spacing w:after="0" w:line="240" w:lineRule="auto"/>
        <w:rPr>
          <w:rFonts w:ascii="Times New Roman" w:hAnsi="Times New Roman"/>
          <w:lang w:val="lt-LT"/>
        </w:rPr>
      </w:pPr>
    </w:p>
    <w:p w14:paraId="400E8720" w14:textId="77777777" w:rsidR="005427AE" w:rsidRPr="00EE75B4" w:rsidRDefault="005427AE" w:rsidP="005427AE">
      <w:pPr>
        <w:spacing w:after="0" w:line="240" w:lineRule="auto"/>
        <w:rPr>
          <w:rFonts w:ascii="Times New Roman" w:hAnsi="Times New Roman"/>
          <w:i/>
          <w:lang w:val="lt-LT"/>
        </w:rPr>
      </w:pPr>
      <w:r w:rsidRPr="00EE75B4">
        <w:rPr>
          <w:rFonts w:ascii="Times New Roman" w:hAnsi="Times New Roman"/>
          <w:i/>
          <w:lang w:val="lt-LT"/>
        </w:rPr>
        <w:t>Pacientams, kurių kepenų funkcija sutrikusi</w:t>
      </w:r>
    </w:p>
    <w:p w14:paraId="0862A0F5"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Pacientų, kurių kepenų funkcija sutrikusi, gydymo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tabletėmis saugumas ir veiksmingumas </w:t>
      </w:r>
      <w:r w:rsidR="0009553F" w:rsidRPr="00EE75B4">
        <w:rPr>
          <w:rFonts w:ascii="Times New Roman" w:eastAsia="Times New Roman" w:hAnsi="Times New Roman"/>
          <w:lang w:val="lt-LT" w:eastAsia="ja-JP"/>
        </w:rPr>
        <w:t>nenustatytas</w:t>
      </w:r>
      <w:r w:rsidR="0009553F" w:rsidRPr="00EE75B4">
        <w:rPr>
          <w:rFonts w:ascii="Times New Roman" w:hAnsi="Times New Roman"/>
          <w:lang w:val="lt-LT"/>
        </w:rPr>
        <w:t xml:space="preserve"> </w:t>
      </w:r>
      <w:r w:rsidRPr="00EE75B4">
        <w:rPr>
          <w:rFonts w:ascii="Times New Roman" w:hAnsi="Times New Roman"/>
          <w:lang w:val="lt-LT"/>
        </w:rPr>
        <w:t>(žr. 5.2 skyrių).</w:t>
      </w:r>
    </w:p>
    <w:p w14:paraId="4AC591AC" w14:textId="77777777" w:rsidR="005427AE" w:rsidRPr="00EE75B4" w:rsidRDefault="005427AE" w:rsidP="00813362">
      <w:pPr>
        <w:spacing w:after="0" w:line="240" w:lineRule="auto"/>
        <w:jc w:val="both"/>
        <w:rPr>
          <w:rFonts w:ascii="Times New Roman" w:hAnsi="Times New Roman"/>
          <w:u w:val="single"/>
          <w:lang w:val="lt-LT"/>
        </w:rPr>
      </w:pPr>
    </w:p>
    <w:p w14:paraId="187255F1" w14:textId="77777777" w:rsidR="005427AE" w:rsidRPr="00EE75B4" w:rsidRDefault="005427AE" w:rsidP="005427AE">
      <w:pPr>
        <w:spacing w:after="0" w:line="240" w:lineRule="auto"/>
        <w:rPr>
          <w:rFonts w:ascii="Times New Roman" w:hAnsi="Times New Roman"/>
          <w:lang w:val="lt-LT"/>
        </w:rPr>
      </w:pPr>
    </w:p>
    <w:p w14:paraId="7557CBF3"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i/>
          <w:lang w:val="lt-LT"/>
        </w:rPr>
        <w:t xml:space="preserve">Pacientams, kuriems yra sunki </w:t>
      </w:r>
      <w:proofErr w:type="spellStart"/>
      <w:r w:rsidRPr="00EE75B4">
        <w:rPr>
          <w:rFonts w:ascii="Times New Roman" w:hAnsi="Times New Roman"/>
          <w:i/>
          <w:lang w:val="lt-LT"/>
        </w:rPr>
        <w:t>leukopenija</w:t>
      </w:r>
      <w:proofErr w:type="spellEnd"/>
      <w:r w:rsidRPr="00EE75B4">
        <w:rPr>
          <w:rFonts w:ascii="Times New Roman" w:hAnsi="Times New Roman"/>
          <w:i/>
          <w:lang w:val="lt-LT"/>
        </w:rPr>
        <w:t xml:space="preserve">, </w:t>
      </w:r>
      <w:proofErr w:type="spellStart"/>
      <w:r w:rsidRPr="00EE75B4">
        <w:rPr>
          <w:rFonts w:ascii="Times New Roman" w:hAnsi="Times New Roman"/>
          <w:i/>
          <w:lang w:val="lt-LT"/>
        </w:rPr>
        <w:t>neutropenija</w:t>
      </w:r>
      <w:proofErr w:type="spellEnd"/>
      <w:r w:rsidRPr="00EE75B4">
        <w:rPr>
          <w:rFonts w:ascii="Times New Roman" w:hAnsi="Times New Roman"/>
          <w:i/>
          <w:lang w:val="lt-LT"/>
        </w:rPr>
        <w:t xml:space="preserve">, anemija, </w:t>
      </w:r>
      <w:proofErr w:type="spellStart"/>
      <w:r w:rsidRPr="00EE75B4">
        <w:rPr>
          <w:rFonts w:ascii="Times New Roman" w:hAnsi="Times New Roman"/>
          <w:i/>
          <w:lang w:val="lt-LT"/>
        </w:rPr>
        <w:t>trombocitopenija</w:t>
      </w:r>
      <w:proofErr w:type="spellEnd"/>
      <w:r w:rsidRPr="00EE75B4">
        <w:rPr>
          <w:rFonts w:ascii="Times New Roman" w:hAnsi="Times New Roman"/>
          <w:i/>
          <w:lang w:val="lt-LT"/>
        </w:rPr>
        <w:t xml:space="preserve"> ir </w:t>
      </w:r>
      <w:proofErr w:type="spellStart"/>
      <w:r w:rsidRPr="00EE75B4">
        <w:rPr>
          <w:rFonts w:ascii="Times New Roman" w:hAnsi="Times New Roman"/>
          <w:i/>
          <w:lang w:val="lt-LT"/>
        </w:rPr>
        <w:t>pancitopenija</w:t>
      </w:r>
      <w:proofErr w:type="spellEnd"/>
    </w:p>
    <w:p w14:paraId="44381B78"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Prieš pradedant gydyti reikia atsižvelgti į 4.4 skyriuje pateiktus nurodymus.</w:t>
      </w:r>
    </w:p>
    <w:p w14:paraId="37829D8A" w14:textId="77777777" w:rsidR="005427AE" w:rsidRPr="00EE75B4" w:rsidRDefault="005427AE" w:rsidP="005427AE">
      <w:pPr>
        <w:spacing w:after="0" w:line="240" w:lineRule="auto"/>
        <w:rPr>
          <w:rFonts w:ascii="Times New Roman" w:hAnsi="Times New Roman"/>
          <w:lang w:val="lt-LT"/>
        </w:rPr>
      </w:pPr>
    </w:p>
    <w:p w14:paraId="28E293E5"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Jeigu gydymo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metu reikšmingai sumažėja kraujo ląstelių skaičius, reikia spręsti, ar gydyti kraujo ląstelių augimo faktoriais, ir (ar) nutraukti dozavimą (žr. 4.4 skyrių).</w:t>
      </w:r>
    </w:p>
    <w:p w14:paraId="17508D17" w14:textId="77777777" w:rsidR="005427AE" w:rsidRPr="00EE75B4" w:rsidRDefault="005427AE" w:rsidP="005427AE">
      <w:pPr>
        <w:spacing w:after="0" w:line="240" w:lineRule="auto"/>
        <w:rPr>
          <w:rFonts w:ascii="Times New Roman" w:hAnsi="Times New Roman"/>
          <w:lang w:val="lt-LT"/>
        </w:rPr>
      </w:pPr>
    </w:p>
    <w:p w14:paraId="0841571E"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Vartojimo metodas</w:t>
      </w:r>
    </w:p>
    <w:p w14:paraId="4DB7D05F"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tabletės vartojamos per burną ir, kai tik įmanoma, turi būti geriamos valgio metu (žr. 5.2 skyrių).</w:t>
      </w:r>
    </w:p>
    <w:p w14:paraId="1FC1A860" w14:textId="77777777" w:rsidR="005427AE" w:rsidRPr="00EE75B4" w:rsidRDefault="005427AE" w:rsidP="005427AE">
      <w:pPr>
        <w:spacing w:after="0" w:line="240" w:lineRule="auto"/>
        <w:rPr>
          <w:rFonts w:ascii="Times New Roman" w:hAnsi="Times New Roman"/>
          <w:lang w:val="lt-LT"/>
        </w:rPr>
      </w:pPr>
    </w:p>
    <w:p w14:paraId="636538E0"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Vaikai, kurie nesugeba nuryti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plėvele dengtų tablečių, gali vartoti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miltelius geriamajam tirpalui.</w:t>
      </w:r>
    </w:p>
    <w:p w14:paraId="3D43C696" w14:textId="77777777" w:rsidR="005427AE" w:rsidRPr="00EE75B4" w:rsidRDefault="005427AE" w:rsidP="005427AE">
      <w:pPr>
        <w:spacing w:after="0" w:line="240" w:lineRule="auto"/>
        <w:rPr>
          <w:rFonts w:ascii="Times New Roman" w:hAnsi="Times New Roman"/>
          <w:lang w:val="lt-LT"/>
        </w:rPr>
      </w:pPr>
    </w:p>
    <w:p w14:paraId="6C2640D5"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i/>
          <w:lang w:val="lt-LT"/>
        </w:rPr>
        <w:t>Atsargumo priemonės prieš ruošiant ar vartojant vaistinį preparatą</w:t>
      </w:r>
    </w:p>
    <w:p w14:paraId="12920B24"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Tablečių negalima laužyti ar smulkinti. Kadangi </w:t>
      </w:r>
      <w:proofErr w:type="spellStart"/>
      <w:r w:rsidRPr="00EE75B4">
        <w:rPr>
          <w:rFonts w:ascii="Times New Roman" w:hAnsi="Times New Roman"/>
          <w:lang w:val="lt-LT"/>
        </w:rPr>
        <w:t>valgancikloviras</w:t>
      </w:r>
      <w:proofErr w:type="spellEnd"/>
      <w:r w:rsidRPr="00EE75B4">
        <w:rPr>
          <w:rFonts w:ascii="Times New Roman" w:hAnsi="Times New Roman"/>
          <w:lang w:val="lt-LT"/>
        </w:rPr>
        <w:t xml:space="preserve"> laikomas potencialiu </w:t>
      </w:r>
      <w:proofErr w:type="spellStart"/>
      <w:r w:rsidRPr="00EE75B4">
        <w:rPr>
          <w:rFonts w:ascii="Times New Roman" w:hAnsi="Times New Roman"/>
          <w:lang w:val="lt-LT"/>
        </w:rPr>
        <w:t>teratogenu</w:t>
      </w:r>
      <w:proofErr w:type="spellEnd"/>
      <w:r w:rsidRPr="00EE75B4">
        <w:rPr>
          <w:rFonts w:ascii="Times New Roman" w:hAnsi="Times New Roman"/>
          <w:lang w:val="lt-LT"/>
        </w:rPr>
        <w:t xml:space="preserve"> ir kancerogenu žmogui, tvarkant sulūžusias tabletes reikia laikytis atsargumo (žr. 4.4 skyrių). Reikia vengti lūžusių ar susmulkintų tablečių tiesioginio kontakto su oda arba gleivine. Jeigu toks kontaktas įvyksta, sąlyčio vietą kruopščiai nuplaukite vandeniu ir muilu, akis gerai išplaukite steriliu vandeniu, o jeigu jo nėra, – paprastu vandeniu.</w:t>
      </w:r>
    </w:p>
    <w:p w14:paraId="07C21CF4" w14:textId="77777777" w:rsidR="005427AE" w:rsidRPr="00EE75B4" w:rsidRDefault="005427AE" w:rsidP="005427AE">
      <w:pPr>
        <w:spacing w:after="0" w:line="240" w:lineRule="auto"/>
        <w:rPr>
          <w:rFonts w:ascii="Times New Roman" w:hAnsi="Times New Roman"/>
          <w:lang w:val="lt-LT"/>
        </w:rPr>
      </w:pPr>
    </w:p>
    <w:p w14:paraId="3CDD6AF2" w14:textId="77777777" w:rsidR="005427AE" w:rsidRPr="00EE75B4" w:rsidRDefault="005427AE" w:rsidP="005427AE">
      <w:pPr>
        <w:spacing w:after="0" w:line="240" w:lineRule="auto"/>
        <w:ind w:left="567" w:hanging="567"/>
        <w:outlineLvl w:val="1"/>
        <w:rPr>
          <w:rFonts w:ascii="Times New Roman" w:hAnsi="Times New Roman"/>
          <w:b/>
          <w:kern w:val="28"/>
          <w:lang w:val="lt-LT"/>
        </w:rPr>
      </w:pPr>
      <w:r w:rsidRPr="00EE75B4">
        <w:rPr>
          <w:rFonts w:ascii="Times New Roman" w:hAnsi="Times New Roman"/>
          <w:b/>
          <w:kern w:val="28"/>
          <w:lang w:val="lt-LT"/>
        </w:rPr>
        <w:t>4.3</w:t>
      </w:r>
      <w:r w:rsidRPr="00EE75B4">
        <w:rPr>
          <w:rFonts w:ascii="Times New Roman" w:hAnsi="Times New Roman"/>
          <w:b/>
          <w:kern w:val="28"/>
          <w:lang w:val="lt-LT"/>
        </w:rPr>
        <w:tab/>
        <w:t>Kontraindikacijos</w:t>
      </w:r>
    </w:p>
    <w:p w14:paraId="155CA97F" w14:textId="77777777" w:rsidR="005427AE" w:rsidRPr="00EE75B4" w:rsidRDefault="005427AE" w:rsidP="005427AE">
      <w:pPr>
        <w:spacing w:after="0" w:line="240" w:lineRule="auto"/>
        <w:rPr>
          <w:rFonts w:ascii="Times New Roman" w:hAnsi="Times New Roman"/>
          <w:lang w:val="lt-LT"/>
        </w:rPr>
      </w:pPr>
    </w:p>
    <w:p w14:paraId="1EDF2FFA" w14:textId="77777777" w:rsidR="005427AE" w:rsidRPr="00EE75B4" w:rsidRDefault="005427AE" w:rsidP="005427AE">
      <w:pPr>
        <w:spacing w:after="0" w:line="240" w:lineRule="auto"/>
        <w:rPr>
          <w:rFonts w:ascii="Times New Roman" w:hAnsi="Times New Roman"/>
          <w:spacing w:val="-2"/>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negalima vartoti pacientams, kuriems padidėjęs jautrumas </w:t>
      </w:r>
      <w:proofErr w:type="spellStart"/>
      <w:r w:rsidRPr="00EE75B4">
        <w:rPr>
          <w:rFonts w:ascii="Times New Roman" w:hAnsi="Times New Roman"/>
          <w:lang w:val="lt-LT"/>
        </w:rPr>
        <w:t>valganciklovirui</w:t>
      </w:r>
      <w:proofErr w:type="spellEnd"/>
      <w:r w:rsidRPr="00EE75B4">
        <w:rPr>
          <w:rFonts w:ascii="Times New Roman" w:hAnsi="Times New Roman"/>
          <w:lang w:val="lt-LT"/>
        </w:rPr>
        <w:t xml:space="preserve">, </w:t>
      </w:r>
      <w:proofErr w:type="spellStart"/>
      <w:r w:rsidRPr="00EE75B4">
        <w:rPr>
          <w:rFonts w:ascii="Times New Roman" w:hAnsi="Times New Roman"/>
          <w:lang w:val="lt-LT"/>
        </w:rPr>
        <w:t>ganciklovirui</w:t>
      </w:r>
      <w:proofErr w:type="spellEnd"/>
      <w:r w:rsidRPr="00EE75B4">
        <w:rPr>
          <w:rFonts w:ascii="Times New Roman" w:hAnsi="Times New Roman"/>
          <w:lang w:val="lt-LT"/>
        </w:rPr>
        <w:t xml:space="preserve"> arba bet kuriai 6.1 skyriuje nurodytai pagalbinei medžiagai.</w:t>
      </w:r>
    </w:p>
    <w:p w14:paraId="73403E31" w14:textId="77777777" w:rsidR="005427AE" w:rsidRPr="00EE75B4" w:rsidRDefault="005427AE" w:rsidP="005427AE">
      <w:pPr>
        <w:spacing w:after="0" w:line="240" w:lineRule="auto"/>
        <w:rPr>
          <w:rFonts w:ascii="Times New Roman" w:hAnsi="Times New Roman"/>
          <w:spacing w:val="-2"/>
          <w:lang w:val="lt-LT"/>
        </w:rPr>
      </w:pPr>
    </w:p>
    <w:p w14:paraId="029EDCBC" w14:textId="77777777" w:rsidR="005427AE" w:rsidRPr="00EE75B4" w:rsidRDefault="005427AE" w:rsidP="005427AE">
      <w:pPr>
        <w:spacing w:after="0" w:line="240" w:lineRule="auto"/>
        <w:rPr>
          <w:rFonts w:ascii="Times New Roman" w:hAnsi="Times New Roman"/>
          <w:b/>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negalima vartoti žindymo laikotarpiu (žr. 4.6 skyrių)</w:t>
      </w:r>
      <w:r w:rsidRPr="00EE75B4">
        <w:rPr>
          <w:rFonts w:ascii="Times New Roman" w:hAnsi="Times New Roman"/>
          <w:b/>
          <w:lang w:val="lt-LT"/>
        </w:rPr>
        <w:t>.</w:t>
      </w:r>
    </w:p>
    <w:p w14:paraId="2386C063" w14:textId="77777777" w:rsidR="005427AE" w:rsidRPr="00EE75B4" w:rsidRDefault="005427AE" w:rsidP="005427AE">
      <w:pPr>
        <w:spacing w:after="0" w:line="240" w:lineRule="auto"/>
        <w:rPr>
          <w:rFonts w:ascii="Times New Roman" w:hAnsi="Times New Roman"/>
          <w:lang w:val="lt-LT"/>
        </w:rPr>
      </w:pPr>
    </w:p>
    <w:p w14:paraId="038F5044" w14:textId="77777777" w:rsidR="005427AE" w:rsidRPr="00EE75B4" w:rsidRDefault="005427AE" w:rsidP="005427AE">
      <w:pPr>
        <w:spacing w:after="0" w:line="240" w:lineRule="auto"/>
        <w:ind w:left="567" w:hanging="567"/>
        <w:outlineLvl w:val="1"/>
        <w:rPr>
          <w:rFonts w:ascii="Times New Roman" w:hAnsi="Times New Roman"/>
          <w:b/>
          <w:kern w:val="28"/>
          <w:lang w:val="lt-LT"/>
        </w:rPr>
      </w:pPr>
      <w:r w:rsidRPr="00EE75B4">
        <w:rPr>
          <w:rFonts w:ascii="Times New Roman" w:hAnsi="Times New Roman"/>
          <w:b/>
          <w:kern w:val="28"/>
          <w:lang w:val="lt-LT"/>
        </w:rPr>
        <w:t>4.4</w:t>
      </w:r>
      <w:r w:rsidRPr="00EE75B4">
        <w:rPr>
          <w:rFonts w:ascii="Times New Roman" w:hAnsi="Times New Roman"/>
          <w:b/>
          <w:kern w:val="28"/>
          <w:lang w:val="lt-LT"/>
        </w:rPr>
        <w:tab/>
        <w:t>Specialūs įspėjimai ir atsargumo priemonės</w:t>
      </w:r>
    </w:p>
    <w:p w14:paraId="2C06F0F5" w14:textId="77777777" w:rsidR="005427AE" w:rsidRPr="00EE75B4" w:rsidRDefault="005427AE" w:rsidP="005427AE">
      <w:pPr>
        <w:spacing w:after="0" w:line="240" w:lineRule="auto"/>
        <w:rPr>
          <w:rFonts w:ascii="Times New Roman" w:eastAsia="Times New Roman" w:hAnsi="Times New Roman"/>
          <w:lang w:val="lt-LT" w:eastAsia="ja-JP"/>
        </w:rPr>
      </w:pPr>
    </w:p>
    <w:p w14:paraId="2156BFF2" w14:textId="77777777" w:rsidR="0009553F" w:rsidRPr="00EE75B4" w:rsidRDefault="0009553F" w:rsidP="0009553F">
      <w:pPr>
        <w:spacing w:after="0" w:line="240" w:lineRule="auto"/>
        <w:rPr>
          <w:rFonts w:ascii="Times New Roman" w:eastAsia="Times New Roman" w:hAnsi="Times New Roman"/>
          <w:i/>
          <w:lang w:val="lt-LT" w:eastAsia="ja-JP"/>
        </w:rPr>
      </w:pPr>
      <w:r w:rsidRPr="00EE75B4">
        <w:rPr>
          <w:rFonts w:ascii="Times New Roman" w:eastAsia="Times New Roman" w:hAnsi="Times New Roman"/>
          <w:i/>
          <w:lang w:val="lt-LT" w:eastAsia="ja-JP"/>
        </w:rPr>
        <w:t>Kryžmin</w:t>
      </w:r>
      <w:r w:rsidR="00432B94" w:rsidRPr="00EE75B4">
        <w:rPr>
          <w:rFonts w:ascii="Times New Roman" w:eastAsia="Times New Roman" w:hAnsi="Times New Roman"/>
          <w:i/>
          <w:lang w:val="lt-LT" w:eastAsia="ja-JP"/>
        </w:rPr>
        <w:t>is</w:t>
      </w:r>
      <w:r w:rsidRPr="00EE75B4">
        <w:rPr>
          <w:rFonts w:ascii="Times New Roman" w:eastAsia="Times New Roman" w:hAnsi="Times New Roman"/>
          <w:i/>
          <w:lang w:val="lt-LT" w:eastAsia="ja-JP"/>
        </w:rPr>
        <w:t xml:space="preserve"> padidėj</w:t>
      </w:r>
      <w:r w:rsidR="00432B94" w:rsidRPr="00EE75B4">
        <w:rPr>
          <w:rFonts w:ascii="Times New Roman" w:eastAsia="Times New Roman" w:hAnsi="Times New Roman"/>
          <w:i/>
          <w:lang w:val="lt-LT" w:eastAsia="ja-JP"/>
        </w:rPr>
        <w:t>ęs jautrumas</w:t>
      </w:r>
    </w:p>
    <w:p w14:paraId="180E71B2" w14:textId="77777777" w:rsidR="0009553F" w:rsidRPr="00EE75B4" w:rsidRDefault="0009553F" w:rsidP="0009553F">
      <w:pPr>
        <w:spacing w:after="0" w:line="240" w:lineRule="auto"/>
        <w:rPr>
          <w:rFonts w:ascii="Times New Roman" w:hAnsi="Times New Roman"/>
          <w:lang w:val="lt-LT"/>
        </w:rPr>
      </w:pPr>
      <w:r w:rsidRPr="00EE75B4">
        <w:rPr>
          <w:rFonts w:ascii="Times New Roman" w:hAnsi="Times New Roman"/>
          <w:lang w:val="lt-LT"/>
        </w:rPr>
        <w:t>Kadangi</w:t>
      </w:r>
      <w:r w:rsidRPr="00EE75B4">
        <w:rPr>
          <w:rFonts w:ascii="Times New Roman" w:eastAsia="Times New Roman" w:hAnsi="Times New Roman"/>
          <w:lang w:val="lt-LT" w:eastAsia="ja-JP"/>
        </w:rPr>
        <w:t xml:space="preserve"> </w:t>
      </w:r>
      <w:r w:rsidR="00432B94" w:rsidRPr="00EE75B4">
        <w:rPr>
          <w:rFonts w:ascii="Times New Roman" w:eastAsia="Times New Roman" w:hAnsi="Times New Roman"/>
          <w:lang w:val="lt-LT" w:eastAsia="ja-JP"/>
        </w:rPr>
        <w:t>cheminė</w:t>
      </w:r>
      <w:r w:rsidR="00432B94" w:rsidRPr="00EE75B4">
        <w:rPr>
          <w:rFonts w:ascii="Times New Roman" w:hAnsi="Times New Roman"/>
          <w:lang w:val="lt-LT"/>
        </w:rPr>
        <w:t xml:space="preserve">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veikliosios medžiagos) cheminė struktūra yra panaši į </w:t>
      </w:r>
      <w:proofErr w:type="spellStart"/>
      <w:r w:rsidRPr="00EE75B4">
        <w:rPr>
          <w:rFonts w:ascii="Times New Roman" w:hAnsi="Times New Roman"/>
          <w:lang w:val="lt-LT"/>
        </w:rPr>
        <w:t>acikloviro</w:t>
      </w:r>
      <w:proofErr w:type="spellEnd"/>
      <w:r w:rsidRPr="00EE75B4">
        <w:rPr>
          <w:rFonts w:ascii="Times New Roman" w:hAnsi="Times New Roman"/>
          <w:lang w:val="lt-LT"/>
        </w:rPr>
        <w:t xml:space="preserve"> ir </w:t>
      </w:r>
      <w:proofErr w:type="spellStart"/>
      <w:r w:rsidRPr="00EE75B4">
        <w:rPr>
          <w:rFonts w:ascii="Times New Roman" w:hAnsi="Times New Roman"/>
          <w:lang w:val="lt-LT"/>
        </w:rPr>
        <w:t>valacikloviro</w:t>
      </w:r>
      <w:proofErr w:type="spellEnd"/>
      <w:r w:rsidRPr="00EE75B4">
        <w:rPr>
          <w:rFonts w:ascii="Times New Roman" w:hAnsi="Times New Roman"/>
          <w:lang w:val="lt-LT"/>
        </w:rPr>
        <w:t>, gali būti kryžminė padidėjusio jautrumo reakcija</w:t>
      </w:r>
      <w:r w:rsidR="00432B94" w:rsidRPr="00EE75B4">
        <w:rPr>
          <w:rFonts w:ascii="Times New Roman" w:eastAsia="Times New Roman" w:hAnsi="Times New Roman"/>
          <w:lang w:val="lt-LT" w:eastAsia="ja-JP"/>
        </w:rPr>
        <w:t xml:space="preserve"> į šiuos vaistus</w:t>
      </w:r>
      <w:r w:rsidRPr="00EE75B4">
        <w:rPr>
          <w:rFonts w:ascii="Times New Roman" w:eastAsia="Times New Roman" w:hAnsi="Times New Roman"/>
          <w:lang w:val="lt-LT" w:eastAsia="ja-JP"/>
        </w:rPr>
        <w:t>.</w:t>
      </w:r>
      <w:r w:rsidRPr="00EE75B4">
        <w:rPr>
          <w:rFonts w:ascii="Times New Roman" w:hAnsi="Times New Roman"/>
          <w:lang w:val="lt-LT"/>
        </w:rPr>
        <w:t xml:space="preserve"> Taigi </w:t>
      </w:r>
      <w:r w:rsidR="00432B94" w:rsidRPr="00EE75B4">
        <w:rPr>
          <w:rFonts w:ascii="Times New Roman" w:hAnsi="Times New Roman"/>
          <w:lang w:val="lt-LT"/>
        </w:rPr>
        <w:t xml:space="preserve">pacientams, </w:t>
      </w:r>
      <w:r w:rsidR="00432B94" w:rsidRPr="00EE75B4">
        <w:rPr>
          <w:rFonts w:ascii="Times New Roman" w:eastAsia="Times New Roman" w:hAnsi="Times New Roman"/>
          <w:lang w:val="lt-LT" w:eastAsia="ja-JP"/>
        </w:rPr>
        <w:t>kurių</w:t>
      </w:r>
      <w:r w:rsidR="00432B94" w:rsidRPr="00EE75B4">
        <w:rPr>
          <w:rFonts w:ascii="Times New Roman" w:hAnsi="Times New Roman"/>
          <w:lang w:val="lt-LT"/>
        </w:rPr>
        <w:t xml:space="preserve"> padidėjęs jautrumas </w:t>
      </w:r>
      <w:proofErr w:type="spellStart"/>
      <w:r w:rsidRPr="00EE75B4">
        <w:rPr>
          <w:rFonts w:ascii="Times New Roman" w:hAnsi="Times New Roman"/>
          <w:lang w:val="lt-LT"/>
        </w:rPr>
        <w:t>aciklovirui</w:t>
      </w:r>
      <w:proofErr w:type="spellEnd"/>
      <w:r w:rsidRPr="00EE75B4">
        <w:rPr>
          <w:rFonts w:ascii="Times New Roman" w:hAnsi="Times New Roman"/>
          <w:lang w:val="lt-LT"/>
        </w:rPr>
        <w:t xml:space="preserve"> ir </w:t>
      </w:r>
      <w:proofErr w:type="spellStart"/>
      <w:r w:rsidRPr="00EE75B4">
        <w:rPr>
          <w:rFonts w:ascii="Times New Roman" w:hAnsi="Times New Roman"/>
          <w:lang w:val="lt-LT"/>
        </w:rPr>
        <w:t>valaciklovirui</w:t>
      </w:r>
      <w:proofErr w:type="spellEnd"/>
      <w:r w:rsidRPr="00EE75B4">
        <w:rPr>
          <w:rFonts w:ascii="Times New Roman" w:eastAsia="Times New Roman" w:hAnsi="Times New Roman"/>
          <w:lang w:val="lt-LT" w:eastAsia="ja-JP"/>
        </w:rPr>
        <w:t xml:space="preserve"> (arba jų </w:t>
      </w:r>
      <w:proofErr w:type="spellStart"/>
      <w:r w:rsidR="00432B94" w:rsidRPr="00EE75B4">
        <w:rPr>
          <w:rFonts w:ascii="Times New Roman" w:eastAsia="Times New Roman" w:hAnsi="Times New Roman"/>
          <w:lang w:val="lt-LT" w:eastAsia="ja-JP"/>
        </w:rPr>
        <w:t>provaistams</w:t>
      </w:r>
      <w:proofErr w:type="spellEnd"/>
      <w:r w:rsidR="00432B94" w:rsidRPr="00EE75B4">
        <w:rPr>
          <w:rFonts w:ascii="Times New Roman" w:eastAsia="Times New Roman" w:hAnsi="Times New Roman"/>
          <w:lang w:val="lt-LT" w:eastAsia="ja-JP"/>
        </w:rPr>
        <w:t>, atitinkamai,</w:t>
      </w:r>
      <w:r w:rsidR="00713282"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valaciklovirui</w:t>
      </w:r>
      <w:proofErr w:type="spellEnd"/>
      <w:r w:rsidRPr="00EE75B4">
        <w:rPr>
          <w:rFonts w:ascii="Times New Roman" w:eastAsia="Times New Roman" w:hAnsi="Times New Roman"/>
          <w:lang w:val="lt-LT" w:eastAsia="ja-JP"/>
        </w:rPr>
        <w:t xml:space="preserve"> arba, </w:t>
      </w:r>
      <w:proofErr w:type="spellStart"/>
      <w:r w:rsidRPr="00EE75B4">
        <w:rPr>
          <w:rFonts w:ascii="Times New Roman" w:eastAsia="Times New Roman" w:hAnsi="Times New Roman"/>
          <w:lang w:val="lt-LT" w:eastAsia="ja-JP"/>
        </w:rPr>
        <w:t>famciklovirui</w:t>
      </w:r>
      <w:proofErr w:type="spellEnd"/>
      <w:r w:rsidRPr="00EE75B4">
        <w:rPr>
          <w:rFonts w:ascii="Times New Roman" w:eastAsia="Times New Roman" w:hAnsi="Times New Roman"/>
          <w:lang w:val="lt-LT" w:eastAsia="ja-JP"/>
        </w:rPr>
        <w:t>)</w:t>
      </w:r>
      <w:r w:rsidR="00432B94" w:rsidRPr="00EE75B4">
        <w:rPr>
          <w:rFonts w:ascii="Times New Roman" w:eastAsia="Times New Roman" w:hAnsi="Times New Roman"/>
          <w:lang w:val="lt-LT" w:eastAsia="ja-JP"/>
        </w:rPr>
        <w:t xml:space="preserve">, yra žinomas, </w:t>
      </w:r>
      <w:proofErr w:type="spellStart"/>
      <w:r w:rsidR="00432B94" w:rsidRPr="00EE75B4">
        <w:rPr>
          <w:rFonts w:ascii="Times New Roman" w:eastAsia="Times New Roman" w:hAnsi="Times New Roman"/>
          <w:lang w:val="lt-LT" w:eastAsia="ja-JP"/>
        </w:rPr>
        <w:t>Valganciclovir</w:t>
      </w:r>
      <w:proofErr w:type="spellEnd"/>
      <w:r w:rsidR="00432B94" w:rsidRPr="00EE75B4">
        <w:rPr>
          <w:rFonts w:ascii="Times New Roman" w:eastAsia="Times New Roman" w:hAnsi="Times New Roman"/>
          <w:lang w:val="lt-LT" w:eastAsia="ja-JP"/>
        </w:rPr>
        <w:t xml:space="preserve"> </w:t>
      </w:r>
      <w:proofErr w:type="spellStart"/>
      <w:r w:rsidR="00432B94" w:rsidRPr="00EE75B4">
        <w:rPr>
          <w:rFonts w:ascii="Times New Roman" w:eastAsia="Times New Roman" w:hAnsi="Times New Roman"/>
          <w:lang w:val="lt-LT" w:eastAsia="ja-JP"/>
        </w:rPr>
        <w:t>Accord</w:t>
      </w:r>
      <w:proofErr w:type="spellEnd"/>
      <w:r w:rsidR="00432B94" w:rsidRPr="00EE75B4">
        <w:rPr>
          <w:rFonts w:ascii="Times New Roman" w:eastAsia="Times New Roman" w:hAnsi="Times New Roman"/>
          <w:lang w:val="lt-LT" w:eastAsia="ja-JP"/>
        </w:rPr>
        <w:t xml:space="preserve"> skirti reikia atsargiai</w:t>
      </w:r>
      <w:r w:rsidRPr="00EE75B4">
        <w:rPr>
          <w:rFonts w:ascii="Times New Roman" w:hAnsi="Times New Roman"/>
          <w:lang w:val="lt-LT"/>
        </w:rPr>
        <w:t>.</w:t>
      </w:r>
    </w:p>
    <w:p w14:paraId="7D2C77C7" w14:textId="77777777" w:rsidR="00432B94" w:rsidRPr="00EE75B4" w:rsidRDefault="00432B94" w:rsidP="0009553F">
      <w:pPr>
        <w:spacing w:after="0" w:line="240" w:lineRule="auto"/>
        <w:rPr>
          <w:rFonts w:ascii="Times New Roman" w:hAnsi="Times New Roman"/>
          <w:lang w:val="lt-LT"/>
        </w:rPr>
      </w:pPr>
    </w:p>
    <w:p w14:paraId="2DFBFD63" w14:textId="77777777" w:rsidR="00432B94" w:rsidRPr="00EE75B4" w:rsidRDefault="00432B94" w:rsidP="0009553F">
      <w:pPr>
        <w:spacing w:after="0" w:line="240" w:lineRule="auto"/>
        <w:rPr>
          <w:rFonts w:ascii="Times New Roman" w:eastAsia="Times New Roman" w:hAnsi="Times New Roman"/>
          <w:u w:val="single"/>
          <w:lang w:val="lt-LT" w:eastAsia="ja-JP"/>
        </w:rPr>
      </w:pPr>
      <w:proofErr w:type="spellStart"/>
      <w:r w:rsidRPr="00EE75B4">
        <w:rPr>
          <w:rFonts w:ascii="Times New Roman" w:eastAsia="Times New Roman" w:hAnsi="Times New Roman"/>
          <w:u w:val="single"/>
          <w:lang w:val="lt-LT" w:eastAsia="ja-JP"/>
        </w:rPr>
        <w:t>Mutageninis</w:t>
      </w:r>
      <w:proofErr w:type="spellEnd"/>
      <w:r w:rsidRPr="00EE75B4">
        <w:rPr>
          <w:rFonts w:ascii="Times New Roman" w:eastAsia="Times New Roman" w:hAnsi="Times New Roman"/>
          <w:u w:val="single"/>
          <w:lang w:val="lt-LT" w:eastAsia="ja-JP"/>
        </w:rPr>
        <w:t xml:space="preserve">, </w:t>
      </w:r>
      <w:proofErr w:type="spellStart"/>
      <w:r w:rsidRPr="00EE75B4">
        <w:rPr>
          <w:rFonts w:ascii="Times New Roman" w:eastAsia="Times New Roman" w:hAnsi="Times New Roman"/>
          <w:u w:val="single"/>
          <w:lang w:val="lt-LT" w:eastAsia="ja-JP"/>
        </w:rPr>
        <w:t>teratogeninis</w:t>
      </w:r>
      <w:proofErr w:type="spellEnd"/>
      <w:r w:rsidRPr="00EE75B4">
        <w:rPr>
          <w:rFonts w:ascii="Times New Roman" w:eastAsia="Times New Roman" w:hAnsi="Times New Roman"/>
          <w:u w:val="single"/>
          <w:lang w:val="lt-LT" w:eastAsia="ja-JP"/>
        </w:rPr>
        <w:t xml:space="preserve"> ir kancerogeninis poveikiai, vaisingumas ir kontracepcija</w:t>
      </w:r>
    </w:p>
    <w:p w14:paraId="37348E9D" w14:textId="77777777" w:rsidR="0009553F" w:rsidRPr="00EE75B4" w:rsidRDefault="0009553F" w:rsidP="005427AE">
      <w:pPr>
        <w:spacing w:after="0" w:line="240" w:lineRule="auto"/>
        <w:rPr>
          <w:rFonts w:ascii="Times New Roman" w:hAnsi="Times New Roman"/>
          <w:lang w:val="lt-LT"/>
        </w:rPr>
      </w:pPr>
    </w:p>
    <w:p w14:paraId="764FFA18" w14:textId="74408981"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Prieš pradedant gydyti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pacientas turi būti informuotas apie galimą riziką vaisiui. Tyrimų su gyvūnais metu nustatyta, kad </w:t>
      </w:r>
      <w:proofErr w:type="spellStart"/>
      <w:r w:rsidRPr="00EE75B4">
        <w:rPr>
          <w:rFonts w:ascii="Times New Roman" w:hAnsi="Times New Roman"/>
          <w:lang w:val="lt-LT"/>
        </w:rPr>
        <w:t>gancikloviras</w:t>
      </w:r>
      <w:proofErr w:type="spellEnd"/>
      <w:r w:rsidRPr="00EE75B4">
        <w:rPr>
          <w:rFonts w:ascii="Times New Roman" w:hAnsi="Times New Roman"/>
          <w:lang w:val="lt-LT"/>
        </w:rPr>
        <w:t xml:space="preserve"> sukelia </w:t>
      </w:r>
      <w:proofErr w:type="spellStart"/>
      <w:r w:rsidRPr="00EE75B4">
        <w:rPr>
          <w:rFonts w:ascii="Times New Roman" w:hAnsi="Times New Roman"/>
          <w:lang w:val="lt-LT"/>
        </w:rPr>
        <w:t>mutageninį</w:t>
      </w:r>
      <w:proofErr w:type="spellEnd"/>
      <w:r w:rsidRPr="00EE75B4">
        <w:rPr>
          <w:rFonts w:ascii="Times New Roman" w:hAnsi="Times New Roman"/>
          <w:lang w:val="lt-LT"/>
        </w:rPr>
        <w:t xml:space="preserve">, </w:t>
      </w:r>
      <w:proofErr w:type="spellStart"/>
      <w:r w:rsidRPr="00EE75B4">
        <w:rPr>
          <w:rFonts w:ascii="Times New Roman" w:hAnsi="Times New Roman"/>
          <w:lang w:val="lt-LT"/>
        </w:rPr>
        <w:t>teratogeninį</w:t>
      </w:r>
      <w:proofErr w:type="spellEnd"/>
      <w:r w:rsidRPr="00EE75B4">
        <w:rPr>
          <w:rFonts w:ascii="Times New Roman" w:hAnsi="Times New Roman"/>
          <w:lang w:val="lt-LT"/>
        </w:rPr>
        <w:t xml:space="preserve"> ir kancerogeninį poveikį, ir slopina vaisingumą. Taigi </w:t>
      </w:r>
      <w:proofErr w:type="spellStart"/>
      <w:r w:rsidRPr="00EE75B4">
        <w:rPr>
          <w:rFonts w:ascii="Times New Roman" w:hAnsi="Times New Roman"/>
          <w:lang w:val="lt-LT"/>
        </w:rPr>
        <w:t>valganciklovirą</w:t>
      </w:r>
      <w:proofErr w:type="spellEnd"/>
      <w:r w:rsidRPr="00EE75B4">
        <w:rPr>
          <w:rFonts w:ascii="Times New Roman" w:hAnsi="Times New Roman"/>
          <w:lang w:val="lt-LT"/>
        </w:rPr>
        <w:t xml:space="preserve"> reikia laikyti potencialiu žmogaus </w:t>
      </w:r>
      <w:proofErr w:type="spellStart"/>
      <w:r w:rsidRPr="00EE75B4">
        <w:rPr>
          <w:rFonts w:ascii="Times New Roman" w:hAnsi="Times New Roman"/>
          <w:lang w:val="lt-LT"/>
        </w:rPr>
        <w:t>teratogenu</w:t>
      </w:r>
      <w:proofErr w:type="spellEnd"/>
      <w:r w:rsidRPr="00EE75B4">
        <w:rPr>
          <w:rFonts w:ascii="Times New Roman" w:hAnsi="Times New Roman"/>
          <w:lang w:val="lt-LT"/>
        </w:rPr>
        <w:t xml:space="preserve"> ir kancerogenu, galinčiu sukelti </w:t>
      </w:r>
      <w:proofErr w:type="spellStart"/>
      <w:r w:rsidRPr="00EE75B4">
        <w:rPr>
          <w:rFonts w:ascii="Times New Roman" w:hAnsi="Times New Roman"/>
          <w:lang w:val="lt-LT"/>
        </w:rPr>
        <w:t>apsigimimus</w:t>
      </w:r>
      <w:proofErr w:type="spellEnd"/>
      <w:r w:rsidRPr="00EE75B4">
        <w:rPr>
          <w:rFonts w:ascii="Times New Roman" w:hAnsi="Times New Roman"/>
          <w:lang w:val="lt-LT"/>
        </w:rPr>
        <w:t xml:space="preserve"> ir vėžį (žr. 5.3 skyrių). </w:t>
      </w:r>
      <w:r w:rsidR="008D501E" w:rsidRPr="00EE75B4">
        <w:rPr>
          <w:rFonts w:ascii="Times New Roman" w:eastAsia="Times New Roman" w:hAnsi="Times New Roman"/>
          <w:lang w:val="lt-LT" w:eastAsia="ja-JP"/>
        </w:rPr>
        <w:t>Remiantis klinikiniais ir neklinikiniais tyrimais t</w:t>
      </w:r>
      <w:r w:rsidRPr="00EE75B4">
        <w:rPr>
          <w:rFonts w:ascii="Times New Roman" w:hAnsi="Times New Roman"/>
          <w:lang w:val="lt-LT"/>
        </w:rPr>
        <w:t xml:space="preserve">aip pat manoma, kad </w:t>
      </w:r>
      <w:proofErr w:type="spellStart"/>
      <w:r w:rsidRPr="00EE75B4">
        <w:rPr>
          <w:rFonts w:ascii="Times New Roman" w:hAnsi="Times New Roman"/>
          <w:lang w:val="lt-LT"/>
        </w:rPr>
        <w:t>valgancikloviras</w:t>
      </w:r>
      <w:proofErr w:type="spellEnd"/>
      <w:r w:rsidRPr="00EE75B4">
        <w:rPr>
          <w:rFonts w:ascii="Times New Roman" w:hAnsi="Times New Roman"/>
          <w:lang w:val="lt-LT"/>
        </w:rPr>
        <w:t xml:space="preserve"> tikriausiai sukelia laikiną arba nuolatinį </w:t>
      </w:r>
      <w:proofErr w:type="spellStart"/>
      <w:r w:rsidRPr="00EE75B4">
        <w:rPr>
          <w:rFonts w:ascii="Times New Roman" w:hAnsi="Times New Roman"/>
          <w:lang w:val="lt-LT"/>
        </w:rPr>
        <w:t>spermatogenezės</w:t>
      </w:r>
      <w:proofErr w:type="spellEnd"/>
      <w:r w:rsidRPr="00EE75B4">
        <w:rPr>
          <w:rFonts w:ascii="Times New Roman" w:hAnsi="Times New Roman"/>
          <w:lang w:val="lt-LT"/>
        </w:rPr>
        <w:t xml:space="preserve"> slopinimą. Vaisingo amžiaus moterį būtina informuoti, kad gydymo metu </w:t>
      </w:r>
      <w:r w:rsidR="00432B94" w:rsidRPr="00EE75B4">
        <w:rPr>
          <w:rFonts w:ascii="Times New Roman" w:eastAsia="Times New Roman" w:hAnsi="Times New Roman"/>
          <w:lang w:val="lt-LT" w:eastAsia="ja-JP"/>
        </w:rPr>
        <w:t xml:space="preserve">ir dar bent 30 parų po jo </w:t>
      </w:r>
      <w:r w:rsidRPr="00EE75B4">
        <w:rPr>
          <w:rFonts w:ascii="Times New Roman" w:hAnsi="Times New Roman"/>
          <w:lang w:val="lt-LT"/>
        </w:rPr>
        <w:t xml:space="preserve">reikia naudoti veiksmingą kontracepcijos metodą. Vyrus būtina informuoti, kad gydymo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metu ir bent 90 parų po to reikia taikyti barjerinį kontracepcijos metodą, nebent vyras būtų tikras, kad partnerei nėra pastojimo rizikos (žr. 4.6, 4.8 ir 5.3 skyrius).</w:t>
      </w:r>
    </w:p>
    <w:p w14:paraId="753A5B7C" w14:textId="77777777" w:rsidR="005427AE" w:rsidRPr="00EE75B4" w:rsidRDefault="005427AE" w:rsidP="005427AE">
      <w:pPr>
        <w:spacing w:after="0" w:line="240" w:lineRule="auto"/>
        <w:rPr>
          <w:rFonts w:ascii="Times New Roman" w:hAnsi="Times New Roman"/>
          <w:lang w:val="lt-LT"/>
        </w:rPr>
      </w:pPr>
    </w:p>
    <w:p w14:paraId="5AD48C1F"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lastRenderedPageBreak/>
        <w:t>Valgancikloviro</w:t>
      </w:r>
      <w:proofErr w:type="spellEnd"/>
      <w:r w:rsidRPr="00EE75B4">
        <w:rPr>
          <w:rFonts w:ascii="Times New Roman" w:hAnsi="Times New Roman"/>
          <w:lang w:val="lt-LT"/>
        </w:rPr>
        <w:t xml:space="preserve"> galimybė sukelti </w:t>
      </w:r>
      <w:proofErr w:type="spellStart"/>
      <w:r w:rsidRPr="00EE75B4">
        <w:rPr>
          <w:rFonts w:ascii="Times New Roman" w:hAnsi="Times New Roman"/>
          <w:lang w:val="lt-LT"/>
        </w:rPr>
        <w:t>kancerogeniškumą</w:t>
      </w:r>
      <w:proofErr w:type="spellEnd"/>
      <w:r w:rsidRPr="00EE75B4">
        <w:rPr>
          <w:rFonts w:ascii="Times New Roman" w:hAnsi="Times New Roman"/>
          <w:lang w:val="lt-LT"/>
        </w:rPr>
        <w:t xml:space="preserve"> ir toksinį poveikis vaisingumui yra ilgalaikė.</w:t>
      </w:r>
    </w:p>
    <w:p w14:paraId="271066A4" w14:textId="77777777" w:rsidR="00432B94" w:rsidRPr="00EE75B4" w:rsidRDefault="00432B94" w:rsidP="005427AE">
      <w:pPr>
        <w:spacing w:after="0" w:line="240" w:lineRule="auto"/>
        <w:rPr>
          <w:rFonts w:ascii="Times New Roman" w:hAnsi="Times New Roman"/>
          <w:lang w:val="lt-LT"/>
        </w:rPr>
      </w:pPr>
    </w:p>
    <w:p w14:paraId="3B3E7234" w14:textId="77777777" w:rsidR="005427AE" w:rsidRPr="00EE75B4" w:rsidRDefault="00432B94" w:rsidP="005427AE">
      <w:pPr>
        <w:spacing w:after="0" w:line="240" w:lineRule="auto"/>
        <w:rPr>
          <w:rFonts w:ascii="Times New Roman" w:eastAsia="Times New Roman" w:hAnsi="Times New Roman"/>
          <w:lang w:val="lt-LT" w:eastAsia="ja-JP"/>
        </w:rPr>
      </w:pPr>
      <w:r w:rsidRPr="00EE75B4">
        <w:rPr>
          <w:rFonts w:ascii="Times New Roman" w:eastAsia="Times New Roman" w:hAnsi="Times New Roman"/>
          <w:i/>
          <w:u w:val="single"/>
          <w:lang w:val="lt-LT" w:eastAsia="ja-JP"/>
        </w:rPr>
        <w:t>Kaulų čiulpų slopinimas</w:t>
      </w:r>
    </w:p>
    <w:p w14:paraId="65AFF973"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Pacientams, gydomiems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(ir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buvo pastebėta sunki </w:t>
      </w:r>
      <w:proofErr w:type="spellStart"/>
      <w:r w:rsidRPr="00EE75B4">
        <w:rPr>
          <w:rFonts w:ascii="Times New Roman" w:hAnsi="Times New Roman"/>
          <w:lang w:val="lt-LT"/>
        </w:rPr>
        <w:t>leukopenija</w:t>
      </w:r>
      <w:proofErr w:type="spellEnd"/>
      <w:r w:rsidRPr="00EE75B4">
        <w:rPr>
          <w:rFonts w:ascii="Times New Roman" w:hAnsi="Times New Roman"/>
          <w:lang w:val="lt-LT"/>
        </w:rPr>
        <w:t xml:space="preserve">, </w:t>
      </w:r>
      <w:proofErr w:type="spellStart"/>
      <w:r w:rsidRPr="00EE75B4">
        <w:rPr>
          <w:rFonts w:ascii="Times New Roman" w:hAnsi="Times New Roman"/>
          <w:lang w:val="lt-LT"/>
        </w:rPr>
        <w:t>neutropenija</w:t>
      </w:r>
      <w:proofErr w:type="spellEnd"/>
      <w:r w:rsidRPr="00EE75B4">
        <w:rPr>
          <w:rFonts w:ascii="Times New Roman" w:hAnsi="Times New Roman"/>
          <w:lang w:val="lt-LT"/>
        </w:rPr>
        <w:t xml:space="preserve">, anemija, </w:t>
      </w:r>
      <w:proofErr w:type="spellStart"/>
      <w:r w:rsidRPr="00EE75B4">
        <w:rPr>
          <w:rFonts w:ascii="Times New Roman" w:hAnsi="Times New Roman"/>
          <w:lang w:val="lt-LT"/>
        </w:rPr>
        <w:t>trombocitopenija</w:t>
      </w:r>
      <w:proofErr w:type="spellEnd"/>
      <w:r w:rsidRPr="00EE75B4">
        <w:rPr>
          <w:rFonts w:ascii="Times New Roman" w:hAnsi="Times New Roman"/>
          <w:lang w:val="lt-LT"/>
        </w:rPr>
        <w:t xml:space="preserve">, </w:t>
      </w:r>
      <w:proofErr w:type="spellStart"/>
      <w:r w:rsidRPr="00EE75B4">
        <w:rPr>
          <w:rFonts w:ascii="Times New Roman" w:hAnsi="Times New Roman"/>
          <w:lang w:val="lt-LT"/>
        </w:rPr>
        <w:t>pancitopenija</w:t>
      </w:r>
      <w:proofErr w:type="spellEnd"/>
      <w:r w:rsidRPr="00EE75B4">
        <w:rPr>
          <w:rFonts w:ascii="Times New Roman" w:hAnsi="Times New Roman"/>
          <w:lang w:val="lt-LT"/>
        </w:rPr>
        <w:t xml:space="preserve">, kaulų čiulpų </w:t>
      </w:r>
      <w:r w:rsidR="00432B94" w:rsidRPr="00EE75B4">
        <w:rPr>
          <w:rFonts w:ascii="Times New Roman" w:eastAsia="Times New Roman" w:hAnsi="Times New Roman"/>
          <w:lang w:val="lt-LT" w:eastAsia="ja-JP"/>
        </w:rPr>
        <w:t>nepakankamumas</w:t>
      </w:r>
      <w:r w:rsidR="00432B94" w:rsidRPr="00EE75B4">
        <w:rPr>
          <w:rFonts w:ascii="Times New Roman" w:hAnsi="Times New Roman"/>
          <w:lang w:val="lt-LT"/>
        </w:rPr>
        <w:t xml:space="preserve"> </w:t>
      </w:r>
      <w:r w:rsidRPr="00EE75B4">
        <w:rPr>
          <w:rFonts w:ascii="Times New Roman" w:hAnsi="Times New Roman"/>
          <w:lang w:val="lt-LT"/>
        </w:rPr>
        <w:t xml:space="preserve">ir </w:t>
      </w:r>
      <w:proofErr w:type="spellStart"/>
      <w:r w:rsidRPr="00EE75B4">
        <w:rPr>
          <w:rFonts w:ascii="Times New Roman" w:hAnsi="Times New Roman"/>
          <w:lang w:val="lt-LT"/>
        </w:rPr>
        <w:t>aplazinė</w:t>
      </w:r>
      <w:proofErr w:type="spellEnd"/>
      <w:r w:rsidRPr="00EE75B4">
        <w:rPr>
          <w:rFonts w:ascii="Times New Roman" w:hAnsi="Times New Roman"/>
          <w:lang w:val="lt-LT"/>
        </w:rPr>
        <w:t xml:space="preserve"> anemija. Jeigu absoliutus </w:t>
      </w:r>
      <w:proofErr w:type="spellStart"/>
      <w:r w:rsidRPr="00EE75B4">
        <w:rPr>
          <w:rFonts w:ascii="Times New Roman" w:hAnsi="Times New Roman"/>
          <w:lang w:val="lt-LT"/>
        </w:rPr>
        <w:t>neutrofilų</w:t>
      </w:r>
      <w:proofErr w:type="spellEnd"/>
      <w:r w:rsidRPr="00EE75B4">
        <w:rPr>
          <w:rFonts w:ascii="Times New Roman" w:hAnsi="Times New Roman"/>
          <w:lang w:val="lt-LT"/>
        </w:rPr>
        <w:t xml:space="preserve"> skaičius mažesnis kaip 500 ląstelių/</w:t>
      </w:r>
      <w:proofErr w:type="spellStart"/>
      <w:r w:rsidRPr="00EE75B4">
        <w:rPr>
          <w:rFonts w:ascii="Times New Roman" w:hAnsi="Times New Roman"/>
          <w:lang w:val="lt-LT"/>
        </w:rPr>
        <w:t>mikrolitre</w:t>
      </w:r>
      <w:proofErr w:type="spellEnd"/>
      <w:r w:rsidRPr="00EE75B4">
        <w:rPr>
          <w:rFonts w:ascii="Times New Roman" w:hAnsi="Times New Roman"/>
          <w:lang w:val="lt-LT"/>
        </w:rPr>
        <w:t>, trombocitų skaičius mažesnis kaip 25 000/</w:t>
      </w:r>
      <w:r w:rsidRPr="00EE75B4">
        <w:rPr>
          <w:rFonts w:ascii="Times New Roman" w:hAnsi="Times New Roman"/>
          <w:lang w:val="lt-LT"/>
        </w:rPr>
        <w:sym w:font="Symbol" w:char="F06D"/>
      </w:r>
      <w:r w:rsidRPr="00EE75B4">
        <w:rPr>
          <w:rFonts w:ascii="Times New Roman" w:hAnsi="Times New Roman"/>
          <w:lang w:val="lt-LT"/>
        </w:rPr>
        <w:t>l arba hemoglobino kiekis mažesnis kaip 8 g/dl, gydymo pradėti negalima (žr. 4.2 ir 4.8 skyrius).</w:t>
      </w:r>
    </w:p>
    <w:p w14:paraId="2B019256" w14:textId="77777777" w:rsidR="005427AE" w:rsidRPr="00EE75B4" w:rsidRDefault="005427AE" w:rsidP="005427AE">
      <w:pPr>
        <w:spacing w:after="0" w:line="240" w:lineRule="auto"/>
        <w:rPr>
          <w:rFonts w:ascii="Times New Roman" w:hAnsi="Times New Roman"/>
          <w:lang w:val="lt-LT"/>
        </w:rPr>
      </w:pPr>
    </w:p>
    <w:p w14:paraId="7657B3BF"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Kai profilaktika tęsiama ilgiau nei 100 parų, turi būti pagalvota apie galimą </w:t>
      </w:r>
      <w:proofErr w:type="spellStart"/>
      <w:r w:rsidRPr="00EE75B4">
        <w:rPr>
          <w:rFonts w:ascii="Times New Roman" w:hAnsi="Times New Roman"/>
          <w:lang w:val="lt-LT"/>
        </w:rPr>
        <w:t>leukopenijos</w:t>
      </w:r>
      <w:proofErr w:type="spellEnd"/>
      <w:r w:rsidRPr="00EE75B4">
        <w:rPr>
          <w:rFonts w:ascii="Times New Roman" w:hAnsi="Times New Roman"/>
          <w:lang w:val="lt-LT"/>
        </w:rPr>
        <w:t xml:space="preserve"> ir </w:t>
      </w:r>
      <w:proofErr w:type="spellStart"/>
      <w:r w:rsidRPr="00EE75B4">
        <w:rPr>
          <w:rFonts w:ascii="Times New Roman" w:hAnsi="Times New Roman"/>
          <w:lang w:val="lt-LT"/>
        </w:rPr>
        <w:t>neutropenijos</w:t>
      </w:r>
      <w:proofErr w:type="spellEnd"/>
      <w:r w:rsidRPr="00EE75B4">
        <w:rPr>
          <w:rFonts w:ascii="Times New Roman" w:hAnsi="Times New Roman"/>
          <w:lang w:val="lt-LT"/>
        </w:rPr>
        <w:t xml:space="preserve"> riziką (žr. 4.2, 4.8 ir 5.1 skyrius).</w:t>
      </w:r>
    </w:p>
    <w:p w14:paraId="1D97A3AB" w14:textId="77777777" w:rsidR="005427AE" w:rsidRPr="00EE75B4" w:rsidRDefault="005427AE" w:rsidP="005427AE">
      <w:pPr>
        <w:spacing w:after="0" w:line="240" w:lineRule="auto"/>
        <w:rPr>
          <w:rFonts w:ascii="Times New Roman" w:hAnsi="Times New Roman"/>
          <w:lang w:val="lt-LT"/>
        </w:rPr>
      </w:pPr>
    </w:p>
    <w:p w14:paraId="5D6EA592"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turi būti vartojamas atsargiai pacientams, kuriems yra iš anksčiau sumažėjęs kraujo ląstelių skaičius arba anksčiau buvo su vaistiniais preparatais susijęs kraujo ląstelių skaičiaus sumažėjimas, taip pat pacientams, kuriems taikoma radioterapija.</w:t>
      </w:r>
    </w:p>
    <w:p w14:paraId="78D2B2B2" w14:textId="77777777" w:rsidR="005427AE" w:rsidRPr="00EE75B4" w:rsidRDefault="005427AE" w:rsidP="005427AE">
      <w:pPr>
        <w:spacing w:after="0" w:line="240" w:lineRule="auto"/>
        <w:rPr>
          <w:rFonts w:ascii="Times New Roman" w:hAnsi="Times New Roman"/>
          <w:lang w:val="lt-LT"/>
        </w:rPr>
      </w:pPr>
    </w:p>
    <w:p w14:paraId="461E3CA4"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Gydymo metu rekomenduojama reguliariai stebėti bendro kraujo tyrimo rodmenis ir trombocitų skaičių. Pacientų, kurių inkstų funkcija sutrikusi, bei vaikų kraują reikia tirti dažniau (bent jau kiekvieno apsilankymo </w:t>
      </w:r>
      <w:proofErr w:type="spellStart"/>
      <w:r w:rsidRPr="00EE75B4">
        <w:rPr>
          <w:rFonts w:ascii="Times New Roman" w:hAnsi="Times New Roman"/>
          <w:lang w:val="lt-LT"/>
        </w:rPr>
        <w:t>transplantologijos</w:t>
      </w:r>
      <w:proofErr w:type="spellEnd"/>
      <w:r w:rsidRPr="00EE75B4">
        <w:rPr>
          <w:rFonts w:ascii="Times New Roman" w:hAnsi="Times New Roman"/>
          <w:lang w:val="lt-LT"/>
        </w:rPr>
        <w:t xml:space="preserve"> klinikoje metu).</w:t>
      </w:r>
      <w:r w:rsidRPr="00EE75B4">
        <w:rPr>
          <w:rFonts w:ascii="Times New Roman" w:hAnsi="Times New Roman"/>
          <w:b/>
          <w:lang w:val="lt-LT"/>
        </w:rPr>
        <w:t xml:space="preserve"> </w:t>
      </w:r>
      <w:r w:rsidRPr="00EE75B4">
        <w:rPr>
          <w:rFonts w:ascii="Times New Roman" w:hAnsi="Times New Roman"/>
          <w:lang w:val="lt-LT"/>
        </w:rPr>
        <w:t xml:space="preserve">Jeigu pasireiškia sunki </w:t>
      </w:r>
      <w:proofErr w:type="spellStart"/>
      <w:r w:rsidRPr="00EE75B4">
        <w:rPr>
          <w:rFonts w:ascii="Times New Roman" w:hAnsi="Times New Roman"/>
          <w:lang w:val="lt-LT"/>
        </w:rPr>
        <w:t>leukopenija</w:t>
      </w:r>
      <w:proofErr w:type="spellEnd"/>
      <w:r w:rsidRPr="00EE75B4">
        <w:rPr>
          <w:rFonts w:ascii="Times New Roman" w:hAnsi="Times New Roman"/>
          <w:lang w:val="lt-LT"/>
        </w:rPr>
        <w:t xml:space="preserve">, </w:t>
      </w:r>
      <w:proofErr w:type="spellStart"/>
      <w:r w:rsidRPr="00EE75B4">
        <w:rPr>
          <w:rFonts w:ascii="Times New Roman" w:hAnsi="Times New Roman"/>
          <w:lang w:val="lt-LT"/>
        </w:rPr>
        <w:t>neutropenija</w:t>
      </w:r>
      <w:proofErr w:type="spellEnd"/>
      <w:r w:rsidRPr="00EE75B4">
        <w:rPr>
          <w:rFonts w:ascii="Times New Roman" w:hAnsi="Times New Roman"/>
          <w:lang w:val="lt-LT"/>
        </w:rPr>
        <w:t xml:space="preserve">, anemija ir (arba) </w:t>
      </w:r>
      <w:proofErr w:type="spellStart"/>
      <w:r w:rsidRPr="00EE75B4">
        <w:rPr>
          <w:rFonts w:ascii="Times New Roman" w:hAnsi="Times New Roman"/>
          <w:lang w:val="lt-LT"/>
        </w:rPr>
        <w:t>trombocitopenija</w:t>
      </w:r>
      <w:proofErr w:type="spellEnd"/>
      <w:r w:rsidRPr="00EE75B4">
        <w:rPr>
          <w:rFonts w:ascii="Times New Roman" w:hAnsi="Times New Roman"/>
          <w:lang w:val="lt-LT"/>
        </w:rPr>
        <w:t>, rekomenduojama apsvarstyti, ar nereikia gydyti kraujo ląstelių augimo faktoriais ir (arba) nutraukti dozavimą (žr. 4.2 skyrių).</w:t>
      </w:r>
    </w:p>
    <w:p w14:paraId="110941AA" w14:textId="77777777" w:rsidR="00432B94" w:rsidRPr="00EE75B4" w:rsidRDefault="00432B94" w:rsidP="005427AE">
      <w:pPr>
        <w:spacing w:after="0" w:line="240" w:lineRule="auto"/>
        <w:rPr>
          <w:rFonts w:ascii="Times New Roman" w:hAnsi="Times New Roman"/>
          <w:lang w:val="lt-LT"/>
        </w:rPr>
      </w:pPr>
    </w:p>
    <w:p w14:paraId="2B28C152" w14:textId="77777777" w:rsidR="005427AE" w:rsidRPr="00EE75B4" w:rsidRDefault="00432B94" w:rsidP="005427AE">
      <w:pPr>
        <w:spacing w:after="0" w:line="240" w:lineRule="auto"/>
        <w:rPr>
          <w:rFonts w:ascii="Times New Roman" w:eastAsia="Times New Roman" w:hAnsi="Times New Roman"/>
          <w:lang w:val="lt-LT" w:eastAsia="ja-JP"/>
        </w:rPr>
      </w:pPr>
      <w:r w:rsidRPr="00EE75B4">
        <w:rPr>
          <w:rFonts w:ascii="Times New Roman" w:eastAsia="Times New Roman" w:hAnsi="Times New Roman"/>
          <w:u w:val="single"/>
          <w:lang w:val="lt-LT" w:eastAsia="ja-JP"/>
        </w:rPr>
        <w:t xml:space="preserve">Biologinio prieinamumo skirtumas lyginant su geriamuoju </w:t>
      </w:r>
      <w:proofErr w:type="spellStart"/>
      <w:r w:rsidRPr="00EE75B4">
        <w:rPr>
          <w:rFonts w:ascii="Times New Roman" w:eastAsia="Times New Roman" w:hAnsi="Times New Roman"/>
          <w:u w:val="single"/>
          <w:lang w:val="lt-LT" w:eastAsia="ja-JP"/>
        </w:rPr>
        <w:t>gancikloviru</w:t>
      </w:r>
      <w:proofErr w:type="spellEnd"/>
    </w:p>
    <w:p w14:paraId="558D20DC"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Po vienkartinės 900 mg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dozės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biologinis prieinamumas yra apie 60 %, palyginti su maždaug 6 % biologiniu prieinamumu išgėrus 1000 mg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(kapsulėmis). Pernelyg didelė ekspozicija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gali būti susijusi su gyvybei pavojingomis nepageidaujamomis reakcijomis. Taigi reikia tiksliai laikytis dozavimo rekomendacijų pradedant gydymą ir pereinant nuo įvadinio gydymo prie palaikomojo, taip pat pacientams, kuriems reikia geriamą </w:t>
      </w:r>
      <w:proofErr w:type="spellStart"/>
      <w:r w:rsidRPr="00EE75B4">
        <w:rPr>
          <w:rFonts w:ascii="Times New Roman" w:hAnsi="Times New Roman"/>
          <w:lang w:val="lt-LT"/>
        </w:rPr>
        <w:t>ganciklovirą</w:t>
      </w:r>
      <w:proofErr w:type="spellEnd"/>
      <w:r w:rsidRPr="00EE75B4">
        <w:rPr>
          <w:rFonts w:ascii="Times New Roman" w:hAnsi="Times New Roman"/>
          <w:lang w:val="lt-LT"/>
        </w:rPr>
        <w:t xml:space="preserve"> pakeisti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nes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kapsulių negalima pakeisti tokiu pačiu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tablečių skaičiumi. Pacientai, kuris keičia gydymą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kapsulėmis, turi būti informuoti apie perdozavimo riziką, jeigu vartos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tablečių daugiau, negu paskirta (žr. 4.2 ir 4.9 skyrius).</w:t>
      </w:r>
    </w:p>
    <w:p w14:paraId="223268FF" w14:textId="77777777" w:rsidR="005427AE" w:rsidRPr="00EE75B4" w:rsidRDefault="005427AE" w:rsidP="005427AE">
      <w:pPr>
        <w:spacing w:after="0" w:line="240" w:lineRule="auto"/>
        <w:rPr>
          <w:rFonts w:ascii="Times New Roman" w:hAnsi="Times New Roman"/>
          <w:lang w:val="lt-LT"/>
        </w:rPr>
      </w:pPr>
    </w:p>
    <w:p w14:paraId="02F2C6A6" w14:textId="77777777" w:rsidR="00432B94" w:rsidRPr="00EE75B4" w:rsidRDefault="00432B94" w:rsidP="005427AE">
      <w:pPr>
        <w:spacing w:after="0" w:line="240" w:lineRule="auto"/>
        <w:rPr>
          <w:rFonts w:ascii="Times New Roman" w:eastAsia="Times New Roman" w:hAnsi="Times New Roman"/>
          <w:u w:val="single"/>
          <w:lang w:val="lt-LT" w:eastAsia="ja-JP"/>
        </w:rPr>
      </w:pPr>
      <w:r w:rsidRPr="00EE75B4">
        <w:rPr>
          <w:rFonts w:ascii="Times New Roman" w:eastAsia="Times New Roman" w:hAnsi="Times New Roman"/>
          <w:u w:val="single"/>
          <w:lang w:val="lt-LT" w:eastAsia="ja-JP"/>
        </w:rPr>
        <w:t>Inkstų veiklos sutrikimas</w:t>
      </w:r>
    </w:p>
    <w:p w14:paraId="36BB70C6"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Pacientams, kurių inkstų funkcija sutrikusi, dozavimą būtina koreguoti remiantis </w:t>
      </w:r>
      <w:proofErr w:type="spellStart"/>
      <w:r w:rsidRPr="00EE75B4">
        <w:rPr>
          <w:rFonts w:ascii="Times New Roman" w:hAnsi="Times New Roman"/>
          <w:lang w:val="lt-LT"/>
        </w:rPr>
        <w:t>kreatinino</w:t>
      </w:r>
      <w:proofErr w:type="spellEnd"/>
      <w:r w:rsidRPr="00EE75B4">
        <w:rPr>
          <w:rFonts w:ascii="Times New Roman" w:hAnsi="Times New Roman"/>
          <w:lang w:val="lt-LT"/>
        </w:rPr>
        <w:t xml:space="preserve"> klirensu (žr. 4.2 ir 5.2 skyrius ).</w:t>
      </w:r>
    </w:p>
    <w:p w14:paraId="4FE224B0" w14:textId="77777777" w:rsidR="005427AE" w:rsidRPr="00EE75B4" w:rsidRDefault="005427AE" w:rsidP="005427AE">
      <w:pPr>
        <w:spacing w:after="0" w:line="240" w:lineRule="auto"/>
        <w:rPr>
          <w:rFonts w:ascii="Times New Roman" w:hAnsi="Times New Roman"/>
          <w:lang w:val="lt-LT"/>
        </w:rPr>
      </w:pPr>
    </w:p>
    <w:p w14:paraId="31A64CBB"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plėvele dengtų tablečių negalima vartoti </w:t>
      </w:r>
      <w:proofErr w:type="spellStart"/>
      <w:r w:rsidRPr="00EE75B4">
        <w:rPr>
          <w:rFonts w:ascii="Times New Roman" w:hAnsi="Times New Roman"/>
          <w:lang w:val="lt-LT"/>
        </w:rPr>
        <w:t>hemodializuojamiems</w:t>
      </w:r>
      <w:proofErr w:type="spellEnd"/>
      <w:r w:rsidRPr="00EE75B4">
        <w:rPr>
          <w:rFonts w:ascii="Times New Roman" w:hAnsi="Times New Roman"/>
          <w:lang w:val="lt-LT"/>
        </w:rPr>
        <w:t xml:space="preserve"> pacientams (žr. 4.2 ir 5.2 skyrius).</w:t>
      </w:r>
    </w:p>
    <w:p w14:paraId="53DA5EC6" w14:textId="77777777" w:rsidR="005427AE" w:rsidRPr="00EE75B4" w:rsidRDefault="005427AE" w:rsidP="005427AE">
      <w:pPr>
        <w:spacing w:after="0" w:line="240" w:lineRule="auto"/>
        <w:rPr>
          <w:rFonts w:ascii="Times New Roman" w:hAnsi="Times New Roman"/>
          <w:lang w:val="lt-LT"/>
        </w:rPr>
      </w:pPr>
    </w:p>
    <w:p w14:paraId="7B72BEA6" w14:textId="77777777" w:rsidR="00432B94" w:rsidRPr="00EE75B4" w:rsidRDefault="00432B94" w:rsidP="005427AE">
      <w:pPr>
        <w:spacing w:after="0" w:line="240" w:lineRule="auto"/>
        <w:rPr>
          <w:rFonts w:ascii="Times New Roman" w:eastAsia="Times New Roman" w:hAnsi="Times New Roman"/>
          <w:u w:val="single"/>
          <w:lang w:val="lt-LT" w:eastAsia="ja-JP"/>
        </w:rPr>
      </w:pPr>
      <w:r w:rsidRPr="00EE75B4">
        <w:rPr>
          <w:rFonts w:ascii="Times New Roman" w:eastAsia="Times New Roman" w:hAnsi="Times New Roman"/>
          <w:u w:val="single"/>
          <w:lang w:val="lt-LT" w:eastAsia="ja-JP"/>
        </w:rPr>
        <w:t>Vartojimas kartu su kitais vaistiniais preparatais</w:t>
      </w:r>
    </w:p>
    <w:p w14:paraId="7C08D5A5" w14:textId="6AE8053C"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Gauta pranešimų apie </w:t>
      </w:r>
      <w:r w:rsidR="008D501E" w:rsidRPr="00EE75B4">
        <w:rPr>
          <w:rFonts w:ascii="Times New Roman" w:eastAsia="Times New Roman" w:hAnsi="Times New Roman"/>
          <w:lang w:val="lt-LT" w:eastAsia="ja-JP"/>
        </w:rPr>
        <w:t>priepuolius</w:t>
      </w:r>
      <w:r w:rsidRPr="00EE75B4">
        <w:rPr>
          <w:rFonts w:ascii="Times New Roman" w:hAnsi="Times New Roman"/>
          <w:lang w:val="lt-LT"/>
        </w:rPr>
        <w:t xml:space="preserve"> pacientams, kurie vartojo </w:t>
      </w:r>
      <w:proofErr w:type="spellStart"/>
      <w:r w:rsidRPr="00EE75B4">
        <w:rPr>
          <w:rFonts w:ascii="Times New Roman" w:hAnsi="Times New Roman"/>
          <w:lang w:val="lt-LT"/>
        </w:rPr>
        <w:t>imipenemo-cilastatino</w:t>
      </w:r>
      <w:proofErr w:type="spellEnd"/>
      <w:r w:rsidRPr="00EE75B4">
        <w:rPr>
          <w:rFonts w:ascii="Times New Roman" w:hAnsi="Times New Roman"/>
          <w:lang w:val="lt-LT"/>
        </w:rPr>
        <w:t xml:space="preserve"> kartu su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negalima vartoti kartu su </w:t>
      </w:r>
      <w:proofErr w:type="spellStart"/>
      <w:r w:rsidRPr="00EE75B4">
        <w:rPr>
          <w:rFonts w:ascii="Times New Roman" w:hAnsi="Times New Roman"/>
          <w:lang w:val="lt-LT"/>
        </w:rPr>
        <w:t>imipenemu-cilastatinu</w:t>
      </w:r>
      <w:proofErr w:type="spellEnd"/>
      <w:r w:rsidRPr="00EE75B4">
        <w:rPr>
          <w:rFonts w:ascii="Times New Roman" w:hAnsi="Times New Roman"/>
          <w:lang w:val="lt-LT"/>
        </w:rPr>
        <w:t>, nebent galima nauda yra didesnė už galimą riziką (žr. 4.5 skyrių).</w:t>
      </w:r>
    </w:p>
    <w:p w14:paraId="79F91825" w14:textId="77777777" w:rsidR="005427AE" w:rsidRPr="00EE75B4" w:rsidRDefault="005427AE" w:rsidP="005427AE">
      <w:pPr>
        <w:spacing w:after="0" w:line="240" w:lineRule="auto"/>
        <w:rPr>
          <w:rFonts w:ascii="Times New Roman" w:hAnsi="Times New Roman"/>
          <w:lang w:val="lt-LT"/>
        </w:rPr>
      </w:pPr>
    </w:p>
    <w:p w14:paraId="6420315C"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Vienu metu gydant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ir (a) </w:t>
      </w:r>
      <w:proofErr w:type="spellStart"/>
      <w:r w:rsidRPr="00EE75B4">
        <w:rPr>
          <w:rFonts w:ascii="Times New Roman" w:hAnsi="Times New Roman"/>
          <w:lang w:val="lt-LT"/>
        </w:rPr>
        <w:t>didanozinu</w:t>
      </w:r>
      <w:proofErr w:type="spellEnd"/>
      <w:r w:rsidRPr="00EE75B4">
        <w:rPr>
          <w:rFonts w:ascii="Times New Roman" w:hAnsi="Times New Roman"/>
          <w:lang w:val="lt-LT"/>
        </w:rPr>
        <w:t xml:space="preserve">, (b) vaistiniais preparatais, kurie slopina kaulų čiulpus (pvz., </w:t>
      </w:r>
      <w:proofErr w:type="spellStart"/>
      <w:r w:rsidRPr="00EE75B4">
        <w:rPr>
          <w:rFonts w:ascii="Times New Roman" w:hAnsi="Times New Roman"/>
          <w:lang w:val="lt-LT"/>
        </w:rPr>
        <w:t>zidovudinu</w:t>
      </w:r>
      <w:proofErr w:type="spellEnd"/>
      <w:r w:rsidRPr="00EE75B4">
        <w:rPr>
          <w:rFonts w:ascii="Times New Roman" w:hAnsi="Times New Roman"/>
          <w:lang w:val="lt-LT"/>
        </w:rPr>
        <w:t>) arba (c) inkstų funkciją veikiančiomis medžiagomis, pacientą reikia atidžiai stebėti dėl papildomo toksinio poveikio požymių (žr. 4.5 skyrių).</w:t>
      </w:r>
    </w:p>
    <w:p w14:paraId="4212823E" w14:textId="77777777" w:rsidR="005427AE" w:rsidRPr="00EE75B4" w:rsidRDefault="005427AE" w:rsidP="005427AE">
      <w:pPr>
        <w:spacing w:after="0" w:line="240" w:lineRule="auto"/>
        <w:rPr>
          <w:rFonts w:ascii="Times New Roman" w:hAnsi="Times New Roman"/>
          <w:lang w:val="lt-LT"/>
        </w:rPr>
      </w:pPr>
    </w:p>
    <w:p w14:paraId="5B1B6CF9"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Atliekant pacientų, kuriems persodinami organai, CMV profilaktinio gydymo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kontroliuojamą klinikinį tyrimą (detalizuotą 5.1 skyriuje), į jį nebuvo įtraukti pacientai, kuriems persodinti plaučiai ir žarnos. </w:t>
      </w:r>
    </w:p>
    <w:p w14:paraId="46306E3D"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Taigi patirtis šioje pacientų grupėje yra ribota.</w:t>
      </w:r>
    </w:p>
    <w:p w14:paraId="4B01F593" w14:textId="77777777" w:rsidR="005427AE" w:rsidRPr="00EE75B4" w:rsidRDefault="005427AE" w:rsidP="005427AE">
      <w:pPr>
        <w:spacing w:after="0" w:line="240" w:lineRule="auto"/>
        <w:rPr>
          <w:rFonts w:ascii="Times New Roman" w:hAnsi="Times New Roman"/>
          <w:lang w:val="lt-LT"/>
        </w:rPr>
      </w:pPr>
    </w:p>
    <w:p w14:paraId="2536D2F5" w14:textId="77777777" w:rsidR="005427AE" w:rsidRPr="00EE75B4" w:rsidRDefault="005427AE" w:rsidP="005427AE">
      <w:pPr>
        <w:spacing w:after="0" w:line="240" w:lineRule="auto"/>
        <w:ind w:left="567" w:hanging="567"/>
        <w:outlineLvl w:val="1"/>
        <w:rPr>
          <w:rFonts w:ascii="Times New Roman" w:hAnsi="Times New Roman"/>
          <w:b/>
          <w:kern w:val="28"/>
          <w:lang w:val="lt-LT"/>
        </w:rPr>
      </w:pPr>
      <w:r w:rsidRPr="00EE75B4">
        <w:rPr>
          <w:rFonts w:ascii="Times New Roman" w:hAnsi="Times New Roman"/>
          <w:b/>
          <w:kern w:val="28"/>
          <w:lang w:val="lt-LT"/>
        </w:rPr>
        <w:t>4.5</w:t>
      </w:r>
      <w:r w:rsidRPr="00EE75B4">
        <w:rPr>
          <w:rFonts w:ascii="Times New Roman" w:hAnsi="Times New Roman"/>
          <w:b/>
          <w:kern w:val="28"/>
          <w:lang w:val="lt-LT"/>
        </w:rPr>
        <w:tab/>
        <w:t>Sąveika su kitais vaistiniais preparatais ir kitokia sąveika</w:t>
      </w:r>
    </w:p>
    <w:p w14:paraId="4347D094" w14:textId="77777777" w:rsidR="005427AE" w:rsidRPr="00EE75B4" w:rsidRDefault="005427AE" w:rsidP="005427AE">
      <w:pPr>
        <w:spacing w:after="0" w:line="240" w:lineRule="auto"/>
        <w:ind w:hanging="567"/>
        <w:rPr>
          <w:rFonts w:ascii="Times New Roman" w:hAnsi="Times New Roman"/>
          <w:u w:val="single"/>
          <w:lang w:val="lt-LT"/>
        </w:rPr>
      </w:pPr>
    </w:p>
    <w:p w14:paraId="351993DC"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 xml:space="preserve">Vaistinių preparatų sąveikos su </w:t>
      </w:r>
      <w:proofErr w:type="spellStart"/>
      <w:r w:rsidRPr="00EE75B4">
        <w:rPr>
          <w:rFonts w:ascii="Times New Roman" w:hAnsi="Times New Roman"/>
          <w:u w:val="single"/>
          <w:lang w:val="lt-LT"/>
        </w:rPr>
        <w:t>valgancikloviru</w:t>
      </w:r>
      <w:proofErr w:type="spellEnd"/>
    </w:p>
    <w:p w14:paraId="314A2D73"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i/>
          <w:lang w:val="lt-LT"/>
        </w:rPr>
        <w:lastRenderedPageBreak/>
        <w:t>In</w:t>
      </w:r>
      <w:proofErr w:type="spellEnd"/>
      <w:r w:rsidRPr="00EE75B4">
        <w:rPr>
          <w:rFonts w:ascii="Times New Roman" w:hAnsi="Times New Roman"/>
          <w:i/>
          <w:lang w:val="lt-LT"/>
        </w:rPr>
        <w:t xml:space="preserve"> </w:t>
      </w:r>
      <w:proofErr w:type="spellStart"/>
      <w:r w:rsidRPr="00EE75B4">
        <w:rPr>
          <w:rFonts w:ascii="Times New Roman" w:hAnsi="Times New Roman"/>
          <w:i/>
          <w:lang w:val="lt-LT"/>
        </w:rPr>
        <w:t>vivo</w:t>
      </w:r>
      <w:proofErr w:type="spellEnd"/>
      <w:r w:rsidRPr="00EE75B4">
        <w:rPr>
          <w:rFonts w:ascii="Times New Roman" w:hAnsi="Times New Roman"/>
          <w:lang w:val="lt-LT"/>
        </w:rPr>
        <w:t xml:space="preserve"> vaistinių preparatų sąveikos tyrimų su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neatlikta. Kadangi </w:t>
      </w:r>
      <w:proofErr w:type="spellStart"/>
      <w:r w:rsidRPr="00EE75B4">
        <w:rPr>
          <w:rFonts w:ascii="Times New Roman" w:hAnsi="Times New Roman"/>
          <w:lang w:val="lt-LT"/>
        </w:rPr>
        <w:t>valgancikloviras</w:t>
      </w:r>
      <w:proofErr w:type="spellEnd"/>
      <w:r w:rsidRPr="00EE75B4">
        <w:rPr>
          <w:rFonts w:ascii="Times New Roman" w:hAnsi="Times New Roman"/>
          <w:lang w:val="lt-LT"/>
        </w:rPr>
        <w:t xml:space="preserve"> ekstensyviai ir greitai </w:t>
      </w:r>
      <w:proofErr w:type="spellStart"/>
      <w:r w:rsidRPr="00EE75B4">
        <w:rPr>
          <w:rFonts w:ascii="Times New Roman" w:hAnsi="Times New Roman"/>
          <w:lang w:val="lt-LT"/>
        </w:rPr>
        <w:t>metabolizuojamas</w:t>
      </w:r>
      <w:proofErr w:type="spellEnd"/>
      <w:r w:rsidRPr="00EE75B4">
        <w:rPr>
          <w:rFonts w:ascii="Times New Roman" w:hAnsi="Times New Roman"/>
          <w:lang w:val="lt-LT"/>
        </w:rPr>
        <w:t xml:space="preserve"> į </w:t>
      </w:r>
      <w:proofErr w:type="spellStart"/>
      <w:r w:rsidRPr="00EE75B4">
        <w:rPr>
          <w:rFonts w:ascii="Times New Roman" w:hAnsi="Times New Roman"/>
          <w:lang w:val="lt-LT"/>
        </w:rPr>
        <w:t>ganciklovirą</w:t>
      </w:r>
      <w:proofErr w:type="spellEnd"/>
      <w:r w:rsidRPr="00EE75B4">
        <w:rPr>
          <w:rFonts w:ascii="Times New Roman" w:hAnsi="Times New Roman"/>
          <w:lang w:val="lt-LT"/>
        </w:rPr>
        <w:t xml:space="preserve">, su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susijusios vaistinių preparatų sąveikos galima tikėtis ir </w:t>
      </w:r>
      <w:proofErr w:type="spellStart"/>
      <w:r w:rsidRPr="00EE75B4">
        <w:rPr>
          <w:rFonts w:ascii="Times New Roman" w:hAnsi="Times New Roman"/>
          <w:lang w:val="lt-LT"/>
        </w:rPr>
        <w:t>valganciklovirui</w:t>
      </w:r>
      <w:proofErr w:type="spellEnd"/>
      <w:r w:rsidRPr="00EE75B4">
        <w:rPr>
          <w:rFonts w:ascii="Times New Roman" w:hAnsi="Times New Roman"/>
          <w:lang w:val="lt-LT"/>
        </w:rPr>
        <w:t>.</w:t>
      </w:r>
    </w:p>
    <w:p w14:paraId="05BE560B" w14:textId="77777777" w:rsidR="005427AE" w:rsidRPr="00EE75B4" w:rsidRDefault="005427AE" w:rsidP="005427AE">
      <w:pPr>
        <w:spacing w:after="0" w:line="240" w:lineRule="auto"/>
        <w:rPr>
          <w:rFonts w:ascii="Times New Roman" w:hAnsi="Times New Roman"/>
          <w:lang w:val="lt-LT"/>
        </w:rPr>
      </w:pPr>
    </w:p>
    <w:p w14:paraId="71F79F7D" w14:textId="621DB3E0" w:rsidR="00B64C0B" w:rsidRPr="00EE75B4" w:rsidRDefault="00B64C0B" w:rsidP="005427AE">
      <w:pPr>
        <w:spacing w:after="0" w:line="240" w:lineRule="auto"/>
        <w:rPr>
          <w:rFonts w:ascii="Times New Roman" w:hAnsi="Times New Roman"/>
          <w:lang w:val="lt-LT"/>
        </w:rPr>
      </w:pPr>
      <w:r w:rsidRPr="00EE75B4">
        <w:rPr>
          <w:rFonts w:ascii="Times New Roman" w:hAnsi="Times New Roman"/>
          <w:lang w:val="lt-LT"/>
        </w:rPr>
        <w:t xml:space="preserve">Vaistinių preparatų </w:t>
      </w:r>
      <w:r w:rsidRPr="00EE75B4">
        <w:rPr>
          <w:rFonts w:ascii="Times New Roman" w:eastAsia="Times New Roman" w:hAnsi="Times New Roman"/>
          <w:lang w:val="lt-LT" w:eastAsia="ja-JP"/>
        </w:rPr>
        <w:t>sąveika</w:t>
      </w:r>
      <w:r w:rsidRPr="00EE75B4">
        <w:rPr>
          <w:rFonts w:ascii="Times New Roman" w:hAnsi="Times New Roman"/>
          <w:lang w:val="lt-LT"/>
        </w:rPr>
        <w:t xml:space="preserve"> su </w:t>
      </w:r>
      <w:proofErr w:type="spellStart"/>
      <w:r w:rsidR="008D501E" w:rsidRPr="00EE75B4">
        <w:rPr>
          <w:rFonts w:ascii="Times New Roman" w:eastAsia="Times New Roman" w:hAnsi="Times New Roman"/>
          <w:lang w:val="lt-LT" w:eastAsia="ja-JP"/>
        </w:rPr>
        <w:t>gancikloviru</w:t>
      </w:r>
      <w:proofErr w:type="spellEnd"/>
    </w:p>
    <w:p w14:paraId="43AE60CB" w14:textId="77777777" w:rsidR="00B64C0B" w:rsidRPr="00EE75B4" w:rsidRDefault="00B64C0B" w:rsidP="005427AE">
      <w:pPr>
        <w:spacing w:after="0" w:line="240" w:lineRule="auto"/>
        <w:rPr>
          <w:rFonts w:ascii="Times New Roman" w:eastAsia="Times New Roman" w:hAnsi="Times New Roman"/>
          <w:lang w:val="lt-LT" w:eastAsia="ja-JP"/>
        </w:rPr>
      </w:pPr>
    </w:p>
    <w:p w14:paraId="13C41242" w14:textId="77777777" w:rsidR="00B64C0B" w:rsidRPr="00EE75B4" w:rsidRDefault="00B64C0B" w:rsidP="005427AE">
      <w:pPr>
        <w:spacing w:after="0" w:line="240" w:lineRule="auto"/>
        <w:rPr>
          <w:rFonts w:ascii="Times New Roman" w:eastAsia="Times New Roman" w:hAnsi="Times New Roman"/>
          <w:i/>
          <w:u w:val="single"/>
          <w:lang w:val="lt-LT" w:eastAsia="ja-JP"/>
        </w:rPr>
      </w:pPr>
      <w:proofErr w:type="spellStart"/>
      <w:r w:rsidRPr="00EE75B4">
        <w:rPr>
          <w:rFonts w:ascii="Times New Roman" w:eastAsia="Times New Roman" w:hAnsi="Times New Roman"/>
          <w:i/>
          <w:u w:val="single"/>
          <w:lang w:val="lt-LT" w:eastAsia="ja-JP"/>
        </w:rPr>
        <w:t>Farmakokinetinės</w:t>
      </w:r>
      <w:proofErr w:type="spellEnd"/>
      <w:r w:rsidRPr="00EE75B4">
        <w:rPr>
          <w:rFonts w:ascii="Times New Roman" w:eastAsia="Times New Roman" w:hAnsi="Times New Roman"/>
          <w:i/>
          <w:u w:val="single"/>
          <w:lang w:val="lt-LT" w:eastAsia="ja-JP"/>
        </w:rPr>
        <w:t xml:space="preserve"> sąveikos</w:t>
      </w:r>
    </w:p>
    <w:p w14:paraId="63FD1E87" w14:textId="77777777" w:rsidR="00B64C0B" w:rsidRPr="00EE75B4" w:rsidRDefault="00B64C0B" w:rsidP="00813362">
      <w:pPr>
        <w:spacing w:after="0" w:line="240" w:lineRule="auto"/>
        <w:rPr>
          <w:rFonts w:ascii="Times New Roman" w:hAnsi="Times New Roman"/>
          <w:i/>
          <w:lang w:val="lt-LT"/>
        </w:rPr>
      </w:pPr>
      <w:proofErr w:type="spellStart"/>
      <w:r w:rsidRPr="00EE75B4">
        <w:rPr>
          <w:rFonts w:ascii="Times New Roman" w:hAnsi="Times New Roman"/>
          <w:i/>
          <w:lang w:val="lt-LT"/>
        </w:rPr>
        <w:t>Probenecidas</w:t>
      </w:r>
      <w:proofErr w:type="spellEnd"/>
    </w:p>
    <w:p w14:paraId="008915DC" w14:textId="77777777" w:rsidR="00B64C0B" w:rsidRPr="00EE75B4" w:rsidRDefault="00B64C0B" w:rsidP="005427AE">
      <w:pPr>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 xml:space="preserve">Geriamąjį </w:t>
      </w:r>
      <w:proofErr w:type="spellStart"/>
      <w:r w:rsidRPr="00EE75B4">
        <w:rPr>
          <w:rFonts w:ascii="Times New Roman" w:eastAsia="Times New Roman" w:hAnsi="Times New Roman"/>
          <w:lang w:val="lt-LT" w:eastAsia="ja-JP"/>
        </w:rPr>
        <w:t>ganciklovirą</w:t>
      </w:r>
      <w:proofErr w:type="spellEnd"/>
      <w:r w:rsidRPr="00EE75B4">
        <w:rPr>
          <w:rFonts w:ascii="Times New Roman" w:eastAsia="Times New Roman" w:hAnsi="Times New Roman"/>
          <w:lang w:val="lt-LT" w:eastAsia="ja-JP"/>
        </w:rPr>
        <w:t xml:space="preserve"> vartojant kartu su </w:t>
      </w:r>
      <w:proofErr w:type="spellStart"/>
      <w:r w:rsidRPr="00EE75B4">
        <w:rPr>
          <w:rFonts w:ascii="Times New Roman" w:eastAsia="Times New Roman" w:hAnsi="Times New Roman"/>
          <w:lang w:val="lt-LT" w:eastAsia="ja-JP"/>
        </w:rPr>
        <w:t>probenecidu</w:t>
      </w:r>
      <w:proofErr w:type="spellEnd"/>
      <w:r w:rsidRPr="00EE75B4">
        <w:rPr>
          <w:rFonts w:ascii="Times New Roman" w:eastAsia="Times New Roman" w:hAnsi="Times New Roman"/>
          <w:lang w:val="lt-LT" w:eastAsia="ja-JP"/>
        </w:rPr>
        <w:t xml:space="preserve"> statistiškai reikšmingai (20 %) mažėja </w:t>
      </w:r>
      <w:proofErr w:type="spellStart"/>
      <w:r w:rsidRPr="00EE75B4">
        <w:rPr>
          <w:rFonts w:ascii="Times New Roman" w:eastAsia="Times New Roman" w:hAnsi="Times New Roman"/>
          <w:lang w:val="lt-LT" w:eastAsia="ja-JP"/>
        </w:rPr>
        <w:t>gancikloviro</w:t>
      </w:r>
      <w:proofErr w:type="spellEnd"/>
      <w:r w:rsidRPr="00EE75B4">
        <w:rPr>
          <w:rFonts w:ascii="Times New Roman" w:eastAsia="Times New Roman" w:hAnsi="Times New Roman"/>
          <w:lang w:val="lt-LT" w:eastAsia="ja-JP"/>
        </w:rPr>
        <w:t xml:space="preserve"> klirensas, todėl statistiškai reikšmingai (40 %) didėja jo poveikis organizmui. Šie pokyčiai priklauso nuo vaistų konkurencinės sąveikos vykstant jų sekrecijai inkstų kanalėliuose. Taigi pacientus, gydomus </w:t>
      </w:r>
      <w:proofErr w:type="spellStart"/>
      <w:r w:rsidRPr="00EE75B4">
        <w:rPr>
          <w:rFonts w:ascii="Times New Roman" w:eastAsia="Times New Roman" w:hAnsi="Times New Roman"/>
          <w:lang w:val="lt-LT" w:eastAsia="ja-JP"/>
        </w:rPr>
        <w:t>probenecidu</w:t>
      </w:r>
      <w:proofErr w:type="spellEnd"/>
      <w:r w:rsidRPr="00EE75B4">
        <w:rPr>
          <w:rFonts w:ascii="Times New Roman" w:eastAsia="Times New Roman" w:hAnsi="Times New Roman"/>
          <w:lang w:val="lt-LT" w:eastAsia="ja-JP"/>
        </w:rPr>
        <w:t xml:space="preserve"> ir </w:t>
      </w:r>
      <w:proofErr w:type="spellStart"/>
      <w:r w:rsidRPr="00EE75B4">
        <w:rPr>
          <w:rFonts w:ascii="Times New Roman" w:eastAsia="Times New Roman" w:hAnsi="Times New Roman"/>
          <w:lang w:val="lt-LT" w:eastAsia="ja-JP"/>
        </w:rPr>
        <w:t>valgancikloviru</w:t>
      </w:r>
      <w:proofErr w:type="spellEnd"/>
      <w:r w:rsidRPr="00EE75B4">
        <w:rPr>
          <w:rFonts w:ascii="Times New Roman" w:eastAsia="Times New Roman" w:hAnsi="Times New Roman"/>
          <w:lang w:val="lt-LT" w:eastAsia="ja-JP"/>
        </w:rPr>
        <w:t xml:space="preserve">, reikia dažnai tirti, ar nepasireiškia toksinis </w:t>
      </w:r>
      <w:proofErr w:type="spellStart"/>
      <w:r w:rsidRPr="00EE75B4">
        <w:rPr>
          <w:rFonts w:ascii="Times New Roman" w:eastAsia="Times New Roman" w:hAnsi="Times New Roman"/>
          <w:lang w:val="lt-LT" w:eastAsia="ja-JP"/>
        </w:rPr>
        <w:t>gancikloviro</w:t>
      </w:r>
      <w:proofErr w:type="spellEnd"/>
      <w:r w:rsidRPr="00EE75B4">
        <w:rPr>
          <w:rFonts w:ascii="Times New Roman" w:eastAsia="Times New Roman" w:hAnsi="Times New Roman"/>
          <w:lang w:val="lt-LT" w:eastAsia="ja-JP"/>
        </w:rPr>
        <w:t xml:space="preserve"> poveikis.</w:t>
      </w:r>
    </w:p>
    <w:p w14:paraId="26185338" w14:textId="77777777" w:rsidR="00B64C0B" w:rsidRPr="00EE75B4" w:rsidRDefault="00B64C0B" w:rsidP="005427AE">
      <w:pPr>
        <w:spacing w:after="0" w:line="240" w:lineRule="auto"/>
        <w:rPr>
          <w:rFonts w:ascii="Times New Roman" w:hAnsi="Times New Roman"/>
          <w:lang w:val="lt-LT"/>
        </w:rPr>
      </w:pPr>
    </w:p>
    <w:p w14:paraId="0E3D4AF6" w14:textId="77777777" w:rsidR="00B64C0B" w:rsidRPr="00EE75B4" w:rsidRDefault="00B64C0B" w:rsidP="005427AE">
      <w:pPr>
        <w:spacing w:after="0" w:line="240" w:lineRule="auto"/>
        <w:rPr>
          <w:rFonts w:ascii="Times New Roman" w:hAnsi="Times New Roman"/>
          <w:i/>
          <w:lang w:val="lt-LT"/>
        </w:rPr>
      </w:pPr>
      <w:proofErr w:type="spellStart"/>
      <w:r w:rsidRPr="00EE75B4">
        <w:rPr>
          <w:rFonts w:ascii="Times New Roman" w:hAnsi="Times New Roman"/>
          <w:i/>
          <w:lang w:val="lt-LT"/>
        </w:rPr>
        <w:t>Didanozinas</w:t>
      </w:r>
      <w:proofErr w:type="spellEnd"/>
    </w:p>
    <w:p w14:paraId="60718683" w14:textId="77777777" w:rsidR="00B64C0B" w:rsidRPr="00EE75B4" w:rsidRDefault="00B64C0B" w:rsidP="005427AE">
      <w:pPr>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 xml:space="preserve">Nustatyta, kad kartu su leidžiamuoju į veną </w:t>
      </w:r>
      <w:proofErr w:type="spellStart"/>
      <w:r w:rsidRPr="00EE75B4">
        <w:rPr>
          <w:rFonts w:ascii="Times New Roman" w:eastAsia="Times New Roman" w:hAnsi="Times New Roman"/>
          <w:lang w:val="lt-LT" w:eastAsia="ja-JP"/>
        </w:rPr>
        <w:t>gancikloviru</w:t>
      </w:r>
      <w:proofErr w:type="spellEnd"/>
      <w:r w:rsidRPr="00EE75B4">
        <w:rPr>
          <w:rFonts w:ascii="Times New Roman" w:eastAsia="Times New Roman" w:hAnsi="Times New Roman"/>
          <w:lang w:val="lt-LT" w:eastAsia="ja-JP"/>
        </w:rPr>
        <w:t xml:space="preserve"> vartoto </w:t>
      </w:r>
      <w:proofErr w:type="spellStart"/>
      <w:r w:rsidRPr="00EE75B4">
        <w:rPr>
          <w:rFonts w:ascii="Times New Roman" w:eastAsia="Times New Roman" w:hAnsi="Times New Roman"/>
          <w:lang w:val="lt-LT" w:eastAsia="ja-JP"/>
        </w:rPr>
        <w:t>didanozino</w:t>
      </w:r>
      <w:proofErr w:type="spellEnd"/>
      <w:r w:rsidRPr="00EE75B4">
        <w:rPr>
          <w:rFonts w:ascii="Times New Roman" w:eastAsia="Times New Roman" w:hAnsi="Times New Roman"/>
          <w:lang w:val="lt-LT" w:eastAsia="ja-JP"/>
        </w:rPr>
        <w:t xml:space="preserve"> koncentracija plazmoje visada buvo didesnė. Yra stebėta, kad leidžiant </w:t>
      </w:r>
      <w:proofErr w:type="spellStart"/>
      <w:r w:rsidRPr="00EE75B4">
        <w:rPr>
          <w:rFonts w:ascii="Times New Roman" w:eastAsia="Times New Roman" w:hAnsi="Times New Roman"/>
          <w:lang w:val="lt-LT" w:eastAsia="ja-JP"/>
        </w:rPr>
        <w:t>ganciklovirą</w:t>
      </w:r>
      <w:proofErr w:type="spellEnd"/>
      <w:r w:rsidRPr="00EE75B4">
        <w:rPr>
          <w:rFonts w:ascii="Times New Roman" w:eastAsia="Times New Roman" w:hAnsi="Times New Roman"/>
          <w:lang w:val="lt-LT" w:eastAsia="ja-JP"/>
        </w:rPr>
        <w:t xml:space="preserve"> į veną po 5 mg/kg ir 10 mg/kg dozėmis per parą, </w:t>
      </w:r>
      <w:proofErr w:type="spellStart"/>
      <w:r w:rsidRPr="00EE75B4">
        <w:rPr>
          <w:rFonts w:ascii="Times New Roman" w:eastAsia="Times New Roman" w:hAnsi="Times New Roman"/>
          <w:lang w:val="lt-LT" w:eastAsia="ja-JP"/>
        </w:rPr>
        <w:t>didanozino</w:t>
      </w:r>
      <w:proofErr w:type="spellEnd"/>
      <w:r w:rsidRPr="00EE75B4">
        <w:rPr>
          <w:rFonts w:ascii="Times New Roman" w:eastAsia="Times New Roman" w:hAnsi="Times New Roman"/>
          <w:lang w:val="lt-LT" w:eastAsia="ja-JP"/>
        </w:rPr>
        <w:t xml:space="preserve"> AUC padidėja nuo 38 % iki 67 %, o tai patvirtina šiuos vaistinius preparatus vartojant kartu vykstančią </w:t>
      </w:r>
      <w:proofErr w:type="spellStart"/>
      <w:r w:rsidRPr="00EE75B4">
        <w:rPr>
          <w:rFonts w:ascii="Times New Roman" w:eastAsia="Times New Roman" w:hAnsi="Times New Roman"/>
          <w:lang w:val="lt-LT" w:eastAsia="ja-JP"/>
        </w:rPr>
        <w:t>farmakokinetinę</w:t>
      </w:r>
      <w:proofErr w:type="spellEnd"/>
      <w:r w:rsidRPr="00EE75B4">
        <w:rPr>
          <w:rFonts w:ascii="Times New Roman" w:eastAsia="Times New Roman" w:hAnsi="Times New Roman"/>
          <w:lang w:val="lt-LT" w:eastAsia="ja-JP"/>
        </w:rPr>
        <w:t xml:space="preserve"> sąveiką. </w:t>
      </w:r>
      <w:proofErr w:type="spellStart"/>
      <w:r w:rsidRPr="00EE75B4">
        <w:rPr>
          <w:rFonts w:ascii="Times New Roman" w:eastAsia="Times New Roman" w:hAnsi="Times New Roman"/>
          <w:lang w:val="lt-LT" w:eastAsia="ja-JP"/>
        </w:rPr>
        <w:t>Gancikloviro</w:t>
      </w:r>
      <w:proofErr w:type="spellEnd"/>
      <w:r w:rsidRPr="00EE75B4">
        <w:rPr>
          <w:rFonts w:ascii="Times New Roman" w:eastAsia="Times New Roman" w:hAnsi="Times New Roman"/>
          <w:lang w:val="lt-LT" w:eastAsia="ja-JP"/>
        </w:rPr>
        <w:t xml:space="preserve"> koncentracija kliniškai reikšmingai nepakito. Pacientus reikia atidžiai stebėti, ar nepasireiškia </w:t>
      </w:r>
      <w:proofErr w:type="spellStart"/>
      <w:r w:rsidRPr="00EE75B4">
        <w:rPr>
          <w:rFonts w:ascii="Times New Roman" w:eastAsia="Times New Roman" w:hAnsi="Times New Roman"/>
          <w:lang w:val="lt-LT" w:eastAsia="ja-JP"/>
        </w:rPr>
        <w:t>didanozino</w:t>
      </w:r>
      <w:proofErr w:type="spellEnd"/>
      <w:r w:rsidRPr="00EE75B4">
        <w:rPr>
          <w:rFonts w:ascii="Times New Roman" w:eastAsia="Times New Roman" w:hAnsi="Times New Roman"/>
          <w:lang w:val="lt-LT" w:eastAsia="ja-JP"/>
        </w:rPr>
        <w:t xml:space="preserve"> toksinis poveikis, pvz., pankreatitas (žr. 4.4 skyrių).</w:t>
      </w:r>
    </w:p>
    <w:p w14:paraId="7E422830" w14:textId="77777777" w:rsidR="00B64C0B" w:rsidRPr="00EE75B4" w:rsidRDefault="00B64C0B" w:rsidP="005427AE">
      <w:pPr>
        <w:spacing w:after="0" w:line="240" w:lineRule="auto"/>
        <w:rPr>
          <w:rFonts w:ascii="Times New Roman" w:eastAsia="Times New Roman" w:hAnsi="Times New Roman"/>
          <w:lang w:val="lt-LT" w:eastAsia="ja-JP"/>
        </w:rPr>
      </w:pPr>
    </w:p>
    <w:p w14:paraId="4B0CC4CE" w14:textId="77777777" w:rsidR="003E63A3" w:rsidRPr="00EE75B4" w:rsidRDefault="003E63A3" w:rsidP="005427AE">
      <w:pPr>
        <w:spacing w:after="0" w:line="240" w:lineRule="auto"/>
        <w:rPr>
          <w:rFonts w:ascii="Times New Roman" w:eastAsia="Times New Roman" w:hAnsi="Times New Roman"/>
          <w:i/>
          <w:u w:val="single"/>
          <w:lang w:val="lt-LT" w:eastAsia="ja-JP"/>
        </w:rPr>
      </w:pPr>
      <w:r w:rsidRPr="00EE75B4">
        <w:rPr>
          <w:rFonts w:ascii="Times New Roman" w:eastAsia="Times New Roman" w:hAnsi="Times New Roman"/>
          <w:i/>
          <w:u w:val="single"/>
          <w:lang w:val="lt-LT" w:eastAsia="ja-JP"/>
        </w:rPr>
        <w:t>Kiti antiretrovirusiniai vaistai</w:t>
      </w:r>
    </w:p>
    <w:p w14:paraId="43E6E6FB" w14:textId="77777777" w:rsidR="003E63A3" w:rsidRPr="00EE75B4" w:rsidRDefault="003E63A3" w:rsidP="005427AE">
      <w:pPr>
        <w:spacing w:after="0" w:line="240" w:lineRule="auto"/>
        <w:rPr>
          <w:rFonts w:ascii="Times New Roman" w:eastAsia="Times New Roman" w:hAnsi="Times New Roman"/>
          <w:lang w:val="lt-LT" w:eastAsia="ja-JP"/>
        </w:rPr>
      </w:pPr>
      <w:proofErr w:type="spellStart"/>
      <w:r w:rsidRPr="00EE75B4">
        <w:rPr>
          <w:rFonts w:ascii="Times New Roman" w:eastAsia="Times New Roman" w:hAnsi="Times New Roman"/>
          <w:lang w:val="lt-LT" w:eastAsia="ja-JP"/>
        </w:rPr>
        <w:t>Citochromo</w:t>
      </w:r>
      <w:proofErr w:type="spellEnd"/>
      <w:r w:rsidRPr="00EE75B4">
        <w:rPr>
          <w:rFonts w:ascii="Times New Roman" w:eastAsia="Times New Roman" w:hAnsi="Times New Roman"/>
          <w:lang w:val="lt-LT" w:eastAsia="ja-JP"/>
        </w:rPr>
        <w:t xml:space="preserve"> P450 </w:t>
      </w:r>
      <w:proofErr w:type="spellStart"/>
      <w:r w:rsidRPr="00EE75B4">
        <w:rPr>
          <w:rFonts w:ascii="Times New Roman" w:eastAsia="Times New Roman" w:hAnsi="Times New Roman"/>
          <w:lang w:val="lt-LT" w:eastAsia="ja-JP"/>
        </w:rPr>
        <w:t>izofermentai</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gancikloviro</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farmakokinetikai</w:t>
      </w:r>
      <w:proofErr w:type="spellEnd"/>
      <w:r w:rsidRPr="00EE75B4">
        <w:rPr>
          <w:rFonts w:ascii="Times New Roman" w:eastAsia="Times New Roman" w:hAnsi="Times New Roman"/>
          <w:lang w:val="lt-LT" w:eastAsia="ja-JP"/>
        </w:rPr>
        <w:t xml:space="preserve"> jokios įtakos neturi. Taigi, </w:t>
      </w:r>
      <w:proofErr w:type="spellStart"/>
      <w:r w:rsidRPr="00EE75B4">
        <w:rPr>
          <w:rFonts w:ascii="Times New Roman" w:eastAsia="Times New Roman" w:hAnsi="Times New Roman"/>
          <w:lang w:val="lt-LT" w:eastAsia="ja-JP"/>
        </w:rPr>
        <w:t>farmakokinetinės</w:t>
      </w:r>
      <w:proofErr w:type="spellEnd"/>
      <w:r w:rsidRPr="00EE75B4">
        <w:rPr>
          <w:rFonts w:ascii="Times New Roman" w:eastAsia="Times New Roman" w:hAnsi="Times New Roman"/>
          <w:lang w:val="lt-LT" w:eastAsia="ja-JP"/>
        </w:rPr>
        <w:t xml:space="preserve"> sąveikos su proteazių inhibitoriais ir ne </w:t>
      </w:r>
      <w:proofErr w:type="spellStart"/>
      <w:r w:rsidRPr="00EE75B4">
        <w:rPr>
          <w:rFonts w:ascii="Times New Roman" w:eastAsia="Times New Roman" w:hAnsi="Times New Roman"/>
          <w:lang w:val="lt-LT" w:eastAsia="ja-JP"/>
        </w:rPr>
        <w:t>nukleozidų</w:t>
      </w:r>
      <w:proofErr w:type="spellEnd"/>
      <w:r w:rsidRPr="00EE75B4">
        <w:rPr>
          <w:rFonts w:ascii="Times New Roman" w:eastAsia="Times New Roman" w:hAnsi="Times New Roman"/>
          <w:lang w:val="lt-LT" w:eastAsia="ja-JP"/>
        </w:rPr>
        <w:t xml:space="preserve"> atvirkštinės </w:t>
      </w:r>
      <w:proofErr w:type="spellStart"/>
      <w:r w:rsidRPr="00EE75B4">
        <w:rPr>
          <w:rFonts w:ascii="Times New Roman" w:eastAsia="Times New Roman" w:hAnsi="Times New Roman"/>
          <w:lang w:val="lt-LT" w:eastAsia="ja-JP"/>
        </w:rPr>
        <w:t>transkriptazės</w:t>
      </w:r>
      <w:proofErr w:type="spellEnd"/>
      <w:r w:rsidRPr="00EE75B4">
        <w:rPr>
          <w:rFonts w:ascii="Times New Roman" w:eastAsia="Times New Roman" w:hAnsi="Times New Roman"/>
          <w:lang w:val="lt-LT" w:eastAsia="ja-JP"/>
        </w:rPr>
        <w:t xml:space="preserve"> inhibitoriais nesitikima.</w:t>
      </w:r>
    </w:p>
    <w:p w14:paraId="0C38045A" w14:textId="77777777" w:rsidR="003E63A3" w:rsidRPr="00EE75B4" w:rsidRDefault="003E63A3" w:rsidP="005427AE">
      <w:pPr>
        <w:spacing w:after="0" w:line="240" w:lineRule="auto"/>
        <w:rPr>
          <w:rFonts w:ascii="Times New Roman" w:eastAsia="Times New Roman" w:hAnsi="Times New Roman"/>
          <w:lang w:val="lt-LT" w:eastAsia="ja-JP"/>
        </w:rPr>
      </w:pPr>
    </w:p>
    <w:p w14:paraId="5C0BAA04" w14:textId="77777777" w:rsidR="003E63A3" w:rsidRPr="00EE75B4" w:rsidRDefault="003E63A3" w:rsidP="005427AE">
      <w:pPr>
        <w:spacing w:after="0" w:line="240" w:lineRule="auto"/>
        <w:rPr>
          <w:rFonts w:ascii="Times New Roman" w:eastAsia="Times New Roman" w:hAnsi="Times New Roman"/>
          <w:lang w:val="lt-LT" w:eastAsia="ja-JP"/>
        </w:rPr>
      </w:pPr>
      <w:proofErr w:type="spellStart"/>
      <w:r w:rsidRPr="00EE75B4">
        <w:rPr>
          <w:rFonts w:ascii="Times New Roman" w:eastAsia="Times New Roman" w:hAnsi="Times New Roman"/>
          <w:lang w:val="lt-LT" w:eastAsia="ja-JP"/>
        </w:rPr>
        <w:t>Farmakodinaminės</w:t>
      </w:r>
      <w:proofErr w:type="spellEnd"/>
      <w:r w:rsidRPr="00EE75B4">
        <w:rPr>
          <w:rFonts w:ascii="Times New Roman" w:eastAsia="Times New Roman" w:hAnsi="Times New Roman"/>
          <w:lang w:val="lt-LT" w:eastAsia="ja-JP"/>
        </w:rPr>
        <w:t xml:space="preserve"> sąveikos</w:t>
      </w:r>
    </w:p>
    <w:p w14:paraId="46863392" w14:textId="77777777" w:rsidR="005427AE" w:rsidRPr="00EE75B4" w:rsidRDefault="005427AE" w:rsidP="005427AE">
      <w:pPr>
        <w:spacing w:after="0" w:line="240" w:lineRule="auto"/>
        <w:rPr>
          <w:rFonts w:ascii="Times New Roman" w:hAnsi="Times New Roman"/>
          <w:i/>
          <w:lang w:val="lt-LT"/>
        </w:rPr>
      </w:pPr>
      <w:proofErr w:type="spellStart"/>
      <w:r w:rsidRPr="00EE75B4">
        <w:rPr>
          <w:rFonts w:ascii="Times New Roman" w:hAnsi="Times New Roman"/>
          <w:i/>
          <w:lang w:val="lt-LT"/>
        </w:rPr>
        <w:t>Imipenemas-cilastatinas</w:t>
      </w:r>
      <w:proofErr w:type="spellEnd"/>
    </w:p>
    <w:p w14:paraId="257532E5" w14:textId="288A7391" w:rsidR="005427AE" w:rsidRPr="00EE75B4" w:rsidRDefault="005427AE" w:rsidP="005427AE">
      <w:pPr>
        <w:spacing w:after="0" w:line="240" w:lineRule="auto"/>
        <w:rPr>
          <w:rFonts w:ascii="Times New Roman" w:hAnsi="Times New Roman"/>
          <w:strike/>
          <w:lang w:val="lt-LT"/>
        </w:rPr>
      </w:pPr>
      <w:r w:rsidRPr="00EE75B4">
        <w:rPr>
          <w:rFonts w:ascii="Times New Roman" w:hAnsi="Times New Roman"/>
          <w:lang w:val="lt-LT"/>
        </w:rPr>
        <w:t xml:space="preserve">Gauta pranešimų apie </w:t>
      </w:r>
      <w:r w:rsidR="008D501E" w:rsidRPr="00EE75B4">
        <w:rPr>
          <w:rFonts w:ascii="Times New Roman" w:eastAsia="Times New Roman" w:hAnsi="Times New Roman"/>
          <w:lang w:val="lt-LT" w:eastAsia="ja-JP"/>
        </w:rPr>
        <w:t>priepuolius</w:t>
      </w:r>
      <w:r w:rsidRPr="00EE75B4">
        <w:rPr>
          <w:rFonts w:ascii="Times New Roman" w:hAnsi="Times New Roman"/>
          <w:lang w:val="lt-LT"/>
        </w:rPr>
        <w:t xml:space="preserve"> pacientams, vartojusiems </w:t>
      </w:r>
      <w:proofErr w:type="spellStart"/>
      <w:r w:rsidRPr="00EE75B4">
        <w:rPr>
          <w:rFonts w:ascii="Times New Roman" w:hAnsi="Times New Roman"/>
          <w:lang w:val="lt-LT"/>
        </w:rPr>
        <w:t>imipenemo-cilastatino</w:t>
      </w:r>
      <w:proofErr w:type="spellEnd"/>
      <w:r w:rsidRPr="00EE75B4">
        <w:rPr>
          <w:rFonts w:ascii="Times New Roman" w:hAnsi="Times New Roman"/>
          <w:lang w:val="lt-LT"/>
        </w:rPr>
        <w:t xml:space="preserve"> kartu su </w:t>
      </w:r>
      <w:proofErr w:type="spellStart"/>
      <w:r w:rsidRPr="00EE75B4">
        <w:rPr>
          <w:rFonts w:ascii="Times New Roman" w:hAnsi="Times New Roman"/>
          <w:lang w:val="lt-LT"/>
        </w:rPr>
        <w:t>gancikloviru</w:t>
      </w:r>
      <w:proofErr w:type="spellEnd"/>
      <w:r w:rsidR="00D32ADB" w:rsidRPr="00EE75B4">
        <w:rPr>
          <w:rFonts w:ascii="Times New Roman" w:eastAsia="Times New Roman" w:hAnsi="Times New Roman"/>
          <w:lang w:val="lt-LT" w:eastAsia="ja-JP"/>
        </w:rPr>
        <w:t xml:space="preserve">, todėl šių dviejų vaistinių preparatų </w:t>
      </w:r>
      <w:proofErr w:type="spellStart"/>
      <w:r w:rsidR="00D32ADB" w:rsidRPr="00EE75B4">
        <w:rPr>
          <w:rFonts w:ascii="Times New Roman" w:eastAsia="Times New Roman" w:hAnsi="Times New Roman"/>
          <w:lang w:val="lt-LT" w:eastAsia="ja-JP"/>
        </w:rPr>
        <w:t>farmakodinaminės</w:t>
      </w:r>
      <w:proofErr w:type="spellEnd"/>
      <w:r w:rsidR="00D32ADB" w:rsidRPr="00EE75B4">
        <w:rPr>
          <w:rFonts w:ascii="Times New Roman" w:eastAsia="Times New Roman" w:hAnsi="Times New Roman"/>
          <w:lang w:val="lt-LT" w:eastAsia="ja-JP"/>
        </w:rPr>
        <w:t xml:space="preserve"> sąveikos atmesti negalima</w:t>
      </w:r>
      <w:r w:rsidRPr="00EE75B4">
        <w:rPr>
          <w:rFonts w:ascii="Times New Roman" w:eastAsia="Times New Roman" w:hAnsi="Times New Roman"/>
          <w:lang w:val="lt-LT" w:eastAsia="ja-JP"/>
        </w:rPr>
        <w:t>.</w:t>
      </w:r>
      <w:r w:rsidRPr="00EE75B4">
        <w:rPr>
          <w:rFonts w:ascii="Times New Roman" w:hAnsi="Times New Roman"/>
          <w:lang w:val="lt-LT"/>
        </w:rPr>
        <w:t xml:space="preserve"> Šių vaistinių preparatų kartu vartoti negalima, nebent galima nauda yra didesnė už galimą riziką (žr. 4.4 skyrių).</w:t>
      </w:r>
    </w:p>
    <w:p w14:paraId="1C2E4047" w14:textId="77777777" w:rsidR="005427AE" w:rsidRPr="00EE75B4" w:rsidRDefault="005427AE" w:rsidP="005427AE">
      <w:pPr>
        <w:spacing w:after="0" w:line="240" w:lineRule="auto"/>
        <w:rPr>
          <w:rFonts w:ascii="Times New Roman" w:hAnsi="Times New Roman"/>
          <w:b/>
          <w:lang w:val="lt-LT"/>
        </w:rPr>
      </w:pPr>
    </w:p>
    <w:p w14:paraId="3564A967" w14:textId="77777777" w:rsidR="00D32ADB" w:rsidRPr="00EE75B4" w:rsidRDefault="00D32ADB" w:rsidP="005427AE">
      <w:pPr>
        <w:spacing w:after="0" w:line="240" w:lineRule="auto"/>
        <w:rPr>
          <w:rFonts w:ascii="Times New Roman" w:hAnsi="Times New Roman"/>
          <w:i/>
          <w:lang w:val="lt-LT"/>
        </w:rPr>
      </w:pPr>
      <w:proofErr w:type="spellStart"/>
      <w:r w:rsidRPr="00EE75B4">
        <w:rPr>
          <w:rFonts w:ascii="Times New Roman" w:hAnsi="Times New Roman"/>
          <w:i/>
          <w:lang w:val="lt-LT"/>
        </w:rPr>
        <w:t>Zidovudinas</w:t>
      </w:r>
      <w:proofErr w:type="spellEnd"/>
    </w:p>
    <w:p w14:paraId="71C3A470" w14:textId="77777777" w:rsidR="00D32ADB" w:rsidRPr="00EE75B4" w:rsidRDefault="00D32ADB" w:rsidP="005427AE">
      <w:pPr>
        <w:spacing w:after="0" w:line="240" w:lineRule="auto"/>
        <w:rPr>
          <w:rFonts w:ascii="Times New Roman" w:hAnsi="Times New Roman"/>
          <w:lang w:val="lt-LT"/>
        </w:rPr>
      </w:pPr>
      <w:r w:rsidRPr="00EE75B4">
        <w:rPr>
          <w:rFonts w:ascii="Times New Roman" w:eastAsia="Times New Roman" w:hAnsi="Times New Roman"/>
          <w:lang w:val="lt-LT" w:eastAsia="ja-JP"/>
        </w:rPr>
        <w:t>Ir</w:t>
      </w:r>
      <w:r w:rsidRPr="00EE75B4">
        <w:rPr>
          <w:rFonts w:ascii="Times New Roman" w:hAnsi="Times New Roman"/>
          <w:lang w:val="lt-LT"/>
        </w:rPr>
        <w:t xml:space="preserve"> </w:t>
      </w:r>
      <w:proofErr w:type="spellStart"/>
      <w:r w:rsidRPr="00EE75B4">
        <w:rPr>
          <w:rFonts w:ascii="Times New Roman" w:hAnsi="Times New Roman"/>
          <w:lang w:val="lt-LT"/>
        </w:rPr>
        <w:t>zidovudinas</w:t>
      </w:r>
      <w:proofErr w:type="spellEnd"/>
      <w:r w:rsidRPr="00EE75B4">
        <w:rPr>
          <w:rFonts w:ascii="Times New Roman" w:hAnsi="Times New Roman"/>
          <w:lang w:val="lt-LT"/>
        </w:rPr>
        <w:t xml:space="preserve">, ir </w:t>
      </w:r>
      <w:proofErr w:type="spellStart"/>
      <w:r w:rsidRPr="00EE75B4">
        <w:rPr>
          <w:rFonts w:ascii="Times New Roman" w:hAnsi="Times New Roman"/>
          <w:lang w:val="lt-LT"/>
        </w:rPr>
        <w:t>gancikloviras</w:t>
      </w:r>
      <w:proofErr w:type="spellEnd"/>
      <w:r w:rsidRPr="00EE75B4">
        <w:rPr>
          <w:rFonts w:ascii="Times New Roman" w:hAnsi="Times New Roman"/>
          <w:lang w:val="lt-LT"/>
        </w:rPr>
        <w:t xml:space="preserve"> gali sukelti </w:t>
      </w:r>
      <w:proofErr w:type="spellStart"/>
      <w:r w:rsidRPr="00EE75B4">
        <w:rPr>
          <w:rFonts w:ascii="Times New Roman" w:hAnsi="Times New Roman"/>
          <w:lang w:val="lt-LT"/>
        </w:rPr>
        <w:t>neutropeniją</w:t>
      </w:r>
      <w:proofErr w:type="spellEnd"/>
      <w:r w:rsidRPr="00EE75B4">
        <w:rPr>
          <w:rFonts w:ascii="Times New Roman" w:hAnsi="Times New Roman"/>
          <w:lang w:val="lt-LT"/>
        </w:rPr>
        <w:t xml:space="preserve"> ir anemiją</w:t>
      </w:r>
      <w:r w:rsidRPr="00EE75B4">
        <w:rPr>
          <w:rFonts w:ascii="Times New Roman" w:eastAsia="Times New Roman" w:hAnsi="Times New Roman"/>
          <w:lang w:val="lt-LT" w:eastAsia="ja-JP"/>
        </w:rPr>
        <w:t xml:space="preserve">. Šiuos vaistinius preparatus vartojant kartu gali pasireikšti </w:t>
      </w:r>
      <w:proofErr w:type="spellStart"/>
      <w:r w:rsidRPr="00EE75B4">
        <w:rPr>
          <w:rFonts w:ascii="Times New Roman" w:eastAsia="Times New Roman" w:hAnsi="Times New Roman"/>
          <w:lang w:val="lt-LT" w:eastAsia="ja-JP"/>
        </w:rPr>
        <w:t>farmakodinaminė</w:t>
      </w:r>
      <w:proofErr w:type="spellEnd"/>
      <w:r w:rsidRPr="00EE75B4">
        <w:rPr>
          <w:rFonts w:ascii="Times New Roman" w:eastAsia="Times New Roman" w:hAnsi="Times New Roman"/>
          <w:lang w:val="lt-LT" w:eastAsia="ja-JP"/>
        </w:rPr>
        <w:t xml:space="preserve"> sąveika. Kai </w:t>
      </w:r>
      <w:r w:rsidRPr="00EE75B4">
        <w:rPr>
          <w:rFonts w:ascii="Times New Roman" w:hAnsi="Times New Roman"/>
          <w:lang w:val="lt-LT"/>
        </w:rPr>
        <w:t xml:space="preserve">kurie pacientai gydymo </w:t>
      </w:r>
      <w:r w:rsidRPr="00EE75B4">
        <w:rPr>
          <w:rFonts w:ascii="Times New Roman" w:eastAsia="Times New Roman" w:hAnsi="Times New Roman"/>
          <w:lang w:val="lt-LT" w:eastAsia="ja-JP"/>
        </w:rPr>
        <w:t>nesumažintomis šių abiejų</w:t>
      </w:r>
      <w:r w:rsidRPr="00EE75B4">
        <w:rPr>
          <w:rFonts w:ascii="Times New Roman" w:hAnsi="Times New Roman"/>
          <w:lang w:val="lt-LT"/>
        </w:rPr>
        <w:t xml:space="preserve"> vaistinių preparatų</w:t>
      </w:r>
      <w:r w:rsidRPr="00EE75B4">
        <w:rPr>
          <w:rFonts w:ascii="Times New Roman" w:eastAsia="Times New Roman" w:hAnsi="Times New Roman"/>
          <w:lang w:val="lt-LT" w:eastAsia="ja-JP"/>
        </w:rPr>
        <w:t xml:space="preserve"> dozėmis gali netoleruoti (žr. 4.4 skyrių).</w:t>
      </w:r>
    </w:p>
    <w:p w14:paraId="79885C96" w14:textId="77777777" w:rsidR="00D32ADB" w:rsidRPr="00EE75B4" w:rsidRDefault="00D32ADB" w:rsidP="005427AE">
      <w:pPr>
        <w:spacing w:after="0" w:line="240" w:lineRule="auto"/>
        <w:rPr>
          <w:rFonts w:ascii="Times New Roman" w:hAnsi="Times New Roman"/>
          <w:lang w:val="lt-LT"/>
        </w:rPr>
      </w:pPr>
    </w:p>
    <w:p w14:paraId="7F54E917" w14:textId="77777777" w:rsidR="00D32ADB" w:rsidRPr="00EE75B4" w:rsidRDefault="00D32ADB" w:rsidP="005427AE">
      <w:pPr>
        <w:spacing w:after="0" w:line="240" w:lineRule="auto"/>
        <w:rPr>
          <w:rFonts w:ascii="Times New Roman" w:eastAsia="Times New Roman" w:hAnsi="Times New Roman"/>
          <w:i/>
          <w:lang w:val="lt-LT" w:eastAsia="ja-JP"/>
        </w:rPr>
      </w:pPr>
      <w:r w:rsidRPr="00EE75B4">
        <w:rPr>
          <w:rFonts w:ascii="Times New Roman" w:eastAsia="Times New Roman" w:hAnsi="Times New Roman"/>
          <w:i/>
          <w:lang w:val="lt-LT" w:eastAsia="ja-JP"/>
        </w:rPr>
        <w:t>Kitos galimos vaistų sąveikos</w:t>
      </w:r>
    </w:p>
    <w:p w14:paraId="777F0845" w14:textId="77777777" w:rsidR="00D32ADB" w:rsidRPr="00EE75B4" w:rsidRDefault="00D32ADB" w:rsidP="005427AE">
      <w:pPr>
        <w:spacing w:after="0" w:line="240" w:lineRule="auto"/>
        <w:rPr>
          <w:rFonts w:ascii="Times New Roman" w:hAnsi="Times New Roman"/>
          <w:lang w:val="lt-LT"/>
        </w:rPr>
      </w:pPr>
      <w:r w:rsidRPr="00EE75B4">
        <w:rPr>
          <w:rFonts w:ascii="Times New Roman" w:eastAsia="Times New Roman" w:hAnsi="Times New Roman"/>
          <w:lang w:val="lt-LT" w:eastAsia="ja-JP"/>
        </w:rPr>
        <w:t>Kai</w:t>
      </w:r>
      <w:r w:rsidRPr="00EE75B4">
        <w:rPr>
          <w:rFonts w:ascii="Times New Roman" w:hAnsi="Times New Roman"/>
          <w:lang w:val="lt-LT"/>
        </w:rPr>
        <w:t xml:space="preserve"> </w:t>
      </w:r>
      <w:proofErr w:type="spellStart"/>
      <w:r w:rsidRPr="00EE75B4">
        <w:rPr>
          <w:rFonts w:ascii="Times New Roman" w:hAnsi="Times New Roman"/>
          <w:lang w:val="lt-LT"/>
        </w:rPr>
        <w:t>gancikloviras</w:t>
      </w:r>
      <w:proofErr w:type="spellEnd"/>
      <w:r w:rsidRPr="00EE75B4">
        <w:rPr>
          <w:rFonts w:ascii="Times New Roman" w:hAnsi="Times New Roman"/>
          <w:lang w:val="lt-LT"/>
        </w:rPr>
        <w:t xml:space="preserve"> </w:t>
      </w:r>
      <w:r w:rsidRPr="00EE75B4">
        <w:rPr>
          <w:rFonts w:ascii="Times New Roman" w:eastAsia="Times New Roman" w:hAnsi="Times New Roman"/>
          <w:lang w:val="lt-LT" w:eastAsia="ja-JP"/>
        </w:rPr>
        <w:t xml:space="preserve">ar </w:t>
      </w:r>
      <w:proofErr w:type="spellStart"/>
      <w:r w:rsidRPr="00EE75B4">
        <w:rPr>
          <w:rFonts w:ascii="Times New Roman" w:eastAsia="Times New Roman" w:hAnsi="Times New Roman"/>
          <w:lang w:val="lt-LT" w:eastAsia="ja-JP"/>
        </w:rPr>
        <w:t>valgancikloviras</w:t>
      </w:r>
      <w:proofErr w:type="spellEnd"/>
      <w:r w:rsidRPr="00EE75B4">
        <w:rPr>
          <w:rFonts w:ascii="Times New Roman" w:eastAsia="Times New Roman" w:hAnsi="Times New Roman"/>
          <w:lang w:val="lt-LT" w:eastAsia="ja-JP"/>
        </w:rPr>
        <w:t xml:space="preserve"> vartojamas kartu su kitais</w:t>
      </w:r>
      <w:r w:rsidRPr="00EE75B4">
        <w:rPr>
          <w:rFonts w:ascii="Times New Roman" w:hAnsi="Times New Roman"/>
          <w:lang w:val="lt-LT"/>
        </w:rPr>
        <w:t xml:space="preserve"> vaistiniais preparatais</w:t>
      </w:r>
      <w:r w:rsidRPr="00EE75B4">
        <w:rPr>
          <w:rFonts w:ascii="Times New Roman" w:eastAsia="Times New Roman" w:hAnsi="Times New Roman"/>
          <w:lang w:val="lt-LT" w:eastAsia="ja-JP"/>
        </w:rPr>
        <w:t>, žinomai slopinančiais kaulų čiulpus arba bloginančiais</w:t>
      </w:r>
      <w:r w:rsidRPr="00EE75B4">
        <w:rPr>
          <w:rFonts w:ascii="Times New Roman" w:hAnsi="Times New Roman"/>
          <w:lang w:val="lt-LT"/>
        </w:rPr>
        <w:t xml:space="preserve"> inkstų </w:t>
      </w:r>
      <w:r w:rsidRPr="00EE75B4">
        <w:rPr>
          <w:rFonts w:ascii="Times New Roman" w:eastAsia="Times New Roman" w:hAnsi="Times New Roman"/>
          <w:lang w:val="lt-LT" w:eastAsia="ja-JP"/>
        </w:rPr>
        <w:t xml:space="preserve">veiklą, toksinis poveikis </w:t>
      </w:r>
      <w:r w:rsidRPr="00EE75B4">
        <w:rPr>
          <w:rFonts w:ascii="Times New Roman" w:hAnsi="Times New Roman"/>
          <w:lang w:val="lt-LT"/>
        </w:rPr>
        <w:t xml:space="preserve">gali </w:t>
      </w:r>
      <w:r w:rsidRPr="00EE75B4">
        <w:rPr>
          <w:rFonts w:ascii="Times New Roman" w:eastAsia="Times New Roman" w:hAnsi="Times New Roman"/>
          <w:lang w:val="lt-LT" w:eastAsia="ja-JP"/>
        </w:rPr>
        <w:t xml:space="preserve">sustiprėti. Tokie vaistai yra </w:t>
      </w:r>
      <w:proofErr w:type="spellStart"/>
      <w:r w:rsidRPr="00EE75B4">
        <w:rPr>
          <w:rFonts w:ascii="Times New Roman" w:eastAsia="Times New Roman" w:hAnsi="Times New Roman"/>
          <w:lang w:val="lt-LT" w:eastAsia="ja-JP"/>
        </w:rPr>
        <w:t>nukleozidų</w:t>
      </w:r>
      <w:proofErr w:type="spellEnd"/>
      <w:r w:rsidRPr="00EE75B4">
        <w:rPr>
          <w:rFonts w:ascii="Times New Roman" w:hAnsi="Times New Roman"/>
          <w:lang w:val="lt-LT"/>
        </w:rPr>
        <w:t xml:space="preserve"> (pvz., </w:t>
      </w:r>
      <w:proofErr w:type="spellStart"/>
      <w:r w:rsidRPr="00EE75B4">
        <w:rPr>
          <w:rFonts w:ascii="Times New Roman" w:eastAsia="Times New Roman" w:hAnsi="Times New Roman"/>
          <w:lang w:val="lt-LT" w:eastAsia="ja-JP"/>
        </w:rPr>
        <w:t>zidovudinas</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didanozinas</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stavudinas</w:t>
      </w:r>
      <w:proofErr w:type="spellEnd"/>
      <w:r w:rsidRPr="00EE75B4">
        <w:rPr>
          <w:rFonts w:ascii="Times New Roman" w:eastAsia="Times New Roman" w:hAnsi="Times New Roman"/>
          <w:lang w:val="lt-LT" w:eastAsia="ja-JP"/>
        </w:rPr>
        <w:t xml:space="preserve">) ir nukleotidų analogai (pvz., </w:t>
      </w:r>
      <w:proofErr w:type="spellStart"/>
      <w:r w:rsidRPr="00EE75B4">
        <w:rPr>
          <w:rFonts w:ascii="Times New Roman" w:eastAsia="Times New Roman" w:hAnsi="Times New Roman"/>
          <w:lang w:val="lt-LT" w:eastAsia="ja-JP"/>
        </w:rPr>
        <w:t>tenofoviras</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adefoviras</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imunosupresantai</w:t>
      </w:r>
      <w:proofErr w:type="spellEnd"/>
      <w:r w:rsidRPr="00EE75B4">
        <w:rPr>
          <w:rFonts w:ascii="Times New Roman" w:eastAsia="Times New Roman" w:hAnsi="Times New Roman"/>
          <w:lang w:val="lt-LT" w:eastAsia="ja-JP"/>
        </w:rPr>
        <w:t xml:space="preserve"> (pvz., </w:t>
      </w:r>
      <w:proofErr w:type="spellStart"/>
      <w:r w:rsidRPr="00EE75B4">
        <w:rPr>
          <w:rFonts w:ascii="Times New Roman" w:eastAsia="Times New Roman" w:hAnsi="Times New Roman"/>
          <w:lang w:val="lt-LT" w:eastAsia="ja-JP"/>
        </w:rPr>
        <w:t>ciklosporinas</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takrolimuzas</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mikofenolato</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mofetilas</w:t>
      </w:r>
      <w:proofErr w:type="spellEnd"/>
      <w:r w:rsidRPr="00EE75B4">
        <w:rPr>
          <w:rFonts w:ascii="Times New Roman" w:eastAsia="Times New Roman" w:hAnsi="Times New Roman"/>
          <w:lang w:val="lt-LT" w:eastAsia="ja-JP"/>
        </w:rPr>
        <w:t xml:space="preserve">), priešvėžiniai preparatai (pvz., </w:t>
      </w:r>
      <w:proofErr w:type="spellStart"/>
      <w:r w:rsidRPr="00EE75B4">
        <w:rPr>
          <w:rFonts w:ascii="Times New Roman" w:eastAsia="Times New Roman" w:hAnsi="Times New Roman"/>
          <w:lang w:val="lt-LT" w:eastAsia="ja-JP"/>
        </w:rPr>
        <w:t>doksorubicinas</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vinblastinas</w:t>
      </w:r>
      <w:proofErr w:type="spellEnd"/>
      <w:r w:rsidRPr="00EE75B4">
        <w:rPr>
          <w:rFonts w:ascii="Times New Roman" w:eastAsia="Times New Roman" w:hAnsi="Times New Roman"/>
          <w:lang w:val="lt-LT" w:eastAsia="ja-JP"/>
        </w:rPr>
        <w:t xml:space="preserve">, </w:t>
      </w:r>
      <w:proofErr w:type="spellStart"/>
      <w:r w:rsidRPr="00EE75B4">
        <w:rPr>
          <w:rFonts w:ascii="Times New Roman" w:hAnsi="Times New Roman"/>
          <w:lang w:val="lt-LT"/>
        </w:rPr>
        <w:t>vinkristinas</w:t>
      </w:r>
      <w:proofErr w:type="spellEnd"/>
      <w:r w:rsidRPr="00EE75B4">
        <w:rPr>
          <w:rFonts w:ascii="Times New Roman" w:hAnsi="Times New Roman"/>
          <w:lang w:val="lt-LT"/>
        </w:rPr>
        <w:t xml:space="preserve">, </w:t>
      </w:r>
      <w:proofErr w:type="spellStart"/>
      <w:r w:rsidRPr="00EE75B4">
        <w:rPr>
          <w:rFonts w:ascii="Times New Roman" w:eastAsia="Times New Roman" w:hAnsi="Times New Roman"/>
          <w:lang w:val="lt-LT" w:eastAsia="ja-JP"/>
        </w:rPr>
        <w:t>hidroksikarbamidas</w:t>
      </w:r>
      <w:proofErr w:type="spellEnd"/>
      <w:r w:rsidRPr="00EE75B4">
        <w:rPr>
          <w:rFonts w:ascii="Times New Roman" w:eastAsia="Times New Roman" w:hAnsi="Times New Roman"/>
          <w:lang w:val="lt-LT" w:eastAsia="ja-JP"/>
        </w:rPr>
        <w:t xml:space="preserve">) ir </w:t>
      </w:r>
      <w:proofErr w:type="spellStart"/>
      <w:r w:rsidRPr="00EE75B4">
        <w:rPr>
          <w:rFonts w:ascii="Times New Roman" w:eastAsia="Times New Roman" w:hAnsi="Times New Roman"/>
          <w:lang w:val="lt-LT" w:eastAsia="ja-JP"/>
        </w:rPr>
        <w:t>antiinfekciniai</w:t>
      </w:r>
      <w:proofErr w:type="spellEnd"/>
      <w:r w:rsidRPr="00EE75B4">
        <w:rPr>
          <w:rFonts w:ascii="Times New Roman" w:eastAsia="Times New Roman" w:hAnsi="Times New Roman"/>
          <w:lang w:val="lt-LT" w:eastAsia="ja-JP"/>
        </w:rPr>
        <w:t xml:space="preserve"> preparatai (</w:t>
      </w:r>
      <w:proofErr w:type="spellStart"/>
      <w:r w:rsidRPr="00EE75B4">
        <w:rPr>
          <w:rFonts w:ascii="Times New Roman" w:hAnsi="Times New Roman"/>
          <w:lang w:val="lt-LT"/>
        </w:rPr>
        <w:t>trimetoprimo</w:t>
      </w:r>
      <w:proofErr w:type="spellEnd"/>
      <w:r w:rsidRPr="00EE75B4">
        <w:rPr>
          <w:rFonts w:ascii="Times New Roman" w:hAnsi="Times New Roman"/>
          <w:lang w:val="lt-LT"/>
        </w:rPr>
        <w:t xml:space="preserve"> ir </w:t>
      </w:r>
      <w:proofErr w:type="spellStart"/>
      <w:r w:rsidRPr="00EE75B4">
        <w:rPr>
          <w:rFonts w:ascii="Times New Roman" w:hAnsi="Times New Roman"/>
          <w:lang w:val="lt-LT"/>
        </w:rPr>
        <w:t>sulfonamidų</w:t>
      </w:r>
      <w:proofErr w:type="spellEnd"/>
      <w:r w:rsidRPr="00EE75B4">
        <w:rPr>
          <w:rFonts w:ascii="Times New Roman" w:hAnsi="Times New Roman"/>
          <w:lang w:val="lt-LT"/>
        </w:rPr>
        <w:t xml:space="preserve"> deriniai, </w:t>
      </w:r>
      <w:proofErr w:type="spellStart"/>
      <w:r w:rsidRPr="00EE75B4">
        <w:rPr>
          <w:rFonts w:ascii="Times New Roman" w:eastAsia="Times New Roman" w:hAnsi="Times New Roman"/>
          <w:lang w:val="lt-LT" w:eastAsia="ja-JP"/>
        </w:rPr>
        <w:t>dapsonas</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amfotericinas</w:t>
      </w:r>
      <w:proofErr w:type="spellEnd"/>
      <w:r w:rsidRPr="00EE75B4">
        <w:rPr>
          <w:rFonts w:ascii="Times New Roman" w:eastAsia="Times New Roman" w:hAnsi="Times New Roman"/>
          <w:lang w:val="lt-LT" w:eastAsia="ja-JP"/>
        </w:rPr>
        <w:t xml:space="preserve"> B, </w:t>
      </w:r>
      <w:proofErr w:type="spellStart"/>
      <w:r w:rsidRPr="00EE75B4">
        <w:rPr>
          <w:rFonts w:ascii="Times New Roman" w:eastAsia="Times New Roman" w:hAnsi="Times New Roman"/>
          <w:lang w:val="lt-LT" w:eastAsia="ja-JP"/>
        </w:rPr>
        <w:t>flucitozinas</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pentamidinas</w:t>
      </w:r>
      <w:proofErr w:type="spellEnd"/>
      <w:r w:rsidRPr="00EE75B4">
        <w:rPr>
          <w:rFonts w:ascii="Times New Roman" w:eastAsia="Times New Roman" w:hAnsi="Times New Roman"/>
          <w:lang w:val="lt-LT" w:eastAsia="ja-JP"/>
        </w:rPr>
        <w:t xml:space="preserve">). Taigi, kartu su </w:t>
      </w:r>
      <w:r w:rsidRPr="00EE75B4">
        <w:rPr>
          <w:rFonts w:ascii="Times New Roman" w:hAnsi="Times New Roman"/>
          <w:lang w:val="lt-LT"/>
        </w:rPr>
        <w:t xml:space="preserve">minėtais vaistiniais preparatais </w:t>
      </w:r>
      <w:r w:rsidRPr="00EE75B4">
        <w:rPr>
          <w:rFonts w:ascii="Times New Roman" w:eastAsia="Times New Roman" w:hAnsi="Times New Roman"/>
          <w:lang w:val="lt-LT" w:eastAsia="ja-JP"/>
        </w:rPr>
        <w:t xml:space="preserve">skirti </w:t>
      </w:r>
      <w:proofErr w:type="spellStart"/>
      <w:r w:rsidRPr="00EE75B4">
        <w:rPr>
          <w:rFonts w:ascii="Times New Roman" w:eastAsia="Times New Roman" w:hAnsi="Times New Roman"/>
          <w:lang w:val="lt-LT" w:eastAsia="ja-JP"/>
        </w:rPr>
        <w:t>valgancikloviro</w:t>
      </w:r>
      <w:proofErr w:type="spellEnd"/>
      <w:r w:rsidRPr="00EE75B4">
        <w:rPr>
          <w:rFonts w:ascii="Times New Roman" w:eastAsia="Times New Roman" w:hAnsi="Times New Roman"/>
          <w:lang w:val="lt-LT" w:eastAsia="ja-JP"/>
        </w:rPr>
        <w:t xml:space="preserve"> galima tik tada,</w:t>
      </w:r>
      <w:r w:rsidRPr="00EE75B4">
        <w:rPr>
          <w:rFonts w:ascii="Times New Roman" w:hAnsi="Times New Roman"/>
          <w:lang w:val="lt-LT"/>
        </w:rPr>
        <w:t xml:space="preserve"> jeigu </w:t>
      </w:r>
      <w:r w:rsidRPr="00EE75B4">
        <w:rPr>
          <w:rFonts w:ascii="Times New Roman" w:eastAsia="Times New Roman" w:hAnsi="Times New Roman"/>
          <w:lang w:val="lt-LT" w:eastAsia="ja-JP"/>
        </w:rPr>
        <w:t xml:space="preserve">manoma, kad </w:t>
      </w:r>
      <w:r w:rsidRPr="00EE75B4">
        <w:rPr>
          <w:rFonts w:ascii="Times New Roman" w:hAnsi="Times New Roman"/>
          <w:lang w:val="lt-LT"/>
        </w:rPr>
        <w:t xml:space="preserve">galima </w:t>
      </w:r>
      <w:r w:rsidRPr="00EE75B4">
        <w:rPr>
          <w:rFonts w:ascii="Times New Roman" w:eastAsia="Times New Roman" w:hAnsi="Times New Roman"/>
          <w:lang w:val="lt-LT" w:eastAsia="ja-JP"/>
        </w:rPr>
        <w:t xml:space="preserve">gydymo </w:t>
      </w:r>
      <w:r w:rsidRPr="00EE75B4">
        <w:rPr>
          <w:rFonts w:ascii="Times New Roman" w:hAnsi="Times New Roman"/>
          <w:lang w:val="lt-LT"/>
        </w:rPr>
        <w:t xml:space="preserve">nauda </w:t>
      </w:r>
      <w:r w:rsidRPr="00EE75B4">
        <w:rPr>
          <w:rFonts w:ascii="Times New Roman" w:eastAsia="Times New Roman" w:hAnsi="Times New Roman"/>
          <w:lang w:val="lt-LT" w:eastAsia="ja-JP"/>
        </w:rPr>
        <w:t>bus</w:t>
      </w:r>
      <w:r w:rsidRPr="00EE75B4">
        <w:rPr>
          <w:rFonts w:ascii="Times New Roman" w:hAnsi="Times New Roman"/>
          <w:lang w:val="lt-LT"/>
        </w:rPr>
        <w:t xml:space="preserve"> didesnė už galimą </w:t>
      </w:r>
      <w:r w:rsidRPr="00EE75B4">
        <w:rPr>
          <w:rFonts w:ascii="Times New Roman" w:eastAsia="Times New Roman" w:hAnsi="Times New Roman"/>
          <w:lang w:val="lt-LT" w:eastAsia="ja-JP"/>
        </w:rPr>
        <w:t>pavojų</w:t>
      </w:r>
      <w:r w:rsidRPr="00EE75B4">
        <w:rPr>
          <w:rFonts w:ascii="Times New Roman" w:hAnsi="Times New Roman"/>
          <w:lang w:val="lt-LT"/>
        </w:rPr>
        <w:t xml:space="preserve"> (žr. 4.4</w:t>
      </w:r>
      <w:r w:rsidRPr="00EE75B4">
        <w:rPr>
          <w:rFonts w:ascii="Times New Roman" w:eastAsia="Times New Roman" w:hAnsi="Times New Roman"/>
          <w:lang w:val="lt-LT" w:eastAsia="ja-JP"/>
        </w:rPr>
        <w:t xml:space="preserve"> </w:t>
      </w:r>
      <w:r w:rsidRPr="00EE75B4">
        <w:rPr>
          <w:rFonts w:ascii="Times New Roman" w:hAnsi="Times New Roman"/>
          <w:lang w:val="lt-LT"/>
        </w:rPr>
        <w:t>skyrių).</w:t>
      </w:r>
    </w:p>
    <w:p w14:paraId="7B9A1D66" w14:textId="77777777" w:rsidR="005427AE" w:rsidRPr="00EE75B4" w:rsidRDefault="005427AE" w:rsidP="005427AE">
      <w:pPr>
        <w:spacing w:after="0" w:line="240" w:lineRule="auto"/>
        <w:rPr>
          <w:rFonts w:ascii="Times New Roman" w:hAnsi="Times New Roman"/>
          <w:lang w:val="lt-LT"/>
        </w:rPr>
      </w:pPr>
    </w:p>
    <w:p w14:paraId="6266C9CA" w14:textId="77777777" w:rsidR="005427AE" w:rsidRPr="00EE75B4" w:rsidRDefault="005427AE" w:rsidP="005427AE">
      <w:pPr>
        <w:spacing w:after="0" w:line="240" w:lineRule="auto"/>
        <w:ind w:left="567" w:hanging="567"/>
        <w:outlineLvl w:val="1"/>
        <w:rPr>
          <w:rFonts w:ascii="Times New Roman" w:hAnsi="Times New Roman"/>
          <w:b/>
          <w:kern w:val="28"/>
          <w:lang w:val="lt-LT"/>
        </w:rPr>
      </w:pPr>
      <w:r w:rsidRPr="00EE75B4">
        <w:rPr>
          <w:rFonts w:ascii="Times New Roman" w:hAnsi="Times New Roman"/>
          <w:b/>
          <w:kern w:val="28"/>
          <w:lang w:val="lt-LT"/>
        </w:rPr>
        <w:t>4.6</w:t>
      </w:r>
      <w:r w:rsidRPr="00EE75B4">
        <w:rPr>
          <w:rFonts w:ascii="Times New Roman" w:hAnsi="Times New Roman"/>
          <w:b/>
          <w:kern w:val="28"/>
          <w:lang w:val="lt-LT"/>
        </w:rPr>
        <w:tab/>
        <w:t>Vaisingumas, nėštumo ir žindymo laikotarpis</w:t>
      </w:r>
    </w:p>
    <w:p w14:paraId="1C582E6A" w14:textId="77777777" w:rsidR="005427AE" w:rsidRPr="00EE75B4" w:rsidRDefault="005427AE" w:rsidP="005427AE">
      <w:pPr>
        <w:spacing w:after="0" w:line="240" w:lineRule="auto"/>
        <w:rPr>
          <w:rFonts w:ascii="Times New Roman" w:hAnsi="Times New Roman"/>
          <w:lang w:val="lt-LT"/>
        </w:rPr>
      </w:pPr>
    </w:p>
    <w:p w14:paraId="7DF95EC9"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Kontracepcija vyrams ir moterims</w:t>
      </w:r>
    </w:p>
    <w:p w14:paraId="62B653C2" w14:textId="77777777" w:rsidR="005427AE" w:rsidRPr="00EE75B4" w:rsidRDefault="00D32ADB" w:rsidP="005427AE">
      <w:pPr>
        <w:spacing w:after="0" w:line="240" w:lineRule="auto"/>
        <w:rPr>
          <w:rFonts w:ascii="Times New Roman" w:hAnsi="Times New Roman"/>
          <w:lang w:val="lt-LT"/>
        </w:rPr>
      </w:pPr>
      <w:r w:rsidRPr="00EE75B4">
        <w:rPr>
          <w:rFonts w:ascii="Times New Roman" w:eastAsia="Times New Roman" w:hAnsi="Times New Roman"/>
          <w:lang w:val="lt-LT" w:eastAsia="ja-JP"/>
        </w:rPr>
        <w:t xml:space="preserve">Dėl galimo toksinio ir </w:t>
      </w:r>
      <w:proofErr w:type="spellStart"/>
      <w:r w:rsidRPr="00EE75B4">
        <w:rPr>
          <w:rFonts w:ascii="Times New Roman" w:eastAsia="Times New Roman" w:hAnsi="Times New Roman"/>
          <w:lang w:val="lt-LT" w:eastAsia="ja-JP"/>
        </w:rPr>
        <w:t>teratogeninio</w:t>
      </w:r>
      <w:proofErr w:type="spellEnd"/>
      <w:r w:rsidRPr="00EE75B4">
        <w:rPr>
          <w:rFonts w:ascii="Times New Roman" w:eastAsia="Times New Roman" w:hAnsi="Times New Roman"/>
          <w:lang w:val="lt-LT" w:eastAsia="ja-JP"/>
        </w:rPr>
        <w:t xml:space="preserve"> poveikio vaisingoms moterims</w:t>
      </w:r>
      <w:r w:rsidRPr="00EE75B4">
        <w:rPr>
          <w:rFonts w:ascii="Times New Roman" w:hAnsi="Times New Roman"/>
          <w:lang w:val="lt-LT"/>
        </w:rPr>
        <w:t xml:space="preserve"> būtina </w:t>
      </w:r>
      <w:r w:rsidRPr="00EE75B4">
        <w:rPr>
          <w:rFonts w:ascii="Times New Roman" w:eastAsia="Times New Roman" w:hAnsi="Times New Roman"/>
          <w:lang w:val="lt-LT" w:eastAsia="ja-JP"/>
        </w:rPr>
        <w:t>pasiūlyti</w:t>
      </w:r>
      <w:r w:rsidRPr="00EE75B4">
        <w:rPr>
          <w:rFonts w:ascii="Times New Roman" w:hAnsi="Times New Roman"/>
          <w:lang w:val="lt-LT"/>
        </w:rPr>
        <w:t xml:space="preserve">, kad gydymo metu </w:t>
      </w:r>
      <w:r w:rsidRPr="00EE75B4">
        <w:rPr>
          <w:rFonts w:ascii="Times New Roman" w:eastAsia="Times New Roman" w:hAnsi="Times New Roman"/>
          <w:lang w:val="lt-LT" w:eastAsia="ja-JP"/>
        </w:rPr>
        <w:t>ir dar mažiausiai 30 dienų po gydymo pabaigos naudotųsi veiksminga kontracepcija. Pacientams vyrams būtina patarti, kad jis naudotų barjerines</w:t>
      </w:r>
      <w:r w:rsidRPr="00EE75B4">
        <w:rPr>
          <w:rFonts w:ascii="Times New Roman" w:hAnsi="Times New Roman"/>
          <w:lang w:val="lt-LT"/>
        </w:rPr>
        <w:t xml:space="preserve"> kontracepcijos </w:t>
      </w:r>
      <w:r w:rsidRPr="00EE75B4">
        <w:rPr>
          <w:rFonts w:ascii="Times New Roman" w:eastAsia="Times New Roman" w:hAnsi="Times New Roman"/>
          <w:lang w:val="lt-LT" w:eastAsia="ja-JP"/>
        </w:rPr>
        <w:t>priemones gydymo</w:t>
      </w:r>
      <w:r w:rsidRPr="00EE75B4">
        <w:rPr>
          <w:rFonts w:ascii="Times New Roman" w:hAnsi="Times New Roman"/>
          <w:lang w:val="lt-LT"/>
        </w:rPr>
        <w:t xml:space="preserve"> metu ir </w:t>
      </w:r>
      <w:r w:rsidRPr="00EE75B4">
        <w:rPr>
          <w:rFonts w:ascii="Times New Roman" w:eastAsia="Times New Roman" w:hAnsi="Times New Roman"/>
          <w:lang w:val="lt-LT" w:eastAsia="ja-JP"/>
        </w:rPr>
        <w:t xml:space="preserve">ne mažiau </w:t>
      </w:r>
      <w:r w:rsidRPr="00EE75B4">
        <w:rPr>
          <w:rFonts w:ascii="Times New Roman" w:eastAsia="Times New Roman" w:hAnsi="Times New Roman"/>
          <w:lang w:val="lt-LT" w:eastAsia="ja-JP"/>
        </w:rPr>
        <w:lastRenderedPageBreak/>
        <w:t>kaip</w:t>
      </w:r>
      <w:r w:rsidRPr="00EE75B4">
        <w:rPr>
          <w:rFonts w:ascii="Times New Roman" w:hAnsi="Times New Roman"/>
          <w:lang w:val="lt-LT"/>
        </w:rPr>
        <w:t xml:space="preserve"> 90</w:t>
      </w:r>
      <w:r w:rsidRPr="00EE75B4">
        <w:rPr>
          <w:rFonts w:ascii="Times New Roman" w:eastAsia="Times New Roman" w:hAnsi="Times New Roman"/>
          <w:lang w:val="lt-LT" w:eastAsia="ja-JP"/>
        </w:rPr>
        <w:t xml:space="preserve"> dienų po jo</w:t>
      </w:r>
      <w:r w:rsidRPr="00EE75B4">
        <w:rPr>
          <w:rFonts w:ascii="Times New Roman" w:hAnsi="Times New Roman"/>
          <w:lang w:val="lt-LT"/>
        </w:rPr>
        <w:t xml:space="preserve">, nebent </w:t>
      </w:r>
      <w:r w:rsidRPr="00EE75B4">
        <w:rPr>
          <w:rFonts w:ascii="Times New Roman" w:eastAsia="Times New Roman" w:hAnsi="Times New Roman"/>
          <w:lang w:val="lt-LT" w:eastAsia="ja-JP"/>
        </w:rPr>
        <w:t>jis yra užtikrintas</w:t>
      </w:r>
      <w:r w:rsidRPr="00EE75B4">
        <w:rPr>
          <w:rFonts w:ascii="Times New Roman" w:hAnsi="Times New Roman"/>
          <w:lang w:val="lt-LT"/>
        </w:rPr>
        <w:t xml:space="preserve">, kad </w:t>
      </w:r>
      <w:r w:rsidRPr="00EE75B4">
        <w:rPr>
          <w:rFonts w:ascii="Times New Roman" w:eastAsia="Times New Roman" w:hAnsi="Times New Roman"/>
          <w:lang w:val="lt-LT" w:eastAsia="ja-JP"/>
        </w:rPr>
        <w:t xml:space="preserve">jo </w:t>
      </w:r>
      <w:r w:rsidRPr="00EE75B4">
        <w:rPr>
          <w:rFonts w:ascii="Times New Roman" w:hAnsi="Times New Roman"/>
          <w:lang w:val="lt-LT"/>
        </w:rPr>
        <w:t xml:space="preserve">partnerei </w:t>
      </w:r>
      <w:r w:rsidRPr="00EE75B4">
        <w:rPr>
          <w:rFonts w:ascii="Times New Roman" w:eastAsia="Times New Roman" w:hAnsi="Times New Roman"/>
          <w:lang w:val="lt-LT" w:eastAsia="ja-JP"/>
        </w:rPr>
        <w:t xml:space="preserve">tikimybės pastoti </w:t>
      </w:r>
      <w:r w:rsidRPr="00EE75B4">
        <w:rPr>
          <w:rFonts w:ascii="Times New Roman" w:hAnsi="Times New Roman"/>
          <w:lang w:val="lt-LT"/>
        </w:rPr>
        <w:t xml:space="preserve">nėra </w:t>
      </w:r>
      <w:r w:rsidRPr="00EE75B4">
        <w:rPr>
          <w:rFonts w:ascii="Times New Roman" w:eastAsia="Times New Roman" w:hAnsi="Times New Roman"/>
          <w:lang w:val="lt-LT" w:eastAsia="ja-JP"/>
        </w:rPr>
        <w:t xml:space="preserve">(žr. 4.4 ir </w:t>
      </w:r>
      <w:r w:rsidRPr="00EE75B4">
        <w:rPr>
          <w:rFonts w:ascii="Times New Roman" w:hAnsi="Times New Roman"/>
          <w:lang w:val="lt-LT"/>
        </w:rPr>
        <w:t>5.3</w:t>
      </w:r>
      <w:r w:rsidRPr="00EE75B4">
        <w:rPr>
          <w:rFonts w:ascii="Times New Roman" w:eastAsia="Times New Roman" w:hAnsi="Times New Roman"/>
          <w:lang w:val="lt-LT" w:eastAsia="ja-JP"/>
        </w:rPr>
        <w:t xml:space="preserve"> </w:t>
      </w:r>
      <w:r w:rsidRPr="00EE75B4">
        <w:rPr>
          <w:rFonts w:ascii="Times New Roman" w:hAnsi="Times New Roman"/>
          <w:lang w:val="lt-LT"/>
        </w:rPr>
        <w:t>skyrių).</w:t>
      </w:r>
    </w:p>
    <w:p w14:paraId="07B8145E" w14:textId="77777777" w:rsidR="00D32ADB" w:rsidRPr="00EE75B4" w:rsidRDefault="00D32ADB" w:rsidP="005427AE">
      <w:pPr>
        <w:spacing w:after="0" w:line="240" w:lineRule="auto"/>
        <w:rPr>
          <w:rFonts w:ascii="Times New Roman" w:hAnsi="Times New Roman"/>
          <w:lang w:val="lt-LT"/>
        </w:rPr>
      </w:pPr>
    </w:p>
    <w:p w14:paraId="3BF21A4A"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Nėštumas</w:t>
      </w:r>
    </w:p>
    <w:p w14:paraId="51E74EF1" w14:textId="77777777" w:rsidR="005427AE" w:rsidRPr="00EE75B4" w:rsidRDefault="00D32ADB" w:rsidP="005427AE">
      <w:pPr>
        <w:spacing w:after="0" w:line="240" w:lineRule="auto"/>
        <w:rPr>
          <w:rFonts w:ascii="Times New Roman" w:hAnsi="Times New Roman"/>
          <w:lang w:val="lt-LT"/>
        </w:rPr>
      </w:pPr>
      <w:proofErr w:type="spellStart"/>
      <w:r w:rsidRPr="00EE75B4">
        <w:rPr>
          <w:rFonts w:ascii="Times New Roman" w:eastAsia="Times New Roman" w:hAnsi="Times New Roman"/>
          <w:lang w:val="lt-LT" w:eastAsia="ja-JP"/>
        </w:rPr>
        <w:t>V</w:t>
      </w:r>
      <w:r w:rsidR="005427AE" w:rsidRPr="00EE75B4">
        <w:rPr>
          <w:rFonts w:ascii="Times New Roman" w:eastAsia="Times New Roman" w:hAnsi="Times New Roman"/>
          <w:lang w:val="lt-LT" w:eastAsia="ja-JP"/>
        </w:rPr>
        <w:t>algancikloviro</w:t>
      </w:r>
      <w:proofErr w:type="spellEnd"/>
      <w:r w:rsidR="005427AE" w:rsidRPr="00EE75B4">
        <w:rPr>
          <w:rFonts w:ascii="Times New Roman" w:eastAsia="Times New Roman" w:hAnsi="Times New Roman"/>
          <w:lang w:val="lt-LT" w:eastAsia="ja-JP"/>
        </w:rPr>
        <w:t xml:space="preserve"> </w:t>
      </w:r>
      <w:r w:rsidRPr="00EE75B4">
        <w:rPr>
          <w:rFonts w:ascii="Times New Roman" w:eastAsia="Times New Roman" w:hAnsi="Times New Roman"/>
          <w:lang w:val="lt-LT" w:eastAsia="ja-JP"/>
        </w:rPr>
        <w:t>saugumas</w:t>
      </w:r>
      <w:r w:rsidRPr="00EE75B4">
        <w:rPr>
          <w:rFonts w:ascii="Times New Roman" w:hAnsi="Times New Roman"/>
          <w:lang w:val="lt-LT"/>
        </w:rPr>
        <w:t xml:space="preserve"> </w:t>
      </w:r>
      <w:r w:rsidR="005427AE" w:rsidRPr="00EE75B4">
        <w:rPr>
          <w:rFonts w:ascii="Times New Roman" w:hAnsi="Times New Roman"/>
          <w:lang w:val="lt-LT"/>
        </w:rPr>
        <w:t xml:space="preserve">nėštumo metu </w:t>
      </w:r>
      <w:r w:rsidRPr="00EE75B4">
        <w:rPr>
          <w:rFonts w:ascii="Times New Roman" w:eastAsia="Times New Roman" w:hAnsi="Times New Roman"/>
          <w:lang w:val="lt-LT" w:eastAsia="ja-JP"/>
        </w:rPr>
        <w:t>neištirtas</w:t>
      </w:r>
      <w:r w:rsidR="005427AE" w:rsidRPr="00EE75B4">
        <w:rPr>
          <w:rFonts w:ascii="Times New Roman" w:hAnsi="Times New Roman"/>
          <w:lang w:val="lt-LT"/>
        </w:rPr>
        <w:t xml:space="preserve">. Jo veiklusis metabolitas </w:t>
      </w:r>
      <w:proofErr w:type="spellStart"/>
      <w:r w:rsidR="005427AE" w:rsidRPr="00EE75B4">
        <w:rPr>
          <w:rFonts w:ascii="Times New Roman" w:hAnsi="Times New Roman"/>
          <w:lang w:val="lt-LT"/>
        </w:rPr>
        <w:t>gancikloviras</w:t>
      </w:r>
      <w:proofErr w:type="spellEnd"/>
      <w:r w:rsidR="005427AE" w:rsidRPr="00EE75B4">
        <w:rPr>
          <w:rFonts w:ascii="Times New Roman" w:hAnsi="Times New Roman"/>
          <w:lang w:val="lt-LT"/>
        </w:rPr>
        <w:t xml:space="preserve"> lengvai prasiskverbia per žmogaus placentą. Remiantis </w:t>
      </w:r>
      <w:proofErr w:type="spellStart"/>
      <w:r w:rsidR="005427AE" w:rsidRPr="00EE75B4">
        <w:rPr>
          <w:rFonts w:ascii="Times New Roman" w:hAnsi="Times New Roman"/>
          <w:lang w:val="lt-LT"/>
        </w:rPr>
        <w:t>gancikloviro</w:t>
      </w:r>
      <w:proofErr w:type="spellEnd"/>
      <w:r w:rsidR="005427AE" w:rsidRPr="00EE75B4">
        <w:rPr>
          <w:rFonts w:ascii="Times New Roman" w:hAnsi="Times New Roman"/>
          <w:lang w:val="lt-LT"/>
        </w:rPr>
        <w:t xml:space="preserve"> farmakologiniu veikimo mechanizmu ir tyrimuose su gyvūnais nustatytu </w:t>
      </w:r>
      <w:proofErr w:type="spellStart"/>
      <w:r w:rsidR="005427AE" w:rsidRPr="00EE75B4">
        <w:rPr>
          <w:rFonts w:ascii="Times New Roman" w:hAnsi="Times New Roman"/>
          <w:lang w:val="lt-LT"/>
        </w:rPr>
        <w:t>gancikloviro</w:t>
      </w:r>
      <w:proofErr w:type="spellEnd"/>
      <w:r w:rsidR="005427AE" w:rsidRPr="00EE75B4">
        <w:rPr>
          <w:rFonts w:ascii="Times New Roman" w:hAnsi="Times New Roman"/>
          <w:lang w:val="lt-LT"/>
        </w:rPr>
        <w:t xml:space="preserve"> toksiniu poveikiu reprodukcijai (žr. 5.3 skyrių), yra teorinė </w:t>
      </w:r>
      <w:proofErr w:type="spellStart"/>
      <w:r w:rsidR="005427AE" w:rsidRPr="00EE75B4">
        <w:rPr>
          <w:rFonts w:ascii="Times New Roman" w:hAnsi="Times New Roman"/>
          <w:lang w:val="lt-LT"/>
        </w:rPr>
        <w:t>teratogeninio</w:t>
      </w:r>
      <w:proofErr w:type="spellEnd"/>
      <w:r w:rsidR="005427AE" w:rsidRPr="00EE75B4">
        <w:rPr>
          <w:rFonts w:ascii="Times New Roman" w:hAnsi="Times New Roman"/>
          <w:lang w:val="lt-LT"/>
        </w:rPr>
        <w:t xml:space="preserve"> poveikio žmogui rizika. </w:t>
      </w:r>
    </w:p>
    <w:p w14:paraId="31CC4706" w14:textId="77777777" w:rsidR="005427AE" w:rsidRPr="00EE75B4" w:rsidRDefault="005427AE" w:rsidP="005427AE">
      <w:pPr>
        <w:spacing w:after="0" w:line="240" w:lineRule="auto"/>
        <w:rPr>
          <w:rFonts w:ascii="Times New Roman" w:hAnsi="Times New Roman"/>
          <w:lang w:val="lt-LT"/>
        </w:rPr>
      </w:pPr>
    </w:p>
    <w:p w14:paraId="04CD71FF"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nėštumo metu vartoti negalima, nebent gydymo nauda moteriai yra didesnė už galimą </w:t>
      </w:r>
      <w:proofErr w:type="spellStart"/>
      <w:r w:rsidRPr="00EE75B4">
        <w:rPr>
          <w:rFonts w:ascii="Times New Roman" w:hAnsi="Times New Roman"/>
          <w:lang w:val="lt-LT"/>
        </w:rPr>
        <w:t>teratogeninio</w:t>
      </w:r>
      <w:proofErr w:type="spellEnd"/>
      <w:r w:rsidRPr="00EE75B4">
        <w:rPr>
          <w:rFonts w:ascii="Times New Roman" w:hAnsi="Times New Roman"/>
          <w:lang w:val="lt-LT"/>
        </w:rPr>
        <w:t xml:space="preserve"> pakenkimo riziką </w:t>
      </w:r>
      <w:r w:rsidR="00EF3534" w:rsidRPr="00EE75B4">
        <w:rPr>
          <w:rFonts w:ascii="Times New Roman" w:eastAsia="Times New Roman" w:hAnsi="Times New Roman"/>
          <w:lang w:val="lt-LT" w:eastAsia="ja-JP"/>
        </w:rPr>
        <w:t>vaisiui</w:t>
      </w:r>
      <w:r w:rsidRPr="00EE75B4">
        <w:rPr>
          <w:rFonts w:ascii="Times New Roman" w:hAnsi="Times New Roman"/>
          <w:lang w:val="lt-LT"/>
        </w:rPr>
        <w:t>.</w:t>
      </w:r>
    </w:p>
    <w:p w14:paraId="589AFBAF" w14:textId="77777777" w:rsidR="005427AE" w:rsidRPr="00EE75B4" w:rsidRDefault="005427AE" w:rsidP="005427AE">
      <w:pPr>
        <w:spacing w:after="0" w:line="240" w:lineRule="auto"/>
        <w:rPr>
          <w:rFonts w:ascii="Times New Roman" w:hAnsi="Times New Roman"/>
          <w:lang w:val="lt-LT"/>
        </w:rPr>
      </w:pPr>
    </w:p>
    <w:p w14:paraId="4CB63D51"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u w:val="single"/>
          <w:lang w:val="lt-LT"/>
        </w:rPr>
        <w:t>Žindymas</w:t>
      </w:r>
    </w:p>
    <w:p w14:paraId="065B36FA" w14:textId="77777777" w:rsidR="005427AE" w:rsidRPr="00EE75B4" w:rsidRDefault="005427AE" w:rsidP="005427AE">
      <w:pPr>
        <w:spacing w:after="0" w:line="240" w:lineRule="auto"/>
        <w:rPr>
          <w:rFonts w:ascii="Times New Roman" w:hAnsi="Times New Roman"/>
          <w:spacing w:val="-2"/>
          <w:lang w:val="lt-LT"/>
        </w:rPr>
      </w:pPr>
      <w:r w:rsidRPr="00EE75B4">
        <w:rPr>
          <w:rFonts w:ascii="Times New Roman" w:hAnsi="Times New Roman"/>
          <w:lang w:val="lt-LT"/>
        </w:rPr>
        <w:t xml:space="preserve">Nežinoma, ar </w:t>
      </w:r>
      <w:proofErr w:type="spellStart"/>
      <w:r w:rsidRPr="00EE75B4">
        <w:rPr>
          <w:rFonts w:ascii="Times New Roman" w:hAnsi="Times New Roman"/>
          <w:lang w:val="lt-LT"/>
        </w:rPr>
        <w:t>gancikloviras</w:t>
      </w:r>
      <w:proofErr w:type="spellEnd"/>
      <w:r w:rsidRPr="00EE75B4">
        <w:rPr>
          <w:rFonts w:ascii="Times New Roman" w:hAnsi="Times New Roman"/>
          <w:lang w:val="lt-LT"/>
        </w:rPr>
        <w:t xml:space="preserve"> </w:t>
      </w:r>
      <w:r w:rsidR="00EF3534" w:rsidRPr="00EE75B4">
        <w:rPr>
          <w:rFonts w:ascii="Times New Roman" w:eastAsia="Times New Roman" w:hAnsi="Times New Roman"/>
          <w:snapToGrid w:val="0"/>
          <w:lang w:val="lt-LT" w:eastAsia="ja-JP"/>
        </w:rPr>
        <w:t>patenka į</w:t>
      </w:r>
      <w:r w:rsidRPr="00EE75B4">
        <w:rPr>
          <w:rFonts w:ascii="Times New Roman" w:hAnsi="Times New Roman"/>
          <w:lang w:val="lt-LT"/>
        </w:rPr>
        <w:t xml:space="preserve"> motinos </w:t>
      </w:r>
      <w:r w:rsidRPr="00EE75B4">
        <w:rPr>
          <w:rFonts w:ascii="Times New Roman" w:eastAsia="Times New Roman" w:hAnsi="Times New Roman"/>
          <w:snapToGrid w:val="0"/>
          <w:lang w:val="lt-LT" w:eastAsia="ja-JP"/>
        </w:rPr>
        <w:t>pien</w:t>
      </w:r>
      <w:r w:rsidR="00EF3534" w:rsidRPr="00EE75B4">
        <w:rPr>
          <w:rFonts w:ascii="Times New Roman" w:eastAsia="Times New Roman" w:hAnsi="Times New Roman"/>
          <w:snapToGrid w:val="0"/>
          <w:lang w:val="lt-LT" w:eastAsia="ja-JP"/>
        </w:rPr>
        <w:t>ą</w:t>
      </w:r>
      <w:r w:rsidRPr="00EE75B4">
        <w:rPr>
          <w:rFonts w:ascii="Times New Roman" w:hAnsi="Times New Roman"/>
          <w:lang w:val="lt-LT"/>
        </w:rPr>
        <w:t xml:space="preserve">, bet tokios galimybės, galinčios sukelti sunkių nepageidaujamų reakcijų žindomam kūdikiui ignoruoti negalima. </w:t>
      </w:r>
      <w:r w:rsidR="00EF3534" w:rsidRPr="00EE75B4">
        <w:rPr>
          <w:rFonts w:ascii="Times New Roman" w:eastAsia="Times New Roman" w:hAnsi="Times New Roman"/>
          <w:snapToGrid w:val="0"/>
          <w:lang w:val="lt-LT" w:eastAsia="ja-JP"/>
        </w:rPr>
        <w:t xml:space="preserve">Tyrimų su gyvūnais duomenys rodo, kad </w:t>
      </w:r>
      <w:proofErr w:type="spellStart"/>
      <w:r w:rsidR="00EF3534" w:rsidRPr="00EE75B4">
        <w:rPr>
          <w:rFonts w:ascii="Times New Roman" w:eastAsia="Times New Roman" w:hAnsi="Times New Roman"/>
          <w:snapToGrid w:val="0"/>
          <w:lang w:val="lt-LT" w:eastAsia="ja-JP"/>
        </w:rPr>
        <w:t>gancikloviras</w:t>
      </w:r>
      <w:proofErr w:type="spellEnd"/>
      <w:r w:rsidR="00EF3534" w:rsidRPr="00EE75B4">
        <w:rPr>
          <w:rFonts w:ascii="Times New Roman" w:eastAsia="Times New Roman" w:hAnsi="Times New Roman"/>
          <w:snapToGrid w:val="0"/>
          <w:lang w:val="lt-LT" w:eastAsia="ja-JP"/>
        </w:rPr>
        <w:t xml:space="preserve"> patenka į </w:t>
      </w:r>
      <w:proofErr w:type="spellStart"/>
      <w:r w:rsidR="00EF3534" w:rsidRPr="00EE75B4">
        <w:rPr>
          <w:rFonts w:ascii="Times New Roman" w:eastAsia="Times New Roman" w:hAnsi="Times New Roman"/>
          <w:snapToGrid w:val="0"/>
          <w:lang w:val="lt-LT" w:eastAsia="ja-JP"/>
        </w:rPr>
        <w:t>laktuojančių</w:t>
      </w:r>
      <w:proofErr w:type="spellEnd"/>
      <w:r w:rsidR="00EF3534" w:rsidRPr="00EE75B4">
        <w:rPr>
          <w:rFonts w:ascii="Times New Roman" w:eastAsia="Times New Roman" w:hAnsi="Times New Roman"/>
          <w:snapToGrid w:val="0"/>
          <w:lang w:val="lt-LT" w:eastAsia="ja-JP"/>
        </w:rPr>
        <w:t xml:space="preserve"> žiurkių patelių pieną.</w:t>
      </w:r>
      <w:r w:rsidR="00D56C77" w:rsidRPr="00EE75B4">
        <w:rPr>
          <w:rFonts w:ascii="Times New Roman" w:eastAsia="Times New Roman" w:hAnsi="Times New Roman"/>
          <w:snapToGrid w:val="0"/>
          <w:lang w:val="lt-LT" w:eastAsia="ja-JP"/>
        </w:rPr>
        <w:t xml:space="preserve"> </w:t>
      </w:r>
      <w:r w:rsidRPr="00EE75B4">
        <w:rPr>
          <w:rFonts w:ascii="Times New Roman" w:eastAsia="Times New Roman" w:hAnsi="Times New Roman"/>
          <w:spacing w:val="-2"/>
          <w:lang w:val="lt-LT" w:eastAsia="ja-JP"/>
        </w:rPr>
        <w:t>Taigi</w:t>
      </w:r>
      <w:r w:rsidR="00D56C77" w:rsidRPr="00EE75B4">
        <w:rPr>
          <w:rFonts w:ascii="Times New Roman" w:eastAsia="Times New Roman" w:hAnsi="Times New Roman"/>
          <w:spacing w:val="-2"/>
          <w:lang w:val="lt-LT" w:eastAsia="ja-JP"/>
        </w:rPr>
        <w:t xml:space="preserve"> gydymo </w:t>
      </w:r>
      <w:proofErr w:type="spellStart"/>
      <w:r w:rsidR="00D56C77" w:rsidRPr="00EE75B4">
        <w:rPr>
          <w:rFonts w:ascii="Times New Roman" w:eastAsia="Times New Roman" w:hAnsi="Times New Roman"/>
          <w:spacing w:val="-2"/>
          <w:lang w:val="lt-LT" w:eastAsia="ja-JP"/>
        </w:rPr>
        <w:t>valgancikloviru</w:t>
      </w:r>
      <w:proofErr w:type="spellEnd"/>
      <w:r w:rsidR="00D56C77" w:rsidRPr="00EE75B4">
        <w:rPr>
          <w:rFonts w:ascii="Times New Roman" w:eastAsia="Times New Roman" w:hAnsi="Times New Roman"/>
          <w:spacing w:val="-2"/>
          <w:lang w:val="lt-LT" w:eastAsia="ja-JP"/>
        </w:rPr>
        <w:t xml:space="preserve"> metu kūdikio</w:t>
      </w:r>
      <w:r w:rsidRPr="00EE75B4">
        <w:rPr>
          <w:rFonts w:ascii="Times New Roman" w:eastAsia="Times New Roman" w:hAnsi="Times New Roman"/>
          <w:spacing w:val="-2"/>
          <w:lang w:val="lt-LT" w:eastAsia="ja-JP"/>
        </w:rPr>
        <w:t xml:space="preserve"> žindymas turi būti nutrauktas </w:t>
      </w:r>
      <w:r w:rsidRPr="00EE75B4">
        <w:rPr>
          <w:rFonts w:ascii="Times New Roman" w:eastAsia="Times New Roman" w:hAnsi="Times New Roman"/>
          <w:lang w:val="lt-LT" w:eastAsia="ja-JP"/>
        </w:rPr>
        <w:t xml:space="preserve">(žr. 4.3 </w:t>
      </w:r>
      <w:r w:rsidR="00D56C77" w:rsidRPr="00EE75B4">
        <w:rPr>
          <w:rFonts w:ascii="Times New Roman" w:eastAsia="Times New Roman" w:hAnsi="Times New Roman"/>
          <w:lang w:val="lt-LT" w:eastAsia="ja-JP"/>
        </w:rPr>
        <w:t xml:space="preserve">ir 5.3 </w:t>
      </w:r>
      <w:r w:rsidRPr="00EE75B4">
        <w:rPr>
          <w:rFonts w:ascii="Times New Roman" w:eastAsia="Times New Roman" w:hAnsi="Times New Roman"/>
          <w:lang w:val="lt-LT" w:eastAsia="ja-JP"/>
        </w:rPr>
        <w:t>skyri</w:t>
      </w:r>
      <w:r w:rsidR="00D56C77" w:rsidRPr="00EE75B4">
        <w:rPr>
          <w:rFonts w:ascii="Times New Roman" w:eastAsia="Times New Roman" w:hAnsi="Times New Roman"/>
          <w:lang w:val="lt-LT" w:eastAsia="ja-JP"/>
        </w:rPr>
        <w:t>us</w:t>
      </w:r>
      <w:r w:rsidRPr="00EE75B4">
        <w:rPr>
          <w:rFonts w:ascii="Times New Roman" w:eastAsia="Times New Roman" w:hAnsi="Times New Roman"/>
          <w:lang w:val="lt-LT" w:eastAsia="ja-JP"/>
        </w:rPr>
        <w:t>)</w:t>
      </w:r>
      <w:r w:rsidRPr="00EE75B4">
        <w:rPr>
          <w:rFonts w:ascii="Times New Roman" w:eastAsia="Times New Roman" w:hAnsi="Times New Roman"/>
          <w:spacing w:val="-2"/>
          <w:lang w:val="lt-LT" w:eastAsia="ja-JP"/>
        </w:rPr>
        <w:t>.</w:t>
      </w:r>
    </w:p>
    <w:p w14:paraId="7458D388" w14:textId="77777777" w:rsidR="005427AE" w:rsidRPr="00EE75B4" w:rsidRDefault="005427AE" w:rsidP="005427AE">
      <w:pPr>
        <w:spacing w:after="0" w:line="240" w:lineRule="auto"/>
        <w:rPr>
          <w:rFonts w:ascii="Times New Roman" w:hAnsi="Times New Roman"/>
          <w:lang w:val="lt-LT"/>
        </w:rPr>
      </w:pPr>
    </w:p>
    <w:p w14:paraId="0EB809E3"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Vaisingumas</w:t>
      </w:r>
    </w:p>
    <w:p w14:paraId="455FF825" w14:textId="77777777" w:rsidR="008D501E" w:rsidRPr="00EE75B4" w:rsidRDefault="008D501E" w:rsidP="008D501E">
      <w:pPr>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 xml:space="preserve">Nedidelio klinikinio tyrimo su pacientais, kuriems buvo persodintas inkstas, CMV profilaktikai laikotarpiu iki 200 dienų vartojusiems </w:t>
      </w:r>
      <w:proofErr w:type="spellStart"/>
      <w:r w:rsidRPr="00EE75B4">
        <w:rPr>
          <w:rFonts w:ascii="Times New Roman" w:eastAsia="Times New Roman" w:hAnsi="Times New Roman"/>
          <w:lang w:val="lt-LT" w:eastAsia="ja-JP"/>
        </w:rPr>
        <w:t>Valganciclovir</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Accord</w:t>
      </w:r>
      <w:proofErr w:type="spellEnd"/>
      <w:r w:rsidRPr="00EE75B4">
        <w:rPr>
          <w:rFonts w:ascii="Times New Roman" w:eastAsia="Times New Roman" w:hAnsi="Times New Roman"/>
          <w:lang w:val="lt-LT" w:eastAsia="ja-JP"/>
        </w:rPr>
        <w:t xml:space="preserve">, metu buvo stebėtas </w:t>
      </w:r>
      <w:proofErr w:type="spellStart"/>
      <w:r w:rsidRPr="00EE75B4">
        <w:rPr>
          <w:rFonts w:ascii="Times New Roman" w:eastAsia="Times New Roman" w:hAnsi="Times New Roman"/>
          <w:lang w:val="lt-LT" w:eastAsia="ja-JP"/>
        </w:rPr>
        <w:t>valgancikloviro</w:t>
      </w:r>
      <w:proofErr w:type="spellEnd"/>
      <w:r w:rsidRPr="00EE75B4">
        <w:rPr>
          <w:rFonts w:ascii="Times New Roman" w:eastAsia="Times New Roman" w:hAnsi="Times New Roman"/>
          <w:lang w:val="lt-LT" w:eastAsia="ja-JP"/>
        </w:rPr>
        <w:t xml:space="preserve"> poveikis </w:t>
      </w:r>
      <w:proofErr w:type="spellStart"/>
      <w:r w:rsidRPr="00EE75B4">
        <w:rPr>
          <w:rFonts w:ascii="Times New Roman" w:eastAsia="Times New Roman" w:hAnsi="Times New Roman"/>
          <w:lang w:val="lt-LT" w:eastAsia="ja-JP"/>
        </w:rPr>
        <w:t>spermatogenezei</w:t>
      </w:r>
      <w:proofErr w:type="spellEnd"/>
      <w:r w:rsidRPr="00EE75B4">
        <w:rPr>
          <w:rFonts w:ascii="Times New Roman" w:eastAsia="Times New Roman" w:hAnsi="Times New Roman"/>
          <w:lang w:val="lt-LT" w:eastAsia="ja-JP"/>
        </w:rPr>
        <w:t xml:space="preserve">, pasireiškęs sumažėjusiu spermos tankiu ir judrumu, išmatuotais baigus gydymą. Nustatytas šio poveikio grįžtamumas ir praėjus maždaug šešiems mėnesiams po </w:t>
      </w:r>
      <w:proofErr w:type="spellStart"/>
      <w:r w:rsidRPr="00EE75B4">
        <w:rPr>
          <w:rFonts w:ascii="Times New Roman" w:eastAsia="Times New Roman" w:hAnsi="Times New Roman"/>
          <w:lang w:val="lt-LT" w:eastAsia="ja-JP"/>
        </w:rPr>
        <w:t>Valganciclovir</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Accord</w:t>
      </w:r>
      <w:proofErr w:type="spellEnd"/>
      <w:r w:rsidRPr="00EE75B4">
        <w:rPr>
          <w:rFonts w:ascii="Times New Roman" w:eastAsia="Times New Roman" w:hAnsi="Times New Roman"/>
          <w:lang w:val="lt-LT" w:eastAsia="ja-JP"/>
        </w:rPr>
        <w:t xml:space="preserve"> vartojimo pabaigos, vidutinis spermos tankis ir </w:t>
      </w:r>
      <w:proofErr w:type="spellStart"/>
      <w:r w:rsidRPr="00EE75B4">
        <w:rPr>
          <w:rFonts w:ascii="Times New Roman" w:eastAsia="Times New Roman" w:hAnsi="Times New Roman"/>
          <w:lang w:val="lt-LT" w:eastAsia="ja-JP"/>
        </w:rPr>
        <w:t>judumas</w:t>
      </w:r>
      <w:proofErr w:type="spellEnd"/>
      <w:r w:rsidRPr="00EE75B4">
        <w:rPr>
          <w:rFonts w:ascii="Times New Roman" w:eastAsia="Times New Roman" w:hAnsi="Times New Roman"/>
          <w:lang w:val="lt-LT" w:eastAsia="ja-JP"/>
        </w:rPr>
        <w:t xml:space="preserve"> atsistatė iki lygio, nustatyto atliekant tyrimus iki gydymo pradžios.</w:t>
      </w:r>
    </w:p>
    <w:p w14:paraId="0DBF8381" w14:textId="77777777" w:rsidR="008D501E" w:rsidRPr="00EE75B4" w:rsidRDefault="008D501E" w:rsidP="008D501E">
      <w:pPr>
        <w:spacing w:after="0" w:line="240" w:lineRule="auto"/>
        <w:rPr>
          <w:rFonts w:ascii="Times New Roman" w:eastAsia="Times New Roman" w:hAnsi="Times New Roman"/>
          <w:lang w:val="lt-LT" w:eastAsia="ja-JP"/>
        </w:rPr>
      </w:pPr>
    </w:p>
    <w:p w14:paraId="07249A19" w14:textId="77777777" w:rsidR="008D501E" w:rsidRPr="00EE75B4" w:rsidRDefault="008D501E" w:rsidP="008D501E">
      <w:pPr>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 xml:space="preserve">Tyrimų su gyvūnais metu </w:t>
      </w:r>
      <w:proofErr w:type="spellStart"/>
      <w:r w:rsidRPr="00EE75B4">
        <w:rPr>
          <w:rFonts w:ascii="Times New Roman" w:eastAsia="Times New Roman" w:hAnsi="Times New Roman"/>
          <w:lang w:val="lt-LT" w:eastAsia="ja-JP"/>
        </w:rPr>
        <w:t>gancikloviras</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susilpnino</w:t>
      </w:r>
      <w:proofErr w:type="spellEnd"/>
      <w:r w:rsidRPr="00EE75B4">
        <w:rPr>
          <w:rFonts w:ascii="Times New Roman" w:eastAsia="Times New Roman" w:hAnsi="Times New Roman"/>
          <w:lang w:val="lt-LT" w:eastAsia="ja-JP"/>
        </w:rPr>
        <w:t xml:space="preserve"> pelių patinėlių ir patelių vaisingumą ir buvo nustatyta, kad jis slopina </w:t>
      </w:r>
      <w:proofErr w:type="spellStart"/>
      <w:r w:rsidRPr="00EE75B4">
        <w:rPr>
          <w:rFonts w:ascii="Times New Roman" w:eastAsia="Times New Roman" w:hAnsi="Times New Roman"/>
          <w:lang w:val="lt-LT" w:eastAsia="ja-JP"/>
        </w:rPr>
        <w:t>spermatogenezę</w:t>
      </w:r>
      <w:proofErr w:type="spellEnd"/>
      <w:r w:rsidRPr="00EE75B4">
        <w:rPr>
          <w:rFonts w:ascii="Times New Roman" w:eastAsia="Times New Roman" w:hAnsi="Times New Roman"/>
          <w:lang w:val="lt-LT" w:eastAsia="ja-JP"/>
        </w:rPr>
        <w:t xml:space="preserve"> ir, vartojant kliniškai reikšmingomis dozėmis, sukelia sėklidžių atrofiją pelėms, žiurkėms ir šunims.</w:t>
      </w:r>
    </w:p>
    <w:p w14:paraId="22386755" w14:textId="77777777" w:rsidR="008D501E" w:rsidRPr="00EE75B4" w:rsidRDefault="008D501E" w:rsidP="008D501E">
      <w:pPr>
        <w:spacing w:after="0" w:line="240" w:lineRule="auto"/>
        <w:rPr>
          <w:rFonts w:ascii="Times New Roman" w:eastAsia="Times New Roman" w:hAnsi="Times New Roman"/>
          <w:lang w:val="lt-LT" w:eastAsia="ja-JP"/>
        </w:rPr>
      </w:pPr>
    </w:p>
    <w:p w14:paraId="68E0EED5" w14:textId="77777777" w:rsidR="008D501E" w:rsidRPr="00EE75B4" w:rsidRDefault="008D501E" w:rsidP="008D501E">
      <w:pPr>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 xml:space="preserve">Remiantis klinikiniais ir neklinikinių tyrimų duomenimis, laikoma tikėtinu, kad </w:t>
      </w:r>
      <w:proofErr w:type="spellStart"/>
      <w:r w:rsidRPr="00EE75B4">
        <w:rPr>
          <w:rFonts w:ascii="Times New Roman" w:eastAsia="Times New Roman" w:hAnsi="Times New Roman"/>
          <w:lang w:val="lt-LT" w:eastAsia="ja-JP"/>
        </w:rPr>
        <w:t>gancikloviras</w:t>
      </w:r>
      <w:proofErr w:type="spellEnd"/>
      <w:r w:rsidRPr="00EE75B4">
        <w:rPr>
          <w:rFonts w:ascii="Times New Roman" w:eastAsia="Times New Roman" w:hAnsi="Times New Roman"/>
          <w:lang w:val="lt-LT" w:eastAsia="ja-JP"/>
        </w:rPr>
        <w:t xml:space="preserve"> (ir </w:t>
      </w:r>
      <w:proofErr w:type="spellStart"/>
      <w:r w:rsidRPr="00EE75B4">
        <w:rPr>
          <w:rFonts w:ascii="Times New Roman" w:eastAsia="Times New Roman" w:hAnsi="Times New Roman"/>
          <w:lang w:val="lt-LT" w:eastAsia="ja-JP"/>
        </w:rPr>
        <w:t>valgancikloviras</w:t>
      </w:r>
      <w:proofErr w:type="spellEnd"/>
      <w:r w:rsidRPr="00EE75B4">
        <w:rPr>
          <w:rFonts w:ascii="Times New Roman" w:eastAsia="Times New Roman" w:hAnsi="Times New Roman"/>
          <w:lang w:val="lt-LT" w:eastAsia="ja-JP"/>
        </w:rPr>
        <w:t xml:space="preserve">) gali sukelti laikiną arba nuolatinį žmogaus </w:t>
      </w:r>
      <w:proofErr w:type="spellStart"/>
      <w:r w:rsidRPr="00EE75B4">
        <w:rPr>
          <w:rFonts w:ascii="Times New Roman" w:eastAsia="Times New Roman" w:hAnsi="Times New Roman"/>
          <w:lang w:val="lt-LT" w:eastAsia="ja-JP"/>
        </w:rPr>
        <w:t>spermatogenezės</w:t>
      </w:r>
      <w:proofErr w:type="spellEnd"/>
      <w:r w:rsidRPr="00EE75B4">
        <w:rPr>
          <w:rFonts w:ascii="Times New Roman" w:eastAsia="Times New Roman" w:hAnsi="Times New Roman"/>
          <w:lang w:val="lt-LT" w:eastAsia="ja-JP"/>
        </w:rPr>
        <w:t xml:space="preserve"> slopinimą (žr. 4.4 ir 5.3 skyrius).</w:t>
      </w:r>
    </w:p>
    <w:p w14:paraId="1837621C" w14:textId="77777777" w:rsidR="005427AE" w:rsidRPr="00EE75B4" w:rsidRDefault="005427AE" w:rsidP="005427AE">
      <w:pPr>
        <w:spacing w:after="0" w:line="240" w:lineRule="auto"/>
        <w:rPr>
          <w:rFonts w:ascii="Times New Roman" w:hAnsi="Times New Roman"/>
          <w:lang w:val="lt-LT"/>
        </w:rPr>
      </w:pPr>
    </w:p>
    <w:p w14:paraId="1FBB81E6" w14:textId="77777777" w:rsidR="005427AE" w:rsidRPr="00EE75B4" w:rsidRDefault="005427AE" w:rsidP="005427AE">
      <w:pPr>
        <w:spacing w:after="0" w:line="240" w:lineRule="auto"/>
        <w:ind w:left="567" w:hanging="567"/>
        <w:outlineLvl w:val="1"/>
        <w:rPr>
          <w:rFonts w:ascii="Times New Roman" w:hAnsi="Times New Roman"/>
          <w:b/>
          <w:kern w:val="28"/>
          <w:lang w:val="lt-LT"/>
        </w:rPr>
      </w:pPr>
      <w:r w:rsidRPr="00EE75B4">
        <w:rPr>
          <w:rFonts w:ascii="Times New Roman" w:hAnsi="Times New Roman"/>
          <w:b/>
          <w:kern w:val="28"/>
          <w:lang w:val="lt-LT"/>
        </w:rPr>
        <w:t>4.7</w:t>
      </w:r>
      <w:r w:rsidRPr="00EE75B4">
        <w:rPr>
          <w:rFonts w:ascii="Times New Roman" w:hAnsi="Times New Roman"/>
          <w:b/>
          <w:kern w:val="28"/>
          <w:lang w:val="lt-LT"/>
        </w:rPr>
        <w:tab/>
        <w:t>Poveikis gebėjimui vairuoti ir valdyti mechanizmus</w:t>
      </w:r>
    </w:p>
    <w:p w14:paraId="77731118" w14:textId="77777777" w:rsidR="005427AE" w:rsidRPr="00EE75B4" w:rsidRDefault="005427AE" w:rsidP="005427AE">
      <w:pPr>
        <w:spacing w:after="0" w:line="240" w:lineRule="auto"/>
        <w:rPr>
          <w:rFonts w:ascii="Times New Roman" w:hAnsi="Times New Roman"/>
          <w:lang w:val="lt-LT"/>
        </w:rPr>
      </w:pPr>
    </w:p>
    <w:p w14:paraId="1463BCEF"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Poveikis gebėjimui vairuoti ir valdyti mechanizmus netirtas.</w:t>
      </w:r>
    </w:p>
    <w:p w14:paraId="5153D000" w14:textId="77777777" w:rsidR="005427AE" w:rsidRPr="00EE75B4" w:rsidRDefault="005427AE" w:rsidP="005427AE">
      <w:pPr>
        <w:spacing w:after="0" w:line="240" w:lineRule="auto"/>
        <w:jc w:val="both"/>
        <w:rPr>
          <w:rFonts w:ascii="Times New Roman" w:hAnsi="Times New Roman"/>
          <w:lang w:val="lt-LT"/>
        </w:rPr>
      </w:pPr>
    </w:p>
    <w:p w14:paraId="175F6C2A" w14:textId="3CCF1253" w:rsidR="005427AE" w:rsidRPr="00EE75B4" w:rsidRDefault="005427AE" w:rsidP="005427AE">
      <w:pPr>
        <w:keepNext/>
        <w:keepLines/>
        <w:spacing w:after="0" w:line="240" w:lineRule="auto"/>
        <w:rPr>
          <w:rFonts w:ascii="Times New Roman" w:hAnsi="Times New Roman"/>
          <w:lang w:val="lt-LT"/>
        </w:rPr>
      </w:pPr>
      <w:r w:rsidRPr="00EE75B4">
        <w:rPr>
          <w:rFonts w:ascii="Times New Roman" w:hAnsi="Times New Roman"/>
          <w:lang w:val="lt-LT"/>
        </w:rPr>
        <w:t xml:space="preserve">Gauta pranešimų apie </w:t>
      </w:r>
      <w:r w:rsidR="008D501E" w:rsidRPr="00EE75B4">
        <w:rPr>
          <w:rFonts w:ascii="Times New Roman" w:eastAsia="Times New Roman" w:hAnsi="Times New Roman"/>
          <w:lang w:val="lt-LT" w:eastAsia="ja-JP"/>
        </w:rPr>
        <w:t xml:space="preserve">šalutinį poveikį, pavyzdžiui, </w:t>
      </w:r>
      <w:r w:rsidRPr="00EE75B4">
        <w:rPr>
          <w:rFonts w:ascii="Times New Roman" w:hAnsi="Times New Roman"/>
          <w:lang w:val="lt-LT"/>
        </w:rPr>
        <w:t xml:space="preserve">pasireiškusius </w:t>
      </w:r>
      <w:r w:rsidR="008D501E" w:rsidRPr="00EE75B4">
        <w:rPr>
          <w:rFonts w:ascii="Times New Roman" w:eastAsia="Times New Roman" w:hAnsi="Times New Roman"/>
          <w:lang w:val="lt-LT" w:eastAsia="ja-JP"/>
        </w:rPr>
        <w:t>priepuolius</w:t>
      </w:r>
      <w:r w:rsidRPr="00EE75B4">
        <w:rPr>
          <w:rFonts w:ascii="Times New Roman" w:hAnsi="Times New Roman"/>
          <w:lang w:val="lt-LT"/>
        </w:rPr>
        <w:t xml:space="preserve">, svaigulį ir sumišimą, susijusius su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ir (arba)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vartojimu. Jeigu jie pasireiškia, toks poveikis gali paveikti budrumo reikalaujančias užduotis, įskaitant paciento gebėjimą vairuoti ir valdyti mechanizmus.</w:t>
      </w:r>
    </w:p>
    <w:p w14:paraId="42C54AC5" w14:textId="77777777" w:rsidR="005427AE" w:rsidRPr="00EE75B4" w:rsidRDefault="005427AE" w:rsidP="005427AE">
      <w:pPr>
        <w:spacing w:after="0" w:line="240" w:lineRule="auto"/>
        <w:ind w:left="567" w:hanging="567"/>
        <w:outlineLvl w:val="1"/>
        <w:rPr>
          <w:rFonts w:ascii="Times New Roman" w:hAnsi="Times New Roman"/>
          <w:b/>
          <w:kern w:val="28"/>
          <w:lang w:val="lt-LT"/>
        </w:rPr>
      </w:pPr>
    </w:p>
    <w:p w14:paraId="25D2344B" w14:textId="77777777" w:rsidR="005427AE" w:rsidRPr="00EE75B4" w:rsidRDefault="005427AE" w:rsidP="005427AE">
      <w:pPr>
        <w:keepNext/>
        <w:spacing w:after="0" w:line="240" w:lineRule="auto"/>
        <w:ind w:left="567" w:hanging="567"/>
        <w:outlineLvl w:val="1"/>
        <w:rPr>
          <w:rFonts w:ascii="Times New Roman" w:hAnsi="Times New Roman"/>
          <w:b/>
          <w:kern w:val="28"/>
          <w:lang w:val="lt-LT"/>
        </w:rPr>
      </w:pPr>
      <w:r w:rsidRPr="00EE75B4">
        <w:rPr>
          <w:rFonts w:ascii="Times New Roman" w:hAnsi="Times New Roman"/>
          <w:b/>
          <w:kern w:val="28"/>
          <w:lang w:val="lt-LT"/>
        </w:rPr>
        <w:t>4.8</w:t>
      </w:r>
      <w:r w:rsidRPr="00EE75B4">
        <w:rPr>
          <w:rFonts w:ascii="Times New Roman" w:hAnsi="Times New Roman"/>
          <w:b/>
          <w:kern w:val="28"/>
          <w:lang w:val="lt-LT"/>
        </w:rPr>
        <w:tab/>
        <w:t>Nepageidaujamas poveikis</w:t>
      </w:r>
    </w:p>
    <w:p w14:paraId="0C2CFB17" w14:textId="77777777" w:rsidR="005427AE" w:rsidRPr="00EE75B4" w:rsidRDefault="005427AE" w:rsidP="005427AE">
      <w:pPr>
        <w:spacing w:after="0" w:line="240" w:lineRule="auto"/>
        <w:rPr>
          <w:rFonts w:ascii="Times New Roman" w:hAnsi="Times New Roman"/>
          <w:lang w:val="lt-LT"/>
        </w:rPr>
      </w:pPr>
    </w:p>
    <w:p w14:paraId="34A94CAA"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a) Saugumo duomenų santrauka</w:t>
      </w:r>
    </w:p>
    <w:p w14:paraId="5DEEEF25" w14:textId="2AC2A060" w:rsidR="00FE43E2"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Išgertas </w:t>
      </w:r>
      <w:proofErr w:type="spellStart"/>
      <w:r w:rsidRPr="00EE75B4">
        <w:rPr>
          <w:rFonts w:ascii="Times New Roman" w:hAnsi="Times New Roman"/>
          <w:lang w:val="lt-LT"/>
        </w:rPr>
        <w:t>valgancikloviras</w:t>
      </w:r>
      <w:proofErr w:type="spellEnd"/>
      <w:r w:rsidRPr="00EE75B4">
        <w:rPr>
          <w:rFonts w:ascii="Times New Roman" w:hAnsi="Times New Roman"/>
          <w:lang w:val="lt-LT"/>
        </w:rPr>
        <w:t xml:space="preserve"> greitai ir ekstensyviai </w:t>
      </w:r>
      <w:proofErr w:type="spellStart"/>
      <w:r w:rsidRPr="00EE75B4">
        <w:rPr>
          <w:rFonts w:ascii="Times New Roman" w:hAnsi="Times New Roman"/>
          <w:lang w:val="lt-LT"/>
        </w:rPr>
        <w:t>metabolizuojamas</w:t>
      </w:r>
      <w:proofErr w:type="spellEnd"/>
      <w:r w:rsidRPr="00EE75B4">
        <w:rPr>
          <w:rFonts w:ascii="Times New Roman" w:hAnsi="Times New Roman"/>
          <w:lang w:val="lt-LT"/>
        </w:rPr>
        <w:t xml:space="preserve"> į </w:t>
      </w:r>
      <w:proofErr w:type="spellStart"/>
      <w:r w:rsidRPr="00EE75B4">
        <w:rPr>
          <w:rFonts w:ascii="Times New Roman" w:hAnsi="Times New Roman"/>
          <w:lang w:val="lt-LT"/>
        </w:rPr>
        <w:t>ganciklovirą</w:t>
      </w:r>
      <w:proofErr w:type="spellEnd"/>
      <w:r w:rsidRPr="00EE75B4">
        <w:rPr>
          <w:rFonts w:ascii="Times New Roman" w:hAnsi="Times New Roman"/>
          <w:lang w:val="lt-LT"/>
        </w:rPr>
        <w:t xml:space="preserve">, taigi </w:t>
      </w:r>
      <w:proofErr w:type="spellStart"/>
      <w:r w:rsidRPr="00EE75B4">
        <w:rPr>
          <w:rFonts w:ascii="Times New Roman" w:hAnsi="Times New Roman"/>
          <w:lang w:val="lt-LT"/>
        </w:rPr>
        <w:t>valgancikloviras</w:t>
      </w:r>
      <w:proofErr w:type="spellEnd"/>
      <w:r w:rsidRPr="00EE75B4">
        <w:rPr>
          <w:rFonts w:ascii="Times New Roman" w:hAnsi="Times New Roman"/>
          <w:lang w:val="lt-LT"/>
        </w:rPr>
        <w:t xml:space="preserve"> yra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pirmtakas. Tikėtina, kad nepageidaujamas poveikis, kuris, kaip žinoma, yra susijęs su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vartojimu, taip pat gali pasireikšti vartojant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w:t>
      </w:r>
      <w:r w:rsidRPr="00EE75B4">
        <w:rPr>
          <w:rFonts w:ascii="Times New Roman" w:eastAsia="Times New Roman" w:hAnsi="Times New Roman"/>
          <w:lang w:val="lt-LT" w:eastAsia="ja-JP"/>
        </w:rPr>
        <w:t>Vis</w:t>
      </w:r>
      <w:r w:rsidR="007831E2" w:rsidRPr="00EE75B4">
        <w:rPr>
          <w:rFonts w:ascii="Times New Roman" w:eastAsia="Times New Roman" w:hAnsi="Times New Roman"/>
          <w:lang w:val="lt-LT" w:eastAsia="ja-JP"/>
        </w:rPr>
        <w:t>os nepageidaujamos reakc</w:t>
      </w:r>
      <w:r w:rsidR="00EE75B4">
        <w:rPr>
          <w:rFonts w:ascii="Times New Roman" w:eastAsia="Times New Roman" w:hAnsi="Times New Roman"/>
          <w:lang w:val="lt-LT" w:eastAsia="ja-JP"/>
        </w:rPr>
        <w:t>i</w:t>
      </w:r>
      <w:r w:rsidR="007831E2" w:rsidRPr="00EE75B4">
        <w:rPr>
          <w:rFonts w:ascii="Times New Roman" w:eastAsia="Times New Roman" w:hAnsi="Times New Roman"/>
          <w:lang w:val="lt-LT" w:eastAsia="ja-JP"/>
        </w:rPr>
        <w:t>jos į vaistą</w:t>
      </w:r>
      <w:r w:rsidRPr="00EE75B4">
        <w:rPr>
          <w:rFonts w:ascii="Times New Roman" w:eastAsia="Times New Roman" w:hAnsi="Times New Roman"/>
          <w:lang w:val="lt-LT" w:eastAsia="ja-JP"/>
        </w:rPr>
        <w:t>, nustatyt</w:t>
      </w:r>
      <w:r w:rsidR="007831E2" w:rsidRPr="00EE75B4">
        <w:rPr>
          <w:rFonts w:ascii="Times New Roman" w:eastAsia="Times New Roman" w:hAnsi="Times New Roman"/>
          <w:lang w:val="lt-LT" w:eastAsia="ja-JP"/>
        </w:rPr>
        <w:t>os</w:t>
      </w:r>
      <w:r w:rsidRPr="00EE75B4">
        <w:rPr>
          <w:rFonts w:ascii="Times New Roman" w:hAnsi="Times New Roman"/>
          <w:lang w:val="lt-LT"/>
        </w:rPr>
        <w:t xml:space="preserve"> atliekant klinikinius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tyrimus, anksčiau buvo </w:t>
      </w:r>
      <w:r w:rsidRPr="00EE75B4">
        <w:rPr>
          <w:rFonts w:ascii="Times New Roman" w:eastAsia="Times New Roman" w:hAnsi="Times New Roman"/>
          <w:lang w:val="lt-LT" w:eastAsia="ja-JP"/>
        </w:rPr>
        <w:t>pastebėt</w:t>
      </w:r>
      <w:r w:rsidR="007831E2" w:rsidRPr="00EE75B4">
        <w:rPr>
          <w:rFonts w:ascii="Times New Roman" w:eastAsia="Times New Roman" w:hAnsi="Times New Roman"/>
          <w:lang w:val="lt-LT" w:eastAsia="ja-JP"/>
        </w:rPr>
        <w:t>os</w:t>
      </w:r>
      <w:r w:rsidRPr="00EE75B4">
        <w:rPr>
          <w:rFonts w:ascii="Times New Roman" w:hAnsi="Times New Roman"/>
          <w:lang w:val="lt-LT"/>
        </w:rPr>
        <w:t xml:space="preserve"> vartojant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w:t>
      </w:r>
      <w:r w:rsidR="007831E2" w:rsidRPr="00EE75B4">
        <w:rPr>
          <w:rFonts w:ascii="Times New Roman" w:eastAsia="Times New Roman" w:hAnsi="Times New Roman"/>
          <w:lang w:val="lt-LT" w:eastAsia="ja-JP"/>
        </w:rPr>
        <w:t>Taigi, nepageidaujamos</w:t>
      </w:r>
      <w:r w:rsidR="007831E2" w:rsidRPr="00EE75B4">
        <w:rPr>
          <w:rFonts w:ascii="Times New Roman" w:hAnsi="Times New Roman"/>
          <w:lang w:val="lt-LT"/>
        </w:rPr>
        <w:t xml:space="preserve"> reakcijos</w:t>
      </w:r>
      <w:r w:rsidR="007831E2" w:rsidRPr="00EE75B4">
        <w:rPr>
          <w:rFonts w:ascii="Times New Roman" w:eastAsia="Times New Roman" w:hAnsi="Times New Roman"/>
          <w:lang w:val="lt-LT" w:eastAsia="ja-JP"/>
        </w:rPr>
        <w:t xml:space="preserve"> į vaistą, pastebėtos</w:t>
      </w:r>
      <w:r w:rsidR="007831E2" w:rsidRPr="00EE75B4">
        <w:rPr>
          <w:rFonts w:ascii="Times New Roman" w:hAnsi="Times New Roman"/>
          <w:lang w:val="lt-LT"/>
        </w:rPr>
        <w:t xml:space="preserve"> vartojant </w:t>
      </w:r>
      <w:r w:rsidR="007831E2" w:rsidRPr="00EE75B4">
        <w:rPr>
          <w:rFonts w:ascii="Times New Roman" w:eastAsia="Times New Roman" w:hAnsi="Times New Roman"/>
          <w:lang w:val="lt-LT" w:eastAsia="ja-JP"/>
        </w:rPr>
        <w:t xml:space="preserve">leidžiamą į veną </w:t>
      </w:r>
      <w:proofErr w:type="spellStart"/>
      <w:r w:rsidR="007831E2" w:rsidRPr="00EE75B4">
        <w:rPr>
          <w:rFonts w:ascii="Times New Roman" w:eastAsia="Times New Roman" w:hAnsi="Times New Roman"/>
          <w:lang w:val="lt-LT" w:eastAsia="ja-JP"/>
        </w:rPr>
        <w:t>ganciklovirą</w:t>
      </w:r>
      <w:proofErr w:type="spellEnd"/>
      <w:r w:rsidR="007831E2" w:rsidRPr="00EE75B4">
        <w:rPr>
          <w:rFonts w:ascii="Times New Roman" w:eastAsia="Times New Roman" w:hAnsi="Times New Roman"/>
          <w:lang w:val="lt-LT" w:eastAsia="ja-JP"/>
        </w:rPr>
        <w:t xml:space="preserve">, geriamąjį </w:t>
      </w:r>
      <w:proofErr w:type="spellStart"/>
      <w:r w:rsidR="007831E2" w:rsidRPr="00EE75B4">
        <w:rPr>
          <w:rFonts w:ascii="Times New Roman" w:eastAsia="Times New Roman" w:hAnsi="Times New Roman"/>
          <w:lang w:val="lt-LT" w:eastAsia="ja-JP"/>
        </w:rPr>
        <w:t>ganciklovirą</w:t>
      </w:r>
      <w:proofErr w:type="spellEnd"/>
      <w:r w:rsidR="007831E2" w:rsidRPr="00EE75B4">
        <w:rPr>
          <w:rFonts w:ascii="Times New Roman" w:eastAsia="Times New Roman" w:hAnsi="Times New Roman"/>
          <w:lang w:val="lt-LT" w:eastAsia="ja-JP"/>
        </w:rPr>
        <w:t xml:space="preserve"> (ši farmacinė forma nebetiekiama) arba </w:t>
      </w:r>
      <w:proofErr w:type="spellStart"/>
      <w:r w:rsidR="007831E2" w:rsidRPr="00EE75B4">
        <w:rPr>
          <w:rFonts w:ascii="Times New Roman" w:eastAsia="Times New Roman" w:hAnsi="Times New Roman"/>
          <w:lang w:val="lt-LT" w:eastAsia="ja-JP"/>
        </w:rPr>
        <w:t>valganciklovirą</w:t>
      </w:r>
      <w:proofErr w:type="spellEnd"/>
      <w:r w:rsidR="007831E2" w:rsidRPr="00EE75B4">
        <w:rPr>
          <w:rFonts w:ascii="Times New Roman" w:hAnsi="Times New Roman"/>
          <w:lang w:val="lt-LT"/>
        </w:rPr>
        <w:t xml:space="preserve">, yra </w:t>
      </w:r>
      <w:r w:rsidR="007831E2" w:rsidRPr="00EE75B4">
        <w:rPr>
          <w:rFonts w:ascii="Times New Roman" w:eastAsia="Times New Roman" w:hAnsi="Times New Roman"/>
          <w:lang w:val="lt-LT" w:eastAsia="ja-JP"/>
        </w:rPr>
        <w:t>įtrauktos į žemiau pateiktą nepageidaujamų reakcijų lente</w:t>
      </w:r>
      <w:r w:rsidR="00FE43E2" w:rsidRPr="00EE75B4">
        <w:rPr>
          <w:rFonts w:ascii="Times New Roman" w:eastAsia="Times New Roman" w:hAnsi="Times New Roman"/>
          <w:lang w:val="lt-LT" w:eastAsia="ja-JP"/>
        </w:rPr>
        <w:t>l</w:t>
      </w:r>
      <w:r w:rsidR="007831E2" w:rsidRPr="00EE75B4">
        <w:rPr>
          <w:rFonts w:ascii="Times New Roman" w:eastAsia="Times New Roman" w:hAnsi="Times New Roman"/>
          <w:lang w:val="lt-LT" w:eastAsia="ja-JP"/>
        </w:rPr>
        <w:t>ę.</w:t>
      </w:r>
      <w:r w:rsidR="00FE43E2" w:rsidRPr="00EE75B4" w:rsidDel="00FE43E2">
        <w:rPr>
          <w:rFonts w:ascii="Times New Roman" w:eastAsia="Times New Roman" w:hAnsi="Times New Roman"/>
          <w:lang w:val="lt-LT" w:eastAsia="ja-JP"/>
        </w:rPr>
        <w:t xml:space="preserve"> </w:t>
      </w:r>
    </w:p>
    <w:p w14:paraId="32595308" w14:textId="77777777" w:rsidR="00FE43E2" w:rsidRPr="00EE75B4" w:rsidRDefault="00FE43E2" w:rsidP="005427AE">
      <w:pPr>
        <w:spacing w:after="0" w:line="240" w:lineRule="auto"/>
        <w:rPr>
          <w:rFonts w:ascii="Times New Roman" w:hAnsi="Times New Roman"/>
          <w:lang w:val="lt-LT"/>
        </w:rPr>
      </w:pP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w:t>
      </w:r>
      <w:r w:rsidRPr="00EE75B4">
        <w:rPr>
          <w:rFonts w:ascii="Times New Roman" w:eastAsia="Times New Roman" w:hAnsi="Times New Roman"/>
          <w:lang w:val="lt-LT" w:eastAsia="ja-JP"/>
        </w:rPr>
        <w:t xml:space="preserve">ar </w:t>
      </w:r>
      <w:proofErr w:type="spellStart"/>
      <w:r w:rsidRPr="00EE75B4">
        <w:rPr>
          <w:rFonts w:ascii="Times New Roman" w:eastAsia="Times New Roman" w:hAnsi="Times New Roman"/>
          <w:lang w:val="lt-LT" w:eastAsia="ja-JP"/>
        </w:rPr>
        <w:t>gancikloviru</w:t>
      </w:r>
      <w:proofErr w:type="spellEnd"/>
      <w:r w:rsidRPr="00EE75B4">
        <w:rPr>
          <w:rFonts w:ascii="Times New Roman" w:eastAsia="Times New Roman" w:hAnsi="Times New Roman"/>
          <w:lang w:val="lt-LT" w:eastAsia="ja-JP"/>
        </w:rPr>
        <w:t xml:space="preserve"> gydytiems pacientams sunkiausios ir dažniausios</w:t>
      </w:r>
      <w:r w:rsidRPr="00EE75B4">
        <w:rPr>
          <w:rFonts w:ascii="Times New Roman" w:hAnsi="Times New Roman"/>
          <w:lang w:val="lt-LT"/>
        </w:rPr>
        <w:t xml:space="preserve"> nepageidaujamos reakcijos </w:t>
      </w:r>
      <w:r w:rsidRPr="00EE75B4">
        <w:rPr>
          <w:rFonts w:ascii="Times New Roman" w:eastAsia="Times New Roman" w:hAnsi="Times New Roman"/>
          <w:lang w:val="lt-LT" w:eastAsia="ja-JP"/>
        </w:rPr>
        <w:t xml:space="preserve">į vaistą buvo hematologinės reakcijos, tokios kaip </w:t>
      </w:r>
      <w:proofErr w:type="spellStart"/>
      <w:r w:rsidRPr="00EE75B4">
        <w:rPr>
          <w:rFonts w:ascii="Times New Roman" w:eastAsia="Times New Roman" w:hAnsi="Times New Roman"/>
          <w:lang w:val="lt-LT" w:eastAsia="ja-JP"/>
        </w:rPr>
        <w:t>neutropenija</w:t>
      </w:r>
      <w:proofErr w:type="spellEnd"/>
      <w:r w:rsidRPr="00EE75B4">
        <w:rPr>
          <w:rFonts w:ascii="Times New Roman" w:eastAsia="Times New Roman" w:hAnsi="Times New Roman"/>
          <w:lang w:val="lt-LT" w:eastAsia="ja-JP"/>
        </w:rPr>
        <w:t xml:space="preserve">, anemija ir </w:t>
      </w:r>
      <w:proofErr w:type="spellStart"/>
      <w:r w:rsidRPr="00EE75B4">
        <w:rPr>
          <w:rFonts w:ascii="Times New Roman" w:eastAsia="Times New Roman" w:hAnsi="Times New Roman"/>
          <w:lang w:val="lt-LT" w:eastAsia="ja-JP"/>
        </w:rPr>
        <w:t>trombocitopenija</w:t>
      </w:r>
      <w:proofErr w:type="spellEnd"/>
      <w:r w:rsidRPr="00EE75B4">
        <w:rPr>
          <w:rFonts w:ascii="Times New Roman" w:eastAsia="Times New Roman" w:hAnsi="Times New Roman"/>
          <w:lang w:val="lt-LT" w:eastAsia="ja-JP"/>
        </w:rPr>
        <w:t xml:space="preserve"> (žr. 4.4 skyrių).</w:t>
      </w:r>
    </w:p>
    <w:p w14:paraId="27D325A9" w14:textId="77777777" w:rsidR="005427AE" w:rsidRPr="00EE75B4" w:rsidRDefault="005427AE" w:rsidP="005427AE">
      <w:pPr>
        <w:spacing w:after="0" w:line="240" w:lineRule="auto"/>
        <w:rPr>
          <w:rFonts w:ascii="Times New Roman" w:eastAsia="Times New Roman" w:hAnsi="Times New Roman"/>
          <w:snapToGrid w:val="0"/>
          <w:lang w:val="lt-LT" w:eastAsia="ja-JP"/>
        </w:rPr>
      </w:pPr>
    </w:p>
    <w:p w14:paraId="6A58905F" w14:textId="77777777" w:rsidR="005427AE" w:rsidRPr="00EE75B4" w:rsidRDefault="005427AE" w:rsidP="005427AE">
      <w:pPr>
        <w:spacing w:after="0" w:line="240" w:lineRule="auto"/>
        <w:rPr>
          <w:rFonts w:ascii="Times New Roman" w:hAnsi="Times New Roman"/>
          <w:u w:val="single"/>
          <w:lang w:val="lt-LT" w:eastAsia="lt-LT"/>
        </w:rPr>
      </w:pPr>
    </w:p>
    <w:p w14:paraId="62A76D64" w14:textId="77777777" w:rsidR="00FE43E2" w:rsidRPr="00EE75B4" w:rsidRDefault="00FE43E2" w:rsidP="00732BB8">
      <w:pPr>
        <w:spacing w:after="0" w:line="240" w:lineRule="auto"/>
        <w:rPr>
          <w:rFonts w:eastAsia="Times New Roman"/>
          <w:lang w:val="lt-LT" w:eastAsia="ja-JP"/>
        </w:rPr>
      </w:pPr>
      <w:r w:rsidRPr="00EE75B4">
        <w:rPr>
          <w:rFonts w:ascii="Times New Roman" w:eastAsia="Times New Roman" w:hAnsi="Times New Roman"/>
          <w:lang w:val="lt-LT" w:eastAsia="ja-JP"/>
        </w:rPr>
        <w:t xml:space="preserve">Lentelėje pateikti nepageidaujamų reakcijų dažniai yra nustatyti sukauptojoje ŽIV infekuotų pacientų populiacijoje (n = 1704), kuriems taikyta palaikomoji terapija </w:t>
      </w:r>
      <w:proofErr w:type="spellStart"/>
      <w:r w:rsidRPr="00EE75B4">
        <w:rPr>
          <w:rFonts w:ascii="Times New Roman" w:eastAsia="Times New Roman" w:hAnsi="Times New Roman"/>
          <w:lang w:val="lt-LT" w:eastAsia="ja-JP"/>
        </w:rPr>
        <w:t>gancikloviru</w:t>
      </w:r>
      <w:proofErr w:type="spellEnd"/>
      <w:r w:rsidRPr="00EE75B4">
        <w:rPr>
          <w:rFonts w:ascii="Times New Roman" w:eastAsia="Times New Roman" w:hAnsi="Times New Roman"/>
          <w:lang w:val="lt-LT" w:eastAsia="ja-JP"/>
        </w:rPr>
        <w:t xml:space="preserve"> arba </w:t>
      </w:r>
      <w:proofErr w:type="spellStart"/>
      <w:r w:rsidRPr="00EE75B4">
        <w:rPr>
          <w:rFonts w:ascii="Times New Roman" w:eastAsia="Times New Roman" w:hAnsi="Times New Roman"/>
          <w:lang w:val="lt-LT" w:eastAsia="ja-JP"/>
        </w:rPr>
        <w:t>valgancikloviru</w:t>
      </w:r>
      <w:proofErr w:type="spellEnd"/>
      <w:r w:rsidRPr="00EE75B4">
        <w:rPr>
          <w:rFonts w:ascii="Times New Roman" w:eastAsia="Times New Roman" w:hAnsi="Times New Roman"/>
          <w:lang w:val="lt-LT" w:eastAsia="ja-JP"/>
        </w:rPr>
        <w:t xml:space="preserve">. Išimtis yra padaryta dėl </w:t>
      </w:r>
      <w:proofErr w:type="spellStart"/>
      <w:r w:rsidRPr="00EE75B4">
        <w:rPr>
          <w:rFonts w:ascii="Times New Roman" w:eastAsia="Times New Roman" w:hAnsi="Times New Roman"/>
          <w:lang w:val="lt-LT" w:eastAsia="ja-JP"/>
        </w:rPr>
        <w:t>agranulocitozės</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granulocitopenijos</w:t>
      </w:r>
      <w:proofErr w:type="spellEnd"/>
      <w:r w:rsidRPr="00EE75B4">
        <w:rPr>
          <w:rFonts w:ascii="Times New Roman" w:eastAsia="Times New Roman" w:hAnsi="Times New Roman"/>
          <w:lang w:val="lt-LT" w:eastAsia="ja-JP"/>
        </w:rPr>
        <w:t xml:space="preserve"> ir anafilaksinės reakcijos, kurių dažniai yra gauti vaistui jau esant rinkoje. Nepageidaujamos reakcijos yra išvardytos pagal </w:t>
      </w:r>
      <w:proofErr w:type="spellStart"/>
      <w:r w:rsidRPr="00EE75B4">
        <w:rPr>
          <w:rFonts w:ascii="Times New Roman" w:eastAsia="Times New Roman" w:hAnsi="Times New Roman"/>
          <w:lang w:val="lt-LT" w:eastAsia="ja-JP"/>
        </w:rPr>
        <w:t>MedDRA</w:t>
      </w:r>
      <w:proofErr w:type="spellEnd"/>
      <w:r w:rsidRPr="00EE75B4">
        <w:rPr>
          <w:rFonts w:ascii="Times New Roman" w:eastAsia="Times New Roman" w:hAnsi="Times New Roman"/>
          <w:lang w:val="lt-LT" w:eastAsia="ja-JP"/>
        </w:rPr>
        <w:t xml:space="preserve"> organų sistemų klases. Dažnis yra apibrėžtas naudojant tokį sutarimą: labai dažni (≥ 1/10), dažni (nuo ≥ 1/100 iki &lt; 1/10), nedažni (nuo ≥ 1/1000 iki &lt; 1/100), reti (nuo ≥ 1/10000 iki &lt; 1/1000) ir labai reti (&lt; 1/10000). </w:t>
      </w:r>
    </w:p>
    <w:p w14:paraId="4C1C9036" w14:textId="4CC9B7F6" w:rsidR="00FE43E2" w:rsidRPr="00EE75B4" w:rsidRDefault="00FE43E2" w:rsidP="00FE43E2">
      <w:pPr>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 xml:space="preserve">Bendrasis </w:t>
      </w:r>
      <w:proofErr w:type="spellStart"/>
      <w:r w:rsidRPr="00EE75B4">
        <w:rPr>
          <w:rFonts w:ascii="Times New Roman" w:eastAsia="Times New Roman" w:hAnsi="Times New Roman"/>
          <w:lang w:val="lt-LT" w:eastAsia="ja-JP"/>
        </w:rPr>
        <w:t>gancikloviro</w:t>
      </w:r>
      <w:proofErr w:type="spellEnd"/>
      <w:r w:rsidRPr="00EE75B4">
        <w:rPr>
          <w:rFonts w:ascii="Times New Roman" w:eastAsia="Times New Roman" w:hAnsi="Times New Roman"/>
          <w:lang w:val="lt-LT" w:eastAsia="ja-JP"/>
        </w:rPr>
        <w:t xml:space="preserve"> / </w:t>
      </w:r>
      <w:proofErr w:type="spellStart"/>
      <w:r w:rsidRPr="00EE75B4">
        <w:rPr>
          <w:rFonts w:ascii="Times New Roman" w:eastAsia="Times New Roman" w:hAnsi="Times New Roman"/>
          <w:lang w:val="lt-LT" w:eastAsia="ja-JP"/>
        </w:rPr>
        <w:t>valgancikloviro</w:t>
      </w:r>
      <w:proofErr w:type="spellEnd"/>
      <w:r w:rsidRPr="00EE75B4">
        <w:rPr>
          <w:rFonts w:ascii="Times New Roman" w:eastAsia="Times New Roman" w:hAnsi="Times New Roman"/>
          <w:lang w:val="lt-LT" w:eastAsia="ja-JP"/>
        </w:rPr>
        <w:t xml:space="preserve"> saugumo pobūdis ŽIV užsikrėtusių ir persodintą organą turinčių pacientų populiacijose sutampa, išskyrus tai, kad tinklainės atšoka buvo pastebėta tik ŽIV infekuotiems ir CMV sukeltu </w:t>
      </w:r>
      <w:proofErr w:type="spellStart"/>
      <w:r w:rsidRPr="00EE75B4">
        <w:rPr>
          <w:rFonts w:ascii="Times New Roman" w:eastAsia="Times New Roman" w:hAnsi="Times New Roman"/>
          <w:lang w:val="lt-LT" w:eastAsia="ja-JP"/>
        </w:rPr>
        <w:t>retinitu</w:t>
      </w:r>
      <w:proofErr w:type="spellEnd"/>
      <w:r w:rsidRPr="00EE75B4">
        <w:rPr>
          <w:rFonts w:ascii="Times New Roman" w:eastAsia="Times New Roman" w:hAnsi="Times New Roman"/>
          <w:lang w:val="lt-LT" w:eastAsia="ja-JP"/>
        </w:rPr>
        <w:t xml:space="preserve"> sirgusiems pacientams. Vis dėlto yra keletas tam tikrų reakcijų dažnio skirtumų. Į veną leidžiamas </w:t>
      </w:r>
      <w:proofErr w:type="spellStart"/>
      <w:r w:rsidRPr="00EE75B4">
        <w:rPr>
          <w:rFonts w:ascii="Times New Roman" w:eastAsia="Times New Roman" w:hAnsi="Times New Roman"/>
          <w:lang w:val="lt-LT" w:eastAsia="ja-JP"/>
        </w:rPr>
        <w:t>gancikloviras</w:t>
      </w:r>
      <w:proofErr w:type="spellEnd"/>
      <w:r w:rsidRPr="00EE75B4">
        <w:rPr>
          <w:rFonts w:ascii="Times New Roman" w:eastAsia="Times New Roman" w:hAnsi="Times New Roman"/>
          <w:lang w:val="lt-LT" w:eastAsia="ja-JP"/>
        </w:rPr>
        <w:t xml:space="preserve"> yra susijęs su mažesne viduriavimo rizika, lyginant su geriamuoju </w:t>
      </w:r>
      <w:proofErr w:type="spellStart"/>
      <w:r w:rsidRPr="00EE75B4">
        <w:rPr>
          <w:rFonts w:ascii="Times New Roman" w:eastAsia="Times New Roman" w:hAnsi="Times New Roman"/>
          <w:lang w:val="lt-LT" w:eastAsia="ja-JP"/>
        </w:rPr>
        <w:t>valgancikloviru</w:t>
      </w:r>
      <w:proofErr w:type="spellEnd"/>
      <w:r w:rsidRPr="00EE75B4">
        <w:rPr>
          <w:rFonts w:ascii="Times New Roman" w:eastAsia="Times New Roman" w:hAnsi="Times New Roman"/>
          <w:lang w:val="lt-LT" w:eastAsia="ja-JP"/>
        </w:rPr>
        <w:t xml:space="preserve">. ŽIV infekuotiems pacientams dažniau pasireiškė karščiavimas, </w:t>
      </w:r>
      <w:proofErr w:type="spellStart"/>
      <w:r w:rsidRPr="00EE75B4">
        <w:rPr>
          <w:rFonts w:ascii="Times New Roman" w:eastAsia="Times New Roman" w:hAnsi="Times New Roman"/>
          <w:lang w:val="lt-LT" w:eastAsia="ja-JP"/>
        </w:rPr>
        <w:t>candida</w:t>
      </w:r>
      <w:proofErr w:type="spellEnd"/>
      <w:r w:rsidRPr="00EE75B4">
        <w:rPr>
          <w:rFonts w:ascii="Times New Roman" w:eastAsia="Times New Roman" w:hAnsi="Times New Roman"/>
          <w:lang w:val="lt-LT" w:eastAsia="ja-JP"/>
        </w:rPr>
        <w:t xml:space="preserve"> infekcija, depresija, sunki </w:t>
      </w:r>
      <w:proofErr w:type="spellStart"/>
      <w:r w:rsidRPr="00EE75B4">
        <w:rPr>
          <w:rFonts w:ascii="Times New Roman" w:eastAsia="Times New Roman" w:hAnsi="Times New Roman"/>
          <w:lang w:val="lt-LT" w:eastAsia="ja-JP"/>
        </w:rPr>
        <w:t>neutropenija</w:t>
      </w:r>
      <w:proofErr w:type="spellEnd"/>
      <w:r w:rsidRPr="00EE75B4">
        <w:rPr>
          <w:rFonts w:ascii="Times New Roman" w:eastAsia="Times New Roman" w:hAnsi="Times New Roman"/>
          <w:lang w:val="lt-LT" w:eastAsia="ja-JP"/>
        </w:rPr>
        <w:t xml:space="preserve"> (ANS &lt; 500 </w:t>
      </w:r>
      <w:r w:rsidR="009A20E3">
        <w:rPr>
          <w:rFonts w:ascii="Times New Roman" w:eastAsia="Times New Roman" w:hAnsi="Times New Roman"/>
          <w:lang w:val="lt-LT" w:eastAsia="ja-JP"/>
        </w:rPr>
        <w:t>µl</w:t>
      </w:r>
      <w:r w:rsidRPr="00EE75B4">
        <w:rPr>
          <w:rFonts w:ascii="Times New Roman" w:eastAsia="Times New Roman" w:hAnsi="Times New Roman"/>
          <w:lang w:val="lt-LT" w:eastAsia="ja-JP"/>
        </w:rPr>
        <w:t>) ir odos reakcijos. Inkstų ir kepenų veikla dažniau sutriko persodintą organą turintiems pacientams.</w:t>
      </w:r>
    </w:p>
    <w:p w14:paraId="7ED53D42" w14:textId="77777777" w:rsidR="00FE43E2" w:rsidRPr="00EE75B4" w:rsidRDefault="00FE43E2" w:rsidP="00FE43E2">
      <w:pPr>
        <w:spacing w:after="0" w:line="240" w:lineRule="auto"/>
        <w:rPr>
          <w:rFonts w:ascii="Times New Roman" w:eastAsia="Times New Roman" w:hAnsi="Times New Roman"/>
          <w:lang w:val="lt-LT" w:eastAsia="ja-JP"/>
        </w:rPr>
      </w:pPr>
    </w:p>
    <w:p w14:paraId="559BFE6B" w14:textId="77777777" w:rsidR="005427AE" w:rsidRPr="00EE75B4" w:rsidRDefault="005427AE" w:rsidP="005427AE">
      <w:pPr>
        <w:spacing w:after="0" w:line="240" w:lineRule="auto"/>
        <w:rPr>
          <w:rFonts w:ascii="Times New Roman" w:hAnsi="Times New Roman"/>
          <w:u w:val="single"/>
          <w:lang w:val="lt-LT"/>
        </w:rPr>
      </w:pPr>
    </w:p>
    <w:p w14:paraId="5C7C2902" w14:textId="77777777" w:rsidR="005427AE" w:rsidRPr="00EE75B4" w:rsidRDefault="005427AE" w:rsidP="005427AE">
      <w:pPr>
        <w:spacing w:after="0" w:line="240" w:lineRule="auto"/>
        <w:rPr>
          <w:rFonts w:ascii="Times New Roman" w:hAnsi="Times New Roman"/>
          <w:u w:val="single"/>
          <w:lang w:val="lt-LT" w:eastAsia="lt-LT"/>
        </w:rPr>
      </w:pPr>
      <w:r w:rsidRPr="00EE75B4">
        <w:rPr>
          <w:rFonts w:ascii="Times New Roman" w:hAnsi="Times New Roman"/>
          <w:u w:val="single"/>
          <w:lang w:val="lt-LT"/>
        </w:rPr>
        <w:t xml:space="preserve">b) Nepageidaujamų reakcijų </w:t>
      </w:r>
      <w:r w:rsidRPr="00EE75B4">
        <w:rPr>
          <w:rFonts w:ascii="Times New Roman" w:hAnsi="Times New Roman"/>
          <w:u w:val="single"/>
          <w:lang w:val="lt-LT" w:eastAsia="lt-LT"/>
        </w:rPr>
        <w:t>s</w:t>
      </w:r>
      <w:r w:rsidR="00407EC9" w:rsidRPr="00EE75B4">
        <w:rPr>
          <w:rFonts w:ascii="Times New Roman" w:hAnsi="Times New Roman"/>
          <w:u w:val="single"/>
          <w:lang w:val="lt-LT" w:eastAsia="lt-LT"/>
        </w:rPr>
        <w:t xml:space="preserve">ąrašas </w:t>
      </w:r>
      <w:r w:rsidRPr="00EE75B4">
        <w:rPr>
          <w:rFonts w:ascii="Times New Roman" w:hAnsi="Times New Roman"/>
          <w:u w:val="single"/>
          <w:lang w:val="lt-LT" w:eastAsia="lt-LT"/>
        </w:rPr>
        <w:t>lentelėje</w:t>
      </w:r>
    </w:p>
    <w:p w14:paraId="223E1F46" w14:textId="77777777" w:rsidR="005427AE" w:rsidRPr="00EE75B4" w:rsidRDefault="005427AE" w:rsidP="005427AE">
      <w:pPr>
        <w:spacing w:after="0" w:line="240" w:lineRule="auto"/>
        <w:rPr>
          <w:rFonts w:ascii="Times New Roman" w:eastAsia="Times New Roman" w:hAnsi="Times New Roman"/>
          <w:snapToGrid w:val="0"/>
          <w:lang w:val="lt-LT" w:eastAsia="ja-JP"/>
        </w:rPr>
      </w:pPr>
    </w:p>
    <w:p w14:paraId="44428956" w14:textId="77777777" w:rsidR="005427AE" w:rsidRPr="00EE75B4" w:rsidRDefault="005427AE" w:rsidP="005427AE">
      <w:pPr>
        <w:spacing w:after="0" w:line="240" w:lineRule="auto"/>
        <w:rPr>
          <w:rFonts w:ascii="Times New Roman" w:eastAsia="Times New Roman" w:hAnsi="Times New Roman"/>
          <w:b/>
          <w:lang w:val="lt-LT" w:eastAsia="ja-JP"/>
        </w:rPr>
      </w:pP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13"/>
        <w:gridCol w:w="2203"/>
      </w:tblGrid>
      <w:tr w:rsidR="00151F06" w:rsidRPr="00EE75B4" w14:paraId="6DEE6207" w14:textId="77777777" w:rsidTr="00752171">
        <w:trPr>
          <w:tblHeader/>
        </w:trPr>
        <w:tc>
          <w:tcPr>
            <w:tcW w:w="9735" w:type="dxa"/>
            <w:shd w:val="clear" w:color="auto" w:fill="auto"/>
            <w:tcMar>
              <w:top w:w="0" w:type="dxa"/>
              <w:left w:w="108" w:type="dxa"/>
              <w:bottom w:w="0" w:type="dxa"/>
              <w:right w:w="108" w:type="dxa"/>
            </w:tcMar>
            <w:hideMark/>
          </w:tcPr>
          <w:p w14:paraId="479B77F7" w14:textId="77777777" w:rsidR="00407EC9" w:rsidRPr="00EE75B4" w:rsidRDefault="00407EC9"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b/>
                <w:bCs/>
                <w:lang w:val="lt-LT"/>
              </w:rPr>
              <w:t>NRV</w:t>
            </w:r>
          </w:p>
          <w:p w14:paraId="325622C3" w14:textId="77777777" w:rsidR="00407EC9" w:rsidRPr="00EE75B4" w:rsidRDefault="00407EC9"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b/>
                <w:bCs/>
                <w:lang w:val="lt-LT"/>
              </w:rPr>
              <w:t>(</w:t>
            </w:r>
            <w:proofErr w:type="spellStart"/>
            <w:r w:rsidRPr="00EE75B4">
              <w:rPr>
                <w:rFonts w:ascii="Times New Roman" w:hAnsi="Times New Roman"/>
                <w:b/>
                <w:bCs/>
                <w:lang w:val="lt-LT"/>
              </w:rPr>
              <w:t>MedDRA</w:t>
            </w:r>
            <w:proofErr w:type="spellEnd"/>
            <w:r w:rsidRPr="00EE75B4">
              <w:rPr>
                <w:rFonts w:ascii="Times New Roman" w:hAnsi="Times New Roman"/>
                <w:b/>
                <w:bCs/>
                <w:lang w:val="lt-LT"/>
              </w:rPr>
              <w:t>)</w:t>
            </w:r>
          </w:p>
          <w:p w14:paraId="2D805920" w14:textId="77777777" w:rsidR="00407EC9" w:rsidRPr="00EE75B4" w:rsidRDefault="00407EC9" w:rsidP="00407EC9">
            <w:pPr>
              <w:autoSpaceDE w:val="0"/>
              <w:autoSpaceDN w:val="0"/>
              <w:adjustRightInd w:val="0"/>
              <w:spacing w:after="0" w:line="240" w:lineRule="auto"/>
              <w:rPr>
                <w:rFonts w:ascii="Times New Roman" w:hAnsi="Times New Roman"/>
                <w:lang w:val="lt-LT"/>
              </w:rPr>
            </w:pPr>
            <w:r w:rsidRPr="00EE75B4">
              <w:rPr>
                <w:rFonts w:ascii="Times New Roman" w:hAnsi="Times New Roman"/>
                <w:b/>
                <w:bCs/>
                <w:lang w:val="lt-LT"/>
              </w:rPr>
              <w:t>Organų sistemų klasė</w:t>
            </w:r>
          </w:p>
        </w:tc>
        <w:tc>
          <w:tcPr>
            <w:tcW w:w="3120" w:type="dxa"/>
            <w:shd w:val="clear" w:color="auto" w:fill="auto"/>
            <w:tcMar>
              <w:top w:w="0" w:type="dxa"/>
              <w:left w:w="108" w:type="dxa"/>
              <w:bottom w:w="0" w:type="dxa"/>
              <w:right w:w="108" w:type="dxa"/>
            </w:tcMar>
            <w:hideMark/>
          </w:tcPr>
          <w:p w14:paraId="2FE7E2A3" w14:textId="77777777" w:rsidR="00407EC9" w:rsidRPr="00EE75B4" w:rsidRDefault="00407EC9" w:rsidP="00407EC9">
            <w:pPr>
              <w:autoSpaceDE w:val="0"/>
              <w:autoSpaceDN w:val="0"/>
              <w:adjustRightInd w:val="0"/>
              <w:spacing w:after="0" w:line="240" w:lineRule="auto"/>
              <w:rPr>
                <w:rFonts w:ascii="Times New Roman" w:hAnsi="Times New Roman"/>
                <w:lang w:val="lt-LT"/>
              </w:rPr>
            </w:pPr>
            <w:r w:rsidRPr="00EE75B4">
              <w:rPr>
                <w:rFonts w:ascii="Times New Roman" w:hAnsi="Times New Roman"/>
                <w:b/>
                <w:bCs/>
                <w:lang w:val="lt-LT"/>
              </w:rPr>
              <w:t>Dažnio kategorija</w:t>
            </w:r>
          </w:p>
        </w:tc>
      </w:tr>
      <w:tr w:rsidR="00581BF7" w:rsidRPr="00EE75B4" w14:paraId="09150375" w14:textId="77777777" w:rsidTr="00581BF7">
        <w:trPr>
          <w:trHeight w:val="339"/>
        </w:trPr>
        <w:tc>
          <w:tcPr>
            <w:tcW w:w="12855" w:type="dxa"/>
            <w:gridSpan w:val="2"/>
            <w:shd w:val="clear" w:color="auto" w:fill="auto"/>
            <w:tcMar>
              <w:top w:w="0" w:type="dxa"/>
              <w:left w:w="108" w:type="dxa"/>
              <w:bottom w:w="0" w:type="dxa"/>
              <w:right w:w="108" w:type="dxa"/>
            </w:tcMar>
            <w:hideMark/>
          </w:tcPr>
          <w:p w14:paraId="6D338613" w14:textId="77777777" w:rsidR="00407EC9" w:rsidRPr="00EE75B4" w:rsidRDefault="00407EC9"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b/>
                <w:bCs/>
                <w:lang w:val="lt-LT"/>
              </w:rPr>
              <w:br/>
            </w:r>
            <w:r w:rsidRPr="00EE75B4">
              <w:rPr>
                <w:rFonts w:ascii="Times New Roman" w:hAnsi="Times New Roman"/>
                <w:b/>
                <w:bCs/>
                <w:lang w:val="lt-LT"/>
              </w:rPr>
              <w:br/>
            </w:r>
          </w:p>
          <w:p w14:paraId="6CAB7784" w14:textId="77777777" w:rsidR="00407EC9" w:rsidRPr="00EE75B4" w:rsidRDefault="00407EC9" w:rsidP="00407EC9">
            <w:pPr>
              <w:autoSpaceDE w:val="0"/>
              <w:autoSpaceDN w:val="0"/>
              <w:adjustRightInd w:val="0"/>
              <w:spacing w:after="0" w:line="240" w:lineRule="auto"/>
              <w:rPr>
                <w:rFonts w:ascii="Times New Roman" w:hAnsi="Times New Roman"/>
                <w:lang w:val="lt-LT"/>
              </w:rPr>
            </w:pPr>
            <w:r w:rsidRPr="00EE75B4">
              <w:rPr>
                <w:rFonts w:ascii="Times New Roman" w:hAnsi="Times New Roman"/>
                <w:b/>
                <w:bCs/>
                <w:i/>
                <w:iCs/>
                <w:lang w:val="lt-LT"/>
              </w:rPr>
              <w:t xml:space="preserve">Infekcijos ir </w:t>
            </w:r>
            <w:proofErr w:type="spellStart"/>
            <w:r w:rsidRPr="00EE75B4">
              <w:rPr>
                <w:rFonts w:ascii="Times New Roman" w:hAnsi="Times New Roman"/>
                <w:b/>
                <w:bCs/>
                <w:i/>
                <w:iCs/>
                <w:lang w:val="lt-LT"/>
              </w:rPr>
              <w:t>infestacijos</w:t>
            </w:r>
            <w:proofErr w:type="spellEnd"/>
          </w:p>
        </w:tc>
      </w:tr>
      <w:tr w:rsidR="00151F06" w:rsidRPr="00EE75B4" w14:paraId="637D3615" w14:textId="77777777" w:rsidTr="00752171">
        <w:trPr>
          <w:trHeight w:val="330"/>
        </w:trPr>
        <w:tc>
          <w:tcPr>
            <w:tcW w:w="9735" w:type="dxa"/>
            <w:shd w:val="clear" w:color="auto" w:fill="auto"/>
            <w:tcMar>
              <w:top w:w="0" w:type="dxa"/>
              <w:left w:w="108" w:type="dxa"/>
              <w:bottom w:w="0" w:type="dxa"/>
              <w:right w:w="108" w:type="dxa"/>
            </w:tcMar>
            <w:hideMark/>
          </w:tcPr>
          <w:p w14:paraId="063266C4" w14:textId="77777777" w:rsidR="00407EC9" w:rsidRPr="00EE75B4" w:rsidRDefault="00407EC9" w:rsidP="00407EC9">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i/>
                <w:lang w:val="lt-LT"/>
              </w:rPr>
              <w:t>Candida</w:t>
            </w:r>
            <w:proofErr w:type="spellEnd"/>
            <w:r w:rsidRPr="00EE75B4">
              <w:rPr>
                <w:rFonts w:ascii="Times New Roman" w:hAnsi="Times New Roman"/>
                <w:lang w:val="lt-LT"/>
              </w:rPr>
              <w:t xml:space="preserve"> infekcijos, įskaitant burnos </w:t>
            </w:r>
            <w:proofErr w:type="spellStart"/>
            <w:r w:rsidRPr="00EE75B4">
              <w:rPr>
                <w:rFonts w:ascii="Times New Roman" w:hAnsi="Times New Roman"/>
                <w:lang w:val="lt-LT"/>
              </w:rPr>
              <w:t>kandidozę</w:t>
            </w:r>
            <w:proofErr w:type="spellEnd"/>
          </w:p>
        </w:tc>
        <w:tc>
          <w:tcPr>
            <w:tcW w:w="3120" w:type="dxa"/>
            <w:shd w:val="clear" w:color="auto" w:fill="auto"/>
            <w:tcMar>
              <w:top w:w="0" w:type="dxa"/>
              <w:left w:w="108" w:type="dxa"/>
              <w:bottom w:w="0" w:type="dxa"/>
              <w:right w:w="108" w:type="dxa"/>
            </w:tcMar>
            <w:hideMark/>
          </w:tcPr>
          <w:p w14:paraId="569D16B6" w14:textId="77777777" w:rsidR="00407EC9" w:rsidRPr="00EE75B4" w:rsidRDefault="00407EC9" w:rsidP="00407EC9">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Labai dažni</w:t>
            </w:r>
          </w:p>
        </w:tc>
      </w:tr>
      <w:tr w:rsidR="00581BF7" w:rsidRPr="00EE75B4" w14:paraId="59F21AAD" w14:textId="77777777" w:rsidTr="00DB5FDD">
        <w:trPr>
          <w:trHeight w:val="330"/>
        </w:trPr>
        <w:tc>
          <w:tcPr>
            <w:tcW w:w="9735" w:type="dxa"/>
            <w:shd w:val="clear" w:color="auto" w:fill="auto"/>
            <w:tcMar>
              <w:top w:w="0" w:type="dxa"/>
              <w:left w:w="108" w:type="dxa"/>
              <w:bottom w:w="0" w:type="dxa"/>
              <w:right w:w="108" w:type="dxa"/>
            </w:tcMar>
            <w:hideMark/>
          </w:tcPr>
          <w:p w14:paraId="5590A808" w14:textId="77777777" w:rsidR="00407EC9" w:rsidRPr="00EE75B4" w:rsidRDefault="00C0577A" w:rsidP="00732BB8">
            <w:pPr>
              <w:pStyle w:val="Default"/>
              <w:rPr>
                <w:color w:val="auto"/>
                <w:lang w:val="lt-LT"/>
              </w:rPr>
            </w:pPr>
            <w:r w:rsidRPr="00EE75B4">
              <w:rPr>
                <w:color w:val="auto"/>
                <w:sz w:val="22"/>
                <w:szCs w:val="22"/>
                <w:lang w:val="lt-LT"/>
              </w:rPr>
              <w:t>Viršutinių kvėpavimo takų infekcija</w:t>
            </w:r>
          </w:p>
        </w:tc>
        <w:tc>
          <w:tcPr>
            <w:tcW w:w="0" w:type="auto"/>
            <w:shd w:val="clear" w:color="auto" w:fill="FFFFFF"/>
            <w:vAlign w:val="center"/>
            <w:hideMark/>
          </w:tcPr>
          <w:p w14:paraId="298B2408"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151F06" w:rsidRPr="00EE75B4" w14:paraId="27C4B6E9" w14:textId="77777777" w:rsidTr="00752171">
        <w:trPr>
          <w:trHeight w:val="327"/>
        </w:trPr>
        <w:tc>
          <w:tcPr>
            <w:tcW w:w="9735" w:type="dxa"/>
            <w:shd w:val="clear" w:color="auto" w:fill="auto"/>
            <w:tcMar>
              <w:top w:w="0" w:type="dxa"/>
              <w:left w:w="108" w:type="dxa"/>
              <w:bottom w:w="0" w:type="dxa"/>
              <w:right w:w="108" w:type="dxa"/>
            </w:tcMar>
            <w:hideMark/>
          </w:tcPr>
          <w:p w14:paraId="37F63B89" w14:textId="77777777" w:rsidR="00407EC9" w:rsidRPr="00EE75B4" w:rsidRDefault="00407EC9"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Sepsis</w:t>
            </w:r>
          </w:p>
        </w:tc>
        <w:tc>
          <w:tcPr>
            <w:tcW w:w="3120" w:type="dxa"/>
            <w:vMerge w:val="restart"/>
            <w:shd w:val="clear" w:color="auto" w:fill="auto"/>
            <w:tcMar>
              <w:top w:w="0" w:type="dxa"/>
              <w:left w:w="108" w:type="dxa"/>
              <w:bottom w:w="0" w:type="dxa"/>
              <w:right w:w="108" w:type="dxa"/>
            </w:tcMar>
            <w:hideMark/>
          </w:tcPr>
          <w:p w14:paraId="7C56C4B1"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Dažni</w:t>
            </w:r>
          </w:p>
        </w:tc>
      </w:tr>
      <w:tr w:rsidR="00581BF7" w:rsidRPr="00EE75B4" w14:paraId="63040847" w14:textId="77777777" w:rsidTr="00DB5FDD">
        <w:trPr>
          <w:trHeight w:val="327"/>
        </w:trPr>
        <w:tc>
          <w:tcPr>
            <w:tcW w:w="9735" w:type="dxa"/>
            <w:shd w:val="clear" w:color="auto" w:fill="auto"/>
            <w:tcMar>
              <w:top w:w="0" w:type="dxa"/>
              <w:left w:w="108" w:type="dxa"/>
              <w:bottom w:w="0" w:type="dxa"/>
              <w:right w:w="108" w:type="dxa"/>
            </w:tcMar>
            <w:hideMark/>
          </w:tcPr>
          <w:p w14:paraId="40A9BED1" w14:textId="77777777" w:rsidR="00407EC9" w:rsidRPr="00EE75B4" w:rsidRDefault="00C0577A" w:rsidP="00C0577A">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Gripas</w:t>
            </w:r>
          </w:p>
        </w:tc>
        <w:tc>
          <w:tcPr>
            <w:tcW w:w="0" w:type="auto"/>
            <w:vMerge/>
            <w:shd w:val="clear" w:color="auto" w:fill="FFFFFF"/>
            <w:vAlign w:val="center"/>
            <w:hideMark/>
          </w:tcPr>
          <w:p w14:paraId="4B0A3E47"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4B194A56" w14:textId="77777777" w:rsidTr="00DB5FDD">
        <w:trPr>
          <w:trHeight w:val="327"/>
        </w:trPr>
        <w:tc>
          <w:tcPr>
            <w:tcW w:w="9735" w:type="dxa"/>
            <w:shd w:val="clear" w:color="auto" w:fill="auto"/>
            <w:tcMar>
              <w:top w:w="0" w:type="dxa"/>
              <w:left w:w="108" w:type="dxa"/>
              <w:bottom w:w="0" w:type="dxa"/>
              <w:right w:w="108" w:type="dxa"/>
            </w:tcMar>
            <w:hideMark/>
          </w:tcPr>
          <w:p w14:paraId="2CBE6782" w14:textId="77777777" w:rsidR="00407EC9" w:rsidRPr="00EE75B4" w:rsidRDefault="00C0577A" w:rsidP="00732BB8">
            <w:pPr>
              <w:pStyle w:val="Default"/>
              <w:rPr>
                <w:color w:val="auto"/>
                <w:lang w:val="lt-LT"/>
              </w:rPr>
            </w:pPr>
            <w:r w:rsidRPr="00EE75B4">
              <w:rPr>
                <w:color w:val="auto"/>
                <w:sz w:val="22"/>
                <w:szCs w:val="22"/>
                <w:lang w:val="lt-LT"/>
              </w:rPr>
              <w:t xml:space="preserve">Šlapimo takų infekcija </w:t>
            </w:r>
          </w:p>
        </w:tc>
        <w:tc>
          <w:tcPr>
            <w:tcW w:w="0" w:type="auto"/>
            <w:vMerge/>
            <w:shd w:val="clear" w:color="auto" w:fill="FFFFFF"/>
            <w:vAlign w:val="center"/>
            <w:hideMark/>
          </w:tcPr>
          <w:p w14:paraId="1F95A64B"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645B8CA4" w14:textId="77777777" w:rsidTr="00DB5FDD">
        <w:trPr>
          <w:trHeight w:val="327"/>
        </w:trPr>
        <w:tc>
          <w:tcPr>
            <w:tcW w:w="9735" w:type="dxa"/>
            <w:shd w:val="clear" w:color="auto" w:fill="auto"/>
            <w:tcMar>
              <w:top w:w="0" w:type="dxa"/>
              <w:left w:w="108" w:type="dxa"/>
              <w:bottom w:w="0" w:type="dxa"/>
              <w:right w:w="108" w:type="dxa"/>
            </w:tcMar>
            <w:hideMark/>
          </w:tcPr>
          <w:p w14:paraId="24459CD6" w14:textId="77777777" w:rsidR="00407EC9" w:rsidRPr="00EE75B4" w:rsidRDefault="00407EC9" w:rsidP="00C0577A">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Cel</w:t>
            </w:r>
            <w:r w:rsidR="00C0577A" w:rsidRPr="00EE75B4">
              <w:rPr>
                <w:rFonts w:ascii="Times New Roman" w:hAnsi="Times New Roman"/>
                <w:lang w:val="lt-LT"/>
              </w:rPr>
              <w:t>iulita</w:t>
            </w:r>
            <w:r w:rsidRPr="00EE75B4">
              <w:rPr>
                <w:rFonts w:ascii="Times New Roman" w:hAnsi="Times New Roman"/>
                <w:lang w:val="lt-LT"/>
              </w:rPr>
              <w:t>s</w:t>
            </w:r>
          </w:p>
        </w:tc>
        <w:tc>
          <w:tcPr>
            <w:tcW w:w="0" w:type="auto"/>
            <w:vMerge/>
            <w:shd w:val="clear" w:color="auto" w:fill="FFFFFF"/>
            <w:vAlign w:val="center"/>
            <w:hideMark/>
          </w:tcPr>
          <w:p w14:paraId="1D9E7E2F"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5E7364C5" w14:textId="77777777" w:rsidTr="00581BF7">
        <w:trPr>
          <w:trHeight w:val="350"/>
        </w:trPr>
        <w:tc>
          <w:tcPr>
            <w:tcW w:w="12855" w:type="dxa"/>
            <w:gridSpan w:val="2"/>
            <w:shd w:val="clear" w:color="auto" w:fill="auto"/>
            <w:tcMar>
              <w:top w:w="0" w:type="dxa"/>
              <w:left w:w="108" w:type="dxa"/>
              <w:bottom w:w="0" w:type="dxa"/>
              <w:right w:w="108" w:type="dxa"/>
            </w:tcMar>
            <w:hideMark/>
          </w:tcPr>
          <w:p w14:paraId="272F58EE" w14:textId="77777777" w:rsidR="00407EC9" w:rsidRPr="00EE75B4" w:rsidRDefault="00C0577A" w:rsidP="00C0577A">
            <w:pPr>
              <w:autoSpaceDE w:val="0"/>
              <w:autoSpaceDN w:val="0"/>
              <w:adjustRightInd w:val="0"/>
              <w:spacing w:after="0" w:line="240" w:lineRule="auto"/>
              <w:rPr>
                <w:rFonts w:ascii="Times New Roman" w:hAnsi="Times New Roman"/>
                <w:lang w:val="lt-LT"/>
              </w:rPr>
            </w:pPr>
            <w:r w:rsidRPr="00EE75B4">
              <w:rPr>
                <w:rFonts w:ascii="Times New Roman" w:hAnsi="Times New Roman"/>
                <w:b/>
                <w:bCs/>
                <w:i/>
                <w:iCs/>
                <w:lang w:val="lt-LT"/>
              </w:rPr>
              <w:t>Kraujo ir limfinės sistemos sutrikimai</w:t>
            </w:r>
          </w:p>
        </w:tc>
      </w:tr>
      <w:tr w:rsidR="00151F06" w:rsidRPr="00EE75B4" w14:paraId="6B67716F" w14:textId="77777777" w:rsidTr="00752171">
        <w:trPr>
          <w:trHeight w:val="278"/>
        </w:trPr>
        <w:tc>
          <w:tcPr>
            <w:tcW w:w="9735" w:type="dxa"/>
            <w:shd w:val="clear" w:color="auto" w:fill="auto"/>
            <w:tcMar>
              <w:top w:w="0" w:type="dxa"/>
              <w:left w:w="108" w:type="dxa"/>
              <w:bottom w:w="0" w:type="dxa"/>
              <w:right w:w="108" w:type="dxa"/>
            </w:tcMar>
            <w:hideMark/>
          </w:tcPr>
          <w:p w14:paraId="0BEDD042" w14:textId="77777777" w:rsidR="00407EC9" w:rsidRPr="00EE75B4" w:rsidRDefault="00407EC9" w:rsidP="00DB5FDD">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Neutropeni</w:t>
            </w:r>
            <w:r w:rsidR="00C0577A" w:rsidRPr="00EE75B4">
              <w:rPr>
                <w:rFonts w:ascii="Times New Roman" w:hAnsi="Times New Roman"/>
                <w:lang w:val="lt-LT"/>
              </w:rPr>
              <w:t>j</w:t>
            </w:r>
            <w:r w:rsidRPr="00EE75B4">
              <w:rPr>
                <w:rFonts w:ascii="Times New Roman" w:hAnsi="Times New Roman"/>
                <w:lang w:val="lt-LT"/>
              </w:rPr>
              <w:t>a</w:t>
            </w:r>
            <w:proofErr w:type="spellEnd"/>
          </w:p>
        </w:tc>
        <w:tc>
          <w:tcPr>
            <w:tcW w:w="3120" w:type="dxa"/>
            <w:vMerge w:val="restart"/>
            <w:shd w:val="clear" w:color="auto" w:fill="auto"/>
            <w:tcMar>
              <w:top w:w="0" w:type="dxa"/>
              <w:left w:w="108" w:type="dxa"/>
              <w:bottom w:w="0" w:type="dxa"/>
              <w:right w:w="108" w:type="dxa"/>
            </w:tcMar>
            <w:hideMark/>
          </w:tcPr>
          <w:p w14:paraId="3D5B1CAA" w14:textId="77777777" w:rsidR="00407EC9" w:rsidRPr="00EE75B4" w:rsidRDefault="00407EC9"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Labai dažni</w:t>
            </w:r>
          </w:p>
        </w:tc>
      </w:tr>
      <w:tr w:rsidR="00581BF7" w:rsidRPr="00EE75B4" w14:paraId="32A8EB36" w14:textId="77777777" w:rsidTr="00DB5FDD">
        <w:trPr>
          <w:trHeight w:val="277"/>
        </w:trPr>
        <w:tc>
          <w:tcPr>
            <w:tcW w:w="9735" w:type="dxa"/>
            <w:shd w:val="clear" w:color="auto" w:fill="auto"/>
            <w:tcMar>
              <w:top w:w="0" w:type="dxa"/>
              <w:left w:w="108" w:type="dxa"/>
              <w:bottom w:w="0" w:type="dxa"/>
              <w:right w:w="108" w:type="dxa"/>
            </w:tcMar>
            <w:hideMark/>
          </w:tcPr>
          <w:p w14:paraId="7A779AB1" w14:textId="77777777" w:rsidR="00407EC9" w:rsidRPr="00EE75B4" w:rsidRDefault="00A43461"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An</w:t>
            </w:r>
            <w:r w:rsidR="00407EC9" w:rsidRPr="00EE75B4">
              <w:rPr>
                <w:rFonts w:ascii="Times New Roman" w:hAnsi="Times New Roman"/>
                <w:lang w:val="lt-LT"/>
              </w:rPr>
              <w:t>emi</w:t>
            </w:r>
            <w:r w:rsidRPr="00EE75B4">
              <w:rPr>
                <w:rFonts w:ascii="Times New Roman" w:hAnsi="Times New Roman"/>
                <w:lang w:val="lt-LT"/>
              </w:rPr>
              <w:t>j</w:t>
            </w:r>
            <w:r w:rsidR="00407EC9" w:rsidRPr="00EE75B4">
              <w:rPr>
                <w:rFonts w:ascii="Times New Roman" w:hAnsi="Times New Roman"/>
                <w:lang w:val="lt-LT"/>
              </w:rPr>
              <w:t>a</w:t>
            </w:r>
          </w:p>
        </w:tc>
        <w:tc>
          <w:tcPr>
            <w:tcW w:w="0" w:type="auto"/>
            <w:vMerge/>
            <w:shd w:val="clear" w:color="auto" w:fill="FFFFFF"/>
            <w:vAlign w:val="center"/>
            <w:hideMark/>
          </w:tcPr>
          <w:p w14:paraId="597683BE"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151F06" w:rsidRPr="00EE75B4" w14:paraId="22B31892" w14:textId="77777777" w:rsidTr="00752171">
        <w:trPr>
          <w:trHeight w:val="350"/>
        </w:trPr>
        <w:tc>
          <w:tcPr>
            <w:tcW w:w="9735" w:type="dxa"/>
            <w:shd w:val="clear" w:color="auto" w:fill="auto"/>
            <w:tcMar>
              <w:top w:w="0" w:type="dxa"/>
              <w:left w:w="108" w:type="dxa"/>
              <w:bottom w:w="0" w:type="dxa"/>
              <w:right w:w="108" w:type="dxa"/>
            </w:tcMar>
            <w:hideMark/>
          </w:tcPr>
          <w:p w14:paraId="155452A2" w14:textId="77777777" w:rsidR="00407EC9" w:rsidRPr="00EE75B4" w:rsidRDefault="00407EC9" w:rsidP="00A43461">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Tromboc</w:t>
            </w:r>
            <w:r w:rsidR="00A43461" w:rsidRPr="00EE75B4">
              <w:rPr>
                <w:rFonts w:ascii="Times New Roman" w:hAnsi="Times New Roman"/>
                <w:lang w:val="lt-LT"/>
              </w:rPr>
              <w:t>i</w:t>
            </w:r>
            <w:r w:rsidRPr="00EE75B4">
              <w:rPr>
                <w:rFonts w:ascii="Times New Roman" w:hAnsi="Times New Roman"/>
                <w:lang w:val="lt-LT"/>
              </w:rPr>
              <w:t>topeni</w:t>
            </w:r>
            <w:r w:rsidR="00A43461" w:rsidRPr="00EE75B4">
              <w:rPr>
                <w:rFonts w:ascii="Times New Roman" w:hAnsi="Times New Roman"/>
                <w:lang w:val="lt-LT"/>
              </w:rPr>
              <w:t>j</w:t>
            </w:r>
            <w:r w:rsidRPr="00EE75B4">
              <w:rPr>
                <w:rFonts w:ascii="Times New Roman" w:hAnsi="Times New Roman"/>
                <w:lang w:val="lt-LT"/>
              </w:rPr>
              <w:t>a</w:t>
            </w:r>
            <w:proofErr w:type="spellEnd"/>
          </w:p>
        </w:tc>
        <w:tc>
          <w:tcPr>
            <w:tcW w:w="3120" w:type="dxa"/>
            <w:vMerge w:val="restart"/>
            <w:shd w:val="clear" w:color="auto" w:fill="auto"/>
            <w:tcMar>
              <w:top w:w="0" w:type="dxa"/>
              <w:left w:w="108" w:type="dxa"/>
              <w:bottom w:w="0" w:type="dxa"/>
              <w:right w:w="108" w:type="dxa"/>
            </w:tcMar>
            <w:hideMark/>
          </w:tcPr>
          <w:p w14:paraId="5EF2C66C"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Dažni</w:t>
            </w:r>
          </w:p>
        </w:tc>
      </w:tr>
      <w:tr w:rsidR="00581BF7" w:rsidRPr="00EE75B4" w14:paraId="1F9BF19C" w14:textId="77777777" w:rsidTr="00DB5FDD">
        <w:trPr>
          <w:trHeight w:val="280"/>
        </w:trPr>
        <w:tc>
          <w:tcPr>
            <w:tcW w:w="9735" w:type="dxa"/>
            <w:shd w:val="clear" w:color="auto" w:fill="auto"/>
            <w:tcMar>
              <w:top w:w="0" w:type="dxa"/>
              <w:left w:w="108" w:type="dxa"/>
              <w:bottom w:w="0" w:type="dxa"/>
              <w:right w:w="108" w:type="dxa"/>
            </w:tcMar>
            <w:hideMark/>
          </w:tcPr>
          <w:p w14:paraId="4BC24BC4" w14:textId="77777777" w:rsidR="00407EC9" w:rsidRPr="00EE75B4" w:rsidRDefault="00407EC9" w:rsidP="00DB5FDD">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Leukopeni</w:t>
            </w:r>
            <w:r w:rsidR="00A43461" w:rsidRPr="00EE75B4">
              <w:rPr>
                <w:rFonts w:ascii="Times New Roman" w:hAnsi="Times New Roman"/>
                <w:lang w:val="lt-LT"/>
              </w:rPr>
              <w:t>j</w:t>
            </w:r>
            <w:r w:rsidRPr="00EE75B4">
              <w:rPr>
                <w:rFonts w:ascii="Times New Roman" w:hAnsi="Times New Roman"/>
                <w:lang w:val="lt-LT"/>
              </w:rPr>
              <w:t>a</w:t>
            </w:r>
            <w:proofErr w:type="spellEnd"/>
          </w:p>
        </w:tc>
        <w:tc>
          <w:tcPr>
            <w:tcW w:w="0" w:type="auto"/>
            <w:vMerge/>
            <w:shd w:val="clear" w:color="auto" w:fill="FFFFFF"/>
            <w:vAlign w:val="center"/>
            <w:hideMark/>
          </w:tcPr>
          <w:p w14:paraId="77E176EA"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506D8809" w14:textId="77777777" w:rsidTr="00DB5FDD">
        <w:trPr>
          <w:trHeight w:val="280"/>
        </w:trPr>
        <w:tc>
          <w:tcPr>
            <w:tcW w:w="9735" w:type="dxa"/>
            <w:shd w:val="clear" w:color="auto" w:fill="auto"/>
            <w:tcMar>
              <w:top w:w="0" w:type="dxa"/>
              <w:left w:w="108" w:type="dxa"/>
              <w:bottom w:w="0" w:type="dxa"/>
              <w:right w:w="108" w:type="dxa"/>
            </w:tcMar>
            <w:hideMark/>
          </w:tcPr>
          <w:p w14:paraId="3C90B83A" w14:textId="77777777" w:rsidR="00407EC9" w:rsidRPr="00EE75B4" w:rsidRDefault="00407EC9" w:rsidP="00A43461">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Panc</w:t>
            </w:r>
            <w:r w:rsidR="00A43461" w:rsidRPr="00EE75B4">
              <w:rPr>
                <w:rFonts w:ascii="Times New Roman" w:hAnsi="Times New Roman"/>
                <w:lang w:val="lt-LT"/>
              </w:rPr>
              <w:t>i</w:t>
            </w:r>
            <w:r w:rsidRPr="00EE75B4">
              <w:rPr>
                <w:rFonts w:ascii="Times New Roman" w:hAnsi="Times New Roman"/>
                <w:lang w:val="lt-LT"/>
              </w:rPr>
              <w:t>topeni</w:t>
            </w:r>
            <w:r w:rsidR="00A43461" w:rsidRPr="00EE75B4">
              <w:rPr>
                <w:rFonts w:ascii="Times New Roman" w:hAnsi="Times New Roman"/>
                <w:lang w:val="lt-LT"/>
              </w:rPr>
              <w:t>j</w:t>
            </w:r>
            <w:r w:rsidRPr="00EE75B4">
              <w:rPr>
                <w:rFonts w:ascii="Times New Roman" w:hAnsi="Times New Roman"/>
                <w:lang w:val="lt-LT"/>
              </w:rPr>
              <w:t>a</w:t>
            </w:r>
            <w:proofErr w:type="spellEnd"/>
          </w:p>
        </w:tc>
        <w:tc>
          <w:tcPr>
            <w:tcW w:w="0" w:type="auto"/>
            <w:vMerge/>
            <w:shd w:val="clear" w:color="auto" w:fill="FFFFFF"/>
            <w:vAlign w:val="center"/>
            <w:hideMark/>
          </w:tcPr>
          <w:p w14:paraId="16F858A6"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151F06" w:rsidRPr="00EE75B4" w14:paraId="2E96D488" w14:textId="77777777" w:rsidTr="00752171">
        <w:trPr>
          <w:trHeight w:val="303"/>
        </w:trPr>
        <w:tc>
          <w:tcPr>
            <w:tcW w:w="9735" w:type="dxa"/>
            <w:shd w:val="clear" w:color="auto" w:fill="auto"/>
            <w:tcMar>
              <w:top w:w="0" w:type="dxa"/>
              <w:left w:w="108" w:type="dxa"/>
              <w:bottom w:w="0" w:type="dxa"/>
              <w:right w:w="108" w:type="dxa"/>
            </w:tcMar>
            <w:hideMark/>
          </w:tcPr>
          <w:p w14:paraId="15088FCC" w14:textId="77777777" w:rsidR="00A43461" w:rsidRPr="00EE75B4" w:rsidRDefault="00A43461" w:rsidP="00A43461">
            <w:pPr>
              <w:pStyle w:val="Default"/>
              <w:rPr>
                <w:color w:val="auto"/>
                <w:lang w:val="lt-LT"/>
              </w:rPr>
            </w:pPr>
            <w:r w:rsidRPr="00EE75B4">
              <w:rPr>
                <w:color w:val="auto"/>
                <w:sz w:val="22"/>
                <w:szCs w:val="22"/>
                <w:lang w:val="lt-LT"/>
              </w:rPr>
              <w:t xml:space="preserve">Kaulų čiulpų nepakankamumas </w:t>
            </w:r>
          </w:p>
          <w:p w14:paraId="04814660"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c>
          <w:tcPr>
            <w:tcW w:w="3120" w:type="dxa"/>
            <w:shd w:val="clear" w:color="auto" w:fill="auto"/>
            <w:tcMar>
              <w:top w:w="0" w:type="dxa"/>
              <w:left w:w="108" w:type="dxa"/>
              <w:bottom w:w="0" w:type="dxa"/>
              <w:right w:w="108" w:type="dxa"/>
            </w:tcMar>
            <w:hideMark/>
          </w:tcPr>
          <w:p w14:paraId="6E758C5E"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Nedažni</w:t>
            </w:r>
          </w:p>
        </w:tc>
      </w:tr>
      <w:tr w:rsidR="00151F06" w:rsidRPr="00EE75B4" w14:paraId="7246008B" w14:textId="77777777" w:rsidTr="00752171">
        <w:trPr>
          <w:trHeight w:val="303"/>
        </w:trPr>
        <w:tc>
          <w:tcPr>
            <w:tcW w:w="9735" w:type="dxa"/>
            <w:shd w:val="clear" w:color="auto" w:fill="auto"/>
            <w:tcMar>
              <w:top w:w="0" w:type="dxa"/>
              <w:left w:w="108" w:type="dxa"/>
              <w:bottom w:w="0" w:type="dxa"/>
              <w:right w:w="108" w:type="dxa"/>
            </w:tcMar>
            <w:hideMark/>
          </w:tcPr>
          <w:p w14:paraId="6B642BE9" w14:textId="078F47E3" w:rsidR="00407EC9" w:rsidRPr="00EE75B4" w:rsidRDefault="00A43461" w:rsidP="00DB5FDD">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Aplastinė</w:t>
            </w:r>
            <w:proofErr w:type="spellEnd"/>
            <w:r w:rsidRPr="00EE75B4">
              <w:rPr>
                <w:rFonts w:ascii="Times New Roman" w:hAnsi="Times New Roman"/>
                <w:lang w:val="lt-LT"/>
              </w:rPr>
              <w:t xml:space="preserve"> an</w:t>
            </w:r>
            <w:r w:rsidR="00407EC9" w:rsidRPr="00EE75B4">
              <w:rPr>
                <w:rFonts w:ascii="Times New Roman" w:hAnsi="Times New Roman"/>
                <w:lang w:val="lt-LT"/>
              </w:rPr>
              <w:t>emi</w:t>
            </w:r>
            <w:r w:rsidR="00EE75B4">
              <w:rPr>
                <w:rFonts w:ascii="Times New Roman" w:hAnsi="Times New Roman"/>
                <w:lang w:val="lt-LT"/>
              </w:rPr>
              <w:t>j</w:t>
            </w:r>
            <w:r w:rsidR="00407EC9" w:rsidRPr="00EE75B4">
              <w:rPr>
                <w:rFonts w:ascii="Times New Roman" w:hAnsi="Times New Roman"/>
                <w:lang w:val="lt-LT"/>
              </w:rPr>
              <w:t>a</w:t>
            </w:r>
          </w:p>
        </w:tc>
        <w:tc>
          <w:tcPr>
            <w:tcW w:w="3120" w:type="dxa"/>
            <w:vMerge w:val="restart"/>
            <w:shd w:val="clear" w:color="auto" w:fill="auto"/>
            <w:tcMar>
              <w:top w:w="0" w:type="dxa"/>
              <w:left w:w="108" w:type="dxa"/>
              <w:bottom w:w="0" w:type="dxa"/>
              <w:right w:w="108" w:type="dxa"/>
            </w:tcMar>
            <w:hideMark/>
          </w:tcPr>
          <w:p w14:paraId="7CF586EC"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Reti</w:t>
            </w:r>
          </w:p>
        </w:tc>
      </w:tr>
      <w:tr w:rsidR="00581BF7" w:rsidRPr="00EE75B4" w14:paraId="5AA8A23B" w14:textId="77777777" w:rsidTr="00DB5FDD">
        <w:trPr>
          <w:trHeight w:val="190"/>
        </w:trPr>
        <w:tc>
          <w:tcPr>
            <w:tcW w:w="9735" w:type="dxa"/>
            <w:shd w:val="clear" w:color="auto" w:fill="auto"/>
            <w:tcMar>
              <w:top w:w="0" w:type="dxa"/>
              <w:left w:w="108" w:type="dxa"/>
              <w:bottom w:w="0" w:type="dxa"/>
              <w:right w:w="108" w:type="dxa"/>
            </w:tcMar>
            <w:hideMark/>
          </w:tcPr>
          <w:p w14:paraId="028FDB99" w14:textId="77777777" w:rsidR="00407EC9" w:rsidRPr="00EE75B4" w:rsidRDefault="00407EC9" w:rsidP="00A43461">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Agranul</w:t>
            </w:r>
            <w:r w:rsidR="00A43461" w:rsidRPr="00EE75B4">
              <w:rPr>
                <w:rFonts w:ascii="Times New Roman" w:hAnsi="Times New Roman"/>
                <w:lang w:val="lt-LT"/>
              </w:rPr>
              <w:t>iocitozė</w:t>
            </w:r>
            <w:proofErr w:type="spellEnd"/>
            <w:r w:rsidRPr="00EE75B4">
              <w:rPr>
                <w:rFonts w:ascii="Times New Roman" w:hAnsi="Times New Roman"/>
                <w:lang w:val="lt-LT"/>
              </w:rPr>
              <w:t>*</w:t>
            </w:r>
          </w:p>
        </w:tc>
        <w:tc>
          <w:tcPr>
            <w:tcW w:w="0" w:type="auto"/>
            <w:vMerge/>
            <w:shd w:val="clear" w:color="auto" w:fill="FFFFFF"/>
            <w:vAlign w:val="center"/>
            <w:hideMark/>
          </w:tcPr>
          <w:p w14:paraId="63E81CE0"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2B3331EB" w14:textId="77777777" w:rsidTr="00DB5FDD">
        <w:trPr>
          <w:trHeight w:val="190"/>
        </w:trPr>
        <w:tc>
          <w:tcPr>
            <w:tcW w:w="9735" w:type="dxa"/>
            <w:shd w:val="clear" w:color="auto" w:fill="auto"/>
            <w:tcMar>
              <w:top w:w="0" w:type="dxa"/>
              <w:left w:w="108" w:type="dxa"/>
              <w:bottom w:w="0" w:type="dxa"/>
              <w:right w:w="108" w:type="dxa"/>
            </w:tcMar>
            <w:hideMark/>
          </w:tcPr>
          <w:p w14:paraId="12648EA6" w14:textId="77777777" w:rsidR="00407EC9" w:rsidRPr="00EE75B4" w:rsidRDefault="00407EC9" w:rsidP="00A43461">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Granul</w:t>
            </w:r>
            <w:r w:rsidR="00A43461" w:rsidRPr="00EE75B4">
              <w:rPr>
                <w:rFonts w:ascii="Times New Roman" w:hAnsi="Times New Roman"/>
                <w:lang w:val="lt-LT"/>
              </w:rPr>
              <w:t>i</w:t>
            </w:r>
            <w:r w:rsidRPr="00EE75B4">
              <w:rPr>
                <w:rFonts w:ascii="Times New Roman" w:hAnsi="Times New Roman"/>
                <w:lang w:val="lt-LT"/>
              </w:rPr>
              <w:t>oc</w:t>
            </w:r>
            <w:r w:rsidR="00A43461" w:rsidRPr="00EE75B4">
              <w:rPr>
                <w:rFonts w:ascii="Times New Roman" w:hAnsi="Times New Roman"/>
                <w:lang w:val="lt-LT"/>
              </w:rPr>
              <w:t>i</w:t>
            </w:r>
            <w:r w:rsidRPr="00EE75B4">
              <w:rPr>
                <w:rFonts w:ascii="Times New Roman" w:hAnsi="Times New Roman"/>
                <w:lang w:val="lt-LT"/>
              </w:rPr>
              <w:t>topeni</w:t>
            </w:r>
            <w:r w:rsidR="00A43461" w:rsidRPr="00EE75B4">
              <w:rPr>
                <w:rFonts w:ascii="Times New Roman" w:hAnsi="Times New Roman"/>
                <w:lang w:val="lt-LT"/>
              </w:rPr>
              <w:t>j</w:t>
            </w:r>
            <w:r w:rsidRPr="00EE75B4">
              <w:rPr>
                <w:rFonts w:ascii="Times New Roman" w:hAnsi="Times New Roman"/>
                <w:lang w:val="lt-LT"/>
              </w:rPr>
              <w:t>a</w:t>
            </w:r>
            <w:proofErr w:type="spellEnd"/>
            <w:r w:rsidRPr="00EE75B4">
              <w:rPr>
                <w:rFonts w:ascii="Times New Roman" w:hAnsi="Times New Roman"/>
                <w:lang w:val="lt-LT"/>
              </w:rPr>
              <w:t>*</w:t>
            </w:r>
          </w:p>
        </w:tc>
        <w:tc>
          <w:tcPr>
            <w:tcW w:w="0" w:type="auto"/>
            <w:vMerge/>
            <w:shd w:val="clear" w:color="auto" w:fill="FFFFFF"/>
            <w:vAlign w:val="center"/>
            <w:hideMark/>
          </w:tcPr>
          <w:p w14:paraId="36C12848"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5E790873" w14:textId="77777777" w:rsidTr="00581BF7">
        <w:tc>
          <w:tcPr>
            <w:tcW w:w="12855" w:type="dxa"/>
            <w:gridSpan w:val="2"/>
            <w:shd w:val="clear" w:color="auto" w:fill="auto"/>
            <w:tcMar>
              <w:top w:w="0" w:type="dxa"/>
              <w:left w:w="108" w:type="dxa"/>
              <w:bottom w:w="0" w:type="dxa"/>
              <w:right w:w="108" w:type="dxa"/>
            </w:tcMar>
            <w:hideMark/>
          </w:tcPr>
          <w:p w14:paraId="660EBD17" w14:textId="77777777" w:rsidR="00407EC9" w:rsidRPr="00EE75B4" w:rsidRDefault="00407EC9" w:rsidP="00A43461">
            <w:pPr>
              <w:autoSpaceDE w:val="0"/>
              <w:autoSpaceDN w:val="0"/>
              <w:adjustRightInd w:val="0"/>
              <w:spacing w:after="0" w:line="240" w:lineRule="auto"/>
              <w:rPr>
                <w:rFonts w:ascii="Times New Roman" w:hAnsi="Times New Roman"/>
                <w:lang w:val="lt-LT"/>
              </w:rPr>
            </w:pPr>
            <w:r w:rsidRPr="00EE75B4">
              <w:rPr>
                <w:rFonts w:ascii="Times New Roman" w:hAnsi="Times New Roman"/>
                <w:b/>
                <w:bCs/>
                <w:i/>
                <w:iCs/>
                <w:lang w:val="lt-LT"/>
              </w:rPr>
              <w:t>Im</w:t>
            </w:r>
            <w:r w:rsidR="00A43461" w:rsidRPr="00EE75B4">
              <w:rPr>
                <w:rFonts w:ascii="Times New Roman" w:hAnsi="Times New Roman"/>
                <w:b/>
                <w:bCs/>
                <w:i/>
                <w:iCs/>
                <w:lang w:val="lt-LT"/>
              </w:rPr>
              <w:t>uninės sistemos surikimai</w:t>
            </w:r>
          </w:p>
        </w:tc>
      </w:tr>
      <w:tr w:rsidR="00151F06" w:rsidRPr="00EE75B4" w14:paraId="6DEB99AF" w14:textId="77777777" w:rsidTr="00752171">
        <w:trPr>
          <w:trHeight w:val="375"/>
        </w:trPr>
        <w:tc>
          <w:tcPr>
            <w:tcW w:w="9735" w:type="dxa"/>
            <w:shd w:val="clear" w:color="auto" w:fill="auto"/>
            <w:tcMar>
              <w:top w:w="0" w:type="dxa"/>
              <w:left w:w="108" w:type="dxa"/>
              <w:bottom w:w="0" w:type="dxa"/>
              <w:right w:w="108" w:type="dxa"/>
            </w:tcMar>
            <w:hideMark/>
          </w:tcPr>
          <w:p w14:paraId="64460F99" w14:textId="77777777" w:rsidR="00407EC9" w:rsidRPr="00EE75B4" w:rsidRDefault="00A43461"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Padidėjęs jautrumas</w:t>
            </w:r>
          </w:p>
        </w:tc>
        <w:tc>
          <w:tcPr>
            <w:tcW w:w="3120" w:type="dxa"/>
            <w:shd w:val="clear" w:color="auto" w:fill="auto"/>
            <w:tcMar>
              <w:top w:w="0" w:type="dxa"/>
              <w:left w:w="108" w:type="dxa"/>
              <w:bottom w:w="0" w:type="dxa"/>
              <w:right w:w="108" w:type="dxa"/>
            </w:tcMar>
            <w:hideMark/>
          </w:tcPr>
          <w:p w14:paraId="6ED14908"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Dažni</w:t>
            </w:r>
          </w:p>
        </w:tc>
      </w:tr>
      <w:tr w:rsidR="00151F06" w:rsidRPr="00EE75B4" w14:paraId="65F3CB96" w14:textId="77777777" w:rsidTr="00752171">
        <w:trPr>
          <w:trHeight w:val="277"/>
        </w:trPr>
        <w:tc>
          <w:tcPr>
            <w:tcW w:w="9735" w:type="dxa"/>
            <w:shd w:val="clear" w:color="auto" w:fill="auto"/>
            <w:tcMar>
              <w:top w:w="0" w:type="dxa"/>
              <w:left w:w="108" w:type="dxa"/>
              <w:bottom w:w="0" w:type="dxa"/>
              <w:right w:w="108" w:type="dxa"/>
            </w:tcMar>
            <w:hideMark/>
          </w:tcPr>
          <w:p w14:paraId="0273D06E" w14:textId="77777777" w:rsidR="00407EC9" w:rsidRPr="00EE75B4" w:rsidRDefault="00230B74" w:rsidP="00230B74">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Anafilaksinė reakcija</w:t>
            </w:r>
            <w:r w:rsidR="00407EC9" w:rsidRPr="00EE75B4">
              <w:rPr>
                <w:rFonts w:ascii="Times New Roman" w:hAnsi="Times New Roman"/>
                <w:lang w:val="lt-LT"/>
              </w:rPr>
              <w:t>*</w:t>
            </w:r>
          </w:p>
        </w:tc>
        <w:tc>
          <w:tcPr>
            <w:tcW w:w="3120" w:type="dxa"/>
            <w:shd w:val="clear" w:color="auto" w:fill="auto"/>
            <w:tcMar>
              <w:top w:w="0" w:type="dxa"/>
              <w:left w:w="108" w:type="dxa"/>
              <w:bottom w:w="0" w:type="dxa"/>
              <w:right w:w="108" w:type="dxa"/>
            </w:tcMar>
            <w:hideMark/>
          </w:tcPr>
          <w:p w14:paraId="300FB732"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Reti</w:t>
            </w:r>
          </w:p>
        </w:tc>
      </w:tr>
      <w:tr w:rsidR="00581BF7" w:rsidRPr="00EE75B4" w14:paraId="36037AC8" w14:textId="77777777" w:rsidTr="00581BF7">
        <w:tc>
          <w:tcPr>
            <w:tcW w:w="12855" w:type="dxa"/>
            <w:gridSpan w:val="2"/>
            <w:shd w:val="clear" w:color="auto" w:fill="auto"/>
            <w:tcMar>
              <w:top w:w="0" w:type="dxa"/>
              <w:left w:w="108" w:type="dxa"/>
              <w:bottom w:w="0" w:type="dxa"/>
              <w:right w:w="108" w:type="dxa"/>
            </w:tcMar>
            <w:hideMark/>
          </w:tcPr>
          <w:p w14:paraId="54D622D7" w14:textId="77777777" w:rsidR="00407EC9" w:rsidRPr="00EE75B4" w:rsidRDefault="00230B74" w:rsidP="00230B74">
            <w:pPr>
              <w:autoSpaceDE w:val="0"/>
              <w:autoSpaceDN w:val="0"/>
              <w:adjustRightInd w:val="0"/>
              <w:spacing w:after="0" w:line="240" w:lineRule="auto"/>
              <w:rPr>
                <w:rFonts w:ascii="Times New Roman" w:hAnsi="Times New Roman"/>
                <w:lang w:val="lt-LT"/>
              </w:rPr>
            </w:pPr>
            <w:r w:rsidRPr="00EE75B4">
              <w:rPr>
                <w:rFonts w:ascii="Times New Roman" w:hAnsi="Times New Roman"/>
                <w:b/>
                <w:bCs/>
                <w:i/>
                <w:iCs/>
                <w:lang w:val="lt-LT"/>
              </w:rPr>
              <w:t>Metabolizmo ir mitybos sutrikimas</w:t>
            </w:r>
          </w:p>
        </w:tc>
      </w:tr>
      <w:tr w:rsidR="00151F06" w:rsidRPr="00EE75B4" w14:paraId="6E0F6F79" w14:textId="77777777" w:rsidTr="00752171">
        <w:trPr>
          <w:trHeight w:val="347"/>
        </w:trPr>
        <w:tc>
          <w:tcPr>
            <w:tcW w:w="9735" w:type="dxa"/>
            <w:shd w:val="clear" w:color="auto" w:fill="auto"/>
            <w:tcMar>
              <w:top w:w="0" w:type="dxa"/>
              <w:left w:w="108" w:type="dxa"/>
              <w:bottom w:w="0" w:type="dxa"/>
              <w:right w:w="108" w:type="dxa"/>
            </w:tcMar>
            <w:hideMark/>
          </w:tcPr>
          <w:p w14:paraId="3E8A1AFB" w14:textId="77777777" w:rsidR="00407EC9" w:rsidRPr="00EE75B4" w:rsidRDefault="00230B74" w:rsidP="00230B74">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Sumažėjęs apetitas</w:t>
            </w:r>
          </w:p>
        </w:tc>
        <w:tc>
          <w:tcPr>
            <w:tcW w:w="3120" w:type="dxa"/>
            <w:shd w:val="clear" w:color="auto" w:fill="auto"/>
            <w:tcMar>
              <w:top w:w="0" w:type="dxa"/>
              <w:left w:w="108" w:type="dxa"/>
              <w:bottom w:w="0" w:type="dxa"/>
              <w:right w:w="108" w:type="dxa"/>
            </w:tcMar>
            <w:hideMark/>
          </w:tcPr>
          <w:p w14:paraId="5339DE3B" w14:textId="77777777" w:rsidR="00407EC9" w:rsidRPr="00EE75B4" w:rsidRDefault="00407EC9"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Labai dažni</w:t>
            </w:r>
          </w:p>
        </w:tc>
      </w:tr>
      <w:tr w:rsidR="00151F06" w:rsidRPr="00EE75B4" w14:paraId="58A6B155" w14:textId="77777777" w:rsidTr="00752171">
        <w:trPr>
          <w:trHeight w:val="280"/>
        </w:trPr>
        <w:tc>
          <w:tcPr>
            <w:tcW w:w="9735" w:type="dxa"/>
            <w:shd w:val="clear" w:color="auto" w:fill="auto"/>
            <w:tcMar>
              <w:top w:w="0" w:type="dxa"/>
              <w:left w:w="108" w:type="dxa"/>
              <w:bottom w:w="0" w:type="dxa"/>
              <w:right w:w="108" w:type="dxa"/>
            </w:tcMar>
            <w:hideMark/>
          </w:tcPr>
          <w:p w14:paraId="61346054" w14:textId="77777777" w:rsidR="00407EC9" w:rsidRPr="00EE75B4" w:rsidRDefault="00230B74" w:rsidP="00230B74">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Kūno masės sumažėjimas</w:t>
            </w:r>
          </w:p>
        </w:tc>
        <w:tc>
          <w:tcPr>
            <w:tcW w:w="3120" w:type="dxa"/>
            <w:shd w:val="clear" w:color="auto" w:fill="auto"/>
            <w:tcMar>
              <w:top w:w="0" w:type="dxa"/>
              <w:left w:w="108" w:type="dxa"/>
              <w:bottom w:w="0" w:type="dxa"/>
              <w:right w:w="108" w:type="dxa"/>
            </w:tcMar>
            <w:hideMark/>
          </w:tcPr>
          <w:p w14:paraId="31605B98"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Dažni</w:t>
            </w:r>
          </w:p>
        </w:tc>
      </w:tr>
      <w:tr w:rsidR="00581BF7" w:rsidRPr="00EE75B4" w14:paraId="798DE3CA" w14:textId="77777777" w:rsidTr="00581BF7">
        <w:tc>
          <w:tcPr>
            <w:tcW w:w="12855" w:type="dxa"/>
            <w:gridSpan w:val="2"/>
            <w:shd w:val="clear" w:color="auto" w:fill="auto"/>
            <w:tcMar>
              <w:top w:w="0" w:type="dxa"/>
              <w:left w:w="108" w:type="dxa"/>
              <w:bottom w:w="0" w:type="dxa"/>
              <w:right w:w="108" w:type="dxa"/>
            </w:tcMar>
            <w:hideMark/>
          </w:tcPr>
          <w:p w14:paraId="0DEDDEED" w14:textId="77777777" w:rsidR="00407EC9" w:rsidRPr="00EE75B4" w:rsidRDefault="00230B74" w:rsidP="00230B74">
            <w:pPr>
              <w:autoSpaceDE w:val="0"/>
              <w:autoSpaceDN w:val="0"/>
              <w:adjustRightInd w:val="0"/>
              <w:spacing w:after="0" w:line="240" w:lineRule="auto"/>
              <w:rPr>
                <w:rFonts w:ascii="Times New Roman" w:hAnsi="Times New Roman"/>
                <w:lang w:val="lt-LT"/>
              </w:rPr>
            </w:pPr>
            <w:r w:rsidRPr="00EE75B4">
              <w:rPr>
                <w:rFonts w:ascii="Times New Roman" w:hAnsi="Times New Roman"/>
                <w:b/>
                <w:bCs/>
                <w:i/>
                <w:iCs/>
                <w:lang w:val="lt-LT"/>
              </w:rPr>
              <w:t>Psichikos sutrikimai</w:t>
            </w:r>
            <w:r w:rsidR="00407EC9" w:rsidRPr="00EE75B4">
              <w:rPr>
                <w:rFonts w:ascii="Times New Roman" w:hAnsi="Times New Roman"/>
                <w:b/>
                <w:bCs/>
                <w:i/>
                <w:iCs/>
                <w:lang w:val="lt-LT"/>
              </w:rPr>
              <w:t>:</w:t>
            </w:r>
          </w:p>
        </w:tc>
      </w:tr>
      <w:tr w:rsidR="00151F06" w:rsidRPr="00EE75B4" w14:paraId="20F7482C" w14:textId="77777777" w:rsidTr="00752171">
        <w:trPr>
          <w:trHeight w:val="282"/>
        </w:trPr>
        <w:tc>
          <w:tcPr>
            <w:tcW w:w="9735" w:type="dxa"/>
            <w:shd w:val="clear" w:color="auto" w:fill="auto"/>
            <w:tcMar>
              <w:top w:w="0" w:type="dxa"/>
              <w:left w:w="108" w:type="dxa"/>
              <w:bottom w:w="0" w:type="dxa"/>
              <w:right w:w="108" w:type="dxa"/>
            </w:tcMar>
            <w:hideMark/>
          </w:tcPr>
          <w:p w14:paraId="5368B757" w14:textId="77777777" w:rsidR="00407EC9" w:rsidRPr="00EE75B4" w:rsidRDefault="00407EC9" w:rsidP="00230B74">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Depres</w:t>
            </w:r>
            <w:r w:rsidR="00230B74" w:rsidRPr="00EE75B4">
              <w:rPr>
                <w:rFonts w:ascii="Times New Roman" w:hAnsi="Times New Roman"/>
                <w:lang w:val="lt-LT"/>
              </w:rPr>
              <w:t>ija</w:t>
            </w:r>
          </w:p>
        </w:tc>
        <w:tc>
          <w:tcPr>
            <w:tcW w:w="3120" w:type="dxa"/>
            <w:vMerge w:val="restart"/>
            <w:shd w:val="clear" w:color="auto" w:fill="auto"/>
            <w:tcMar>
              <w:top w:w="0" w:type="dxa"/>
              <w:left w:w="108" w:type="dxa"/>
              <w:bottom w:w="0" w:type="dxa"/>
              <w:right w:w="108" w:type="dxa"/>
            </w:tcMar>
            <w:hideMark/>
          </w:tcPr>
          <w:p w14:paraId="734E614A"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Dažni</w:t>
            </w:r>
          </w:p>
        </w:tc>
      </w:tr>
      <w:tr w:rsidR="00581BF7" w:rsidRPr="00EE75B4" w14:paraId="7E6F3FC9" w14:textId="77777777" w:rsidTr="00DB5FDD">
        <w:trPr>
          <w:trHeight w:val="281"/>
        </w:trPr>
        <w:tc>
          <w:tcPr>
            <w:tcW w:w="9735" w:type="dxa"/>
            <w:shd w:val="clear" w:color="auto" w:fill="auto"/>
            <w:tcMar>
              <w:top w:w="0" w:type="dxa"/>
              <w:left w:w="108" w:type="dxa"/>
              <w:bottom w:w="0" w:type="dxa"/>
              <w:right w:w="108" w:type="dxa"/>
            </w:tcMar>
            <w:hideMark/>
          </w:tcPr>
          <w:p w14:paraId="4998963A" w14:textId="77777777" w:rsidR="00407EC9" w:rsidRPr="00EE75B4" w:rsidRDefault="00230B74" w:rsidP="00230B74">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lastRenderedPageBreak/>
              <w:t>Sumišimo būklė</w:t>
            </w:r>
          </w:p>
        </w:tc>
        <w:tc>
          <w:tcPr>
            <w:tcW w:w="0" w:type="auto"/>
            <w:vMerge/>
            <w:shd w:val="clear" w:color="auto" w:fill="FFFFFF"/>
            <w:vAlign w:val="center"/>
            <w:hideMark/>
          </w:tcPr>
          <w:p w14:paraId="7DC80B87"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0C200F9A" w14:textId="77777777" w:rsidTr="00DB5FDD">
        <w:trPr>
          <w:trHeight w:val="281"/>
        </w:trPr>
        <w:tc>
          <w:tcPr>
            <w:tcW w:w="9735" w:type="dxa"/>
            <w:shd w:val="clear" w:color="auto" w:fill="auto"/>
            <w:tcMar>
              <w:top w:w="0" w:type="dxa"/>
              <w:left w:w="108" w:type="dxa"/>
              <w:bottom w:w="0" w:type="dxa"/>
              <w:right w:w="108" w:type="dxa"/>
            </w:tcMar>
            <w:hideMark/>
          </w:tcPr>
          <w:p w14:paraId="0CEF0B11" w14:textId="77777777" w:rsidR="00407EC9" w:rsidRPr="00EE75B4" w:rsidRDefault="00230B74"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Nerimas</w:t>
            </w:r>
          </w:p>
        </w:tc>
        <w:tc>
          <w:tcPr>
            <w:tcW w:w="0" w:type="auto"/>
            <w:vMerge/>
            <w:shd w:val="clear" w:color="auto" w:fill="FFFFFF"/>
            <w:vAlign w:val="center"/>
            <w:hideMark/>
          </w:tcPr>
          <w:p w14:paraId="49884731"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151F06" w:rsidRPr="00EE75B4" w14:paraId="3DC48E1B" w14:textId="77777777" w:rsidTr="00752171">
        <w:trPr>
          <w:trHeight w:val="278"/>
        </w:trPr>
        <w:tc>
          <w:tcPr>
            <w:tcW w:w="9735" w:type="dxa"/>
            <w:shd w:val="clear" w:color="auto" w:fill="auto"/>
            <w:tcMar>
              <w:top w:w="0" w:type="dxa"/>
              <w:left w:w="108" w:type="dxa"/>
              <w:bottom w:w="0" w:type="dxa"/>
              <w:right w:w="108" w:type="dxa"/>
            </w:tcMar>
            <w:hideMark/>
          </w:tcPr>
          <w:p w14:paraId="45033088" w14:textId="77777777" w:rsidR="00407EC9" w:rsidRPr="00EE75B4" w:rsidRDefault="00230B74"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Sujaudinimas</w:t>
            </w:r>
          </w:p>
        </w:tc>
        <w:tc>
          <w:tcPr>
            <w:tcW w:w="3120" w:type="dxa"/>
            <w:vMerge w:val="restart"/>
            <w:shd w:val="clear" w:color="auto" w:fill="auto"/>
            <w:tcMar>
              <w:top w:w="0" w:type="dxa"/>
              <w:left w:w="108" w:type="dxa"/>
              <w:bottom w:w="0" w:type="dxa"/>
              <w:right w:w="108" w:type="dxa"/>
            </w:tcMar>
            <w:hideMark/>
          </w:tcPr>
          <w:p w14:paraId="2669A3FB"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Nedažni</w:t>
            </w:r>
          </w:p>
        </w:tc>
      </w:tr>
      <w:tr w:rsidR="00581BF7" w:rsidRPr="00EE75B4" w14:paraId="6CEDDB56" w14:textId="77777777" w:rsidTr="00DB5FDD">
        <w:trPr>
          <w:trHeight w:val="277"/>
        </w:trPr>
        <w:tc>
          <w:tcPr>
            <w:tcW w:w="9735" w:type="dxa"/>
            <w:shd w:val="clear" w:color="auto" w:fill="auto"/>
            <w:tcMar>
              <w:top w:w="0" w:type="dxa"/>
              <w:left w:w="108" w:type="dxa"/>
              <w:bottom w:w="0" w:type="dxa"/>
              <w:right w:w="108" w:type="dxa"/>
            </w:tcMar>
            <w:hideMark/>
          </w:tcPr>
          <w:p w14:paraId="388C64F2" w14:textId="77777777" w:rsidR="00407EC9" w:rsidRPr="00EE75B4" w:rsidRDefault="00407EC9" w:rsidP="00230B74">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Ps</w:t>
            </w:r>
            <w:r w:rsidR="00230B74" w:rsidRPr="00EE75B4">
              <w:rPr>
                <w:rFonts w:ascii="Times New Roman" w:hAnsi="Times New Roman"/>
                <w:lang w:val="lt-LT"/>
              </w:rPr>
              <w:t>ichozinis</w:t>
            </w:r>
            <w:proofErr w:type="spellEnd"/>
            <w:r w:rsidR="00230B74" w:rsidRPr="00EE75B4">
              <w:rPr>
                <w:rFonts w:ascii="Times New Roman" w:hAnsi="Times New Roman"/>
                <w:lang w:val="lt-LT"/>
              </w:rPr>
              <w:t xml:space="preserve"> sutrikimas</w:t>
            </w:r>
          </w:p>
        </w:tc>
        <w:tc>
          <w:tcPr>
            <w:tcW w:w="0" w:type="auto"/>
            <w:vMerge/>
            <w:shd w:val="clear" w:color="auto" w:fill="FFFFFF"/>
            <w:vAlign w:val="center"/>
            <w:hideMark/>
          </w:tcPr>
          <w:p w14:paraId="7D096829"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3E92D8C3" w14:textId="77777777" w:rsidTr="00DB5FDD">
        <w:trPr>
          <w:trHeight w:val="277"/>
        </w:trPr>
        <w:tc>
          <w:tcPr>
            <w:tcW w:w="9735" w:type="dxa"/>
            <w:shd w:val="clear" w:color="auto" w:fill="auto"/>
            <w:tcMar>
              <w:top w:w="0" w:type="dxa"/>
              <w:left w:w="108" w:type="dxa"/>
              <w:bottom w:w="0" w:type="dxa"/>
              <w:right w:w="108" w:type="dxa"/>
            </w:tcMar>
            <w:hideMark/>
          </w:tcPr>
          <w:p w14:paraId="7C04688D" w14:textId="77777777" w:rsidR="00407EC9" w:rsidRPr="00EE75B4" w:rsidRDefault="00230B74" w:rsidP="00230B74">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Nenormalus mąstymas</w:t>
            </w:r>
          </w:p>
        </w:tc>
        <w:tc>
          <w:tcPr>
            <w:tcW w:w="0" w:type="auto"/>
            <w:vMerge/>
            <w:shd w:val="clear" w:color="auto" w:fill="FFFFFF"/>
            <w:vAlign w:val="center"/>
            <w:hideMark/>
          </w:tcPr>
          <w:p w14:paraId="502BE23B"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62344877" w14:textId="77777777" w:rsidTr="00DB5FDD">
        <w:trPr>
          <w:trHeight w:val="277"/>
        </w:trPr>
        <w:tc>
          <w:tcPr>
            <w:tcW w:w="9735" w:type="dxa"/>
            <w:shd w:val="clear" w:color="auto" w:fill="auto"/>
            <w:tcMar>
              <w:top w:w="0" w:type="dxa"/>
              <w:left w:w="108" w:type="dxa"/>
              <w:bottom w:w="0" w:type="dxa"/>
              <w:right w:w="108" w:type="dxa"/>
            </w:tcMar>
            <w:hideMark/>
          </w:tcPr>
          <w:p w14:paraId="229276D3" w14:textId="77777777" w:rsidR="00407EC9" w:rsidRPr="00EE75B4" w:rsidRDefault="00407EC9" w:rsidP="00230B74">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Hal</w:t>
            </w:r>
            <w:r w:rsidR="00230B74" w:rsidRPr="00EE75B4">
              <w:rPr>
                <w:rFonts w:ascii="Times New Roman" w:hAnsi="Times New Roman"/>
                <w:lang w:val="lt-LT"/>
              </w:rPr>
              <w:t>iucinacijos</w:t>
            </w:r>
          </w:p>
        </w:tc>
        <w:tc>
          <w:tcPr>
            <w:tcW w:w="0" w:type="auto"/>
            <w:vMerge/>
            <w:shd w:val="clear" w:color="auto" w:fill="FFFFFF"/>
            <w:vAlign w:val="center"/>
            <w:hideMark/>
          </w:tcPr>
          <w:p w14:paraId="67E54927"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700497F7" w14:textId="77777777" w:rsidTr="00581BF7">
        <w:tc>
          <w:tcPr>
            <w:tcW w:w="12855" w:type="dxa"/>
            <w:gridSpan w:val="2"/>
            <w:shd w:val="clear" w:color="auto" w:fill="auto"/>
            <w:tcMar>
              <w:top w:w="0" w:type="dxa"/>
              <w:left w:w="108" w:type="dxa"/>
              <w:bottom w:w="0" w:type="dxa"/>
              <w:right w:w="108" w:type="dxa"/>
            </w:tcMar>
            <w:hideMark/>
          </w:tcPr>
          <w:p w14:paraId="0ACCDB45" w14:textId="77777777" w:rsidR="00407EC9" w:rsidRPr="00EE75B4" w:rsidRDefault="00407EC9" w:rsidP="00230B74">
            <w:pPr>
              <w:autoSpaceDE w:val="0"/>
              <w:autoSpaceDN w:val="0"/>
              <w:adjustRightInd w:val="0"/>
              <w:spacing w:after="0" w:line="240" w:lineRule="auto"/>
              <w:rPr>
                <w:rFonts w:ascii="Times New Roman" w:hAnsi="Times New Roman"/>
                <w:lang w:val="lt-LT"/>
              </w:rPr>
            </w:pPr>
            <w:r w:rsidRPr="00EE75B4">
              <w:rPr>
                <w:rFonts w:ascii="Times New Roman" w:hAnsi="Times New Roman"/>
                <w:b/>
                <w:bCs/>
                <w:i/>
                <w:iCs/>
                <w:lang w:val="lt-LT"/>
              </w:rPr>
              <w:t>Nerv</w:t>
            </w:r>
            <w:r w:rsidR="00230B74" w:rsidRPr="00EE75B4">
              <w:rPr>
                <w:rFonts w:ascii="Times New Roman" w:hAnsi="Times New Roman"/>
                <w:b/>
                <w:bCs/>
                <w:i/>
                <w:iCs/>
                <w:lang w:val="lt-LT"/>
              </w:rPr>
              <w:t>ų sistemos sutrikimai</w:t>
            </w:r>
          </w:p>
        </w:tc>
      </w:tr>
      <w:tr w:rsidR="00151F06" w:rsidRPr="00EE75B4" w14:paraId="6A8A1F00" w14:textId="77777777" w:rsidTr="00752171">
        <w:trPr>
          <w:trHeight w:val="282"/>
        </w:trPr>
        <w:tc>
          <w:tcPr>
            <w:tcW w:w="9735" w:type="dxa"/>
            <w:shd w:val="clear" w:color="auto" w:fill="auto"/>
            <w:tcMar>
              <w:top w:w="0" w:type="dxa"/>
              <w:left w:w="108" w:type="dxa"/>
              <w:bottom w:w="0" w:type="dxa"/>
              <w:right w:w="108" w:type="dxa"/>
            </w:tcMar>
            <w:hideMark/>
          </w:tcPr>
          <w:p w14:paraId="7B46DDE1" w14:textId="1EC58E1B" w:rsidR="00407EC9" w:rsidRPr="00EE75B4" w:rsidRDefault="00230B74"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G</w:t>
            </w:r>
            <w:r w:rsidR="00EE75B4">
              <w:rPr>
                <w:rFonts w:ascii="Times New Roman" w:hAnsi="Times New Roman"/>
                <w:lang w:val="lt-LT"/>
              </w:rPr>
              <w:t>a</w:t>
            </w:r>
            <w:r w:rsidRPr="00EE75B4">
              <w:rPr>
                <w:rFonts w:ascii="Times New Roman" w:hAnsi="Times New Roman"/>
                <w:lang w:val="lt-LT"/>
              </w:rPr>
              <w:t>lvos skausmas</w:t>
            </w:r>
          </w:p>
        </w:tc>
        <w:tc>
          <w:tcPr>
            <w:tcW w:w="3120" w:type="dxa"/>
            <w:shd w:val="clear" w:color="auto" w:fill="auto"/>
            <w:tcMar>
              <w:top w:w="0" w:type="dxa"/>
              <w:left w:w="108" w:type="dxa"/>
              <w:bottom w:w="0" w:type="dxa"/>
              <w:right w:w="108" w:type="dxa"/>
            </w:tcMar>
            <w:hideMark/>
          </w:tcPr>
          <w:p w14:paraId="68BB0A61" w14:textId="77777777" w:rsidR="00407EC9" w:rsidRPr="00EE75B4" w:rsidRDefault="00407EC9"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Labai dažni</w:t>
            </w:r>
          </w:p>
        </w:tc>
      </w:tr>
      <w:tr w:rsidR="007923DA" w:rsidRPr="00EE75B4" w14:paraId="53775B26" w14:textId="77777777" w:rsidTr="00752171">
        <w:trPr>
          <w:trHeight w:val="279"/>
        </w:trPr>
        <w:tc>
          <w:tcPr>
            <w:tcW w:w="9735" w:type="dxa"/>
            <w:shd w:val="clear" w:color="auto" w:fill="auto"/>
            <w:tcMar>
              <w:top w:w="0" w:type="dxa"/>
              <w:left w:w="108" w:type="dxa"/>
              <w:bottom w:w="0" w:type="dxa"/>
              <w:right w:w="108" w:type="dxa"/>
            </w:tcMar>
            <w:hideMark/>
          </w:tcPr>
          <w:p w14:paraId="4FD43531" w14:textId="77777777" w:rsidR="00407EC9" w:rsidRPr="00EE75B4" w:rsidRDefault="00230B74"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Nemiga</w:t>
            </w:r>
          </w:p>
        </w:tc>
        <w:tc>
          <w:tcPr>
            <w:tcW w:w="3120" w:type="dxa"/>
            <w:vMerge w:val="restart"/>
            <w:shd w:val="clear" w:color="auto" w:fill="auto"/>
            <w:tcMar>
              <w:top w:w="0" w:type="dxa"/>
              <w:left w:w="108" w:type="dxa"/>
              <w:bottom w:w="0" w:type="dxa"/>
              <w:right w:w="108" w:type="dxa"/>
            </w:tcMar>
            <w:hideMark/>
          </w:tcPr>
          <w:p w14:paraId="1B096BC0"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Dažni</w:t>
            </w:r>
          </w:p>
        </w:tc>
      </w:tr>
      <w:tr w:rsidR="00581BF7" w:rsidRPr="00EE75B4" w14:paraId="24DD7CA5" w14:textId="77777777" w:rsidTr="00DB5FDD">
        <w:trPr>
          <w:trHeight w:val="278"/>
        </w:trPr>
        <w:tc>
          <w:tcPr>
            <w:tcW w:w="9735" w:type="dxa"/>
            <w:shd w:val="clear" w:color="auto" w:fill="auto"/>
            <w:tcMar>
              <w:top w:w="0" w:type="dxa"/>
              <w:left w:w="108" w:type="dxa"/>
              <w:bottom w:w="0" w:type="dxa"/>
              <w:right w:w="108" w:type="dxa"/>
            </w:tcMar>
            <w:hideMark/>
          </w:tcPr>
          <w:p w14:paraId="24F095B3" w14:textId="77777777" w:rsidR="00407EC9" w:rsidRPr="00EE75B4" w:rsidRDefault="00230B74" w:rsidP="00230B74">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P</w:t>
            </w:r>
            <w:r w:rsidR="00407EC9" w:rsidRPr="00EE75B4">
              <w:rPr>
                <w:rFonts w:ascii="Times New Roman" w:hAnsi="Times New Roman"/>
                <w:lang w:val="lt-LT"/>
              </w:rPr>
              <w:t>eri</w:t>
            </w:r>
            <w:r w:rsidRPr="00EE75B4">
              <w:rPr>
                <w:rFonts w:ascii="Times New Roman" w:hAnsi="Times New Roman"/>
                <w:lang w:val="lt-LT"/>
              </w:rPr>
              <w:t>ferinė neuropatija</w:t>
            </w:r>
          </w:p>
        </w:tc>
        <w:tc>
          <w:tcPr>
            <w:tcW w:w="0" w:type="auto"/>
            <w:vMerge/>
            <w:shd w:val="clear" w:color="auto" w:fill="FFFFFF"/>
            <w:vAlign w:val="center"/>
            <w:hideMark/>
          </w:tcPr>
          <w:p w14:paraId="3CABC626"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18750BF0" w14:textId="77777777" w:rsidTr="00DB5FDD">
        <w:trPr>
          <w:trHeight w:val="277"/>
        </w:trPr>
        <w:tc>
          <w:tcPr>
            <w:tcW w:w="9735" w:type="dxa"/>
            <w:shd w:val="clear" w:color="auto" w:fill="auto"/>
            <w:tcMar>
              <w:top w:w="0" w:type="dxa"/>
              <w:left w:w="108" w:type="dxa"/>
              <w:bottom w:w="0" w:type="dxa"/>
              <w:right w:w="108" w:type="dxa"/>
            </w:tcMar>
            <w:hideMark/>
          </w:tcPr>
          <w:p w14:paraId="60037B70" w14:textId="77777777" w:rsidR="00407EC9" w:rsidRPr="00EE75B4" w:rsidRDefault="00230B74"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Svaigulys</w:t>
            </w:r>
          </w:p>
        </w:tc>
        <w:tc>
          <w:tcPr>
            <w:tcW w:w="0" w:type="auto"/>
            <w:vMerge/>
            <w:shd w:val="clear" w:color="auto" w:fill="FFFFFF"/>
            <w:vAlign w:val="center"/>
            <w:hideMark/>
          </w:tcPr>
          <w:p w14:paraId="00A36C0E"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23FA3BA6" w14:textId="77777777" w:rsidTr="00DB5FDD">
        <w:trPr>
          <w:trHeight w:val="279"/>
        </w:trPr>
        <w:tc>
          <w:tcPr>
            <w:tcW w:w="9735" w:type="dxa"/>
            <w:shd w:val="clear" w:color="auto" w:fill="auto"/>
            <w:tcMar>
              <w:top w:w="0" w:type="dxa"/>
              <w:left w:w="108" w:type="dxa"/>
              <w:bottom w:w="0" w:type="dxa"/>
              <w:right w:w="108" w:type="dxa"/>
            </w:tcMar>
            <w:hideMark/>
          </w:tcPr>
          <w:p w14:paraId="5D57A82A" w14:textId="77777777" w:rsidR="00407EC9" w:rsidRPr="00EE75B4" w:rsidRDefault="00230B74" w:rsidP="00230B74">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Par</w:t>
            </w:r>
            <w:r w:rsidR="00407EC9" w:rsidRPr="00EE75B4">
              <w:rPr>
                <w:rFonts w:ascii="Times New Roman" w:hAnsi="Times New Roman"/>
                <w:lang w:val="lt-LT"/>
              </w:rPr>
              <w:t>est</w:t>
            </w:r>
            <w:r w:rsidRPr="00EE75B4">
              <w:rPr>
                <w:rFonts w:ascii="Times New Roman" w:hAnsi="Times New Roman"/>
                <w:lang w:val="lt-LT"/>
              </w:rPr>
              <w:t>ezija</w:t>
            </w:r>
            <w:proofErr w:type="spellEnd"/>
          </w:p>
        </w:tc>
        <w:tc>
          <w:tcPr>
            <w:tcW w:w="0" w:type="auto"/>
            <w:vMerge/>
            <w:shd w:val="clear" w:color="auto" w:fill="FFFFFF"/>
            <w:vAlign w:val="center"/>
            <w:hideMark/>
          </w:tcPr>
          <w:p w14:paraId="06DB3E85"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3376A04D" w14:textId="77777777" w:rsidTr="00DB5FDD">
        <w:trPr>
          <w:trHeight w:val="279"/>
        </w:trPr>
        <w:tc>
          <w:tcPr>
            <w:tcW w:w="9735" w:type="dxa"/>
            <w:shd w:val="clear" w:color="auto" w:fill="auto"/>
            <w:tcMar>
              <w:top w:w="0" w:type="dxa"/>
              <w:left w:w="108" w:type="dxa"/>
              <w:bottom w:w="0" w:type="dxa"/>
              <w:right w:w="108" w:type="dxa"/>
            </w:tcMar>
            <w:hideMark/>
          </w:tcPr>
          <w:p w14:paraId="51CF2625" w14:textId="77777777" w:rsidR="00407EC9" w:rsidRPr="00EE75B4" w:rsidRDefault="00230B74" w:rsidP="00230B74">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Hi</w:t>
            </w:r>
            <w:r w:rsidR="00407EC9" w:rsidRPr="00EE75B4">
              <w:rPr>
                <w:rFonts w:ascii="Times New Roman" w:hAnsi="Times New Roman"/>
                <w:lang w:val="lt-LT"/>
              </w:rPr>
              <w:t>poaest</w:t>
            </w:r>
            <w:r w:rsidRPr="00EE75B4">
              <w:rPr>
                <w:rFonts w:ascii="Times New Roman" w:hAnsi="Times New Roman"/>
                <w:lang w:val="lt-LT"/>
              </w:rPr>
              <w:t>ezija</w:t>
            </w:r>
            <w:proofErr w:type="spellEnd"/>
          </w:p>
        </w:tc>
        <w:tc>
          <w:tcPr>
            <w:tcW w:w="0" w:type="auto"/>
            <w:vMerge/>
            <w:shd w:val="clear" w:color="auto" w:fill="FFFFFF"/>
            <w:vAlign w:val="center"/>
            <w:hideMark/>
          </w:tcPr>
          <w:p w14:paraId="12F7474A"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4887C400" w14:textId="77777777" w:rsidTr="00DB5FDD">
        <w:trPr>
          <w:trHeight w:val="279"/>
        </w:trPr>
        <w:tc>
          <w:tcPr>
            <w:tcW w:w="9735" w:type="dxa"/>
            <w:shd w:val="clear" w:color="auto" w:fill="auto"/>
            <w:tcMar>
              <w:top w:w="0" w:type="dxa"/>
              <w:left w:w="108" w:type="dxa"/>
              <w:bottom w:w="0" w:type="dxa"/>
              <w:right w:w="108" w:type="dxa"/>
            </w:tcMar>
            <w:hideMark/>
          </w:tcPr>
          <w:p w14:paraId="68F06936" w14:textId="6EFED364" w:rsidR="00407EC9" w:rsidRPr="00EE75B4" w:rsidRDefault="008D501E"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Priepuoliai</w:t>
            </w:r>
          </w:p>
        </w:tc>
        <w:tc>
          <w:tcPr>
            <w:tcW w:w="0" w:type="auto"/>
            <w:vMerge/>
            <w:shd w:val="clear" w:color="auto" w:fill="FFFFFF"/>
            <w:vAlign w:val="center"/>
            <w:hideMark/>
          </w:tcPr>
          <w:p w14:paraId="6A012225"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2663F4C8" w14:textId="77777777" w:rsidTr="00DB5FDD">
        <w:trPr>
          <w:trHeight w:val="279"/>
        </w:trPr>
        <w:tc>
          <w:tcPr>
            <w:tcW w:w="9735" w:type="dxa"/>
            <w:shd w:val="clear" w:color="auto" w:fill="auto"/>
            <w:tcMar>
              <w:top w:w="0" w:type="dxa"/>
              <w:left w:w="108" w:type="dxa"/>
              <w:bottom w:w="0" w:type="dxa"/>
              <w:right w:w="108" w:type="dxa"/>
            </w:tcMar>
            <w:hideMark/>
          </w:tcPr>
          <w:p w14:paraId="1B7716AF" w14:textId="77777777" w:rsidR="00407EC9" w:rsidRPr="00EE75B4" w:rsidRDefault="00407EC9" w:rsidP="00230B74">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D</w:t>
            </w:r>
            <w:r w:rsidR="00230B74" w:rsidRPr="00EE75B4">
              <w:rPr>
                <w:rFonts w:ascii="Times New Roman" w:hAnsi="Times New Roman"/>
                <w:lang w:val="lt-LT"/>
              </w:rPr>
              <w:t>izgeuzija</w:t>
            </w:r>
            <w:proofErr w:type="spellEnd"/>
            <w:r w:rsidRPr="00EE75B4">
              <w:rPr>
                <w:rFonts w:ascii="Times New Roman" w:hAnsi="Times New Roman"/>
                <w:lang w:val="lt-LT"/>
              </w:rPr>
              <w:t xml:space="preserve"> (</w:t>
            </w:r>
            <w:r w:rsidR="00230B74" w:rsidRPr="00EE75B4">
              <w:rPr>
                <w:rFonts w:ascii="Times New Roman" w:hAnsi="Times New Roman"/>
                <w:lang w:val="lt-LT"/>
              </w:rPr>
              <w:t>skonio jutimo sutrikimai</w:t>
            </w:r>
            <w:r w:rsidRPr="00EE75B4">
              <w:rPr>
                <w:rFonts w:ascii="Times New Roman" w:hAnsi="Times New Roman"/>
                <w:lang w:val="lt-LT"/>
              </w:rPr>
              <w:t>)</w:t>
            </w:r>
          </w:p>
        </w:tc>
        <w:tc>
          <w:tcPr>
            <w:tcW w:w="0" w:type="auto"/>
            <w:vMerge/>
            <w:shd w:val="clear" w:color="auto" w:fill="FFFFFF"/>
            <w:vAlign w:val="center"/>
            <w:hideMark/>
          </w:tcPr>
          <w:p w14:paraId="42ADF384"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151F06" w:rsidRPr="00EE75B4" w14:paraId="17028003" w14:textId="77777777" w:rsidTr="00752171">
        <w:trPr>
          <w:trHeight w:val="279"/>
        </w:trPr>
        <w:tc>
          <w:tcPr>
            <w:tcW w:w="9735" w:type="dxa"/>
            <w:shd w:val="clear" w:color="auto" w:fill="auto"/>
            <w:tcMar>
              <w:top w:w="0" w:type="dxa"/>
              <w:left w:w="108" w:type="dxa"/>
              <w:bottom w:w="0" w:type="dxa"/>
              <w:right w:w="108" w:type="dxa"/>
            </w:tcMar>
            <w:hideMark/>
          </w:tcPr>
          <w:p w14:paraId="63B270B9" w14:textId="77777777" w:rsidR="00407EC9" w:rsidRPr="00EE75B4" w:rsidRDefault="00407EC9" w:rsidP="00DB5FDD">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Tremor</w:t>
            </w:r>
            <w:r w:rsidR="00230B74" w:rsidRPr="00EE75B4">
              <w:rPr>
                <w:rFonts w:ascii="Times New Roman" w:hAnsi="Times New Roman"/>
                <w:lang w:val="lt-LT"/>
              </w:rPr>
              <w:t>as</w:t>
            </w:r>
            <w:proofErr w:type="spellEnd"/>
          </w:p>
        </w:tc>
        <w:tc>
          <w:tcPr>
            <w:tcW w:w="3120" w:type="dxa"/>
            <w:shd w:val="clear" w:color="auto" w:fill="auto"/>
            <w:tcMar>
              <w:top w:w="0" w:type="dxa"/>
              <w:left w:w="108" w:type="dxa"/>
              <w:bottom w:w="0" w:type="dxa"/>
              <w:right w:w="108" w:type="dxa"/>
            </w:tcMar>
            <w:hideMark/>
          </w:tcPr>
          <w:p w14:paraId="4F9B61C4"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Nedažni</w:t>
            </w:r>
          </w:p>
        </w:tc>
      </w:tr>
      <w:tr w:rsidR="00581BF7" w:rsidRPr="00EE75B4" w14:paraId="4BB35DF8" w14:textId="77777777" w:rsidTr="00581BF7">
        <w:tc>
          <w:tcPr>
            <w:tcW w:w="12855" w:type="dxa"/>
            <w:gridSpan w:val="2"/>
            <w:shd w:val="clear" w:color="auto" w:fill="auto"/>
            <w:tcMar>
              <w:top w:w="0" w:type="dxa"/>
              <w:left w:w="108" w:type="dxa"/>
              <w:bottom w:w="0" w:type="dxa"/>
              <w:right w:w="108" w:type="dxa"/>
            </w:tcMar>
            <w:hideMark/>
          </w:tcPr>
          <w:p w14:paraId="55F5A477" w14:textId="77777777" w:rsidR="00407EC9" w:rsidRPr="00EE75B4" w:rsidRDefault="00230B74" w:rsidP="00230B74">
            <w:pPr>
              <w:autoSpaceDE w:val="0"/>
              <w:autoSpaceDN w:val="0"/>
              <w:adjustRightInd w:val="0"/>
              <w:spacing w:after="0" w:line="240" w:lineRule="auto"/>
              <w:rPr>
                <w:rFonts w:ascii="Times New Roman" w:hAnsi="Times New Roman"/>
                <w:lang w:val="lt-LT"/>
              </w:rPr>
            </w:pPr>
            <w:r w:rsidRPr="00EE75B4">
              <w:rPr>
                <w:rFonts w:ascii="Times New Roman" w:hAnsi="Times New Roman"/>
                <w:b/>
                <w:bCs/>
                <w:i/>
                <w:iCs/>
                <w:lang w:val="lt-LT"/>
              </w:rPr>
              <w:t>Akių sutrikimas</w:t>
            </w:r>
          </w:p>
        </w:tc>
      </w:tr>
      <w:tr w:rsidR="00151F06" w:rsidRPr="00EE75B4" w14:paraId="1CEE13BF" w14:textId="77777777" w:rsidTr="00752171">
        <w:trPr>
          <w:trHeight w:val="282"/>
        </w:trPr>
        <w:tc>
          <w:tcPr>
            <w:tcW w:w="9735" w:type="dxa"/>
            <w:shd w:val="clear" w:color="auto" w:fill="auto"/>
            <w:tcMar>
              <w:top w:w="0" w:type="dxa"/>
              <w:left w:w="108" w:type="dxa"/>
              <w:bottom w:w="0" w:type="dxa"/>
              <w:right w:w="108" w:type="dxa"/>
            </w:tcMar>
            <w:hideMark/>
          </w:tcPr>
          <w:p w14:paraId="3B28CCC9" w14:textId="77777777" w:rsidR="00407EC9" w:rsidRPr="00EE75B4" w:rsidRDefault="00DB5FDD"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Regėjimo sutrikimas</w:t>
            </w:r>
          </w:p>
        </w:tc>
        <w:tc>
          <w:tcPr>
            <w:tcW w:w="3120" w:type="dxa"/>
            <w:vMerge w:val="restart"/>
            <w:shd w:val="clear" w:color="auto" w:fill="auto"/>
            <w:tcMar>
              <w:top w:w="0" w:type="dxa"/>
              <w:left w:w="108" w:type="dxa"/>
              <w:bottom w:w="0" w:type="dxa"/>
              <w:right w:w="108" w:type="dxa"/>
            </w:tcMar>
            <w:hideMark/>
          </w:tcPr>
          <w:p w14:paraId="2744FEC2"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Dažni</w:t>
            </w:r>
          </w:p>
        </w:tc>
      </w:tr>
      <w:tr w:rsidR="00581BF7" w:rsidRPr="00EE75B4" w14:paraId="0146AC88" w14:textId="77777777" w:rsidTr="00DB5FDD">
        <w:trPr>
          <w:trHeight w:val="281"/>
        </w:trPr>
        <w:tc>
          <w:tcPr>
            <w:tcW w:w="9735" w:type="dxa"/>
            <w:shd w:val="clear" w:color="auto" w:fill="auto"/>
            <w:tcMar>
              <w:top w:w="0" w:type="dxa"/>
              <w:left w:w="108" w:type="dxa"/>
              <w:bottom w:w="0" w:type="dxa"/>
              <w:right w:w="108" w:type="dxa"/>
            </w:tcMar>
            <w:hideMark/>
          </w:tcPr>
          <w:p w14:paraId="747853DC" w14:textId="77777777" w:rsidR="00407EC9" w:rsidRPr="00EE75B4" w:rsidRDefault="00DB5FDD"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Tinklainės atšoka</w:t>
            </w:r>
            <w:r w:rsidR="00407EC9" w:rsidRPr="00EE75B4">
              <w:rPr>
                <w:rFonts w:ascii="Times New Roman" w:hAnsi="Times New Roman"/>
                <w:lang w:val="lt-LT"/>
              </w:rPr>
              <w:t>**</w:t>
            </w:r>
          </w:p>
        </w:tc>
        <w:tc>
          <w:tcPr>
            <w:tcW w:w="0" w:type="auto"/>
            <w:vMerge/>
            <w:shd w:val="clear" w:color="auto" w:fill="FFFFFF"/>
            <w:vAlign w:val="center"/>
            <w:hideMark/>
          </w:tcPr>
          <w:p w14:paraId="47361815"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1246DED8" w14:textId="77777777" w:rsidTr="00DB5FDD">
        <w:trPr>
          <w:trHeight w:val="281"/>
        </w:trPr>
        <w:tc>
          <w:tcPr>
            <w:tcW w:w="9735" w:type="dxa"/>
            <w:shd w:val="clear" w:color="auto" w:fill="auto"/>
            <w:tcMar>
              <w:top w:w="0" w:type="dxa"/>
              <w:left w:w="108" w:type="dxa"/>
              <w:bottom w:w="0" w:type="dxa"/>
              <w:right w:w="108" w:type="dxa"/>
            </w:tcMar>
            <w:hideMark/>
          </w:tcPr>
          <w:p w14:paraId="0F559B27" w14:textId="77777777" w:rsidR="00407EC9" w:rsidRPr="00EE75B4" w:rsidRDefault="00DB5FDD" w:rsidP="00732BB8">
            <w:pPr>
              <w:pStyle w:val="Default"/>
              <w:rPr>
                <w:color w:val="auto"/>
                <w:lang w:val="lt-LT"/>
              </w:rPr>
            </w:pPr>
            <w:r w:rsidRPr="00EE75B4">
              <w:rPr>
                <w:color w:val="auto"/>
                <w:sz w:val="22"/>
                <w:szCs w:val="22"/>
                <w:lang w:val="lt-LT"/>
              </w:rPr>
              <w:t>Plaukiojantys svetimkūniai stiklakūnyje</w:t>
            </w:r>
          </w:p>
        </w:tc>
        <w:tc>
          <w:tcPr>
            <w:tcW w:w="0" w:type="auto"/>
            <w:vMerge w:val="restart"/>
            <w:shd w:val="clear" w:color="auto" w:fill="FFFFFF"/>
            <w:vAlign w:val="center"/>
            <w:hideMark/>
          </w:tcPr>
          <w:p w14:paraId="622DCE0E"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036DBE99" w14:textId="77777777" w:rsidTr="00DB5FDD">
        <w:trPr>
          <w:trHeight w:val="281"/>
        </w:trPr>
        <w:tc>
          <w:tcPr>
            <w:tcW w:w="9735" w:type="dxa"/>
            <w:shd w:val="clear" w:color="auto" w:fill="auto"/>
            <w:tcMar>
              <w:top w:w="0" w:type="dxa"/>
              <w:left w:w="108" w:type="dxa"/>
              <w:bottom w:w="0" w:type="dxa"/>
              <w:right w:w="108" w:type="dxa"/>
            </w:tcMar>
            <w:hideMark/>
          </w:tcPr>
          <w:p w14:paraId="43DFC7E8" w14:textId="77777777" w:rsidR="00407EC9" w:rsidRPr="00EE75B4" w:rsidRDefault="00DB5FDD"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Akies skausmas</w:t>
            </w:r>
          </w:p>
        </w:tc>
        <w:tc>
          <w:tcPr>
            <w:tcW w:w="0" w:type="auto"/>
            <w:vMerge/>
            <w:shd w:val="clear" w:color="auto" w:fill="FFFFFF"/>
            <w:vAlign w:val="center"/>
            <w:hideMark/>
          </w:tcPr>
          <w:p w14:paraId="7B04D509"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10AD76E6" w14:textId="77777777" w:rsidTr="00DB5FDD">
        <w:trPr>
          <w:trHeight w:val="281"/>
        </w:trPr>
        <w:tc>
          <w:tcPr>
            <w:tcW w:w="9735" w:type="dxa"/>
            <w:shd w:val="clear" w:color="auto" w:fill="auto"/>
            <w:tcMar>
              <w:top w:w="0" w:type="dxa"/>
              <w:left w:w="108" w:type="dxa"/>
              <w:bottom w:w="0" w:type="dxa"/>
              <w:right w:w="108" w:type="dxa"/>
            </w:tcMar>
            <w:hideMark/>
          </w:tcPr>
          <w:p w14:paraId="24359EAB" w14:textId="77777777" w:rsidR="00407EC9" w:rsidRPr="00EE75B4" w:rsidRDefault="00DB5FDD"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Konjunktyvitas</w:t>
            </w:r>
          </w:p>
        </w:tc>
        <w:tc>
          <w:tcPr>
            <w:tcW w:w="0" w:type="auto"/>
            <w:vMerge/>
            <w:shd w:val="clear" w:color="auto" w:fill="FFFFFF"/>
            <w:vAlign w:val="center"/>
            <w:hideMark/>
          </w:tcPr>
          <w:p w14:paraId="3814CA9B"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782B5C5E" w14:textId="77777777" w:rsidTr="00DB5FDD">
        <w:trPr>
          <w:trHeight w:val="281"/>
        </w:trPr>
        <w:tc>
          <w:tcPr>
            <w:tcW w:w="9735" w:type="dxa"/>
            <w:shd w:val="clear" w:color="auto" w:fill="auto"/>
            <w:tcMar>
              <w:top w:w="0" w:type="dxa"/>
              <w:left w:w="108" w:type="dxa"/>
              <w:bottom w:w="0" w:type="dxa"/>
              <w:right w:w="108" w:type="dxa"/>
            </w:tcMar>
            <w:hideMark/>
          </w:tcPr>
          <w:p w14:paraId="69B7202E" w14:textId="77777777" w:rsidR="00407EC9" w:rsidRPr="00EE75B4" w:rsidRDefault="00407EC9" w:rsidP="00DB5FDD">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Ma</w:t>
            </w:r>
            <w:r w:rsidR="00DB5FDD" w:rsidRPr="00EE75B4">
              <w:rPr>
                <w:rFonts w:ascii="Times New Roman" w:hAnsi="Times New Roman"/>
                <w:lang w:val="lt-LT"/>
              </w:rPr>
              <w:t>kulos</w:t>
            </w:r>
            <w:proofErr w:type="spellEnd"/>
            <w:r w:rsidR="00DB5FDD" w:rsidRPr="00EE75B4">
              <w:rPr>
                <w:rFonts w:ascii="Times New Roman" w:hAnsi="Times New Roman"/>
                <w:lang w:val="lt-LT"/>
              </w:rPr>
              <w:t xml:space="preserve"> edema</w:t>
            </w:r>
          </w:p>
        </w:tc>
        <w:tc>
          <w:tcPr>
            <w:tcW w:w="0" w:type="auto"/>
            <w:vMerge/>
            <w:shd w:val="clear" w:color="auto" w:fill="FFFFFF"/>
            <w:vAlign w:val="center"/>
            <w:hideMark/>
          </w:tcPr>
          <w:p w14:paraId="315A819E"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7888DB52" w14:textId="77777777" w:rsidTr="00581BF7">
        <w:tc>
          <w:tcPr>
            <w:tcW w:w="12855" w:type="dxa"/>
            <w:gridSpan w:val="2"/>
            <w:shd w:val="clear" w:color="auto" w:fill="auto"/>
            <w:tcMar>
              <w:top w:w="0" w:type="dxa"/>
              <w:left w:w="108" w:type="dxa"/>
              <w:bottom w:w="0" w:type="dxa"/>
              <w:right w:w="108" w:type="dxa"/>
            </w:tcMar>
            <w:hideMark/>
          </w:tcPr>
          <w:p w14:paraId="3283776A" w14:textId="77777777" w:rsidR="00407EC9" w:rsidRPr="00EE75B4" w:rsidRDefault="00DB5FDD"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b/>
                <w:bCs/>
                <w:i/>
                <w:iCs/>
                <w:lang w:val="lt-LT"/>
              </w:rPr>
              <w:t>Ausų ir labirintų sutrikimai</w:t>
            </w:r>
          </w:p>
        </w:tc>
      </w:tr>
      <w:tr w:rsidR="00151F06" w:rsidRPr="00EE75B4" w14:paraId="6AF56C80" w14:textId="77777777" w:rsidTr="00752171">
        <w:tc>
          <w:tcPr>
            <w:tcW w:w="9735" w:type="dxa"/>
            <w:shd w:val="clear" w:color="auto" w:fill="auto"/>
            <w:tcMar>
              <w:top w:w="0" w:type="dxa"/>
              <w:left w:w="108" w:type="dxa"/>
              <w:bottom w:w="0" w:type="dxa"/>
              <w:right w:w="108" w:type="dxa"/>
            </w:tcMar>
            <w:hideMark/>
          </w:tcPr>
          <w:p w14:paraId="3552D35F" w14:textId="77777777" w:rsidR="00407EC9" w:rsidRPr="00EE75B4" w:rsidRDefault="00DB5FDD"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Ausies skausmas</w:t>
            </w:r>
          </w:p>
        </w:tc>
        <w:tc>
          <w:tcPr>
            <w:tcW w:w="3120" w:type="dxa"/>
            <w:shd w:val="clear" w:color="auto" w:fill="auto"/>
            <w:tcMar>
              <w:top w:w="0" w:type="dxa"/>
              <w:left w:w="108" w:type="dxa"/>
              <w:bottom w:w="0" w:type="dxa"/>
              <w:right w:w="108" w:type="dxa"/>
            </w:tcMar>
            <w:hideMark/>
          </w:tcPr>
          <w:p w14:paraId="4583C3A5"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Dažni</w:t>
            </w:r>
          </w:p>
        </w:tc>
      </w:tr>
      <w:tr w:rsidR="00151F06" w:rsidRPr="00EE75B4" w14:paraId="571AA60A" w14:textId="77777777" w:rsidTr="00752171">
        <w:tc>
          <w:tcPr>
            <w:tcW w:w="9735" w:type="dxa"/>
            <w:shd w:val="clear" w:color="auto" w:fill="auto"/>
            <w:tcMar>
              <w:top w:w="0" w:type="dxa"/>
              <w:left w:w="108" w:type="dxa"/>
              <w:bottom w:w="0" w:type="dxa"/>
              <w:right w:w="108" w:type="dxa"/>
            </w:tcMar>
            <w:hideMark/>
          </w:tcPr>
          <w:p w14:paraId="6450695A" w14:textId="77777777" w:rsidR="00407EC9" w:rsidRPr="00EE75B4" w:rsidRDefault="00DB5FDD"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Prikurtimas</w:t>
            </w:r>
          </w:p>
        </w:tc>
        <w:tc>
          <w:tcPr>
            <w:tcW w:w="3120" w:type="dxa"/>
            <w:shd w:val="clear" w:color="auto" w:fill="auto"/>
            <w:tcMar>
              <w:top w:w="0" w:type="dxa"/>
              <w:left w:w="108" w:type="dxa"/>
              <w:bottom w:w="0" w:type="dxa"/>
              <w:right w:w="108" w:type="dxa"/>
            </w:tcMar>
            <w:hideMark/>
          </w:tcPr>
          <w:p w14:paraId="7BE68F76"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Nedažni</w:t>
            </w:r>
          </w:p>
        </w:tc>
      </w:tr>
      <w:tr w:rsidR="00581BF7" w:rsidRPr="00EE75B4" w14:paraId="7D670335" w14:textId="77777777" w:rsidTr="00581BF7">
        <w:tc>
          <w:tcPr>
            <w:tcW w:w="12855" w:type="dxa"/>
            <w:gridSpan w:val="2"/>
            <w:shd w:val="clear" w:color="auto" w:fill="auto"/>
            <w:tcMar>
              <w:top w:w="0" w:type="dxa"/>
              <w:left w:w="108" w:type="dxa"/>
              <w:bottom w:w="0" w:type="dxa"/>
              <w:right w:w="108" w:type="dxa"/>
            </w:tcMar>
            <w:hideMark/>
          </w:tcPr>
          <w:p w14:paraId="3460B75C" w14:textId="77777777" w:rsidR="00407EC9" w:rsidRPr="00EE75B4" w:rsidRDefault="00DB5FDD"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b/>
                <w:bCs/>
                <w:i/>
                <w:iCs/>
                <w:lang w:val="lt-LT"/>
              </w:rPr>
              <w:t>Širdies sutrikimai</w:t>
            </w:r>
          </w:p>
        </w:tc>
      </w:tr>
      <w:tr w:rsidR="00151F06" w:rsidRPr="00EE75B4" w14:paraId="4773F1A8" w14:textId="77777777" w:rsidTr="00752171">
        <w:tc>
          <w:tcPr>
            <w:tcW w:w="9735" w:type="dxa"/>
            <w:shd w:val="clear" w:color="auto" w:fill="auto"/>
            <w:tcMar>
              <w:top w:w="0" w:type="dxa"/>
              <w:left w:w="108" w:type="dxa"/>
              <w:bottom w:w="0" w:type="dxa"/>
              <w:right w:w="108" w:type="dxa"/>
            </w:tcMar>
            <w:hideMark/>
          </w:tcPr>
          <w:p w14:paraId="73F310B2" w14:textId="77777777" w:rsidR="00407EC9" w:rsidRPr="00EE75B4" w:rsidRDefault="00407EC9"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Ar</w:t>
            </w:r>
            <w:r w:rsidR="00303228" w:rsidRPr="00EE75B4">
              <w:rPr>
                <w:rFonts w:ascii="Times New Roman" w:hAnsi="Times New Roman"/>
                <w:lang w:val="lt-LT"/>
              </w:rPr>
              <w:t>i</w:t>
            </w:r>
            <w:r w:rsidRPr="00EE75B4">
              <w:rPr>
                <w:rFonts w:ascii="Times New Roman" w:hAnsi="Times New Roman"/>
                <w:lang w:val="lt-LT"/>
              </w:rPr>
              <w:t>t</w:t>
            </w:r>
            <w:r w:rsidR="00303228" w:rsidRPr="00EE75B4">
              <w:rPr>
                <w:rFonts w:ascii="Times New Roman" w:hAnsi="Times New Roman"/>
                <w:lang w:val="lt-LT"/>
              </w:rPr>
              <w:t>mijos</w:t>
            </w:r>
          </w:p>
        </w:tc>
        <w:tc>
          <w:tcPr>
            <w:tcW w:w="3120" w:type="dxa"/>
            <w:shd w:val="clear" w:color="auto" w:fill="auto"/>
            <w:tcMar>
              <w:top w:w="0" w:type="dxa"/>
              <w:left w:w="108" w:type="dxa"/>
              <w:bottom w:w="0" w:type="dxa"/>
              <w:right w:w="108" w:type="dxa"/>
            </w:tcMar>
            <w:hideMark/>
          </w:tcPr>
          <w:p w14:paraId="4ED47406"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Nedažni</w:t>
            </w:r>
          </w:p>
        </w:tc>
      </w:tr>
      <w:tr w:rsidR="00151F06" w:rsidRPr="00EE75B4" w14:paraId="49F49C9A" w14:textId="77777777" w:rsidTr="00752171">
        <w:tc>
          <w:tcPr>
            <w:tcW w:w="9735" w:type="dxa"/>
            <w:shd w:val="clear" w:color="auto" w:fill="auto"/>
            <w:tcMar>
              <w:top w:w="0" w:type="dxa"/>
              <w:left w:w="108" w:type="dxa"/>
              <w:bottom w:w="0" w:type="dxa"/>
              <w:right w:w="108" w:type="dxa"/>
            </w:tcMar>
            <w:hideMark/>
          </w:tcPr>
          <w:p w14:paraId="460A8DF3" w14:textId="77777777" w:rsidR="00407EC9" w:rsidRPr="00EE75B4" w:rsidRDefault="00303228"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b/>
                <w:bCs/>
                <w:i/>
                <w:iCs/>
                <w:lang w:val="lt-LT"/>
              </w:rPr>
              <w:t>Kraujagyslių sutrikimai</w:t>
            </w:r>
          </w:p>
        </w:tc>
        <w:tc>
          <w:tcPr>
            <w:tcW w:w="3120" w:type="dxa"/>
            <w:shd w:val="clear" w:color="auto" w:fill="auto"/>
            <w:tcMar>
              <w:top w:w="0" w:type="dxa"/>
              <w:left w:w="108" w:type="dxa"/>
              <w:bottom w:w="0" w:type="dxa"/>
              <w:right w:w="108" w:type="dxa"/>
            </w:tcMar>
            <w:hideMark/>
          </w:tcPr>
          <w:p w14:paraId="1DF48DE7" w14:textId="77777777" w:rsidR="00407EC9" w:rsidRPr="00EE75B4" w:rsidRDefault="00407EC9"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 </w:t>
            </w:r>
          </w:p>
        </w:tc>
      </w:tr>
      <w:tr w:rsidR="00151F06" w:rsidRPr="00EE75B4" w14:paraId="42C1F8D8" w14:textId="77777777" w:rsidTr="00752171">
        <w:trPr>
          <w:trHeight w:val="384"/>
        </w:trPr>
        <w:tc>
          <w:tcPr>
            <w:tcW w:w="9735" w:type="dxa"/>
            <w:shd w:val="clear" w:color="auto" w:fill="auto"/>
            <w:tcMar>
              <w:top w:w="0" w:type="dxa"/>
              <w:left w:w="108" w:type="dxa"/>
              <w:bottom w:w="0" w:type="dxa"/>
              <w:right w:w="108" w:type="dxa"/>
            </w:tcMar>
            <w:hideMark/>
          </w:tcPr>
          <w:p w14:paraId="482896F0" w14:textId="77777777" w:rsidR="00407EC9" w:rsidRPr="00EE75B4" w:rsidRDefault="00303228" w:rsidP="00303228">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Hi</w:t>
            </w:r>
            <w:r w:rsidR="00407EC9" w:rsidRPr="00EE75B4">
              <w:rPr>
                <w:rFonts w:ascii="Times New Roman" w:hAnsi="Times New Roman"/>
                <w:lang w:val="lt-LT"/>
              </w:rPr>
              <w:t>poten</w:t>
            </w:r>
            <w:r w:rsidRPr="00EE75B4">
              <w:rPr>
                <w:rFonts w:ascii="Times New Roman" w:hAnsi="Times New Roman"/>
                <w:lang w:val="lt-LT"/>
              </w:rPr>
              <w:t>zija</w:t>
            </w:r>
            <w:proofErr w:type="spellEnd"/>
          </w:p>
        </w:tc>
        <w:tc>
          <w:tcPr>
            <w:tcW w:w="3120" w:type="dxa"/>
            <w:shd w:val="clear" w:color="auto" w:fill="auto"/>
            <w:tcMar>
              <w:top w:w="0" w:type="dxa"/>
              <w:left w:w="108" w:type="dxa"/>
              <w:bottom w:w="0" w:type="dxa"/>
              <w:right w:w="108" w:type="dxa"/>
            </w:tcMar>
            <w:hideMark/>
          </w:tcPr>
          <w:p w14:paraId="58334A9B"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Dažni</w:t>
            </w:r>
          </w:p>
        </w:tc>
      </w:tr>
      <w:tr w:rsidR="00581BF7" w:rsidRPr="00EE75B4" w14:paraId="5919C2C6" w14:textId="77777777" w:rsidTr="00581BF7">
        <w:tc>
          <w:tcPr>
            <w:tcW w:w="12855" w:type="dxa"/>
            <w:gridSpan w:val="2"/>
            <w:shd w:val="clear" w:color="auto" w:fill="auto"/>
            <w:tcMar>
              <w:top w:w="0" w:type="dxa"/>
              <w:left w:w="108" w:type="dxa"/>
              <w:bottom w:w="0" w:type="dxa"/>
              <w:right w:w="108" w:type="dxa"/>
            </w:tcMar>
            <w:hideMark/>
          </w:tcPr>
          <w:p w14:paraId="26745CD3" w14:textId="1BE975F5" w:rsidR="00407EC9" w:rsidRPr="00EE75B4" w:rsidRDefault="00303228"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b/>
                <w:bCs/>
                <w:i/>
                <w:iCs/>
                <w:lang w:val="lt-LT"/>
              </w:rPr>
              <w:t>Kvėp</w:t>
            </w:r>
            <w:r w:rsidR="00EE75B4">
              <w:rPr>
                <w:rFonts w:ascii="Times New Roman" w:hAnsi="Times New Roman"/>
                <w:b/>
                <w:bCs/>
                <w:i/>
                <w:iCs/>
                <w:lang w:val="lt-LT"/>
              </w:rPr>
              <w:t>a</w:t>
            </w:r>
            <w:r w:rsidRPr="00EE75B4">
              <w:rPr>
                <w:rFonts w:ascii="Times New Roman" w:hAnsi="Times New Roman"/>
                <w:b/>
                <w:bCs/>
                <w:i/>
                <w:iCs/>
                <w:lang w:val="lt-LT"/>
              </w:rPr>
              <w:t>vimo sistemos, krūtinės ląstos ir tarpuplaučio sutrikimai</w:t>
            </w:r>
          </w:p>
        </w:tc>
      </w:tr>
      <w:tr w:rsidR="00151F06" w:rsidRPr="00EE75B4" w14:paraId="3DE626D1" w14:textId="77777777" w:rsidTr="00752171">
        <w:trPr>
          <w:trHeight w:val="270"/>
        </w:trPr>
        <w:tc>
          <w:tcPr>
            <w:tcW w:w="9735" w:type="dxa"/>
            <w:shd w:val="clear" w:color="auto" w:fill="auto"/>
            <w:tcMar>
              <w:top w:w="0" w:type="dxa"/>
              <w:left w:w="108" w:type="dxa"/>
              <w:bottom w:w="0" w:type="dxa"/>
              <w:right w:w="108" w:type="dxa"/>
            </w:tcMar>
            <w:hideMark/>
          </w:tcPr>
          <w:p w14:paraId="4C5201A4" w14:textId="77777777" w:rsidR="00407EC9" w:rsidRPr="00EE75B4" w:rsidRDefault="00303228"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Kosulys</w:t>
            </w:r>
          </w:p>
        </w:tc>
        <w:tc>
          <w:tcPr>
            <w:tcW w:w="3120" w:type="dxa"/>
            <w:vMerge w:val="restart"/>
            <w:shd w:val="clear" w:color="auto" w:fill="auto"/>
            <w:tcMar>
              <w:top w:w="0" w:type="dxa"/>
              <w:left w:w="108" w:type="dxa"/>
              <w:bottom w:w="0" w:type="dxa"/>
              <w:right w:w="108" w:type="dxa"/>
            </w:tcMar>
            <w:hideMark/>
          </w:tcPr>
          <w:p w14:paraId="0115D702" w14:textId="77777777" w:rsidR="00407EC9" w:rsidRPr="00EE75B4" w:rsidRDefault="00407EC9"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Labai dažni</w:t>
            </w:r>
          </w:p>
        </w:tc>
      </w:tr>
      <w:tr w:rsidR="00581BF7" w:rsidRPr="00EE75B4" w14:paraId="2DB4BF42" w14:textId="77777777" w:rsidTr="00DB5FDD">
        <w:trPr>
          <w:trHeight w:val="270"/>
        </w:trPr>
        <w:tc>
          <w:tcPr>
            <w:tcW w:w="9735" w:type="dxa"/>
            <w:shd w:val="clear" w:color="auto" w:fill="auto"/>
            <w:tcMar>
              <w:top w:w="0" w:type="dxa"/>
              <w:left w:w="108" w:type="dxa"/>
              <w:bottom w:w="0" w:type="dxa"/>
              <w:right w:w="108" w:type="dxa"/>
            </w:tcMar>
            <w:hideMark/>
          </w:tcPr>
          <w:p w14:paraId="416BF785" w14:textId="77777777" w:rsidR="00407EC9" w:rsidRPr="00EE75B4" w:rsidRDefault="00303228"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Dusulys</w:t>
            </w:r>
          </w:p>
        </w:tc>
        <w:tc>
          <w:tcPr>
            <w:tcW w:w="0" w:type="auto"/>
            <w:vMerge/>
            <w:shd w:val="clear" w:color="auto" w:fill="FFFFFF"/>
            <w:vAlign w:val="center"/>
            <w:hideMark/>
          </w:tcPr>
          <w:p w14:paraId="66037537"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273BC5AB" w14:textId="77777777" w:rsidTr="00581BF7">
        <w:tc>
          <w:tcPr>
            <w:tcW w:w="12855" w:type="dxa"/>
            <w:gridSpan w:val="2"/>
            <w:shd w:val="clear" w:color="auto" w:fill="auto"/>
            <w:tcMar>
              <w:top w:w="0" w:type="dxa"/>
              <w:left w:w="108" w:type="dxa"/>
              <w:bottom w:w="0" w:type="dxa"/>
              <w:right w:w="108" w:type="dxa"/>
            </w:tcMar>
            <w:hideMark/>
          </w:tcPr>
          <w:p w14:paraId="0A1A1F9F" w14:textId="77777777" w:rsidR="00407EC9" w:rsidRPr="00EE75B4" w:rsidRDefault="00303228"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b/>
                <w:bCs/>
                <w:i/>
                <w:iCs/>
                <w:lang w:val="lt-LT"/>
              </w:rPr>
              <w:t>Virškinimo trakto sutrikimai</w:t>
            </w:r>
          </w:p>
        </w:tc>
      </w:tr>
      <w:tr w:rsidR="00151F06" w:rsidRPr="00EE75B4" w14:paraId="136FBA6D" w14:textId="77777777" w:rsidTr="00752171">
        <w:tc>
          <w:tcPr>
            <w:tcW w:w="9735" w:type="dxa"/>
            <w:shd w:val="clear" w:color="auto" w:fill="auto"/>
            <w:tcMar>
              <w:top w:w="0" w:type="dxa"/>
              <w:left w:w="108" w:type="dxa"/>
              <w:bottom w:w="0" w:type="dxa"/>
              <w:right w:w="108" w:type="dxa"/>
            </w:tcMar>
            <w:hideMark/>
          </w:tcPr>
          <w:p w14:paraId="3B1AFFB9" w14:textId="77777777" w:rsidR="00407EC9" w:rsidRPr="00EE75B4" w:rsidRDefault="00303228"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Viduriavimas</w:t>
            </w:r>
          </w:p>
        </w:tc>
        <w:tc>
          <w:tcPr>
            <w:tcW w:w="3120" w:type="dxa"/>
            <w:vMerge w:val="restart"/>
            <w:shd w:val="clear" w:color="auto" w:fill="auto"/>
            <w:tcMar>
              <w:top w:w="0" w:type="dxa"/>
              <w:left w:w="108" w:type="dxa"/>
              <w:bottom w:w="0" w:type="dxa"/>
              <w:right w:w="108" w:type="dxa"/>
            </w:tcMar>
            <w:hideMark/>
          </w:tcPr>
          <w:p w14:paraId="15D12471" w14:textId="77777777" w:rsidR="00407EC9" w:rsidRPr="00EE75B4" w:rsidRDefault="00407EC9"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Labai dažni</w:t>
            </w:r>
          </w:p>
        </w:tc>
      </w:tr>
      <w:tr w:rsidR="00581BF7" w:rsidRPr="00EE75B4" w14:paraId="6EBA8EC7" w14:textId="77777777" w:rsidTr="00DB5FDD">
        <w:trPr>
          <w:trHeight w:val="282"/>
        </w:trPr>
        <w:tc>
          <w:tcPr>
            <w:tcW w:w="9735" w:type="dxa"/>
            <w:shd w:val="clear" w:color="auto" w:fill="auto"/>
            <w:tcMar>
              <w:top w:w="0" w:type="dxa"/>
              <w:left w:w="108" w:type="dxa"/>
              <w:bottom w:w="0" w:type="dxa"/>
              <w:right w:w="108" w:type="dxa"/>
            </w:tcMar>
            <w:hideMark/>
          </w:tcPr>
          <w:p w14:paraId="404FA3FD" w14:textId="77777777" w:rsidR="00407EC9" w:rsidRPr="00EE75B4" w:rsidRDefault="00303228"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Pykinimas</w:t>
            </w:r>
          </w:p>
        </w:tc>
        <w:tc>
          <w:tcPr>
            <w:tcW w:w="0" w:type="auto"/>
            <w:vMerge/>
            <w:shd w:val="clear" w:color="auto" w:fill="FFFFFF"/>
            <w:vAlign w:val="center"/>
            <w:hideMark/>
          </w:tcPr>
          <w:p w14:paraId="4A530A2F"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3E667355" w14:textId="77777777" w:rsidTr="00DB5FDD">
        <w:trPr>
          <w:trHeight w:val="282"/>
        </w:trPr>
        <w:tc>
          <w:tcPr>
            <w:tcW w:w="9735" w:type="dxa"/>
            <w:shd w:val="clear" w:color="auto" w:fill="auto"/>
            <w:tcMar>
              <w:top w:w="0" w:type="dxa"/>
              <w:left w:w="108" w:type="dxa"/>
              <w:bottom w:w="0" w:type="dxa"/>
              <w:right w:w="108" w:type="dxa"/>
            </w:tcMar>
            <w:hideMark/>
          </w:tcPr>
          <w:p w14:paraId="0604631B" w14:textId="77777777" w:rsidR="00407EC9" w:rsidRPr="00EE75B4" w:rsidRDefault="00407EC9"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V</w:t>
            </w:r>
            <w:r w:rsidR="00303228" w:rsidRPr="00EE75B4">
              <w:rPr>
                <w:rFonts w:ascii="Times New Roman" w:hAnsi="Times New Roman"/>
                <w:lang w:val="lt-LT"/>
              </w:rPr>
              <w:t>ėmimas</w:t>
            </w:r>
          </w:p>
        </w:tc>
        <w:tc>
          <w:tcPr>
            <w:tcW w:w="0" w:type="auto"/>
            <w:vMerge/>
            <w:shd w:val="clear" w:color="auto" w:fill="FFFFFF"/>
            <w:vAlign w:val="center"/>
            <w:hideMark/>
          </w:tcPr>
          <w:p w14:paraId="715AAB31"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77EAD09D" w14:textId="77777777" w:rsidTr="00DB5FDD">
        <w:trPr>
          <w:trHeight w:val="282"/>
        </w:trPr>
        <w:tc>
          <w:tcPr>
            <w:tcW w:w="9735" w:type="dxa"/>
            <w:shd w:val="clear" w:color="auto" w:fill="auto"/>
            <w:tcMar>
              <w:top w:w="0" w:type="dxa"/>
              <w:left w:w="108" w:type="dxa"/>
              <w:bottom w:w="0" w:type="dxa"/>
              <w:right w:w="108" w:type="dxa"/>
            </w:tcMar>
            <w:hideMark/>
          </w:tcPr>
          <w:p w14:paraId="7B635985" w14:textId="77777777" w:rsidR="00407EC9" w:rsidRPr="00EE75B4" w:rsidRDefault="00303228"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Pilvo skausmas</w:t>
            </w:r>
          </w:p>
        </w:tc>
        <w:tc>
          <w:tcPr>
            <w:tcW w:w="0" w:type="auto"/>
            <w:vMerge/>
            <w:shd w:val="clear" w:color="auto" w:fill="FFFFFF"/>
            <w:vAlign w:val="center"/>
            <w:hideMark/>
          </w:tcPr>
          <w:p w14:paraId="2D6E34C2"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151F06" w:rsidRPr="00EE75B4" w14:paraId="2C7C95BC" w14:textId="77777777" w:rsidTr="00752171">
        <w:trPr>
          <w:trHeight w:val="282"/>
        </w:trPr>
        <w:tc>
          <w:tcPr>
            <w:tcW w:w="9735" w:type="dxa"/>
            <w:shd w:val="clear" w:color="auto" w:fill="auto"/>
            <w:tcMar>
              <w:top w:w="0" w:type="dxa"/>
              <w:left w:w="108" w:type="dxa"/>
              <w:bottom w:w="0" w:type="dxa"/>
              <w:right w:w="108" w:type="dxa"/>
            </w:tcMar>
            <w:hideMark/>
          </w:tcPr>
          <w:p w14:paraId="06520496" w14:textId="77777777" w:rsidR="00407EC9" w:rsidRPr="00EE75B4" w:rsidRDefault="00303228" w:rsidP="00DB5FDD">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Nevirškinimas</w:t>
            </w:r>
            <w:proofErr w:type="spellEnd"/>
          </w:p>
        </w:tc>
        <w:tc>
          <w:tcPr>
            <w:tcW w:w="3120" w:type="dxa"/>
            <w:vMerge w:val="restart"/>
            <w:shd w:val="clear" w:color="auto" w:fill="auto"/>
            <w:tcMar>
              <w:top w:w="0" w:type="dxa"/>
              <w:left w:w="108" w:type="dxa"/>
              <w:bottom w:w="0" w:type="dxa"/>
              <w:right w:w="108" w:type="dxa"/>
            </w:tcMar>
            <w:hideMark/>
          </w:tcPr>
          <w:p w14:paraId="13869130"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Dažni</w:t>
            </w:r>
            <w:r w:rsidR="00407EC9" w:rsidRPr="00EE75B4">
              <w:rPr>
                <w:rFonts w:ascii="Times New Roman" w:hAnsi="Times New Roman"/>
                <w:lang w:val="lt-LT"/>
              </w:rPr>
              <w:t> </w:t>
            </w:r>
          </w:p>
        </w:tc>
      </w:tr>
      <w:tr w:rsidR="00581BF7" w:rsidRPr="00EE75B4" w14:paraId="6AACDF82" w14:textId="77777777" w:rsidTr="00DB5FDD">
        <w:trPr>
          <w:trHeight w:val="279"/>
        </w:trPr>
        <w:tc>
          <w:tcPr>
            <w:tcW w:w="9735" w:type="dxa"/>
            <w:shd w:val="clear" w:color="auto" w:fill="auto"/>
            <w:tcMar>
              <w:top w:w="0" w:type="dxa"/>
              <w:left w:w="108" w:type="dxa"/>
              <w:bottom w:w="0" w:type="dxa"/>
              <w:right w:w="108" w:type="dxa"/>
            </w:tcMar>
            <w:hideMark/>
          </w:tcPr>
          <w:p w14:paraId="42892916" w14:textId="77777777" w:rsidR="00407EC9" w:rsidRPr="00EE75B4" w:rsidRDefault="00303228"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Pilvo pūtimas</w:t>
            </w:r>
          </w:p>
        </w:tc>
        <w:tc>
          <w:tcPr>
            <w:tcW w:w="0" w:type="auto"/>
            <w:vMerge/>
            <w:shd w:val="clear" w:color="auto" w:fill="FFFFFF"/>
            <w:vAlign w:val="center"/>
            <w:hideMark/>
          </w:tcPr>
          <w:p w14:paraId="22F9F807"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063FAFFA" w14:textId="77777777" w:rsidTr="00DB5FDD">
        <w:trPr>
          <w:trHeight w:val="279"/>
        </w:trPr>
        <w:tc>
          <w:tcPr>
            <w:tcW w:w="9735" w:type="dxa"/>
            <w:shd w:val="clear" w:color="auto" w:fill="auto"/>
            <w:tcMar>
              <w:top w:w="0" w:type="dxa"/>
              <w:left w:w="108" w:type="dxa"/>
              <w:bottom w:w="0" w:type="dxa"/>
              <w:right w:w="108" w:type="dxa"/>
            </w:tcMar>
            <w:hideMark/>
          </w:tcPr>
          <w:p w14:paraId="05077C8F" w14:textId="77777777" w:rsidR="00407EC9" w:rsidRPr="00EE75B4" w:rsidRDefault="00303228"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Viršutinio pilvo aukšto skausmas</w:t>
            </w:r>
          </w:p>
        </w:tc>
        <w:tc>
          <w:tcPr>
            <w:tcW w:w="0" w:type="auto"/>
            <w:vMerge/>
            <w:shd w:val="clear" w:color="auto" w:fill="FFFFFF"/>
            <w:vAlign w:val="center"/>
            <w:hideMark/>
          </w:tcPr>
          <w:p w14:paraId="0B4236DF"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50EC402E" w14:textId="77777777" w:rsidTr="00DB5FDD">
        <w:trPr>
          <w:trHeight w:val="279"/>
        </w:trPr>
        <w:tc>
          <w:tcPr>
            <w:tcW w:w="9735" w:type="dxa"/>
            <w:shd w:val="clear" w:color="auto" w:fill="auto"/>
            <w:tcMar>
              <w:top w:w="0" w:type="dxa"/>
              <w:left w:w="108" w:type="dxa"/>
              <w:bottom w:w="0" w:type="dxa"/>
              <w:right w:w="108" w:type="dxa"/>
            </w:tcMar>
            <w:hideMark/>
          </w:tcPr>
          <w:p w14:paraId="544ECEAE" w14:textId="77777777" w:rsidR="00407EC9" w:rsidRPr="00EE75B4" w:rsidRDefault="00303228"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Vidurių užkietėjimas</w:t>
            </w:r>
          </w:p>
        </w:tc>
        <w:tc>
          <w:tcPr>
            <w:tcW w:w="0" w:type="auto"/>
            <w:vMerge/>
            <w:shd w:val="clear" w:color="auto" w:fill="FFFFFF"/>
            <w:vAlign w:val="center"/>
            <w:hideMark/>
          </w:tcPr>
          <w:p w14:paraId="6E5BC046"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3DE0108D" w14:textId="77777777" w:rsidTr="00DB5FDD">
        <w:trPr>
          <w:trHeight w:val="279"/>
        </w:trPr>
        <w:tc>
          <w:tcPr>
            <w:tcW w:w="9735" w:type="dxa"/>
            <w:shd w:val="clear" w:color="auto" w:fill="auto"/>
            <w:tcMar>
              <w:top w:w="0" w:type="dxa"/>
              <w:left w:w="108" w:type="dxa"/>
              <w:bottom w:w="0" w:type="dxa"/>
              <w:right w:w="108" w:type="dxa"/>
            </w:tcMar>
            <w:hideMark/>
          </w:tcPr>
          <w:p w14:paraId="1266FD34" w14:textId="77777777" w:rsidR="00407EC9" w:rsidRPr="00EE75B4" w:rsidRDefault="00303228"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Burnos išopėjimas</w:t>
            </w:r>
          </w:p>
        </w:tc>
        <w:tc>
          <w:tcPr>
            <w:tcW w:w="0" w:type="auto"/>
            <w:vMerge/>
            <w:shd w:val="clear" w:color="auto" w:fill="FFFFFF"/>
            <w:vAlign w:val="center"/>
            <w:hideMark/>
          </w:tcPr>
          <w:p w14:paraId="140C7B3A"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434A7539" w14:textId="77777777" w:rsidTr="00DB5FDD">
        <w:trPr>
          <w:trHeight w:val="279"/>
        </w:trPr>
        <w:tc>
          <w:tcPr>
            <w:tcW w:w="9735" w:type="dxa"/>
            <w:shd w:val="clear" w:color="auto" w:fill="auto"/>
            <w:tcMar>
              <w:top w:w="0" w:type="dxa"/>
              <w:left w:w="108" w:type="dxa"/>
              <w:bottom w:w="0" w:type="dxa"/>
              <w:right w:w="108" w:type="dxa"/>
            </w:tcMar>
            <w:hideMark/>
          </w:tcPr>
          <w:p w14:paraId="57E7B8B4" w14:textId="77777777" w:rsidR="00407EC9" w:rsidRPr="00EE75B4" w:rsidRDefault="00303228"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Rijimo sutrikimas</w:t>
            </w:r>
          </w:p>
        </w:tc>
        <w:tc>
          <w:tcPr>
            <w:tcW w:w="0" w:type="auto"/>
            <w:vMerge/>
            <w:shd w:val="clear" w:color="auto" w:fill="FFFFFF"/>
            <w:vAlign w:val="center"/>
            <w:hideMark/>
          </w:tcPr>
          <w:p w14:paraId="6FA5B62B"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4314AABD" w14:textId="77777777" w:rsidTr="00DB5FDD">
        <w:trPr>
          <w:trHeight w:val="395"/>
        </w:trPr>
        <w:tc>
          <w:tcPr>
            <w:tcW w:w="9735" w:type="dxa"/>
            <w:shd w:val="clear" w:color="auto" w:fill="auto"/>
            <w:tcMar>
              <w:top w:w="0" w:type="dxa"/>
              <w:left w:w="108" w:type="dxa"/>
              <w:bottom w:w="0" w:type="dxa"/>
              <w:right w:w="108" w:type="dxa"/>
            </w:tcMar>
            <w:hideMark/>
          </w:tcPr>
          <w:p w14:paraId="1A7FF13D" w14:textId="77777777" w:rsidR="00407EC9" w:rsidRPr="00EE75B4" w:rsidRDefault="00303228"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Pilvo tempimas</w:t>
            </w:r>
          </w:p>
        </w:tc>
        <w:tc>
          <w:tcPr>
            <w:tcW w:w="0" w:type="auto"/>
            <w:vMerge/>
            <w:shd w:val="clear" w:color="auto" w:fill="FFFFFF"/>
            <w:vAlign w:val="center"/>
            <w:hideMark/>
          </w:tcPr>
          <w:p w14:paraId="3956695B"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01CF0D06" w14:textId="77777777" w:rsidTr="00DB5FDD">
        <w:trPr>
          <w:trHeight w:val="395"/>
        </w:trPr>
        <w:tc>
          <w:tcPr>
            <w:tcW w:w="9735" w:type="dxa"/>
            <w:shd w:val="clear" w:color="auto" w:fill="auto"/>
            <w:tcMar>
              <w:top w:w="0" w:type="dxa"/>
              <w:left w:w="108" w:type="dxa"/>
              <w:bottom w:w="0" w:type="dxa"/>
              <w:right w:w="108" w:type="dxa"/>
            </w:tcMar>
            <w:hideMark/>
          </w:tcPr>
          <w:p w14:paraId="0AE6F6F8" w14:textId="77777777" w:rsidR="00407EC9" w:rsidRPr="00EE75B4" w:rsidRDefault="00407EC9"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Pan</w:t>
            </w:r>
            <w:r w:rsidR="00303228" w:rsidRPr="00EE75B4">
              <w:rPr>
                <w:rFonts w:ascii="Times New Roman" w:hAnsi="Times New Roman"/>
                <w:lang w:val="lt-LT"/>
              </w:rPr>
              <w:t>kreatitas</w:t>
            </w:r>
          </w:p>
        </w:tc>
        <w:tc>
          <w:tcPr>
            <w:tcW w:w="0" w:type="auto"/>
            <w:vMerge/>
            <w:shd w:val="clear" w:color="auto" w:fill="FFFFFF"/>
            <w:vAlign w:val="center"/>
            <w:hideMark/>
          </w:tcPr>
          <w:p w14:paraId="599D478F"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6DD195E5" w14:textId="77777777" w:rsidTr="00581BF7">
        <w:trPr>
          <w:trHeight w:val="210"/>
        </w:trPr>
        <w:tc>
          <w:tcPr>
            <w:tcW w:w="12855" w:type="dxa"/>
            <w:gridSpan w:val="2"/>
            <w:shd w:val="clear" w:color="auto" w:fill="auto"/>
            <w:tcMar>
              <w:top w:w="0" w:type="dxa"/>
              <w:left w:w="108" w:type="dxa"/>
              <w:bottom w:w="0" w:type="dxa"/>
              <w:right w:w="108" w:type="dxa"/>
            </w:tcMar>
            <w:hideMark/>
          </w:tcPr>
          <w:p w14:paraId="7F334B02" w14:textId="77777777" w:rsidR="00407EC9" w:rsidRPr="00EE75B4" w:rsidRDefault="00303228"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b/>
                <w:bCs/>
                <w:i/>
                <w:iCs/>
                <w:lang w:val="lt-LT"/>
              </w:rPr>
              <w:t>Kepenų, tulžies pūslės ir latakų sutrikimai</w:t>
            </w:r>
          </w:p>
        </w:tc>
      </w:tr>
      <w:tr w:rsidR="00151F06" w:rsidRPr="00EE75B4" w14:paraId="1120D86A" w14:textId="77777777" w:rsidTr="00752171">
        <w:trPr>
          <w:trHeight w:val="280"/>
        </w:trPr>
        <w:tc>
          <w:tcPr>
            <w:tcW w:w="9735" w:type="dxa"/>
            <w:shd w:val="clear" w:color="auto" w:fill="auto"/>
            <w:tcMar>
              <w:top w:w="0" w:type="dxa"/>
              <w:left w:w="108" w:type="dxa"/>
              <w:bottom w:w="0" w:type="dxa"/>
              <w:right w:w="108" w:type="dxa"/>
            </w:tcMar>
            <w:hideMark/>
          </w:tcPr>
          <w:p w14:paraId="1C706103" w14:textId="1AEFA244" w:rsidR="00407EC9" w:rsidRPr="00EE75B4" w:rsidRDefault="00303228" w:rsidP="009A20E3">
            <w:pPr>
              <w:pStyle w:val="Default"/>
              <w:rPr>
                <w:color w:val="auto"/>
                <w:lang w:val="lt-LT"/>
              </w:rPr>
            </w:pPr>
            <w:r w:rsidRPr="00EE75B4">
              <w:rPr>
                <w:color w:val="auto"/>
                <w:sz w:val="22"/>
                <w:szCs w:val="22"/>
                <w:lang w:val="lt-LT"/>
              </w:rPr>
              <w:lastRenderedPageBreak/>
              <w:t>Padidėj</w:t>
            </w:r>
            <w:r w:rsidR="009A20E3">
              <w:rPr>
                <w:color w:val="auto"/>
                <w:sz w:val="22"/>
                <w:szCs w:val="22"/>
                <w:lang w:val="lt-LT"/>
              </w:rPr>
              <w:t>ęs</w:t>
            </w:r>
            <w:r w:rsidRPr="00EE75B4">
              <w:rPr>
                <w:color w:val="auto"/>
                <w:sz w:val="22"/>
                <w:szCs w:val="22"/>
                <w:lang w:val="lt-LT"/>
              </w:rPr>
              <w:t xml:space="preserve"> šarminės </w:t>
            </w:r>
            <w:proofErr w:type="spellStart"/>
            <w:r w:rsidRPr="00EE75B4">
              <w:rPr>
                <w:color w:val="auto"/>
                <w:sz w:val="22"/>
                <w:szCs w:val="22"/>
                <w:lang w:val="lt-LT"/>
              </w:rPr>
              <w:t>fosfatazės</w:t>
            </w:r>
            <w:proofErr w:type="spellEnd"/>
            <w:r w:rsidRPr="00EE75B4">
              <w:rPr>
                <w:color w:val="auto"/>
                <w:sz w:val="22"/>
                <w:szCs w:val="22"/>
                <w:lang w:val="lt-LT"/>
              </w:rPr>
              <w:t xml:space="preserve"> </w:t>
            </w:r>
            <w:r w:rsidR="009A20E3">
              <w:rPr>
                <w:color w:val="auto"/>
                <w:sz w:val="22"/>
                <w:szCs w:val="22"/>
                <w:lang w:val="lt-LT"/>
              </w:rPr>
              <w:t>aktyvumas</w:t>
            </w:r>
            <w:r w:rsidR="009A20E3" w:rsidRPr="00EE75B4">
              <w:rPr>
                <w:color w:val="auto"/>
                <w:sz w:val="22"/>
                <w:szCs w:val="22"/>
                <w:lang w:val="lt-LT"/>
              </w:rPr>
              <w:t xml:space="preserve"> </w:t>
            </w:r>
            <w:r w:rsidRPr="00EE75B4">
              <w:rPr>
                <w:color w:val="auto"/>
                <w:sz w:val="22"/>
                <w:szCs w:val="22"/>
                <w:lang w:val="lt-LT"/>
              </w:rPr>
              <w:t>kraujyje</w:t>
            </w:r>
          </w:p>
        </w:tc>
        <w:tc>
          <w:tcPr>
            <w:tcW w:w="3120" w:type="dxa"/>
            <w:vMerge w:val="restart"/>
            <w:shd w:val="clear" w:color="auto" w:fill="auto"/>
            <w:tcMar>
              <w:top w:w="0" w:type="dxa"/>
              <w:left w:w="108" w:type="dxa"/>
              <w:bottom w:w="0" w:type="dxa"/>
              <w:right w:w="108" w:type="dxa"/>
            </w:tcMar>
            <w:hideMark/>
          </w:tcPr>
          <w:p w14:paraId="1E467C72"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Dažni</w:t>
            </w:r>
          </w:p>
        </w:tc>
      </w:tr>
      <w:tr w:rsidR="00581BF7" w:rsidRPr="00EE75B4" w14:paraId="15123D96" w14:textId="77777777" w:rsidTr="00DB5FDD">
        <w:trPr>
          <w:trHeight w:val="280"/>
        </w:trPr>
        <w:tc>
          <w:tcPr>
            <w:tcW w:w="9735" w:type="dxa"/>
            <w:shd w:val="clear" w:color="auto" w:fill="auto"/>
            <w:tcMar>
              <w:top w:w="0" w:type="dxa"/>
              <w:left w:w="108" w:type="dxa"/>
              <w:bottom w:w="0" w:type="dxa"/>
              <w:right w:w="108" w:type="dxa"/>
            </w:tcMar>
            <w:hideMark/>
          </w:tcPr>
          <w:p w14:paraId="341B1A6C" w14:textId="77777777" w:rsidR="00407EC9" w:rsidRPr="00EE75B4" w:rsidRDefault="00303228" w:rsidP="00732BB8">
            <w:pPr>
              <w:pStyle w:val="Default"/>
              <w:rPr>
                <w:color w:val="auto"/>
                <w:lang w:val="lt-LT"/>
              </w:rPr>
            </w:pPr>
            <w:r w:rsidRPr="00EE75B4">
              <w:rPr>
                <w:color w:val="auto"/>
                <w:sz w:val="22"/>
                <w:szCs w:val="22"/>
                <w:lang w:val="lt-LT"/>
              </w:rPr>
              <w:t>Nenormali kepenų funkcija</w:t>
            </w:r>
          </w:p>
        </w:tc>
        <w:tc>
          <w:tcPr>
            <w:tcW w:w="0" w:type="auto"/>
            <w:vMerge/>
            <w:shd w:val="clear" w:color="auto" w:fill="FFFFFF"/>
            <w:vAlign w:val="center"/>
            <w:hideMark/>
          </w:tcPr>
          <w:p w14:paraId="0ED178C1"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684459D8" w14:textId="77777777" w:rsidTr="00DB5FDD">
        <w:trPr>
          <w:trHeight w:val="280"/>
        </w:trPr>
        <w:tc>
          <w:tcPr>
            <w:tcW w:w="9735" w:type="dxa"/>
            <w:shd w:val="clear" w:color="auto" w:fill="auto"/>
            <w:tcMar>
              <w:top w:w="0" w:type="dxa"/>
              <w:left w:w="108" w:type="dxa"/>
              <w:bottom w:w="0" w:type="dxa"/>
              <w:right w:w="108" w:type="dxa"/>
            </w:tcMar>
            <w:hideMark/>
          </w:tcPr>
          <w:p w14:paraId="77D1632E" w14:textId="117F38FA" w:rsidR="00407EC9" w:rsidRPr="00EE75B4" w:rsidRDefault="009A20E3" w:rsidP="009A20E3">
            <w:pPr>
              <w:pStyle w:val="Default"/>
              <w:rPr>
                <w:color w:val="auto"/>
                <w:lang w:val="lt-LT"/>
              </w:rPr>
            </w:pPr>
            <w:r w:rsidRPr="00EE75B4">
              <w:rPr>
                <w:color w:val="auto"/>
                <w:sz w:val="22"/>
                <w:szCs w:val="22"/>
                <w:lang w:val="lt-LT"/>
              </w:rPr>
              <w:t>Padidėj</w:t>
            </w:r>
            <w:r>
              <w:rPr>
                <w:color w:val="auto"/>
                <w:sz w:val="22"/>
                <w:szCs w:val="22"/>
                <w:lang w:val="lt-LT"/>
              </w:rPr>
              <w:t>ęs</w:t>
            </w:r>
            <w:r w:rsidRPr="00EE75B4">
              <w:rPr>
                <w:color w:val="auto"/>
                <w:sz w:val="22"/>
                <w:szCs w:val="22"/>
                <w:lang w:val="lt-LT"/>
              </w:rPr>
              <w:t xml:space="preserve"> </w:t>
            </w:r>
            <w:r w:rsidR="00303228" w:rsidRPr="00EE75B4">
              <w:rPr>
                <w:color w:val="auto"/>
                <w:sz w:val="22"/>
                <w:szCs w:val="22"/>
                <w:lang w:val="lt-LT"/>
              </w:rPr>
              <w:t xml:space="preserve">aspartataminotransferazės </w:t>
            </w:r>
            <w:r>
              <w:rPr>
                <w:color w:val="auto"/>
                <w:sz w:val="22"/>
                <w:szCs w:val="22"/>
                <w:lang w:val="lt-LT"/>
              </w:rPr>
              <w:t>aktyvumas</w:t>
            </w:r>
            <w:r w:rsidRPr="00EE75B4">
              <w:rPr>
                <w:color w:val="auto"/>
                <w:sz w:val="22"/>
                <w:szCs w:val="22"/>
                <w:lang w:val="lt-LT"/>
              </w:rPr>
              <w:t xml:space="preserve"> kraujyje</w:t>
            </w:r>
          </w:p>
        </w:tc>
        <w:tc>
          <w:tcPr>
            <w:tcW w:w="0" w:type="auto"/>
            <w:vMerge/>
            <w:shd w:val="clear" w:color="auto" w:fill="FFFFFF"/>
            <w:vAlign w:val="center"/>
            <w:hideMark/>
          </w:tcPr>
          <w:p w14:paraId="36D6C4B0"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3700828D" w14:textId="77777777" w:rsidTr="00DB5FDD">
        <w:tc>
          <w:tcPr>
            <w:tcW w:w="9735" w:type="dxa"/>
            <w:shd w:val="clear" w:color="auto" w:fill="auto"/>
            <w:tcMar>
              <w:top w:w="0" w:type="dxa"/>
              <w:left w:w="108" w:type="dxa"/>
              <w:bottom w:w="0" w:type="dxa"/>
              <w:right w:w="108" w:type="dxa"/>
            </w:tcMar>
            <w:hideMark/>
          </w:tcPr>
          <w:p w14:paraId="21379F5E" w14:textId="079D755A" w:rsidR="00407EC9" w:rsidRPr="00EE75B4" w:rsidRDefault="009A20E3" w:rsidP="009A20E3">
            <w:pPr>
              <w:pStyle w:val="Default"/>
              <w:rPr>
                <w:color w:val="auto"/>
                <w:lang w:val="lt-LT"/>
              </w:rPr>
            </w:pPr>
            <w:r w:rsidRPr="00EE75B4">
              <w:rPr>
                <w:color w:val="auto"/>
                <w:sz w:val="22"/>
                <w:szCs w:val="22"/>
                <w:lang w:val="lt-LT"/>
              </w:rPr>
              <w:t>Padidėj</w:t>
            </w:r>
            <w:r>
              <w:rPr>
                <w:color w:val="auto"/>
                <w:sz w:val="22"/>
                <w:szCs w:val="22"/>
                <w:lang w:val="lt-LT"/>
              </w:rPr>
              <w:t>ęs</w:t>
            </w:r>
            <w:r w:rsidRPr="00EE75B4">
              <w:rPr>
                <w:color w:val="auto"/>
                <w:sz w:val="22"/>
                <w:szCs w:val="22"/>
                <w:lang w:val="lt-LT"/>
              </w:rPr>
              <w:t xml:space="preserve"> </w:t>
            </w:r>
            <w:r w:rsidR="00303228" w:rsidRPr="00EE75B4">
              <w:rPr>
                <w:color w:val="auto"/>
                <w:sz w:val="22"/>
                <w:szCs w:val="22"/>
                <w:lang w:val="lt-LT"/>
              </w:rPr>
              <w:t xml:space="preserve">alaninaminotransferazės </w:t>
            </w:r>
            <w:r>
              <w:rPr>
                <w:color w:val="auto"/>
                <w:sz w:val="22"/>
                <w:szCs w:val="22"/>
                <w:lang w:val="lt-LT"/>
              </w:rPr>
              <w:t>aktyvumas</w:t>
            </w:r>
            <w:r w:rsidRPr="00EE75B4">
              <w:rPr>
                <w:color w:val="auto"/>
                <w:sz w:val="22"/>
                <w:szCs w:val="22"/>
                <w:lang w:val="lt-LT"/>
              </w:rPr>
              <w:t xml:space="preserve"> kraujyje</w:t>
            </w:r>
          </w:p>
        </w:tc>
        <w:tc>
          <w:tcPr>
            <w:tcW w:w="0" w:type="auto"/>
            <w:vMerge/>
            <w:shd w:val="clear" w:color="auto" w:fill="FFFFFF"/>
            <w:vAlign w:val="center"/>
            <w:hideMark/>
          </w:tcPr>
          <w:p w14:paraId="6DE9A233"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0F59F4DE" w14:textId="77777777" w:rsidTr="00581BF7">
        <w:tc>
          <w:tcPr>
            <w:tcW w:w="12855" w:type="dxa"/>
            <w:gridSpan w:val="2"/>
            <w:shd w:val="clear" w:color="auto" w:fill="auto"/>
            <w:tcMar>
              <w:top w:w="0" w:type="dxa"/>
              <w:left w:w="108" w:type="dxa"/>
              <w:bottom w:w="0" w:type="dxa"/>
              <w:right w:w="108" w:type="dxa"/>
            </w:tcMar>
            <w:hideMark/>
          </w:tcPr>
          <w:p w14:paraId="299D3729" w14:textId="77777777" w:rsidR="00407EC9" w:rsidRPr="00EE75B4" w:rsidRDefault="00303228"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b/>
                <w:bCs/>
                <w:i/>
                <w:iCs/>
                <w:lang w:val="lt-LT"/>
              </w:rPr>
              <w:t>Odos ir poodinio audinio sutrikimai</w:t>
            </w:r>
          </w:p>
        </w:tc>
      </w:tr>
      <w:tr w:rsidR="00151F06" w:rsidRPr="00EE75B4" w14:paraId="3D9D9F18" w14:textId="77777777" w:rsidTr="00752171">
        <w:trPr>
          <w:trHeight w:val="280"/>
        </w:trPr>
        <w:tc>
          <w:tcPr>
            <w:tcW w:w="9735" w:type="dxa"/>
            <w:shd w:val="clear" w:color="auto" w:fill="auto"/>
            <w:tcMar>
              <w:top w:w="0" w:type="dxa"/>
              <w:left w:w="108" w:type="dxa"/>
              <w:bottom w:w="0" w:type="dxa"/>
              <w:right w:w="108" w:type="dxa"/>
            </w:tcMar>
            <w:hideMark/>
          </w:tcPr>
          <w:p w14:paraId="09139B61" w14:textId="77777777" w:rsidR="00407EC9" w:rsidRPr="00EE75B4" w:rsidRDefault="00303228"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Dermatitas</w:t>
            </w:r>
          </w:p>
        </w:tc>
        <w:tc>
          <w:tcPr>
            <w:tcW w:w="3120" w:type="dxa"/>
            <w:shd w:val="clear" w:color="auto" w:fill="auto"/>
            <w:tcMar>
              <w:top w:w="0" w:type="dxa"/>
              <w:left w:w="108" w:type="dxa"/>
              <w:bottom w:w="0" w:type="dxa"/>
              <w:right w:w="108" w:type="dxa"/>
            </w:tcMar>
            <w:hideMark/>
          </w:tcPr>
          <w:p w14:paraId="503C8A97" w14:textId="77777777" w:rsidR="00407EC9" w:rsidRPr="00EE75B4" w:rsidRDefault="00407EC9"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Labai dažni</w:t>
            </w:r>
          </w:p>
        </w:tc>
      </w:tr>
      <w:tr w:rsidR="00151F06" w:rsidRPr="00EE75B4" w14:paraId="14EC6191" w14:textId="77777777" w:rsidTr="00752171">
        <w:trPr>
          <w:trHeight w:val="280"/>
        </w:trPr>
        <w:tc>
          <w:tcPr>
            <w:tcW w:w="9735" w:type="dxa"/>
            <w:shd w:val="clear" w:color="auto" w:fill="auto"/>
            <w:tcMar>
              <w:top w:w="0" w:type="dxa"/>
              <w:left w:w="108" w:type="dxa"/>
              <w:bottom w:w="0" w:type="dxa"/>
              <w:right w:w="108" w:type="dxa"/>
            </w:tcMar>
            <w:hideMark/>
          </w:tcPr>
          <w:p w14:paraId="62ED2632" w14:textId="77777777" w:rsidR="00407EC9" w:rsidRPr="00EE75B4" w:rsidRDefault="00407EC9"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N</w:t>
            </w:r>
            <w:r w:rsidR="00303228" w:rsidRPr="00EE75B4">
              <w:rPr>
                <w:rFonts w:ascii="Times New Roman" w:hAnsi="Times New Roman"/>
                <w:lang w:val="lt-LT"/>
              </w:rPr>
              <w:t>aktinis prakaitavimas</w:t>
            </w:r>
          </w:p>
        </w:tc>
        <w:tc>
          <w:tcPr>
            <w:tcW w:w="3120" w:type="dxa"/>
            <w:vMerge w:val="restart"/>
            <w:shd w:val="clear" w:color="auto" w:fill="auto"/>
            <w:tcMar>
              <w:top w:w="0" w:type="dxa"/>
              <w:left w:w="108" w:type="dxa"/>
              <w:bottom w:w="0" w:type="dxa"/>
              <w:right w:w="108" w:type="dxa"/>
            </w:tcMar>
            <w:hideMark/>
          </w:tcPr>
          <w:p w14:paraId="3EDF3B22"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Dažni</w:t>
            </w:r>
          </w:p>
        </w:tc>
      </w:tr>
      <w:tr w:rsidR="00581BF7" w:rsidRPr="00EE75B4" w14:paraId="6299FA92" w14:textId="77777777" w:rsidTr="00DB5FDD">
        <w:trPr>
          <w:trHeight w:val="280"/>
        </w:trPr>
        <w:tc>
          <w:tcPr>
            <w:tcW w:w="9735" w:type="dxa"/>
            <w:shd w:val="clear" w:color="auto" w:fill="auto"/>
            <w:tcMar>
              <w:top w:w="0" w:type="dxa"/>
              <w:left w:w="108" w:type="dxa"/>
              <w:bottom w:w="0" w:type="dxa"/>
              <w:right w:w="108" w:type="dxa"/>
            </w:tcMar>
            <w:hideMark/>
          </w:tcPr>
          <w:p w14:paraId="4B67C5D3" w14:textId="77777777" w:rsidR="00407EC9" w:rsidRPr="00EE75B4" w:rsidRDefault="00303228"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Niežulys</w:t>
            </w:r>
          </w:p>
        </w:tc>
        <w:tc>
          <w:tcPr>
            <w:tcW w:w="0" w:type="auto"/>
            <w:vMerge/>
            <w:shd w:val="clear" w:color="auto" w:fill="FFFFFF"/>
            <w:vAlign w:val="center"/>
            <w:hideMark/>
          </w:tcPr>
          <w:p w14:paraId="671D1ACC"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37BD16CE" w14:textId="77777777" w:rsidTr="00DB5FDD">
        <w:trPr>
          <w:trHeight w:val="318"/>
        </w:trPr>
        <w:tc>
          <w:tcPr>
            <w:tcW w:w="9735" w:type="dxa"/>
            <w:shd w:val="clear" w:color="auto" w:fill="auto"/>
            <w:tcMar>
              <w:top w:w="0" w:type="dxa"/>
              <w:left w:w="108" w:type="dxa"/>
              <w:bottom w:w="0" w:type="dxa"/>
              <w:right w:w="108" w:type="dxa"/>
            </w:tcMar>
            <w:hideMark/>
          </w:tcPr>
          <w:p w14:paraId="482E938C" w14:textId="77777777" w:rsidR="00407EC9" w:rsidRPr="00EE75B4" w:rsidRDefault="00303228"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Išbėrimas</w:t>
            </w:r>
          </w:p>
        </w:tc>
        <w:tc>
          <w:tcPr>
            <w:tcW w:w="0" w:type="auto"/>
            <w:vMerge/>
            <w:shd w:val="clear" w:color="auto" w:fill="FFFFFF"/>
            <w:vAlign w:val="center"/>
            <w:hideMark/>
          </w:tcPr>
          <w:p w14:paraId="3DDF39E7"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6D64DFFA" w14:textId="77777777" w:rsidTr="00DB5FDD">
        <w:trPr>
          <w:trHeight w:val="395"/>
        </w:trPr>
        <w:tc>
          <w:tcPr>
            <w:tcW w:w="9735" w:type="dxa"/>
            <w:shd w:val="clear" w:color="auto" w:fill="auto"/>
            <w:tcMar>
              <w:top w:w="0" w:type="dxa"/>
              <w:left w:w="108" w:type="dxa"/>
              <w:bottom w:w="0" w:type="dxa"/>
              <w:right w:w="108" w:type="dxa"/>
            </w:tcMar>
            <w:hideMark/>
          </w:tcPr>
          <w:p w14:paraId="6C20A60A" w14:textId="77777777" w:rsidR="00407EC9" w:rsidRPr="00EE75B4" w:rsidRDefault="00303228"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Nuplikimas</w:t>
            </w:r>
          </w:p>
        </w:tc>
        <w:tc>
          <w:tcPr>
            <w:tcW w:w="0" w:type="auto"/>
            <w:vMerge/>
            <w:shd w:val="clear" w:color="auto" w:fill="FFFFFF"/>
            <w:vAlign w:val="center"/>
            <w:hideMark/>
          </w:tcPr>
          <w:p w14:paraId="3B8EB93B"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151F06" w:rsidRPr="00EE75B4" w14:paraId="4BB9D9AD" w14:textId="77777777" w:rsidTr="00752171">
        <w:trPr>
          <w:trHeight w:val="395"/>
        </w:trPr>
        <w:tc>
          <w:tcPr>
            <w:tcW w:w="9735" w:type="dxa"/>
            <w:shd w:val="clear" w:color="auto" w:fill="auto"/>
            <w:tcMar>
              <w:top w:w="0" w:type="dxa"/>
              <w:left w:w="108" w:type="dxa"/>
              <w:bottom w:w="0" w:type="dxa"/>
              <w:right w:w="108" w:type="dxa"/>
            </w:tcMar>
            <w:hideMark/>
          </w:tcPr>
          <w:p w14:paraId="51F167F7" w14:textId="77777777" w:rsidR="00407EC9" w:rsidRPr="00EE75B4" w:rsidRDefault="00303228"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Odos sausmė</w:t>
            </w:r>
          </w:p>
        </w:tc>
        <w:tc>
          <w:tcPr>
            <w:tcW w:w="3120" w:type="dxa"/>
            <w:vMerge w:val="restart"/>
            <w:shd w:val="clear" w:color="auto" w:fill="auto"/>
            <w:tcMar>
              <w:top w:w="0" w:type="dxa"/>
              <w:left w:w="108" w:type="dxa"/>
              <w:bottom w:w="0" w:type="dxa"/>
              <w:right w:w="108" w:type="dxa"/>
            </w:tcMar>
            <w:hideMark/>
          </w:tcPr>
          <w:p w14:paraId="352E492B"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Nedažni</w:t>
            </w:r>
            <w:r w:rsidR="00407EC9" w:rsidRPr="00EE75B4">
              <w:rPr>
                <w:rFonts w:ascii="Times New Roman" w:hAnsi="Times New Roman"/>
                <w:lang w:val="lt-LT"/>
              </w:rPr>
              <w:t> </w:t>
            </w:r>
          </w:p>
        </w:tc>
      </w:tr>
      <w:tr w:rsidR="00581BF7" w:rsidRPr="00EE75B4" w14:paraId="6A9706D8" w14:textId="77777777" w:rsidTr="00DB5FDD">
        <w:trPr>
          <w:trHeight w:val="368"/>
        </w:trPr>
        <w:tc>
          <w:tcPr>
            <w:tcW w:w="9735" w:type="dxa"/>
            <w:shd w:val="clear" w:color="auto" w:fill="auto"/>
            <w:tcMar>
              <w:top w:w="0" w:type="dxa"/>
              <w:left w:w="108" w:type="dxa"/>
              <w:bottom w:w="0" w:type="dxa"/>
              <w:right w:w="108" w:type="dxa"/>
            </w:tcMar>
            <w:hideMark/>
          </w:tcPr>
          <w:p w14:paraId="33E0A0A2" w14:textId="77777777" w:rsidR="00407EC9" w:rsidRPr="00EE75B4" w:rsidRDefault="00303228"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Dilgėlinė</w:t>
            </w:r>
          </w:p>
        </w:tc>
        <w:tc>
          <w:tcPr>
            <w:tcW w:w="0" w:type="auto"/>
            <w:vMerge/>
            <w:shd w:val="clear" w:color="auto" w:fill="FFFFFF"/>
            <w:vAlign w:val="center"/>
            <w:hideMark/>
          </w:tcPr>
          <w:p w14:paraId="4B7F3813"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5CCEBFBD" w14:textId="77777777" w:rsidTr="00581BF7">
        <w:tc>
          <w:tcPr>
            <w:tcW w:w="12855" w:type="dxa"/>
            <w:gridSpan w:val="2"/>
            <w:shd w:val="clear" w:color="auto" w:fill="auto"/>
            <w:tcMar>
              <w:top w:w="0" w:type="dxa"/>
              <w:left w:w="108" w:type="dxa"/>
              <w:bottom w:w="0" w:type="dxa"/>
              <w:right w:w="108" w:type="dxa"/>
            </w:tcMar>
            <w:hideMark/>
          </w:tcPr>
          <w:p w14:paraId="3EEE736C" w14:textId="77777777" w:rsidR="00407EC9" w:rsidRPr="00EE75B4" w:rsidRDefault="00303228" w:rsidP="00732BB8">
            <w:pPr>
              <w:pStyle w:val="Default"/>
              <w:rPr>
                <w:color w:val="auto"/>
                <w:lang w:val="lt-LT"/>
              </w:rPr>
            </w:pPr>
            <w:r w:rsidRPr="00EE75B4">
              <w:rPr>
                <w:b/>
                <w:bCs/>
                <w:i/>
                <w:iCs/>
                <w:color w:val="auto"/>
                <w:sz w:val="22"/>
                <w:szCs w:val="22"/>
                <w:lang w:val="lt-LT"/>
              </w:rPr>
              <w:t>Skeleto, raumenų ir jungiamojo audinio sutrikimai</w:t>
            </w:r>
          </w:p>
        </w:tc>
      </w:tr>
      <w:tr w:rsidR="00151F06" w:rsidRPr="00EE75B4" w14:paraId="4D72D7C5" w14:textId="77777777" w:rsidTr="00752171">
        <w:trPr>
          <w:trHeight w:val="242"/>
        </w:trPr>
        <w:tc>
          <w:tcPr>
            <w:tcW w:w="9735" w:type="dxa"/>
            <w:shd w:val="clear" w:color="auto" w:fill="auto"/>
            <w:tcMar>
              <w:top w:w="0" w:type="dxa"/>
              <w:left w:w="108" w:type="dxa"/>
              <w:bottom w:w="0" w:type="dxa"/>
              <w:right w:w="108" w:type="dxa"/>
            </w:tcMar>
            <w:hideMark/>
          </w:tcPr>
          <w:p w14:paraId="029E96C5" w14:textId="77777777" w:rsidR="00407EC9" w:rsidRPr="00EE75B4" w:rsidRDefault="00303228" w:rsidP="00732BB8">
            <w:pPr>
              <w:pStyle w:val="Default"/>
              <w:rPr>
                <w:color w:val="auto"/>
                <w:lang w:val="lt-LT"/>
              </w:rPr>
            </w:pPr>
            <w:r w:rsidRPr="00EE75B4">
              <w:rPr>
                <w:color w:val="auto"/>
                <w:sz w:val="22"/>
                <w:szCs w:val="22"/>
                <w:lang w:val="lt-LT"/>
              </w:rPr>
              <w:t>Nugaros skausmas</w:t>
            </w:r>
          </w:p>
        </w:tc>
        <w:tc>
          <w:tcPr>
            <w:tcW w:w="3120" w:type="dxa"/>
            <w:vMerge w:val="restart"/>
            <w:shd w:val="clear" w:color="auto" w:fill="auto"/>
            <w:tcMar>
              <w:top w:w="0" w:type="dxa"/>
              <w:left w:w="108" w:type="dxa"/>
              <w:bottom w:w="0" w:type="dxa"/>
              <w:right w:w="108" w:type="dxa"/>
            </w:tcMar>
            <w:hideMark/>
          </w:tcPr>
          <w:p w14:paraId="190AC6A1"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Dažni</w:t>
            </w:r>
          </w:p>
        </w:tc>
      </w:tr>
      <w:tr w:rsidR="00581BF7" w:rsidRPr="00EE75B4" w14:paraId="71B924DC" w14:textId="77777777" w:rsidTr="00DB5FDD">
        <w:trPr>
          <w:trHeight w:val="281"/>
        </w:trPr>
        <w:tc>
          <w:tcPr>
            <w:tcW w:w="9735" w:type="dxa"/>
            <w:shd w:val="clear" w:color="auto" w:fill="auto"/>
            <w:tcMar>
              <w:top w:w="0" w:type="dxa"/>
              <w:left w:w="108" w:type="dxa"/>
              <w:bottom w:w="0" w:type="dxa"/>
              <w:right w:w="108" w:type="dxa"/>
            </w:tcMar>
            <w:hideMark/>
          </w:tcPr>
          <w:p w14:paraId="49CC83C5" w14:textId="77777777" w:rsidR="00407EC9" w:rsidRPr="00EE75B4" w:rsidRDefault="00303228"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Raumenų skausmas</w:t>
            </w:r>
          </w:p>
        </w:tc>
        <w:tc>
          <w:tcPr>
            <w:tcW w:w="0" w:type="auto"/>
            <w:vMerge/>
            <w:shd w:val="clear" w:color="auto" w:fill="FFFFFF"/>
            <w:vAlign w:val="center"/>
            <w:hideMark/>
          </w:tcPr>
          <w:p w14:paraId="45E8094A"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4E2F3276" w14:textId="77777777" w:rsidTr="00DB5FDD">
        <w:trPr>
          <w:trHeight w:val="281"/>
        </w:trPr>
        <w:tc>
          <w:tcPr>
            <w:tcW w:w="9735" w:type="dxa"/>
            <w:shd w:val="clear" w:color="auto" w:fill="auto"/>
            <w:tcMar>
              <w:top w:w="0" w:type="dxa"/>
              <w:left w:w="108" w:type="dxa"/>
              <w:bottom w:w="0" w:type="dxa"/>
              <w:right w:w="108" w:type="dxa"/>
            </w:tcMar>
            <w:hideMark/>
          </w:tcPr>
          <w:p w14:paraId="66C808FA" w14:textId="77777777" w:rsidR="00407EC9" w:rsidRPr="00EE75B4" w:rsidRDefault="00303228"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Sąnarių skausmas</w:t>
            </w:r>
          </w:p>
        </w:tc>
        <w:tc>
          <w:tcPr>
            <w:tcW w:w="0" w:type="auto"/>
            <w:vMerge/>
            <w:shd w:val="clear" w:color="auto" w:fill="FFFFFF"/>
            <w:vAlign w:val="center"/>
            <w:hideMark/>
          </w:tcPr>
          <w:p w14:paraId="230D3ECE"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71108BED" w14:textId="77777777" w:rsidTr="00DB5FDD">
        <w:trPr>
          <w:trHeight w:val="281"/>
        </w:trPr>
        <w:tc>
          <w:tcPr>
            <w:tcW w:w="9735" w:type="dxa"/>
            <w:shd w:val="clear" w:color="auto" w:fill="auto"/>
            <w:tcMar>
              <w:top w:w="0" w:type="dxa"/>
              <w:left w:w="108" w:type="dxa"/>
              <w:bottom w:w="0" w:type="dxa"/>
              <w:right w:w="108" w:type="dxa"/>
            </w:tcMar>
            <w:hideMark/>
          </w:tcPr>
          <w:p w14:paraId="03AFB99B" w14:textId="77777777" w:rsidR="00407EC9" w:rsidRPr="00EE75B4" w:rsidRDefault="00303228"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Raumenų spazmas</w:t>
            </w:r>
          </w:p>
        </w:tc>
        <w:tc>
          <w:tcPr>
            <w:tcW w:w="0" w:type="auto"/>
            <w:vMerge/>
            <w:shd w:val="clear" w:color="auto" w:fill="FFFFFF"/>
            <w:vAlign w:val="center"/>
            <w:hideMark/>
          </w:tcPr>
          <w:p w14:paraId="07700F88"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5E996D6A" w14:textId="77777777" w:rsidTr="00581BF7">
        <w:tc>
          <w:tcPr>
            <w:tcW w:w="12855" w:type="dxa"/>
            <w:gridSpan w:val="2"/>
            <w:shd w:val="clear" w:color="auto" w:fill="auto"/>
            <w:tcMar>
              <w:top w:w="0" w:type="dxa"/>
              <w:left w:w="108" w:type="dxa"/>
              <w:bottom w:w="0" w:type="dxa"/>
              <w:right w:w="108" w:type="dxa"/>
            </w:tcMar>
            <w:hideMark/>
          </w:tcPr>
          <w:p w14:paraId="22D4F3CB" w14:textId="77777777" w:rsidR="00407EC9" w:rsidRPr="00EE75B4" w:rsidRDefault="00303228" w:rsidP="00732BB8">
            <w:pPr>
              <w:pStyle w:val="Default"/>
              <w:rPr>
                <w:color w:val="auto"/>
                <w:lang w:val="lt-LT"/>
              </w:rPr>
            </w:pPr>
            <w:r w:rsidRPr="00EE75B4">
              <w:rPr>
                <w:b/>
                <w:bCs/>
                <w:i/>
                <w:iCs/>
                <w:color w:val="auto"/>
                <w:sz w:val="22"/>
                <w:szCs w:val="22"/>
                <w:lang w:val="lt-LT"/>
              </w:rPr>
              <w:t>Inkstų ir šlapimo takų sutrikimai</w:t>
            </w:r>
          </w:p>
        </w:tc>
      </w:tr>
      <w:tr w:rsidR="00151F06" w:rsidRPr="00EE75B4" w14:paraId="30A1D62E" w14:textId="77777777" w:rsidTr="00752171">
        <w:trPr>
          <w:trHeight w:val="280"/>
        </w:trPr>
        <w:tc>
          <w:tcPr>
            <w:tcW w:w="9735" w:type="dxa"/>
            <w:shd w:val="clear" w:color="auto" w:fill="auto"/>
            <w:tcMar>
              <w:top w:w="0" w:type="dxa"/>
              <w:left w:w="108" w:type="dxa"/>
              <w:bottom w:w="0" w:type="dxa"/>
              <w:right w:w="108" w:type="dxa"/>
            </w:tcMar>
            <w:hideMark/>
          </w:tcPr>
          <w:p w14:paraId="3F075DF7" w14:textId="77777777" w:rsidR="00407EC9" w:rsidRPr="00EE75B4" w:rsidRDefault="00303228" w:rsidP="00732BB8">
            <w:pPr>
              <w:pStyle w:val="Default"/>
              <w:rPr>
                <w:color w:val="auto"/>
                <w:lang w:val="lt-LT"/>
              </w:rPr>
            </w:pPr>
            <w:r w:rsidRPr="00EE75B4">
              <w:rPr>
                <w:color w:val="auto"/>
                <w:sz w:val="22"/>
                <w:szCs w:val="22"/>
                <w:lang w:val="lt-LT"/>
              </w:rPr>
              <w:t>Inkstų funkcijos sutrikimas</w:t>
            </w:r>
          </w:p>
        </w:tc>
        <w:tc>
          <w:tcPr>
            <w:tcW w:w="3120" w:type="dxa"/>
            <w:vMerge w:val="restart"/>
            <w:shd w:val="clear" w:color="auto" w:fill="auto"/>
            <w:tcMar>
              <w:top w:w="0" w:type="dxa"/>
              <w:left w:w="108" w:type="dxa"/>
              <w:bottom w:w="0" w:type="dxa"/>
              <w:right w:w="108" w:type="dxa"/>
            </w:tcMar>
            <w:hideMark/>
          </w:tcPr>
          <w:p w14:paraId="18AC9A22"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Dažni</w:t>
            </w:r>
          </w:p>
        </w:tc>
      </w:tr>
      <w:tr w:rsidR="00581BF7" w:rsidRPr="00EE75B4" w14:paraId="3B4162A4" w14:textId="77777777" w:rsidTr="00DB5FDD">
        <w:trPr>
          <w:trHeight w:val="280"/>
        </w:trPr>
        <w:tc>
          <w:tcPr>
            <w:tcW w:w="9735" w:type="dxa"/>
            <w:shd w:val="clear" w:color="auto" w:fill="auto"/>
            <w:tcMar>
              <w:top w:w="0" w:type="dxa"/>
              <w:left w:w="108" w:type="dxa"/>
              <w:bottom w:w="0" w:type="dxa"/>
              <w:right w:w="108" w:type="dxa"/>
            </w:tcMar>
            <w:hideMark/>
          </w:tcPr>
          <w:p w14:paraId="4BA275A8" w14:textId="77777777" w:rsidR="00407EC9" w:rsidRPr="00EE75B4" w:rsidRDefault="00303228" w:rsidP="00732BB8">
            <w:pPr>
              <w:pStyle w:val="Default"/>
              <w:rPr>
                <w:color w:val="auto"/>
                <w:lang w:val="lt-LT"/>
              </w:rPr>
            </w:pPr>
            <w:r w:rsidRPr="00EE75B4">
              <w:rPr>
                <w:color w:val="auto"/>
                <w:sz w:val="22"/>
                <w:szCs w:val="22"/>
                <w:lang w:val="lt-LT"/>
              </w:rPr>
              <w:t xml:space="preserve">Sumažėjęs inkstų </w:t>
            </w:r>
            <w:proofErr w:type="spellStart"/>
            <w:r w:rsidRPr="00EE75B4">
              <w:rPr>
                <w:color w:val="auto"/>
                <w:sz w:val="22"/>
                <w:szCs w:val="22"/>
                <w:lang w:val="lt-LT"/>
              </w:rPr>
              <w:t>kreatinino</w:t>
            </w:r>
            <w:proofErr w:type="spellEnd"/>
            <w:r w:rsidRPr="00EE75B4">
              <w:rPr>
                <w:color w:val="auto"/>
                <w:sz w:val="22"/>
                <w:szCs w:val="22"/>
                <w:lang w:val="lt-LT"/>
              </w:rPr>
              <w:t xml:space="preserve"> klirensas</w:t>
            </w:r>
          </w:p>
        </w:tc>
        <w:tc>
          <w:tcPr>
            <w:tcW w:w="0" w:type="auto"/>
            <w:vMerge/>
            <w:shd w:val="clear" w:color="auto" w:fill="FFFFFF"/>
            <w:vAlign w:val="center"/>
            <w:hideMark/>
          </w:tcPr>
          <w:p w14:paraId="32888ACB"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2656C426" w14:textId="77777777" w:rsidTr="00DB5FDD">
        <w:trPr>
          <w:trHeight w:val="280"/>
        </w:trPr>
        <w:tc>
          <w:tcPr>
            <w:tcW w:w="9735" w:type="dxa"/>
            <w:shd w:val="clear" w:color="auto" w:fill="auto"/>
            <w:tcMar>
              <w:top w:w="0" w:type="dxa"/>
              <w:left w:w="108" w:type="dxa"/>
              <w:bottom w:w="0" w:type="dxa"/>
              <w:right w:w="108" w:type="dxa"/>
            </w:tcMar>
            <w:hideMark/>
          </w:tcPr>
          <w:p w14:paraId="5671FFB3" w14:textId="77777777" w:rsidR="00407EC9" w:rsidRPr="00EE75B4" w:rsidRDefault="00303228" w:rsidP="00732BB8">
            <w:pPr>
              <w:pStyle w:val="Default"/>
              <w:rPr>
                <w:color w:val="auto"/>
                <w:lang w:val="lt-LT"/>
              </w:rPr>
            </w:pPr>
            <w:r w:rsidRPr="00EE75B4">
              <w:rPr>
                <w:color w:val="auto"/>
                <w:sz w:val="22"/>
                <w:szCs w:val="22"/>
                <w:lang w:val="lt-LT"/>
              </w:rPr>
              <w:t xml:space="preserve">Padidėjusi </w:t>
            </w:r>
            <w:proofErr w:type="spellStart"/>
            <w:r w:rsidRPr="00EE75B4">
              <w:rPr>
                <w:color w:val="auto"/>
                <w:sz w:val="22"/>
                <w:szCs w:val="22"/>
                <w:lang w:val="lt-LT"/>
              </w:rPr>
              <w:t>kreatinino</w:t>
            </w:r>
            <w:proofErr w:type="spellEnd"/>
            <w:r w:rsidRPr="00EE75B4">
              <w:rPr>
                <w:color w:val="auto"/>
                <w:sz w:val="22"/>
                <w:szCs w:val="22"/>
                <w:lang w:val="lt-LT"/>
              </w:rPr>
              <w:t xml:space="preserve"> koncentracija kraujyje</w:t>
            </w:r>
          </w:p>
        </w:tc>
        <w:tc>
          <w:tcPr>
            <w:tcW w:w="0" w:type="auto"/>
            <w:vMerge/>
            <w:shd w:val="clear" w:color="auto" w:fill="FFFFFF"/>
            <w:vAlign w:val="center"/>
            <w:hideMark/>
          </w:tcPr>
          <w:p w14:paraId="6E6B52DC"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151F06" w:rsidRPr="00EE75B4" w14:paraId="13814F7C" w14:textId="77777777" w:rsidTr="00752171">
        <w:trPr>
          <w:trHeight w:val="278"/>
        </w:trPr>
        <w:tc>
          <w:tcPr>
            <w:tcW w:w="9735" w:type="dxa"/>
            <w:shd w:val="clear" w:color="auto" w:fill="auto"/>
            <w:tcMar>
              <w:top w:w="0" w:type="dxa"/>
              <w:left w:w="108" w:type="dxa"/>
              <w:bottom w:w="0" w:type="dxa"/>
              <w:right w:w="108" w:type="dxa"/>
            </w:tcMar>
            <w:hideMark/>
          </w:tcPr>
          <w:p w14:paraId="69AFB3F4" w14:textId="77777777" w:rsidR="00407EC9" w:rsidRPr="00EE75B4" w:rsidRDefault="00303228" w:rsidP="00732BB8">
            <w:pPr>
              <w:pStyle w:val="Default"/>
              <w:rPr>
                <w:color w:val="auto"/>
                <w:lang w:val="lt-LT"/>
              </w:rPr>
            </w:pPr>
            <w:r w:rsidRPr="00EE75B4">
              <w:rPr>
                <w:color w:val="auto"/>
                <w:sz w:val="22"/>
                <w:szCs w:val="22"/>
                <w:lang w:val="lt-LT"/>
              </w:rPr>
              <w:t>Inkstų veiklos nepakankamumas</w:t>
            </w:r>
          </w:p>
        </w:tc>
        <w:tc>
          <w:tcPr>
            <w:tcW w:w="3120" w:type="dxa"/>
            <w:vMerge w:val="restart"/>
            <w:shd w:val="clear" w:color="auto" w:fill="auto"/>
            <w:tcMar>
              <w:top w:w="0" w:type="dxa"/>
              <w:left w:w="108" w:type="dxa"/>
              <w:bottom w:w="0" w:type="dxa"/>
              <w:right w:w="108" w:type="dxa"/>
            </w:tcMar>
            <w:hideMark/>
          </w:tcPr>
          <w:p w14:paraId="149782CB"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Nedažni</w:t>
            </w:r>
          </w:p>
        </w:tc>
      </w:tr>
      <w:tr w:rsidR="00581BF7" w:rsidRPr="00EE75B4" w14:paraId="4EA2C75A" w14:textId="77777777" w:rsidTr="00DB5FDD">
        <w:trPr>
          <w:trHeight w:val="278"/>
        </w:trPr>
        <w:tc>
          <w:tcPr>
            <w:tcW w:w="9735" w:type="dxa"/>
            <w:shd w:val="clear" w:color="auto" w:fill="auto"/>
            <w:tcMar>
              <w:top w:w="0" w:type="dxa"/>
              <w:left w:w="108" w:type="dxa"/>
              <w:bottom w:w="0" w:type="dxa"/>
              <w:right w:w="108" w:type="dxa"/>
            </w:tcMar>
            <w:hideMark/>
          </w:tcPr>
          <w:p w14:paraId="62D30230" w14:textId="77777777" w:rsidR="00407EC9" w:rsidRPr="00EE75B4" w:rsidRDefault="00303228" w:rsidP="00DB5FDD">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H</w:t>
            </w:r>
            <w:r w:rsidR="00407EC9" w:rsidRPr="00EE75B4">
              <w:rPr>
                <w:rFonts w:ascii="Times New Roman" w:hAnsi="Times New Roman"/>
                <w:lang w:val="lt-LT"/>
              </w:rPr>
              <w:t>ematuri</w:t>
            </w:r>
            <w:r w:rsidRPr="00EE75B4">
              <w:rPr>
                <w:rFonts w:ascii="Times New Roman" w:hAnsi="Times New Roman"/>
                <w:lang w:val="lt-LT"/>
              </w:rPr>
              <w:t>j</w:t>
            </w:r>
            <w:r w:rsidR="00407EC9" w:rsidRPr="00EE75B4">
              <w:rPr>
                <w:rFonts w:ascii="Times New Roman" w:hAnsi="Times New Roman"/>
                <w:lang w:val="lt-LT"/>
              </w:rPr>
              <w:t>a</w:t>
            </w:r>
            <w:proofErr w:type="spellEnd"/>
          </w:p>
        </w:tc>
        <w:tc>
          <w:tcPr>
            <w:tcW w:w="0" w:type="auto"/>
            <w:vMerge/>
            <w:shd w:val="clear" w:color="auto" w:fill="FFFFFF"/>
            <w:vAlign w:val="center"/>
            <w:hideMark/>
          </w:tcPr>
          <w:p w14:paraId="5407E9D7"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437170F0" w14:textId="77777777" w:rsidTr="00581BF7">
        <w:tc>
          <w:tcPr>
            <w:tcW w:w="12855" w:type="dxa"/>
            <w:gridSpan w:val="2"/>
            <w:shd w:val="clear" w:color="auto" w:fill="auto"/>
            <w:tcMar>
              <w:top w:w="0" w:type="dxa"/>
              <w:left w:w="108" w:type="dxa"/>
              <w:bottom w:w="0" w:type="dxa"/>
              <w:right w:w="108" w:type="dxa"/>
            </w:tcMar>
            <w:hideMark/>
          </w:tcPr>
          <w:p w14:paraId="55C6B743" w14:textId="77777777" w:rsidR="00407EC9" w:rsidRPr="00EE75B4" w:rsidRDefault="00303228" w:rsidP="00732BB8">
            <w:pPr>
              <w:pStyle w:val="Default"/>
              <w:rPr>
                <w:color w:val="auto"/>
                <w:lang w:val="lt-LT"/>
              </w:rPr>
            </w:pPr>
            <w:r w:rsidRPr="00EE75B4">
              <w:rPr>
                <w:b/>
                <w:bCs/>
                <w:i/>
                <w:iCs/>
                <w:color w:val="auto"/>
                <w:sz w:val="22"/>
                <w:szCs w:val="22"/>
                <w:lang w:val="lt-LT"/>
              </w:rPr>
              <w:t>Lytinės sistemos ir krūties sutrikimai</w:t>
            </w:r>
          </w:p>
        </w:tc>
      </w:tr>
      <w:tr w:rsidR="00151F06" w:rsidRPr="00EE75B4" w14:paraId="625047B4" w14:textId="77777777" w:rsidTr="00752171">
        <w:trPr>
          <w:trHeight w:val="320"/>
        </w:trPr>
        <w:tc>
          <w:tcPr>
            <w:tcW w:w="9735" w:type="dxa"/>
            <w:shd w:val="clear" w:color="auto" w:fill="auto"/>
            <w:tcMar>
              <w:top w:w="0" w:type="dxa"/>
              <w:left w:w="108" w:type="dxa"/>
              <w:bottom w:w="0" w:type="dxa"/>
              <w:right w:w="108" w:type="dxa"/>
            </w:tcMar>
            <w:hideMark/>
          </w:tcPr>
          <w:p w14:paraId="72067ABB" w14:textId="77777777" w:rsidR="00407EC9" w:rsidRPr="00EE75B4" w:rsidRDefault="00303228" w:rsidP="00732BB8">
            <w:pPr>
              <w:pStyle w:val="Default"/>
              <w:rPr>
                <w:color w:val="auto"/>
                <w:lang w:val="lt-LT"/>
              </w:rPr>
            </w:pPr>
            <w:r w:rsidRPr="00EE75B4">
              <w:rPr>
                <w:color w:val="auto"/>
                <w:sz w:val="22"/>
                <w:szCs w:val="22"/>
                <w:lang w:val="lt-LT"/>
              </w:rPr>
              <w:t>Vyrų nevaisingumas</w:t>
            </w:r>
          </w:p>
        </w:tc>
        <w:tc>
          <w:tcPr>
            <w:tcW w:w="3120" w:type="dxa"/>
            <w:shd w:val="clear" w:color="auto" w:fill="auto"/>
            <w:tcMar>
              <w:top w:w="0" w:type="dxa"/>
              <w:left w:w="108" w:type="dxa"/>
              <w:bottom w:w="0" w:type="dxa"/>
              <w:right w:w="108" w:type="dxa"/>
            </w:tcMar>
            <w:hideMark/>
          </w:tcPr>
          <w:p w14:paraId="7D9F4613"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Nedažni</w:t>
            </w:r>
          </w:p>
        </w:tc>
      </w:tr>
      <w:tr w:rsidR="00581BF7" w:rsidRPr="00EE75B4" w14:paraId="51B67F11" w14:textId="77777777" w:rsidTr="00581BF7">
        <w:tc>
          <w:tcPr>
            <w:tcW w:w="12855" w:type="dxa"/>
            <w:gridSpan w:val="2"/>
            <w:shd w:val="clear" w:color="auto" w:fill="auto"/>
            <w:tcMar>
              <w:top w:w="0" w:type="dxa"/>
              <w:left w:w="108" w:type="dxa"/>
              <w:bottom w:w="0" w:type="dxa"/>
              <w:right w:w="108" w:type="dxa"/>
            </w:tcMar>
            <w:hideMark/>
          </w:tcPr>
          <w:p w14:paraId="3CDBA785" w14:textId="77777777" w:rsidR="00407EC9" w:rsidRPr="00EE75B4" w:rsidRDefault="00303228" w:rsidP="00732BB8">
            <w:pPr>
              <w:pStyle w:val="Default"/>
              <w:rPr>
                <w:color w:val="auto"/>
                <w:lang w:val="lt-LT"/>
              </w:rPr>
            </w:pPr>
            <w:r w:rsidRPr="00EE75B4">
              <w:rPr>
                <w:b/>
                <w:bCs/>
                <w:i/>
                <w:iCs/>
                <w:color w:val="auto"/>
                <w:sz w:val="22"/>
                <w:szCs w:val="22"/>
                <w:lang w:val="lt-LT"/>
              </w:rPr>
              <w:t>Bendrieji sutrikimai ir vartojimo vietos pažeidimai</w:t>
            </w:r>
          </w:p>
        </w:tc>
      </w:tr>
      <w:tr w:rsidR="00151F06" w:rsidRPr="00EE75B4" w14:paraId="4F128B9F" w14:textId="77777777" w:rsidTr="00752171">
        <w:trPr>
          <w:trHeight w:val="282"/>
        </w:trPr>
        <w:tc>
          <w:tcPr>
            <w:tcW w:w="9735" w:type="dxa"/>
            <w:shd w:val="clear" w:color="auto" w:fill="auto"/>
            <w:tcMar>
              <w:top w:w="0" w:type="dxa"/>
              <w:left w:w="108" w:type="dxa"/>
              <w:bottom w:w="0" w:type="dxa"/>
              <w:right w:w="108" w:type="dxa"/>
            </w:tcMar>
            <w:hideMark/>
          </w:tcPr>
          <w:p w14:paraId="6135A2A3" w14:textId="77777777" w:rsidR="00407EC9" w:rsidRPr="00EE75B4" w:rsidRDefault="00303228" w:rsidP="00732BB8">
            <w:pPr>
              <w:pStyle w:val="Default"/>
              <w:rPr>
                <w:color w:val="auto"/>
                <w:lang w:val="lt-LT"/>
              </w:rPr>
            </w:pPr>
            <w:r w:rsidRPr="00EE75B4">
              <w:rPr>
                <w:color w:val="auto"/>
                <w:sz w:val="22"/>
                <w:szCs w:val="22"/>
                <w:lang w:val="lt-LT"/>
              </w:rPr>
              <w:t>Karščiavimas</w:t>
            </w:r>
          </w:p>
        </w:tc>
        <w:tc>
          <w:tcPr>
            <w:tcW w:w="3120" w:type="dxa"/>
            <w:vMerge w:val="restart"/>
            <w:shd w:val="clear" w:color="auto" w:fill="auto"/>
            <w:tcMar>
              <w:top w:w="0" w:type="dxa"/>
              <w:left w:w="108" w:type="dxa"/>
              <w:bottom w:w="0" w:type="dxa"/>
              <w:right w:w="108" w:type="dxa"/>
            </w:tcMar>
            <w:hideMark/>
          </w:tcPr>
          <w:p w14:paraId="61AD43E5" w14:textId="77777777" w:rsidR="00407EC9" w:rsidRPr="00EE75B4" w:rsidRDefault="00407EC9"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Labai dažni</w:t>
            </w:r>
          </w:p>
        </w:tc>
      </w:tr>
      <w:tr w:rsidR="00581BF7" w:rsidRPr="00EE75B4" w14:paraId="09E01FB7" w14:textId="77777777" w:rsidTr="00DB5FDD">
        <w:trPr>
          <w:trHeight w:val="282"/>
        </w:trPr>
        <w:tc>
          <w:tcPr>
            <w:tcW w:w="9735" w:type="dxa"/>
            <w:shd w:val="clear" w:color="auto" w:fill="auto"/>
            <w:tcMar>
              <w:top w:w="0" w:type="dxa"/>
              <w:left w:w="108" w:type="dxa"/>
              <w:bottom w:w="0" w:type="dxa"/>
              <w:right w:w="108" w:type="dxa"/>
            </w:tcMar>
            <w:hideMark/>
          </w:tcPr>
          <w:p w14:paraId="15832E07" w14:textId="77777777" w:rsidR="00407EC9" w:rsidRPr="00EE75B4" w:rsidRDefault="00303228"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Nuovargis</w:t>
            </w:r>
          </w:p>
        </w:tc>
        <w:tc>
          <w:tcPr>
            <w:tcW w:w="0" w:type="auto"/>
            <w:vMerge/>
            <w:shd w:val="clear" w:color="auto" w:fill="FFFFFF"/>
            <w:vAlign w:val="center"/>
            <w:hideMark/>
          </w:tcPr>
          <w:p w14:paraId="64897F28"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151F06" w:rsidRPr="00EE75B4" w14:paraId="66D04EF2" w14:textId="77777777" w:rsidTr="00752171">
        <w:trPr>
          <w:trHeight w:val="279"/>
        </w:trPr>
        <w:tc>
          <w:tcPr>
            <w:tcW w:w="9735" w:type="dxa"/>
            <w:shd w:val="clear" w:color="auto" w:fill="auto"/>
            <w:tcMar>
              <w:top w:w="0" w:type="dxa"/>
              <w:left w:w="108" w:type="dxa"/>
              <w:bottom w:w="0" w:type="dxa"/>
              <w:right w:w="108" w:type="dxa"/>
            </w:tcMar>
            <w:hideMark/>
          </w:tcPr>
          <w:p w14:paraId="762D5E75" w14:textId="77777777" w:rsidR="00407EC9" w:rsidRPr="00EE75B4" w:rsidRDefault="00303228"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Skausmas</w:t>
            </w:r>
          </w:p>
        </w:tc>
        <w:tc>
          <w:tcPr>
            <w:tcW w:w="3120" w:type="dxa"/>
            <w:vMerge w:val="restart"/>
            <w:shd w:val="clear" w:color="auto" w:fill="auto"/>
            <w:tcMar>
              <w:top w:w="0" w:type="dxa"/>
              <w:left w:w="108" w:type="dxa"/>
              <w:bottom w:w="0" w:type="dxa"/>
              <w:right w:w="108" w:type="dxa"/>
            </w:tcMar>
            <w:hideMark/>
          </w:tcPr>
          <w:p w14:paraId="458DAA6F"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Dažni</w:t>
            </w:r>
          </w:p>
        </w:tc>
      </w:tr>
      <w:tr w:rsidR="00581BF7" w:rsidRPr="00EE75B4" w14:paraId="20336FD8" w14:textId="77777777" w:rsidTr="00DB5FDD">
        <w:trPr>
          <w:trHeight w:val="279"/>
        </w:trPr>
        <w:tc>
          <w:tcPr>
            <w:tcW w:w="9735" w:type="dxa"/>
            <w:shd w:val="clear" w:color="auto" w:fill="auto"/>
            <w:tcMar>
              <w:top w:w="0" w:type="dxa"/>
              <w:left w:w="108" w:type="dxa"/>
              <w:bottom w:w="0" w:type="dxa"/>
              <w:right w:w="108" w:type="dxa"/>
            </w:tcMar>
            <w:hideMark/>
          </w:tcPr>
          <w:p w14:paraId="607185F6" w14:textId="77777777" w:rsidR="00407EC9" w:rsidRPr="00EE75B4" w:rsidRDefault="00303228" w:rsidP="00DB5FDD">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Šaltkrėtis</w:t>
            </w:r>
            <w:proofErr w:type="spellEnd"/>
          </w:p>
        </w:tc>
        <w:tc>
          <w:tcPr>
            <w:tcW w:w="0" w:type="auto"/>
            <w:vMerge/>
            <w:shd w:val="clear" w:color="auto" w:fill="FFFFFF"/>
            <w:vAlign w:val="center"/>
            <w:hideMark/>
          </w:tcPr>
          <w:p w14:paraId="7E2D055B"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5EA55D18" w14:textId="77777777" w:rsidTr="00DB5FDD">
        <w:trPr>
          <w:trHeight w:val="279"/>
        </w:trPr>
        <w:tc>
          <w:tcPr>
            <w:tcW w:w="9735" w:type="dxa"/>
            <w:shd w:val="clear" w:color="auto" w:fill="auto"/>
            <w:tcMar>
              <w:top w:w="0" w:type="dxa"/>
              <w:left w:w="108" w:type="dxa"/>
              <w:bottom w:w="0" w:type="dxa"/>
              <w:right w:w="108" w:type="dxa"/>
            </w:tcMar>
            <w:hideMark/>
          </w:tcPr>
          <w:p w14:paraId="705667A4" w14:textId="77777777" w:rsidR="00407EC9" w:rsidRPr="00EE75B4" w:rsidRDefault="00303228"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Negalavimas</w:t>
            </w:r>
          </w:p>
        </w:tc>
        <w:tc>
          <w:tcPr>
            <w:tcW w:w="0" w:type="auto"/>
            <w:vMerge/>
            <w:shd w:val="clear" w:color="auto" w:fill="FFFFFF"/>
            <w:vAlign w:val="center"/>
            <w:hideMark/>
          </w:tcPr>
          <w:p w14:paraId="3DD2E4EE"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581BF7" w:rsidRPr="00EE75B4" w14:paraId="12EF2A16" w14:textId="77777777" w:rsidTr="00DB5FDD">
        <w:trPr>
          <w:trHeight w:val="279"/>
        </w:trPr>
        <w:tc>
          <w:tcPr>
            <w:tcW w:w="9735" w:type="dxa"/>
            <w:shd w:val="clear" w:color="auto" w:fill="auto"/>
            <w:tcMar>
              <w:top w:w="0" w:type="dxa"/>
              <w:left w:w="108" w:type="dxa"/>
              <w:bottom w:w="0" w:type="dxa"/>
              <w:right w:w="108" w:type="dxa"/>
            </w:tcMar>
            <w:hideMark/>
          </w:tcPr>
          <w:p w14:paraId="08F14B5F" w14:textId="77777777" w:rsidR="00407EC9" w:rsidRPr="00EE75B4" w:rsidRDefault="00407EC9" w:rsidP="00303228">
            <w:pPr>
              <w:autoSpaceDE w:val="0"/>
              <w:autoSpaceDN w:val="0"/>
              <w:adjustRightInd w:val="0"/>
              <w:spacing w:after="0" w:line="240" w:lineRule="auto"/>
              <w:rPr>
                <w:rFonts w:ascii="Times New Roman" w:hAnsi="Times New Roman"/>
                <w:lang w:val="lt-LT"/>
              </w:rPr>
            </w:pPr>
            <w:proofErr w:type="spellStart"/>
            <w:r w:rsidRPr="00EE75B4">
              <w:rPr>
                <w:rFonts w:ascii="Times New Roman" w:hAnsi="Times New Roman"/>
                <w:lang w:val="lt-LT"/>
              </w:rPr>
              <w:t>Asteni</w:t>
            </w:r>
            <w:r w:rsidR="00303228" w:rsidRPr="00EE75B4">
              <w:rPr>
                <w:rFonts w:ascii="Times New Roman" w:hAnsi="Times New Roman"/>
                <w:lang w:val="lt-LT"/>
              </w:rPr>
              <w:t>j</w:t>
            </w:r>
            <w:r w:rsidRPr="00EE75B4">
              <w:rPr>
                <w:rFonts w:ascii="Times New Roman" w:hAnsi="Times New Roman"/>
                <w:lang w:val="lt-LT"/>
              </w:rPr>
              <w:t>a</w:t>
            </w:r>
            <w:proofErr w:type="spellEnd"/>
          </w:p>
        </w:tc>
        <w:tc>
          <w:tcPr>
            <w:tcW w:w="0" w:type="auto"/>
            <w:vMerge/>
            <w:shd w:val="clear" w:color="auto" w:fill="FFFFFF"/>
            <w:vAlign w:val="center"/>
            <w:hideMark/>
          </w:tcPr>
          <w:p w14:paraId="2BE53356" w14:textId="77777777" w:rsidR="00407EC9" w:rsidRPr="00EE75B4" w:rsidRDefault="00407EC9" w:rsidP="00DB5FDD">
            <w:pPr>
              <w:autoSpaceDE w:val="0"/>
              <w:autoSpaceDN w:val="0"/>
              <w:adjustRightInd w:val="0"/>
              <w:spacing w:after="0" w:line="240" w:lineRule="auto"/>
              <w:rPr>
                <w:rFonts w:ascii="Times New Roman" w:hAnsi="Times New Roman"/>
                <w:lang w:val="lt-LT"/>
              </w:rPr>
            </w:pPr>
          </w:p>
        </w:tc>
      </w:tr>
      <w:tr w:rsidR="00151F06" w:rsidRPr="00EE75B4" w14:paraId="42E841CD" w14:textId="77777777" w:rsidTr="00752171">
        <w:trPr>
          <w:trHeight w:val="279"/>
        </w:trPr>
        <w:tc>
          <w:tcPr>
            <w:tcW w:w="9735" w:type="dxa"/>
            <w:shd w:val="clear" w:color="auto" w:fill="auto"/>
            <w:tcMar>
              <w:top w:w="0" w:type="dxa"/>
              <w:left w:w="108" w:type="dxa"/>
              <w:bottom w:w="0" w:type="dxa"/>
              <w:right w:w="108" w:type="dxa"/>
            </w:tcMar>
            <w:hideMark/>
          </w:tcPr>
          <w:p w14:paraId="7C2E382C" w14:textId="77777777" w:rsidR="00407EC9" w:rsidRPr="00EE75B4" w:rsidRDefault="00303228" w:rsidP="00303228">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Krūtinės skausmas</w:t>
            </w:r>
          </w:p>
        </w:tc>
        <w:tc>
          <w:tcPr>
            <w:tcW w:w="3120" w:type="dxa"/>
            <w:shd w:val="clear" w:color="auto" w:fill="auto"/>
            <w:tcMar>
              <w:top w:w="0" w:type="dxa"/>
              <w:left w:w="108" w:type="dxa"/>
              <w:bottom w:w="0" w:type="dxa"/>
              <w:right w:w="108" w:type="dxa"/>
            </w:tcMar>
            <w:hideMark/>
          </w:tcPr>
          <w:p w14:paraId="142DFA4E" w14:textId="77777777" w:rsidR="00407EC9" w:rsidRPr="00EE75B4" w:rsidRDefault="00C0577A" w:rsidP="00DB5FDD">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Nedažni</w:t>
            </w:r>
          </w:p>
        </w:tc>
      </w:tr>
    </w:tbl>
    <w:p w14:paraId="6331298A" w14:textId="77777777" w:rsidR="00407EC9" w:rsidRPr="00EE75B4" w:rsidRDefault="00407EC9" w:rsidP="00407EC9">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 </w:t>
      </w:r>
    </w:p>
    <w:p w14:paraId="70138BB1" w14:textId="77777777" w:rsidR="00407EC9" w:rsidRPr="00EE75B4" w:rsidRDefault="00407EC9" w:rsidP="00407EC9">
      <w:pPr>
        <w:autoSpaceDE w:val="0"/>
        <w:autoSpaceDN w:val="0"/>
        <w:adjustRightInd w:val="0"/>
        <w:spacing w:after="0" w:line="240" w:lineRule="auto"/>
        <w:rPr>
          <w:rFonts w:ascii="Times New Roman" w:hAnsi="Times New Roman"/>
          <w:lang w:val="lt-LT"/>
        </w:rPr>
      </w:pPr>
    </w:p>
    <w:p w14:paraId="38E2E91B" w14:textId="77777777" w:rsidR="00407EC9" w:rsidRPr="00EE75B4" w:rsidRDefault="00407EC9" w:rsidP="00407EC9">
      <w:pPr>
        <w:shd w:val="clear" w:color="auto" w:fill="FFFFFF"/>
        <w:spacing w:after="0" w:line="240" w:lineRule="auto"/>
        <w:rPr>
          <w:rFonts w:ascii="Helvetica" w:hAnsi="Helvetica" w:cs="Helvetica"/>
          <w:lang w:val="lt-LT"/>
        </w:rPr>
      </w:pPr>
      <w:r w:rsidRPr="00EE75B4">
        <w:rPr>
          <w:rFonts w:ascii="Times New Roman" w:hAnsi="Times New Roman"/>
          <w:i/>
          <w:iCs/>
          <w:lang w:val="lt-LT"/>
        </w:rPr>
        <w:t>*</w:t>
      </w:r>
      <w:r w:rsidR="00CF696C" w:rsidRPr="00EE75B4">
        <w:rPr>
          <w:rFonts w:ascii="Times New Roman" w:hAnsi="Times New Roman"/>
          <w:i/>
          <w:iCs/>
          <w:lang w:val="lt-LT"/>
        </w:rPr>
        <w:t>Šių nepageidaujamų reakcijų dažnis yra nustatytas vaistą vartojant jam jau esant rinkoje, o visos kitos dažnių kategorijos yra paremtos klinikinių tyrimų metu nustatytu dažniu</w:t>
      </w:r>
    </w:p>
    <w:p w14:paraId="7415888C" w14:textId="410089FB" w:rsidR="00407EC9" w:rsidRPr="00EE75B4" w:rsidRDefault="00407EC9" w:rsidP="00407EC9">
      <w:pPr>
        <w:shd w:val="clear" w:color="auto" w:fill="FFFFFF"/>
        <w:spacing w:after="0" w:line="240" w:lineRule="auto"/>
        <w:rPr>
          <w:rFonts w:ascii="Helvetica" w:hAnsi="Helvetica" w:cs="Helvetica"/>
          <w:lang w:val="lt-LT"/>
        </w:rPr>
      </w:pPr>
      <w:r w:rsidRPr="00EE75B4">
        <w:rPr>
          <w:rFonts w:ascii="Times New Roman" w:hAnsi="Times New Roman"/>
          <w:i/>
          <w:iCs/>
          <w:lang w:val="lt-LT"/>
        </w:rPr>
        <w:t>**</w:t>
      </w:r>
      <w:r w:rsidR="00CF696C" w:rsidRPr="00EE75B4">
        <w:rPr>
          <w:i/>
          <w:iCs/>
          <w:lang w:val="lt-LT"/>
        </w:rPr>
        <w:t xml:space="preserve"> </w:t>
      </w:r>
      <w:r w:rsidR="00CF696C" w:rsidRPr="00EE75B4">
        <w:rPr>
          <w:rFonts w:ascii="Times New Roman" w:hAnsi="Times New Roman"/>
          <w:i/>
          <w:iCs/>
          <w:lang w:val="lt-LT"/>
        </w:rPr>
        <w:t xml:space="preserve">tinklainės atšoka buvo pastebėta tik </w:t>
      </w:r>
      <w:r w:rsidR="008D501E" w:rsidRPr="00EE75B4">
        <w:rPr>
          <w:rFonts w:ascii="Times New Roman" w:hAnsi="Times New Roman"/>
          <w:i/>
          <w:iCs/>
          <w:lang w:val="lt-LT"/>
        </w:rPr>
        <w:t>ŽIV</w:t>
      </w:r>
      <w:r w:rsidR="00CF696C" w:rsidRPr="00EE75B4">
        <w:rPr>
          <w:rFonts w:ascii="Times New Roman" w:hAnsi="Times New Roman"/>
          <w:i/>
          <w:iCs/>
          <w:lang w:val="lt-LT"/>
        </w:rPr>
        <w:t xml:space="preserve"> sirgusiems ir nuo CMV sukelto </w:t>
      </w:r>
      <w:proofErr w:type="spellStart"/>
      <w:r w:rsidR="00CF696C" w:rsidRPr="00EE75B4">
        <w:rPr>
          <w:rFonts w:ascii="Times New Roman" w:hAnsi="Times New Roman"/>
          <w:i/>
          <w:iCs/>
          <w:lang w:val="lt-LT"/>
        </w:rPr>
        <w:t>retinito</w:t>
      </w:r>
      <w:proofErr w:type="spellEnd"/>
      <w:r w:rsidR="00CF696C" w:rsidRPr="00EE75B4">
        <w:rPr>
          <w:rFonts w:ascii="Times New Roman" w:hAnsi="Times New Roman"/>
          <w:i/>
          <w:iCs/>
          <w:lang w:val="lt-LT"/>
        </w:rPr>
        <w:t xml:space="preserve"> gydytiems pacientams</w:t>
      </w:r>
    </w:p>
    <w:p w14:paraId="79245798" w14:textId="77777777" w:rsidR="00407EC9" w:rsidRPr="00EE75B4" w:rsidRDefault="00407EC9" w:rsidP="00407EC9">
      <w:pPr>
        <w:shd w:val="clear" w:color="auto" w:fill="FFFFFF"/>
        <w:spacing w:after="0" w:line="240" w:lineRule="auto"/>
        <w:rPr>
          <w:rFonts w:ascii="Helvetica" w:hAnsi="Helvetica" w:cs="Helvetica"/>
          <w:lang w:val="lt-LT"/>
        </w:rPr>
      </w:pPr>
      <w:r w:rsidRPr="00EE75B4">
        <w:rPr>
          <w:rFonts w:ascii="Times New Roman" w:hAnsi="Times New Roman"/>
          <w:lang w:val="lt-LT"/>
        </w:rPr>
        <w:t> </w:t>
      </w:r>
    </w:p>
    <w:p w14:paraId="0241626D" w14:textId="77777777" w:rsidR="00407EC9" w:rsidRPr="00EE75B4" w:rsidRDefault="00CF696C" w:rsidP="00407EC9">
      <w:pPr>
        <w:shd w:val="clear" w:color="auto" w:fill="FFFFFF"/>
        <w:spacing w:after="0" w:line="240" w:lineRule="auto"/>
        <w:rPr>
          <w:rFonts w:ascii="Helvetica" w:hAnsi="Helvetica" w:cs="Helvetica"/>
          <w:lang w:val="lt-LT"/>
        </w:rPr>
      </w:pPr>
      <w:r w:rsidRPr="00EE75B4">
        <w:rPr>
          <w:rFonts w:ascii="Times New Roman" w:hAnsi="Times New Roman"/>
          <w:b/>
          <w:bCs/>
          <w:i/>
          <w:iCs/>
          <w:lang w:val="lt-LT"/>
        </w:rPr>
        <w:t>Atrinktų nepageidaujamų reakcijų aprašymas</w:t>
      </w:r>
    </w:p>
    <w:p w14:paraId="21699AFC" w14:textId="77777777" w:rsidR="00407EC9" w:rsidRPr="00EE75B4" w:rsidRDefault="00407EC9" w:rsidP="00407EC9">
      <w:pPr>
        <w:shd w:val="clear" w:color="auto" w:fill="FFFFFF"/>
        <w:spacing w:after="0" w:line="240" w:lineRule="auto"/>
        <w:rPr>
          <w:rFonts w:ascii="Helvetica" w:hAnsi="Helvetica" w:cs="Helvetica"/>
          <w:lang w:val="lt-LT"/>
        </w:rPr>
      </w:pPr>
      <w:r w:rsidRPr="00EE75B4">
        <w:rPr>
          <w:rFonts w:ascii="Times New Roman" w:hAnsi="Times New Roman"/>
          <w:i/>
          <w:iCs/>
          <w:lang w:val="lt-LT"/>
        </w:rPr>
        <w:t> </w:t>
      </w:r>
    </w:p>
    <w:p w14:paraId="6B6B6F8B" w14:textId="77777777" w:rsidR="00407EC9" w:rsidRPr="00EE75B4" w:rsidRDefault="00407EC9" w:rsidP="00407EC9">
      <w:pPr>
        <w:shd w:val="clear" w:color="auto" w:fill="FFFFFF"/>
        <w:spacing w:after="0" w:line="240" w:lineRule="auto"/>
        <w:rPr>
          <w:rFonts w:ascii="Helvetica" w:hAnsi="Helvetica" w:cs="Helvetica"/>
          <w:lang w:val="lt-LT"/>
        </w:rPr>
      </w:pPr>
      <w:proofErr w:type="spellStart"/>
      <w:r w:rsidRPr="00EE75B4">
        <w:rPr>
          <w:rFonts w:ascii="Times New Roman" w:hAnsi="Times New Roman"/>
          <w:i/>
          <w:iCs/>
          <w:lang w:val="lt-LT"/>
        </w:rPr>
        <w:t>Neutropeni</w:t>
      </w:r>
      <w:r w:rsidR="00CF696C" w:rsidRPr="00EE75B4">
        <w:rPr>
          <w:rFonts w:ascii="Times New Roman" w:hAnsi="Times New Roman"/>
          <w:i/>
          <w:iCs/>
          <w:lang w:val="lt-LT"/>
        </w:rPr>
        <w:t>j</w:t>
      </w:r>
      <w:r w:rsidRPr="00EE75B4">
        <w:rPr>
          <w:rFonts w:ascii="Times New Roman" w:hAnsi="Times New Roman"/>
          <w:i/>
          <w:iCs/>
          <w:lang w:val="lt-LT"/>
        </w:rPr>
        <w:t>a</w:t>
      </w:r>
      <w:proofErr w:type="spellEnd"/>
    </w:p>
    <w:p w14:paraId="13A3089B" w14:textId="77777777" w:rsidR="00407EC9" w:rsidRPr="00EE75B4" w:rsidRDefault="00CF696C" w:rsidP="00732BB8">
      <w:pPr>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 xml:space="preserve">Pagal prieš pradedant gydymą nustatytą </w:t>
      </w:r>
      <w:proofErr w:type="spellStart"/>
      <w:r w:rsidRPr="00EE75B4">
        <w:rPr>
          <w:rFonts w:ascii="Times New Roman" w:eastAsia="Times New Roman" w:hAnsi="Times New Roman"/>
          <w:lang w:val="lt-LT" w:eastAsia="ja-JP"/>
        </w:rPr>
        <w:t>neutrofilų</w:t>
      </w:r>
      <w:proofErr w:type="spellEnd"/>
      <w:r w:rsidRPr="00EE75B4">
        <w:rPr>
          <w:rFonts w:ascii="Times New Roman" w:eastAsia="Times New Roman" w:hAnsi="Times New Roman"/>
          <w:lang w:val="lt-LT" w:eastAsia="ja-JP"/>
        </w:rPr>
        <w:t xml:space="preserve"> kiekį </w:t>
      </w:r>
      <w:proofErr w:type="spellStart"/>
      <w:r w:rsidRPr="00EE75B4">
        <w:rPr>
          <w:rFonts w:ascii="Times New Roman" w:eastAsia="Times New Roman" w:hAnsi="Times New Roman"/>
          <w:lang w:val="lt-LT" w:eastAsia="ja-JP"/>
        </w:rPr>
        <w:t>neutropenijos</w:t>
      </w:r>
      <w:proofErr w:type="spellEnd"/>
      <w:r w:rsidRPr="00EE75B4">
        <w:rPr>
          <w:rFonts w:ascii="Times New Roman" w:eastAsia="Times New Roman" w:hAnsi="Times New Roman"/>
          <w:lang w:val="lt-LT" w:eastAsia="ja-JP"/>
        </w:rPr>
        <w:t xml:space="preserve"> rizikos numatyti negalima. Įprastai </w:t>
      </w:r>
      <w:proofErr w:type="spellStart"/>
      <w:r w:rsidRPr="00EE75B4">
        <w:rPr>
          <w:rFonts w:ascii="Times New Roman" w:eastAsia="Times New Roman" w:hAnsi="Times New Roman"/>
          <w:lang w:val="lt-LT" w:eastAsia="ja-JP"/>
        </w:rPr>
        <w:t>neutropenija</w:t>
      </w:r>
      <w:proofErr w:type="spellEnd"/>
      <w:r w:rsidRPr="00EE75B4">
        <w:rPr>
          <w:rFonts w:ascii="Times New Roman" w:eastAsia="Times New Roman" w:hAnsi="Times New Roman"/>
          <w:lang w:val="lt-LT" w:eastAsia="ja-JP"/>
        </w:rPr>
        <w:t xml:space="preserve"> atsiranda pirmąją arba antrąją pradinio gydymo savaitę bei sulašinus sukauptąją ≤ 200 mg / kg kūno masės dozę. Nutraukus gydymą arba sumažus vaisto dozę ląstelių kiekis įprastai normalizuojasi per 2–5 dienas (žr. 4.4 skyrių).</w:t>
      </w:r>
    </w:p>
    <w:p w14:paraId="708DE55E" w14:textId="77777777" w:rsidR="00407EC9" w:rsidRPr="00EE75B4" w:rsidRDefault="00407EC9" w:rsidP="00407EC9">
      <w:pPr>
        <w:shd w:val="clear" w:color="auto" w:fill="FFFFFF"/>
        <w:spacing w:after="0" w:line="240" w:lineRule="auto"/>
        <w:rPr>
          <w:rFonts w:ascii="Helvetica" w:hAnsi="Helvetica" w:cs="Helvetica"/>
          <w:lang w:val="lt-LT"/>
        </w:rPr>
      </w:pPr>
      <w:r w:rsidRPr="00EE75B4">
        <w:rPr>
          <w:rFonts w:ascii="Times New Roman" w:hAnsi="Times New Roman"/>
          <w:lang w:val="lt-LT"/>
        </w:rPr>
        <w:t> </w:t>
      </w:r>
    </w:p>
    <w:p w14:paraId="0EA536CC" w14:textId="77777777" w:rsidR="00407EC9" w:rsidRPr="00EE75B4" w:rsidRDefault="005C454D" w:rsidP="00407EC9">
      <w:pPr>
        <w:shd w:val="clear" w:color="auto" w:fill="FFFFFF"/>
        <w:spacing w:after="0" w:line="240" w:lineRule="auto"/>
        <w:rPr>
          <w:rFonts w:ascii="Helvetica" w:hAnsi="Helvetica" w:cs="Helvetica"/>
          <w:lang w:val="lt-LT"/>
        </w:rPr>
      </w:pPr>
      <w:proofErr w:type="spellStart"/>
      <w:r w:rsidRPr="00EE75B4">
        <w:rPr>
          <w:rFonts w:ascii="Times New Roman" w:hAnsi="Times New Roman"/>
          <w:i/>
          <w:iCs/>
          <w:lang w:val="lt-LT"/>
        </w:rPr>
        <w:lastRenderedPageBreak/>
        <w:t>T</w:t>
      </w:r>
      <w:r w:rsidR="00407EC9" w:rsidRPr="00EE75B4">
        <w:rPr>
          <w:rFonts w:ascii="Times New Roman" w:hAnsi="Times New Roman"/>
          <w:i/>
          <w:iCs/>
          <w:lang w:val="lt-LT"/>
        </w:rPr>
        <w:t>romboc</w:t>
      </w:r>
      <w:r w:rsidRPr="00EE75B4">
        <w:rPr>
          <w:rFonts w:ascii="Times New Roman" w:hAnsi="Times New Roman"/>
          <w:i/>
          <w:iCs/>
          <w:lang w:val="lt-LT"/>
        </w:rPr>
        <w:t>i</w:t>
      </w:r>
      <w:r w:rsidR="00407EC9" w:rsidRPr="00EE75B4">
        <w:rPr>
          <w:rFonts w:ascii="Times New Roman" w:hAnsi="Times New Roman"/>
          <w:i/>
          <w:iCs/>
          <w:lang w:val="lt-LT"/>
        </w:rPr>
        <w:t>topeni</w:t>
      </w:r>
      <w:r w:rsidRPr="00EE75B4">
        <w:rPr>
          <w:rFonts w:ascii="Times New Roman" w:hAnsi="Times New Roman"/>
          <w:i/>
          <w:iCs/>
          <w:lang w:val="lt-LT"/>
        </w:rPr>
        <w:t>j</w:t>
      </w:r>
      <w:r w:rsidR="00407EC9" w:rsidRPr="00EE75B4">
        <w:rPr>
          <w:rFonts w:ascii="Times New Roman" w:hAnsi="Times New Roman"/>
          <w:i/>
          <w:iCs/>
          <w:lang w:val="lt-LT"/>
        </w:rPr>
        <w:t>a</w:t>
      </w:r>
      <w:proofErr w:type="spellEnd"/>
    </w:p>
    <w:p w14:paraId="7333D618" w14:textId="5C093309" w:rsidR="00407EC9" w:rsidRPr="00EE75B4" w:rsidRDefault="005C454D" w:rsidP="00732BB8">
      <w:pPr>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 xml:space="preserve">Mažai trombocitų (&lt; 100000 / </w:t>
      </w:r>
      <w:r w:rsidR="009A20E3">
        <w:rPr>
          <w:rFonts w:ascii="Times New Roman" w:eastAsia="Times New Roman" w:hAnsi="Times New Roman"/>
          <w:lang w:val="lt-LT" w:eastAsia="ja-JP"/>
        </w:rPr>
        <w:t>µl</w:t>
      </w:r>
      <w:r w:rsidRPr="00EE75B4">
        <w:rPr>
          <w:rFonts w:ascii="Times New Roman" w:eastAsia="Times New Roman" w:hAnsi="Times New Roman"/>
          <w:lang w:val="lt-LT" w:eastAsia="ja-JP"/>
        </w:rPr>
        <w:t xml:space="preserve">) turintiems pacientams rizika susirgti </w:t>
      </w:r>
      <w:proofErr w:type="spellStart"/>
      <w:r w:rsidRPr="00EE75B4">
        <w:rPr>
          <w:rFonts w:ascii="Times New Roman" w:eastAsia="Times New Roman" w:hAnsi="Times New Roman"/>
          <w:lang w:val="lt-LT" w:eastAsia="ja-JP"/>
        </w:rPr>
        <w:t>trombocitopenija</w:t>
      </w:r>
      <w:proofErr w:type="spellEnd"/>
      <w:r w:rsidRPr="00EE75B4">
        <w:rPr>
          <w:rFonts w:ascii="Times New Roman" w:eastAsia="Times New Roman" w:hAnsi="Times New Roman"/>
          <w:lang w:val="lt-LT" w:eastAsia="ja-JP"/>
        </w:rPr>
        <w:t xml:space="preserve"> yra padidėjusi. Pacientams, kuriems yra </w:t>
      </w:r>
      <w:proofErr w:type="spellStart"/>
      <w:r w:rsidRPr="00EE75B4">
        <w:rPr>
          <w:rFonts w:ascii="Times New Roman" w:eastAsia="Times New Roman" w:hAnsi="Times New Roman"/>
          <w:lang w:val="lt-LT" w:eastAsia="ja-JP"/>
        </w:rPr>
        <w:t>jatrogeninė</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imunosupresija</w:t>
      </w:r>
      <w:proofErr w:type="spellEnd"/>
      <w:r w:rsidRPr="00EE75B4">
        <w:rPr>
          <w:rFonts w:ascii="Times New Roman" w:eastAsia="Times New Roman" w:hAnsi="Times New Roman"/>
          <w:lang w:val="lt-LT" w:eastAsia="ja-JP"/>
        </w:rPr>
        <w:t xml:space="preserve"> dėl gydymo </w:t>
      </w:r>
      <w:proofErr w:type="spellStart"/>
      <w:r w:rsidRPr="00EE75B4">
        <w:rPr>
          <w:rFonts w:ascii="Times New Roman" w:eastAsia="Times New Roman" w:hAnsi="Times New Roman"/>
          <w:lang w:val="lt-LT" w:eastAsia="ja-JP"/>
        </w:rPr>
        <w:t>imunosupresantais</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trombocitopenijos</w:t>
      </w:r>
      <w:proofErr w:type="spellEnd"/>
      <w:r w:rsidRPr="00EE75B4">
        <w:rPr>
          <w:rFonts w:ascii="Times New Roman" w:eastAsia="Times New Roman" w:hAnsi="Times New Roman"/>
          <w:lang w:val="lt-LT" w:eastAsia="ja-JP"/>
        </w:rPr>
        <w:t xml:space="preserve"> rizika yra didesnė, negu AIDS sergantiems pacientams (žr. 4.4 skyrių). Sunki </w:t>
      </w:r>
      <w:proofErr w:type="spellStart"/>
      <w:r w:rsidRPr="00EE75B4">
        <w:rPr>
          <w:rFonts w:ascii="Times New Roman" w:eastAsia="Times New Roman" w:hAnsi="Times New Roman"/>
          <w:lang w:val="lt-LT" w:eastAsia="ja-JP"/>
        </w:rPr>
        <w:t>trombocitopenija</w:t>
      </w:r>
      <w:proofErr w:type="spellEnd"/>
      <w:r w:rsidRPr="00EE75B4">
        <w:rPr>
          <w:rFonts w:ascii="Times New Roman" w:eastAsia="Times New Roman" w:hAnsi="Times New Roman"/>
          <w:lang w:val="lt-LT" w:eastAsia="ja-JP"/>
        </w:rPr>
        <w:t xml:space="preserve"> gali būti susijusi su gyvybei potencialiai pavojingu kraujavimu.</w:t>
      </w:r>
    </w:p>
    <w:p w14:paraId="26A95A72" w14:textId="77777777" w:rsidR="00407EC9" w:rsidRPr="00EE75B4" w:rsidRDefault="00407EC9" w:rsidP="00407EC9">
      <w:pPr>
        <w:shd w:val="clear" w:color="auto" w:fill="FFFFFF"/>
        <w:spacing w:after="0" w:line="240" w:lineRule="auto"/>
        <w:rPr>
          <w:rFonts w:ascii="Helvetica" w:hAnsi="Helvetica" w:cs="Helvetica"/>
          <w:sz w:val="21"/>
          <w:szCs w:val="21"/>
          <w:lang w:val="lt-LT"/>
        </w:rPr>
      </w:pPr>
      <w:r w:rsidRPr="00EE75B4">
        <w:rPr>
          <w:rFonts w:ascii="Times New Roman" w:hAnsi="Times New Roman"/>
          <w:sz w:val="24"/>
          <w:szCs w:val="24"/>
          <w:lang w:val="lt-LT"/>
        </w:rPr>
        <w:t> </w:t>
      </w:r>
    </w:p>
    <w:p w14:paraId="49FF877A" w14:textId="77777777" w:rsidR="00407EC9" w:rsidRPr="00EE75B4" w:rsidRDefault="002D2553" w:rsidP="00407EC9">
      <w:pPr>
        <w:shd w:val="clear" w:color="auto" w:fill="FFFFFF"/>
        <w:spacing w:after="0" w:line="240" w:lineRule="auto"/>
        <w:rPr>
          <w:rFonts w:ascii="Times New Roman" w:hAnsi="Times New Roman"/>
          <w:i/>
          <w:iCs/>
          <w:lang w:val="lt-LT"/>
        </w:rPr>
      </w:pPr>
      <w:r w:rsidRPr="00EE75B4">
        <w:rPr>
          <w:rFonts w:ascii="Times New Roman" w:hAnsi="Times New Roman"/>
          <w:i/>
          <w:iCs/>
          <w:lang w:val="lt-LT"/>
        </w:rPr>
        <w:t>Gydymo trukmės ar indikacijos poveikis nepageidauj</w:t>
      </w:r>
      <w:r w:rsidR="00E13386" w:rsidRPr="00EE75B4">
        <w:rPr>
          <w:rFonts w:ascii="Times New Roman" w:hAnsi="Times New Roman"/>
          <w:i/>
          <w:iCs/>
          <w:lang w:val="lt-LT"/>
        </w:rPr>
        <w:t>a</w:t>
      </w:r>
      <w:r w:rsidRPr="00EE75B4">
        <w:rPr>
          <w:rFonts w:ascii="Times New Roman" w:hAnsi="Times New Roman"/>
          <w:i/>
          <w:iCs/>
          <w:lang w:val="lt-LT"/>
        </w:rPr>
        <w:t>moms reakcijoms</w:t>
      </w:r>
    </w:p>
    <w:p w14:paraId="6AFD38C5" w14:textId="67F7B95B" w:rsidR="00407EC9" w:rsidRPr="00EE75B4" w:rsidRDefault="002D2553" w:rsidP="00732BB8">
      <w:pPr>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 xml:space="preserve">Sunki </w:t>
      </w:r>
      <w:proofErr w:type="spellStart"/>
      <w:r w:rsidRPr="00EE75B4">
        <w:rPr>
          <w:rFonts w:ascii="Times New Roman" w:eastAsia="Times New Roman" w:hAnsi="Times New Roman"/>
          <w:lang w:val="lt-LT" w:eastAsia="ja-JP"/>
        </w:rPr>
        <w:t>neutropenija</w:t>
      </w:r>
      <w:proofErr w:type="spellEnd"/>
      <w:r w:rsidRPr="00EE75B4">
        <w:rPr>
          <w:rFonts w:ascii="Times New Roman" w:eastAsia="Times New Roman" w:hAnsi="Times New Roman"/>
          <w:lang w:val="lt-LT" w:eastAsia="ja-JP"/>
        </w:rPr>
        <w:t xml:space="preserve"> (ANS &lt; 500/</w:t>
      </w:r>
      <w:r w:rsidR="009A20E3">
        <w:rPr>
          <w:rFonts w:ascii="Times New Roman" w:eastAsia="Times New Roman" w:hAnsi="Times New Roman"/>
          <w:lang w:val="lt-LT" w:eastAsia="ja-JP"/>
        </w:rPr>
        <w:t>µl</w:t>
      </w:r>
      <w:r w:rsidRPr="00EE75B4">
        <w:rPr>
          <w:rFonts w:ascii="Times New Roman" w:eastAsia="Times New Roman" w:hAnsi="Times New Roman"/>
          <w:lang w:val="lt-LT" w:eastAsia="ja-JP"/>
        </w:rPr>
        <w:t xml:space="preserve">) dažniau buvo pastebėta CMV sukeltu </w:t>
      </w:r>
      <w:proofErr w:type="spellStart"/>
      <w:r w:rsidRPr="00EE75B4">
        <w:rPr>
          <w:rFonts w:ascii="Times New Roman" w:eastAsia="Times New Roman" w:hAnsi="Times New Roman"/>
          <w:lang w:val="lt-LT" w:eastAsia="ja-JP"/>
        </w:rPr>
        <w:t>retinitu</w:t>
      </w:r>
      <w:proofErr w:type="spellEnd"/>
      <w:r w:rsidRPr="00EE75B4">
        <w:rPr>
          <w:rFonts w:ascii="Times New Roman" w:eastAsia="Times New Roman" w:hAnsi="Times New Roman"/>
          <w:lang w:val="lt-LT" w:eastAsia="ja-JP"/>
        </w:rPr>
        <w:t xml:space="preserve"> sirgusiems pacientams (14 %), kuriems buvo taikyta palaikomoji terapija </w:t>
      </w:r>
      <w:proofErr w:type="spellStart"/>
      <w:r w:rsidRPr="00EE75B4">
        <w:rPr>
          <w:rFonts w:ascii="Times New Roman" w:eastAsia="Times New Roman" w:hAnsi="Times New Roman"/>
          <w:lang w:val="lt-LT" w:eastAsia="ja-JP"/>
        </w:rPr>
        <w:t>valgancikloviru</w:t>
      </w:r>
      <w:proofErr w:type="spellEnd"/>
      <w:r w:rsidRPr="00EE75B4">
        <w:rPr>
          <w:rFonts w:ascii="Times New Roman" w:eastAsia="Times New Roman" w:hAnsi="Times New Roman"/>
          <w:lang w:val="lt-LT" w:eastAsia="ja-JP"/>
        </w:rPr>
        <w:t xml:space="preserve"> arba geriamuoju ar į veną vartotu </w:t>
      </w:r>
      <w:proofErr w:type="spellStart"/>
      <w:r w:rsidRPr="00EE75B4">
        <w:rPr>
          <w:rFonts w:ascii="Times New Roman" w:eastAsia="Times New Roman" w:hAnsi="Times New Roman"/>
          <w:lang w:val="lt-LT" w:eastAsia="ja-JP"/>
        </w:rPr>
        <w:t>gancikloviru</w:t>
      </w:r>
      <w:proofErr w:type="spellEnd"/>
      <w:r w:rsidRPr="00EE75B4">
        <w:rPr>
          <w:rFonts w:ascii="Times New Roman" w:eastAsia="Times New Roman" w:hAnsi="Times New Roman"/>
          <w:lang w:val="lt-LT" w:eastAsia="ja-JP"/>
        </w:rPr>
        <w:t xml:space="preserve">, negu pacientams, kurie persodinus organą buvo gydyti </w:t>
      </w:r>
      <w:proofErr w:type="spellStart"/>
      <w:r w:rsidRPr="00EE75B4">
        <w:rPr>
          <w:rFonts w:ascii="Times New Roman" w:eastAsia="Times New Roman" w:hAnsi="Times New Roman"/>
          <w:lang w:val="lt-LT" w:eastAsia="ja-JP"/>
        </w:rPr>
        <w:t>valgancikloviru</w:t>
      </w:r>
      <w:proofErr w:type="spellEnd"/>
      <w:r w:rsidRPr="00EE75B4">
        <w:rPr>
          <w:rFonts w:ascii="Times New Roman" w:eastAsia="Times New Roman" w:hAnsi="Times New Roman"/>
          <w:lang w:val="lt-LT" w:eastAsia="ja-JP"/>
        </w:rPr>
        <w:t xml:space="preserve"> arba geriamuoju </w:t>
      </w:r>
      <w:proofErr w:type="spellStart"/>
      <w:r w:rsidRPr="00EE75B4">
        <w:rPr>
          <w:rFonts w:ascii="Times New Roman" w:eastAsia="Times New Roman" w:hAnsi="Times New Roman"/>
          <w:lang w:val="lt-LT" w:eastAsia="ja-JP"/>
        </w:rPr>
        <w:t>gancikloviru</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Valgancikloviru</w:t>
      </w:r>
      <w:proofErr w:type="spellEnd"/>
      <w:r w:rsidRPr="00EE75B4">
        <w:rPr>
          <w:rFonts w:ascii="Times New Roman" w:eastAsia="Times New Roman" w:hAnsi="Times New Roman"/>
          <w:lang w:val="lt-LT" w:eastAsia="ja-JP"/>
        </w:rPr>
        <w:t xml:space="preserve"> arba geriamuoju </w:t>
      </w:r>
      <w:proofErr w:type="spellStart"/>
      <w:r w:rsidRPr="00EE75B4">
        <w:rPr>
          <w:rFonts w:ascii="Times New Roman" w:eastAsia="Times New Roman" w:hAnsi="Times New Roman"/>
          <w:lang w:val="lt-LT" w:eastAsia="ja-JP"/>
        </w:rPr>
        <w:t>gancikloviru</w:t>
      </w:r>
      <w:proofErr w:type="spellEnd"/>
      <w:r w:rsidRPr="00EE75B4">
        <w:rPr>
          <w:rFonts w:ascii="Times New Roman" w:eastAsia="Times New Roman" w:hAnsi="Times New Roman"/>
          <w:lang w:val="lt-LT" w:eastAsia="ja-JP"/>
        </w:rPr>
        <w:t xml:space="preserve"> iki 100-osios dienos po transplantavimo operacijos gydytiems pacientams sunkios </w:t>
      </w:r>
      <w:proofErr w:type="spellStart"/>
      <w:r w:rsidRPr="00EE75B4">
        <w:rPr>
          <w:rFonts w:ascii="Times New Roman" w:eastAsia="Times New Roman" w:hAnsi="Times New Roman"/>
          <w:lang w:val="lt-LT" w:eastAsia="ja-JP"/>
        </w:rPr>
        <w:t>neutropenijos</w:t>
      </w:r>
      <w:proofErr w:type="spellEnd"/>
      <w:r w:rsidRPr="00EE75B4">
        <w:rPr>
          <w:rFonts w:ascii="Times New Roman" w:eastAsia="Times New Roman" w:hAnsi="Times New Roman"/>
          <w:lang w:val="lt-LT" w:eastAsia="ja-JP"/>
        </w:rPr>
        <w:t xml:space="preserve"> dažnis buvo, atitinkamai, 5% ir 3 %, o </w:t>
      </w:r>
      <w:proofErr w:type="spellStart"/>
      <w:r w:rsidRPr="00EE75B4">
        <w:rPr>
          <w:rFonts w:ascii="Times New Roman" w:eastAsia="Times New Roman" w:hAnsi="Times New Roman"/>
          <w:lang w:val="lt-LT" w:eastAsia="ja-JP"/>
        </w:rPr>
        <w:t>valgancikloviru</w:t>
      </w:r>
      <w:proofErr w:type="spellEnd"/>
      <w:r w:rsidRPr="00EE75B4">
        <w:rPr>
          <w:rFonts w:ascii="Times New Roman" w:eastAsia="Times New Roman" w:hAnsi="Times New Roman"/>
          <w:lang w:val="lt-LT" w:eastAsia="ja-JP"/>
        </w:rPr>
        <w:t xml:space="preserve"> iki 200-osios dienos po transplantavimo operacijos gydytiems pacientams sunkios </w:t>
      </w:r>
      <w:proofErr w:type="spellStart"/>
      <w:r w:rsidRPr="00EE75B4">
        <w:rPr>
          <w:rFonts w:ascii="Times New Roman" w:eastAsia="Times New Roman" w:hAnsi="Times New Roman"/>
          <w:lang w:val="lt-LT" w:eastAsia="ja-JP"/>
        </w:rPr>
        <w:t>neutropenijos</w:t>
      </w:r>
      <w:proofErr w:type="spellEnd"/>
      <w:r w:rsidRPr="00EE75B4">
        <w:rPr>
          <w:rFonts w:ascii="Times New Roman" w:eastAsia="Times New Roman" w:hAnsi="Times New Roman"/>
          <w:lang w:val="lt-LT" w:eastAsia="ja-JP"/>
        </w:rPr>
        <w:t xml:space="preserve"> dažnis buvo 10 %.</w:t>
      </w:r>
    </w:p>
    <w:p w14:paraId="0F77DB86" w14:textId="77777777" w:rsidR="00407EC9" w:rsidRPr="00EE75B4" w:rsidRDefault="00407EC9" w:rsidP="00732BB8">
      <w:pPr>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 </w:t>
      </w:r>
    </w:p>
    <w:p w14:paraId="042D6432" w14:textId="77777777" w:rsidR="00407EC9" w:rsidRPr="00EE75B4" w:rsidRDefault="002D2553" w:rsidP="00732BB8">
      <w:pPr>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 xml:space="preserve">Pacientų su persodintu </w:t>
      </w:r>
      <w:proofErr w:type="spellStart"/>
      <w:r w:rsidRPr="00EE75B4">
        <w:rPr>
          <w:rFonts w:ascii="Times New Roman" w:eastAsia="Times New Roman" w:hAnsi="Times New Roman"/>
          <w:lang w:val="lt-LT" w:eastAsia="ja-JP"/>
        </w:rPr>
        <w:t>solidiniu</w:t>
      </w:r>
      <w:proofErr w:type="spellEnd"/>
      <w:r w:rsidRPr="00EE75B4">
        <w:rPr>
          <w:rFonts w:ascii="Times New Roman" w:eastAsia="Times New Roman" w:hAnsi="Times New Roman"/>
          <w:lang w:val="lt-LT" w:eastAsia="ja-JP"/>
        </w:rPr>
        <w:t xml:space="preserve"> organu, iki 100-osios arba 200-osios dienos po transplantacijos gydytų tiek </w:t>
      </w:r>
      <w:proofErr w:type="spellStart"/>
      <w:r w:rsidRPr="00EE75B4">
        <w:rPr>
          <w:rFonts w:ascii="Times New Roman" w:eastAsia="Times New Roman" w:hAnsi="Times New Roman"/>
          <w:lang w:val="lt-LT" w:eastAsia="ja-JP"/>
        </w:rPr>
        <w:t>valgancikloviru</w:t>
      </w:r>
      <w:proofErr w:type="spellEnd"/>
      <w:r w:rsidRPr="00EE75B4">
        <w:rPr>
          <w:rFonts w:ascii="Times New Roman" w:eastAsia="Times New Roman" w:hAnsi="Times New Roman"/>
          <w:lang w:val="lt-LT" w:eastAsia="ja-JP"/>
        </w:rPr>
        <w:t xml:space="preserve">, tiek geriamuoju </w:t>
      </w:r>
      <w:proofErr w:type="spellStart"/>
      <w:r w:rsidRPr="00EE75B4">
        <w:rPr>
          <w:rFonts w:ascii="Times New Roman" w:eastAsia="Times New Roman" w:hAnsi="Times New Roman"/>
          <w:lang w:val="lt-LT" w:eastAsia="ja-JP"/>
        </w:rPr>
        <w:t>gancikloviro</w:t>
      </w:r>
      <w:proofErr w:type="spellEnd"/>
      <w:r w:rsidRPr="00EE75B4">
        <w:rPr>
          <w:rFonts w:ascii="Times New Roman" w:eastAsia="Times New Roman" w:hAnsi="Times New Roman"/>
          <w:lang w:val="lt-LT" w:eastAsia="ja-JP"/>
        </w:rPr>
        <w:t xml:space="preserve">, serume </w:t>
      </w:r>
      <w:proofErr w:type="spellStart"/>
      <w:r w:rsidRPr="00EE75B4">
        <w:rPr>
          <w:rFonts w:ascii="Times New Roman" w:eastAsia="Times New Roman" w:hAnsi="Times New Roman"/>
          <w:lang w:val="lt-LT" w:eastAsia="ja-JP"/>
        </w:rPr>
        <w:t>kreatinino</w:t>
      </w:r>
      <w:proofErr w:type="spellEnd"/>
      <w:r w:rsidRPr="00EE75B4">
        <w:rPr>
          <w:rFonts w:ascii="Times New Roman" w:eastAsia="Times New Roman" w:hAnsi="Times New Roman"/>
          <w:lang w:val="lt-LT" w:eastAsia="ja-JP"/>
        </w:rPr>
        <w:t xml:space="preserve"> kiekio padidėjimas buvo didesnis, lyginant su CMV </w:t>
      </w:r>
      <w:proofErr w:type="spellStart"/>
      <w:r w:rsidRPr="00EE75B4">
        <w:rPr>
          <w:rFonts w:ascii="Times New Roman" w:eastAsia="Times New Roman" w:hAnsi="Times New Roman"/>
          <w:lang w:val="lt-LT" w:eastAsia="ja-JP"/>
        </w:rPr>
        <w:t>retinitu</w:t>
      </w:r>
      <w:proofErr w:type="spellEnd"/>
      <w:r w:rsidRPr="00EE75B4">
        <w:rPr>
          <w:rFonts w:ascii="Times New Roman" w:eastAsia="Times New Roman" w:hAnsi="Times New Roman"/>
          <w:lang w:val="lt-LT" w:eastAsia="ja-JP"/>
        </w:rPr>
        <w:t xml:space="preserve"> sirgusiais pacientais. Vis dėlto inkstų veiklos sutrikimas yra bendras persodintą </w:t>
      </w:r>
      <w:proofErr w:type="spellStart"/>
      <w:r w:rsidRPr="00EE75B4">
        <w:rPr>
          <w:rFonts w:ascii="Times New Roman" w:eastAsia="Times New Roman" w:hAnsi="Times New Roman"/>
          <w:lang w:val="lt-LT" w:eastAsia="ja-JP"/>
        </w:rPr>
        <w:t>solidinį</w:t>
      </w:r>
      <w:proofErr w:type="spellEnd"/>
      <w:r w:rsidRPr="00EE75B4">
        <w:rPr>
          <w:rFonts w:ascii="Times New Roman" w:eastAsia="Times New Roman" w:hAnsi="Times New Roman"/>
          <w:lang w:val="lt-LT" w:eastAsia="ja-JP"/>
        </w:rPr>
        <w:t xml:space="preserve"> organą turinčių pacientų bruožas.</w:t>
      </w:r>
    </w:p>
    <w:p w14:paraId="5C6994B3" w14:textId="77777777" w:rsidR="00407EC9" w:rsidRPr="00EE75B4" w:rsidRDefault="00407EC9" w:rsidP="00732BB8">
      <w:pPr>
        <w:spacing w:after="0" w:line="240" w:lineRule="auto"/>
        <w:rPr>
          <w:rFonts w:ascii="Times New Roman" w:hAnsi="Times New Roman"/>
          <w:lang w:val="lt-LT"/>
        </w:rPr>
      </w:pPr>
      <w:r w:rsidRPr="00EE75B4">
        <w:rPr>
          <w:rFonts w:ascii="Times New Roman" w:eastAsia="Times New Roman" w:hAnsi="Times New Roman"/>
          <w:lang w:val="lt-LT" w:eastAsia="ja-JP"/>
        </w:rPr>
        <w:t> </w:t>
      </w:r>
    </w:p>
    <w:p w14:paraId="597A7C41" w14:textId="77777777" w:rsidR="00407EC9" w:rsidRPr="00EE75B4" w:rsidRDefault="002D2553" w:rsidP="00732BB8">
      <w:pPr>
        <w:spacing w:after="0" w:line="240" w:lineRule="auto"/>
        <w:rPr>
          <w:rFonts w:ascii="Times New Roman" w:hAnsi="Times New Roman"/>
          <w:lang w:val="lt-LT"/>
        </w:rPr>
      </w:pPr>
      <w:r w:rsidRPr="00EE75B4">
        <w:rPr>
          <w:rFonts w:ascii="Times New Roman" w:hAnsi="Times New Roman"/>
          <w:lang w:val="lt-LT"/>
        </w:rPr>
        <w:t xml:space="preserve">Profilaktiką suaugusiems pacientams su persodintu inkstu, kuriems buvo didelė rizika, pratęsus iki 200 dienų, </w:t>
      </w:r>
      <w:proofErr w:type="spellStart"/>
      <w:r w:rsidR="00655F3C" w:rsidRPr="00EE75B4">
        <w:rPr>
          <w:rFonts w:ascii="Times New Roman" w:eastAsia="Times New Roman" w:hAnsi="Times New Roman"/>
          <w:lang w:val="lt-LT" w:eastAsia="ja-JP"/>
        </w:rPr>
        <w:t>Valganciclovir</w:t>
      </w:r>
      <w:proofErr w:type="spellEnd"/>
      <w:r w:rsidR="00655F3C" w:rsidRPr="00EE75B4">
        <w:rPr>
          <w:rFonts w:ascii="Times New Roman" w:eastAsia="Times New Roman" w:hAnsi="Times New Roman"/>
          <w:lang w:val="lt-LT" w:eastAsia="ja-JP"/>
        </w:rPr>
        <w:t xml:space="preserve"> </w:t>
      </w:r>
      <w:proofErr w:type="spellStart"/>
      <w:r w:rsidR="00655F3C" w:rsidRPr="00EE75B4">
        <w:rPr>
          <w:rFonts w:ascii="Times New Roman" w:eastAsia="Times New Roman" w:hAnsi="Times New Roman"/>
          <w:lang w:val="lt-LT" w:eastAsia="ja-JP"/>
        </w:rPr>
        <w:t>Accord</w:t>
      </w:r>
      <w:proofErr w:type="spellEnd"/>
      <w:r w:rsidR="00655F3C" w:rsidRPr="00EE75B4">
        <w:rPr>
          <w:rFonts w:ascii="Times New Roman" w:hAnsi="Times New Roman"/>
          <w:lang w:val="lt-LT"/>
        </w:rPr>
        <w:t xml:space="preserve"> </w:t>
      </w:r>
      <w:r w:rsidRPr="00EE75B4">
        <w:rPr>
          <w:rFonts w:ascii="Times New Roman" w:hAnsi="Times New Roman"/>
          <w:lang w:val="lt-LT"/>
        </w:rPr>
        <w:t xml:space="preserve">bendrasis saugumo pobūdis nepakito. </w:t>
      </w:r>
      <w:proofErr w:type="spellStart"/>
      <w:r w:rsidRPr="00EE75B4">
        <w:rPr>
          <w:rFonts w:ascii="Times New Roman" w:hAnsi="Times New Roman"/>
          <w:lang w:val="lt-LT"/>
        </w:rPr>
        <w:t>Leukopenija</w:t>
      </w:r>
      <w:proofErr w:type="spellEnd"/>
      <w:r w:rsidRPr="00EE75B4">
        <w:rPr>
          <w:rFonts w:ascii="Times New Roman" w:hAnsi="Times New Roman"/>
          <w:lang w:val="lt-LT"/>
        </w:rPr>
        <w:t xml:space="preserve"> buvo pastebėta šiek tiek dažniau 200 dienų pogrupyje, o </w:t>
      </w:r>
      <w:proofErr w:type="spellStart"/>
      <w:r w:rsidRPr="00EE75B4">
        <w:rPr>
          <w:rFonts w:ascii="Times New Roman" w:hAnsi="Times New Roman"/>
          <w:lang w:val="lt-LT"/>
        </w:rPr>
        <w:t>neutropenijos</w:t>
      </w:r>
      <w:proofErr w:type="spellEnd"/>
      <w:r w:rsidRPr="00EE75B4">
        <w:rPr>
          <w:rFonts w:ascii="Times New Roman" w:hAnsi="Times New Roman"/>
          <w:lang w:val="lt-LT"/>
        </w:rPr>
        <w:t xml:space="preserve">, anemijos ir </w:t>
      </w:r>
      <w:proofErr w:type="spellStart"/>
      <w:r w:rsidRPr="00EE75B4">
        <w:rPr>
          <w:rFonts w:ascii="Times New Roman" w:hAnsi="Times New Roman"/>
          <w:lang w:val="lt-LT"/>
        </w:rPr>
        <w:t>trombocitopenijos</w:t>
      </w:r>
      <w:proofErr w:type="spellEnd"/>
      <w:r w:rsidRPr="00EE75B4">
        <w:rPr>
          <w:rFonts w:ascii="Times New Roman" w:hAnsi="Times New Roman"/>
          <w:lang w:val="lt-LT"/>
        </w:rPr>
        <w:t xml:space="preserve"> </w:t>
      </w:r>
      <w:r w:rsidRPr="00EE75B4">
        <w:rPr>
          <w:rFonts w:ascii="Times New Roman" w:eastAsia="Times New Roman" w:hAnsi="Times New Roman"/>
          <w:lang w:val="lt-LT" w:eastAsia="ja-JP"/>
        </w:rPr>
        <w:t>dažniai</w:t>
      </w:r>
      <w:r w:rsidRPr="00EE75B4">
        <w:rPr>
          <w:rFonts w:ascii="Times New Roman" w:hAnsi="Times New Roman"/>
          <w:lang w:val="lt-LT"/>
        </w:rPr>
        <w:t xml:space="preserve"> abiejose grupėse buvo </w:t>
      </w:r>
      <w:r w:rsidRPr="00EE75B4">
        <w:rPr>
          <w:rFonts w:ascii="Times New Roman" w:eastAsia="Times New Roman" w:hAnsi="Times New Roman"/>
          <w:lang w:val="lt-LT" w:eastAsia="ja-JP"/>
        </w:rPr>
        <w:t>panašūs</w:t>
      </w:r>
      <w:r w:rsidRPr="00EE75B4">
        <w:rPr>
          <w:rFonts w:ascii="Times New Roman" w:hAnsi="Times New Roman"/>
          <w:lang w:val="lt-LT"/>
        </w:rPr>
        <w:t>.</w:t>
      </w:r>
    </w:p>
    <w:p w14:paraId="4AFDB2AA" w14:textId="77777777" w:rsidR="00407EC9" w:rsidRPr="00EE75B4" w:rsidRDefault="00407EC9" w:rsidP="005427AE">
      <w:pPr>
        <w:spacing w:after="0" w:line="240" w:lineRule="auto"/>
        <w:rPr>
          <w:rFonts w:ascii="Times New Roman" w:hAnsi="Times New Roman"/>
          <w:b/>
          <w:lang w:val="lt-LT"/>
        </w:rPr>
      </w:pPr>
    </w:p>
    <w:p w14:paraId="01BBF090"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c) Vaikų populiacija</w:t>
      </w:r>
    </w:p>
    <w:p w14:paraId="22087EC2"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Valgancikloviras</w:t>
      </w:r>
      <w:proofErr w:type="spellEnd"/>
      <w:r w:rsidRPr="00EE75B4">
        <w:rPr>
          <w:rFonts w:ascii="Times New Roman" w:hAnsi="Times New Roman"/>
          <w:lang w:val="lt-LT"/>
        </w:rPr>
        <w:t xml:space="preserve"> tirtas 179 vaikams (nuo 3 savaičių iki 16 metų amžiaus) su persodintu </w:t>
      </w:r>
      <w:proofErr w:type="spellStart"/>
      <w:r w:rsidRPr="00EE75B4">
        <w:rPr>
          <w:rFonts w:ascii="Times New Roman" w:hAnsi="Times New Roman"/>
          <w:lang w:val="lt-LT"/>
        </w:rPr>
        <w:t>solidiniu</w:t>
      </w:r>
      <w:proofErr w:type="spellEnd"/>
      <w:r w:rsidRPr="00EE75B4">
        <w:rPr>
          <w:rFonts w:ascii="Times New Roman" w:hAnsi="Times New Roman"/>
          <w:lang w:val="lt-LT"/>
        </w:rPr>
        <w:t xml:space="preserve"> organu, kuriems buvo rizika susirgti CMV sukeliama liga, bei 133 naujagimiams (nuo 2 iki 31 dienos amžiaus), sergančiais simptomine įgimta CMV sukelta liga, esant ekspozicijos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trukmei nuo 2 iki 200 parų.</w:t>
      </w:r>
    </w:p>
    <w:p w14:paraId="3AF3A608" w14:textId="77777777" w:rsidR="005427AE" w:rsidRPr="00EE75B4" w:rsidRDefault="005427AE" w:rsidP="005427AE">
      <w:pPr>
        <w:spacing w:after="0" w:line="240" w:lineRule="auto"/>
        <w:rPr>
          <w:rFonts w:ascii="Times New Roman" w:hAnsi="Times New Roman"/>
          <w:lang w:val="lt-LT"/>
        </w:rPr>
      </w:pPr>
    </w:p>
    <w:p w14:paraId="30354B50" w14:textId="77777777" w:rsidR="005427AE" w:rsidRPr="00EE75B4" w:rsidRDefault="005427AE" w:rsidP="005427AE">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 xml:space="preserve">Klinikinių tyrimų su vaikais metu su gydymu susijusios nepageidaujamos reakcijos, apie kurias pranešta dažniausiai, buvo viduriavimas, pykinimas, </w:t>
      </w:r>
      <w:proofErr w:type="spellStart"/>
      <w:r w:rsidRPr="00EE75B4">
        <w:rPr>
          <w:rFonts w:ascii="Times New Roman" w:hAnsi="Times New Roman"/>
          <w:lang w:val="lt-LT"/>
        </w:rPr>
        <w:t>neutropenija</w:t>
      </w:r>
      <w:proofErr w:type="spellEnd"/>
      <w:r w:rsidRPr="00EE75B4">
        <w:rPr>
          <w:rFonts w:ascii="Times New Roman" w:hAnsi="Times New Roman"/>
          <w:lang w:val="lt-LT"/>
        </w:rPr>
        <w:t xml:space="preserve">, </w:t>
      </w:r>
      <w:proofErr w:type="spellStart"/>
      <w:r w:rsidRPr="00EE75B4">
        <w:rPr>
          <w:rFonts w:ascii="Times New Roman" w:hAnsi="Times New Roman"/>
          <w:lang w:val="lt-LT"/>
        </w:rPr>
        <w:t>leukopenija</w:t>
      </w:r>
      <w:proofErr w:type="spellEnd"/>
      <w:r w:rsidRPr="00EE75B4">
        <w:rPr>
          <w:rFonts w:ascii="Times New Roman" w:hAnsi="Times New Roman"/>
          <w:lang w:val="lt-LT"/>
        </w:rPr>
        <w:t xml:space="preserve"> ir anemija.</w:t>
      </w:r>
    </w:p>
    <w:p w14:paraId="0796FDB4" w14:textId="77777777" w:rsidR="005427AE" w:rsidRPr="00EE75B4" w:rsidRDefault="005427AE" w:rsidP="005427AE">
      <w:pPr>
        <w:autoSpaceDE w:val="0"/>
        <w:autoSpaceDN w:val="0"/>
        <w:adjustRightInd w:val="0"/>
        <w:spacing w:after="0" w:line="240" w:lineRule="auto"/>
        <w:rPr>
          <w:rFonts w:ascii="Times New Roman" w:hAnsi="Times New Roman"/>
          <w:lang w:val="lt-LT"/>
        </w:rPr>
      </w:pPr>
    </w:p>
    <w:p w14:paraId="468F9A5D" w14:textId="77777777" w:rsidR="005427AE" w:rsidRPr="00EE75B4" w:rsidRDefault="005427AE" w:rsidP="005427AE">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 xml:space="preserve">Pacientų, kuriems persodintas </w:t>
      </w:r>
      <w:proofErr w:type="spellStart"/>
      <w:r w:rsidRPr="00EE75B4">
        <w:rPr>
          <w:rFonts w:ascii="Times New Roman" w:hAnsi="Times New Roman"/>
          <w:lang w:val="lt-LT"/>
        </w:rPr>
        <w:t>solidinis</w:t>
      </w:r>
      <w:proofErr w:type="spellEnd"/>
      <w:r w:rsidRPr="00EE75B4">
        <w:rPr>
          <w:rFonts w:ascii="Times New Roman" w:hAnsi="Times New Roman"/>
          <w:lang w:val="lt-LT"/>
        </w:rPr>
        <w:t xml:space="preserve"> organas, atveju, bendrasis saugumo pobūdis vaikams ir suaugusiesiems buvo panašus. Be to, dviejų atliktų klinikinių tyrimų, kuriuose dalyvavusiems vaikams buvo persodintas </w:t>
      </w:r>
      <w:proofErr w:type="spellStart"/>
      <w:r w:rsidRPr="00EE75B4">
        <w:rPr>
          <w:rFonts w:ascii="Times New Roman" w:hAnsi="Times New Roman"/>
          <w:lang w:val="lt-LT"/>
        </w:rPr>
        <w:t>solidinis</w:t>
      </w:r>
      <w:proofErr w:type="spellEnd"/>
      <w:r w:rsidRPr="00EE75B4">
        <w:rPr>
          <w:rFonts w:ascii="Times New Roman" w:hAnsi="Times New Roman"/>
          <w:lang w:val="lt-LT"/>
        </w:rPr>
        <w:t xml:space="preserve"> organas, metu </w:t>
      </w:r>
      <w:proofErr w:type="spellStart"/>
      <w:r w:rsidRPr="00EE75B4">
        <w:rPr>
          <w:rFonts w:ascii="Times New Roman" w:hAnsi="Times New Roman"/>
          <w:lang w:val="lt-LT"/>
        </w:rPr>
        <w:t>neutropenija</w:t>
      </w:r>
      <w:proofErr w:type="spellEnd"/>
      <w:r w:rsidRPr="00EE75B4">
        <w:rPr>
          <w:rFonts w:ascii="Times New Roman" w:hAnsi="Times New Roman"/>
          <w:lang w:val="lt-LT"/>
        </w:rPr>
        <w:t xml:space="preserve"> pasireiškė šiek tiek dažniau, palyginus su suaugusiųjų klinikiniais tyrimais, tačiau sąsajos tarp </w:t>
      </w:r>
      <w:proofErr w:type="spellStart"/>
      <w:r w:rsidRPr="00EE75B4">
        <w:rPr>
          <w:rFonts w:ascii="Times New Roman" w:hAnsi="Times New Roman"/>
          <w:lang w:val="lt-LT"/>
        </w:rPr>
        <w:t>neutropenijos</w:t>
      </w:r>
      <w:proofErr w:type="spellEnd"/>
      <w:r w:rsidRPr="00EE75B4">
        <w:rPr>
          <w:rFonts w:ascii="Times New Roman" w:hAnsi="Times New Roman"/>
          <w:lang w:val="lt-LT"/>
        </w:rPr>
        <w:t xml:space="preserve"> ir infekcinių nepageidaujamų reiškinių vaikų populiacijoje nebuvo.</w:t>
      </w:r>
      <w:r w:rsidR="008D501E" w:rsidRPr="00EE75B4">
        <w:rPr>
          <w:rFonts w:ascii="Times New Roman" w:eastAsia="Times New Roman" w:hAnsi="Times New Roman"/>
          <w:lang w:val="lt-LT" w:eastAsia="ja-JP"/>
        </w:rPr>
        <w:t xml:space="preserve"> </w:t>
      </w:r>
      <w:r w:rsidR="008D501E" w:rsidRPr="00EE75B4">
        <w:rPr>
          <w:rFonts w:ascii="Times New Roman" w:hAnsi="Times New Roman"/>
          <w:lang w:val="lt-LT"/>
        </w:rPr>
        <w:t xml:space="preserve">Didesnė </w:t>
      </w:r>
      <w:proofErr w:type="spellStart"/>
      <w:r w:rsidR="008D501E" w:rsidRPr="00EE75B4">
        <w:rPr>
          <w:rFonts w:ascii="Times New Roman" w:hAnsi="Times New Roman"/>
          <w:lang w:val="lt-LT"/>
        </w:rPr>
        <w:t>citopenijos</w:t>
      </w:r>
      <w:proofErr w:type="spellEnd"/>
      <w:r w:rsidR="008D501E" w:rsidRPr="00EE75B4">
        <w:rPr>
          <w:rFonts w:ascii="Times New Roman" w:hAnsi="Times New Roman"/>
          <w:lang w:val="lt-LT"/>
        </w:rPr>
        <w:t xml:space="preserve"> rizika naujagimiams ir kūdikiams užtikrina atidų kraujo rezultatų stebėjimą šiose amžiaus grupėse (žr. 4.4 skyrių).</w:t>
      </w:r>
    </w:p>
    <w:p w14:paraId="0E21AF90" w14:textId="77777777" w:rsidR="005427AE" w:rsidRPr="00EE75B4" w:rsidRDefault="005427AE" w:rsidP="005427AE">
      <w:pPr>
        <w:autoSpaceDE w:val="0"/>
        <w:autoSpaceDN w:val="0"/>
        <w:adjustRightInd w:val="0"/>
        <w:spacing w:after="0" w:line="240" w:lineRule="auto"/>
        <w:rPr>
          <w:rFonts w:ascii="Times New Roman" w:hAnsi="Times New Roman"/>
          <w:lang w:val="lt-LT"/>
        </w:rPr>
      </w:pPr>
    </w:p>
    <w:p w14:paraId="3D58EF9E" w14:textId="77777777" w:rsidR="005427AE" w:rsidRPr="00EE75B4" w:rsidRDefault="005427AE" w:rsidP="005427AE">
      <w:p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 xml:space="preserve">Vaikų, kuriems persodintas inkstas, gydymo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pratęsimas iki 200 parų nebuvo susijęs su bendruoju nepageidaujamų reiškinių dažnio padidėjimu. Sunkios </w:t>
      </w:r>
      <w:proofErr w:type="spellStart"/>
      <w:r w:rsidRPr="00EE75B4">
        <w:rPr>
          <w:rFonts w:ascii="Times New Roman" w:hAnsi="Times New Roman"/>
          <w:lang w:val="lt-LT"/>
        </w:rPr>
        <w:t>neutropenijos</w:t>
      </w:r>
      <w:proofErr w:type="spellEnd"/>
      <w:r w:rsidRPr="00EE75B4">
        <w:rPr>
          <w:rFonts w:ascii="Times New Roman" w:hAnsi="Times New Roman"/>
          <w:lang w:val="lt-LT"/>
        </w:rPr>
        <w:t xml:space="preserve"> (absoliutus </w:t>
      </w:r>
      <w:proofErr w:type="spellStart"/>
      <w:r w:rsidRPr="00EE75B4">
        <w:rPr>
          <w:rFonts w:ascii="Times New Roman" w:hAnsi="Times New Roman"/>
          <w:lang w:val="lt-LT"/>
        </w:rPr>
        <w:t>neutrofilų</w:t>
      </w:r>
      <w:proofErr w:type="spellEnd"/>
      <w:r w:rsidRPr="00EE75B4">
        <w:rPr>
          <w:rFonts w:ascii="Times New Roman" w:hAnsi="Times New Roman"/>
          <w:lang w:val="lt-LT"/>
        </w:rPr>
        <w:t xml:space="preserve"> skaičius &lt; 500/</w:t>
      </w:r>
      <w:proofErr w:type="spellStart"/>
      <w:r w:rsidRPr="00EE75B4">
        <w:rPr>
          <w:rFonts w:ascii="Times New Roman" w:hAnsi="Times New Roman"/>
          <w:lang w:val="lt-LT"/>
        </w:rPr>
        <w:t>mikrolitre</w:t>
      </w:r>
      <w:proofErr w:type="spellEnd"/>
      <w:r w:rsidRPr="00EE75B4">
        <w:rPr>
          <w:rFonts w:ascii="Times New Roman" w:hAnsi="Times New Roman"/>
          <w:lang w:val="lt-LT"/>
        </w:rPr>
        <w:t>) dažnis buvo didesnis vaikams su persodintu inkstu, gydytiems iki 200</w:t>
      </w:r>
      <w:r w:rsidRPr="00EE75B4">
        <w:rPr>
          <w:rFonts w:ascii="Times New Roman" w:hAnsi="Times New Roman"/>
          <w:lang w:val="lt-LT"/>
        </w:rPr>
        <w:noBreakHyphen/>
        <w:t>osios paros, palyginus su iki 100</w:t>
      </w:r>
      <w:r w:rsidRPr="00EE75B4">
        <w:rPr>
          <w:rFonts w:ascii="Times New Roman" w:hAnsi="Times New Roman"/>
          <w:lang w:val="lt-LT"/>
        </w:rPr>
        <w:noBreakHyphen/>
        <w:t>osios paros gydytais vaikais ir palyginus su suaugusiais pacientais, kuriems persodintas inkstas, gydytais iki 100</w:t>
      </w:r>
      <w:r w:rsidRPr="00EE75B4">
        <w:rPr>
          <w:rFonts w:ascii="Times New Roman" w:hAnsi="Times New Roman"/>
          <w:lang w:val="lt-LT"/>
        </w:rPr>
        <w:noBreakHyphen/>
        <w:t>osios paros arba 200</w:t>
      </w:r>
      <w:r w:rsidRPr="00EE75B4">
        <w:rPr>
          <w:rFonts w:ascii="Times New Roman" w:hAnsi="Times New Roman"/>
          <w:lang w:val="lt-LT"/>
        </w:rPr>
        <w:noBreakHyphen/>
        <w:t>paros (žr. 4.4 skyrių).</w:t>
      </w:r>
    </w:p>
    <w:p w14:paraId="17ED651B" w14:textId="77777777" w:rsidR="005427AE" w:rsidRPr="00EE75B4" w:rsidRDefault="005427AE" w:rsidP="005427AE">
      <w:pPr>
        <w:autoSpaceDE w:val="0"/>
        <w:autoSpaceDN w:val="0"/>
        <w:adjustRightInd w:val="0"/>
        <w:spacing w:after="0" w:line="240" w:lineRule="auto"/>
        <w:rPr>
          <w:rFonts w:ascii="Times New Roman" w:hAnsi="Times New Roman"/>
          <w:lang w:val="lt-LT"/>
        </w:rPr>
      </w:pPr>
    </w:p>
    <w:p w14:paraId="094C7515"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Duomenų apie naujagimių ar kūdikių, sergančių simptomine įgimta CMV infekcija, gydymą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yra nedaug, tačiau atrodo, kad jo saugumas atitinka žinomą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saugumo pobūdį.</w:t>
      </w:r>
    </w:p>
    <w:p w14:paraId="553469EA" w14:textId="77777777" w:rsidR="005427AE" w:rsidRPr="00EE75B4" w:rsidRDefault="005427AE" w:rsidP="005427AE">
      <w:pPr>
        <w:spacing w:after="0" w:line="240" w:lineRule="auto"/>
        <w:rPr>
          <w:rFonts w:ascii="Times New Roman" w:hAnsi="Times New Roman"/>
          <w:u w:val="single"/>
          <w:lang w:val="lt-LT"/>
        </w:rPr>
      </w:pPr>
    </w:p>
    <w:p w14:paraId="56D01431" w14:textId="77777777" w:rsidR="005427AE" w:rsidRPr="00EE75B4" w:rsidRDefault="005427AE" w:rsidP="005427AE">
      <w:pPr>
        <w:tabs>
          <w:tab w:val="left" w:pos="567"/>
        </w:tabs>
        <w:autoSpaceDE w:val="0"/>
        <w:autoSpaceDN w:val="0"/>
        <w:adjustRightInd w:val="0"/>
        <w:spacing w:after="0" w:line="240" w:lineRule="auto"/>
        <w:rPr>
          <w:rFonts w:ascii="Times New Roman" w:hAnsi="Times New Roman"/>
          <w:u w:val="single"/>
          <w:lang w:val="lt-LT"/>
        </w:rPr>
      </w:pPr>
      <w:r w:rsidRPr="00EE75B4">
        <w:rPr>
          <w:rFonts w:ascii="Times New Roman" w:hAnsi="Times New Roman"/>
          <w:u w:val="single"/>
          <w:lang w:val="lt-LT"/>
        </w:rPr>
        <w:t>Pranešimas apie įtariamas nepageidaujamas reakcijas</w:t>
      </w:r>
    </w:p>
    <w:p w14:paraId="07A38202" w14:textId="0A877500" w:rsidR="005427AE" w:rsidRPr="00EE75B4" w:rsidRDefault="00987758" w:rsidP="005427AE">
      <w:pPr>
        <w:tabs>
          <w:tab w:val="left" w:pos="567"/>
        </w:tabs>
        <w:autoSpaceDE w:val="0"/>
        <w:autoSpaceDN w:val="0"/>
        <w:adjustRightInd w:val="0"/>
        <w:spacing w:after="0" w:line="240" w:lineRule="auto"/>
        <w:rPr>
          <w:rFonts w:ascii="Times New Roman" w:hAnsi="Times New Roman"/>
          <w:lang w:val="lt-LT"/>
        </w:rPr>
      </w:pPr>
      <w:r w:rsidRPr="00115099">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0" w:history="1">
        <w:r w:rsidRPr="00115099">
          <w:rPr>
            <w:rFonts w:ascii="Times New Roman" w:hAnsi="Times New Roman"/>
          </w:rPr>
          <w:t>https://vapris.vvkt.lt/vvkt-web/public/nrvSpecialist</w:t>
        </w:r>
      </w:hyperlink>
      <w:r w:rsidRPr="00115099">
        <w:rPr>
          <w:rFonts w:ascii="Times New Roman" w:hAnsi="Times New Roman"/>
          <w:lang w:val="lt-LT"/>
        </w:rPr>
        <w:t xml:space="preserve"> arba užpildę Sveikatos priežiūros ar farmacijos </w:t>
      </w:r>
      <w:r w:rsidRPr="00115099">
        <w:rPr>
          <w:rFonts w:ascii="Times New Roman" w:hAnsi="Times New Roman"/>
          <w:lang w:val="lt-LT"/>
        </w:rPr>
        <w:lastRenderedPageBreak/>
        <w:t xml:space="preserve">specialisto pranešimo apie įtariamą nepageidaujamą reakciją formą, kuri skelbiama </w:t>
      </w:r>
      <w:hyperlink r:id="rId11" w:history="1">
        <w:r w:rsidRPr="00115099">
          <w:rPr>
            <w:rFonts w:ascii="Times New Roman" w:hAnsi="Times New Roman"/>
          </w:rPr>
          <w:t>https://www.vvkt.lt/index.php?1399030386</w:t>
        </w:r>
      </w:hyperlink>
      <w:r w:rsidRPr="00115099">
        <w:rPr>
          <w:rFonts w:ascii="Times New Roman" w:hAnsi="Times New Roman"/>
          <w:lang w:val="lt-LT"/>
        </w:rPr>
        <w:t xml:space="preserve">, ir atsiųsti elektroniniu paštu (adresu </w:t>
      </w:r>
      <w:hyperlink r:id="rId12" w:history="1">
        <w:r w:rsidRPr="00115099">
          <w:rPr>
            <w:rFonts w:ascii="Times New Roman" w:hAnsi="Times New Roman"/>
          </w:rPr>
          <w:t>NepageidaujamaR@vvkt.lt</w:t>
        </w:r>
      </w:hyperlink>
      <w:r w:rsidRPr="00115099">
        <w:rPr>
          <w:rFonts w:ascii="Times New Roman" w:hAnsi="Times New Roman"/>
          <w:lang w:val="lt-LT"/>
        </w:rPr>
        <w:t>).</w:t>
      </w:r>
      <w:r>
        <w:rPr>
          <w:noProof/>
          <w:szCs w:val="24"/>
          <w:lang w:val="lt-LT"/>
        </w:rPr>
        <w:t xml:space="preserve"> </w:t>
      </w:r>
    </w:p>
    <w:p w14:paraId="26BF30EA" w14:textId="77777777" w:rsidR="005427AE" w:rsidRPr="00EE75B4" w:rsidRDefault="005427AE" w:rsidP="005427AE">
      <w:pPr>
        <w:spacing w:after="0" w:line="240" w:lineRule="auto"/>
        <w:rPr>
          <w:rFonts w:ascii="Times New Roman" w:hAnsi="Times New Roman"/>
          <w:lang w:val="lt-LT"/>
        </w:rPr>
      </w:pPr>
    </w:p>
    <w:p w14:paraId="0FC43E9A" w14:textId="77777777" w:rsidR="005427AE" w:rsidRPr="00EE75B4" w:rsidRDefault="005427AE" w:rsidP="005427AE">
      <w:pPr>
        <w:tabs>
          <w:tab w:val="left" w:pos="567"/>
        </w:tabs>
        <w:spacing w:after="0" w:line="240" w:lineRule="auto"/>
        <w:rPr>
          <w:rFonts w:ascii="Times New Roman" w:hAnsi="Times New Roman"/>
          <w:b/>
          <w:lang w:val="lt-LT"/>
        </w:rPr>
      </w:pPr>
      <w:r w:rsidRPr="00EE75B4">
        <w:rPr>
          <w:rFonts w:ascii="Times New Roman" w:hAnsi="Times New Roman"/>
          <w:b/>
          <w:lang w:val="lt-LT"/>
        </w:rPr>
        <w:t>4.9</w:t>
      </w:r>
      <w:r w:rsidRPr="00EE75B4">
        <w:rPr>
          <w:rFonts w:ascii="Times New Roman" w:hAnsi="Times New Roman"/>
          <w:b/>
          <w:lang w:val="lt-LT"/>
        </w:rPr>
        <w:tab/>
        <w:t>Perdozavimas</w:t>
      </w:r>
    </w:p>
    <w:p w14:paraId="76A25942" w14:textId="77777777" w:rsidR="005427AE" w:rsidRPr="00EE75B4" w:rsidRDefault="005427AE" w:rsidP="005427AE">
      <w:pPr>
        <w:spacing w:after="0" w:line="240" w:lineRule="auto"/>
        <w:rPr>
          <w:rFonts w:ascii="Times New Roman" w:hAnsi="Times New Roman"/>
          <w:lang w:val="lt-LT"/>
        </w:rPr>
      </w:pPr>
    </w:p>
    <w:p w14:paraId="4D472579" w14:textId="77777777" w:rsidR="005427AE" w:rsidRPr="00EE75B4" w:rsidRDefault="005427AE" w:rsidP="005427AE">
      <w:pPr>
        <w:spacing w:after="0" w:line="240" w:lineRule="auto"/>
        <w:rPr>
          <w:rFonts w:ascii="Times New Roman" w:hAnsi="Times New Roman"/>
          <w:u w:val="single"/>
          <w:lang w:val="lt-LT"/>
        </w:rPr>
      </w:pPr>
      <w:proofErr w:type="spellStart"/>
      <w:r w:rsidRPr="00EE75B4">
        <w:rPr>
          <w:rFonts w:ascii="Times New Roman" w:hAnsi="Times New Roman"/>
          <w:u w:val="single"/>
          <w:lang w:val="lt-LT"/>
        </w:rPr>
        <w:t>Valgancikloviro</w:t>
      </w:r>
      <w:proofErr w:type="spellEnd"/>
      <w:r w:rsidRPr="00EE75B4">
        <w:rPr>
          <w:rFonts w:ascii="Times New Roman" w:hAnsi="Times New Roman"/>
          <w:u w:val="single"/>
          <w:lang w:val="lt-LT"/>
        </w:rPr>
        <w:t xml:space="preserve"> </w:t>
      </w:r>
      <w:r w:rsidR="002D2553" w:rsidRPr="00EE75B4">
        <w:rPr>
          <w:rFonts w:ascii="Times New Roman" w:eastAsia="Times New Roman" w:hAnsi="Times New Roman"/>
          <w:u w:val="single"/>
          <w:lang w:val="lt-LT" w:eastAsia="ja-JP"/>
        </w:rPr>
        <w:t xml:space="preserve">ir į veną </w:t>
      </w:r>
      <w:r w:rsidR="00E13386" w:rsidRPr="00EE75B4">
        <w:rPr>
          <w:rFonts w:ascii="Times New Roman" w:eastAsia="Times New Roman" w:hAnsi="Times New Roman"/>
          <w:u w:val="single"/>
          <w:lang w:val="lt-LT" w:eastAsia="ja-JP"/>
        </w:rPr>
        <w:t>l</w:t>
      </w:r>
      <w:r w:rsidR="002D2553" w:rsidRPr="00EE75B4">
        <w:rPr>
          <w:rFonts w:ascii="Times New Roman" w:eastAsia="Times New Roman" w:hAnsi="Times New Roman"/>
          <w:u w:val="single"/>
          <w:lang w:val="lt-LT" w:eastAsia="ja-JP"/>
        </w:rPr>
        <w:t xml:space="preserve">eidžiamo </w:t>
      </w:r>
      <w:proofErr w:type="spellStart"/>
      <w:r w:rsidR="002D2553" w:rsidRPr="00EE75B4">
        <w:rPr>
          <w:rFonts w:ascii="Times New Roman" w:eastAsia="Times New Roman" w:hAnsi="Times New Roman"/>
          <w:u w:val="single"/>
          <w:lang w:val="lt-LT" w:eastAsia="ja-JP"/>
        </w:rPr>
        <w:t>gancikloviro</w:t>
      </w:r>
      <w:proofErr w:type="spellEnd"/>
      <w:r w:rsidR="002D2553" w:rsidRPr="00EE75B4">
        <w:rPr>
          <w:rFonts w:ascii="Times New Roman" w:eastAsia="Times New Roman" w:hAnsi="Times New Roman"/>
          <w:u w:val="single"/>
          <w:lang w:val="lt-LT" w:eastAsia="ja-JP"/>
        </w:rPr>
        <w:t xml:space="preserve"> </w:t>
      </w:r>
      <w:r w:rsidRPr="00EE75B4">
        <w:rPr>
          <w:rFonts w:ascii="Times New Roman" w:eastAsia="Times New Roman" w:hAnsi="Times New Roman"/>
          <w:u w:val="single"/>
          <w:lang w:val="lt-LT" w:eastAsia="ja-JP"/>
        </w:rPr>
        <w:t>perdozavim</w:t>
      </w:r>
      <w:r w:rsidR="002D2553" w:rsidRPr="00EE75B4">
        <w:rPr>
          <w:rFonts w:ascii="Times New Roman" w:eastAsia="Times New Roman" w:hAnsi="Times New Roman"/>
          <w:u w:val="single"/>
          <w:lang w:val="lt-LT" w:eastAsia="ja-JP"/>
        </w:rPr>
        <w:t>as</w:t>
      </w:r>
    </w:p>
    <w:p w14:paraId="3D756D65" w14:textId="77777777" w:rsidR="005427AE" w:rsidRPr="00EE75B4" w:rsidRDefault="005427AE" w:rsidP="005427AE">
      <w:pPr>
        <w:spacing w:after="0" w:line="240" w:lineRule="auto"/>
        <w:rPr>
          <w:rFonts w:ascii="Times New Roman" w:hAnsi="Times New Roman"/>
          <w:lang w:val="lt-LT"/>
        </w:rPr>
      </w:pPr>
    </w:p>
    <w:p w14:paraId="5CF29EBF"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Manoma, kad perdozavus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gali padidėti toksinis poveikis inkstams (žr. 4.2 ir 4.4 skyrius).</w:t>
      </w:r>
    </w:p>
    <w:p w14:paraId="62C0E42B" w14:textId="77777777" w:rsidR="005427AE" w:rsidRPr="00EE75B4" w:rsidRDefault="005427AE" w:rsidP="005427AE">
      <w:pPr>
        <w:spacing w:after="0" w:line="240" w:lineRule="auto"/>
        <w:rPr>
          <w:rFonts w:ascii="Times New Roman" w:hAnsi="Times New Roman"/>
          <w:lang w:val="lt-LT"/>
        </w:rPr>
      </w:pPr>
    </w:p>
    <w:p w14:paraId="1CFE3D36"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Pranešimų apie į veną leidžiamo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perdozavimą</w:t>
      </w:r>
      <w:r w:rsidR="00000A98" w:rsidRPr="00EE75B4">
        <w:rPr>
          <w:rFonts w:ascii="Times New Roman" w:eastAsia="Times New Roman" w:hAnsi="Times New Roman"/>
          <w:lang w:val="lt-LT" w:eastAsia="ja-JP"/>
        </w:rPr>
        <w:t>, kai kuriais atvejais pasibaigusį mirtimi,</w:t>
      </w:r>
      <w:r w:rsidRPr="00EE75B4">
        <w:rPr>
          <w:rFonts w:ascii="Times New Roman" w:hAnsi="Times New Roman"/>
          <w:lang w:val="lt-LT"/>
        </w:rPr>
        <w:t xml:space="preserve"> gauta atliekant klinikinius tyrimus ir vaistiniam preparatui jau patekus į rinką. Keliuose iš šių atvejų pranešimų apie šalutinius reiškinius nebuvo. Daugumai pacientų pasireiškė vienas ar daugiau iš toliau išvardytų šalutinių reiškinių:</w:t>
      </w:r>
    </w:p>
    <w:p w14:paraId="607EF032" w14:textId="77777777" w:rsidR="005427AE" w:rsidRPr="00EE75B4" w:rsidRDefault="005427AE" w:rsidP="005427AE">
      <w:pPr>
        <w:spacing w:after="0" w:line="240" w:lineRule="auto"/>
        <w:rPr>
          <w:rFonts w:ascii="Times New Roman" w:hAnsi="Times New Roman"/>
          <w:lang w:val="lt-LT"/>
        </w:rPr>
      </w:pPr>
    </w:p>
    <w:p w14:paraId="00D1951F" w14:textId="665EEACE" w:rsidR="005427AE" w:rsidRPr="00EE75B4" w:rsidRDefault="005427AE" w:rsidP="005427AE">
      <w:pPr>
        <w:numPr>
          <w:ilvl w:val="0"/>
          <w:numId w:val="28"/>
        </w:numPr>
        <w:spacing w:after="0" w:line="240" w:lineRule="auto"/>
        <w:rPr>
          <w:rFonts w:ascii="Times New Roman" w:hAnsi="Times New Roman"/>
          <w:lang w:val="lt-LT"/>
        </w:rPr>
      </w:pPr>
      <w:r w:rsidRPr="00EE75B4">
        <w:rPr>
          <w:rFonts w:ascii="Times New Roman" w:hAnsi="Times New Roman"/>
          <w:i/>
          <w:lang w:val="lt-LT"/>
        </w:rPr>
        <w:t xml:space="preserve">Toksinis poveikis </w:t>
      </w:r>
      <w:proofErr w:type="spellStart"/>
      <w:r w:rsidRPr="00EE75B4">
        <w:rPr>
          <w:rFonts w:ascii="Times New Roman" w:hAnsi="Times New Roman"/>
          <w:i/>
          <w:lang w:val="lt-LT"/>
        </w:rPr>
        <w:t>kraujodarai</w:t>
      </w:r>
      <w:proofErr w:type="spellEnd"/>
      <w:r w:rsidRPr="00EE75B4">
        <w:rPr>
          <w:rFonts w:ascii="Times New Roman" w:hAnsi="Times New Roman"/>
          <w:i/>
          <w:lang w:val="lt-LT"/>
        </w:rPr>
        <w:t xml:space="preserve">: </w:t>
      </w:r>
      <w:r w:rsidRPr="00EE75B4">
        <w:rPr>
          <w:rFonts w:ascii="Times New Roman" w:hAnsi="Times New Roman"/>
          <w:lang w:val="lt-LT"/>
        </w:rPr>
        <w:t>kaulų čiulpų slopinimas</w:t>
      </w:r>
      <w:r w:rsidR="00000A98" w:rsidRPr="00EE75B4">
        <w:rPr>
          <w:rFonts w:ascii="Times New Roman" w:eastAsia="Times New Roman" w:hAnsi="Times New Roman"/>
          <w:lang w:val="lt-LT" w:eastAsia="ja-JP"/>
        </w:rPr>
        <w:t xml:space="preserve">, įskaitant </w:t>
      </w:r>
      <w:proofErr w:type="spellStart"/>
      <w:r w:rsidR="00000A98" w:rsidRPr="00EE75B4">
        <w:rPr>
          <w:rFonts w:ascii="Times New Roman" w:eastAsia="Times New Roman" w:hAnsi="Times New Roman"/>
          <w:lang w:val="lt-LT" w:eastAsia="ja-JP"/>
        </w:rPr>
        <w:t>panci</w:t>
      </w:r>
      <w:r w:rsidR="00EE75B4">
        <w:rPr>
          <w:rFonts w:ascii="Times New Roman" w:eastAsia="Times New Roman" w:hAnsi="Times New Roman"/>
          <w:lang w:val="lt-LT" w:eastAsia="ja-JP"/>
        </w:rPr>
        <w:t>t</w:t>
      </w:r>
      <w:r w:rsidR="00000A98" w:rsidRPr="00EE75B4">
        <w:rPr>
          <w:rFonts w:ascii="Times New Roman" w:eastAsia="Times New Roman" w:hAnsi="Times New Roman"/>
          <w:lang w:val="lt-LT" w:eastAsia="ja-JP"/>
        </w:rPr>
        <w:t>openiją</w:t>
      </w:r>
      <w:proofErr w:type="spellEnd"/>
      <w:r w:rsidRPr="00EE75B4">
        <w:rPr>
          <w:rFonts w:ascii="Times New Roman" w:hAnsi="Times New Roman"/>
          <w:lang w:val="lt-LT"/>
        </w:rPr>
        <w:t xml:space="preserve">, </w:t>
      </w:r>
      <w:r w:rsidR="008D501E" w:rsidRPr="00EE75B4">
        <w:rPr>
          <w:rFonts w:ascii="Times New Roman" w:eastAsia="Times New Roman" w:hAnsi="Times New Roman"/>
          <w:lang w:val="lt-LT" w:eastAsia="ja-JP"/>
        </w:rPr>
        <w:t>kaulų čiulpų funkcijos sutrikimas</w:t>
      </w:r>
      <w:r w:rsidRPr="00EE75B4">
        <w:rPr>
          <w:rFonts w:ascii="Times New Roman" w:hAnsi="Times New Roman"/>
          <w:lang w:val="lt-LT"/>
        </w:rPr>
        <w:t xml:space="preserve">, </w:t>
      </w:r>
      <w:proofErr w:type="spellStart"/>
      <w:r w:rsidRPr="00EE75B4">
        <w:rPr>
          <w:rFonts w:ascii="Times New Roman" w:hAnsi="Times New Roman"/>
          <w:lang w:val="lt-LT"/>
        </w:rPr>
        <w:t>leukopenija</w:t>
      </w:r>
      <w:proofErr w:type="spellEnd"/>
      <w:r w:rsidRPr="00EE75B4">
        <w:rPr>
          <w:rFonts w:ascii="Times New Roman" w:hAnsi="Times New Roman"/>
          <w:lang w:val="lt-LT"/>
        </w:rPr>
        <w:t xml:space="preserve">, </w:t>
      </w:r>
      <w:proofErr w:type="spellStart"/>
      <w:r w:rsidRPr="00EE75B4">
        <w:rPr>
          <w:rFonts w:ascii="Times New Roman" w:hAnsi="Times New Roman"/>
          <w:lang w:val="lt-LT"/>
        </w:rPr>
        <w:t>neutropenija</w:t>
      </w:r>
      <w:proofErr w:type="spellEnd"/>
      <w:r w:rsidRPr="00EE75B4">
        <w:rPr>
          <w:rFonts w:ascii="Times New Roman" w:hAnsi="Times New Roman"/>
          <w:lang w:val="lt-LT"/>
        </w:rPr>
        <w:t xml:space="preserve">, </w:t>
      </w:r>
      <w:proofErr w:type="spellStart"/>
      <w:r w:rsidRPr="00EE75B4">
        <w:rPr>
          <w:rFonts w:ascii="Times New Roman" w:hAnsi="Times New Roman"/>
          <w:lang w:val="lt-LT"/>
        </w:rPr>
        <w:t>granulocitopenija</w:t>
      </w:r>
      <w:proofErr w:type="spellEnd"/>
      <w:r w:rsidRPr="00EE75B4">
        <w:rPr>
          <w:rFonts w:ascii="Times New Roman" w:hAnsi="Times New Roman"/>
          <w:lang w:val="lt-LT"/>
        </w:rPr>
        <w:t>.</w:t>
      </w:r>
    </w:p>
    <w:p w14:paraId="03526968" w14:textId="77777777" w:rsidR="005427AE" w:rsidRPr="00EE75B4" w:rsidRDefault="005427AE" w:rsidP="005427AE">
      <w:pPr>
        <w:numPr>
          <w:ilvl w:val="0"/>
          <w:numId w:val="28"/>
        </w:numPr>
        <w:spacing w:after="0" w:line="240" w:lineRule="auto"/>
        <w:rPr>
          <w:rFonts w:ascii="Times New Roman" w:hAnsi="Times New Roman"/>
          <w:lang w:val="lt-LT"/>
        </w:rPr>
      </w:pPr>
      <w:r w:rsidRPr="00EE75B4">
        <w:rPr>
          <w:rFonts w:ascii="Times New Roman" w:hAnsi="Times New Roman"/>
          <w:i/>
          <w:lang w:val="lt-LT"/>
        </w:rPr>
        <w:t>Toksinis poveikis kepenims</w:t>
      </w:r>
      <w:r w:rsidRPr="00EE75B4">
        <w:rPr>
          <w:rFonts w:ascii="Times New Roman" w:hAnsi="Times New Roman"/>
          <w:lang w:val="lt-LT"/>
        </w:rPr>
        <w:t>: hepatitas, kepenų veiklos sutrikimas.</w:t>
      </w:r>
    </w:p>
    <w:p w14:paraId="0BA27588" w14:textId="1EC30DAF" w:rsidR="005427AE" w:rsidRPr="00EE75B4" w:rsidRDefault="005427AE" w:rsidP="005427AE">
      <w:pPr>
        <w:numPr>
          <w:ilvl w:val="0"/>
          <w:numId w:val="28"/>
        </w:numPr>
        <w:spacing w:after="0" w:line="240" w:lineRule="auto"/>
        <w:rPr>
          <w:rFonts w:ascii="Times New Roman" w:hAnsi="Times New Roman"/>
          <w:lang w:val="lt-LT"/>
        </w:rPr>
      </w:pPr>
      <w:r w:rsidRPr="00EE75B4">
        <w:rPr>
          <w:rFonts w:ascii="Times New Roman" w:hAnsi="Times New Roman"/>
          <w:i/>
          <w:lang w:val="lt-LT"/>
        </w:rPr>
        <w:t>Toksinis poveikis inkstams</w:t>
      </w:r>
      <w:r w:rsidRPr="00EE75B4">
        <w:rPr>
          <w:rFonts w:ascii="Times New Roman" w:hAnsi="Times New Roman"/>
          <w:lang w:val="lt-LT"/>
        </w:rPr>
        <w:t xml:space="preserve">: pacientams, kuriems inkstų funkcija sutrikusi iš anksčiau, </w:t>
      </w:r>
      <w:proofErr w:type="spellStart"/>
      <w:r w:rsidRPr="00EE75B4">
        <w:rPr>
          <w:rFonts w:ascii="Times New Roman" w:hAnsi="Times New Roman"/>
          <w:lang w:val="lt-LT"/>
        </w:rPr>
        <w:t>hematurijos</w:t>
      </w:r>
      <w:proofErr w:type="spellEnd"/>
      <w:r w:rsidRPr="00EE75B4">
        <w:rPr>
          <w:rFonts w:ascii="Times New Roman" w:hAnsi="Times New Roman"/>
          <w:lang w:val="lt-LT"/>
        </w:rPr>
        <w:t xml:space="preserve"> padidėjimas, ūminis </w:t>
      </w:r>
      <w:r w:rsidR="008D501E" w:rsidRPr="00EE75B4">
        <w:rPr>
          <w:rFonts w:ascii="Times New Roman" w:eastAsia="Times New Roman" w:hAnsi="Times New Roman"/>
          <w:lang w:val="lt-LT" w:eastAsia="ja-JP"/>
        </w:rPr>
        <w:t>inkstų pažeidimas</w:t>
      </w:r>
      <w:r w:rsidRPr="00EE75B4">
        <w:rPr>
          <w:rFonts w:ascii="Times New Roman" w:hAnsi="Times New Roman"/>
          <w:lang w:val="lt-LT"/>
        </w:rPr>
        <w:t xml:space="preserve">, </w:t>
      </w:r>
      <w:proofErr w:type="spellStart"/>
      <w:r w:rsidRPr="00EE75B4">
        <w:rPr>
          <w:rFonts w:ascii="Times New Roman" w:hAnsi="Times New Roman"/>
          <w:lang w:val="lt-LT"/>
        </w:rPr>
        <w:t>kreatinino</w:t>
      </w:r>
      <w:proofErr w:type="spellEnd"/>
      <w:r w:rsidRPr="00EE75B4">
        <w:rPr>
          <w:rFonts w:ascii="Times New Roman" w:hAnsi="Times New Roman"/>
          <w:lang w:val="lt-LT"/>
        </w:rPr>
        <w:t xml:space="preserve"> kiekio kraujyje padidėjimas.</w:t>
      </w:r>
    </w:p>
    <w:p w14:paraId="72838A9A" w14:textId="77777777" w:rsidR="005427AE" w:rsidRPr="00EE75B4" w:rsidRDefault="005427AE" w:rsidP="005427AE">
      <w:pPr>
        <w:numPr>
          <w:ilvl w:val="0"/>
          <w:numId w:val="28"/>
        </w:numPr>
        <w:spacing w:after="0" w:line="240" w:lineRule="auto"/>
        <w:rPr>
          <w:rFonts w:ascii="Times New Roman" w:hAnsi="Times New Roman"/>
          <w:lang w:val="lt-LT"/>
        </w:rPr>
      </w:pPr>
      <w:r w:rsidRPr="00EE75B4">
        <w:rPr>
          <w:rFonts w:ascii="Times New Roman" w:hAnsi="Times New Roman"/>
          <w:i/>
          <w:lang w:val="lt-LT"/>
        </w:rPr>
        <w:t>Toksinis poveikis virškinimo traktui</w:t>
      </w:r>
      <w:r w:rsidRPr="00EE75B4">
        <w:rPr>
          <w:rFonts w:ascii="Times New Roman" w:hAnsi="Times New Roman"/>
          <w:lang w:val="lt-LT"/>
        </w:rPr>
        <w:t>: pilvo skausmas, viduriavimas, vėmimas.</w:t>
      </w:r>
    </w:p>
    <w:p w14:paraId="3B691D3E" w14:textId="3BF0ABE5" w:rsidR="005427AE" w:rsidRPr="00EE75B4" w:rsidRDefault="005427AE" w:rsidP="005427AE">
      <w:pPr>
        <w:numPr>
          <w:ilvl w:val="0"/>
          <w:numId w:val="28"/>
        </w:numPr>
        <w:spacing w:after="0" w:line="240" w:lineRule="auto"/>
        <w:rPr>
          <w:rFonts w:ascii="Times New Roman" w:hAnsi="Times New Roman"/>
          <w:lang w:val="lt-LT"/>
        </w:rPr>
      </w:pPr>
      <w:r w:rsidRPr="00EE75B4">
        <w:rPr>
          <w:rFonts w:ascii="Times New Roman" w:hAnsi="Times New Roman"/>
          <w:i/>
          <w:lang w:val="lt-LT"/>
        </w:rPr>
        <w:t>Toksinis poveikis nervų sistemai</w:t>
      </w:r>
      <w:r w:rsidRPr="00EE75B4">
        <w:rPr>
          <w:rFonts w:ascii="Times New Roman" w:hAnsi="Times New Roman"/>
          <w:lang w:val="lt-LT"/>
        </w:rPr>
        <w:t xml:space="preserve">: išplitęs </w:t>
      </w:r>
      <w:proofErr w:type="spellStart"/>
      <w:r w:rsidRPr="00EE75B4">
        <w:rPr>
          <w:rFonts w:ascii="Times New Roman" w:hAnsi="Times New Roman"/>
          <w:lang w:val="lt-LT"/>
        </w:rPr>
        <w:t>tremoras</w:t>
      </w:r>
      <w:proofErr w:type="spellEnd"/>
      <w:r w:rsidRPr="00EE75B4">
        <w:rPr>
          <w:rFonts w:ascii="Times New Roman" w:hAnsi="Times New Roman"/>
          <w:lang w:val="lt-LT"/>
        </w:rPr>
        <w:t xml:space="preserve">, </w:t>
      </w:r>
      <w:r w:rsidR="008D501E" w:rsidRPr="00EE75B4">
        <w:rPr>
          <w:rFonts w:ascii="Times New Roman" w:eastAsia="Times New Roman" w:hAnsi="Times New Roman"/>
          <w:lang w:val="lt-LT" w:eastAsia="ja-JP"/>
        </w:rPr>
        <w:t>priepuoliai</w:t>
      </w:r>
      <w:r w:rsidRPr="00EE75B4">
        <w:rPr>
          <w:rFonts w:ascii="Times New Roman" w:hAnsi="Times New Roman"/>
          <w:lang w:val="lt-LT"/>
        </w:rPr>
        <w:t>.</w:t>
      </w:r>
    </w:p>
    <w:p w14:paraId="4A93B89A" w14:textId="77777777" w:rsidR="005427AE" w:rsidRPr="00EE75B4" w:rsidRDefault="005427AE" w:rsidP="005427AE">
      <w:pPr>
        <w:spacing w:after="0" w:line="240" w:lineRule="auto"/>
        <w:rPr>
          <w:rFonts w:ascii="Times New Roman" w:hAnsi="Times New Roman"/>
          <w:lang w:val="lt-LT"/>
        </w:rPr>
      </w:pPr>
    </w:p>
    <w:p w14:paraId="201DC70F" w14:textId="77777777" w:rsidR="00000A98" w:rsidRPr="00EE75B4" w:rsidRDefault="00000A98" w:rsidP="005427AE">
      <w:pPr>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 xml:space="preserve">Perdozuoto </w:t>
      </w:r>
      <w:proofErr w:type="spellStart"/>
      <w:r w:rsidRPr="00EE75B4">
        <w:rPr>
          <w:rFonts w:ascii="Times New Roman" w:eastAsia="Times New Roman" w:hAnsi="Times New Roman"/>
          <w:lang w:val="lt-LT" w:eastAsia="ja-JP"/>
        </w:rPr>
        <w:t>valgancikloviro</w:t>
      </w:r>
      <w:proofErr w:type="spellEnd"/>
      <w:r w:rsidRPr="00EE75B4">
        <w:rPr>
          <w:rFonts w:ascii="Times New Roman" w:eastAsia="Times New Roman" w:hAnsi="Times New Roman"/>
          <w:lang w:val="lt-LT" w:eastAsia="ja-JP"/>
        </w:rPr>
        <w:t xml:space="preserve"> koncentraciją kraujo plazmoje gali sumažinti hemodializė ir </w:t>
      </w:r>
      <w:proofErr w:type="spellStart"/>
      <w:r w:rsidRPr="00EE75B4">
        <w:rPr>
          <w:rFonts w:ascii="Times New Roman" w:eastAsia="Times New Roman" w:hAnsi="Times New Roman"/>
          <w:lang w:val="lt-LT" w:eastAsia="ja-JP"/>
        </w:rPr>
        <w:t>hidracija</w:t>
      </w:r>
      <w:proofErr w:type="spellEnd"/>
      <w:r w:rsidRPr="00EE75B4">
        <w:rPr>
          <w:rFonts w:ascii="Times New Roman" w:eastAsia="Times New Roman" w:hAnsi="Times New Roman"/>
          <w:lang w:val="lt-LT" w:eastAsia="ja-JP"/>
        </w:rPr>
        <w:t xml:space="preserve"> (žr. 5.2 skyrių).</w:t>
      </w:r>
    </w:p>
    <w:p w14:paraId="316A5F7E" w14:textId="7B3539D4" w:rsidR="005427AE" w:rsidRPr="00EE75B4" w:rsidRDefault="005427AE" w:rsidP="005427AE">
      <w:pPr>
        <w:spacing w:after="0" w:line="240" w:lineRule="auto"/>
        <w:rPr>
          <w:rFonts w:ascii="Times New Roman" w:hAnsi="Times New Roman"/>
          <w:lang w:val="lt-LT"/>
        </w:rPr>
      </w:pPr>
    </w:p>
    <w:p w14:paraId="43F88156" w14:textId="77777777" w:rsidR="00EE75B4" w:rsidRPr="00EE75B4" w:rsidRDefault="00EE75B4" w:rsidP="005427AE">
      <w:pPr>
        <w:spacing w:after="0" w:line="240" w:lineRule="auto"/>
        <w:rPr>
          <w:rFonts w:ascii="Times New Roman" w:hAnsi="Times New Roman"/>
          <w:lang w:val="lt-LT"/>
        </w:rPr>
      </w:pPr>
    </w:p>
    <w:p w14:paraId="58DE44D5" w14:textId="77777777" w:rsidR="005427AE" w:rsidRPr="00EE75B4" w:rsidRDefault="005427AE" w:rsidP="005427AE">
      <w:pPr>
        <w:spacing w:after="0" w:line="240" w:lineRule="auto"/>
        <w:ind w:left="567" w:hanging="567"/>
        <w:outlineLvl w:val="0"/>
        <w:rPr>
          <w:rFonts w:ascii="Times New Roman" w:hAnsi="Times New Roman"/>
          <w:b/>
          <w:caps/>
          <w:kern w:val="28"/>
          <w:lang w:val="lt-LT"/>
        </w:rPr>
      </w:pPr>
      <w:r w:rsidRPr="00EE75B4">
        <w:rPr>
          <w:rFonts w:ascii="Times New Roman" w:hAnsi="Times New Roman"/>
          <w:b/>
          <w:caps/>
          <w:kern w:val="28"/>
          <w:lang w:val="lt-LT"/>
        </w:rPr>
        <w:t>5.</w:t>
      </w:r>
      <w:r w:rsidRPr="00EE75B4">
        <w:rPr>
          <w:rFonts w:ascii="Times New Roman" w:hAnsi="Times New Roman"/>
          <w:b/>
          <w:caps/>
          <w:kern w:val="28"/>
          <w:lang w:val="lt-LT"/>
        </w:rPr>
        <w:tab/>
      </w:r>
      <w:r w:rsidRPr="00EE75B4">
        <w:rPr>
          <w:rFonts w:ascii="Times New Roman" w:hAnsi="Times New Roman"/>
          <w:b/>
          <w:kern w:val="28"/>
          <w:lang w:val="lt-LT"/>
        </w:rPr>
        <w:t>FARMAKOLOGINĖS SAVYBĖS</w:t>
      </w:r>
    </w:p>
    <w:p w14:paraId="620373F9" w14:textId="77777777" w:rsidR="005427AE" w:rsidRPr="00EE75B4" w:rsidRDefault="005427AE" w:rsidP="005427AE">
      <w:pPr>
        <w:spacing w:after="0" w:line="240" w:lineRule="auto"/>
        <w:rPr>
          <w:rFonts w:ascii="Times New Roman" w:hAnsi="Times New Roman"/>
          <w:b/>
          <w:lang w:val="lt-LT"/>
        </w:rPr>
      </w:pPr>
    </w:p>
    <w:p w14:paraId="3984F412" w14:textId="77777777" w:rsidR="005427AE" w:rsidRPr="00EE75B4" w:rsidRDefault="005427AE" w:rsidP="005427AE">
      <w:pPr>
        <w:spacing w:after="0" w:line="240" w:lineRule="auto"/>
        <w:ind w:left="567" w:hanging="567"/>
        <w:outlineLvl w:val="1"/>
        <w:rPr>
          <w:rFonts w:ascii="Times New Roman" w:hAnsi="Times New Roman"/>
          <w:b/>
          <w:kern w:val="28"/>
          <w:lang w:val="lt-LT"/>
        </w:rPr>
      </w:pPr>
      <w:r w:rsidRPr="00EE75B4">
        <w:rPr>
          <w:rFonts w:ascii="Times New Roman" w:hAnsi="Times New Roman"/>
          <w:b/>
          <w:kern w:val="28"/>
          <w:lang w:val="lt-LT"/>
        </w:rPr>
        <w:t>5.1</w:t>
      </w:r>
      <w:r w:rsidRPr="00EE75B4">
        <w:rPr>
          <w:rFonts w:ascii="Times New Roman" w:hAnsi="Times New Roman"/>
          <w:b/>
          <w:kern w:val="28"/>
          <w:lang w:val="lt-LT"/>
        </w:rPr>
        <w:tab/>
      </w:r>
      <w:proofErr w:type="spellStart"/>
      <w:r w:rsidRPr="00EE75B4">
        <w:rPr>
          <w:rFonts w:ascii="Times New Roman" w:hAnsi="Times New Roman"/>
          <w:b/>
          <w:kern w:val="28"/>
          <w:lang w:val="lt-LT"/>
        </w:rPr>
        <w:t>Farmakodinaminės</w:t>
      </w:r>
      <w:proofErr w:type="spellEnd"/>
      <w:r w:rsidRPr="00EE75B4">
        <w:rPr>
          <w:rFonts w:ascii="Times New Roman" w:hAnsi="Times New Roman"/>
          <w:b/>
          <w:kern w:val="28"/>
          <w:lang w:val="lt-LT"/>
        </w:rPr>
        <w:t xml:space="preserve"> savybės</w:t>
      </w:r>
    </w:p>
    <w:p w14:paraId="3C941D7F" w14:textId="77777777" w:rsidR="005427AE" w:rsidRPr="00EE75B4" w:rsidRDefault="005427AE" w:rsidP="005427AE">
      <w:pPr>
        <w:spacing w:after="0" w:line="240" w:lineRule="auto"/>
        <w:rPr>
          <w:rFonts w:ascii="Times New Roman" w:hAnsi="Times New Roman"/>
          <w:lang w:val="lt-LT"/>
        </w:rPr>
      </w:pPr>
    </w:p>
    <w:p w14:paraId="193C6B81"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Farmakoterapinė</w:t>
      </w:r>
      <w:proofErr w:type="spellEnd"/>
      <w:r w:rsidRPr="00EE75B4">
        <w:rPr>
          <w:rFonts w:ascii="Times New Roman" w:hAnsi="Times New Roman"/>
          <w:lang w:val="lt-LT"/>
        </w:rPr>
        <w:t xml:space="preserve"> grupė – sisteminio poveikio antivirusiniai vaistiniai preparatai, </w:t>
      </w:r>
      <w:proofErr w:type="spellStart"/>
      <w:r w:rsidRPr="00EE75B4">
        <w:rPr>
          <w:rFonts w:ascii="Times New Roman" w:hAnsi="Times New Roman"/>
          <w:lang w:val="lt-LT"/>
        </w:rPr>
        <w:t>nukleozidai</w:t>
      </w:r>
      <w:proofErr w:type="spellEnd"/>
      <w:r w:rsidRPr="00EE75B4">
        <w:rPr>
          <w:rFonts w:ascii="Times New Roman" w:hAnsi="Times New Roman"/>
          <w:lang w:val="lt-LT"/>
        </w:rPr>
        <w:t xml:space="preserve"> ir nukleotidai, išskyrus atvirkštinės </w:t>
      </w:r>
      <w:proofErr w:type="spellStart"/>
      <w:r w:rsidRPr="00EE75B4">
        <w:rPr>
          <w:rFonts w:ascii="Times New Roman" w:hAnsi="Times New Roman"/>
          <w:lang w:val="lt-LT"/>
        </w:rPr>
        <w:t>transkriptazės</w:t>
      </w:r>
      <w:proofErr w:type="spellEnd"/>
      <w:r w:rsidRPr="00EE75B4">
        <w:rPr>
          <w:rFonts w:ascii="Times New Roman" w:hAnsi="Times New Roman"/>
          <w:lang w:val="lt-LT"/>
        </w:rPr>
        <w:t xml:space="preserve"> inhibitorius.</w:t>
      </w:r>
    </w:p>
    <w:p w14:paraId="3DF4E996" w14:textId="09A034C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ATC kodas – J05AB14.</w:t>
      </w:r>
    </w:p>
    <w:p w14:paraId="77B20265" w14:textId="77777777" w:rsidR="005427AE" w:rsidRPr="00EE75B4" w:rsidRDefault="005427AE" w:rsidP="005427AE">
      <w:pPr>
        <w:spacing w:after="0" w:line="240" w:lineRule="auto"/>
        <w:rPr>
          <w:rFonts w:ascii="Times New Roman" w:hAnsi="Times New Roman"/>
          <w:u w:val="single"/>
          <w:lang w:val="lt-LT"/>
        </w:rPr>
      </w:pPr>
    </w:p>
    <w:p w14:paraId="0312D3E8"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Veikimo mechanizmas</w:t>
      </w:r>
    </w:p>
    <w:p w14:paraId="04581E76" w14:textId="77777777" w:rsidR="005427AE" w:rsidRPr="00EE75B4" w:rsidRDefault="005427AE" w:rsidP="005427AE">
      <w:pPr>
        <w:spacing w:after="0" w:line="240" w:lineRule="auto"/>
        <w:rPr>
          <w:rFonts w:ascii="Times New Roman" w:hAnsi="Times New Roman"/>
          <w:i/>
          <w:u w:val="single"/>
          <w:lang w:val="lt-LT"/>
        </w:rPr>
      </w:pPr>
      <w:proofErr w:type="spellStart"/>
      <w:r w:rsidRPr="00EE75B4">
        <w:rPr>
          <w:rFonts w:ascii="Times New Roman" w:hAnsi="Times New Roman"/>
          <w:lang w:val="lt-LT"/>
        </w:rPr>
        <w:t>Valgancikloviras</w:t>
      </w:r>
      <w:proofErr w:type="spellEnd"/>
      <w:r w:rsidRPr="00EE75B4">
        <w:rPr>
          <w:rFonts w:ascii="Times New Roman" w:hAnsi="Times New Roman"/>
          <w:lang w:val="lt-LT"/>
        </w:rPr>
        <w:t xml:space="preserve"> yra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L-</w:t>
      </w:r>
      <w:proofErr w:type="spellStart"/>
      <w:r w:rsidRPr="00EE75B4">
        <w:rPr>
          <w:rFonts w:ascii="Times New Roman" w:hAnsi="Times New Roman"/>
          <w:lang w:val="lt-LT"/>
        </w:rPr>
        <w:t>valilo</w:t>
      </w:r>
      <w:proofErr w:type="spellEnd"/>
      <w:r w:rsidRPr="00EE75B4">
        <w:rPr>
          <w:rFonts w:ascii="Times New Roman" w:hAnsi="Times New Roman"/>
          <w:lang w:val="lt-LT"/>
        </w:rPr>
        <w:t xml:space="preserve"> esteris (vaistinio preparato pirmtakas). Išgertą </w:t>
      </w:r>
      <w:proofErr w:type="spellStart"/>
      <w:r w:rsidRPr="00EE75B4">
        <w:rPr>
          <w:rFonts w:ascii="Times New Roman" w:hAnsi="Times New Roman"/>
          <w:lang w:val="lt-LT"/>
        </w:rPr>
        <w:t>valganciklovirą</w:t>
      </w:r>
      <w:proofErr w:type="spellEnd"/>
      <w:r w:rsidRPr="00EE75B4">
        <w:rPr>
          <w:rFonts w:ascii="Times New Roman" w:hAnsi="Times New Roman"/>
          <w:lang w:val="lt-LT"/>
        </w:rPr>
        <w:t xml:space="preserve"> žarnų ir kepenų </w:t>
      </w:r>
      <w:proofErr w:type="spellStart"/>
      <w:r w:rsidRPr="00EE75B4">
        <w:rPr>
          <w:rFonts w:ascii="Times New Roman" w:hAnsi="Times New Roman"/>
          <w:lang w:val="lt-LT"/>
        </w:rPr>
        <w:t>esterazės</w:t>
      </w:r>
      <w:proofErr w:type="spellEnd"/>
      <w:r w:rsidRPr="00EE75B4">
        <w:rPr>
          <w:rFonts w:ascii="Times New Roman" w:hAnsi="Times New Roman"/>
          <w:lang w:val="lt-LT"/>
        </w:rPr>
        <w:t xml:space="preserve"> greitai ir ekstensyviai </w:t>
      </w:r>
      <w:proofErr w:type="spellStart"/>
      <w:r w:rsidRPr="00EE75B4">
        <w:rPr>
          <w:rFonts w:ascii="Times New Roman" w:hAnsi="Times New Roman"/>
          <w:lang w:val="lt-LT"/>
        </w:rPr>
        <w:t>metabolizuoja</w:t>
      </w:r>
      <w:proofErr w:type="spellEnd"/>
      <w:r w:rsidRPr="00EE75B4">
        <w:rPr>
          <w:rFonts w:ascii="Times New Roman" w:hAnsi="Times New Roman"/>
          <w:lang w:val="lt-LT"/>
        </w:rPr>
        <w:t xml:space="preserve"> į </w:t>
      </w:r>
      <w:proofErr w:type="spellStart"/>
      <w:r w:rsidRPr="00EE75B4">
        <w:rPr>
          <w:rFonts w:ascii="Times New Roman" w:hAnsi="Times New Roman"/>
          <w:lang w:val="lt-LT"/>
        </w:rPr>
        <w:t>ganciklovirą</w:t>
      </w:r>
      <w:proofErr w:type="spellEnd"/>
      <w:r w:rsidRPr="00EE75B4">
        <w:rPr>
          <w:rFonts w:ascii="Times New Roman" w:hAnsi="Times New Roman"/>
          <w:lang w:val="lt-LT"/>
        </w:rPr>
        <w:t xml:space="preserve">. </w:t>
      </w:r>
      <w:proofErr w:type="spellStart"/>
      <w:r w:rsidRPr="00EE75B4">
        <w:rPr>
          <w:rFonts w:ascii="Times New Roman" w:hAnsi="Times New Roman"/>
          <w:lang w:val="lt-LT"/>
        </w:rPr>
        <w:t>Gancikloviras</w:t>
      </w:r>
      <w:proofErr w:type="spellEnd"/>
      <w:r w:rsidRPr="00EE75B4">
        <w:rPr>
          <w:rFonts w:ascii="Times New Roman" w:hAnsi="Times New Roman"/>
          <w:lang w:val="lt-LT"/>
        </w:rPr>
        <w:t xml:space="preserve"> yra sintetinis 2’-deoksiguanozino analogas; </w:t>
      </w:r>
      <w:proofErr w:type="spellStart"/>
      <w:r w:rsidRPr="00EE75B4">
        <w:rPr>
          <w:rFonts w:ascii="Times New Roman" w:hAnsi="Times New Roman"/>
          <w:i/>
          <w:lang w:val="lt-LT"/>
        </w:rPr>
        <w:t>in</w:t>
      </w:r>
      <w:proofErr w:type="spellEnd"/>
      <w:r w:rsidRPr="00EE75B4">
        <w:rPr>
          <w:rFonts w:ascii="Times New Roman" w:hAnsi="Times New Roman"/>
          <w:i/>
          <w:lang w:val="lt-LT"/>
        </w:rPr>
        <w:t xml:space="preserve"> </w:t>
      </w:r>
      <w:proofErr w:type="spellStart"/>
      <w:r w:rsidRPr="00EE75B4">
        <w:rPr>
          <w:rFonts w:ascii="Times New Roman" w:hAnsi="Times New Roman"/>
          <w:i/>
          <w:lang w:val="lt-LT"/>
        </w:rPr>
        <w:t>vitro</w:t>
      </w:r>
      <w:proofErr w:type="spellEnd"/>
      <w:r w:rsidRPr="00EE75B4">
        <w:rPr>
          <w:rFonts w:ascii="Times New Roman" w:hAnsi="Times New Roman"/>
          <w:lang w:val="lt-LT"/>
        </w:rPr>
        <w:t xml:space="preserve"> ir </w:t>
      </w:r>
      <w:proofErr w:type="spellStart"/>
      <w:r w:rsidRPr="00EE75B4">
        <w:rPr>
          <w:rFonts w:ascii="Times New Roman" w:hAnsi="Times New Roman"/>
          <w:i/>
          <w:lang w:val="lt-LT"/>
        </w:rPr>
        <w:t>in</w:t>
      </w:r>
      <w:proofErr w:type="spellEnd"/>
      <w:r w:rsidRPr="00EE75B4">
        <w:rPr>
          <w:rFonts w:ascii="Times New Roman" w:hAnsi="Times New Roman"/>
          <w:i/>
          <w:lang w:val="lt-LT"/>
        </w:rPr>
        <w:t xml:space="preserve"> </w:t>
      </w:r>
      <w:proofErr w:type="spellStart"/>
      <w:r w:rsidRPr="00EE75B4">
        <w:rPr>
          <w:rFonts w:ascii="Times New Roman" w:hAnsi="Times New Roman"/>
          <w:i/>
          <w:lang w:val="lt-LT"/>
        </w:rPr>
        <w:t>vivo</w:t>
      </w:r>
      <w:proofErr w:type="spellEnd"/>
      <w:r w:rsidRPr="00EE75B4">
        <w:rPr>
          <w:rFonts w:ascii="Times New Roman" w:hAnsi="Times New Roman"/>
          <w:lang w:val="lt-LT"/>
        </w:rPr>
        <w:t xml:space="preserve"> jis slopina pūslelinės (</w:t>
      </w:r>
      <w:proofErr w:type="spellStart"/>
      <w:r w:rsidRPr="00EE75B4">
        <w:rPr>
          <w:rFonts w:ascii="Times New Roman" w:hAnsi="Times New Roman"/>
          <w:lang w:val="lt-LT"/>
        </w:rPr>
        <w:t>herpes</w:t>
      </w:r>
      <w:proofErr w:type="spellEnd"/>
      <w:r w:rsidRPr="00EE75B4">
        <w:rPr>
          <w:rFonts w:ascii="Times New Roman" w:hAnsi="Times New Roman"/>
          <w:lang w:val="lt-LT"/>
        </w:rPr>
        <w:t xml:space="preserve">) virusų replikaciją. Jam jautrūs šie žmonių virusai: žmogaus </w:t>
      </w:r>
      <w:proofErr w:type="spellStart"/>
      <w:r w:rsidRPr="00EE75B4">
        <w:rPr>
          <w:rFonts w:ascii="Times New Roman" w:hAnsi="Times New Roman"/>
          <w:lang w:val="lt-LT"/>
        </w:rPr>
        <w:t>citomegalo</w:t>
      </w:r>
      <w:proofErr w:type="spellEnd"/>
      <w:r w:rsidRPr="00EE75B4">
        <w:rPr>
          <w:rFonts w:ascii="Times New Roman" w:hAnsi="Times New Roman"/>
          <w:lang w:val="lt-LT"/>
        </w:rPr>
        <w:t xml:space="preserve"> virusas (HCMV), paprastosios pūslelinės 1 tipo ir 2 tipo virusas (HSV-1 ir HSV-2), žmogaus pūslelinės 6 tipo, 7 tipo ir 8 tipo virusas (HHV-6, HHV-7, HHV-8), </w:t>
      </w:r>
      <w:proofErr w:type="spellStart"/>
      <w:r w:rsidRPr="00EE75B4">
        <w:rPr>
          <w:rFonts w:ascii="Times New Roman" w:hAnsi="Times New Roman"/>
          <w:i/>
          <w:lang w:val="lt-LT"/>
        </w:rPr>
        <w:t>Epstein-Barr</w:t>
      </w:r>
      <w:proofErr w:type="spellEnd"/>
      <w:r w:rsidRPr="00EE75B4">
        <w:rPr>
          <w:rFonts w:ascii="Times New Roman" w:hAnsi="Times New Roman"/>
          <w:lang w:val="lt-LT"/>
        </w:rPr>
        <w:t xml:space="preserve"> virusas (EBV), juostinės pūslelinės virusas (VZV) ir hepatito B virusas (HBV). </w:t>
      </w:r>
    </w:p>
    <w:p w14:paraId="43954AAB" w14:textId="77777777" w:rsidR="005427AE" w:rsidRPr="00EE75B4" w:rsidRDefault="005427AE" w:rsidP="005427AE">
      <w:pPr>
        <w:spacing w:after="0" w:line="240" w:lineRule="auto"/>
        <w:rPr>
          <w:rFonts w:ascii="Times New Roman" w:hAnsi="Times New Roman"/>
          <w:lang w:val="lt-LT"/>
        </w:rPr>
      </w:pPr>
    </w:p>
    <w:p w14:paraId="515E5CA0"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CMV infekuotose ląstelėse virusų </w:t>
      </w:r>
      <w:proofErr w:type="spellStart"/>
      <w:r w:rsidRPr="00EE75B4">
        <w:rPr>
          <w:rFonts w:ascii="Times New Roman" w:hAnsi="Times New Roman"/>
          <w:lang w:val="lt-LT"/>
        </w:rPr>
        <w:t>proteinkinazė</w:t>
      </w:r>
      <w:proofErr w:type="spellEnd"/>
      <w:r w:rsidRPr="00EE75B4">
        <w:rPr>
          <w:rFonts w:ascii="Times New Roman" w:hAnsi="Times New Roman"/>
          <w:lang w:val="lt-LT"/>
        </w:rPr>
        <w:t xml:space="preserve"> pUL97 iš pradžių </w:t>
      </w:r>
      <w:proofErr w:type="spellStart"/>
      <w:r w:rsidRPr="00EE75B4">
        <w:rPr>
          <w:rFonts w:ascii="Times New Roman" w:hAnsi="Times New Roman"/>
          <w:lang w:val="lt-LT"/>
        </w:rPr>
        <w:t>ganciklovirą</w:t>
      </w:r>
      <w:proofErr w:type="spellEnd"/>
      <w:r w:rsidRPr="00EE75B4">
        <w:rPr>
          <w:rFonts w:ascii="Times New Roman" w:hAnsi="Times New Roman"/>
          <w:lang w:val="lt-LT"/>
        </w:rPr>
        <w:t xml:space="preserve"> </w:t>
      </w:r>
      <w:proofErr w:type="spellStart"/>
      <w:r w:rsidRPr="00EE75B4">
        <w:rPr>
          <w:rFonts w:ascii="Times New Roman" w:hAnsi="Times New Roman"/>
          <w:lang w:val="lt-LT"/>
        </w:rPr>
        <w:t>fosforilina</w:t>
      </w:r>
      <w:proofErr w:type="spellEnd"/>
      <w:r w:rsidRPr="00EE75B4">
        <w:rPr>
          <w:rFonts w:ascii="Times New Roman" w:hAnsi="Times New Roman"/>
          <w:lang w:val="lt-LT"/>
        </w:rPr>
        <w:t xml:space="preserve"> į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w:t>
      </w:r>
      <w:proofErr w:type="spellStart"/>
      <w:r w:rsidRPr="00EE75B4">
        <w:rPr>
          <w:rFonts w:ascii="Times New Roman" w:hAnsi="Times New Roman"/>
          <w:lang w:val="lt-LT"/>
        </w:rPr>
        <w:t>monofosfatą</w:t>
      </w:r>
      <w:proofErr w:type="spellEnd"/>
      <w:r w:rsidRPr="00EE75B4">
        <w:rPr>
          <w:rFonts w:ascii="Times New Roman" w:hAnsi="Times New Roman"/>
          <w:lang w:val="lt-LT"/>
        </w:rPr>
        <w:t xml:space="preserve">. Toliau jį </w:t>
      </w:r>
      <w:proofErr w:type="spellStart"/>
      <w:r w:rsidRPr="00EE75B4">
        <w:rPr>
          <w:rFonts w:ascii="Times New Roman" w:hAnsi="Times New Roman"/>
          <w:lang w:val="lt-LT"/>
        </w:rPr>
        <w:t>fosforilina</w:t>
      </w:r>
      <w:proofErr w:type="spellEnd"/>
      <w:r w:rsidRPr="00EE75B4">
        <w:rPr>
          <w:rFonts w:ascii="Times New Roman" w:hAnsi="Times New Roman"/>
          <w:lang w:val="lt-LT"/>
        </w:rPr>
        <w:t xml:space="preserve"> ląstelių </w:t>
      </w:r>
      <w:proofErr w:type="spellStart"/>
      <w:r w:rsidRPr="00EE75B4">
        <w:rPr>
          <w:rFonts w:ascii="Times New Roman" w:hAnsi="Times New Roman"/>
          <w:lang w:val="lt-LT"/>
        </w:rPr>
        <w:t>kinazės</w:t>
      </w:r>
      <w:proofErr w:type="spellEnd"/>
      <w:r w:rsidRPr="00EE75B4">
        <w:rPr>
          <w:rFonts w:ascii="Times New Roman" w:hAnsi="Times New Roman"/>
          <w:lang w:val="lt-LT"/>
        </w:rPr>
        <w:t xml:space="preserve"> į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w:t>
      </w:r>
      <w:proofErr w:type="spellStart"/>
      <w:r w:rsidRPr="00EE75B4">
        <w:rPr>
          <w:rFonts w:ascii="Times New Roman" w:hAnsi="Times New Roman"/>
          <w:lang w:val="lt-LT"/>
        </w:rPr>
        <w:t>trifosfatą</w:t>
      </w:r>
      <w:proofErr w:type="spellEnd"/>
      <w:r w:rsidRPr="00EE75B4">
        <w:rPr>
          <w:rFonts w:ascii="Times New Roman" w:hAnsi="Times New Roman"/>
          <w:lang w:val="lt-LT"/>
        </w:rPr>
        <w:t xml:space="preserve">, kuris paskui ląstelėse lėtai </w:t>
      </w:r>
      <w:proofErr w:type="spellStart"/>
      <w:r w:rsidRPr="00EE75B4">
        <w:rPr>
          <w:rFonts w:ascii="Times New Roman" w:hAnsi="Times New Roman"/>
          <w:lang w:val="lt-LT"/>
        </w:rPr>
        <w:t>metabolizuojamas</w:t>
      </w:r>
      <w:proofErr w:type="spellEnd"/>
      <w:r w:rsidRPr="00EE75B4">
        <w:rPr>
          <w:rFonts w:ascii="Times New Roman" w:hAnsi="Times New Roman"/>
          <w:lang w:val="lt-LT"/>
        </w:rPr>
        <w:t xml:space="preserve">. Nustatyta, kad vykstant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w:t>
      </w:r>
      <w:proofErr w:type="spellStart"/>
      <w:r w:rsidRPr="00EE75B4">
        <w:rPr>
          <w:rFonts w:ascii="Times New Roman" w:hAnsi="Times New Roman"/>
          <w:lang w:val="lt-LT"/>
        </w:rPr>
        <w:t>trifosfato</w:t>
      </w:r>
      <w:proofErr w:type="spellEnd"/>
      <w:r w:rsidRPr="00EE75B4">
        <w:rPr>
          <w:rFonts w:ascii="Times New Roman" w:hAnsi="Times New Roman"/>
          <w:lang w:val="lt-LT"/>
        </w:rPr>
        <w:t xml:space="preserve"> metabolizmui HSV ir HCMV infekuotose ląstelėse jo pusinės eliminacijos periodas yra atitinkamai 18 valandų ir nuo 6 iki 24 valandų po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pašalinimo iš tarpląstelinio tarpo. Kadangi </w:t>
      </w:r>
      <w:proofErr w:type="spellStart"/>
      <w:r w:rsidRPr="00EE75B4">
        <w:rPr>
          <w:rFonts w:ascii="Times New Roman" w:hAnsi="Times New Roman"/>
          <w:lang w:val="lt-LT"/>
        </w:rPr>
        <w:t>fosforilinimas</w:t>
      </w:r>
      <w:proofErr w:type="spellEnd"/>
      <w:r w:rsidRPr="00EE75B4">
        <w:rPr>
          <w:rFonts w:ascii="Times New Roman" w:hAnsi="Times New Roman"/>
          <w:lang w:val="lt-LT"/>
        </w:rPr>
        <w:t xml:space="preserve"> daugiausia priklauso nuo virusų </w:t>
      </w:r>
      <w:proofErr w:type="spellStart"/>
      <w:r w:rsidRPr="00EE75B4">
        <w:rPr>
          <w:rFonts w:ascii="Times New Roman" w:hAnsi="Times New Roman"/>
          <w:lang w:val="lt-LT"/>
        </w:rPr>
        <w:t>kinazės</w:t>
      </w:r>
      <w:proofErr w:type="spellEnd"/>
      <w:r w:rsidRPr="00EE75B4">
        <w:rPr>
          <w:rFonts w:ascii="Times New Roman" w:hAnsi="Times New Roman"/>
          <w:lang w:val="lt-LT"/>
        </w:rPr>
        <w:t xml:space="preserve">, </w:t>
      </w:r>
      <w:proofErr w:type="spellStart"/>
      <w:r w:rsidRPr="00EE75B4">
        <w:rPr>
          <w:rFonts w:ascii="Times New Roman" w:hAnsi="Times New Roman"/>
          <w:lang w:val="lt-LT"/>
        </w:rPr>
        <w:t>gancikloviras</w:t>
      </w:r>
      <w:proofErr w:type="spellEnd"/>
      <w:r w:rsidRPr="00EE75B4">
        <w:rPr>
          <w:rFonts w:ascii="Times New Roman" w:hAnsi="Times New Roman"/>
          <w:lang w:val="lt-LT"/>
        </w:rPr>
        <w:t xml:space="preserve"> pirmiausiai </w:t>
      </w:r>
      <w:proofErr w:type="spellStart"/>
      <w:r w:rsidRPr="00EE75B4">
        <w:rPr>
          <w:rFonts w:ascii="Times New Roman" w:hAnsi="Times New Roman"/>
          <w:lang w:val="lt-LT"/>
        </w:rPr>
        <w:t>fosforilinamas</w:t>
      </w:r>
      <w:proofErr w:type="spellEnd"/>
      <w:r w:rsidRPr="00EE75B4">
        <w:rPr>
          <w:rFonts w:ascii="Times New Roman" w:hAnsi="Times New Roman"/>
          <w:lang w:val="lt-LT"/>
        </w:rPr>
        <w:t xml:space="preserve"> virusų infekuotose ląstelėse.</w:t>
      </w:r>
    </w:p>
    <w:p w14:paraId="2C1440DD" w14:textId="77777777" w:rsidR="005427AE" w:rsidRPr="00EE75B4" w:rsidRDefault="005427AE" w:rsidP="005427AE">
      <w:pPr>
        <w:spacing w:after="0" w:line="240" w:lineRule="auto"/>
        <w:rPr>
          <w:rFonts w:ascii="Times New Roman" w:hAnsi="Times New Roman"/>
          <w:lang w:val="lt-LT"/>
        </w:rPr>
      </w:pPr>
    </w:p>
    <w:p w14:paraId="200936DA" w14:textId="77777777" w:rsidR="005427AE" w:rsidRPr="00EE75B4" w:rsidRDefault="005427AE" w:rsidP="005427AE">
      <w:pPr>
        <w:keepNext/>
        <w:keepLines/>
        <w:spacing w:after="0" w:line="240" w:lineRule="auto"/>
        <w:rPr>
          <w:rFonts w:ascii="Times New Roman" w:hAnsi="Times New Roman"/>
          <w:lang w:val="lt-LT"/>
        </w:rPr>
      </w:pPr>
      <w:proofErr w:type="spellStart"/>
      <w:r w:rsidRPr="00EE75B4">
        <w:rPr>
          <w:rFonts w:ascii="Times New Roman" w:hAnsi="Times New Roman"/>
          <w:lang w:val="lt-LT"/>
        </w:rPr>
        <w:t>Gancikloviras</w:t>
      </w:r>
      <w:proofErr w:type="spellEnd"/>
      <w:r w:rsidRPr="00EE75B4">
        <w:rPr>
          <w:rFonts w:ascii="Times New Roman" w:hAnsi="Times New Roman"/>
          <w:lang w:val="lt-LT"/>
        </w:rPr>
        <w:t xml:space="preserve"> veikia virusus slopindamas jų DNR sintezę. Tai vyksta tokiu būdu: a) konkurencingai slopinamas viruso DNR </w:t>
      </w:r>
      <w:proofErr w:type="spellStart"/>
      <w:r w:rsidRPr="00EE75B4">
        <w:rPr>
          <w:rFonts w:ascii="Times New Roman" w:hAnsi="Times New Roman"/>
          <w:lang w:val="lt-LT"/>
        </w:rPr>
        <w:t>polimerazės</w:t>
      </w:r>
      <w:proofErr w:type="spellEnd"/>
      <w:r w:rsidRPr="00EE75B4">
        <w:rPr>
          <w:rFonts w:ascii="Times New Roman" w:hAnsi="Times New Roman"/>
          <w:lang w:val="lt-LT"/>
        </w:rPr>
        <w:t xml:space="preserve"> atliekamas </w:t>
      </w:r>
      <w:proofErr w:type="spellStart"/>
      <w:r w:rsidRPr="00EE75B4">
        <w:rPr>
          <w:rFonts w:ascii="Times New Roman" w:hAnsi="Times New Roman"/>
          <w:lang w:val="lt-LT"/>
        </w:rPr>
        <w:t>deoksiguanozino</w:t>
      </w:r>
      <w:proofErr w:type="spellEnd"/>
      <w:r w:rsidRPr="00EE75B4">
        <w:rPr>
          <w:rFonts w:ascii="Times New Roman" w:hAnsi="Times New Roman"/>
          <w:lang w:val="lt-LT"/>
        </w:rPr>
        <w:t xml:space="preserve"> </w:t>
      </w:r>
      <w:proofErr w:type="spellStart"/>
      <w:r w:rsidRPr="00EE75B4">
        <w:rPr>
          <w:rFonts w:ascii="Times New Roman" w:hAnsi="Times New Roman"/>
          <w:lang w:val="lt-LT"/>
        </w:rPr>
        <w:t>trifosfato</w:t>
      </w:r>
      <w:proofErr w:type="spellEnd"/>
      <w:r w:rsidRPr="00EE75B4">
        <w:rPr>
          <w:rFonts w:ascii="Times New Roman" w:hAnsi="Times New Roman"/>
          <w:lang w:val="lt-LT"/>
        </w:rPr>
        <w:t xml:space="preserve"> įjungimas į DNR, b)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w:t>
      </w:r>
      <w:proofErr w:type="spellStart"/>
      <w:r w:rsidRPr="00EE75B4">
        <w:rPr>
          <w:rFonts w:ascii="Times New Roman" w:hAnsi="Times New Roman"/>
          <w:lang w:val="lt-LT"/>
        </w:rPr>
        <w:t>trifosfatas</w:t>
      </w:r>
      <w:proofErr w:type="spellEnd"/>
      <w:r w:rsidRPr="00EE75B4">
        <w:rPr>
          <w:rFonts w:ascii="Times New Roman" w:hAnsi="Times New Roman"/>
          <w:lang w:val="lt-LT"/>
        </w:rPr>
        <w:t xml:space="preserve"> įsijungia į viruso DNR, dėl to nutrūksta viruso DNR ilgėjimas (</w:t>
      </w:r>
      <w:proofErr w:type="spellStart"/>
      <w:r w:rsidRPr="00EE75B4">
        <w:rPr>
          <w:rFonts w:ascii="Times New Roman" w:hAnsi="Times New Roman"/>
          <w:lang w:val="lt-LT"/>
        </w:rPr>
        <w:t>elongacija</w:t>
      </w:r>
      <w:proofErr w:type="spellEnd"/>
      <w:r w:rsidRPr="00EE75B4">
        <w:rPr>
          <w:rFonts w:ascii="Times New Roman" w:hAnsi="Times New Roman"/>
          <w:lang w:val="lt-LT"/>
        </w:rPr>
        <w:t xml:space="preserve">) arba jis vyksta labai ribotai. </w:t>
      </w:r>
    </w:p>
    <w:p w14:paraId="1C8A177F" w14:textId="77777777" w:rsidR="005427AE" w:rsidRPr="00EE75B4" w:rsidRDefault="005427AE" w:rsidP="005427AE">
      <w:pPr>
        <w:spacing w:after="0" w:line="240" w:lineRule="auto"/>
        <w:rPr>
          <w:rFonts w:ascii="Times New Roman" w:hAnsi="Times New Roman"/>
          <w:lang w:val="lt-LT"/>
        </w:rPr>
      </w:pPr>
    </w:p>
    <w:p w14:paraId="78B435DB"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lastRenderedPageBreak/>
        <w:t>Antivirusinis aktyvumas</w:t>
      </w:r>
    </w:p>
    <w:p w14:paraId="348300C7"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i/>
          <w:lang w:val="lt-LT"/>
        </w:rPr>
        <w:t>In</w:t>
      </w:r>
      <w:proofErr w:type="spellEnd"/>
      <w:r w:rsidRPr="00EE75B4">
        <w:rPr>
          <w:rFonts w:ascii="Times New Roman" w:hAnsi="Times New Roman"/>
          <w:i/>
          <w:lang w:val="lt-LT"/>
        </w:rPr>
        <w:t xml:space="preserve"> </w:t>
      </w:r>
      <w:proofErr w:type="spellStart"/>
      <w:r w:rsidRPr="00EE75B4">
        <w:rPr>
          <w:rFonts w:ascii="Times New Roman" w:hAnsi="Times New Roman"/>
          <w:i/>
          <w:lang w:val="lt-LT"/>
        </w:rPr>
        <w:t>vitro</w:t>
      </w:r>
      <w:proofErr w:type="spellEnd"/>
      <w:r w:rsidRPr="00EE75B4">
        <w:rPr>
          <w:rFonts w:ascii="Times New Roman" w:hAnsi="Times New Roman"/>
          <w:lang w:val="lt-LT"/>
        </w:rPr>
        <w:t xml:space="preserve">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antivirusinis aktyvumas vertinant pagal IC</w:t>
      </w:r>
      <w:r w:rsidRPr="00EE75B4">
        <w:rPr>
          <w:rFonts w:ascii="Times New Roman" w:hAnsi="Times New Roman"/>
          <w:vertAlign w:val="subscript"/>
          <w:lang w:val="lt-LT"/>
        </w:rPr>
        <w:t>50</w:t>
      </w:r>
      <w:r w:rsidRPr="00EE75B4">
        <w:rPr>
          <w:rFonts w:ascii="Times New Roman" w:hAnsi="Times New Roman"/>
          <w:lang w:val="lt-LT"/>
        </w:rPr>
        <w:t xml:space="preserve"> CMV atžvilgiu svyruoja nuo 0,08 </w:t>
      </w:r>
      <w:r w:rsidRPr="00EE75B4">
        <w:rPr>
          <w:rFonts w:ascii="Times New Roman" w:hAnsi="Times New Roman"/>
          <w:lang w:val="lt-LT"/>
        </w:rPr>
        <w:sym w:font="Symbol" w:char="F06D"/>
      </w:r>
      <w:r w:rsidRPr="00EE75B4">
        <w:rPr>
          <w:rFonts w:ascii="Times New Roman" w:hAnsi="Times New Roman"/>
          <w:lang w:val="lt-LT"/>
        </w:rPr>
        <w:t>M (0,02 </w:t>
      </w:r>
      <w:r w:rsidRPr="00EE75B4">
        <w:rPr>
          <w:rFonts w:ascii="Times New Roman" w:hAnsi="Times New Roman"/>
          <w:lang w:val="lt-LT"/>
        </w:rPr>
        <w:sym w:font="Symbol" w:char="F06D"/>
      </w:r>
      <w:r w:rsidRPr="00EE75B4">
        <w:rPr>
          <w:rFonts w:ascii="Times New Roman" w:hAnsi="Times New Roman"/>
          <w:lang w:val="lt-LT"/>
        </w:rPr>
        <w:t>g/ml) iki 14 </w:t>
      </w:r>
      <w:r w:rsidRPr="00EE75B4">
        <w:rPr>
          <w:rFonts w:ascii="Times New Roman" w:hAnsi="Times New Roman"/>
          <w:lang w:val="lt-LT"/>
        </w:rPr>
        <w:sym w:font="Symbol" w:char="F06D"/>
      </w:r>
      <w:r w:rsidRPr="00EE75B4">
        <w:rPr>
          <w:rFonts w:ascii="Times New Roman" w:hAnsi="Times New Roman"/>
          <w:lang w:val="lt-LT"/>
        </w:rPr>
        <w:t>M (3,5 </w:t>
      </w:r>
      <w:r w:rsidRPr="00EE75B4">
        <w:rPr>
          <w:rFonts w:ascii="Times New Roman" w:hAnsi="Times New Roman"/>
          <w:lang w:val="lt-LT"/>
        </w:rPr>
        <w:sym w:font="Symbol" w:char="F06D"/>
      </w:r>
      <w:r w:rsidRPr="00EE75B4">
        <w:rPr>
          <w:rFonts w:ascii="Times New Roman" w:hAnsi="Times New Roman"/>
          <w:lang w:val="lt-LT"/>
        </w:rPr>
        <w:t>g/ml).</w:t>
      </w:r>
    </w:p>
    <w:p w14:paraId="20C1B3A1" w14:textId="77777777" w:rsidR="005427AE" w:rsidRPr="00EE75B4" w:rsidRDefault="005427AE" w:rsidP="005427AE">
      <w:pPr>
        <w:spacing w:after="0" w:line="240" w:lineRule="auto"/>
        <w:rPr>
          <w:rFonts w:ascii="Times New Roman" w:hAnsi="Times New Roman"/>
          <w:lang w:val="lt-LT"/>
        </w:rPr>
      </w:pPr>
    </w:p>
    <w:p w14:paraId="4214D917"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Klinikinis antivirusinis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poveikis nustatytas gydant AIDS sergančius pacientus, kuriems neseniai diagnozuotas CMV </w:t>
      </w:r>
      <w:proofErr w:type="spellStart"/>
      <w:r w:rsidRPr="00EE75B4">
        <w:rPr>
          <w:rFonts w:ascii="Times New Roman" w:hAnsi="Times New Roman"/>
          <w:lang w:val="lt-LT"/>
        </w:rPr>
        <w:t>retinitas</w:t>
      </w:r>
      <w:proofErr w:type="spellEnd"/>
      <w:r w:rsidRPr="00EE75B4">
        <w:rPr>
          <w:rFonts w:ascii="Times New Roman" w:hAnsi="Times New Roman"/>
          <w:lang w:val="lt-LT"/>
        </w:rPr>
        <w:t xml:space="preserve">. CMV išsiskyrimas su šlapimu sumažėjo nuo 46 % (32 iš 69 pacientų) tyrimo pradžioje iki 7 % (4 iš 55 pacientų) po keturių savaičių gydymo </w:t>
      </w:r>
      <w:proofErr w:type="spellStart"/>
      <w:r w:rsidRPr="00EE75B4">
        <w:rPr>
          <w:rFonts w:ascii="Times New Roman" w:hAnsi="Times New Roman"/>
          <w:lang w:val="lt-LT"/>
        </w:rPr>
        <w:t>valgancikloviru</w:t>
      </w:r>
      <w:proofErr w:type="spellEnd"/>
      <w:r w:rsidRPr="00EE75B4">
        <w:rPr>
          <w:rFonts w:ascii="Times New Roman" w:hAnsi="Times New Roman"/>
          <w:lang w:val="lt-LT"/>
        </w:rPr>
        <w:t>.</w:t>
      </w:r>
    </w:p>
    <w:p w14:paraId="34D92AA3" w14:textId="77777777" w:rsidR="005427AE" w:rsidRPr="00EE75B4" w:rsidRDefault="005427AE" w:rsidP="005427AE">
      <w:pPr>
        <w:spacing w:after="0" w:line="240" w:lineRule="auto"/>
        <w:rPr>
          <w:rFonts w:ascii="Times New Roman" w:hAnsi="Times New Roman"/>
          <w:lang w:val="lt-LT"/>
        </w:rPr>
      </w:pPr>
    </w:p>
    <w:p w14:paraId="0A457C8B"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Klinikinis veiksmingumas ir saugumas</w:t>
      </w:r>
    </w:p>
    <w:p w14:paraId="26C7A55B" w14:textId="77777777" w:rsidR="005427AE" w:rsidRPr="00EE75B4" w:rsidRDefault="005427AE" w:rsidP="005427AE">
      <w:pPr>
        <w:spacing w:after="0" w:line="240" w:lineRule="auto"/>
        <w:rPr>
          <w:rFonts w:ascii="Times New Roman" w:hAnsi="Times New Roman"/>
          <w:u w:val="single"/>
          <w:lang w:val="lt-LT"/>
        </w:rPr>
      </w:pPr>
    </w:p>
    <w:p w14:paraId="541F6B20"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Suaugę pacientai</w:t>
      </w:r>
    </w:p>
    <w:p w14:paraId="545D8703" w14:textId="77777777" w:rsidR="005427AE" w:rsidRPr="00EE75B4" w:rsidRDefault="005427AE" w:rsidP="005427AE">
      <w:pPr>
        <w:spacing w:after="0" w:line="240" w:lineRule="auto"/>
        <w:rPr>
          <w:rFonts w:ascii="Times New Roman" w:hAnsi="Times New Roman"/>
          <w:lang w:val="lt-LT"/>
        </w:rPr>
      </w:pPr>
    </w:p>
    <w:p w14:paraId="23115682" w14:textId="77777777" w:rsidR="005427AE" w:rsidRPr="00EE75B4" w:rsidRDefault="005427AE" w:rsidP="005427AE">
      <w:pPr>
        <w:spacing w:after="0" w:line="240" w:lineRule="auto"/>
        <w:rPr>
          <w:rFonts w:ascii="Times New Roman" w:hAnsi="Times New Roman"/>
          <w:i/>
          <w:lang w:val="lt-LT"/>
        </w:rPr>
      </w:pPr>
      <w:r w:rsidRPr="00EE75B4">
        <w:rPr>
          <w:rFonts w:ascii="Times New Roman" w:hAnsi="Times New Roman"/>
          <w:i/>
          <w:lang w:val="lt-LT"/>
        </w:rPr>
        <w:t xml:space="preserve">CMV sukelto </w:t>
      </w:r>
      <w:proofErr w:type="spellStart"/>
      <w:r w:rsidRPr="00EE75B4">
        <w:rPr>
          <w:rFonts w:ascii="Times New Roman" w:hAnsi="Times New Roman"/>
          <w:i/>
          <w:lang w:val="lt-LT"/>
        </w:rPr>
        <w:t>retinito</w:t>
      </w:r>
      <w:proofErr w:type="spellEnd"/>
      <w:r w:rsidRPr="00EE75B4">
        <w:rPr>
          <w:rFonts w:ascii="Times New Roman" w:hAnsi="Times New Roman"/>
          <w:i/>
          <w:lang w:val="lt-LT"/>
        </w:rPr>
        <w:t xml:space="preserve"> gydymas</w:t>
      </w:r>
    </w:p>
    <w:p w14:paraId="6B307996" w14:textId="77777777" w:rsidR="005427AE" w:rsidRPr="00EE75B4" w:rsidRDefault="005427AE" w:rsidP="005427AE">
      <w:pPr>
        <w:spacing w:after="0" w:line="240" w:lineRule="auto"/>
        <w:rPr>
          <w:rFonts w:ascii="Times New Roman" w:hAnsi="Times New Roman"/>
          <w:i/>
          <w:lang w:val="lt-LT"/>
        </w:rPr>
      </w:pPr>
    </w:p>
    <w:p w14:paraId="3DB570D2"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Pacientai, kuriems neseniai nustatytas CMV </w:t>
      </w:r>
      <w:proofErr w:type="spellStart"/>
      <w:r w:rsidRPr="00EE75B4">
        <w:rPr>
          <w:rFonts w:ascii="Times New Roman" w:hAnsi="Times New Roman"/>
          <w:lang w:val="lt-LT"/>
        </w:rPr>
        <w:t>retinitas</w:t>
      </w:r>
      <w:proofErr w:type="spellEnd"/>
      <w:r w:rsidRPr="00EE75B4">
        <w:rPr>
          <w:rFonts w:ascii="Times New Roman" w:hAnsi="Times New Roman"/>
          <w:lang w:val="lt-LT"/>
        </w:rPr>
        <w:t xml:space="preserve">, atsitiktiniu būdu suskirstyti į įvadinio gydymo grupes: gydomi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tabletėmis po 900 mg du kartus per parą arba į veną leidžiamu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po 5 mg/kg du kartus per parą. Pacientų, kuriems nustatytas fotografinis CMV </w:t>
      </w:r>
      <w:proofErr w:type="spellStart"/>
      <w:r w:rsidRPr="00EE75B4">
        <w:rPr>
          <w:rFonts w:ascii="Times New Roman" w:hAnsi="Times New Roman"/>
          <w:lang w:val="lt-LT"/>
        </w:rPr>
        <w:t>retinito</w:t>
      </w:r>
      <w:proofErr w:type="spellEnd"/>
      <w:r w:rsidRPr="00EE75B4">
        <w:rPr>
          <w:rFonts w:ascii="Times New Roman" w:hAnsi="Times New Roman"/>
          <w:lang w:val="lt-LT"/>
        </w:rPr>
        <w:t xml:space="preserve"> progresavimas, dalis ketvirtąją savaitę abiejose gydymo grupėse buvo panaši – 7 iš 70 į veną leidžiamu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ir 7 iš 71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gydytų pacientų.</w:t>
      </w:r>
    </w:p>
    <w:p w14:paraId="74B5EF8B" w14:textId="77777777" w:rsidR="005427AE" w:rsidRPr="00EE75B4" w:rsidRDefault="005427AE" w:rsidP="005427AE">
      <w:pPr>
        <w:spacing w:after="0" w:line="240" w:lineRule="auto"/>
        <w:rPr>
          <w:rFonts w:ascii="Times New Roman" w:hAnsi="Times New Roman"/>
          <w:lang w:val="lt-LT"/>
        </w:rPr>
      </w:pPr>
    </w:p>
    <w:p w14:paraId="02B39DBD"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Po įvadinio gydymo visiems šiame tyrime dalyvavusiems pacientams buvo tęsiamas palaikomasis gydymas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po 900 mg kartą per parą. Laiko nuo </w:t>
      </w:r>
      <w:proofErr w:type="spellStart"/>
      <w:r w:rsidRPr="00EE75B4">
        <w:rPr>
          <w:rFonts w:ascii="Times New Roman" w:hAnsi="Times New Roman"/>
          <w:lang w:val="lt-LT"/>
        </w:rPr>
        <w:t>randomizacijos</w:t>
      </w:r>
      <w:proofErr w:type="spellEnd"/>
      <w:r w:rsidRPr="00EE75B4">
        <w:rPr>
          <w:rFonts w:ascii="Times New Roman" w:hAnsi="Times New Roman"/>
          <w:lang w:val="lt-LT"/>
        </w:rPr>
        <w:t xml:space="preserve"> iki CMV </w:t>
      </w:r>
      <w:proofErr w:type="spellStart"/>
      <w:r w:rsidRPr="00EE75B4">
        <w:rPr>
          <w:rFonts w:ascii="Times New Roman" w:hAnsi="Times New Roman"/>
          <w:lang w:val="lt-LT"/>
        </w:rPr>
        <w:t>retinito</w:t>
      </w:r>
      <w:proofErr w:type="spellEnd"/>
      <w:r w:rsidRPr="00EE75B4">
        <w:rPr>
          <w:rFonts w:ascii="Times New Roman" w:hAnsi="Times New Roman"/>
          <w:lang w:val="lt-LT"/>
        </w:rPr>
        <w:t xml:space="preserve"> progresavimo vidurkis (mediana) įvadinio ir palaikomojo gydymo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grupėje buvo 226 (160) paros, o įvadinio gydymo į veną leidžiamu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ir palaikomojo gydymo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grupėje – 219 (125) parų.</w:t>
      </w:r>
    </w:p>
    <w:p w14:paraId="3FB7010D" w14:textId="77777777" w:rsidR="005427AE" w:rsidRPr="00EE75B4" w:rsidRDefault="005427AE" w:rsidP="005427AE">
      <w:pPr>
        <w:spacing w:after="0" w:line="240" w:lineRule="auto"/>
        <w:rPr>
          <w:rFonts w:ascii="Times New Roman" w:hAnsi="Times New Roman"/>
          <w:u w:val="single"/>
          <w:lang w:val="lt-LT"/>
        </w:rPr>
      </w:pPr>
    </w:p>
    <w:p w14:paraId="6AB01BB3" w14:textId="77777777" w:rsidR="005427AE" w:rsidRPr="00EE75B4" w:rsidRDefault="005427AE" w:rsidP="005427AE">
      <w:pPr>
        <w:spacing w:after="0" w:line="240" w:lineRule="auto"/>
        <w:rPr>
          <w:rFonts w:ascii="Times New Roman" w:hAnsi="Times New Roman"/>
          <w:i/>
          <w:lang w:val="lt-LT"/>
        </w:rPr>
      </w:pPr>
      <w:r w:rsidRPr="00EE75B4">
        <w:rPr>
          <w:rFonts w:ascii="Times New Roman" w:hAnsi="Times New Roman"/>
          <w:i/>
          <w:lang w:val="lt-LT"/>
        </w:rPr>
        <w:t>CMV sukeltos ligos profilaktika po persodinimo</w:t>
      </w:r>
    </w:p>
    <w:p w14:paraId="012399EB" w14:textId="77777777" w:rsidR="005427AE" w:rsidRPr="00EE75B4" w:rsidRDefault="005427AE" w:rsidP="005427AE">
      <w:pPr>
        <w:spacing w:after="0" w:line="240" w:lineRule="auto"/>
        <w:rPr>
          <w:rFonts w:ascii="Times New Roman" w:hAnsi="Times New Roman"/>
          <w:i/>
          <w:lang w:val="lt-LT"/>
        </w:rPr>
      </w:pPr>
    </w:p>
    <w:p w14:paraId="4DD47176"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Dvigubai koduoto, dvigubai aklo su aktyviu klinikiniu palyginimu tyrimo metu tirti pacientai, kuriems persodinta širdis, kepenys arba inkstas (pacientai, kuriems persodinti plaučiai arba virškinimo traktas, netirti) ir kuriems buvo didelė CMV sukeltos ligos rizika (D+/R-), jiems buvo skiriama arba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(po 900 mg kartą per parą), arba geriamojo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(po 1000 mg tris kartus per parą), pradedant pirmosiomis 10 parų po persodinimo ir baigiant šimtąja para po persodinimo. CMV sukeltos ligos (CMV sindromo + invazinės audinių ligos) dažnumas per pirmuosius 6 mėnesius po persodinimo buvo 12,1 %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vartojusių pacientų grupėje (n=239) ir 15,2 % geriamojo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vartojusių pacientų grupėje (n=125). Dauguma pacientų susirgo baigus profilaktiką (po šimtosios paros); profilaktikos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grupėje tai įvyko vėliau negu profilaktikos geriamuoju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grupėje. Ūminio atmetimo dažnumas per pirmuosius 6 mėnesius buvo 29,7 %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grupėje, palyginti su 36,0 % geriamojo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grupėje; </w:t>
      </w:r>
      <w:proofErr w:type="spellStart"/>
      <w:r w:rsidRPr="00EE75B4">
        <w:rPr>
          <w:rFonts w:ascii="Times New Roman" w:hAnsi="Times New Roman"/>
          <w:lang w:val="lt-LT"/>
        </w:rPr>
        <w:t>transplantatą</w:t>
      </w:r>
      <w:proofErr w:type="spellEnd"/>
      <w:r w:rsidRPr="00EE75B4">
        <w:rPr>
          <w:rFonts w:ascii="Times New Roman" w:hAnsi="Times New Roman"/>
          <w:lang w:val="lt-LT"/>
        </w:rPr>
        <w:t xml:space="preserve"> prarado tiek pat, t. y. po 0,8 %, abiejų grupių pacientų. </w:t>
      </w:r>
    </w:p>
    <w:p w14:paraId="6A119255" w14:textId="77777777" w:rsidR="005427AE" w:rsidRPr="00EE75B4" w:rsidRDefault="005427AE" w:rsidP="005427AE">
      <w:pPr>
        <w:spacing w:after="0" w:line="240" w:lineRule="auto"/>
        <w:rPr>
          <w:rFonts w:ascii="Times New Roman" w:hAnsi="Times New Roman"/>
          <w:lang w:val="lt-LT"/>
        </w:rPr>
      </w:pPr>
    </w:p>
    <w:p w14:paraId="3F27C3B6"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Dvigubai koduoto, </w:t>
      </w:r>
      <w:proofErr w:type="spellStart"/>
      <w:r w:rsidRPr="00EE75B4">
        <w:rPr>
          <w:rFonts w:ascii="Times New Roman" w:hAnsi="Times New Roman"/>
          <w:lang w:val="lt-LT"/>
        </w:rPr>
        <w:t>placebu</w:t>
      </w:r>
      <w:proofErr w:type="spellEnd"/>
      <w:r w:rsidRPr="00EE75B4">
        <w:rPr>
          <w:rFonts w:ascii="Times New Roman" w:hAnsi="Times New Roman"/>
          <w:lang w:val="lt-LT"/>
        </w:rPr>
        <w:t xml:space="preserve"> kontroliuojamo tyrimo metu tirti 326 pacientai, kuriems persodintas inkstas ir kuriems grėsė didelė CMV ligos rizika (D+/R-), buvo siekta įvertinti pratęstos nuo 100 iki 200 parų po persodinimo CMV profilaktikos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veiksmingumą ir saugumą. Pacientai atsitiktiniu būdu buvo suskirstyti (1:1) į vartojančius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tabletes (po 900 mg kartą per parą) pradedant pirmosiomis 10 parų po persodinimo ir baigiant 200-tąja para po organo persodinimo, arba baigiant 100-tąja para po persodinimo, toliau tiems pacientams 100 parų skiriant </w:t>
      </w:r>
      <w:proofErr w:type="spellStart"/>
      <w:r w:rsidRPr="00EE75B4">
        <w:rPr>
          <w:rFonts w:ascii="Times New Roman" w:hAnsi="Times New Roman"/>
          <w:lang w:val="lt-LT"/>
        </w:rPr>
        <w:t>placebo</w:t>
      </w:r>
      <w:proofErr w:type="spellEnd"/>
      <w:r w:rsidRPr="00EE75B4">
        <w:rPr>
          <w:rFonts w:ascii="Times New Roman" w:hAnsi="Times New Roman"/>
          <w:lang w:val="lt-LT"/>
        </w:rPr>
        <w:t>.</w:t>
      </w:r>
    </w:p>
    <w:p w14:paraId="738BE81E"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Pacientų, kurie susirgo CMV liga per pirmuosius 12 mėnesių po organo persodinimo, dalis nurodyta toliau lentelėje.</w:t>
      </w:r>
    </w:p>
    <w:p w14:paraId="5954C048" w14:textId="77777777" w:rsidR="005427AE" w:rsidRPr="00EE75B4" w:rsidRDefault="005427AE" w:rsidP="005427AE">
      <w:pPr>
        <w:spacing w:after="0" w:line="240" w:lineRule="auto"/>
        <w:rPr>
          <w:rFonts w:ascii="Times New Roman" w:hAnsi="Times New Roman"/>
          <w:lang w:val="lt-LT"/>
        </w:rPr>
      </w:pPr>
    </w:p>
    <w:p w14:paraId="23616DE3" w14:textId="77777777" w:rsidR="005427AE" w:rsidRPr="00EE75B4" w:rsidRDefault="005427AE" w:rsidP="005427AE">
      <w:pPr>
        <w:spacing w:after="0" w:line="240" w:lineRule="auto"/>
        <w:rPr>
          <w:rFonts w:ascii="Times New Roman" w:hAnsi="Times New Roman"/>
          <w:b/>
          <w:lang w:val="lt-LT"/>
        </w:rPr>
      </w:pPr>
      <w:r w:rsidRPr="00EE75B4">
        <w:rPr>
          <w:rFonts w:ascii="Times New Roman" w:hAnsi="Times New Roman"/>
          <w:b/>
          <w:lang w:val="lt-LT"/>
        </w:rPr>
        <w:t>Numatytų gydyti pacientų, kurie po inksto persodinimo per 12 mėnesių</w:t>
      </w:r>
      <w:r w:rsidRPr="00EE75B4">
        <w:rPr>
          <w:rFonts w:ascii="Times New Roman" w:hAnsi="Times New Roman"/>
          <w:b/>
          <w:vertAlign w:val="superscript"/>
          <w:lang w:val="lt-LT"/>
        </w:rPr>
        <w:t xml:space="preserve"> A</w:t>
      </w:r>
      <w:r w:rsidRPr="00EE75B4">
        <w:rPr>
          <w:rFonts w:ascii="Times New Roman" w:hAnsi="Times New Roman"/>
          <w:b/>
          <w:lang w:val="lt-LT"/>
        </w:rPr>
        <w:t xml:space="preserve"> susirgo CMV liga</w:t>
      </w:r>
      <w:r w:rsidRPr="00EE75B4">
        <w:rPr>
          <w:rFonts w:ascii="Times New Roman" w:hAnsi="Times New Roman"/>
          <w:b/>
          <w:vertAlign w:val="superscript"/>
          <w:lang w:val="lt-LT"/>
        </w:rPr>
        <w:t>1</w:t>
      </w:r>
      <w:r w:rsidRPr="00EE75B4">
        <w:rPr>
          <w:rFonts w:ascii="Times New Roman" w:hAnsi="Times New Roman"/>
          <w:b/>
          <w:lang w:val="lt-LT"/>
        </w:rPr>
        <w:t xml:space="preserve">, procentas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882"/>
        <w:gridCol w:w="1882"/>
        <w:gridCol w:w="1883"/>
      </w:tblGrid>
      <w:tr w:rsidR="007923DA" w:rsidRPr="00EE75B4" w14:paraId="27B3C4CF" w14:textId="77777777" w:rsidTr="00752171">
        <w:tc>
          <w:tcPr>
            <w:tcW w:w="3108" w:type="dxa"/>
          </w:tcPr>
          <w:p w14:paraId="6BC16E3C" w14:textId="77777777" w:rsidR="005427AE" w:rsidRPr="00EE75B4" w:rsidRDefault="005427AE" w:rsidP="005427AE">
            <w:pPr>
              <w:keepNext/>
              <w:spacing w:after="0" w:line="240" w:lineRule="auto"/>
              <w:rPr>
                <w:rFonts w:ascii="Times New Roman" w:hAnsi="Times New Roman"/>
                <w:lang w:val="lt-LT"/>
              </w:rPr>
            </w:pPr>
          </w:p>
        </w:tc>
        <w:tc>
          <w:tcPr>
            <w:tcW w:w="1882" w:type="dxa"/>
          </w:tcPr>
          <w:p w14:paraId="76AEECA7" w14:textId="77777777" w:rsidR="005427AE" w:rsidRPr="00EE75B4" w:rsidDel="00B04AF0"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Valgancikloviras</w:t>
            </w:r>
            <w:proofErr w:type="spellEnd"/>
          </w:p>
          <w:p w14:paraId="2FB9C26C" w14:textId="77777777" w:rsidR="005427AE" w:rsidRPr="00EE75B4" w:rsidRDefault="005427AE" w:rsidP="005427AE">
            <w:pPr>
              <w:spacing w:after="0" w:line="240" w:lineRule="auto"/>
              <w:rPr>
                <w:rFonts w:ascii="Times New Roman" w:hAnsi="Times New Roman"/>
                <w:lang w:val="lt-LT"/>
              </w:rPr>
            </w:pPr>
          </w:p>
          <w:p w14:paraId="0464778A"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900 mg kartą per parą 100 parų </w:t>
            </w:r>
          </w:p>
          <w:p w14:paraId="1D4A957E"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(N = 163)</w:t>
            </w:r>
          </w:p>
        </w:tc>
        <w:tc>
          <w:tcPr>
            <w:tcW w:w="1882" w:type="dxa"/>
          </w:tcPr>
          <w:p w14:paraId="5155CAA1" w14:textId="77777777" w:rsidR="005427AE" w:rsidRPr="00EE75B4" w:rsidDel="00B04AF0"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Valgancikloviras</w:t>
            </w:r>
            <w:proofErr w:type="spellEnd"/>
            <w:r w:rsidRPr="00EE75B4" w:rsidDel="00B04AF0">
              <w:rPr>
                <w:rFonts w:ascii="Times New Roman" w:hAnsi="Times New Roman"/>
                <w:lang w:val="lt-LT"/>
              </w:rPr>
              <w:t xml:space="preserve"> </w:t>
            </w:r>
          </w:p>
          <w:p w14:paraId="634B63BE" w14:textId="77777777" w:rsidR="005427AE" w:rsidRPr="00EE75B4" w:rsidRDefault="005427AE" w:rsidP="005427AE">
            <w:pPr>
              <w:spacing w:after="0" w:line="240" w:lineRule="auto"/>
              <w:rPr>
                <w:rFonts w:ascii="Times New Roman" w:hAnsi="Times New Roman"/>
                <w:lang w:val="lt-LT"/>
              </w:rPr>
            </w:pPr>
          </w:p>
          <w:p w14:paraId="5E3E6762"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900 mg kartą per parą 200 parų </w:t>
            </w:r>
          </w:p>
          <w:p w14:paraId="1B110201"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 (N = 155)</w:t>
            </w:r>
          </w:p>
        </w:tc>
        <w:tc>
          <w:tcPr>
            <w:tcW w:w="1883" w:type="dxa"/>
          </w:tcPr>
          <w:p w14:paraId="7686AD50"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Skirtumas tarp gydomųjų grupių</w:t>
            </w:r>
          </w:p>
        </w:tc>
      </w:tr>
      <w:tr w:rsidR="007923DA" w:rsidRPr="00EE75B4" w14:paraId="46241824" w14:textId="77777777" w:rsidTr="00752171">
        <w:tc>
          <w:tcPr>
            <w:tcW w:w="3108" w:type="dxa"/>
          </w:tcPr>
          <w:p w14:paraId="3691FEA9"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Pacientai, kuriems patvirtinta arba įtariama CMV liga</w:t>
            </w:r>
            <w:r w:rsidRPr="00EE75B4">
              <w:rPr>
                <w:rFonts w:ascii="Times New Roman" w:hAnsi="Times New Roman"/>
                <w:vertAlign w:val="superscript"/>
                <w:lang w:val="lt-LT"/>
              </w:rPr>
              <w:t>2</w:t>
            </w:r>
          </w:p>
        </w:tc>
        <w:tc>
          <w:tcPr>
            <w:tcW w:w="1882" w:type="dxa"/>
          </w:tcPr>
          <w:p w14:paraId="19E35B7C"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71 (43,6 %)</w:t>
            </w:r>
          </w:p>
          <w:p w14:paraId="42395F77"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[35,8 %; 51,5 %]</w:t>
            </w:r>
          </w:p>
        </w:tc>
        <w:tc>
          <w:tcPr>
            <w:tcW w:w="1882" w:type="dxa"/>
          </w:tcPr>
          <w:p w14:paraId="2E1033A5"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36 (23,2 %)</w:t>
            </w:r>
          </w:p>
          <w:p w14:paraId="3E9A0B7F"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[16,8 %; 30,7 %]</w:t>
            </w:r>
          </w:p>
        </w:tc>
        <w:tc>
          <w:tcPr>
            <w:tcW w:w="1883" w:type="dxa"/>
          </w:tcPr>
          <w:p w14:paraId="36B7D6B6"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20,3 %</w:t>
            </w:r>
          </w:p>
          <w:p w14:paraId="45B4DA36"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[9,9 %; 30,8 %]</w:t>
            </w:r>
          </w:p>
        </w:tc>
      </w:tr>
      <w:tr w:rsidR="005427AE" w:rsidRPr="00EE75B4" w14:paraId="395DC36C" w14:textId="77777777" w:rsidTr="00752171">
        <w:tc>
          <w:tcPr>
            <w:tcW w:w="3108" w:type="dxa"/>
          </w:tcPr>
          <w:p w14:paraId="71BF04B4"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Pacientai, kuriems patvirtinta CMV liga</w:t>
            </w:r>
          </w:p>
        </w:tc>
        <w:tc>
          <w:tcPr>
            <w:tcW w:w="1882" w:type="dxa"/>
          </w:tcPr>
          <w:p w14:paraId="48244F3F"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60 (36,8 %)</w:t>
            </w:r>
          </w:p>
          <w:p w14:paraId="3401066B"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[29,4 %; 44,7 %]</w:t>
            </w:r>
          </w:p>
        </w:tc>
        <w:tc>
          <w:tcPr>
            <w:tcW w:w="1882" w:type="dxa"/>
          </w:tcPr>
          <w:p w14:paraId="26600B3E"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25 (16,1 %)</w:t>
            </w:r>
          </w:p>
          <w:p w14:paraId="4D9C113B"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[10,7 %; 22,9 %]</w:t>
            </w:r>
          </w:p>
        </w:tc>
        <w:tc>
          <w:tcPr>
            <w:tcW w:w="1883" w:type="dxa"/>
          </w:tcPr>
          <w:p w14:paraId="774DD7C0"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20,7 %</w:t>
            </w:r>
          </w:p>
          <w:p w14:paraId="005AE05B"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[10,9 %; 30,4 %]</w:t>
            </w:r>
          </w:p>
        </w:tc>
      </w:tr>
    </w:tbl>
    <w:p w14:paraId="5D1EE133" w14:textId="77777777" w:rsidR="005427AE" w:rsidRPr="00EE75B4" w:rsidRDefault="005427AE" w:rsidP="005427AE">
      <w:pPr>
        <w:spacing w:after="0" w:line="240" w:lineRule="auto"/>
        <w:rPr>
          <w:rFonts w:ascii="Times New Roman" w:hAnsi="Times New Roman"/>
          <w:vertAlign w:val="superscript"/>
          <w:lang w:val="lt-LT"/>
        </w:rPr>
      </w:pPr>
    </w:p>
    <w:p w14:paraId="04B23706"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vertAlign w:val="superscript"/>
          <w:lang w:val="lt-LT"/>
        </w:rPr>
        <w:t xml:space="preserve">1 </w:t>
      </w:r>
      <w:r w:rsidRPr="00EE75B4">
        <w:rPr>
          <w:rFonts w:ascii="Times New Roman" w:hAnsi="Times New Roman"/>
          <w:lang w:val="lt-LT"/>
        </w:rPr>
        <w:t xml:space="preserve">CMV liga apibūdinama kaip CMV sindromas arba kaip CMV invazija į audinius. </w:t>
      </w:r>
    </w:p>
    <w:p w14:paraId="43F59E52" w14:textId="77777777" w:rsidR="005427AE" w:rsidRPr="00EE75B4" w:rsidRDefault="005427AE" w:rsidP="005427AE">
      <w:pPr>
        <w:spacing w:after="0" w:line="240" w:lineRule="auto"/>
        <w:rPr>
          <w:rFonts w:ascii="Times New Roman" w:hAnsi="Times New Roman"/>
          <w:vertAlign w:val="superscript"/>
          <w:lang w:val="lt-LT"/>
        </w:rPr>
      </w:pPr>
    </w:p>
    <w:p w14:paraId="40C79205"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vertAlign w:val="superscript"/>
          <w:lang w:val="lt-LT"/>
        </w:rPr>
        <w:t>2</w:t>
      </w:r>
      <w:r w:rsidRPr="00EE75B4">
        <w:rPr>
          <w:rFonts w:ascii="Times New Roman" w:hAnsi="Times New Roman"/>
          <w:lang w:val="lt-LT"/>
        </w:rPr>
        <w:t xml:space="preserve"> Patvirtinta CMV – tai kliniškai patvirtintas CMV ligos atvejis. Pacientams CMV liga buvo įtariama, jeigu 52 savaitę nebuvo atliktas vertinimas ir CMV liga nebuvo patvirtinta iki šio laiko. </w:t>
      </w:r>
    </w:p>
    <w:p w14:paraId="4339A8AD" w14:textId="77777777" w:rsidR="005427AE" w:rsidRPr="00EE75B4" w:rsidRDefault="005427AE" w:rsidP="005427AE">
      <w:pPr>
        <w:spacing w:after="0" w:line="240" w:lineRule="auto"/>
        <w:rPr>
          <w:rFonts w:ascii="Times New Roman" w:hAnsi="Times New Roman"/>
          <w:vertAlign w:val="superscript"/>
          <w:lang w:val="lt-LT"/>
        </w:rPr>
      </w:pPr>
    </w:p>
    <w:p w14:paraId="1608CD0B"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vertAlign w:val="superscript"/>
          <w:lang w:val="lt-LT"/>
        </w:rPr>
        <w:t>A</w:t>
      </w:r>
      <w:r w:rsidRPr="00EE75B4">
        <w:rPr>
          <w:rFonts w:ascii="Times New Roman" w:hAnsi="Times New Roman"/>
          <w:lang w:val="lt-LT"/>
        </w:rPr>
        <w:t xml:space="preserve"> Rezultatai, nustatyti tiriant iki 24 mėnesių atitiko rezultatus, gautus tiriant iki 12 mėnesių. Patvirtinta arba įtariama CMV liga sirgo 48,5 % pacientų, gydytų 100 parų, palyginti su 34,2 % pacientų, kurie gydyti 200 parų; skirtumas tarp gydomųjų grupių buvo 14,3 % [3,2 %; 25,3 %].</w:t>
      </w:r>
    </w:p>
    <w:p w14:paraId="6AAECA74" w14:textId="77777777" w:rsidR="005427AE" w:rsidRPr="00EE75B4" w:rsidRDefault="005427AE" w:rsidP="005427AE">
      <w:pPr>
        <w:spacing w:after="0" w:line="240" w:lineRule="auto"/>
        <w:rPr>
          <w:rFonts w:ascii="Times New Roman" w:hAnsi="Times New Roman"/>
          <w:lang w:val="lt-LT"/>
        </w:rPr>
      </w:pPr>
    </w:p>
    <w:p w14:paraId="4E99AB77"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Pacientams, po inksto persodinimo profilaktiškai vartojusiems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iki 200-tosios paros po persodinimo, buvo reikšmingai mažesnė rizika susirgti CMV liga, negu pacientams, kurie CMV profilaktiką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baigė šimtąją parą po persodinimo.</w:t>
      </w:r>
    </w:p>
    <w:p w14:paraId="7853E093" w14:textId="77777777" w:rsidR="005427AE" w:rsidRPr="00EE75B4" w:rsidRDefault="005427AE" w:rsidP="005427AE">
      <w:pPr>
        <w:spacing w:after="0" w:line="240" w:lineRule="auto"/>
        <w:rPr>
          <w:rFonts w:ascii="Times New Roman" w:hAnsi="Times New Roman"/>
          <w:lang w:val="lt-LT"/>
        </w:rPr>
      </w:pPr>
    </w:p>
    <w:p w14:paraId="44DB5A44"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Transplantato</w:t>
      </w:r>
      <w:proofErr w:type="spellEnd"/>
      <w:r w:rsidRPr="00EE75B4">
        <w:rPr>
          <w:rFonts w:ascii="Times New Roman" w:hAnsi="Times New Roman"/>
          <w:lang w:val="lt-LT"/>
        </w:rPr>
        <w:t xml:space="preserve"> išlikimo, kaip ir biopsija patvirtinto ūminio jo atmetimo, dažnis abiejose grupėse buvo panašus. </w:t>
      </w:r>
      <w:proofErr w:type="spellStart"/>
      <w:r w:rsidRPr="00EE75B4">
        <w:rPr>
          <w:rFonts w:ascii="Times New Roman" w:hAnsi="Times New Roman"/>
          <w:lang w:val="lt-LT"/>
        </w:rPr>
        <w:t>Transplantato</w:t>
      </w:r>
      <w:proofErr w:type="spellEnd"/>
      <w:r w:rsidRPr="00EE75B4">
        <w:rPr>
          <w:rFonts w:ascii="Times New Roman" w:hAnsi="Times New Roman"/>
          <w:lang w:val="lt-LT"/>
        </w:rPr>
        <w:t xml:space="preserve"> išlikimo procentas 12-tą mėnesį po organo persodinimo buvo 98,2 % (160 iš 163) skiriant dozę 100 parų ir 98,1 % (152 iš 155), kai dozė buvo skiriama 200 parų. Gauta pranešimų, kad iki 24 mėnesių po organo persodinimo įvyko keturi papildomi </w:t>
      </w:r>
      <w:proofErr w:type="spellStart"/>
      <w:r w:rsidRPr="00EE75B4">
        <w:rPr>
          <w:rFonts w:ascii="Times New Roman" w:hAnsi="Times New Roman"/>
          <w:lang w:val="lt-LT"/>
        </w:rPr>
        <w:t>transplantato</w:t>
      </w:r>
      <w:proofErr w:type="spellEnd"/>
      <w:r w:rsidRPr="00EE75B4">
        <w:rPr>
          <w:rFonts w:ascii="Times New Roman" w:hAnsi="Times New Roman"/>
          <w:lang w:val="lt-LT"/>
        </w:rPr>
        <w:t xml:space="preserve"> netekimo atvejai – visi 100 parų vaistinio preparato vartojusiųjų grupėje. Biopsija patvirtintų ūminių atmetimų dažnis 12-tą mėnesį po persodinimo, vaisto vartojant 100 parų buvo 17,2 % (28 iš 163) ir 11,0 % (17 iš 155) – 200 parų. 200 parų vaisto vartojančių grupėje iki 24 mėnesio po persodinimo buvo vienas papildomas </w:t>
      </w:r>
      <w:proofErr w:type="spellStart"/>
      <w:r w:rsidRPr="00EE75B4">
        <w:rPr>
          <w:rFonts w:ascii="Times New Roman" w:hAnsi="Times New Roman"/>
          <w:lang w:val="lt-LT"/>
        </w:rPr>
        <w:t>transplantato</w:t>
      </w:r>
      <w:proofErr w:type="spellEnd"/>
      <w:r w:rsidRPr="00EE75B4">
        <w:rPr>
          <w:rFonts w:ascii="Times New Roman" w:hAnsi="Times New Roman"/>
          <w:lang w:val="lt-LT"/>
        </w:rPr>
        <w:t xml:space="preserve"> netekimo atvejis.</w:t>
      </w:r>
    </w:p>
    <w:p w14:paraId="2E22CE14" w14:textId="77777777" w:rsidR="005427AE" w:rsidRPr="00EE75B4" w:rsidRDefault="005427AE" w:rsidP="005427AE">
      <w:pPr>
        <w:spacing w:after="0" w:line="240" w:lineRule="auto"/>
        <w:rPr>
          <w:rFonts w:ascii="Times New Roman" w:hAnsi="Times New Roman"/>
          <w:lang w:val="lt-LT"/>
        </w:rPr>
      </w:pPr>
    </w:p>
    <w:p w14:paraId="084893E9"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Virusų atsparumas</w:t>
      </w:r>
    </w:p>
    <w:p w14:paraId="635EFF6D" w14:textId="77777777" w:rsidR="005427AE" w:rsidRPr="00EE75B4" w:rsidRDefault="005427AE" w:rsidP="005427AE">
      <w:pPr>
        <w:spacing w:after="0" w:line="240" w:lineRule="auto"/>
        <w:rPr>
          <w:rFonts w:ascii="Times New Roman" w:hAnsi="Times New Roman"/>
          <w:u w:val="single"/>
          <w:lang w:val="lt-LT"/>
        </w:rPr>
      </w:pPr>
    </w:p>
    <w:p w14:paraId="4E79D1C3"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Ilgai vartojant </w:t>
      </w:r>
      <w:proofErr w:type="spellStart"/>
      <w:r w:rsidRPr="00EE75B4">
        <w:rPr>
          <w:rFonts w:ascii="Times New Roman" w:hAnsi="Times New Roman"/>
          <w:lang w:val="lt-LT"/>
        </w:rPr>
        <w:t>valganciklovirą</w:t>
      </w:r>
      <w:proofErr w:type="spellEnd"/>
      <w:r w:rsidRPr="00EE75B4">
        <w:rPr>
          <w:rFonts w:ascii="Times New Roman" w:hAnsi="Times New Roman"/>
          <w:lang w:val="lt-LT"/>
        </w:rPr>
        <w:t xml:space="preserve"> virusai gali tapti atsparūs </w:t>
      </w:r>
      <w:proofErr w:type="spellStart"/>
      <w:r w:rsidRPr="00EE75B4">
        <w:rPr>
          <w:rFonts w:ascii="Times New Roman" w:hAnsi="Times New Roman"/>
          <w:lang w:val="lt-LT"/>
        </w:rPr>
        <w:t>ganciklovirui</w:t>
      </w:r>
      <w:proofErr w:type="spellEnd"/>
      <w:r w:rsidRPr="00EE75B4">
        <w:rPr>
          <w:rFonts w:ascii="Times New Roman" w:hAnsi="Times New Roman"/>
          <w:lang w:val="lt-LT"/>
        </w:rPr>
        <w:t xml:space="preserve"> dėl virusinės </w:t>
      </w:r>
      <w:proofErr w:type="spellStart"/>
      <w:r w:rsidRPr="00EE75B4">
        <w:rPr>
          <w:rFonts w:ascii="Times New Roman" w:hAnsi="Times New Roman"/>
          <w:lang w:val="lt-LT"/>
        </w:rPr>
        <w:t>kinazės</w:t>
      </w:r>
      <w:proofErr w:type="spellEnd"/>
      <w:r w:rsidRPr="00EE75B4">
        <w:rPr>
          <w:rFonts w:ascii="Times New Roman" w:hAnsi="Times New Roman"/>
          <w:lang w:val="lt-LT"/>
        </w:rPr>
        <w:t xml:space="preserve"> geno (UL97), lemiančio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w:t>
      </w:r>
      <w:proofErr w:type="spellStart"/>
      <w:r w:rsidRPr="00EE75B4">
        <w:rPr>
          <w:rFonts w:ascii="Times New Roman" w:hAnsi="Times New Roman"/>
          <w:lang w:val="lt-LT"/>
        </w:rPr>
        <w:t>monofosforilinimą</w:t>
      </w:r>
      <w:proofErr w:type="spellEnd"/>
      <w:r w:rsidRPr="00EE75B4">
        <w:rPr>
          <w:rFonts w:ascii="Times New Roman" w:hAnsi="Times New Roman"/>
          <w:lang w:val="lt-LT"/>
        </w:rPr>
        <w:t xml:space="preserve">, mutacijų arba virusinės </w:t>
      </w:r>
      <w:proofErr w:type="spellStart"/>
      <w:r w:rsidRPr="00EE75B4">
        <w:rPr>
          <w:rFonts w:ascii="Times New Roman" w:hAnsi="Times New Roman"/>
          <w:lang w:val="lt-LT"/>
        </w:rPr>
        <w:t>polimerazės</w:t>
      </w:r>
      <w:proofErr w:type="spellEnd"/>
      <w:r w:rsidRPr="00EE75B4">
        <w:rPr>
          <w:rFonts w:ascii="Times New Roman" w:hAnsi="Times New Roman"/>
          <w:lang w:val="lt-LT"/>
        </w:rPr>
        <w:t xml:space="preserve"> geno (UL54) mutacijų selekcijos. Klinikinėje praktikoje gautuose viruso </w:t>
      </w:r>
      <w:proofErr w:type="spellStart"/>
      <w:r w:rsidRPr="00EE75B4">
        <w:rPr>
          <w:rFonts w:ascii="Times New Roman" w:hAnsi="Times New Roman"/>
          <w:lang w:val="lt-LT"/>
        </w:rPr>
        <w:t>izoliatuose</w:t>
      </w:r>
      <w:proofErr w:type="spellEnd"/>
      <w:r w:rsidRPr="00EE75B4">
        <w:rPr>
          <w:rFonts w:ascii="Times New Roman" w:hAnsi="Times New Roman"/>
          <w:lang w:val="lt-LT"/>
        </w:rPr>
        <w:t xml:space="preserve"> dažniausiai pastebėtos su atsparumu </w:t>
      </w:r>
      <w:proofErr w:type="spellStart"/>
      <w:r w:rsidRPr="00EE75B4">
        <w:rPr>
          <w:rFonts w:ascii="Times New Roman" w:hAnsi="Times New Roman"/>
          <w:lang w:val="lt-LT"/>
        </w:rPr>
        <w:t>ganciklovirui</w:t>
      </w:r>
      <w:proofErr w:type="spellEnd"/>
      <w:r w:rsidRPr="00EE75B4">
        <w:rPr>
          <w:rFonts w:ascii="Times New Roman" w:hAnsi="Times New Roman"/>
          <w:lang w:val="lt-LT"/>
        </w:rPr>
        <w:t xml:space="preserve"> susijusios pakaitos yra septynios kanoninės UL97 pakaitos: M460V/I, H520Q, C592G, A594V, L595S ir C603W. Virusai, kuriuose yra UL97 geno mutacijų, būna atsparūs tik </w:t>
      </w:r>
      <w:proofErr w:type="spellStart"/>
      <w:r w:rsidRPr="00EE75B4">
        <w:rPr>
          <w:rFonts w:ascii="Times New Roman" w:hAnsi="Times New Roman"/>
          <w:lang w:val="lt-LT"/>
        </w:rPr>
        <w:t>ganciklovirui</w:t>
      </w:r>
      <w:proofErr w:type="spellEnd"/>
      <w:r w:rsidRPr="00EE75B4">
        <w:rPr>
          <w:rFonts w:ascii="Times New Roman" w:hAnsi="Times New Roman"/>
          <w:lang w:val="lt-LT"/>
        </w:rPr>
        <w:t xml:space="preserve">, o virusai, kuriuose yra UL54 geno mutacijų, gali būti kryžmiškai atsparūs ir kitiems antivirusiniams vaistiniams preparatams, kurių taikinys taip pat yra virusinė </w:t>
      </w:r>
      <w:proofErr w:type="spellStart"/>
      <w:r w:rsidRPr="00EE75B4">
        <w:rPr>
          <w:rFonts w:ascii="Times New Roman" w:hAnsi="Times New Roman"/>
          <w:lang w:val="lt-LT"/>
        </w:rPr>
        <w:t>polimerazė</w:t>
      </w:r>
      <w:proofErr w:type="spellEnd"/>
      <w:r w:rsidRPr="00EE75B4">
        <w:rPr>
          <w:rFonts w:ascii="Times New Roman" w:hAnsi="Times New Roman"/>
          <w:lang w:val="lt-LT"/>
        </w:rPr>
        <w:t xml:space="preserve">. </w:t>
      </w:r>
    </w:p>
    <w:p w14:paraId="32710586" w14:textId="77777777" w:rsidR="005427AE" w:rsidRPr="00EE75B4" w:rsidRDefault="005427AE" w:rsidP="005427AE">
      <w:pPr>
        <w:spacing w:after="0" w:line="240" w:lineRule="auto"/>
        <w:rPr>
          <w:rFonts w:ascii="Times New Roman" w:hAnsi="Times New Roman"/>
          <w:lang w:val="lt-LT"/>
        </w:rPr>
      </w:pPr>
    </w:p>
    <w:p w14:paraId="34EDBDCC" w14:textId="77777777" w:rsidR="005427AE" w:rsidRPr="00EE75B4" w:rsidRDefault="005427AE" w:rsidP="005427AE">
      <w:pPr>
        <w:spacing w:after="0" w:line="240" w:lineRule="auto"/>
        <w:rPr>
          <w:rFonts w:ascii="Times New Roman" w:hAnsi="Times New Roman"/>
          <w:i/>
          <w:lang w:val="lt-LT"/>
        </w:rPr>
      </w:pPr>
      <w:r w:rsidRPr="00EE75B4">
        <w:rPr>
          <w:rFonts w:ascii="Times New Roman" w:hAnsi="Times New Roman"/>
          <w:i/>
          <w:lang w:val="lt-LT"/>
        </w:rPr>
        <w:t xml:space="preserve">CMV sukelto </w:t>
      </w:r>
      <w:proofErr w:type="spellStart"/>
      <w:r w:rsidRPr="00EE75B4">
        <w:rPr>
          <w:rFonts w:ascii="Times New Roman" w:hAnsi="Times New Roman"/>
          <w:i/>
          <w:lang w:val="lt-LT"/>
        </w:rPr>
        <w:t>retinito</w:t>
      </w:r>
      <w:proofErr w:type="spellEnd"/>
      <w:r w:rsidRPr="00EE75B4">
        <w:rPr>
          <w:rFonts w:ascii="Times New Roman" w:hAnsi="Times New Roman"/>
          <w:i/>
          <w:lang w:val="lt-LT"/>
        </w:rPr>
        <w:t xml:space="preserve"> gydymas</w:t>
      </w:r>
    </w:p>
    <w:p w14:paraId="1F9705F7" w14:textId="77777777" w:rsidR="005427AE" w:rsidRPr="00EE75B4" w:rsidRDefault="005427AE" w:rsidP="005427AE">
      <w:pPr>
        <w:spacing w:after="0" w:line="240" w:lineRule="auto"/>
        <w:rPr>
          <w:rFonts w:ascii="Times New Roman" w:hAnsi="Times New Roman"/>
          <w:i/>
          <w:lang w:val="lt-LT"/>
        </w:rPr>
      </w:pPr>
    </w:p>
    <w:p w14:paraId="7FCC99D0"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CMV, išskirtų iš viename klinikiniame tyrime dalyvavusių CMV </w:t>
      </w:r>
      <w:proofErr w:type="spellStart"/>
      <w:r w:rsidRPr="00EE75B4">
        <w:rPr>
          <w:rFonts w:ascii="Times New Roman" w:hAnsi="Times New Roman"/>
          <w:lang w:val="lt-LT"/>
        </w:rPr>
        <w:t>retinitu</w:t>
      </w:r>
      <w:proofErr w:type="spellEnd"/>
      <w:r w:rsidRPr="00EE75B4">
        <w:rPr>
          <w:rFonts w:ascii="Times New Roman" w:hAnsi="Times New Roman"/>
          <w:lang w:val="lt-LT"/>
        </w:rPr>
        <w:t xml:space="preserve"> sergančių 148 pacientų </w:t>
      </w:r>
      <w:proofErr w:type="spellStart"/>
      <w:r w:rsidRPr="00EE75B4">
        <w:rPr>
          <w:rFonts w:ascii="Times New Roman" w:hAnsi="Times New Roman"/>
          <w:lang w:val="lt-LT"/>
        </w:rPr>
        <w:t>polimorfonuklearinių</w:t>
      </w:r>
      <w:proofErr w:type="spellEnd"/>
      <w:r w:rsidRPr="00EE75B4">
        <w:rPr>
          <w:rFonts w:ascii="Times New Roman" w:hAnsi="Times New Roman"/>
          <w:lang w:val="lt-LT"/>
        </w:rPr>
        <w:t xml:space="preserve"> leukocitų (PMNL), genotipo analizės duomenimis, po 3, 6, 12 ir 18 gydymo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mėnesių buvo atitinkamai 2,2 %, 6,5 %, 12,8 % ir 15,3 % UL97 mutacijų. </w:t>
      </w:r>
    </w:p>
    <w:p w14:paraId="6735AC88" w14:textId="77777777" w:rsidR="005427AE" w:rsidRPr="00EE75B4" w:rsidRDefault="005427AE" w:rsidP="005427AE">
      <w:pPr>
        <w:suppressAutoHyphens/>
        <w:spacing w:after="0" w:line="240" w:lineRule="auto"/>
        <w:rPr>
          <w:rFonts w:ascii="Times New Roman" w:hAnsi="Times New Roman"/>
          <w:i/>
          <w:lang w:val="lt-LT"/>
        </w:rPr>
      </w:pPr>
    </w:p>
    <w:p w14:paraId="1128D3DF" w14:textId="77777777" w:rsidR="005427AE" w:rsidRPr="00EE75B4" w:rsidRDefault="005427AE" w:rsidP="005427AE">
      <w:pPr>
        <w:spacing w:after="0" w:line="240" w:lineRule="auto"/>
        <w:rPr>
          <w:rFonts w:ascii="Times New Roman" w:hAnsi="Times New Roman"/>
          <w:i/>
          <w:lang w:val="lt-LT"/>
        </w:rPr>
      </w:pPr>
      <w:r w:rsidRPr="00EE75B4">
        <w:rPr>
          <w:rFonts w:ascii="Times New Roman" w:hAnsi="Times New Roman"/>
          <w:i/>
          <w:lang w:val="lt-LT"/>
        </w:rPr>
        <w:t>CMV ligos profilaktika po persodinimo</w:t>
      </w:r>
    </w:p>
    <w:p w14:paraId="6654CC27" w14:textId="77777777" w:rsidR="005427AE" w:rsidRPr="00EE75B4" w:rsidRDefault="005427AE" w:rsidP="005427AE">
      <w:pPr>
        <w:spacing w:after="0" w:line="240" w:lineRule="auto"/>
        <w:rPr>
          <w:rFonts w:ascii="Times New Roman" w:hAnsi="Times New Roman"/>
          <w:i/>
          <w:lang w:val="lt-LT"/>
        </w:rPr>
      </w:pPr>
    </w:p>
    <w:p w14:paraId="5E28F292"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Aktyvaus palyginamojo preparato vartojimas</w:t>
      </w:r>
    </w:p>
    <w:p w14:paraId="63EEB549" w14:textId="77777777" w:rsidR="005427AE" w:rsidRPr="00EE75B4" w:rsidRDefault="005427AE" w:rsidP="005427AE">
      <w:pPr>
        <w:spacing w:after="0" w:line="240" w:lineRule="auto"/>
        <w:rPr>
          <w:rFonts w:ascii="Times New Roman" w:hAnsi="Times New Roman"/>
          <w:u w:val="single"/>
          <w:lang w:val="lt-LT"/>
        </w:rPr>
      </w:pPr>
    </w:p>
    <w:p w14:paraId="57ADA116"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Genotipo analizės būdu tirtas </w:t>
      </w:r>
      <w:proofErr w:type="spellStart"/>
      <w:r w:rsidRPr="00EE75B4">
        <w:rPr>
          <w:rFonts w:ascii="Times New Roman" w:hAnsi="Times New Roman"/>
          <w:lang w:val="lt-LT"/>
        </w:rPr>
        <w:t>polimorfonukleariniuose</w:t>
      </w:r>
      <w:proofErr w:type="spellEnd"/>
      <w:r w:rsidRPr="00EE75B4">
        <w:rPr>
          <w:rFonts w:ascii="Times New Roman" w:hAnsi="Times New Roman"/>
          <w:lang w:val="lt-LT"/>
        </w:rPr>
        <w:t xml:space="preserve"> leukocituose esančių CMV atsparumas. Vienais atvejais bandiniai atrinkti šimtąją parą (profilaktikos tiriamuoju vaistiniu preparatu pabaigoje), kitais – įtarus CMV ligą iki 6 mėnesių po persodinimo. Iš 245 pacientų, atsitiktinės atrankos būdu priskirtų vartoti </w:t>
      </w:r>
      <w:proofErr w:type="spellStart"/>
      <w:r w:rsidRPr="00EE75B4">
        <w:rPr>
          <w:rFonts w:ascii="Times New Roman" w:hAnsi="Times New Roman"/>
          <w:lang w:val="lt-LT"/>
        </w:rPr>
        <w:t>valganciklovirą</w:t>
      </w:r>
      <w:proofErr w:type="spellEnd"/>
      <w:r w:rsidRPr="00EE75B4">
        <w:rPr>
          <w:rFonts w:ascii="Times New Roman" w:hAnsi="Times New Roman"/>
          <w:lang w:val="lt-LT"/>
        </w:rPr>
        <w:t xml:space="preserve">, šimtąją parą tyrimui buvo atrinkti 198 bandiniai; atsparumo </w:t>
      </w:r>
      <w:proofErr w:type="spellStart"/>
      <w:r w:rsidRPr="00EE75B4">
        <w:rPr>
          <w:rFonts w:ascii="Times New Roman" w:hAnsi="Times New Roman"/>
          <w:lang w:val="lt-LT"/>
        </w:rPr>
        <w:t>ganciklovirui</w:t>
      </w:r>
      <w:proofErr w:type="spellEnd"/>
      <w:r w:rsidRPr="00EE75B4">
        <w:rPr>
          <w:rFonts w:ascii="Times New Roman" w:hAnsi="Times New Roman"/>
          <w:lang w:val="lt-LT"/>
        </w:rPr>
        <w:t xml:space="preserve"> </w:t>
      </w:r>
      <w:r w:rsidRPr="00EE75B4">
        <w:rPr>
          <w:rFonts w:ascii="Times New Roman" w:hAnsi="Times New Roman"/>
          <w:lang w:val="lt-LT"/>
        </w:rPr>
        <w:lastRenderedPageBreak/>
        <w:t xml:space="preserve">mutacijų nenustatyta. Tai nesiskiria nuo atsparumo </w:t>
      </w:r>
      <w:proofErr w:type="spellStart"/>
      <w:r w:rsidRPr="00EE75B4">
        <w:rPr>
          <w:rFonts w:ascii="Times New Roman" w:hAnsi="Times New Roman"/>
          <w:lang w:val="lt-LT"/>
        </w:rPr>
        <w:t>ganciklovirui</w:t>
      </w:r>
      <w:proofErr w:type="spellEnd"/>
      <w:r w:rsidRPr="00EE75B4">
        <w:rPr>
          <w:rFonts w:ascii="Times New Roman" w:hAnsi="Times New Roman"/>
          <w:lang w:val="lt-LT"/>
        </w:rPr>
        <w:t xml:space="preserve"> mutacijų dažnumo gydymo </w:t>
      </w:r>
      <w:proofErr w:type="spellStart"/>
      <w:r w:rsidRPr="00EE75B4">
        <w:rPr>
          <w:rFonts w:ascii="Times New Roman" w:hAnsi="Times New Roman"/>
          <w:lang w:val="lt-LT"/>
        </w:rPr>
        <w:t>gancikloviru</w:t>
      </w:r>
      <w:proofErr w:type="spellEnd"/>
      <w:r w:rsidRPr="00EE75B4">
        <w:rPr>
          <w:rFonts w:ascii="Times New Roman" w:hAnsi="Times New Roman"/>
          <w:lang w:val="lt-LT"/>
        </w:rPr>
        <w:t>: šioje grupėje mutacijų nustatyta dviejuose iš 103 (1,9 %) tirtų bandinių.</w:t>
      </w:r>
    </w:p>
    <w:p w14:paraId="3B09B497" w14:textId="77777777" w:rsidR="005427AE" w:rsidRPr="00EE75B4" w:rsidRDefault="005427AE" w:rsidP="005427AE">
      <w:pPr>
        <w:spacing w:after="0" w:line="240" w:lineRule="auto"/>
        <w:rPr>
          <w:rFonts w:ascii="Times New Roman" w:hAnsi="Times New Roman"/>
          <w:b/>
          <w:i/>
          <w:lang w:val="lt-LT"/>
        </w:rPr>
      </w:pPr>
    </w:p>
    <w:p w14:paraId="7E61D866" w14:textId="77777777" w:rsidR="005427AE" w:rsidRPr="00EE75B4" w:rsidRDefault="005427AE" w:rsidP="005427AE">
      <w:pPr>
        <w:spacing w:after="0" w:line="240" w:lineRule="auto"/>
        <w:rPr>
          <w:rFonts w:ascii="Times New Roman" w:hAnsi="Times New Roman"/>
          <w:b/>
          <w:i/>
          <w:lang w:val="lt-LT"/>
        </w:rPr>
      </w:pPr>
      <w:r w:rsidRPr="00EE75B4">
        <w:rPr>
          <w:rFonts w:ascii="Times New Roman" w:hAnsi="Times New Roman"/>
          <w:lang w:val="lt-LT"/>
        </w:rPr>
        <w:t xml:space="preserve">Iš 245 pacientų, atsitiktinės atrankos būdu priskirtų vartoti </w:t>
      </w:r>
      <w:proofErr w:type="spellStart"/>
      <w:r w:rsidRPr="00EE75B4">
        <w:rPr>
          <w:rFonts w:ascii="Times New Roman" w:hAnsi="Times New Roman"/>
          <w:lang w:val="lt-LT"/>
        </w:rPr>
        <w:t>valganciklovirą</w:t>
      </w:r>
      <w:proofErr w:type="spellEnd"/>
      <w:r w:rsidRPr="00EE75B4">
        <w:rPr>
          <w:rFonts w:ascii="Times New Roman" w:hAnsi="Times New Roman"/>
          <w:lang w:val="lt-LT"/>
        </w:rPr>
        <w:t xml:space="preserve">, ištirti 50 pacientų bandiniai įtarus CMV ligą; atsparumo mutacijų nenustatyta. Iš 127 pacientų, atsitiktinės atrankos būdu priskirtų vartoti </w:t>
      </w:r>
      <w:proofErr w:type="spellStart"/>
      <w:r w:rsidRPr="00EE75B4">
        <w:rPr>
          <w:rFonts w:ascii="Times New Roman" w:hAnsi="Times New Roman"/>
          <w:lang w:val="lt-LT"/>
        </w:rPr>
        <w:t>ganciklovirą</w:t>
      </w:r>
      <w:proofErr w:type="spellEnd"/>
      <w:r w:rsidRPr="00EE75B4">
        <w:rPr>
          <w:rFonts w:ascii="Times New Roman" w:hAnsi="Times New Roman"/>
          <w:lang w:val="lt-LT"/>
        </w:rPr>
        <w:t>, ištirti 29 pacientų bandiniai įtarus CMV ligą; dviejuose bandiniuose nustatyta mutacijų, taigi atsparumo dažnumas – 6,9 %.</w:t>
      </w:r>
    </w:p>
    <w:p w14:paraId="0AB7AF34" w14:textId="77777777" w:rsidR="005427AE" w:rsidRPr="00EE75B4" w:rsidRDefault="005427AE" w:rsidP="005427AE">
      <w:pPr>
        <w:spacing w:after="0" w:line="240" w:lineRule="auto"/>
        <w:rPr>
          <w:rFonts w:ascii="Times New Roman" w:hAnsi="Times New Roman"/>
          <w:lang w:val="lt-LT"/>
        </w:rPr>
      </w:pPr>
    </w:p>
    <w:p w14:paraId="43C911F7"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Pratęstos profilaktikos nuo 100 iki 200 parų po persodinimo tyrimas</w:t>
      </w:r>
    </w:p>
    <w:p w14:paraId="13C313CA" w14:textId="77777777" w:rsidR="005427AE" w:rsidRPr="00EE75B4" w:rsidRDefault="005427AE" w:rsidP="005427AE">
      <w:pPr>
        <w:spacing w:after="0" w:line="240" w:lineRule="auto"/>
        <w:rPr>
          <w:rFonts w:ascii="Times New Roman" w:hAnsi="Times New Roman"/>
          <w:u w:val="single"/>
          <w:lang w:val="lt-LT"/>
        </w:rPr>
      </w:pPr>
    </w:p>
    <w:p w14:paraId="3DDAE4CE"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Buvo atlikta </w:t>
      </w:r>
      <w:proofErr w:type="spellStart"/>
      <w:r w:rsidRPr="00EE75B4">
        <w:rPr>
          <w:rFonts w:ascii="Times New Roman" w:hAnsi="Times New Roman"/>
          <w:lang w:val="lt-LT"/>
        </w:rPr>
        <w:t>genotipinė</w:t>
      </w:r>
      <w:proofErr w:type="spellEnd"/>
      <w:r w:rsidRPr="00EE75B4">
        <w:rPr>
          <w:rFonts w:ascii="Times New Roman" w:hAnsi="Times New Roman"/>
          <w:lang w:val="lt-LT"/>
        </w:rPr>
        <w:t xml:space="preserve"> analizė, naudojant UL54 ir UL97 genus, išskirtus iš virusų, </w:t>
      </w:r>
      <w:proofErr w:type="spellStart"/>
      <w:r w:rsidRPr="00EE75B4">
        <w:rPr>
          <w:rFonts w:ascii="Times New Roman" w:hAnsi="Times New Roman"/>
          <w:lang w:val="lt-LT"/>
        </w:rPr>
        <w:t>ekstrahuotų</w:t>
      </w:r>
      <w:proofErr w:type="spellEnd"/>
      <w:r w:rsidRPr="00EE75B4">
        <w:rPr>
          <w:rFonts w:ascii="Times New Roman" w:hAnsi="Times New Roman"/>
          <w:lang w:val="lt-LT"/>
        </w:rPr>
        <w:t xml:space="preserve"> iš 72 pacientų, kurie atitiko atsparumo analizės kriterijus: tai pacientai, kuriems buvo teigiama </w:t>
      </w:r>
      <w:proofErr w:type="spellStart"/>
      <w:r w:rsidRPr="00EE75B4">
        <w:rPr>
          <w:rFonts w:ascii="Times New Roman" w:hAnsi="Times New Roman"/>
          <w:lang w:val="lt-LT"/>
        </w:rPr>
        <w:t>viremija</w:t>
      </w:r>
      <w:proofErr w:type="spellEnd"/>
      <w:r w:rsidRPr="00EE75B4">
        <w:rPr>
          <w:rFonts w:ascii="Times New Roman" w:hAnsi="Times New Roman"/>
          <w:lang w:val="lt-LT"/>
        </w:rPr>
        <w:t xml:space="preserve"> (&gt; 600 kopijų/ml) baigus profilaktiką ir (arba) pacientai, kuriems patvirtinta CMV liga iki 12 mėnesio (52 savaičių) po persodinimo. Kiekvienoje gydymo grupėje trims pacientams buvo iš anksčiau nustatyta atsparumo </w:t>
      </w:r>
      <w:proofErr w:type="spellStart"/>
      <w:r w:rsidRPr="00EE75B4">
        <w:rPr>
          <w:rFonts w:ascii="Times New Roman" w:hAnsi="Times New Roman"/>
          <w:lang w:val="lt-LT"/>
        </w:rPr>
        <w:t>ganciklovirui</w:t>
      </w:r>
      <w:proofErr w:type="spellEnd"/>
      <w:r w:rsidRPr="00EE75B4">
        <w:rPr>
          <w:rFonts w:ascii="Times New Roman" w:hAnsi="Times New Roman"/>
          <w:lang w:val="lt-LT"/>
        </w:rPr>
        <w:t xml:space="preserve"> mutacija.</w:t>
      </w:r>
    </w:p>
    <w:p w14:paraId="11888410" w14:textId="77777777" w:rsidR="005427AE" w:rsidRPr="00EE75B4" w:rsidRDefault="005427AE" w:rsidP="005427AE">
      <w:pPr>
        <w:spacing w:after="0" w:line="240" w:lineRule="auto"/>
        <w:rPr>
          <w:rFonts w:ascii="Times New Roman" w:hAnsi="Times New Roman"/>
          <w:lang w:val="lt-LT"/>
        </w:rPr>
      </w:pPr>
    </w:p>
    <w:p w14:paraId="3D3F0964" w14:textId="77777777" w:rsidR="005427AE" w:rsidRPr="00EE75B4" w:rsidRDefault="005427AE" w:rsidP="005427AE">
      <w:pPr>
        <w:spacing w:after="0" w:line="240" w:lineRule="auto"/>
        <w:rPr>
          <w:rFonts w:ascii="Times New Roman" w:hAnsi="Times New Roman"/>
          <w:b/>
          <w:i/>
          <w:lang w:val="lt-LT"/>
        </w:rPr>
      </w:pPr>
      <w:r w:rsidRPr="00EE75B4">
        <w:rPr>
          <w:rFonts w:ascii="Times New Roman" w:hAnsi="Times New Roman"/>
          <w:b/>
          <w:i/>
          <w:lang w:val="lt-LT"/>
        </w:rPr>
        <w:t>Vaikų populiacija</w:t>
      </w:r>
    </w:p>
    <w:p w14:paraId="36582848" w14:textId="77777777" w:rsidR="005427AE" w:rsidRPr="00EE75B4" w:rsidRDefault="005427AE" w:rsidP="005427AE">
      <w:pPr>
        <w:spacing w:after="0" w:line="240" w:lineRule="auto"/>
        <w:rPr>
          <w:rFonts w:ascii="Times New Roman" w:hAnsi="Times New Roman"/>
          <w:u w:val="single"/>
          <w:lang w:val="lt-LT"/>
        </w:rPr>
      </w:pPr>
    </w:p>
    <w:p w14:paraId="6F0E1BA9" w14:textId="77777777" w:rsidR="005427AE" w:rsidRPr="00EE75B4" w:rsidRDefault="005427AE" w:rsidP="005427AE">
      <w:pPr>
        <w:spacing w:after="0" w:line="240" w:lineRule="auto"/>
        <w:rPr>
          <w:rFonts w:ascii="Times New Roman" w:hAnsi="Times New Roman"/>
          <w:i/>
          <w:lang w:val="lt-LT"/>
        </w:rPr>
      </w:pPr>
      <w:r w:rsidRPr="00EE75B4">
        <w:rPr>
          <w:rFonts w:ascii="Times New Roman" w:hAnsi="Times New Roman"/>
          <w:i/>
          <w:lang w:val="lt-LT"/>
        </w:rPr>
        <w:t xml:space="preserve">CMV sukelto </w:t>
      </w:r>
      <w:proofErr w:type="spellStart"/>
      <w:r w:rsidRPr="00EE75B4">
        <w:rPr>
          <w:rFonts w:ascii="Times New Roman" w:hAnsi="Times New Roman"/>
          <w:i/>
          <w:lang w:val="lt-LT"/>
        </w:rPr>
        <w:t>retinito</w:t>
      </w:r>
      <w:proofErr w:type="spellEnd"/>
      <w:r w:rsidRPr="00EE75B4">
        <w:rPr>
          <w:rFonts w:ascii="Times New Roman" w:hAnsi="Times New Roman"/>
          <w:i/>
          <w:lang w:val="lt-LT"/>
        </w:rPr>
        <w:t xml:space="preserve"> gydymas</w:t>
      </w:r>
    </w:p>
    <w:p w14:paraId="0B480381"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Europos vaistų agentūra atleido nuo įpareigojimo pateikti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tyrimų su visais vaikų populiacijos pogrupiais duomenis apie CMV infekcijos gydymą pacientams, kurių imuninė sistema yra susilpnėjusi (vartojimo vaikams informacija pateikiama 4.2 skyriuje).</w:t>
      </w:r>
    </w:p>
    <w:p w14:paraId="64BB2EEC" w14:textId="77777777" w:rsidR="005427AE" w:rsidRPr="00EE75B4" w:rsidRDefault="005427AE" w:rsidP="005427AE">
      <w:pPr>
        <w:spacing w:after="0" w:line="240" w:lineRule="auto"/>
        <w:rPr>
          <w:rFonts w:ascii="Times New Roman" w:hAnsi="Times New Roman"/>
          <w:lang w:val="lt-LT"/>
        </w:rPr>
      </w:pPr>
    </w:p>
    <w:p w14:paraId="7C040360"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i/>
          <w:lang w:val="lt-LT"/>
        </w:rPr>
        <w:t>CMV sukeltos ligos profilaktika po persodinimo</w:t>
      </w:r>
    </w:p>
    <w:p w14:paraId="41026C71"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II fazės </w:t>
      </w:r>
      <w:proofErr w:type="spellStart"/>
      <w:r w:rsidRPr="00EE75B4">
        <w:rPr>
          <w:rFonts w:ascii="Times New Roman" w:hAnsi="Times New Roman"/>
          <w:lang w:val="lt-LT"/>
        </w:rPr>
        <w:t>farmakokinetikos</w:t>
      </w:r>
      <w:proofErr w:type="spellEnd"/>
      <w:r w:rsidRPr="00EE75B4">
        <w:rPr>
          <w:rFonts w:ascii="Times New Roman" w:hAnsi="Times New Roman"/>
          <w:lang w:val="lt-LT"/>
        </w:rPr>
        <w:t xml:space="preserve"> ir saugumo klinikiniame tyrime, kuriame dalyvavusiems vaikams (nuo 4 mėnesių iki 16 metų amžiaus, n = 63) su persodintu </w:t>
      </w:r>
      <w:proofErr w:type="spellStart"/>
      <w:r w:rsidRPr="00EE75B4">
        <w:rPr>
          <w:rFonts w:ascii="Times New Roman" w:hAnsi="Times New Roman"/>
          <w:lang w:val="lt-LT"/>
        </w:rPr>
        <w:t>solidiniu</w:t>
      </w:r>
      <w:proofErr w:type="spellEnd"/>
      <w:r w:rsidRPr="00EE75B4">
        <w:rPr>
          <w:rFonts w:ascii="Times New Roman" w:hAnsi="Times New Roman"/>
          <w:lang w:val="lt-LT"/>
        </w:rPr>
        <w:t xml:space="preserve"> organu vartojant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vieną kartą per parą iki 100 parų pagal dozavimo vaikams algoritmą (žr. 4.2 skyrių), susidarė panaši ekspozicija, kaip ir suaugusiųjų organizme (žr. 5.2 skyrių). Stebėsena po gydymo truko 12 savaičių. CMV D/R serologinė būklė prieš pradedant tyrimą buvo: 40 % atvejų D+/R-, 38 % - D+/R+, 19 % - D-/R+ ir 3 % - D-/R-. CMV virusas buvo nustatytas 7 pacientams. Pastebėtos nepageidaujamos reakcijos į vaistinį preparatą buvo panašaus pobūdžio, kaip suaugusiems pacientams (žr. 4.8 skyrių). </w:t>
      </w:r>
    </w:p>
    <w:p w14:paraId="1506FA8D"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IV fazės toleravimo klinikinio tyrimo, kuriame dalyvavo vaikai su persodintu inkstu (nuo 1 iki 16 metų amžiaus, n = 57), vartoję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dozę vieną kartą per parą ne ilgiau kaip 200 parų pagal dozavimo algoritmą (žr. 4.2 skyrių), metu CMV infekcijos dažnis buvo mažas. Stebėsena po gydymo truko 24 savaites. CMV D/R serologinė būklė prieš pradedant tyrimą buvo tokia: D+ / R+ – 45 %, D+ / R- – 39 %, D- / R+ – 7 %, D- / R- – 7 %, o ND / R+ – 2 % visų atvejų. CMV </w:t>
      </w:r>
      <w:proofErr w:type="spellStart"/>
      <w:r w:rsidRPr="00EE75B4">
        <w:rPr>
          <w:rFonts w:ascii="Times New Roman" w:hAnsi="Times New Roman"/>
          <w:lang w:val="lt-LT"/>
        </w:rPr>
        <w:t>viremija</w:t>
      </w:r>
      <w:proofErr w:type="spellEnd"/>
      <w:r w:rsidRPr="00EE75B4">
        <w:rPr>
          <w:rFonts w:ascii="Times New Roman" w:hAnsi="Times New Roman"/>
          <w:lang w:val="lt-LT"/>
        </w:rPr>
        <w:t xml:space="preserve"> buvo nustatyta 3 pacientams, o vienam pacientui CMV sindromas buvo įtartas, tačiau nepatvirtintas CMV PGR centrinėje laboratorijoje. Pastebėtos nepageidaujamos reakcijos buvo panašaus pobūdžio, kaip ir suaugusiems pacientams (žr. 4.8 skyrių).</w:t>
      </w:r>
    </w:p>
    <w:p w14:paraId="47C6C259" w14:textId="77777777" w:rsidR="005427AE" w:rsidRPr="00EE75B4" w:rsidRDefault="005427AE" w:rsidP="005427AE">
      <w:pPr>
        <w:spacing w:after="0" w:line="240" w:lineRule="auto"/>
        <w:rPr>
          <w:rFonts w:ascii="Times New Roman" w:hAnsi="Times New Roman"/>
          <w:lang w:val="lt-LT"/>
        </w:rPr>
      </w:pPr>
    </w:p>
    <w:p w14:paraId="2F1AA2FB"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Šie duomenys pagrindžia veiksmingumo suaugusiesiems duomenų ekstrapoliaciją vaikams ir suteikia dozavimo rekomendacijas vaikams.</w:t>
      </w:r>
    </w:p>
    <w:p w14:paraId="2BEB3813" w14:textId="77777777" w:rsidR="005427AE" w:rsidRPr="00EE75B4" w:rsidRDefault="005427AE" w:rsidP="005427AE">
      <w:pPr>
        <w:spacing w:after="0" w:line="240" w:lineRule="auto"/>
        <w:rPr>
          <w:rFonts w:ascii="Times New Roman" w:hAnsi="Times New Roman"/>
          <w:lang w:val="lt-LT"/>
        </w:rPr>
      </w:pPr>
    </w:p>
    <w:p w14:paraId="79D2EFEA"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I fazės </w:t>
      </w:r>
      <w:proofErr w:type="spellStart"/>
      <w:r w:rsidRPr="00EE75B4">
        <w:rPr>
          <w:rFonts w:ascii="Times New Roman" w:hAnsi="Times New Roman"/>
          <w:lang w:val="lt-LT"/>
        </w:rPr>
        <w:t>farmakokinetikos</w:t>
      </w:r>
      <w:proofErr w:type="spellEnd"/>
      <w:r w:rsidRPr="00EE75B4">
        <w:rPr>
          <w:rFonts w:ascii="Times New Roman" w:hAnsi="Times New Roman"/>
          <w:lang w:val="lt-LT"/>
        </w:rPr>
        <w:t xml:space="preserve"> ir saugumo klinikiniame tyrime dalyvavusių pacientų (nuo 3 savaičių iki 125 parų amžiaus, n = 14), su persodinta širdimi, kurie 2 dienas iš eilės gavo vieną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dozę pagal dozavimo vaikams algoritmą (žr. 4.2 skyrių), organizme susidarė panaši ekspozicija, kaip ir suaugusių pacientų organizme (žr. 5.2 skyrių). Stebėsena po gydymo truko 7 dienas. Saugumo pobūdis atitiko kitų klinikinių tyrimų su vaikais ir suaugusiaisiais metu nustatytą saugumo pobūdį, nors pacientų skaičius ir ekspozicija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šio klinikinio tyrimo metu buvo riboti.</w:t>
      </w:r>
    </w:p>
    <w:p w14:paraId="2C4ADAFF" w14:textId="77777777" w:rsidR="005427AE" w:rsidRPr="00EE75B4" w:rsidRDefault="005427AE" w:rsidP="005427AE">
      <w:pPr>
        <w:spacing w:after="0" w:line="240" w:lineRule="auto"/>
        <w:rPr>
          <w:rFonts w:ascii="Times New Roman" w:hAnsi="Times New Roman"/>
          <w:lang w:val="lt-LT"/>
        </w:rPr>
      </w:pPr>
    </w:p>
    <w:p w14:paraId="4EC02D32" w14:textId="77777777" w:rsidR="005427AE" w:rsidRPr="00EE75B4" w:rsidRDefault="005427AE" w:rsidP="005427AE">
      <w:pPr>
        <w:spacing w:after="0" w:line="240" w:lineRule="auto"/>
        <w:rPr>
          <w:rFonts w:ascii="Times New Roman" w:hAnsi="Times New Roman"/>
          <w:i/>
          <w:lang w:val="lt-LT"/>
        </w:rPr>
      </w:pPr>
      <w:r w:rsidRPr="00EE75B4">
        <w:rPr>
          <w:rFonts w:ascii="Times New Roman" w:hAnsi="Times New Roman"/>
          <w:i/>
          <w:lang w:val="lt-LT"/>
        </w:rPr>
        <w:t>Įgimta CMV infekcija</w:t>
      </w:r>
    </w:p>
    <w:p w14:paraId="3D92B8B9"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ir (arba)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veiksmingumas ir saugumas buvo tirtas dviejų klinikinių tyrimų su naujagimiais ir kūdikiais, sirgusiais įgimta simptomine CMV infekcija, metu.</w:t>
      </w:r>
    </w:p>
    <w:p w14:paraId="40C557B7" w14:textId="77777777" w:rsidR="005427AE" w:rsidRPr="00EE75B4" w:rsidRDefault="005427AE" w:rsidP="005427AE">
      <w:pPr>
        <w:spacing w:after="0" w:line="240" w:lineRule="auto"/>
        <w:rPr>
          <w:rFonts w:ascii="Times New Roman" w:hAnsi="Times New Roman"/>
          <w:lang w:val="lt-LT"/>
        </w:rPr>
      </w:pPr>
    </w:p>
    <w:p w14:paraId="6DC2DE65"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Pirmojo tyrimo metu vienkartinės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dozės (dozės intervalas 14-16-20 mg/kg dozei) </w:t>
      </w:r>
      <w:proofErr w:type="spellStart"/>
      <w:r w:rsidRPr="00EE75B4">
        <w:rPr>
          <w:rFonts w:ascii="Times New Roman" w:hAnsi="Times New Roman"/>
          <w:lang w:val="lt-LT"/>
        </w:rPr>
        <w:t>farmakokinetika</w:t>
      </w:r>
      <w:proofErr w:type="spellEnd"/>
      <w:r w:rsidRPr="00EE75B4">
        <w:rPr>
          <w:rFonts w:ascii="Times New Roman" w:hAnsi="Times New Roman"/>
          <w:lang w:val="lt-LT"/>
        </w:rPr>
        <w:t xml:space="preserve"> ir saugumas buvo tirtas su 24 naujagimiais (nuo 8 iki 34 parų amžiaus), sirgusiais simptomine įgimta CMV liga (žr. 5.2 skyrių). Antivirusinis gydymas naujagimiams buvo taikytas </w:t>
      </w:r>
      <w:r w:rsidRPr="00EE75B4">
        <w:rPr>
          <w:rFonts w:ascii="Times New Roman" w:hAnsi="Times New Roman"/>
          <w:lang w:val="lt-LT"/>
        </w:rPr>
        <w:lastRenderedPageBreak/>
        <w:t xml:space="preserve">6 savaites, 19 iš 24 pacientų 4 savaites buvo taikytas gydymas geriamuoju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o likusias 2 savaites jie buvo gydyti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į veną. Kitiems 5 pacientams beveik visą tyrimo laiką buvo taikytas gydymas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į veną. Antrojo tyrimo metu buvo palygintas šešių savaičių trukmės gydymo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veiksmingumas ir saugumas su gydymu šešis mėnesius 109 naujagimiams ir kūdikiams nuo 2 iki 30 parų amžiaus, sirgusiems įgimta simptomine CMV liga. Visi kūdikiai 6 savaites vartojo geriamojo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16 mg/kg dozę du kartus per parą. Norint užbaigti 6 mėnesių trukmės gydymo kursą, po 6 gydymo savaičių šiems kūdikiams atsitiktine tvarka santykiu 1:1 buvo paskirta arba tęsti gydymą tokia pačia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doze, arba vartoti priderintą </w:t>
      </w:r>
      <w:proofErr w:type="spellStart"/>
      <w:r w:rsidRPr="00EE75B4">
        <w:rPr>
          <w:rFonts w:ascii="Times New Roman" w:hAnsi="Times New Roman"/>
          <w:lang w:val="lt-LT"/>
        </w:rPr>
        <w:t>placebą</w:t>
      </w:r>
      <w:proofErr w:type="spellEnd"/>
      <w:r w:rsidRPr="00EE75B4">
        <w:rPr>
          <w:rFonts w:ascii="Times New Roman" w:hAnsi="Times New Roman"/>
          <w:lang w:val="lt-LT"/>
        </w:rPr>
        <w:t>.</w:t>
      </w:r>
    </w:p>
    <w:p w14:paraId="67DABD81" w14:textId="77777777" w:rsidR="005427AE" w:rsidRPr="00EE75B4" w:rsidRDefault="005427AE" w:rsidP="005427AE">
      <w:pPr>
        <w:spacing w:after="0" w:line="240" w:lineRule="auto"/>
        <w:rPr>
          <w:rFonts w:ascii="Times New Roman" w:hAnsi="Times New Roman"/>
          <w:lang w:val="lt-LT"/>
        </w:rPr>
      </w:pPr>
    </w:p>
    <w:p w14:paraId="4DA4DE98"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Pagal tirtąją indikaciją šiuo metu skirti </w:t>
      </w:r>
      <w:proofErr w:type="spellStart"/>
      <w:r w:rsidRPr="00EE75B4">
        <w:rPr>
          <w:rFonts w:ascii="Times New Roman" w:hAnsi="Times New Roman"/>
          <w:lang w:val="lt-LT"/>
        </w:rPr>
        <w:t>valganciklovirą</w:t>
      </w:r>
      <w:proofErr w:type="spellEnd"/>
      <w:r w:rsidRPr="00EE75B4">
        <w:rPr>
          <w:rFonts w:ascii="Times New Roman" w:hAnsi="Times New Roman"/>
          <w:lang w:val="lt-LT"/>
        </w:rPr>
        <w:t xml:space="preserve"> nerekomenduojama. Išvadų apie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saugumą ir veiksmingumą padarymui minėtų tyrimų sandara ir gauti rezultatai buvo pernelyg riboti.</w:t>
      </w:r>
    </w:p>
    <w:p w14:paraId="48FC5A2A" w14:textId="77777777" w:rsidR="005427AE" w:rsidRPr="00EE75B4" w:rsidRDefault="005427AE" w:rsidP="005427AE">
      <w:pPr>
        <w:spacing w:after="0" w:line="240" w:lineRule="auto"/>
        <w:rPr>
          <w:rFonts w:ascii="Times New Roman" w:hAnsi="Times New Roman"/>
          <w:lang w:val="lt-LT"/>
        </w:rPr>
      </w:pPr>
    </w:p>
    <w:p w14:paraId="141BDB25" w14:textId="77777777" w:rsidR="005427AE" w:rsidRPr="00EE75B4" w:rsidRDefault="005427AE" w:rsidP="005427AE">
      <w:pPr>
        <w:spacing w:after="0" w:line="240" w:lineRule="auto"/>
        <w:ind w:left="567" w:hanging="567"/>
        <w:outlineLvl w:val="1"/>
        <w:rPr>
          <w:rFonts w:ascii="Times New Roman" w:hAnsi="Times New Roman"/>
          <w:b/>
          <w:kern w:val="28"/>
          <w:lang w:val="lt-LT"/>
        </w:rPr>
      </w:pPr>
      <w:r w:rsidRPr="00EE75B4">
        <w:rPr>
          <w:rFonts w:ascii="Times New Roman" w:hAnsi="Times New Roman"/>
          <w:b/>
          <w:kern w:val="28"/>
          <w:lang w:val="lt-LT"/>
        </w:rPr>
        <w:t>5.2</w:t>
      </w:r>
      <w:r w:rsidRPr="00EE75B4">
        <w:rPr>
          <w:rFonts w:ascii="Times New Roman" w:hAnsi="Times New Roman"/>
          <w:b/>
          <w:kern w:val="28"/>
          <w:lang w:val="lt-LT"/>
        </w:rPr>
        <w:tab/>
      </w:r>
      <w:proofErr w:type="spellStart"/>
      <w:r w:rsidRPr="00EE75B4">
        <w:rPr>
          <w:rFonts w:ascii="Times New Roman" w:hAnsi="Times New Roman"/>
          <w:b/>
          <w:kern w:val="28"/>
          <w:lang w:val="lt-LT"/>
        </w:rPr>
        <w:t>Farmakokinetinės</w:t>
      </w:r>
      <w:proofErr w:type="spellEnd"/>
      <w:r w:rsidRPr="00EE75B4">
        <w:rPr>
          <w:rFonts w:ascii="Times New Roman" w:hAnsi="Times New Roman"/>
          <w:b/>
          <w:kern w:val="28"/>
          <w:lang w:val="lt-LT"/>
        </w:rPr>
        <w:t xml:space="preserve"> savybės</w:t>
      </w:r>
    </w:p>
    <w:p w14:paraId="0BB2E4C6" w14:textId="77777777" w:rsidR="005427AE" w:rsidRPr="00EE75B4" w:rsidRDefault="005427AE" w:rsidP="005427AE">
      <w:pPr>
        <w:spacing w:after="0" w:line="240" w:lineRule="auto"/>
        <w:rPr>
          <w:rFonts w:ascii="Times New Roman" w:hAnsi="Times New Roman"/>
          <w:lang w:val="lt-LT"/>
        </w:rPr>
      </w:pPr>
    </w:p>
    <w:p w14:paraId="68FF3A99"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Farmakokinetinės</w:t>
      </w:r>
      <w:proofErr w:type="spellEnd"/>
      <w:r w:rsidRPr="00EE75B4">
        <w:rPr>
          <w:rFonts w:ascii="Times New Roman" w:hAnsi="Times New Roman"/>
          <w:lang w:val="lt-LT"/>
        </w:rPr>
        <w:t xml:space="preserve">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savybės nustatytos tiriant pacientus, kuriems buvo teigiamos ŽIV ir CMV serologinės reakcijos, AIDS ir CMV </w:t>
      </w:r>
      <w:proofErr w:type="spellStart"/>
      <w:r w:rsidRPr="00EE75B4">
        <w:rPr>
          <w:rFonts w:ascii="Times New Roman" w:hAnsi="Times New Roman"/>
          <w:lang w:val="lt-LT"/>
        </w:rPr>
        <w:t>retinitu</w:t>
      </w:r>
      <w:proofErr w:type="spellEnd"/>
      <w:r w:rsidRPr="00EE75B4">
        <w:rPr>
          <w:rFonts w:ascii="Times New Roman" w:hAnsi="Times New Roman"/>
          <w:lang w:val="lt-LT"/>
        </w:rPr>
        <w:t xml:space="preserve"> sergančius pacientus, taip pat pacientus, kuriems persodintas </w:t>
      </w:r>
      <w:proofErr w:type="spellStart"/>
      <w:r w:rsidRPr="00EE75B4">
        <w:rPr>
          <w:rFonts w:ascii="Times New Roman" w:hAnsi="Times New Roman"/>
          <w:lang w:val="lt-LT"/>
        </w:rPr>
        <w:t>solidinis</w:t>
      </w:r>
      <w:proofErr w:type="spellEnd"/>
      <w:r w:rsidRPr="00EE75B4">
        <w:rPr>
          <w:rFonts w:ascii="Times New Roman" w:hAnsi="Times New Roman"/>
          <w:lang w:val="lt-LT"/>
        </w:rPr>
        <w:t xml:space="preserve"> organas.</w:t>
      </w:r>
    </w:p>
    <w:p w14:paraId="2277E20A" w14:textId="77777777" w:rsidR="005427AE" w:rsidRPr="00EE75B4" w:rsidRDefault="005427AE" w:rsidP="005427AE">
      <w:pPr>
        <w:spacing w:after="0" w:line="240" w:lineRule="auto"/>
        <w:rPr>
          <w:rFonts w:ascii="Times New Roman" w:hAnsi="Times New Roman"/>
          <w:lang w:val="lt-LT"/>
        </w:rPr>
      </w:pPr>
    </w:p>
    <w:p w14:paraId="6C276708" w14:textId="77777777" w:rsidR="00000A98" w:rsidRPr="00EE75B4" w:rsidRDefault="00000A98" w:rsidP="005427AE">
      <w:pPr>
        <w:spacing w:after="0" w:line="240" w:lineRule="auto"/>
        <w:rPr>
          <w:rFonts w:ascii="Times New Roman" w:eastAsia="Times New Roman" w:hAnsi="Times New Roman"/>
          <w:lang w:val="lt-LT" w:eastAsia="ja-JP"/>
        </w:rPr>
      </w:pPr>
      <w:proofErr w:type="spellStart"/>
      <w:r w:rsidRPr="00EE75B4">
        <w:rPr>
          <w:rFonts w:ascii="Times New Roman" w:eastAsia="Times New Roman" w:hAnsi="Times New Roman"/>
          <w:lang w:val="lt-LT" w:eastAsia="ja-JP"/>
        </w:rPr>
        <w:t>Gancikloviro</w:t>
      </w:r>
      <w:proofErr w:type="spellEnd"/>
      <w:r w:rsidRPr="00EE75B4">
        <w:rPr>
          <w:rFonts w:ascii="Times New Roman" w:eastAsia="Times New Roman" w:hAnsi="Times New Roman"/>
          <w:lang w:val="lt-LT" w:eastAsia="ja-JP"/>
        </w:rPr>
        <w:t xml:space="preserve"> AUC buvo proporcinga </w:t>
      </w:r>
      <w:proofErr w:type="spellStart"/>
      <w:r w:rsidRPr="00EE75B4">
        <w:rPr>
          <w:rFonts w:ascii="Times New Roman" w:eastAsia="Times New Roman" w:hAnsi="Times New Roman"/>
          <w:lang w:val="lt-LT" w:eastAsia="ja-JP"/>
        </w:rPr>
        <w:t>valgancikloviro</w:t>
      </w:r>
      <w:proofErr w:type="spellEnd"/>
      <w:r w:rsidRPr="00EE75B4">
        <w:rPr>
          <w:rFonts w:ascii="Times New Roman" w:eastAsia="Times New Roman" w:hAnsi="Times New Roman"/>
          <w:lang w:val="lt-LT" w:eastAsia="ja-JP"/>
        </w:rPr>
        <w:t xml:space="preserve"> dozei (nuo 450 iki 2625 mg) tik jei vaistas vartojamas su maistu.</w:t>
      </w:r>
    </w:p>
    <w:p w14:paraId="3EA89019" w14:textId="77777777" w:rsidR="00000A98" w:rsidRPr="00EE75B4" w:rsidRDefault="00000A98" w:rsidP="005427AE">
      <w:pPr>
        <w:spacing w:after="0" w:line="240" w:lineRule="auto"/>
        <w:rPr>
          <w:rFonts w:ascii="Times New Roman" w:eastAsia="Times New Roman" w:hAnsi="Times New Roman"/>
          <w:lang w:val="lt-LT" w:eastAsia="ja-JP"/>
        </w:rPr>
      </w:pPr>
    </w:p>
    <w:p w14:paraId="63ACE207"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Absorbcija</w:t>
      </w:r>
    </w:p>
    <w:p w14:paraId="7A68034D" w14:textId="77777777" w:rsidR="005427AE" w:rsidRPr="00EE75B4" w:rsidRDefault="005427AE" w:rsidP="005427AE">
      <w:pPr>
        <w:spacing w:after="0" w:line="240" w:lineRule="auto"/>
        <w:rPr>
          <w:rFonts w:ascii="Times New Roman" w:hAnsi="Times New Roman"/>
          <w:u w:val="single"/>
          <w:lang w:val="lt-LT"/>
        </w:rPr>
      </w:pPr>
    </w:p>
    <w:p w14:paraId="03539C3C"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Valgancikloviras</w:t>
      </w:r>
      <w:proofErr w:type="spellEnd"/>
      <w:r w:rsidRPr="00EE75B4">
        <w:rPr>
          <w:rFonts w:ascii="Times New Roman" w:hAnsi="Times New Roman"/>
          <w:lang w:val="lt-LT"/>
        </w:rPr>
        <w:t xml:space="preserve"> yra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pirmtakas. Jis gerai absorbuojamas iš virškinimo trakto ir žarnos sienelėje bei kepenyse greitai ir ekstensyviai </w:t>
      </w:r>
      <w:proofErr w:type="spellStart"/>
      <w:r w:rsidRPr="00EE75B4">
        <w:rPr>
          <w:rFonts w:ascii="Times New Roman" w:hAnsi="Times New Roman"/>
          <w:lang w:val="lt-LT"/>
        </w:rPr>
        <w:t>metabolizuojamas</w:t>
      </w:r>
      <w:proofErr w:type="spellEnd"/>
      <w:r w:rsidRPr="00EE75B4">
        <w:rPr>
          <w:rFonts w:ascii="Times New Roman" w:hAnsi="Times New Roman"/>
          <w:lang w:val="lt-LT"/>
        </w:rPr>
        <w:t xml:space="preserve"> į </w:t>
      </w:r>
      <w:proofErr w:type="spellStart"/>
      <w:r w:rsidRPr="00EE75B4">
        <w:rPr>
          <w:rFonts w:ascii="Times New Roman" w:hAnsi="Times New Roman"/>
          <w:lang w:val="lt-LT"/>
        </w:rPr>
        <w:t>ganciklovirą</w:t>
      </w:r>
      <w:proofErr w:type="spellEnd"/>
      <w:r w:rsidRPr="00EE75B4">
        <w:rPr>
          <w:rFonts w:ascii="Times New Roman" w:hAnsi="Times New Roman"/>
          <w:lang w:val="lt-LT"/>
        </w:rPr>
        <w:t xml:space="preserve">. Sisteminė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ekspozicija yra laikina ir maža.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biologinis prieinamumas iš geriamojo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pagal visų pacientų grupių tyrimo rezultatus yra apie 60 %; organizmo ekspozicija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būna panaši kaip ir jo suleidus į veną (žr. toliau). Palyginimui – išgėrus 1000 mg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(kapsulių), jo biologinis prieinamumas yra 6–8 %.</w:t>
      </w:r>
    </w:p>
    <w:p w14:paraId="399D55A1" w14:textId="77777777" w:rsidR="005427AE" w:rsidRPr="00EE75B4" w:rsidRDefault="005427AE" w:rsidP="005427AE">
      <w:pPr>
        <w:spacing w:after="0" w:line="240" w:lineRule="auto"/>
        <w:rPr>
          <w:rFonts w:ascii="Times New Roman" w:hAnsi="Times New Roman"/>
          <w:lang w:val="lt-LT"/>
        </w:rPr>
      </w:pPr>
    </w:p>
    <w:p w14:paraId="63EAE54B" w14:textId="77777777" w:rsidR="005427AE" w:rsidRPr="00EE75B4" w:rsidRDefault="005427AE" w:rsidP="005427AE">
      <w:pPr>
        <w:spacing w:after="0" w:line="240" w:lineRule="auto"/>
        <w:rPr>
          <w:rFonts w:ascii="Times New Roman" w:hAnsi="Times New Roman"/>
          <w:i/>
          <w:lang w:val="lt-LT"/>
        </w:rPr>
      </w:pPr>
      <w:proofErr w:type="spellStart"/>
      <w:r w:rsidRPr="00EE75B4">
        <w:rPr>
          <w:rFonts w:ascii="Times New Roman" w:hAnsi="Times New Roman"/>
          <w:i/>
          <w:lang w:val="lt-LT"/>
        </w:rPr>
        <w:t>Valgancikloviras</w:t>
      </w:r>
      <w:proofErr w:type="spellEnd"/>
      <w:r w:rsidRPr="00EE75B4">
        <w:rPr>
          <w:rFonts w:ascii="Times New Roman" w:hAnsi="Times New Roman"/>
          <w:i/>
          <w:lang w:val="lt-LT"/>
        </w:rPr>
        <w:t xml:space="preserve"> pacientų, kurių ŽIV teigiamos ir CMV teigiamos serologinės reakcijos</w:t>
      </w:r>
      <w:r w:rsidRPr="00EE75B4">
        <w:rPr>
          <w:rFonts w:ascii="Times New Roman" w:hAnsi="Times New Roman"/>
          <w:lang w:val="lt-LT"/>
        </w:rPr>
        <w:t>,</w:t>
      </w:r>
      <w:r w:rsidRPr="00EE75B4">
        <w:rPr>
          <w:rFonts w:ascii="Times New Roman" w:hAnsi="Times New Roman"/>
          <w:i/>
          <w:lang w:val="lt-LT"/>
        </w:rPr>
        <w:t xml:space="preserve"> organizme</w:t>
      </w:r>
    </w:p>
    <w:p w14:paraId="456B5CFD" w14:textId="77777777" w:rsidR="005427AE" w:rsidRPr="00EE75B4" w:rsidRDefault="005427AE" w:rsidP="005427AE">
      <w:pPr>
        <w:spacing w:after="0" w:line="240" w:lineRule="auto"/>
        <w:rPr>
          <w:rFonts w:ascii="Times New Roman" w:hAnsi="Times New Roman"/>
          <w:i/>
          <w:lang w:val="lt-LT"/>
        </w:rPr>
      </w:pPr>
    </w:p>
    <w:p w14:paraId="42DB4195"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Sisteminė pacientų, kurių ŽIV teigiamos ir CMV teigiamos serologinės reakcijos, ekspozicija vartojant vieną savaitę du kartus per parą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ir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w:t>
      </w:r>
    </w:p>
    <w:p w14:paraId="706FCBA4" w14:textId="77777777" w:rsidR="005427AE" w:rsidRPr="00EE75B4" w:rsidRDefault="005427AE" w:rsidP="005427AE">
      <w:pPr>
        <w:spacing w:after="0" w:line="240" w:lineRule="auto"/>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3"/>
        <w:gridCol w:w="1763"/>
        <w:gridCol w:w="2162"/>
        <w:gridCol w:w="2162"/>
      </w:tblGrid>
      <w:tr w:rsidR="007923DA" w:rsidRPr="00EE75B4" w14:paraId="662B7EBA" w14:textId="77777777" w:rsidTr="00752171">
        <w:trPr>
          <w:cantSplit/>
        </w:trPr>
        <w:tc>
          <w:tcPr>
            <w:tcW w:w="1641" w:type="pct"/>
            <w:vMerge w:val="restart"/>
          </w:tcPr>
          <w:p w14:paraId="0BE43C9B"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t>Rodiklis</w:t>
            </w:r>
          </w:p>
        </w:tc>
        <w:tc>
          <w:tcPr>
            <w:tcW w:w="973" w:type="pct"/>
            <w:vMerge w:val="restart"/>
          </w:tcPr>
          <w:p w14:paraId="4DF5BAAF" w14:textId="77777777" w:rsidR="005427AE" w:rsidRPr="00EE75B4" w:rsidRDefault="005427AE" w:rsidP="005427AE">
            <w:pPr>
              <w:spacing w:after="0" w:line="240" w:lineRule="auto"/>
              <w:jc w:val="center"/>
              <w:rPr>
                <w:rFonts w:ascii="Times New Roman" w:hAnsi="Times New Roman"/>
                <w:lang w:val="lt-LT"/>
              </w:rPr>
            </w:pPr>
            <w:proofErr w:type="spellStart"/>
            <w:r w:rsidRPr="00EE75B4">
              <w:rPr>
                <w:rFonts w:ascii="Times New Roman" w:hAnsi="Times New Roman"/>
                <w:lang w:val="lt-LT"/>
              </w:rPr>
              <w:t>Gancikloviras</w:t>
            </w:r>
            <w:proofErr w:type="spellEnd"/>
          </w:p>
          <w:p w14:paraId="6707A423" w14:textId="77777777" w:rsidR="005427AE" w:rsidRPr="00EE75B4" w:rsidRDefault="005427AE" w:rsidP="005427AE">
            <w:pPr>
              <w:spacing w:after="0" w:line="240" w:lineRule="auto"/>
              <w:jc w:val="center"/>
              <w:rPr>
                <w:rFonts w:ascii="Times New Roman" w:hAnsi="Times New Roman"/>
                <w:lang w:val="lt-LT"/>
              </w:rPr>
            </w:pPr>
            <w:r w:rsidRPr="00EE75B4">
              <w:rPr>
                <w:rFonts w:ascii="Times New Roman" w:hAnsi="Times New Roman"/>
                <w:lang w:val="lt-LT"/>
              </w:rPr>
              <w:t>(5 mg/kg į veną)</w:t>
            </w:r>
          </w:p>
          <w:p w14:paraId="2B30C761" w14:textId="77777777" w:rsidR="005427AE" w:rsidRPr="00EE75B4" w:rsidRDefault="005427AE" w:rsidP="005427AE">
            <w:pPr>
              <w:spacing w:after="0" w:line="240" w:lineRule="auto"/>
              <w:jc w:val="center"/>
              <w:rPr>
                <w:rFonts w:ascii="Times New Roman" w:hAnsi="Times New Roman"/>
                <w:lang w:val="lt-LT"/>
              </w:rPr>
            </w:pPr>
            <w:r w:rsidRPr="00EE75B4">
              <w:rPr>
                <w:rFonts w:ascii="Times New Roman" w:hAnsi="Times New Roman"/>
                <w:lang w:val="lt-LT"/>
              </w:rPr>
              <w:t>n = 18</w:t>
            </w:r>
          </w:p>
        </w:tc>
        <w:tc>
          <w:tcPr>
            <w:tcW w:w="2386" w:type="pct"/>
            <w:gridSpan w:val="2"/>
          </w:tcPr>
          <w:p w14:paraId="095DA6F6" w14:textId="77777777" w:rsidR="005427AE" w:rsidRPr="00EE75B4" w:rsidRDefault="005427AE" w:rsidP="005427AE">
            <w:pPr>
              <w:spacing w:after="0" w:line="240" w:lineRule="auto"/>
              <w:jc w:val="center"/>
              <w:rPr>
                <w:rFonts w:ascii="Times New Roman" w:hAnsi="Times New Roman"/>
                <w:lang w:val="lt-LT"/>
              </w:rPr>
            </w:pPr>
            <w:r w:rsidRPr="00EE75B4">
              <w:rPr>
                <w:rFonts w:ascii="Times New Roman" w:hAnsi="Times New Roman"/>
                <w:lang w:val="lt-LT"/>
              </w:rPr>
              <w:t xml:space="preserve">Geriamasis </w:t>
            </w:r>
            <w:proofErr w:type="spellStart"/>
            <w:r w:rsidRPr="00EE75B4">
              <w:rPr>
                <w:rFonts w:ascii="Times New Roman" w:hAnsi="Times New Roman"/>
                <w:lang w:val="lt-LT"/>
              </w:rPr>
              <w:t>valgancikloviras</w:t>
            </w:r>
            <w:proofErr w:type="spellEnd"/>
          </w:p>
          <w:p w14:paraId="68DAF339" w14:textId="77777777" w:rsidR="005427AE" w:rsidRPr="00EE75B4" w:rsidRDefault="005427AE" w:rsidP="005427AE">
            <w:pPr>
              <w:spacing w:after="0" w:line="240" w:lineRule="auto"/>
              <w:jc w:val="center"/>
              <w:rPr>
                <w:rFonts w:ascii="Times New Roman" w:hAnsi="Times New Roman"/>
                <w:lang w:val="lt-LT"/>
              </w:rPr>
            </w:pPr>
            <w:r w:rsidRPr="00EE75B4">
              <w:rPr>
                <w:rFonts w:ascii="Times New Roman" w:hAnsi="Times New Roman"/>
                <w:lang w:val="lt-LT"/>
              </w:rPr>
              <w:t>(900 mg)</w:t>
            </w:r>
          </w:p>
          <w:p w14:paraId="32B1B2F7" w14:textId="77777777" w:rsidR="005427AE" w:rsidRPr="00EE75B4" w:rsidRDefault="005427AE" w:rsidP="005427AE">
            <w:pPr>
              <w:spacing w:after="0" w:line="240" w:lineRule="auto"/>
              <w:jc w:val="center"/>
              <w:rPr>
                <w:rFonts w:ascii="Times New Roman" w:hAnsi="Times New Roman"/>
                <w:lang w:val="lt-LT"/>
              </w:rPr>
            </w:pPr>
            <w:r w:rsidRPr="00EE75B4">
              <w:rPr>
                <w:rFonts w:ascii="Times New Roman" w:hAnsi="Times New Roman"/>
                <w:lang w:val="lt-LT"/>
              </w:rPr>
              <w:t>n = 25</w:t>
            </w:r>
          </w:p>
        </w:tc>
      </w:tr>
      <w:tr w:rsidR="007923DA" w:rsidRPr="00EE75B4" w14:paraId="4350D835" w14:textId="77777777" w:rsidTr="00752171">
        <w:trPr>
          <w:cantSplit/>
        </w:trPr>
        <w:tc>
          <w:tcPr>
            <w:tcW w:w="1641" w:type="pct"/>
            <w:vMerge/>
          </w:tcPr>
          <w:p w14:paraId="2DA98CF9" w14:textId="77777777" w:rsidR="005427AE" w:rsidRPr="00EE75B4" w:rsidRDefault="005427AE" w:rsidP="005427AE">
            <w:pPr>
              <w:spacing w:after="0" w:line="240" w:lineRule="auto"/>
              <w:jc w:val="both"/>
              <w:rPr>
                <w:rFonts w:ascii="Times New Roman" w:hAnsi="Times New Roman"/>
                <w:lang w:val="lt-LT"/>
              </w:rPr>
            </w:pPr>
          </w:p>
        </w:tc>
        <w:tc>
          <w:tcPr>
            <w:tcW w:w="973" w:type="pct"/>
            <w:vMerge/>
          </w:tcPr>
          <w:p w14:paraId="5C91F968" w14:textId="77777777" w:rsidR="005427AE" w:rsidRPr="00EE75B4" w:rsidRDefault="005427AE" w:rsidP="005427AE">
            <w:pPr>
              <w:spacing w:after="0" w:line="240" w:lineRule="auto"/>
              <w:jc w:val="center"/>
              <w:rPr>
                <w:rFonts w:ascii="Times New Roman" w:hAnsi="Times New Roman"/>
                <w:lang w:val="lt-LT"/>
              </w:rPr>
            </w:pPr>
          </w:p>
        </w:tc>
        <w:tc>
          <w:tcPr>
            <w:tcW w:w="1193" w:type="pct"/>
          </w:tcPr>
          <w:p w14:paraId="6719F986" w14:textId="77777777" w:rsidR="005427AE" w:rsidRPr="00EE75B4" w:rsidRDefault="005427AE" w:rsidP="005427AE">
            <w:pPr>
              <w:spacing w:after="0" w:line="240" w:lineRule="auto"/>
              <w:jc w:val="center"/>
              <w:rPr>
                <w:rFonts w:ascii="Times New Roman" w:hAnsi="Times New Roman"/>
                <w:lang w:val="lt-LT"/>
              </w:rPr>
            </w:pPr>
            <w:proofErr w:type="spellStart"/>
            <w:r w:rsidRPr="00EE75B4">
              <w:rPr>
                <w:rFonts w:ascii="Times New Roman" w:hAnsi="Times New Roman"/>
                <w:lang w:val="lt-LT"/>
              </w:rPr>
              <w:t>Gancikloviras</w:t>
            </w:r>
            <w:proofErr w:type="spellEnd"/>
          </w:p>
        </w:tc>
        <w:tc>
          <w:tcPr>
            <w:tcW w:w="1193" w:type="pct"/>
          </w:tcPr>
          <w:p w14:paraId="6A867559" w14:textId="77777777" w:rsidR="005427AE" w:rsidRPr="00EE75B4" w:rsidRDefault="005427AE" w:rsidP="005427AE">
            <w:pPr>
              <w:spacing w:after="0" w:line="240" w:lineRule="auto"/>
              <w:jc w:val="center"/>
              <w:rPr>
                <w:rFonts w:ascii="Times New Roman" w:hAnsi="Times New Roman"/>
                <w:lang w:val="lt-LT"/>
              </w:rPr>
            </w:pPr>
            <w:proofErr w:type="spellStart"/>
            <w:r w:rsidRPr="00EE75B4">
              <w:rPr>
                <w:rFonts w:ascii="Times New Roman" w:hAnsi="Times New Roman"/>
                <w:lang w:val="lt-LT"/>
              </w:rPr>
              <w:t>Valgancikloviras</w:t>
            </w:r>
            <w:proofErr w:type="spellEnd"/>
          </w:p>
        </w:tc>
      </w:tr>
      <w:tr w:rsidR="007923DA" w:rsidRPr="00EE75B4" w14:paraId="613274FE" w14:textId="77777777" w:rsidTr="00752171">
        <w:tc>
          <w:tcPr>
            <w:tcW w:w="1641" w:type="pct"/>
          </w:tcPr>
          <w:p w14:paraId="0F835348"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AUC</w:t>
            </w:r>
            <w:r w:rsidRPr="00EE75B4">
              <w:rPr>
                <w:rFonts w:ascii="Times New Roman" w:hAnsi="Times New Roman"/>
                <w:vertAlign w:val="subscript"/>
                <w:lang w:val="lt-LT"/>
              </w:rPr>
              <w:t>0–12h.</w:t>
            </w:r>
            <w:r w:rsidRPr="00EE75B4">
              <w:rPr>
                <w:rFonts w:ascii="Times New Roman" w:hAnsi="Times New Roman"/>
                <w:lang w:val="lt-LT"/>
              </w:rPr>
              <w:t xml:space="preserve"> (</w:t>
            </w:r>
            <w:r w:rsidRPr="00EE75B4">
              <w:rPr>
                <w:rFonts w:ascii="Times New Roman" w:hAnsi="Times New Roman"/>
                <w:lang w:val="lt-LT"/>
              </w:rPr>
              <w:sym w:font="Symbol" w:char="F06D"/>
            </w:r>
            <w:proofErr w:type="spellStart"/>
            <w:r w:rsidRPr="00EE75B4">
              <w:rPr>
                <w:rFonts w:ascii="Times New Roman" w:hAnsi="Times New Roman"/>
                <w:lang w:val="lt-LT"/>
              </w:rPr>
              <w:t>g∙val</w:t>
            </w:r>
            <w:proofErr w:type="spellEnd"/>
            <w:r w:rsidRPr="00EE75B4">
              <w:rPr>
                <w:rFonts w:ascii="Times New Roman" w:hAnsi="Times New Roman"/>
                <w:lang w:val="lt-LT"/>
              </w:rPr>
              <w:t>./ml)</w:t>
            </w:r>
          </w:p>
        </w:tc>
        <w:tc>
          <w:tcPr>
            <w:tcW w:w="973" w:type="pct"/>
          </w:tcPr>
          <w:p w14:paraId="3C1EA575" w14:textId="77777777" w:rsidR="005427AE" w:rsidRPr="00EE75B4" w:rsidRDefault="005427AE" w:rsidP="005427AE">
            <w:pPr>
              <w:spacing w:after="0" w:line="240" w:lineRule="auto"/>
              <w:jc w:val="center"/>
              <w:rPr>
                <w:rFonts w:ascii="Times New Roman" w:hAnsi="Times New Roman"/>
                <w:lang w:val="lt-LT"/>
              </w:rPr>
            </w:pPr>
            <w:r w:rsidRPr="00EE75B4">
              <w:rPr>
                <w:rFonts w:ascii="Times New Roman" w:hAnsi="Times New Roman"/>
                <w:lang w:val="lt-LT"/>
              </w:rPr>
              <w:t xml:space="preserve">28,6 </w:t>
            </w:r>
            <w:r w:rsidRPr="00EE75B4">
              <w:rPr>
                <w:rFonts w:ascii="Times New Roman" w:hAnsi="Times New Roman"/>
                <w:lang w:val="lt-LT"/>
              </w:rPr>
              <w:sym w:font="Symbol" w:char="F0B1"/>
            </w:r>
            <w:r w:rsidRPr="00EE75B4">
              <w:rPr>
                <w:rFonts w:ascii="Times New Roman" w:hAnsi="Times New Roman"/>
                <w:lang w:val="lt-LT"/>
              </w:rPr>
              <w:t> 9,0</w:t>
            </w:r>
          </w:p>
        </w:tc>
        <w:tc>
          <w:tcPr>
            <w:tcW w:w="1193" w:type="pct"/>
          </w:tcPr>
          <w:p w14:paraId="7EBE4B19" w14:textId="77777777" w:rsidR="005427AE" w:rsidRPr="00EE75B4" w:rsidRDefault="005427AE" w:rsidP="005427AE">
            <w:pPr>
              <w:spacing w:after="0" w:line="240" w:lineRule="auto"/>
              <w:jc w:val="center"/>
              <w:rPr>
                <w:rFonts w:ascii="Times New Roman" w:hAnsi="Times New Roman"/>
                <w:lang w:val="lt-LT"/>
              </w:rPr>
            </w:pPr>
            <w:r w:rsidRPr="00EE75B4">
              <w:rPr>
                <w:rFonts w:ascii="Times New Roman" w:hAnsi="Times New Roman"/>
                <w:lang w:val="lt-LT"/>
              </w:rPr>
              <w:t xml:space="preserve">32,8 </w:t>
            </w:r>
            <w:r w:rsidRPr="00EE75B4">
              <w:rPr>
                <w:rFonts w:ascii="Times New Roman" w:hAnsi="Times New Roman"/>
                <w:lang w:val="lt-LT"/>
              </w:rPr>
              <w:sym w:font="Symbol" w:char="F0B1"/>
            </w:r>
            <w:r w:rsidRPr="00EE75B4">
              <w:rPr>
                <w:rFonts w:ascii="Times New Roman" w:hAnsi="Times New Roman"/>
                <w:lang w:val="lt-LT"/>
              </w:rPr>
              <w:t> 10,1</w:t>
            </w:r>
          </w:p>
        </w:tc>
        <w:tc>
          <w:tcPr>
            <w:tcW w:w="1193" w:type="pct"/>
          </w:tcPr>
          <w:p w14:paraId="6553F6DD" w14:textId="77777777" w:rsidR="005427AE" w:rsidRPr="00EE75B4" w:rsidRDefault="005427AE" w:rsidP="005427AE">
            <w:pPr>
              <w:spacing w:after="0" w:line="240" w:lineRule="auto"/>
              <w:jc w:val="center"/>
              <w:rPr>
                <w:rFonts w:ascii="Times New Roman" w:hAnsi="Times New Roman"/>
                <w:lang w:val="lt-LT"/>
              </w:rPr>
            </w:pPr>
            <w:r w:rsidRPr="00EE75B4">
              <w:rPr>
                <w:rFonts w:ascii="Times New Roman" w:hAnsi="Times New Roman"/>
                <w:lang w:val="lt-LT"/>
              </w:rPr>
              <w:t xml:space="preserve">0,37 </w:t>
            </w:r>
            <w:r w:rsidRPr="00EE75B4">
              <w:rPr>
                <w:rFonts w:ascii="Times New Roman" w:hAnsi="Times New Roman"/>
                <w:lang w:val="lt-LT"/>
              </w:rPr>
              <w:sym w:font="Symbol" w:char="F0B1"/>
            </w:r>
            <w:r w:rsidRPr="00EE75B4">
              <w:rPr>
                <w:rFonts w:ascii="Times New Roman" w:hAnsi="Times New Roman"/>
                <w:lang w:val="lt-LT"/>
              </w:rPr>
              <w:t> 0,22</w:t>
            </w:r>
          </w:p>
        </w:tc>
      </w:tr>
      <w:tr w:rsidR="005427AE" w:rsidRPr="00EE75B4" w14:paraId="7E88DE14" w14:textId="77777777" w:rsidTr="00752171">
        <w:tc>
          <w:tcPr>
            <w:tcW w:w="1641" w:type="pct"/>
          </w:tcPr>
          <w:p w14:paraId="67BF2603"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C</w:t>
            </w:r>
            <w:r w:rsidRPr="00EE75B4">
              <w:rPr>
                <w:rFonts w:ascii="Times New Roman" w:hAnsi="Times New Roman"/>
                <w:vertAlign w:val="subscript"/>
                <w:lang w:val="lt-LT"/>
              </w:rPr>
              <w:t>max</w:t>
            </w:r>
            <w:proofErr w:type="spellEnd"/>
            <w:r w:rsidRPr="00EE75B4">
              <w:rPr>
                <w:rFonts w:ascii="Times New Roman" w:hAnsi="Times New Roman"/>
                <w:lang w:val="lt-LT"/>
              </w:rPr>
              <w:t xml:space="preserve"> (</w:t>
            </w:r>
            <w:r w:rsidRPr="00EE75B4">
              <w:rPr>
                <w:rFonts w:ascii="Times New Roman" w:hAnsi="Times New Roman"/>
                <w:lang w:val="lt-LT"/>
              </w:rPr>
              <w:sym w:font="Symbol" w:char="F06D"/>
            </w:r>
            <w:r w:rsidRPr="00EE75B4">
              <w:rPr>
                <w:rFonts w:ascii="Times New Roman" w:hAnsi="Times New Roman"/>
                <w:lang w:val="lt-LT"/>
              </w:rPr>
              <w:t>g/ml)</w:t>
            </w:r>
          </w:p>
        </w:tc>
        <w:tc>
          <w:tcPr>
            <w:tcW w:w="973" w:type="pct"/>
          </w:tcPr>
          <w:p w14:paraId="2B2236F4" w14:textId="77777777" w:rsidR="005427AE" w:rsidRPr="00EE75B4" w:rsidRDefault="005427AE" w:rsidP="005427AE">
            <w:pPr>
              <w:spacing w:after="0" w:line="240" w:lineRule="auto"/>
              <w:jc w:val="center"/>
              <w:rPr>
                <w:rFonts w:ascii="Times New Roman" w:hAnsi="Times New Roman"/>
                <w:lang w:val="lt-LT"/>
              </w:rPr>
            </w:pPr>
            <w:r w:rsidRPr="00EE75B4">
              <w:rPr>
                <w:rFonts w:ascii="Times New Roman" w:hAnsi="Times New Roman"/>
                <w:lang w:val="lt-LT"/>
              </w:rPr>
              <w:t xml:space="preserve">10,4 </w:t>
            </w:r>
            <w:r w:rsidRPr="00EE75B4">
              <w:rPr>
                <w:rFonts w:ascii="Times New Roman" w:hAnsi="Times New Roman"/>
                <w:lang w:val="lt-LT"/>
              </w:rPr>
              <w:sym w:font="Symbol" w:char="F0B1"/>
            </w:r>
            <w:r w:rsidRPr="00EE75B4">
              <w:rPr>
                <w:rFonts w:ascii="Times New Roman" w:hAnsi="Times New Roman"/>
                <w:lang w:val="lt-LT"/>
              </w:rPr>
              <w:t> 4,9</w:t>
            </w:r>
          </w:p>
        </w:tc>
        <w:tc>
          <w:tcPr>
            <w:tcW w:w="1193" w:type="pct"/>
          </w:tcPr>
          <w:p w14:paraId="5AA2FDC3" w14:textId="77777777" w:rsidR="005427AE" w:rsidRPr="00EE75B4" w:rsidRDefault="005427AE" w:rsidP="005427AE">
            <w:pPr>
              <w:spacing w:after="0" w:line="240" w:lineRule="auto"/>
              <w:jc w:val="center"/>
              <w:rPr>
                <w:rFonts w:ascii="Times New Roman" w:hAnsi="Times New Roman"/>
                <w:lang w:val="lt-LT"/>
              </w:rPr>
            </w:pPr>
            <w:r w:rsidRPr="00EE75B4">
              <w:rPr>
                <w:rFonts w:ascii="Times New Roman" w:hAnsi="Times New Roman"/>
                <w:lang w:val="lt-LT"/>
              </w:rPr>
              <w:t xml:space="preserve">6,7 </w:t>
            </w:r>
            <w:r w:rsidRPr="00EE75B4">
              <w:rPr>
                <w:rFonts w:ascii="Times New Roman" w:hAnsi="Times New Roman"/>
                <w:lang w:val="lt-LT"/>
              </w:rPr>
              <w:sym w:font="Symbol" w:char="F0B1"/>
            </w:r>
            <w:r w:rsidRPr="00EE75B4">
              <w:rPr>
                <w:rFonts w:ascii="Times New Roman" w:hAnsi="Times New Roman"/>
                <w:lang w:val="lt-LT"/>
              </w:rPr>
              <w:t> 2,1</w:t>
            </w:r>
          </w:p>
        </w:tc>
        <w:tc>
          <w:tcPr>
            <w:tcW w:w="1193" w:type="pct"/>
          </w:tcPr>
          <w:p w14:paraId="39EE1ADA" w14:textId="77777777" w:rsidR="005427AE" w:rsidRPr="00EE75B4" w:rsidRDefault="005427AE" w:rsidP="005427AE">
            <w:pPr>
              <w:spacing w:after="0" w:line="240" w:lineRule="auto"/>
              <w:jc w:val="center"/>
              <w:rPr>
                <w:rFonts w:ascii="Times New Roman" w:hAnsi="Times New Roman"/>
                <w:lang w:val="lt-LT"/>
              </w:rPr>
            </w:pPr>
            <w:r w:rsidRPr="00EE75B4">
              <w:rPr>
                <w:rFonts w:ascii="Times New Roman" w:hAnsi="Times New Roman"/>
                <w:lang w:val="lt-LT"/>
              </w:rPr>
              <w:t xml:space="preserve">0,18 </w:t>
            </w:r>
            <w:r w:rsidRPr="00EE75B4">
              <w:rPr>
                <w:rFonts w:ascii="Times New Roman" w:hAnsi="Times New Roman"/>
                <w:lang w:val="lt-LT"/>
              </w:rPr>
              <w:sym w:font="Symbol" w:char="F0B1"/>
            </w:r>
            <w:r w:rsidRPr="00EE75B4">
              <w:rPr>
                <w:rFonts w:ascii="Times New Roman" w:hAnsi="Times New Roman"/>
                <w:lang w:val="lt-LT"/>
              </w:rPr>
              <w:t> 0,06</w:t>
            </w:r>
          </w:p>
        </w:tc>
      </w:tr>
    </w:tbl>
    <w:p w14:paraId="63BCB101" w14:textId="77777777" w:rsidR="005427AE" w:rsidRPr="00EE75B4" w:rsidRDefault="005427AE" w:rsidP="005427AE">
      <w:pPr>
        <w:spacing w:after="0" w:line="240" w:lineRule="auto"/>
        <w:rPr>
          <w:rFonts w:ascii="Times New Roman" w:hAnsi="Times New Roman"/>
          <w:lang w:val="lt-LT"/>
        </w:rPr>
      </w:pPr>
    </w:p>
    <w:p w14:paraId="58DF6A6C"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Nustatyta, kad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veiksmingumas ilginant laiką iki CMV </w:t>
      </w:r>
      <w:proofErr w:type="spellStart"/>
      <w:r w:rsidRPr="00EE75B4">
        <w:rPr>
          <w:rFonts w:ascii="Times New Roman" w:hAnsi="Times New Roman"/>
          <w:lang w:val="lt-LT"/>
        </w:rPr>
        <w:t>retinito</w:t>
      </w:r>
      <w:proofErr w:type="spellEnd"/>
      <w:r w:rsidRPr="00EE75B4">
        <w:rPr>
          <w:rFonts w:ascii="Times New Roman" w:hAnsi="Times New Roman"/>
          <w:lang w:val="lt-LT"/>
        </w:rPr>
        <w:t xml:space="preserve"> progresavimo koreliuoja su sistemine ekspozicija (AUC).</w:t>
      </w:r>
    </w:p>
    <w:p w14:paraId="0E02A321" w14:textId="77777777" w:rsidR="005427AE" w:rsidRPr="00EE75B4" w:rsidRDefault="005427AE" w:rsidP="005427AE">
      <w:pPr>
        <w:spacing w:after="0" w:line="240" w:lineRule="auto"/>
        <w:rPr>
          <w:rFonts w:ascii="Times New Roman" w:hAnsi="Times New Roman"/>
          <w:lang w:val="lt-LT"/>
        </w:rPr>
      </w:pPr>
    </w:p>
    <w:p w14:paraId="1638E010" w14:textId="77777777" w:rsidR="005427AE" w:rsidRPr="00EE75B4" w:rsidRDefault="005427AE" w:rsidP="005427AE">
      <w:pPr>
        <w:spacing w:after="0" w:line="240" w:lineRule="auto"/>
        <w:rPr>
          <w:rFonts w:ascii="Times New Roman" w:hAnsi="Times New Roman"/>
          <w:i/>
          <w:lang w:val="lt-LT"/>
        </w:rPr>
      </w:pPr>
      <w:proofErr w:type="spellStart"/>
      <w:r w:rsidRPr="00EE75B4">
        <w:rPr>
          <w:rFonts w:ascii="Times New Roman" w:hAnsi="Times New Roman"/>
          <w:i/>
          <w:lang w:val="lt-LT"/>
        </w:rPr>
        <w:t>Valgancikloviras</w:t>
      </w:r>
      <w:proofErr w:type="spellEnd"/>
      <w:r w:rsidRPr="00EE75B4">
        <w:rPr>
          <w:rFonts w:ascii="Times New Roman" w:hAnsi="Times New Roman"/>
          <w:i/>
          <w:lang w:val="lt-LT"/>
        </w:rPr>
        <w:t xml:space="preserve"> pacientams, kuriems persodintas </w:t>
      </w:r>
      <w:proofErr w:type="spellStart"/>
      <w:r w:rsidRPr="00EE75B4">
        <w:rPr>
          <w:rFonts w:ascii="Times New Roman" w:hAnsi="Times New Roman"/>
          <w:i/>
          <w:lang w:val="lt-LT"/>
        </w:rPr>
        <w:t>solidinis</w:t>
      </w:r>
      <w:proofErr w:type="spellEnd"/>
      <w:r w:rsidRPr="00EE75B4">
        <w:rPr>
          <w:rFonts w:ascii="Times New Roman" w:hAnsi="Times New Roman"/>
          <w:i/>
          <w:lang w:val="lt-LT"/>
        </w:rPr>
        <w:t xml:space="preserve"> organas</w:t>
      </w:r>
    </w:p>
    <w:p w14:paraId="1EF88CB2" w14:textId="77777777" w:rsidR="005427AE" w:rsidRPr="00EE75B4" w:rsidRDefault="005427AE" w:rsidP="005427AE">
      <w:pPr>
        <w:spacing w:after="0" w:line="240" w:lineRule="auto"/>
        <w:rPr>
          <w:rFonts w:ascii="Times New Roman" w:hAnsi="Times New Roman"/>
          <w:i/>
          <w:lang w:val="lt-LT"/>
        </w:rPr>
      </w:pPr>
    </w:p>
    <w:p w14:paraId="403A5C0F"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Pacientų, kuriems persodintas </w:t>
      </w:r>
      <w:proofErr w:type="spellStart"/>
      <w:r w:rsidRPr="00EE75B4">
        <w:rPr>
          <w:rFonts w:ascii="Times New Roman" w:hAnsi="Times New Roman"/>
          <w:lang w:val="lt-LT"/>
        </w:rPr>
        <w:t>solidinis</w:t>
      </w:r>
      <w:proofErr w:type="spellEnd"/>
      <w:r w:rsidRPr="00EE75B4">
        <w:rPr>
          <w:rFonts w:ascii="Times New Roman" w:hAnsi="Times New Roman"/>
          <w:lang w:val="lt-LT"/>
        </w:rPr>
        <w:t xml:space="preserve"> organas, sisteminė ekspozicija, kai nusistovėjusi </w:t>
      </w:r>
      <w:proofErr w:type="spellStart"/>
      <w:r w:rsidRPr="00EE75B4">
        <w:rPr>
          <w:rFonts w:ascii="Times New Roman" w:hAnsi="Times New Roman"/>
          <w:lang w:val="lt-LT"/>
        </w:rPr>
        <w:t>pusiausvyrinė</w:t>
      </w:r>
      <w:proofErr w:type="spellEnd"/>
      <w:r w:rsidRPr="00EE75B4">
        <w:rPr>
          <w:rFonts w:ascii="Times New Roman" w:hAnsi="Times New Roman"/>
          <w:lang w:val="lt-LT"/>
        </w:rPr>
        <w:t xml:space="preserve"> koncentracija kasdien geriamais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ir </w:t>
      </w:r>
      <w:proofErr w:type="spellStart"/>
      <w:r w:rsidRPr="00EE75B4">
        <w:rPr>
          <w:rFonts w:ascii="Times New Roman" w:hAnsi="Times New Roman"/>
          <w:lang w:val="lt-LT"/>
        </w:rPr>
        <w:t>valgancikloviru</w:t>
      </w:r>
      <w:proofErr w:type="spellEnd"/>
      <w:r w:rsidRPr="00EE75B4">
        <w:rPr>
          <w:rFonts w:ascii="Times New Roman" w:hAnsi="Times New Roman"/>
          <w:lang w:val="lt-LT"/>
        </w:rPr>
        <w:t>:</w:t>
      </w:r>
    </w:p>
    <w:p w14:paraId="19EA8BA9" w14:textId="77777777" w:rsidR="005427AE" w:rsidRPr="00EE75B4" w:rsidRDefault="005427AE" w:rsidP="005427AE">
      <w:pPr>
        <w:spacing w:after="0" w:line="240" w:lineRule="auto"/>
        <w:rPr>
          <w:rFonts w:ascii="Times New Roman" w:hAnsi="Times New Roman"/>
          <w:lang w:val="lt-LT"/>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26"/>
        <w:gridCol w:w="4070"/>
      </w:tblGrid>
      <w:tr w:rsidR="007923DA" w:rsidRPr="00EE75B4" w14:paraId="1613687B" w14:textId="77777777" w:rsidTr="00752171">
        <w:trPr>
          <w:cantSplit/>
        </w:trPr>
        <w:tc>
          <w:tcPr>
            <w:tcW w:w="2660" w:type="dxa"/>
            <w:vMerge w:val="restart"/>
          </w:tcPr>
          <w:p w14:paraId="55FC8E90"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lang w:val="lt-LT"/>
              </w:rPr>
              <w:t>Rodikliai</w:t>
            </w:r>
          </w:p>
        </w:tc>
        <w:tc>
          <w:tcPr>
            <w:tcW w:w="2126" w:type="dxa"/>
            <w:vMerge w:val="restart"/>
          </w:tcPr>
          <w:p w14:paraId="54F5FEAE" w14:textId="77777777" w:rsidR="005427AE" w:rsidRPr="00EE75B4" w:rsidRDefault="005427AE" w:rsidP="005427AE">
            <w:pPr>
              <w:spacing w:after="0" w:line="240" w:lineRule="auto"/>
              <w:jc w:val="center"/>
              <w:rPr>
                <w:rFonts w:ascii="Times New Roman" w:hAnsi="Times New Roman"/>
                <w:lang w:val="lt-LT"/>
              </w:rPr>
            </w:pPr>
            <w:proofErr w:type="spellStart"/>
            <w:r w:rsidRPr="00EE75B4">
              <w:rPr>
                <w:rFonts w:ascii="Times New Roman" w:hAnsi="Times New Roman"/>
                <w:lang w:val="lt-LT"/>
              </w:rPr>
              <w:t>Gancikloviras</w:t>
            </w:r>
            <w:proofErr w:type="spellEnd"/>
            <w:r w:rsidRPr="00EE75B4">
              <w:rPr>
                <w:rFonts w:ascii="Times New Roman" w:hAnsi="Times New Roman"/>
                <w:lang w:val="lt-LT"/>
              </w:rPr>
              <w:br/>
              <w:t>(1000 mg triskart per parą)</w:t>
            </w:r>
            <w:r w:rsidRPr="00EE75B4">
              <w:rPr>
                <w:rFonts w:ascii="Times New Roman" w:hAnsi="Times New Roman"/>
                <w:lang w:val="lt-LT"/>
              </w:rPr>
              <w:br/>
              <w:t>n = 82</w:t>
            </w:r>
          </w:p>
        </w:tc>
        <w:tc>
          <w:tcPr>
            <w:tcW w:w="4070" w:type="dxa"/>
          </w:tcPr>
          <w:p w14:paraId="7C384747" w14:textId="77777777" w:rsidR="005427AE" w:rsidRPr="00EE75B4" w:rsidRDefault="005427AE" w:rsidP="005427AE">
            <w:pPr>
              <w:spacing w:after="0" w:line="240" w:lineRule="auto"/>
              <w:jc w:val="center"/>
              <w:rPr>
                <w:rFonts w:ascii="Times New Roman" w:hAnsi="Times New Roman"/>
                <w:lang w:val="lt-LT"/>
              </w:rPr>
            </w:pPr>
            <w:proofErr w:type="spellStart"/>
            <w:r w:rsidRPr="00EE75B4">
              <w:rPr>
                <w:rFonts w:ascii="Times New Roman" w:hAnsi="Times New Roman"/>
                <w:lang w:val="lt-LT"/>
              </w:rPr>
              <w:t>Valgancikloviras</w:t>
            </w:r>
            <w:proofErr w:type="spellEnd"/>
            <w:r w:rsidRPr="00EE75B4">
              <w:rPr>
                <w:rFonts w:ascii="Times New Roman" w:hAnsi="Times New Roman"/>
                <w:lang w:val="lt-LT"/>
              </w:rPr>
              <w:t xml:space="preserve"> (900 mg kartą per parą)</w:t>
            </w:r>
            <w:r w:rsidRPr="00EE75B4">
              <w:rPr>
                <w:rFonts w:ascii="Times New Roman" w:hAnsi="Times New Roman"/>
                <w:lang w:val="lt-LT"/>
              </w:rPr>
              <w:br/>
              <w:t>n = 161</w:t>
            </w:r>
          </w:p>
        </w:tc>
      </w:tr>
      <w:tr w:rsidR="007923DA" w:rsidRPr="00EE75B4" w14:paraId="7E91603D" w14:textId="77777777" w:rsidTr="00752171">
        <w:trPr>
          <w:cantSplit/>
        </w:trPr>
        <w:tc>
          <w:tcPr>
            <w:tcW w:w="2660" w:type="dxa"/>
            <w:vMerge/>
          </w:tcPr>
          <w:p w14:paraId="019BE990" w14:textId="77777777" w:rsidR="005427AE" w:rsidRPr="00EE75B4" w:rsidRDefault="005427AE" w:rsidP="005427AE">
            <w:pPr>
              <w:spacing w:after="0" w:line="240" w:lineRule="auto"/>
              <w:jc w:val="both"/>
              <w:rPr>
                <w:rFonts w:ascii="Times New Roman" w:hAnsi="Times New Roman"/>
                <w:lang w:val="lt-LT"/>
              </w:rPr>
            </w:pPr>
          </w:p>
        </w:tc>
        <w:tc>
          <w:tcPr>
            <w:tcW w:w="2126" w:type="dxa"/>
            <w:vMerge/>
          </w:tcPr>
          <w:p w14:paraId="555BF99A" w14:textId="77777777" w:rsidR="005427AE" w:rsidRPr="00EE75B4" w:rsidRDefault="005427AE" w:rsidP="005427AE">
            <w:pPr>
              <w:spacing w:after="0" w:line="240" w:lineRule="auto"/>
              <w:jc w:val="center"/>
              <w:rPr>
                <w:rFonts w:ascii="Times New Roman" w:hAnsi="Times New Roman"/>
                <w:lang w:val="lt-LT"/>
              </w:rPr>
            </w:pPr>
          </w:p>
        </w:tc>
        <w:tc>
          <w:tcPr>
            <w:tcW w:w="4070" w:type="dxa"/>
          </w:tcPr>
          <w:p w14:paraId="44835CF1" w14:textId="77777777" w:rsidR="005427AE" w:rsidRPr="00EE75B4" w:rsidRDefault="005427AE" w:rsidP="005427AE">
            <w:pPr>
              <w:spacing w:after="0" w:line="240" w:lineRule="auto"/>
              <w:jc w:val="center"/>
              <w:rPr>
                <w:rFonts w:ascii="Times New Roman" w:hAnsi="Times New Roman"/>
                <w:lang w:val="lt-LT"/>
              </w:rPr>
            </w:pPr>
            <w:proofErr w:type="spellStart"/>
            <w:r w:rsidRPr="00EE75B4">
              <w:rPr>
                <w:rFonts w:ascii="Times New Roman" w:hAnsi="Times New Roman"/>
                <w:lang w:val="lt-LT"/>
              </w:rPr>
              <w:t>Gancikloviras</w:t>
            </w:r>
            <w:proofErr w:type="spellEnd"/>
          </w:p>
        </w:tc>
      </w:tr>
      <w:tr w:rsidR="007923DA" w:rsidRPr="00EE75B4" w14:paraId="5C2059D7" w14:textId="77777777" w:rsidTr="00752171">
        <w:trPr>
          <w:cantSplit/>
        </w:trPr>
        <w:tc>
          <w:tcPr>
            <w:tcW w:w="2660" w:type="dxa"/>
          </w:tcPr>
          <w:p w14:paraId="2A260A6F"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AUC</w:t>
            </w:r>
            <w:r w:rsidRPr="00EE75B4">
              <w:rPr>
                <w:rFonts w:ascii="Times New Roman" w:hAnsi="Times New Roman"/>
                <w:vertAlign w:val="subscript"/>
                <w:lang w:val="lt-LT"/>
              </w:rPr>
              <w:t>0–24h.</w:t>
            </w:r>
            <w:r w:rsidRPr="00EE75B4">
              <w:rPr>
                <w:rFonts w:ascii="Times New Roman" w:hAnsi="Times New Roman"/>
                <w:lang w:val="lt-LT"/>
              </w:rPr>
              <w:t xml:space="preserve"> (</w:t>
            </w:r>
            <w:r w:rsidRPr="00EE75B4">
              <w:rPr>
                <w:rFonts w:ascii="Times New Roman" w:hAnsi="Times New Roman"/>
                <w:lang w:val="lt-LT"/>
              </w:rPr>
              <w:sym w:font="Symbol" w:char="F06D"/>
            </w:r>
            <w:proofErr w:type="spellStart"/>
            <w:r w:rsidRPr="00EE75B4">
              <w:rPr>
                <w:rFonts w:ascii="Times New Roman" w:hAnsi="Times New Roman"/>
                <w:lang w:val="lt-LT"/>
              </w:rPr>
              <w:t>g∙val</w:t>
            </w:r>
            <w:proofErr w:type="spellEnd"/>
            <w:r w:rsidRPr="00EE75B4">
              <w:rPr>
                <w:rFonts w:ascii="Times New Roman" w:hAnsi="Times New Roman"/>
                <w:lang w:val="lt-LT"/>
              </w:rPr>
              <w:t>./ml)</w:t>
            </w:r>
          </w:p>
        </w:tc>
        <w:tc>
          <w:tcPr>
            <w:tcW w:w="2126" w:type="dxa"/>
          </w:tcPr>
          <w:p w14:paraId="106B0AFC" w14:textId="77777777" w:rsidR="005427AE" w:rsidRPr="00EE75B4" w:rsidRDefault="005427AE" w:rsidP="005427AE">
            <w:pPr>
              <w:spacing w:after="0" w:line="240" w:lineRule="auto"/>
              <w:jc w:val="center"/>
              <w:rPr>
                <w:rFonts w:ascii="Times New Roman" w:hAnsi="Times New Roman"/>
                <w:lang w:val="lt-LT"/>
              </w:rPr>
            </w:pPr>
            <w:r w:rsidRPr="00EE75B4">
              <w:rPr>
                <w:rFonts w:ascii="Times New Roman" w:hAnsi="Times New Roman"/>
                <w:lang w:val="lt-LT"/>
              </w:rPr>
              <w:t xml:space="preserve">28,0 </w:t>
            </w:r>
            <w:r w:rsidRPr="00EE75B4">
              <w:rPr>
                <w:rFonts w:ascii="Times New Roman" w:hAnsi="Times New Roman"/>
                <w:lang w:val="lt-LT"/>
              </w:rPr>
              <w:sym w:font="Symbol" w:char="F0B1"/>
            </w:r>
            <w:r w:rsidRPr="00EE75B4">
              <w:rPr>
                <w:rFonts w:ascii="Times New Roman" w:hAnsi="Times New Roman"/>
                <w:lang w:val="lt-LT"/>
              </w:rPr>
              <w:t> 10,9</w:t>
            </w:r>
          </w:p>
        </w:tc>
        <w:tc>
          <w:tcPr>
            <w:tcW w:w="4070" w:type="dxa"/>
          </w:tcPr>
          <w:p w14:paraId="75912409" w14:textId="77777777" w:rsidR="005427AE" w:rsidRPr="00EE75B4" w:rsidRDefault="005427AE" w:rsidP="005427AE">
            <w:pPr>
              <w:spacing w:after="0" w:line="240" w:lineRule="auto"/>
              <w:jc w:val="center"/>
              <w:rPr>
                <w:rFonts w:ascii="Times New Roman" w:hAnsi="Times New Roman"/>
                <w:lang w:val="lt-LT"/>
              </w:rPr>
            </w:pPr>
            <w:r w:rsidRPr="00EE75B4">
              <w:rPr>
                <w:rFonts w:ascii="Times New Roman" w:hAnsi="Times New Roman"/>
                <w:lang w:val="lt-LT"/>
              </w:rPr>
              <w:t xml:space="preserve">46,3 </w:t>
            </w:r>
            <w:r w:rsidRPr="00EE75B4">
              <w:rPr>
                <w:rFonts w:ascii="Times New Roman" w:hAnsi="Times New Roman"/>
                <w:lang w:val="lt-LT"/>
              </w:rPr>
              <w:sym w:font="Symbol" w:char="F0B1"/>
            </w:r>
            <w:r w:rsidRPr="00EE75B4">
              <w:rPr>
                <w:rFonts w:ascii="Times New Roman" w:hAnsi="Times New Roman"/>
                <w:lang w:val="lt-LT"/>
              </w:rPr>
              <w:t> 15,2</w:t>
            </w:r>
          </w:p>
        </w:tc>
      </w:tr>
      <w:tr w:rsidR="005427AE" w:rsidRPr="00EE75B4" w14:paraId="61294302" w14:textId="77777777" w:rsidTr="00752171">
        <w:trPr>
          <w:cantSplit/>
        </w:trPr>
        <w:tc>
          <w:tcPr>
            <w:tcW w:w="2660" w:type="dxa"/>
          </w:tcPr>
          <w:p w14:paraId="60236E96" w14:textId="77777777" w:rsidR="005427AE" w:rsidRPr="00EE75B4" w:rsidRDefault="005427AE" w:rsidP="005427AE">
            <w:pPr>
              <w:spacing w:after="0" w:line="240" w:lineRule="auto"/>
              <w:jc w:val="both"/>
              <w:rPr>
                <w:rFonts w:ascii="Times New Roman" w:hAnsi="Times New Roman"/>
                <w:lang w:val="lt-LT"/>
              </w:rPr>
            </w:pPr>
            <w:proofErr w:type="spellStart"/>
            <w:r w:rsidRPr="00EE75B4">
              <w:rPr>
                <w:rFonts w:ascii="Times New Roman" w:hAnsi="Times New Roman"/>
                <w:lang w:val="lt-LT"/>
              </w:rPr>
              <w:lastRenderedPageBreak/>
              <w:t>C</w:t>
            </w:r>
            <w:r w:rsidRPr="00EE75B4">
              <w:rPr>
                <w:rFonts w:ascii="Times New Roman" w:hAnsi="Times New Roman"/>
                <w:vertAlign w:val="subscript"/>
                <w:lang w:val="lt-LT"/>
              </w:rPr>
              <w:t>max</w:t>
            </w:r>
            <w:proofErr w:type="spellEnd"/>
            <w:r w:rsidRPr="00EE75B4">
              <w:rPr>
                <w:rFonts w:ascii="Times New Roman" w:hAnsi="Times New Roman"/>
                <w:lang w:val="lt-LT"/>
              </w:rPr>
              <w:t xml:space="preserve"> (</w:t>
            </w:r>
            <w:r w:rsidRPr="00EE75B4">
              <w:rPr>
                <w:rFonts w:ascii="Times New Roman" w:hAnsi="Times New Roman"/>
                <w:lang w:val="lt-LT"/>
              </w:rPr>
              <w:sym w:font="Symbol" w:char="F06D"/>
            </w:r>
            <w:r w:rsidRPr="00EE75B4">
              <w:rPr>
                <w:rFonts w:ascii="Times New Roman" w:hAnsi="Times New Roman"/>
                <w:lang w:val="lt-LT"/>
              </w:rPr>
              <w:t>g/ml)</w:t>
            </w:r>
          </w:p>
        </w:tc>
        <w:tc>
          <w:tcPr>
            <w:tcW w:w="2126" w:type="dxa"/>
          </w:tcPr>
          <w:p w14:paraId="4A565665" w14:textId="77777777" w:rsidR="005427AE" w:rsidRPr="00EE75B4" w:rsidRDefault="005427AE" w:rsidP="005427AE">
            <w:pPr>
              <w:spacing w:after="0" w:line="240" w:lineRule="auto"/>
              <w:jc w:val="center"/>
              <w:rPr>
                <w:rFonts w:ascii="Times New Roman" w:hAnsi="Times New Roman"/>
                <w:lang w:val="lt-LT"/>
              </w:rPr>
            </w:pPr>
            <w:r w:rsidRPr="00EE75B4">
              <w:rPr>
                <w:rFonts w:ascii="Times New Roman" w:hAnsi="Times New Roman"/>
                <w:lang w:val="lt-LT"/>
              </w:rPr>
              <w:t xml:space="preserve">1,4 </w:t>
            </w:r>
            <w:r w:rsidRPr="00EE75B4">
              <w:rPr>
                <w:rFonts w:ascii="Times New Roman" w:hAnsi="Times New Roman"/>
                <w:lang w:val="lt-LT"/>
              </w:rPr>
              <w:sym w:font="Symbol" w:char="F0B1"/>
            </w:r>
            <w:r w:rsidRPr="00EE75B4">
              <w:rPr>
                <w:rFonts w:ascii="Times New Roman" w:hAnsi="Times New Roman"/>
                <w:lang w:val="lt-LT"/>
              </w:rPr>
              <w:t> 0,5</w:t>
            </w:r>
          </w:p>
        </w:tc>
        <w:tc>
          <w:tcPr>
            <w:tcW w:w="4070" w:type="dxa"/>
          </w:tcPr>
          <w:p w14:paraId="6D3D3BBA" w14:textId="77777777" w:rsidR="005427AE" w:rsidRPr="00EE75B4" w:rsidRDefault="005427AE" w:rsidP="005427AE">
            <w:pPr>
              <w:spacing w:after="0" w:line="240" w:lineRule="auto"/>
              <w:jc w:val="center"/>
              <w:rPr>
                <w:rFonts w:ascii="Times New Roman" w:hAnsi="Times New Roman"/>
                <w:lang w:val="lt-LT"/>
              </w:rPr>
            </w:pPr>
            <w:r w:rsidRPr="00EE75B4">
              <w:rPr>
                <w:rFonts w:ascii="Times New Roman" w:hAnsi="Times New Roman"/>
                <w:lang w:val="lt-LT"/>
              </w:rPr>
              <w:t xml:space="preserve">5,3 </w:t>
            </w:r>
            <w:r w:rsidRPr="00EE75B4">
              <w:rPr>
                <w:rFonts w:ascii="Times New Roman" w:hAnsi="Times New Roman"/>
                <w:lang w:val="lt-LT"/>
              </w:rPr>
              <w:sym w:font="Symbol" w:char="F0B1"/>
            </w:r>
            <w:r w:rsidRPr="00EE75B4">
              <w:rPr>
                <w:rFonts w:ascii="Times New Roman" w:hAnsi="Times New Roman"/>
                <w:lang w:val="lt-LT"/>
              </w:rPr>
              <w:t> 1,5</w:t>
            </w:r>
          </w:p>
        </w:tc>
      </w:tr>
    </w:tbl>
    <w:p w14:paraId="06FC880F" w14:textId="77777777" w:rsidR="005427AE" w:rsidRPr="00EE75B4" w:rsidRDefault="005427AE" w:rsidP="005427AE">
      <w:pPr>
        <w:spacing w:after="0" w:line="240" w:lineRule="auto"/>
        <w:rPr>
          <w:rFonts w:ascii="Times New Roman" w:hAnsi="Times New Roman"/>
          <w:lang w:val="lt-LT"/>
        </w:rPr>
      </w:pPr>
    </w:p>
    <w:p w14:paraId="20FC633F"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Pacientų, kuriems persodinta širdis, inkstas ar kepenys, gydytų geriamuoju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vartojamu pagal inkstų funkcijos dozavimo algoritmą, sisteminė ekspozicija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buvo panaši.</w:t>
      </w:r>
    </w:p>
    <w:p w14:paraId="0D78196B" w14:textId="77777777" w:rsidR="005427AE" w:rsidRPr="00EE75B4" w:rsidRDefault="005427AE" w:rsidP="005427AE">
      <w:pPr>
        <w:spacing w:after="0" w:line="240" w:lineRule="auto"/>
        <w:rPr>
          <w:rFonts w:ascii="Times New Roman" w:hAnsi="Times New Roman"/>
          <w:lang w:val="lt-LT"/>
        </w:rPr>
      </w:pPr>
    </w:p>
    <w:p w14:paraId="5373D3D2" w14:textId="77777777" w:rsidR="005427AE" w:rsidRPr="00EE75B4" w:rsidRDefault="005427AE" w:rsidP="005427AE">
      <w:pPr>
        <w:keepNext/>
        <w:keepLines/>
        <w:spacing w:after="0" w:line="240" w:lineRule="auto"/>
        <w:rPr>
          <w:rFonts w:ascii="Times New Roman" w:hAnsi="Times New Roman"/>
          <w:i/>
          <w:lang w:val="lt-LT"/>
        </w:rPr>
      </w:pPr>
      <w:r w:rsidRPr="00EE75B4">
        <w:rPr>
          <w:rFonts w:ascii="Times New Roman" w:hAnsi="Times New Roman"/>
          <w:i/>
          <w:lang w:val="lt-LT"/>
        </w:rPr>
        <w:t>Maisto poveikis</w:t>
      </w:r>
    </w:p>
    <w:p w14:paraId="1D91F0BD" w14:textId="77777777" w:rsidR="005427AE" w:rsidRPr="00EE75B4" w:rsidRDefault="005427AE" w:rsidP="005427AE">
      <w:pPr>
        <w:keepNext/>
        <w:keepLines/>
        <w:spacing w:after="0" w:line="240" w:lineRule="auto"/>
        <w:rPr>
          <w:rFonts w:ascii="Times New Roman" w:hAnsi="Times New Roman"/>
          <w:i/>
          <w:lang w:val="lt-LT"/>
        </w:rPr>
      </w:pPr>
    </w:p>
    <w:p w14:paraId="02CD4726" w14:textId="77777777" w:rsidR="005427AE" w:rsidRPr="00EE75B4" w:rsidRDefault="005427AE" w:rsidP="005427AE">
      <w:pPr>
        <w:keepNext/>
        <w:keepLines/>
        <w:spacing w:after="0" w:line="240" w:lineRule="auto"/>
        <w:rPr>
          <w:rFonts w:ascii="Times New Roman" w:hAnsi="Times New Roman"/>
          <w:lang w:val="lt-LT"/>
        </w:rPr>
      </w:pPr>
      <w:r w:rsidRPr="00EE75B4">
        <w:rPr>
          <w:rFonts w:ascii="Times New Roman" w:hAnsi="Times New Roman"/>
          <w:lang w:val="lt-LT"/>
        </w:rPr>
        <w:t xml:space="preserve">Vartojant rekomenduojamą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900 mg dozę su maistu vidutinės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AUC ir </w:t>
      </w:r>
      <w:proofErr w:type="spellStart"/>
      <w:r w:rsidRPr="00EE75B4">
        <w:rPr>
          <w:rFonts w:ascii="Times New Roman" w:hAnsi="Times New Roman"/>
          <w:lang w:val="lt-LT"/>
        </w:rPr>
        <w:t>C</w:t>
      </w:r>
      <w:r w:rsidRPr="00EE75B4">
        <w:rPr>
          <w:rFonts w:ascii="Times New Roman" w:hAnsi="Times New Roman"/>
          <w:vertAlign w:val="subscript"/>
          <w:lang w:val="lt-LT"/>
        </w:rPr>
        <w:t>max</w:t>
      </w:r>
      <w:proofErr w:type="spellEnd"/>
      <w:r w:rsidRPr="00EE75B4">
        <w:rPr>
          <w:rFonts w:ascii="Times New Roman" w:hAnsi="Times New Roman"/>
          <w:lang w:val="lt-LT"/>
        </w:rPr>
        <w:t xml:space="preserve"> reikšmės buvo didesnės, negu vartojant vaistinį preparatą prieš valgį (atitinkamai apie 30 % ir 14 %). Kai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vartojama su maistu, ekspozicijos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svyravimai tarp individų būna mažesni. Atliekant klinikinius tyrimus </w:t>
      </w:r>
      <w:proofErr w:type="spellStart"/>
      <w:r w:rsidRPr="00EE75B4">
        <w:rPr>
          <w:rFonts w:ascii="Times New Roman" w:hAnsi="Times New Roman"/>
          <w:lang w:val="lt-LT"/>
        </w:rPr>
        <w:t>valgancikloviras</w:t>
      </w:r>
      <w:proofErr w:type="spellEnd"/>
      <w:r w:rsidRPr="00EE75B4">
        <w:rPr>
          <w:rFonts w:ascii="Times New Roman" w:hAnsi="Times New Roman"/>
          <w:lang w:val="lt-LT"/>
        </w:rPr>
        <w:t xml:space="preserve"> buvo vartojamas tik su maistu. Dėl to rekomenduojama, kad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būtų vartojamas su maistu (žr. 4.2 skyrių).</w:t>
      </w:r>
    </w:p>
    <w:p w14:paraId="182F3108" w14:textId="77777777" w:rsidR="005427AE" w:rsidRPr="00EE75B4" w:rsidRDefault="005427AE" w:rsidP="005427AE">
      <w:pPr>
        <w:spacing w:after="0" w:line="240" w:lineRule="auto"/>
        <w:rPr>
          <w:rFonts w:ascii="Times New Roman" w:hAnsi="Times New Roman"/>
          <w:lang w:val="lt-LT"/>
        </w:rPr>
      </w:pPr>
    </w:p>
    <w:p w14:paraId="6578CA89"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Pasiskirstymas</w:t>
      </w:r>
    </w:p>
    <w:p w14:paraId="65FED750" w14:textId="77777777" w:rsidR="005427AE" w:rsidRPr="00EE75B4" w:rsidRDefault="005427AE" w:rsidP="005427AE">
      <w:pPr>
        <w:spacing w:after="0" w:line="240" w:lineRule="auto"/>
        <w:rPr>
          <w:rFonts w:ascii="Times New Roman" w:hAnsi="Times New Roman"/>
          <w:u w:val="single"/>
          <w:lang w:val="lt-LT"/>
        </w:rPr>
      </w:pPr>
    </w:p>
    <w:p w14:paraId="7C970754" w14:textId="77777777" w:rsidR="005427AE" w:rsidRPr="00EE75B4" w:rsidRDefault="005427AE" w:rsidP="00813362">
      <w:pPr>
        <w:pStyle w:val="Default"/>
        <w:rPr>
          <w:lang w:val="lt-LT"/>
        </w:rPr>
      </w:pPr>
      <w:r w:rsidRPr="00EE75B4">
        <w:rPr>
          <w:color w:val="auto"/>
          <w:sz w:val="22"/>
          <w:szCs w:val="22"/>
          <w:lang w:val="lt-LT"/>
        </w:rPr>
        <w:t xml:space="preserve">Kadangi </w:t>
      </w:r>
      <w:proofErr w:type="spellStart"/>
      <w:r w:rsidRPr="00EE75B4">
        <w:rPr>
          <w:color w:val="auto"/>
          <w:sz w:val="22"/>
          <w:szCs w:val="22"/>
          <w:lang w:val="lt-LT"/>
        </w:rPr>
        <w:t>valgancikloviras</w:t>
      </w:r>
      <w:proofErr w:type="spellEnd"/>
      <w:r w:rsidRPr="00EE75B4">
        <w:rPr>
          <w:color w:val="auto"/>
          <w:sz w:val="22"/>
          <w:szCs w:val="22"/>
          <w:lang w:val="lt-LT"/>
        </w:rPr>
        <w:t xml:space="preserve"> greitai paverčiamas </w:t>
      </w:r>
      <w:proofErr w:type="spellStart"/>
      <w:r w:rsidRPr="00EE75B4">
        <w:rPr>
          <w:color w:val="auto"/>
          <w:sz w:val="22"/>
          <w:szCs w:val="22"/>
          <w:lang w:val="lt-LT"/>
        </w:rPr>
        <w:t>gancikloviru</w:t>
      </w:r>
      <w:proofErr w:type="spellEnd"/>
      <w:r w:rsidRPr="00EE75B4">
        <w:rPr>
          <w:color w:val="auto"/>
          <w:sz w:val="22"/>
          <w:szCs w:val="22"/>
          <w:lang w:val="lt-LT"/>
        </w:rPr>
        <w:t xml:space="preserve">, </w:t>
      </w:r>
      <w:proofErr w:type="spellStart"/>
      <w:r w:rsidRPr="00EE75B4">
        <w:rPr>
          <w:color w:val="auto"/>
          <w:sz w:val="22"/>
          <w:szCs w:val="22"/>
          <w:lang w:val="lt-LT"/>
        </w:rPr>
        <w:t>valgancikloviro</w:t>
      </w:r>
      <w:proofErr w:type="spellEnd"/>
      <w:r w:rsidRPr="00EE75B4">
        <w:rPr>
          <w:color w:val="auto"/>
          <w:sz w:val="22"/>
          <w:szCs w:val="22"/>
          <w:lang w:val="lt-LT"/>
        </w:rPr>
        <w:t xml:space="preserve"> jungimasis su baltymais netirtas. Į veną leidžiamo </w:t>
      </w:r>
      <w:proofErr w:type="spellStart"/>
      <w:r w:rsidRPr="00EE75B4">
        <w:rPr>
          <w:color w:val="auto"/>
          <w:sz w:val="22"/>
          <w:szCs w:val="22"/>
          <w:lang w:val="lt-LT"/>
        </w:rPr>
        <w:t>gancikloviro</w:t>
      </w:r>
      <w:proofErr w:type="spellEnd"/>
      <w:r w:rsidRPr="00EE75B4">
        <w:rPr>
          <w:color w:val="auto"/>
          <w:sz w:val="22"/>
          <w:szCs w:val="22"/>
          <w:lang w:val="lt-LT"/>
        </w:rPr>
        <w:t xml:space="preserve"> pasiskirstymo tūris (</w:t>
      </w:r>
      <w:proofErr w:type="spellStart"/>
      <w:r w:rsidRPr="00EE75B4">
        <w:rPr>
          <w:color w:val="auto"/>
          <w:sz w:val="22"/>
          <w:szCs w:val="22"/>
          <w:lang w:val="lt-LT"/>
        </w:rPr>
        <w:t>V</w:t>
      </w:r>
      <w:r w:rsidRPr="00EE75B4">
        <w:rPr>
          <w:color w:val="auto"/>
          <w:sz w:val="22"/>
          <w:szCs w:val="22"/>
          <w:vertAlign w:val="subscript"/>
          <w:lang w:val="lt-LT"/>
        </w:rPr>
        <w:t>d</w:t>
      </w:r>
      <w:proofErr w:type="spellEnd"/>
      <w:r w:rsidRPr="00EE75B4">
        <w:rPr>
          <w:color w:val="auto"/>
          <w:sz w:val="22"/>
          <w:szCs w:val="22"/>
          <w:lang w:val="lt-LT"/>
        </w:rPr>
        <w:t xml:space="preserve">) esant jo </w:t>
      </w:r>
      <w:proofErr w:type="spellStart"/>
      <w:r w:rsidRPr="00EE75B4">
        <w:rPr>
          <w:color w:val="auto"/>
          <w:sz w:val="22"/>
          <w:szCs w:val="22"/>
          <w:lang w:val="lt-LT"/>
        </w:rPr>
        <w:t>pusiausvyrinei</w:t>
      </w:r>
      <w:proofErr w:type="spellEnd"/>
      <w:r w:rsidRPr="00EE75B4">
        <w:rPr>
          <w:color w:val="auto"/>
          <w:sz w:val="22"/>
          <w:szCs w:val="22"/>
          <w:lang w:val="lt-LT"/>
        </w:rPr>
        <w:t xml:space="preserve"> koncentracijai yra 0,680 </w:t>
      </w:r>
      <w:r w:rsidRPr="00EE75B4">
        <w:rPr>
          <w:color w:val="auto"/>
          <w:sz w:val="22"/>
          <w:szCs w:val="22"/>
          <w:lang w:val="lt-LT"/>
        </w:rPr>
        <w:sym w:font="Symbol" w:char="F0B1"/>
      </w:r>
      <w:r w:rsidRPr="00EE75B4">
        <w:rPr>
          <w:color w:val="auto"/>
          <w:sz w:val="22"/>
          <w:szCs w:val="22"/>
          <w:lang w:val="lt-LT"/>
        </w:rPr>
        <w:t xml:space="preserve"> 0,161 l/kg (n=114).</w:t>
      </w:r>
      <w:r w:rsidR="00000A98" w:rsidRPr="00EE75B4">
        <w:rPr>
          <w:rFonts w:eastAsia="Times New Roman"/>
          <w:color w:val="auto"/>
          <w:sz w:val="22"/>
          <w:szCs w:val="22"/>
          <w:lang w:val="lt-LT" w:eastAsia="ja-JP"/>
        </w:rPr>
        <w:t xml:space="preserve"> </w:t>
      </w:r>
      <w:proofErr w:type="spellStart"/>
      <w:r w:rsidR="00000A98" w:rsidRPr="00EE75B4">
        <w:rPr>
          <w:rFonts w:eastAsia="Times New Roman"/>
          <w:color w:val="auto"/>
          <w:sz w:val="22"/>
          <w:szCs w:val="22"/>
          <w:lang w:val="lt-LT" w:eastAsia="ja-JP"/>
        </w:rPr>
        <w:t>Gancikloviro</w:t>
      </w:r>
      <w:proofErr w:type="spellEnd"/>
      <w:r w:rsidR="00000A98" w:rsidRPr="00EE75B4">
        <w:rPr>
          <w:rFonts w:eastAsia="Times New Roman"/>
          <w:color w:val="auto"/>
          <w:sz w:val="22"/>
          <w:szCs w:val="22"/>
          <w:lang w:val="lt-LT" w:eastAsia="ja-JP"/>
        </w:rPr>
        <w:t xml:space="preserve"> suleidus į veną, jo pasiskirstymo tūris koreliuoja su kūno mase, nusistovėjus pusiausvyrai pasiskirstymo tūris svyruoja nuo 0,54 iki 0,87 l/kg. </w:t>
      </w:r>
      <w:proofErr w:type="spellStart"/>
      <w:r w:rsidR="00000A98" w:rsidRPr="00EE75B4">
        <w:rPr>
          <w:rFonts w:eastAsia="Times New Roman"/>
          <w:color w:val="auto"/>
          <w:sz w:val="22"/>
          <w:szCs w:val="22"/>
          <w:lang w:val="lt-LT" w:eastAsia="ja-JP"/>
        </w:rPr>
        <w:t>Gancikloviras</w:t>
      </w:r>
      <w:proofErr w:type="spellEnd"/>
      <w:r w:rsidR="00000A98" w:rsidRPr="00EE75B4">
        <w:rPr>
          <w:rFonts w:eastAsia="Times New Roman"/>
          <w:color w:val="auto"/>
          <w:sz w:val="22"/>
          <w:szCs w:val="22"/>
          <w:lang w:val="lt-LT" w:eastAsia="ja-JP"/>
        </w:rPr>
        <w:t xml:space="preserve"> prasiskverbia į smegenų skystį. Kai </w:t>
      </w:r>
      <w:proofErr w:type="spellStart"/>
      <w:r w:rsidR="00000A98" w:rsidRPr="00EE75B4">
        <w:rPr>
          <w:rFonts w:eastAsia="Times New Roman"/>
          <w:color w:val="auto"/>
          <w:sz w:val="22"/>
          <w:szCs w:val="22"/>
          <w:lang w:val="lt-LT" w:eastAsia="ja-JP"/>
        </w:rPr>
        <w:t>gancikloviro</w:t>
      </w:r>
      <w:proofErr w:type="spellEnd"/>
      <w:r w:rsidR="00000A98" w:rsidRPr="00EE75B4">
        <w:rPr>
          <w:rFonts w:eastAsia="Times New Roman"/>
          <w:color w:val="auto"/>
          <w:sz w:val="22"/>
          <w:szCs w:val="22"/>
          <w:lang w:val="lt-LT" w:eastAsia="ja-JP"/>
        </w:rPr>
        <w:t xml:space="preserve"> koncentracija nuo 0,5 iki 51 </w:t>
      </w:r>
      <w:proofErr w:type="spellStart"/>
      <w:r w:rsidR="00000A98" w:rsidRPr="00EE75B4">
        <w:rPr>
          <w:rFonts w:eastAsia="Times New Roman"/>
          <w:color w:val="auto"/>
          <w:sz w:val="22"/>
          <w:szCs w:val="22"/>
          <w:lang w:val="lt-LT" w:eastAsia="ja-JP"/>
        </w:rPr>
        <w:t>mkg</w:t>
      </w:r>
      <w:proofErr w:type="spellEnd"/>
      <w:r w:rsidR="00000A98" w:rsidRPr="00EE75B4">
        <w:rPr>
          <w:rFonts w:eastAsia="Times New Roman"/>
          <w:color w:val="auto"/>
          <w:sz w:val="22"/>
          <w:szCs w:val="22"/>
          <w:lang w:val="lt-LT" w:eastAsia="ja-JP"/>
        </w:rPr>
        <w:t>/ml, susijungusio su plazmos baltymais jo būna nuo 1 % iki 2 %.</w:t>
      </w:r>
    </w:p>
    <w:p w14:paraId="4901179A" w14:textId="77777777" w:rsidR="005427AE" w:rsidRPr="00EE75B4" w:rsidRDefault="005427AE" w:rsidP="005427AE">
      <w:pPr>
        <w:spacing w:after="0" w:line="240" w:lineRule="auto"/>
        <w:rPr>
          <w:rFonts w:ascii="Times New Roman" w:hAnsi="Times New Roman"/>
          <w:lang w:val="lt-LT"/>
        </w:rPr>
      </w:pPr>
    </w:p>
    <w:p w14:paraId="49F352F9" w14:textId="77777777" w:rsidR="005427AE" w:rsidRPr="00EE75B4" w:rsidRDefault="005427AE" w:rsidP="005427AE">
      <w:pPr>
        <w:spacing w:after="0" w:line="240" w:lineRule="auto"/>
        <w:rPr>
          <w:rFonts w:ascii="Times New Roman" w:hAnsi="Times New Roman"/>
          <w:u w:val="single"/>
          <w:lang w:val="lt-LT"/>
        </w:rPr>
      </w:pPr>
      <w:proofErr w:type="spellStart"/>
      <w:r w:rsidRPr="00EE75B4">
        <w:rPr>
          <w:rFonts w:ascii="Times New Roman" w:hAnsi="Times New Roman"/>
          <w:u w:val="single"/>
          <w:lang w:val="lt-LT"/>
        </w:rPr>
        <w:t>Biotransformacija</w:t>
      </w:r>
      <w:proofErr w:type="spellEnd"/>
    </w:p>
    <w:p w14:paraId="16C3071B" w14:textId="77777777" w:rsidR="005427AE" w:rsidRPr="00EE75B4" w:rsidRDefault="005427AE" w:rsidP="005427AE">
      <w:pPr>
        <w:spacing w:after="0" w:line="240" w:lineRule="auto"/>
        <w:rPr>
          <w:rFonts w:ascii="Times New Roman" w:hAnsi="Times New Roman"/>
          <w:u w:val="single"/>
          <w:lang w:val="lt-LT"/>
        </w:rPr>
      </w:pPr>
    </w:p>
    <w:p w14:paraId="52F458D2"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Valgancikloviras</w:t>
      </w:r>
      <w:proofErr w:type="spellEnd"/>
      <w:r w:rsidRPr="00EE75B4">
        <w:rPr>
          <w:rFonts w:ascii="Times New Roman" w:hAnsi="Times New Roman"/>
          <w:lang w:val="lt-LT"/>
        </w:rPr>
        <w:t xml:space="preserve"> greitai ir ekstensyviai </w:t>
      </w:r>
      <w:proofErr w:type="spellStart"/>
      <w:r w:rsidRPr="00EE75B4">
        <w:rPr>
          <w:rFonts w:ascii="Times New Roman" w:hAnsi="Times New Roman"/>
          <w:lang w:val="lt-LT"/>
        </w:rPr>
        <w:t>metabolizuojamas</w:t>
      </w:r>
      <w:proofErr w:type="spellEnd"/>
      <w:r w:rsidRPr="00EE75B4">
        <w:rPr>
          <w:rFonts w:ascii="Times New Roman" w:hAnsi="Times New Roman"/>
          <w:lang w:val="lt-LT"/>
        </w:rPr>
        <w:t xml:space="preserve"> į </w:t>
      </w:r>
      <w:proofErr w:type="spellStart"/>
      <w:r w:rsidRPr="00EE75B4">
        <w:rPr>
          <w:rFonts w:ascii="Times New Roman" w:hAnsi="Times New Roman"/>
          <w:lang w:val="lt-LT"/>
        </w:rPr>
        <w:t>ganciklovirą</w:t>
      </w:r>
      <w:proofErr w:type="spellEnd"/>
      <w:r w:rsidRPr="00EE75B4">
        <w:rPr>
          <w:rFonts w:ascii="Times New Roman" w:hAnsi="Times New Roman"/>
          <w:lang w:val="lt-LT"/>
        </w:rPr>
        <w:t xml:space="preserve">; kitokių metabolitų nenustatyta. </w:t>
      </w:r>
      <w:r w:rsidR="003E1F36" w:rsidRPr="00EE75B4">
        <w:rPr>
          <w:rFonts w:ascii="Times New Roman" w:eastAsia="Times New Roman" w:hAnsi="Times New Roman"/>
          <w:lang w:val="lt-LT" w:eastAsia="ja-JP"/>
        </w:rPr>
        <w:t xml:space="preserve"> Pats </w:t>
      </w:r>
      <w:proofErr w:type="spellStart"/>
      <w:r w:rsidR="003E1F36" w:rsidRPr="00EE75B4">
        <w:rPr>
          <w:rFonts w:ascii="Times New Roman" w:eastAsia="Times New Roman" w:hAnsi="Times New Roman"/>
          <w:lang w:val="lt-LT" w:eastAsia="ja-JP"/>
        </w:rPr>
        <w:t>gancikloviras</w:t>
      </w:r>
      <w:proofErr w:type="spellEnd"/>
      <w:r w:rsidR="003E1F36" w:rsidRPr="00EE75B4">
        <w:rPr>
          <w:rFonts w:ascii="Times New Roman" w:eastAsia="Times New Roman" w:hAnsi="Times New Roman"/>
          <w:lang w:val="lt-LT" w:eastAsia="ja-JP"/>
        </w:rPr>
        <w:t xml:space="preserve"> </w:t>
      </w:r>
      <w:proofErr w:type="spellStart"/>
      <w:r w:rsidR="003E1F36" w:rsidRPr="00EE75B4">
        <w:rPr>
          <w:rFonts w:ascii="Times New Roman" w:eastAsia="Times New Roman" w:hAnsi="Times New Roman"/>
          <w:lang w:val="lt-LT" w:eastAsia="ja-JP"/>
        </w:rPr>
        <w:t>metabolizuojamas</w:t>
      </w:r>
      <w:proofErr w:type="spellEnd"/>
      <w:r w:rsidR="003E1F36" w:rsidRPr="00EE75B4">
        <w:rPr>
          <w:rFonts w:ascii="Times New Roman" w:eastAsia="Times New Roman" w:hAnsi="Times New Roman"/>
          <w:lang w:val="lt-LT" w:eastAsia="ja-JP"/>
        </w:rPr>
        <w:t xml:space="preserve"> nereikšmingai.</w:t>
      </w:r>
    </w:p>
    <w:p w14:paraId="03004B1B" w14:textId="77777777" w:rsidR="005427AE" w:rsidRPr="00EE75B4" w:rsidRDefault="005427AE" w:rsidP="005427AE">
      <w:pPr>
        <w:spacing w:after="0" w:line="240" w:lineRule="auto"/>
        <w:rPr>
          <w:rFonts w:ascii="Times New Roman" w:hAnsi="Times New Roman"/>
          <w:u w:val="single"/>
          <w:lang w:val="lt-LT"/>
        </w:rPr>
      </w:pPr>
    </w:p>
    <w:p w14:paraId="3D4E03FB" w14:textId="77777777" w:rsidR="005427AE" w:rsidRPr="00EE75B4" w:rsidRDefault="005427AE" w:rsidP="005427AE">
      <w:pPr>
        <w:spacing w:after="0" w:line="240" w:lineRule="auto"/>
        <w:rPr>
          <w:rFonts w:ascii="Times New Roman" w:hAnsi="Times New Roman"/>
          <w:u w:val="single"/>
          <w:lang w:val="lt-LT"/>
        </w:rPr>
      </w:pPr>
      <w:r w:rsidRPr="00EE75B4">
        <w:rPr>
          <w:rFonts w:ascii="Times New Roman" w:hAnsi="Times New Roman"/>
          <w:u w:val="single"/>
          <w:lang w:val="lt-LT"/>
        </w:rPr>
        <w:t>Eliminacija</w:t>
      </w:r>
    </w:p>
    <w:p w14:paraId="74FB7E5D" w14:textId="77777777" w:rsidR="005427AE" w:rsidRPr="00EE75B4" w:rsidRDefault="005427AE" w:rsidP="005427AE">
      <w:pPr>
        <w:spacing w:after="0" w:line="240" w:lineRule="auto"/>
        <w:rPr>
          <w:rFonts w:ascii="Times New Roman" w:hAnsi="Times New Roman"/>
          <w:u w:val="single"/>
          <w:lang w:val="lt-LT"/>
        </w:rPr>
      </w:pPr>
    </w:p>
    <w:p w14:paraId="6F2B9FE2" w14:textId="77777777" w:rsidR="003E1F36" w:rsidRPr="00EE75B4" w:rsidRDefault="003E1F36" w:rsidP="005427AE">
      <w:pPr>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 xml:space="preserve">Išgertas </w:t>
      </w:r>
      <w:proofErr w:type="spellStart"/>
      <w:r w:rsidRPr="00EE75B4">
        <w:rPr>
          <w:rFonts w:ascii="Times New Roman" w:eastAsia="Times New Roman" w:hAnsi="Times New Roman"/>
          <w:lang w:val="lt-LT" w:eastAsia="ja-JP"/>
        </w:rPr>
        <w:t>valgancikloviras</w:t>
      </w:r>
      <w:proofErr w:type="spellEnd"/>
      <w:r w:rsidRPr="00EE75B4">
        <w:rPr>
          <w:rFonts w:ascii="Times New Roman" w:eastAsia="Times New Roman" w:hAnsi="Times New Roman"/>
          <w:lang w:val="lt-LT" w:eastAsia="ja-JP"/>
        </w:rPr>
        <w:t xml:space="preserve"> greitai hidrolizuojamas ir tampa </w:t>
      </w:r>
      <w:proofErr w:type="spellStart"/>
      <w:r w:rsidRPr="00EE75B4">
        <w:rPr>
          <w:rFonts w:ascii="Times New Roman" w:eastAsia="Times New Roman" w:hAnsi="Times New Roman"/>
          <w:lang w:val="lt-LT" w:eastAsia="ja-JP"/>
        </w:rPr>
        <w:t>gancikloviru</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Gancikloviras</w:t>
      </w:r>
      <w:proofErr w:type="spellEnd"/>
      <w:r w:rsidRPr="00EE75B4">
        <w:rPr>
          <w:rFonts w:ascii="Times New Roman" w:eastAsia="Times New Roman" w:hAnsi="Times New Roman"/>
          <w:lang w:val="lt-LT" w:eastAsia="ja-JP"/>
        </w:rPr>
        <w:t xml:space="preserve"> iš sisteminės kraujotakos yra šalinamas </w:t>
      </w:r>
      <w:proofErr w:type="spellStart"/>
      <w:r w:rsidRPr="00EE75B4">
        <w:rPr>
          <w:rFonts w:ascii="Times New Roman" w:eastAsia="Times New Roman" w:hAnsi="Times New Roman"/>
          <w:lang w:val="lt-LT" w:eastAsia="ja-JP"/>
        </w:rPr>
        <w:t>glomerulų</w:t>
      </w:r>
      <w:proofErr w:type="spellEnd"/>
      <w:r w:rsidRPr="00EE75B4">
        <w:rPr>
          <w:rFonts w:ascii="Times New Roman" w:eastAsia="Times New Roman" w:hAnsi="Times New Roman"/>
          <w:lang w:val="lt-LT" w:eastAsia="ja-JP"/>
        </w:rPr>
        <w:t xml:space="preserve"> filtracijos ir aktyvios sekrecijos kanalėliuose būdais. Pacientų, kurių inkstų veikla normali, šlapime per 24 valandas buvo aptikta daugiau kaip 90 % </w:t>
      </w:r>
      <w:proofErr w:type="spellStart"/>
      <w:r w:rsidRPr="00EE75B4">
        <w:rPr>
          <w:rFonts w:ascii="Times New Roman" w:eastAsia="Times New Roman" w:hAnsi="Times New Roman"/>
          <w:lang w:val="lt-LT" w:eastAsia="ja-JP"/>
        </w:rPr>
        <w:t>nemetabolizuoto</w:t>
      </w:r>
      <w:proofErr w:type="spellEnd"/>
      <w:r w:rsidRPr="00EE75B4">
        <w:rPr>
          <w:rFonts w:ascii="Times New Roman" w:eastAsia="Times New Roman" w:hAnsi="Times New Roman"/>
          <w:lang w:val="lt-LT" w:eastAsia="ja-JP"/>
        </w:rPr>
        <w:t xml:space="preserve"> į veną suleisto </w:t>
      </w:r>
      <w:proofErr w:type="spellStart"/>
      <w:r w:rsidRPr="00EE75B4">
        <w:rPr>
          <w:rFonts w:ascii="Times New Roman" w:eastAsia="Times New Roman" w:hAnsi="Times New Roman"/>
          <w:lang w:val="lt-LT" w:eastAsia="ja-JP"/>
        </w:rPr>
        <w:t>gancikloviro</w:t>
      </w:r>
      <w:proofErr w:type="spellEnd"/>
      <w:r w:rsidRPr="00EE75B4">
        <w:rPr>
          <w:rFonts w:ascii="Times New Roman" w:eastAsia="Times New Roman" w:hAnsi="Times New Roman"/>
          <w:lang w:val="lt-LT" w:eastAsia="ja-JP"/>
        </w:rPr>
        <w:t xml:space="preserve">. Pacientų, kurių inkstų veikla normali, organizme </w:t>
      </w:r>
      <w:proofErr w:type="spellStart"/>
      <w:r w:rsidRPr="00EE75B4">
        <w:rPr>
          <w:rFonts w:ascii="Times New Roman" w:eastAsia="Times New Roman" w:hAnsi="Times New Roman"/>
          <w:lang w:val="lt-LT" w:eastAsia="ja-JP"/>
        </w:rPr>
        <w:t>gancikloviro</w:t>
      </w:r>
      <w:proofErr w:type="spellEnd"/>
      <w:r w:rsidRPr="00EE75B4">
        <w:rPr>
          <w:rFonts w:ascii="Times New Roman" w:eastAsia="Times New Roman" w:hAnsi="Times New Roman"/>
          <w:lang w:val="lt-LT" w:eastAsia="ja-JP"/>
        </w:rPr>
        <w:t xml:space="preserve"> po didžiausios koncentracija plazmoje pavartojus </w:t>
      </w:r>
      <w:proofErr w:type="spellStart"/>
      <w:r w:rsidRPr="00EE75B4">
        <w:rPr>
          <w:rFonts w:ascii="Times New Roman" w:eastAsia="Times New Roman" w:hAnsi="Times New Roman"/>
          <w:lang w:val="lt-LT" w:eastAsia="ja-JP"/>
        </w:rPr>
        <w:t>valgancikloviro</w:t>
      </w:r>
      <w:proofErr w:type="spellEnd"/>
      <w:r w:rsidRPr="00EE75B4">
        <w:rPr>
          <w:rFonts w:ascii="Times New Roman" w:eastAsia="Times New Roman" w:hAnsi="Times New Roman"/>
          <w:lang w:val="lt-LT" w:eastAsia="ja-JP"/>
        </w:rPr>
        <w:t xml:space="preserve"> mažėja, pusinio gyvavimo laikui kintant nuo 0,4 valandos iki 2,0 valandų.</w:t>
      </w:r>
    </w:p>
    <w:p w14:paraId="77A182BB" w14:textId="77777777" w:rsidR="005427AE" w:rsidRPr="00EE75B4" w:rsidRDefault="005427AE" w:rsidP="005427AE">
      <w:pPr>
        <w:spacing w:after="0" w:line="240" w:lineRule="auto"/>
        <w:rPr>
          <w:rFonts w:ascii="Times New Roman" w:hAnsi="Times New Roman"/>
          <w:lang w:val="lt-LT"/>
        </w:rPr>
      </w:pPr>
    </w:p>
    <w:p w14:paraId="0A2133DA" w14:textId="77777777" w:rsidR="005427AE" w:rsidRPr="00EE75B4" w:rsidRDefault="005427AE" w:rsidP="005427AE">
      <w:pPr>
        <w:tabs>
          <w:tab w:val="left" w:pos="567"/>
        </w:tabs>
        <w:spacing w:after="0" w:line="240" w:lineRule="auto"/>
        <w:contextualSpacing/>
        <w:outlineLvl w:val="0"/>
        <w:rPr>
          <w:rFonts w:ascii="Times New Roman" w:hAnsi="Times New Roman"/>
          <w:u w:val="single"/>
          <w:lang w:val="lt-LT"/>
        </w:rPr>
      </w:pPr>
      <w:proofErr w:type="spellStart"/>
      <w:r w:rsidRPr="00EE75B4">
        <w:rPr>
          <w:rFonts w:ascii="Times New Roman" w:hAnsi="Times New Roman"/>
          <w:u w:val="single"/>
          <w:lang w:val="lt-LT"/>
        </w:rPr>
        <w:t>Farmakokinetika</w:t>
      </w:r>
      <w:proofErr w:type="spellEnd"/>
      <w:r w:rsidRPr="00EE75B4">
        <w:rPr>
          <w:rFonts w:ascii="Times New Roman" w:hAnsi="Times New Roman"/>
          <w:u w:val="single"/>
          <w:lang w:val="lt-LT"/>
        </w:rPr>
        <w:t xml:space="preserve"> ypatingomis klinikinėmis aplinkybėmis</w:t>
      </w:r>
    </w:p>
    <w:p w14:paraId="36CEE5AC" w14:textId="77777777" w:rsidR="005427AE" w:rsidRPr="00EE75B4" w:rsidRDefault="005427AE" w:rsidP="00813362">
      <w:pPr>
        <w:tabs>
          <w:tab w:val="left" w:pos="567"/>
        </w:tabs>
        <w:spacing w:after="0" w:line="240" w:lineRule="auto"/>
        <w:contextualSpacing/>
        <w:outlineLvl w:val="0"/>
        <w:rPr>
          <w:rFonts w:ascii="Times New Roman" w:hAnsi="Times New Roman"/>
          <w:u w:val="single"/>
          <w:lang w:val="lt-LT"/>
        </w:rPr>
      </w:pPr>
    </w:p>
    <w:p w14:paraId="3A4DC928" w14:textId="77777777" w:rsidR="005427AE" w:rsidRPr="00EE75B4" w:rsidRDefault="005427AE" w:rsidP="005427AE">
      <w:pPr>
        <w:spacing w:after="0" w:line="240" w:lineRule="auto"/>
        <w:rPr>
          <w:rFonts w:ascii="Times New Roman" w:hAnsi="Times New Roman"/>
          <w:i/>
          <w:lang w:val="lt-LT"/>
        </w:rPr>
      </w:pPr>
      <w:r w:rsidRPr="00EE75B4">
        <w:rPr>
          <w:rFonts w:ascii="Times New Roman" w:hAnsi="Times New Roman"/>
          <w:i/>
          <w:lang w:val="lt-LT"/>
        </w:rPr>
        <w:t>Vaikų populiacija</w:t>
      </w:r>
    </w:p>
    <w:p w14:paraId="552ADCEB"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II fazės </w:t>
      </w:r>
      <w:proofErr w:type="spellStart"/>
      <w:r w:rsidRPr="00EE75B4">
        <w:rPr>
          <w:rFonts w:ascii="Times New Roman" w:hAnsi="Times New Roman"/>
          <w:lang w:val="lt-LT"/>
        </w:rPr>
        <w:t>farmakokinetikos</w:t>
      </w:r>
      <w:proofErr w:type="spellEnd"/>
      <w:r w:rsidRPr="00EE75B4">
        <w:rPr>
          <w:rFonts w:ascii="Times New Roman" w:hAnsi="Times New Roman"/>
          <w:lang w:val="lt-LT"/>
        </w:rPr>
        <w:t xml:space="preserve"> ir saugumo klinikiniame tyrime dalyvavę vaikai (nuo 4 mėnesių iki 16 metų amžiaus, n = 63), kuriems persodintas </w:t>
      </w:r>
      <w:proofErr w:type="spellStart"/>
      <w:r w:rsidRPr="00EE75B4">
        <w:rPr>
          <w:rFonts w:ascii="Times New Roman" w:hAnsi="Times New Roman"/>
          <w:lang w:val="lt-LT"/>
        </w:rPr>
        <w:t>solidinis</w:t>
      </w:r>
      <w:proofErr w:type="spellEnd"/>
      <w:r w:rsidRPr="00EE75B4">
        <w:rPr>
          <w:rFonts w:ascii="Times New Roman" w:hAnsi="Times New Roman"/>
          <w:lang w:val="lt-LT"/>
        </w:rPr>
        <w:t xml:space="preserve"> organas,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vartojo vieną kartą per parą iki 100 parų. </w:t>
      </w:r>
      <w:proofErr w:type="spellStart"/>
      <w:r w:rsidRPr="00EE75B4">
        <w:rPr>
          <w:rFonts w:ascii="Times New Roman" w:hAnsi="Times New Roman"/>
          <w:lang w:val="lt-LT"/>
        </w:rPr>
        <w:t>Farmakokinetikos</w:t>
      </w:r>
      <w:proofErr w:type="spellEnd"/>
      <w:r w:rsidRPr="00EE75B4">
        <w:rPr>
          <w:rFonts w:ascii="Times New Roman" w:hAnsi="Times New Roman"/>
          <w:lang w:val="lt-LT"/>
        </w:rPr>
        <w:t xml:space="preserve"> parametrai pagal organo tipą ir amžiaus grupes buvo panašūs ir lygintini su suaugusių tiriamųjų. Modeliuojant </w:t>
      </w:r>
      <w:proofErr w:type="spellStart"/>
      <w:r w:rsidRPr="00EE75B4">
        <w:rPr>
          <w:rFonts w:ascii="Times New Roman" w:hAnsi="Times New Roman"/>
          <w:lang w:val="lt-LT"/>
        </w:rPr>
        <w:t>populiacinę</w:t>
      </w:r>
      <w:proofErr w:type="spellEnd"/>
      <w:r w:rsidRPr="00EE75B4">
        <w:rPr>
          <w:rFonts w:ascii="Times New Roman" w:hAnsi="Times New Roman"/>
          <w:lang w:val="lt-LT"/>
        </w:rPr>
        <w:t xml:space="preserve"> </w:t>
      </w:r>
      <w:proofErr w:type="spellStart"/>
      <w:r w:rsidRPr="00EE75B4">
        <w:rPr>
          <w:rFonts w:ascii="Times New Roman" w:hAnsi="Times New Roman"/>
          <w:lang w:val="lt-LT"/>
        </w:rPr>
        <w:t>farmakokinetiką</w:t>
      </w:r>
      <w:proofErr w:type="spellEnd"/>
      <w:r w:rsidRPr="00EE75B4">
        <w:rPr>
          <w:rFonts w:ascii="Times New Roman" w:hAnsi="Times New Roman"/>
          <w:lang w:val="lt-LT"/>
        </w:rPr>
        <w:t xml:space="preserve"> parodyta, kad biologinis prieinamumas buvo maždaug 60 %. Teigiamą įtaką klirensui darė tiek kūno paviršiaus plotas, tiek inkstų funkcija. </w:t>
      </w:r>
    </w:p>
    <w:p w14:paraId="686A17F5" w14:textId="77777777" w:rsidR="005427AE" w:rsidRPr="00EE75B4" w:rsidRDefault="005427AE" w:rsidP="005427AE">
      <w:pPr>
        <w:spacing w:after="0" w:line="240" w:lineRule="auto"/>
        <w:rPr>
          <w:rFonts w:ascii="Times New Roman" w:hAnsi="Times New Roman"/>
          <w:lang w:val="lt-LT"/>
        </w:rPr>
      </w:pPr>
    </w:p>
    <w:p w14:paraId="4926041F"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I fazės </w:t>
      </w:r>
      <w:proofErr w:type="spellStart"/>
      <w:r w:rsidRPr="00EE75B4">
        <w:rPr>
          <w:rFonts w:ascii="Times New Roman" w:hAnsi="Times New Roman"/>
          <w:lang w:val="lt-LT"/>
        </w:rPr>
        <w:t>farmakokinetikos</w:t>
      </w:r>
      <w:proofErr w:type="spellEnd"/>
      <w:r w:rsidRPr="00EE75B4">
        <w:rPr>
          <w:rFonts w:ascii="Times New Roman" w:hAnsi="Times New Roman"/>
          <w:lang w:val="lt-LT"/>
        </w:rPr>
        <w:t xml:space="preserve"> ir saugumo klinikiniame tyrime dalyvavę vaikai (nuo 3 savaičių iki 125 parų amžiaus, n = 14), kuriems persodinta širdis,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vartojo dvi tyrimo dienas vieną kartą per parą. Remiantis </w:t>
      </w:r>
      <w:proofErr w:type="spellStart"/>
      <w:r w:rsidRPr="00EE75B4">
        <w:rPr>
          <w:rFonts w:ascii="Times New Roman" w:hAnsi="Times New Roman"/>
          <w:lang w:val="lt-LT"/>
        </w:rPr>
        <w:t>populiacine</w:t>
      </w:r>
      <w:proofErr w:type="spellEnd"/>
      <w:r w:rsidRPr="00EE75B4">
        <w:rPr>
          <w:rFonts w:ascii="Times New Roman" w:hAnsi="Times New Roman"/>
          <w:lang w:val="lt-LT"/>
        </w:rPr>
        <w:t xml:space="preserve"> </w:t>
      </w:r>
      <w:proofErr w:type="spellStart"/>
      <w:r w:rsidRPr="00EE75B4">
        <w:rPr>
          <w:rFonts w:ascii="Times New Roman" w:hAnsi="Times New Roman"/>
          <w:lang w:val="lt-LT"/>
        </w:rPr>
        <w:t>farmakokinetika</w:t>
      </w:r>
      <w:proofErr w:type="spellEnd"/>
      <w:r w:rsidRPr="00EE75B4">
        <w:rPr>
          <w:rFonts w:ascii="Times New Roman" w:hAnsi="Times New Roman"/>
          <w:lang w:val="lt-LT"/>
        </w:rPr>
        <w:t xml:space="preserve"> apskaičiuota, kad vidutinis biologinis prieinamumas buvo 64 %.</w:t>
      </w:r>
    </w:p>
    <w:p w14:paraId="5278E53D" w14:textId="77777777" w:rsidR="005427AE" w:rsidRPr="00EE75B4" w:rsidRDefault="005427AE" w:rsidP="005427AE">
      <w:pPr>
        <w:spacing w:after="0" w:line="240" w:lineRule="auto"/>
        <w:rPr>
          <w:rFonts w:ascii="Times New Roman" w:hAnsi="Times New Roman"/>
          <w:lang w:val="lt-LT"/>
        </w:rPr>
      </w:pPr>
    </w:p>
    <w:p w14:paraId="02FF360C"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Šių dviejų klinikinių tyrimų ir suaugusiųjų </w:t>
      </w:r>
      <w:proofErr w:type="spellStart"/>
      <w:r w:rsidRPr="00EE75B4">
        <w:rPr>
          <w:rFonts w:ascii="Times New Roman" w:hAnsi="Times New Roman"/>
          <w:lang w:val="lt-LT"/>
        </w:rPr>
        <w:t>populiacinės</w:t>
      </w:r>
      <w:proofErr w:type="spellEnd"/>
      <w:r w:rsidRPr="00EE75B4">
        <w:rPr>
          <w:rFonts w:ascii="Times New Roman" w:hAnsi="Times New Roman"/>
          <w:lang w:val="lt-LT"/>
        </w:rPr>
        <w:t xml:space="preserve"> </w:t>
      </w:r>
      <w:proofErr w:type="spellStart"/>
      <w:r w:rsidRPr="00EE75B4">
        <w:rPr>
          <w:rFonts w:ascii="Times New Roman" w:hAnsi="Times New Roman"/>
          <w:lang w:val="lt-LT"/>
        </w:rPr>
        <w:t>farmakokinetikos</w:t>
      </w:r>
      <w:proofErr w:type="spellEnd"/>
      <w:r w:rsidRPr="00EE75B4">
        <w:rPr>
          <w:rFonts w:ascii="Times New Roman" w:hAnsi="Times New Roman"/>
          <w:lang w:val="lt-LT"/>
        </w:rPr>
        <w:t xml:space="preserve"> duomenų palyginimas rodo, kad visose amžiaus grupėse, įskaitant suaugusiuosius, AUC</w:t>
      </w:r>
      <w:r w:rsidRPr="00EE75B4">
        <w:rPr>
          <w:rFonts w:ascii="Times New Roman" w:hAnsi="Times New Roman"/>
          <w:vertAlign w:val="subscript"/>
          <w:lang w:val="lt-LT"/>
        </w:rPr>
        <w:t>0–24 h</w:t>
      </w:r>
      <w:r w:rsidRPr="00EE75B4">
        <w:rPr>
          <w:rFonts w:ascii="Times New Roman" w:hAnsi="Times New Roman"/>
          <w:lang w:val="lt-LT"/>
        </w:rPr>
        <w:t xml:space="preserve"> intervalai buvo labai panašūs. Vidutinės AUC</w:t>
      </w:r>
      <w:r w:rsidRPr="00EE75B4">
        <w:rPr>
          <w:rFonts w:ascii="Times New Roman" w:hAnsi="Times New Roman"/>
          <w:vertAlign w:val="subscript"/>
          <w:lang w:val="lt-LT"/>
        </w:rPr>
        <w:t>0–24 h</w:t>
      </w:r>
      <w:r w:rsidRPr="00EE75B4">
        <w:rPr>
          <w:rFonts w:ascii="Times New Roman" w:hAnsi="Times New Roman"/>
          <w:lang w:val="lt-LT"/>
        </w:rPr>
        <w:t xml:space="preserve"> ir </w:t>
      </w:r>
      <w:proofErr w:type="spellStart"/>
      <w:r w:rsidRPr="00EE75B4">
        <w:rPr>
          <w:rFonts w:ascii="Times New Roman" w:hAnsi="Times New Roman"/>
          <w:lang w:val="lt-LT"/>
        </w:rPr>
        <w:t>C</w:t>
      </w:r>
      <w:r w:rsidRPr="00EE75B4">
        <w:rPr>
          <w:rFonts w:ascii="Times New Roman" w:hAnsi="Times New Roman"/>
          <w:vertAlign w:val="subscript"/>
          <w:lang w:val="lt-LT"/>
        </w:rPr>
        <w:t>max</w:t>
      </w:r>
      <w:proofErr w:type="spellEnd"/>
      <w:r w:rsidRPr="00EE75B4">
        <w:rPr>
          <w:rFonts w:ascii="Times New Roman" w:hAnsi="Times New Roman"/>
          <w:lang w:val="lt-LT"/>
        </w:rPr>
        <w:t xml:space="preserve"> vertės taip pat buvo panašios visose jaunesnių nei 12 metų amžiaus vaikų amžiaus grupėse, nors per visas vaikų amžiaus grupes buvo vidutinių AUC</w:t>
      </w:r>
      <w:r w:rsidRPr="00EE75B4">
        <w:rPr>
          <w:rFonts w:ascii="Times New Roman" w:hAnsi="Times New Roman"/>
          <w:vertAlign w:val="subscript"/>
          <w:lang w:val="lt-LT"/>
        </w:rPr>
        <w:t>0–24h</w:t>
      </w:r>
      <w:r w:rsidRPr="00EE75B4">
        <w:rPr>
          <w:rFonts w:ascii="Times New Roman" w:hAnsi="Times New Roman"/>
          <w:lang w:val="lt-LT"/>
        </w:rPr>
        <w:t xml:space="preserve"> ir </w:t>
      </w:r>
      <w:proofErr w:type="spellStart"/>
      <w:r w:rsidRPr="00EE75B4">
        <w:rPr>
          <w:rFonts w:ascii="Times New Roman" w:hAnsi="Times New Roman"/>
          <w:lang w:val="lt-LT"/>
        </w:rPr>
        <w:t>C</w:t>
      </w:r>
      <w:r w:rsidRPr="00EE75B4">
        <w:rPr>
          <w:rFonts w:ascii="Times New Roman" w:hAnsi="Times New Roman"/>
          <w:vertAlign w:val="subscript"/>
          <w:lang w:val="lt-LT"/>
        </w:rPr>
        <w:t>max</w:t>
      </w:r>
      <w:proofErr w:type="spellEnd"/>
      <w:r w:rsidRPr="00EE75B4">
        <w:rPr>
          <w:rFonts w:ascii="Times New Roman" w:hAnsi="Times New Roman"/>
          <w:lang w:val="lt-LT"/>
        </w:rPr>
        <w:t xml:space="preserve"> verčių mažėjimo tendencija, kuri, pasirodė, koreliuoja su amžiaus didėjimu. Ši tendencija buvo dar akivaizdesnė klirenso ir pusinės eliminacijos laiko (t</w:t>
      </w:r>
      <w:r w:rsidRPr="00EE75B4">
        <w:rPr>
          <w:rFonts w:ascii="Times New Roman" w:hAnsi="Times New Roman"/>
          <w:vertAlign w:val="subscript"/>
          <w:lang w:val="lt-LT"/>
        </w:rPr>
        <w:t>½</w:t>
      </w:r>
      <w:r w:rsidRPr="00EE75B4">
        <w:rPr>
          <w:rFonts w:ascii="Times New Roman" w:hAnsi="Times New Roman"/>
          <w:lang w:val="lt-LT"/>
        </w:rPr>
        <w:t xml:space="preserve">) vidurkiams, tačiau to galima tikėtis, nes </w:t>
      </w:r>
      <w:r w:rsidRPr="00EE75B4">
        <w:rPr>
          <w:rFonts w:ascii="Times New Roman" w:hAnsi="Times New Roman"/>
          <w:lang w:val="lt-LT"/>
        </w:rPr>
        <w:lastRenderedPageBreak/>
        <w:t xml:space="preserve">klirensas priklauso nuo kūno masės, ūgio ir inkstų veikos pokyčių, susijusių su pacientų augimu, kaip parodyta </w:t>
      </w:r>
      <w:proofErr w:type="spellStart"/>
      <w:r w:rsidRPr="00EE75B4">
        <w:rPr>
          <w:rFonts w:ascii="Times New Roman" w:hAnsi="Times New Roman"/>
          <w:lang w:val="lt-LT"/>
        </w:rPr>
        <w:t>populiacinės</w:t>
      </w:r>
      <w:proofErr w:type="spellEnd"/>
      <w:r w:rsidRPr="00EE75B4">
        <w:rPr>
          <w:rFonts w:ascii="Times New Roman" w:hAnsi="Times New Roman"/>
          <w:lang w:val="lt-LT"/>
        </w:rPr>
        <w:t xml:space="preserve"> </w:t>
      </w:r>
      <w:proofErr w:type="spellStart"/>
      <w:r w:rsidRPr="00EE75B4">
        <w:rPr>
          <w:rFonts w:ascii="Times New Roman" w:hAnsi="Times New Roman"/>
          <w:lang w:val="lt-LT"/>
        </w:rPr>
        <w:t>farmakokinetikos</w:t>
      </w:r>
      <w:proofErr w:type="spellEnd"/>
      <w:r w:rsidRPr="00EE75B4">
        <w:rPr>
          <w:rFonts w:ascii="Times New Roman" w:hAnsi="Times New Roman"/>
          <w:lang w:val="lt-LT"/>
        </w:rPr>
        <w:t xml:space="preserve"> modeliavimu.</w:t>
      </w:r>
    </w:p>
    <w:p w14:paraId="13C91885" w14:textId="77777777" w:rsidR="005427AE" w:rsidRPr="00EE75B4" w:rsidRDefault="005427AE" w:rsidP="005427AE">
      <w:pPr>
        <w:spacing w:after="0" w:line="240" w:lineRule="auto"/>
        <w:rPr>
          <w:rFonts w:ascii="Times New Roman" w:hAnsi="Times New Roman"/>
          <w:lang w:val="lt-LT"/>
        </w:rPr>
      </w:pPr>
    </w:p>
    <w:p w14:paraId="24BE559A"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Iš šių dviejų klinikinių tyrimų modeliavimu apytikriai apskaičiuotas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AUC</w:t>
      </w:r>
      <w:r w:rsidRPr="00EE75B4">
        <w:rPr>
          <w:rFonts w:ascii="Times New Roman" w:hAnsi="Times New Roman"/>
          <w:vertAlign w:val="subscript"/>
          <w:lang w:val="lt-LT"/>
        </w:rPr>
        <w:t>0-24h</w:t>
      </w:r>
      <w:r w:rsidRPr="00EE75B4">
        <w:rPr>
          <w:rFonts w:ascii="Times New Roman" w:hAnsi="Times New Roman"/>
          <w:lang w:val="lt-LT"/>
        </w:rPr>
        <w:t xml:space="preserve"> intervalas, taip pat AUC</w:t>
      </w:r>
      <w:r w:rsidRPr="00EE75B4">
        <w:rPr>
          <w:rFonts w:ascii="Times New Roman" w:hAnsi="Times New Roman"/>
          <w:vertAlign w:val="subscript"/>
          <w:lang w:val="lt-LT"/>
        </w:rPr>
        <w:t>0–24 h</w:t>
      </w:r>
      <w:r w:rsidRPr="00EE75B4">
        <w:rPr>
          <w:rFonts w:ascii="Times New Roman" w:hAnsi="Times New Roman"/>
          <w:lang w:val="lt-LT"/>
        </w:rPr>
        <w:t xml:space="preserve">, </w:t>
      </w:r>
      <w:proofErr w:type="spellStart"/>
      <w:r w:rsidRPr="00EE75B4">
        <w:rPr>
          <w:rFonts w:ascii="Times New Roman" w:hAnsi="Times New Roman"/>
          <w:lang w:val="lt-LT"/>
        </w:rPr>
        <w:t>C</w:t>
      </w:r>
      <w:r w:rsidRPr="00EE75B4">
        <w:rPr>
          <w:rFonts w:ascii="Times New Roman" w:hAnsi="Times New Roman"/>
          <w:vertAlign w:val="subscript"/>
          <w:lang w:val="lt-LT"/>
        </w:rPr>
        <w:t>max</w:t>
      </w:r>
      <w:proofErr w:type="spellEnd"/>
      <w:r w:rsidRPr="00EE75B4">
        <w:rPr>
          <w:rFonts w:ascii="Times New Roman" w:hAnsi="Times New Roman"/>
          <w:lang w:val="lt-LT"/>
        </w:rPr>
        <w:t>, klirensas, pusinės eliminacijos laiko (t</w:t>
      </w:r>
      <w:r w:rsidRPr="00EE75B4">
        <w:rPr>
          <w:rFonts w:ascii="Times New Roman" w:hAnsi="Times New Roman"/>
          <w:vertAlign w:val="subscript"/>
          <w:lang w:val="lt-LT"/>
        </w:rPr>
        <w:t>½</w:t>
      </w:r>
      <w:r w:rsidRPr="00EE75B4">
        <w:rPr>
          <w:rFonts w:ascii="Times New Roman" w:hAnsi="Times New Roman"/>
          <w:lang w:val="lt-LT"/>
        </w:rPr>
        <w:t>) vidurkiai ir standartiniai nuokrypiai atitinkamose vaikų amžiaus grupėse, lyginant su suaugusiųjų duomenimis, yra apibendrinti toliau pateiktoje lentelėje:</w:t>
      </w:r>
    </w:p>
    <w:p w14:paraId="34E6B0AA" w14:textId="77777777" w:rsidR="005427AE" w:rsidRPr="00EE75B4" w:rsidDel="00634F45" w:rsidRDefault="005427AE" w:rsidP="005427AE">
      <w:pPr>
        <w:keepNext/>
        <w:spacing w:after="0" w:line="240" w:lineRule="auto"/>
        <w:rPr>
          <w:rFonts w:ascii="Times New Roman" w:hAnsi="Times New Roman"/>
          <w:b/>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546"/>
        <w:gridCol w:w="1415"/>
        <w:gridCol w:w="1292"/>
        <w:gridCol w:w="1309"/>
        <w:gridCol w:w="1751"/>
        <w:gridCol w:w="1747"/>
      </w:tblGrid>
      <w:tr w:rsidR="00151F06" w:rsidRPr="00EE75B4" w14:paraId="5B03CD75" w14:textId="77777777" w:rsidTr="00752171">
        <w:trPr>
          <w:tblHeader/>
        </w:trPr>
        <w:tc>
          <w:tcPr>
            <w:tcW w:w="857" w:type="pct"/>
            <w:tcBorders>
              <w:right w:val="single" w:sz="4" w:space="0" w:color="auto"/>
            </w:tcBorders>
            <w:shd w:val="clear" w:color="auto" w:fill="auto"/>
          </w:tcPr>
          <w:p w14:paraId="11143AAF" w14:textId="77777777" w:rsidR="003E1F36" w:rsidRPr="00EE75B4" w:rsidRDefault="003E1F36" w:rsidP="005427AE">
            <w:pPr>
              <w:spacing w:after="0" w:line="240" w:lineRule="auto"/>
              <w:jc w:val="center"/>
              <w:rPr>
                <w:rFonts w:ascii="Times New Roman" w:hAnsi="Times New Roman"/>
                <w:b/>
                <w:lang w:val="lt-LT"/>
              </w:rPr>
            </w:pPr>
            <w:r w:rsidRPr="00EE75B4">
              <w:rPr>
                <w:rFonts w:ascii="Times New Roman" w:hAnsi="Times New Roman"/>
                <w:b/>
                <w:lang w:val="lt-LT"/>
              </w:rPr>
              <w:t>FK parametras</w:t>
            </w:r>
          </w:p>
        </w:tc>
        <w:tc>
          <w:tcPr>
            <w:tcW w:w="762" w:type="pct"/>
            <w:tcBorders>
              <w:left w:val="single" w:sz="4" w:space="0" w:color="auto"/>
              <w:right w:val="single" w:sz="4" w:space="0" w:color="auto"/>
            </w:tcBorders>
            <w:shd w:val="clear" w:color="auto" w:fill="auto"/>
          </w:tcPr>
          <w:p w14:paraId="501C05A5" w14:textId="77777777" w:rsidR="003E1F36" w:rsidRPr="00EE75B4" w:rsidRDefault="003E1F36" w:rsidP="005427AE">
            <w:pPr>
              <w:spacing w:after="0" w:line="240" w:lineRule="auto"/>
              <w:jc w:val="center"/>
              <w:rPr>
                <w:rFonts w:ascii="Times New Roman" w:hAnsi="Times New Roman"/>
                <w:b/>
                <w:lang w:val="lt-LT"/>
              </w:rPr>
            </w:pPr>
            <w:r w:rsidRPr="00EE75B4">
              <w:rPr>
                <w:rFonts w:ascii="Times New Roman" w:hAnsi="Times New Roman"/>
                <w:b/>
                <w:lang w:val="lt-LT"/>
              </w:rPr>
              <w:t>Suaugusieji*</w:t>
            </w:r>
          </w:p>
        </w:tc>
        <w:tc>
          <w:tcPr>
            <w:tcW w:w="3381" w:type="pct"/>
            <w:gridSpan w:val="4"/>
            <w:tcBorders>
              <w:left w:val="single" w:sz="4" w:space="0" w:color="auto"/>
            </w:tcBorders>
          </w:tcPr>
          <w:p w14:paraId="5E115C03" w14:textId="77777777" w:rsidR="003E1F36" w:rsidRPr="00EE75B4" w:rsidRDefault="003E1F36" w:rsidP="005427AE">
            <w:pPr>
              <w:spacing w:after="0" w:line="240" w:lineRule="auto"/>
              <w:jc w:val="center"/>
              <w:rPr>
                <w:rFonts w:ascii="Times New Roman" w:hAnsi="Times New Roman"/>
                <w:b/>
                <w:lang w:val="lt-LT"/>
              </w:rPr>
            </w:pPr>
            <w:r w:rsidRPr="00EE75B4">
              <w:rPr>
                <w:rFonts w:ascii="Times New Roman" w:hAnsi="Times New Roman"/>
                <w:b/>
                <w:lang w:val="lt-LT"/>
              </w:rPr>
              <w:t>Vaikai</w:t>
            </w:r>
          </w:p>
        </w:tc>
      </w:tr>
      <w:tr w:rsidR="00581BF7" w:rsidRPr="00EE75B4" w14:paraId="1EF5034A" w14:textId="77777777" w:rsidTr="003E1F36">
        <w:trPr>
          <w:tblHeader/>
        </w:trPr>
        <w:tc>
          <w:tcPr>
            <w:tcW w:w="857" w:type="pct"/>
            <w:tcBorders>
              <w:right w:val="single" w:sz="4" w:space="0" w:color="auto"/>
            </w:tcBorders>
            <w:shd w:val="clear" w:color="auto" w:fill="auto"/>
          </w:tcPr>
          <w:p w14:paraId="3BEDF0B3" w14:textId="77777777" w:rsidR="003E1F36" w:rsidRPr="00EE75B4" w:rsidRDefault="003E1F36" w:rsidP="005427AE">
            <w:pPr>
              <w:spacing w:after="0" w:line="240" w:lineRule="auto"/>
              <w:jc w:val="center"/>
              <w:rPr>
                <w:rFonts w:ascii="Times New Roman" w:hAnsi="Times New Roman"/>
                <w:b/>
                <w:lang w:val="lt-LT"/>
              </w:rPr>
            </w:pPr>
          </w:p>
        </w:tc>
        <w:tc>
          <w:tcPr>
            <w:tcW w:w="762" w:type="pct"/>
            <w:tcBorders>
              <w:left w:val="single" w:sz="4" w:space="0" w:color="auto"/>
              <w:right w:val="single" w:sz="4" w:space="0" w:color="auto"/>
            </w:tcBorders>
            <w:shd w:val="clear" w:color="auto" w:fill="auto"/>
          </w:tcPr>
          <w:p w14:paraId="3237CBC9" w14:textId="77777777" w:rsidR="003E1F36" w:rsidRPr="00EE75B4" w:rsidRDefault="003E1F36" w:rsidP="005427AE">
            <w:pPr>
              <w:spacing w:after="0" w:line="240" w:lineRule="auto"/>
              <w:jc w:val="center"/>
              <w:rPr>
                <w:rFonts w:ascii="Times New Roman" w:hAnsi="Times New Roman"/>
                <w:b/>
                <w:lang w:val="lt-LT"/>
              </w:rPr>
            </w:pPr>
            <w:r w:rsidRPr="00EE75B4">
              <w:rPr>
                <w:rFonts w:ascii="Times New Roman" w:hAnsi="Times New Roman"/>
                <w:b/>
                <w:lang w:val="lt-LT"/>
              </w:rPr>
              <w:t>≥ 18 metų</w:t>
            </w:r>
          </w:p>
          <w:p w14:paraId="21919FCF" w14:textId="77777777" w:rsidR="003E1F36" w:rsidRPr="00EE75B4" w:rsidRDefault="003E1F36" w:rsidP="005427AE">
            <w:pPr>
              <w:spacing w:after="0" w:line="240" w:lineRule="auto"/>
              <w:jc w:val="center"/>
              <w:rPr>
                <w:rFonts w:ascii="Times New Roman" w:hAnsi="Times New Roman"/>
                <w:b/>
                <w:lang w:val="lt-LT"/>
              </w:rPr>
            </w:pPr>
            <w:r w:rsidRPr="00EE75B4">
              <w:rPr>
                <w:rFonts w:ascii="Times New Roman" w:hAnsi="Times New Roman"/>
                <w:b/>
                <w:lang w:val="lt-LT"/>
              </w:rPr>
              <w:t>(n = 160)</w:t>
            </w:r>
          </w:p>
        </w:tc>
        <w:tc>
          <w:tcPr>
            <w:tcW w:w="717" w:type="pct"/>
            <w:tcBorders>
              <w:left w:val="single" w:sz="4" w:space="0" w:color="auto"/>
              <w:right w:val="single" w:sz="4" w:space="0" w:color="auto"/>
            </w:tcBorders>
          </w:tcPr>
          <w:p w14:paraId="6AAC8E1B" w14:textId="77777777" w:rsidR="003E1F36" w:rsidRPr="00EE75B4" w:rsidRDefault="003E1F36" w:rsidP="005427AE">
            <w:pPr>
              <w:spacing w:after="0" w:line="240" w:lineRule="auto"/>
              <w:jc w:val="center"/>
              <w:rPr>
                <w:rFonts w:ascii="Times New Roman" w:hAnsi="Times New Roman"/>
                <w:b/>
                <w:lang w:val="lt-LT" w:eastAsia="lt-LT"/>
              </w:rPr>
            </w:pPr>
            <w:r w:rsidRPr="00EE75B4">
              <w:rPr>
                <w:rFonts w:ascii="Times New Roman" w:hAnsi="Times New Roman"/>
                <w:b/>
                <w:lang w:val="lt-LT" w:eastAsia="lt-LT"/>
              </w:rPr>
              <w:t>&lt; 4 mėnesiai</w:t>
            </w:r>
          </w:p>
          <w:p w14:paraId="78D48DB4" w14:textId="77777777" w:rsidR="003E1F36" w:rsidRPr="00EE75B4" w:rsidRDefault="003E1F36" w:rsidP="005427AE">
            <w:pPr>
              <w:spacing w:after="0" w:line="240" w:lineRule="auto"/>
              <w:jc w:val="center"/>
              <w:rPr>
                <w:rFonts w:ascii="Times New Roman" w:hAnsi="Times New Roman"/>
                <w:b/>
                <w:lang w:val="lt-LT" w:eastAsia="lt-LT"/>
              </w:rPr>
            </w:pPr>
            <w:r w:rsidRPr="00EE75B4">
              <w:rPr>
                <w:rFonts w:ascii="Times New Roman" w:hAnsi="Times New Roman"/>
                <w:b/>
                <w:lang w:val="lt-LT" w:eastAsia="lt-LT"/>
              </w:rPr>
              <w:t>(n = 14)</w:t>
            </w:r>
          </w:p>
        </w:tc>
        <w:tc>
          <w:tcPr>
            <w:tcW w:w="726" w:type="pct"/>
            <w:tcBorders>
              <w:left w:val="single" w:sz="4" w:space="0" w:color="auto"/>
              <w:right w:val="single" w:sz="4" w:space="0" w:color="auto"/>
            </w:tcBorders>
            <w:shd w:val="clear" w:color="auto" w:fill="auto"/>
          </w:tcPr>
          <w:p w14:paraId="0D4D21D0" w14:textId="77777777" w:rsidR="003E1F36" w:rsidRPr="00EE75B4" w:rsidRDefault="003E1F36" w:rsidP="005427AE">
            <w:pPr>
              <w:spacing w:after="0" w:line="240" w:lineRule="auto"/>
              <w:jc w:val="center"/>
              <w:rPr>
                <w:rFonts w:ascii="Times New Roman" w:hAnsi="Times New Roman"/>
                <w:b/>
                <w:lang w:val="lt-LT"/>
              </w:rPr>
            </w:pPr>
            <w:r w:rsidRPr="00EE75B4">
              <w:rPr>
                <w:rFonts w:ascii="Times New Roman" w:hAnsi="Times New Roman"/>
                <w:b/>
                <w:lang w:val="lt-LT" w:eastAsia="lt-LT"/>
              </w:rPr>
              <w:t xml:space="preserve">4 mėnesiai – </w:t>
            </w:r>
            <w:r w:rsidRPr="00EE75B4">
              <w:rPr>
                <w:rFonts w:ascii="Times New Roman" w:hAnsi="Times New Roman"/>
                <w:b/>
                <w:bCs/>
                <w:lang w:val="lt-LT"/>
              </w:rPr>
              <w:t xml:space="preserve">≤ </w:t>
            </w:r>
            <w:r w:rsidRPr="00EE75B4">
              <w:rPr>
                <w:rFonts w:ascii="Times New Roman" w:hAnsi="Times New Roman"/>
                <w:b/>
                <w:lang w:val="lt-LT"/>
              </w:rPr>
              <w:t>2 metai</w:t>
            </w:r>
          </w:p>
          <w:p w14:paraId="6316DFEF" w14:textId="77777777" w:rsidR="003E1F36" w:rsidRPr="00EE75B4" w:rsidRDefault="003E1F36" w:rsidP="005427AE">
            <w:pPr>
              <w:spacing w:after="0" w:line="240" w:lineRule="auto"/>
              <w:jc w:val="center"/>
              <w:rPr>
                <w:rFonts w:ascii="Times New Roman" w:hAnsi="Times New Roman"/>
                <w:b/>
                <w:lang w:val="lt-LT"/>
              </w:rPr>
            </w:pPr>
            <w:r w:rsidRPr="00EE75B4">
              <w:rPr>
                <w:rFonts w:ascii="Times New Roman" w:hAnsi="Times New Roman"/>
                <w:b/>
                <w:lang w:val="lt-LT"/>
              </w:rPr>
              <w:t>(n = 17)</w:t>
            </w:r>
          </w:p>
        </w:tc>
        <w:tc>
          <w:tcPr>
            <w:tcW w:w="970" w:type="pct"/>
            <w:tcBorders>
              <w:left w:val="single" w:sz="4" w:space="0" w:color="auto"/>
              <w:right w:val="single" w:sz="4" w:space="0" w:color="auto"/>
            </w:tcBorders>
            <w:shd w:val="clear" w:color="auto" w:fill="auto"/>
          </w:tcPr>
          <w:p w14:paraId="7F99B693" w14:textId="77777777" w:rsidR="003E1F36" w:rsidRPr="00EE75B4" w:rsidRDefault="003E1F36" w:rsidP="005427AE">
            <w:pPr>
              <w:spacing w:after="0" w:line="240" w:lineRule="auto"/>
              <w:jc w:val="center"/>
              <w:rPr>
                <w:rFonts w:ascii="Times New Roman" w:hAnsi="Times New Roman"/>
                <w:b/>
                <w:lang w:val="lt-LT"/>
              </w:rPr>
            </w:pPr>
            <w:r w:rsidRPr="00EE75B4">
              <w:rPr>
                <w:rFonts w:ascii="Times New Roman" w:hAnsi="Times New Roman"/>
                <w:b/>
                <w:lang w:val="lt-LT"/>
              </w:rPr>
              <w:t>&gt; 2 - &lt; 12 metų</w:t>
            </w:r>
          </w:p>
          <w:p w14:paraId="46FE350A" w14:textId="77777777" w:rsidR="003E1F36" w:rsidRPr="00EE75B4" w:rsidRDefault="003E1F36" w:rsidP="005427AE">
            <w:pPr>
              <w:spacing w:after="0" w:line="240" w:lineRule="auto"/>
              <w:jc w:val="center"/>
              <w:rPr>
                <w:rFonts w:ascii="Times New Roman" w:hAnsi="Times New Roman"/>
                <w:b/>
                <w:lang w:val="lt-LT"/>
              </w:rPr>
            </w:pPr>
            <w:r w:rsidRPr="00EE75B4">
              <w:rPr>
                <w:rFonts w:ascii="Times New Roman" w:hAnsi="Times New Roman"/>
                <w:b/>
                <w:lang w:val="lt-LT"/>
              </w:rPr>
              <w:t>(n = 21)</w:t>
            </w:r>
          </w:p>
        </w:tc>
        <w:tc>
          <w:tcPr>
            <w:tcW w:w="968" w:type="pct"/>
            <w:tcBorders>
              <w:left w:val="single" w:sz="4" w:space="0" w:color="auto"/>
            </w:tcBorders>
            <w:shd w:val="clear" w:color="auto" w:fill="auto"/>
          </w:tcPr>
          <w:p w14:paraId="2145A26B" w14:textId="77777777" w:rsidR="003E1F36" w:rsidRPr="00EE75B4" w:rsidRDefault="003E1F36" w:rsidP="005427AE">
            <w:pPr>
              <w:spacing w:after="0" w:line="240" w:lineRule="auto"/>
              <w:jc w:val="center"/>
              <w:rPr>
                <w:rFonts w:ascii="Times New Roman" w:hAnsi="Times New Roman"/>
                <w:b/>
                <w:lang w:val="lt-LT"/>
              </w:rPr>
            </w:pPr>
            <w:r w:rsidRPr="00EE75B4">
              <w:rPr>
                <w:rFonts w:ascii="Times New Roman" w:hAnsi="Times New Roman"/>
                <w:b/>
                <w:lang w:val="lt-LT"/>
              </w:rPr>
              <w:t xml:space="preserve">≥ 12 metų </w:t>
            </w:r>
            <w:r w:rsidRPr="00EE75B4">
              <w:rPr>
                <w:rFonts w:ascii="Times New Roman" w:eastAsia="Times New Roman" w:hAnsi="Times New Roman"/>
                <w:b/>
                <w:lang w:val="lt-LT" w:eastAsia="ja-JP"/>
              </w:rPr>
              <w:t>– 16 metų</w:t>
            </w:r>
          </w:p>
          <w:p w14:paraId="077497ED" w14:textId="77777777" w:rsidR="003E1F36" w:rsidRPr="00EE75B4" w:rsidRDefault="003E1F36" w:rsidP="005427AE">
            <w:pPr>
              <w:spacing w:after="0" w:line="240" w:lineRule="auto"/>
              <w:jc w:val="center"/>
              <w:rPr>
                <w:rFonts w:ascii="Times New Roman" w:hAnsi="Times New Roman"/>
                <w:b/>
                <w:lang w:val="lt-LT"/>
              </w:rPr>
            </w:pPr>
            <w:r w:rsidRPr="00EE75B4">
              <w:rPr>
                <w:rFonts w:ascii="Times New Roman" w:hAnsi="Times New Roman"/>
                <w:b/>
                <w:lang w:val="lt-LT"/>
              </w:rPr>
              <w:t>(n = 25)</w:t>
            </w:r>
          </w:p>
        </w:tc>
      </w:tr>
      <w:tr w:rsidR="00581BF7" w:rsidRPr="00EE75B4" w14:paraId="770EAE0A" w14:textId="77777777" w:rsidTr="003E1F36">
        <w:tc>
          <w:tcPr>
            <w:tcW w:w="857" w:type="pct"/>
            <w:tcBorders>
              <w:right w:val="single" w:sz="4" w:space="0" w:color="auto"/>
            </w:tcBorders>
            <w:shd w:val="clear" w:color="auto" w:fill="auto"/>
          </w:tcPr>
          <w:p w14:paraId="388BFD75" w14:textId="77777777" w:rsidR="003E1F36" w:rsidRPr="00EE75B4" w:rsidRDefault="003E1F36" w:rsidP="005427AE">
            <w:pPr>
              <w:spacing w:after="0" w:line="240" w:lineRule="auto"/>
              <w:rPr>
                <w:rFonts w:ascii="Times New Roman" w:hAnsi="Times New Roman"/>
                <w:lang w:val="lt-LT"/>
              </w:rPr>
            </w:pPr>
            <w:r w:rsidRPr="00EE75B4">
              <w:rPr>
                <w:rFonts w:ascii="Times New Roman" w:hAnsi="Times New Roman"/>
                <w:lang w:val="lt-LT"/>
              </w:rPr>
              <w:t>AUC</w:t>
            </w:r>
            <w:r w:rsidRPr="00EE75B4">
              <w:rPr>
                <w:rFonts w:ascii="Times New Roman" w:hAnsi="Times New Roman"/>
                <w:vertAlign w:val="subscript"/>
                <w:lang w:val="lt-LT"/>
              </w:rPr>
              <w:t xml:space="preserve">0–24 h </w:t>
            </w:r>
            <w:r w:rsidRPr="00EE75B4">
              <w:rPr>
                <w:rFonts w:ascii="Times New Roman" w:hAnsi="Times New Roman"/>
                <w:lang w:val="lt-LT"/>
              </w:rPr>
              <w:t>(µ</w:t>
            </w:r>
            <w:proofErr w:type="spellStart"/>
            <w:r w:rsidRPr="00EE75B4">
              <w:rPr>
                <w:rFonts w:ascii="Times New Roman" w:hAnsi="Times New Roman"/>
                <w:lang w:val="lt-LT"/>
              </w:rPr>
              <w:t>g∙val</w:t>
            </w:r>
            <w:proofErr w:type="spellEnd"/>
            <w:r w:rsidRPr="00EE75B4">
              <w:rPr>
                <w:rFonts w:ascii="Times New Roman" w:hAnsi="Times New Roman"/>
                <w:lang w:val="lt-LT"/>
              </w:rPr>
              <w:t>./ml)</w:t>
            </w:r>
          </w:p>
        </w:tc>
        <w:tc>
          <w:tcPr>
            <w:tcW w:w="762" w:type="pct"/>
            <w:tcBorders>
              <w:left w:val="single" w:sz="4" w:space="0" w:color="auto"/>
              <w:right w:val="single" w:sz="4" w:space="0" w:color="auto"/>
            </w:tcBorders>
            <w:shd w:val="clear" w:color="auto" w:fill="auto"/>
          </w:tcPr>
          <w:p w14:paraId="6D874798" w14:textId="77777777" w:rsidR="003E1F36" w:rsidRPr="00EE75B4" w:rsidRDefault="003E1F36" w:rsidP="005427AE">
            <w:pPr>
              <w:spacing w:after="0" w:line="240" w:lineRule="auto"/>
              <w:jc w:val="center"/>
              <w:rPr>
                <w:rFonts w:ascii="Times New Roman" w:hAnsi="Times New Roman"/>
                <w:lang w:val="lt-LT"/>
              </w:rPr>
            </w:pPr>
            <w:r w:rsidRPr="00EE75B4">
              <w:rPr>
                <w:rFonts w:ascii="Times New Roman" w:hAnsi="Times New Roman"/>
                <w:lang w:val="lt-LT"/>
              </w:rPr>
              <w:t xml:space="preserve">46,3 </w:t>
            </w:r>
            <w:r w:rsidRPr="00EE75B4">
              <w:rPr>
                <w:rFonts w:ascii="Times New Roman" w:hAnsi="Times New Roman"/>
                <w:lang w:val="lt-LT"/>
              </w:rPr>
              <w:sym w:font="Symbol" w:char="F0B1"/>
            </w:r>
            <w:r w:rsidRPr="00EE75B4">
              <w:rPr>
                <w:rFonts w:ascii="Times New Roman" w:hAnsi="Times New Roman"/>
                <w:lang w:val="lt-LT"/>
              </w:rPr>
              <w:t> 15,2</w:t>
            </w:r>
          </w:p>
        </w:tc>
        <w:tc>
          <w:tcPr>
            <w:tcW w:w="717" w:type="pct"/>
            <w:tcBorders>
              <w:left w:val="single" w:sz="4" w:space="0" w:color="auto"/>
              <w:right w:val="single" w:sz="4" w:space="0" w:color="auto"/>
            </w:tcBorders>
          </w:tcPr>
          <w:p w14:paraId="79D2871B" w14:textId="77777777" w:rsidR="003E1F36" w:rsidRPr="00EE75B4" w:rsidRDefault="003E1F36" w:rsidP="005427AE">
            <w:pPr>
              <w:spacing w:after="0" w:line="240" w:lineRule="auto"/>
              <w:jc w:val="center"/>
              <w:rPr>
                <w:rFonts w:ascii="Times New Roman" w:hAnsi="Times New Roman"/>
                <w:lang w:val="lt-LT" w:eastAsia="lt-LT"/>
              </w:rPr>
            </w:pPr>
            <w:r w:rsidRPr="00EE75B4">
              <w:rPr>
                <w:rFonts w:ascii="Times New Roman" w:hAnsi="Times New Roman"/>
                <w:lang w:val="lt-LT" w:eastAsia="lt-LT"/>
              </w:rPr>
              <w:t xml:space="preserve">68,1 </w:t>
            </w:r>
            <w:r w:rsidRPr="00EE75B4">
              <w:rPr>
                <w:rFonts w:ascii="Times New Roman" w:hAnsi="Times New Roman"/>
                <w:iCs/>
                <w:spacing w:val="-3"/>
                <w:lang w:val="lt-LT"/>
              </w:rPr>
              <w:t>± 19,8</w:t>
            </w:r>
          </w:p>
        </w:tc>
        <w:tc>
          <w:tcPr>
            <w:tcW w:w="726" w:type="pct"/>
            <w:tcBorders>
              <w:left w:val="single" w:sz="4" w:space="0" w:color="auto"/>
              <w:right w:val="single" w:sz="4" w:space="0" w:color="auto"/>
            </w:tcBorders>
            <w:shd w:val="clear" w:color="auto" w:fill="auto"/>
          </w:tcPr>
          <w:p w14:paraId="1C95FE70" w14:textId="77777777" w:rsidR="003E1F36" w:rsidRPr="00EE75B4" w:rsidRDefault="003E1F36" w:rsidP="005427AE">
            <w:pPr>
              <w:spacing w:after="0" w:line="240" w:lineRule="auto"/>
              <w:jc w:val="center"/>
              <w:rPr>
                <w:rFonts w:ascii="Times New Roman" w:hAnsi="Times New Roman"/>
                <w:lang w:val="lt-LT"/>
              </w:rPr>
            </w:pPr>
            <w:r w:rsidRPr="00EE75B4">
              <w:rPr>
                <w:rFonts w:ascii="Times New Roman" w:hAnsi="Times New Roman"/>
                <w:lang w:val="lt-LT"/>
              </w:rPr>
              <w:t>64,3 ± 29,2</w:t>
            </w:r>
          </w:p>
        </w:tc>
        <w:tc>
          <w:tcPr>
            <w:tcW w:w="970" w:type="pct"/>
            <w:tcBorders>
              <w:left w:val="single" w:sz="4" w:space="0" w:color="auto"/>
              <w:right w:val="single" w:sz="4" w:space="0" w:color="auto"/>
            </w:tcBorders>
            <w:shd w:val="clear" w:color="auto" w:fill="auto"/>
          </w:tcPr>
          <w:p w14:paraId="414ECA41" w14:textId="77777777" w:rsidR="003E1F36" w:rsidRPr="00EE75B4" w:rsidRDefault="003E1F36" w:rsidP="005427AE">
            <w:pPr>
              <w:spacing w:after="0" w:line="240" w:lineRule="auto"/>
              <w:jc w:val="center"/>
              <w:rPr>
                <w:rFonts w:ascii="Times New Roman" w:hAnsi="Times New Roman"/>
                <w:lang w:val="lt-LT"/>
              </w:rPr>
            </w:pPr>
            <w:r w:rsidRPr="00EE75B4">
              <w:rPr>
                <w:rFonts w:ascii="Times New Roman" w:hAnsi="Times New Roman"/>
                <w:lang w:val="lt-LT"/>
              </w:rPr>
              <w:t>59,2 ± 15,1</w:t>
            </w:r>
          </w:p>
        </w:tc>
        <w:tc>
          <w:tcPr>
            <w:tcW w:w="968" w:type="pct"/>
            <w:tcBorders>
              <w:left w:val="single" w:sz="4" w:space="0" w:color="auto"/>
            </w:tcBorders>
            <w:shd w:val="clear" w:color="auto" w:fill="auto"/>
          </w:tcPr>
          <w:p w14:paraId="06B208F7" w14:textId="77777777" w:rsidR="003E1F36" w:rsidRPr="00EE75B4" w:rsidRDefault="003E1F36" w:rsidP="005427AE">
            <w:pPr>
              <w:spacing w:after="0" w:line="240" w:lineRule="auto"/>
              <w:jc w:val="center"/>
              <w:rPr>
                <w:rFonts w:ascii="Times New Roman" w:hAnsi="Times New Roman"/>
                <w:lang w:val="lt-LT"/>
              </w:rPr>
            </w:pPr>
            <w:r w:rsidRPr="00EE75B4">
              <w:rPr>
                <w:rFonts w:ascii="Times New Roman" w:hAnsi="Times New Roman"/>
                <w:lang w:val="lt-LT"/>
              </w:rPr>
              <w:t>50,3 ± 15,0</w:t>
            </w:r>
          </w:p>
        </w:tc>
      </w:tr>
      <w:tr w:rsidR="00581BF7" w:rsidRPr="00EE75B4" w14:paraId="46E4569A" w14:textId="77777777" w:rsidTr="003E1F36">
        <w:tc>
          <w:tcPr>
            <w:tcW w:w="857" w:type="pct"/>
            <w:tcBorders>
              <w:right w:val="single" w:sz="4" w:space="0" w:color="auto"/>
            </w:tcBorders>
            <w:shd w:val="clear" w:color="auto" w:fill="auto"/>
          </w:tcPr>
          <w:p w14:paraId="0937AC53" w14:textId="77777777" w:rsidR="003E1F36" w:rsidRPr="00EE75B4" w:rsidRDefault="003E1F36" w:rsidP="005427AE">
            <w:pPr>
              <w:spacing w:after="0" w:line="240" w:lineRule="auto"/>
              <w:rPr>
                <w:rFonts w:ascii="Times New Roman" w:hAnsi="Times New Roman"/>
                <w:lang w:val="lt-LT" w:eastAsia="lt-LT"/>
              </w:rPr>
            </w:pPr>
            <w:r w:rsidRPr="00EE75B4">
              <w:rPr>
                <w:rFonts w:ascii="Times New Roman" w:hAnsi="Times New Roman"/>
                <w:iCs/>
                <w:spacing w:val="-3"/>
                <w:lang w:val="lt-LT"/>
              </w:rPr>
              <w:t>AUC</w:t>
            </w:r>
            <w:r w:rsidRPr="00EE75B4">
              <w:rPr>
                <w:rFonts w:ascii="Times New Roman" w:hAnsi="Times New Roman"/>
                <w:iCs/>
                <w:spacing w:val="-3"/>
                <w:vertAlign w:val="subscript"/>
                <w:lang w:val="lt-LT"/>
              </w:rPr>
              <w:t xml:space="preserve">0-24h </w:t>
            </w:r>
            <w:r w:rsidR="008D1D62" w:rsidRPr="00EE75B4">
              <w:rPr>
                <w:rFonts w:ascii="Times New Roman" w:hAnsi="Times New Roman"/>
                <w:iCs/>
                <w:spacing w:val="-3"/>
                <w:vertAlign w:val="subscript"/>
                <w:lang w:val="lt-LT"/>
              </w:rPr>
              <w:t xml:space="preserve"> </w:t>
            </w:r>
            <w:r w:rsidR="008D1D62" w:rsidRPr="00EE75B4">
              <w:rPr>
                <w:rFonts w:ascii="Times New Roman" w:hAnsi="Times New Roman"/>
                <w:lang w:val="lt-LT" w:eastAsia="lt-LT"/>
              </w:rPr>
              <w:t>intervalas</w:t>
            </w:r>
            <w:r w:rsidR="008D1D62" w:rsidRPr="00EE75B4">
              <w:rPr>
                <w:rFonts w:ascii="Times New Roman" w:hAnsi="Times New Roman"/>
                <w:iCs/>
                <w:spacing w:val="-3"/>
                <w:vertAlign w:val="subscript"/>
                <w:lang w:val="lt-LT"/>
              </w:rPr>
              <w:t xml:space="preserve"> </w:t>
            </w:r>
            <w:r w:rsidRPr="00EE75B4">
              <w:rPr>
                <w:rFonts w:ascii="Times New Roman" w:hAnsi="Times New Roman"/>
                <w:iCs/>
                <w:spacing w:val="-3"/>
                <w:lang w:val="lt-LT"/>
              </w:rPr>
              <w:t>(</w:t>
            </w:r>
            <w:proofErr w:type="spellStart"/>
            <w:r w:rsidRPr="00EE75B4">
              <w:rPr>
                <w:rFonts w:ascii="Times New Roman" w:hAnsi="Times New Roman"/>
                <w:iCs/>
                <w:spacing w:val="-3"/>
                <w:lang w:val="lt-LT"/>
              </w:rPr>
              <w:t>μg·h</w:t>
            </w:r>
            <w:proofErr w:type="spellEnd"/>
            <w:r w:rsidRPr="00EE75B4">
              <w:rPr>
                <w:rFonts w:ascii="Times New Roman" w:hAnsi="Times New Roman"/>
                <w:iCs/>
                <w:spacing w:val="-3"/>
                <w:lang w:val="lt-LT"/>
              </w:rPr>
              <w:t>/ml)</w:t>
            </w:r>
          </w:p>
        </w:tc>
        <w:tc>
          <w:tcPr>
            <w:tcW w:w="762" w:type="pct"/>
            <w:tcBorders>
              <w:left w:val="single" w:sz="4" w:space="0" w:color="auto"/>
              <w:right w:val="single" w:sz="4" w:space="0" w:color="auto"/>
            </w:tcBorders>
            <w:shd w:val="clear" w:color="auto" w:fill="auto"/>
          </w:tcPr>
          <w:p w14:paraId="37DA94D7" w14:textId="77777777" w:rsidR="003E1F36" w:rsidRPr="00EE75B4" w:rsidRDefault="008D1D62" w:rsidP="005427AE">
            <w:pPr>
              <w:spacing w:after="0" w:line="240" w:lineRule="auto"/>
              <w:jc w:val="center"/>
              <w:rPr>
                <w:rFonts w:ascii="Times New Roman" w:hAnsi="Times New Roman"/>
                <w:lang w:val="lt-LT" w:eastAsia="lt-LT"/>
              </w:rPr>
            </w:pPr>
            <w:r w:rsidRPr="00EE75B4">
              <w:rPr>
                <w:rFonts w:ascii="Times New Roman" w:hAnsi="Times New Roman"/>
                <w:lang w:val="lt-LT" w:eastAsia="lt-LT"/>
              </w:rPr>
              <w:t>15,4 – 116,1</w:t>
            </w:r>
          </w:p>
        </w:tc>
        <w:tc>
          <w:tcPr>
            <w:tcW w:w="717" w:type="pct"/>
            <w:tcBorders>
              <w:left w:val="single" w:sz="4" w:space="0" w:color="auto"/>
              <w:right w:val="single" w:sz="4" w:space="0" w:color="auto"/>
            </w:tcBorders>
          </w:tcPr>
          <w:p w14:paraId="578CC7C8" w14:textId="77777777" w:rsidR="003E1F36" w:rsidRPr="00EE75B4" w:rsidRDefault="008D1D62" w:rsidP="005427AE">
            <w:pPr>
              <w:spacing w:after="0" w:line="240" w:lineRule="auto"/>
              <w:jc w:val="center"/>
              <w:rPr>
                <w:rFonts w:ascii="Times New Roman" w:hAnsi="Times New Roman"/>
                <w:lang w:val="lt-LT" w:eastAsia="lt-LT"/>
              </w:rPr>
            </w:pPr>
            <w:r w:rsidRPr="00EE75B4">
              <w:rPr>
                <w:rFonts w:ascii="Times New Roman" w:hAnsi="Times New Roman"/>
                <w:lang w:val="lt-LT" w:eastAsia="lt-LT"/>
              </w:rPr>
              <w:t>34 – 124</w:t>
            </w:r>
          </w:p>
        </w:tc>
        <w:tc>
          <w:tcPr>
            <w:tcW w:w="726" w:type="pct"/>
            <w:tcBorders>
              <w:left w:val="single" w:sz="4" w:space="0" w:color="auto"/>
              <w:right w:val="single" w:sz="4" w:space="0" w:color="auto"/>
            </w:tcBorders>
            <w:shd w:val="clear" w:color="auto" w:fill="auto"/>
          </w:tcPr>
          <w:p w14:paraId="4ED92F07" w14:textId="77777777" w:rsidR="003E1F36" w:rsidRPr="00EE75B4" w:rsidRDefault="008D1D62" w:rsidP="008D1D62">
            <w:pPr>
              <w:spacing w:after="0" w:line="240" w:lineRule="auto"/>
              <w:jc w:val="center"/>
              <w:rPr>
                <w:rFonts w:ascii="Times New Roman" w:hAnsi="Times New Roman"/>
                <w:lang w:val="lt-LT" w:eastAsia="lt-LT"/>
              </w:rPr>
            </w:pPr>
            <w:r w:rsidRPr="00EE75B4">
              <w:rPr>
                <w:rFonts w:ascii="Times New Roman" w:hAnsi="Times New Roman"/>
                <w:lang w:val="lt-LT" w:eastAsia="lt-LT"/>
              </w:rPr>
              <w:t>34 – 152</w:t>
            </w:r>
          </w:p>
        </w:tc>
        <w:tc>
          <w:tcPr>
            <w:tcW w:w="970" w:type="pct"/>
            <w:tcBorders>
              <w:left w:val="single" w:sz="4" w:space="0" w:color="auto"/>
              <w:right w:val="single" w:sz="4" w:space="0" w:color="auto"/>
            </w:tcBorders>
            <w:shd w:val="clear" w:color="auto" w:fill="auto"/>
          </w:tcPr>
          <w:p w14:paraId="7CEE048B" w14:textId="77777777" w:rsidR="003E1F36" w:rsidRPr="00EE75B4" w:rsidRDefault="008D1D62" w:rsidP="008D1D62">
            <w:pPr>
              <w:spacing w:after="0" w:line="240" w:lineRule="auto"/>
              <w:jc w:val="center"/>
              <w:rPr>
                <w:rFonts w:ascii="Times New Roman" w:hAnsi="Times New Roman"/>
                <w:lang w:val="lt-LT" w:eastAsia="lt-LT"/>
              </w:rPr>
            </w:pPr>
            <w:r w:rsidRPr="00EE75B4">
              <w:rPr>
                <w:rFonts w:ascii="Times New Roman" w:hAnsi="Times New Roman"/>
                <w:lang w:val="lt-LT" w:eastAsia="lt-LT"/>
              </w:rPr>
              <w:t>36 – 108</w:t>
            </w:r>
          </w:p>
        </w:tc>
        <w:tc>
          <w:tcPr>
            <w:tcW w:w="968" w:type="pct"/>
            <w:tcBorders>
              <w:left w:val="single" w:sz="4" w:space="0" w:color="auto"/>
            </w:tcBorders>
            <w:shd w:val="clear" w:color="auto" w:fill="auto"/>
          </w:tcPr>
          <w:p w14:paraId="52314301" w14:textId="77777777" w:rsidR="003E1F36" w:rsidRPr="00EE75B4" w:rsidRDefault="008D1D62" w:rsidP="005427AE">
            <w:pPr>
              <w:spacing w:after="0" w:line="240" w:lineRule="auto"/>
              <w:jc w:val="center"/>
              <w:rPr>
                <w:rFonts w:ascii="Times New Roman" w:hAnsi="Times New Roman"/>
                <w:lang w:val="lt-LT" w:eastAsia="lt-LT"/>
              </w:rPr>
            </w:pPr>
            <w:r w:rsidRPr="00EE75B4">
              <w:rPr>
                <w:rFonts w:ascii="Times New Roman" w:hAnsi="Times New Roman"/>
                <w:lang w:val="lt-LT" w:eastAsia="lt-LT"/>
              </w:rPr>
              <w:t>22 – 93</w:t>
            </w:r>
          </w:p>
        </w:tc>
      </w:tr>
      <w:tr w:rsidR="00581BF7" w:rsidRPr="00EE75B4" w14:paraId="3716F94A" w14:textId="77777777" w:rsidTr="003E1F36">
        <w:tc>
          <w:tcPr>
            <w:tcW w:w="857" w:type="pct"/>
            <w:tcBorders>
              <w:right w:val="single" w:sz="4" w:space="0" w:color="auto"/>
            </w:tcBorders>
            <w:shd w:val="clear" w:color="auto" w:fill="auto"/>
          </w:tcPr>
          <w:p w14:paraId="40DB3899" w14:textId="77777777" w:rsidR="003E1F36" w:rsidRPr="00EE75B4" w:rsidRDefault="003E1F36" w:rsidP="005427AE">
            <w:pPr>
              <w:spacing w:after="0" w:line="240" w:lineRule="auto"/>
              <w:rPr>
                <w:rFonts w:ascii="Times New Roman" w:hAnsi="Times New Roman"/>
                <w:lang w:val="lt-LT"/>
              </w:rPr>
            </w:pPr>
            <w:proofErr w:type="spellStart"/>
            <w:r w:rsidRPr="00EE75B4">
              <w:rPr>
                <w:rFonts w:ascii="Times New Roman" w:hAnsi="Times New Roman"/>
                <w:lang w:val="lt-LT"/>
              </w:rPr>
              <w:t>C</w:t>
            </w:r>
            <w:r w:rsidRPr="00EE75B4">
              <w:rPr>
                <w:rFonts w:ascii="Times New Roman" w:hAnsi="Times New Roman"/>
                <w:vertAlign w:val="subscript"/>
                <w:lang w:val="lt-LT"/>
              </w:rPr>
              <w:t>max</w:t>
            </w:r>
            <w:proofErr w:type="spellEnd"/>
            <w:r w:rsidRPr="00EE75B4">
              <w:rPr>
                <w:rFonts w:ascii="Times New Roman" w:hAnsi="Times New Roman"/>
                <w:lang w:val="lt-LT"/>
              </w:rPr>
              <w:t xml:space="preserve"> (µg /ml)</w:t>
            </w:r>
          </w:p>
        </w:tc>
        <w:tc>
          <w:tcPr>
            <w:tcW w:w="762" w:type="pct"/>
            <w:tcBorders>
              <w:left w:val="single" w:sz="4" w:space="0" w:color="auto"/>
              <w:right w:val="single" w:sz="4" w:space="0" w:color="auto"/>
            </w:tcBorders>
            <w:shd w:val="clear" w:color="auto" w:fill="auto"/>
          </w:tcPr>
          <w:p w14:paraId="35171994" w14:textId="77777777" w:rsidR="003E1F36" w:rsidRPr="00EE75B4" w:rsidRDefault="003E1F36" w:rsidP="005427AE">
            <w:pPr>
              <w:spacing w:after="0" w:line="240" w:lineRule="auto"/>
              <w:jc w:val="center"/>
              <w:rPr>
                <w:rFonts w:ascii="Times New Roman" w:hAnsi="Times New Roman"/>
                <w:lang w:val="lt-LT"/>
              </w:rPr>
            </w:pPr>
            <w:r w:rsidRPr="00EE75B4">
              <w:rPr>
                <w:rFonts w:ascii="Times New Roman" w:hAnsi="Times New Roman"/>
                <w:lang w:val="lt-LT"/>
              </w:rPr>
              <w:t xml:space="preserve">5,3 </w:t>
            </w:r>
            <w:r w:rsidRPr="00EE75B4">
              <w:rPr>
                <w:rFonts w:ascii="Times New Roman" w:hAnsi="Times New Roman"/>
                <w:lang w:val="lt-LT"/>
              </w:rPr>
              <w:sym w:font="Symbol" w:char="F0B1"/>
            </w:r>
            <w:r w:rsidRPr="00EE75B4">
              <w:rPr>
                <w:rFonts w:ascii="Times New Roman" w:hAnsi="Times New Roman"/>
                <w:lang w:val="lt-LT"/>
              </w:rPr>
              <w:t> 1,5</w:t>
            </w:r>
          </w:p>
        </w:tc>
        <w:tc>
          <w:tcPr>
            <w:tcW w:w="717" w:type="pct"/>
            <w:tcBorders>
              <w:left w:val="single" w:sz="4" w:space="0" w:color="auto"/>
              <w:right w:val="single" w:sz="4" w:space="0" w:color="auto"/>
            </w:tcBorders>
          </w:tcPr>
          <w:p w14:paraId="523D0DFE" w14:textId="77777777" w:rsidR="003E1F36" w:rsidRPr="00EE75B4" w:rsidRDefault="008D1D62" w:rsidP="005427AE">
            <w:pPr>
              <w:spacing w:after="0" w:line="240" w:lineRule="auto"/>
              <w:jc w:val="center"/>
              <w:rPr>
                <w:rFonts w:ascii="Times New Roman" w:hAnsi="Times New Roman"/>
                <w:lang w:val="lt-LT" w:eastAsia="lt-LT"/>
              </w:rPr>
            </w:pPr>
            <w:r w:rsidRPr="00EE75B4">
              <w:rPr>
                <w:rFonts w:ascii="Times New Roman" w:hAnsi="Times New Roman"/>
                <w:iCs/>
                <w:spacing w:val="-3"/>
                <w:lang w:val="lt-LT"/>
              </w:rPr>
              <w:t>10,5 ± 3,36</w:t>
            </w:r>
          </w:p>
        </w:tc>
        <w:tc>
          <w:tcPr>
            <w:tcW w:w="726" w:type="pct"/>
            <w:tcBorders>
              <w:left w:val="single" w:sz="4" w:space="0" w:color="auto"/>
              <w:right w:val="single" w:sz="4" w:space="0" w:color="auto"/>
            </w:tcBorders>
            <w:shd w:val="clear" w:color="auto" w:fill="auto"/>
          </w:tcPr>
          <w:p w14:paraId="0B4EB134" w14:textId="77777777" w:rsidR="003E1F36" w:rsidRPr="00EE75B4" w:rsidRDefault="003E1F36" w:rsidP="005427AE">
            <w:pPr>
              <w:spacing w:after="0" w:line="240" w:lineRule="auto"/>
              <w:jc w:val="center"/>
              <w:rPr>
                <w:rFonts w:ascii="Times New Roman" w:hAnsi="Times New Roman"/>
                <w:lang w:val="lt-LT"/>
              </w:rPr>
            </w:pPr>
            <w:r w:rsidRPr="00EE75B4">
              <w:rPr>
                <w:rFonts w:ascii="Times New Roman" w:hAnsi="Times New Roman"/>
                <w:lang w:val="lt-LT"/>
              </w:rPr>
              <w:t>10,3 ± 3,3</w:t>
            </w:r>
          </w:p>
        </w:tc>
        <w:tc>
          <w:tcPr>
            <w:tcW w:w="970" w:type="pct"/>
            <w:tcBorders>
              <w:left w:val="single" w:sz="4" w:space="0" w:color="auto"/>
              <w:right w:val="single" w:sz="4" w:space="0" w:color="auto"/>
            </w:tcBorders>
            <w:shd w:val="clear" w:color="auto" w:fill="auto"/>
          </w:tcPr>
          <w:p w14:paraId="64F0C8E4" w14:textId="77777777" w:rsidR="003E1F36" w:rsidRPr="00EE75B4" w:rsidRDefault="003E1F36" w:rsidP="005427AE">
            <w:pPr>
              <w:spacing w:after="0" w:line="240" w:lineRule="auto"/>
              <w:jc w:val="center"/>
              <w:rPr>
                <w:rFonts w:ascii="Times New Roman" w:hAnsi="Times New Roman"/>
                <w:lang w:val="lt-LT"/>
              </w:rPr>
            </w:pPr>
            <w:r w:rsidRPr="00EE75B4">
              <w:rPr>
                <w:rFonts w:ascii="Times New Roman" w:hAnsi="Times New Roman"/>
                <w:lang w:val="lt-LT"/>
              </w:rPr>
              <w:t>9,4 ± 2,7</w:t>
            </w:r>
          </w:p>
        </w:tc>
        <w:tc>
          <w:tcPr>
            <w:tcW w:w="968" w:type="pct"/>
            <w:tcBorders>
              <w:left w:val="single" w:sz="4" w:space="0" w:color="auto"/>
            </w:tcBorders>
            <w:shd w:val="clear" w:color="auto" w:fill="auto"/>
          </w:tcPr>
          <w:p w14:paraId="0457CB18" w14:textId="77777777" w:rsidR="003E1F36" w:rsidRPr="00EE75B4" w:rsidRDefault="003E1F36" w:rsidP="005427AE">
            <w:pPr>
              <w:spacing w:after="0" w:line="240" w:lineRule="auto"/>
              <w:jc w:val="center"/>
              <w:rPr>
                <w:rFonts w:ascii="Times New Roman" w:hAnsi="Times New Roman"/>
                <w:lang w:val="lt-LT"/>
              </w:rPr>
            </w:pPr>
            <w:r w:rsidRPr="00EE75B4">
              <w:rPr>
                <w:rFonts w:ascii="Times New Roman" w:hAnsi="Times New Roman"/>
                <w:lang w:val="lt-LT"/>
              </w:rPr>
              <w:t>8,0 ± 2,4</w:t>
            </w:r>
          </w:p>
        </w:tc>
      </w:tr>
      <w:tr w:rsidR="00581BF7" w:rsidRPr="00EE75B4" w14:paraId="05F26618" w14:textId="77777777" w:rsidTr="003E1F36">
        <w:tc>
          <w:tcPr>
            <w:tcW w:w="857" w:type="pct"/>
            <w:tcBorders>
              <w:right w:val="single" w:sz="4" w:space="0" w:color="auto"/>
            </w:tcBorders>
            <w:shd w:val="clear" w:color="auto" w:fill="auto"/>
          </w:tcPr>
          <w:p w14:paraId="07664DC0" w14:textId="77777777" w:rsidR="003E1F36" w:rsidRPr="00EE75B4" w:rsidRDefault="003E1F36" w:rsidP="005427AE">
            <w:pPr>
              <w:spacing w:after="0" w:line="240" w:lineRule="auto"/>
              <w:rPr>
                <w:rFonts w:ascii="Times New Roman" w:hAnsi="Times New Roman"/>
                <w:lang w:val="lt-LT"/>
              </w:rPr>
            </w:pPr>
            <w:r w:rsidRPr="00EE75B4">
              <w:rPr>
                <w:rFonts w:ascii="Times New Roman" w:hAnsi="Times New Roman"/>
                <w:lang w:val="lt-LT"/>
              </w:rPr>
              <w:t>Klirensas (l/</w:t>
            </w:r>
            <w:proofErr w:type="spellStart"/>
            <w:r w:rsidRPr="00EE75B4">
              <w:rPr>
                <w:rFonts w:ascii="Times New Roman" w:hAnsi="Times New Roman"/>
                <w:lang w:val="lt-LT"/>
              </w:rPr>
              <w:t>val</w:t>
            </w:r>
            <w:proofErr w:type="spellEnd"/>
            <w:r w:rsidRPr="00EE75B4">
              <w:rPr>
                <w:rFonts w:ascii="Times New Roman" w:hAnsi="Times New Roman"/>
                <w:lang w:val="lt-LT"/>
              </w:rPr>
              <w:t>)</w:t>
            </w:r>
          </w:p>
        </w:tc>
        <w:tc>
          <w:tcPr>
            <w:tcW w:w="762" w:type="pct"/>
            <w:tcBorders>
              <w:left w:val="single" w:sz="4" w:space="0" w:color="auto"/>
              <w:right w:val="single" w:sz="4" w:space="0" w:color="auto"/>
            </w:tcBorders>
            <w:shd w:val="clear" w:color="auto" w:fill="auto"/>
          </w:tcPr>
          <w:p w14:paraId="7AC16543" w14:textId="77777777" w:rsidR="003E1F36" w:rsidRPr="00EE75B4" w:rsidRDefault="003E1F36" w:rsidP="005427AE">
            <w:pPr>
              <w:spacing w:after="0" w:line="240" w:lineRule="auto"/>
              <w:jc w:val="center"/>
              <w:rPr>
                <w:rFonts w:ascii="Times New Roman" w:hAnsi="Times New Roman"/>
                <w:lang w:val="lt-LT"/>
              </w:rPr>
            </w:pPr>
            <w:r w:rsidRPr="00EE75B4">
              <w:rPr>
                <w:rFonts w:ascii="Times New Roman" w:hAnsi="Times New Roman"/>
                <w:lang w:val="lt-LT"/>
              </w:rPr>
              <w:t>12,7 ± 4,5</w:t>
            </w:r>
          </w:p>
        </w:tc>
        <w:tc>
          <w:tcPr>
            <w:tcW w:w="717" w:type="pct"/>
            <w:tcBorders>
              <w:left w:val="single" w:sz="4" w:space="0" w:color="auto"/>
              <w:right w:val="single" w:sz="4" w:space="0" w:color="auto"/>
            </w:tcBorders>
          </w:tcPr>
          <w:p w14:paraId="6856A31D" w14:textId="77777777" w:rsidR="003E1F36" w:rsidRPr="00EE75B4" w:rsidRDefault="008D1D62" w:rsidP="005427AE">
            <w:pPr>
              <w:spacing w:after="0" w:line="240" w:lineRule="auto"/>
              <w:jc w:val="center"/>
              <w:rPr>
                <w:rFonts w:ascii="Times New Roman" w:hAnsi="Times New Roman"/>
                <w:lang w:val="lt-LT" w:eastAsia="lt-LT"/>
              </w:rPr>
            </w:pPr>
            <w:r w:rsidRPr="00EE75B4">
              <w:rPr>
                <w:rFonts w:ascii="Times New Roman" w:hAnsi="Times New Roman"/>
                <w:iCs/>
                <w:spacing w:val="-3"/>
                <w:lang w:val="lt-LT"/>
              </w:rPr>
              <w:t>1,25 ± 0,473</w:t>
            </w:r>
          </w:p>
        </w:tc>
        <w:tc>
          <w:tcPr>
            <w:tcW w:w="726" w:type="pct"/>
            <w:tcBorders>
              <w:left w:val="single" w:sz="4" w:space="0" w:color="auto"/>
              <w:right w:val="single" w:sz="4" w:space="0" w:color="auto"/>
            </w:tcBorders>
            <w:shd w:val="clear" w:color="auto" w:fill="auto"/>
          </w:tcPr>
          <w:p w14:paraId="5EBC7F67" w14:textId="77777777" w:rsidR="003E1F36" w:rsidRPr="00EE75B4" w:rsidRDefault="003E1F36" w:rsidP="005427AE">
            <w:pPr>
              <w:spacing w:after="0" w:line="240" w:lineRule="auto"/>
              <w:jc w:val="center"/>
              <w:rPr>
                <w:rFonts w:ascii="Times New Roman" w:hAnsi="Times New Roman"/>
                <w:lang w:val="lt-LT"/>
              </w:rPr>
            </w:pPr>
            <w:r w:rsidRPr="00EE75B4">
              <w:rPr>
                <w:rFonts w:ascii="Times New Roman" w:hAnsi="Times New Roman"/>
                <w:lang w:val="lt-LT"/>
              </w:rPr>
              <w:t>2,5 ± 2,4</w:t>
            </w:r>
          </w:p>
        </w:tc>
        <w:tc>
          <w:tcPr>
            <w:tcW w:w="970" w:type="pct"/>
            <w:tcBorders>
              <w:left w:val="single" w:sz="4" w:space="0" w:color="auto"/>
              <w:right w:val="single" w:sz="4" w:space="0" w:color="auto"/>
            </w:tcBorders>
            <w:shd w:val="clear" w:color="auto" w:fill="auto"/>
          </w:tcPr>
          <w:p w14:paraId="00707387" w14:textId="77777777" w:rsidR="003E1F36" w:rsidRPr="00EE75B4" w:rsidRDefault="003E1F36" w:rsidP="005427AE">
            <w:pPr>
              <w:spacing w:after="0" w:line="240" w:lineRule="auto"/>
              <w:jc w:val="center"/>
              <w:rPr>
                <w:rFonts w:ascii="Times New Roman" w:hAnsi="Times New Roman"/>
                <w:lang w:val="lt-LT"/>
              </w:rPr>
            </w:pPr>
            <w:r w:rsidRPr="00EE75B4">
              <w:rPr>
                <w:rFonts w:ascii="Times New Roman" w:hAnsi="Times New Roman"/>
                <w:lang w:val="lt-LT"/>
              </w:rPr>
              <w:t>4,5 ± 2,9</w:t>
            </w:r>
          </w:p>
        </w:tc>
        <w:tc>
          <w:tcPr>
            <w:tcW w:w="968" w:type="pct"/>
            <w:tcBorders>
              <w:left w:val="single" w:sz="4" w:space="0" w:color="auto"/>
            </w:tcBorders>
            <w:shd w:val="clear" w:color="auto" w:fill="auto"/>
          </w:tcPr>
          <w:p w14:paraId="750CC51A" w14:textId="77777777" w:rsidR="003E1F36" w:rsidRPr="00EE75B4" w:rsidRDefault="003E1F36" w:rsidP="005427AE">
            <w:pPr>
              <w:spacing w:after="0" w:line="240" w:lineRule="auto"/>
              <w:jc w:val="center"/>
              <w:rPr>
                <w:rFonts w:ascii="Times New Roman" w:hAnsi="Times New Roman"/>
                <w:lang w:val="lt-LT"/>
              </w:rPr>
            </w:pPr>
            <w:r w:rsidRPr="00EE75B4">
              <w:rPr>
                <w:rFonts w:ascii="Times New Roman" w:hAnsi="Times New Roman"/>
                <w:lang w:val="lt-LT"/>
              </w:rPr>
              <w:t>6,4 ± 2,9</w:t>
            </w:r>
          </w:p>
        </w:tc>
      </w:tr>
      <w:tr w:rsidR="00581BF7" w:rsidRPr="00EE75B4" w14:paraId="506472CE" w14:textId="77777777" w:rsidTr="003E1F36">
        <w:tc>
          <w:tcPr>
            <w:tcW w:w="857" w:type="pct"/>
            <w:tcBorders>
              <w:right w:val="single" w:sz="4" w:space="0" w:color="auto"/>
            </w:tcBorders>
            <w:shd w:val="clear" w:color="auto" w:fill="auto"/>
          </w:tcPr>
          <w:p w14:paraId="3F435819" w14:textId="77777777" w:rsidR="003E1F36" w:rsidRPr="00EE75B4" w:rsidRDefault="003E1F36" w:rsidP="005427AE">
            <w:pPr>
              <w:spacing w:after="0" w:line="240" w:lineRule="auto"/>
              <w:rPr>
                <w:rFonts w:ascii="Times New Roman" w:hAnsi="Times New Roman"/>
                <w:lang w:val="lt-LT"/>
              </w:rPr>
            </w:pPr>
            <w:r w:rsidRPr="00EE75B4">
              <w:rPr>
                <w:rFonts w:ascii="Times New Roman" w:hAnsi="Times New Roman"/>
                <w:lang w:val="lt-LT"/>
              </w:rPr>
              <w:t>t</w:t>
            </w:r>
            <w:r w:rsidRPr="00EE75B4">
              <w:rPr>
                <w:rFonts w:ascii="Times New Roman" w:hAnsi="Times New Roman"/>
                <w:vertAlign w:val="subscript"/>
                <w:lang w:val="lt-LT"/>
              </w:rPr>
              <w:t>½</w:t>
            </w:r>
            <w:r w:rsidRPr="00EE75B4">
              <w:rPr>
                <w:rFonts w:ascii="Times New Roman" w:hAnsi="Times New Roman"/>
                <w:lang w:val="lt-LT"/>
              </w:rPr>
              <w:t xml:space="preserve"> (val.)</w:t>
            </w:r>
          </w:p>
        </w:tc>
        <w:tc>
          <w:tcPr>
            <w:tcW w:w="762" w:type="pct"/>
            <w:tcBorders>
              <w:left w:val="single" w:sz="4" w:space="0" w:color="auto"/>
              <w:right w:val="single" w:sz="4" w:space="0" w:color="auto"/>
            </w:tcBorders>
            <w:shd w:val="clear" w:color="auto" w:fill="auto"/>
          </w:tcPr>
          <w:p w14:paraId="15978576" w14:textId="77777777" w:rsidR="003E1F36" w:rsidRPr="00EE75B4" w:rsidRDefault="003E1F36" w:rsidP="005427AE">
            <w:pPr>
              <w:spacing w:after="0" w:line="240" w:lineRule="auto"/>
              <w:jc w:val="center"/>
              <w:rPr>
                <w:rFonts w:ascii="Times New Roman" w:hAnsi="Times New Roman"/>
                <w:lang w:val="lt-LT"/>
              </w:rPr>
            </w:pPr>
            <w:r w:rsidRPr="00EE75B4">
              <w:rPr>
                <w:rFonts w:ascii="Times New Roman" w:hAnsi="Times New Roman"/>
                <w:lang w:val="lt-LT"/>
              </w:rPr>
              <w:t>6,5 ± 1,4</w:t>
            </w:r>
          </w:p>
        </w:tc>
        <w:tc>
          <w:tcPr>
            <w:tcW w:w="717" w:type="pct"/>
            <w:tcBorders>
              <w:left w:val="single" w:sz="4" w:space="0" w:color="auto"/>
              <w:right w:val="single" w:sz="4" w:space="0" w:color="auto"/>
            </w:tcBorders>
          </w:tcPr>
          <w:p w14:paraId="70E7B331" w14:textId="77777777" w:rsidR="003E1F36" w:rsidRPr="00EE75B4" w:rsidRDefault="008D1D62" w:rsidP="008D1D62">
            <w:pPr>
              <w:spacing w:after="0" w:line="240" w:lineRule="auto"/>
              <w:jc w:val="center"/>
              <w:rPr>
                <w:rFonts w:ascii="Times New Roman" w:hAnsi="Times New Roman"/>
                <w:lang w:val="lt-LT" w:eastAsia="lt-LT"/>
              </w:rPr>
            </w:pPr>
            <w:r w:rsidRPr="00EE75B4">
              <w:rPr>
                <w:rFonts w:ascii="Times New Roman" w:hAnsi="Times New Roman"/>
                <w:iCs/>
                <w:spacing w:val="-3"/>
                <w:lang w:val="lt-LT"/>
              </w:rPr>
              <w:t>1,97 ± 0,185</w:t>
            </w:r>
          </w:p>
        </w:tc>
        <w:tc>
          <w:tcPr>
            <w:tcW w:w="726" w:type="pct"/>
            <w:tcBorders>
              <w:left w:val="single" w:sz="4" w:space="0" w:color="auto"/>
              <w:right w:val="single" w:sz="4" w:space="0" w:color="auto"/>
            </w:tcBorders>
            <w:shd w:val="clear" w:color="auto" w:fill="auto"/>
          </w:tcPr>
          <w:p w14:paraId="03D248E7" w14:textId="77777777" w:rsidR="003E1F36" w:rsidRPr="00EE75B4" w:rsidRDefault="003E1F36" w:rsidP="005427AE">
            <w:pPr>
              <w:spacing w:after="0" w:line="240" w:lineRule="auto"/>
              <w:jc w:val="center"/>
              <w:rPr>
                <w:rFonts w:ascii="Times New Roman" w:hAnsi="Times New Roman"/>
                <w:lang w:val="lt-LT"/>
              </w:rPr>
            </w:pPr>
            <w:r w:rsidRPr="00EE75B4">
              <w:rPr>
                <w:rFonts w:ascii="Times New Roman" w:hAnsi="Times New Roman"/>
                <w:lang w:val="lt-LT"/>
              </w:rPr>
              <w:t>3,1 ±1,4</w:t>
            </w:r>
          </w:p>
        </w:tc>
        <w:tc>
          <w:tcPr>
            <w:tcW w:w="970" w:type="pct"/>
            <w:tcBorders>
              <w:left w:val="single" w:sz="4" w:space="0" w:color="auto"/>
              <w:right w:val="single" w:sz="4" w:space="0" w:color="auto"/>
            </w:tcBorders>
            <w:shd w:val="clear" w:color="auto" w:fill="auto"/>
          </w:tcPr>
          <w:p w14:paraId="35438130" w14:textId="77777777" w:rsidR="003E1F36" w:rsidRPr="00EE75B4" w:rsidRDefault="003E1F36" w:rsidP="005427AE">
            <w:pPr>
              <w:spacing w:after="0" w:line="240" w:lineRule="auto"/>
              <w:jc w:val="center"/>
              <w:rPr>
                <w:rFonts w:ascii="Times New Roman" w:hAnsi="Times New Roman"/>
                <w:lang w:val="lt-LT"/>
              </w:rPr>
            </w:pPr>
            <w:r w:rsidRPr="00EE75B4">
              <w:rPr>
                <w:rFonts w:ascii="Times New Roman" w:hAnsi="Times New Roman"/>
                <w:lang w:val="lt-LT"/>
              </w:rPr>
              <w:t>4,1 ± 1,3</w:t>
            </w:r>
          </w:p>
        </w:tc>
        <w:tc>
          <w:tcPr>
            <w:tcW w:w="968" w:type="pct"/>
            <w:tcBorders>
              <w:left w:val="single" w:sz="4" w:space="0" w:color="auto"/>
            </w:tcBorders>
            <w:shd w:val="clear" w:color="auto" w:fill="auto"/>
          </w:tcPr>
          <w:p w14:paraId="79BFDBE9" w14:textId="77777777" w:rsidR="003E1F36" w:rsidRPr="00EE75B4" w:rsidRDefault="003E1F36" w:rsidP="005427AE">
            <w:pPr>
              <w:spacing w:after="0" w:line="240" w:lineRule="auto"/>
              <w:jc w:val="center"/>
              <w:rPr>
                <w:rFonts w:ascii="Times New Roman" w:hAnsi="Times New Roman"/>
                <w:lang w:val="lt-LT"/>
              </w:rPr>
            </w:pPr>
            <w:r w:rsidRPr="00EE75B4">
              <w:rPr>
                <w:rFonts w:ascii="Times New Roman" w:hAnsi="Times New Roman"/>
                <w:lang w:val="lt-LT"/>
              </w:rPr>
              <w:t>5,5 ± 1,1</w:t>
            </w:r>
          </w:p>
        </w:tc>
      </w:tr>
    </w:tbl>
    <w:p w14:paraId="389517BC" w14:textId="77777777" w:rsidR="005427AE" w:rsidRPr="00EE75B4" w:rsidRDefault="005427AE" w:rsidP="005427AE">
      <w:pPr>
        <w:spacing w:after="0" w:line="240" w:lineRule="auto"/>
        <w:rPr>
          <w:rFonts w:ascii="Times New Roman" w:hAnsi="Times New Roman"/>
          <w:lang w:val="lt-LT"/>
        </w:rPr>
      </w:pPr>
    </w:p>
    <w:p w14:paraId="4ABC6B67"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parinkta iš klinikinio tyrimo PV 16000 ataskaitos</w:t>
      </w:r>
    </w:p>
    <w:p w14:paraId="39711BAB" w14:textId="77777777" w:rsidR="005427AE" w:rsidRPr="00EE75B4" w:rsidRDefault="005427AE" w:rsidP="005427AE">
      <w:pPr>
        <w:spacing w:after="0" w:line="240" w:lineRule="auto"/>
        <w:rPr>
          <w:rFonts w:ascii="Times New Roman" w:hAnsi="Times New Roman"/>
          <w:lang w:val="lt-LT"/>
        </w:rPr>
      </w:pPr>
    </w:p>
    <w:p w14:paraId="433F5360"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dozavimas vieną kartą per parą abiejų anksčiau aprašytų klinikinių tyrimų metu buvo pagrįstas kūno paviršiaus ploto (KPP) ir </w:t>
      </w:r>
      <w:proofErr w:type="spellStart"/>
      <w:r w:rsidRPr="00EE75B4">
        <w:rPr>
          <w:rFonts w:ascii="Times New Roman" w:hAnsi="Times New Roman"/>
          <w:lang w:val="lt-LT"/>
        </w:rPr>
        <w:t>kreatinino</w:t>
      </w:r>
      <w:proofErr w:type="spellEnd"/>
      <w:r w:rsidRPr="00EE75B4">
        <w:rPr>
          <w:rFonts w:ascii="Times New Roman" w:hAnsi="Times New Roman"/>
          <w:lang w:val="lt-LT"/>
        </w:rPr>
        <w:t xml:space="preserve"> klirenso (KK) rodmenimis, gautais pagal modifikuotą </w:t>
      </w:r>
      <w:proofErr w:type="spellStart"/>
      <w:r w:rsidRPr="00EE75B4">
        <w:rPr>
          <w:rFonts w:ascii="Times New Roman" w:hAnsi="Times New Roman"/>
          <w:i/>
          <w:lang w:val="lt-LT"/>
        </w:rPr>
        <w:t>Schwartz</w:t>
      </w:r>
      <w:proofErr w:type="spellEnd"/>
      <w:r w:rsidRPr="00EE75B4">
        <w:rPr>
          <w:rFonts w:ascii="Times New Roman" w:hAnsi="Times New Roman"/>
          <w:lang w:val="lt-LT"/>
        </w:rPr>
        <w:t xml:space="preserve"> formulę, ir buvo apskaičiuotas naudojant 4.2 skyriuje pateiktą dozavimo algoritmą.</w:t>
      </w:r>
    </w:p>
    <w:p w14:paraId="6F6E650F" w14:textId="77777777" w:rsidR="005427AE" w:rsidRPr="00EE75B4" w:rsidRDefault="005427AE" w:rsidP="005427AE">
      <w:pPr>
        <w:spacing w:after="0" w:line="240" w:lineRule="auto"/>
        <w:rPr>
          <w:rFonts w:ascii="Times New Roman" w:hAnsi="Times New Roman"/>
          <w:lang w:val="lt-LT"/>
        </w:rPr>
      </w:pPr>
    </w:p>
    <w:p w14:paraId="7927F2D2" w14:textId="77777777" w:rsidR="005427AE" w:rsidRPr="00EE75B4" w:rsidRDefault="005427AE" w:rsidP="005427AE">
      <w:pPr>
        <w:keepNext/>
        <w:keepLines/>
        <w:spacing w:after="0" w:line="240" w:lineRule="auto"/>
        <w:rPr>
          <w:rFonts w:ascii="Times New Roman" w:hAnsi="Times New Roman"/>
          <w:lang w:val="lt-LT"/>
        </w:rPr>
      </w:pPr>
      <w:r w:rsidRPr="00EE75B4">
        <w:rPr>
          <w:rFonts w:ascii="Times New Roman" w:hAnsi="Times New Roman"/>
          <w:lang w:val="lt-LT"/>
        </w:rPr>
        <w:t xml:space="preserve">Be to,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w:t>
      </w:r>
      <w:proofErr w:type="spellStart"/>
      <w:r w:rsidRPr="00EE75B4">
        <w:rPr>
          <w:rFonts w:ascii="Times New Roman" w:hAnsi="Times New Roman"/>
          <w:lang w:val="lt-LT"/>
        </w:rPr>
        <w:t>farmakokinetika</w:t>
      </w:r>
      <w:proofErr w:type="spellEnd"/>
      <w:r w:rsidRPr="00EE75B4">
        <w:rPr>
          <w:rFonts w:ascii="Times New Roman" w:hAnsi="Times New Roman"/>
          <w:lang w:val="lt-LT"/>
        </w:rPr>
        <w:t xml:space="preserve"> vartojant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buvo vertinta dviejų klinikinių tyrimų su naujagimiais ir kūdikiais, sirgusiais įgimta simptomine CMV infekcija, metu. Pirmojo tyrimo metu 24 simptomine įgimta CMV liga sirgusiems nuo 8 iki 34 parų amžiaus naujagimiams buvo švirkščiamos 6 mg/kg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dozės į veną du kartus per parą. Po to pacientai buvo gydyti geriamuoju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kuomet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miltelių geriamajam tirpalui dozė buvo nuo 14 mg/kg iki 20 mg/kg du kartus per parą, o bendroji gydymo trukmė buvo 6 savaitės. Vartojama 16 mg/kg du kartus per parą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miltelių geriamajam tirpalui dozė naujagimiams sukėlė tokią pačią ekspoziciją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kaip ir 6 mg/kg du kartus per parą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dozė į veną, ir taip pat pasiekė panašią ekspoziciją </w:t>
      </w:r>
      <w:proofErr w:type="spellStart"/>
      <w:r w:rsidRPr="00EE75B4">
        <w:rPr>
          <w:rFonts w:ascii="Times New Roman" w:hAnsi="Times New Roman"/>
          <w:lang w:val="lt-LT"/>
        </w:rPr>
        <w:t>gancikloviru</w:t>
      </w:r>
      <w:proofErr w:type="spellEnd"/>
      <w:r w:rsidRPr="00EE75B4">
        <w:rPr>
          <w:rFonts w:ascii="Times New Roman" w:hAnsi="Times New Roman"/>
          <w:lang w:val="lt-LT"/>
        </w:rPr>
        <w:t>, kokia būna suaugusių pacientų organizme vartojant veiksmingą 5 mg/kg dozę į veną.</w:t>
      </w:r>
    </w:p>
    <w:p w14:paraId="0C9B6498" w14:textId="77777777" w:rsidR="005427AE" w:rsidRPr="00EE75B4" w:rsidRDefault="005427AE" w:rsidP="005427AE">
      <w:pPr>
        <w:spacing w:after="0" w:line="240" w:lineRule="auto"/>
        <w:rPr>
          <w:rFonts w:ascii="Times New Roman" w:hAnsi="Times New Roman"/>
          <w:lang w:val="lt-LT"/>
        </w:rPr>
      </w:pPr>
    </w:p>
    <w:p w14:paraId="406EC9E6"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Antrojo klinikinio tyrimo metu 109 naujagimiai nuo 2 iki 30 parų amžiaus 6 savaites vartojo 16 mg/kg kūno masės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miltelių geriamajam tirpalui dozę du kartus per parą, o po to 96 iš 109 tyrime dalyvavusių pacientų atsitiktine tvarka buvo paskirta 6 mėnesius toliau vartoti arba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arba </w:t>
      </w:r>
      <w:proofErr w:type="spellStart"/>
      <w:r w:rsidRPr="00EE75B4">
        <w:rPr>
          <w:rFonts w:ascii="Times New Roman" w:hAnsi="Times New Roman"/>
          <w:lang w:val="lt-LT"/>
        </w:rPr>
        <w:t>placebo</w:t>
      </w:r>
      <w:proofErr w:type="spellEnd"/>
      <w:r w:rsidRPr="00EE75B4">
        <w:rPr>
          <w:rFonts w:ascii="Times New Roman" w:hAnsi="Times New Roman"/>
          <w:lang w:val="lt-LT"/>
        </w:rPr>
        <w:t>. Vis dėlto AUC</w:t>
      </w:r>
      <w:r w:rsidRPr="00EE75B4">
        <w:rPr>
          <w:rFonts w:ascii="Times New Roman" w:hAnsi="Times New Roman"/>
          <w:vertAlign w:val="subscript"/>
          <w:lang w:val="lt-LT"/>
        </w:rPr>
        <w:t>0–12 h</w:t>
      </w:r>
      <w:r w:rsidRPr="00EE75B4">
        <w:rPr>
          <w:rFonts w:ascii="Times New Roman" w:hAnsi="Times New Roman"/>
          <w:lang w:val="lt-LT"/>
        </w:rPr>
        <w:t xml:space="preserve"> vidurkis buvo mažesnis, palyginus su vidutinėmis AUC</w:t>
      </w:r>
      <w:r w:rsidRPr="00EE75B4">
        <w:rPr>
          <w:rFonts w:ascii="Times New Roman" w:hAnsi="Times New Roman"/>
          <w:vertAlign w:val="subscript"/>
          <w:lang w:val="lt-LT"/>
        </w:rPr>
        <w:t>0–12 h</w:t>
      </w:r>
      <w:r w:rsidRPr="00EE75B4">
        <w:rPr>
          <w:rFonts w:ascii="Times New Roman" w:hAnsi="Times New Roman"/>
          <w:lang w:val="lt-LT"/>
        </w:rPr>
        <w:t xml:space="preserve"> reikšmėmis pirmajame tyrime. Toliau esančioje lentelėje pateikti AUC, </w:t>
      </w:r>
      <w:proofErr w:type="spellStart"/>
      <w:r w:rsidRPr="00EE75B4">
        <w:rPr>
          <w:rFonts w:ascii="Times New Roman" w:hAnsi="Times New Roman"/>
          <w:lang w:val="lt-LT"/>
        </w:rPr>
        <w:t>C</w:t>
      </w:r>
      <w:r w:rsidRPr="00EE75B4">
        <w:rPr>
          <w:rFonts w:ascii="Times New Roman" w:hAnsi="Times New Roman"/>
          <w:vertAlign w:val="subscript"/>
          <w:lang w:val="lt-LT"/>
        </w:rPr>
        <w:t>max</w:t>
      </w:r>
      <w:proofErr w:type="spellEnd"/>
      <w:r w:rsidRPr="00EE75B4">
        <w:rPr>
          <w:rFonts w:ascii="Times New Roman" w:hAnsi="Times New Roman"/>
          <w:lang w:val="lt-LT"/>
        </w:rPr>
        <w:t>, ir pusinės eliminacijos laiko (t</w:t>
      </w:r>
      <w:r w:rsidRPr="00EE75B4">
        <w:rPr>
          <w:rFonts w:ascii="Times New Roman" w:hAnsi="Times New Roman"/>
          <w:vertAlign w:val="subscript"/>
          <w:lang w:val="lt-LT"/>
        </w:rPr>
        <w:t>½</w:t>
      </w:r>
      <w:r w:rsidRPr="00EE75B4">
        <w:rPr>
          <w:rFonts w:ascii="Times New Roman" w:hAnsi="Times New Roman"/>
          <w:lang w:val="lt-LT"/>
        </w:rPr>
        <w:t>) vidurkiai bei jų standartiniai nuokrypiai, lyginant su suaugusių pacientų duomenimis.</w:t>
      </w:r>
    </w:p>
    <w:p w14:paraId="75445C9C" w14:textId="77777777" w:rsidR="005427AE" w:rsidRPr="00EE75B4" w:rsidRDefault="005427AE" w:rsidP="005427AE">
      <w:pPr>
        <w:spacing w:after="0" w:line="240" w:lineRule="auto"/>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1669"/>
        <w:gridCol w:w="1826"/>
        <w:gridCol w:w="1830"/>
        <w:gridCol w:w="1828"/>
      </w:tblGrid>
      <w:tr w:rsidR="007923DA" w:rsidRPr="00EE75B4" w14:paraId="676DB7AC" w14:textId="77777777" w:rsidTr="00752171">
        <w:trPr>
          <w:cantSplit/>
        </w:trPr>
        <w:tc>
          <w:tcPr>
            <w:tcW w:w="1052" w:type="pct"/>
          </w:tcPr>
          <w:p w14:paraId="5AA1C7A1" w14:textId="77777777" w:rsidR="00F018C3" w:rsidRPr="00EE75B4" w:rsidRDefault="00F018C3" w:rsidP="005427AE">
            <w:pPr>
              <w:keepNext/>
              <w:keepLines/>
              <w:spacing w:after="0" w:line="240" w:lineRule="auto"/>
              <w:jc w:val="center"/>
              <w:rPr>
                <w:rFonts w:ascii="Times New Roman" w:hAnsi="Times New Roman"/>
                <w:b/>
                <w:lang w:val="lt-LT"/>
              </w:rPr>
            </w:pPr>
            <w:r w:rsidRPr="00EE75B4">
              <w:rPr>
                <w:rFonts w:ascii="Times New Roman" w:hAnsi="Times New Roman"/>
                <w:b/>
                <w:lang w:val="lt-LT"/>
              </w:rPr>
              <w:lastRenderedPageBreak/>
              <w:t>FK parametras</w:t>
            </w:r>
          </w:p>
        </w:tc>
        <w:tc>
          <w:tcPr>
            <w:tcW w:w="921" w:type="pct"/>
          </w:tcPr>
          <w:p w14:paraId="0B74482E" w14:textId="77777777" w:rsidR="00F018C3" w:rsidRPr="00EE75B4" w:rsidRDefault="00F018C3" w:rsidP="005427AE">
            <w:pPr>
              <w:keepNext/>
              <w:keepLines/>
              <w:spacing w:after="0" w:line="240" w:lineRule="auto"/>
              <w:jc w:val="center"/>
              <w:rPr>
                <w:rFonts w:ascii="Times New Roman" w:hAnsi="Times New Roman"/>
                <w:b/>
                <w:lang w:val="lt-LT"/>
              </w:rPr>
            </w:pPr>
            <w:r w:rsidRPr="00EE75B4">
              <w:rPr>
                <w:rFonts w:ascii="Times New Roman" w:hAnsi="Times New Roman"/>
                <w:b/>
                <w:lang w:val="lt-LT"/>
              </w:rPr>
              <w:t>Suaugusieji</w:t>
            </w:r>
          </w:p>
        </w:tc>
        <w:tc>
          <w:tcPr>
            <w:tcW w:w="3027" w:type="pct"/>
            <w:gridSpan w:val="3"/>
          </w:tcPr>
          <w:p w14:paraId="0701B447" w14:textId="77777777" w:rsidR="00F018C3" w:rsidRPr="00EE75B4" w:rsidRDefault="00F018C3" w:rsidP="005427AE">
            <w:pPr>
              <w:keepNext/>
              <w:keepLines/>
              <w:spacing w:after="0" w:line="240" w:lineRule="auto"/>
              <w:jc w:val="center"/>
              <w:rPr>
                <w:rFonts w:ascii="Times New Roman" w:hAnsi="Times New Roman"/>
                <w:b/>
                <w:lang w:val="lt-LT"/>
              </w:rPr>
            </w:pPr>
            <w:r w:rsidRPr="00EE75B4">
              <w:rPr>
                <w:rFonts w:ascii="Times New Roman" w:hAnsi="Times New Roman"/>
                <w:b/>
                <w:lang w:val="lt-LT"/>
              </w:rPr>
              <w:t>Vaikai (naujagimiai ir kūdikiai)</w:t>
            </w:r>
          </w:p>
        </w:tc>
      </w:tr>
      <w:tr w:rsidR="007923DA" w:rsidRPr="00EE75B4" w14:paraId="61E355EB" w14:textId="77777777" w:rsidTr="00752171">
        <w:trPr>
          <w:cantSplit/>
        </w:trPr>
        <w:tc>
          <w:tcPr>
            <w:tcW w:w="1052" w:type="pct"/>
          </w:tcPr>
          <w:p w14:paraId="772C1DF1" w14:textId="77777777" w:rsidR="00F018C3" w:rsidRPr="00EE75B4" w:rsidRDefault="00F018C3" w:rsidP="005427AE">
            <w:pPr>
              <w:keepNext/>
              <w:keepLines/>
              <w:spacing w:after="0" w:line="240" w:lineRule="auto"/>
              <w:jc w:val="both"/>
              <w:rPr>
                <w:rFonts w:ascii="Times New Roman" w:hAnsi="Times New Roman"/>
                <w:b/>
                <w:lang w:val="lt-LT"/>
              </w:rPr>
            </w:pPr>
          </w:p>
        </w:tc>
        <w:tc>
          <w:tcPr>
            <w:tcW w:w="921" w:type="pct"/>
          </w:tcPr>
          <w:p w14:paraId="7285AC4C" w14:textId="77777777" w:rsidR="00F018C3" w:rsidRPr="00EE75B4" w:rsidRDefault="00F018C3" w:rsidP="005427AE">
            <w:pPr>
              <w:keepNext/>
              <w:keepLines/>
              <w:spacing w:after="0" w:line="240" w:lineRule="auto"/>
              <w:jc w:val="center"/>
              <w:rPr>
                <w:rFonts w:ascii="Times New Roman" w:hAnsi="Times New Roman"/>
                <w:b/>
                <w:lang w:val="lt-LT"/>
              </w:rPr>
            </w:pPr>
            <w:r w:rsidRPr="00EE75B4">
              <w:rPr>
                <w:rFonts w:ascii="Times New Roman" w:hAnsi="Times New Roman"/>
                <w:b/>
                <w:lang w:val="lt-LT"/>
              </w:rPr>
              <w:t>5 mg/kg GAN</w:t>
            </w:r>
          </w:p>
          <w:p w14:paraId="0D2FC24B" w14:textId="77777777" w:rsidR="00F018C3" w:rsidRPr="00EE75B4" w:rsidRDefault="00F018C3" w:rsidP="005427AE">
            <w:pPr>
              <w:keepNext/>
              <w:keepLines/>
              <w:spacing w:after="0" w:line="240" w:lineRule="auto"/>
              <w:jc w:val="center"/>
              <w:rPr>
                <w:rFonts w:ascii="Times New Roman" w:hAnsi="Times New Roman"/>
                <w:b/>
                <w:lang w:val="lt-LT"/>
              </w:rPr>
            </w:pPr>
            <w:r w:rsidRPr="00EE75B4">
              <w:rPr>
                <w:rFonts w:ascii="Times New Roman" w:hAnsi="Times New Roman"/>
                <w:b/>
                <w:lang w:val="lt-LT"/>
              </w:rPr>
              <w:t>Vienkartinė dozė</w:t>
            </w:r>
            <w:r w:rsidRPr="00EE75B4">
              <w:rPr>
                <w:rFonts w:ascii="Times New Roman" w:hAnsi="Times New Roman"/>
                <w:b/>
                <w:lang w:val="lt-LT"/>
              </w:rPr>
              <w:br/>
              <w:t>(n = 8)</w:t>
            </w:r>
          </w:p>
        </w:tc>
        <w:tc>
          <w:tcPr>
            <w:tcW w:w="1008" w:type="pct"/>
          </w:tcPr>
          <w:p w14:paraId="7C3D7343" w14:textId="77777777" w:rsidR="00F018C3" w:rsidRPr="00EE75B4" w:rsidRDefault="00F018C3" w:rsidP="005427AE">
            <w:pPr>
              <w:keepNext/>
              <w:keepLines/>
              <w:spacing w:after="0" w:line="240" w:lineRule="auto"/>
              <w:jc w:val="center"/>
              <w:rPr>
                <w:rFonts w:ascii="Times New Roman" w:hAnsi="Times New Roman"/>
                <w:b/>
                <w:lang w:val="lt-LT"/>
              </w:rPr>
            </w:pPr>
            <w:r w:rsidRPr="00EE75B4">
              <w:rPr>
                <w:rFonts w:ascii="Times New Roman" w:hAnsi="Times New Roman"/>
                <w:b/>
                <w:lang w:val="lt-LT"/>
              </w:rPr>
              <w:t>6 mg/kg GAN</w:t>
            </w:r>
          </w:p>
          <w:p w14:paraId="5C7BBE22" w14:textId="77777777" w:rsidR="00F018C3" w:rsidRPr="00EE75B4" w:rsidRDefault="00F018C3" w:rsidP="005427AE">
            <w:pPr>
              <w:keepNext/>
              <w:keepLines/>
              <w:spacing w:after="0" w:line="240" w:lineRule="auto"/>
              <w:jc w:val="center"/>
              <w:rPr>
                <w:rFonts w:ascii="Times New Roman" w:hAnsi="Times New Roman"/>
                <w:b/>
                <w:lang w:val="lt-LT"/>
              </w:rPr>
            </w:pPr>
            <w:r w:rsidRPr="00EE75B4">
              <w:rPr>
                <w:rFonts w:ascii="Times New Roman" w:hAnsi="Times New Roman"/>
                <w:b/>
                <w:lang w:val="lt-LT"/>
              </w:rPr>
              <w:t>du kartus per parą</w:t>
            </w:r>
            <w:r w:rsidRPr="00EE75B4">
              <w:rPr>
                <w:rFonts w:ascii="Times New Roman" w:hAnsi="Times New Roman"/>
                <w:b/>
                <w:lang w:val="lt-LT"/>
              </w:rPr>
              <w:br/>
              <w:t>(n = 19)</w:t>
            </w:r>
          </w:p>
        </w:tc>
        <w:tc>
          <w:tcPr>
            <w:tcW w:w="1010" w:type="pct"/>
          </w:tcPr>
          <w:p w14:paraId="123A14AB" w14:textId="77777777" w:rsidR="00F018C3" w:rsidRPr="00EE75B4" w:rsidRDefault="00F018C3" w:rsidP="005427AE">
            <w:pPr>
              <w:keepNext/>
              <w:keepLines/>
              <w:spacing w:after="0" w:line="240" w:lineRule="auto"/>
              <w:jc w:val="center"/>
              <w:rPr>
                <w:rFonts w:ascii="Times New Roman" w:hAnsi="Times New Roman"/>
                <w:b/>
                <w:lang w:val="lt-LT"/>
              </w:rPr>
            </w:pPr>
            <w:r w:rsidRPr="00EE75B4">
              <w:rPr>
                <w:rFonts w:ascii="Times New Roman" w:hAnsi="Times New Roman"/>
                <w:b/>
                <w:lang w:val="lt-LT"/>
              </w:rPr>
              <w:t>16 mg/kg VAL</w:t>
            </w:r>
          </w:p>
          <w:p w14:paraId="59379054" w14:textId="77777777" w:rsidR="00F018C3" w:rsidRPr="00EE75B4" w:rsidRDefault="00F018C3" w:rsidP="005427AE">
            <w:pPr>
              <w:keepNext/>
              <w:keepLines/>
              <w:spacing w:after="0" w:line="240" w:lineRule="auto"/>
              <w:jc w:val="center"/>
              <w:rPr>
                <w:rFonts w:ascii="Times New Roman" w:hAnsi="Times New Roman"/>
                <w:b/>
                <w:lang w:val="lt-LT"/>
              </w:rPr>
            </w:pPr>
            <w:r w:rsidRPr="00EE75B4">
              <w:rPr>
                <w:rFonts w:ascii="Times New Roman" w:hAnsi="Times New Roman"/>
                <w:b/>
                <w:lang w:val="lt-LT"/>
              </w:rPr>
              <w:t>du kartus per parą</w:t>
            </w:r>
            <w:r w:rsidRPr="00EE75B4">
              <w:rPr>
                <w:rFonts w:ascii="Times New Roman" w:hAnsi="Times New Roman"/>
                <w:b/>
                <w:lang w:val="lt-LT"/>
              </w:rPr>
              <w:br/>
              <w:t>(n = 19)</w:t>
            </w:r>
          </w:p>
        </w:tc>
        <w:tc>
          <w:tcPr>
            <w:tcW w:w="1009" w:type="pct"/>
          </w:tcPr>
          <w:p w14:paraId="43A8C6CC" w14:textId="77777777" w:rsidR="00F018C3" w:rsidRPr="00EE75B4" w:rsidRDefault="00F018C3" w:rsidP="00DF6289">
            <w:pPr>
              <w:keepNext/>
              <w:keepLines/>
              <w:spacing w:after="0" w:line="240" w:lineRule="auto"/>
              <w:jc w:val="center"/>
              <w:rPr>
                <w:rFonts w:ascii="Times New Roman" w:hAnsi="Times New Roman"/>
                <w:b/>
                <w:lang w:val="lt-LT" w:eastAsia="lt-LT"/>
              </w:rPr>
            </w:pPr>
            <w:r w:rsidRPr="00EE75B4">
              <w:rPr>
                <w:rFonts w:ascii="Times New Roman" w:hAnsi="Times New Roman"/>
                <w:b/>
                <w:lang w:val="lt-LT" w:eastAsia="lt-LT"/>
              </w:rPr>
              <w:t>16 mg/kg VAL</w:t>
            </w:r>
          </w:p>
          <w:p w14:paraId="3CDF699C" w14:textId="77777777" w:rsidR="00F018C3" w:rsidRPr="00EE75B4" w:rsidRDefault="00F018C3" w:rsidP="00F018C3">
            <w:pPr>
              <w:keepNext/>
              <w:keepLines/>
              <w:spacing w:after="0" w:line="240" w:lineRule="auto"/>
              <w:jc w:val="center"/>
              <w:rPr>
                <w:rFonts w:ascii="Times New Roman" w:hAnsi="Times New Roman"/>
                <w:b/>
                <w:lang w:val="lt-LT" w:eastAsia="lt-LT"/>
              </w:rPr>
            </w:pPr>
            <w:r w:rsidRPr="00EE75B4">
              <w:rPr>
                <w:rFonts w:ascii="Times New Roman" w:hAnsi="Times New Roman"/>
                <w:b/>
                <w:lang w:val="lt-LT" w:eastAsia="lt-LT"/>
              </w:rPr>
              <w:t>du kartus per parą</w:t>
            </w:r>
            <w:r w:rsidRPr="00EE75B4">
              <w:rPr>
                <w:rFonts w:ascii="Times New Roman" w:hAnsi="Times New Roman"/>
                <w:b/>
                <w:lang w:val="lt-LT" w:eastAsia="lt-LT"/>
              </w:rPr>
              <w:br/>
              <w:t>(n = 100)</w:t>
            </w:r>
          </w:p>
        </w:tc>
      </w:tr>
      <w:tr w:rsidR="007923DA" w:rsidRPr="00EE75B4" w14:paraId="7150B844" w14:textId="77777777" w:rsidTr="00752171">
        <w:trPr>
          <w:cantSplit/>
        </w:trPr>
        <w:tc>
          <w:tcPr>
            <w:tcW w:w="1052" w:type="pct"/>
          </w:tcPr>
          <w:p w14:paraId="696406D0" w14:textId="77777777" w:rsidR="00F018C3" w:rsidRPr="00EE75B4" w:rsidRDefault="00F018C3" w:rsidP="005427AE">
            <w:pPr>
              <w:keepNext/>
              <w:keepLines/>
              <w:spacing w:after="0" w:line="240" w:lineRule="auto"/>
              <w:rPr>
                <w:rFonts w:ascii="Times New Roman" w:hAnsi="Times New Roman"/>
                <w:lang w:val="lt-LT"/>
              </w:rPr>
            </w:pPr>
            <w:r w:rsidRPr="00EE75B4">
              <w:rPr>
                <w:rFonts w:ascii="Times New Roman" w:hAnsi="Times New Roman"/>
                <w:lang w:val="lt-LT"/>
              </w:rPr>
              <w:t xml:space="preserve">AUC </w:t>
            </w:r>
            <w:r w:rsidRPr="00EE75B4">
              <w:rPr>
                <w:rFonts w:ascii="Times New Roman Bold" w:hAnsi="Times New Roman Bold"/>
                <w:vertAlign w:val="subscript"/>
                <w:lang w:val="lt-LT"/>
              </w:rPr>
              <w:t>0-∞</w:t>
            </w:r>
            <w:r w:rsidRPr="00EE75B4">
              <w:rPr>
                <w:rFonts w:ascii="Times New Roman" w:hAnsi="Times New Roman"/>
                <w:lang w:val="lt-LT"/>
              </w:rPr>
              <w:t xml:space="preserve"> (µ</w:t>
            </w:r>
            <w:proofErr w:type="spellStart"/>
            <w:r w:rsidRPr="00EE75B4">
              <w:rPr>
                <w:rFonts w:ascii="Times New Roman" w:hAnsi="Times New Roman"/>
                <w:lang w:val="lt-LT"/>
              </w:rPr>
              <w:t>g∙val</w:t>
            </w:r>
            <w:proofErr w:type="spellEnd"/>
            <w:r w:rsidRPr="00EE75B4">
              <w:rPr>
                <w:rFonts w:ascii="Times New Roman" w:hAnsi="Times New Roman"/>
                <w:lang w:val="lt-LT"/>
              </w:rPr>
              <w:t>./ml)</w:t>
            </w:r>
          </w:p>
        </w:tc>
        <w:tc>
          <w:tcPr>
            <w:tcW w:w="921" w:type="pct"/>
          </w:tcPr>
          <w:p w14:paraId="3D664FBA" w14:textId="77777777" w:rsidR="00F018C3" w:rsidRPr="00EE75B4" w:rsidRDefault="00F018C3" w:rsidP="005427AE">
            <w:pPr>
              <w:keepNext/>
              <w:keepLines/>
              <w:spacing w:after="0" w:line="240" w:lineRule="auto"/>
              <w:jc w:val="center"/>
              <w:rPr>
                <w:rFonts w:ascii="Times New Roman" w:hAnsi="Times New Roman"/>
                <w:lang w:val="lt-LT"/>
              </w:rPr>
            </w:pPr>
            <w:r w:rsidRPr="00EE75B4">
              <w:rPr>
                <w:rFonts w:ascii="Times New Roman" w:hAnsi="Times New Roman"/>
                <w:lang w:val="lt-LT"/>
              </w:rPr>
              <w:t>25,4 ± 4,32</w:t>
            </w:r>
          </w:p>
        </w:tc>
        <w:tc>
          <w:tcPr>
            <w:tcW w:w="1008" w:type="pct"/>
          </w:tcPr>
          <w:p w14:paraId="190D5735" w14:textId="77777777" w:rsidR="00F018C3" w:rsidRPr="00EE75B4" w:rsidRDefault="00F018C3" w:rsidP="005427AE">
            <w:pPr>
              <w:keepNext/>
              <w:keepLines/>
              <w:spacing w:after="0" w:line="240" w:lineRule="auto"/>
              <w:jc w:val="center"/>
              <w:rPr>
                <w:rFonts w:ascii="Times New Roman" w:hAnsi="Times New Roman"/>
                <w:lang w:val="lt-LT"/>
              </w:rPr>
            </w:pPr>
            <w:r w:rsidRPr="00EE75B4">
              <w:rPr>
                <w:rFonts w:ascii="Times New Roman" w:hAnsi="Times New Roman"/>
                <w:lang w:val="lt-LT"/>
              </w:rPr>
              <w:t>-</w:t>
            </w:r>
          </w:p>
        </w:tc>
        <w:tc>
          <w:tcPr>
            <w:tcW w:w="1010" w:type="pct"/>
          </w:tcPr>
          <w:p w14:paraId="2FD74E6B" w14:textId="77777777" w:rsidR="00F018C3" w:rsidRPr="00EE75B4" w:rsidRDefault="00F018C3" w:rsidP="005427AE">
            <w:pPr>
              <w:keepNext/>
              <w:keepLines/>
              <w:spacing w:after="0" w:line="240" w:lineRule="auto"/>
              <w:jc w:val="center"/>
              <w:rPr>
                <w:rFonts w:ascii="Times New Roman" w:hAnsi="Times New Roman"/>
                <w:lang w:val="lt-LT"/>
              </w:rPr>
            </w:pPr>
            <w:r w:rsidRPr="00EE75B4">
              <w:rPr>
                <w:rFonts w:ascii="Times New Roman" w:hAnsi="Times New Roman"/>
                <w:lang w:val="lt-LT"/>
              </w:rPr>
              <w:t>-</w:t>
            </w:r>
          </w:p>
        </w:tc>
        <w:tc>
          <w:tcPr>
            <w:tcW w:w="1009" w:type="pct"/>
          </w:tcPr>
          <w:p w14:paraId="71E82141" w14:textId="77777777" w:rsidR="00F018C3" w:rsidRPr="00EE75B4" w:rsidRDefault="00F018C3" w:rsidP="005427AE">
            <w:pPr>
              <w:keepNext/>
              <w:keepLines/>
              <w:spacing w:after="0" w:line="240" w:lineRule="auto"/>
              <w:jc w:val="center"/>
              <w:rPr>
                <w:rFonts w:ascii="Times New Roman" w:hAnsi="Times New Roman"/>
                <w:lang w:val="lt-LT" w:eastAsia="lt-LT"/>
              </w:rPr>
            </w:pPr>
            <w:r w:rsidRPr="00EE75B4">
              <w:rPr>
                <w:rFonts w:ascii="Times New Roman" w:hAnsi="Times New Roman"/>
                <w:lang w:val="lt-LT" w:eastAsia="lt-LT"/>
              </w:rPr>
              <w:t>-</w:t>
            </w:r>
          </w:p>
        </w:tc>
      </w:tr>
      <w:tr w:rsidR="007923DA" w:rsidRPr="00EE75B4" w14:paraId="6559ABAD" w14:textId="77777777" w:rsidTr="00752171">
        <w:trPr>
          <w:cantSplit/>
        </w:trPr>
        <w:tc>
          <w:tcPr>
            <w:tcW w:w="1052" w:type="pct"/>
          </w:tcPr>
          <w:p w14:paraId="40B9FA12" w14:textId="77777777" w:rsidR="00F018C3" w:rsidRPr="00EE75B4" w:rsidRDefault="00F018C3" w:rsidP="005427AE">
            <w:pPr>
              <w:keepNext/>
              <w:keepLines/>
              <w:spacing w:after="0" w:line="240" w:lineRule="auto"/>
              <w:rPr>
                <w:rFonts w:ascii="Times New Roman" w:hAnsi="Times New Roman"/>
                <w:lang w:val="lt-LT"/>
              </w:rPr>
            </w:pPr>
            <w:r w:rsidRPr="00EE75B4">
              <w:rPr>
                <w:rFonts w:ascii="Times New Roman" w:hAnsi="Times New Roman"/>
                <w:lang w:val="lt-LT"/>
              </w:rPr>
              <w:t>AUC</w:t>
            </w:r>
            <w:r w:rsidRPr="00EE75B4">
              <w:rPr>
                <w:rFonts w:ascii="Times New Roman" w:hAnsi="Times New Roman"/>
                <w:vertAlign w:val="subscript"/>
                <w:lang w:val="lt-LT"/>
              </w:rPr>
              <w:t xml:space="preserve">12val </w:t>
            </w:r>
            <w:r w:rsidRPr="00EE75B4">
              <w:rPr>
                <w:rFonts w:ascii="Times New Roman" w:hAnsi="Times New Roman"/>
                <w:lang w:val="lt-LT"/>
              </w:rPr>
              <w:t>(µ</w:t>
            </w:r>
            <w:proofErr w:type="spellStart"/>
            <w:r w:rsidRPr="00EE75B4">
              <w:rPr>
                <w:rFonts w:ascii="Times New Roman" w:hAnsi="Times New Roman"/>
                <w:lang w:val="lt-LT"/>
              </w:rPr>
              <w:t>g∙val</w:t>
            </w:r>
            <w:proofErr w:type="spellEnd"/>
            <w:r w:rsidRPr="00EE75B4">
              <w:rPr>
                <w:rFonts w:ascii="Times New Roman" w:hAnsi="Times New Roman"/>
                <w:lang w:val="lt-LT"/>
              </w:rPr>
              <w:t>./ml)</w:t>
            </w:r>
          </w:p>
        </w:tc>
        <w:tc>
          <w:tcPr>
            <w:tcW w:w="921" w:type="pct"/>
          </w:tcPr>
          <w:p w14:paraId="39BB57A3" w14:textId="77777777" w:rsidR="00F018C3" w:rsidRPr="00EE75B4" w:rsidRDefault="00F018C3" w:rsidP="005427AE">
            <w:pPr>
              <w:keepNext/>
              <w:keepLines/>
              <w:spacing w:after="0" w:line="240" w:lineRule="auto"/>
              <w:jc w:val="center"/>
              <w:rPr>
                <w:rFonts w:ascii="Times New Roman" w:hAnsi="Times New Roman"/>
                <w:lang w:val="lt-LT"/>
              </w:rPr>
            </w:pPr>
            <w:r w:rsidRPr="00EE75B4">
              <w:rPr>
                <w:rFonts w:ascii="Times New Roman" w:hAnsi="Times New Roman"/>
                <w:lang w:val="lt-LT"/>
              </w:rPr>
              <w:t>-</w:t>
            </w:r>
          </w:p>
        </w:tc>
        <w:tc>
          <w:tcPr>
            <w:tcW w:w="1008" w:type="pct"/>
          </w:tcPr>
          <w:p w14:paraId="631DCC8C" w14:textId="77777777" w:rsidR="00F018C3" w:rsidRPr="00EE75B4" w:rsidRDefault="00F018C3" w:rsidP="005427AE">
            <w:pPr>
              <w:keepNext/>
              <w:keepLines/>
              <w:spacing w:after="0" w:line="240" w:lineRule="auto"/>
              <w:jc w:val="center"/>
              <w:rPr>
                <w:rFonts w:ascii="Times New Roman" w:hAnsi="Times New Roman"/>
                <w:lang w:val="lt-LT"/>
              </w:rPr>
            </w:pPr>
            <w:r w:rsidRPr="00EE75B4">
              <w:rPr>
                <w:rFonts w:ascii="Times New Roman" w:hAnsi="Times New Roman"/>
                <w:lang w:val="lt-LT"/>
              </w:rPr>
              <w:t>38,2 ± 42,7</w:t>
            </w:r>
          </w:p>
        </w:tc>
        <w:tc>
          <w:tcPr>
            <w:tcW w:w="1010" w:type="pct"/>
          </w:tcPr>
          <w:p w14:paraId="093D09E1" w14:textId="77777777" w:rsidR="00F018C3" w:rsidRPr="00EE75B4" w:rsidRDefault="00F018C3" w:rsidP="005427AE">
            <w:pPr>
              <w:keepNext/>
              <w:keepLines/>
              <w:spacing w:after="0" w:line="240" w:lineRule="auto"/>
              <w:jc w:val="center"/>
              <w:rPr>
                <w:rFonts w:ascii="Times New Roman" w:hAnsi="Times New Roman"/>
                <w:lang w:val="lt-LT"/>
              </w:rPr>
            </w:pPr>
            <w:r w:rsidRPr="00EE75B4">
              <w:rPr>
                <w:rFonts w:ascii="Times New Roman" w:hAnsi="Times New Roman"/>
                <w:lang w:val="lt-LT"/>
              </w:rPr>
              <w:t>30,1 ± 15,1</w:t>
            </w:r>
          </w:p>
        </w:tc>
        <w:tc>
          <w:tcPr>
            <w:tcW w:w="1009" w:type="pct"/>
          </w:tcPr>
          <w:p w14:paraId="05B0A940" w14:textId="77777777" w:rsidR="00F018C3" w:rsidRPr="00EE75B4" w:rsidRDefault="00F018C3" w:rsidP="00F018C3">
            <w:pPr>
              <w:keepNext/>
              <w:keepLines/>
              <w:spacing w:after="0" w:line="240" w:lineRule="auto"/>
              <w:jc w:val="center"/>
              <w:rPr>
                <w:rFonts w:ascii="Times New Roman" w:hAnsi="Times New Roman"/>
                <w:lang w:val="lt-LT" w:eastAsia="lt-LT"/>
              </w:rPr>
            </w:pPr>
            <w:r w:rsidRPr="00EE75B4">
              <w:rPr>
                <w:rFonts w:ascii="Times New Roman" w:hAnsi="Times New Roman"/>
                <w:lang w:val="lt-LT" w:eastAsia="lt-LT"/>
              </w:rPr>
              <w:t>20,85 ± 5,40</w:t>
            </w:r>
          </w:p>
        </w:tc>
      </w:tr>
      <w:tr w:rsidR="007923DA" w:rsidRPr="00EE75B4" w14:paraId="7D9DC911" w14:textId="77777777" w:rsidTr="00752171">
        <w:trPr>
          <w:cantSplit/>
        </w:trPr>
        <w:tc>
          <w:tcPr>
            <w:tcW w:w="1052" w:type="pct"/>
          </w:tcPr>
          <w:p w14:paraId="3C1C0B3A" w14:textId="77777777" w:rsidR="00F018C3" w:rsidRPr="00EE75B4" w:rsidRDefault="00F018C3" w:rsidP="005427AE">
            <w:pPr>
              <w:keepNext/>
              <w:keepLines/>
              <w:spacing w:after="0" w:line="240" w:lineRule="auto"/>
              <w:rPr>
                <w:rFonts w:ascii="Times New Roman" w:hAnsi="Times New Roman"/>
                <w:lang w:val="lt-LT"/>
              </w:rPr>
            </w:pPr>
            <w:proofErr w:type="spellStart"/>
            <w:r w:rsidRPr="00EE75B4">
              <w:rPr>
                <w:rFonts w:ascii="Times New Roman" w:hAnsi="Times New Roman"/>
                <w:lang w:val="lt-LT"/>
              </w:rPr>
              <w:t>C</w:t>
            </w:r>
            <w:r w:rsidRPr="00EE75B4">
              <w:rPr>
                <w:rFonts w:ascii="Times New Roman" w:hAnsi="Times New Roman"/>
                <w:vertAlign w:val="subscript"/>
                <w:lang w:val="lt-LT"/>
              </w:rPr>
              <w:t>max</w:t>
            </w:r>
            <w:proofErr w:type="spellEnd"/>
            <w:r w:rsidRPr="00EE75B4">
              <w:rPr>
                <w:rFonts w:ascii="Times New Roman" w:hAnsi="Times New Roman"/>
                <w:lang w:val="lt-LT"/>
              </w:rPr>
              <w:t xml:space="preserve"> (µg /ml)</w:t>
            </w:r>
          </w:p>
        </w:tc>
        <w:tc>
          <w:tcPr>
            <w:tcW w:w="921" w:type="pct"/>
          </w:tcPr>
          <w:p w14:paraId="1AE781D2" w14:textId="77777777" w:rsidR="00F018C3" w:rsidRPr="00EE75B4" w:rsidRDefault="00F018C3" w:rsidP="005427AE">
            <w:pPr>
              <w:keepNext/>
              <w:keepLines/>
              <w:spacing w:after="0" w:line="240" w:lineRule="auto"/>
              <w:jc w:val="center"/>
              <w:rPr>
                <w:rFonts w:ascii="Times New Roman" w:hAnsi="Times New Roman"/>
                <w:lang w:val="lt-LT"/>
              </w:rPr>
            </w:pPr>
            <w:r w:rsidRPr="00EE75B4">
              <w:rPr>
                <w:rFonts w:ascii="Times New Roman" w:hAnsi="Times New Roman"/>
                <w:lang w:val="lt-LT"/>
              </w:rPr>
              <w:t>9,03 ± 1,26</w:t>
            </w:r>
          </w:p>
        </w:tc>
        <w:tc>
          <w:tcPr>
            <w:tcW w:w="1008" w:type="pct"/>
          </w:tcPr>
          <w:p w14:paraId="3E6C0F49" w14:textId="77777777" w:rsidR="00F018C3" w:rsidRPr="00EE75B4" w:rsidRDefault="00F018C3" w:rsidP="005427AE">
            <w:pPr>
              <w:keepNext/>
              <w:keepLines/>
              <w:spacing w:after="0" w:line="240" w:lineRule="auto"/>
              <w:jc w:val="center"/>
              <w:rPr>
                <w:rFonts w:ascii="Times New Roman" w:hAnsi="Times New Roman"/>
                <w:lang w:val="lt-LT"/>
              </w:rPr>
            </w:pPr>
            <w:r w:rsidRPr="00EE75B4">
              <w:rPr>
                <w:rFonts w:ascii="Times New Roman" w:hAnsi="Times New Roman"/>
                <w:lang w:val="lt-LT"/>
              </w:rPr>
              <w:t>12,9 ± 21,5</w:t>
            </w:r>
          </w:p>
        </w:tc>
        <w:tc>
          <w:tcPr>
            <w:tcW w:w="1010" w:type="pct"/>
          </w:tcPr>
          <w:p w14:paraId="52932D9F" w14:textId="77777777" w:rsidR="00F018C3" w:rsidRPr="00EE75B4" w:rsidRDefault="00F018C3" w:rsidP="005427AE">
            <w:pPr>
              <w:keepNext/>
              <w:keepLines/>
              <w:spacing w:after="0" w:line="240" w:lineRule="auto"/>
              <w:jc w:val="center"/>
              <w:rPr>
                <w:rFonts w:ascii="Times New Roman" w:hAnsi="Times New Roman"/>
                <w:lang w:val="lt-LT"/>
              </w:rPr>
            </w:pPr>
            <w:r w:rsidRPr="00EE75B4">
              <w:rPr>
                <w:rFonts w:ascii="Times New Roman" w:hAnsi="Times New Roman"/>
                <w:lang w:val="lt-LT"/>
              </w:rPr>
              <w:t>5,44 ± 4,04</w:t>
            </w:r>
          </w:p>
        </w:tc>
        <w:tc>
          <w:tcPr>
            <w:tcW w:w="1009" w:type="pct"/>
          </w:tcPr>
          <w:p w14:paraId="734A1F40" w14:textId="77777777" w:rsidR="00F018C3" w:rsidRPr="00EE75B4" w:rsidRDefault="00F018C3" w:rsidP="005427AE">
            <w:pPr>
              <w:keepNext/>
              <w:keepLines/>
              <w:spacing w:after="0" w:line="240" w:lineRule="auto"/>
              <w:jc w:val="center"/>
              <w:rPr>
                <w:rFonts w:ascii="Times New Roman" w:hAnsi="Times New Roman"/>
                <w:lang w:val="lt-LT" w:eastAsia="lt-LT"/>
              </w:rPr>
            </w:pPr>
            <w:r w:rsidRPr="00EE75B4">
              <w:rPr>
                <w:rFonts w:ascii="Times New Roman" w:hAnsi="Times New Roman"/>
                <w:lang w:val="lt-LT" w:eastAsia="lt-LT"/>
              </w:rPr>
              <w:t>-</w:t>
            </w:r>
          </w:p>
        </w:tc>
      </w:tr>
      <w:tr w:rsidR="007923DA" w:rsidRPr="00EE75B4" w14:paraId="64389403" w14:textId="77777777" w:rsidTr="00752171">
        <w:trPr>
          <w:cantSplit/>
        </w:trPr>
        <w:tc>
          <w:tcPr>
            <w:tcW w:w="1052" w:type="pct"/>
          </w:tcPr>
          <w:p w14:paraId="293783E5" w14:textId="77777777" w:rsidR="00F018C3" w:rsidRPr="00EE75B4" w:rsidRDefault="00F018C3" w:rsidP="005427AE">
            <w:pPr>
              <w:keepNext/>
              <w:keepLines/>
              <w:spacing w:after="0" w:line="240" w:lineRule="auto"/>
              <w:rPr>
                <w:rFonts w:ascii="Times New Roman" w:hAnsi="Times New Roman"/>
                <w:lang w:val="lt-LT"/>
              </w:rPr>
            </w:pPr>
            <w:r w:rsidRPr="00EE75B4">
              <w:rPr>
                <w:rFonts w:ascii="Times New Roman" w:hAnsi="Times New Roman"/>
                <w:lang w:val="lt-LT"/>
              </w:rPr>
              <w:t>t</w:t>
            </w:r>
            <w:r w:rsidRPr="00EE75B4">
              <w:rPr>
                <w:rFonts w:ascii="Times New Roman" w:hAnsi="Times New Roman"/>
                <w:vertAlign w:val="subscript"/>
                <w:lang w:val="lt-LT"/>
              </w:rPr>
              <w:t>½</w:t>
            </w:r>
            <w:r w:rsidRPr="00EE75B4">
              <w:rPr>
                <w:rFonts w:ascii="Times New Roman" w:hAnsi="Times New Roman"/>
                <w:lang w:val="lt-LT"/>
              </w:rPr>
              <w:t xml:space="preserve"> (val.)</w:t>
            </w:r>
          </w:p>
        </w:tc>
        <w:tc>
          <w:tcPr>
            <w:tcW w:w="921" w:type="pct"/>
          </w:tcPr>
          <w:p w14:paraId="51CB9F43" w14:textId="77777777" w:rsidR="00F018C3" w:rsidRPr="00EE75B4" w:rsidRDefault="00F018C3" w:rsidP="005427AE">
            <w:pPr>
              <w:keepNext/>
              <w:keepLines/>
              <w:spacing w:after="0" w:line="240" w:lineRule="auto"/>
              <w:jc w:val="center"/>
              <w:rPr>
                <w:rFonts w:ascii="Times New Roman" w:hAnsi="Times New Roman"/>
                <w:lang w:val="lt-LT"/>
              </w:rPr>
            </w:pPr>
            <w:r w:rsidRPr="00EE75B4">
              <w:rPr>
                <w:rFonts w:ascii="Times New Roman" w:hAnsi="Times New Roman"/>
                <w:lang w:val="lt-LT"/>
              </w:rPr>
              <w:t>3,32 ± 0,47</w:t>
            </w:r>
          </w:p>
        </w:tc>
        <w:tc>
          <w:tcPr>
            <w:tcW w:w="1008" w:type="pct"/>
          </w:tcPr>
          <w:p w14:paraId="0BA9BA97" w14:textId="77777777" w:rsidR="00F018C3" w:rsidRPr="00EE75B4" w:rsidRDefault="00F018C3" w:rsidP="005427AE">
            <w:pPr>
              <w:keepNext/>
              <w:keepLines/>
              <w:spacing w:after="0" w:line="240" w:lineRule="auto"/>
              <w:jc w:val="center"/>
              <w:rPr>
                <w:rFonts w:ascii="Times New Roman" w:hAnsi="Times New Roman"/>
                <w:lang w:val="lt-LT"/>
              </w:rPr>
            </w:pPr>
            <w:r w:rsidRPr="00EE75B4">
              <w:rPr>
                <w:rFonts w:ascii="Times New Roman" w:hAnsi="Times New Roman"/>
                <w:lang w:val="lt-LT"/>
              </w:rPr>
              <w:t>2,52 ± 0,55</w:t>
            </w:r>
          </w:p>
        </w:tc>
        <w:tc>
          <w:tcPr>
            <w:tcW w:w="1010" w:type="pct"/>
          </w:tcPr>
          <w:p w14:paraId="0967DFE4" w14:textId="77777777" w:rsidR="00F018C3" w:rsidRPr="00EE75B4" w:rsidRDefault="00F018C3" w:rsidP="005427AE">
            <w:pPr>
              <w:keepNext/>
              <w:keepLines/>
              <w:spacing w:after="0" w:line="240" w:lineRule="auto"/>
              <w:jc w:val="center"/>
              <w:rPr>
                <w:rFonts w:ascii="Times New Roman" w:hAnsi="Times New Roman"/>
                <w:lang w:val="lt-LT"/>
              </w:rPr>
            </w:pPr>
            <w:r w:rsidRPr="00EE75B4">
              <w:rPr>
                <w:rFonts w:ascii="Times New Roman" w:hAnsi="Times New Roman"/>
                <w:lang w:val="lt-LT"/>
              </w:rPr>
              <w:t>2,98 ± 1,26</w:t>
            </w:r>
          </w:p>
        </w:tc>
        <w:tc>
          <w:tcPr>
            <w:tcW w:w="1009" w:type="pct"/>
          </w:tcPr>
          <w:p w14:paraId="7104E7AC" w14:textId="77777777" w:rsidR="00F018C3" w:rsidRPr="00EE75B4" w:rsidRDefault="00F018C3" w:rsidP="00F018C3">
            <w:pPr>
              <w:keepNext/>
              <w:keepLines/>
              <w:spacing w:after="0" w:line="240" w:lineRule="auto"/>
              <w:jc w:val="center"/>
              <w:rPr>
                <w:rFonts w:ascii="Times New Roman" w:hAnsi="Times New Roman"/>
                <w:lang w:val="lt-LT" w:eastAsia="lt-LT"/>
              </w:rPr>
            </w:pPr>
            <w:r w:rsidRPr="00EE75B4">
              <w:rPr>
                <w:rFonts w:ascii="Times New Roman" w:hAnsi="Times New Roman"/>
                <w:lang w:val="lt-LT" w:eastAsia="lt-LT"/>
              </w:rPr>
              <w:t>2,98 ± 1,12</w:t>
            </w:r>
          </w:p>
        </w:tc>
      </w:tr>
    </w:tbl>
    <w:p w14:paraId="699331E5"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GAN = </w:t>
      </w:r>
      <w:proofErr w:type="spellStart"/>
      <w:r w:rsidRPr="00EE75B4">
        <w:rPr>
          <w:rFonts w:ascii="Times New Roman" w:hAnsi="Times New Roman"/>
          <w:lang w:val="lt-LT"/>
        </w:rPr>
        <w:t>Gancikloviras</w:t>
      </w:r>
      <w:proofErr w:type="spellEnd"/>
      <w:r w:rsidRPr="00EE75B4">
        <w:rPr>
          <w:rFonts w:ascii="Times New Roman" w:hAnsi="Times New Roman"/>
          <w:lang w:val="lt-LT"/>
        </w:rPr>
        <w:t xml:space="preserve">, vartotas į veną. </w:t>
      </w:r>
    </w:p>
    <w:p w14:paraId="4EEE133B"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VAL = </w:t>
      </w:r>
      <w:proofErr w:type="spellStart"/>
      <w:r w:rsidRPr="00EE75B4">
        <w:rPr>
          <w:rFonts w:ascii="Times New Roman" w:hAnsi="Times New Roman"/>
          <w:lang w:val="lt-LT"/>
        </w:rPr>
        <w:t>Valgancikloviras</w:t>
      </w:r>
      <w:proofErr w:type="spellEnd"/>
      <w:r w:rsidRPr="00EE75B4">
        <w:rPr>
          <w:rFonts w:ascii="Times New Roman" w:hAnsi="Times New Roman"/>
          <w:lang w:val="lt-LT"/>
        </w:rPr>
        <w:t>, vartotas per burną.</w:t>
      </w:r>
    </w:p>
    <w:p w14:paraId="1E648DA3" w14:textId="77777777" w:rsidR="005427AE" w:rsidRPr="00EE75B4" w:rsidRDefault="005427AE" w:rsidP="005427AE">
      <w:pPr>
        <w:spacing w:after="0" w:line="240" w:lineRule="auto"/>
        <w:rPr>
          <w:rFonts w:ascii="Times New Roman" w:hAnsi="Times New Roman"/>
          <w:lang w:val="lt-LT"/>
        </w:rPr>
      </w:pPr>
    </w:p>
    <w:p w14:paraId="129A5978"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Šie duomenys yra per maži, kad leistų daryti išvadas apie veiksmingumą ir pateikti dozavimo rekomendacijas vaikams, kuriems yra įgimta CMV infekcija.</w:t>
      </w:r>
    </w:p>
    <w:p w14:paraId="46670D5C" w14:textId="77777777" w:rsidR="00F018C3" w:rsidRPr="00EE75B4" w:rsidRDefault="00F018C3" w:rsidP="005427AE">
      <w:pPr>
        <w:spacing w:after="0" w:line="240" w:lineRule="auto"/>
        <w:rPr>
          <w:rFonts w:ascii="Times New Roman" w:hAnsi="Times New Roman"/>
          <w:lang w:val="lt-LT"/>
        </w:rPr>
      </w:pPr>
    </w:p>
    <w:p w14:paraId="7A78682C" w14:textId="77777777" w:rsidR="00F018C3" w:rsidRPr="00EE75B4" w:rsidRDefault="00F018C3" w:rsidP="00F018C3">
      <w:pPr>
        <w:pStyle w:val="Default"/>
        <w:rPr>
          <w:color w:val="auto"/>
          <w:sz w:val="22"/>
          <w:szCs w:val="22"/>
          <w:lang w:val="lt-LT"/>
        </w:rPr>
      </w:pPr>
      <w:r w:rsidRPr="00EE75B4">
        <w:rPr>
          <w:i/>
          <w:iCs/>
          <w:color w:val="auto"/>
          <w:sz w:val="22"/>
          <w:szCs w:val="22"/>
          <w:lang w:val="lt-LT"/>
        </w:rPr>
        <w:t xml:space="preserve">Senyvi pacientai </w:t>
      </w:r>
    </w:p>
    <w:p w14:paraId="78415372" w14:textId="77777777" w:rsidR="00F018C3" w:rsidRPr="00EE75B4" w:rsidRDefault="00F018C3" w:rsidP="00F018C3">
      <w:pPr>
        <w:pStyle w:val="Default"/>
        <w:rPr>
          <w:color w:val="auto"/>
          <w:sz w:val="22"/>
          <w:szCs w:val="22"/>
          <w:lang w:val="lt-LT"/>
        </w:rPr>
      </w:pPr>
      <w:proofErr w:type="spellStart"/>
      <w:r w:rsidRPr="00EE75B4">
        <w:rPr>
          <w:color w:val="auto"/>
          <w:sz w:val="22"/>
          <w:szCs w:val="22"/>
          <w:lang w:val="lt-LT"/>
        </w:rPr>
        <w:t>Valgancikloviro</w:t>
      </w:r>
      <w:proofErr w:type="spellEnd"/>
      <w:r w:rsidRPr="00EE75B4">
        <w:rPr>
          <w:color w:val="auto"/>
          <w:sz w:val="22"/>
          <w:szCs w:val="22"/>
          <w:lang w:val="lt-LT"/>
        </w:rPr>
        <w:t xml:space="preserve"> ar </w:t>
      </w:r>
      <w:proofErr w:type="spellStart"/>
      <w:r w:rsidRPr="00EE75B4">
        <w:rPr>
          <w:color w:val="auto"/>
          <w:sz w:val="22"/>
          <w:szCs w:val="22"/>
          <w:lang w:val="lt-LT"/>
        </w:rPr>
        <w:t>gancikloviro</w:t>
      </w:r>
      <w:proofErr w:type="spellEnd"/>
      <w:r w:rsidRPr="00EE75B4">
        <w:rPr>
          <w:color w:val="auto"/>
          <w:sz w:val="22"/>
          <w:szCs w:val="22"/>
          <w:lang w:val="lt-LT"/>
        </w:rPr>
        <w:t xml:space="preserve"> </w:t>
      </w:r>
      <w:proofErr w:type="spellStart"/>
      <w:r w:rsidRPr="00EE75B4">
        <w:rPr>
          <w:color w:val="auto"/>
          <w:sz w:val="22"/>
          <w:szCs w:val="22"/>
          <w:lang w:val="lt-LT"/>
        </w:rPr>
        <w:t>farmakokinetikos</w:t>
      </w:r>
      <w:proofErr w:type="spellEnd"/>
      <w:r w:rsidRPr="00EE75B4">
        <w:rPr>
          <w:color w:val="auto"/>
          <w:sz w:val="22"/>
          <w:szCs w:val="22"/>
          <w:lang w:val="lt-LT"/>
        </w:rPr>
        <w:t xml:space="preserve"> tyrimų su vyresniais kaip 65 metų suaugusiaisiais neatlikta (žr. 4.2 skyrių). </w:t>
      </w:r>
    </w:p>
    <w:p w14:paraId="7D2B392B" w14:textId="77777777" w:rsidR="00F018C3" w:rsidRPr="00EE75B4" w:rsidRDefault="00F018C3" w:rsidP="00F018C3">
      <w:pPr>
        <w:pStyle w:val="Default"/>
        <w:rPr>
          <w:color w:val="auto"/>
          <w:sz w:val="22"/>
          <w:szCs w:val="22"/>
          <w:lang w:val="lt-LT"/>
        </w:rPr>
      </w:pPr>
    </w:p>
    <w:p w14:paraId="7E3D1117" w14:textId="77777777" w:rsidR="00F018C3" w:rsidRPr="00EE75B4" w:rsidRDefault="00F018C3" w:rsidP="00F018C3">
      <w:pPr>
        <w:pStyle w:val="Default"/>
        <w:rPr>
          <w:color w:val="auto"/>
          <w:sz w:val="22"/>
          <w:szCs w:val="22"/>
          <w:lang w:val="lt-LT"/>
        </w:rPr>
      </w:pPr>
      <w:r w:rsidRPr="00EE75B4">
        <w:rPr>
          <w:i/>
          <w:iCs/>
          <w:color w:val="auto"/>
          <w:sz w:val="22"/>
          <w:szCs w:val="22"/>
          <w:lang w:val="lt-LT"/>
        </w:rPr>
        <w:t xml:space="preserve">Pacientams, kurių inkstų funkcija sutrikusi </w:t>
      </w:r>
    </w:p>
    <w:p w14:paraId="07C5A3E8" w14:textId="77777777" w:rsidR="00F018C3" w:rsidRPr="00EE75B4" w:rsidRDefault="00F018C3" w:rsidP="00F018C3">
      <w:pPr>
        <w:pStyle w:val="Default"/>
        <w:rPr>
          <w:color w:val="auto"/>
          <w:sz w:val="22"/>
          <w:szCs w:val="22"/>
          <w:lang w:val="lt-LT"/>
        </w:rPr>
      </w:pPr>
      <w:proofErr w:type="spellStart"/>
      <w:r w:rsidRPr="00EE75B4">
        <w:rPr>
          <w:color w:val="auto"/>
          <w:sz w:val="22"/>
          <w:szCs w:val="22"/>
          <w:lang w:val="lt-LT"/>
        </w:rPr>
        <w:t>Gancikloviro</w:t>
      </w:r>
      <w:proofErr w:type="spellEnd"/>
      <w:r w:rsidRPr="00EE75B4">
        <w:rPr>
          <w:color w:val="auto"/>
          <w:sz w:val="22"/>
          <w:szCs w:val="22"/>
          <w:lang w:val="lt-LT"/>
        </w:rPr>
        <w:t xml:space="preserve">, susidariusio iš vienos išgertos 900 mg </w:t>
      </w:r>
      <w:proofErr w:type="spellStart"/>
      <w:r w:rsidRPr="00EE75B4">
        <w:rPr>
          <w:color w:val="auto"/>
          <w:sz w:val="22"/>
          <w:szCs w:val="22"/>
          <w:lang w:val="lt-LT"/>
        </w:rPr>
        <w:t>valgancikloviro</w:t>
      </w:r>
      <w:proofErr w:type="spellEnd"/>
      <w:r w:rsidRPr="00EE75B4">
        <w:rPr>
          <w:color w:val="auto"/>
          <w:sz w:val="22"/>
          <w:szCs w:val="22"/>
          <w:lang w:val="lt-LT"/>
        </w:rPr>
        <w:t xml:space="preserve"> dozės, </w:t>
      </w:r>
      <w:proofErr w:type="spellStart"/>
      <w:r w:rsidRPr="00EE75B4">
        <w:rPr>
          <w:color w:val="auto"/>
          <w:sz w:val="22"/>
          <w:szCs w:val="22"/>
          <w:lang w:val="lt-LT"/>
        </w:rPr>
        <w:t>farmakokinetika</w:t>
      </w:r>
      <w:proofErr w:type="spellEnd"/>
      <w:r w:rsidRPr="00EE75B4">
        <w:rPr>
          <w:color w:val="auto"/>
          <w:sz w:val="22"/>
          <w:szCs w:val="22"/>
          <w:lang w:val="lt-LT"/>
        </w:rPr>
        <w:t xml:space="preserve"> buvo vertinta su 24 savanoriais, kurių tik inkstų veikla buvo sutrikusi. </w:t>
      </w:r>
    </w:p>
    <w:p w14:paraId="442DBB32" w14:textId="77777777" w:rsidR="00F018C3" w:rsidRPr="00EE75B4" w:rsidRDefault="00F018C3" w:rsidP="00F018C3">
      <w:pPr>
        <w:pStyle w:val="Default"/>
        <w:rPr>
          <w:color w:val="auto"/>
          <w:sz w:val="22"/>
          <w:szCs w:val="22"/>
          <w:lang w:val="lt-LT"/>
        </w:rPr>
      </w:pPr>
    </w:p>
    <w:p w14:paraId="297344AF" w14:textId="77777777" w:rsidR="00F018C3" w:rsidRPr="00EE75B4" w:rsidRDefault="00F018C3" w:rsidP="00732BB8">
      <w:pPr>
        <w:pStyle w:val="Default"/>
        <w:rPr>
          <w:color w:val="auto"/>
          <w:lang w:val="lt-LT"/>
        </w:rPr>
      </w:pPr>
      <w:proofErr w:type="spellStart"/>
      <w:r w:rsidRPr="00EE75B4">
        <w:rPr>
          <w:color w:val="auto"/>
          <w:sz w:val="22"/>
          <w:szCs w:val="22"/>
          <w:lang w:val="lt-LT"/>
        </w:rPr>
        <w:t>Gancikloviro</w:t>
      </w:r>
      <w:proofErr w:type="spellEnd"/>
      <w:r w:rsidRPr="00EE75B4">
        <w:rPr>
          <w:color w:val="auto"/>
          <w:sz w:val="22"/>
          <w:szCs w:val="22"/>
          <w:lang w:val="lt-LT"/>
        </w:rPr>
        <w:t xml:space="preserve">, susidariusio iš vienos išgertos 900 mg </w:t>
      </w:r>
      <w:proofErr w:type="spellStart"/>
      <w:r w:rsidRPr="00EE75B4">
        <w:rPr>
          <w:color w:val="auto"/>
          <w:sz w:val="22"/>
          <w:szCs w:val="22"/>
          <w:lang w:val="lt-LT"/>
        </w:rPr>
        <w:t>Valganciclovir</w:t>
      </w:r>
      <w:proofErr w:type="spellEnd"/>
      <w:r w:rsidRPr="00EE75B4">
        <w:rPr>
          <w:color w:val="auto"/>
          <w:sz w:val="22"/>
          <w:szCs w:val="22"/>
          <w:lang w:val="lt-LT"/>
        </w:rPr>
        <w:t xml:space="preserve"> </w:t>
      </w:r>
      <w:proofErr w:type="spellStart"/>
      <w:r w:rsidRPr="00EE75B4">
        <w:rPr>
          <w:color w:val="auto"/>
          <w:sz w:val="22"/>
          <w:szCs w:val="22"/>
          <w:lang w:val="lt-LT"/>
        </w:rPr>
        <w:t>Accord</w:t>
      </w:r>
      <w:proofErr w:type="spellEnd"/>
      <w:r w:rsidRPr="00EE75B4">
        <w:rPr>
          <w:rFonts w:eastAsia="Times New Roman"/>
          <w:color w:val="auto"/>
          <w:lang w:val="lt-LT" w:eastAsia="ja-JP"/>
        </w:rPr>
        <w:t xml:space="preserve"> </w:t>
      </w:r>
      <w:r w:rsidRPr="00EE75B4">
        <w:rPr>
          <w:color w:val="auto"/>
          <w:sz w:val="22"/>
          <w:szCs w:val="22"/>
          <w:lang w:val="lt-LT"/>
        </w:rPr>
        <w:t xml:space="preserve">tablečių dozės, </w:t>
      </w:r>
      <w:proofErr w:type="spellStart"/>
      <w:r w:rsidRPr="00EE75B4">
        <w:rPr>
          <w:color w:val="auto"/>
          <w:sz w:val="22"/>
          <w:szCs w:val="22"/>
          <w:lang w:val="lt-LT"/>
        </w:rPr>
        <w:t>farmakokinetikos</w:t>
      </w:r>
      <w:proofErr w:type="spellEnd"/>
      <w:r w:rsidRPr="00EE75B4">
        <w:rPr>
          <w:color w:val="auto"/>
          <w:sz w:val="22"/>
          <w:szCs w:val="22"/>
          <w:lang w:val="lt-LT"/>
        </w:rPr>
        <w:t xml:space="preserve"> parametrai pacientų, sergančių įvairaus laipsnio inkstų veiklos sutrikimu.</w:t>
      </w:r>
    </w:p>
    <w:p w14:paraId="461EA70B" w14:textId="77777777" w:rsidR="00DF6289" w:rsidRPr="00EE75B4" w:rsidRDefault="00DF6289" w:rsidP="00732BB8">
      <w:pPr>
        <w:pStyle w:val="Default"/>
        <w:rPr>
          <w:color w:val="auto"/>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24"/>
        <w:gridCol w:w="703"/>
        <w:gridCol w:w="2254"/>
        <w:gridCol w:w="2114"/>
        <w:gridCol w:w="2465"/>
      </w:tblGrid>
      <w:tr w:rsidR="00581BF7" w:rsidRPr="00EE75B4" w14:paraId="65E85EDF" w14:textId="77777777" w:rsidTr="00DF6289">
        <w:tc>
          <w:tcPr>
            <w:tcW w:w="1526" w:type="dxa"/>
            <w:shd w:val="clear" w:color="auto" w:fill="auto"/>
            <w:tcMar>
              <w:top w:w="0" w:type="dxa"/>
              <w:left w:w="108" w:type="dxa"/>
              <w:bottom w:w="0" w:type="dxa"/>
              <w:right w:w="108" w:type="dxa"/>
            </w:tcMar>
            <w:hideMark/>
          </w:tcPr>
          <w:p w14:paraId="20FB370D" w14:textId="77777777" w:rsidR="00DF6289" w:rsidRPr="00EE75B4" w:rsidRDefault="00DF6289">
            <w:pPr>
              <w:spacing w:after="0" w:line="280" w:lineRule="atLeast"/>
              <w:rPr>
                <w:rFonts w:ascii="Arial" w:hAnsi="Arial" w:cs="Arial"/>
                <w:sz w:val="20"/>
                <w:szCs w:val="20"/>
                <w:lang w:val="lt-LT"/>
              </w:rPr>
            </w:pPr>
            <w:r w:rsidRPr="00EE75B4">
              <w:rPr>
                <w:rFonts w:ascii="Times New Roman" w:hAnsi="Times New Roman"/>
                <w:b/>
                <w:bCs/>
                <w:sz w:val="20"/>
                <w:szCs w:val="20"/>
                <w:lang w:val="lt-LT"/>
              </w:rPr>
              <w:t xml:space="preserve">Apytikriai apskaičiuotas </w:t>
            </w:r>
            <w:proofErr w:type="spellStart"/>
            <w:r w:rsidRPr="00EE75B4">
              <w:rPr>
                <w:rFonts w:ascii="Times New Roman" w:hAnsi="Times New Roman"/>
                <w:b/>
                <w:bCs/>
                <w:sz w:val="20"/>
                <w:szCs w:val="20"/>
                <w:lang w:val="lt-LT"/>
              </w:rPr>
              <w:t>kreatinino</w:t>
            </w:r>
            <w:proofErr w:type="spellEnd"/>
            <w:r w:rsidRPr="00EE75B4">
              <w:rPr>
                <w:rFonts w:ascii="Times New Roman" w:hAnsi="Times New Roman"/>
                <w:b/>
                <w:bCs/>
                <w:sz w:val="20"/>
                <w:szCs w:val="20"/>
                <w:lang w:val="lt-LT"/>
              </w:rPr>
              <w:t xml:space="preserve"> klirensas (ml/min)</w:t>
            </w:r>
          </w:p>
        </w:tc>
        <w:tc>
          <w:tcPr>
            <w:tcW w:w="709" w:type="dxa"/>
            <w:shd w:val="clear" w:color="auto" w:fill="auto"/>
            <w:tcMar>
              <w:top w:w="0" w:type="dxa"/>
              <w:left w:w="108" w:type="dxa"/>
              <w:bottom w:w="0" w:type="dxa"/>
              <w:right w:w="108" w:type="dxa"/>
            </w:tcMar>
            <w:hideMark/>
          </w:tcPr>
          <w:p w14:paraId="607BB055"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b/>
                <w:bCs/>
                <w:sz w:val="20"/>
                <w:szCs w:val="20"/>
                <w:lang w:val="lt-LT"/>
              </w:rPr>
              <w:t>N</w:t>
            </w:r>
          </w:p>
        </w:tc>
        <w:tc>
          <w:tcPr>
            <w:tcW w:w="2268" w:type="dxa"/>
            <w:shd w:val="clear" w:color="auto" w:fill="auto"/>
            <w:tcMar>
              <w:top w:w="0" w:type="dxa"/>
              <w:left w:w="108" w:type="dxa"/>
              <w:bottom w:w="0" w:type="dxa"/>
              <w:right w:w="108" w:type="dxa"/>
            </w:tcMar>
            <w:hideMark/>
          </w:tcPr>
          <w:p w14:paraId="04289914"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b/>
                <w:bCs/>
                <w:sz w:val="20"/>
                <w:szCs w:val="20"/>
                <w:lang w:val="lt-LT"/>
              </w:rPr>
              <w:t>Menamas klirensas (ml/min) Vidurkis </w:t>
            </w:r>
            <w:r w:rsidRPr="00EE75B4">
              <w:rPr>
                <w:rFonts w:ascii="Symbol" w:hAnsi="Symbol" w:cs="Arial"/>
                <w:sz w:val="20"/>
                <w:szCs w:val="20"/>
                <w:lang w:val="lt-LT"/>
              </w:rPr>
              <w:t></w:t>
            </w:r>
            <w:r w:rsidRPr="00EE75B4">
              <w:rPr>
                <w:rFonts w:ascii="Times New Roman" w:hAnsi="Times New Roman"/>
                <w:b/>
                <w:bCs/>
                <w:sz w:val="20"/>
                <w:szCs w:val="20"/>
                <w:lang w:val="lt-LT"/>
              </w:rPr>
              <w:t>SD</w:t>
            </w:r>
          </w:p>
        </w:tc>
        <w:tc>
          <w:tcPr>
            <w:tcW w:w="2126" w:type="dxa"/>
            <w:shd w:val="clear" w:color="auto" w:fill="auto"/>
            <w:tcMar>
              <w:top w:w="0" w:type="dxa"/>
              <w:left w:w="108" w:type="dxa"/>
              <w:bottom w:w="0" w:type="dxa"/>
              <w:right w:w="108" w:type="dxa"/>
            </w:tcMar>
            <w:hideMark/>
          </w:tcPr>
          <w:p w14:paraId="248552D5" w14:textId="77777777" w:rsidR="00DF6289" w:rsidRPr="00EE75B4" w:rsidRDefault="00DF6289" w:rsidP="00DF6289">
            <w:pPr>
              <w:spacing w:after="0" w:line="280" w:lineRule="atLeast"/>
              <w:rPr>
                <w:rFonts w:ascii="Arial" w:hAnsi="Arial" w:cs="Arial"/>
                <w:sz w:val="20"/>
                <w:szCs w:val="20"/>
                <w:lang w:val="lt-LT"/>
              </w:rPr>
            </w:pPr>
            <w:proofErr w:type="spellStart"/>
            <w:r w:rsidRPr="00EE75B4">
              <w:rPr>
                <w:rFonts w:ascii="Times New Roman" w:hAnsi="Times New Roman"/>
                <w:b/>
                <w:bCs/>
                <w:sz w:val="20"/>
                <w:szCs w:val="20"/>
                <w:lang w:val="lt-LT"/>
              </w:rPr>
              <w:t>AUCpask</w:t>
            </w:r>
            <w:proofErr w:type="spellEnd"/>
            <w:r w:rsidRPr="00EE75B4">
              <w:rPr>
                <w:rFonts w:ascii="Times New Roman" w:hAnsi="Times New Roman"/>
                <w:b/>
                <w:bCs/>
                <w:sz w:val="20"/>
                <w:szCs w:val="20"/>
                <w:lang w:val="lt-LT"/>
              </w:rPr>
              <w:t xml:space="preserve"> (</w:t>
            </w:r>
            <w:proofErr w:type="spellStart"/>
            <w:r w:rsidRPr="00EE75B4">
              <w:rPr>
                <w:rFonts w:ascii="Times New Roman" w:hAnsi="Times New Roman"/>
                <w:b/>
                <w:bCs/>
                <w:sz w:val="20"/>
                <w:szCs w:val="20"/>
                <w:lang w:val="lt-LT"/>
              </w:rPr>
              <w:t>mkg∙val</w:t>
            </w:r>
            <w:proofErr w:type="spellEnd"/>
            <w:r w:rsidRPr="00EE75B4">
              <w:rPr>
                <w:rFonts w:ascii="Times New Roman" w:hAnsi="Times New Roman"/>
                <w:b/>
                <w:bCs/>
                <w:sz w:val="20"/>
                <w:szCs w:val="20"/>
                <w:lang w:val="lt-LT"/>
              </w:rPr>
              <w:t>/ml) Vidurkis </w:t>
            </w:r>
            <w:r w:rsidRPr="00EE75B4">
              <w:rPr>
                <w:rFonts w:ascii="Symbol" w:hAnsi="Symbol" w:cs="Arial"/>
                <w:sz w:val="20"/>
                <w:szCs w:val="20"/>
                <w:lang w:val="lt-LT"/>
              </w:rPr>
              <w:t></w:t>
            </w:r>
            <w:r w:rsidRPr="00EE75B4">
              <w:rPr>
                <w:rFonts w:ascii="Times New Roman" w:hAnsi="Times New Roman"/>
                <w:b/>
                <w:bCs/>
                <w:sz w:val="20"/>
                <w:szCs w:val="20"/>
                <w:lang w:val="lt-LT"/>
              </w:rPr>
              <w:t>SD</w:t>
            </w:r>
          </w:p>
        </w:tc>
        <w:tc>
          <w:tcPr>
            <w:tcW w:w="2482" w:type="dxa"/>
            <w:shd w:val="clear" w:color="auto" w:fill="auto"/>
            <w:tcMar>
              <w:top w:w="0" w:type="dxa"/>
              <w:left w:w="108" w:type="dxa"/>
              <w:bottom w:w="0" w:type="dxa"/>
              <w:right w:w="108" w:type="dxa"/>
            </w:tcMar>
            <w:hideMark/>
          </w:tcPr>
          <w:p w14:paraId="29C7828F"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b/>
                <w:bCs/>
                <w:sz w:val="20"/>
                <w:szCs w:val="20"/>
                <w:lang w:val="lt-LT"/>
              </w:rPr>
              <w:t>Pusinis gyvavimo laikas (valandomis) Vidurkis </w:t>
            </w:r>
            <w:r w:rsidRPr="00EE75B4">
              <w:rPr>
                <w:rFonts w:ascii="Symbol" w:hAnsi="Symbol" w:cs="Arial"/>
                <w:sz w:val="20"/>
                <w:szCs w:val="20"/>
                <w:lang w:val="lt-LT"/>
              </w:rPr>
              <w:t></w:t>
            </w:r>
            <w:r w:rsidRPr="00EE75B4">
              <w:rPr>
                <w:rFonts w:ascii="Times New Roman" w:hAnsi="Times New Roman"/>
                <w:b/>
                <w:bCs/>
                <w:sz w:val="20"/>
                <w:szCs w:val="20"/>
                <w:lang w:val="lt-LT"/>
              </w:rPr>
              <w:t>SD</w:t>
            </w:r>
          </w:p>
        </w:tc>
      </w:tr>
      <w:tr w:rsidR="00581BF7" w:rsidRPr="00EE75B4" w14:paraId="63280CFE" w14:textId="77777777" w:rsidTr="00DF6289">
        <w:tc>
          <w:tcPr>
            <w:tcW w:w="1526" w:type="dxa"/>
            <w:shd w:val="clear" w:color="auto" w:fill="auto"/>
            <w:tcMar>
              <w:top w:w="0" w:type="dxa"/>
              <w:left w:w="108" w:type="dxa"/>
              <w:bottom w:w="0" w:type="dxa"/>
              <w:right w:w="108" w:type="dxa"/>
            </w:tcMar>
            <w:hideMark/>
          </w:tcPr>
          <w:p w14:paraId="1E8C7053"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51–70</w:t>
            </w:r>
          </w:p>
        </w:tc>
        <w:tc>
          <w:tcPr>
            <w:tcW w:w="709" w:type="dxa"/>
            <w:shd w:val="clear" w:color="auto" w:fill="auto"/>
            <w:tcMar>
              <w:top w:w="0" w:type="dxa"/>
              <w:left w:w="108" w:type="dxa"/>
              <w:bottom w:w="0" w:type="dxa"/>
              <w:right w:w="108" w:type="dxa"/>
            </w:tcMar>
            <w:hideMark/>
          </w:tcPr>
          <w:p w14:paraId="0CBDD56E"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6</w:t>
            </w:r>
          </w:p>
        </w:tc>
        <w:tc>
          <w:tcPr>
            <w:tcW w:w="2268" w:type="dxa"/>
            <w:shd w:val="clear" w:color="auto" w:fill="auto"/>
            <w:tcMar>
              <w:top w:w="0" w:type="dxa"/>
              <w:left w:w="108" w:type="dxa"/>
              <w:bottom w:w="0" w:type="dxa"/>
              <w:right w:w="108" w:type="dxa"/>
            </w:tcMar>
            <w:hideMark/>
          </w:tcPr>
          <w:p w14:paraId="69B1960E"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249 </w:t>
            </w:r>
            <w:r w:rsidRPr="00EE75B4">
              <w:rPr>
                <w:rFonts w:ascii="Symbol" w:hAnsi="Symbol" w:cs="Arial"/>
                <w:sz w:val="20"/>
                <w:szCs w:val="20"/>
                <w:lang w:val="lt-LT"/>
              </w:rPr>
              <w:t></w:t>
            </w:r>
            <w:r w:rsidRPr="00EE75B4">
              <w:rPr>
                <w:rFonts w:ascii="Times New Roman" w:hAnsi="Times New Roman"/>
                <w:sz w:val="20"/>
                <w:szCs w:val="20"/>
                <w:lang w:val="lt-LT"/>
              </w:rPr>
              <w:t>99</w:t>
            </w:r>
          </w:p>
        </w:tc>
        <w:tc>
          <w:tcPr>
            <w:tcW w:w="2126" w:type="dxa"/>
            <w:shd w:val="clear" w:color="auto" w:fill="auto"/>
            <w:tcMar>
              <w:top w:w="0" w:type="dxa"/>
              <w:left w:w="108" w:type="dxa"/>
              <w:bottom w:w="0" w:type="dxa"/>
              <w:right w:w="108" w:type="dxa"/>
            </w:tcMar>
            <w:hideMark/>
          </w:tcPr>
          <w:p w14:paraId="5CD680A9"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 xml:space="preserve">49,5 ± 22,4 </w:t>
            </w:r>
          </w:p>
        </w:tc>
        <w:tc>
          <w:tcPr>
            <w:tcW w:w="2482" w:type="dxa"/>
            <w:shd w:val="clear" w:color="auto" w:fill="auto"/>
            <w:tcMar>
              <w:top w:w="0" w:type="dxa"/>
              <w:left w:w="108" w:type="dxa"/>
              <w:bottom w:w="0" w:type="dxa"/>
              <w:right w:w="108" w:type="dxa"/>
            </w:tcMar>
            <w:hideMark/>
          </w:tcPr>
          <w:p w14:paraId="2C12AA9D"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4,85 </w:t>
            </w:r>
            <w:r w:rsidRPr="00EE75B4">
              <w:rPr>
                <w:rFonts w:ascii="Symbol" w:hAnsi="Symbol" w:cs="Arial"/>
                <w:sz w:val="20"/>
                <w:szCs w:val="20"/>
                <w:lang w:val="lt-LT"/>
              </w:rPr>
              <w:t></w:t>
            </w:r>
            <w:r w:rsidRPr="00EE75B4">
              <w:rPr>
                <w:rFonts w:ascii="Times New Roman" w:hAnsi="Times New Roman"/>
                <w:sz w:val="20"/>
                <w:szCs w:val="20"/>
                <w:lang w:val="lt-LT"/>
              </w:rPr>
              <w:t>1,4</w:t>
            </w:r>
          </w:p>
        </w:tc>
      </w:tr>
      <w:tr w:rsidR="00581BF7" w:rsidRPr="00EE75B4" w14:paraId="31C9432C" w14:textId="77777777" w:rsidTr="00DF6289">
        <w:tc>
          <w:tcPr>
            <w:tcW w:w="1526" w:type="dxa"/>
            <w:shd w:val="clear" w:color="auto" w:fill="auto"/>
            <w:tcMar>
              <w:top w:w="0" w:type="dxa"/>
              <w:left w:w="108" w:type="dxa"/>
              <w:bottom w:w="0" w:type="dxa"/>
              <w:right w:w="108" w:type="dxa"/>
            </w:tcMar>
            <w:hideMark/>
          </w:tcPr>
          <w:p w14:paraId="128762D0"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21–50</w:t>
            </w:r>
          </w:p>
        </w:tc>
        <w:tc>
          <w:tcPr>
            <w:tcW w:w="709" w:type="dxa"/>
            <w:shd w:val="clear" w:color="auto" w:fill="auto"/>
            <w:tcMar>
              <w:top w:w="0" w:type="dxa"/>
              <w:left w:w="108" w:type="dxa"/>
              <w:bottom w:w="0" w:type="dxa"/>
              <w:right w:w="108" w:type="dxa"/>
            </w:tcMar>
            <w:hideMark/>
          </w:tcPr>
          <w:p w14:paraId="6EE686AC"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6</w:t>
            </w:r>
          </w:p>
        </w:tc>
        <w:tc>
          <w:tcPr>
            <w:tcW w:w="2268" w:type="dxa"/>
            <w:shd w:val="clear" w:color="auto" w:fill="auto"/>
            <w:tcMar>
              <w:top w:w="0" w:type="dxa"/>
              <w:left w:w="108" w:type="dxa"/>
              <w:bottom w:w="0" w:type="dxa"/>
              <w:right w:w="108" w:type="dxa"/>
            </w:tcMar>
            <w:hideMark/>
          </w:tcPr>
          <w:p w14:paraId="1CC96EC5"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136 </w:t>
            </w:r>
            <w:r w:rsidRPr="00EE75B4">
              <w:rPr>
                <w:rFonts w:ascii="Symbol" w:hAnsi="Symbol" w:cs="Arial"/>
                <w:sz w:val="20"/>
                <w:szCs w:val="20"/>
                <w:lang w:val="lt-LT"/>
              </w:rPr>
              <w:t></w:t>
            </w:r>
            <w:r w:rsidRPr="00EE75B4">
              <w:rPr>
                <w:rFonts w:ascii="Times New Roman" w:hAnsi="Times New Roman"/>
                <w:sz w:val="20"/>
                <w:szCs w:val="20"/>
                <w:lang w:val="lt-LT"/>
              </w:rPr>
              <w:t>64</w:t>
            </w:r>
          </w:p>
        </w:tc>
        <w:tc>
          <w:tcPr>
            <w:tcW w:w="2126" w:type="dxa"/>
            <w:shd w:val="clear" w:color="auto" w:fill="auto"/>
            <w:tcMar>
              <w:top w:w="0" w:type="dxa"/>
              <w:left w:w="108" w:type="dxa"/>
              <w:bottom w:w="0" w:type="dxa"/>
              <w:right w:w="108" w:type="dxa"/>
            </w:tcMar>
            <w:hideMark/>
          </w:tcPr>
          <w:p w14:paraId="76AB3FD3"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91,9 </w:t>
            </w:r>
            <w:r w:rsidRPr="00EE75B4">
              <w:rPr>
                <w:rFonts w:ascii="Symbol" w:hAnsi="Symbol" w:cs="Arial"/>
                <w:sz w:val="20"/>
                <w:szCs w:val="20"/>
                <w:lang w:val="lt-LT"/>
              </w:rPr>
              <w:t></w:t>
            </w:r>
            <w:r w:rsidRPr="00EE75B4">
              <w:rPr>
                <w:rFonts w:ascii="Times New Roman" w:hAnsi="Times New Roman"/>
                <w:sz w:val="20"/>
                <w:szCs w:val="20"/>
                <w:lang w:val="lt-LT"/>
              </w:rPr>
              <w:t>43,9</w:t>
            </w:r>
          </w:p>
        </w:tc>
        <w:tc>
          <w:tcPr>
            <w:tcW w:w="2482" w:type="dxa"/>
            <w:shd w:val="clear" w:color="auto" w:fill="auto"/>
            <w:tcMar>
              <w:top w:w="0" w:type="dxa"/>
              <w:left w:w="108" w:type="dxa"/>
              <w:bottom w:w="0" w:type="dxa"/>
              <w:right w:w="108" w:type="dxa"/>
            </w:tcMar>
            <w:hideMark/>
          </w:tcPr>
          <w:p w14:paraId="22BC6DB3"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10,2 </w:t>
            </w:r>
            <w:r w:rsidRPr="00EE75B4">
              <w:rPr>
                <w:rFonts w:ascii="Symbol" w:hAnsi="Symbol" w:cs="Arial"/>
                <w:sz w:val="20"/>
                <w:szCs w:val="20"/>
                <w:lang w:val="lt-LT"/>
              </w:rPr>
              <w:t></w:t>
            </w:r>
            <w:r w:rsidRPr="00EE75B4">
              <w:rPr>
                <w:rFonts w:ascii="Times New Roman" w:hAnsi="Times New Roman"/>
                <w:sz w:val="20"/>
                <w:szCs w:val="20"/>
                <w:lang w:val="lt-LT"/>
              </w:rPr>
              <w:t>4,4</w:t>
            </w:r>
          </w:p>
        </w:tc>
      </w:tr>
      <w:tr w:rsidR="00581BF7" w:rsidRPr="00EE75B4" w14:paraId="76AA355D" w14:textId="77777777" w:rsidTr="00DF6289">
        <w:tc>
          <w:tcPr>
            <w:tcW w:w="1526" w:type="dxa"/>
            <w:shd w:val="clear" w:color="auto" w:fill="auto"/>
            <w:tcMar>
              <w:top w:w="0" w:type="dxa"/>
              <w:left w:w="108" w:type="dxa"/>
              <w:bottom w:w="0" w:type="dxa"/>
              <w:right w:w="108" w:type="dxa"/>
            </w:tcMar>
            <w:hideMark/>
          </w:tcPr>
          <w:p w14:paraId="1122ABFB"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11–20</w:t>
            </w:r>
          </w:p>
        </w:tc>
        <w:tc>
          <w:tcPr>
            <w:tcW w:w="709" w:type="dxa"/>
            <w:shd w:val="clear" w:color="auto" w:fill="auto"/>
            <w:tcMar>
              <w:top w:w="0" w:type="dxa"/>
              <w:left w:w="108" w:type="dxa"/>
              <w:bottom w:w="0" w:type="dxa"/>
              <w:right w:w="108" w:type="dxa"/>
            </w:tcMar>
            <w:hideMark/>
          </w:tcPr>
          <w:p w14:paraId="7A2C6A1D"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6</w:t>
            </w:r>
          </w:p>
        </w:tc>
        <w:tc>
          <w:tcPr>
            <w:tcW w:w="2268" w:type="dxa"/>
            <w:shd w:val="clear" w:color="auto" w:fill="auto"/>
            <w:tcMar>
              <w:top w:w="0" w:type="dxa"/>
              <w:left w:w="108" w:type="dxa"/>
              <w:bottom w:w="0" w:type="dxa"/>
              <w:right w:w="108" w:type="dxa"/>
            </w:tcMar>
            <w:hideMark/>
          </w:tcPr>
          <w:p w14:paraId="14EFC1A4"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45 </w:t>
            </w:r>
            <w:r w:rsidRPr="00EE75B4">
              <w:rPr>
                <w:rFonts w:ascii="Symbol" w:hAnsi="Symbol" w:cs="Arial"/>
                <w:sz w:val="20"/>
                <w:szCs w:val="20"/>
                <w:lang w:val="lt-LT"/>
              </w:rPr>
              <w:t></w:t>
            </w:r>
            <w:r w:rsidRPr="00EE75B4">
              <w:rPr>
                <w:rFonts w:ascii="Times New Roman" w:hAnsi="Times New Roman"/>
                <w:sz w:val="20"/>
                <w:szCs w:val="20"/>
                <w:lang w:val="lt-LT"/>
              </w:rPr>
              <w:t>11</w:t>
            </w:r>
          </w:p>
        </w:tc>
        <w:tc>
          <w:tcPr>
            <w:tcW w:w="2126" w:type="dxa"/>
            <w:shd w:val="clear" w:color="auto" w:fill="auto"/>
            <w:tcMar>
              <w:top w:w="0" w:type="dxa"/>
              <w:left w:w="108" w:type="dxa"/>
              <w:bottom w:w="0" w:type="dxa"/>
              <w:right w:w="108" w:type="dxa"/>
            </w:tcMar>
            <w:hideMark/>
          </w:tcPr>
          <w:p w14:paraId="4CE461A8"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223 </w:t>
            </w:r>
            <w:r w:rsidRPr="00EE75B4">
              <w:rPr>
                <w:rFonts w:ascii="Symbol" w:hAnsi="Symbol" w:cs="Arial"/>
                <w:sz w:val="20"/>
                <w:szCs w:val="20"/>
                <w:lang w:val="lt-LT"/>
              </w:rPr>
              <w:t></w:t>
            </w:r>
            <w:r w:rsidRPr="00EE75B4">
              <w:rPr>
                <w:rFonts w:ascii="Times New Roman" w:hAnsi="Times New Roman"/>
                <w:sz w:val="20"/>
                <w:szCs w:val="20"/>
                <w:lang w:val="lt-LT"/>
              </w:rPr>
              <w:t>46</w:t>
            </w:r>
          </w:p>
        </w:tc>
        <w:tc>
          <w:tcPr>
            <w:tcW w:w="2482" w:type="dxa"/>
            <w:shd w:val="clear" w:color="auto" w:fill="auto"/>
            <w:tcMar>
              <w:top w:w="0" w:type="dxa"/>
              <w:left w:w="108" w:type="dxa"/>
              <w:bottom w:w="0" w:type="dxa"/>
              <w:right w:w="108" w:type="dxa"/>
            </w:tcMar>
            <w:hideMark/>
          </w:tcPr>
          <w:p w14:paraId="708342E5"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21,8 </w:t>
            </w:r>
            <w:r w:rsidRPr="00EE75B4">
              <w:rPr>
                <w:rFonts w:ascii="Symbol" w:hAnsi="Symbol" w:cs="Arial"/>
                <w:sz w:val="20"/>
                <w:szCs w:val="20"/>
                <w:lang w:val="lt-LT"/>
              </w:rPr>
              <w:t></w:t>
            </w:r>
            <w:r w:rsidRPr="00EE75B4">
              <w:rPr>
                <w:rFonts w:ascii="Times New Roman" w:hAnsi="Times New Roman"/>
                <w:sz w:val="20"/>
                <w:szCs w:val="20"/>
                <w:lang w:val="lt-LT"/>
              </w:rPr>
              <w:t>5,2</w:t>
            </w:r>
          </w:p>
        </w:tc>
      </w:tr>
      <w:tr w:rsidR="00581BF7" w:rsidRPr="00EE75B4" w14:paraId="3FAE3240" w14:textId="77777777" w:rsidTr="00DF6289">
        <w:tc>
          <w:tcPr>
            <w:tcW w:w="1526" w:type="dxa"/>
            <w:shd w:val="clear" w:color="auto" w:fill="auto"/>
            <w:tcMar>
              <w:top w:w="0" w:type="dxa"/>
              <w:left w:w="108" w:type="dxa"/>
              <w:bottom w:w="0" w:type="dxa"/>
              <w:right w:w="108" w:type="dxa"/>
            </w:tcMar>
            <w:hideMark/>
          </w:tcPr>
          <w:p w14:paraId="7ACE1975" w14:textId="77777777" w:rsidR="00DF6289" w:rsidRPr="00EE75B4" w:rsidRDefault="00DF6289" w:rsidP="00DF6289">
            <w:pPr>
              <w:spacing w:after="0" w:line="280" w:lineRule="atLeast"/>
              <w:rPr>
                <w:rFonts w:ascii="Arial" w:hAnsi="Arial" w:cs="Arial"/>
                <w:sz w:val="20"/>
                <w:szCs w:val="20"/>
                <w:lang w:val="lt-LT"/>
              </w:rPr>
            </w:pPr>
            <w:r w:rsidRPr="00EE75B4">
              <w:rPr>
                <w:rFonts w:ascii="Symbol" w:hAnsi="Symbol" w:cs="Arial"/>
                <w:sz w:val="20"/>
                <w:szCs w:val="20"/>
                <w:lang w:val="lt-LT"/>
              </w:rPr>
              <w:t></w:t>
            </w:r>
            <w:r w:rsidRPr="00EE75B4">
              <w:rPr>
                <w:rFonts w:ascii="Times New Roman" w:hAnsi="Times New Roman"/>
                <w:sz w:val="20"/>
                <w:szCs w:val="20"/>
                <w:lang w:val="lt-LT"/>
              </w:rPr>
              <w:t>10</w:t>
            </w:r>
          </w:p>
        </w:tc>
        <w:tc>
          <w:tcPr>
            <w:tcW w:w="709" w:type="dxa"/>
            <w:shd w:val="clear" w:color="auto" w:fill="auto"/>
            <w:tcMar>
              <w:top w:w="0" w:type="dxa"/>
              <w:left w:w="108" w:type="dxa"/>
              <w:bottom w:w="0" w:type="dxa"/>
              <w:right w:w="108" w:type="dxa"/>
            </w:tcMar>
            <w:hideMark/>
          </w:tcPr>
          <w:p w14:paraId="4FB39444"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6</w:t>
            </w:r>
          </w:p>
        </w:tc>
        <w:tc>
          <w:tcPr>
            <w:tcW w:w="2268" w:type="dxa"/>
            <w:shd w:val="clear" w:color="auto" w:fill="auto"/>
            <w:tcMar>
              <w:top w:w="0" w:type="dxa"/>
              <w:left w:w="108" w:type="dxa"/>
              <w:bottom w:w="0" w:type="dxa"/>
              <w:right w:w="108" w:type="dxa"/>
            </w:tcMar>
            <w:hideMark/>
          </w:tcPr>
          <w:p w14:paraId="374BCACC"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12,8 </w:t>
            </w:r>
            <w:r w:rsidRPr="00EE75B4">
              <w:rPr>
                <w:rFonts w:ascii="Symbol" w:hAnsi="Symbol" w:cs="Arial"/>
                <w:sz w:val="20"/>
                <w:szCs w:val="20"/>
                <w:lang w:val="lt-LT"/>
              </w:rPr>
              <w:t></w:t>
            </w:r>
            <w:r w:rsidRPr="00EE75B4">
              <w:rPr>
                <w:rFonts w:ascii="Times New Roman" w:hAnsi="Times New Roman"/>
                <w:sz w:val="20"/>
                <w:szCs w:val="20"/>
                <w:lang w:val="lt-LT"/>
              </w:rPr>
              <w:t>8</w:t>
            </w:r>
          </w:p>
        </w:tc>
        <w:tc>
          <w:tcPr>
            <w:tcW w:w="2126" w:type="dxa"/>
            <w:shd w:val="clear" w:color="auto" w:fill="auto"/>
            <w:tcMar>
              <w:top w:w="0" w:type="dxa"/>
              <w:left w:w="108" w:type="dxa"/>
              <w:bottom w:w="0" w:type="dxa"/>
              <w:right w:w="108" w:type="dxa"/>
            </w:tcMar>
            <w:hideMark/>
          </w:tcPr>
          <w:p w14:paraId="71AFC2A2"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366 </w:t>
            </w:r>
            <w:r w:rsidRPr="00EE75B4">
              <w:rPr>
                <w:rFonts w:ascii="Symbol" w:hAnsi="Symbol" w:cs="Arial"/>
                <w:sz w:val="20"/>
                <w:szCs w:val="20"/>
                <w:lang w:val="lt-LT"/>
              </w:rPr>
              <w:t></w:t>
            </w:r>
            <w:r w:rsidRPr="00EE75B4">
              <w:rPr>
                <w:rFonts w:ascii="Times New Roman" w:hAnsi="Times New Roman"/>
                <w:sz w:val="20"/>
                <w:szCs w:val="20"/>
                <w:lang w:val="lt-LT"/>
              </w:rPr>
              <w:t>66</w:t>
            </w:r>
          </w:p>
        </w:tc>
        <w:tc>
          <w:tcPr>
            <w:tcW w:w="2482" w:type="dxa"/>
            <w:shd w:val="clear" w:color="auto" w:fill="auto"/>
            <w:tcMar>
              <w:top w:w="0" w:type="dxa"/>
              <w:left w:w="108" w:type="dxa"/>
              <w:bottom w:w="0" w:type="dxa"/>
              <w:right w:w="108" w:type="dxa"/>
            </w:tcMar>
            <w:hideMark/>
          </w:tcPr>
          <w:p w14:paraId="7ECAA879" w14:textId="77777777" w:rsidR="00DF6289" w:rsidRPr="00EE75B4" w:rsidRDefault="00DF6289" w:rsidP="00DF6289">
            <w:pPr>
              <w:spacing w:after="0" w:line="280" w:lineRule="atLeast"/>
              <w:rPr>
                <w:rFonts w:ascii="Arial" w:hAnsi="Arial" w:cs="Arial"/>
                <w:sz w:val="20"/>
                <w:szCs w:val="20"/>
                <w:lang w:val="lt-LT"/>
              </w:rPr>
            </w:pPr>
            <w:r w:rsidRPr="00EE75B4">
              <w:rPr>
                <w:rFonts w:ascii="Times New Roman" w:hAnsi="Times New Roman"/>
                <w:sz w:val="20"/>
                <w:szCs w:val="20"/>
                <w:lang w:val="lt-LT"/>
              </w:rPr>
              <w:t>67,5 </w:t>
            </w:r>
            <w:r w:rsidRPr="00EE75B4">
              <w:rPr>
                <w:rFonts w:ascii="Symbol" w:hAnsi="Symbol" w:cs="Arial"/>
                <w:sz w:val="20"/>
                <w:szCs w:val="20"/>
                <w:lang w:val="lt-LT"/>
              </w:rPr>
              <w:t></w:t>
            </w:r>
            <w:r w:rsidRPr="00EE75B4">
              <w:rPr>
                <w:rFonts w:ascii="Times New Roman" w:hAnsi="Times New Roman"/>
                <w:sz w:val="20"/>
                <w:szCs w:val="20"/>
                <w:lang w:val="lt-LT"/>
              </w:rPr>
              <w:t>34</w:t>
            </w:r>
          </w:p>
        </w:tc>
      </w:tr>
    </w:tbl>
    <w:p w14:paraId="18CAAAAD" w14:textId="77777777" w:rsidR="00DF6289" w:rsidRPr="00EE75B4" w:rsidRDefault="00DF6289" w:rsidP="00DF6289">
      <w:pPr>
        <w:shd w:val="clear" w:color="auto" w:fill="FFFFFF"/>
        <w:spacing w:after="0" w:line="240" w:lineRule="auto"/>
        <w:rPr>
          <w:rFonts w:ascii="Helvetica" w:hAnsi="Helvetica" w:cs="Helvetica"/>
          <w:sz w:val="21"/>
          <w:szCs w:val="21"/>
          <w:lang w:val="lt-LT"/>
        </w:rPr>
      </w:pPr>
      <w:r w:rsidRPr="00EE75B4">
        <w:rPr>
          <w:rFonts w:ascii="Times New Roman" w:hAnsi="Times New Roman"/>
          <w:i/>
          <w:iCs/>
          <w:sz w:val="24"/>
          <w:szCs w:val="24"/>
          <w:lang w:val="lt-LT"/>
        </w:rPr>
        <w:t> </w:t>
      </w:r>
    </w:p>
    <w:p w14:paraId="32027821" w14:textId="77777777" w:rsidR="00DF6289" w:rsidRPr="00EE75B4" w:rsidRDefault="00DF6289" w:rsidP="00732BB8">
      <w:pPr>
        <w:spacing w:after="0" w:line="240" w:lineRule="auto"/>
        <w:rPr>
          <w:rFonts w:eastAsia="Times New Roman"/>
          <w:lang w:val="lt-LT" w:eastAsia="ja-JP"/>
        </w:rPr>
      </w:pPr>
      <w:r w:rsidRPr="00EE75B4">
        <w:rPr>
          <w:rFonts w:ascii="Times New Roman" w:eastAsia="Times New Roman" w:hAnsi="Times New Roman"/>
          <w:lang w:val="lt-LT" w:eastAsia="ja-JP"/>
        </w:rPr>
        <w:t xml:space="preserve">Silpnėjant inkstų veiklai mažėja iš </w:t>
      </w:r>
      <w:proofErr w:type="spellStart"/>
      <w:r w:rsidRPr="00EE75B4">
        <w:rPr>
          <w:rFonts w:ascii="Times New Roman" w:eastAsia="Times New Roman" w:hAnsi="Times New Roman"/>
          <w:lang w:val="lt-LT" w:eastAsia="ja-JP"/>
        </w:rPr>
        <w:t>valgancikloviro</w:t>
      </w:r>
      <w:proofErr w:type="spellEnd"/>
      <w:r w:rsidRPr="00EE75B4">
        <w:rPr>
          <w:rFonts w:ascii="Times New Roman" w:eastAsia="Times New Roman" w:hAnsi="Times New Roman"/>
          <w:lang w:val="lt-LT" w:eastAsia="ja-JP"/>
        </w:rPr>
        <w:t xml:space="preserve"> susidarančio </w:t>
      </w:r>
      <w:proofErr w:type="spellStart"/>
      <w:r w:rsidRPr="00EE75B4">
        <w:rPr>
          <w:rFonts w:ascii="Times New Roman" w:eastAsia="Times New Roman" w:hAnsi="Times New Roman"/>
          <w:lang w:val="lt-LT" w:eastAsia="ja-JP"/>
        </w:rPr>
        <w:t>gancikloviro</w:t>
      </w:r>
      <w:proofErr w:type="spellEnd"/>
      <w:r w:rsidRPr="00EE75B4">
        <w:rPr>
          <w:rFonts w:ascii="Times New Roman" w:eastAsia="Times New Roman" w:hAnsi="Times New Roman"/>
          <w:lang w:val="lt-LT" w:eastAsia="ja-JP"/>
        </w:rPr>
        <w:t xml:space="preserve"> klirensas ir atitinkamai ilgėja galutinis pusinės eliminacijos laikas. Todėl pacientams, kurių inkstų veikla sutrikusi, dozavimą reikia koreguoti (žr. 4.2 ir 4.4 skyrius). </w:t>
      </w:r>
    </w:p>
    <w:p w14:paraId="23C75631" w14:textId="77777777" w:rsidR="00DF6289" w:rsidRPr="00EE75B4" w:rsidRDefault="00DF6289" w:rsidP="00DF6289">
      <w:pPr>
        <w:pStyle w:val="Default"/>
        <w:rPr>
          <w:color w:val="auto"/>
          <w:sz w:val="22"/>
          <w:szCs w:val="22"/>
          <w:lang w:val="lt-LT"/>
        </w:rPr>
      </w:pPr>
    </w:p>
    <w:p w14:paraId="3142653A" w14:textId="77777777" w:rsidR="00DF6289" w:rsidRPr="00EE75B4" w:rsidRDefault="00DF6289" w:rsidP="00DF6289">
      <w:pPr>
        <w:pStyle w:val="Default"/>
        <w:rPr>
          <w:color w:val="auto"/>
          <w:sz w:val="22"/>
          <w:szCs w:val="22"/>
          <w:lang w:val="lt-LT"/>
        </w:rPr>
      </w:pPr>
      <w:r w:rsidRPr="00EE75B4">
        <w:rPr>
          <w:i/>
          <w:iCs/>
          <w:color w:val="auto"/>
          <w:sz w:val="22"/>
          <w:szCs w:val="22"/>
          <w:lang w:val="lt-LT"/>
        </w:rPr>
        <w:t xml:space="preserve">Pacientams, kuriems atliekamos hemodializės </w:t>
      </w:r>
    </w:p>
    <w:p w14:paraId="5B322A3A" w14:textId="77777777" w:rsidR="00DF6289" w:rsidRPr="00EE75B4" w:rsidRDefault="00DF6289" w:rsidP="00DF6289">
      <w:pPr>
        <w:spacing w:after="0" w:line="240" w:lineRule="auto"/>
        <w:rPr>
          <w:rFonts w:ascii="Times New Roman" w:hAnsi="Times New Roman"/>
          <w:lang w:val="lt-LT"/>
        </w:rPr>
      </w:pPr>
      <w:r w:rsidRPr="00EE75B4">
        <w:rPr>
          <w:rFonts w:ascii="Times New Roman" w:eastAsia="Times New Roman" w:hAnsi="Times New Roman"/>
          <w:lang w:val="lt-LT" w:eastAsia="ja-JP"/>
        </w:rPr>
        <w:t xml:space="preserve">Pacientams, kuriems atliekamos hemodializės,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eastAsia="Times New Roman" w:hAnsi="Times New Roman"/>
          <w:lang w:val="lt-LT" w:eastAsia="ja-JP"/>
        </w:rPr>
        <w:t xml:space="preserve"> 450 mg plėvele dengtų tablečių dozavimo rekomendacijų pateikti negalima, nes viena šio vaisto dozė jiems būtų mažesnė už 450 mg.</w:t>
      </w:r>
      <w:r w:rsidRPr="00EE75B4">
        <w:rPr>
          <w:rFonts w:ascii="Times New Roman" w:hAnsi="Times New Roman"/>
          <w:lang w:val="lt-LT"/>
        </w:rPr>
        <w:t xml:space="preserve"> Taigi šiems pacientams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plėvele dengtų tablečių vartoti negalima (žr. 4.2 ir 4.4 skyrius).</w:t>
      </w:r>
    </w:p>
    <w:p w14:paraId="2E8AC9D7" w14:textId="77777777" w:rsidR="00DF6289" w:rsidRPr="00EE75B4" w:rsidRDefault="00DF6289" w:rsidP="00DF6289">
      <w:pPr>
        <w:spacing w:after="0" w:line="240" w:lineRule="auto"/>
        <w:rPr>
          <w:rFonts w:ascii="Times New Roman" w:hAnsi="Times New Roman"/>
          <w:lang w:val="lt-LT"/>
        </w:rPr>
      </w:pPr>
    </w:p>
    <w:p w14:paraId="1D6DFD9F" w14:textId="77777777" w:rsidR="00DF6289" w:rsidRPr="00EE75B4" w:rsidRDefault="00DF6289" w:rsidP="00DF6289">
      <w:pPr>
        <w:pStyle w:val="Default"/>
        <w:rPr>
          <w:color w:val="auto"/>
          <w:sz w:val="22"/>
          <w:szCs w:val="22"/>
          <w:lang w:val="lt-LT"/>
        </w:rPr>
      </w:pPr>
      <w:r w:rsidRPr="00EE75B4">
        <w:rPr>
          <w:i/>
          <w:iCs/>
          <w:color w:val="auto"/>
          <w:sz w:val="22"/>
          <w:szCs w:val="22"/>
          <w:lang w:val="lt-LT"/>
        </w:rPr>
        <w:t xml:space="preserve">Stabilios būklės pacientai po kepenų transplantacijos </w:t>
      </w:r>
    </w:p>
    <w:p w14:paraId="1FA77F4D" w14:textId="77777777" w:rsidR="00DF6289" w:rsidRPr="00EE75B4" w:rsidRDefault="00DF6289" w:rsidP="00732BB8">
      <w:pPr>
        <w:spacing w:after="0" w:line="240" w:lineRule="auto"/>
        <w:rPr>
          <w:rFonts w:eastAsia="Times New Roman"/>
          <w:lang w:val="lt-LT" w:eastAsia="ja-JP"/>
        </w:rPr>
      </w:pPr>
      <w:r w:rsidRPr="00EE75B4">
        <w:rPr>
          <w:rFonts w:ascii="Times New Roman" w:eastAsia="Times New Roman" w:hAnsi="Times New Roman"/>
          <w:lang w:val="lt-LT" w:eastAsia="ja-JP"/>
        </w:rPr>
        <w:t xml:space="preserve">Iš </w:t>
      </w:r>
      <w:proofErr w:type="spellStart"/>
      <w:r w:rsidRPr="00EE75B4">
        <w:rPr>
          <w:rFonts w:ascii="Times New Roman" w:eastAsia="Times New Roman" w:hAnsi="Times New Roman"/>
          <w:lang w:val="lt-LT" w:eastAsia="ja-JP"/>
        </w:rPr>
        <w:t>valgancikloviro</w:t>
      </w:r>
      <w:proofErr w:type="spellEnd"/>
      <w:r w:rsidRPr="00EE75B4">
        <w:rPr>
          <w:rFonts w:ascii="Times New Roman" w:eastAsia="Times New Roman" w:hAnsi="Times New Roman"/>
          <w:lang w:val="lt-LT" w:eastAsia="ja-JP"/>
        </w:rPr>
        <w:t xml:space="preserve"> susidariusio </w:t>
      </w:r>
      <w:proofErr w:type="spellStart"/>
      <w:r w:rsidRPr="00EE75B4">
        <w:rPr>
          <w:rFonts w:ascii="Times New Roman" w:eastAsia="Times New Roman" w:hAnsi="Times New Roman"/>
          <w:lang w:val="lt-LT" w:eastAsia="ja-JP"/>
        </w:rPr>
        <w:t>gancikloviro</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farmakokinetika</w:t>
      </w:r>
      <w:proofErr w:type="spellEnd"/>
      <w:r w:rsidRPr="00EE75B4">
        <w:rPr>
          <w:rFonts w:ascii="Times New Roman" w:eastAsia="Times New Roman" w:hAnsi="Times New Roman"/>
          <w:lang w:val="lt-LT" w:eastAsia="ja-JP"/>
        </w:rPr>
        <w:t xml:space="preserve"> pacientų, kurių būklė po kepenų persodinimo operacijos buvo stabili, organizme buvo tirta vieno atviro 4 dalių kryžminio klinikinio tyrimo metu (N = 28). Išgėrus vienkartinę 900 mg </w:t>
      </w:r>
      <w:proofErr w:type="spellStart"/>
      <w:r w:rsidRPr="00EE75B4">
        <w:rPr>
          <w:rFonts w:ascii="Times New Roman" w:eastAsia="Times New Roman" w:hAnsi="Times New Roman"/>
          <w:lang w:val="lt-LT" w:eastAsia="ja-JP"/>
        </w:rPr>
        <w:t>valgancikloviro</w:t>
      </w:r>
      <w:proofErr w:type="spellEnd"/>
      <w:r w:rsidRPr="00EE75B4">
        <w:rPr>
          <w:rFonts w:ascii="Times New Roman" w:eastAsia="Times New Roman" w:hAnsi="Times New Roman"/>
          <w:lang w:val="lt-LT" w:eastAsia="ja-JP"/>
        </w:rPr>
        <w:t xml:space="preserve"> dozę po valgio, iš </w:t>
      </w:r>
      <w:proofErr w:type="spellStart"/>
      <w:r w:rsidRPr="00EE75B4">
        <w:rPr>
          <w:rFonts w:ascii="Times New Roman" w:eastAsia="Times New Roman" w:hAnsi="Times New Roman"/>
          <w:lang w:val="lt-LT" w:eastAsia="ja-JP"/>
        </w:rPr>
        <w:t>valgancikloviro</w:t>
      </w:r>
      <w:proofErr w:type="spellEnd"/>
      <w:r w:rsidRPr="00EE75B4">
        <w:rPr>
          <w:rFonts w:ascii="Times New Roman" w:eastAsia="Times New Roman" w:hAnsi="Times New Roman"/>
          <w:lang w:val="lt-LT" w:eastAsia="ja-JP"/>
        </w:rPr>
        <w:t xml:space="preserve"> susidariusio </w:t>
      </w:r>
      <w:proofErr w:type="spellStart"/>
      <w:r w:rsidRPr="00EE75B4">
        <w:rPr>
          <w:rFonts w:ascii="Times New Roman" w:eastAsia="Times New Roman" w:hAnsi="Times New Roman"/>
          <w:lang w:val="lt-LT" w:eastAsia="ja-JP"/>
        </w:rPr>
        <w:t>gancikloviro</w:t>
      </w:r>
      <w:proofErr w:type="spellEnd"/>
      <w:r w:rsidRPr="00EE75B4">
        <w:rPr>
          <w:rFonts w:ascii="Times New Roman" w:eastAsia="Times New Roman" w:hAnsi="Times New Roman"/>
          <w:lang w:val="lt-LT" w:eastAsia="ja-JP"/>
        </w:rPr>
        <w:t xml:space="preserve"> biologinis prieinamumas buvo maždaug 60 %. </w:t>
      </w:r>
      <w:proofErr w:type="spellStart"/>
      <w:r w:rsidRPr="00EE75B4">
        <w:rPr>
          <w:rFonts w:ascii="Times New Roman" w:eastAsia="Times New Roman" w:hAnsi="Times New Roman"/>
          <w:lang w:val="lt-LT" w:eastAsia="ja-JP"/>
        </w:rPr>
        <w:t>Gancikloviro</w:t>
      </w:r>
      <w:proofErr w:type="spellEnd"/>
      <w:r w:rsidRPr="00EE75B4">
        <w:rPr>
          <w:rFonts w:ascii="Times New Roman" w:eastAsia="Times New Roman" w:hAnsi="Times New Roman"/>
          <w:lang w:val="lt-LT" w:eastAsia="ja-JP"/>
        </w:rPr>
        <w:t xml:space="preserve"> </w:t>
      </w:r>
      <w:r w:rsidR="00BB6528" w:rsidRPr="00EE75B4">
        <w:rPr>
          <w:rFonts w:ascii="Times New Roman" w:hAnsi="Times New Roman"/>
          <w:sz w:val="24"/>
          <w:szCs w:val="24"/>
          <w:lang w:val="lt-LT"/>
        </w:rPr>
        <w:t>AUC</w:t>
      </w:r>
      <w:r w:rsidR="00BB6528" w:rsidRPr="00EE75B4">
        <w:rPr>
          <w:rFonts w:ascii="Times New Roman" w:hAnsi="Times New Roman"/>
          <w:sz w:val="18"/>
          <w:szCs w:val="18"/>
          <w:vertAlign w:val="subscript"/>
          <w:lang w:val="lt-LT"/>
        </w:rPr>
        <w:t>0-24h</w:t>
      </w:r>
      <w:r w:rsidR="00BB6528" w:rsidRPr="00EE75B4">
        <w:rPr>
          <w:rFonts w:ascii="Times New Roman" w:eastAsia="Times New Roman" w:hAnsi="Times New Roman"/>
          <w:lang w:val="lt-LT" w:eastAsia="ja-JP"/>
        </w:rPr>
        <w:t xml:space="preserve"> </w:t>
      </w:r>
      <w:r w:rsidRPr="00EE75B4">
        <w:rPr>
          <w:rFonts w:ascii="Times New Roman" w:eastAsia="Times New Roman" w:hAnsi="Times New Roman"/>
          <w:lang w:val="lt-LT" w:eastAsia="ja-JP"/>
        </w:rPr>
        <w:t xml:space="preserve">buvo panaši į susidariusią į veną suleidus 5 mg / kg </w:t>
      </w:r>
      <w:proofErr w:type="spellStart"/>
      <w:r w:rsidRPr="00EE75B4">
        <w:rPr>
          <w:rFonts w:ascii="Times New Roman" w:eastAsia="Times New Roman" w:hAnsi="Times New Roman"/>
          <w:lang w:val="lt-LT" w:eastAsia="ja-JP"/>
        </w:rPr>
        <w:t>gancikloviro</w:t>
      </w:r>
      <w:proofErr w:type="spellEnd"/>
      <w:r w:rsidRPr="00EE75B4">
        <w:rPr>
          <w:rFonts w:ascii="Times New Roman" w:eastAsia="Times New Roman" w:hAnsi="Times New Roman"/>
          <w:lang w:val="lt-LT" w:eastAsia="ja-JP"/>
        </w:rPr>
        <w:t xml:space="preserve"> dozę pacientams po kepenų persodinimo operacijos. </w:t>
      </w:r>
    </w:p>
    <w:p w14:paraId="77CB6BD6" w14:textId="77777777" w:rsidR="00DF6289" w:rsidRPr="00EE75B4" w:rsidRDefault="00DF6289" w:rsidP="00DF6289">
      <w:pPr>
        <w:pStyle w:val="Default"/>
        <w:rPr>
          <w:color w:val="auto"/>
          <w:sz w:val="22"/>
          <w:szCs w:val="22"/>
          <w:lang w:val="lt-LT"/>
        </w:rPr>
      </w:pPr>
    </w:p>
    <w:p w14:paraId="51F4D9CA" w14:textId="77777777" w:rsidR="00DF6289" w:rsidRPr="00EE75B4" w:rsidRDefault="00DF6289" w:rsidP="00DF6289">
      <w:pPr>
        <w:pStyle w:val="Default"/>
        <w:rPr>
          <w:color w:val="auto"/>
          <w:sz w:val="22"/>
          <w:szCs w:val="22"/>
          <w:lang w:val="lt-LT"/>
        </w:rPr>
      </w:pPr>
      <w:r w:rsidRPr="00EE75B4">
        <w:rPr>
          <w:i/>
          <w:iCs/>
          <w:color w:val="auto"/>
          <w:sz w:val="22"/>
          <w:szCs w:val="22"/>
          <w:lang w:val="lt-LT"/>
        </w:rPr>
        <w:t xml:space="preserve">Pacientams, kurių kepenų funkcija sutrikusi </w:t>
      </w:r>
    </w:p>
    <w:p w14:paraId="39540DB3" w14:textId="77777777" w:rsidR="00DF6289" w:rsidRPr="00EE75B4" w:rsidRDefault="00DF6289" w:rsidP="00732BB8">
      <w:pPr>
        <w:spacing w:after="0" w:line="240" w:lineRule="auto"/>
        <w:rPr>
          <w:rFonts w:eastAsia="Times New Roman"/>
          <w:lang w:val="lt-LT" w:eastAsia="ja-JP"/>
        </w:rPr>
      </w:pPr>
      <w:r w:rsidRPr="00EE75B4">
        <w:rPr>
          <w:rFonts w:ascii="Times New Roman" w:eastAsia="Times New Roman" w:hAnsi="Times New Roman"/>
          <w:lang w:val="lt-LT" w:eastAsia="ja-JP"/>
        </w:rPr>
        <w:t xml:space="preserve">Pacientų, kurių kepenų veikla sutrikusi, gydymo </w:t>
      </w:r>
      <w:proofErr w:type="spellStart"/>
      <w:r w:rsidR="00BB6528" w:rsidRPr="00EE75B4">
        <w:rPr>
          <w:rFonts w:ascii="Times New Roman" w:hAnsi="Times New Roman"/>
          <w:lang w:val="lt-LT"/>
        </w:rPr>
        <w:t>Valganciclovir</w:t>
      </w:r>
      <w:proofErr w:type="spellEnd"/>
      <w:r w:rsidR="00BB6528" w:rsidRPr="00EE75B4">
        <w:rPr>
          <w:rFonts w:ascii="Times New Roman" w:hAnsi="Times New Roman"/>
          <w:lang w:val="lt-LT"/>
        </w:rPr>
        <w:t xml:space="preserve"> </w:t>
      </w:r>
      <w:proofErr w:type="spellStart"/>
      <w:r w:rsidR="00BB6528" w:rsidRPr="00EE75B4">
        <w:rPr>
          <w:rFonts w:ascii="Times New Roman" w:hAnsi="Times New Roman"/>
          <w:lang w:val="lt-LT"/>
        </w:rPr>
        <w:t>Accord</w:t>
      </w:r>
      <w:proofErr w:type="spellEnd"/>
      <w:r w:rsidR="00BB6528" w:rsidRPr="00EE75B4">
        <w:rPr>
          <w:rFonts w:ascii="Times New Roman" w:eastAsia="Times New Roman" w:hAnsi="Times New Roman"/>
          <w:lang w:val="lt-LT" w:eastAsia="ja-JP"/>
        </w:rPr>
        <w:t xml:space="preserve"> </w:t>
      </w:r>
      <w:r w:rsidRPr="00EE75B4">
        <w:rPr>
          <w:rFonts w:ascii="Times New Roman" w:eastAsia="Times New Roman" w:hAnsi="Times New Roman"/>
          <w:lang w:val="lt-LT" w:eastAsia="ja-JP"/>
        </w:rPr>
        <w:t xml:space="preserve">plėvele dengtomis tabletėmis saugumas ir veiksmingumas netirtas. Dėl kepenų nepakankamumo </w:t>
      </w:r>
      <w:proofErr w:type="spellStart"/>
      <w:r w:rsidRPr="00EE75B4">
        <w:rPr>
          <w:rFonts w:ascii="Times New Roman" w:eastAsia="Times New Roman" w:hAnsi="Times New Roman"/>
          <w:lang w:val="lt-LT" w:eastAsia="ja-JP"/>
        </w:rPr>
        <w:t>gancikloviro</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farmakokinetika</w:t>
      </w:r>
      <w:proofErr w:type="spellEnd"/>
      <w:r w:rsidRPr="00EE75B4">
        <w:rPr>
          <w:rFonts w:ascii="Times New Roman" w:eastAsia="Times New Roman" w:hAnsi="Times New Roman"/>
          <w:lang w:val="lt-LT" w:eastAsia="ja-JP"/>
        </w:rPr>
        <w:t xml:space="preserve"> neturėtų kisti, nes vaistas pašalinamas per inkstus, todėl atskirų rekomendacijų šiems pacientams nėra. </w:t>
      </w:r>
    </w:p>
    <w:p w14:paraId="689E5468" w14:textId="77777777" w:rsidR="00DF6289" w:rsidRPr="00EE75B4" w:rsidRDefault="00DF6289" w:rsidP="00732BB8">
      <w:pPr>
        <w:spacing w:after="0" w:line="240" w:lineRule="auto"/>
        <w:rPr>
          <w:lang w:val="lt-LT"/>
        </w:rPr>
      </w:pPr>
    </w:p>
    <w:p w14:paraId="1D190575" w14:textId="77777777" w:rsidR="00DF6289" w:rsidRPr="00EE75B4" w:rsidRDefault="00DF6289" w:rsidP="00DF6289">
      <w:pPr>
        <w:pStyle w:val="Default"/>
        <w:rPr>
          <w:color w:val="auto"/>
          <w:sz w:val="22"/>
          <w:szCs w:val="22"/>
          <w:lang w:val="lt-LT"/>
        </w:rPr>
      </w:pPr>
      <w:r w:rsidRPr="00EE75B4">
        <w:rPr>
          <w:i/>
          <w:color w:val="auto"/>
          <w:sz w:val="22"/>
          <w:lang w:val="lt-LT"/>
        </w:rPr>
        <w:t>Cistine fibroze sergantys pacientai</w:t>
      </w:r>
      <w:r w:rsidRPr="00EE75B4">
        <w:rPr>
          <w:i/>
          <w:iCs/>
          <w:color w:val="auto"/>
          <w:sz w:val="22"/>
          <w:szCs w:val="22"/>
          <w:lang w:val="lt-LT"/>
        </w:rPr>
        <w:t xml:space="preserve"> </w:t>
      </w:r>
    </w:p>
    <w:p w14:paraId="63F30DA7" w14:textId="77777777" w:rsidR="00DF6289" w:rsidRPr="00EE75B4" w:rsidRDefault="00DF6289" w:rsidP="00DF6289">
      <w:pPr>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 xml:space="preserve">I fazės </w:t>
      </w:r>
      <w:proofErr w:type="spellStart"/>
      <w:r w:rsidRPr="00EE75B4">
        <w:rPr>
          <w:rFonts w:ascii="Times New Roman" w:eastAsia="Times New Roman" w:hAnsi="Times New Roman"/>
          <w:lang w:val="lt-LT" w:eastAsia="ja-JP"/>
        </w:rPr>
        <w:t>farmakokinetikos</w:t>
      </w:r>
      <w:proofErr w:type="spellEnd"/>
      <w:r w:rsidRPr="00EE75B4">
        <w:rPr>
          <w:rFonts w:ascii="Times New Roman" w:eastAsia="Times New Roman" w:hAnsi="Times New Roman"/>
          <w:lang w:val="lt-LT" w:eastAsia="ja-JP"/>
        </w:rPr>
        <w:t xml:space="preserve"> klinikinio tyrimo metu 31 persodintus plaučius turinčiam ir cistine fibroze (CF) sirgusiam arba ja nesirgusiam pacientui (16 CF sirgusių ir 15 CF nesirgusių tiriamųjų) buvo taikyta profilaktika po transplantacijos </w:t>
      </w:r>
      <w:proofErr w:type="spellStart"/>
      <w:r w:rsidR="00655F3C" w:rsidRPr="00EE75B4">
        <w:rPr>
          <w:rFonts w:ascii="Times New Roman" w:eastAsia="Times New Roman" w:hAnsi="Times New Roman"/>
          <w:lang w:val="lt-LT" w:eastAsia="ja-JP"/>
        </w:rPr>
        <w:t>Valganciclovir</w:t>
      </w:r>
      <w:proofErr w:type="spellEnd"/>
      <w:r w:rsidR="00655F3C" w:rsidRPr="00EE75B4">
        <w:rPr>
          <w:rFonts w:ascii="Times New Roman" w:eastAsia="Times New Roman" w:hAnsi="Times New Roman"/>
          <w:lang w:val="lt-LT" w:eastAsia="ja-JP"/>
        </w:rPr>
        <w:t xml:space="preserve"> </w:t>
      </w:r>
      <w:proofErr w:type="spellStart"/>
      <w:r w:rsidR="00655F3C" w:rsidRPr="00EE75B4">
        <w:rPr>
          <w:rFonts w:ascii="Times New Roman" w:eastAsia="Times New Roman" w:hAnsi="Times New Roman"/>
          <w:lang w:val="lt-LT" w:eastAsia="ja-JP"/>
        </w:rPr>
        <w:t>Accord</w:t>
      </w:r>
      <w:proofErr w:type="spellEnd"/>
      <w:r w:rsidR="00655F3C" w:rsidRPr="00EE75B4">
        <w:rPr>
          <w:rFonts w:ascii="Times New Roman" w:eastAsia="Times New Roman" w:hAnsi="Times New Roman"/>
          <w:lang w:val="lt-LT" w:eastAsia="ja-JP"/>
        </w:rPr>
        <w:t xml:space="preserve"> </w:t>
      </w:r>
      <w:r w:rsidRPr="00EE75B4">
        <w:rPr>
          <w:rFonts w:ascii="Times New Roman" w:eastAsia="Times New Roman" w:hAnsi="Times New Roman"/>
          <w:lang w:val="lt-LT" w:eastAsia="ja-JP"/>
        </w:rPr>
        <w:t xml:space="preserve">900 mg doze per parą. Šis tyrimas parodė, kad cistinė fibrozė bendrajai vidutinei sisteminei ekspozicijai </w:t>
      </w:r>
      <w:proofErr w:type="spellStart"/>
      <w:r w:rsidRPr="00EE75B4">
        <w:rPr>
          <w:rFonts w:ascii="Times New Roman" w:eastAsia="Times New Roman" w:hAnsi="Times New Roman"/>
          <w:lang w:val="lt-LT" w:eastAsia="ja-JP"/>
        </w:rPr>
        <w:t>gancikloviru</w:t>
      </w:r>
      <w:proofErr w:type="spellEnd"/>
      <w:r w:rsidRPr="00EE75B4">
        <w:rPr>
          <w:rFonts w:ascii="Times New Roman" w:eastAsia="Times New Roman" w:hAnsi="Times New Roman"/>
          <w:lang w:val="lt-LT" w:eastAsia="ja-JP"/>
        </w:rPr>
        <w:t xml:space="preserve"> persodintus plaučius turinčių pacientų organizme statistiškai reikšmingos įtakos neturėjo. Ekspozicija </w:t>
      </w:r>
      <w:proofErr w:type="spellStart"/>
      <w:r w:rsidRPr="00EE75B4">
        <w:rPr>
          <w:rFonts w:ascii="Times New Roman" w:eastAsia="Times New Roman" w:hAnsi="Times New Roman"/>
          <w:lang w:val="lt-LT" w:eastAsia="ja-JP"/>
        </w:rPr>
        <w:t>gancikloviru</w:t>
      </w:r>
      <w:proofErr w:type="spellEnd"/>
      <w:r w:rsidRPr="00EE75B4">
        <w:rPr>
          <w:rFonts w:ascii="Times New Roman" w:eastAsia="Times New Roman" w:hAnsi="Times New Roman"/>
          <w:lang w:val="lt-LT" w:eastAsia="ja-JP"/>
        </w:rPr>
        <w:t xml:space="preserve"> persodintus plaučius turinčių pacientų organizme buvo panaši į tą, kuri, kaip buvo įrodyta, yra veiksminga CMV sukeltos ligos profilaktikai kitokį persodintą </w:t>
      </w:r>
      <w:proofErr w:type="spellStart"/>
      <w:r w:rsidRPr="00EE75B4">
        <w:rPr>
          <w:rFonts w:ascii="Times New Roman" w:eastAsia="Times New Roman" w:hAnsi="Times New Roman"/>
          <w:lang w:val="lt-LT" w:eastAsia="ja-JP"/>
        </w:rPr>
        <w:t>solidinį</w:t>
      </w:r>
      <w:proofErr w:type="spellEnd"/>
      <w:r w:rsidRPr="00EE75B4">
        <w:rPr>
          <w:rFonts w:ascii="Times New Roman" w:eastAsia="Times New Roman" w:hAnsi="Times New Roman"/>
          <w:lang w:val="lt-LT" w:eastAsia="ja-JP"/>
        </w:rPr>
        <w:t xml:space="preserve"> organą turintiems pacientams.</w:t>
      </w:r>
    </w:p>
    <w:p w14:paraId="7E5FA9B0" w14:textId="77777777" w:rsidR="005427AE" w:rsidRPr="00EE75B4" w:rsidRDefault="005427AE" w:rsidP="005427AE">
      <w:pPr>
        <w:spacing w:after="0" w:line="240" w:lineRule="auto"/>
        <w:rPr>
          <w:rFonts w:ascii="Times New Roman" w:eastAsia="Times New Roman" w:hAnsi="Times New Roman"/>
          <w:lang w:val="lt-LT" w:eastAsia="ja-JP"/>
        </w:rPr>
      </w:pPr>
    </w:p>
    <w:p w14:paraId="36FDC5F7" w14:textId="77777777" w:rsidR="005427AE" w:rsidRPr="00EE75B4" w:rsidRDefault="005427AE" w:rsidP="005427AE">
      <w:pPr>
        <w:keepNext/>
        <w:keepLines/>
        <w:spacing w:after="0" w:line="240" w:lineRule="auto"/>
        <w:ind w:left="567" w:hanging="567"/>
        <w:outlineLvl w:val="1"/>
        <w:rPr>
          <w:rFonts w:ascii="Times New Roman" w:hAnsi="Times New Roman"/>
          <w:b/>
          <w:kern w:val="28"/>
          <w:lang w:val="lt-LT"/>
        </w:rPr>
      </w:pPr>
      <w:r w:rsidRPr="00EE75B4">
        <w:rPr>
          <w:rFonts w:ascii="Times New Roman" w:hAnsi="Times New Roman"/>
          <w:b/>
          <w:kern w:val="28"/>
          <w:lang w:val="lt-LT"/>
        </w:rPr>
        <w:t>5.3</w:t>
      </w:r>
      <w:r w:rsidRPr="00EE75B4">
        <w:rPr>
          <w:rFonts w:ascii="Times New Roman" w:hAnsi="Times New Roman"/>
          <w:b/>
          <w:kern w:val="28"/>
          <w:lang w:val="lt-LT"/>
        </w:rPr>
        <w:tab/>
      </w:r>
      <w:proofErr w:type="spellStart"/>
      <w:r w:rsidRPr="00EE75B4">
        <w:rPr>
          <w:rFonts w:ascii="Times New Roman" w:hAnsi="Times New Roman"/>
          <w:b/>
          <w:kern w:val="28"/>
          <w:lang w:val="lt-LT"/>
        </w:rPr>
        <w:t>Ikiklinikinių</w:t>
      </w:r>
      <w:proofErr w:type="spellEnd"/>
      <w:r w:rsidRPr="00EE75B4">
        <w:rPr>
          <w:rFonts w:ascii="Times New Roman" w:hAnsi="Times New Roman"/>
          <w:b/>
          <w:kern w:val="28"/>
          <w:lang w:val="lt-LT"/>
        </w:rPr>
        <w:t xml:space="preserve"> saugumo tyrimų duomenys</w:t>
      </w:r>
    </w:p>
    <w:p w14:paraId="40A0667A" w14:textId="77777777" w:rsidR="005427AE" w:rsidRPr="00EE75B4" w:rsidRDefault="005427AE" w:rsidP="005427AE">
      <w:pPr>
        <w:keepNext/>
        <w:keepLines/>
        <w:spacing w:after="0" w:line="240" w:lineRule="auto"/>
        <w:rPr>
          <w:rFonts w:ascii="Times New Roman" w:hAnsi="Times New Roman"/>
          <w:lang w:val="lt-LT"/>
        </w:rPr>
      </w:pPr>
    </w:p>
    <w:p w14:paraId="648836AD" w14:textId="77777777" w:rsidR="008D501E" w:rsidRPr="00EE75B4" w:rsidRDefault="005427AE" w:rsidP="00581BF7">
      <w:pPr>
        <w:autoSpaceDE w:val="0"/>
        <w:autoSpaceDN w:val="0"/>
        <w:adjustRightInd w:val="0"/>
        <w:spacing w:after="0" w:line="240" w:lineRule="auto"/>
        <w:rPr>
          <w:rFonts w:ascii="Times New Roman" w:eastAsia="Times New Roman" w:hAnsi="Times New Roman"/>
          <w:lang w:val="lt-LT" w:eastAsia="ja-JP"/>
        </w:rPr>
      </w:pPr>
      <w:proofErr w:type="spellStart"/>
      <w:r w:rsidRPr="00EE75B4">
        <w:rPr>
          <w:rFonts w:ascii="Times New Roman" w:hAnsi="Times New Roman"/>
          <w:lang w:val="lt-LT"/>
        </w:rPr>
        <w:t>Valgancikloviras</w:t>
      </w:r>
      <w:proofErr w:type="spellEnd"/>
      <w:r w:rsidRPr="00EE75B4">
        <w:rPr>
          <w:rFonts w:ascii="Times New Roman" w:hAnsi="Times New Roman"/>
          <w:lang w:val="lt-LT"/>
        </w:rPr>
        <w:t xml:space="preserve"> yra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pirmtakas, todėl tai, kas žinoma apie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poveikį, tinka ir </w:t>
      </w:r>
      <w:proofErr w:type="spellStart"/>
      <w:r w:rsidRPr="00EE75B4">
        <w:rPr>
          <w:rFonts w:ascii="Times New Roman" w:hAnsi="Times New Roman"/>
          <w:lang w:val="lt-LT"/>
        </w:rPr>
        <w:t>valganciklovirui</w:t>
      </w:r>
      <w:proofErr w:type="spellEnd"/>
      <w:r w:rsidRPr="00EE75B4">
        <w:rPr>
          <w:rFonts w:ascii="Times New Roman" w:hAnsi="Times New Roman"/>
          <w:lang w:val="lt-LT"/>
        </w:rPr>
        <w:t xml:space="preserve">. </w:t>
      </w:r>
      <w:proofErr w:type="spellStart"/>
      <w:r w:rsidR="008D501E" w:rsidRPr="00EE75B4">
        <w:rPr>
          <w:rFonts w:ascii="Times New Roman" w:eastAsia="Times New Roman" w:hAnsi="Times New Roman"/>
          <w:lang w:val="lt-LT" w:eastAsia="ja-JP"/>
        </w:rPr>
        <w:t>Ikiklinikinių</w:t>
      </w:r>
      <w:proofErr w:type="spellEnd"/>
      <w:r w:rsidR="008D501E" w:rsidRPr="00EE75B4">
        <w:rPr>
          <w:rFonts w:ascii="Times New Roman" w:eastAsia="Times New Roman" w:hAnsi="Times New Roman"/>
          <w:lang w:val="lt-LT" w:eastAsia="ja-JP"/>
        </w:rPr>
        <w:t xml:space="preserve"> saugumo tyrimų metu </w:t>
      </w:r>
      <w:proofErr w:type="spellStart"/>
      <w:r w:rsidR="008D501E" w:rsidRPr="00EE75B4">
        <w:rPr>
          <w:rFonts w:ascii="Times New Roman" w:eastAsia="Times New Roman" w:hAnsi="Times New Roman"/>
          <w:lang w:val="lt-LT" w:eastAsia="ja-JP"/>
        </w:rPr>
        <w:t>valgancikloviro</w:t>
      </w:r>
      <w:proofErr w:type="spellEnd"/>
      <w:r w:rsidR="008D501E" w:rsidRPr="00EE75B4">
        <w:rPr>
          <w:rFonts w:ascii="Times New Roman" w:eastAsia="Times New Roman" w:hAnsi="Times New Roman"/>
          <w:lang w:val="lt-LT" w:eastAsia="ja-JP"/>
        </w:rPr>
        <w:t xml:space="preserve"> </w:t>
      </w:r>
      <w:proofErr w:type="spellStart"/>
      <w:r w:rsidR="008D501E" w:rsidRPr="00EE75B4">
        <w:rPr>
          <w:rFonts w:ascii="Times New Roman" w:eastAsia="Times New Roman" w:hAnsi="Times New Roman"/>
          <w:lang w:val="lt-LT" w:eastAsia="ja-JP"/>
        </w:rPr>
        <w:t>toksiškumas</w:t>
      </w:r>
      <w:proofErr w:type="spellEnd"/>
      <w:r w:rsidR="008D501E" w:rsidRPr="00EE75B4">
        <w:rPr>
          <w:rFonts w:ascii="Times New Roman" w:eastAsia="Times New Roman" w:hAnsi="Times New Roman"/>
          <w:lang w:val="lt-LT" w:eastAsia="ja-JP"/>
        </w:rPr>
        <w:t xml:space="preserve"> buvo toks pat, kaip nustatyta </w:t>
      </w:r>
      <w:proofErr w:type="spellStart"/>
      <w:r w:rsidR="008D501E" w:rsidRPr="00EE75B4">
        <w:rPr>
          <w:rFonts w:ascii="Times New Roman" w:eastAsia="Times New Roman" w:hAnsi="Times New Roman"/>
          <w:lang w:val="lt-LT" w:eastAsia="ja-JP"/>
        </w:rPr>
        <w:t>ganciklovirui</w:t>
      </w:r>
      <w:proofErr w:type="spellEnd"/>
      <w:r w:rsidR="008D501E" w:rsidRPr="00EE75B4">
        <w:rPr>
          <w:rFonts w:ascii="Times New Roman" w:eastAsia="Times New Roman" w:hAnsi="Times New Roman"/>
          <w:lang w:val="lt-LT" w:eastAsia="ja-JP"/>
        </w:rPr>
        <w:t>, poveikis panašus kaip pradinę dozę vartojusių žmonių arba mažesnis.</w:t>
      </w:r>
    </w:p>
    <w:p w14:paraId="58A67B50" w14:textId="77777777" w:rsidR="008D501E" w:rsidRPr="00EE75B4" w:rsidRDefault="008D501E" w:rsidP="008D501E">
      <w:pPr>
        <w:autoSpaceDE w:val="0"/>
        <w:autoSpaceDN w:val="0"/>
        <w:adjustRightInd w:val="0"/>
        <w:spacing w:after="0" w:line="240" w:lineRule="auto"/>
        <w:rPr>
          <w:rFonts w:ascii="Times New Roman" w:eastAsia="Times New Roman" w:hAnsi="Times New Roman"/>
          <w:lang w:val="lt-LT" w:eastAsia="ja-JP"/>
        </w:rPr>
      </w:pPr>
    </w:p>
    <w:p w14:paraId="05D59E8F" w14:textId="77777777" w:rsidR="005427AE" w:rsidRPr="00EE75B4" w:rsidRDefault="008D501E" w:rsidP="006B7D35">
      <w:pPr>
        <w:autoSpaceDE w:val="0"/>
        <w:autoSpaceDN w:val="0"/>
        <w:adjustRightInd w:val="0"/>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 xml:space="preserve">Buvo gauta duomenų apie </w:t>
      </w:r>
      <w:proofErr w:type="spellStart"/>
      <w:r w:rsidRPr="00EE75B4">
        <w:rPr>
          <w:rFonts w:ascii="Times New Roman" w:eastAsia="Times New Roman" w:hAnsi="Times New Roman"/>
          <w:lang w:val="lt-LT" w:eastAsia="ja-JP"/>
        </w:rPr>
        <w:t>gonadotoksiškumą</w:t>
      </w:r>
      <w:proofErr w:type="spellEnd"/>
      <w:r w:rsidRPr="00EE75B4">
        <w:rPr>
          <w:rFonts w:ascii="Times New Roman" w:eastAsia="Times New Roman" w:hAnsi="Times New Roman"/>
          <w:lang w:val="lt-LT" w:eastAsia="ja-JP"/>
        </w:rPr>
        <w:t xml:space="preserve"> (ląstelių kiekio sėklidėse sumažėjimą) ir </w:t>
      </w:r>
      <w:proofErr w:type="spellStart"/>
      <w:r w:rsidRPr="00EE75B4">
        <w:rPr>
          <w:rFonts w:ascii="Times New Roman" w:eastAsia="Times New Roman" w:hAnsi="Times New Roman"/>
          <w:lang w:val="lt-LT" w:eastAsia="ja-JP"/>
        </w:rPr>
        <w:t>nefrotoksiškumą</w:t>
      </w:r>
      <w:proofErr w:type="spellEnd"/>
      <w:r w:rsidRPr="00EE75B4">
        <w:rPr>
          <w:rFonts w:ascii="Times New Roman" w:eastAsia="Times New Roman" w:hAnsi="Times New Roman"/>
          <w:lang w:val="lt-LT" w:eastAsia="ja-JP"/>
        </w:rPr>
        <w:t xml:space="preserve"> (uremiją, ląstelių degeneraciją), kurie buvo negrįžtami; kaulų čiulpų slopinimą (anemiją, </w:t>
      </w:r>
      <w:proofErr w:type="spellStart"/>
      <w:r w:rsidRPr="00EE75B4">
        <w:rPr>
          <w:rFonts w:ascii="Times New Roman" w:eastAsia="Times New Roman" w:hAnsi="Times New Roman"/>
          <w:lang w:val="lt-LT" w:eastAsia="ja-JP"/>
        </w:rPr>
        <w:t>neutropeniją</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limfocitopeniją</w:t>
      </w:r>
      <w:proofErr w:type="spellEnd"/>
      <w:r w:rsidRPr="00EE75B4">
        <w:rPr>
          <w:rFonts w:ascii="Times New Roman" w:eastAsia="Times New Roman" w:hAnsi="Times New Roman"/>
          <w:lang w:val="lt-LT" w:eastAsia="ja-JP"/>
        </w:rPr>
        <w:t xml:space="preserve">) ir virškinamojo trakto </w:t>
      </w:r>
      <w:proofErr w:type="spellStart"/>
      <w:r w:rsidRPr="00EE75B4">
        <w:rPr>
          <w:rFonts w:ascii="Times New Roman" w:eastAsia="Times New Roman" w:hAnsi="Times New Roman"/>
          <w:lang w:val="lt-LT" w:eastAsia="ja-JP"/>
        </w:rPr>
        <w:t>toksiškumą</w:t>
      </w:r>
      <w:proofErr w:type="spellEnd"/>
      <w:r w:rsidRPr="00EE75B4">
        <w:rPr>
          <w:rFonts w:ascii="Times New Roman" w:eastAsia="Times New Roman" w:hAnsi="Times New Roman"/>
          <w:lang w:val="lt-LT" w:eastAsia="ja-JP"/>
        </w:rPr>
        <w:t xml:space="preserve"> (gleivinės ląstelių nekrozę), kurie buvo grįžtami.</w:t>
      </w:r>
    </w:p>
    <w:p w14:paraId="6F30760A" w14:textId="77777777" w:rsidR="00BB6528" w:rsidRPr="00EE75B4" w:rsidRDefault="00BB6528" w:rsidP="00732BB8">
      <w:pPr>
        <w:keepNext/>
        <w:keepLines/>
        <w:spacing w:after="0" w:line="240" w:lineRule="auto"/>
        <w:rPr>
          <w:rFonts w:ascii="Times New Roman" w:hAnsi="Times New Roman"/>
          <w:lang w:val="lt-LT"/>
        </w:rPr>
      </w:pPr>
    </w:p>
    <w:p w14:paraId="312D5046" w14:textId="77777777" w:rsidR="00BB6528" w:rsidRPr="00EE75B4" w:rsidRDefault="00BB6528" w:rsidP="00732BB8">
      <w:pPr>
        <w:keepNext/>
        <w:keepLines/>
        <w:spacing w:after="0" w:line="240" w:lineRule="auto"/>
        <w:rPr>
          <w:rFonts w:eastAsia="Times New Roman"/>
          <w:lang w:val="lt-LT" w:eastAsia="ja-JP"/>
        </w:rPr>
      </w:pPr>
      <w:proofErr w:type="spellStart"/>
      <w:r w:rsidRPr="00EE75B4">
        <w:rPr>
          <w:rFonts w:ascii="Times New Roman" w:eastAsia="Times New Roman" w:hAnsi="Times New Roman"/>
          <w:lang w:val="lt-LT" w:eastAsia="ja-JP"/>
        </w:rPr>
        <w:t>Gancikloviras</w:t>
      </w:r>
      <w:proofErr w:type="spellEnd"/>
      <w:r w:rsidRPr="00EE75B4">
        <w:rPr>
          <w:rFonts w:ascii="Times New Roman" w:eastAsia="Times New Roman" w:hAnsi="Times New Roman"/>
          <w:lang w:val="lt-LT" w:eastAsia="ja-JP"/>
        </w:rPr>
        <w:t xml:space="preserve"> pasižymi </w:t>
      </w:r>
      <w:proofErr w:type="spellStart"/>
      <w:r w:rsidRPr="00EE75B4">
        <w:rPr>
          <w:rFonts w:ascii="Times New Roman" w:eastAsia="Times New Roman" w:hAnsi="Times New Roman"/>
          <w:lang w:val="lt-LT" w:eastAsia="ja-JP"/>
        </w:rPr>
        <w:t>mutageniniu</w:t>
      </w:r>
      <w:proofErr w:type="spellEnd"/>
      <w:r w:rsidRPr="00EE75B4">
        <w:rPr>
          <w:rFonts w:ascii="Times New Roman" w:eastAsia="Times New Roman" w:hAnsi="Times New Roman"/>
          <w:lang w:val="lt-LT" w:eastAsia="ja-JP"/>
        </w:rPr>
        <w:t xml:space="preserve"> poveikiu pelių ląstelėms bei </w:t>
      </w:r>
      <w:proofErr w:type="spellStart"/>
      <w:r w:rsidRPr="00EE75B4">
        <w:rPr>
          <w:rFonts w:ascii="Times New Roman" w:eastAsia="Times New Roman" w:hAnsi="Times New Roman"/>
          <w:lang w:val="lt-LT" w:eastAsia="ja-JP"/>
        </w:rPr>
        <w:t>klastogeniniu</w:t>
      </w:r>
      <w:proofErr w:type="spellEnd"/>
      <w:r w:rsidRPr="00EE75B4">
        <w:rPr>
          <w:rFonts w:ascii="Times New Roman" w:eastAsia="Times New Roman" w:hAnsi="Times New Roman"/>
          <w:lang w:val="lt-LT" w:eastAsia="ja-JP"/>
        </w:rPr>
        <w:t xml:space="preserve"> poveikiu žinduolių ląstelėms. </w:t>
      </w:r>
      <w:proofErr w:type="spellStart"/>
      <w:r w:rsidRPr="00EE75B4">
        <w:rPr>
          <w:rFonts w:ascii="Times New Roman" w:eastAsia="Times New Roman" w:hAnsi="Times New Roman"/>
          <w:lang w:val="lt-LT" w:eastAsia="ja-JP"/>
        </w:rPr>
        <w:t>Gancikloviro</w:t>
      </w:r>
      <w:proofErr w:type="spellEnd"/>
      <w:r w:rsidRPr="00EE75B4">
        <w:rPr>
          <w:rFonts w:ascii="Times New Roman" w:eastAsia="Times New Roman" w:hAnsi="Times New Roman"/>
          <w:lang w:val="lt-LT" w:eastAsia="ja-JP"/>
        </w:rPr>
        <w:t xml:space="preserve"> kancerogeninio poveikio tyrimuose su pelėmis gauti rezultatai yra tokie patys. </w:t>
      </w:r>
      <w:proofErr w:type="spellStart"/>
      <w:r w:rsidRPr="00EE75B4">
        <w:rPr>
          <w:rFonts w:ascii="Times New Roman" w:eastAsia="Times New Roman" w:hAnsi="Times New Roman"/>
          <w:lang w:val="lt-LT" w:eastAsia="ja-JP"/>
        </w:rPr>
        <w:t>Gancikloviras</w:t>
      </w:r>
      <w:proofErr w:type="spellEnd"/>
      <w:r w:rsidRPr="00EE75B4">
        <w:rPr>
          <w:rFonts w:ascii="Times New Roman" w:eastAsia="Times New Roman" w:hAnsi="Times New Roman"/>
          <w:lang w:val="lt-LT" w:eastAsia="ja-JP"/>
        </w:rPr>
        <w:t xml:space="preserve"> laikomas potencialiu kancerogenu. </w:t>
      </w:r>
    </w:p>
    <w:p w14:paraId="326D63F9" w14:textId="77777777" w:rsidR="00BB6528" w:rsidRPr="00EE75B4" w:rsidRDefault="00BB6528" w:rsidP="00732BB8">
      <w:pPr>
        <w:keepNext/>
        <w:keepLines/>
        <w:spacing w:after="0" w:line="240" w:lineRule="auto"/>
        <w:rPr>
          <w:rFonts w:eastAsia="Times New Roman"/>
          <w:lang w:val="lt-LT" w:eastAsia="ja-JP"/>
        </w:rPr>
      </w:pPr>
    </w:p>
    <w:p w14:paraId="29A1196E" w14:textId="77777777" w:rsidR="008D501E" w:rsidRPr="00EE75B4" w:rsidRDefault="008D501E" w:rsidP="008D501E">
      <w:pPr>
        <w:keepNext/>
        <w:keepLines/>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 xml:space="preserve">Kitų tyrimų metu nustatyta, kad </w:t>
      </w:r>
      <w:proofErr w:type="spellStart"/>
      <w:r w:rsidRPr="00EE75B4">
        <w:rPr>
          <w:rFonts w:ascii="Times New Roman" w:eastAsia="Times New Roman" w:hAnsi="Times New Roman"/>
          <w:lang w:val="lt-LT" w:eastAsia="ja-JP"/>
        </w:rPr>
        <w:t>gancikloviras</w:t>
      </w:r>
      <w:proofErr w:type="spellEnd"/>
      <w:r w:rsidRPr="00EE75B4">
        <w:rPr>
          <w:rFonts w:ascii="Times New Roman" w:eastAsia="Times New Roman" w:hAnsi="Times New Roman"/>
          <w:lang w:val="lt-LT" w:eastAsia="ja-JP"/>
        </w:rPr>
        <w:t xml:space="preserve"> sukelia </w:t>
      </w:r>
      <w:proofErr w:type="spellStart"/>
      <w:r w:rsidRPr="00EE75B4">
        <w:rPr>
          <w:rFonts w:ascii="Times New Roman" w:eastAsia="Times New Roman" w:hAnsi="Times New Roman"/>
          <w:lang w:val="lt-LT" w:eastAsia="ja-JP"/>
        </w:rPr>
        <w:t>teratogeninį</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embriotoksinį</w:t>
      </w:r>
      <w:proofErr w:type="spellEnd"/>
      <w:r w:rsidRPr="00EE75B4">
        <w:rPr>
          <w:rFonts w:ascii="Times New Roman" w:eastAsia="Times New Roman" w:hAnsi="Times New Roman"/>
          <w:lang w:val="lt-LT" w:eastAsia="ja-JP"/>
        </w:rPr>
        <w:t xml:space="preserve">, </w:t>
      </w:r>
      <w:proofErr w:type="spellStart"/>
      <w:r w:rsidRPr="00EE75B4">
        <w:rPr>
          <w:rFonts w:ascii="Times New Roman" w:eastAsia="Times New Roman" w:hAnsi="Times New Roman"/>
          <w:lang w:val="lt-LT" w:eastAsia="ja-JP"/>
        </w:rPr>
        <w:t>spermatogeninį</w:t>
      </w:r>
      <w:proofErr w:type="spellEnd"/>
      <w:r w:rsidRPr="00EE75B4">
        <w:rPr>
          <w:rFonts w:ascii="Times New Roman" w:eastAsia="Times New Roman" w:hAnsi="Times New Roman"/>
          <w:lang w:val="lt-LT" w:eastAsia="ja-JP"/>
        </w:rPr>
        <w:t xml:space="preserve"> poveikį (t. y., veikia patinų vaisingumą) ir slopina patelių vaisingumą.</w:t>
      </w:r>
    </w:p>
    <w:p w14:paraId="24595FDD" w14:textId="77777777" w:rsidR="00BB6528" w:rsidRPr="00EE75B4" w:rsidRDefault="00BB6528" w:rsidP="00732BB8">
      <w:pPr>
        <w:keepNext/>
        <w:keepLines/>
        <w:spacing w:after="0" w:line="240" w:lineRule="auto"/>
        <w:rPr>
          <w:rFonts w:eastAsia="Times New Roman"/>
          <w:lang w:val="lt-LT" w:eastAsia="ja-JP"/>
        </w:rPr>
      </w:pPr>
    </w:p>
    <w:p w14:paraId="13BF5F07" w14:textId="77777777" w:rsidR="00BB6528" w:rsidRPr="00EE75B4" w:rsidRDefault="00BB6528" w:rsidP="00732BB8">
      <w:pPr>
        <w:keepNext/>
        <w:keepLines/>
        <w:spacing w:after="0" w:line="240" w:lineRule="auto"/>
        <w:rPr>
          <w:rFonts w:ascii="Times New Roman" w:eastAsia="Times New Roman" w:hAnsi="Times New Roman"/>
          <w:lang w:val="lt-LT" w:eastAsia="ja-JP"/>
        </w:rPr>
      </w:pPr>
      <w:r w:rsidRPr="00EE75B4">
        <w:rPr>
          <w:rFonts w:ascii="Times New Roman" w:eastAsia="Times New Roman" w:hAnsi="Times New Roman"/>
          <w:lang w:val="lt-LT" w:eastAsia="ja-JP"/>
        </w:rPr>
        <w:t xml:space="preserve">Tyrimų su gyvūnais duomenys rodo, kad </w:t>
      </w:r>
      <w:proofErr w:type="spellStart"/>
      <w:r w:rsidRPr="00EE75B4">
        <w:rPr>
          <w:rFonts w:ascii="Times New Roman" w:eastAsia="Times New Roman" w:hAnsi="Times New Roman"/>
          <w:lang w:val="lt-LT" w:eastAsia="ja-JP"/>
        </w:rPr>
        <w:t>gancikloviras</w:t>
      </w:r>
      <w:proofErr w:type="spellEnd"/>
      <w:r w:rsidRPr="00EE75B4">
        <w:rPr>
          <w:rFonts w:ascii="Times New Roman" w:eastAsia="Times New Roman" w:hAnsi="Times New Roman"/>
          <w:lang w:val="lt-LT" w:eastAsia="ja-JP"/>
        </w:rPr>
        <w:t xml:space="preserve"> patenka į žindančių žiurkių pieną.</w:t>
      </w:r>
    </w:p>
    <w:p w14:paraId="2FAD5CCC" w14:textId="77777777" w:rsidR="005427AE" w:rsidRPr="00EE75B4" w:rsidRDefault="005427AE" w:rsidP="005427AE">
      <w:pPr>
        <w:spacing w:after="0" w:line="240" w:lineRule="auto"/>
        <w:rPr>
          <w:rFonts w:ascii="Times New Roman" w:hAnsi="Times New Roman"/>
          <w:lang w:val="lt-LT"/>
        </w:rPr>
      </w:pPr>
    </w:p>
    <w:p w14:paraId="28CDBC00" w14:textId="77777777" w:rsidR="005427AE" w:rsidRPr="00EE75B4" w:rsidRDefault="005427AE" w:rsidP="005427AE">
      <w:pPr>
        <w:spacing w:after="0" w:line="240" w:lineRule="auto"/>
        <w:rPr>
          <w:rFonts w:ascii="Times New Roman" w:hAnsi="Times New Roman"/>
          <w:lang w:val="lt-LT"/>
        </w:rPr>
      </w:pPr>
    </w:p>
    <w:p w14:paraId="77B2272F" w14:textId="77777777" w:rsidR="005427AE" w:rsidRPr="00EE75B4" w:rsidRDefault="005427AE" w:rsidP="005427AE">
      <w:pPr>
        <w:keepNext/>
        <w:keepLines/>
        <w:tabs>
          <w:tab w:val="left" w:pos="567"/>
        </w:tabs>
        <w:spacing w:after="0" w:line="240" w:lineRule="auto"/>
        <w:rPr>
          <w:rFonts w:ascii="Times New Roman" w:hAnsi="Times New Roman"/>
          <w:b/>
          <w:lang w:val="lt-LT"/>
        </w:rPr>
      </w:pPr>
      <w:r w:rsidRPr="00EE75B4">
        <w:rPr>
          <w:rFonts w:ascii="Times New Roman" w:hAnsi="Times New Roman"/>
          <w:b/>
          <w:lang w:val="lt-LT"/>
        </w:rPr>
        <w:t>6.</w:t>
      </w:r>
      <w:r w:rsidRPr="00EE75B4">
        <w:rPr>
          <w:rFonts w:ascii="Times New Roman" w:hAnsi="Times New Roman"/>
          <w:b/>
          <w:lang w:val="lt-LT"/>
        </w:rPr>
        <w:tab/>
        <w:t>FARMACINĖ INFORMACIJA</w:t>
      </w:r>
    </w:p>
    <w:p w14:paraId="08963874" w14:textId="77777777" w:rsidR="005427AE" w:rsidRPr="00EE75B4" w:rsidRDefault="005427AE" w:rsidP="005427AE">
      <w:pPr>
        <w:keepNext/>
        <w:keepLines/>
        <w:spacing w:after="0" w:line="240" w:lineRule="auto"/>
        <w:rPr>
          <w:rFonts w:ascii="Times New Roman" w:hAnsi="Times New Roman"/>
          <w:lang w:val="lt-LT"/>
        </w:rPr>
      </w:pPr>
    </w:p>
    <w:p w14:paraId="06006FB8" w14:textId="77777777" w:rsidR="005427AE" w:rsidRPr="00EE75B4" w:rsidRDefault="005427AE" w:rsidP="005427AE">
      <w:pPr>
        <w:keepNext/>
        <w:keepLines/>
        <w:spacing w:after="0" w:line="240" w:lineRule="auto"/>
        <w:ind w:left="567" w:hanging="567"/>
        <w:outlineLvl w:val="1"/>
        <w:rPr>
          <w:rFonts w:ascii="Times New Roman" w:hAnsi="Times New Roman"/>
          <w:b/>
          <w:kern w:val="28"/>
          <w:lang w:val="lt-LT"/>
        </w:rPr>
      </w:pPr>
      <w:r w:rsidRPr="00EE75B4">
        <w:rPr>
          <w:rFonts w:ascii="Times New Roman" w:hAnsi="Times New Roman"/>
          <w:b/>
          <w:kern w:val="28"/>
          <w:lang w:val="lt-LT"/>
        </w:rPr>
        <w:t>6.1</w:t>
      </w:r>
      <w:r w:rsidRPr="00EE75B4">
        <w:rPr>
          <w:rFonts w:ascii="Times New Roman" w:hAnsi="Times New Roman"/>
          <w:b/>
          <w:kern w:val="28"/>
          <w:lang w:val="lt-LT"/>
        </w:rPr>
        <w:tab/>
        <w:t>Pagalbinių medžiagų sąrašas</w:t>
      </w:r>
    </w:p>
    <w:p w14:paraId="59CA9473" w14:textId="77777777" w:rsidR="005427AE" w:rsidRPr="00EE75B4" w:rsidRDefault="005427AE" w:rsidP="005427AE">
      <w:pPr>
        <w:keepNext/>
        <w:keepLines/>
        <w:spacing w:after="0" w:line="240" w:lineRule="auto"/>
        <w:rPr>
          <w:rFonts w:ascii="Times New Roman" w:hAnsi="Times New Roman"/>
          <w:lang w:val="lt-LT"/>
        </w:rPr>
      </w:pPr>
    </w:p>
    <w:p w14:paraId="4BADD8DE" w14:textId="77777777" w:rsidR="005427AE" w:rsidRPr="00EE75B4" w:rsidRDefault="005427AE" w:rsidP="005427AE">
      <w:pPr>
        <w:keepNext/>
        <w:keepLines/>
        <w:spacing w:after="0" w:line="240" w:lineRule="auto"/>
        <w:rPr>
          <w:rFonts w:ascii="Times New Roman" w:hAnsi="Times New Roman"/>
          <w:lang w:val="lt-LT"/>
        </w:rPr>
      </w:pPr>
      <w:r w:rsidRPr="00EE75B4">
        <w:rPr>
          <w:rFonts w:ascii="Times New Roman" w:hAnsi="Times New Roman"/>
          <w:u w:val="single"/>
          <w:lang w:val="lt-LT"/>
        </w:rPr>
        <w:t>Tabletės branduolys</w:t>
      </w:r>
    </w:p>
    <w:p w14:paraId="6765955D" w14:textId="77777777" w:rsidR="005427AE" w:rsidRPr="00EE75B4" w:rsidRDefault="005427AE" w:rsidP="005427AE">
      <w:pPr>
        <w:keepNext/>
        <w:keepLines/>
        <w:spacing w:after="0" w:line="240" w:lineRule="auto"/>
        <w:rPr>
          <w:rFonts w:ascii="Times New Roman" w:hAnsi="Times New Roman"/>
          <w:lang w:val="lt-LT"/>
        </w:rPr>
      </w:pPr>
      <w:proofErr w:type="spellStart"/>
      <w:r w:rsidRPr="00EE75B4">
        <w:rPr>
          <w:rFonts w:ascii="Times New Roman" w:eastAsia="Times New Roman" w:hAnsi="Times New Roman"/>
          <w:lang w:val="lt-LT" w:eastAsia="ja-JP"/>
        </w:rPr>
        <w:t>Mikrokristalinė</w:t>
      </w:r>
      <w:proofErr w:type="spellEnd"/>
      <w:r w:rsidRPr="00EE75B4">
        <w:rPr>
          <w:rFonts w:ascii="Times New Roman" w:eastAsia="Times New Roman" w:hAnsi="Times New Roman"/>
          <w:lang w:val="lt-LT" w:eastAsia="ja-JP"/>
        </w:rPr>
        <w:t xml:space="preserve"> celiuliozė</w:t>
      </w:r>
    </w:p>
    <w:p w14:paraId="3F1FED06" w14:textId="77777777" w:rsidR="005427AE" w:rsidRPr="00EE75B4" w:rsidRDefault="005427AE" w:rsidP="005427AE">
      <w:pPr>
        <w:keepNext/>
        <w:keepLines/>
        <w:spacing w:after="0" w:line="240" w:lineRule="auto"/>
        <w:rPr>
          <w:rFonts w:ascii="Times New Roman" w:hAnsi="Times New Roman"/>
          <w:lang w:val="lt-LT"/>
        </w:rPr>
      </w:pPr>
      <w:proofErr w:type="spellStart"/>
      <w:r w:rsidRPr="00EE75B4">
        <w:rPr>
          <w:rFonts w:ascii="Times New Roman" w:hAnsi="Times New Roman"/>
          <w:lang w:val="lt-LT"/>
        </w:rPr>
        <w:t>Krospovidonas</w:t>
      </w:r>
      <w:proofErr w:type="spellEnd"/>
      <w:r w:rsidRPr="00EE75B4">
        <w:rPr>
          <w:rFonts w:ascii="Times New Roman" w:hAnsi="Times New Roman"/>
          <w:lang w:val="lt-LT"/>
        </w:rPr>
        <w:t xml:space="preserve"> (A tipo)</w:t>
      </w:r>
    </w:p>
    <w:p w14:paraId="46D4C9A9" w14:textId="77777777" w:rsidR="005427AE" w:rsidRPr="00EE75B4" w:rsidRDefault="005427AE" w:rsidP="005427AE">
      <w:pPr>
        <w:keepNext/>
        <w:keepLines/>
        <w:spacing w:after="0" w:line="240" w:lineRule="auto"/>
        <w:rPr>
          <w:rFonts w:ascii="Times New Roman" w:hAnsi="Times New Roman"/>
          <w:lang w:val="lt-LT"/>
        </w:rPr>
      </w:pPr>
      <w:proofErr w:type="spellStart"/>
      <w:r w:rsidRPr="00EE75B4">
        <w:rPr>
          <w:rFonts w:ascii="Times New Roman" w:hAnsi="Times New Roman"/>
          <w:lang w:val="lt-LT"/>
        </w:rPr>
        <w:t>Povidonas</w:t>
      </w:r>
      <w:proofErr w:type="spellEnd"/>
      <w:r w:rsidRPr="00EE75B4">
        <w:rPr>
          <w:rFonts w:ascii="Times New Roman" w:hAnsi="Times New Roman"/>
          <w:lang w:val="lt-LT"/>
        </w:rPr>
        <w:t xml:space="preserve"> (K-30) </w:t>
      </w:r>
    </w:p>
    <w:p w14:paraId="6C4920FF" w14:textId="77777777" w:rsidR="005427AE" w:rsidRPr="00EE75B4" w:rsidRDefault="005427AE" w:rsidP="005427AE">
      <w:pPr>
        <w:keepNext/>
        <w:keepLines/>
        <w:spacing w:after="0" w:line="240" w:lineRule="auto"/>
        <w:rPr>
          <w:rFonts w:ascii="Times New Roman" w:hAnsi="Times New Roman"/>
          <w:lang w:val="lt-LT"/>
        </w:rPr>
      </w:pPr>
      <w:r w:rsidRPr="00EE75B4">
        <w:rPr>
          <w:rFonts w:ascii="Times New Roman" w:hAnsi="Times New Roman"/>
          <w:lang w:val="lt-LT"/>
        </w:rPr>
        <w:t>Stearino rūgštis (50)</w:t>
      </w:r>
    </w:p>
    <w:p w14:paraId="4C83D737" w14:textId="77777777" w:rsidR="005427AE" w:rsidRPr="00EE75B4" w:rsidRDefault="005427AE" w:rsidP="005427AE">
      <w:pPr>
        <w:keepNext/>
        <w:keepLines/>
        <w:spacing w:after="0" w:line="240" w:lineRule="auto"/>
        <w:rPr>
          <w:rFonts w:ascii="Times New Roman" w:hAnsi="Times New Roman"/>
          <w:lang w:val="lt-LT"/>
        </w:rPr>
      </w:pPr>
    </w:p>
    <w:p w14:paraId="78E42721" w14:textId="77777777" w:rsidR="005427AE" w:rsidRPr="00EE75B4" w:rsidRDefault="005427AE" w:rsidP="005427AE">
      <w:pPr>
        <w:keepNext/>
        <w:keepLines/>
        <w:spacing w:after="0" w:line="240" w:lineRule="auto"/>
        <w:rPr>
          <w:rFonts w:ascii="Times New Roman" w:hAnsi="Times New Roman"/>
          <w:u w:val="single"/>
          <w:lang w:val="lt-LT"/>
        </w:rPr>
      </w:pPr>
      <w:r w:rsidRPr="00EE75B4">
        <w:rPr>
          <w:rFonts w:ascii="Times New Roman" w:hAnsi="Times New Roman"/>
          <w:u w:val="single"/>
          <w:lang w:val="lt-LT"/>
        </w:rPr>
        <w:t>Tabletės plėvelė</w:t>
      </w:r>
    </w:p>
    <w:p w14:paraId="63BE0822" w14:textId="77777777" w:rsidR="005427AE" w:rsidRPr="00EE75B4" w:rsidRDefault="005427AE" w:rsidP="005427AE">
      <w:pPr>
        <w:keepNext/>
        <w:keepLines/>
        <w:spacing w:after="0" w:line="240" w:lineRule="auto"/>
        <w:rPr>
          <w:rFonts w:ascii="Times New Roman" w:hAnsi="Times New Roman"/>
          <w:lang w:val="lt-LT"/>
        </w:rPr>
      </w:pPr>
      <w:proofErr w:type="spellStart"/>
      <w:r w:rsidRPr="00EE75B4">
        <w:rPr>
          <w:rFonts w:ascii="Times New Roman" w:hAnsi="Times New Roman"/>
          <w:lang w:val="lt-LT"/>
        </w:rPr>
        <w:t>Hipromeliozė</w:t>
      </w:r>
      <w:proofErr w:type="spellEnd"/>
      <w:r w:rsidRPr="00EE75B4">
        <w:rPr>
          <w:rFonts w:ascii="Times New Roman" w:hAnsi="Times New Roman"/>
          <w:lang w:val="lt-LT"/>
        </w:rPr>
        <w:t xml:space="preserve"> (3 </w:t>
      </w:r>
      <w:proofErr w:type="spellStart"/>
      <w:r w:rsidRPr="00EE75B4">
        <w:rPr>
          <w:rFonts w:ascii="Times New Roman" w:hAnsi="Times New Roman"/>
          <w:lang w:val="lt-LT"/>
        </w:rPr>
        <w:t>cP</w:t>
      </w:r>
      <w:proofErr w:type="spellEnd"/>
      <w:r w:rsidRPr="00EE75B4">
        <w:rPr>
          <w:rFonts w:ascii="Times New Roman" w:hAnsi="Times New Roman"/>
          <w:lang w:val="lt-LT"/>
        </w:rPr>
        <w:t>)</w:t>
      </w:r>
    </w:p>
    <w:p w14:paraId="0C4AF6F7" w14:textId="77777777" w:rsidR="005427AE" w:rsidRPr="00EE75B4" w:rsidRDefault="005427AE" w:rsidP="005427AE">
      <w:pPr>
        <w:keepNext/>
        <w:keepLines/>
        <w:spacing w:after="0" w:line="240" w:lineRule="auto"/>
        <w:rPr>
          <w:rFonts w:ascii="Times New Roman" w:hAnsi="Times New Roman"/>
          <w:lang w:val="lt-LT"/>
        </w:rPr>
      </w:pPr>
      <w:proofErr w:type="spellStart"/>
      <w:r w:rsidRPr="00EE75B4">
        <w:rPr>
          <w:rFonts w:ascii="Times New Roman" w:hAnsi="Times New Roman"/>
          <w:lang w:val="lt-LT"/>
        </w:rPr>
        <w:t>Hipromeliozė</w:t>
      </w:r>
      <w:proofErr w:type="spellEnd"/>
      <w:r w:rsidRPr="00EE75B4">
        <w:rPr>
          <w:rFonts w:ascii="Times New Roman" w:hAnsi="Times New Roman"/>
          <w:lang w:val="lt-LT"/>
        </w:rPr>
        <w:t xml:space="preserve"> (6 </w:t>
      </w:r>
      <w:proofErr w:type="spellStart"/>
      <w:r w:rsidRPr="00EE75B4">
        <w:rPr>
          <w:rFonts w:ascii="Times New Roman" w:hAnsi="Times New Roman"/>
          <w:lang w:val="lt-LT"/>
        </w:rPr>
        <w:t>cP</w:t>
      </w:r>
      <w:proofErr w:type="spellEnd"/>
      <w:r w:rsidRPr="00EE75B4">
        <w:rPr>
          <w:rFonts w:ascii="Times New Roman" w:hAnsi="Times New Roman"/>
          <w:lang w:val="lt-LT"/>
        </w:rPr>
        <w:t>)</w:t>
      </w:r>
    </w:p>
    <w:p w14:paraId="32F129D0"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Titano dioksidas (E171)</w:t>
      </w:r>
    </w:p>
    <w:p w14:paraId="68DDE05C"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Makrogolis</w:t>
      </w:r>
      <w:proofErr w:type="spellEnd"/>
      <w:r w:rsidRPr="00EE75B4">
        <w:rPr>
          <w:rFonts w:ascii="Times New Roman" w:hAnsi="Times New Roman"/>
          <w:lang w:val="lt-LT"/>
        </w:rPr>
        <w:t xml:space="preserve"> 400</w:t>
      </w:r>
    </w:p>
    <w:p w14:paraId="22F5146C"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Raudonasis geležies oksidas (E172)</w:t>
      </w:r>
    </w:p>
    <w:p w14:paraId="2F1D3566"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Polisorbatas</w:t>
      </w:r>
      <w:proofErr w:type="spellEnd"/>
      <w:r w:rsidRPr="00EE75B4">
        <w:rPr>
          <w:rFonts w:ascii="Times New Roman" w:hAnsi="Times New Roman"/>
          <w:lang w:val="lt-LT"/>
        </w:rPr>
        <w:t xml:space="preserve"> 80</w:t>
      </w:r>
    </w:p>
    <w:p w14:paraId="0E964C72" w14:textId="77777777" w:rsidR="005427AE" w:rsidRPr="00EE75B4" w:rsidRDefault="005427AE" w:rsidP="005427AE">
      <w:pPr>
        <w:spacing w:after="0" w:line="240" w:lineRule="auto"/>
        <w:rPr>
          <w:rFonts w:ascii="Times New Roman" w:hAnsi="Times New Roman"/>
          <w:lang w:val="lt-LT"/>
        </w:rPr>
      </w:pPr>
    </w:p>
    <w:p w14:paraId="36FF6258" w14:textId="77777777" w:rsidR="005427AE" w:rsidRPr="00EE75B4" w:rsidRDefault="005427AE" w:rsidP="005427AE">
      <w:pPr>
        <w:spacing w:after="0" w:line="240" w:lineRule="auto"/>
        <w:ind w:left="567" w:hanging="567"/>
        <w:outlineLvl w:val="1"/>
        <w:rPr>
          <w:rFonts w:ascii="Times New Roman" w:hAnsi="Times New Roman"/>
          <w:b/>
          <w:kern w:val="28"/>
          <w:lang w:val="lt-LT"/>
        </w:rPr>
      </w:pPr>
      <w:r w:rsidRPr="00EE75B4">
        <w:rPr>
          <w:rFonts w:ascii="Times New Roman" w:hAnsi="Times New Roman"/>
          <w:b/>
          <w:kern w:val="28"/>
          <w:lang w:val="lt-LT"/>
        </w:rPr>
        <w:t>6.2</w:t>
      </w:r>
      <w:r w:rsidRPr="00EE75B4">
        <w:rPr>
          <w:rFonts w:ascii="Times New Roman" w:hAnsi="Times New Roman"/>
          <w:b/>
          <w:kern w:val="28"/>
          <w:lang w:val="lt-LT"/>
        </w:rPr>
        <w:tab/>
        <w:t>Nesuderinamumas</w:t>
      </w:r>
    </w:p>
    <w:p w14:paraId="7E6C94E5" w14:textId="77777777" w:rsidR="005427AE" w:rsidRPr="00EE75B4" w:rsidRDefault="005427AE" w:rsidP="005427AE">
      <w:pPr>
        <w:spacing w:after="0" w:line="240" w:lineRule="auto"/>
        <w:rPr>
          <w:rFonts w:ascii="Times New Roman" w:hAnsi="Times New Roman"/>
          <w:lang w:val="lt-LT"/>
        </w:rPr>
      </w:pPr>
    </w:p>
    <w:p w14:paraId="2699079C"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Duomenys nebūtini.</w:t>
      </w:r>
    </w:p>
    <w:p w14:paraId="57C5AD3C" w14:textId="77777777" w:rsidR="005427AE" w:rsidRPr="00EE75B4" w:rsidRDefault="005427AE" w:rsidP="005427AE">
      <w:pPr>
        <w:spacing w:after="0" w:line="240" w:lineRule="auto"/>
        <w:rPr>
          <w:rFonts w:ascii="Times New Roman" w:hAnsi="Times New Roman"/>
          <w:lang w:val="lt-LT"/>
        </w:rPr>
      </w:pPr>
    </w:p>
    <w:p w14:paraId="5593AE2A" w14:textId="77777777" w:rsidR="005427AE" w:rsidRPr="00EE75B4" w:rsidRDefault="005427AE" w:rsidP="005427AE">
      <w:pPr>
        <w:spacing w:after="0" w:line="240" w:lineRule="auto"/>
        <w:ind w:left="567" w:hanging="567"/>
        <w:outlineLvl w:val="1"/>
        <w:rPr>
          <w:rFonts w:ascii="Times New Roman" w:hAnsi="Times New Roman"/>
          <w:b/>
          <w:kern w:val="28"/>
          <w:lang w:val="lt-LT"/>
        </w:rPr>
      </w:pPr>
      <w:r w:rsidRPr="00EE75B4">
        <w:rPr>
          <w:rFonts w:ascii="Times New Roman" w:hAnsi="Times New Roman"/>
          <w:b/>
          <w:kern w:val="28"/>
          <w:lang w:val="lt-LT"/>
        </w:rPr>
        <w:t>6.3</w:t>
      </w:r>
      <w:r w:rsidRPr="00EE75B4">
        <w:rPr>
          <w:rFonts w:ascii="Times New Roman" w:hAnsi="Times New Roman"/>
          <w:b/>
          <w:kern w:val="28"/>
          <w:lang w:val="lt-LT"/>
        </w:rPr>
        <w:tab/>
        <w:t>Tinkamumo laikas</w:t>
      </w:r>
    </w:p>
    <w:p w14:paraId="1D8D5328" w14:textId="77777777" w:rsidR="005427AE" w:rsidRPr="00EE75B4" w:rsidRDefault="005427AE" w:rsidP="005427AE">
      <w:pPr>
        <w:spacing w:after="0" w:line="240" w:lineRule="auto"/>
        <w:rPr>
          <w:rFonts w:ascii="Times New Roman" w:hAnsi="Times New Roman"/>
          <w:lang w:val="lt-LT"/>
        </w:rPr>
      </w:pPr>
    </w:p>
    <w:p w14:paraId="51BBED76"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3 metai.</w:t>
      </w:r>
    </w:p>
    <w:p w14:paraId="3191B018" w14:textId="77777777" w:rsidR="005427AE" w:rsidRPr="00EE75B4" w:rsidRDefault="005427AE" w:rsidP="005427AE">
      <w:pPr>
        <w:spacing w:after="0" w:line="240" w:lineRule="auto"/>
        <w:rPr>
          <w:rFonts w:ascii="Times New Roman" w:hAnsi="Times New Roman"/>
          <w:lang w:val="lt-LT"/>
        </w:rPr>
      </w:pPr>
    </w:p>
    <w:p w14:paraId="3D1D5598" w14:textId="77777777" w:rsidR="005427AE" w:rsidRPr="00EE75B4" w:rsidRDefault="005427AE" w:rsidP="005427AE">
      <w:pPr>
        <w:spacing w:after="0" w:line="240" w:lineRule="auto"/>
        <w:ind w:left="567" w:hanging="567"/>
        <w:outlineLvl w:val="1"/>
        <w:rPr>
          <w:rFonts w:ascii="Times New Roman" w:hAnsi="Times New Roman"/>
          <w:b/>
          <w:kern w:val="28"/>
          <w:lang w:val="lt-LT"/>
        </w:rPr>
      </w:pPr>
      <w:r w:rsidRPr="00EE75B4">
        <w:rPr>
          <w:rFonts w:ascii="Times New Roman" w:hAnsi="Times New Roman"/>
          <w:b/>
          <w:kern w:val="28"/>
          <w:lang w:val="lt-LT"/>
        </w:rPr>
        <w:t>6.4</w:t>
      </w:r>
      <w:r w:rsidRPr="00EE75B4">
        <w:rPr>
          <w:rFonts w:ascii="Times New Roman" w:hAnsi="Times New Roman"/>
          <w:b/>
          <w:kern w:val="28"/>
          <w:lang w:val="lt-LT"/>
        </w:rPr>
        <w:tab/>
        <w:t>Specialios laikymo sąlygos</w:t>
      </w:r>
    </w:p>
    <w:p w14:paraId="29698FFF" w14:textId="77777777" w:rsidR="005427AE" w:rsidRPr="00EE75B4" w:rsidRDefault="005427AE" w:rsidP="005427AE">
      <w:pPr>
        <w:spacing w:after="0" w:line="240" w:lineRule="auto"/>
        <w:rPr>
          <w:rFonts w:ascii="Times New Roman" w:hAnsi="Times New Roman"/>
          <w:lang w:val="lt-LT"/>
        </w:rPr>
      </w:pPr>
    </w:p>
    <w:p w14:paraId="51C5F311"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Šiam vaistiniam preparatui specialių laikymo sąlygų nereikia.</w:t>
      </w:r>
    </w:p>
    <w:p w14:paraId="320AAD51" w14:textId="77777777" w:rsidR="005427AE" w:rsidRPr="00EE75B4" w:rsidRDefault="005427AE" w:rsidP="005427AE">
      <w:pPr>
        <w:spacing w:after="0" w:line="240" w:lineRule="auto"/>
        <w:rPr>
          <w:rFonts w:ascii="Times New Roman" w:hAnsi="Times New Roman"/>
          <w:lang w:val="lt-LT"/>
        </w:rPr>
      </w:pPr>
    </w:p>
    <w:p w14:paraId="5EA7C39B" w14:textId="77777777" w:rsidR="005427AE" w:rsidRPr="00EE75B4" w:rsidRDefault="005427AE" w:rsidP="005427AE">
      <w:pPr>
        <w:spacing w:after="0" w:line="240" w:lineRule="auto"/>
        <w:ind w:left="567" w:hanging="567"/>
        <w:outlineLvl w:val="1"/>
        <w:rPr>
          <w:rFonts w:ascii="Times New Roman" w:hAnsi="Times New Roman"/>
          <w:b/>
          <w:kern w:val="28"/>
          <w:lang w:val="lt-LT"/>
        </w:rPr>
      </w:pPr>
      <w:r w:rsidRPr="00EE75B4">
        <w:rPr>
          <w:rFonts w:ascii="Times New Roman" w:hAnsi="Times New Roman"/>
          <w:b/>
          <w:kern w:val="28"/>
          <w:lang w:val="lt-LT"/>
        </w:rPr>
        <w:t>6.5</w:t>
      </w:r>
      <w:r w:rsidRPr="00EE75B4">
        <w:rPr>
          <w:rFonts w:ascii="Times New Roman" w:hAnsi="Times New Roman"/>
          <w:b/>
          <w:kern w:val="28"/>
          <w:lang w:val="lt-LT"/>
        </w:rPr>
        <w:tab/>
      </w:r>
      <w:proofErr w:type="spellStart"/>
      <w:r w:rsidRPr="00EE75B4">
        <w:rPr>
          <w:rFonts w:ascii="Times New Roman" w:hAnsi="Times New Roman"/>
          <w:b/>
          <w:kern w:val="28"/>
          <w:lang w:val="lt-LT"/>
        </w:rPr>
        <w:t>Talpyklės</w:t>
      </w:r>
      <w:proofErr w:type="spellEnd"/>
      <w:r w:rsidRPr="00EE75B4">
        <w:rPr>
          <w:rFonts w:ascii="Times New Roman" w:hAnsi="Times New Roman"/>
          <w:b/>
          <w:kern w:val="28"/>
          <w:lang w:val="lt-LT"/>
        </w:rPr>
        <w:t xml:space="preserve"> pobūdis ir jos turinys</w:t>
      </w:r>
    </w:p>
    <w:p w14:paraId="65080093" w14:textId="77777777" w:rsidR="005427AE" w:rsidRPr="00EE75B4" w:rsidRDefault="005427AE" w:rsidP="005427AE">
      <w:pPr>
        <w:spacing w:after="0" w:line="240" w:lineRule="auto"/>
        <w:rPr>
          <w:rFonts w:ascii="Times New Roman" w:hAnsi="Times New Roman"/>
          <w:lang w:val="lt-LT"/>
        </w:rPr>
      </w:pPr>
    </w:p>
    <w:p w14:paraId="7F0AFD7C"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OPA-Aliuminio-PVC/Aliuminio lizdinė plokštelė išorinėje kartono dėžutėje: 30, 60, 90 ir 120 tablečių.</w:t>
      </w:r>
    </w:p>
    <w:p w14:paraId="63AB8870" w14:textId="77777777" w:rsidR="005427AE" w:rsidRPr="00EE75B4" w:rsidRDefault="005427AE" w:rsidP="005427AE">
      <w:pPr>
        <w:spacing w:after="0" w:line="240" w:lineRule="auto"/>
        <w:rPr>
          <w:rFonts w:ascii="Times New Roman" w:hAnsi="Times New Roman"/>
          <w:lang w:val="lt-LT"/>
        </w:rPr>
      </w:pPr>
    </w:p>
    <w:p w14:paraId="469E1D69"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Didelio tankio polietileno (DTPE) buteliukas su medvilnės užpildu ir vaikų sunkiai atidaromu užsukamuoju polipropileno dangteliu su minkštu įdėklu (padarytu iš pagrindo, vaško, folijos, PET ir užlydomos plėvelės): 60 tablečių. </w:t>
      </w:r>
    </w:p>
    <w:p w14:paraId="3ADB0E20" w14:textId="77777777" w:rsidR="005427AE" w:rsidRPr="00EE75B4" w:rsidRDefault="005427AE" w:rsidP="005427AE">
      <w:pPr>
        <w:spacing w:after="0" w:line="240" w:lineRule="auto"/>
        <w:rPr>
          <w:rFonts w:ascii="Times New Roman" w:hAnsi="Times New Roman"/>
          <w:lang w:val="lt-LT"/>
        </w:rPr>
      </w:pPr>
    </w:p>
    <w:p w14:paraId="00B9B852" w14:textId="77777777" w:rsidR="005427AE" w:rsidRPr="00EE75B4" w:rsidRDefault="005427AE" w:rsidP="005427AE">
      <w:pPr>
        <w:tabs>
          <w:tab w:val="left" w:pos="567"/>
        </w:tabs>
        <w:spacing w:after="0" w:line="240" w:lineRule="auto"/>
        <w:rPr>
          <w:rFonts w:ascii="Times New Roman" w:hAnsi="Times New Roman"/>
          <w:lang w:val="lt-LT"/>
        </w:rPr>
      </w:pPr>
      <w:r w:rsidRPr="00EE75B4">
        <w:rPr>
          <w:rFonts w:ascii="Times New Roman" w:hAnsi="Times New Roman"/>
          <w:lang w:val="lt-LT"/>
        </w:rPr>
        <w:t>Gali būti tiekiamos ne visų dydžių pakuotės.</w:t>
      </w:r>
    </w:p>
    <w:p w14:paraId="6FE0DB55" w14:textId="77777777" w:rsidR="005427AE" w:rsidRPr="00EE75B4" w:rsidRDefault="005427AE" w:rsidP="005427AE">
      <w:pPr>
        <w:tabs>
          <w:tab w:val="left" w:pos="567"/>
        </w:tabs>
        <w:spacing w:after="0" w:line="240" w:lineRule="auto"/>
        <w:rPr>
          <w:rFonts w:ascii="Times New Roman" w:hAnsi="Times New Roman"/>
          <w:lang w:val="lt-LT"/>
        </w:rPr>
      </w:pPr>
    </w:p>
    <w:p w14:paraId="204B38E7" w14:textId="77777777" w:rsidR="005427AE" w:rsidRPr="00EE75B4" w:rsidRDefault="005427AE" w:rsidP="005427AE">
      <w:pPr>
        <w:keepNext/>
        <w:keepLines/>
        <w:tabs>
          <w:tab w:val="left" w:pos="567"/>
        </w:tabs>
        <w:spacing w:after="0" w:line="240" w:lineRule="auto"/>
        <w:outlineLvl w:val="1"/>
        <w:rPr>
          <w:rFonts w:ascii="Times New Roman" w:hAnsi="Times New Roman"/>
          <w:b/>
          <w:kern w:val="28"/>
          <w:lang w:val="lt-LT"/>
        </w:rPr>
      </w:pPr>
      <w:r w:rsidRPr="00EE75B4">
        <w:rPr>
          <w:rFonts w:ascii="Times New Roman" w:hAnsi="Times New Roman"/>
          <w:b/>
          <w:kern w:val="28"/>
          <w:lang w:val="lt-LT"/>
        </w:rPr>
        <w:t>6.6</w:t>
      </w:r>
      <w:r w:rsidRPr="00EE75B4">
        <w:rPr>
          <w:rFonts w:ascii="Times New Roman" w:hAnsi="Times New Roman"/>
          <w:b/>
          <w:kern w:val="28"/>
          <w:lang w:val="lt-LT"/>
        </w:rPr>
        <w:tab/>
        <w:t>Specialūs reikalavimai atliekoms tvarkyti</w:t>
      </w:r>
    </w:p>
    <w:p w14:paraId="00D2C007" w14:textId="77777777" w:rsidR="005427AE" w:rsidRPr="00EE75B4" w:rsidRDefault="005427AE" w:rsidP="005427AE">
      <w:pPr>
        <w:tabs>
          <w:tab w:val="left" w:pos="567"/>
        </w:tabs>
        <w:spacing w:after="0" w:line="240" w:lineRule="auto"/>
        <w:rPr>
          <w:rFonts w:ascii="Times New Roman" w:hAnsi="Times New Roman"/>
          <w:lang w:val="lt-LT"/>
        </w:rPr>
      </w:pPr>
    </w:p>
    <w:p w14:paraId="301D724F" w14:textId="77777777" w:rsidR="005427AE" w:rsidRPr="00EE75B4" w:rsidRDefault="005427AE" w:rsidP="005427AE">
      <w:pPr>
        <w:tabs>
          <w:tab w:val="left" w:pos="567"/>
        </w:tabs>
        <w:spacing w:after="0" w:line="240" w:lineRule="auto"/>
        <w:rPr>
          <w:rFonts w:ascii="Times New Roman" w:hAnsi="Times New Roman"/>
          <w:lang w:val="lt-LT"/>
        </w:rPr>
      </w:pPr>
      <w:r w:rsidRPr="00EE75B4">
        <w:rPr>
          <w:rFonts w:ascii="Times New Roman" w:hAnsi="Times New Roman"/>
          <w:lang w:val="lt-LT"/>
        </w:rPr>
        <w:t>Nesuvartotą vaistinį preparatą ar atliekas reikia tvarkyti laikantis vietinių reikalavimų.</w:t>
      </w:r>
    </w:p>
    <w:p w14:paraId="74B70927" w14:textId="77777777" w:rsidR="005427AE" w:rsidRPr="00EE75B4" w:rsidRDefault="005427AE" w:rsidP="005427AE">
      <w:pPr>
        <w:tabs>
          <w:tab w:val="left" w:pos="567"/>
        </w:tabs>
        <w:spacing w:after="0" w:line="240" w:lineRule="auto"/>
        <w:rPr>
          <w:rFonts w:ascii="Times New Roman" w:hAnsi="Times New Roman"/>
          <w:lang w:val="lt-LT"/>
        </w:rPr>
      </w:pPr>
    </w:p>
    <w:p w14:paraId="2CE71B50" w14:textId="77777777" w:rsidR="005427AE" w:rsidRPr="00EE75B4" w:rsidRDefault="005427AE" w:rsidP="005427AE">
      <w:pPr>
        <w:tabs>
          <w:tab w:val="left" w:pos="567"/>
        </w:tabs>
        <w:spacing w:after="0" w:line="240" w:lineRule="auto"/>
        <w:rPr>
          <w:rFonts w:ascii="Times New Roman" w:hAnsi="Times New Roman"/>
          <w:lang w:val="lt-LT"/>
        </w:rPr>
      </w:pPr>
    </w:p>
    <w:p w14:paraId="390F8AC7" w14:textId="77777777" w:rsidR="005427AE" w:rsidRPr="00EE75B4" w:rsidRDefault="005427AE" w:rsidP="005427AE">
      <w:pPr>
        <w:keepNext/>
        <w:keepLines/>
        <w:tabs>
          <w:tab w:val="left" w:pos="567"/>
        </w:tabs>
        <w:spacing w:after="0" w:line="240" w:lineRule="auto"/>
        <w:outlineLvl w:val="2"/>
        <w:rPr>
          <w:rFonts w:ascii="Times New Roman" w:hAnsi="Times New Roman"/>
          <w:b/>
          <w:lang w:val="lt-LT"/>
        </w:rPr>
      </w:pPr>
      <w:r w:rsidRPr="00EE75B4">
        <w:rPr>
          <w:rFonts w:ascii="Times New Roman" w:hAnsi="Times New Roman"/>
          <w:b/>
          <w:lang w:val="lt-LT"/>
        </w:rPr>
        <w:t>7.</w:t>
      </w:r>
      <w:r w:rsidRPr="00EE75B4">
        <w:rPr>
          <w:rFonts w:ascii="Times New Roman" w:hAnsi="Times New Roman"/>
          <w:b/>
          <w:lang w:val="lt-LT"/>
        </w:rPr>
        <w:tab/>
        <w:t>REGISTRUOTOJAS</w:t>
      </w:r>
    </w:p>
    <w:p w14:paraId="244BCF68" w14:textId="77777777" w:rsidR="005427AE" w:rsidRPr="00EE75B4" w:rsidRDefault="005427AE" w:rsidP="005427AE">
      <w:pPr>
        <w:tabs>
          <w:tab w:val="left" w:pos="567"/>
        </w:tabs>
        <w:spacing w:after="0" w:line="240" w:lineRule="auto"/>
        <w:rPr>
          <w:rFonts w:ascii="Times New Roman" w:hAnsi="Times New Roman"/>
          <w:lang w:val="lt-LT"/>
        </w:rPr>
      </w:pPr>
    </w:p>
    <w:p w14:paraId="5B6179DB" w14:textId="77777777" w:rsidR="002A306B" w:rsidRPr="00EE75B4" w:rsidRDefault="002A306B" w:rsidP="002A306B">
      <w:pPr>
        <w:spacing w:after="0" w:line="240" w:lineRule="auto"/>
        <w:rPr>
          <w:rFonts w:ascii="Times New Roman" w:hAnsi="Times New Roman"/>
          <w:lang w:val="lt-LT"/>
        </w:rPr>
      </w:pP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w:t>
      </w:r>
      <w:proofErr w:type="spellStart"/>
      <w:r w:rsidRPr="00EE75B4">
        <w:rPr>
          <w:rFonts w:ascii="Times New Roman" w:hAnsi="Times New Roman"/>
          <w:lang w:val="lt-LT"/>
        </w:rPr>
        <w:t>Healthcare</w:t>
      </w:r>
      <w:proofErr w:type="spellEnd"/>
      <w:r w:rsidRPr="00EE75B4">
        <w:rPr>
          <w:rFonts w:ascii="Times New Roman" w:hAnsi="Times New Roman"/>
          <w:lang w:val="lt-LT"/>
        </w:rPr>
        <w:t xml:space="preserve"> B.V. </w:t>
      </w:r>
    </w:p>
    <w:p w14:paraId="458CB201" w14:textId="77777777" w:rsidR="002A306B" w:rsidRPr="00EE75B4" w:rsidRDefault="002A306B" w:rsidP="002A306B">
      <w:pPr>
        <w:spacing w:after="0" w:line="240" w:lineRule="auto"/>
        <w:rPr>
          <w:rFonts w:ascii="Times New Roman" w:hAnsi="Times New Roman"/>
          <w:lang w:val="lt-LT"/>
        </w:rPr>
      </w:pPr>
      <w:proofErr w:type="spellStart"/>
      <w:r w:rsidRPr="00EE75B4">
        <w:rPr>
          <w:rFonts w:ascii="Times New Roman" w:hAnsi="Times New Roman"/>
          <w:lang w:val="lt-LT"/>
        </w:rPr>
        <w:t>Winthontlaan</w:t>
      </w:r>
      <w:proofErr w:type="spellEnd"/>
      <w:r w:rsidRPr="00EE75B4">
        <w:rPr>
          <w:rFonts w:ascii="Times New Roman" w:hAnsi="Times New Roman"/>
          <w:lang w:val="lt-LT"/>
        </w:rPr>
        <w:t xml:space="preserve"> 200 </w:t>
      </w:r>
    </w:p>
    <w:p w14:paraId="4195BC56" w14:textId="77777777" w:rsidR="002A306B" w:rsidRPr="00EE75B4" w:rsidRDefault="002A306B" w:rsidP="002A306B">
      <w:pPr>
        <w:spacing w:after="0" w:line="240" w:lineRule="auto"/>
        <w:rPr>
          <w:rFonts w:ascii="Times New Roman" w:hAnsi="Times New Roman"/>
          <w:lang w:val="lt-LT"/>
        </w:rPr>
      </w:pPr>
      <w:r w:rsidRPr="00EE75B4">
        <w:rPr>
          <w:rFonts w:ascii="Times New Roman" w:hAnsi="Times New Roman"/>
          <w:lang w:val="lt-LT"/>
        </w:rPr>
        <w:t xml:space="preserve">3526 KV </w:t>
      </w:r>
      <w:proofErr w:type="spellStart"/>
      <w:r w:rsidRPr="00EE75B4">
        <w:rPr>
          <w:rFonts w:ascii="Times New Roman" w:hAnsi="Times New Roman"/>
          <w:lang w:val="lt-LT"/>
        </w:rPr>
        <w:t>Utrecht</w:t>
      </w:r>
      <w:proofErr w:type="spellEnd"/>
      <w:r w:rsidRPr="00EE75B4">
        <w:rPr>
          <w:rFonts w:ascii="Times New Roman" w:hAnsi="Times New Roman"/>
          <w:lang w:val="lt-LT"/>
        </w:rPr>
        <w:t xml:space="preserve"> </w:t>
      </w:r>
    </w:p>
    <w:p w14:paraId="2866FF44" w14:textId="77777777" w:rsidR="002A306B" w:rsidRPr="00EE75B4" w:rsidRDefault="002A306B" w:rsidP="002A306B">
      <w:pPr>
        <w:spacing w:after="0" w:line="240" w:lineRule="auto"/>
        <w:rPr>
          <w:rFonts w:ascii="Times New Roman" w:hAnsi="Times New Roman"/>
          <w:lang w:val="lt-LT"/>
        </w:rPr>
      </w:pPr>
      <w:r w:rsidRPr="00EE75B4">
        <w:rPr>
          <w:rFonts w:ascii="Times New Roman" w:hAnsi="Times New Roman"/>
          <w:lang w:val="lt-LT"/>
        </w:rPr>
        <w:t>Nyderlandai</w:t>
      </w:r>
    </w:p>
    <w:p w14:paraId="2ED133E4" w14:textId="77777777" w:rsidR="005427AE" w:rsidRPr="00EE75B4" w:rsidRDefault="005427AE" w:rsidP="005427AE">
      <w:pPr>
        <w:tabs>
          <w:tab w:val="left" w:pos="567"/>
        </w:tabs>
        <w:spacing w:after="0" w:line="240" w:lineRule="auto"/>
        <w:rPr>
          <w:rFonts w:ascii="Times New Roman" w:hAnsi="Times New Roman"/>
          <w:lang w:val="lt-LT"/>
        </w:rPr>
      </w:pPr>
    </w:p>
    <w:p w14:paraId="2AC08C31" w14:textId="77777777" w:rsidR="005427AE" w:rsidRPr="00EE75B4" w:rsidRDefault="005427AE" w:rsidP="005427AE">
      <w:pPr>
        <w:tabs>
          <w:tab w:val="left" w:pos="567"/>
        </w:tabs>
        <w:spacing w:after="0" w:line="240" w:lineRule="auto"/>
        <w:rPr>
          <w:rFonts w:ascii="Times New Roman" w:hAnsi="Times New Roman"/>
          <w:lang w:val="lt-LT"/>
        </w:rPr>
      </w:pPr>
    </w:p>
    <w:p w14:paraId="37CF0FE3" w14:textId="77777777" w:rsidR="005427AE" w:rsidRPr="00EE75B4" w:rsidRDefault="005427AE" w:rsidP="005427AE">
      <w:pPr>
        <w:keepNext/>
        <w:keepLines/>
        <w:tabs>
          <w:tab w:val="left" w:pos="567"/>
        </w:tabs>
        <w:spacing w:after="0" w:line="240" w:lineRule="auto"/>
        <w:outlineLvl w:val="2"/>
        <w:rPr>
          <w:rFonts w:ascii="Times New Roman" w:hAnsi="Times New Roman"/>
          <w:b/>
          <w:lang w:val="lt-LT"/>
        </w:rPr>
      </w:pPr>
      <w:r w:rsidRPr="00EE75B4">
        <w:rPr>
          <w:rFonts w:ascii="Times New Roman" w:hAnsi="Times New Roman"/>
          <w:b/>
          <w:lang w:val="lt-LT"/>
        </w:rPr>
        <w:t>8.</w:t>
      </w:r>
      <w:r w:rsidRPr="00EE75B4">
        <w:rPr>
          <w:rFonts w:ascii="Times New Roman" w:hAnsi="Times New Roman"/>
          <w:b/>
          <w:lang w:val="lt-LT"/>
        </w:rPr>
        <w:tab/>
        <w:t xml:space="preserve">REGISTRACIJOS PAŽYMĖJIMO NUMERIS (-IAI) </w:t>
      </w:r>
    </w:p>
    <w:p w14:paraId="1DA15A5F" w14:textId="77777777" w:rsidR="005427AE" w:rsidRPr="00EE75B4" w:rsidRDefault="005427AE" w:rsidP="005427AE">
      <w:pPr>
        <w:keepNext/>
        <w:keepLines/>
        <w:tabs>
          <w:tab w:val="left" w:pos="567"/>
        </w:tabs>
        <w:spacing w:after="0" w:line="240" w:lineRule="auto"/>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D43F43" w14:paraId="7D846C31" w14:textId="77777777" w:rsidTr="00D43F43">
        <w:tc>
          <w:tcPr>
            <w:tcW w:w="4643" w:type="dxa"/>
          </w:tcPr>
          <w:p w14:paraId="74BC1DA5" w14:textId="3DE34FBD" w:rsidR="00D43F43" w:rsidRPr="00D43F43" w:rsidRDefault="00D43F43" w:rsidP="005427AE">
            <w:pPr>
              <w:spacing w:after="0" w:line="240" w:lineRule="auto"/>
              <w:rPr>
                <w:rFonts w:ascii="Times New Roman" w:hAnsi="Times New Roman"/>
              </w:rPr>
            </w:pPr>
            <w:r w:rsidRPr="00D43F43">
              <w:rPr>
                <w:rFonts w:ascii="Times New Roman" w:hAnsi="Times New Roman"/>
                <w:u w:val="single"/>
              </w:rPr>
              <w:t>Lizdinė plokštelė</w:t>
            </w:r>
            <w:r w:rsidRPr="00D43F43">
              <w:rPr>
                <w:rFonts w:ascii="Times New Roman" w:hAnsi="Times New Roman"/>
              </w:rPr>
              <w:t>:</w:t>
            </w:r>
          </w:p>
          <w:p w14:paraId="717A4854" w14:textId="77777777" w:rsidR="00D43F43" w:rsidRPr="00D43F43" w:rsidRDefault="00D43F43" w:rsidP="00D43F43">
            <w:pPr>
              <w:pStyle w:val="Default"/>
              <w:rPr>
                <w:sz w:val="22"/>
                <w:szCs w:val="22"/>
              </w:rPr>
            </w:pPr>
            <w:r w:rsidRPr="00D43F43">
              <w:rPr>
                <w:sz w:val="22"/>
                <w:szCs w:val="22"/>
              </w:rPr>
              <w:t xml:space="preserve">LT/1/16/3914/001 – N60 </w:t>
            </w:r>
          </w:p>
          <w:p w14:paraId="7B35B114" w14:textId="77777777" w:rsidR="00D43F43" w:rsidRPr="00D43F43" w:rsidRDefault="00D43F43" w:rsidP="00D43F43">
            <w:pPr>
              <w:pStyle w:val="Default"/>
              <w:rPr>
                <w:sz w:val="22"/>
                <w:szCs w:val="22"/>
              </w:rPr>
            </w:pPr>
            <w:r w:rsidRPr="00D43F43">
              <w:rPr>
                <w:sz w:val="22"/>
                <w:szCs w:val="22"/>
              </w:rPr>
              <w:t xml:space="preserve">LT/1/16/3914/003 – N30 </w:t>
            </w:r>
          </w:p>
          <w:p w14:paraId="55D74220" w14:textId="77777777" w:rsidR="00D43F43" w:rsidRPr="00D43F43" w:rsidRDefault="00D43F43" w:rsidP="00D43F43">
            <w:pPr>
              <w:pStyle w:val="Default"/>
              <w:rPr>
                <w:sz w:val="22"/>
                <w:szCs w:val="22"/>
              </w:rPr>
            </w:pPr>
            <w:r w:rsidRPr="00D43F43">
              <w:rPr>
                <w:sz w:val="22"/>
                <w:szCs w:val="22"/>
              </w:rPr>
              <w:t xml:space="preserve">LT/1/16/3914/004 – N90 </w:t>
            </w:r>
          </w:p>
          <w:p w14:paraId="39C53DFC" w14:textId="22E9FA0E" w:rsidR="00D43F43" w:rsidRPr="00D43F43" w:rsidRDefault="00D43F43" w:rsidP="00D43F43">
            <w:pPr>
              <w:spacing w:after="0" w:line="240" w:lineRule="auto"/>
              <w:rPr>
                <w:rFonts w:ascii="Times New Roman" w:hAnsi="Times New Roman"/>
              </w:rPr>
            </w:pPr>
            <w:r w:rsidRPr="00D43F43">
              <w:rPr>
                <w:rFonts w:ascii="Times New Roman" w:hAnsi="Times New Roman"/>
              </w:rPr>
              <w:t xml:space="preserve">LT/1/16/3914/005 – N120 </w:t>
            </w:r>
          </w:p>
        </w:tc>
        <w:tc>
          <w:tcPr>
            <w:tcW w:w="4643" w:type="dxa"/>
          </w:tcPr>
          <w:p w14:paraId="6FCA45C3" w14:textId="77777777" w:rsidR="00D43F43" w:rsidRPr="00D43F43" w:rsidRDefault="00D43F43" w:rsidP="005427AE">
            <w:pPr>
              <w:spacing w:after="0" w:line="240" w:lineRule="auto"/>
              <w:rPr>
                <w:rFonts w:ascii="Times New Roman" w:hAnsi="Times New Roman"/>
              </w:rPr>
            </w:pPr>
            <w:r w:rsidRPr="00D43F43">
              <w:rPr>
                <w:rFonts w:ascii="Times New Roman" w:hAnsi="Times New Roman"/>
                <w:u w:val="single"/>
              </w:rPr>
              <w:t>Buteliukas</w:t>
            </w:r>
            <w:r w:rsidRPr="00D43F43">
              <w:rPr>
                <w:rFonts w:ascii="Times New Roman" w:hAnsi="Times New Roman"/>
              </w:rPr>
              <w:t>:</w:t>
            </w:r>
          </w:p>
          <w:p w14:paraId="726218D0" w14:textId="77777777" w:rsidR="00D43F43" w:rsidRPr="00D43F43" w:rsidRDefault="00D43F43" w:rsidP="00D43F43">
            <w:pPr>
              <w:pStyle w:val="Default"/>
              <w:rPr>
                <w:sz w:val="22"/>
                <w:szCs w:val="22"/>
              </w:rPr>
            </w:pPr>
            <w:r w:rsidRPr="00D43F43">
              <w:rPr>
                <w:sz w:val="22"/>
                <w:szCs w:val="22"/>
              </w:rPr>
              <w:t xml:space="preserve">LT/1/16/3914/002 </w:t>
            </w:r>
          </w:p>
          <w:p w14:paraId="5476CFEA" w14:textId="77777777" w:rsidR="00D43F43" w:rsidRPr="00D43F43" w:rsidRDefault="00D43F43" w:rsidP="005427AE">
            <w:pPr>
              <w:spacing w:after="0" w:line="240" w:lineRule="auto"/>
              <w:rPr>
                <w:rFonts w:ascii="Times New Roman" w:hAnsi="Times New Roman"/>
              </w:rPr>
            </w:pPr>
          </w:p>
          <w:p w14:paraId="5EE7CBDB" w14:textId="1FCC1E88" w:rsidR="00D43F43" w:rsidRPr="00D43F43" w:rsidRDefault="00D43F43" w:rsidP="005427AE">
            <w:pPr>
              <w:spacing w:after="0" w:line="240" w:lineRule="auto"/>
              <w:rPr>
                <w:rFonts w:ascii="Times New Roman" w:hAnsi="Times New Roman"/>
              </w:rPr>
            </w:pPr>
          </w:p>
        </w:tc>
      </w:tr>
    </w:tbl>
    <w:p w14:paraId="212F7C2D" w14:textId="6D131E12" w:rsidR="00D43F43" w:rsidRDefault="00D43F43" w:rsidP="005427AE">
      <w:pPr>
        <w:spacing w:after="0" w:line="240" w:lineRule="auto"/>
        <w:rPr>
          <w:rFonts w:ascii="Times New Roman" w:hAnsi="Times New Roman"/>
          <w:lang w:val="lt-LT"/>
        </w:rPr>
      </w:pPr>
    </w:p>
    <w:p w14:paraId="36B167D0" w14:textId="77777777" w:rsidR="005427AE" w:rsidRPr="00EE75B4" w:rsidRDefault="005427AE" w:rsidP="005427AE">
      <w:pPr>
        <w:keepNext/>
        <w:keepLines/>
        <w:tabs>
          <w:tab w:val="left" w:pos="567"/>
        </w:tabs>
        <w:spacing w:after="0" w:line="240" w:lineRule="auto"/>
        <w:rPr>
          <w:rFonts w:ascii="Times New Roman" w:hAnsi="Times New Roman"/>
          <w:lang w:val="lt-LT"/>
        </w:rPr>
      </w:pPr>
    </w:p>
    <w:p w14:paraId="4EE87486" w14:textId="77777777" w:rsidR="005427AE" w:rsidRPr="00EE75B4" w:rsidRDefault="005427AE" w:rsidP="005427AE">
      <w:pPr>
        <w:keepNext/>
        <w:keepLines/>
        <w:tabs>
          <w:tab w:val="left" w:pos="567"/>
        </w:tabs>
        <w:spacing w:after="0" w:line="240" w:lineRule="auto"/>
        <w:rPr>
          <w:rFonts w:ascii="Times New Roman" w:hAnsi="Times New Roman"/>
          <w:lang w:val="lt-LT"/>
        </w:rPr>
      </w:pPr>
    </w:p>
    <w:p w14:paraId="46CB09FA" w14:textId="77777777" w:rsidR="005427AE" w:rsidRPr="00EE75B4" w:rsidRDefault="005427AE" w:rsidP="005427AE">
      <w:pPr>
        <w:keepNext/>
        <w:keepLines/>
        <w:tabs>
          <w:tab w:val="left" w:pos="567"/>
        </w:tabs>
        <w:spacing w:after="0" w:line="240" w:lineRule="auto"/>
        <w:outlineLvl w:val="2"/>
        <w:rPr>
          <w:rFonts w:ascii="Times New Roman" w:hAnsi="Times New Roman"/>
          <w:b/>
          <w:lang w:val="lt-LT"/>
        </w:rPr>
      </w:pPr>
      <w:r w:rsidRPr="00EE75B4">
        <w:rPr>
          <w:rFonts w:ascii="Times New Roman" w:hAnsi="Times New Roman"/>
          <w:b/>
          <w:lang w:val="lt-LT"/>
        </w:rPr>
        <w:t>9.</w:t>
      </w:r>
      <w:r w:rsidRPr="00EE75B4">
        <w:rPr>
          <w:rFonts w:ascii="Times New Roman" w:hAnsi="Times New Roman"/>
          <w:b/>
          <w:lang w:val="lt-LT"/>
        </w:rPr>
        <w:tab/>
        <w:t>REGISTRAVIMO / PERREGISTRAVIMO DATA</w:t>
      </w:r>
    </w:p>
    <w:p w14:paraId="764A98BA" w14:textId="77777777" w:rsidR="005427AE" w:rsidRPr="00EE75B4" w:rsidRDefault="005427AE" w:rsidP="005427AE">
      <w:pPr>
        <w:keepNext/>
        <w:keepLines/>
        <w:tabs>
          <w:tab w:val="left" w:pos="567"/>
        </w:tabs>
        <w:spacing w:after="0" w:line="240" w:lineRule="auto"/>
        <w:rPr>
          <w:rFonts w:ascii="Times New Roman" w:hAnsi="Times New Roman"/>
          <w:lang w:val="lt-LT"/>
        </w:rPr>
      </w:pPr>
    </w:p>
    <w:p w14:paraId="26D220C4" w14:textId="77777777" w:rsidR="005427AE" w:rsidRPr="00EE75B4" w:rsidRDefault="005427AE" w:rsidP="005427AE">
      <w:pPr>
        <w:tabs>
          <w:tab w:val="left" w:pos="1296"/>
        </w:tabs>
        <w:snapToGrid w:val="0"/>
        <w:spacing w:after="0" w:line="240" w:lineRule="auto"/>
        <w:rPr>
          <w:rFonts w:ascii="Times New Roman" w:hAnsi="Times New Roman"/>
          <w:lang w:val="lt-LT"/>
        </w:rPr>
      </w:pPr>
      <w:r w:rsidRPr="00EE75B4">
        <w:rPr>
          <w:rFonts w:ascii="Times New Roman" w:hAnsi="Times New Roman"/>
          <w:lang w:val="lt-LT"/>
        </w:rPr>
        <w:t>Registravimo data 2016 m. balandžio 29 d.</w:t>
      </w:r>
    </w:p>
    <w:p w14:paraId="663FC928" w14:textId="7A26DC58" w:rsidR="005427AE" w:rsidRDefault="00764A14" w:rsidP="005427AE">
      <w:pPr>
        <w:tabs>
          <w:tab w:val="left" w:pos="567"/>
        </w:tabs>
        <w:spacing w:after="0" w:line="240" w:lineRule="auto"/>
        <w:rPr>
          <w:rFonts w:ascii="Times New Roman" w:hAnsi="Times New Roman"/>
          <w:lang w:val="lt-LT"/>
        </w:rPr>
      </w:pPr>
      <w:r w:rsidRPr="00764A14">
        <w:rPr>
          <w:rFonts w:ascii="Times New Roman" w:hAnsi="Times New Roman"/>
          <w:lang w:val="lt-LT"/>
        </w:rPr>
        <w:t>Paskutinio perregistravimo data</w:t>
      </w:r>
      <w:r w:rsidR="00366F84">
        <w:rPr>
          <w:rFonts w:ascii="Times New Roman" w:hAnsi="Times New Roman"/>
          <w:lang w:val="lt-LT"/>
        </w:rPr>
        <w:t xml:space="preserve"> </w:t>
      </w:r>
      <w:r w:rsidR="00D43F43">
        <w:rPr>
          <w:rFonts w:ascii="Times New Roman" w:hAnsi="Times New Roman"/>
          <w:noProof/>
          <w:szCs w:val="24"/>
          <w:lang w:val="lt-LT"/>
        </w:rPr>
        <w:t>2021 m. spalio 26 d.</w:t>
      </w:r>
    </w:p>
    <w:p w14:paraId="470EA0DD" w14:textId="77777777" w:rsidR="00764A14" w:rsidRPr="00EE75B4" w:rsidRDefault="00764A14" w:rsidP="005427AE">
      <w:pPr>
        <w:tabs>
          <w:tab w:val="left" w:pos="567"/>
        </w:tabs>
        <w:spacing w:after="0" w:line="240" w:lineRule="auto"/>
        <w:rPr>
          <w:rFonts w:ascii="Times New Roman" w:hAnsi="Times New Roman"/>
          <w:lang w:val="lt-LT"/>
        </w:rPr>
      </w:pPr>
    </w:p>
    <w:p w14:paraId="3814E816" w14:textId="77777777" w:rsidR="005427AE" w:rsidRPr="00EE75B4" w:rsidRDefault="005427AE" w:rsidP="005427AE">
      <w:pPr>
        <w:tabs>
          <w:tab w:val="left" w:pos="567"/>
        </w:tabs>
        <w:spacing w:after="0" w:line="240" w:lineRule="auto"/>
        <w:rPr>
          <w:rFonts w:ascii="Times New Roman" w:hAnsi="Times New Roman"/>
          <w:lang w:val="lt-LT"/>
        </w:rPr>
      </w:pPr>
    </w:p>
    <w:p w14:paraId="151864B1" w14:textId="77777777" w:rsidR="005427AE" w:rsidRPr="00EE75B4" w:rsidRDefault="005427AE" w:rsidP="005427AE">
      <w:pPr>
        <w:keepNext/>
        <w:keepLines/>
        <w:tabs>
          <w:tab w:val="left" w:pos="567"/>
        </w:tabs>
        <w:spacing w:after="0" w:line="240" w:lineRule="auto"/>
        <w:outlineLvl w:val="2"/>
        <w:rPr>
          <w:rFonts w:ascii="Times New Roman" w:hAnsi="Times New Roman"/>
          <w:b/>
          <w:lang w:val="lt-LT"/>
        </w:rPr>
      </w:pPr>
      <w:r w:rsidRPr="00EE75B4">
        <w:rPr>
          <w:rFonts w:ascii="Times New Roman" w:hAnsi="Times New Roman"/>
          <w:b/>
          <w:lang w:val="lt-LT"/>
        </w:rPr>
        <w:t>10.</w:t>
      </w:r>
      <w:r w:rsidRPr="00EE75B4">
        <w:rPr>
          <w:rFonts w:ascii="Times New Roman" w:hAnsi="Times New Roman"/>
          <w:b/>
          <w:lang w:val="lt-LT"/>
        </w:rPr>
        <w:tab/>
        <w:t>TEKSTO PERŽIŪROS DATA</w:t>
      </w:r>
    </w:p>
    <w:p w14:paraId="63DBA5D4" w14:textId="2E543B6F" w:rsidR="005427AE" w:rsidRPr="00EE75B4" w:rsidRDefault="005427AE" w:rsidP="00581BF7">
      <w:pPr>
        <w:tabs>
          <w:tab w:val="left" w:pos="567"/>
        </w:tabs>
        <w:spacing w:after="0" w:line="240" w:lineRule="auto"/>
        <w:rPr>
          <w:rFonts w:ascii="Times New Roman" w:hAnsi="Times New Roman"/>
          <w:lang w:val="lt-LT"/>
        </w:rPr>
      </w:pPr>
    </w:p>
    <w:p w14:paraId="14BEBCCD" w14:textId="79E4274D" w:rsidR="00F97BED" w:rsidRDefault="00D43F43" w:rsidP="005427AE">
      <w:pPr>
        <w:tabs>
          <w:tab w:val="left" w:pos="567"/>
        </w:tabs>
        <w:spacing w:after="0" w:line="240" w:lineRule="auto"/>
        <w:rPr>
          <w:rFonts w:ascii="Times New Roman" w:hAnsi="Times New Roman"/>
          <w:noProof/>
          <w:szCs w:val="24"/>
          <w:lang w:val="lt-LT"/>
        </w:rPr>
      </w:pPr>
      <w:r>
        <w:rPr>
          <w:rFonts w:ascii="Times New Roman" w:hAnsi="Times New Roman"/>
          <w:noProof/>
          <w:szCs w:val="24"/>
          <w:lang w:val="lt-LT"/>
        </w:rPr>
        <w:t>2021 m. spalio 26 d.</w:t>
      </w:r>
    </w:p>
    <w:p w14:paraId="3FE00AA3" w14:textId="77777777" w:rsidR="00D43F43" w:rsidRPr="00EE75B4" w:rsidRDefault="00D43F43" w:rsidP="005427AE">
      <w:pPr>
        <w:tabs>
          <w:tab w:val="left" w:pos="567"/>
        </w:tabs>
        <w:spacing w:after="0" w:line="240" w:lineRule="auto"/>
        <w:rPr>
          <w:rFonts w:ascii="Times New Roman" w:hAnsi="Times New Roman"/>
          <w:lang w:val="lt-LT"/>
        </w:rPr>
      </w:pPr>
    </w:p>
    <w:p w14:paraId="45A69006" w14:textId="77777777" w:rsidR="005427AE" w:rsidRPr="00EE75B4" w:rsidRDefault="005427AE" w:rsidP="005427AE">
      <w:pPr>
        <w:tabs>
          <w:tab w:val="left" w:pos="567"/>
          <w:tab w:val="left" w:pos="5954"/>
          <w:tab w:val="left" w:pos="6237"/>
          <w:tab w:val="left" w:pos="6663"/>
          <w:tab w:val="left" w:pos="6946"/>
        </w:tabs>
        <w:spacing w:after="0" w:line="240" w:lineRule="auto"/>
        <w:rPr>
          <w:rFonts w:ascii="Times New Roman" w:hAnsi="Times New Roman"/>
          <w:lang w:val="lt-LT"/>
        </w:rPr>
      </w:pPr>
      <w:r w:rsidRPr="00EE75B4">
        <w:rPr>
          <w:rFonts w:ascii="Times New Roman" w:hAnsi="Times New Roman"/>
          <w:lang w:val="lt-LT"/>
        </w:rPr>
        <w:t>Išsami informacija apie šį vaistinį preparatą pateikiama Valstybinės vaistų kontrolės tarnybos prie Lietuvos Respublikos sveikatos apsaugos ministerijos tinklalapyje</w:t>
      </w:r>
      <w:r w:rsidRPr="00EE75B4">
        <w:rPr>
          <w:rFonts w:ascii="Times New Roman" w:hAnsi="Times New Roman"/>
          <w:i/>
          <w:lang w:val="lt-LT"/>
        </w:rPr>
        <w:t xml:space="preserve"> </w:t>
      </w:r>
      <w:hyperlink r:id="rId13" w:history="1">
        <w:r w:rsidRPr="00EE75B4">
          <w:rPr>
            <w:rFonts w:ascii="Times New Roman" w:hAnsi="Times New Roman"/>
            <w:u w:val="single"/>
            <w:lang w:val="lt-LT"/>
          </w:rPr>
          <w:t>http://www.vvkt.lt</w:t>
        </w:r>
      </w:hyperlink>
    </w:p>
    <w:p w14:paraId="21F009BA" w14:textId="77777777" w:rsidR="005427AE" w:rsidRPr="00EE75B4" w:rsidRDefault="005427AE" w:rsidP="005427AE">
      <w:pPr>
        <w:tabs>
          <w:tab w:val="left" w:pos="567"/>
          <w:tab w:val="left" w:pos="5954"/>
          <w:tab w:val="left" w:pos="6237"/>
          <w:tab w:val="left" w:pos="6663"/>
          <w:tab w:val="left" w:pos="6946"/>
        </w:tabs>
        <w:spacing w:after="0" w:line="240" w:lineRule="auto"/>
        <w:jc w:val="center"/>
        <w:rPr>
          <w:rFonts w:ascii="Times New Roman" w:hAnsi="Times New Roman"/>
          <w:lang w:val="lt-LT"/>
        </w:rPr>
      </w:pPr>
    </w:p>
    <w:p w14:paraId="10B1EC5B" w14:textId="77777777" w:rsidR="005427AE" w:rsidRPr="00EE75B4" w:rsidRDefault="005427AE" w:rsidP="005427AE">
      <w:pPr>
        <w:tabs>
          <w:tab w:val="left" w:pos="567"/>
        </w:tabs>
        <w:spacing w:after="0" w:line="240" w:lineRule="auto"/>
        <w:rPr>
          <w:rFonts w:ascii="Times New Roman" w:hAnsi="Times New Roman"/>
          <w:lang w:val="lt-LT"/>
        </w:rPr>
      </w:pPr>
    </w:p>
    <w:p w14:paraId="677622AA" w14:textId="77777777" w:rsidR="005427AE" w:rsidRPr="00EE75B4" w:rsidRDefault="005427AE" w:rsidP="005427AE">
      <w:pPr>
        <w:spacing w:after="0" w:line="240" w:lineRule="auto"/>
        <w:rPr>
          <w:rFonts w:ascii="Times New Roman" w:hAnsi="Times New Roman"/>
          <w:lang w:val="lt-LT"/>
        </w:rPr>
      </w:pPr>
    </w:p>
    <w:p w14:paraId="3A1CBAC9" w14:textId="77777777" w:rsidR="005427AE" w:rsidRPr="00EE75B4" w:rsidRDefault="005427AE" w:rsidP="005427AE">
      <w:pPr>
        <w:spacing w:after="0" w:line="240" w:lineRule="auto"/>
        <w:jc w:val="center"/>
        <w:rPr>
          <w:rFonts w:ascii="Times New Roman" w:hAnsi="Times New Roman"/>
          <w:b/>
          <w:lang w:val="lt-LT"/>
        </w:rPr>
      </w:pPr>
    </w:p>
    <w:p w14:paraId="7B36817D" w14:textId="77777777" w:rsidR="005427AE" w:rsidRPr="00EE75B4" w:rsidRDefault="005427AE" w:rsidP="005427AE">
      <w:pPr>
        <w:spacing w:after="0" w:line="240" w:lineRule="auto"/>
        <w:jc w:val="center"/>
        <w:rPr>
          <w:rFonts w:ascii="Times New Roman" w:hAnsi="Times New Roman"/>
          <w:b/>
          <w:lang w:val="lt-LT"/>
        </w:rPr>
      </w:pPr>
    </w:p>
    <w:p w14:paraId="75129BC2" w14:textId="77777777" w:rsidR="005427AE" w:rsidRPr="00EE75B4" w:rsidRDefault="005427AE" w:rsidP="005427AE">
      <w:pPr>
        <w:spacing w:after="0" w:line="240" w:lineRule="auto"/>
        <w:jc w:val="center"/>
        <w:rPr>
          <w:rFonts w:ascii="Times New Roman" w:hAnsi="Times New Roman"/>
          <w:b/>
          <w:lang w:val="lt-LT"/>
        </w:rPr>
      </w:pPr>
    </w:p>
    <w:p w14:paraId="65EE4B59" w14:textId="77777777" w:rsidR="005427AE" w:rsidRPr="00EE75B4" w:rsidRDefault="005427AE" w:rsidP="005427AE">
      <w:pPr>
        <w:spacing w:after="0" w:line="240" w:lineRule="auto"/>
        <w:jc w:val="center"/>
        <w:rPr>
          <w:rFonts w:ascii="Times New Roman" w:hAnsi="Times New Roman"/>
          <w:b/>
          <w:lang w:val="lt-LT"/>
        </w:rPr>
      </w:pPr>
    </w:p>
    <w:p w14:paraId="01CD8880" w14:textId="77777777" w:rsidR="005427AE" w:rsidRPr="00EE75B4" w:rsidRDefault="005427AE" w:rsidP="005427AE">
      <w:pPr>
        <w:spacing w:after="0" w:line="240" w:lineRule="auto"/>
        <w:jc w:val="center"/>
        <w:rPr>
          <w:rFonts w:ascii="Times New Roman" w:hAnsi="Times New Roman"/>
          <w:b/>
          <w:lang w:val="lt-LT"/>
        </w:rPr>
      </w:pPr>
    </w:p>
    <w:p w14:paraId="44FA50F2" w14:textId="77777777" w:rsidR="005427AE" w:rsidRPr="00EE75B4" w:rsidRDefault="005427AE" w:rsidP="005427AE">
      <w:pPr>
        <w:spacing w:after="0" w:line="240" w:lineRule="auto"/>
        <w:jc w:val="center"/>
        <w:rPr>
          <w:rFonts w:ascii="Times New Roman" w:hAnsi="Times New Roman"/>
          <w:b/>
          <w:lang w:val="lt-LT"/>
        </w:rPr>
      </w:pPr>
    </w:p>
    <w:p w14:paraId="52002177" w14:textId="77777777" w:rsidR="005427AE" w:rsidRPr="00EE75B4" w:rsidRDefault="005427AE" w:rsidP="005427AE">
      <w:pPr>
        <w:spacing w:after="0" w:line="240" w:lineRule="auto"/>
        <w:jc w:val="center"/>
        <w:rPr>
          <w:rFonts w:ascii="Times New Roman" w:hAnsi="Times New Roman"/>
          <w:b/>
          <w:lang w:val="lt-LT"/>
        </w:rPr>
      </w:pPr>
    </w:p>
    <w:p w14:paraId="6A10C2FF" w14:textId="77777777" w:rsidR="005427AE" w:rsidRPr="00EE75B4" w:rsidRDefault="005427AE" w:rsidP="005427AE">
      <w:pPr>
        <w:spacing w:after="0" w:line="240" w:lineRule="auto"/>
        <w:jc w:val="center"/>
        <w:rPr>
          <w:rFonts w:ascii="Times New Roman" w:hAnsi="Times New Roman"/>
          <w:b/>
          <w:lang w:val="lt-LT"/>
        </w:rPr>
      </w:pPr>
    </w:p>
    <w:p w14:paraId="201598A4" w14:textId="77777777" w:rsidR="005427AE" w:rsidRPr="00EE75B4" w:rsidRDefault="005427AE" w:rsidP="005427AE">
      <w:pPr>
        <w:spacing w:after="0" w:line="240" w:lineRule="auto"/>
        <w:jc w:val="center"/>
        <w:rPr>
          <w:rFonts w:ascii="Times New Roman" w:hAnsi="Times New Roman"/>
          <w:b/>
          <w:lang w:val="lt-LT"/>
        </w:rPr>
      </w:pPr>
    </w:p>
    <w:p w14:paraId="778D838C" w14:textId="77777777" w:rsidR="005427AE" w:rsidRPr="00EE75B4" w:rsidRDefault="005427AE" w:rsidP="005427AE">
      <w:pPr>
        <w:spacing w:after="0" w:line="240" w:lineRule="auto"/>
        <w:jc w:val="center"/>
        <w:rPr>
          <w:rFonts w:ascii="Times New Roman" w:hAnsi="Times New Roman"/>
          <w:b/>
          <w:lang w:val="lt-LT"/>
        </w:rPr>
      </w:pPr>
    </w:p>
    <w:p w14:paraId="0AFC8600" w14:textId="77777777" w:rsidR="005427AE" w:rsidRPr="00EE75B4" w:rsidRDefault="005427AE" w:rsidP="005427AE">
      <w:pPr>
        <w:spacing w:after="0" w:line="240" w:lineRule="auto"/>
        <w:jc w:val="center"/>
        <w:rPr>
          <w:rFonts w:ascii="Times New Roman" w:hAnsi="Times New Roman"/>
          <w:b/>
          <w:lang w:val="lt-LT"/>
        </w:rPr>
      </w:pPr>
    </w:p>
    <w:p w14:paraId="14AD7675" w14:textId="77777777" w:rsidR="005427AE" w:rsidRPr="00EE75B4" w:rsidRDefault="005427AE" w:rsidP="005427AE">
      <w:pPr>
        <w:spacing w:after="0" w:line="240" w:lineRule="auto"/>
        <w:jc w:val="center"/>
        <w:rPr>
          <w:rFonts w:ascii="Times New Roman" w:hAnsi="Times New Roman"/>
          <w:b/>
          <w:lang w:val="lt-LT"/>
        </w:rPr>
      </w:pPr>
    </w:p>
    <w:p w14:paraId="5DA632C8" w14:textId="77777777" w:rsidR="005427AE" w:rsidRPr="00EE75B4" w:rsidRDefault="005427AE" w:rsidP="005427AE">
      <w:pPr>
        <w:spacing w:after="0" w:line="240" w:lineRule="auto"/>
        <w:jc w:val="center"/>
        <w:rPr>
          <w:rFonts w:ascii="Times New Roman" w:hAnsi="Times New Roman"/>
          <w:b/>
          <w:lang w:val="lt-LT"/>
        </w:rPr>
      </w:pPr>
    </w:p>
    <w:p w14:paraId="4BF6F90C" w14:textId="77777777" w:rsidR="005427AE" w:rsidRPr="00EE75B4" w:rsidRDefault="005427AE" w:rsidP="005427AE">
      <w:pPr>
        <w:spacing w:after="0" w:line="240" w:lineRule="auto"/>
        <w:jc w:val="center"/>
        <w:rPr>
          <w:rFonts w:ascii="Times New Roman" w:hAnsi="Times New Roman"/>
          <w:b/>
          <w:lang w:val="lt-LT"/>
        </w:rPr>
      </w:pPr>
    </w:p>
    <w:p w14:paraId="5CBD2BC2" w14:textId="77777777" w:rsidR="005427AE" w:rsidRPr="00EE75B4" w:rsidRDefault="005427AE" w:rsidP="005427AE">
      <w:pPr>
        <w:spacing w:after="0" w:line="240" w:lineRule="auto"/>
        <w:jc w:val="center"/>
        <w:rPr>
          <w:rFonts w:ascii="Times New Roman" w:hAnsi="Times New Roman"/>
          <w:b/>
          <w:lang w:val="lt-LT"/>
        </w:rPr>
      </w:pPr>
    </w:p>
    <w:p w14:paraId="6044889E" w14:textId="77777777" w:rsidR="005427AE" w:rsidRPr="00EE75B4" w:rsidRDefault="005427AE" w:rsidP="005427AE">
      <w:pPr>
        <w:spacing w:after="0" w:line="240" w:lineRule="auto"/>
        <w:jc w:val="center"/>
        <w:rPr>
          <w:rFonts w:ascii="Times New Roman" w:hAnsi="Times New Roman"/>
          <w:b/>
          <w:lang w:val="lt-LT"/>
        </w:rPr>
      </w:pPr>
    </w:p>
    <w:p w14:paraId="4039F8C1" w14:textId="77777777" w:rsidR="005427AE" w:rsidRPr="00EE75B4" w:rsidRDefault="005427AE" w:rsidP="005427AE">
      <w:pPr>
        <w:spacing w:after="0" w:line="240" w:lineRule="auto"/>
        <w:jc w:val="center"/>
        <w:rPr>
          <w:rFonts w:ascii="Times New Roman" w:hAnsi="Times New Roman"/>
          <w:b/>
          <w:lang w:val="lt-LT"/>
        </w:rPr>
      </w:pPr>
    </w:p>
    <w:p w14:paraId="0B08D869" w14:textId="77777777" w:rsidR="005427AE" w:rsidRPr="00EE75B4" w:rsidRDefault="005427AE" w:rsidP="005427AE">
      <w:pPr>
        <w:spacing w:after="0" w:line="240" w:lineRule="auto"/>
        <w:jc w:val="center"/>
        <w:rPr>
          <w:rFonts w:ascii="Times New Roman" w:hAnsi="Times New Roman"/>
          <w:b/>
          <w:lang w:val="lt-LT"/>
        </w:rPr>
      </w:pPr>
    </w:p>
    <w:p w14:paraId="6D62F4E1" w14:textId="77777777" w:rsidR="005427AE" w:rsidRPr="00EE75B4" w:rsidRDefault="005427AE" w:rsidP="005427AE">
      <w:pPr>
        <w:spacing w:after="0" w:line="240" w:lineRule="auto"/>
        <w:jc w:val="center"/>
        <w:rPr>
          <w:rFonts w:ascii="Times New Roman" w:hAnsi="Times New Roman"/>
          <w:b/>
          <w:lang w:val="lt-LT"/>
        </w:rPr>
      </w:pPr>
    </w:p>
    <w:p w14:paraId="0859598C" w14:textId="77777777" w:rsidR="005427AE" w:rsidRPr="00EE75B4" w:rsidRDefault="005427AE" w:rsidP="005427AE">
      <w:pPr>
        <w:spacing w:after="0" w:line="240" w:lineRule="auto"/>
        <w:jc w:val="center"/>
        <w:rPr>
          <w:rFonts w:ascii="Times New Roman" w:hAnsi="Times New Roman"/>
          <w:b/>
          <w:lang w:val="lt-LT"/>
        </w:rPr>
      </w:pPr>
    </w:p>
    <w:p w14:paraId="66CD026F" w14:textId="77777777" w:rsidR="005427AE" w:rsidRPr="00EE75B4" w:rsidRDefault="005427AE" w:rsidP="005427AE">
      <w:pPr>
        <w:spacing w:after="0" w:line="240" w:lineRule="auto"/>
        <w:jc w:val="center"/>
        <w:rPr>
          <w:rFonts w:ascii="Times New Roman" w:hAnsi="Times New Roman"/>
          <w:b/>
          <w:lang w:val="lt-LT"/>
        </w:rPr>
      </w:pPr>
    </w:p>
    <w:p w14:paraId="61E34D77" w14:textId="77777777" w:rsidR="005427AE" w:rsidRPr="00EE75B4" w:rsidRDefault="005427AE" w:rsidP="005427AE">
      <w:pPr>
        <w:spacing w:after="0" w:line="240" w:lineRule="auto"/>
        <w:jc w:val="center"/>
        <w:rPr>
          <w:rFonts w:ascii="Times New Roman" w:hAnsi="Times New Roman"/>
          <w:b/>
          <w:lang w:val="lt-LT"/>
        </w:rPr>
      </w:pPr>
    </w:p>
    <w:p w14:paraId="681FB2B5" w14:textId="77777777" w:rsidR="005427AE" w:rsidRPr="00EE75B4" w:rsidRDefault="005427AE" w:rsidP="005427AE">
      <w:pPr>
        <w:spacing w:after="0" w:line="240" w:lineRule="auto"/>
        <w:jc w:val="center"/>
        <w:rPr>
          <w:rFonts w:ascii="Times New Roman" w:hAnsi="Times New Roman"/>
          <w:b/>
          <w:lang w:val="lt-LT"/>
        </w:rPr>
      </w:pPr>
      <w:r w:rsidRPr="00EE75B4">
        <w:rPr>
          <w:rFonts w:ascii="Times New Roman" w:hAnsi="Times New Roman"/>
          <w:b/>
          <w:lang w:val="lt-LT"/>
        </w:rPr>
        <w:t>II PRIEDAS</w:t>
      </w:r>
    </w:p>
    <w:p w14:paraId="2317B9D9" w14:textId="77777777" w:rsidR="005427AE" w:rsidRPr="00EE75B4" w:rsidRDefault="005427AE" w:rsidP="005427AE">
      <w:pPr>
        <w:spacing w:after="0" w:line="240" w:lineRule="auto"/>
        <w:ind w:left="1701" w:right="1416" w:hanging="567"/>
        <w:rPr>
          <w:rFonts w:ascii="Times New Roman" w:hAnsi="Times New Roman"/>
          <w:lang w:val="lt-LT"/>
        </w:rPr>
      </w:pPr>
    </w:p>
    <w:p w14:paraId="6041897B" w14:textId="77777777" w:rsidR="005427AE" w:rsidRPr="00EE75B4" w:rsidRDefault="005427AE" w:rsidP="005427AE">
      <w:pPr>
        <w:tabs>
          <w:tab w:val="left" w:pos="567"/>
        </w:tabs>
        <w:spacing w:after="0" w:line="240" w:lineRule="auto"/>
        <w:jc w:val="center"/>
        <w:rPr>
          <w:rFonts w:ascii="Times New Roman" w:hAnsi="Times New Roman"/>
          <w:i/>
          <w:lang w:val="lt-LT"/>
        </w:rPr>
      </w:pPr>
      <w:r w:rsidRPr="00EE75B4">
        <w:rPr>
          <w:rFonts w:ascii="Times New Roman" w:hAnsi="Times New Roman"/>
          <w:b/>
          <w:lang w:val="lt-LT"/>
        </w:rPr>
        <w:t>REGISTRACIJOS SĄLYGOS</w:t>
      </w:r>
    </w:p>
    <w:p w14:paraId="4D4410BE" w14:textId="77777777" w:rsidR="005427AE" w:rsidRPr="00EE75B4" w:rsidRDefault="005427AE" w:rsidP="005427AE">
      <w:pPr>
        <w:tabs>
          <w:tab w:val="left" w:pos="1701"/>
        </w:tabs>
        <w:spacing w:after="0" w:line="240" w:lineRule="auto"/>
        <w:rPr>
          <w:rFonts w:ascii="Times New Roman" w:hAnsi="Times New Roman"/>
          <w:lang w:val="lt-LT"/>
        </w:rPr>
      </w:pPr>
    </w:p>
    <w:p w14:paraId="474339CA" w14:textId="77777777" w:rsidR="005427AE" w:rsidRPr="00EE75B4" w:rsidRDefault="005427AE" w:rsidP="005427AE">
      <w:pPr>
        <w:tabs>
          <w:tab w:val="left" w:pos="1701"/>
        </w:tabs>
        <w:spacing w:after="0" w:line="240" w:lineRule="auto"/>
        <w:ind w:left="1418" w:hanging="284"/>
        <w:outlineLvl w:val="0"/>
        <w:rPr>
          <w:rFonts w:ascii="Times New Roman" w:hAnsi="Times New Roman"/>
          <w:b/>
          <w:caps/>
          <w:kern w:val="28"/>
          <w:lang w:val="lt-LT"/>
        </w:rPr>
      </w:pPr>
      <w:r w:rsidRPr="00EE75B4">
        <w:rPr>
          <w:rFonts w:ascii="Times New Roman" w:hAnsi="Times New Roman"/>
          <w:b/>
          <w:caps/>
          <w:kern w:val="28"/>
          <w:lang w:val="lt-LT"/>
        </w:rPr>
        <w:t xml:space="preserve">A. </w:t>
      </w:r>
      <w:r w:rsidRPr="00EE75B4">
        <w:rPr>
          <w:rFonts w:ascii="Times New Roman" w:hAnsi="Times New Roman"/>
          <w:b/>
          <w:caps/>
          <w:kern w:val="28"/>
          <w:lang w:val="lt-LT"/>
        </w:rPr>
        <w:tab/>
      </w:r>
      <w:r w:rsidRPr="00EE75B4">
        <w:rPr>
          <w:rFonts w:ascii="Times New Roman" w:hAnsi="Times New Roman"/>
          <w:b/>
          <w:caps/>
          <w:kern w:val="28"/>
          <w:lang w:val="lt-LT"/>
        </w:rPr>
        <w:tab/>
        <w:t>GAMINTOJAS (-AI), ATSAKINGAS (-I) UŽ SERIJŲ IŠLEIDIMĄ</w:t>
      </w:r>
    </w:p>
    <w:p w14:paraId="790CE261" w14:textId="77777777" w:rsidR="005427AE" w:rsidRPr="00EE75B4" w:rsidRDefault="005427AE" w:rsidP="005427AE">
      <w:pPr>
        <w:tabs>
          <w:tab w:val="left" w:pos="1701"/>
        </w:tabs>
        <w:spacing w:after="0" w:line="240" w:lineRule="auto"/>
        <w:ind w:left="1418" w:hanging="284"/>
        <w:rPr>
          <w:rFonts w:ascii="Times New Roman" w:hAnsi="Times New Roman"/>
          <w:lang w:val="lt-LT"/>
        </w:rPr>
      </w:pPr>
    </w:p>
    <w:p w14:paraId="7E55A7EF" w14:textId="77777777" w:rsidR="005427AE" w:rsidRPr="00EE75B4" w:rsidRDefault="005427AE" w:rsidP="005427AE">
      <w:pPr>
        <w:tabs>
          <w:tab w:val="left" w:pos="1701"/>
        </w:tabs>
        <w:spacing w:after="0" w:line="240" w:lineRule="auto"/>
        <w:ind w:left="1418" w:hanging="284"/>
        <w:outlineLvl w:val="0"/>
        <w:rPr>
          <w:rFonts w:ascii="Times New Roman" w:hAnsi="Times New Roman"/>
          <w:b/>
          <w:caps/>
          <w:kern w:val="28"/>
          <w:lang w:val="lt-LT"/>
        </w:rPr>
      </w:pPr>
      <w:r w:rsidRPr="00EE75B4">
        <w:rPr>
          <w:rFonts w:ascii="Times New Roman" w:hAnsi="Times New Roman"/>
          <w:b/>
          <w:caps/>
          <w:kern w:val="28"/>
          <w:lang w:val="lt-LT"/>
        </w:rPr>
        <w:t xml:space="preserve">B. </w:t>
      </w:r>
      <w:r w:rsidRPr="00EE75B4">
        <w:rPr>
          <w:rFonts w:ascii="Times New Roman" w:hAnsi="Times New Roman"/>
          <w:b/>
          <w:caps/>
          <w:kern w:val="28"/>
          <w:lang w:val="lt-LT"/>
        </w:rPr>
        <w:tab/>
      </w:r>
      <w:r w:rsidRPr="00EE75B4">
        <w:rPr>
          <w:rFonts w:ascii="Times New Roman" w:hAnsi="Times New Roman"/>
          <w:b/>
          <w:caps/>
          <w:kern w:val="28"/>
          <w:lang w:val="lt-LT"/>
        </w:rPr>
        <w:tab/>
        <w:t>TIEKIMO IR VARTOJIMO SĄLYGOS AR APRIBOJIMAI</w:t>
      </w:r>
    </w:p>
    <w:p w14:paraId="3718700A" w14:textId="77777777" w:rsidR="005427AE" w:rsidRPr="00EE75B4" w:rsidRDefault="005427AE" w:rsidP="005427AE">
      <w:pPr>
        <w:tabs>
          <w:tab w:val="left" w:pos="1701"/>
        </w:tabs>
        <w:spacing w:after="0" w:line="240" w:lineRule="auto"/>
        <w:ind w:left="1418" w:hanging="284"/>
        <w:rPr>
          <w:rFonts w:ascii="Times New Roman" w:hAnsi="Times New Roman"/>
          <w:lang w:val="lt-LT"/>
        </w:rPr>
      </w:pPr>
    </w:p>
    <w:p w14:paraId="3F8EFEFB" w14:textId="77777777" w:rsidR="005427AE" w:rsidRPr="00EE75B4" w:rsidRDefault="005427AE" w:rsidP="005427AE">
      <w:pPr>
        <w:tabs>
          <w:tab w:val="left" w:pos="567"/>
        </w:tabs>
        <w:spacing w:after="0" w:line="240" w:lineRule="auto"/>
        <w:rPr>
          <w:rFonts w:ascii="Times New Roman" w:hAnsi="Times New Roman"/>
          <w:b/>
          <w:lang w:val="lt-LT"/>
        </w:rPr>
      </w:pPr>
      <w:r w:rsidRPr="00EE75B4">
        <w:rPr>
          <w:rFonts w:ascii="Times New Roman" w:hAnsi="Times New Roman"/>
          <w:lang w:val="lt-LT"/>
        </w:rPr>
        <w:br w:type="page"/>
      </w:r>
      <w:r w:rsidRPr="00EE75B4">
        <w:rPr>
          <w:rFonts w:ascii="Times New Roman" w:hAnsi="Times New Roman"/>
          <w:b/>
          <w:lang w:val="lt-LT"/>
        </w:rPr>
        <w:lastRenderedPageBreak/>
        <w:t>A.</w:t>
      </w:r>
      <w:r w:rsidRPr="00EE75B4">
        <w:rPr>
          <w:rFonts w:ascii="Times New Roman" w:hAnsi="Times New Roman"/>
          <w:b/>
          <w:lang w:val="lt-LT"/>
        </w:rPr>
        <w:tab/>
        <w:t>GAMINTOJAS (-AI), ATSAKINGAS (-I) UŽ SERIJŲ IŠLEIDIMĄ</w:t>
      </w:r>
    </w:p>
    <w:p w14:paraId="6BD8CABB" w14:textId="77777777" w:rsidR="005427AE" w:rsidRPr="00EE75B4" w:rsidRDefault="005427AE" w:rsidP="005427AE">
      <w:pPr>
        <w:spacing w:after="0" w:line="240" w:lineRule="auto"/>
        <w:rPr>
          <w:rFonts w:ascii="Times New Roman" w:hAnsi="Times New Roman"/>
          <w:lang w:val="lt-LT"/>
        </w:rPr>
      </w:pPr>
    </w:p>
    <w:p w14:paraId="76E6692F" w14:textId="77777777" w:rsidR="005427AE" w:rsidRPr="00EE75B4" w:rsidRDefault="005427AE" w:rsidP="005427AE">
      <w:pPr>
        <w:tabs>
          <w:tab w:val="left" w:pos="567"/>
        </w:tabs>
        <w:spacing w:after="0" w:line="240" w:lineRule="auto"/>
        <w:jc w:val="both"/>
        <w:rPr>
          <w:rFonts w:ascii="Times New Roman" w:hAnsi="Times New Roman"/>
          <w:lang w:val="lt-LT"/>
        </w:rPr>
      </w:pPr>
      <w:r w:rsidRPr="00EE75B4">
        <w:rPr>
          <w:rFonts w:ascii="Times New Roman" w:hAnsi="Times New Roman"/>
          <w:u w:val="single"/>
          <w:lang w:val="lt-LT"/>
        </w:rPr>
        <w:t>Gamintojo (-ų), atsakingo (-ų) už serijų išleidimą, pavadinimas (-ai) ir adresas (-ai)</w:t>
      </w:r>
    </w:p>
    <w:p w14:paraId="005E16A8" w14:textId="77777777" w:rsidR="005427AE" w:rsidRPr="00EE75B4" w:rsidRDefault="005427AE" w:rsidP="005427AE">
      <w:pPr>
        <w:spacing w:after="0" w:line="240" w:lineRule="auto"/>
        <w:rPr>
          <w:rFonts w:ascii="Times New Roman" w:hAnsi="Times New Roman"/>
          <w:lang w:val="lt-LT"/>
        </w:rPr>
      </w:pPr>
    </w:p>
    <w:p w14:paraId="3497D1C5" w14:textId="77777777" w:rsidR="005427AE" w:rsidRPr="00EE75B4" w:rsidRDefault="005427AE" w:rsidP="005427AE">
      <w:pPr>
        <w:tabs>
          <w:tab w:val="left" w:pos="567"/>
        </w:tabs>
        <w:spacing w:after="0" w:line="240" w:lineRule="auto"/>
        <w:rPr>
          <w:rFonts w:ascii="Times New Roman" w:hAnsi="Times New Roman"/>
          <w:lang w:val="lt-LT"/>
        </w:rPr>
      </w:pPr>
      <w:proofErr w:type="spellStart"/>
      <w:r w:rsidRPr="00EE75B4">
        <w:rPr>
          <w:rFonts w:ascii="Times New Roman" w:hAnsi="Times New Roman"/>
          <w:lang w:val="lt-LT"/>
        </w:rPr>
        <w:t>Pharmadox</w:t>
      </w:r>
      <w:proofErr w:type="spellEnd"/>
      <w:r w:rsidRPr="00EE75B4">
        <w:rPr>
          <w:rFonts w:ascii="Times New Roman" w:hAnsi="Times New Roman"/>
          <w:lang w:val="lt-LT"/>
        </w:rPr>
        <w:t xml:space="preserve"> </w:t>
      </w:r>
      <w:proofErr w:type="spellStart"/>
      <w:r w:rsidRPr="00EE75B4">
        <w:rPr>
          <w:rFonts w:ascii="Times New Roman" w:hAnsi="Times New Roman"/>
          <w:lang w:val="lt-LT"/>
        </w:rPr>
        <w:t>Healthcare</w:t>
      </w:r>
      <w:proofErr w:type="spellEnd"/>
      <w:r w:rsidRPr="00EE75B4">
        <w:rPr>
          <w:rFonts w:ascii="Times New Roman" w:hAnsi="Times New Roman"/>
          <w:lang w:val="lt-LT"/>
        </w:rPr>
        <w:t xml:space="preserve"> Ltd.</w:t>
      </w:r>
    </w:p>
    <w:p w14:paraId="3F5748E3" w14:textId="77777777" w:rsidR="005427AE" w:rsidRPr="00EE75B4" w:rsidRDefault="005427AE" w:rsidP="005427AE">
      <w:pPr>
        <w:tabs>
          <w:tab w:val="left" w:pos="567"/>
        </w:tabs>
        <w:spacing w:after="0" w:line="240" w:lineRule="auto"/>
        <w:rPr>
          <w:rFonts w:ascii="Times New Roman" w:hAnsi="Times New Roman"/>
          <w:lang w:val="lt-LT"/>
        </w:rPr>
      </w:pPr>
      <w:r w:rsidRPr="00EE75B4">
        <w:rPr>
          <w:rFonts w:ascii="Times New Roman" w:hAnsi="Times New Roman"/>
          <w:lang w:val="lt-LT"/>
        </w:rPr>
        <w:t xml:space="preserve">KW20A </w:t>
      </w:r>
      <w:proofErr w:type="spellStart"/>
      <w:r w:rsidRPr="00EE75B4">
        <w:rPr>
          <w:rFonts w:ascii="Times New Roman" w:hAnsi="Times New Roman"/>
          <w:lang w:val="lt-LT"/>
        </w:rPr>
        <w:t>Kordin</w:t>
      </w:r>
      <w:proofErr w:type="spellEnd"/>
      <w:r w:rsidRPr="00EE75B4">
        <w:rPr>
          <w:rFonts w:ascii="Times New Roman" w:hAnsi="Times New Roman"/>
          <w:lang w:val="lt-LT"/>
        </w:rPr>
        <w:t xml:space="preserve"> </w:t>
      </w:r>
      <w:proofErr w:type="spellStart"/>
      <w:r w:rsidRPr="00EE75B4">
        <w:rPr>
          <w:rFonts w:ascii="Times New Roman" w:hAnsi="Times New Roman"/>
          <w:lang w:val="lt-LT"/>
        </w:rPr>
        <w:t>Industrial</w:t>
      </w:r>
      <w:proofErr w:type="spellEnd"/>
      <w:r w:rsidRPr="00EE75B4">
        <w:rPr>
          <w:rFonts w:ascii="Times New Roman" w:hAnsi="Times New Roman"/>
          <w:lang w:val="lt-LT"/>
        </w:rPr>
        <w:t xml:space="preserve"> </w:t>
      </w:r>
      <w:proofErr w:type="spellStart"/>
      <w:r w:rsidRPr="00EE75B4">
        <w:rPr>
          <w:rFonts w:ascii="Times New Roman" w:hAnsi="Times New Roman"/>
          <w:lang w:val="lt-LT"/>
        </w:rPr>
        <w:t>Park</w:t>
      </w:r>
      <w:proofErr w:type="spellEnd"/>
      <w:r w:rsidRPr="00EE75B4">
        <w:rPr>
          <w:rFonts w:ascii="Times New Roman" w:hAnsi="Times New Roman"/>
          <w:lang w:val="lt-LT"/>
        </w:rPr>
        <w:t xml:space="preserve">, </w:t>
      </w:r>
      <w:proofErr w:type="spellStart"/>
      <w:r w:rsidRPr="00EE75B4">
        <w:rPr>
          <w:rFonts w:ascii="Times New Roman" w:hAnsi="Times New Roman"/>
          <w:lang w:val="lt-LT"/>
        </w:rPr>
        <w:t>Paola</w:t>
      </w:r>
      <w:proofErr w:type="spellEnd"/>
    </w:p>
    <w:p w14:paraId="1293F7EC" w14:textId="77777777" w:rsidR="005427AE" w:rsidRPr="00EE75B4" w:rsidRDefault="005427AE" w:rsidP="005427AE">
      <w:pPr>
        <w:tabs>
          <w:tab w:val="left" w:pos="567"/>
        </w:tabs>
        <w:spacing w:after="0" w:line="240" w:lineRule="auto"/>
        <w:rPr>
          <w:rFonts w:ascii="Times New Roman" w:hAnsi="Times New Roman"/>
          <w:lang w:val="lt-LT"/>
        </w:rPr>
      </w:pPr>
      <w:r w:rsidRPr="00EE75B4">
        <w:rPr>
          <w:rFonts w:ascii="Times New Roman" w:hAnsi="Times New Roman"/>
          <w:lang w:val="lt-LT"/>
        </w:rPr>
        <w:t>PLA 3000</w:t>
      </w:r>
    </w:p>
    <w:p w14:paraId="519AC8D6" w14:textId="77777777" w:rsidR="005427AE" w:rsidRPr="00EE75B4" w:rsidRDefault="005427AE" w:rsidP="005427AE">
      <w:pPr>
        <w:tabs>
          <w:tab w:val="left" w:pos="567"/>
        </w:tabs>
        <w:spacing w:after="0" w:line="240" w:lineRule="auto"/>
        <w:rPr>
          <w:rFonts w:ascii="Times New Roman" w:hAnsi="Times New Roman"/>
          <w:lang w:val="lt-LT"/>
        </w:rPr>
      </w:pPr>
      <w:r w:rsidRPr="00EE75B4">
        <w:rPr>
          <w:rFonts w:ascii="Times New Roman" w:hAnsi="Times New Roman"/>
          <w:lang w:val="lt-LT"/>
        </w:rPr>
        <w:t>Malta</w:t>
      </w:r>
    </w:p>
    <w:p w14:paraId="3A17AB1C" w14:textId="77777777" w:rsidR="005427AE" w:rsidRPr="00EE75B4" w:rsidRDefault="005427AE" w:rsidP="005427AE">
      <w:pPr>
        <w:tabs>
          <w:tab w:val="left" w:pos="567"/>
        </w:tabs>
        <w:spacing w:after="0" w:line="240" w:lineRule="auto"/>
        <w:rPr>
          <w:rFonts w:ascii="Times New Roman" w:hAnsi="Times New Roman"/>
          <w:lang w:val="lt-LT"/>
        </w:rPr>
      </w:pPr>
    </w:p>
    <w:p w14:paraId="172329A7" w14:textId="77777777" w:rsidR="005427AE" w:rsidRPr="00EE75B4" w:rsidRDefault="005427AE" w:rsidP="005427AE">
      <w:pPr>
        <w:tabs>
          <w:tab w:val="left" w:pos="567"/>
        </w:tabs>
        <w:spacing w:after="0" w:line="240" w:lineRule="auto"/>
        <w:rPr>
          <w:rFonts w:ascii="Times New Roman" w:hAnsi="Times New Roman"/>
          <w:lang w:val="lt-LT"/>
        </w:rPr>
      </w:pPr>
      <w:r w:rsidRPr="00EE75B4">
        <w:rPr>
          <w:rFonts w:ascii="Times New Roman" w:hAnsi="Times New Roman"/>
          <w:lang w:val="lt-LT"/>
        </w:rPr>
        <w:t>arba</w:t>
      </w:r>
    </w:p>
    <w:p w14:paraId="4D74F1DE" w14:textId="77777777" w:rsidR="00FE345E" w:rsidRPr="00EE75B4" w:rsidRDefault="00FE345E" w:rsidP="005427AE">
      <w:pPr>
        <w:tabs>
          <w:tab w:val="left" w:pos="567"/>
        </w:tabs>
        <w:spacing w:after="0" w:line="240" w:lineRule="auto"/>
        <w:rPr>
          <w:rFonts w:ascii="Times New Roman" w:hAnsi="Times New Roman"/>
          <w:lang w:val="lt-LT"/>
        </w:rPr>
      </w:pPr>
    </w:p>
    <w:p w14:paraId="5D0E47DF" w14:textId="635856ED" w:rsidR="00FE345E" w:rsidRPr="00EE75B4" w:rsidRDefault="00FE345E" w:rsidP="00FE345E">
      <w:pPr>
        <w:tabs>
          <w:tab w:val="left" w:pos="567"/>
        </w:tabs>
        <w:spacing w:after="0" w:line="240" w:lineRule="auto"/>
        <w:rPr>
          <w:rFonts w:ascii="Times New Roman" w:hAnsi="Times New Roman"/>
          <w:lang w:val="lt-LT"/>
        </w:rPr>
      </w:pP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w:t>
      </w:r>
      <w:proofErr w:type="spellStart"/>
      <w:r w:rsidRPr="00EE75B4">
        <w:rPr>
          <w:rFonts w:ascii="Times New Roman" w:hAnsi="Times New Roman"/>
          <w:lang w:val="lt-LT"/>
        </w:rPr>
        <w:t>Healthcare</w:t>
      </w:r>
      <w:proofErr w:type="spellEnd"/>
      <w:r w:rsidRPr="00EE75B4">
        <w:rPr>
          <w:rFonts w:ascii="Times New Roman" w:hAnsi="Times New Roman"/>
          <w:lang w:val="lt-LT"/>
        </w:rPr>
        <w:t xml:space="preserve"> </w:t>
      </w:r>
      <w:proofErr w:type="spellStart"/>
      <w:r w:rsidRPr="00EE75B4">
        <w:rPr>
          <w:rFonts w:ascii="Times New Roman" w:hAnsi="Times New Roman"/>
          <w:lang w:val="lt-LT"/>
        </w:rPr>
        <w:t>Polska</w:t>
      </w:r>
      <w:proofErr w:type="spellEnd"/>
      <w:r w:rsidRPr="00EE75B4">
        <w:rPr>
          <w:rFonts w:ascii="Times New Roman" w:hAnsi="Times New Roman"/>
          <w:lang w:val="lt-LT"/>
        </w:rPr>
        <w:t xml:space="preserve"> </w:t>
      </w:r>
      <w:proofErr w:type="spellStart"/>
      <w:r w:rsidRPr="00EE75B4">
        <w:rPr>
          <w:rFonts w:ascii="Times New Roman" w:hAnsi="Times New Roman"/>
          <w:lang w:val="lt-LT"/>
        </w:rPr>
        <w:t>Sp.z</w:t>
      </w:r>
      <w:proofErr w:type="spellEnd"/>
      <w:r w:rsidRPr="00EE75B4">
        <w:rPr>
          <w:rFonts w:ascii="Times New Roman" w:hAnsi="Times New Roman"/>
          <w:lang w:val="lt-LT"/>
        </w:rPr>
        <w:t xml:space="preserve"> </w:t>
      </w:r>
      <w:proofErr w:type="spellStart"/>
      <w:r w:rsidRPr="00EE75B4">
        <w:rPr>
          <w:rFonts w:ascii="Times New Roman" w:hAnsi="Times New Roman"/>
          <w:lang w:val="lt-LT"/>
        </w:rPr>
        <w:t>o.o</w:t>
      </w:r>
      <w:proofErr w:type="spellEnd"/>
      <w:r w:rsidRPr="00EE75B4">
        <w:rPr>
          <w:rFonts w:ascii="Times New Roman" w:hAnsi="Times New Roman"/>
          <w:lang w:val="lt-LT"/>
        </w:rPr>
        <w:t>.,</w:t>
      </w:r>
    </w:p>
    <w:p w14:paraId="7F6370FB" w14:textId="2F869BE1" w:rsidR="00FE345E" w:rsidRPr="00EE75B4" w:rsidRDefault="00FE345E" w:rsidP="00FE345E">
      <w:pPr>
        <w:tabs>
          <w:tab w:val="left" w:pos="567"/>
        </w:tabs>
        <w:spacing w:after="0" w:line="240" w:lineRule="auto"/>
        <w:rPr>
          <w:rFonts w:ascii="Times New Roman" w:hAnsi="Times New Roman"/>
          <w:lang w:val="lt-LT"/>
        </w:rPr>
      </w:pPr>
      <w:proofErr w:type="spellStart"/>
      <w:r w:rsidRPr="00EE75B4">
        <w:rPr>
          <w:rFonts w:ascii="Times New Roman" w:hAnsi="Times New Roman"/>
          <w:lang w:val="lt-LT"/>
        </w:rPr>
        <w:t>ul</w:t>
      </w:r>
      <w:proofErr w:type="spellEnd"/>
      <w:r w:rsidRPr="00EE75B4">
        <w:rPr>
          <w:rFonts w:ascii="Times New Roman" w:hAnsi="Times New Roman"/>
          <w:lang w:val="lt-LT"/>
        </w:rPr>
        <w:t xml:space="preserve">. </w:t>
      </w:r>
      <w:proofErr w:type="spellStart"/>
      <w:r w:rsidRPr="00EE75B4">
        <w:rPr>
          <w:rFonts w:ascii="Times New Roman" w:hAnsi="Times New Roman"/>
          <w:lang w:val="lt-LT"/>
        </w:rPr>
        <w:t>Lutomierska</w:t>
      </w:r>
      <w:proofErr w:type="spellEnd"/>
      <w:r w:rsidRPr="00EE75B4">
        <w:rPr>
          <w:rFonts w:ascii="Times New Roman" w:hAnsi="Times New Roman"/>
          <w:lang w:val="lt-LT"/>
        </w:rPr>
        <w:t xml:space="preserve"> 50,</w:t>
      </w:r>
      <w:r w:rsidR="00EE75B4" w:rsidRPr="00EE75B4">
        <w:rPr>
          <w:rFonts w:ascii="Times New Roman" w:hAnsi="Times New Roman"/>
          <w:lang w:val="lt-LT"/>
        </w:rPr>
        <w:t xml:space="preserve"> </w:t>
      </w:r>
      <w:r w:rsidRPr="00EE75B4">
        <w:rPr>
          <w:rFonts w:ascii="Times New Roman" w:hAnsi="Times New Roman"/>
          <w:lang w:val="lt-LT"/>
        </w:rPr>
        <w:t xml:space="preserve">95-200 </w:t>
      </w:r>
      <w:proofErr w:type="spellStart"/>
      <w:r w:rsidRPr="00EE75B4">
        <w:rPr>
          <w:rFonts w:ascii="Times New Roman" w:hAnsi="Times New Roman"/>
          <w:lang w:val="lt-LT"/>
        </w:rPr>
        <w:t>Pabianice</w:t>
      </w:r>
      <w:proofErr w:type="spellEnd"/>
      <w:r w:rsidRPr="00EE75B4">
        <w:rPr>
          <w:rFonts w:ascii="Times New Roman" w:hAnsi="Times New Roman"/>
          <w:lang w:val="lt-LT"/>
        </w:rPr>
        <w:t>, Lenkija</w:t>
      </w:r>
    </w:p>
    <w:p w14:paraId="7EC4C28D" w14:textId="77777777" w:rsidR="00FE345E" w:rsidRPr="00EE75B4" w:rsidRDefault="00FE345E" w:rsidP="00FE345E">
      <w:pPr>
        <w:tabs>
          <w:tab w:val="left" w:pos="567"/>
        </w:tabs>
        <w:spacing w:after="0" w:line="240" w:lineRule="auto"/>
        <w:rPr>
          <w:rFonts w:ascii="Times New Roman" w:hAnsi="Times New Roman"/>
          <w:lang w:val="lt-LT"/>
        </w:rPr>
      </w:pPr>
    </w:p>
    <w:p w14:paraId="1AA072D3" w14:textId="79F41790" w:rsidR="00FE345E" w:rsidRPr="00EE75B4" w:rsidRDefault="00FE345E" w:rsidP="00FE345E">
      <w:pPr>
        <w:tabs>
          <w:tab w:val="left" w:pos="567"/>
        </w:tabs>
        <w:spacing w:after="0" w:line="240" w:lineRule="auto"/>
        <w:rPr>
          <w:rFonts w:ascii="Times New Roman" w:hAnsi="Times New Roman"/>
          <w:lang w:val="lt-LT"/>
        </w:rPr>
      </w:pPr>
      <w:r w:rsidRPr="00EE75B4">
        <w:rPr>
          <w:rFonts w:ascii="Times New Roman" w:hAnsi="Times New Roman"/>
          <w:lang w:val="lt-LT"/>
        </w:rPr>
        <w:t>arba</w:t>
      </w:r>
    </w:p>
    <w:p w14:paraId="3B01A9B6" w14:textId="77777777" w:rsidR="005427AE" w:rsidRPr="00EE75B4" w:rsidRDefault="005427AE" w:rsidP="005427AE">
      <w:pPr>
        <w:tabs>
          <w:tab w:val="left" w:pos="567"/>
        </w:tabs>
        <w:spacing w:after="0" w:line="240" w:lineRule="auto"/>
        <w:rPr>
          <w:rFonts w:ascii="Times New Roman" w:hAnsi="Times New Roman"/>
          <w:lang w:val="lt-LT"/>
        </w:rPr>
      </w:pPr>
    </w:p>
    <w:p w14:paraId="005BE803" w14:textId="77777777" w:rsidR="002C3B2B" w:rsidRPr="00EE75B4" w:rsidRDefault="002C3B2B" w:rsidP="002C3B2B">
      <w:pPr>
        <w:tabs>
          <w:tab w:val="left" w:pos="567"/>
        </w:tabs>
        <w:spacing w:after="0" w:line="240" w:lineRule="auto"/>
        <w:rPr>
          <w:rFonts w:ascii="Times New Roman" w:hAnsi="Times New Roman"/>
          <w:lang w:val="lt-LT"/>
        </w:rPr>
      </w:pP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w:t>
      </w:r>
      <w:proofErr w:type="spellStart"/>
      <w:r w:rsidRPr="00EE75B4">
        <w:rPr>
          <w:rFonts w:ascii="Times New Roman" w:hAnsi="Times New Roman"/>
          <w:lang w:val="lt-LT"/>
        </w:rPr>
        <w:t>Healthcare</w:t>
      </w:r>
      <w:proofErr w:type="spellEnd"/>
      <w:r w:rsidRPr="00EE75B4">
        <w:rPr>
          <w:rFonts w:ascii="Times New Roman" w:hAnsi="Times New Roman"/>
          <w:lang w:val="lt-LT"/>
        </w:rPr>
        <w:t xml:space="preserve"> B.V. </w:t>
      </w:r>
    </w:p>
    <w:p w14:paraId="60E078C1" w14:textId="77777777" w:rsidR="002C3B2B" w:rsidRPr="00EE75B4" w:rsidRDefault="002C3B2B" w:rsidP="002C3B2B">
      <w:pPr>
        <w:tabs>
          <w:tab w:val="left" w:pos="567"/>
        </w:tabs>
        <w:spacing w:after="0" w:line="240" w:lineRule="auto"/>
        <w:rPr>
          <w:rFonts w:ascii="Times New Roman" w:hAnsi="Times New Roman"/>
          <w:lang w:val="lt-LT"/>
        </w:rPr>
      </w:pPr>
      <w:proofErr w:type="spellStart"/>
      <w:r w:rsidRPr="00EE75B4">
        <w:rPr>
          <w:rFonts w:ascii="Times New Roman" w:hAnsi="Times New Roman"/>
          <w:lang w:val="lt-LT"/>
        </w:rPr>
        <w:t>Winthontlaan</w:t>
      </w:r>
      <w:proofErr w:type="spellEnd"/>
      <w:r w:rsidRPr="00EE75B4">
        <w:rPr>
          <w:rFonts w:ascii="Times New Roman" w:hAnsi="Times New Roman"/>
          <w:lang w:val="lt-LT"/>
        </w:rPr>
        <w:t xml:space="preserve"> 200</w:t>
      </w:r>
    </w:p>
    <w:p w14:paraId="1E8570C3" w14:textId="77777777" w:rsidR="002C3B2B" w:rsidRPr="00EE75B4" w:rsidRDefault="002C3B2B" w:rsidP="002C3B2B">
      <w:pPr>
        <w:tabs>
          <w:tab w:val="left" w:pos="567"/>
        </w:tabs>
        <w:spacing w:after="0" w:line="240" w:lineRule="auto"/>
        <w:rPr>
          <w:rFonts w:ascii="Times New Roman" w:hAnsi="Times New Roman"/>
          <w:lang w:val="lt-LT"/>
        </w:rPr>
      </w:pPr>
      <w:r w:rsidRPr="00EE75B4">
        <w:rPr>
          <w:rFonts w:ascii="Times New Roman" w:hAnsi="Times New Roman"/>
          <w:lang w:val="lt-LT"/>
        </w:rPr>
        <w:t xml:space="preserve">3526 KV </w:t>
      </w:r>
      <w:proofErr w:type="spellStart"/>
      <w:r w:rsidRPr="00EE75B4">
        <w:rPr>
          <w:rFonts w:ascii="Times New Roman" w:hAnsi="Times New Roman"/>
          <w:lang w:val="lt-LT"/>
        </w:rPr>
        <w:t>Utrecht</w:t>
      </w:r>
      <w:proofErr w:type="spellEnd"/>
    </w:p>
    <w:p w14:paraId="0965BDF0" w14:textId="6701D871" w:rsidR="005427AE" w:rsidRPr="00EE75B4" w:rsidRDefault="002C3B2B" w:rsidP="005427AE">
      <w:pPr>
        <w:tabs>
          <w:tab w:val="left" w:pos="567"/>
        </w:tabs>
        <w:spacing w:after="0" w:line="240" w:lineRule="auto"/>
        <w:rPr>
          <w:rFonts w:ascii="Times New Roman" w:hAnsi="Times New Roman"/>
          <w:lang w:val="lt-LT"/>
        </w:rPr>
      </w:pPr>
      <w:r w:rsidRPr="00EE75B4">
        <w:rPr>
          <w:rFonts w:ascii="Times New Roman" w:hAnsi="Times New Roman"/>
          <w:lang w:val="lt-LT"/>
        </w:rPr>
        <w:t>Nyderlandai</w:t>
      </w:r>
    </w:p>
    <w:p w14:paraId="1F345012" w14:textId="77777777" w:rsidR="005427AE" w:rsidRPr="00EE75B4" w:rsidRDefault="005427AE" w:rsidP="005427AE">
      <w:pPr>
        <w:spacing w:after="0" w:line="240" w:lineRule="auto"/>
        <w:rPr>
          <w:rFonts w:ascii="Times New Roman" w:hAnsi="Times New Roman"/>
          <w:lang w:val="lt-LT"/>
        </w:rPr>
      </w:pPr>
    </w:p>
    <w:p w14:paraId="34F078A3" w14:textId="77777777" w:rsidR="005427AE" w:rsidRPr="00EE75B4" w:rsidRDefault="005427AE" w:rsidP="005427AE">
      <w:pPr>
        <w:tabs>
          <w:tab w:val="left" w:pos="567"/>
        </w:tabs>
        <w:spacing w:after="0" w:line="240" w:lineRule="auto"/>
        <w:jc w:val="both"/>
        <w:rPr>
          <w:rFonts w:ascii="Times New Roman" w:hAnsi="Times New Roman"/>
          <w:lang w:val="lt-LT"/>
        </w:rPr>
      </w:pPr>
      <w:r w:rsidRPr="00EE75B4">
        <w:rPr>
          <w:rFonts w:ascii="Times New Roman" w:hAnsi="Times New Roman"/>
          <w:lang w:val="lt-LT"/>
        </w:rPr>
        <w:t>Su pakuote pateikiamame lapelyje nurodomas gamintojo, atsakingo už konkrečios serijos išleidimą, pavadinimas ir adresas.</w:t>
      </w:r>
    </w:p>
    <w:p w14:paraId="0850E49A" w14:textId="77777777" w:rsidR="005427AE" w:rsidRPr="00EE75B4" w:rsidRDefault="005427AE" w:rsidP="005427AE">
      <w:pPr>
        <w:spacing w:after="0" w:line="240" w:lineRule="auto"/>
        <w:rPr>
          <w:rFonts w:ascii="Times New Roman" w:hAnsi="Times New Roman"/>
          <w:lang w:val="lt-LT"/>
        </w:rPr>
      </w:pPr>
    </w:p>
    <w:p w14:paraId="225EA431" w14:textId="77777777" w:rsidR="005427AE" w:rsidRPr="00EE75B4" w:rsidRDefault="005427AE" w:rsidP="005427AE">
      <w:pPr>
        <w:spacing w:after="0" w:line="240" w:lineRule="auto"/>
        <w:rPr>
          <w:rFonts w:ascii="Times New Roman" w:hAnsi="Times New Roman"/>
          <w:lang w:val="lt-LT"/>
        </w:rPr>
      </w:pPr>
    </w:p>
    <w:p w14:paraId="23CDA0C7" w14:textId="77777777" w:rsidR="005427AE" w:rsidRPr="00EE75B4" w:rsidRDefault="005427AE" w:rsidP="005427AE">
      <w:pPr>
        <w:tabs>
          <w:tab w:val="left" w:pos="567"/>
        </w:tabs>
        <w:spacing w:after="0" w:line="240" w:lineRule="auto"/>
        <w:rPr>
          <w:rFonts w:ascii="Times New Roman" w:hAnsi="Times New Roman"/>
          <w:b/>
          <w:lang w:val="lt-LT"/>
        </w:rPr>
      </w:pPr>
      <w:r w:rsidRPr="00EE75B4">
        <w:rPr>
          <w:rFonts w:ascii="Times New Roman" w:hAnsi="Times New Roman"/>
          <w:b/>
          <w:lang w:val="lt-LT"/>
        </w:rPr>
        <w:t xml:space="preserve">B. </w:t>
      </w:r>
      <w:r w:rsidRPr="00EE75B4">
        <w:rPr>
          <w:rFonts w:ascii="Times New Roman" w:hAnsi="Times New Roman"/>
          <w:b/>
          <w:lang w:val="lt-LT"/>
        </w:rPr>
        <w:tab/>
        <w:t>TIEKIMO IR VARTOJIMO SĄLYGOS AR APRIBOJIMAI</w:t>
      </w:r>
    </w:p>
    <w:p w14:paraId="229DB5E1" w14:textId="77777777" w:rsidR="005427AE" w:rsidRPr="00EE75B4" w:rsidRDefault="005427AE" w:rsidP="005427AE">
      <w:pPr>
        <w:spacing w:after="0" w:line="240" w:lineRule="auto"/>
        <w:rPr>
          <w:rFonts w:ascii="Times New Roman" w:hAnsi="Times New Roman"/>
          <w:lang w:val="lt-LT"/>
        </w:rPr>
      </w:pPr>
    </w:p>
    <w:p w14:paraId="17574C70"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Receptinis vaistinis preparatas.</w:t>
      </w:r>
    </w:p>
    <w:p w14:paraId="0B1C140C" w14:textId="77777777" w:rsidR="005427AE" w:rsidRPr="00EE75B4" w:rsidRDefault="005427AE" w:rsidP="005427AE">
      <w:pPr>
        <w:spacing w:after="0" w:line="240" w:lineRule="auto"/>
        <w:rPr>
          <w:rFonts w:ascii="Times New Roman" w:hAnsi="Times New Roman"/>
          <w:b/>
          <w:lang w:val="lt-LT"/>
        </w:rPr>
      </w:pPr>
    </w:p>
    <w:p w14:paraId="4F39BC0B"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br w:type="page"/>
      </w:r>
    </w:p>
    <w:p w14:paraId="74EFC7DC" w14:textId="77777777" w:rsidR="005427AE" w:rsidRPr="00EE75B4" w:rsidRDefault="005427AE" w:rsidP="005427AE">
      <w:pPr>
        <w:spacing w:after="0" w:line="240" w:lineRule="auto"/>
        <w:ind w:left="567" w:hanging="567"/>
        <w:rPr>
          <w:rFonts w:ascii="Times New Roman" w:hAnsi="Times New Roman"/>
          <w:lang w:val="lt-LT"/>
        </w:rPr>
      </w:pPr>
    </w:p>
    <w:p w14:paraId="2DD34945" w14:textId="77777777" w:rsidR="005427AE" w:rsidRPr="00EE75B4" w:rsidRDefault="005427AE" w:rsidP="005427AE">
      <w:pPr>
        <w:spacing w:after="0" w:line="240" w:lineRule="auto"/>
        <w:ind w:left="567" w:hanging="567"/>
        <w:rPr>
          <w:rFonts w:ascii="Times New Roman" w:hAnsi="Times New Roman"/>
          <w:lang w:val="lt-LT"/>
        </w:rPr>
      </w:pPr>
    </w:p>
    <w:p w14:paraId="1DAEA9C5" w14:textId="77777777" w:rsidR="005427AE" w:rsidRPr="00EE75B4" w:rsidRDefault="005427AE" w:rsidP="005427AE">
      <w:pPr>
        <w:spacing w:after="0" w:line="240" w:lineRule="auto"/>
        <w:ind w:left="567" w:hanging="567"/>
        <w:rPr>
          <w:rFonts w:ascii="Times New Roman" w:hAnsi="Times New Roman"/>
          <w:lang w:val="lt-LT"/>
        </w:rPr>
      </w:pPr>
    </w:p>
    <w:p w14:paraId="50B3ABE7" w14:textId="77777777" w:rsidR="005427AE" w:rsidRPr="00EE75B4" w:rsidRDefault="005427AE" w:rsidP="005427AE">
      <w:pPr>
        <w:spacing w:after="0" w:line="240" w:lineRule="auto"/>
        <w:ind w:left="567" w:hanging="567"/>
        <w:rPr>
          <w:rFonts w:ascii="Times New Roman" w:hAnsi="Times New Roman"/>
          <w:lang w:val="lt-LT"/>
        </w:rPr>
      </w:pPr>
    </w:p>
    <w:p w14:paraId="17D6A5BF" w14:textId="77777777" w:rsidR="005427AE" w:rsidRPr="00EE75B4" w:rsidRDefault="005427AE" w:rsidP="005427AE">
      <w:pPr>
        <w:spacing w:after="0" w:line="240" w:lineRule="auto"/>
        <w:ind w:left="567" w:hanging="567"/>
        <w:rPr>
          <w:rFonts w:ascii="Times New Roman" w:hAnsi="Times New Roman"/>
          <w:lang w:val="lt-LT"/>
        </w:rPr>
      </w:pPr>
    </w:p>
    <w:p w14:paraId="20A14849" w14:textId="77777777" w:rsidR="005427AE" w:rsidRPr="00EE75B4" w:rsidRDefault="005427AE" w:rsidP="005427AE">
      <w:pPr>
        <w:spacing w:after="0" w:line="240" w:lineRule="auto"/>
        <w:ind w:left="567" w:hanging="567"/>
        <w:rPr>
          <w:rFonts w:ascii="Times New Roman" w:hAnsi="Times New Roman"/>
          <w:lang w:val="lt-LT"/>
        </w:rPr>
      </w:pPr>
    </w:p>
    <w:p w14:paraId="665EDF53" w14:textId="77777777" w:rsidR="005427AE" w:rsidRPr="00EE75B4" w:rsidRDefault="005427AE" w:rsidP="005427AE">
      <w:pPr>
        <w:spacing w:after="0" w:line="240" w:lineRule="auto"/>
        <w:ind w:left="567" w:hanging="567"/>
        <w:rPr>
          <w:rFonts w:ascii="Times New Roman" w:hAnsi="Times New Roman"/>
          <w:lang w:val="lt-LT"/>
        </w:rPr>
      </w:pPr>
    </w:p>
    <w:p w14:paraId="60AA65F1" w14:textId="77777777" w:rsidR="005427AE" w:rsidRPr="00EE75B4" w:rsidRDefault="005427AE" w:rsidP="005427AE">
      <w:pPr>
        <w:spacing w:after="0" w:line="240" w:lineRule="auto"/>
        <w:ind w:left="567" w:hanging="567"/>
        <w:rPr>
          <w:rFonts w:ascii="Times New Roman" w:hAnsi="Times New Roman"/>
          <w:lang w:val="lt-LT"/>
        </w:rPr>
      </w:pPr>
    </w:p>
    <w:p w14:paraId="0415B2E2" w14:textId="77777777" w:rsidR="005427AE" w:rsidRPr="00EE75B4" w:rsidRDefault="005427AE" w:rsidP="005427AE">
      <w:pPr>
        <w:spacing w:after="0" w:line="240" w:lineRule="auto"/>
        <w:ind w:left="567" w:hanging="567"/>
        <w:rPr>
          <w:rFonts w:ascii="Times New Roman" w:hAnsi="Times New Roman"/>
          <w:lang w:val="lt-LT"/>
        </w:rPr>
      </w:pPr>
    </w:p>
    <w:p w14:paraId="4F7C43E5" w14:textId="77777777" w:rsidR="005427AE" w:rsidRPr="00EE75B4" w:rsidRDefault="005427AE" w:rsidP="005427AE">
      <w:pPr>
        <w:spacing w:after="0" w:line="240" w:lineRule="auto"/>
        <w:ind w:left="567" w:hanging="567"/>
        <w:rPr>
          <w:rFonts w:ascii="Times New Roman" w:hAnsi="Times New Roman"/>
          <w:lang w:val="lt-LT"/>
        </w:rPr>
      </w:pPr>
    </w:p>
    <w:p w14:paraId="6D458014" w14:textId="77777777" w:rsidR="005427AE" w:rsidRPr="00EE75B4" w:rsidRDefault="005427AE" w:rsidP="005427AE">
      <w:pPr>
        <w:spacing w:after="0" w:line="240" w:lineRule="auto"/>
        <w:ind w:left="567" w:hanging="567"/>
        <w:rPr>
          <w:rFonts w:ascii="Times New Roman" w:hAnsi="Times New Roman"/>
          <w:lang w:val="lt-LT"/>
        </w:rPr>
      </w:pPr>
    </w:p>
    <w:p w14:paraId="1E4F81F1" w14:textId="77777777" w:rsidR="005427AE" w:rsidRPr="00EE75B4" w:rsidRDefault="005427AE" w:rsidP="005427AE">
      <w:pPr>
        <w:spacing w:after="0" w:line="240" w:lineRule="auto"/>
        <w:ind w:left="567" w:hanging="567"/>
        <w:rPr>
          <w:rFonts w:ascii="Times New Roman" w:hAnsi="Times New Roman"/>
          <w:lang w:val="lt-LT"/>
        </w:rPr>
      </w:pPr>
    </w:p>
    <w:p w14:paraId="6B38CBFF" w14:textId="77777777" w:rsidR="005427AE" w:rsidRPr="00EE75B4" w:rsidRDefault="005427AE" w:rsidP="005427AE">
      <w:pPr>
        <w:spacing w:after="0" w:line="240" w:lineRule="auto"/>
        <w:ind w:left="567" w:hanging="567"/>
        <w:rPr>
          <w:rFonts w:ascii="Times New Roman" w:hAnsi="Times New Roman"/>
          <w:lang w:val="lt-LT"/>
        </w:rPr>
      </w:pPr>
    </w:p>
    <w:p w14:paraId="7CF6E07B" w14:textId="77777777" w:rsidR="005427AE" w:rsidRPr="00EE75B4" w:rsidRDefault="005427AE" w:rsidP="005427AE">
      <w:pPr>
        <w:spacing w:after="0" w:line="240" w:lineRule="auto"/>
        <w:ind w:left="567" w:hanging="567"/>
        <w:rPr>
          <w:rFonts w:ascii="Times New Roman" w:hAnsi="Times New Roman"/>
          <w:lang w:val="lt-LT"/>
        </w:rPr>
      </w:pPr>
    </w:p>
    <w:p w14:paraId="260ECFC9" w14:textId="77777777" w:rsidR="005427AE" w:rsidRPr="00EE75B4" w:rsidRDefault="005427AE" w:rsidP="005427AE">
      <w:pPr>
        <w:spacing w:after="0" w:line="240" w:lineRule="auto"/>
        <w:ind w:left="567" w:hanging="567"/>
        <w:rPr>
          <w:rFonts w:ascii="Times New Roman" w:hAnsi="Times New Roman"/>
          <w:lang w:val="lt-LT"/>
        </w:rPr>
      </w:pPr>
    </w:p>
    <w:p w14:paraId="21462AA9" w14:textId="77777777" w:rsidR="005427AE" w:rsidRPr="00EE75B4" w:rsidRDefault="005427AE" w:rsidP="005427AE">
      <w:pPr>
        <w:spacing w:after="0" w:line="240" w:lineRule="auto"/>
        <w:ind w:left="567" w:hanging="567"/>
        <w:rPr>
          <w:rFonts w:ascii="Times New Roman" w:hAnsi="Times New Roman"/>
          <w:lang w:val="lt-LT"/>
        </w:rPr>
      </w:pPr>
    </w:p>
    <w:p w14:paraId="1BDF6AAA" w14:textId="77777777" w:rsidR="005427AE" w:rsidRPr="00EE75B4" w:rsidRDefault="005427AE" w:rsidP="005427AE">
      <w:pPr>
        <w:spacing w:after="0" w:line="240" w:lineRule="auto"/>
        <w:ind w:left="567" w:hanging="567"/>
        <w:rPr>
          <w:rFonts w:ascii="Times New Roman" w:hAnsi="Times New Roman"/>
          <w:lang w:val="lt-LT"/>
        </w:rPr>
      </w:pPr>
    </w:p>
    <w:p w14:paraId="650BCA5B" w14:textId="77777777" w:rsidR="005427AE" w:rsidRPr="00EE75B4" w:rsidRDefault="005427AE" w:rsidP="005427AE">
      <w:pPr>
        <w:spacing w:after="0" w:line="240" w:lineRule="auto"/>
        <w:ind w:left="567" w:hanging="567"/>
        <w:rPr>
          <w:rFonts w:ascii="Times New Roman" w:hAnsi="Times New Roman"/>
          <w:lang w:val="lt-LT"/>
        </w:rPr>
      </w:pPr>
    </w:p>
    <w:p w14:paraId="105EF3A8" w14:textId="77777777" w:rsidR="005427AE" w:rsidRPr="00EE75B4" w:rsidRDefault="005427AE" w:rsidP="005427AE">
      <w:pPr>
        <w:spacing w:after="0" w:line="240" w:lineRule="auto"/>
        <w:ind w:left="567" w:hanging="567"/>
        <w:rPr>
          <w:rFonts w:ascii="Times New Roman" w:hAnsi="Times New Roman"/>
          <w:lang w:val="lt-LT"/>
        </w:rPr>
      </w:pPr>
    </w:p>
    <w:p w14:paraId="25B62B68" w14:textId="77777777" w:rsidR="005427AE" w:rsidRPr="00EE75B4" w:rsidRDefault="005427AE" w:rsidP="005427AE">
      <w:pPr>
        <w:spacing w:after="0" w:line="240" w:lineRule="auto"/>
        <w:ind w:left="567" w:hanging="567"/>
        <w:rPr>
          <w:rFonts w:ascii="Times New Roman" w:hAnsi="Times New Roman"/>
          <w:lang w:val="lt-LT"/>
        </w:rPr>
      </w:pPr>
    </w:p>
    <w:p w14:paraId="58ABF12C" w14:textId="77777777" w:rsidR="005427AE" w:rsidRPr="00EE75B4" w:rsidRDefault="005427AE" w:rsidP="005427AE">
      <w:pPr>
        <w:spacing w:after="0" w:line="240" w:lineRule="auto"/>
        <w:ind w:left="567" w:hanging="567"/>
        <w:rPr>
          <w:rFonts w:ascii="Times New Roman" w:hAnsi="Times New Roman"/>
          <w:lang w:val="lt-LT"/>
        </w:rPr>
      </w:pPr>
    </w:p>
    <w:p w14:paraId="57500E42" w14:textId="77777777" w:rsidR="005427AE" w:rsidRPr="00EE75B4" w:rsidRDefault="005427AE" w:rsidP="005427AE">
      <w:pPr>
        <w:spacing w:after="0" w:line="240" w:lineRule="auto"/>
        <w:ind w:left="567" w:hanging="567"/>
        <w:rPr>
          <w:rFonts w:ascii="Times New Roman" w:hAnsi="Times New Roman"/>
          <w:lang w:val="lt-LT"/>
        </w:rPr>
      </w:pPr>
    </w:p>
    <w:p w14:paraId="353FDBAF" w14:textId="77777777" w:rsidR="005427AE" w:rsidRPr="00EE75B4" w:rsidRDefault="005427AE" w:rsidP="005427AE">
      <w:pPr>
        <w:spacing w:after="0" w:line="240" w:lineRule="auto"/>
        <w:ind w:left="567" w:hanging="567"/>
        <w:jc w:val="center"/>
        <w:rPr>
          <w:rFonts w:ascii="Times New Roman" w:hAnsi="Times New Roman"/>
          <w:b/>
          <w:lang w:val="lt-LT"/>
        </w:rPr>
      </w:pPr>
    </w:p>
    <w:p w14:paraId="6DDB9D04" w14:textId="77777777" w:rsidR="005427AE" w:rsidRPr="00EE75B4" w:rsidRDefault="005427AE" w:rsidP="005427AE">
      <w:pPr>
        <w:spacing w:after="0" w:line="240" w:lineRule="auto"/>
        <w:ind w:left="567" w:hanging="567"/>
        <w:jc w:val="center"/>
        <w:rPr>
          <w:rFonts w:ascii="Times New Roman" w:hAnsi="Times New Roman"/>
          <w:b/>
          <w:lang w:val="lt-LT"/>
        </w:rPr>
      </w:pPr>
      <w:r w:rsidRPr="00EE75B4">
        <w:rPr>
          <w:rFonts w:ascii="Times New Roman" w:hAnsi="Times New Roman"/>
          <w:b/>
          <w:lang w:val="lt-LT"/>
        </w:rPr>
        <w:t>III PRIEDAS</w:t>
      </w:r>
    </w:p>
    <w:p w14:paraId="1D23977E" w14:textId="77777777" w:rsidR="005427AE" w:rsidRPr="00EE75B4" w:rsidRDefault="005427AE" w:rsidP="005427AE">
      <w:pPr>
        <w:spacing w:after="0" w:line="240" w:lineRule="auto"/>
        <w:ind w:left="567" w:hanging="567"/>
        <w:jc w:val="center"/>
        <w:rPr>
          <w:rFonts w:ascii="Times New Roman" w:hAnsi="Times New Roman"/>
          <w:b/>
          <w:lang w:val="lt-LT"/>
        </w:rPr>
      </w:pPr>
    </w:p>
    <w:p w14:paraId="79778C1F" w14:textId="77777777" w:rsidR="005427AE" w:rsidRPr="00EE75B4" w:rsidRDefault="005427AE" w:rsidP="005427AE">
      <w:pPr>
        <w:spacing w:after="0" w:line="240" w:lineRule="auto"/>
        <w:ind w:left="567" w:hanging="567"/>
        <w:jc w:val="center"/>
        <w:rPr>
          <w:rFonts w:ascii="Times New Roman" w:hAnsi="Times New Roman"/>
          <w:b/>
          <w:lang w:val="lt-LT"/>
        </w:rPr>
      </w:pPr>
      <w:r w:rsidRPr="00EE75B4">
        <w:rPr>
          <w:rFonts w:ascii="Times New Roman" w:hAnsi="Times New Roman"/>
          <w:b/>
          <w:lang w:val="lt-LT"/>
        </w:rPr>
        <w:t>ŽENKLINIMAS IR PAKUOTĖS LAPELIS</w:t>
      </w:r>
    </w:p>
    <w:p w14:paraId="7A4768CF"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br w:type="page"/>
      </w:r>
    </w:p>
    <w:p w14:paraId="208CCE9A" w14:textId="77777777" w:rsidR="005427AE" w:rsidRPr="00EE75B4" w:rsidRDefault="005427AE" w:rsidP="005427AE">
      <w:pPr>
        <w:spacing w:after="0" w:line="240" w:lineRule="auto"/>
        <w:ind w:left="567" w:hanging="567"/>
        <w:rPr>
          <w:rFonts w:ascii="Times New Roman" w:hAnsi="Times New Roman"/>
          <w:lang w:val="lt-LT"/>
        </w:rPr>
      </w:pPr>
    </w:p>
    <w:p w14:paraId="54DEB818" w14:textId="77777777" w:rsidR="005427AE" w:rsidRPr="00EE75B4" w:rsidRDefault="005427AE" w:rsidP="005427AE">
      <w:pPr>
        <w:spacing w:after="0" w:line="240" w:lineRule="auto"/>
        <w:ind w:left="567" w:hanging="567"/>
        <w:rPr>
          <w:rFonts w:ascii="Times New Roman" w:hAnsi="Times New Roman"/>
          <w:lang w:val="lt-LT"/>
        </w:rPr>
      </w:pPr>
    </w:p>
    <w:p w14:paraId="7F495BDD" w14:textId="77777777" w:rsidR="005427AE" w:rsidRPr="00EE75B4" w:rsidRDefault="005427AE" w:rsidP="005427AE">
      <w:pPr>
        <w:spacing w:after="0" w:line="240" w:lineRule="auto"/>
        <w:ind w:left="567" w:hanging="567"/>
        <w:rPr>
          <w:rFonts w:ascii="Times New Roman" w:hAnsi="Times New Roman"/>
          <w:lang w:val="lt-LT"/>
        </w:rPr>
      </w:pPr>
    </w:p>
    <w:p w14:paraId="3C5623BF" w14:textId="77777777" w:rsidR="005427AE" w:rsidRPr="00EE75B4" w:rsidRDefault="005427AE" w:rsidP="005427AE">
      <w:pPr>
        <w:spacing w:after="0" w:line="240" w:lineRule="auto"/>
        <w:ind w:left="567" w:hanging="567"/>
        <w:rPr>
          <w:rFonts w:ascii="Times New Roman" w:hAnsi="Times New Roman"/>
          <w:lang w:val="lt-LT"/>
        </w:rPr>
      </w:pPr>
    </w:p>
    <w:p w14:paraId="4FA636F8" w14:textId="77777777" w:rsidR="005427AE" w:rsidRPr="00EE75B4" w:rsidRDefault="005427AE" w:rsidP="005427AE">
      <w:pPr>
        <w:spacing w:after="0" w:line="240" w:lineRule="auto"/>
        <w:ind w:left="567" w:hanging="567"/>
        <w:rPr>
          <w:rFonts w:ascii="Times New Roman" w:hAnsi="Times New Roman"/>
          <w:lang w:val="lt-LT"/>
        </w:rPr>
      </w:pPr>
    </w:p>
    <w:p w14:paraId="3697A71B" w14:textId="77777777" w:rsidR="005427AE" w:rsidRPr="00EE75B4" w:rsidRDefault="005427AE" w:rsidP="005427AE">
      <w:pPr>
        <w:spacing w:after="0" w:line="240" w:lineRule="auto"/>
        <w:ind w:left="567" w:hanging="567"/>
        <w:rPr>
          <w:rFonts w:ascii="Times New Roman" w:hAnsi="Times New Roman"/>
          <w:lang w:val="lt-LT"/>
        </w:rPr>
      </w:pPr>
    </w:p>
    <w:p w14:paraId="72F27692" w14:textId="77777777" w:rsidR="005427AE" w:rsidRPr="00EE75B4" w:rsidRDefault="005427AE" w:rsidP="005427AE">
      <w:pPr>
        <w:spacing w:after="0" w:line="240" w:lineRule="auto"/>
        <w:ind w:left="567" w:hanging="567"/>
        <w:rPr>
          <w:rFonts w:ascii="Times New Roman" w:hAnsi="Times New Roman"/>
          <w:lang w:val="lt-LT"/>
        </w:rPr>
      </w:pPr>
    </w:p>
    <w:p w14:paraId="5ABBAEFB" w14:textId="77777777" w:rsidR="005427AE" w:rsidRPr="00EE75B4" w:rsidRDefault="005427AE" w:rsidP="005427AE">
      <w:pPr>
        <w:spacing w:after="0" w:line="240" w:lineRule="auto"/>
        <w:ind w:left="567" w:hanging="567"/>
        <w:rPr>
          <w:rFonts w:ascii="Times New Roman" w:hAnsi="Times New Roman"/>
          <w:lang w:val="lt-LT"/>
        </w:rPr>
      </w:pPr>
    </w:p>
    <w:p w14:paraId="6D34BB68" w14:textId="77777777" w:rsidR="005427AE" w:rsidRPr="00EE75B4" w:rsidRDefault="005427AE" w:rsidP="005427AE">
      <w:pPr>
        <w:spacing w:after="0" w:line="240" w:lineRule="auto"/>
        <w:ind w:left="567" w:hanging="567"/>
        <w:rPr>
          <w:rFonts w:ascii="Times New Roman" w:hAnsi="Times New Roman"/>
          <w:lang w:val="lt-LT"/>
        </w:rPr>
      </w:pPr>
    </w:p>
    <w:p w14:paraId="1B067806" w14:textId="77777777" w:rsidR="005427AE" w:rsidRPr="00EE75B4" w:rsidRDefault="005427AE" w:rsidP="005427AE">
      <w:pPr>
        <w:spacing w:after="0" w:line="240" w:lineRule="auto"/>
        <w:ind w:left="567" w:hanging="567"/>
        <w:rPr>
          <w:rFonts w:ascii="Times New Roman" w:hAnsi="Times New Roman"/>
          <w:lang w:val="lt-LT"/>
        </w:rPr>
      </w:pPr>
    </w:p>
    <w:p w14:paraId="62373FBD" w14:textId="77777777" w:rsidR="005427AE" w:rsidRPr="00EE75B4" w:rsidRDefault="005427AE" w:rsidP="005427AE">
      <w:pPr>
        <w:spacing w:after="0" w:line="240" w:lineRule="auto"/>
        <w:ind w:left="567" w:hanging="567"/>
        <w:rPr>
          <w:rFonts w:ascii="Times New Roman" w:hAnsi="Times New Roman"/>
          <w:lang w:val="lt-LT"/>
        </w:rPr>
      </w:pPr>
    </w:p>
    <w:p w14:paraId="7C953363" w14:textId="77777777" w:rsidR="005427AE" w:rsidRPr="00EE75B4" w:rsidRDefault="005427AE" w:rsidP="005427AE">
      <w:pPr>
        <w:spacing w:after="0" w:line="240" w:lineRule="auto"/>
        <w:ind w:left="567" w:hanging="567"/>
        <w:rPr>
          <w:rFonts w:ascii="Times New Roman" w:hAnsi="Times New Roman"/>
          <w:lang w:val="lt-LT"/>
        </w:rPr>
      </w:pPr>
    </w:p>
    <w:p w14:paraId="02E1553B" w14:textId="77777777" w:rsidR="005427AE" w:rsidRPr="00EE75B4" w:rsidRDefault="005427AE" w:rsidP="005427AE">
      <w:pPr>
        <w:spacing w:after="0" w:line="240" w:lineRule="auto"/>
        <w:ind w:left="567" w:hanging="567"/>
        <w:rPr>
          <w:rFonts w:ascii="Times New Roman" w:hAnsi="Times New Roman"/>
          <w:lang w:val="lt-LT"/>
        </w:rPr>
      </w:pPr>
    </w:p>
    <w:p w14:paraId="198F5A14" w14:textId="77777777" w:rsidR="005427AE" w:rsidRPr="00EE75B4" w:rsidRDefault="005427AE" w:rsidP="005427AE">
      <w:pPr>
        <w:spacing w:after="0" w:line="240" w:lineRule="auto"/>
        <w:ind w:left="567" w:hanging="567"/>
        <w:rPr>
          <w:rFonts w:ascii="Times New Roman" w:hAnsi="Times New Roman"/>
          <w:lang w:val="lt-LT"/>
        </w:rPr>
      </w:pPr>
    </w:p>
    <w:p w14:paraId="2B7F7A1A" w14:textId="77777777" w:rsidR="005427AE" w:rsidRPr="00EE75B4" w:rsidRDefault="005427AE" w:rsidP="005427AE">
      <w:pPr>
        <w:spacing w:after="0" w:line="240" w:lineRule="auto"/>
        <w:ind w:left="567" w:hanging="567"/>
        <w:rPr>
          <w:rFonts w:ascii="Times New Roman" w:hAnsi="Times New Roman"/>
          <w:lang w:val="lt-LT"/>
        </w:rPr>
      </w:pPr>
    </w:p>
    <w:p w14:paraId="547BF0D7" w14:textId="77777777" w:rsidR="005427AE" w:rsidRPr="00EE75B4" w:rsidRDefault="005427AE" w:rsidP="005427AE">
      <w:pPr>
        <w:spacing w:after="0" w:line="240" w:lineRule="auto"/>
        <w:ind w:left="567" w:hanging="567"/>
        <w:rPr>
          <w:rFonts w:ascii="Times New Roman" w:hAnsi="Times New Roman"/>
          <w:lang w:val="lt-LT"/>
        </w:rPr>
      </w:pPr>
    </w:p>
    <w:p w14:paraId="31D34731" w14:textId="77777777" w:rsidR="005427AE" w:rsidRPr="00EE75B4" w:rsidRDefault="005427AE" w:rsidP="005427AE">
      <w:pPr>
        <w:spacing w:after="0" w:line="240" w:lineRule="auto"/>
        <w:ind w:left="567" w:hanging="567"/>
        <w:rPr>
          <w:rFonts w:ascii="Times New Roman" w:hAnsi="Times New Roman"/>
          <w:lang w:val="lt-LT"/>
        </w:rPr>
      </w:pPr>
    </w:p>
    <w:p w14:paraId="115EE989" w14:textId="77777777" w:rsidR="005427AE" w:rsidRPr="00EE75B4" w:rsidRDefault="005427AE" w:rsidP="005427AE">
      <w:pPr>
        <w:spacing w:after="0" w:line="240" w:lineRule="auto"/>
        <w:ind w:left="567" w:hanging="567"/>
        <w:rPr>
          <w:rFonts w:ascii="Times New Roman" w:hAnsi="Times New Roman"/>
          <w:lang w:val="lt-LT"/>
        </w:rPr>
      </w:pPr>
    </w:p>
    <w:p w14:paraId="0131F23B" w14:textId="77777777" w:rsidR="005427AE" w:rsidRPr="00EE75B4" w:rsidRDefault="005427AE" w:rsidP="005427AE">
      <w:pPr>
        <w:spacing w:after="0" w:line="240" w:lineRule="auto"/>
        <w:ind w:left="567" w:hanging="567"/>
        <w:rPr>
          <w:rFonts w:ascii="Times New Roman" w:hAnsi="Times New Roman"/>
          <w:lang w:val="lt-LT"/>
        </w:rPr>
      </w:pPr>
    </w:p>
    <w:p w14:paraId="74268384" w14:textId="77777777" w:rsidR="005427AE" w:rsidRPr="00EE75B4" w:rsidRDefault="005427AE" w:rsidP="005427AE">
      <w:pPr>
        <w:spacing w:after="0" w:line="240" w:lineRule="auto"/>
        <w:ind w:left="567" w:hanging="567"/>
        <w:rPr>
          <w:rFonts w:ascii="Times New Roman" w:hAnsi="Times New Roman"/>
          <w:lang w:val="lt-LT"/>
        </w:rPr>
      </w:pPr>
    </w:p>
    <w:p w14:paraId="0490671A" w14:textId="77777777" w:rsidR="005427AE" w:rsidRPr="00EE75B4" w:rsidRDefault="005427AE" w:rsidP="005427AE">
      <w:pPr>
        <w:spacing w:after="0" w:line="240" w:lineRule="auto"/>
        <w:ind w:left="567" w:hanging="567"/>
        <w:rPr>
          <w:rFonts w:ascii="Times New Roman" w:hAnsi="Times New Roman"/>
          <w:lang w:val="lt-LT"/>
        </w:rPr>
      </w:pPr>
    </w:p>
    <w:p w14:paraId="32D0111C" w14:textId="77777777" w:rsidR="005427AE" w:rsidRPr="00EE75B4" w:rsidRDefault="005427AE" w:rsidP="005427AE">
      <w:pPr>
        <w:spacing w:after="0" w:line="240" w:lineRule="auto"/>
        <w:ind w:left="567" w:hanging="567"/>
        <w:rPr>
          <w:rFonts w:ascii="Times New Roman" w:hAnsi="Times New Roman"/>
          <w:lang w:val="lt-LT"/>
        </w:rPr>
      </w:pPr>
    </w:p>
    <w:p w14:paraId="732D2FA4" w14:textId="77777777" w:rsidR="005427AE" w:rsidRPr="00EE75B4" w:rsidRDefault="005427AE" w:rsidP="005427AE">
      <w:pPr>
        <w:spacing w:after="0" w:line="240" w:lineRule="auto"/>
        <w:ind w:left="567" w:hanging="567"/>
        <w:jc w:val="center"/>
        <w:rPr>
          <w:rFonts w:ascii="Times New Roman" w:hAnsi="Times New Roman"/>
          <w:b/>
          <w:lang w:val="lt-LT"/>
        </w:rPr>
      </w:pPr>
    </w:p>
    <w:p w14:paraId="2789A9EE" w14:textId="77777777" w:rsidR="005427AE" w:rsidRPr="00EE75B4" w:rsidRDefault="005427AE" w:rsidP="005427AE">
      <w:pPr>
        <w:spacing w:after="0" w:line="240" w:lineRule="auto"/>
        <w:ind w:left="567" w:hanging="567"/>
        <w:jc w:val="center"/>
        <w:rPr>
          <w:rFonts w:ascii="Times New Roman" w:hAnsi="Times New Roman"/>
          <w:b/>
          <w:lang w:val="lt-LT"/>
        </w:rPr>
      </w:pPr>
      <w:r w:rsidRPr="00EE75B4">
        <w:rPr>
          <w:rFonts w:ascii="Times New Roman" w:hAnsi="Times New Roman"/>
          <w:b/>
          <w:lang w:val="lt-LT"/>
        </w:rPr>
        <w:t>A. ŽENKLINIMAS</w:t>
      </w:r>
    </w:p>
    <w:p w14:paraId="6748D2F8"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val="lt-LT"/>
        </w:rPr>
      </w:pPr>
      <w:r w:rsidRPr="00EE75B4">
        <w:rPr>
          <w:rFonts w:ascii="Times New Roman" w:hAnsi="Times New Roman"/>
          <w:lang w:val="lt-LT"/>
        </w:rPr>
        <w:br w:type="page"/>
      </w:r>
      <w:r w:rsidRPr="00EE75B4">
        <w:rPr>
          <w:rFonts w:ascii="Times New Roman" w:hAnsi="Times New Roman"/>
          <w:b/>
          <w:caps/>
          <w:lang w:val="lt-LT"/>
        </w:rPr>
        <w:lastRenderedPageBreak/>
        <w:t xml:space="preserve">Informacija ant </w:t>
      </w:r>
      <w:r w:rsidRPr="00EE75B4">
        <w:rPr>
          <w:rFonts w:ascii="Times New Roman" w:hAnsi="Times New Roman"/>
          <w:b/>
          <w:lang w:val="lt-LT"/>
        </w:rPr>
        <w:t>IŠORINĖS</w:t>
      </w:r>
      <w:r w:rsidRPr="00EE75B4">
        <w:rPr>
          <w:rFonts w:ascii="Times New Roman" w:hAnsi="Times New Roman"/>
          <w:lang w:val="lt-LT"/>
        </w:rPr>
        <w:t xml:space="preserve"> </w:t>
      </w:r>
      <w:r w:rsidRPr="00EE75B4">
        <w:rPr>
          <w:rFonts w:ascii="Times New Roman" w:hAnsi="Times New Roman"/>
          <w:b/>
          <w:caps/>
          <w:lang w:val="lt-LT"/>
        </w:rPr>
        <w:t>pakuotės</w:t>
      </w:r>
    </w:p>
    <w:p w14:paraId="6FD2672E"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Bold" w:hAnsi="Times New Roman Bold"/>
          <w:lang w:val="lt-LT"/>
        </w:rPr>
      </w:pPr>
    </w:p>
    <w:p w14:paraId="75CD4FE9"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Bold" w:hAnsi="Times New Roman Bold"/>
          <w:b/>
          <w:caps/>
          <w:lang w:val="lt-LT"/>
        </w:rPr>
      </w:pPr>
      <w:r w:rsidRPr="00EE75B4">
        <w:rPr>
          <w:rFonts w:ascii="Times New Roman Bold" w:hAnsi="Times New Roman Bold"/>
          <w:b/>
          <w:lang w:val="lt-LT"/>
        </w:rPr>
        <w:t>KARTONO DĖŽUTĖ (LIZDINĖMS PLOKŠTELĖMS)</w:t>
      </w:r>
    </w:p>
    <w:p w14:paraId="607F95C1" w14:textId="77777777" w:rsidR="005427AE" w:rsidRPr="00EE75B4" w:rsidRDefault="005427AE" w:rsidP="005427AE">
      <w:pPr>
        <w:spacing w:after="0" w:line="240" w:lineRule="auto"/>
        <w:ind w:left="567" w:hanging="567"/>
        <w:rPr>
          <w:rFonts w:ascii="Times New Roman" w:hAnsi="Times New Roman"/>
          <w:lang w:val="lt-LT"/>
        </w:rPr>
      </w:pPr>
    </w:p>
    <w:p w14:paraId="19A0ED8C" w14:textId="77777777" w:rsidR="005427AE" w:rsidRPr="00EE75B4" w:rsidRDefault="005427AE" w:rsidP="005427AE">
      <w:pPr>
        <w:spacing w:after="0" w:line="240" w:lineRule="auto"/>
        <w:ind w:left="567" w:hanging="567"/>
        <w:rPr>
          <w:rFonts w:ascii="Times New Roman" w:hAnsi="Times New Roman"/>
          <w:lang w:val="lt-LT"/>
        </w:rPr>
      </w:pPr>
    </w:p>
    <w:p w14:paraId="4DC5E4EE"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w:t>
      </w:r>
      <w:r w:rsidRPr="00EE75B4">
        <w:rPr>
          <w:rFonts w:ascii="Times New Roman" w:hAnsi="Times New Roman"/>
          <w:b/>
          <w:caps/>
          <w:lang w:val="lt-LT"/>
        </w:rPr>
        <w:tab/>
        <w:t>vaistinio preparato pavadinimas</w:t>
      </w:r>
    </w:p>
    <w:p w14:paraId="3BEC6CD5" w14:textId="77777777" w:rsidR="005427AE" w:rsidRPr="00EE75B4" w:rsidRDefault="005427AE" w:rsidP="005427AE">
      <w:pPr>
        <w:spacing w:after="0" w:line="240" w:lineRule="auto"/>
        <w:ind w:left="567" w:hanging="567"/>
        <w:rPr>
          <w:rFonts w:ascii="Times New Roman" w:hAnsi="Times New Roman"/>
          <w:lang w:val="lt-LT"/>
        </w:rPr>
      </w:pPr>
    </w:p>
    <w:p w14:paraId="7817F035"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plėvele dengtos tabletės</w:t>
      </w:r>
    </w:p>
    <w:p w14:paraId="4967105F" w14:textId="5C6602E6" w:rsidR="005427AE" w:rsidRPr="00EE75B4" w:rsidRDefault="00F933F3" w:rsidP="005427AE">
      <w:pPr>
        <w:spacing w:after="0" w:line="240" w:lineRule="auto"/>
        <w:ind w:left="567" w:hanging="567"/>
        <w:rPr>
          <w:rFonts w:ascii="Times New Roman" w:hAnsi="Times New Roman"/>
          <w:i/>
          <w:lang w:val="lt-LT"/>
        </w:rPr>
      </w:pPr>
      <w:proofErr w:type="spellStart"/>
      <w:r>
        <w:rPr>
          <w:rFonts w:ascii="Times New Roman" w:hAnsi="Times New Roman"/>
          <w:i/>
          <w:lang w:val="lt-LT"/>
        </w:rPr>
        <w:t>v</w:t>
      </w:r>
      <w:r w:rsidRPr="00EE75B4">
        <w:rPr>
          <w:rFonts w:ascii="Times New Roman" w:hAnsi="Times New Roman"/>
          <w:i/>
          <w:lang w:val="lt-LT"/>
        </w:rPr>
        <w:t>alganciclovirum</w:t>
      </w:r>
      <w:proofErr w:type="spellEnd"/>
    </w:p>
    <w:p w14:paraId="11EBF4BD" w14:textId="77777777" w:rsidR="005427AE" w:rsidRPr="00EE75B4" w:rsidRDefault="005427AE" w:rsidP="005427AE">
      <w:pPr>
        <w:spacing w:after="0" w:line="240" w:lineRule="auto"/>
        <w:ind w:left="567" w:hanging="567"/>
        <w:rPr>
          <w:rFonts w:ascii="Times New Roman" w:hAnsi="Times New Roman"/>
          <w:lang w:val="lt-LT"/>
        </w:rPr>
      </w:pPr>
    </w:p>
    <w:p w14:paraId="2418C38A" w14:textId="77777777" w:rsidR="005427AE" w:rsidRPr="00EE75B4" w:rsidRDefault="005427AE" w:rsidP="005427AE">
      <w:pPr>
        <w:spacing w:after="0" w:line="240" w:lineRule="auto"/>
        <w:ind w:left="567" w:hanging="567"/>
        <w:rPr>
          <w:rFonts w:ascii="Times New Roman" w:hAnsi="Times New Roman"/>
          <w:lang w:val="lt-LT"/>
        </w:rPr>
      </w:pPr>
    </w:p>
    <w:p w14:paraId="6512468B"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2.</w:t>
      </w:r>
      <w:r w:rsidRPr="00EE75B4">
        <w:rPr>
          <w:rFonts w:ascii="Times New Roman" w:hAnsi="Times New Roman"/>
          <w:b/>
          <w:caps/>
          <w:lang w:val="lt-LT"/>
        </w:rPr>
        <w:tab/>
        <w:t>veikliOJI medžiagA ir JOS kiekis</w:t>
      </w:r>
    </w:p>
    <w:p w14:paraId="0929324B" w14:textId="77777777" w:rsidR="005427AE" w:rsidRPr="00EE75B4" w:rsidRDefault="005427AE" w:rsidP="005427AE">
      <w:pPr>
        <w:spacing w:after="0" w:line="240" w:lineRule="auto"/>
        <w:ind w:left="567" w:hanging="567"/>
        <w:rPr>
          <w:rFonts w:ascii="Times New Roman" w:hAnsi="Times New Roman"/>
          <w:caps/>
          <w:lang w:val="lt-LT"/>
        </w:rPr>
      </w:pPr>
    </w:p>
    <w:p w14:paraId="0C7B1B06"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Kiekvienoje plėvele dengtoje tabletėje yra 496,3 mg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hidrochlorido, atitinkančio 450 mg </w:t>
      </w:r>
      <w:proofErr w:type="spellStart"/>
      <w:r w:rsidRPr="00EE75B4">
        <w:rPr>
          <w:rFonts w:ascii="Times New Roman" w:hAnsi="Times New Roman"/>
          <w:lang w:val="lt-LT"/>
        </w:rPr>
        <w:t>valgancikloviro</w:t>
      </w:r>
      <w:proofErr w:type="spellEnd"/>
      <w:r w:rsidRPr="00EE75B4">
        <w:rPr>
          <w:rFonts w:ascii="Times New Roman" w:hAnsi="Times New Roman"/>
          <w:lang w:val="lt-LT"/>
        </w:rPr>
        <w:t>.</w:t>
      </w:r>
    </w:p>
    <w:p w14:paraId="69C87C5C" w14:textId="77777777" w:rsidR="005427AE" w:rsidRPr="00EE75B4" w:rsidRDefault="005427AE" w:rsidP="005427AE">
      <w:pPr>
        <w:spacing w:after="0" w:line="240" w:lineRule="auto"/>
        <w:ind w:left="567" w:hanging="567"/>
        <w:rPr>
          <w:rFonts w:ascii="Times New Roman" w:hAnsi="Times New Roman"/>
          <w:caps/>
          <w:lang w:val="lt-LT"/>
        </w:rPr>
      </w:pPr>
    </w:p>
    <w:p w14:paraId="4B57C4B1" w14:textId="77777777" w:rsidR="005427AE" w:rsidRPr="00EE75B4" w:rsidRDefault="005427AE" w:rsidP="005427AE">
      <w:pPr>
        <w:spacing w:after="0" w:line="240" w:lineRule="auto"/>
        <w:ind w:left="567" w:hanging="567"/>
        <w:rPr>
          <w:rFonts w:ascii="Times New Roman" w:hAnsi="Times New Roman"/>
          <w:caps/>
          <w:lang w:val="lt-LT"/>
        </w:rPr>
      </w:pPr>
    </w:p>
    <w:p w14:paraId="01218A07"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3.</w:t>
      </w:r>
      <w:r w:rsidRPr="00EE75B4">
        <w:rPr>
          <w:rFonts w:ascii="Times New Roman" w:hAnsi="Times New Roman"/>
          <w:b/>
          <w:caps/>
          <w:lang w:val="lt-LT"/>
        </w:rPr>
        <w:tab/>
        <w:t>pagalbinių medžiagų sąrašas</w:t>
      </w:r>
    </w:p>
    <w:p w14:paraId="7EB8EC35" w14:textId="77777777" w:rsidR="005427AE" w:rsidRPr="00EE75B4" w:rsidRDefault="005427AE" w:rsidP="005427AE">
      <w:pPr>
        <w:spacing w:after="0" w:line="240" w:lineRule="auto"/>
        <w:rPr>
          <w:rFonts w:ascii="Times New Roman" w:hAnsi="Times New Roman"/>
          <w:caps/>
          <w:lang w:val="lt-LT"/>
        </w:rPr>
      </w:pPr>
    </w:p>
    <w:p w14:paraId="174A99E7" w14:textId="77777777" w:rsidR="005427AE" w:rsidRPr="00EE75B4" w:rsidRDefault="005427AE" w:rsidP="005427AE">
      <w:pPr>
        <w:spacing w:after="0" w:line="240" w:lineRule="auto"/>
        <w:rPr>
          <w:rFonts w:ascii="Times New Roman" w:hAnsi="Times New Roman"/>
          <w:caps/>
          <w:lang w:val="lt-LT"/>
        </w:rPr>
      </w:pPr>
    </w:p>
    <w:p w14:paraId="23FF0079"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4.</w:t>
      </w:r>
      <w:r w:rsidRPr="00EE75B4">
        <w:rPr>
          <w:rFonts w:ascii="Times New Roman" w:hAnsi="Times New Roman"/>
          <w:b/>
          <w:caps/>
          <w:lang w:val="lt-LT"/>
        </w:rPr>
        <w:tab/>
        <w:t>FARMACINĖ forma ir KIEKIS PAKUOTĖJE</w:t>
      </w:r>
    </w:p>
    <w:p w14:paraId="08C1D55D" w14:textId="77777777" w:rsidR="005427AE" w:rsidRPr="00EE75B4" w:rsidRDefault="005427AE" w:rsidP="005427AE">
      <w:pPr>
        <w:spacing w:after="0" w:line="240" w:lineRule="auto"/>
        <w:ind w:left="567" w:hanging="567"/>
        <w:rPr>
          <w:rFonts w:ascii="Times New Roman" w:hAnsi="Times New Roman"/>
          <w:caps/>
          <w:lang w:val="lt-LT"/>
        </w:rPr>
      </w:pPr>
    </w:p>
    <w:p w14:paraId="0F22F521"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Plėvele dengta tabletė</w:t>
      </w:r>
    </w:p>
    <w:p w14:paraId="4B22AA23"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30 plėvele dengtų tablečių</w:t>
      </w:r>
    </w:p>
    <w:p w14:paraId="0BE5CE92"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60 plėvele dengtų tablečių</w:t>
      </w:r>
    </w:p>
    <w:p w14:paraId="0A325FF4"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90 plėvele dengtų tablečių</w:t>
      </w:r>
    </w:p>
    <w:p w14:paraId="4997CDDC"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120 plėvele dengtų tablečių</w:t>
      </w:r>
    </w:p>
    <w:p w14:paraId="5FC14FEE" w14:textId="77777777" w:rsidR="005427AE" w:rsidRPr="00EE75B4" w:rsidRDefault="005427AE" w:rsidP="005427AE">
      <w:pPr>
        <w:spacing w:after="0" w:line="240" w:lineRule="auto"/>
        <w:ind w:left="567" w:hanging="567"/>
        <w:rPr>
          <w:rFonts w:ascii="Times New Roman" w:hAnsi="Times New Roman"/>
          <w:lang w:val="lt-LT"/>
        </w:rPr>
      </w:pPr>
    </w:p>
    <w:p w14:paraId="16244397" w14:textId="77777777" w:rsidR="005427AE" w:rsidRPr="00EE75B4" w:rsidRDefault="005427AE" w:rsidP="005427AE">
      <w:pPr>
        <w:spacing w:after="0" w:line="240" w:lineRule="auto"/>
        <w:ind w:left="567" w:hanging="567"/>
        <w:rPr>
          <w:rFonts w:ascii="Times New Roman" w:hAnsi="Times New Roman"/>
          <w:lang w:val="lt-LT"/>
        </w:rPr>
      </w:pPr>
    </w:p>
    <w:p w14:paraId="0841C170"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5.</w:t>
      </w:r>
      <w:r w:rsidRPr="00EE75B4">
        <w:rPr>
          <w:rFonts w:ascii="Times New Roman" w:hAnsi="Times New Roman"/>
          <w:b/>
          <w:caps/>
          <w:lang w:val="lt-LT"/>
        </w:rPr>
        <w:tab/>
        <w:t>vartojimo METODAS IR būdas (-Ai)</w:t>
      </w:r>
    </w:p>
    <w:p w14:paraId="5DA6A766" w14:textId="77777777" w:rsidR="005427AE" w:rsidRPr="00EE75B4" w:rsidRDefault="005427AE" w:rsidP="005427AE">
      <w:pPr>
        <w:spacing w:after="0" w:line="240" w:lineRule="auto"/>
        <w:ind w:left="567" w:hanging="567"/>
        <w:rPr>
          <w:rFonts w:ascii="Times New Roman" w:hAnsi="Times New Roman"/>
          <w:caps/>
          <w:lang w:val="lt-LT"/>
        </w:rPr>
      </w:pPr>
    </w:p>
    <w:p w14:paraId="5D70D95B"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Vartoti per burną.</w:t>
      </w:r>
    </w:p>
    <w:p w14:paraId="4D4F6813"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Prieš vartojimą perskaitykite pakuotės lapelį.</w:t>
      </w:r>
    </w:p>
    <w:p w14:paraId="7A588FF1" w14:textId="77777777" w:rsidR="005427AE" w:rsidRPr="00EE75B4" w:rsidRDefault="005427AE" w:rsidP="005427AE">
      <w:pPr>
        <w:spacing w:after="0" w:line="240" w:lineRule="auto"/>
        <w:ind w:left="567" w:hanging="567"/>
        <w:rPr>
          <w:rFonts w:ascii="Times New Roman" w:hAnsi="Times New Roman"/>
          <w:caps/>
          <w:lang w:val="lt-LT"/>
        </w:rPr>
      </w:pPr>
    </w:p>
    <w:p w14:paraId="32971819" w14:textId="77777777" w:rsidR="005427AE" w:rsidRPr="00EE75B4" w:rsidRDefault="005427AE" w:rsidP="005427AE">
      <w:pPr>
        <w:spacing w:after="0" w:line="240" w:lineRule="auto"/>
        <w:ind w:left="567" w:hanging="567"/>
        <w:rPr>
          <w:rFonts w:ascii="Times New Roman" w:hAnsi="Times New Roman"/>
          <w:caps/>
          <w:lang w:val="lt-LT"/>
        </w:rPr>
      </w:pPr>
    </w:p>
    <w:p w14:paraId="6984412F"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6.</w:t>
      </w:r>
      <w:r w:rsidRPr="00EE75B4">
        <w:rPr>
          <w:rFonts w:ascii="Times New Roman" w:hAnsi="Times New Roman"/>
          <w:b/>
          <w:caps/>
          <w:lang w:val="lt-LT"/>
        </w:rPr>
        <w:tab/>
        <w:t>SPECIALUS Įspėjimas</w:t>
      </w:r>
      <w:r w:rsidRPr="00EE75B4">
        <w:rPr>
          <w:rFonts w:ascii="Times New Roman" w:hAnsi="Times New Roman"/>
          <w:lang w:val="lt-LT"/>
        </w:rPr>
        <w:t xml:space="preserve">, </w:t>
      </w:r>
      <w:r w:rsidRPr="00EE75B4">
        <w:rPr>
          <w:rFonts w:ascii="Times New Roman" w:hAnsi="Times New Roman"/>
          <w:b/>
          <w:lang w:val="lt-LT"/>
        </w:rPr>
        <w:t xml:space="preserve">KAD VAISTINĮ PREPARATĄ BŪTINA LAIKYTI </w:t>
      </w:r>
      <w:r w:rsidRPr="00EE75B4">
        <w:rPr>
          <w:rFonts w:ascii="Times New Roman" w:hAnsi="Times New Roman"/>
          <w:b/>
          <w:caps/>
          <w:lang w:val="lt-LT"/>
        </w:rPr>
        <w:t>vaikams NEPASTEBIMOJE IR nepasiekiamoje vietoje</w:t>
      </w:r>
    </w:p>
    <w:p w14:paraId="11C59A91" w14:textId="77777777" w:rsidR="005427AE" w:rsidRPr="00EE75B4" w:rsidRDefault="005427AE" w:rsidP="005427AE">
      <w:pPr>
        <w:spacing w:after="0" w:line="240" w:lineRule="auto"/>
        <w:ind w:left="567" w:hanging="567"/>
        <w:rPr>
          <w:rFonts w:ascii="Times New Roman" w:hAnsi="Times New Roman"/>
          <w:lang w:val="lt-LT"/>
        </w:rPr>
      </w:pPr>
    </w:p>
    <w:p w14:paraId="64C77521"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Laikyti vaikams nepastebimoje ir nepasiekiamoje vietoje.</w:t>
      </w:r>
    </w:p>
    <w:p w14:paraId="52E565A1" w14:textId="77777777" w:rsidR="005427AE" w:rsidRPr="00EE75B4" w:rsidRDefault="005427AE" w:rsidP="005427AE">
      <w:pPr>
        <w:spacing w:after="0" w:line="240" w:lineRule="auto"/>
        <w:ind w:left="567" w:hanging="567"/>
        <w:rPr>
          <w:rFonts w:ascii="Times New Roman" w:hAnsi="Times New Roman"/>
          <w:lang w:val="lt-LT"/>
        </w:rPr>
      </w:pPr>
    </w:p>
    <w:p w14:paraId="4578A7E1" w14:textId="77777777" w:rsidR="005427AE" w:rsidRPr="00EE75B4" w:rsidRDefault="005427AE" w:rsidP="005427AE">
      <w:pPr>
        <w:spacing w:after="0" w:line="240" w:lineRule="auto"/>
        <w:ind w:left="567" w:hanging="567"/>
        <w:rPr>
          <w:rFonts w:ascii="Times New Roman" w:hAnsi="Times New Roman"/>
          <w:lang w:val="lt-LT"/>
        </w:rPr>
      </w:pPr>
    </w:p>
    <w:p w14:paraId="40CD4D23"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7.</w:t>
      </w:r>
      <w:r w:rsidRPr="00EE75B4">
        <w:rPr>
          <w:rFonts w:ascii="Times New Roman" w:hAnsi="Times New Roman"/>
          <w:b/>
          <w:caps/>
          <w:lang w:val="lt-LT"/>
        </w:rPr>
        <w:tab/>
        <w:t>kitas (-I) specialus (-ŪS) Įspėjimas (-AI) (jei reikia)</w:t>
      </w:r>
    </w:p>
    <w:p w14:paraId="1F150EDC" w14:textId="77777777" w:rsidR="005427AE" w:rsidRPr="00EE75B4" w:rsidRDefault="005427AE" w:rsidP="005427AE">
      <w:pPr>
        <w:spacing w:after="0" w:line="240" w:lineRule="auto"/>
        <w:ind w:left="567" w:hanging="567"/>
        <w:rPr>
          <w:rFonts w:ascii="Times New Roman" w:hAnsi="Times New Roman"/>
          <w:caps/>
          <w:lang w:val="lt-LT"/>
        </w:rPr>
      </w:pPr>
    </w:p>
    <w:p w14:paraId="05E7CAEB"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Tabletės negalima laužyti ar smulkinti.</w:t>
      </w:r>
    </w:p>
    <w:p w14:paraId="2860474E" w14:textId="77777777" w:rsidR="005427AE" w:rsidRPr="00EE75B4" w:rsidRDefault="005427AE" w:rsidP="005427AE">
      <w:pPr>
        <w:spacing w:after="0" w:line="240" w:lineRule="auto"/>
        <w:ind w:left="567" w:hanging="567"/>
        <w:rPr>
          <w:rFonts w:ascii="Times New Roman" w:hAnsi="Times New Roman"/>
          <w:caps/>
          <w:lang w:val="lt-LT"/>
        </w:rPr>
      </w:pPr>
    </w:p>
    <w:p w14:paraId="109C3C14" w14:textId="77777777" w:rsidR="005427AE" w:rsidRPr="00EE75B4" w:rsidRDefault="005427AE" w:rsidP="005427AE">
      <w:pPr>
        <w:spacing w:after="0" w:line="240" w:lineRule="auto"/>
        <w:ind w:left="567" w:hanging="567"/>
        <w:rPr>
          <w:rFonts w:ascii="Times New Roman" w:hAnsi="Times New Roman"/>
          <w:caps/>
          <w:lang w:val="lt-LT"/>
        </w:rPr>
      </w:pPr>
    </w:p>
    <w:p w14:paraId="54B97C58"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8.</w:t>
      </w:r>
      <w:r w:rsidRPr="00EE75B4">
        <w:rPr>
          <w:rFonts w:ascii="Times New Roman" w:hAnsi="Times New Roman"/>
          <w:b/>
          <w:caps/>
          <w:lang w:val="lt-LT"/>
        </w:rPr>
        <w:tab/>
        <w:t>tinkamumo laikas</w:t>
      </w:r>
    </w:p>
    <w:p w14:paraId="6AE414D5" w14:textId="77777777" w:rsidR="005427AE" w:rsidRPr="00EE75B4" w:rsidRDefault="005427AE" w:rsidP="005427AE">
      <w:pPr>
        <w:spacing w:after="0" w:line="240" w:lineRule="auto"/>
        <w:ind w:left="567" w:hanging="567"/>
        <w:rPr>
          <w:rFonts w:ascii="Times New Roman" w:hAnsi="Times New Roman"/>
          <w:lang w:val="lt-LT"/>
        </w:rPr>
      </w:pPr>
    </w:p>
    <w:p w14:paraId="4B00198D" w14:textId="508A1C40" w:rsidR="005427AE" w:rsidRPr="00EE75B4" w:rsidRDefault="00764A14" w:rsidP="005427AE">
      <w:pPr>
        <w:spacing w:after="0" w:line="240" w:lineRule="auto"/>
        <w:ind w:left="567" w:hanging="567"/>
        <w:rPr>
          <w:rFonts w:ascii="Times New Roman" w:hAnsi="Times New Roman"/>
          <w:lang w:val="lt-LT"/>
        </w:rPr>
      </w:pPr>
      <w:r>
        <w:rPr>
          <w:rFonts w:ascii="Times New Roman" w:hAnsi="Times New Roman"/>
          <w:lang w:val="lt-LT"/>
        </w:rPr>
        <w:t>EXP</w:t>
      </w:r>
      <w:r w:rsidR="005427AE" w:rsidRPr="00EE75B4">
        <w:rPr>
          <w:rFonts w:ascii="Times New Roman" w:hAnsi="Times New Roman"/>
          <w:lang w:val="lt-LT"/>
        </w:rPr>
        <w:t xml:space="preserve"> {mm/MMMM}</w:t>
      </w:r>
    </w:p>
    <w:p w14:paraId="5DE11EE5" w14:textId="77777777" w:rsidR="005427AE" w:rsidRPr="00EE75B4" w:rsidRDefault="005427AE" w:rsidP="005427AE">
      <w:pPr>
        <w:spacing w:after="0" w:line="240" w:lineRule="auto"/>
        <w:ind w:left="567" w:hanging="567"/>
        <w:rPr>
          <w:rFonts w:ascii="Times New Roman" w:hAnsi="Times New Roman"/>
          <w:lang w:val="lt-LT"/>
        </w:rPr>
      </w:pPr>
    </w:p>
    <w:p w14:paraId="206B2DE1" w14:textId="77777777" w:rsidR="005427AE" w:rsidRPr="00EE75B4" w:rsidRDefault="005427AE" w:rsidP="005427AE">
      <w:pPr>
        <w:spacing w:after="0" w:line="240" w:lineRule="auto"/>
        <w:ind w:left="567" w:hanging="567"/>
        <w:rPr>
          <w:rFonts w:ascii="Times New Roman" w:hAnsi="Times New Roman"/>
          <w:lang w:val="lt-LT"/>
        </w:rPr>
      </w:pPr>
    </w:p>
    <w:p w14:paraId="4ACBDFCA"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9.</w:t>
      </w:r>
      <w:r w:rsidRPr="00EE75B4">
        <w:rPr>
          <w:rFonts w:ascii="Times New Roman" w:hAnsi="Times New Roman"/>
          <w:b/>
          <w:caps/>
          <w:lang w:val="lt-LT"/>
        </w:rPr>
        <w:tab/>
        <w:t>SPECIALIOS laikymo sąlygos</w:t>
      </w:r>
    </w:p>
    <w:p w14:paraId="0A551410" w14:textId="77777777" w:rsidR="005427AE" w:rsidRPr="00EE75B4" w:rsidRDefault="005427AE" w:rsidP="005427AE">
      <w:pPr>
        <w:spacing w:after="0" w:line="240" w:lineRule="auto"/>
        <w:rPr>
          <w:rFonts w:ascii="Times New Roman" w:hAnsi="Times New Roman"/>
          <w:lang w:val="lt-LT"/>
        </w:rPr>
      </w:pPr>
    </w:p>
    <w:p w14:paraId="7CEF6ED1" w14:textId="77777777" w:rsidR="005427AE" w:rsidRPr="00EE75B4" w:rsidRDefault="005427AE" w:rsidP="005427AE">
      <w:pPr>
        <w:spacing w:after="0" w:line="240" w:lineRule="auto"/>
        <w:ind w:left="567" w:hanging="567"/>
        <w:rPr>
          <w:rFonts w:ascii="Times New Roman" w:hAnsi="Times New Roman"/>
          <w:lang w:val="lt-LT"/>
        </w:rPr>
      </w:pPr>
    </w:p>
    <w:p w14:paraId="087B534C"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lastRenderedPageBreak/>
        <w:t>10.</w:t>
      </w:r>
      <w:r w:rsidRPr="00EE75B4">
        <w:rPr>
          <w:rFonts w:ascii="Times New Roman" w:hAnsi="Times New Roman"/>
          <w:b/>
          <w:caps/>
          <w:lang w:val="lt-LT"/>
        </w:rPr>
        <w:tab/>
        <w:t xml:space="preserve">specialios atsargumo priemonės </w:t>
      </w:r>
      <w:r w:rsidRPr="00EE75B4">
        <w:rPr>
          <w:rFonts w:ascii="Times New Roman" w:hAnsi="Times New Roman"/>
          <w:b/>
          <w:lang w:val="lt-LT"/>
        </w:rPr>
        <w:t>DĖL NESUVARTOTO VAISTINIO PREPARATO AR JO ATLIEKŲ TVARKYMO</w:t>
      </w:r>
      <w:r w:rsidRPr="00EE75B4">
        <w:rPr>
          <w:rFonts w:ascii="Times New Roman" w:hAnsi="Times New Roman"/>
          <w:b/>
          <w:caps/>
          <w:lang w:val="lt-LT"/>
        </w:rPr>
        <w:t xml:space="preserve"> (jei reikia)</w:t>
      </w:r>
    </w:p>
    <w:p w14:paraId="7E373863" w14:textId="77777777" w:rsidR="005427AE" w:rsidRPr="00EE75B4" w:rsidRDefault="005427AE" w:rsidP="005427AE">
      <w:pPr>
        <w:spacing w:after="0" w:line="240" w:lineRule="auto"/>
        <w:ind w:left="567" w:hanging="567"/>
        <w:rPr>
          <w:rFonts w:ascii="Times New Roman" w:hAnsi="Times New Roman"/>
          <w:caps/>
          <w:lang w:val="lt-LT"/>
        </w:rPr>
      </w:pPr>
    </w:p>
    <w:p w14:paraId="277B2D7F" w14:textId="77777777" w:rsidR="005427AE" w:rsidRPr="00EE75B4" w:rsidRDefault="005427AE" w:rsidP="005427AE">
      <w:pPr>
        <w:spacing w:after="0" w:line="240" w:lineRule="auto"/>
        <w:ind w:left="567" w:hanging="567"/>
        <w:rPr>
          <w:rFonts w:ascii="Times New Roman" w:hAnsi="Times New Roman"/>
          <w:caps/>
          <w:lang w:val="lt-LT"/>
        </w:rPr>
      </w:pPr>
    </w:p>
    <w:p w14:paraId="3B8D1A9B"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11.</w:t>
      </w:r>
      <w:r w:rsidRPr="00EE75B4">
        <w:rPr>
          <w:rFonts w:ascii="Times New Roman" w:hAnsi="Times New Roman"/>
          <w:b/>
          <w:caps/>
          <w:lang w:val="lt-LT"/>
        </w:rPr>
        <w:tab/>
      </w:r>
      <w:r w:rsidRPr="00EE75B4">
        <w:rPr>
          <w:rFonts w:ascii="Times New Roman" w:hAnsi="Times New Roman"/>
          <w:b/>
          <w:lang w:val="lt-LT"/>
        </w:rPr>
        <w:t>REGISTRUOTOJO PAVADINIMAS IR ADRESAS</w:t>
      </w:r>
    </w:p>
    <w:p w14:paraId="2F42925D" w14:textId="77777777" w:rsidR="005427AE" w:rsidRPr="00EE75B4" w:rsidRDefault="005427AE" w:rsidP="005427AE">
      <w:pPr>
        <w:spacing w:after="0" w:line="240" w:lineRule="auto"/>
        <w:ind w:left="567" w:hanging="567"/>
        <w:rPr>
          <w:rFonts w:ascii="Times New Roman" w:hAnsi="Times New Roman"/>
          <w:caps/>
          <w:lang w:val="lt-LT"/>
        </w:rPr>
      </w:pPr>
    </w:p>
    <w:p w14:paraId="0CD75311" w14:textId="77777777" w:rsidR="002A306B" w:rsidRPr="00EE75B4" w:rsidRDefault="002A306B" w:rsidP="002A306B">
      <w:pPr>
        <w:spacing w:after="0" w:line="240" w:lineRule="auto"/>
        <w:rPr>
          <w:rFonts w:ascii="Times New Roman" w:hAnsi="Times New Roman"/>
          <w:lang w:val="lt-LT"/>
        </w:rPr>
      </w:pP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w:t>
      </w:r>
      <w:proofErr w:type="spellStart"/>
      <w:r w:rsidRPr="00EE75B4">
        <w:rPr>
          <w:rFonts w:ascii="Times New Roman" w:hAnsi="Times New Roman"/>
          <w:lang w:val="lt-LT"/>
        </w:rPr>
        <w:t>Healthcare</w:t>
      </w:r>
      <w:proofErr w:type="spellEnd"/>
      <w:r w:rsidRPr="00EE75B4">
        <w:rPr>
          <w:rFonts w:ascii="Times New Roman" w:hAnsi="Times New Roman"/>
          <w:lang w:val="lt-LT"/>
        </w:rPr>
        <w:t xml:space="preserve"> B.V. </w:t>
      </w:r>
    </w:p>
    <w:p w14:paraId="3B9A70B1" w14:textId="77777777" w:rsidR="002A306B" w:rsidRPr="00EE75B4" w:rsidRDefault="002A306B" w:rsidP="002A306B">
      <w:pPr>
        <w:spacing w:after="0" w:line="240" w:lineRule="auto"/>
        <w:rPr>
          <w:rFonts w:ascii="Times New Roman" w:hAnsi="Times New Roman"/>
          <w:lang w:val="lt-LT"/>
        </w:rPr>
      </w:pPr>
      <w:proofErr w:type="spellStart"/>
      <w:r w:rsidRPr="00EE75B4">
        <w:rPr>
          <w:rFonts w:ascii="Times New Roman" w:hAnsi="Times New Roman"/>
          <w:lang w:val="lt-LT"/>
        </w:rPr>
        <w:t>Winthontlaan</w:t>
      </w:r>
      <w:proofErr w:type="spellEnd"/>
      <w:r w:rsidRPr="00EE75B4">
        <w:rPr>
          <w:rFonts w:ascii="Times New Roman" w:hAnsi="Times New Roman"/>
          <w:lang w:val="lt-LT"/>
        </w:rPr>
        <w:t xml:space="preserve"> 200 </w:t>
      </w:r>
    </w:p>
    <w:p w14:paraId="2EE21503" w14:textId="77777777" w:rsidR="002A306B" w:rsidRPr="00EE75B4" w:rsidRDefault="002A306B" w:rsidP="002A306B">
      <w:pPr>
        <w:spacing w:after="0" w:line="240" w:lineRule="auto"/>
        <w:rPr>
          <w:rFonts w:ascii="Times New Roman" w:hAnsi="Times New Roman"/>
          <w:lang w:val="lt-LT"/>
        </w:rPr>
      </w:pPr>
      <w:r w:rsidRPr="00EE75B4">
        <w:rPr>
          <w:rFonts w:ascii="Times New Roman" w:hAnsi="Times New Roman"/>
          <w:lang w:val="lt-LT"/>
        </w:rPr>
        <w:t xml:space="preserve">3526 KV </w:t>
      </w:r>
      <w:proofErr w:type="spellStart"/>
      <w:r w:rsidRPr="00EE75B4">
        <w:rPr>
          <w:rFonts w:ascii="Times New Roman" w:hAnsi="Times New Roman"/>
          <w:lang w:val="lt-LT"/>
        </w:rPr>
        <w:t>Utrecht</w:t>
      </w:r>
      <w:proofErr w:type="spellEnd"/>
      <w:r w:rsidRPr="00EE75B4">
        <w:rPr>
          <w:rFonts w:ascii="Times New Roman" w:hAnsi="Times New Roman"/>
          <w:lang w:val="lt-LT"/>
        </w:rPr>
        <w:t xml:space="preserve"> </w:t>
      </w:r>
    </w:p>
    <w:p w14:paraId="324CDE58" w14:textId="77777777" w:rsidR="002A306B" w:rsidRPr="00EE75B4" w:rsidRDefault="002A306B" w:rsidP="002A306B">
      <w:pPr>
        <w:spacing w:after="0" w:line="240" w:lineRule="auto"/>
        <w:rPr>
          <w:rFonts w:ascii="Times New Roman" w:hAnsi="Times New Roman"/>
          <w:lang w:val="lt-LT"/>
        </w:rPr>
      </w:pPr>
      <w:r w:rsidRPr="00EE75B4">
        <w:rPr>
          <w:rFonts w:ascii="Times New Roman" w:hAnsi="Times New Roman"/>
          <w:lang w:val="lt-LT"/>
        </w:rPr>
        <w:t>Nyderlandai</w:t>
      </w:r>
    </w:p>
    <w:p w14:paraId="6566A7EF" w14:textId="77777777" w:rsidR="005427AE" w:rsidRPr="00EE75B4" w:rsidRDefault="005427AE" w:rsidP="005427AE">
      <w:pPr>
        <w:spacing w:after="0" w:line="240" w:lineRule="auto"/>
        <w:ind w:left="567" w:hanging="567"/>
        <w:rPr>
          <w:rFonts w:ascii="Times New Roman" w:hAnsi="Times New Roman"/>
          <w:caps/>
          <w:lang w:val="lt-LT"/>
        </w:rPr>
      </w:pPr>
    </w:p>
    <w:p w14:paraId="2E455B22" w14:textId="77777777" w:rsidR="005427AE" w:rsidRPr="00EE75B4" w:rsidRDefault="005427AE" w:rsidP="005427AE">
      <w:pPr>
        <w:spacing w:after="0" w:line="240" w:lineRule="auto"/>
        <w:ind w:left="567" w:hanging="567"/>
        <w:rPr>
          <w:rFonts w:ascii="Times New Roman" w:hAnsi="Times New Roman"/>
          <w:caps/>
          <w:lang w:val="lt-LT"/>
        </w:rPr>
      </w:pPr>
    </w:p>
    <w:p w14:paraId="35C602FD"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12.</w:t>
      </w:r>
      <w:r w:rsidRPr="00EE75B4">
        <w:rPr>
          <w:rFonts w:ascii="Times New Roman" w:hAnsi="Times New Roman"/>
          <w:b/>
          <w:caps/>
          <w:lang w:val="lt-LT"/>
        </w:rPr>
        <w:tab/>
      </w:r>
      <w:r w:rsidRPr="00EE75B4">
        <w:rPr>
          <w:rFonts w:ascii="Times New Roman" w:hAnsi="Times New Roman"/>
          <w:b/>
          <w:lang w:val="lt-LT"/>
        </w:rPr>
        <w:t>REGISTRACIJOS PAŽYMĖJIMO NUMERIS (-IAI)</w:t>
      </w:r>
    </w:p>
    <w:p w14:paraId="086D835F" w14:textId="77777777" w:rsidR="005427AE" w:rsidRPr="00EE75B4" w:rsidRDefault="005427AE" w:rsidP="005427AE">
      <w:pPr>
        <w:spacing w:after="0" w:line="240" w:lineRule="auto"/>
        <w:ind w:left="567" w:hanging="567"/>
        <w:rPr>
          <w:rFonts w:ascii="Times New Roman" w:hAnsi="Times New Roman"/>
          <w:lang w:val="lt-LT"/>
        </w:rPr>
      </w:pPr>
    </w:p>
    <w:p w14:paraId="0D4487DB" w14:textId="77777777" w:rsidR="00D43F43" w:rsidRPr="00D43F43" w:rsidRDefault="00D43F43" w:rsidP="00D43F43">
      <w:pPr>
        <w:spacing w:after="0" w:line="240" w:lineRule="auto"/>
        <w:ind w:left="567" w:hanging="567"/>
        <w:rPr>
          <w:rFonts w:ascii="Times New Roman" w:hAnsi="Times New Roman"/>
          <w:lang w:val="lt-LT"/>
        </w:rPr>
      </w:pPr>
      <w:r w:rsidRPr="00D43F43">
        <w:rPr>
          <w:rFonts w:ascii="Times New Roman" w:hAnsi="Times New Roman"/>
          <w:lang w:val="lt-LT"/>
        </w:rPr>
        <w:t xml:space="preserve">LT/1/16/3914/001 </w:t>
      </w:r>
      <w:r w:rsidRPr="00D43F43">
        <w:rPr>
          <w:rFonts w:ascii="Times New Roman" w:hAnsi="Times New Roman"/>
          <w:highlight w:val="lightGray"/>
          <w:lang w:val="lt-LT"/>
        </w:rPr>
        <w:t>– N60</w:t>
      </w:r>
    </w:p>
    <w:p w14:paraId="191C9009" w14:textId="77777777" w:rsidR="00D43F43" w:rsidRPr="00D43F43" w:rsidRDefault="00D43F43" w:rsidP="00D43F43">
      <w:pPr>
        <w:spacing w:after="0" w:line="240" w:lineRule="auto"/>
        <w:ind w:left="567" w:hanging="567"/>
        <w:rPr>
          <w:rFonts w:ascii="Times New Roman" w:hAnsi="Times New Roman"/>
          <w:lang w:val="lt-LT"/>
        </w:rPr>
      </w:pPr>
      <w:r w:rsidRPr="00D43F43">
        <w:rPr>
          <w:rFonts w:ascii="Times New Roman" w:hAnsi="Times New Roman"/>
          <w:lang w:val="lt-LT"/>
        </w:rPr>
        <w:t xml:space="preserve">LT/1/16/3914/003 </w:t>
      </w:r>
      <w:r w:rsidRPr="00D43F43">
        <w:rPr>
          <w:rFonts w:ascii="Times New Roman" w:hAnsi="Times New Roman"/>
          <w:highlight w:val="lightGray"/>
          <w:lang w:val="lt-LT"/>
        </w:rPr>
        <w:t>– N30</w:t>
      </w:r>
    </w:p>
    <w:p w14:paraId="77CE7AF0" w14:textId="77777777" w:rsidR="00D43F43" w:rsidRPr="00D43F43" w:rsidRDefault="00D43F43" w:rsidP="00D43F43">
      <w:pPr>
        <w:spacing w:after="0" w:line="240" w:lineRule="auto"/>
        <w:ind w:left="567" w:hanging="567"/>
        <w:rPr>
          <w:rFonts w:ascii="Times New Roman" w:hAnsi="Times New Roman"/>
          <w:lang w:val="lt-LT"/>
        </w:rPr>
      </w:pPr>
      <w:r w:rsidRPr="00D43F43">
        <w:rPr>
          <w:rFonts w:ascii="Times New Roman" w:hAnsi="Times New Roman"/>
          <w:lang w:val="lt-LT"/>
        </w:rPr>
        <w:t xml:space="preserve">LT/1/16/3914/004 </w:t>
      </w:r>
      <w:r w:rsidRPr="00D43F43">
        <w:rPr>
          <w:rFonts w:ascii="Times New Roman" w:hAnsi="Times New Roman"/>
          <w:highlight w:val="lightGray"/>
          <w:lang w:val="lt-LT"/>
        </w:rPr>
        <w:t>– N90</w:t>
      </w:r>
    </w:p>
    <w:p w14:paraId="40C4C12A" w14:textId="474F48F1" w:rsidR="00D43F43" w:rsidRDefault="00D43F43" w:rsidP="00D43F43">
      <w:pPr>
        <w:spacing w:after="0" w:line="240" w:lineRule="auto"/>
        <w:ind w:left="567" w:hanging="567"/>
        <w:rPr>
          <w:rFonts w:ascii="Times New Roman" w:hAnsi="Times New Roman"/>
          <w:highlight w:val="lightGray"/>
          <w:lang w:val="lt-LT"/>
        </w:rPr>
      </w:pPr>
      <w:r w:rsidRPr="00D43F43">
        <w:rPr>
          <w:rFonts w:ascii="Times New Roman" w:hAnsi="Times New Roman"/>
          <w:lang w:val="lt-LT"/>
        </w:rPr>
        <w:t xml:space="preserve">LT/1/16/3914/005 </w:t>
      </w:r>
      <w:r w:rsidRPr="00D43F43">
        <w:rPr>
          <w:rFonts w:ascii="Times New Roman" w:hAnsi="Times New Roman"/>
          <w:highlight w:val="lightGray"/>
          <w:lang w:val="lt-LT"/>
        </w:rPr>
        <w:t>– N120</w:t>
      </w:r>
    </w:p>
    <w:p w14:paraId="0187F9BE" w14:textId="77777777" w:rsidR="005427AE" w:rsidRPr="00EE75B4" w:rsidRDefault="005427AE" w:rsidP="005427AE">
      <w:pPr>
        <w:spacing w:after="0" w:line="240" w:lineRule="auto"/>
        <w:ind w:left="567" w:hanging="567"/>
        <w:rPr>
          <w:rFonts w:ascii="Times New Roman" w:hAnsi="Times New Roman"/>
          <w:lang w:val="lt-LT"/>
        </w:rPr>
      </w:pPr>
    </w:p>
    <w:p w14:paraId="58849B94" w14:textId="77777777" w:rsidR="005427AE" w:rsidRPr="00EE75B4" w:rsidRDefault="005427AE" w:rsidP="005427AE">
      <w:pPr>
        <w:spacing w:after="0" w:line="240" w:lineRule="auto"/>
        <w:ind w:left="567" w:hanging="567"/>
        <w:rPr>
          <w:rFonts w:ascii="Times New Roman" w:hAnsi="Times New Roman"/>
          <w:lang w:val="lt-LT"/>
        </w:rPr>
      </w:pPr>
    </w:p>
    <w:p w14:paraId="72516763"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13.</w:t>
      </w:r>
      <w:r w:rsidRPr="00EE75B4">
        <w:rPr>
          <w:rFonts w:ascii="Times New Roman" w:hAnsi="Times New Roman"/>
          <w:b/>
          <w:caps/>
          <w:lang w:val="lt-LT"/>
        </w:rPr>
        <w:tab/>
        <w:t>serijos numeris</w:t>
      </w:r>
    </w:p>
    <w:p w14:paraId="37F8387A" w14:textId="77777777" w:rsidR="005427AE" w:rsidRPr="00EE75B4" w:rsidRDefault="005427AE" w:rsidP="005427AE">
      <w:pPr>
        <w:spacing w:after="0" w:line="240" w:lineRule="auto"/>
        <w:ind w:left="567" w:hanging="567"/>
        <w:rPr>
          <w:rFonts w:ascii="Times New Roman" w:hAnsi="Times New Roman"/>
          <w:lang w:val="lt-LT"/>
        </w:rPr>
      </w:pPr>
    </w:p>
    <w:p w14:paraId="489B6F5F" w14:textId="61DF2192" w:rsidR="005427AE" w:rsidRPr="00EE75B4" w:rsidRDefault="00764A14" w:rsidP="005427AE">
      <w:pPr>
        <w:spacing w:after="0" w:line="240" w:lineRule="auto"/>
        <w:ind w:left="567" w:hanging="567"/>
        <w:rPr>
          <w:rFonts w:ascii="Times New Roman" w:hAnsi="Times New Roman"/>
          <w:lang w:val="lt-LT"/>
        </w:rPr>
      </w:pPr>
      <w:proofErr w:type="spellStart"/>
      <w:r>
        <w:rPr>
          <w:rFonts w:ascii="Times New Roman" w:hAnsi="Times New Roman"/>
          <w:lang w:val="lt-LT"/>
        </w:rPr>
        <w:t>Lot</w:t>
      </w:r>
      <w:proofErr w:type="spellEnd"/>
    </w:p>
    <w:p w14:paraId="0E0C5B31" w14:textId="77777777" w:rsidR="005427AE" w:rsidRPr="00EE75B4" w:rsidRDefault="005427AE" w:rsidP="005427AE">
      <w:pPr>
        <w:spacing w:after="0" w:line="240" w:lineRule="auto"/>
        <w:ind w:left="567" w:hanging="567"/>
        <w:rPr>
          <w:rFonts w:ascii="Times New Roman" w:hAnsi="Times New Roman"/>
          <w:lang w:val="lt-LT"/>
        </w:rPr>
      </w:pPr>
    </w:p>
    <w:p w14:paraId="0B132BD0" w14:textId="77777777" w:rsidR="005427AE" w:rsidRPr="00EE75B4" w:rsidRDefault="005427AE" w:rsidP="005427AE">
      <w:pPr>
        <w:spacing w:after="0" w:line="240" w:lineRule="auto"/>
        <w:ind w:left="567" w:hanging="567"/>
        <w:rPr>
          <w:rFonts w:ascii="Times New Roman" w:hAnsi="Times New Roman"/>
          <w:lang w:val="lt-LT"/>
        </w:rPr>
      </w:pPr>
    </w:p>
    <w:p w14:paraId="79848933"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14.</w:t>
      </w:r>
      <w:r w:rsidRPr="00EE75B4">
        <w:rPr>
          <w:rFonts w:ascii="Times New Roman" w:hAnsi="Times New Roman"/>
          <w:b/>
          <w:caps/>
          <w:lang w:val="lt-LT"/>
        </w:rPr>
        <w:tab/>
      </w:r>
      <w:r w:rsidRPr="00EE75B4">
        <w:rPr>
          <w:rFonts w:ascii="Times New Roman" w:hAnsi="Times New Roman"/>
          <w:b/>
          <w:lang w:val="lt-LT"/>
        </w:rPr>
        <w:t>PARDAVIMO (IŠDAVIMO)</w:t>
      </w:r>
      <w:r w:rsidRPr="00EE75B4">
        <w:rPr>
          <w:rFonts w:ascii="Times New Roman" w:hAnsi="Times New Roman"/>
          <w:b/>
          <w:caps/>
          <w:lang w:val="lt-LT"/>
        </w:rPr>
        <w:t xml:space="preserve"> tvarka</w:t>
      </w:r>
    </w:p>
    <w:p w14:paraId="6C906408" w14:textId="77777777" w:rsidR="005427AE" w:rsidRPr="00EE75B4" w:rsidRDefault="005427AE" w:rsidP="005427AE">
      <w:pPr>
        <w:spacing w:after="0" w:line="240" w:lineRule="auto"/>
        <w:ind w:left="567" w:hanging="567"/>
        <w:rPr>
          <w:rFonts w:ascii="Times New Roman" w:hAnsi="Times New Roman"/>
          <w:lang w:val="lt-LT"/>
        </w:rPr>
      </w:pPr>
    </w:p>
    <w:p w14:paraId="7A5A8682" w14:textId="4817DA32"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 xml:space="preserve">Receptinis </w:t>
      </w:r>
      <w:r w:rsidR="00366F84">
        <w:rPr>
          <w:rFonts w:ascii="Times New Roman" w:hAnsi="Times New Roman"/>
          <w:lang w:val="lt-LT"/>
        </w:rPr>
        <w:t>vaistas</w:t>
      </w:r>
      <w:r w:rsidRPr="00EE75B4">
        <w:rPr>
          <w:rFonts w:ascii="Times New Roman" w:hAnsi="Times New Roman"/>
          <w:lang w:val="lt-LT"/>
        </w:rPr>
        <w:t>.</w:t>
      </w:r>
    </w:p>
    <w:p w14:paraId="7DE70FF3" w14:textId="77777777" w:rsidR="005427AE" w:rsidRPr="00EE75B4" w:rsidRDefault="005427AE" w:rsidP="005427AE">
      <w:pPr>
        <w:spacing w:after="0" w:line="240" w:lineRule="auto"/>
        <w:ind w:left="567" w:hanging="567"/>
        <w:rPr>
          <w:rFonts w:ascii="Times New Roman" w:hAnsi="Times New Roman"/>
          <w:lang w:val="lt-LT"/>
        </w:rPr>
      </w:pPr>
    </w:p>
    <w:p w14:paraId="245BDEAE" w14:textId="77777777" w:rsidR="005427AE" w:rsidRPr="00EE75B4" w:rsidRDefault="005427AE" w:rsidP="005427AE">
      <w:pPr>
        <w:spacing w:after="0" w:line="240" w:lineRule="auto"/>
        <w:ind w:left="567" w:hanging="567"/>
        <w:rPr>
          <w:rFonts w:ascii="Times New Roman" w:hAnsi="Times New Roman"/>
          <w:lang w:val="lt-LT"/>
        </w:rPr>
      </w:pPr>
    </w:p>
    <w:p w14:paraId="737A875C"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15.</w:t>
      </w:r>
      <w:r w:rsidRPr="00EE75B4">
        <w:rPr>
          <w:rFonts w:ascii="Times New Roman" w:hAnsi="Times New Roman"/>
          <w:b/>
          <w:caps/>
          <w:lang w:val="lt-LT"/>
        </w:rPr>
        <w:tab/>
        <w:t>vartojimo instrukcijA</w:t>
      </w:r>
    </w:p>
    <w:p w14:paraId="3EA7BF92" w14:textId="77777777" w:rsidR="005427AE" w:rsidRPr="00EE75B4" w:rsidRDefault="005427AE" w:rsidP="005427AE">
      <w:pPr>
        <w:spacing w:after="0" w:line="240" w:lineRule="auto"/>
        <w:ind w:left="567" w:hanging="567"/>
        <w:rPr>
          <w:rFonts w:ascii="Times New Roman" w:hAnsi="Times New Roman"/>
          <w:lang w:val="lt-LT"/>
        </w:rPr>
      </w:pPr>
    </w:p>
    <w:p w14:paraId="446D144A" w14:textId="77777777" w:rsidR="005427AE" w:rsidRPr="00EE75B4" w:rsidRDefault="005427AE" w:rsidP="005427AE">
      <w:pPr>
        <w:spacing w:after="0" w:line="240" w:lineRule="auto"/>
        <w:ind w:left="567" w:hanging="567"/>
        <w:rPr>
          <w:rFonts w:ascii="Times New Roman" w:hAnsi="Times New Roman"/>
          <w:lang w:val="lt-LT"/>
        </w:rPr>
      </w:pPr>
    </w:p>
    <w:p w14:paraId="27B022F7" w14:textId="77777777" w:rsidR="005427AE" w:rsidRPr="00EE75B4" w:rsidRDefault="005427AE" w:rsidP="005427A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EE75B4">
        <w:rPr>
          <w:rFonts w:ascii="Times New Roman" w:hAnsi="Times New Roman"/>
          <w:b/>
          <w:lang w:val="lt-LT"/>
        </w:rPr>
        <w:t>16.</w:t>
      </w:r>
      <w:r w:rsidRPr="00EE75B4">
        <w:rPr>
          <w:rFonts w:ascii="Times New Roman" w:hAnsi="Times New Roman"/>
          <w:b/>
          <w:lang w:val="lt-LT"/>
        </w:rPr>
        <w:tab/>
        <w:t>INFORMACIJA BRAILIO RAŠTU</w:t>
      </w:r>
    </w:p>
    <w:p w14:paraId="2B3A2D88" w14:textId="77777777" w:rsidR="005427AE" w:rsidRPr="00EE75B4" w:rsidRDefault="005427AE" w:rsidP="005427AE">
      <w:pPr>
        <w:spacing w:after="0" w:line="240" w:lineRule="auto"/>
        <w:rPr>
          <w:rFonts w:ascii="Times New Roman" w:hAnsi="Times New Roman"/>
          <w:lang w:val="lt-LT"/>
        </w:rPr>
      </w:pPr>
    </w:p>
    <w:p w14:paraId="71F17F0A" w14:textId="77777777" w:rsidR="005427AE" w:rsidRPr="00EE75B4" w:rsidRDefault="005427AE" w:rsidP="005427AE">
      <w:pPr>
        <w:spacing w:after="0" w:line="240" w:lineRule="auto"/>
        <w:ind w:left="567" w:hanging="567"/>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w:t>
      </w:r>
    </w:p>
    <w:p w14:paraId="58A38B28" w14:textId="77777777" w:rsidR="005427AE" w:rsidRPr="00EE75B4" w:rsidRDefault="005427AE" w:rsidP="005427AE">
      <w:pPr>
        <w:spacing w:after="0" w:line="240" w:lineRule="auto"/>
        <w:ind w:left="567" w:hanging="567"/>
        <w:rPr>
          <w:rFonts w:ascii="Times New Roman" w:hAnsi="Times New Roman"/>
          <w:lang w:val="lt-LT"/>
        </w:rPr>
      </w:pPr>
    </w:p>
    <w:p w14:paraId="151E665C" w14:textId="77777777" w:rsidR="005427AE" w:rsidRPr="00EE75B4" w:rsidRDefault="005427AE" w:rsidP="005427AE">
      <w:pPr>
        <w:spacing w:after="0" w:line="240" w:lineRule="auto"/>
        <w:ind w:left="567" w:hanging="567"/>
        <w:rPr>
          <w:rFonts w:ascii="Times New Roman" w:hAnsi="Times New Roman"/>
          <w:lang w:val="lt-LT"/>
        </w:rPr>
      </w:pPr>
    </w:p>
    <w:p w14:paraId="4A498F51" w14:textId="77777777" w:rsidR="005427AE" w:rsidRPr="00EE75B4" w:rsidRDefault="005427AE" w:rsidP="005427A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lang w:val="lt-LT"/>
        </w:rPr>
      </w:pPr>
      <w:r w:rsidRPr="00EE75B4">
        <w:rPr>
          <w:rFonts w:ascii="Times New Roman" w:hAnsi="Times New Roman"/>
          <w:b/>
          <w:lang w:val="lt-LT"/>
        </w:rPr>
        <w:t>17.</w:t>
      </w:r>
      <w:r w:rsidRPr="00EE75B4">
        <w:rPr>
          <w:rFonts w:ascii="Times New Roman" w:hAnsi="Times New Roman"/>
          <w:b/>
          <w:lang w:val="lt-LT"/>
        </w:rPr>
        <w:tab/>
        <w:t>UNIKALUS IDENTIFIKATORIUS – 2D BRŪKŠNINIS KODAS</w:t>
      </w:r>
    </w:p>
    <w:p w14:paraId="030C039A" w14:textId="77777777" w:rsidR="005427AE" w:rsidRPr="00EE75B4" w:rsidRDefault="005427AE" w:rsidP="005427AE">
      <w:pPr>
        <w:spacing w:after="0" w:line="240" w:lineRule="auto"/>
        <w:rPr>
          <w:rFonts w:ascii="Times New Roman" w:hAnsi="Times New Roman"/>
          <w:lang w:val="lt-LT"/>
        </w:rPr>
      </w:pPr>
    </w:p>
    <w:p w14:paraId="7EF2D101" w14:textId="77777777" w:rsidR="005427AE" w:rsidRPr="00EE75B4" w:rsidRDefault="005427AE" w:rsidP="005427AE">
      <w:pPr>
        <w:spacing w:after="0" w:line="240" w:lineRule="auto"/>
        <w:rPr>
          <w:rFonts w:ascii="Times New Roman" w:hAnsi="Times New Roman"/>
          <w:shd w:val="clear" w:color="auto" w:fill="CCCCCC"/>
          <w:lang w:val="lt-LT"/>
        </w:rPr>
      </w:pPr>
      <w:r w:rsidRPr="00EE75B4">
        <w:rPr>
          <w:rFonts w:ascii="Times New Roman" w:hAnsi="Times New Roman"/>
          <w:lang w:val="lt-LT"/>
        </w:rPr>
        <w:t>2D brūkšninis kodas su nurodytu unikaliu identifikatoriumi.</w:t>
      </w:r>
    </w:p>
    <w:p w14:paraId="44491E0F" w14:textId="77777777" w:rsidR="005427AE" w:rsidRPr="00EE75B4" w:rsidRDefault="005427AE" w:rsidP="005427AE">
      <w:pPr>
        <w:spacing w:after="0" w:line="240" w:lineRule="auto"/>
        <w:ind w:left="567" w:hanging="567"/>
        <w:rPr>
          <w:rFonts w:ascii="Times New Roman" w:hAnsi="Times New Roman"/>
          <w:lang w:val="lt-LT"/>
        </w:rPr>
      </w:pPr>
    </w:p>
    <w:p w14:paraId="4412F83F" w14:textId="77777777" w:rsidR="005427AE" w:rsidRPr="00EE75B4" w:rsidRDefault="005427AE" w:rsidP="005427AE">
      <w:pPr>
        <w:spacing w:after="0" w:line="240" w:lineRule="auto"/>
        <w:ind w:left="567" w:hanging="567"/>
        <w:rPr>
          <w:rFonts w:ascii="Times New Roman" w:hAnsi="Times New Roman"/>
          <w:lang w:val="lt-LT"/>
        </w:rPr>
      </w:pPr>
    </w:p>
    <w:p w14:paraId="26CA57B7" w14:textId="77777777" w:rsidR="005427AE" w:rsidRPr="00EE75B4" w:rsidRDefault="005427AE" w:rsidP="005427A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lang w:val="lt-LT"/>
        </w:rPr>
      </w:pPr>
      <w:r w:rsidRPr="00EE75B4">
        <w:rPr>
          <w:rFonts w:ascii="Times New Roman" w:hAnsi="Times New Roman"/>
          <w:b/>
          <w:lang w:val="lt-LT"/>
        </w:rPr>
        <w:t>18.</w:t>
      </w:r>
      <w:r w:rsidRPr="00EE75B4">
        <w:rPr>
          <w:rFonts w:ascii="Times New Roman" w:hAnsi="Times New Roman"/>
          <w:b/>
          <w:lang w:val="lt-LT"/>
        </w:rPr>
        <w:tab/>
        <w:t>UNIKALUS IDENTIFIKATORIUS – ŽMONĖMS SUPRANTAMI DUOMENYS</w:t>
      </w:r>
    </w:p>
    <w:p w14:paraId="3B93BE41" w14:textId="77777777" w:rsidR="005427AE" w:rsidRPr="00EE75B4" w:rsidRDefault="005427AE" w:rsidP="005427AE">
      <w:pPr>
        <w:spacing w:after="0" w:line="240" w:lineRule="auto"/>
        <w:rPr>
          <w:rFonts w:ascii="Times New Roman" w:hAnsi="Times New Roman"/>
          <w:lang w:val="lt-LT"/>
        </w:rPr>
      </w:pPr>
    </w:p>
    <w:p w14:paraId="2DF694FD"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PC: </w:t>
      </w:r>
    </w:p>
    <w:p w14:paraId="67BE6B6D"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SN: </w:t>
      </w:r>
    </w:p>
    <w:p w14:paraId="0F2C134F"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NN:</w:t>
      </w:r>
    </w:p>
    <w:p w14:paraId="28ED87F4" w14:textId="77777777" w:rsidR="005427AE" w:rsidRPr="00EE75B4" w:rsidRDefault="005427AE">
      <w:pPr>
        <w:rPr>
          <w:rFonts w:ascii="Times New Roman" w:hAnsi="Times New Roman"/>
          <w:lang w:val="lt-LT"/>
        </w:rPr>
      </w:pPr>
      <w:r w:rsidRPr="00EE75B4">
        <w:rPr>
          <w:rFonts w:ascii="Times New Roman" w:hAnsi="Times New Roman"/>
          <w:lang w:val="lt-LT"/>
        </w:rPr>
        <w:br w:type="page"/>
      </w:r>
    </w:p>
    <w:p w14:paraId="3B8575B4" w14:textId="77777777" w:rsidR="005427AE" w:rsidRPr="00EE75B4" w:rsidRDefault="005427AE" w:rsidP="005427AE">
      <w:pPr>
        <w:spacing w:after="0" w:line="240" w:lineRule="auto"/>
        <w:ind w:left="567" w:hanging="567"/>
        <w:rPr>
          <w:rFonts w:ascii="Times New Roman" w:hAnsi="Times New Roman"/>
          <w:lang w:val="lt-LT"/>
        </w:rPr>
      </w:pPr>
    </w:p>
    <w:p w14:paraId="0A0160F9"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val="lt-LT"/>
        </w:rPr>
      </w:pPr>
      <w:r w:rsidRPr="00EE75B4">
        <w:rPr>
          <w:rFonts w:ascii="Times New Roman" w:hAnsi="Times New Roman"/>
          <w:b/>
          <w:caps/>
          <w:lang w:val="lt-LT"/>
        </w:rPr>
        <w:t>Minimali informacija ant LIZDINIŲ PLOKŠTELIŲ ARBA DVISLUOKSNIŲ JUOSTELIŲ</w:t>
      </w:r>
    </w:p>
    <w:p w14:paraId="71F1D71E"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p>
    <w:p w14:paraId="65D68F9C"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Bold" w:hAnsi="Times New Roman Bold"/>
          <w:b/>
          <w:lang w:val="lt-LT"/>
        </w:rPr>
      </w:pPr>
      <w:r w:rsidRPr="00EE75B4">
        <w:rPr>
          <w:rFonts w:ascii="Times New Roman Bold" w:hAnsi="Times New Roman Bold"/>
          <w:b/>
          <w:lang w:val="lt-LT"/>
        </w:rPr>
        <w:t>LIZDINĖ PLOKŠTELĖ</w:t>
      </w:r>
    </w:p>
    <w:p w14:paraId="73503B4B" w14:textId="77777777" w:rsidR="005427AE" w:rsidRPr="00EE75B4" w:rsidRDefault="005427AE" w:rsidP="005427AE">
      <w:pPr>
        <w:spacing w:after="0" w:line="240" w:lineRule="auto"/>
        <w:ind w:left="567" w:hanging="567"/>
        <w:rPr>
          <w:rFonts w:ascii="Times New Roman" w:hAnsi="Times New Roman"/>
          <w:caps/>
          <w:lang w:val="lt-LT"/>
        </w:rPr>
      </w:pPr>
    </w:p>
    <w:p w14:paraId="67FFB477" w14:textId="77777777" w:rsidR="005427AE" w:rsidRPr="00EE75B4" w:rsidRDefault="005427AE" w:rsidP="005427AE">
      <w:pPr>
        <w:spacing w:after="0" w:line="240" w:lineRule="auto"/>
        <w:ind w:left="567" w:hanging="567"/>
        <w:rPr>
          <w:rFonts w:ascii="Times New Roman" w:hAnsi="Times New Roman"/>
          <w:caps/>
          <w:lang w:val="lt-LT"/>
        </w:rPr>
      </w:pPr>
    </w:p>
    <w:p w14:paraId="57BB1BC3"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w:t>
      </w:r>
      <w:r w:rsidRPr="00EE75B4">
        <w:rPr>
          <w:rFonts w:ascii="Times New Roman" w:hAnsi="Times New Roman"/>
          <w:b/>
          <w:caps/>
          <w:lang w:val="lt-LT"/>
        </w:rPr>
        <w:tab/>
        <w:t>Vaistinio preparato pavadinimas</w:t>
      </w:r>
    </w:p>
    <w:p w14:paraId="4024DC36" w14:textId="77777777" w:rsidR="005427AE" w:rsidRPr="00EE75B4" w:rsidRDefault="005427AE" w:rsidP="005427AE">
      <w:pPr>
        <w:spacing w:after="0" w:line="240" w:lineRule="auto"/>
        <w:ind w:left="567" w:hanging="567"/>
        <w:rPr>
          <w:rFonts w:ascii="Times New Roman" w:hAnsi="Times New Roman"/>
          <w:lang w:val="lt-LT"/>
        </w:rPr>
      </w:pPr>
    </w:p>
    <w:p w14:paraId="6120CB52"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tabletės</w:t>
      </w:r>
    </w:p>
    <w:p w14:paraId="42250279" w14:textId="561A892E" w:rsidR="005427AE" w:rsidRPr="00EE75B4" w:rsidRDefault="00F933F3" w:rsidP="005427AE">
      <w:pPr>
        <w:spacing w:after="0" w:line="240" w:lineRule="auto"/>
        <w:ind w:left="567" w:hanging="567"/>
        <w:rPr>
          <w:rFonts w:ascii="Times New Roman" w:hAnsi="Times New Roman"/>
          <w:i/>
          <w:lang w:val="lt-LT"/>
        </w:rPr>
      </w:pPr>
      <w:proofErr w:type="spellStart"/>
      <w:r>
        <w:rPr>
          <w:rFonts w:ascii="Times New Roman" w:hAnsi="Times New Roman"/>
          <w:i/>
          <w:lang w:val="lt-LT"/>
        </w:rPr>
        <w:t>v</w:t>
      </w:r>
      <w:r w:rsidRPr="00EE75B4">
        <w:rPr>
          <w:rFonts w:ascii="Times New Roman" w:hAnsi="Times New Roman"/>
          <w:i/>
          <w:lang w:val="lt-LT"/>
        </w:rPr>
        <w:t>alganciclovirum</w:t>
      </w:r>
      <w:proofErr w:type="spellEnd"/>
    </w:p>
    <w:p w14:paraId="20DCB533" w14:textId="77777777" w:rsidR="005427AE" w:rsidRPr="00EE75B4" w:rsidRDefault="005427AE" w:rsidP="005427AE">
      <w:pPr>
        <w:spacing w:after="0" w:line="240" w:lineRule="auto"/>
        <w:rPr>
          <w:rFonts w:ascii="Times New Roman" w:hAnsi="Times New Roman"/>
          <w:lang w:val="lt-LT"/>
        </w:rPr>
      </w:pPr>
    </w:p>
    <w:p w14:paraId="4E2025D1" w14:textId="77777777" w:rsidR="005427AE" w:rsidRPr="00EE75B4" w:rsidRDefault="005427AE" w:rsidP="005427AE">
      <w:pPr>
        <w:spacing w:after="0" w:line="240" w:lineRule="auto"/>
        <w:rPr>
          <w:rFonts w:ascii="Times New Roman" w:hAnsi="Times New Roman"/>
          <w:lang w:val="lt-LT"/>
        </w:rPr>
      </w:pPr>
    </w:p>
    <w:p w14:paraId="425796EC"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lang w:val="lt-LT"/>
        </w:rPr>
        <w:t>2.</w:t>
      </w:r>
      <w:r w:rsidRPr="00EE75B4">
        <w:rPr>
          <w:rFonts w:ascii="Times New Roman" w:hAnsi="Times New Roman"/>
          <w:b/>
          <w:lang w:val="lt-LT"/>
        </w:rPr>
        <w:tab/>
      </w:r>
      <w:r w:rsidRPr="00EE75B4">
        <w:rPr>
          <w:rFonts w:ascii="Times New Roman" w:hAnsi="Times New Roman"/>
          <w:b/>
          <w:caps/>
          <w:lang w:val="lt-LT"/>
        </w:rPr>
        <w:t>REGISTRUOTOJO PAVADINIMAS</w:t>
      </w:r>
    </w:p>
    <w:p w14:paraId="3545A6F7" w14:textId="77777777" w:rsidR="005427AE" w:rsidRPr="00EE75B4" w:rsidRDefault="005427AE" w:rsidP="005427AE">
      <w:pPr>
        <w:spacing w:after="0" w:line="240" w:lineRule="auto"/>
        <w:ind w:left="567" w:hanging="567"/>
        <w:rPr>
          <w:rFonts w:ascii="Times New Roman" w:hAnsi="Times New Roman"/>
          <w:lang w:val="lt-LT"/>
        </w:rPr>
      </w:pPr>
    </w:p>
    <w:p w14:paraId="4C23134B" w14:textId="77777777" w:rsidR="005427AE" w:rsidRPr="00EE75B4" w:rsidRDefault="005427AE" w:rsidP="005427AE">
      <w:pPr>
        <w:spacing w:after="0" w:line="240" w:lineRule="auto"/>
        <w:ind w:left="567" w:hanging="567"/>
        <w:rPr>
          <w:rFonts w:ascii="Times New Roman" w:hAnsi="Times New Roman"/>
          <w:caps/>
          <w:lang w:val="lt-LT"/>
        </w:rPr>
      </w:pPr>
      <w:proofErr w:type="spellStart"/>
      <w:r w:rsidRPr="00EE75B4">
        <w:rPr>
          <w:rFonts w:ascii="Times New Roman" w:hAnsi="Times New Roman"/>
          <w:lang w:val="lt-LT"/>
        </w:rPr>
        <w:t>Accord</w:t>
      </w:r>
      <w:proofErr w:type="spellEnd"/>
    </w:p>
    <w:p w14:paraId="78A7FB9C" w14:textId="77777777" w:rsidR="005427AE" w:rsidRPr="00EE75B4" w:rsidRDefault="005427AE" w:rsidP="005427AE">
      <w:pPr>
        <w:spacing w:after="0" w:line="240" w:lineRule="auto"/>
        <w:ind w:left="567" w:hanging="567"/>
        <w:rPr>
          <w:rFonts w:ascii="Times New Roman" w:hAnsi="Times New Roman"/>
          <w:caps/>
          <w:lang w:val="lt-LT"/>
        </w:rPr>
      </w:pPr>
    </w:p>
    <w:p w14:paraId="5F6C87EE" w14:textId="77777777" w:rsidR="005427AE" w:rsidRPr="00EE75B4" w:rsidRDefault="005427AE" w:rsidP="005427AE">
      <w:pPr>
        <w:spacing w:after="0" w:line="240" w:lineRule="auto"/>
        <w:ind w:left="567" w:hanging="567"/>
        <w:rPr>
          <w:rFonts w:ascii="Times New Roman" w:hAnsi="Times New Roman"/>
          <w:lang w:val="lt-LT"/>
        </w:rPr>
      </w:pPr>
    </w:p>
    <w:p w14:paraId="61A7A3D4"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lang w:val="lt-LT"/>
        </w:rPr>
        <w:t>3.</w:t>
      </w:r>
      <w:r w:rsidRPr="00EE75B4">
        <w:rPr>
          <w:rFonts w:ascii="Times New Roman" w:hAnsi="Times New Roman"/>
          <w:b/>
          <w:lang w:val="lt-LT"/>
        </w:rPr>
        <w:tab/>
      </w:r>
      <w:r w:rsidRPr="00EE75B4">
        <w:rPr>
          <w:rFonts w:ascii="Times New Roman" w:hAnsi="Times New Roman"/>
          <w:b/>
          <w:caps/>
          <w:lang w:val="lt-LT"/>
        </w:rPr>
        <w:t>tinkamumo laikas</w:t>
      </w:r>
    </w:p>
    <w:p w14:paraId="7744EB35" w14:textId="77777777" w:rsidR="005427AE" w:rsidRPr="00EE75B4" w:rsidRDefault="005427AE" w:rsidP="005427AE">
      <w:pPr>
        <w:spacing w:after="0" w:line="240" w:lineRule="auto"/>
        <w:rPr>
          <w:rFonts w:ascii="Times New Roman" w:hAnsi="Times New Roman"/>
          <w:lang w:val="lt-LT"/>
        </w:rPr>
      </w:pPr>
    </w:p>
    <w:p w14:paraId="2A003F60"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EXP {mm/MMMM}</w:t>
      </w:r>
    </w:p>
    <w:p w14:paraId="668C07BC" w14:textId="77777777" w:rsidR="005427AE" w:rsidRPr="00EE75B4" w:rsidRDefault="005427AE" w:rsidP="005427AE">
      <w:pPr>
        <w:spacing w:after="0" w:line="240" w:lineRule="auto"/>
        <w:ind w:left="567" w:hanging="567"/>
        <w:rPr>
          <w:rFonts w:ascii="Times New Roman" w:hAnsi="Times New Roman"/>
          <w:lang w:val="lt-LT"/>
        </w:rPr>
      </w:pPr>
    </w:p>
    <w:p w14:paraId="2511AA8A" w14:textId="77777777" w:rsidR="005427AE" w:rsidRPr="00EE75B4" w:rsidRDefault="005427AE" w:rsidP="005427AE">
      <w:pPr>
        <w:spacing w:after="0" w:line="240" w:lineRule="auto"/>
        <w:ind w:left="567" w:hanging="567"/>
        <w:rPr>
          <w:rFonts w:ascii="Times New Roman" w:hAnsi="Times New Roman"/>
          <w:lang w:val="lt-LT"/>
        </w:rPr>
      </w:pPr>
    </w:p>
    <w:p w14:paraId="31C8318C"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4.</w:t>
      </w:r>
      <w:r w:rsidRPr="00EE75B4">
        <w:rPr>
          <w:rFonts w:ascii="Times New Roman" w:hAnsi="Times New Roman"/>
          <w:b/>
          <w:caps/>
          <w:lang w:val="lt-LT"/>
        </w:rPr>
        <w:tab/>
        <w:t>serijos numeris</w:t>
      </w:r>
    </w:p>
    <w:p w14:paraId="68219149" w14:textId="77777777" w:rsidR="005427AE" w:rsidRPr="00EE75B4" w:rsidRDefault="005427AE" w:rsidP="005427AE">
      <w:pPr>
        <w:spacing w:after="0" w:line="240" w:lineRule="auto"/>
        <w:ind w:left="567" w:hanging="567"/>
        <w:rPr>
          <w:rFonts w:ascii="Times New Roman" w:hAnsi="Times New Roman"/>
          <w:lang w:val="lt-LT"/>
        </w:rPr>
      </w:pPr>
    </w:p>
    <w:p w14:paraId="6ACF9E05" w14:textId="77777777" w:rsidR="005427AE" w:rsidRPr="00EE75B4" w:rsidRDefault="005427AE" w:rsidP="005427AE">
      <w:pPr>
        <w:spacing w:after="0" w:line="240" w:lineRule="auto"/>
        <w:ind w:left="567" w:hanging="567"/>
        <w:rPr>
          <w:rFonts w:ascii="Times New Roman" w:hAnsi="Times New Roman"/>
          <w:lang w:val="lt-LT"/>
        </w:rPr>
      </w:pPr>
      <w:proofErr w:type="spellStart"/>
      <w:r w:rsidRPr="00EE75B4">
        <w:rPr>
          <w:rFonts w:ascii="Times New Roman" w:hAnsi="Times New Roman"/>
          <w:lang w:val="lt-LT"/>
        </w:rPr>
        <w:t>Lot</w:t>
      </w:r>
      <w:proofErr w:type="spellEnd"/>
    </w:p>
    <w:p w14:paraId="39EE135D" w14:textId="77777777" w:rsidR="005427AE" w:rsidRPr="00EE75B4" w:rsidRDefault="005427AE" w:rsidP="005427AE">
      <w:pPr>
        <w:spacing w:after="0" w:line="240" w:lineRule="auto"/>
        <w:ind w:left="567" w:hanging="567"/>
        <w:rPr>
          <w:rFonts w:ascii="Times New Roman" w:hAnsi="Times New Roman"/>
          <w:lang w:val="lt-LT"/>
        </w:rPr>
      </w:pPr>
    </w:p>
    <w:p w14:paraId="7D699FD6" w14:textId="77777777" w:rsidR="005427AE" w:rsidRPr="00EE75B4" w:rsidRDefault="005427AE" w:rsidP="005427AE">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27AE" w:rsidRPr="00EE75B4" w14:paraId="3EF9B324" w14:textId="77777777" w:rsidTr="00752171">
        <w:tc>
          <w:tcPr>
            <w:tcW w:w="9287" w:type="dxa"/>
          </w:tcPr>
          <w:p w14:paraId="5825D8C4" w14:textId="77777777" w:rsidR="005427AE" w:rsidRPr="00EE75B4" w:rsidRDefault="005427AE" w:rsidP="005427AE">
            <w:pPr>
              <w:tabs>
                <w:tab w:val="left" w:pos="142"/>
              </w:tabs>
              <w:spacing w:after="0" w:line="240" w:lineRule="auto"/>
              <w:ind w:left="567" w:hanging="567"/>
              <w:rPr>
                <w:rFonts w:ascii="Times New Roman" w:hAnsi="Times New Roman"/>
                <w:b/>
                <w:lang w:val="lt-LT"/>
              </w:rPr>
            </w:pPr>
            <w:r w:rsidRPr="00EE75B4">
              <w:rPr>
                <w:rFonts w:ascii="Times New Roman" w:hAnsi="Times New Roman"/>
                <w:b/>
                <w:lang w:val="lt-LT"/>
              </w:rPr>
              <w:t>5.</w:t>
            </w:r>
            <w:r w:rsidRPr="00EE75B4">
              <w:rPr>
                <w:rFonts w:ascii="Times New Roman" w:hAnsi="Times New Roman"/>
                <w:b/>
                <w:lang w:val="lt-LT"/>
              </w:rPr>
              <w:tab/>
              <w:t>KITA</w:t>
            </w:r>
          </w:p>
        </w:tc>
      </w:tr>
    </w:tbl>
    <w:p w14:paraId="0C5A410D" w14:textId="77777777" w:rsidR="005427AE" w:rsidRPr="00EE75B4" w:rsidRDefault="005427AE" w:rsidP="005427AE">
      <w:pPr>
        <w:spacing w:after="0" w:line="240" w:lineRule="auto"/>
        <w:ind w:right="113"/>
        <w:rPr>
          <w:rFonts w:ascii="Times New Roman" w:hAnsi="Times New Roman"/>
          <w:lang w:val="lt-LT"/>
        </w:rPr>
      </w:pPr>
    </w:p>
    <w:p w14:paraId="7D7E4272" w14:textId="77777777" w:rsidR="005427AE" w:rsidRPr="00EE75B4" w:rsidRDefault="005427AE" w:rsidP="005427AE">
      <w:pPr>
        <w:spacing w:after="0" w:line="240" w:lineRule="auto"/>
        <w:ind w:right="113"/>
        <w:rPr>
          <w:rFonts w:ascii="Times New Roman" w:hAnsi="Times New Roman"/>
          <w:lang w:val="lt-LT"/>
        </w:rPr>
      </w:pPr>
    </w:p>
    <w:p w14:paraId="6FC80E7D" w14:textId="77777777" w:rsidR="005427AE" w:rsidRPr="00EE75B4" w:rsidRDefault="005427AE" w:rsidP="005427AE">
      <w:pPr>
        <w:spacing w:after="0" w:line="240" w:lineRule="auto"/>
        <w:ind w:right="113"/>
        <w:rPr>
          <w:rFonts w:ascii="Times New Roman" w:hAnsi="Times New Roman"/>
          <w:lang w:val="lt-LT"/>
        </w:rPr>
      </w:pPr>
      <w:r w:rsidRPr="00EE75B4">
        <w:rPr>
          <w:rFonts w:ascii="Times New Roman" w:hAnsi="Times New Roman"/>
          <w:lang w:val="lt-LT"/>
        </w:rPr>
        <w:br w:type="page"/>
      </w:r>
    </w:p>
    <w:p w14:paraId="68E0D402"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val="lt-LT"/>
        </w:rPr>
      </w:pPr>
      <w:r w:rsidRPr="00EE75B4">
        <w:rPr>
          <w:rFonts w:ascii="Times New Roman" w:hAnsi="Times New Roman"/>
          <w:b/>
          <w:caps/>
          <w:lang w:val="lt-LT"/>
        </w:rPr>
        <w:lastRenderedPageBreak/>
        <w:t xml:space="preserve">Informacija ant </w:t>
      </w:r>
      <w:r w:rsidRPr="00EE75B4">
        <w:rPr>
          <w:rFonts w:ascii="Times New Roman" w:hAnsi="Times New Roman"/>
          <w:b/>
          <w:lang w:val="lt-LT"/>
        </w:rPr>
        <w:t>IŠORINĖS</w:t>
      </w:r>
      <w:r w:rsidRPr="00EE75B4">
        <w:rPr>
          <w:rFonts w:ascii="Times New Roman" w:hAnsi="Times New Roman"/>
          <w:lang w:val="lt-LT"/>
        </w:rPr>
        <w:t xml:space="preserve"> </w:t>
      </w:r>
      <w:r w:rsidRPr="00EE75B4">
        <w:rPr>
          <w:rFonts w:ascii="Times New Roman" w:hAnsi="Times New Roman"/>
          <w:b/>
          <w:caps/>
          <w:lang w:val="lt-LT"/>
        </w:rPr>
        <w:t>pakuotės</w:t>
      </w:r>
    </w:p>
    <w:p w14:paraId="143241A6"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Bold" w:hAnsi="Times New Roman Bold"/>
          <w:lang w:val="lt-LT"/>
        </w:rPr>
      </w:pPr>
    </w:p>
    <w:p w14:paraId="670D2683"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Bold" w:hAnsi="Times New Roman Bold"/>
          <w:b/>
          <w:caps/>
          <w:lang w:val="lt-LT"/>
        </w:rPr>
      </w:pPr>
      <w:r w:rsidRPr="00EE75B4">
        <w:rPr>
          <w:rFonts w:ascii="Times New Roman Bold" w:hAnsi="Times New Roman Bold"/>
          <w:b/>
          <w:lang w:val="lt-LT"/>
        </w:rPr>
        <w:t>KARTONO DĖŽUTĖ (BUTELIUKUI)</w:t>
      </w:r>
    </w:p>
    <w:p w14:paraId="7E8B6C0B" w14:textId="77777777" w:rsidR="005427AE" w:rsidRPr="00EE75B4" w:rsidRDefault="005427AE" w:rsidP="005427AE">
      <w:pPr>
        <w:spacing w:after="0" w:line="240" w:lineRule="auto"/>
        <w:ind w:left="567" w:hanging="567"/>
        <w:rPr>
          <w:rFonts w:ascii="Times New Roman" w:hAnsi="Times New Roman"/>
          <w:lang w:val="lt-LT"/>
        </w:rPr>
      </w:pPr>
    </w:p>
    <w:p w14:paraId="45BCD6E2" w14:textId="77777777" w:rsidR="005427AE" w:rsidRPr="00EE75B4" w:rsidRDefault="005427AE" w:rsidP="005427AE">
      <w:pPr>
        <w:spacing w:after="0" w:line="240" w:lineRule="auto"/>
        <w:ind w:left="567" w:hanging="567"/>
        <w:rPr>
          <w:rFonts w:ascii="Times New Roman" w:hAnsi="Times New Roman"/>
          <w:lang w:val="lt-LT"/>
        </w:rPr>
      </w:pPr>
    </w:p>
    <w:p w14:paraId="788C83B9"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w:t>
      </w:r>
      <w:r w:rsidRPr="00EE75B4">
        <w:rPr>
          <w:rFonts w:ascii="Times New Roman" w:hAnsi="Times New Roman"/>
          <w:b/>
          <w:caps/>
          <w:lang w:val="lt-LT"/>
        </w:rPr>
        <w:tab/>
        <w:t>vaistinio preparato pavadinimas</w:t>
      </w:r>
    </w:p>
    <w:p w14:paraId="41A6586D" w14:textId="77777777" w:rsidR="005427AE" w:rsidRPr="00EE75B4" w:rsidRDefault="005427AE" w:rsidP="005427AE">
      <w:pPr>
        <w:spacing w:after="0" w:line="240" w:lineRule="auto"/>
        <w:ind w:left="567" w:hanging="567"/>
        <w:rPr>
          <w:rFonts w:ascii="Times New Roman" w:hAnsi="Times New Roman"/>
          <w:lang w:val="lt-LT"/>
        </w:rPr>
      </w:pPr>
    </w:p>
    <w:p w14:paraId="259B3021"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plėvele dengtos tabletės</w:t>
      </w:r>
    </w:p>
    <w:p w14:paraId="4D92365B" w14:textId="530D7B75" w:rsidR="005427AE" w:rsidRPr="00EE75B4" w:rsidRDefault="00F933F3" w:rsidP="005427AE">
      <w:pPr>
        <w:spacing w:after="0" w:line="240" w:lineRule="auto"/>
        <w:ind w:left="567" w:hanging="567"/>
        <w:rPr>
          <w:rFonts w:ascii="Times New Roman" w:hAnsi="Times New Roman"/>
          <w:i/>
          <w:lang w:val="lt-LT"/>
        </w:rPr>
      </w:pPr>
      <w:proofErr w:type="spellStart"/>
      <w:r>
        <w:rPr>
          <w:rFonts w:ascii="Times New Roman" w:hAnsi="Times New Roman"/>
          <w:i/>
          <w:lang w:val="lt-LT"/>
        </w:rPr>
        <w:t>v</w:t>
      </w:r>
      <w:r w:rsidRPr="00EE75B4">
        <w:rPr>
          <w:rFonts w:ascii="Times New Roman" w:hAnsi="Times New Roman"/>
          <w:i/>
          <w:lang w:val="lt-LT"/>
        </w:rPr>
        <w:t>alganciclovirum</w:t>
      </w:r>
      <w:proofErr w:type="spellEnd"/>
    </w:p>
    <w:p w14:paraId="7D3C2F20" w14:textId="77777777" w:rsidR="005427AE" w:rsidRPr="00EE75B4" w:rsidRDefault="005427AE" w:rsidP="005427AE">
      <w:pPr>
        <w:spacing w:after="0" w:line="240" w:lineRule="auto"/>
        <w:ind w:left="567" w:hanging="567"/>
        <w:rPr>
          <w:rFonts w:ascii="Times New Roman" w:hAnsi="Times New Roman"/>
          <w:lang w:val="lt-LT"/>
        </w:rPr>
      </w:pPr>
    </w:p>
    <w:p w14:paraId="08E8D850" w14:textId="77777777" w:rsidR="005427AE" w:rsidRPr="00EE75B4" w:rsidRDefault="005427AE" w:rsidP="005427AE">
      <w:pPr>
        <w:spacing w:after="0" w:line="240" w:lineRule="auto"/>
        <w:ind w:left="567" w:hanging="567"/>
        <w:rPr>
          <w:rFonts w:ascii="Times New Roman" w:hAnsi="Times New Roman"/>
          <w:lang w:val="lt-LT"/>
        </w:rPr>
      </w:pPr>
    </w:p>
    <w:p w14:paraId="67BF27F0"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2.</w:t>
      </w:r>
      <w:r w:rsidRPr="00EE75B4">
        <w:rPr>
          <w:rFonts w:ascii="Times New Roman" w:hAnsi="Times New Roman"/>
          <w:b/>
          <w:caps/>
          <w:lang w:val="lt-LT"/>
        </w:rPr>
        <w:tab/>
        <w:t>veikliOJI medžiagA ir JOS kiekis</w:t>
      </w:r>
    </w:p>
    <w:p w14:paraId="2B6C08D7" w14:textId="77777777" w:rsidR="005427AE" w:rsidRPr="00EE75B4" w:rsidRDefault="005427AE" w:rsidP="005427AE">
      <w:pPr>
        <w:spacing w:after="0" w:line="240" w:lineRule="auto"/>
        <w:ind w:left="567" w:hanging="567"/>
        <w:rPr>
          <w:rFonts w:ascii="Times New Roman" w:hAnsi="Times New Roman"/>
          <w:caps/>
          <w:lang w:val="lt-LT"/>
        </w:rPr>
      </w:pPr>
    </w:p>
    <w:p w14:paraId="6A9BF419"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Kiekvienoje plėvele dengtoje tabletėje yra 496,3 mg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hidrochlorido, atitinkančio 450 mg </w:t>
      </w:r>
      <w:proofErr w:type="spellStart"/>
      <w:r w:rsidRPr="00EE75B4">
        <w:rPr>
          <w:rFonts w:ascii="Times New Roman" w:hAnsi="Times New Roman"/>
          <w:lang w:val="lt-LT"/>
        </w:rPr>
        <w:t>valgancikloviro</w:t>
      </w:r>
      <w:proofErr w:type="spellEnd"/>
      <w:r w:rsidRPr="00EE75B4">
        <w:rPr>
          <w:rFonts w:ascii="Times New Roman" w:hAnsi="Times New Roman"/>
          <w:lang w:val="lt-LT"/>
        </w:rPr>
        <w:t>.</w:t>
      </w:r>
    </w:p>
    <w:p w14:paraId="7BF054AC" w14:textId="77777777" w:rsidR="005427AE" w:rsidRPr="00EE75B4" w:rsidRDefault="005427AE" w:rsidP="005427AE">
      <w:pPr>
        <w:spacing w:after="0" w:line="240" w:lineRule="auto"/>
        <w:ind w:left="567" w:hanging="567"/>
        <w:rPr>
          <w:rFonts w:ascii="Times New Roman" w:hAnsi="Times New Roman"/>
          <w:caps/>
          <w:lang w:val="lt-LT"/>
        </w:rPr>
      </w:pPr>
    </w:p>
    <w:p w14:paraId="4DED3269" w14:textId="77777777" w:rsidR="005427AE" w:rsidRPr="00EE75B4" w:rsidRDefault="005427AE" w:rsidP="005427AE">
      <w:pPr>
        <w:spacing w:after="0" w:line="240" w:lineRule="auto"/>
        <w:ind w:left="567" w:hanging="567"/>
        <w:rPr>
          <w:rFonts w:ascii="Times New Roman" w:hAnsi="Times New Roman"/>
          <w:caps/>
          <w:lang w:val="lt-LT"/>
        </w:rPr>
      </w:pPr>
    </w:p>
    <w:p w14:paraId="1FB3BD97"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3.</w:t>
      </w:r>
      <w:r w:rsidRPr="00EE75B4">
        <w:rPr>
          <w:rFonts w:ascii="Times New Roman" w:hAnsi="Times New Roman"/>
          <w:b/>
          <w:caps/>
          <w:lang w:val="lt-LT"/>
        </w:rPr>
        <w:tab/>
        <w:t>pagalbinių medžiagų sąrašas</w:t>
      </w:r>
    </w:p>
    <w:p w14:paraId="4D7CFC5B" w14:textId="77777777" w:rsidR="005427AE" w:rsidRPr="00EE75B4" w:rsidRDefault="005427AE" w:rsidP="005427AE">
      <w:pPr>
        <w:spacing w:after="0" w:line="240" w:lineRule="auto"/>
        <w:rPr>
          <w:rFonts w:ascii="Times New Roman" w:hAnsi="Times New Roman"/>
          <w:caps/>
          <w:lang w:val="lt-LT"/>
        </w:rPr>
      </w:pPr>
    </w:p>
    <w:p w14:paraId="4EEA193B" w14:textId="77777777" w:rsidR="005427AE" w:rsidRPr="00EE75B4" w:rsidRDefault="005427AE" w:rsidP="005427AE">
      <w:pPr>
        <w:spacing w:after="0" w:line="240" w:lineRule="auto"/>
        <w:rPr>
          <w:rFonts w:ascii="Times New Roman" w:hAnsi="Times New Roman"/>
          <w:caps/>
          <w:lang w:val="lt-LT"/>
        </w:rPr>
      </w:pPr>
    </w:p>
    <w:p w14:paraId="05D6D50A"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4.</w:t>
      </w:r>
      <w:r w:rsidRPr="00EE75B4">
        <w:rPr>
          <w:rFonts w:ascii="Times New Roman" w:hAnsi="Times New Roman"/>
          <w:b/>
          <w:caps/>
          <w:lang w:val="lt-LT"/>
        </w:rPr>
        <w:tab/>
        <w:t>FARMACINĖ forma ir KIEKIS PAKUOTĖJE</w:t>
      </w:r>
    </w:p>
    <w:p w14:paraId="1DB783A0" w14:textId="77777777" w:rsidR="005427AE" w:rsidRPr="00EE75B4" w:rsidRDefault="005427AE" w:rsidP="005427AE">
      <w:pPr>
        <w:spacing w:after="0" w:line="240" w:lineRule="auto"/>
        <w:ind w:left="567" w:hanging="567"/>
        <w:rPr>
          <w:rFonts w:ascii="Times New Roman" w:hAnsi="Times New Roman"/>
          <w:caps/>
          <w:lang w:val="lt-LT"/>
        </w:rPr>
      </w:pPr>
    </w:p>
    <w:p w14:paraId="2441644C"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Plėvele dengta tabletė</w:t>
      </w:r>
    </w:p>
    <w:p w14:paraId="7BB182E9"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60 plėvele dengtų tablečių</w:t>
      </w:r>
    </w:p>
    <w:p w14:paraId="63F81389" w14:textId="77777777" w:rsidR="005427AE" w:rsidRPr="00EE75B4" w:rsidRDefault="005427AE" w:rsidP="005427AE">
      <w:pPr>
        <w:spacing w:after="0" w:line="240" w:lineRule="auto"/>
        <w:ind w:left="567" w:hanging="567"/>
        <w:rPr>
          <w:rFonts w:ascii="Times New Roman" w:hAnsi="Times New Roman"/>
          <w:lang w:val="lt-LT"/>
        </w:rPr>
      </w:pPr>
    </w:p>
    <w:p w14:paraId="3F126861" w14:textId="77777777" w:rsidR="005427AE" w:rsidRPr="00EE75B4" w:rsidRDefault="005427AE" w:rsidP="005427AE">
      <w:pPr>
        <w:spacing w:after="0" w:line="240" w:lineRule="auto"/>
        <w:ind w:left="567" w:hanging="567"/>
        <w:rPr>
          <w:rFonts w:ascii="Times New Roman" w:hAnsi="Times New Roman"/>
          <w:lang w:val="lt-LT"/>
        </w:rPr>
      </w:pPr>
    </w:p>
    <w:p w14:paraId="403B2383"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5.</w:t>
      </w:r>
      <w:r w:rsidRPr="00EE75B4">
        <w:rPr>
          <w:rFonts w:ascii="Times New Roman" w:hAnsi="Times New Roman"/>
          <w:b/>
          <w:caps/>
          <w:lang w:val="lt-LT"/>
        </w:rPr>
        <w:tab/>
        <w:t>vartojimo METODAS IR būdas (-Ai)</w:t>
      </w:r>
    </w:p>
    <w:p w14:paraId="37CE1D00" w14:textId="77777777" w:rsidR="005427AE" w:rsidRPr="00EE75B4" w:rsidRDefault="005427AE" w:rsidP="005427AE">
      <w:pPr>
        <w:spacing w:after="0" w:line="240" w:lineRule="auto"/>
        <w:ind w:left="567" w:hanging="567"/>
        <w:rPr>
          <w:rFonts w:ascii="Times New Roman" w:hAnsi="Times New Roman"/>
          <w:caps/>
          <w:lang w:val="lt-LT"/>
        </w:rPr>
      </w:pPr>
    </w:p>
    <w:p w14:paraId="793B5C9E"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Vartoti per burną.</w:t>
      </w:r>
    </w:p>
    <w:p w14:paraId="755D0E82"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Prieš vartojimą perskaitykite pakuotės lapelį.</w:t>
      </w:r>
    </w:p>
    <w:p w14:paraId="0E028DD6" w14:textId="77777777" w:rsidR="005427AE" w:rsidRPr="00EE75B4" w:rsidRDefault="005427AE" w:rsidP="005427AE">
      <w:pPr>
        <w:spacing w:after="0" w:line="240" w:lineRule="auto"/>
        <w:ind w:left="567" w:hanging="567"/>
        <w:rPr>
          <w:rFonts w:ascii="Times New Roman" w:hAnsi="Times New Roman"/>
          <w:caps/>
          <w:lang w:val="lt-LT"/>
        </w:rPr>
      </w:pPr>
    </w:p>
    <w:p w14:paraId="130800EB" w14:textId="77777777" w:rsidR="005427AE" w:rsidRPr="00EE75B4" w:rsidRDefault="005427AE" w:rsidP="005427AE">
      <w:pPr>
        <w:spacing w:after="0" w:line="240" w:lineRule="auto"/>
        <w:ind w:left="567" w:hanging="567"/>
        <w:rPr>
          <w:rFonts w:ascii="Times New Roman" w:hAnsi="Times New Roman"/>
          <w:caps/>
          <w:lang w:val="lt-LT"/>
        </w:rPr>
      </w:pPr>
    </w:p>
    <w:p w14:paraId="3517F75C"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6.</w:t>
      </w:r>
      <w:r w:rsidRPr="00EE75B4">
        <w:rPr>
          <w:rFonts w:ascii="Times New Roman" w:hAnsi="Times New Roman"/>
          <w:b/>
          <w:caps/>
          <w:lang w:val="lt-LT"/>
        </w:rPr>
        <w:tab/>
        <w:t>SPECIALUS Įspėjimas</w:t>
      </w:r>
      <w:r w:rsidRPr="00EE75B4">
        <w:rPr>
          <w:rFonts w:ascii="Times New Roman" w:hAnsi="Times New Roman"/>
          <w:lang w:val="lt-LT"/>
        </w:rPr>
        <w:t xml:space="preserve">, </w:t>
      </w:r>
      <w:r w:rsidRPr="00EE75B4">
        <w:rPr>
          <w:rFonts w:ascii="Times New Roman" w:hAnsi="Times New Roman"/>
          <w:b/>
          <w:lang w:val="lt-LT"/>
        </w:rPr>
        <w:t xml:space="preserve">KAD VAISTINĮ PREPARATĄ BŪTINA LAIKYTI </w:t>
      </w:r>
      <w:r w:rsidRPr="00EE75B4">
        <w:rPr>
          <w:rFonts w:ascii="Times New Roman" w:hAnsi="Times New Roman"/>
          <w:b/>
          <w:caps/>
          <w:lang w:val="lt-LT"/>
        </w:rPr>
        <w:t>vaikams NEPASTEBIMOJE IR nepasiekiamoje vietoje</w:t>
      </w:r>
    </w:p>
    <w:p w14:paraId="737962E7" w14:textId="77777777" w:rsidR="005427AE" w:rsidRPr="00EE75B4" w:rsidRDefault="005427AE" w:rsidP="005427AE">
      <w:pPr>
        <w:spacing w:after="0" w:line="240" w:lineRule="auto"/>
        <w:ind w:left="567" w:hanging="567"/>
        <w:rPr>
          <w:rFonts w:ascii="Times New Roman" w:hAnsi="Times New Roman"/>
          <w:lang w:val="lt-LT"/>
        </w:rPr>
      </w:pPr>
    </w:p>
    <w:p w14:paraId="12D439FF"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Laikyti vaikams nepastebimoje ir nepasiekiamoje vietoje.</w:t>
      </w:r>
    </w:p>
    <w:p w14:paraId="72C1ABB3" w14:textId="77777777" w:rsidR="005427AE" w:rsidRPr="00EE75B4" w:rsidRDefault="005427AE" w:rsidP="005427AE">
      <w:pPr>
        <w:spacing w:after="0" w:line="240" w:lineRule="auto"/>
        <w:ind w:left="567" w:hanging="567"/>
        <w:rPr>
          <w:rFonts w:ascii="Times New Roman" w:hAnsi="Times New Roman"/>
          <w:lang w:val="lt-LT"/>
        </w:rPr>
      </w:pPr>
    </w:p>
    <w:p w14:paraId="0AE4D77C" w14:textId="77777777" w:rsidR="005427AE" w:rsidRPr="00EE75B4" w:rsidRDefault="005427AE" w:rsidP="005427AE">
      <w:pPr>
        <w:spacing w:after="0" w:line="240" w:lineRule="auto"/>
        <w:ind w:left="567" w:hanging="567"/>
        <w:rPr>
          <w:rFonts w:ascii="Times New Roman" w:hAnsi="Times New Roman"/>
          <w:lang w:val="lt-LT"/>
        </w:rPr>
      </w:pPr>
    </w:p>
    <w:p w14:paraId="082B616E"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7.</w:t>
      </w:r>
      <w:r w:rsidRPr="00EE75B4">
        <w:rPr>
          <w:rFonts w:ascii="Times New Roman" w:hAnsi="Times New Roman"/>
          <w:b/>
          <w:caps/>
          <w:lang w:val="lt-LT"/>
        </w:rPr>
        <w:tab/>
        <w:t>kitas (-I) specialus (-ŪS) Įspėjimas (-AI) (jei reikia)</w:t>
      </w:r>
    </w:p>
    <w:p w14:paraId="034560FA" w14:textId="77777777" w:rsidR="005427AE" w:rsidRPr="00EE75B4" w:rsidRDefault="005427AE" w:rsidP="005427AE">
      <w:pPr>
        <w:spacing w:after="0" w:line="240" w:lineRule="auto"/>
        <w:ind w:left="567" w:hanging="567"/>
        <w:rPr>
          <w:rFonts w:ascii="Times New Roman" w:hAnsi="Times New Roman"/>
          <w:caps/>
          <w:lang w:val="lt-LT"/>
        </w:rPr>
      </w:pPr>
    </w:p>
    <w:p w14:paraId="17A60A26"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Tabletės negalima laužyti ar smulkinti.</w:t>
      </w:r>
    </w:p>
    <w:p w14:paraId="57E0178B" w14:textId="77777777" w:rsidR="005427AE" w:rsidRPr="00EE75B4" w:rsidRDefault="005427AE" w:rsidP="005427AE">
      <w:pPr>
        <w:spacing w:after="0" w:line="240" w:lineRule="auto"/>
        <w:ind w:left="567" w:hanging="567"/>
        <w:rPr>
          <w:rFonts w:ascii="Times New Roman" w:hAnsi="Times New Roman"/>
          <w:caps/>
          <w:lang w:val="lt-LT"/>
        </w:rPr>
      </w:pPr>
    </w:p>
    <w:p w14:paraId="4AF401C4" w14:textId="77777777" w:rsidR="005427AE" w:rsidRPr="00EE75B4" w:rsidRDefault="005427AE" w:rsidP="005427AE">
      <w:pPr>
        <w:spacing w:after="0" w:line="240" w:lineRule="auto"/>
        <w:ind w:left="567" w:hanging="567"/>
        <w:rPr>
          <w:rFonts w:ascii="Times New Roman" w:hAnsi="Times New Roman"/>
          <w:caps/>
          <w:lang w:val="lt-LT"/>
        </w:rPr>
      </w:pPr>
    </w:p>
    <w:p w14:paraId="0DF4A6FB"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8.</w:t>
      </w:r>
      <w:r w:rsidRPr="00EE75B4">
        <w:rPr>
          <w:rFonts w:ascii="Times New Roman" w:hAnsi="Times New Roman"/>
          <w:b/>
          <w:caps/>
          <w:lang w:val="lt-LT"/>
        </w:rPr>
        <w:tab/>
        <w:t>tinkamumo laikas</w:t>
      </w:r>
    </w:p>
    <w:p w14:paraId="7DB69870" w14:textId="77777777" w:rsidR="005427AE" w:rsidRPr="00EE75B4" w:rsidRDefault="005427AE" w:rsidP="005427AE">
      <w:pPr>
        <w:spacing w:after="0" w:line="240" w:lineRule="auto"/>
        <w:ind w:left="567" w:hanging="567"/>
        <w:rPr>
          <w:rFonts w:ascii="Times New Roman" w:hAnsi="Times New Roman"/>
          <w:lang w:val="lt-LT"/>
        </w:rPr>
      </w:pPr>
    </w:p>
    <w:p w14:paraId="6102F5CC" w14:textId="474617DD" w:rsidR="005427AE" w:rsidRPr="00EE75B4" w:rsidRDefault="00764A14" w:rsidP="005427AE">
      <w:pPr>
        <w:spacing w:after="0" w:line="240" w:lineRule="auto"/>
        <w:ind w:left="567" w:hanging="567"/>
        <w:rPr>
          <w:rFonts w:ascii="Times New Roman" w:hAnsi="Times New Roman"/>
          <w:lang w:val="lt-LT"/>
        </w:rPr>
      </w:pPr>
      <w:r>
        <w:rPr>
          <w:rFonts w:ascii="Times New Roman" w:hAnsi="Times New Roman"/>
          <w:lang w:val="lt-LT"/>
        </w:rPr>
        <w:t>EXP</w:t>
      </w:r>
      <w:r w:rsidR="005427AE" w:rsidRPr="00EE75B4">
        <w:rPr>
          <w:rFonts w:ascii="Times New Roman" w:hAnsi="Times New Roman"/>
          <w:lang w:val="lt-LT"/>
        </w:rPr>
        <w:t xml:space="preserve"> {mm/MMMM}</w:t>
      </w:r>
    </w:p>
    <w:p w14:paraId="499C8FB7" w14:textId="77777777" w:rsidR="005427AE" w:rsidRPr="00EE75B4" w:rsidRDefault="005427AE" w:rsidP="005427AE">
      <w:pPr>
        <w:spacing w:after="0" w:line="240" w:lineRule="auto"/>
        <w:ind w:left="567" w:hanging="567"/>
        <w:rPr>
          <w:rFonts w:ascii="Times New Roman" w:hAnsi="Times New Roman"/>
          <w:lang w:val="lt-LT"/>
        </w:rPr>
      </w:pPr>
    </w:p>
    <w:p w14:paraId="16423BF2" w14:textId="77777777" w:rsidR="005427AE" w:rsidRPr="00EE75B4" w:rsidRDefault="005427AE" w:rsidP="005427AE">
      <w:pPr>
        <w:spacing w:after="0" w:line="240" w:lineRule="auto"/>
        <w:ind w:left="567" w:hanging="567"/>
        <w:rPr>
          <w:rFonts w:ascii="Times New Roman" w:hAnsi="Times New Roman"/>
          <w:lang w:val="lt-LT"/>
        </w:rPr>
      </w:pPr>
    </w:p>
    <w:p w14:paraId="06026BF0"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9.</w:t>
      </w:r>
      <w:r w:rsidRPr="00EE75B4">
        <w:rPr>
          <w:rFonts w:ascii="Times New Roman" w:hAnsi="Times New Roman"/>
          <w:b/>
          <w:caps/>
          <w:lang w:val="lt-LT"/>
        </w:rPr>
        <w:tab/>
        <w:t>SPECIALIOS laikymo sąlygos</w:t>
      </w:r>
    </w:p>
    <w:p w14:paraId="25F3926F" w14:textId="77777777" w:rsidR="005427AE" w:rsidRPr="00EE75B4" w:rsidRDefault="005427AE" w:rsidP="005427AE">
      <w:pPr>
        <w:spacing w:after="0" w:line="240" w:lineRule="auto"/>
        <w:rPr>
          <w:rFonts w:ascii="Times New Roman" w:hAnsi="Times New Roman"/>
          <w:lang w:val="lt-LT"/>
        </w:rPr>
      </w:pPr>
    </w:p>
    <w:p w14:paraId="0C45614D" w14:textId="77777777" w:rsidR="005427AE" w:rsidRPr="00EE75B4" w:rsidRDefault="005427AE" w:rsidP="005427AE">
      <w:pPr>
        <w:spacing w:after="0" w:line="240" w:lineRule="auto"/>
        <w:ind w:left="567" w:hanging="567"/>
        <w:rPr>
          <w:rFonts w:ascii="Times New Roman" w:hAnsi="Times New Roman"/>
          <w:lang w:val="lt-LT"/>
        </w:rPr>
      </w:pPr>
    </w:p>
    <w:p w14:paraId="5CB28A8E"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10.</w:t>
      </w:r>
      <w:r w:rsidRPr="00EE75B4">
        <w:rPr>
          <w:rFonts w:ascii="Times New Roman" w:hAnsi="Times New Roman"/>
          <w:b/>
          <w:caps/>
          <w:lang w:val="lt-LT"/>
        </w:rPr>
        <w:tab/>
        <w:t xml:space="preserve">specialios atsargumo priemonės </w:t>
      </w:r>
      <w:r w:rsidRPr="00EE75B4">
        <w:rPr>
          <w:rFonts w:ascii="Times New Roman" w:hAnsi="Times New Roman"/>
          <w:b/>
          <w:lang w:val="lt-LT"/>
        </w:rPr>
        <w:t>DĖL NESUVARTOTO VAISTINIO PREPARATO AR JO ATLIEKŲ TVARKYMO</w:t>
      </w:r>
      <w:r w:rsidRPr="00EE75B4">
        <w:rPr>
          <w:rFonts w:ascii="Times New Roman" w:hAnsi="Times New Roman"/>
          <w:b/>
          <w:caps/>
          <w:lang w:val="lt-LT"/>
        </w:rPr>
        <w:t xml:space="preserve"> (jei reikia)</w:t>
      </w:r>
    </w:p>
    <w:p w14:paraId="487A63A5" w14:textId="77777777" w:rsidR="005427AE" w:rsidRPr="00EE75B4" w:rsidRDefault="005427AE" w:rsidP="005427AE">
      <w:pPr>
        <w:spacing w:after="0" w:line="240" w:lineRule="auto"/>
        <w:ind w:left="567" w:hanging="567"/>
        <w:rPr>
          <w:rFonts w:ascii="Times New Roman" w:hAnsi="Times New Roman"/>
          <w:caps/>
          <w:lang w:val="lt-LT"/>
        </w:rPr>
      </w:pPr>
    </w:p>
    <w:p w14:paraId="1A4D86A9" w14:textId="77777777" w:rsidR="005427AE" w:rsidRPr="00EE75B4" w:rsidRDefault="005427AE" w:rsidP="005427AE">
      <w:pPr>
        <w:spacing w:after="0" w:line="240" w:lineRule="auto"/>
        <w:ind w:left="567" w:hanging="567"/>
        <w:rPr>
          <w:rFonts w:ascii="Times New Roman" w:hAnsi="Times New Roman"/>
          <w:caps/>
          <w:lang w:val="lt-LT"/>
        </w:rPr>
      </w:pPr>
    </w:p>
    <w:p w14:paraId="2B33D371"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11.</w:t>
      </w:r>
      <w:r w:rsidRPr="00EE75B4">
        <w:rPr>
          <w:rFonts w:ascii="Times New Roman" w:hAnsi="Times New Roman"/>
          <w:b/>
          <w:caps/>
          <w:lang w:val="lt-LT"/>
        </w:rPr>
        <w:tab/>
      </w:r>
      <w:r w:rsidRPr="00EE75B4">
        <w:rPr>
          <w:rFonts w:ascii="Times New Roman" w:hAnsi="Times New Roman"/>
          <w:b/>
          <w:lang w:val="lt-LT"/>
        </w:rPr>
        <w:t>REGISTRUOTOJO PAVADINIMAS IR ADRESAS</w:t>
      </w:r>
    </w:p>
    <w:p w14:paraId="7E436BEA" w14:textId="77777777" w:rsidR="005427AE" w:rsidRPr="00EE75B4" w:rsidRDefault="005427AE" w:rsidP="005427AE">
      <w:pPr>
        <w:spacing w:after="0" w:line="240" w:lineRule="auto"/>
        <w:ind w:left="567" w:hanging="567"/>
        <w:rPr>
          <w:rFonts w:ascii="Times New Roman" w:hAnsi="Times New Roman"/>
          <w:caps/>
          <w:lang w:val="lt-LT"/>
        </w:rPr>
      </w:pPr>
    </w:p>
    <w:p w14:paraId="772B4B05" w14:textId="77777777" w:rsidR="002A306B" w:rsidRPr="00EE75B4" w:rsidRDefault="002A306B" w:rsidP="002A306B">
      <w:pPr>
        <w:spacing w:after="0" w:line="240" w:lineRule="auto"/>
        <w:rPr>
          <w:rFonts w:ascii="Times New Roman" w:hAnsi="Times New Roman"/>
          <w:lang w:val="lt-LT"/>
        </w:rPr>
      </w:pP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w:t>
      </w:r>
      <w:proofErr w:type="spellStart"/>
      <w:r w:rsidRPr="00EE75B4">
        <w:rPr>
          <w:rFonts w:ascii="Times New Roman" w:hAnsi="Times New Roman"/>
          <w:lang w:val="lt-LT"/>
        </w:rPr>
        <w:t>Healthcare</w:t>
      </w:r>
      <w:proofErr w:type="spellEnd"/>
      <w:r w:rsidRPr="00EE75B4">
        <w:rPr>
          <w:rFonts w:ascii="Times New Roman" w:hAnsi="Times New Roman"/>
          <w:lang w:val="lt-LT"/>
        </w:rPr>
        <w:t xml:space="preserve"> B.V. </w:t>
      </w:r>
    </w:p>
    <w:p w14:paraId="52E9E89D" w14:textId="77777777" w:rsidR="002A306B" w:rsidRPr="00EE75B4" w:rsidRDefault="002A306B" w:rsidP="002A306B">
      <w:pPr>
        <w:spacing w:after="0" w:line="240" w:lineRule="auto"/>
        <w:rPr>
          <w:rFonts w:ascii="Times New Roman" w:hAnsi="Times New Roman"/>
          <w:lang w:val="lt-LT"/>
        </w:rPr>
      </w:pPr>
      <w:proofErr w:type="spellStart"/>
      <w:r w:rsidRPr="00EE75B4">
        <w:rPr>
          <w:rFonts w:ascii="Times New Roman" w:hAnsi="Times New Roman"/>
          <w:lang w:val="lt-LT"/>
        </w:rPr>
        <w:t>Winthontlaan</w:t>
      </w:r>
      <w:proofErr w:type="spellEnd"/>
      <w:r w:rsidRPr="00EE75B4">
        <w:rPr>
          <w:rFonts w:ascii="Times New Roman" w:hAnsi="Times New Roman"/>
          <w:lang w:val="lt-LT"/>
        </w:rPr>
        <w:t xml:space="preserve"> 200 </w:t>
      </w:r>
    </w:p>
    <w:p w14:paraId="728DBB27" w14:textId="77777777" w:rsidR="002A306B" w:rsidRPr="00EE75B4" w:rsidRDefault="002A306B" w:rsidP="002A306B">
      <w:pPr>
        <w:spacing w:after="0" w:line="240" w:lineRule="auto"/>
        <w:rPr>
          <w:rFonts w:ascii="Times New Roman" w:hAnsi="Times New Roman"/>
          <w:lang w:val="lt-LT"/>
        </w:rPr>
      </w:pPr>
      <w:r w:rsidRPr="00EE75B4">
        <w:rPr>
          <w:rFonts w:ascii="Times New Roman" w:hAnsi="Times New Roman"/>
          <w:lang w:val="lt-LT"/>
        </w:rPr>
        <w:t xml:space="preserve">3526 KV </w:t>
      </w:r>
      <w:proofErr w:type="spellStart"/>
      <w:r w:rsidRPr="00EE75B4">
        <w:rPr>
          <w:rFonts w:ascii="Times New Roman" w:hAnsi="Times New Roman"/>
          <w:lang w:val="lt-LT"/>
        </w:rPr>
        <w:t>Utrecht</w:t>
      </w:r>
      <w:proofErr w:type="spellEnd"/>
      <w:r w:rsidRPr="00EE75B4">
        <w:rPr>
          <w:rFonts w:ascii="Times New Roman" w:hAnsi="Times New Roman"/>
          <w:lang w:val="lt-LT"/>
        </w:rPr>
        <w:t xml:space="preserve"> </w:t>
      </w:r>
    </w:p>
    <w:p w14:paraId="4251CB7E" w14:textId="77777777" w:rsidR="002A306B" w:rsidRPr="00EE75B4" w:rsidRDefault="002A306B" w:rsidP="002A306B">
      <w:pPr>
        <w:spacing w:after="0" w:line="240" w:lineRule="auto"/>
        <w:rPr>
          <w:rFonts w:ascii="Times New Roman" w:hAnsi="Times New Roman"/>
          <w:lang w:val="lt-LT"/>
        </w:rPr>
      </w:pPr>
      <w:r w:rsidRPr="00EE75B4">
        <w:rPr>
          <w:rFonts w:ascii="Times New Roman" w:hAnsi="Times New Roman"/>
          <w:lang w:val="lt-LT"/>
        </w:rPr>
        <w:t>Nyderlandai</w:t>
      </w:r>
    </w:p>
    <w:p w14:paraId="2D54DB23" w14:textId="77777777" w:rsidR="005427AE" w:rsidRPr="00EE75B4" w:rsidRDefault="005427AE" w:rsidP="005427AE">
      <w:pPr>
        <w:spacing w:after="0" w:line="240" w:lineRule="auto"/>
        <w:ind w:left="567" w:hanging="567"/>
        <w:rPr>
          <w:rFonts w:ascii="Times New Roman" w:hAnsi="Times New Roman"/>
          <w:caps/>
          <w:lang w:val="lt-LT"/>
        </w:rPr>
      </w:pPr>
    </w:p>
    <w:p w14:paraId="2B6794E6" w14:textId="77777777" w:rsidR="005427AE" w:rsidRPr="00EE75B4" w:rsidRDefault="005427AE" w:rsidP="005427AE">
      <w:pPr>
        <w:spacing w:after="0" w:line="240" w:lineRule="auto"/>
        <w:ind w:left="567" w:hanging="567"/>
        <w:rPr>
          <w:rFonts w:ascii="Times New Roman" w:hAnsi="Times New Roman"/>
          <w:caps/>
          <w:lang w:val="lt-LT"/>
        </w:rPr>
      </w:pPr>
    </w:p>
    <w:p w14:paraId="3FC80476"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12.</w:t>
      </w:r>
      <w:r w:rsidRPr="00EE75B4">
        <w:rPr>
          <w:rFonts w:ascii="Times New Roman" w:hAnsi="Times New Roman"/>
          <w:b/>
          <w:caps/>
          <w:lang w:val="lt-LT"/>
        </w:rPr>
        <w:tab/>
      </w:r>
      <w:r w:rsidRPr="00EE75B4">
        <w:rPr>
          <w:rFonts w:ascii="Times New Roman" w:hAnsi="Times New Roman"/>
          <w:b/>
          <w:lang w:val="lt-LT"/>
        </w:rPr>
        <w:t>REGISTRACIJOS PAŽYMĖJIMO NUMERIS (-IAI)</w:t>
      </w:r>
    </w:p>
    <w:p w14:paraId="775FF296" w14:textId="77777777" w:rsidR="005427AE" w:rsidRPr="00EE75B4" w:rsidRDefault="005427AE" w:rsidP="005427AE">
      <w:pPr>
        <w:spacing w:after="0" w:line="240" w:lineRule="auto"/>
        <w:ind w:left="567" w:hanging="567"/>
        <w:rPr>
          <w:rFonts w:ascii="Times New Roman" w:hAnsi="Times New Roman"/>
          <w:lang w:val="lt-LT"/>
        </w:rPr>
      </w:pPr>
    </w:p>
    <w:p w14:paraId="36EA6EE3"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LT/1/16/3914/002</w:t>
      </w:r>
    </w:p>
    <w:p w14:paraId="5AACC0D2" w14:textId="77777777" w:rsidR="005427AE" w:rsidRPr="00EE75B4" w:rsidRDefault="005427AE" w:rsidP="005427AE">
      <w:pPr>
        <w:spacing w:after="0" w:line="240" w:lineRule="auto"/>
        <w:ind w:left="567" w:hanging="567"/>
        <w:rPr>
          <w:rFonts w:ascii="Times New Roman" w:hAnsi="Times New Roman"/>
          <w:lang w:val="lt-LT"/>
        </w:rPr>
      </w:pPr>
    </w:p>
    <w:p w14:paraId="306E27A2" w14:textId="77777777" w:rsidR="005427AE" w:rsidRPr="00EE75B4" w:rsidRDefault="005427AE" w:rsidP="005427AE">
      <w:pPr>
        <w:spacing w:after="0" w:line="240" w:lineRule="auto"/>
        <w:ind w:left="567" w:hanging="567"/>
        <w:rPr>
          <w:rFonts w:ascii="Times New Roman" w:hAnsi="Times New Roman"/>
          <w:lang w:val="lt-LT"/>
        </w:rPr>
      </w:pPr>
    </w:p>
    <w:p w14:paraId="0CF3488C"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13.</w:t>
      </w:r>
      <w:r w:rsidRPr="00EE75B4">
        <w:rPr>
          <w:rFonts w:ascii="Times New Roman" w:hAnsi="Times New Roman"/>
          <w:b/>
          <w:caps/>
          <w:lang w:val="lt-LT"/>
        </w:rPr>
        <w:tab/>
        <w:t>serijos numeris</w:t>
      </w:r>
    </w:p>
    <w:p w14:paraId="6C32DC67" w14:textId="77777777" w:rsidR="005427AE" w:rsidRPr="00EE75B4" w:rsidRDefault="005427AE" w:rsidP="005427AE">
      <w:pPr>
        <w:spacing w:after="0" w:line="240" w:lineRule="auto"/>
        <w:ind w:left="567" w:hanging="567"/>
        <w:rPr>
          <w:rFonts w:ascii="Times New Roman" w:hAnsi="Times New Roman"/>
          <w:lang w:val="lt-LT"/>
        </w:rPr>
      </w:pPr>
    </w:p>
    <w:p w14:paraId="763E4870" w14:textId="670E4363" w:rsidR="005427AE" w:rsidRPr="00EE75B4" w:rsidRDefault="00764A14" w:rsidP="005427AE">
      <w:pPr>
        <w:spacing w:after="0" w:line="240" w:lineRule="auto"/>
        <w:ind w:left="567" w:hanging="567"/>
        <w:rPr>
          <w:rFonts w:ascii="Times New Roman" w:hAnsi="Times New Roman"/>
          <w:lang w:val="lt-LT"/>
        </w:rPr>
      </w:pPr>
      <w:proofErr w:type="spellStart"/>
      <w:r>
        <w:rPr>
          <w:rFonts w:ascii="Times New Roman" w:hAnsi="Times New Roman"/>
          <w:lang w:val="lt-LT"/>
        </w:rPr>
        <w:t>Lot</w:t>
      </w:r>
      <w:proofErr w:type="spellEnd"/>
    </w:p>
    <w:p w14:paraId="4E6DD59E" w14:textId="77777777" w:rsidR="005427AE" w:rsidRPr="00EE75B4" w:rsidRDefault="005427AE" w:rsidP="005427AE">
      <w:pPr>
        <w:spacing w:after="0" w:line="240" w:lineRule="auto"/>
        <w:ind w:left="567" w:hanging="567"/>
        <w:rPr>
          <w:rFonts w:ascii="Times New Roman" w:hAnsi="Times New Roman"/>
          <w:lang w:val="lt-LT"/>
        </w:rPr>
      </w:pPr>
    </w:p>
    <w:p w14:paraId="66A8DBA6" w14:textId="77777777" w:rsidR="005427AE" w:rsidRPr="00EE75B4" w:rsidRDefault="005427AE" w:rsidP="005427AE">
      <w:pPr>
        <w:spacing w:after="0" w:line="240" w:lineRule="auto"/>
        <w:ind w:left="567" w:hanging="567"/>
        <w:rPr>
          <w:rFonts w:ascii="Times New Roman" w:hAnsi="Times New Roman"/>
          <w:lang w:val="lt-LT"/>
        </w:rPr>
      </w:pPr>
    </w:p>
    <w:p w14:paraId="76FF538E"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14.</w:t>
      </w:r>
      <w:r w:rsidRPr="00EE75B4">
        <w:rPr>
          <w:rFonts w:ascii="Times New Roman" w:hAnsi="Times New Roman"/>
          <w:b/>
          <w:caps/>
          <w:lang w:val="lt-LT"/>
        </w:rPr>
        <w:tab/>
      </w:r>
      <w:r w:rsidRPr="00EE75B4">
        <w:rPr>
          <w:rFonts w:ascii="Times New Roman" w:hAnsi="Times New Roman"/>
          <w:b/>
          <w:lang w:val="lt-LT"/>
        </w:rPr>
        <w:t>PARDAVIMO (IŠDAVIMO)</w:t>
      </w:r>
      <w:r w:rsidRPr="00EE75B4">
        <w:rPr>
          <w:rFonts w:ascii="Times New Roman" w:hAnsi="Times New Roman"/>
          <w:b/>
          <w:caps/>
          <w:lang w:val="lt-LT"/>
        </w:rPr>
        <w:t xml:space="preserve"> tvarka</w:t>
      </w:r>
    </w:p>
    <w:p w14:paraId="3C357023" w14:textId="77777777" w:rsidR="005427AE" w:rsidRPr="00EE75B4" w:rsidRDefault="005427AE" w:rsidP="005427AE">
      <w:pPr>
        <w:spacing w:after="0" w:line="240" w:lineRule="auto"/>
        <w:ind w:left="567" w:hanging="567"/>
        <w:rPr>
          <w:rFonts w:ascii="Times New Roman" w:hAnsi="Times New Roman"/>
          <w:lang w:val="lt-LT"/>
        </w:rPr>
      </w:pPr>
    </w:p>
    <w:p w14:paraId="691BCACD" w14:textId="293C1F75"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 xml:space="preserve">Receptinis </w:t>
      </w:r>
      <w:r w:rsidR="00FD2257">
        <w:rPr>
          <w:rFonts w:ascii="Times New Roman" w:hAnsi="Times New Roman"/>
          <w:lang w:val="lt-LT"/>
        </w:rPr>
        <w:t>vaistas</w:t>
      </w:r>
      <w:r w:rsidRPr="00EE75B4">
        <w:rPr>
          <w:rFonts w:ascii="Times New Roman" w:hAnsi="Times New Roman"/>
          <w:lang w:val="lt-LT"/>
        </w:rPr>
        <w:t>.</w:t>
      </w:r>
    </w:p>
    <w:p w14:paraId="6A3FFD60" w14:textId="77777777" w:rsidR="005427AE" w:rsidRPr="00EE75B4" w:rsidRDefault="005427AE" w:rsidP="005427AE">
      <w:pPr>
        <w:spacing w:after="0" w:line="240" w:lineRule="auto"/>
        <w:ind w:left="567" w:hanging="567"/>
        <w:rPr>
          <w:rFonts w:ascii="Times New Roman" w:hAnsi="Times New Roman"/>
          <w:lang w:val="lt-LT"/>
        </w:rPr>
      </w:pPr>
    </w:p>
    <w:p w14:paraId="33E84316" w14:textId="77777777" w:rsidR="005427AE" w:rsidRPr="00EE75B4" w:rsidRDefault="005427AE" w:rsidP="005427AE">
      <w:pPr>
        <w:spacing w:after="0" w:line="240" w:lineRule="auto"/>
        <w:ind w:left="567" w:hanging="567"/>
        <w:rPr>
          <w:rFonts w:ascii="Times New Roman" w:hAnsi="Times New Roman"/>
          <w:lang w:val="lt-LT"/>
        </w:rPr>
      </w:pPr>
    </w:p>
    <w:p w14:paraId="70627C74"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15.</w:t>
      </w:r>
      <w:r w:rsidRPr="00EE75B4">
        <w:rPr>
          <w:rFonts w:ascii="Times New Roman" w:hAnsi="Times New Roman"/>
          <w:b/>
          <w:caps/>
          <w:lang w:val="lt-LT"/>
        </w:rPr>
        <w:tab/>
        <w:t>vartojimo instrukcijA</w:t>
      </w:r>
    </w:p>
    <w:p w14:paraId="0D4D69B3" w14:textId="77777777" w:rsidR="005427AE" w:rsidRPr="00EE75B4" w:rsidRDefault="005427AE" w:rsidP="005427AE">
      <w:pPr>
        <w:spacing w:after="0" w:line="240" w:lineRule="auto"/>
        <w:ind w:left="567" w:hanging="567"/>
        <w:rPr>
          <w:rFonts w:ascii="Times New Roman" w:hAnsi="Times New Roman"/>
          <w:lang w:val="lt-LT"/>
        </w:rPr>
      </w:pPr>
    </w:p>
    <w:p w14:paraId="6DDCBFBB" w14:textId="77777777" w:rsidR="005427AE" w:rsidRPr="00EE75B4" w:rsidRDefault="005427AE" w:rsidP="005427AE">
      <w:pPr>
        <w:spacing w:after="0" w:line="240" w:lineRule="auto"/>
        <w:ind w:left="567" w:hanging="567"/>
        <w:rPr>
          <w:rFonts w:ascii="Times New Roman" w:hAnsi="Times New Roman"/>
          <w:lang w:val="lt-LT"/>
        </w:rPr>
      </w:pPr>
    </w:p>
    <w:p w14:paraId="48B4629E" w14:textId="77777777" w:rsidR="005427AE" w:rsidRPr="00EE75B4" w:rsidRDefault="005427AE" w:rsidP="005427A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EE75B4">
        <w:rPr>
          <w:rFonts w:ascii="Times New Roman" w:hAnsi="Times New Roman"/>
          <w:b/>
          <w:lang w:val="lt-LT"/>
        </w:rPr>
        <w:t>16.</w:t>
      </w:r>
      <w:r w:rsidRPr="00EE75B4">
        <w:rPr>
          <w:rFonts w:ascii="Times New Roman" w:hAnsi="Times New Roman"/>
          <w:b/>
          <w:lang w:val="lt-LT"/>
        </w:rPr>
        <w:tab/>
        <w:t>INFORMACIJA BRAILIO RAŠTU</w:t>
      </w:r>
    </w:p>
    <w:p w14:paraId="4B3820A3" w14:textId="77777777" w:rsidR="005427AE" w:rsidRPr="00EE75B4" w:rsidRDefault="005427AE" w:rsidP="005427AE">
      <w:pPr>
        <w:spacing w:after="0" w:line="240" w:lineRule="auto"/>
        <w:rPr>
          <w:rFonts w:ascii="Times New Roman" w:hAnsi="Times New Roman"/>
          <w:lang w:val="lt-LT"/>
        </w:rPr>
      </w:pPr>
    </w:p>
    <w:p w14:paraId="4348F3DE" w14:textId="77777777" w:rsidR="005427AE" w:rsidRPr="00EE75B4" w:rsidRDefault="005427AE" w:rsidP="005427AE">
      <w:pPr>
        <w:spacing w:after="0" w:line="240" w:lineRule="auto"/>
        <w:rPr>
          <w:rFonts w:ascii="Times New Roman" w:hAnsi="Times New Roman"/>
          <w:b/>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w:t>
      </w:r>
    </w:p>
    <w:p w14:paraId="60C05FA4" w14:textId="77777777" w:rsidR="005427AE" w:rsidRPr="00EE75B4" w:rsidRDefault="005427AE" w:rsidP="005427AE">
      <w:pPr>
        <w:spacing w:after="0" w:line="240" w:lineRule="auto"/>
        <w:rPr>
          <w:rFonts w:ascii="Times New Roman" w:hAnsi="Times New Roman"/>
          <w:b/>
          <w:lang w:val="lt-LT"/>
        </w:rPr>
      </w:pPr>
    </w:p>
    <w:p w14:paraId="4F22082B" w14:textId="77777777" w:rsidR="005427AE" w:rsidRPr="00EE75B4" w:rsidRDefault="005427AE" w:rsidP="005427AE">
      <w:pPr>
        <w:spacing w:after="0" w:line="240" w:lineRule="auto"/>
        <w:rPr>
          <w:rFonts w:ascii="Times New Roman" w:hAnsi="Times New Roman"/>
          <w:b/>
          <w:lang w:val="lt-LT"/>
        </w:rPr>
      </w:pPr>
    </w:p>
    <w:p w14:paraId="67A0418B" w14:textId="77777777" w:rsidR="005427AE" w:rsidRPr="00EE75B4" w:rsidRDefault="005427AE" w:rsidP="005427A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lang w:val="lt-LT"/>
        </w:rPr>
      </w:pPr>
      <w:r w:rsidRPr="00EE75B4">
        <w:rPr>
          <w:rFonts w:ascii="Times New Roman" w:hAnsi="Times New Roman"/>
          <w:b/>
          <w:lang w:val="lt-LT"/>
        </w:rPr>
        <w:t>17.</w:t>
      </w:r>
      <w:r w:rsidRPr="00EE75B4">
        <w:rPr>
          <w:rFonts w:ascii="Times New Roman" w:hAnsi="Times New Roman"/>
          <w:b/>
          <w:lang w:val="lt-LT"/>
        </w:rPr>
        <w:tab/>
        <w:t>UNIKALUS IDENTIFIKATORIUS – 2D BRŪKŠNINIS KODAS</w:t>
      </w:r>
    </w:p>
    <w:p w14:paraId="09FF6F3B" w14:textId="77777777" w:rsidR="005427AE" w:rsidRPr="00EE75B4" w:rsidRDefault="005427AE" w:rsidP="005427AE">
      <w:pPr>
        <w:spacing w:after="0" w:line="240" w:lineRule="auto"/>
        <w:rPr>
          <w:rFonts w:ascii="Times New Roman" w:hAnsi="Times New Roman"/>
          <w:lang w:val="lt-LT"/>
        </w:rPr>
      </w:pPr>
    </w:p>
    <w:p w14:paraId="275AD5F8" w14:textId="77777777" w:rsidR="005427AE" w:rsidRPr="00EE75B4" w:rsidRDefault="005427AE" w:rsidP="005427AE">
      <w:pPr>
        <w:spacing w:after="0" w:line="240" w:lineRule="auto"/>
        <w:rPr>
          <w:rFonts w:ascii="Times New Roman" w:hAnsi="Times New Roman"/>
          <w:shd w:val="clear" w:color="auto" w:fill="CCCCCC"/>
          <w:lang w:val="lt-LT"/>
        </w:rPr>
      </w:pPr>
      <w:r w:rsidRPr="00EE75B4">
        <w:rPr>
          <w:rFonts w:ascii="Times New Roman" w:hAnsi="Times New Roman"/>
          <w:lang w:val="lt-LT"/>
        </w:rPr>
        <w:t>2D brūkšninis kodas su nurodytu unikaliu identifikatoriumi.</w:t>
      </w:r>
    </w:p>
    <w:p w14:paraId="62CF5306" w14:textId="77777777" w:rsidR="005427AE" w:rsidRPr="00EE75B4" w:rsidRDefault="005427AE" w:rsidP="005427AE">
      <w:pPr>
        <w:spacing w:after="0" w:line="240" w:lineRule="auto"/>
        <w:ind w:left="567" w:hanging="567"/>
        <w:rPr>
          <w:rFonts w:ascii="Times New Roman" w:hAnsi="Times New Roman"/>
          <w:lang w:val="lt-LT"/>
        </w:rPr>
      </w:pPr>
    </w:p>
    <w:p w14:paraId="46B0F568" w14:textId="77777777" w:rsidR="005427AE" w:rsidRPr="00EE75B4" w:rsidRDefault="005427AE" w:rsidP="005427AE">
      <w:pPr>
        <w:spacing w:after="0" w:line="240" w:lineRule="auto"/>
        <w:ind w:left="567" w:hanging="567"/>
        <w:rPr>
          <w:rFonts w:ascii="Times New Roman" w:hAnsi="Times New Roman"/>
          <w:lang w:val="lt-LT"/>
        </w:rPr>
      </w:pPr>
    </w:p>
    <w:p w14:paraId="0DC363A9" w14:textId="77777777" w:rsidR="005427AE" w:rsidRPr="00EE75B4" w:rsidRDefault="005427AE" w:rsidP="005427A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lang w:val="lt-LT"/>
        </w:rPr>
      </w:pPr>
      <w:r w:rsidRPr="00EE75B4">
        <w:rPr>
          <w:rFonts w:ascii="Times New Roman" w:hAnsi="Times New Roman"/>
          <w:b/>
          <w:lang w:val="lt-LT"/>
        </w:rPr>
        <w:t>18.</w:t>
      </w:r>
      <w:r w:rsidRPr="00EE75B4">
        <w:rPr>
          <w:rFonts w:ascii="Times New Roman" w:hAnsi="Times New Roman"/>
          <w:b/>
          <w:lang w:val="lt-LT"/>
        </w:rPr>
        <w:tab/>
        <w:t>UNIKALUS IDENTIFIKATORIUS – ŽMONĖMS SUPRANTAMI DUOMENYS</w:t>
      </w:r>
    </w:p>
    <w:p w14:paraId="1BD30BCF" w14:textId="77777777" w:rsidR="005427AE" w:rsidRPr="00EE75B4" w:rsidRDefault="005427AE" w:rsidP="005427AE">
      <w:pPr>
        <w:spacing w:after="0" w:line="240" w:lineRule="auto"/>
        <w:rPr>
          <w:rFonts w:ascii="Times New Roman" w:hAnsi="Times New Roman"/>
          <w:lang w:val="lt-LT"/>
        </w:rPr>
      </w:pPr>
    </w:p>
    <w:p w14:paraId="0A78CDA2"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PC: </w:t>
      </w:r>
    </w:p>
    <w:p w14:paraId="577573A0"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SN: </w:t>
      </w:r>
    </w:p>
    <w:p w14:paraId="4FE1AEAB"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NN:</w:t>
      </w:r>
    </w:p>
    <w:p w14:paraId="1FF6C564" w14:textId="77777777" w:rsidR="005427AE" w:rsidRPr="00EE75B4" w:rsidRDefault="005427AE" w:rsidP="005427AE">
      <w:pPr>
        <w:spacing w:after="0" w:line="240" w:lineRule="auto"/>
        <w:rPr>
          <w:rFonts w:ascii="Times New Roman" w:hAnsi="Times New Roman"/>
          <w:b/>
          <w:lang w:val="lt-LT"/>
        </w:rPr>
      </w:pPr>
    </w:p>
    <w:p w14:paraId="58FF5D0D" w14:textId="77777777" w:rsidR="005427AE" w:rsidRPr="00EE75B4" w:rsidRDefault="005427AE" w:rsidP="00813362">
      <w:pPr>
        <w:spacing w:after="160" w:line="259" w:lineRule="auto"/>
        <w:rPr>
          <w:rFonts w:ascii="Times New Roman" w:hAnsi="Times New Roman"/>
          <w:b/>
          <w:lang w:val="lt-LT"/>
        </w:rPr>
      </w:pPr>
      <w:r w:rsidRPr="00EE75B4">
        <w:rPr>
          <w:rFonts w:ascii="Times New Roman" w:hAnsi="Times New Roman"/>
          <w:b/>
          <w:lang w:val="lt-LT"/>
        </w:rPr>
        <w:br w:type="page"/>
      </w:r>
    </w:p>
    <w:p w14:paraId="57A19FC0" w14:textId="77777777" w:rsidR="005427AE" w:rsidRPr="00EE75B4" w:rsidRDefault="005427AE" w:rsidP="005427AE">
      <w:pPr>
        <w:spacing w:after="0" w:line="240" w:lineRule="auto"/>
        <w:jc w:val="center"/>
        <w:rPr>
          <w:rFonts w:ascii="Times New Roman" w:hAnsi="Times New Roman"/>
          <w:b/>
          <w:lang w:val="lt-LT"/>
        </w:rPr>
      </w:pPr>
    </w:p>
    <w:p w14:paraId="6E7A7565"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val="lt-LT"/>
        </w:rPr>
      </w:pPr>
      <w:r w:rsidRPr="00EE75B4">
        <w:rPr>
          <w:rFonts w:ascii="Times New Roman" w:hAnsi="Times New Roman"/>
          <w:b/>
          <w:caps/>
          <w:lang w:val="lt-LT"/>
        </w:rPr>
        <w:t xml:space="preserve">Informacija ant </w:t>
      </w:r>
      <w:r w:rsidRPr="00EE75B4">
        <w:rPr>
          <w:rFonts w:ascii="Times New Roman" w:hAnsi="Times New Roman"/>
          <w:b/>
          <w:lang w:val="lt-LT"/>
        </w:rPr>
        <w:t>VIDINĖS</w:t>
      </w:r>
      <w:r w:rsidRPr="00EE75B4">
        <w:rPr>
          <w:rFonts w:ascii="Times New Roman" w:hAnsi="Times New Roman"/>
          <w:lang w:val="lt-LT"/>
        </w:rPr>
        <w:t xml:space="preserve"> </w:t>
      </w:r>
      <w:r w:rsidRPr="00EE75B4">
        <w:rPr>
          <w:rFonts w:ascii="Times New Roman" w:hAnsi="Times New Roman"/>
          <w:b/>
          <w:caps/>
          <w:lang w:val="lt-LT"/>
        </w:rPr>
        <w:t>pakuotės</w:t>
      </w:r>
    </w:p>
    <w:p w14:paraId="6AF68C10"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Bold" w:hAnsi="Times New Roman Bold"/>
          <w:lang w:val="lt-LT"/>
        </w:rPr>
      </w:pPr>
    </w:p>
    <w:p w14:paraId="0F684311"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Bold" w:hAnsi="Times New Roman Bold"/>
          <w:b/>
          <w:caps/>
          <w:lang w:val="lt-LT"/>
        </w:rPr>
      </w:pPr>
      <w:r w:rsidRPr="00EE75B4">
        <w:rPr>
          <w:rFonts w:ascii="Times New Roman Bold" w:hAnsi="Times New Roman Bold"/>
          <w:b/>
          <w:lang w:val="lt-LT"/>
        </w:rPr>
        <w:t>BUTELIUKAS</w:t>
      </w:r>
    </w:p>
    <w:p w14:paraId="2DE1A364" w14:textId="77777777" w:rsidR="005427AE" w:rsidRPr="00EE75B4" w:rsidRDefault="005427AE" w:rsidP="005427AE">
      <w:pPr>
        <w:spacing w:after="0" w:line="240" w:lineRule="auto"/>
        <w:ind w:left="567" w:hanging="567"/>
        <w:rPr>
          <w:rFonts w:ascii="Times New Roman" w:hAnsi="Times New Roman"/>
          <w:lang w:val="lt-LT"/>
        </w:rPr>
      </w:pPr>
    </w:p>
    <w:p w14:paraId="4446005B" w14:textId="77777777" w:rsidR="005427AE" w:rsidRPr="00EE75B4" w:rsidRDefault="005427AE" w:rsidP="005427AE">
      <w:pPr>
        <w:spacing w:after="0" w:line="240" w:lineRule="auto"/>
        <w:ind w:left="567" w:hanging="567"/>
        <w:rPr>
          <w:rFonts w:ascii="Times New Roman" w:hAnsi="Times New Roman"/>
          <w:lang w:val="lt-LT"/>
        </w:rPr>
      </w:pPr>
    </w:p>
    <w:p w14:paraId="4C887268"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w:t>
      </w:r>
      <w:r w:rsidRPr="00EE75B4">
        <w:rPr>
          <w:rFonts w:ascii="Times New Roman" w:hAnsi="Times New Roman"/>
          <w:b/>
          <w:caps/>
          <w:lang w:val="lt-LT"/>
        </w:rPr>
        <w:tab/>
        <w:t>vaistinio preparato pavadinimas</w:t>
      </w:r>
    </w:p>
    <w:p w14:paraId="2999E755" w14:textId="77777777" w:rsidR="005427AE" w:rsidRPr="00EE75B4" w:rsidRDefault="005427AE" w:rsidP="005427AE">
      <w:pPr>
        <w:spacing w:after="0" w:line="240" w:lineRule="auto"/>
        <w:ind w:left="567" w:hanging="567"/>
        <w:rPr>
          <w:rFonts w:ascii="Times New Roman" w:hAnsi="Times New Roman"/>
          <w:lang w:val="lt-LT"/>
        </w:rPr>
      </w:pPr>
    </w:p>
    <w:p w14:paraId="104C82C5"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plėvele dengtos tabletės</w:t>
      </w:r>
    </w:p>
    <w:p w14:paraId="62417FB4" w14:textId="028F93F7" w:rsidR="005427AE" w:rsidRPr="00EE75B4" w:rsidRDefault="00F933F3" w:rsidP="005427AE">
      <w:pPr>
        <w:spacing w:after="0" w:line="240" w:lineRule="auto"/>
        <w:ind w:left="567" w:hanging="567"/>
        <w:rPr>
          <w:rFonts w:ascii="Times New Roman" w:hAnsi="Times New Roman"/>
          <w:i/>
          <w:lang w:val="lt-LT"/>
        </w:rPr>
      </w:pPr>
      <w:proofErr w:type="spellStart"/>
      <w:r>
        <w:rPr>
          <w:rFonts w:ascii="Times New Roman" w:hAnsi="Times New Roman"/>
          <w:i/>
          <w:lang w:val="lt-LT"/>
        </w:rPr>
        <w:t>v</w:t>
      </w:r>
      <w:r w:rsidRPr="00EE75B4">
        <w:rPr>
          <w:rFonts w:ascii="Times New Roman" w:hAnsi="Times New Roman"/>
          <w:i/>
          <w:lang w:val="lt-LT"/>
        </w:rPr>
        <w:t>alganciclovirum</w:t>
      </w:r>
      <w:proofErr w:type="spellEnd"/>
    </w:p>
    <w:p w14:paraId="05CD08D1" w14:textId="77777777" w:rsidR="005427AE" w:rsidRPr="00EE75B4" w:rsidRDefault="005427AE" w:rsidP="005427AE">
      <w:pPr>
        <w:spacing w:after="0" w:line="240" w:lineRule="auto"/>
        <w:ind w:left="567" w:hanging="567"/>
        <w:rPr>
          <w:rFonts w:ascii="Times New Roman" w:hAnsi="Times New Roman"/>
          <w:lang w:val="lt-LT"/>
        </w:rPr>
      </w:pPr>
    </w:p>
    <w:p w14:paraId="25D7E709" w14:textId="77777777" w:rsidR="005427AE" w:rsidRPr="00EE75B4" w:rsidRDefault="005427AE" w:rsidP="005427AE">
      <w:pPr>
        <w:spacing w:after="0" w:line="240" w:lineRule="auto"/>
        <w:ind w:left="567" w:hanging="567"/>
        <w:rPr>
          <w:rFonts w:ascii="Times New Roman" w:hAnsi="Times New Roman"/>
          <w:lang w:val="lt-LT"/>
        </w:rPr>
      </w:pPr>
    </w:p>
    <w:p w14:paraId="66C70515"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2.</w:t>
      </w:r>
      <w:r w:rsidRPr="00EE75B4">
        <w:rPr>
          <w:rFonts w:ascii="Times New Roman" w:hAnsi="Times New Roman"/>
          <w:b/>
          <w:caps/>
          <w:lang w:val="lt-LT"/>
        </w:rPr>
        <w:tab/>
        <w:t>veikliOJI medžiagA ir JOS kiekis</w:t>
      </w:r>
    </w:p>
    <w:p w14:paraId="7C1AD509" w14:textId="77777777" w:rsidR="005427AE" w:rsidRPr="00EE75B4" w:rsidRDefault="005427AE" w:rsidP="005427AE">
      <w:pPr>
        <w:spacing w:after="0" w:line="240" w:lineRule="auto"/>
        <w:ind w:left="567" w:hanging="567"/>
        <w:rPr>
          <w:rFonts w:ascii="Times New Roman" w:hAnsi="Times New Roman"/>
          <w:caps/>
          <w:lang w:val="lt-LT"/>
        </w:rPr>
      </w:pPr>
    </w:p>
    <w:p w14:paraId="2C6BB561"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Kiekvienoje plėvele dengtoje tabletėje yra 496,3 mg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hidrochlorido, atitinkančio 450 mg </w:t>
      </w:r>
      <w:proofErr w:type="spellStart"/>
      <w:r w:rsidRPr="00EE75B4">
        <w:rPr>
          <w:rFonts w:ascii="Times New Roman" w:hAnsi="Times New Roman"/>
          <w:lang w:val="lt-LT"/>
        </w:rPr>
        <w:t>valgancikloviro</w:t>
      </w:r>
      <w:proofErr w:type="spellEnd"/>
      <w:r w:rsidRPr="00EE75B4">
        <w:rPr>
          <w:rFonts w:ascii="Times New Roman" w:hAnsi="Times New Roman"/>
          <w:lang w:val="lt-LT"/>
        </w:rPr>
        <w:t>.</w:t>
      </w:r>
    </w:p>
    <w:p w14:paraId="3B1A0E80" w14:textId="77777777" w:rsidR="005427AE" w:rsidRPr="00EE75B4" w:rsidRDefault="005427AE" w:rsidP="005427AE">
      <w:pPr>
        <w:spacing w:after="0" w:line="240" w:lineRule="auto"/>
        <w:ind w:left="567" w:hanging="567"/>
        <w:rPr>
          <w:rFonts w:ascii="Times New Roman" w:hAnsi="Times New Roman"/>
          <w:caps/>
          <w:lang w:val="lt-LT"/>
        </w:rPr>
      </w:pPr>
    </w:p>
    <w:p w14:paraId="71AB0A2E" w14:textId="77777777" w:rsidR="005427AE" w:rsidRPr="00EE75B4" w:rsidRDefault="005427AE" w:rsidP="005427AE">
      <w:pPr>
        <w:spacing w:after="0" w:line="240" w:lineRule="auto"/>
        <w:ind w:left="567" w:hanging="567"/>
        <w:rPr>
          <w:rFonts w:ascii="Times New Roman" w:hAnsi="Times New Roman"/>
          <w:caps/>
          <w:lang w:val="lt-LT"/>
        </w:rPr>
      </w:pPr>
    </w:p>
    <w:p w14:paraId="49B28411"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3.</w:t>
      </w:r>
      <w:r w:rsidRPr="00EE75B4">
        <w:rPr>
          <w:rFonts w:ascii="Times New Roman" w:hAnsi="Times New Roman"/>
          <w:b/>
          <w:caps/>
          <w:lang w:val="lt-LT"/>
        </w:rPr>
        <w:tab/>
        <w:t>pagalbinių medžiagų sąrašas</w:t>
      </w:r>
    </w:p>
    <w:p w14:paraId="608155AB" w14:textId="77777777" w:rsidR="005427AE" w:rsidRPr="00EE75B4" w:rsidRDefault="005427AE" w:rsidP="005427AE">
      <w:pPr>
        <w:spacing w:after="0" w:line="240" w:lineRule="auto"/>
        <w:rPr>
          <w:rFonts w:ascii="Times New Roman" w:hAnsi="Times New Roman"/>
          <w:caps/>
          <w:lang w:val="lt-LT"/>
        </w:rPr>
      </w:pPr>
    </w:p>
    <w:p w14:paraId="5CC064A0" w14:textId="77777777" w:rsidR="005427AE" w:rsidRPr="00EE75B4" w:rsidRDefault="005427AE" w:rsidP="005427AE">
      <w:pPr>
        <w:spacing w:after="0" w:line="240" w:lineRule="auto"/>
        <w:rPr>
          <w:rFonts w:ascii="Times New Roman" w:hAnsi="Times New Roman"/>
          <w:caps/>
          <w:lang w:val="lt-LT"/>
        </w:rPr>
      </w:pPr>
    </w:p>
    <w:p w14:paraId="5BE1305B"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4.</w:t>
      </w:r>
      <w:r w:rsidRPr="00EE75B4">
        <w:rPr>
          <w:rFonts w:ascii="Times New Roman" w:hAnsi="Times New Roman"/>
          <w:b/>
          <w:caps/>
          <w:lang w:val="lt-LT"/>
        </w:rPr>
        <w:tab/>
        <w:t>FARMACINĖ forma ir KIEKIS PAKUOTĖJE</w:t>
      </w:r>
    </w:p>
    <w:p w14:paraId="6908F1EA" w14:textId="77777777" w:rsidR="005427AE" w:rsidRPr="00EE75B4" w:rsidRDefault="005427AE" w:rsidP="005427AE">
      <w:pPr>
        <w:spacing w:after="0" w:line="240" w:lineRule="auto"/>
        <w:ind w:left="567" w:hanging="567"/>
        <w:rPr>
          <w:rFonts w:ascii="Times New Roman" w:hAnsi="Times New Roman"/>
          <w:caps/>
          <w:lang w:val="lt-LT"/>
        </w:rPr>
      </w:pPr>
    </w:p>
    <w:p w14:paraId="17359C91"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Plėvele dengta tabletė</w:t>
      </w:r>
    </w:p>
    <w:p w14:paraId="7EC41221"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60 plėvele dengtų tablečių</w:t>
      </w:r>
    </w:p>
    <w:p w14:paraId="42F889AE" w14:textId="77777777" w:rsidR="005427AE" w:rsidRPr="00EE75B4" w:rsidRDefault="005427AE" w:rsidP="005427AE">
      <w:pPr>
        <w:spacing w:after="0" w:line="240" w:lineRule="auto"/>
        <w:ind w:left="567" w:hanging="567"/>
        <w:rPr>
          <w:rFonts w:ascii="Times New Roman" w:hAnsi="Times New Roman"/>
          <w:lang w:val="lt-LT"/>
        </w:rPr>
      </w:pPr>
    </w:p>
    <w:p w14:paraId="53C69E45" w14:textId="77777777" w:rsidR="005427AE" w:rsidRPr="00EE75B4" w:rsidRDefault="005427AE" w:rsidP="005427AE">
      <w:pPr>
        <w:spacing w:after="0" w:line="240" w:lineRule="auto"/>
        <w:ind w:left="567" w:hanging="567"/>
        <w:rPr>
          <w:rFonts w:ascii="Times New Roman" w:hAnsi="Times New Roman"/>
          <w:lang w:val="lt-LT"/>
        </w:rPr>
      </w:pPr>
    </w:p>
    <w:p w14:paraId="05B2908A"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5.</w:t>
      </w:r>
      <w:r w:rsidRPr="00EE75B4">
        <w:rPr>
          <w:rFonts w:ascii="Times New Roman" w:hAnsi="Times New Roman"/>
          <w:b/>
          <w:caps/>
          <w:lang w:val="lt-LT"/>
        </w:rPr>
        <w:tab/>
        <w:t>vartojimo METODAS IR būdas (-Ai)</w:t>
      </w:r>
    </w:p>
    <w:p w14:paraId="2E5FBEF2" w14:textId="77777777" w:rsidR="005427AE" w:rsidRPr="00EE75B4" w:rsidRDefault="005427AE" w:rsidP="005427AE">
      <w:pPr>
        <w:spacing w:after="0" w:line="240" w:lineRule="auto"/>
        <w:ind w:left="567" w:hanging="567"/>
        <w:rPr>
          <w:rFonts w:ascii="Times New Roman" w:hAnsi="Times New Roman"/>
          <w:caps/>
          <w:lang w:val="lt-LT"/>
        </w:rPr>
      </w:pPr>
    </w:p>
    <w:p w14:paraId="2A2D2853"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Vartoti per burną.</w:t>
      </w:r>
    </w:p>
    <w:p w14:paraId="2170CCE6"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Prieš vartojimą perskaitykite pakuotės lapelį.</w:t>
      </w:r>
    </w:p>
    <w:p w14:paraId="7F7157BC" w14:textId="77777777" w:rsidR="005427AE" w:rsidRPr="00EE75B4" w:rsidRDefault="005427AE" w:rsidP="005427AE">
      <w:pPr>
        <w:spacing w:after="0" w:line="240" w:lineRule="auto"/>
        <w:ind w:left="567" w:hanging="567"/>
        <w:rPr>
          <w:rFonts w:ascii="Times New Roman" w:hAnsi="Times New Roman"/>
          <w:caps/>
          <w:lang w:val="lt-LT"/>
        </w:rPr>
      </w:pPr>
    </w:p>
    <w:p w14:paraId="3A3FD2BD" w14:textId="77777777" w:rsidR="005427AE" w:rsidRPr="00EE75B4" w:rsidRDefault="005427AE" w:rsidP="005427AE">
      <w:pPr>
        <w:spacing w:after="0" w:line="240" w:lineRule="auto"/>
        <w:ind w:left="567" w:hanging="567"/>
        <w:rPr>
          <w:rFonts w:ascii="Times New Roman" w:hAnsi="Times New Roman"/>
          <w:caps/>
          <w:lang w:val="lt-LT"/>
        </w:rPr>
      </w:pPr>
    </w:p>
    <w:p w14:paraId="3D8477D9"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6.</w:t>
      </w:r>
      <w:r w:rsidRPr="00EE75B4">
        <w:rPr>
          <w:rFonts w:ascii="Times New Roman" w:hAnsi="Times New Roman"/>
          <w:b/>
          <w:caps/>
          <w:lang w:val="lt-LT"/>
        </w:rPr>
        <w:tab/>
        <w:t>SPECIALUS Įspėjimas</w:t>
      </w:r>
      <w:r w:rsidRPr="00EE75B4">
        <w:rPr>
          <w:rFonts w:ascii="Times New Roman" w:hAnsi="Times New Roman"/>
          <w:lang w:val="lt-LT"/>
        </w:rPr>
        <w:t xml:space="preserve">, </w:t>
      </w:r>
      <w:r w:rsidRPr="00EE75B4">
        <w:rPr>
          <w:rFonts w:ascii="Times New Roman" w:hAnsi="Times New Roman"/>
          <w:b/>
          <w:lang w:val="lt-LT"/>
        </w:rPr>
        <w:t xml:space="preserve">KAD VAISTINĮ PREPARATĄ BŪTINA LAIKYTI </w:t>
      </w:r>
      <w:r w:rsidRPr="00EE75B4">
        <w:rPr>
          <w:rFonts w:ascii="Times New Roman" w:hAnsi="Times New Roman"/>
          <w:b/>
          <w:caps/>
          <w:lang w:val="lt-LT"/>
        </w:rPr>
        <w:t>vaikams NEPASTEBIMOJE IR nepasiekiamoje vietoje</w:t>
      </w:r>
    </w:p>
    <w:p w14:paraId="1DF69BD9" w14:textId="77777777" w:rsidR="005427AE" w:rsidRPr="00EE75B4" w:rsidRDefault="005427AE" w:rsidP="005427AE">
      <w:pPr>
        <w:spacing w:after="0" w:line="240" w:lineRule="auto"/>
        <w:ind w:left="567" w:hanging="567"/>
        <w:rPr>
          <w:rFonts w:ascii="Times New Roman" w:hAnsi="Times New Roman"/>
          <w:lang w:val="lt-LT"/>
        </w:rPr>
      </w:pPr>
    </w:p>
    <w:p w14:paraId="18C58969"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Laikyti vaikams nepastebimoje ir nepasiekiamoje vietoje.</w:t>
      </w:r>
    </w:p>
    <w:p w14:paraId="6D352FBF" w14:textId="77777777" w:rsidR="005427AE" w:rsidRPr="00EE75B4" w:rsidRDefault="005427AE" w:rsidP="005427AE">
      <w:pPr>
        <w:spacing w:after="0" w:line="240" w:lineRule="auto"/>
        <w:ind w:left="567" w:hanging="567"/>
        <w:rPr>
          <w:rFonts w:ascii="Times New Roman" w:hAnsi="Times New Roman"/>
          <w:lang w:val="lt-LT"/>
        </w:rPr>
      </w:pPr>
    </w:p>
    <w:p w14:paraId="2C75B1D7" w14:textId="77777777" w:rsidR="005427AE" w:rsidRPr="00EE75B4" w:rsidRDefault="005427AE" w:rsidP="005427AE">
      <w:pPr>
        <w:spacing w:after="0" w:line="240" w:lineRule="auto"/>
        <w:ind w:left="567" w:hanging="567"/>
        <w:rPr>
          <w:rFonts w:ascii="Times New Roman" w:hAnsi="Times New Roman"/>
          <w:lang w:val="lt-LT"/>
        </w:rPr>
      </w:pPr>
    </w:p>
    <w:p w14:paraId="3A345DE5"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7.</w:t>
      </w:r>
      <w:r w:rsidRPr="00EE75B4">
        <w:rPr>
          <w:rFonts w:ascii="Times New Roman" w:hAnsi="Times New Roman"/>
          <w:b/>
          <w:caps/>
          <w:lang w:val="lt-LT"/>
        </w:rPr>
        <w:tab/>
        <w:t>kitas (-I) specialus (-ŪS) Įspėjimas (-AI) (jei reikia)</w:t>
      </w:r>
    </w:p>
    <w:p w14:paraId="0602FD66" w14:textId="77777777" w:rsidR="005427AE" w:rsidRPr="00EE75B4" w:rsidRDefault="005427AE" w:rsidP="005427AE">
      <w:pPr>
        <w:spacing w:after="0" w:line="240" w:lineRule="auto"/>
        <w:ind w:left="567" w:hanging="567"/>
        <w:rPr>
          <w:rFonts w:ascii="Times New Roman" w:hAnsi="Times New Roman"/>
          <w:caps/>
          <w:lang w:val="lt-LT"/>
        </w:rPr>
      </w:pPr>
    </w:p>
    <w:p w14:paraId="3BBFF86A"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Tabletės negalima laužyti ar smulkinti.</w:t>
      </w:r>
    </w:p>
    <w:p w14:paraId="4EA9C37D" w14:textId="77777777" w:rsidR="005427AE" w:rsidRPr="00EE75B4" w:rsidRDefault="005427AE" w:rsidP="005427AE">
      <w:pPr>
        <w:spacing w:after="0" w:line="240" w:lineRule="auto"/>
        <w:ind w:left="567" w:hanging="567"/>
        <w:rPr>
          <w:rFonts w:ascii="Times New Roman" w:hAnsi="Times New Roman"/>
          <w:caps/>
          <w:lang w:val="lt-LT"/>
        </w:rPr>
      </w:pPr>
    </w:p>
    <w:p w14:paraId="61BD691A" w14:textId="77777777" w:rsidR="005427AE" w:rsidRPr="00EE75B4" w:rsidRDefault="005427AE" w:rsidP="005427AE">
      <w:pPr>
        <w:spacing w:after="0" w:line="240" w:lineRule="auto"/>
        <w:ind w:left="567" w:hanging="567"/>
        <w:rPr>
          <w:rFonts w:ascii="Times New Roman" w:hAnsi="Times New Roman"/>
          <w:caps/>
          <w:lang w:val="lt-LT"/>
        </w:rPr>
      </w:pPr>
    </w:p>
    <w:p w14:paraId="3A75EA5B"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8.</w:t>
      </w:r>
      <w:r w:rsidRPr="00EE75B4">
        <w:rPr>
          <w:rFonts w:ascii="Times New Roman" w:hAnsi="Times New Roman"/>
          <w:b/>
          <w:caps/>
          <w:lang w:val="lt-LT"/>
        </w:rPr>
        <w:tab/>
        <w:t>tinkamumo laikas</w:t>
      </w:r>
    </w:p>
    <w:p w14:paraId="58AC6BB7" w14:textId="77777777" w:rsidR="005427AE" w:rsidRPr="00EE75B4" w:rsidRDefault="005427AE" w:rsidP="005427AE">
      <w:pPr>
        <w:spacing w:after="0" w:line="240" w:lineRule="auto"/>
        <w:ind w:left="567" w:hanging="567"/>
        <w:rPr>
          <w:rFonts w:ascii="Times New Roman" w:hAnsi="Times New Roman"/>
          <w:lang w:val="lt-LT"/>
        </w:rPr>
      </w:pPr>
    </w:p>
    <w:p w14:paraId="6FF258F9" w14:textId="77777777" w:rsidR="00764A14" w:rsidRPr="00EE75B4" w:rsidRDefault="00764A14" w:rsidP="00764A14">
      <w:pPr>
        <w:spacing w:after="0" w:line="240" w:lineRule="auto"/>
        <w:ind w:left="567" w:hanging="567"/>
        <w:rPr>
          <w:rFonts w:ascii="Times New Roman" w:hAnsi="Times New Roman"/>
          <w:lang w:val="lt-LT"/>
        </w:rPr>
      </w:pPr>
      <w:r>
        <w:rPr>
          <w:rFonts w:ascii="Times New Roman" w:hAnsi="Times New Roman"/>
          <w:lang w:val="lt-LT"/>
        </w:rPr>
        <w:t>EXP</w:t>
      </w:r>
      <w:r w:rsidRPr="00EE75B4">
        <w:rPr>
          <w:rFonts w:ascii="Times New Roman" w:hAnsi="Times New Roman"/>
          <w:lang w:val="lt-LT"/>
        </w:rPr>
        <w:t xml:space="preserve"> {mm/MMMM}</w:t>
      </w:r>
    </w:p>
    <w:p w14:paraId="34241973" w14:textId="77777777" w:rsidR="005427AE" w:rsidRPr="00EE75B4" w:rsidRDefault="005427AE" w:rsidP="005427AE">
      <w:pPr>
        <w:spacing w:after="0" w:line="240" w:lineRule="auto"/>
        <w:ind w:left="567" w:hanging="567"/>
        <w:rPr>
          <w:rFonts w:ascii="Times New Roman" w:hAnsi="Times New Roman"/>
          <w:lang w:val="lt-LT"/>
        </w:rPr>
      </w:pPr>
    </w:p>
    <w:p w14:paraId="67F1322F" w14:textId="77777777" w:rsidR="005427AE" w:rsidRPr="00EE75B4" w:rsidRDefault="005427AE" w:rsidP="005427AE">
      <w:pPr>
        <w:spacing w:after="0" w:line="240" w:lineRule="auto"/>
        <w:ind w:left="567" w:hanging="567"/>
        <w:rPr>
          <w:rFonts w:ascii="Times New Roman" w:hAnsi="Times New Roman"/>
          <w:lang w:val="lt-LT"/>
        </w:rPr>
      </w:pPr>
    </w:p>
    <w:p w14:paraId="2B1F1403"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9.</w:t>
      </w:r>
      <w:r w:rsidRPr="00EE75B4">
        <w:rPr>
          <w:rFonts w:ascii="Times New Roman" w:hAnsi="Times New Roman"/>
          <w:b/>
          <w:caps/>
          <w:lang w:val="lt-LT"/>
        </w:rPr>
        <w:tab/>
        <w:t>SPECIALIOS laikymo sąlygos</w:t>
      </w:r>
    </w:p>
    <w:p w14:paraId="624F6FE2" w14:textId="77777777" w:rsidR="005427AE" w:rsidRPr="00EE75B4" w:rsidRDefault="005427AE" w:rsidP="005427AE">
      <w:pPr>
        <w:spacing w:after="0" w:line="240" w:lineRule="auto"/>
        <w:rPr>
          <w:rFonts w:ascii="Times New Roman" w:hAnsi="Times New Roman"/>
          <w:lang w:val="lt-LT"/>
        </w:rPr>
      </w:pPr>
    </w:p>
    <w:p w14:paraId="1C84252B" w14:textId="77777777" w:rsidR="005427AE" w:rsidRPr="00EE75B4" w:rsidRDefault="005427AE" w:rsidP="005427AE">
      <w:pPr>
        <w:spacing w:after="0" w:line="240" w:lineRule="auto"/>
        <w:ind w:left="567" w:hanging="567"/>
        <w:rPr>
          <w:rFonts w:ascii="Times New Roman" w:hAnsi="Times New Roman"/>
          <w:lang w:val="lt-LT"/>
        </w:rPr>
      </w:pPr>
    </w:p>
    <w:p w14:paraId="1492A3F6"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10.</w:t>
      </w:r>
      <w:r w:rsidRPr="00EE75B4">
        <w:rPr>
          <w:rFonts w:ascii="Times New Roman" w:hAnsi="Times New Roman"/>
          <w:b/>
          <w:caps/>
          <w:lang w:val="lt-LT"/>
        </w:rPr>
        <w:tab/>
        <w:t xml:space="preserve">specialios atsargumo priemonės </w:t>
      </w:r>
      <w:r w:rsidRPr="00EE75B4">
        <w:rPr>
          <w:rFonts w:ascii="Times New Roman" w:hAnsi="Times New Roman"/>
          <w:b/>
          <w:lang w:val="lt-LT"/>
        </w:rPr>
        <w:t>DĖL NESUVARTOTO VAISTINIO PREPARATO AR JO ATLIEKŲ TVARKYMO</w:t>
      </w:r>
      <w:r w:rsidRPr="00EE75B4">
        <w:rPr>
          <w:rFonts w:ascii="Times New Roman" w:hAnsi="Times New Roman"/>
          <w:b/>
          <w:caps/>
          <w:lang w:val="lt-LT"/>
        </w:rPr>
        <w:t xml:space="preserve"> (jei reikia)</w:t>
      </w:r>
    </w:p>
    <w:p w14:paraId="58A8D6D4" w14:textId="77777777" w:rsidR="005427AE" w:rsidRPr="00EE75B4" w:rsidRDefault="005427AE" w:rsidP="005427AE">
      <w:pPr>
        <w:spacing w:after="0" w:line="240" w:lineRule="auto"/>
        <w:ind w:left="567" w:hanging="567"/>
        <w:rPr>
          <w:rFonts w:ascii="Times New Roman" w:hAnsi="Times New Roman"/>
          <w:caps/>
          <w:lang w:val="lt-LT"/>
        </w:rPr>
      </w:pPr>
    </w:p>
    <w:p w14:paraId="60466146" w14:textId="77777777" w:rsidR="005427AE" w:rsidRPr="00EE75B4" w:rsidRDefault="005427AE" w:rsidP="005427AE">
      <w:pPr>
        <w:spacing w:after="0" w:line="240" w:lineRule="auto"/>
        <w:ind w:left="567" w:hanging="567"/>
        <w:rPr>
          <w:rFonts w:ascii="Times New Roman" w:hAnsi="Times New Roman"/>
          <w:caps/>
          <w:lang w:val="lt-LT"/>
        </w:rPr>
      </w:pPr>
    </w:p>
    <w:p w14:paraId="070EA79B"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11.</w:t>
      </w:r>
      <w:r w:rsidRPr="00EE75B4">
        <w:rPr>
          <w:rFonts w:ascii="Times New Roman" w:hAnsi="Times New Roman"/>
          <w:b/>
          <w:caps/>
          <w:lang w:val="lt-LT"/>
        </w:rPr>
        <w:tab/>
      </w:r>
      <w:r w:rsidRPr="00EE75B4">
        <w:rPr>
          <w:rFonts w:ascii="Times New Roman" w:hAnsi="Times New Roman"/>
          <w:b/>
          <w:lang w:val="lt-LT"/>
        </w:rPr>
        <w:t>REGISTRUOTOJO PAVADINIMAS IR ADRESAS</w:t>
      </w:r>
    </w:p>
    <w:p w14:paraId="58408B5F" w14:textId="77777777" w:rsidR="005427AE" w:rsidRPr="00EE75B4" w:rsidRDefault="005427AE" w:rsidP="005427AE">
      <w:pPr>
        <w:spacing w:after="0" w:line="240" w:lineRule="auto"/>
        <w:ind w:left="567" w:hanging="567"/>
        <w:rPr>
          <w:rFonts w:ascii="Times New Roman" w:hAnsi="Times New Roman"/>
          <w:caps/>
          <w:lang w:val="lt-LT"/>
        </w:rPr>
      </w:pPr>
    </w:p>
    <w:p w14:paraId="5EC91552" w14:textId="77777777" w:rsidR="002A306B" w:rsidRPr="00EE75B4" w:rsidRDefault="002A306B" w:rsidP="002A306B">
      <w:pPr>
        <w:spacing w:after="0" w:line="240" w:lineRule="auto"/>
        <w:rPr>
          <w:rFonts w:ascii="Times New Roman" w:hAnsi="Times New Roman"/>
          <w:lang w:val="lt-LT"/>
        </w:rPr>
      </w:pP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w:t>
      </w:r>
      <w:proofErr w:type="spellStart"/>
      <w:r w:rsidRPr="00EE75B4">
        <w:rPr>
          <w:rFonts w:ascii="Times New Roman" w:hAnsi="Times New Roman"/>
          <w:lang w:val="lt-LT"/>
        </w:rPr>
        <w:t>Healthcare</w:t>
      </w:r>
      <w:proofErr w:type="spellEnd"/>
      <w:r w:rsidRPr="00EE75B4">
        <w:rPr>
          <w:rFonts w:ascii="Times New Roman" w:hAnsi="Times New Roman"/>
          <w:lang w:val="lt-LT"/>
        </w:rPr>
        <w:t xml:space="preserve"> B.V. </w:t>
      </w:r>
    </w:p>
    <w:p w14:paraId="6343DA35" w14:textId="77777777" w:rsidR="002A306B" w:rsidRPr="00EE75B4" w:rsidRDefault="002A306B" w:rsidP="002A306B">
      <w:pPr>
        <w:spacing w:after="0" w:line="240" w:lineRule="auto"/>
        <w:rPr>
          <w:rFonts w:ascii="Times New Roman" w:hAnsi="Times New Roman"/>
          <w:lang w:val="lt-LT"/>
        </w:rPr>
      </w:pPr>
      <w:proofErr w:type="spellStart"/>
      <w:r w:rsidRPr="00EE75B4">
        <w:rPr>
          <w:rFonts w:ascii="Times New Roman" w:hAnsi="Times New Roman"/>
          <w:lang w:val="lt-LT"/>
        </w:rPr>
        <w:t>Winthontlaan</w:t>
      </w:r>
      <w:proofErr w:type="spellEnd"/>
      <w:r w:rsidRPr="00EE75B4">
        <w:rPr>
          <w:rFonts w:ascii="Times New Roman" w:hAnsi="Times New Roman"/>
          <w:lang w:val="lt-LT"/>
        </w:rPr>
        <w:t xml:space="preserve"> 200 </w:t>
      </w:r>
    </w:p>
    <w:p w14:paraId="3D1717EB" w14:textId="77777777" w:rsidR="002A306B" w:rsidRPr="00EE75B4" w:rsidRDefault="002A306B" w:rsidP="002A306B">
      <w:pPr>
        <w:spacing w:after="0" w:line="240" w:lineRule="auto"/>
        <w:rPr>
          <w:rFonts w:ascii="Times New Roman" w:hAnsi="Times New Roman"/>
          <w:lang w:val="lt-LT"/>
        </w:rPr>
      </w:pPr>
      <w:r w:rsidRPr="00EE75B4">
        <w:rPr>
          <w:rFonts w:ascii="Times New Roman" w:hAnsi="Times New Roman"/>
          <w:lang w:val="lt-LT"/>
        </w:rPr>
        <w:t xml:space="preserve">3526 KV </w:t>
      </w:r>
      <w:proofErr w:type="spellStart"/>
      <w:r w:rsidRPr="00EE75B4">
        <w:rPr>
          <w:rFonts w:ascii="Times New Roman" w:hAnsi="Times New Roman"/>
          <w:lang w:val="lt-LT"/>
        </w:rPr>
        <w:t>Utrecht</w:t>
      </w:r>
      <w:proofErr w:type="spellEnd"/>
      <w:r w:rsidRPr="00EE75B4">
        <w:rPr>
          <w:rFonts w:ascii="Times New Roman" w:hAnsi="Times New Roman"/>
          <w:lang w:val="lt-LT"/>
        </w:rPr>
        <w:t xml:space="preserve"> </w:t>
      </w:r>
    </w:p>
    <w:p w14:paraId="39FD6518" w14:textId="77777777" w:rsidR="002A306B" w:rsidRPr="00EE75B4" w:rsidRDefault="002A306B" w:rsidP="002A306B">
      <w:pPr>
        <w:spacing w:after="0" w:line="240" w:lineRule="auto"/>
        <w:rPr>
          <w:rFonts w:ascii="Times New Roman" w:hAnsi="Times New Roman"/>
          <w:lang w:val="lt-LT"/>
        </w:rPr>
      </w:pPr>
      <w:r w:rsidRPr="00EE75B4">
        <w:rPr>
          <w:rFonts w:ascii="Times New Roman" w:hAnsi="Times New Roman"/>
          <w:lang w:val="lt-LT"/>
        </w:rPr>
        <w:t>Nyderlandai</w:t>
      </w:r>
    </w:p>
    <w:p w14:paraId="437A3AD5" w14:textId="77777777" w:rsidR="005427AE" w:rsidRPr="00EE75B4" w:rsidRDefault="005427AE" w:rsidP="005427AE">
      <w:pPr>
        <w:spacing w:after="0" w:line="240" w:lineRule="auto"/>
        <w:ind w:left="567" w:hanging="567"/>
        <w:rPr>
          <w:rFonts w:ascii="Times New Roman" w:hAnsi="Times New Roman"/>
          <w:caps/>
          <w:lang w:val="lt-LT"/>
        </w:rPr>
      </w:pPr>
    </w:p>
    <w:p w14:paraId="432FE83A" w14:textId="77777777" w:rsidR="005427AE" w:rsidRPr="00EE75B4" w:rsidRDefault="005427AE" w:rsidP="005427AE">
      <w:pPr>
        <w:spacing w:after="0" w:line="240" w:lineRule="auto"/>
        <w:ind w:left="567" w:hanging="567"/>
        <w:rPr>
          <w:rFonts w:ascii="Times New Roman" w:hAnsi="Times New Roman"/>
          <w:caps/>
          <w:lang w:val="lt-LT"/>
        </w:rPr>
      </w:pPr>
    </w:p>
    <w:p w14:paraId="1FECD3A9"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12.</w:t>
      </w:r>
      <w:r w:rsidRPr="00EE75B4">
        <w:rPr>
          <w:rFonts w:ascii="Times New Roman" w:hAnsi="Times New Roman"/>
          <w:b/>
          <w:caps/>
          <w:lang w:val="lt-LT"/>
        </w:rPr>
        <w:tab/>
      </w:r>
      <w:r w:rsidRPr="00EE75B4">
        <w:rPr>
          <w:rFonts w:ascii="Times New Roman" w:hAnsi="Times New Roman"/>
          <w:b/>
          <w:lang w:val="lt-LT"/>
        </w:rPr>
        <w:t>REGISTRACIJOS PAŽYMĖJIMO NUMERIS (-IAI)</w:t>
      </w:r>
    </w:p>
    <w:p w14:paraId="5B80C506" w14:textId="77777777" w:rsidR="005427AE" w:rsidRPr="00EE75B4" w:rsidRDefault="005427AE" w:rsidP="005427AE">
      <w:pPr>
        <w:spacing w:after="0" w:line="240" w:lineRule="auto"/>
        <w:ind w:left="567" w:hanging="567"/>
        <w:rPr>
          <w:rFonts w:ascii="Times New Roman" w:hAnsi="Times New Roman"/>
          <w:lang w:val="lt-LT"/>
        </w:rPr>
      </w:pPr>
    </w:p>
    <w:p w14:paraId="76134DB8"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LT/1/16/3914/002</w:t>
      </w:r>
    </w:p>
    <w:p w14:paraId="5D99842D" w14:textId="77777777" w:rsidR="005427AE" w:rsidRPr="00EE75B4" w:rsidRDefault="005427AE" w:rsidP="005427AE">
      <w:pPr>
        <w:spacing w:after="0" w:line="240" w:lineRule="auto"/>
        <w:ind w:left="567" w:hanging="567"/>
        <w:rPr>
          <w:rFonts w:ascii="Times New Roman" w:hAnsi="Times New Roman"/>
          <w:lang w:val="lt-LT"/>
        </w:rPr>
      </w:pPr>
    </w:p>
    <w:p w14:paraId="6570A7C2" w14:textId="77777777" w:rsidR="005427AE" w:rsidRPr="00EE75B4" w:rsidRDefault="005427AE" w:rsidP="005427AE">
      <w:pPr>
        <w:spacing w:after="0" w:line="240" w:lineRule="auto"/>
        <w:ind w:left="567" w:hanging="567"/>
        <w:rPr>
          <w:rFonts w:ascii="Times New Roman" w:hAnsi="Times New Roman"/>
          <w:lang w:val="lt-LT"/>
        </w:rPr>
      </w:pPr>
    </w:p>
    <w:p w14:paraId="2DE0AF85"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13.</w:t>
      </w:r>
      <w:r w:rsidRPr="00EE75B4">
        <w:rPr>
          <w:rFonts w:ascii="Times New Roman" w:hAnsi="Times New Roman"/>
          <w:b/>
          <w:caps/>
          <w:lang w:val="lt-LT"/>
        </w:rPr>
        <w:tab/>
        <w:t>serijos numeris</w:t>
      </w:r>
    </w:p>
    <w:p w14:paraId="1FBA4654" w14:textId="77777777" w:rsidR="005427AE" w:rsidRPr="00EE75B4" w:rsidRDefault="005427AE" w:rsidP="005427AE">
      <w:pPr>
        <w:spacing w:after="0" w:line="240" w:lineRule="auto"/>
        <w:ind w:left="567" w:hanging="567"/>
        <w:rPr>
          <w:rFonts w:ascii="Times New Roman" w:hAnsi="Times New Roman"/>
          <w:lang w:val="lt-LT"/>
        </w:rPr>
      </w:pPr>
    </w:p>
    <w:p w14:paraId="4828C328" w14:textId="0A876057" w:rsidR="005427AE" w:rsidRPr="00EE75B4" w:rsidRDefault="00764A14" w:rsidP="005427AE">
      <w:pPr>
        <w:spacing w:after="0" w:line="240" w:lineRule="auto"/>
        <w:ind w:left="567" w:hanging="567"/>
        <w:rPr>
          <w:rFonts w:ascii="Times New Roman" w:hAnsi="Times New Roman"/>
          <w:lang w:val="lt-LT"/>
        </w:rPr>
      </w:pPr>
      <w:proofErr w:type="spellStart"/>
      <w:r>
        <w:rPr>
          <w:rFonts w:ascii="Times New Roman" w:hAnsi="Times New Roman"/>
          <w:lang w:val="lt-LT"/>
        </w:rPr>
        <w:t>Lot</w:t>
      </w:r>
      <w:proofErr w:type="spellEnd"/>
    </w:p>
    <w:p w14:paraId="5ED3A9AD" w14:textId="77777777" w:rsidR="005427AE" w:rsidRPr="00EE75B4" w:rsidRDefault="005427AE" w:rsidP="005427AE">
      <w:pPr>
        <w:spacing w:after="0" w:line="240" w:lineRule="auto"/>
        <w:ind w:left="567" w:hanging="567"/>
        <w:rPr>
          <w:rFonts w:ascii="Times New Roman" w:hAnsi="Times New Roman"/>
          <w:lang w:val="lt-LT"/>
        </w:rPr>
      </w:pPr>
    </w:p>
    <w:p w14:paraId="79212B02" w14:textId="77777777" w:rsidR="005427AE" w:rsidRPr="00EE75B4" w:rsidRDefault="005427AE" w:rsidP="005427AE">
      <w:pPr>
        <w:spacing w:after="0" w:line="240" w:lineRule="auto"/>
        <w:ind w:left="567" w:hanging="567"/>
        <w:rPr>
          <w:rFonts w:ascii="Times New Roman" w:hAnsi="Times New Roman"/>
          <w:lang w:val="lt-LT"/>
        </w:rPr>
      </w:pPr>
    </w:p>
    <w:p w14:paraId="087BF1C7"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14.</w:t>
      </w:r>
      <w:r w:rsidRPr="00EE75B4">
        <w:rPr>
          <w:rFonts w:ascii="Times New Roman" w:hAnsi="Times New Roman"/>
          <w:b/>
          <w:caps/>
          <w:lang w:val="lt-LT"/>
        </w:rPr>
        <w:tab/>
      </w:r>
      <w:r w:rsidRPr="00EE75B4">
        <w:rPr>
          <w:rFonts w:ascii="Times New Roman" w:hAnsi="Times New Roman"/>
          <w:b/>
          <w:lang w:val="lt-LT"/>
        </w:rPr>
        <w:t>PARDAVIMO (IŠDAVIMO)</w:t>
      </w:r>
      <w:r w:rsidRPr="00EE75B4">
        <w:rPr>
          <w:rFonts w:ascii="Times New Roman" w:hAnsi="Times New Roman"/>
          <w:b/>
          <w:caps/>
          <w:lang w:val="lt-LT"/>
        </w:rPr>
        <w:t xml:space="preserve"> tvarka</w:t>
      </w:r>
    </w:p>
    <w:p w14:paraId="15F71120" w14:textId="77777777" w:rsidR="005427AE" w:rsidRPr="00EE75B4" w:rsidRDefault="005427AE" w:rsidP="005427AE">
      <w:pPr>
        <w:spacing w:after="0" w:line="240" w:lineRule="auto"/>
        <w:ind w:left="567" w:hanging="567"/>
        <w:rPr>
          <w:rFonts w:ascii="Times New Roman" w:hAnsi="Times New Roman"/>
          <w:lang w:val="lt-LT"/>
        </w:rPr>
      </w:pPr>
    </w:p>
    <w:p w14:paraId="4258A415" w14:textId="06879E49"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 xml:space="preserve">Receptinis </w:t>
      </w:r>
      <w:r w:rsidR="00FD2257">
        <w:rPr>
          <w:rFonts w:ascii="Times New Roman" w:hAnsi="Times New Roman"/>
          <w:lang w:val="lt-LT"/>
        </w:rPr>
        <w:t>vaistas</w:t>
      </w:r>
      <w:r w:rsidRPr="00EE75B4">
        <w:rPr>
          <w:rFonts w:ascii="Times New Roman" w:hAnsi="Times New Roman"/>
          <w:lang w:val="lt-LT"/>
        </w:rPr>
        <w:t>.</w:t>
      </w:r>
    </w:p>
    <w:p w14:paraId="5D9BA0F4" w14:textId="77777777" w:rsidR="005427AE" w:rsidRPr="00EE75B4" w:rsidRDefault="005427AE" w:rsidP="005427AE">
      <w:pPr>
        <w:spacing w:after="0" w:line="240" w:lineRule="auto"/>
        <w:ind w:left="567" w:hanging="567"/>
        <w:rPr>
          <w:rFonts w:ascii="Times New Roman" w:hAnsi="Times New Roman"/>
          <w:lang w:val="lt-LT"/>
        </w:rPr>
      </w:pPr>
    </w:p>
    <w:p w14:paraId="367A9CFD" w14:textId="77777777" w:rsidR="005427AE" w:rsidRPr="00EE75B4" w:rsidRDefault="005427AE" w:rsidP="005427AE">
      <w:pPr>
        <w:spacing w:after="0" w:line="240" w:lineRule="auto"/>
        <w:ind w:left="567" w:hanging="567"/>
        <w:rPr>
          <w:rFonts w:ascii="Times New Roman" w:hAnsi="Times New Roman"/>
          <w:lang w:val="lt-LT"/>
        </w:rPr>
      </w:pPr>
    </w:p>
    <w:p w14:paraId="18E5626A" w14:textId="77777777" w:rsidR="005427AE" w:rsidRPr="00EE75B4" w:rsidRDefault="005427AE" w:rsidP="005427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EE75B4">
        <w:rPr>
          <w:rFonts w:ascii="Times New Roman" w:hAnsi="Times New Roman"/>
          <w:b/>
          <w:caps/>
          <w:lang w:val="lt-LT"/>
        </w:rPr>
        <w:t>15.</w:t>
      </w:r>
      <w:r w:rsidRPr="00EE75B4">
        <w:rPr>
          <w:rFonts w:ascii="Times New Roman" w:hAnsi="Times New Roman"/>
          <w:b/>
          <w:caps/>
          <w:lang w:val="lt-LT"/>
        </w:rPr>
        <w:tab/>
        <w:t>vartojimo instrukcijA</w:t>
      </w:r>
    </w:p>
    <w:p w14:paraId="32FD4171" w14:textId="77777777" w:rsidR="005427AE" w:rsidRPr="00EE75B4" w:rsidRDefault="005427AE" w:rsidP="005427AE">
      <w:pPr>
        <w:spacing w:after="0" w:line="240" w:lineRule="auto"/>
        <w:ind w:left="567" w:hanging="567"/>
        <w:rPr>
          <w:rFonts w:ascii="Times New Roman" w:hAnsi="Times New Roman"/>
          <w:lang w:val="lt-LT"/>
        </w:rPr>
      </w:pPr>
    </w:p>
    <w:p w14:paraId="38C46A16" w14:textId="77777777" w:rsidR="005427AE" w:rsidRPr="00EE75B4" w:rsidRDefault="005427AE" w:rsidP="005427AE">
      <w:pPr>
        <w:spacing w:after="0" w:line="240" w:lineRule="auto"/>
        <w:ind w:left="567" w:hanging="567"/>
        <w:rPr>
          <w:rFonts w:ascii="Times New Roman" w:hAnsi="Times New Roman"/>
          <w:lang w:val="lt-LT"/>
        </w:rPr>
      </w:pPr>
    </w:p>
    <w:p w14:paraId="6226A642" w14:textId="77777777" w:rsidR="005427AE" w:rsidRPr="00EE75B4" w:rsidRDefault="005427AE" w:rsidP="005427A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lt-LT"/>
        </w:rPr>
      </w:pPr>
      <w:r w:rsidRPr="00EE75B4">
        <w:rPr>
          <w:rFonts w:ascii="Times New Roman" w:hAnsi="Times New Roman"/>
          <w:b/>
          <w:lang w:val="lt-LT"/>
        </w:rPr>
        <w:t>16.</w:t>
      </w:r>
      <w:r w:rsidRPr="00EE75B4">
        <w:rPr>
          <w:rFonts w:ascii="Times New Roman" w:hAnsi="Times New Roman"/>
          <w:b/>
          <w:lang w:val="lt-LT"/>
        </w:rPr>
        <w:tab/>
        <w:t>INFORMACIJA BRAILIO RAŠTU</w:t>
      </w:r>
    </w:p>
    <w:p w14:paraId="7FC50AC3" w14:textId="77777777" w:rsidR="005427AE" w:rsidRPr="00EE75B4" w:rsidRDefault="005427AE" w:rsidP="005427AE">
      <w:pPr>
        <w:tabs>
          <w:tab w:val="left" w:pos="567"/>
        </w:tabs>
        <w:spacing w:after="0" w:line="260" w:lineRule="exact"/>
        <w:rPr>
          <w:rFonts w:ascii="Times New Roman" w:hAnsi="Times New Roman"/>
          <w:lang w:val="lt-LT"/>
        </w:rPr>
      </w:pPr>
    </w:p>
    <w:p w14:paraId="453AE468" w14:textId="77777777" w:rsidR="005427AE" w:rsidRPr="00EE75B4" w:rsidRDefault="005427AE" w:rsidP="005427AE">
      <w:pPr>
        <w:spacing w:after="0" w:line="240" w:lineRule="auto"/>
        <w:ind w:left="567" w:hanging="567"/>
        <w:rPr>
          <w:rFonts w:ascii="Times New Roman" w:hAnsi="Times New Roman"/>
          <w:lang w:val="lt-LT"/>
        </w:rPr>
      </w:pPr>
    </w:p>
    <w:p w14:paraId="7F595680" w14:textId="77777777" w:rsidR="005427AE" w:rsidRPr="00EE75B4" w:rsidRDefault="005427AE" w:rsidP="005427AE">
      <w:pPr>
        <w:spacing w:after="0" w:line="240" w:lineRule="auto"/>
        <w:jc w:val="center"/>
        <w:rPr>
          <w:rFonts w:ascii="Times New Roman" w:hAnsi="Times New Roman"/>
          <w:b/>
          <w:lang w:val="lt-LT"/>
        </w:rPr>
      </w:pPr>
    </w:p>
    <w:p w14:paraId="21585BD8" w14:textId="77777777" w:rsidR="005427AE" w:rsidRPr="00EE75B4" w:rsidRDefault="005427AE" w:rsidP="005427AE">
      <w:pPr>
        <w:spacing w:after="0" w:line="240" w:lineRule="auto"/>
        <w:jc w:val="center"/>
        <w:rPr>
          <w:rFonts w:ascii="Times New Roman" w:hAnsi="Times New Roman"/>
          <w:b/>
          <w:lang w:val="lt-LT"/>
        </w:rPr>
      </w:pPr>
      <w:r w:rsidRPr="00EE75B4">
        <w:rPr>
          <w:rFonts w:ascii="Times New Roman" w:hAnsi="Times New Roman"/>
          <w:b/>
          <w:lang w:val="lt-LT"/>
        </w:rPr>
        <w:br w:type="page"/>
      </w:r>
    </w:p>
    <w:p w14:paraId="55C8444F"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7EF1788A"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10AA5147"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70FCD01B"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2DC8884E"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0121F2C7"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0E6B78FD"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4C0D3A55"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3283AB9B"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005B1781"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41A15A33"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660E220E"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473D5EE8"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186ED2BC"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6E9731B6"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395B14E5"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763D5FBE"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2B8EF1F6"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25E5409D"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66EC7D22"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198960BD"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4650EEE7"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29E9EF42" w14:textId="77777777" w:rsidR="005427AE" w:rsidRPr="00EE75B4" w:rsidRDefault="005427AE" w:rsidP="005427AE">
      <w:pPr>
        <w:spacing w:after="0" w:line="240" w:lineRule="auto"/>
        <w:ind w:left="567" w:hanging="567"/>
        <w:jc w:val="center"/>
        <w:rPr>
          <w:rFonts w:ascii="Times New Roman" w:hAnsi="Times New Roman"/>
          <w:b/>
          <w:caps/>
          <w:lang w:val="lt-LT"/>
        </w:rPr>
      </w:pPr>
    </w:p>
    <w:p w14:paraId="0E8C7A91" w14:textId="77777777" w:rsidR="005427AE" w:rsidRPr="00EE75B4" w:rsidRDefault="005427AE" w:rsidP="005427AE">
      <w:pPr>
        <w:spacing w:after="0" w:line="240" w:lineRule="auto"/>
        <w:ind w:left="567" w:hanging="567"/>
        <w:jc w:val="center"/>
        <w:rPr>
          <w:rFonts w:ascii="Times New Roman" w:hAnsi="Times New Roman"/>
          <w:b/>
          <w:caps/>
          <w:lang w:val="lt-LT"/>
        </w:rPr>
      </w:pPr>
      <w:r w:rsidRPr="00EE75B4">
        <w:rPr>
          <w:rFonts w:ascii="Times New Roman" w:hAnsi="Times New Roman"/>
          <w:b/>
          <w:caps/>
          <w:lang w:val="lt-LT"/>
        </w:rPr>
        <w:t>B. PAKUOTĖS lapelis</w:t>
      </w:r>
    </w:p>
    <w:p w14:paraId="3E46BA02" w14:textId="77777777" w:rsidR="005427AE" w:rsidRPr="00EE75B4" w:rsidRDefault="005427AE" w:rsidP="005427AE">
      <w:pPr>
        <w:spacing w:after="0" w:line="240" w:lineRule="auto"/>
        <w:ind w:left="360"/>
        <w:jc w:val="center"/>
        <w:rPr>
          <w:rFonts w:ascii="Times New Roman" w:hAnsi="Times New Roman"/>
          <w:b/>
          <w:caps/>
          <w:lang w:val="lt-LT"/>
        </w:rPr>
      </w:pPr>
      <w:r w:rsidRPr="00EE75B4">
        <w:rPr>
          <w:rFonts w:ascii="Times New Roman" w:hAnsi="Times New Roman"/>
          <w:lang w:val="lt-LT"/>
        </w:rPr>
        <w:br w:type="page"/>
      </w:r>
      <w:r w:rsidRPr="00EE75B4">
        <w:rPr>
          <w:rFonts w:ascii="Times New Roman" w:hAnsi="Times New Roman"/>
          <w:b/>
          <w:lang w:val="lt-LT"/>
        </w:rPr>
        <w:lastRenderedPageBreak/>
        <w:t>Pakuotės lapelis: informacija vartotojui</w:t>
      </w:r>
    </w:p>
    <w:p w14:paraId="3A5AB472" w14:textId="77777777" w:rsidR="005427AE" w:rsidRPr="00EE75B4" w:rsidRDefault="005427AE" w:rsidP="005427AE">
      <w:pPr>
        <w:spacing w:after="0" w:line="240" w:lineRule="auto"/>
        <w:ind w:left="360"/>
        <w:jc w:val="center"/>
        <w:rPr>
          <w:rFonts w:ascii="Times New Roman" w:hAnsi="Times New Roman"/>
          <w:b/>
          <w:caps/>
          <w:lang w:val="lt-LT"/>
        </w:rPr>
      </w:pPr>
    </w:p>
    <w:p w14:paraId="44C94B76" w14:textId="77777777" w:rsidR="005427AE" w:rsidRPr="00EE75B4" w:rsidRDefault="005427AE" w:rsidP="005427AE">
      <w:pPr>
        <w:spacing w:after="0" w:line="240" w:lineRule="auto"/>
        <w:ind w:left="360"/>
        <w:jc w:val="center"/>
        <w:rPr>
          <w:rFonts w:ascii="Times New Roman" w:hAnsi="Times New Roman"/>
          <w:b/>
          <w:lang w:val="lt-LT"/>
        </w:rPr>
      </w:pPr>
      <w:proofErr w:type="spellStart"/>
      <w:r w:rsidRPr="00EE75B4">
        <w:rPr>
          <w:rFonts w:ascii="Times New Roman" w:hAnsi="Times New Roman"/>
          <w:b/>
          <w:lang w:val="lt-LT"/>
        </w:rPr>
        <w:t>Valganciclovir</w:t>
      </w:r>
      <w:proofErr w:type="spellEnd"/>
      <w:r w:rsidRPr="00EE75B4">
        <w:rPr>
          <w:rFonts w:ascii="Times New Roman" w:hAnsi="Times New Roman"/>
          <w:b/>
          <w:lang w:val="lt-LT"/>
        </w:rPr>
        <w:t xml:space="preserve"> </w:t>
      </w:r>
      <w:proofErr w:type="spellStart"/>
      <w:r w:rsidRPr="00EE75B4">
        <w:rPr>
          <w:rFonts w:ascii="Times New Roman" w:hAnsi="Times New Roman"/>
          <w:b/>
          <w:lang w:val="lt-LT"/>
        </w:rPr>
        <w:t>Accord</w:t>
      </w:r>
      <w:proofErr w:type="spellEnd"/>
      <w:r w:rsidRPr="00EE75B4">
        <w:rPr>
          <w:rFonts w:ascii="Times New Roman" w:hAnsi="Times New Roman"/>
          <w:b/>
          <w:lang w:val="lt-LT"/>
        </w:rPr>
        <w:t xml:space="preserve"> 450 mg plėvele dengtos tabletės</w:t>
      </w:r>
    </w:p>
    <w:p w14:paraId="7960C3BB" w14:textId="1BCFFE3C" w:rsidR="005427AE" w:rsidRPr="00EE75B4" w:rsidRDefault="00F933F3" w:rsidP="005427AE">
      <w:pPr>
        <w:spacing w:after="0" w:line="240" w:lineRule="auto"/>
        <w:ind w:left="360"/>
        <w:jc w:val="center"/>
        <w:rPr>
          <w:rFonts w:ascii="Times New Roman" w:hAnsi="Times New Roman"/>
          <w:b/>
          <w:caps/>
          <w:lang w:val="lt-LT"/>
        </w:rPr>
      </w:pPr>
      <w:proofErr w:type="spellStart"/>
      <w:r>
        <w:rPr>
          <w:rFonts w:ascii="Times New Roman" w:hAnsi="Times New Roman"/>
          <w:lang w:val="lt-LT"/>
        </w:rPr>
        <w:t>v</w:t>
      </w:r>
      <w:r w:rsidRPr="00EE75B4">
        <w:rPr>
          <w:rFonts w:ascii="Times New Roman" w:hAnsi="Times New Roman"/>
          <w:lang w:val="lt-LT"/>
        </w:rPr>
        <w:t>algancikloviras</w:t>
      </w:r>
      <w:proofErr w:type="spellEnd"/>
    </w:p>
    <w:p w14:paraId="1041E349" w14:textId="77777777" w:rsidR="005427AE" w:rsidRPr="00EE75B4" w:rsidRDefault="005427AE" w:rsidP="005427AE">
      <w:pPr>
        <w:spacing w:after="0" w:line="240" w:lineRule="auto"/>
        <w:rPr>
          <w:rFonts w:ascii="Times New Roman" w:hAnsi="Times New Roman"/>
          <w:lang w:val="lt-LT"/>
        </w:rPr>
      </w:pPr>
    </w:p>
    <w:p w14:paraId="4AB90EDB" w14:textId="77777777" w:rsidR="005427AE" w:rsidRPr="00EE75B4" w:rsidRDefault="005427AE" w:rsidP="005427AE">
      <w:pPr>
        <w:spacing w:after="0" w:line="240" w:lineRule="auto"/>
        <w:jc w:val="center"/>
        <w:rPr>
          <w:rFonts w:ascii="Times New Roman" w:hAnsi="Times New Roman"/>
          <w:lang w:val="lt-LT"/>
        </w:rPr>
      </w:pPr>
    </w:p>
    <w:p w14:paraId="387BCF43" w14:textId="77777777" w:rsidR="005427AE" w:rsidRPr="00EE75B4" w:rsidRDefault="005427AE" w:rsidP="005427AE">
      <w:pPr>
        <w:suppressAutoHyphens/>
        <w:spacing w:after="0" w:line="240" w:lineRule="auto"/>
        <w:rPr>
          <w:rFonts w:ascii="Times New Roman" w:hAnsi="Times New Roman"/>
          <w:lang w:val="lt-LT"/>
        </w:rPr>
      </w:pPr>
      <w:r w:rsidRPr="00EE75B4">
        <w:rPr>
          <w:rFonts w:ascii="Times New Roman" w:hAnsi="Times New Roman"/>
          <w:b/>
          <w:lang w:val="lt-LT"/>
        </w:rPr>
        <w:t>Atidžiai perskaitykite visą šį lapelį, prieš pradėdami vartoti vaistą, nes jame pateikiama Jums svarbi informacija.</w:t>
      </w:r>
    </w:p>
    <w:p w14:paraId="00CAFFCE" w14:textId="77777777" w:rsidR="005427AE" w:rsidRPr="00EE75B4" w:rsidRDefault="005427AE" w:rsidP="005427AE">
      <w:pPr>
        <w:numPr>
          <w:ilvl w:val="0"/>
          <w:numId w:val="1"/>
        </w:numPr>
        <w:spacing w:after="0" w:line="240" w:lineRule="auto"/>
        <w:ind w:left="567" w:hanging="567"/>
        <w:rPr>
          <w:rFonts w:ascii="Times New Roman" w:hAnsi="Times New Roman"/>
          <w:lang w:val="lt-LT"/>
        </w:rPr>
      </w:pPr>
      <w:r w:rsidRPr="00EE75B4">
        <w:rPr>
          <w:rFonts w:ascii="Times New Roman" w:hAnsi="Times New Roman"/>
          <w:lang w:val="lt-LT"/>
        </w:rPr>
        <w:t>Neišmeskite šio lapelio, nes vėl gali prireikti jį perskaityti.</w:t>
      </w:r>
    </w:p>
    <w:p w14:paraId="06C439BC" w14:textId="77777777" w:rsidR="005427AE" w:rsidRPr="00EE75B4" w:rsidRDefault="005427AE" w:rsidP="005427AE">
      <w:pPr>
        <w:numPr>
          <w:ilvl w:val="0"/>
          <w:numId w:val="2"/>
        </w:numPr>
        <w:spacing w:after="0" w:line="240" w:lineRule="auto"/>
        <w:ind w:left="567" w:right="-2" w:hanging="567"/>
        <w:rPr>
          <w:rFonts w:ascii="Times New Roman" w:hAnsi="Times New Roman"/>
          <w:lang w:val="lt-LT"/>
        </w:rPr>
      </w:pPr>
      <w:r w:rsidRPr="00EE75B4">
        <w:rPr>
          <w:rFonts w:ascii="Times New Roman" w:hAnsi="Times New Roman"/>
          <w:lang w:val="lt-LT"/>
        </w:rPr>
        <w:t>Jeigu kiltų daugiau klausimų, kreipkitės į gydytoją arba vaistininką.</w:t>
      </w:r>
    </w:p>
    <w:p w14:paraId="30E7A81B" w14:textId="77777777" w:rsidR="005427AE" w:rsidRPr="00EE75B4" w:rsidRDefault="005427AE" w:rsidP="005427AE">
      <w:pPr>
        <w:numPr>
          <w:ilvl w:val="0"/>
          <w:numId w:val="3"/>
        </w:numPr>
        <w:spacing w:after="0" w:line="240" w:lineRule="auto"/>
        <w:ind w:left="567" w:right="-2" w:hanging="567"/>
        <w:rPr>
          <w:rFonts w:ascii="Times New Roman" w:hAnsi="Times New Roman"/>
          <w:lang w:val="lt-LT"/>
        </w:rPr>
      </w:pPr>
      <w:r w:rsidRPr="00EE75B4">
        <w:rPr>
          <w:rFonts w:ascii="Times New Roman" w:hAnsi="Times New Roman"/>
          <w:lang w:val="lt-LT"/>
        </w:rPr>
        <w:t>Šis vaistas skirtas tik Jums, todėl kitiems žmonėms jo duoti negalima. Vaistas gali jiems pakenkti (net tiems, kurių ligos požymiai yra tokie patys kaip Jūsų).</w:t>
      </w:r>
    </w:p>
    <w:p w14:paraId="4228EBBD" w14:textId="77777777" w:rsidR="005427AE" w:rsidRPr="00EE75B4" w:rsidRDefault="005427AE" w:rsidP="005427AE">
      <w:pPr>
        <w:numPr>
          <w:ilvl w:val="0"/>
          <w:numId w:val="3"/>
        </w:numPr>
        <w:spacing w:after="0" w:line="240" w:lineRule="auto"/>
        <w:ind w:left="567" w:right="-2" w:hanging="567"/>
        <w:rPr>
          <w:rFonts w:ascii="Times New Roman" w:hAnsi="Times New Roman"/>
          <w:b/>
          <w:lang w:val="lt-LT"/>
        </w:rPr>
      </w:pPr>
      <w:r w:rsidRPr="00EE75B4">
        <w:rPr>
          <w:rFonts w:ascii="Times New Roman" w:hAnsi="Times New Roman"/>
          <w:lang w:val="lt-LT"/>
        </w:rPr>
        <w:t>Jeigu pasireiškė šalutinis poveikis (net jeigu jis šiame lapelyje nenurodytas), kreipkitės į gydytoją arba vaistininką. Žr. 4 skyrių.</w:t>
      </w:r>
    </w:p>
    <w:p w14:paraId="36E87E46" w14:textId="77777777" w:rsidR="005427AE" w:rsidRPr="00EE75B4" w:rsidRDefault="005427AE" w:rsidP="005427AE">
      <w:pPr>
        <w:spacing w:after="0" w:line="240" w:lineRule="auto"/>
        <w:ind w:right="-2"/>
        <w:rPr>
          <w:rFonts w:ascii="Times New Roman" w:hAnsi="Times New Roman"/>
          <w:lang w:val="lt-LT"/>
        </w:rPr>
      </w:pPr>
    </w:p>
    <w:p w14:paraId="1041260A" w14:textId="77777777" w:rsidR="005427AE" w:rsidRPr="00EE75B4" w:rsidRDefault="005427AE" w:rsidP="005427AE">
      <w:pPr>
        <w:spacing w:after="0" w:line="240" w:lineRule="auto"/>
        <w:rPr>
          <w:rFonts w:ascii="Times New Roman" w:hAnsi="Times New Roman"/>
          <w:lang w:val="lt-LT"/>
        </w:rPr>
      </w:pPr>
    </w:p>
    <w:p w14:paraId="2E5D029C" w14:textId="77777777" w:rsidR="005427AE" w:rsidRPr="00EE75B4" w:rsidRDefault="005427AE" w:rsidP="005427AE">
      <w:pPr>
        <w:spacing w:after="0" w:line="240" w:lineRule="auto"/>
        <w:rPr>
          <w:rFonts w:ascii="Times New Roman" w:hAnsi="Times New Roman"/>
          <w:b/>
          <w:lang w:val="lt-LT"/>
        </w:rPr>
      </w:pPr>
      <w:r w:rsidRPr="00EE75B4">
        <w:rPr>
          <w:rFonts w:ascii="Times New Roman" w:hAnsi="Times New Roman"/>
          <w:b/>
          <w:lang w:val="lt-LT"/>
        </w:rPr>
        <w:t>Apie ką rašoma šiame lapelyje?</w:t>
      </w:r>
    </w:p>
    <w:p w14:paraId="4139DE42" w14:textId="77777777" w:rsidR="005427AE" w:rsidRPr="00EE75B4" w:rsidRDefault="005427AE" w:rsidP="005427AE">
      <w:pPr>
        <w:numPr>
          <w:ilvl w:val="0"/>
          <w:numId w:val="20"/>
        </w:numPr>
        <w:spacing w:after="0" w:line="240" w:lineRule="auto"/>
        <w:ind w:left="567" w:hanging="567"/>
        <w:rPr>
          <w:rFonts w:ascii="Times New Roman" w:hAnsi="Times New Roman"/>
          <w:lang w:val="lt-LT"/>
        </w:rPr>
      </w:pPr>
      <w:r w:rsidRPr="00EE75B4">
        <w:rPr>
          <w:rFonts w:ascii="Times New Roman" w:hAnsi="Times New Roman"/>
          <w:lang w:val="lt-LT"/>
        </w:rPr>
        <w:t xml:space="preserve">Kas yra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ir kam jis vartojamas</w:t>
      </w:r>
    </w:p>
    <w:p w14:paraId="64105DAB" w14:textId="77777777" w:rsidR="005427AE" w:rsidRPr="00EE75B4" w:rsidRDefault="005427AE" w:rsidP="005427AE">
      <w:pPr>
        <w:numPr>
          <w:ilvl w:val="0"/>
          <w:numId w:val="20"/>
        </w:numPr>
        <w:spacing w:after="0" w:line="240" w:lineRule="auto"/>
        <w:ind w:left="567" w:hanging="567"/>
        <w:rPr>
          <w:rFonts w:ascii="Times New Roman" w:hAnsi="Times New Roman"/>
          <w:lang w:val="lt-LT"/>
        </w:rPr>
      </w:pPr>
      <w:r w:rsidRPr="00EE75B4">
        <w:rPr>
          <w:rFonts w:ascii="Times New Roman" w:hAnsi="Times New Roman"/>
          <w:lang w:val="lt-LT"/>
        </w:rPr>
        <w:t xml:space="preserve">Kas žinotina prieš vartojant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p>
    <w:p w14:paraId="62E66533" w14:textId="77777777" w:rsidR="005427AE" w:rsidRPr="00EE75B4" w:rsidRDefault="005427AE" w:rsidP="005427AE">
      <w:pPr>
        <w:numPr>
          <w:ilvl w:val="0"/>
          <w:numId w:val="20"/>
        </w:numPr>
        <w:spacing w:after="0" w:line="240" w:lineRule="auto"/>
        <w:ind w:left="567" w:hanging="567"/>
        <w:rPr>
          <w:rFonts w:ascii="Times New Roman" w:hAnsi="Times New Roman"/>
          <w:lang w:val="lt-LT"/>
        </w:rPr>
      </w:pPr>
      <w:r w:rsidRPr="00EE75B4">
        <w:rPr>
          <w:rFonts w:ascii="Times New Roman" w:hAnsi="Times New Roman"/>
          <w:lang w:val="lt-LT"/>
        </w:rPr>
        <w:t xml:space="preserve">Kaip vartoti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p>
    <w:p w14:paraId="3BC54DF0" w14:textId="77777777" w:rsidR="005427AE" w:rsidRPr="00EE75B4" w:rsidRDefault="005427AE" w:rsidP="005427AE">
      <w:pPr>
        <w:numPr>
          <w:ilvl w:val="0"/>
          <w:numId w:val="20"/>
        </w:numPr>
        <w:spacing w:after="0" w:line="240" w:lineRule="auto"/>
        <w:ind w:left="567" w:hanging="567"/>
        <w:rPr>
          <w:rFonts w:ascii="Times New Roman" w:hAnsi="Times New Roman"/>
          <w:lang w:val="lt-LT"/>
        </w:rPr>
      </w:pPr>
      <w:r w:rsidRPr="00EE75B4">
        <w:rPr>
          <w:rFonts w:ascii="Times New Roman" w:hAnsi="Times New Roman"/>
          <w:lang w:val="lt-LT"/>
        </w:rPr>
        <w:t>Galimas šalutinis poveikis</w:t>
      </w:r>
    </w:p>
    <w:p w14:paraId="1B4BC60F" w14:textId="77777777" w:rsidR="005427AE" w:rsidRPr="00EE75B4" w:rsidRDefault="005427AE" w:rsidP="005427AE">
      <w:pPr>
        <w:numPr>
          <w:ilvl w:val="0"/>
          <w:numId w:val="20"/>
        </w:numPr>
        <w:spacing w:after="0" w:line="240" w:lineRule="auto"/>
        <w:ind w:left="567" w:hanging="567"/>
        <w:rPr>
          <w:rFonts w:ascii="Times New Roman" w:hAnsi="Times New Roman"/>
          <w:lang w:val="lt-LT"/>
        </w:rPr>
      </w:pPr>
      <w:r w:rsidRPr="00EE75B4">
        <w:rPr>
          <w:rFonts w:ascii="Times New Roman" w:hAnsi="Times New Roman"/>
          <w:lang w:val="lt-LT"/>
        </w:rPr>
        <w:t xml:space="preserve">Kaip laikyti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w:t>
      </w:r>
    </w:p>
    <w:p w14:paraId="44F9E712" w14:textId="77777777" w:rsidR="005427AE" w:rsidRPr="00EE75B4" w:rsidRDefault="005427AE" w:rsidP="005427AE">
      <w:pPr>
        <w:numPr>
          <w:ilvl w:val="0"/>
          <w:numId w:val="20"/>
        </w:numPr>
        <w:spacing w:after="0" w:line="240" w:lineRule="auto"/>
        <w:ind w:left="567" w:hanging="567"/>
        <w:rPr>
          <w:rFonts w:ascii="Times New Roman" w:hAnsi="Times New Roman"/>
          <w:lang w:val="lt-LT"/>
        </w:rPr>
      </w:pPr>
      <w:r w:rsidRPr="00EE75B4">
        <w:rPr>
          <w:rFonts w:ascii="Times New Roman" w:hAnsi="Times New Roman"/>
          <w:lang w:val="lt-LT"/>
        </w:rPr>
        <w:t>Pakuotės turinys ir kita informacija</w:t>
      </w:r>
    </w:p>
    <w:p w14:paraId="42226B2A" w14:textId="77777777" w:rsidR="005427AE" w:rsidRPr="00EE75B4" w:rsidRDefault="005427AE" w:rsidP="005427AE">
      <w:pPr>
        <w:spacing w:after="0" w:line="240" w:lineRule="auto"/>
        <w:rPr>
          <w:rFonts w:ascii="Times New Roman" w:hAnsi="Times New Roman"/>
          <w:lang w:val="lt-LT"/>
        </w:rPr>
      </w:pPr>
    </w:p>
    <w:p w14:paraId="3D760AFE" w14:textId="77777777" w:rsidR="005427AE" w:rsidRPr="00EE75B4" w:rsidRDefault="005427AE" w:rsidP="005427AE">
      <w:pPr>
        <w:spacing w:after="0" w:line="240" w:lineRule="auto"/>
        <w:rPr>
          <w:rFonts w:ascii="Times New Roman" w:hAnsi="Times New Roman"/>
          <w:lang w:val="lt-LT"/>
        </w:rPr>
      </w:pPr>
    </w:p>
    <w:p w14:paraId="749078DA" w14:textId="77777777" w:rsidR="005427AE" w:rsidRPr="00EE75B4" w:rsidRDefault="005427AE" w:rsidP="005427AE">
      <w:pPr>
        <w:tabs>
          <w:tab w:val="left" w:pos="567"/>
        </w:tabs>
        <w:spacing w:after="0" w:line="240" w:lineRule="auto"/>
        <w:rPr>
          <w:rFonts w:ascii="Times New Roman" w:hAnsi="Times New Roman"/>
          <w:lang w:val="lt-LT"/>
        </w:rPr>
      </w:pPr>
      <w:r w:rsidRPr="00EE75B4">
        <w:rPr>
          <w:rFonts w:ascii="Times New Roman" w:hAnsi="Times New Roman"/>
          <w:b/>
          <w:lang w:val="lt-LT"/>
        </w:rPr>
        <w:t>1.</w:t>
      </w:r>
      <w:r w:rsidRPr="00EE75B4">
        <w:rPr>
          <w:rFonts w:ascii="Times New Roman" w:hAnsi="Times New Roman"/>
          <w:b/>
          <w:lang w:val="lt-LT"/>
        </w:rPr>
        <w:tab/>
        <w:t xml:space="preserve">Kas yra </w:t>
      </w:r>
      <w:proofErr w:type="spellStart"/>
      <w:r w:rsidRPr="00EE75B4">
        <w:rPr>
          <w:rFonts w:ascii="Times New Roman" w:hAnsi="Times New Roman"/>
          <w:b/>
          <w:lang w:val="lt-LT"/>
        </w:rPr>
        <w:t>Valganciclovir</w:t>
      </w:r>
      <w:proofErr w:type="spellEnd"/>
      <w:r w:rsidRPr="00EE75B4">
        <w:rPr>
          <w:rFonts w:ascii="Times New Roman" w:hAnsi="Times New Roman"/>
          <w:b/>
          <w:lang w:val="lt-LT"/>
        </w:rPr>
        <w:t xml:space="preserve"> </w:t>
      </w:r>
      <w:proofErr w:type="spellStart"/>
      <w:r w:rsidRPr="00EE75B4">
        <w:rPr>
          <w:rFonts w:ascii="Times New Roman" w:hAnsi="Times New Roman"/>
          <w:b/>
          <w:lang w:val="lt-LT"/>
        </w:rPr>
        <w:t>Accord</w:t>
      </w:r>
      <w:proofErr w:type="spellEnd"/>
      <w:r w:rsidRPr="00EE75B4">
        <w:rPr>
          <w:rFonts w:ascii="Times New Roman" w:hAnsi="Times New Roman"/>
          <w:b/>
          <w:lang w:val="lt-LT"/>
        </w:rPr>
        <w:t xml:space="preserve"> ir kam jis vartojamas</w:t>
      </w:r>
    </w:p>
    <w:p w14:paraId="65794771" w14:textId="77777777" w:rsidR="005427AE" w:rsidRPr="00EE75B4" w:rsidRDefault="005427AE" w:rsidP="005427AE">
      <w:pPr>
        <w:spacing w:after="0" w:line="240" w:lineRule="auto"/>
        <w:rPr>
          <w:rFonts w:ascii="Times New Roman" w:hAnsi="Times New Roman"/>
          <w:lang w:val="lt-LT"/>
        </w:rPr>
      </w:pPr>
    </w:p>
    <w:p w14:paraId="78B6AAD1"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priklauso grupei vaistų, tiesiogiai neleidžiančių daugintis virusams. Veiklioji tablečių medžiaga </w:t>
      </w:r>
      <w:proofErr w:type="spellStart"/>
      <w:r w:rsidRPr="00EE75B4">
        <w:rPr>
          <w:rFonts w:ascii="Times New Roman" w:hAnsi="Times New Roman"/>
          <w:lang w:val="lt-LT"/>
        </w:rPr>
        <w:t>valgancikloviras</w:t>
      </w:r>
      <w:proofErr w:type="spellEnd"/>
      <w:r w:rsidRPr="00EE75B4">
        <w:rPr>
          <w:rFonts w:ascii="Times New Roman" w:hAnsi="Times New Roman"/>
          <w:lang w:val="lt-LT"/>
        </w:rPr>
        <w:t xml:space="preserve"> organizme paverčiama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w:t>
      </w:r>
      <w:proofErr w:type="spellStart"/>
      <w:r w:rsidRPr="00EE75B4">
        <w:rPr>
          <w:rFonts w:ascii="Times New Roman" w:hAnsi="Times New Roman"/>
          <w:lang w:val="lt-LT"/>
        </w:rPr>
        <w:t>Gancikloviras</w:t>
      </w:r>
      <w:proofErr w:type="spellEnd"/>
      <w:r w:rsidRPr="00EE75B4">
        <w:rPr>
          <w:rFonts w:ascii="Times New Roman" w:hAnsi="Times New Roman"/>
          <w:lang w:val="lt-LT"/>
        </w:rPr>
        <w:t xml:space="preserve"> neleidžia virusams, vadinamiems </w:t>
      </w:r>
      <w:proofErr w:type="spellStart"/>
      <w:r w:rsidRPr="00EE75B4">
        <w:rPr>
          <w:rFonts w:ascii="Times New Roman" w:hAnsi="Times New Roman"/>
          <w:lang w:val="lt-LT"/>
        </w:rPr>
        <w:t>citomegalo</w:t>
      </w:r>
      <w:proofErr w:type="spellEnd"/>
      <w:r w:rsidRPr="00EE75B4">
        <w:rPr>
          <w:rFonts w:ascii="Times New Roman" w:hAnsi="Times New Roman"/>
          <w:lang w:val="lt-LT"/>
        </w:rPr>
        <w:t xml:space="preserve"> virusais (CMV), daugintis ir skverbtis į sveikas ląsteles. Pacientams, kurių imuninė sistema susilpnėjusi, CMV gali sukelti organų infekciją. Tai gali būti pavojinga gyvybei.</w:t>
      </w:r>
    </w:p>
    <w:p w14:paraId="12C3FBEE" w14:textId="77777777" w:rsidR="005427AE" w:rsidRPr="00EE75B4" w:rsidRDefault="005427AE" w:rsidP="005427AE">
      <w:pPr>
        <w:spacing w:after="0" w:line="240" w:lineRule="auto"/>
        <w:rPr>
          <w:rFonts w:ascii="Times New Roman" w:hAnsi="Times New Roman"/>
          <w:lang w:val="lt-LT"/>
        </w:rPr>
      </w:pPr>
    </w:p>
    <w:p w14:paraId="03A49170"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vartojamas:</w:t>
      </w:r>
    </w:p>
    <w:p w14:paraId="5B6C1D19" w14:textId="77777777" w:rsidR="005427AE" w:rsidRPr="00EE75B4" w:rsidRDefault="005427AE" w:rsidP="00813362">
      <w:pPr>
        <w:numPr>
          <w:ilvl w:val="0"/>
          <w:numId w:val="25"/>
        </w:numPr>
        <w:tabs>
          <w:tab w:val="num" w:pos="567"/>
        </w:tabs>
        <w:spacing w:after="0" w:line="240" w:lineRule="auto"/>
        <w:ind w:left="567" w:hanging="567"/>
        <w:rPr>
          <w:rFonts w:ascii="Times New Roman" w:hAnsi="Times New Roman"/>
          <w:lang w:val="lt-LT"/>
        </w:rPr>
      </w:pPr>
      <w:r w:rsidRPr="00EE75B4">
        <w:rPr>
          <w:rFonts w:ascii="Times New Roman" w:hAnsi="Times New Roman"/>
          <w:lang w:val="lt-LT"/>
        </w:rPr>
        <w:t>suaugusiųjų pacientų, kuriems yra įgytas imunodeficito sindromas (AIDS), CMV sukeltoms akių tinklainės infekcijoms gydyti. CMV sukelta akių tinklainės infekcija gali trikdyti regėjimą ir net sukelti aklumą;</w:t>
      </w:r>
    </w:p>
    <w:p w14:paraId="5DA536C0" w14:textId="77777777" w:rsidR="005427AE" w:rsidRPr="00EE75B4" w:rsidRDefault="005427AE" w:rsidP="00813362">
      <w:pPr>
        <w:numPr>
          <w:ilvl w:val="0"/>
          <w:numId w:val="25"/>
        </w:numPr>
        <w:tabs>
          <w:tab w:val="num" w:pos="567"/>
        </w:tabs>
        <w:spacing w:after="0" w:line="240" w:lineRule="auto"/>
        <w:ind w:left="567" w:hanging="567"/>
        <w:rPr>
          <w:rFonts w:ascii="Times New Roman" w:hAnsi="Times New Roman"/>
          <w:lang w:val="lt-LT"/>
        </w:rPr>
      </w:pPr>
      <w:r w:rsidRPr="00EE75B4">
        <w:rPr>
          <w:rFonts w:ascii="Times New Roman" w:hAnsi="Times New Roman"/>
          <w:lang w:val="lt-LT"/>
        </w:rPr>
        <w:t>CMV sukeltų infekcijų profilaktikai suaugusiems ir vaikams, kurie nėra apsikrėtę CMV ir jiems persodintas CMV apsikrėtusio asmens organas.</w:t>
      </w:r>
    </w:p>
    <w:p w14:paraId="26324875" w14:textId="77777777" w:rsidR="005427AE" w:rsidRPr="00EE75B4" w:rsidRDefault="005427AE" w:rsidP="005427AE">
      <w:pPr>
        <w:spacing w:after="0" w:line="240" w:lineRule="auto"/>
        <w:rPr>
          <w:rFonts w:ascii="Times New Roman" w:hAnsi="Times New Roman"/>
          <w:lang w:val="lt-LT"/>
        </w:rPr>
      </w:pPr>
    </w:p>
    <w:p w14:paraId="721268C6" w14:textId="77777777" w:rsidR="005427AE" w:rsidRPr="00EE75B4" w:rsidRDefault="005427AE" w:rsidP="005427AE">
      <w:pPr>
        <w:spacing w:after="0" w:line="240" w:lineRule="auto"/>
        <w:rPr>
          <w:rFonts w:ascii="Times New Roman" w:hAnsi="Times New Roman"/>
          <w:lang w:val="lt-LT"/>
        </w:rPr>
      </w:pPr>
    </w:p>
    <w:p w14:paraId="474A5D94" w14:textId="77777777" w:rsidR="005427AE" w:rsidRPr="00EE75B4" w:rsidRDefault="005427AE" w:rsidP="005427AE">
      <w:pPr>
        <w:numPr>
          <w:ilvl w:val="0"/>
          <w:numId w:val="6"/>
        </w:numPr>
        <w:spacing w:after="0" w:line="240" w:lineRule="auto"/>
        <w:ind w:left="567" w:hanging="567"/>
        <w:rPr>
          <w:rFonts w:ascii="Times New Roman" w:hAnsi="Times New Roman"/>
          <w:lang w:val="lt-LT"/>
        </w:rPr>
      </w:pPr>
      <w:r w:rsidRPr="00EE75B4">
        <w:rPr>
          <w:rFonts w:ascii="Times New Roman" w:hAnsi="Times New Roman"/>
          <w:b/>
          <w:lang w:val="lt-LT"/>
        </w:rPr>
        <w:t xml:space="preserve">Kas žinotina prieš vartojant </w:t>
      </w:r>
      <w:proofErr w:type="spellStart"/>
      <w:r w:rsidRPr="00EE75B4">
        <w:rPr>
          <w:rFonts w:ascii="Times New Roman" w:hAnsi="Times New Roman"/>
          <w:b/>
          <w:lang w:val="lt-LT"/>
        </w:rPr>
        <w:t>Valganciclovir</w:t>
      </w:r>
      <w:proofErr w:type="spellEnd"/>
      <w:r w:rsidRPr="00EE75B4">
        <w:rPr>
          <w:rFonts w:ascii="Times New Roman" w:hAnsi="Times New Roman"/>
          <w:b/>
          <w:lang w:val="lt-LT"/>
        </w:rPr>
        <w:t xml:space="preserve"> </w:t>
      </w:r>
      <w:proofErr w:type="spellStart"/>
      <w:r w:rsidRPr="00EE75B4">
        <w:rPr>
          <w:rFonts w:ascii="Times New Roman" w:hAnsi="Times New Roman"/>
          <w:b/>
          <w:lang w:val="lt-LT"/>
        </w:rPr>
        <w:t>Accord</w:t>
      </w:r>
      <w:proofErr w:type="spellEnd"/>
    </w:p>
    <w:p w14:paraId="0AF4D51B" w14:textId="77777777" w:rsidR="005427AE" w:rsidRPr="00EE75B4" w:rsidRDefault="005427AE" w:rsidP="005427AE">
      <w:pPr>
        <w:spacing w:after="0" w:line="240" w:lineRule="auto"/>
        <w:rPr>
          <w:rFonts w:ascii="Times New Roman" w:hAnsi="Times New Roman"/>
          <w:lang w:val="lt-LT"/>
        </w:rPr>
      </w:pPr>
    </w:p>
    <w:p w14:paraId="6DA01438" w14:textId="1559019E"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b/>
          <w:lang w:val="lt-LT"/>
        </w:rPr>
        <w:t>Valganciclovir</w:t>
      </w:r>
      <w:proofErr w:type="spellEnd"/>
      <w:r w:rsidRPr="00EE75B4">
        <w:rPr>
          <w:rFonts w:ascii="Times New Roman" w:hAnsi="Times New Roman"/>
          <w:b/>
          <w:lang w:val="lt-LT"/>
        </w:rPr>
        <w:t xml:space="preserve"> </w:t>
      </w:r>
      <w:proofErr w:type="spellStart"/>
      <w:r w:rsidRPr="00EE75B4">
        <w:rPr>
          <w:rFonts w:ascii="Times New Roman" w:hAnsi="Times New Roman"/>
          <w:b/>
          <w:lang w:val="lt-LT"/>
        </w:rPr>
        <w:t>Accord</w:t>
      </w:r>
      <w:proofErr w:type="spellEnd"/>
      <w:r w:rsidRPr="00EE75B4">
        <w:rPr>
          <w:rFonts w:ascii="Times New Roman" w:hAnsi="Times New Roman"/>
          <w:lang w:val="lt-LT"/>
        </w:rPr>
        <w:t xml:space="preserve"> </w:t>
      </w:r>
      <w:r w:rsidRPr="00EE75B4">
        <w:rPr>
          <w:rFonts w:ascii="Times New Roman" w:hAnsi="Times New Roman"/>
          <w:b/>
          <w:lang w:val="lt-LT"/>
        </w:rPr>
        <w:t xml:space="preserve">vartoti </w:t>
      </w:r>
      <w:r w:rsidR="00987758">
        <w:rPr>
          <w:rFonts w:ascii="Times New Roman" w:hAnsi="Times New Roman"/>
          <w:b/>
          <w:lang w:val="lt-LT"/>
        </w:rPr>
        <w:t>draudžiama</w:t>
      </w:r>
      <w:r w:rsidRPr="00EE75B4">
        <w:rPr>
          <w:rFonts w:ascii="Times New Roman" w:hAnsi="Times New Roman"/>
          <w:b/>
          <w:lang w:val="lt-LT"/>
        </w:rPr>
        <w:t>:</w:t>
      </w:r>
    </w:p>
    <w:p w14:paraId="31349704" w14:textId="77777777" w:rsidR="005427AE" w:rsidRPr="00EE75B4" w:rsidRDefault="005427AE" w:rsidP="005427AE">
      <w:pPr>
        <w:spacing w:after="0" w:line="240" w:lineRule="auto"/>
        <w:ind w:left="567" w:hanging="567"/>
        <w:rPr>
          <w:rFonts w:ascii="Times New Roman" w:hAnsi="Times New Roman"/>
          <w:lang w:val="lt-LT"/>
        </w:rPr>
      </w:pPr>
      <w:r w:rsidRPr="00EE75B4">
        <w:rPr>
          <w:rFonts w:ascii="Times New Roman" w:hAnsi="Times New Roman"/>
          <w:lang w:val="lt-LT"/>
        </w:rPr>
        <w:t>-</w:t>
      </w:r>
      <w:r w:rsidRPr="00EE75B4">
        <w:rPr>
          <w:rFonts w:ascii="Times New Roman" w:hAnsi="Times New Roman"/>
          <w:lang w:val="lt-LT"/>
        </w:rPr>
        <w:tab/>
        <w:t xml:space="preserve">jeigu yra alergija </w:t>
      </w:r>
      <w:proofErr w:type="spellStart"/>
      <w:r w:rsidRPr="00EE75B4">
        <w:rPr>
          <w:rFonts w:ascii="Times New Roman" w:hAnsi="Times New Roman"/>
          <w:lang w:val="lt-LT"/>
        </w:rPr>
        <w:t>valganciklovirui</w:t>
      </w:r>
      <w:proofErr w:type="spellEnd"/>
      <w:r w:rsidR="00655F3C" w:rsidRPr="00EE75B4">
        <w:rPr>
          <w:rFonts w:ascii="Times New Roman" w:eastAsia="Times New Roman" w:hAnsi="Times New Roman"/>
          <w:lang w:val="lt-LT" w:eastAsia="ja-JP"/>
        </w:rPr>
        <w:t xml:space="preserve">, </w:t>
      </w:r>
      <w:proofErr w:type="spellStart"/>
      <w:r w:rsidR="00655F3C" w:rsidRPr="00EE75B4">
        <w:rPr>
          <w:rFonts w:ascii="Times New Roman" w:eastAsia="Times New Roman" w:hAnsi="Times New Roman"/>
          <w:lang w:val="lt-LT" w:eastAsia="ja-JP"/>
        </w:rPr>
        <w:t>ganciklovirui</w:t>
      </w:r>
      <w:proofErr w:type="spellEnd"/>
      <w:r w:rsidRPr="00EE75B4">
        <w:rPr>
          <w:rFonts w:ascii="Times New Roman" w:hAnsi="Times New Roman"/>
          <w:lang w:val="lt-LT"/>
        </w:rPr>
        <w:t xml:space="preserve"> arba bet kuriai pagalbinei šio vaisto medžiagai (jos išvardytos 6 skyriuje);</w:t>
      </w:r>
    </w:p>
    <w:p w14:paraId="499232DE" w14:textId="77777777" w:rsidR="005427AE" w:rsidRPr="00EE75B4" w:rsidRDefault="005427AE" w:rsidP="005427AE">
      <w:pPr>
        <w:numPr>
          <w:ilvl w:val="0"/>
          <w:numId w:val="7"/>
        </w:numPr>
        <w:spacing w:after="0" w:line="240" w:lineRule="auto"/>
        <w:ind w:left="567" w:hanging="567"/>
        <w:rPr>
          <w:rFonts w:ascii="Times New Roman" w:hAnsi="Times New Roman"/>
          <w:lang w:val="lt-LT"/>
        </w:rPr>
      </w:pPr>
      <w:r w:rsidRPr="00EE75B4">
        <w:rPr>
          <w:rFonts w:ascii="Times New Roman" w:hAnsi="Times New Roman"/>
          <w:lang w:val="lt-LT"/>
        </w:rPr>
        <w:t>jeigu esate žindyvė.</w:t>
      </w:r>
    </w:p>
    <w:p w14:paraId="08B65441" w14:textId="77777777" w:rsidR="005427AE" w:rsidRPr="00EE75B4" w:rsidRDefault="005427AE" w:rsidP="005427AE">
      <w:pPr>
        <w:spacing w:after="0" w:line="240" w:lineRule="auto"/>
        <w:ind w:right="-2"/>
        <w:rPr>
          <w:rFonts w:ascii="Times New Roman" w:hAnsi="Times New Roman"/>
          <w:lang w:val="lt-LT"/>
        </w:rPr>
      </w:pPr>
    </w:p>
    <w:p w14:paraId="55CB00C7" w14:textId="77777777" w:rsidR="005427AE" w:rsidRPr="00EE75B4" w:rsidRDefault="005427AE" w:rsidP="005427AE">
      <w:pPr>
        <w:keepNext/>
        <w:tabs>
          <w:tab w:val="left" w:pos="2835"/>
        </w:tabs>
        <w:spacing w:after="0" w:line="240" w:lineRule="auto"/>
        <w:outlineLvl w:val="3"/>
        <w:rPr>
          <w:rFonts w:ascii="Times New Roman" w:hAnsi="Times New Roman"/>
          <w:b/>
          <w:lang w:val="lt-LT"/>
        </w:rPr>
      </w:pPr>
      <w:r w:rsidRPr="00EE75B4">
        <w:rPr>
          <w:rFonts w:ascii="Times New Roman" w:hAnsi="Times New Roman"/>
          <w:b/>
          <w:lang w:val="lt-LT"/>
        </w:rPr>
        <w:t>Įspėjimai ir atsargumo priemonės</w:t>
      </w:r>
    </w:p>
    <w:p w14:paraId="67E9B0DA" w14:textId="77777777" w:rsidR="005427AE" w:rsidRPr="00EE75B4" w:rsidRDefault="005427AE" w:rsidP="005427AE">
      <w:pPr>
        <w:spacing w:after="0" w:line="240" w:lineRule="auto"/>
        <w:ind w:right="-2"/>
        <w:rPr>
          <w:rFonts w:ascii="Times New Roman" w:eastAsia="Times New Roman" w:hAnsi="Times New Roman"/>
          <w:lang w:val="lt-LT"/>
        </w:rPr>
      </w:pPr>
      <w:r w:rsidRPr="00EE75B4">
        <w:rPr>
          <w:rFonts w:ascii="Times New Roman" w:hAnsi="Times New Roman"/>
          <w:lang w:val="lt-LT"/>
        </w:rPr>
        <w:t xml:space="preserve">Pasitarkite su gydytoju arba vaistininku, prieš pradėdami vartoti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p>
    <w:p w14:paraId="0B327DE1" w14:textId="77777777" w:rsidR="00655F3C" w:rsidRPr="00EE75B4" w:rsidRDefault="00655F3C" w:rsidP="00732BB8">
      <w:pPr>
        <w:pStyle w:val="Default"/>
        <w:numPr>
          <w:ilvl w:val="0"/>
          <w:numId w:val="29"/>
        </w:numPr>
        <w:rPr>
          <w:color w:val="auto"/>
          <w:sz w:val="22"/>
          <w:szCs w:val="22"/>
          <w:lang w:val="lt-LT"/>
        </w:rPr>
      </w:pPr>
      <w:r w:rsidRPr="00EE75B4">
        <w:rPr>
          <w:color w:val="auto"/>
          <w:sz w:val="22"/>
          <w:szCs w:val="22"/>
          <w:lang w:val="lt-LT"/>
        </w:rPr>
        <w:t xml:space="preserve">jeigu yra alergija </w:t>
      </w:r>
      <w:proofErr w:type="spellStart"/>
      <w:r w:rsidRPr="00EE75B4">
        <w:rPr>
          <w:color w:val="auto"/>
          <w:sz w:val="22"/>
          <w:szCs w:val="22"/>
          <w:lang w:val="lt-LT"/>
        </w:rPr>
        <w:t>aciklovirui</w:t>
      </w:r>
      <w:proofErr w:type="spellEnd"/>
      <w:r w:rsidRPr="00EE75B4">
        <w:rPr>
          <w:color w:val="auto"/>
          <w:sz w:val="22"/>
          <w:szCs w:val="22"/>
          <w:lang w:val="lt-LT"/>
        </w:rPr>
        <w:t xml:space="preserve">, </w:t>
      </w:r>
      <w:proofErr w:type="spellStart"/>
      <w:r w:rsidRPr="00EE75B4">
        <w:rPr>
          <w:color w:val="auto"/>
          <w:sz w:val="22"/>
          <w:szCs w:val="22"/>
          <w:lang w:val="lt-LT"/>
        </w:rPr>
        <w:t>penciklovirui</w:t>
      </w:r>
      <w:proofErr w:type="spellEnd"/>
      <w:r w:rsidRPr="00EE75B4">
        <w:rPr>
          <w:color w:val="auto"/>
          <w:sz w:val="22"/>
          <w:szCs w:val="22"/>
          <w:lang w:val="lt-LT"/>
        </w:rPr>
        <w:t xml:space="preserve">, </w:t>
      </w:r>
      <w:proofErr w:type="spellStart"/>
      <w:r w:rsidRPr="00EE75B4">
        <w:rPr>
          <w:color w:val="auto"/>
          <w:sz w:val="22"/>
          <w:szCs w:val="22"/>
          <w:lang w:val="lt-LT"/>
        </w:rPr>
        <w:t>valaciklovirui</w:t>
      </w:r>
      <w:proofErr w:type="spellEnd"/>
      <w:r w:rsidRPr="00EE75B4">
        <w:rPr>
          <w:color w:val="auto"/>
          <w:sz w:val="22"/>
          <w:szCs w:val="22"/>
          <w:lang w:val="lt-LT"/>
        </w:rPr>
        <w:t xml:space="preserve"> ar </w:t>
      </w:r>
      <w:proofErr w:type="spellStart"/>
      <w:r w:rsidRPr="00EE75B4">
        <w:rPr>
          <w:color w:val="auto"/>
          <w:sz w:val="22"/>
          <w:szCs w:val="22"/>
          <w:lang w:val="lt-LT"/>
        </w:rPr>
        <w:t>famciklovirui</w:t>
      </w:r>
      <w:proofErr w:type="spellEnd"/>
      <w:r w:rsidRPr="00EE75B4">
        <w:rPr>
          <w:color w:val="auto"/>
          <w:sz w:val="22"/>
          <w:szCs w:val="22"/>
          <w:lang w:val="lt-LT"/>
        </w:rPr>
        <w:t xml:space="preserve">. Šiais vaistais gydomos kitos virusinės infekcijos; </w:t>
      </w:r>
    </w:p>
    <w:p w14:paraId="2B13DCAF" w14:textId="77777777" w:rsidR="00655F3C" w:rsidRPr="00EE75B4" w:rsidRDefault="00655F3C" w:rsidP="005427AE">
      <w:pPr>
        <w:spacing w:after="0" w:line="240" w:lineRule="auto"/>
        <w:ind w:right="-2"/>
        <w:rPr>
          <w:rFonts w:ascii="Times New Roman" w:eastAsia="Times New Roman" w:hAnsi="Times New Roman"/>
          <w:lang w:val="lt-LT"/>
        </w:rPr>
      </w:pPr>
    </w:p>
    <w:p w14:paraId="3405E50A" w14:textId="77777777" w:rsidR="005427AE" w:rsidRPr="00EE75B4" w:rsidRDefault="005427AE" w:rsidP="005427AE">
      <w:pPr>
        <w:spacing w:after="0" w:line="240" w:lineRule="auto"/>
        <w:ind w:right="-2"/>
        <w:rPr>
          <w:rFonts w:ascii="Times New Roman" w:hAnsi="Times New Roman"/>
          <w:lang w:val="lt-LT"/>
        </w:rPr>
      </w:pPr>
      <w:r w:rsidRPr="00EE75B4">
        <w:rPr>
          <w:rFonts w:ascii="Times New Roman" w:hAnsi="Times New Roman"/>
          <w:lang w:val="lt-LT"/>
        </w:rPr>
        <w:t xml:space="preserve">Specialių atsargumo priemonių vartojant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reikia:</w:t>
      </w:r>
    </w:p>
    <w:p w14:paraId="613084B3" w14:textId="77777777" w:rsidR="005427AE" w:rsidRPr="00EE75B4" w:rsidRDefault="005427AE" w:rsidP="005427AE">
      <w:pPr>
        <w:numPr>
          <w:ilvl w:val="0"/>
          <w:numId w:val="26"/>
        </w:numPr>
        <w:spacing w:after="0" w:line="240" w:lineRule="auto"/>
        <w:ind w:left="567" w:hanging="567"/>
        <w:rPr>
          <w:rFonts w:ascii="Times New Roman" w:hAnsi="Times New Roman"/>
          <w:lang w:val="lt-LT"/>
        </w:rPr>
      </w:pPr>
      <w:r w:rsidRPr="00EE75B4">
        <w:rPr>
          <w:rFonts w:ascii="Times New Roman" w:hAnsi="Times New Roman"/>
          <w:lang w:val="lt-LT"/>
        </w:rPr>
        <w:t xml:space="preserve">jeigu yra mažas baltųjų kraujo ląstelių, raudonųjų kraujo ląstelių arba trombocitų (mažų ląstelių, dalyvaujančių kraujo krešėjime) skaičius kraujyje. Prieš pradedant vartoti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lastRenderedPageBreak/>
        <w:t>Accord</w:t>
      </w:r>
      <w:proofErr w:type="spellEnd"/>
      <w:r w:rsidRPr="00EE75B4">
        <w:rPr>
          <w:rFonts w:ascii="Times New Roman" w:hAnsi="Times New Roman"/>
          <w:lang w:val="lt-LT"/>
        </w:rPr>
        <w:t xml:space="preserve"> tabletes, gydytojas atliks kraujo tyrimus. Dar daugiau tyrimų bus daroma, kol vartosite tabletes; </w:t>
      </w:r>
    </w:p>
    <w:p w14:paraId="1D5FBF97" w14:textId="77777777" w:rsidR="005427AE" w:rsidRPr="00EE75B4" w:rsidRDefault="005427AE" w:rsidP="005427AE">
      <w:pPr>
        <w:numPr>
          <w:ilvl w:val="0"/>
          <w:numId w:val="26"/>
        </w:numPr>
        <w:spacing w:after="0" w:line="240" w:lineRule="auto"/>
        <w:ind w:left="567" w:hanging="567"/>
        <w:rPr>
          <w:rFonts w:ascii="Times New Roman" w:hAnsi="Times New Roman"/>
          <w:lang w:val="lt-LT"/>
        </w:rPr>
      </w:pPr>
      <w:r w:rsidRPr="00EE75B4">
        <w:rPr>
          <w:rFonts w:ascii="Times New Roman" w:hAnsi="Times New Roman"/>
          <w:lang w:val="lt-LT"/>
        </w:rPr>
        <w:t>jeigu Jums taikoma radioterapija arba hemodializė;</w:t>
      </w:r>
    </w:p>
    <w:p w14:paraId="7D45C14B" w14:textId="77777777" w:rsidR="005427AE" w:rsidRPr="00EE75B4" w:rsidRDefault="005427AE" w:rsidP="005427AE">
      <w:pPr>
        <w:numPr>
          <w:ilvl w:val="0"/>
          <w:numId w:val="26"/>
        </w:numPr>
        <w:spacing w:after="0" w:line="240" w:lineRule="auto"/>
        <w:ind w:left="567" w:hanging="567"/>
        <w:rPr>
          <w:rFonts w:ascii="Times New Roman" w:hAnsi="Times New Roman"/>
          <w:lang w:val="lt-LT"/>
        </w:rPr>
      </w:pPr>
      <w:r w:rsidRPr="00EE75B4">
        <w:rPr>
          <w:rFonts w:ascii="Times New Roman" w:hAnsi="Times New Roman"/>
          <w:lang w:val="lt-LT"/>
        </w:rPr>
        <w:t>jeigu Jums yra inkstų sutrikimų. Gydytojui gali reikėti Jums paskirti mažesnę dozę ir dažnai tirti kraują gydymo metu;</w:t>
      </w:r>
    </w:p>
    <w:p w14:paraId="78155859" w14:textId="77777777" w:rsidR="005427AE" w:rsidRPr="00EE75B4" w:rsidRDefault="005427AE" w:rsidP="005427AE">
      <w:pPr>
        <w:numPr>
          <w:ilvl w:val="0"/>
          <w:numId w:val="26"/>
        </w:numPr>
        <w:spacing w:after="0" w:line="240" w:lineRule="auto"/>
        <w:ind w:left="567" w:hanging="567"/>
        <w:rPr>
          <w:rFonts w:ascii="Times New Roman" w:hAnsi="Times New Roman"/>
          <w:lang w:val="lt-LT"/>
        </w:rPr>
      </w:pPr>
      <w:r w:rsidRPr="00EE75B4">
        <w:rPr>
          <w:rFonts w:ascii="Times New Roman" w:hAnsi="Times New Roman"/>
          <w:lang w:val="lt-LT"/>
        </w:rPr>
        <w:t xml:space="preserve">jeigu šiuo metu vartojate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kapsulių ir gydytojas nori pakeisti gydymą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tabletėmis. Svarbu, kad nevartotumėte daugiau tablečių, negu paskirta gydytojo arba Jums gali kilti perdozavimo pavojus.</w:t>
      </w:r>
    </w:p>
    <w:p w14:paraId="65EB4325" w14:textId="77777777" w:rsidR="005427AE" w:rsidRPr="00EE75B4" w:rsidRDefault="005427AE" w:rsidP="005427AE">
      <w:pPr>
        <w:spacing w:after="0" w:line="240" w:lineRule="auto"/>
        <w:ind w:right="-2"/>
        <w:rPr>
          <w:rFonts w:ascii="Times New Roman" w:hAnsi="Times New Roman"/>
          <w:b/>
          <w:i/>
          <w:lang w:val="lt-LT"/>
        </w:rPr>
      </w:pPr>
    </w:p>
    <w:p w14:paraId="0D7BC32D" w14:textId="77777777" w:rsidR="005427AE" w:rsidRPr="00EE75B4" w:rsidRDefault="005427AE" w:rsidP="005427AE">
      <w:pPr>
        <w:spacing w:after="0" w:line="240" w:lineRule="auto"/>
        <w:jc w:val="both"/>
        <w:rPr>
          <w:rFonts w:ascii="Times New Roman" w:hAnsi="Times New Roman"/>
          <w:lang w:val="lt-LT"/>
        </w:rPr>
      </w:pPr>
      <w:r w:rsidRPr="00EE75B4">
        <w:rPr>
          <w:rFonts w:ascii="Times New Roman" w:hAnsi="Times New Roman"/>
          <w:b/>
          <w:lang w:val="lt-LT"/>
        </w:rPr>
        <w:t xml:space="preserve">Kiti vaistai ir </w:t>
      </w:r>
      <w:proofErr w:type="spellStart"/>
      <w:r w:rsidRPr="00EE75B4">
        <w:rPr>
          <w:rFonts w:ascii="Times New Roman" w:hAnsi="Times New Roman"/>
          <w:b/>
          <w:lang w:val="lt-LT"/>
        </w:rPr>
        <w:t>Valganciclovir</w:t>
      </w:r>
      <w:proofErr w:type="spellEnd"/>
      <w:r w:rsidRPr="00EE75B4">
        <w:rPr>
          <w:rFonts w:ascii="Times New Roman" w:hAnsi="Times New Roman"/>
          <w:b/>
          <w:lang w:val="lt-LT"/>
        </w:rPr>
        <w:t xml:space="preserve"> </w:t>
      </w:r>
      <w:proofErr w:type="spellStart"/>
      <w:r w:rsidRPr="00EE75B4">
        <w:rPr>
          <w:rFonts w:ascii="Times New Roman" w:hAnsi="Times New Roman"/>
          <w:b/>
          <w:lang w:val="lt-LT"/>
        </w:rPr>
        <w:t>Accord</w:t>
      </w:r>
      <w:proofErr w:type="spellEnd"/>
    </w:p>
    <w:p w14:paraId="5FFB5BEE" w14:textId="77777777" w:rsidR="005427AE" w:rsidRPr="00EE75B4" w:rsidRDefault="005427AE" w:rsidP="005427AE">
      <w:pPr>
        <w:spacing w:after="0" w:line="240" w:lineRule="auto"/>
        <w:ind w:right="-2"/>
        <w:rPr>
          <w:rFonts w:ascii="Times New Roman" w:hAnsi="Times New Roman"/>
          <w:lang w:val="lt-LT"/>
        </w:rPr>
      </w:pPr>
      <w:r w:rsidRPr="00EE75B4">
        <w:rPr>
          <w:rFonts w:ascii="Times New Roman" w:hAnsi="Times New Roman"/>
          <w:lang w:val="lt-LT"/>
        </w:rPr>
        <w:t>Jeigu vartojate ar neseniai vartojote kitų vaistų (įskaitant įsigytus be recepto) arba dėl to nesate tikri, apie tai pasakykite gydytojui arba vaistininkui.</w:t>
      </w:r>
    </w:p>
    <w:p w14:paraId="49029759" w14:textId="77777777" w:rsidR="005427AE" w:rsidRPr="00EE75B4" w:rsidRDefault="005427AE" w:rsidP="005427AE">
      <w:pPr>
        <w:spacing w:after="0" w:line="240" w:lineRule="auto"/>
        <w:ind w:right="-2"/>
        <w:rPr>
          <w:rFonts w:ascii="Times New Roman" w:hAnsi="Times New Roman"/>
          <w:lang w:val="lt-LT"/>
        </w:rPr>
      </w:pPr>
    </w:p>
    <w:p w14:paraId="0374FBAA" w14:textId="77777777" w:rsidR="005427AE" w:rsidRPr="00EE75B4" w:rsidRDefault="005427AE" w:rsidP="005427AE">
      <w:pPr>
        <w:spacing w:after="0" w:line="240" w:lineRule="auto"/>
        <w:ind w:right="-2"/>
        <w:rPr>
          <w:rFonts w:ascii="Times New Roman" w:hAnsi="Times New Roman"/>
          <w:lang w:val="lt-LT"/>
        </w:rPr>
      </w:pPr>
      <w:r w:rsidRPr="00EE75B4">
        <w:rPr>
          <w:rFonts w:ascii="Times New Roman" w:hAnsi="Times New Roman"/>
          <w:lang w:val="lt-LT"/>
        </w:rPr>
        <w:t xml:space="preserve">Jeigu kartu su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vartojate kitų vaistų, toks derinys gali paveikti į kraujo apytaką patenkančio vaisto kiekį arba gali sukelti kenksmingą poveikį. Pasakykite gydytojui, jeigu jau vartojate vaistų, kurių sudėtyje yra bet kurios toliau išvardytos medžiagos:</w:t>
      </w:r>
    </w:p>
    <w:p w14:paraId="39E7636D" w14:textId="77777777" w:rsidR="005427AE" w:rsidRPr="00EE75B4" w:rsidRDefault="005427AE" w:rsidP="005427AE">
      <w:pPr>
        <w:numPr>
          <w:ilvl w:val="0"/>
          <w:numId w:val="27"/>
        </w:numPr>
        <w:spacing w:after="0" w:line="240" w:lineRule="auto"/>
        <w:ind w:left="567" w:hanging="567"/>
        <w:rPr>
          <w:rFonts w:ascii="Times New Roman" w:hAnsi="Times New Roman"/>
          <w:lang w:val="lt-LT"/>
        </w:rPr>
      </w:pPr>
      <w:proofErr w:type="spellStart"/>
      <w:r w:rsidRPr="00EE75B4">
        <w:rPr>
          <w:rFonts w:ascii="Times New Roman" w:hAnsi="Times New Roman"/>
          <w:lang w:val="lt-LT"/>
        </w:rPr>
        <w:t>imipenemo-cilastatino</w:t>
      </w:r>
      <w:proofErr w:type="spellEnd"/>
      <w:r w:rsidRPr="00EE75B4">
        <w:rPr>
          <w:rFonts w:ascii="Times New Roman" w:hAnsi="Times New Roman"/>
          <w:lang w:val="lt-LT"/>
        </w:rPr>
        <w:t xml:space="preserve"> (antibiotiko). Jo vartojimas kartu su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gali sukelti priepuolius (traukulius);</w:t>
      </w:r>
    </w:p>
    <w:p w14:paraId="7CDE2F0D" w14:textId="77777777" w:rsidR="005427AE" w:rsidRPr="00EE75B4" w:rsidRDefault="005427AE" w:rsidP="005427AE">
      <w:pPr>
        <w:numPr>
          <w:ilvl w:val="0"/>
          <w:numId w:val="27"/>
        </w:numPr>
        <w:spacing w:after="0" w:line="240" w:lineRule="auto"/>
        <w:ind w:left="567" w:hanging="567"/>
        <w:rPr>
          <w:rFonts w:ascii="Times New Roman" w:hAnsi="Times New Roman"/>
          <w:lang w:val="lt-LT"/>
        </w:rPr>
      </w:pPr>
      <w:proofErr w:type="spellStart"/>
      <w:r w:rsidRPr="00EE75B4">
        <w:rPr>
          <w:rFonts w:ascii="Times New Roman" w:hAnsi="Times New Roman"/>
          <w:lang w:val="lt-LT"/>
        </w:rPr>
        <w:t>zidovudino</w:t>
      </w:r>
      <w:proofErr w:type="spellEnd"/>
      <w:r w:rsidRPr="00EE75B4">
        <w:rPr>
          <w:rFonts w:ascii="Times New Roman" w:hAnsi="Times New Roman"/>
          <w:lang w:val="lt-LT"/>
        </w:rPr>
        <w:t xml:space="preserve">, </w:t>
      </w:r>
      <w:proofErr w:type="spellStart"/>
      <w:r w:rsidRPr="00EE75B4">
        <w:rPr>
          <w:rFonts w:ascii="Times New Roman" w:hAnsi="Times New Roman"/>
          <w:lang w:val="lt-LT"/>
        </w:rPr>
        <w:t>didanozino</w:t>
      </w:r>
      <w:proofErr w:type="spellEnd"/>
      <w:r w:rsidRPr="00EE75B4">
        <w:rPr>
          <w:rFonts w:ascii="Times New Roman" w:hAnsi="Times New Roman"/>
          <w:lang w:val="lt-LT"/>
        </w:rPr>
        <w:t xml:space="preserve">, </w:t>
      </w:r>
      <w:proofErr w:type="spellStart"/>
      <w:r w:rsidRPr="00EE75B4">
        <w:rPr>
          <w:rFonts w:ascii="Times New Roman" w:hAnsi="Times New Roman"/>
          <w:lang w:val="lt-LT"/>
        </w:rPr>
        <w:t>lamivudino</w:t>
      </w:r>
      <w:proofErr w:type="spellEnd"/>
      <w:r w:rsidRPr="00EE75B4">
        <w:rPr>
          <w:rFonts w:ascii="Times New Roman" w:hAnsi="Times New Roman"/>
          <w:lang w:val="lt-LT"/>
        </w:rPr>
        <w:t xml:space="preserve">, </w:t>
      </w:r>
      <w:proofErr w:type="spellStart"/>
      <w:r w:rsidR="00BA4786" w:rsidRPr="00EE75B4">
        <w:rPr>
          <w:rFonts w:ascii="Times New Roman" w:eastAsia="Times New Roman" w:hAnsi="Times New Roman"/>
          <w:lang w:val="lt-LT" w:eastAsia="ja-JP"/>
        </w:rPr>
        <w:t>stavudino</w:t>
      </w:r>
      <w:proofErr w:type="spellEnd"/>
      <w:r w:rsidR="00BA4786" w:rsidRPr="00EE75B4">
        <w:rPr>
          <w:rFonts w:ascii="Times New Roman" w:eastAsia="Times New Roman" w:hAnsi="Times New Roman"/>
          <w:lang w:val="lt-LT" w:eastAsia="ja-JP"/>
        </w:rPr>
        <w:t xml:space="preserve">, </w:t>
      </w:r>
      <w:proofErr w:type="spellStart"/>
      <w:r w:rsidRPr="00EE75B4">
        <w:rPr>
          <w:rFonts w:ascii="Times New Roman" w:hAnsi="Times New Roman"/>
          <w:lang w:val="lt-LT"/>
        </w:rPr>
        <w:t>tenofoviro</w:t>
      </w:r>
      <w:proofErr w:type="spellEnd"/>
      <w:r w:rsidRPr="00EE75B4">
        <w:rPr>
          <w:rFonts w:ascii="Times New Roman" w:hAnsi="Times New Roman"/>
          <w:lang w:val="lt-LT"/>
        </w:rPr>
        <w:t xml:space="preserve">, </w:t>
      </w:r>
      <w:proofErr w:type="spellStart"/>
      <w:r w:rsidRPr="00EE75B4">
        <w:rPr>
          <w:rFonts w:ascii="Times New Roman" w:hAnsi="Times New Roman"/>
          <w:lang w:val="lt-LT"/>
        </w:rPr>
        <w:t>abakaviro</w:t>
      </w:r>
      <w:proofErr w:type="spellEnd"/>
      <w:r w:rsidRPr="00EE75B4">
        <w:rPr>
          <w:rFonts w:ascii="Times New Roman" w:hAnsi="Times New Roman"/>
          <w:lang w:val="lt-LT"/>
        </w:rPr>
        <w:t xml:space="preserve">, </w:t>
      </w:r>
      <w:proofErr w:type="spellStart"/>
      <w:r w:rsidRPr="00EE75B4">
        <w:rPr>
          <w:rFonts w:ascii="Times New Roman" w:hAnsi="Times New Roman"/>
          <w:lang w:val="lt-LT"/>
        </w:rPr>
        <w:t>emtricitabino</w:t>
      </w:r>
      <w:proofErr w:type="spellEnd"/>
      <w:r w:rsidRPr="00EE75B4">
        <w:rPr>
          <w:rFonts w:ascii="Times New Roman" w:hAnsi="Times New Roman"/>
          <w:lang w:val="lt-LT"/>
        </w:rPr>
        <w:t xml:space="preserve"> arba panašios rūšies vaistų, vartojamų gydyti AIDS;</w:t>
      </w:r>
    </w:p>
    <w:p w14:paraId="72BFF97C" w14:textId="77777777" w:rsidR="005427AE" w:rsidRPr="00EE75B4" w:rsidRDefault="005427AE" w:rsidP="005427AE">
      <w:pPr>
        <w:numPr>
          <w:ilvl w:val="0"/>
          <w:numId w:val="27"/>
        </w:numPr>
        <w:spacing w:after="0" w:line="240" w:lineRule="auto"/>
        <w:ind w:left="567" w:hanging="567"/>
        <w:rPr>
          <w:rFonts w:ascii="Times New Roman" w:hAnsi="Times New Roman"/>
          <w:lang w:val="lt-LT"/>
        </w:rPr>
      </w:pPr>
      <w:proofErr w:type="spellStart"/>
      <w:r w:rsidRPr="00EE75B4">
        <w:rPr>
          <w:rFonts w:ascii="Times New Roman" w:hAnsi="Times New Roman"/>
          <w:lang w:val="lt-LT"/>
        </w:rPr>
        <w:t>adefoviro</w:t>
      </w:r>
      <w:proofErr w:type="spellEnd"/>
      <w:r w:rsidRPr="00EE75B4">
        <w:rPr>
          <w:rFonts w:ascii="Times New Roman" w:hAnsi="Times New Roman"/>
          <w:lang w:val="lt-LT"/>
        </w:rPr>
        <w:t xml:space="preserve"> </w:t>
      </w:r>
      <w:r w:rsidR="00BA4786" w:rsidRPr="00EE75B4">
        <w:rPr>
          <w:rFonts w:ascii="Times New Roman" w:eastAsia="Times New Roman" w:hAnsi="Times New Roman"/>
          <w:lang w:val="lt-LT" w:eastAsia="ja-JP"/>
        </w:rPr>
        <w:t>arba bet kurio kito vaisto</w:t>
      </w:r>
      <w:r w:rsidRPr="00EE75B4">
        <w:rPr>
          <w:rFonts w:ascii="Times New Roman" w:hAnsi="Times New Roman"/>
          <w:lang w:val="lt-LT"/>
        </w:rPr>
        <w:t>, vartojamų gydyti hepatitą B;</w:t>
      </w:r>
    </w:p>
    <w:p w14:paraId="49D2FC50" w14:textId="77777777" w:rsidR="005427AE" w:rsidRPr="00EE75B4" w:rsidRDefault="005427AE" w:rsidP="005427AE">
      <w:pPr>
        <w:numPr>
          <w:ilvl w:val="0"/>
          <w:numId w:val="27"/>
        </w:numPr>
        <w:spacing w:after="0" w:line="240" w:lineRule="auto"/>
        <w:ind w:left="567" w:hanging="567"/>
        <w:rPr>
          <w:rFonts w:ascii="Times New Roman" w:hAnsi="Times New Roman"/>
          <w:lang w:val="lt-LT"/>
        </w:rPr>
      </w:pPr>
      <w:proofErr w:type="spellStart"/>
      <w:r w:rsidRPr="00EE75B4">
        <w:rPr>
          <w:rFonts w:ascii="Times New Roman" w:hAnsi="Times New Roman"/>
          <w:lang w:val="lt-LT"/>
        </w:rPr>
        <w:t>probenecido</w:t>
      </w:r>
      <w:proofErr w:type="spellEnd"/>
      <w:r w:rsidRPr="00EE75B4">
        <w:rPr>
          <w:rFonts w:ascii="Times New Roman" w:hAnsi="Times New Roman"/>
          <w:lang w:val="lt-LT"/>
        </w:rPr>
        <w:t xml:space="preserve"> (vaisto nuo podagros). </w:t>
      </w:r>
      <w:proofErr w:type="spellStart"/>
      <w:r w:rsidRPr="00EE75B4">
        <w:rPr>
          <w:rFonts w:ascii="Times New Roman" w:hAnsi="Times New Roman"/>
          <w:lang w:val="lt-LT"/>
        </w:rPr>
        <w:t>Probenecido</w:t>
      </w:r>
      <w:proofErr w:type="spellEnd"/>
      <w:r w:rsidRPr="00EE75B4">
        <w:rPr>
          <w:rFonts w:ascii="Times New Roman" w:hAnsi="Times New Roman"/>
          <w:lang w:val="lt-LT"/>
        </w:rPr>
        <w:t xml:space="preserve"> ir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vartojimas tuo pačiu laiku gali padidinti </w:t>
      </w:r>
      <w:proofErr w:type="spellStart"/>
      <w:r w:rsidRPr="00EE75B4">
        <w:rPr>
          <w:rFonts w:ascii="Times New Roman" w:hAnsi="Times New Roman"/>
          <w:lang w:val="lt-LT"/>
        </w:rPr>
        <w:t>gancikloviro</w:t>
      </w:r>
      <w:proofErr w:type="spellEnd"/>
      <w:r w:rsidRPr="00EE75B4">
        <w:rPr>
          <w:rFonts w:ascii="Times New Roman" w:hAnsi="Times New Roman"/>
          <w:lang w:val="lt-LT"/>
        </w:rPr>
        <w:t xml:space="preserve"> kiekį kraujyje;</w:t>
      </w:r>
    </w:p>
    <w:p w14:paraId="3E26630D" w14:textId="513ECA0C" w:rsidR="005427AE" w:rsidRPr="00EE75B4" w:rsidRDefault="005427AE" w:rsidP="005427AE">
      <w:pPr>
        <w:numPr>
          <w:ilvl w:val="0"/>
          <w:numId w:val="27"/>
        </w:numPr>
        <w:spacing w:after="0" w:line="240" w:lineRule="auto"/>
        <w:ind w:left="567" w:hanging="567"/>
        <w:rPr>
          <w:rFonts w:ascii="Times New Roman" w:hAnsi="Times New Roman"/>
          <w:lang w:val="lt-LT"/>
        </w:rPr>
      </w:pPr>
      <w:proofErr w:type="spellStart"/>
      <w:r w:rsidRPr="00EE75B4">
        <w:rPr>
          <w:rFonts w:ascii="Times New Roman" w:hAnsi="Times New Roman"/>
          <w:lang w:val="lt-LT"/>
        </w:rPr>
        <w:t>mikofenolato</w:t>
      </w:r>
      <w:proofErr w:type="spellEnd"/>
      <w:r w:rsidRPr="00EE75B4">
        <w:rPr>
          <w:rFonts w:ascii="Times New Roman" w:hAnsi="Times New Roman"/>
          <w:lang w:val="lt-LT"/>
        </w:rPr>
        <w:t xml:space="preserve"> </w:t>
      </w:r>
      <w:proofErr w:type="spellStart"/>
      <w:r w:rsidRPr="00EE75B4">
        <w:rPr>
          <w:rFonts w:ascii="Times New Roman" w:hAnsi="Times New Roman"/>
          <w:lang w:val="lt-LT"/>
        </w:rPr>
        <w:t>mofetilio</w:t>
      </w:r>
      <w:proofErr w:type="spellEnd"/>
      <w:r w:rsidR="00BA4786" w:rsidRPr="00EE75B4">
        <w:rPr>
          <w:rFonts w:ascii="Times New Roman" w:eastAsia="Times New Roman" w:hAnsi="Times New Roman"/>
          <w:lang w:val="lt-LT" w:eastAsia="ja-JP"/>
        </w:rPr>
        <w:t xml:space="preserve">, </w:t>
      </w:r>
      <w:proofErr w:type="spellStart"/>
      <w:r w:rsidR="00BA4786" w:rsidRPr="00EE75B4">
        <w:rPr>
          <w:rFonts w:ascii="Times New Roman" w:eastAsia="Times New Roman" w:hAnsi="Times New Roman"/>
          <w:lang w:val="lt-LT" w:eastAsia="ja-JP"/>
        </w:rPr>
        <w:t>ciklosporino</w:t>
      </w:r>
      <w:proofErr w:type="spellEnd"/>
      <w:r w:rsidR="00BA4786" w:rsidRPr="00EE75B4">
        <w:rPr>
          <w:rFonts w:ascii="Times New Roman" w:eastAsia="Times New Roman" w:hAnsi="Times New Roman"/>
          <w:lang w:val="lt-LT" w:eastAsia="ja-JP"/>
        </w:rPr>
        <w:t xml:space="preserve"> ar </w:t>
      </w:r>
      <w:proofErr w:type="spellStart"/>
      <w:r w:rsidR="00BA4786" w:rsidRPr="00EE75B4">
        <w:rPr>
          <w:rFonts w:ascii="Times New Roman" w:eastAsia="Times New Roman" w:hAnsi="Times New Roman"/>
          <w:lang w:val="lt-LT" w:eastAsia="ja-JP"/>
        </w:rPr>
        <w:t>takrolimuzo</w:t>
      </w:r>
      <w:proofErr w:type="spellEnd"/>
      <w:r w:rsidRPr="00EE75B4">
        <w:rPr>
          <w:rFonts w:ascii="Times New Roman" w:hAnsi="Times New Roman"/>
          <w:lang w:val="lt-LT"/>
        </w:rPr>
        <w:t xml:space="preserve"> (vartojamo po organų persodinimo);</w:t>
      </w:r>
    </w:p>
    <w:p w14:paraId="61B2C954" w14:textId="77777777" w:rsidR="005427AE" w:rsidRPr="00EE75B4" w:rsidRDefault="005427AE" w:rsidP="005427AE">
      <w:pPr>
        <w:numPr>
          <w:ilvl w:val="0"/>
          <w:numId w:val="27"/>
        </w:numPr>
        <w:spacing w:after="0" w:line="240" w:lineRule="auto"/>
        <w:ind w:left="567" w:hanging="567"/>
        <w:rPr>
          <w:rFonts w:ascii="Times New Roman" w:hAnsi="Times New Roman"/>
          <w:lang w:val="lt-LT"/>
        </w:rPr>
      </w:pPr>
      <w:proofErr w:type="spellStart"/>
      <w:r w:rsidRPr="00EE75B4">
        <w:rPr>
          <w:rFonts w:ascii="Times New Roman" w:hAnsi="Times New Roman"/>
          <w:lang w:val="lt-LT"/>
        </w:rPr>
        <w:t>vinkristino</w:t>
      </w:r>
      <w:proofErr w:type="spellEnd"/>
      <w:r w:rsidRPr="00EE75B4">
        <w:rPr>
          <w:rFonts w:ascii="Times New Roman" w:hAnsi="Times New Roman"/>
          <w:lang w:val="lt-LT"/>
        </w:rPr>
        <w:t xml:space="preserve">, </w:t>
      </w:r>
      <w:proofErr w:type="spellStart"/>
      <w:r w:rsidRPr="00EE75B4">
        <w:rPr>
          <w:rFonts w:ascii="Times New Roman" w:hAnsi="Times New Roman"/>
          <w:lang w:val="lt-LT"/>
        </w:rPr>
        <w:t>vinblastino</w:t>
      </w:r>
      <w:proofErr w:type="spellEnd"/>
      <w:r w:rsidRPr="00EE75B4">
        <w:rPr>
          <w:rFonts w:ascii="Times New Roman" w:hAnsi="Times New Roman"/>
          <w:lang w:val="lt-LT"/>
        </w:rPr>
        <w:t xml:space="preserve">, </w:t>
      </w:r>
      <w:proofErr w:type="spellStart"/>
      <w:r w:rsidR="00BA4786" w:rsidRPr="00EE75B4">
        <w:rPr>
          <w:rFonts w:ascii="Times New Roman" w:eastAsia="Times New Roman" w:hAnsi="Times New Roman"/>
          <w:lang w:val="lt-LT"/>
        </w:rPr>
        <w:t>doksorubicino</w:t>
      </w:r>
      <w:proofErr w:type="spellEnd"/>
      <w:r w:rsidRPr="00EE75B4">
        <w:rPr>
          <w:rFonts w:ascii="Times New Roman" w:hAnsi="Times New Roman"/>
          <w:lang w:val="lt-LT"/>
        </w:rPr>
        <w:t xml:space="preserve">, </w:t>
      </w:r>
      <w:proofErr w:type="spellStart"/>
      <w:r w:rsidRPr="00EE75B4">
        <w:rPr>
          <w:rFonts w:ascii="Times New Roman" w:hAnsi="Times New Roman"/>
          <w:lang w:val="lt-LT"/>
        </w:rPr>
        <w:t>hidroksikarbamido</w:t>
      </w:r>
      <w:proofErr w:type="spellEnd"/>
      <w:r w:rsidRPr="00EE75B4">
        <w:rPr>
          <w:rFonts w:ascii="Times New Roman" w:hAnsi="Times New Roman"/>
          <w:lang w:val="lt-LT"/>
        </w:rPr>
        <w:t xml:space="preserve"> arba panašių vaistų vėžiui gydyti;</w:t>
      </w:r>
    </w:p>
    <w:p w14:paraId="22E29307" w14:textId="70DA0BA4" w:rsidR="005427AE" w:rsidRPr="00EE75B4" w:rsidRDefault="005427AE" w:rsidP="005427AE">
      <w:pPr>
        <w:numPr>
          <w:ilvl w:val="0"/>
          <w:numId w:val="27"/>
        </w:numPr>
        <w:spacing w:after="0" w:line="240" w:lineRule="auto"/>
        <w:ind w:left="567" w:hanging="567"/>
        <w:rPr>
          <w:rFonts w:ascii="Times New Roman" w:hAnsi="Times New Roman"/>
          <w:lang w:val="lt-LT"/>
        </w:rPr>
      </w:pPr>
      <w:proofErr w:type="spellStart"/>
      <w:r w:rsidRPr="00EE75B4">
        <w:rPr>
          <w:rFonts w:ascii="Times New Roman" w:hAnsi="Times New Roman"/>
          <w:lang w:val="lt-LT"/>
        </w:rPr>
        <w:t>trimetoprimo</w:t>
      </w:r>
      <w:proofErr w:type="spellEnd"/>
      <w:r w:rsidRPr="00EE75B4">
        <w:rPr>
          <w:rFonts w:ascii="Times New Roman" w:hAnsi="Times New Roman"/>
          <w:lang w:val="lt-LT"/>
        </w:rPr>
        <w:t xml:space="preserve">, </w:t>
      </w:r>
      <w:proofErr w:type="spellStart"/>
      <w:r w:rsidRPr="00EE75B4">
        <w:rPr>
          <w:rFonts w:ascii="Times New Roman" w:hAnsi="Times New Roman"/>
          <w:lang w:val="lt-LT"/>
        </w:rPr>
        <w:t>trimetoprimo</w:t>
      </w:r>
      <w:proofErr w:type="spellEnd"/>
      <w:r w:rsidRPr="00EE75B4">
        <w:rPr>
          <w:rFonts w:ascii="Times New Roman" w:hAnsi="Times New Roman"/>
          <w:lang w:val="lt-LT"/>
        </w:rPr>
        <w:t xml:space="preserve"> ir </w:t>
      </w:r>
      <w:proofErr w:type="spellStart"/>
      <w:r w:rsidRPr="00EE75B4">
        <w:rPr>
          <w:rFonts w:ascii="Times New Roman" w:hAnsi="Times New Roman"/>
          <w:lang w:val="lt-LT"/>
        </w:rPr>
        <w:t>sulfonamidų</w:t>
      </w:r>
      <w:proofErr w:type="spellEnd"/>
      <w:r w:rsidRPr="00EE75B4">
        <w:rPr>
          <w:rFonts w:ascii="Times New Roman" w:hAnsi="Times New Roman"/>
          <w:lang w:val="lt-LT"/>
        </w:rPr>
        <w:t xml:space="preserve"> derinių, </w:t>
      </w:r>
      <w:proofErr w:type="spellStart"/>
      <w:r w:rsidRPr="00EE75B4">
        <w:rPr>
          <w:rFonts w:ascii="Times New Roman" w:hAnsi="Times New Roman"/>
          <w:lang w:val="lt-LT"/>
        </w:rPr>
        <w:t>dapsono</w:t>
      </w:r>
      <w:proofErr w:type="spellEnd"/>
      <w:r w:rsidRPr="00EE75B4">
        <w:rPr>
          <w:rFonts w:ascii="Times New Roman" w:hAnsi="Times New Roman"/>
          <w:lang w:val="lt-LT"/>
        </w:rPr>
        <w:t xml:space="preserve"> (antibiotikų);</w:t>
      </w:r>
    </w:p>
    <w:p w14:paraId="692F4284" w14:textId="77777777" w:rsidR="005427AE" w:rsidRPr="00EE75B4" w:rsidRDefault="005427AE" w:rsidP="005427AE">
      <w:pPr>
        <w:numPr>
          <w:ilvl w:val="0"/>
          <w:numId w:val="27"/>
        </w:numPr>
        <w:spacing w:after="0" w:line="240" w:lineRule="auto"/>
        <w:ind w:left="567" w:hanging="567"/>
        <w:rPr>
          <w:rFonts w:ascii="Times New Roman" w:hAnsi="Times New Roman"/>
          <w:lang w:val="lt-LT"/>
        </w:rPr>
      </w:pPr>
      <w:proofErr w:type="spellStart"/>
      <w:r w:rsidRPr="00EE75B4">
        <w:rPr>
          <w:rFonts w:ascii="Times New Roman" w:hAnsi="Times New Roman"/>
          <w:lang w:val="lt-LT"/>
        </w:rPr>
        <w:t>pentamidino</w:t>
      </w:r>
      <w:proofErr w:type="spellEnd"/>
      <w:r w:rsidRPr="00EE75B4">
        <w:rPr>
          <w:rFonts w:ascii="Times New Roman" w:hAnsi="Times New Roman"/>
          <w:lang w:val="lt-LT"/>
        </w:rPr>
        <w:t xml:space="preserve"> (vaisto, vartojamo parazitų sukeltoms ligoms arba plaučių infekcinėms ligoms gydyti);</w:t>
      </w:r>
    </w:p>
    <w:p w14:paraId="5517AD06" w14:textId="77777777" w:rsidR="005427AE" w:rsidRPr="00EE75B4" w:rsidRDefault="005427AE" w:rsidP="005427AE">
      <w:pPr>
        <w:numPr>
          <w:ilvl w:val="0"/>
          <w:numId w:val="27"/>
        </w:numPr>
        <w:spacing w:after="0" w:line="240" w:lineRule="auto"/>
        <w:ind w:left="567" w:hanging="567"/>
        <w:rPr>
          <w:rFonts w:ascii="Times New Roman" w:hAnsi="Times New Roman"/>
          <w:lang w:val="lt-LT"/>
        </w:rPr>
      </w:pPr>
      <w:proofErr w:type="spellStart"/>
      <w:r w:rsidRPr="00EE75B4">
        <w:rPr>
          <w:rFonts w:ascii="Times New Roman" w:hAnsi="Times New Roman"/>
          <w:lang w:val="lt-LT"/>
        </w:rPr>
        <w:t>flucitozino</w:t>
      </w:r>
      <w:proofErr w:type="spellEnd"/>
      <w:r w:rsidRPr="00EE75B4">
        <w:rPr>
          <w:rFonts w:ascii="Times New Roman" w:hAnsi="Times New Roman"/>
          <w:lang w:val="lt-LT"/>
        </w:rPr>
        <w:t xml:space="preserve"> arba </w:t>
      </w:r>
      <w:proofErr w:type="spellStart"/>
      <w:r w:rsidRPr="00EE75B4">
        <w:rPr>
          <w:rFonts w:ascii="Times New Roman" w:hAnsi="Times New Roman"/>
          <w:lang w:val="lt-LT"/>
        </w:rPr>
        <w:t>amfotericino</w:t>
      </w:r>
      <w:proofErr w:type="spellEnd"/>
      <w:r w:rsidRPr="00EE75B4">
        <w:rPr>
          <w:rFonts w:ascii="Times New Roman" w:hAnsi="Times New Roman"/>
          <w:lang w:val="lt-LT"/>
        </w:rPr>
        <w:t xml:space="preserve"> B (priešgrybelinių vaistų).</w:t>
      </w:r>
    </w:p>
    <w:p w14:paraId="0855AEAD" w14:textId="77777777" w:rsidR="005427AE" w:rsidRPr="00EE75B4" w:rsidRDefault="005427AE" w:rsidP="005427AE">
      <w:pPr>
        <w:spacing w:after="0" w:line="240" w:lineRule="auto"/>
        <w:ind w:left="567" w:hanging="567"/>
        <w:rPr>
          <w:rFonts w:ascii="Times New Roman" w:hAnsi="Times New Roman"/>
          <w:lang w:val="lt-LT"/>
        </w:rPr>
      </w:pPr>
    </w:p>
    <w:p w14:paraId="5A1AE11D" w14:textId="77777777" w:rsidR="005427AE" w:rsidRPr="00EE75B4" w:rsidRDefault="005427AE" w:rsidP="005427AE">
      <w:pPr>
        <w:spacing w:after="0" w:line="240" w:lineRule="auto"/>
        <w:ind w:right="-2"/>
        <w:rPr>
          <w:rFonts w:ascii="Times New Roman" w:hAnsi="Times New Roman"/>
          <w:lang w:val="lt-LT"/>
        </w:rPr>
      </w:pPr>
      <w:proofErr w:type="spellStart"/>
      <w:r w:rsidRPr="00EE75B4">
        <w:rPr>
          <w:rFonts w:ascii="Times New Roman" w:hAnsi="Times New Roman"/>
          <w:b/>
          <w:lang w:val="lt-LT"/>
        </w:rPr>
        <w:t>Valganciclovir</w:t>
      </w:r>
      <w:proofErr w:type="spellEnd"/>
      <w:r w:rsidRPr="00EE75B4">
        <w:rPr>
          <w:rFonts w:ascii="Times New Roman" w:hAnsi="Times New Roman"/>
          <w:b/>
          <w:lang w:val="lt-LT"/>
        </w:rPr>
        <w:t xml:space="preserve"> </w:t>
      </w:r>
      <w:proofErr w:type="spellStart"/>
      <w:r w:rsidRPr="00EE75B4">
        <w:rPr>
          <w:rFonts w:ascii="Times New Roman" w:hAnsi="Times New Roman"/>
          <w:b/>
          <w:lang w:val="lt-LT"/>
        </w:rPr>
        <w:t>Accord</w:t>
      </w:r>
      <w:proofErr w:type="spellEnd"/>
      <w:r w:rsidRPr="00EE75B4">
        <w:rPr>
          <w:rFonts w:ascii="Times New Roman" w:hAnsi="Times New Roman"/>
          <w:b/>
          <w:lang w:val="lt-LT"/>
        </w:rPr>
        <w:t xml:space="preserve"> vartojimas su maistu ir gėrimais</w:t>
      </w:r>
    </w:p>
    <w:p w14:paraId="543AED33" w14:textId="77777777" w:rsidR="005427AE" w:rsidRPr="00EE75B4" w:rsidRDefault="005427AE" w:rsidP="005427AE">
      <w:pPr>
        <w:spacing w:after="0" w:line="240" w:lineRule="auto"/>
        <w:ind w:right="-2"/>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reikia vartoti valgant. Jeigu dėl kokių nors priežasčių negalite valgyti, vis tiek įprastu laiku turite išgerti reikiamą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dozę.</w:t>
      </w:r>
    </w:p>
    <w:p w14:paraId="73AAAB4B" w14:textId="77777777" w:rsidR="005427AE" w:rsidRPr="00EE75B4" w:rsidRDefault="005427AE" w:rsidP="005427AE">
      <w:pPr>
        <w:spacing w:after="0" w:line="240" w:lineRule="auto"/>
        <w:ind w:right="-2"/>
        <w:rPr>
          <w:rFonts w:ascii="Times New Roman" w:hAnsi="Times New Roman"/>
          <w:lang w:val="lt-LT"/>
        </w:rPr>
      </w:pPr>
    </w:p>
    <w:p w14:paraId="757A606B"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b/>
          <w:lang w:val="lt-LT"/>
        </w:rPr>
        <w:t>Nėštumas, žindymo laikotarpis ir vaisingumas</w:t>
      </w:r>
    </w:p>
    <w:p w14:paraId="72D1D298" w14:textId="77777777" w:rsidR="005427AE" w:rsidRPr="00EE75B4" w:rsidRDefault="005427AE" w:rsidP="005427AE">
      <w:pPr>
        <w:spacing w:after="0" w:line="240" w:lineRule="auto"/>
        <w:ind w:right="-2"/>
        <w:rPr>
          <w:rFonts w:ascii="Times New Roman" w:hAnsi="Times New Roman"/>
          <w:lang w:val="lt-LT"/>
        </w:rPr>
      </w:pPr>
      <w:r w:rsidRPr="00EE75B4">
        <w:rPr>
          <w:rFonts w:ascii="Times New Roman" w:hAnsi="Times New Roman"/>
          <w:lang w:val="lt-LT"/>
        </w:rPr>
        <w:t xml:space="preserve">Jeigu esate nėščia, nevartokite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nebent gydytojas rekomenduoja vartoti. Jeigu esate nėščia arba planuojate pastoti, pasakykite gydytojui.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vartojimas nėštumo metu gali pakenkti negimusiam kūdikiui.</w:t>
      </w:r>
    </w:p>
    <w:p w14:paraId="7688F672" w14:textId="77777777" w:rsidR="005427AE" w:rsidRPr="00EE75B4" w:rsidRDefault="005427AE" w:rsidP="005427AE">
      <w:pPr>
        <w:spacing w:after="0" w:line="240" w:lineRule="auto"/>
        <w:ind w:right="-2"/>
        <w:rPr>
          <w:rFonts w:ascii="Times New Roman" w:hAnsi="Times New Roman"/>
          <w:lang w:val="lt-LT"/>
        </w:rPr>
      </w:pPr>
    </w:p>
    <w:p w14:paraId="7F635C89"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Jeigu esate žindyvė,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vartoti negalima. Jeigu gydytojas nori pradėti Jus gydyti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prieš pradėdama vartoti tabletes turite nutraukti kūdikio žindymą.</w:t>
      </w:r>
    </w:p>
    <w:p w14:paraId="21E1EDFB" w14:textId="77777777" w:rsidR="005427AE" w:rsidRPr="00EE75B4" w:rsidRDefault="005427AE" w:rsidP="005427AE">
      <w:pPr>
        <w:spacing w:after="0" w:line="240" w:lineRule="auto"/>
        <w:rPr>
          <w:rFonts w:ascii="Times New Roman" w:hAnsi="Times New Roman"/>
          <w:lang w:val="lt-LT"/>
        </w:rPr>
      </w:pPr>
    </w:p>
    <w:p w14:paraId="7373738C"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vartojimo metu</w:t>
      </w:r>
      <w:r w:rsidR="00BA4786" w:rsidRPr="00EE75B4">
        <w:rPr>
          <w:rFonts w:ascii="Times New Roman" w:hAnsi="Times New Roman"/>
          <w:lang w:val="lt-LT"/>
        </w:rPr>
        <w:t xml:space="preserve"> </w:t>
      </w:r>
      <w:r w:rsidR="00BA4786" w:rsidRPr="00EE75B4">
        <w:rPr>
          <w:rFonts w:ascii="Times New Roman" w:eastAsia="Times New Roman" w:hAnsi="Times New Roman"/>
          <w:lang w:val="lt-LT" w:eastAsia="ja-JP"/>
        </w:rPr>
        <w:t>ir dar 30 dienų po gydymo pabaigos</w:t>
      </w:r>
      <w:r w:rsidRPr="00EE75B4">
        <w:rPr>
          <w:rFonts w:ascii="Times New Roman" w:eastAsia="Times New Roman" w:hAnsi="Times New Roman"/>
          <w:lang w:val="lt-LT" w:eastAsia="ja-JP"/>
        </w:rPr>
        <w:t xml:space="preserve"> </w:t>
      </w:r>
      <w:r w:rsidRPr="00EE75B4">
        <w:rPr>
          <w:rFonts w:ascii="Times New Roman" w:hAnsi="Times New Roman"/>
          <w:lang w:val="lt-LT"/>
        </w:rPr>
        <w:t>vaisingo amžiaus moterys turi taikyti veiksmingą kontracepciją.</w:t>
      </w:r>
    </w:p>
    <w:p w14:paraId="2F24B8FF" w14:textId="77777777" w:rsidR="005427AE" w:rsidRPr="00EE75B4" w:rsidRDefault="005427AE" w:rsidP="005427AE">
      <w:pPr>
        <w:spacing w:after="0" w:line="240" w:lineRule="auto"/>
        <w:rPr>
          <w:rFonts w:ascii="Times New Roman" w:hAnsi="Times New Roman"/>
          <w:lang w:val="lt-LT"/>
        </w:rPr>
      </w:pPr>
    </w:p>
    <w:p w14:paraId="2ED9E149"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Vyrai, kurių partnerės gali pastoti, kol vartoja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ir 90 parų po to, kai gydymas būna baigtas turi naudoti prezervatyvus.</w:t>
      </w:r>
    </w:p>
    <w:p w14:paraId="77A46E68" w14:textId="77777777" w:rsidR="005427AE" w:rsidRPr="00EE75B4" w:rsidRDefault="005427AE" w:rsidP="005427AE">
      <w:pPr>
        <w:spacing w:after="0" w:line="240" w:lineRule="auto"/>
        <w:rPr>
          <w:rFonts w:ascii="Times New Roman" w:hAnsi="Times New Roman"/>
          <w:lang w:val="lt-LT"/>
        </w:rPr>
      </w:pPr>
    </w:p>
    <w:p w14:paraId="7A2C7128" w14:textId="77777777" w:rsidR="005427AE" w:rsidRPr="00EE75B4" w:rsidRDefault="005427AE" w:rsidP="005427AE">
      <w:pPr>
        <w:spacing w:after="0" w:line="240" w:lineRule="auto"/>
        <w:ind w:right="-2"/>
        <w:rPr>
          <w:rFonts w:ascii="Times New Roman" w:hAnsi="Times New Roman"/>
          <w:b/>
          <w:lang w:val="lt-LT"/>
        </w:rPr>
      </w:pPr>
      <w:r w:rsidRPr="00EE75B4">
        <w:rPr>
          <w:rFonts w:ascii="Times New Roman" w:hAnsi="Times New Roman"/>
          <w:b/>
          <w:lang w:val="lt-LT"/>
        </w:rPr>
        <w:t>Vairavimas ir mechanizmų valdymas</w:t>
      </w:r>
    </w:p>
    <w:p w14:paraId="15FE0298" w14:textId="77777777" w:rsidR="005427AE" w:rsidRPr="00EE75B4" w:rsidRDefault="005427AE" w:rsidP="005427AE">
      <w:pPr>
        <w:spacing w:after="0" w:line="240" w:lineRule="auto"/>
        <w:ind w:right="-2"/>
        <w:rPr>
          <w:rFonts w:ascii="Times New Roman" w:hAnsi="Times New Roman"/>
          <w:lang w:val="lt-LT"/>
        </w:rPr>
      </w:pPr>
      <w:r w:rsidRPr="00EE75B4">
        <w:rPr>
          <w:rFonts w:ascii="Times New Roman" w:hAnsi="Times New Roman"/>
          <w:lang w:val="lt-LT"/>
        </w:rPr>
        <w:t xml:space="preserve">Jeigu vartodami šį vaistą jaučiate svaigulį, nuovargį, drebulį arba sumišimą, nevairuokite mašinos ir nedirbkite su jokiais įrankiais ar mechanizmais. </w:t>
      </w:r>
    </w:p>
    <w:p w14:paraId="4CB64CD2" w14:textId="77777777" w:rsidR="005427AE" w:rsidRPr="00EE75B4" w:rsidRDefault="005427AE" w:rsidP="005427AE">
      <w:pPr>
        <w:spacing w:after="0" w:line="240" w:lineRule="auto"/>
        <w:ind w:right="-2"/>
        <w:rPr>
          <w:rFonts w:ascii="Times New Roman" w:hAnsi="Times New Roman"/>
          <w:lang w:val="lt-LT"/>
        </w:rPr>
      </w:pPr>
    </w:p>
    <w:p w14:paraId="08ADF8B2"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Prieš vartojant bet kokį vaistą, būtina pasitarti su gydytoju arba vaistininku.</w:t>
      </w:r>
    </w:p>
    <w:p w14:paraId="152A876E" w14:textId="77777777" w:rsidR="005427AE" w:rsidRPr="00EE75B4" w:rsidRDefault="005427AE" w:rsidP="005427AE">
      <w:pPr>
        <w:spacing w:after="0" w:line="240" w:lineRule="auto"/>
        <w:ind w:right="-2"/>
        <w:rPr>
          <w:rFonts w:ascii="Times New Roman" w:hAnsi="Times New Roman"/>
          <w:lang w:val="lt-LT"/>
        </w:rPr>
      </w:pPr>
    </w:p>
    <w:p w14:paraId="1B9A345F" w14:textId="77777777" w:rsidR="005427AE" w:rsidRPr="00EE75B4" w:rsidRDefault="005427AE" w:rsidP="005427AE">
      <w:pPr>
        <w:spacing w:after="0" w:line="240" w:lineRule="auto"/>
        <w:ind w:right="-2"/>
        <w:rPr>
          <w:rFonts w:ascii="Times New Roman" w:hAnsi="Times New Roman"/>
          <w:lang w:val="lt-LT"/>
        </w:rPr>
      </w:pPr>
    </w:p>
    <w:p w14:paraId="05D7D6D7" w14:textId="77777777" w:rsidR="005427AE" w:rsidRPr="00EE75B4" w:rsidRDefault="005427AE" w:rsidP="005427AE">
      <w:pPr>
        <w:keepNext/>
        <w:keepLines/>
        <w:tabs>
          <w:tab w:val="left" w:pos="567"/>
        </w:tabs>
        <w:spacing w:after="0" w:line="240" w:lineRule="auto"/>
        <w:rPr>
          <w:rFonts w:ascii="Times New Roman" w:hAnsi="Times New Roman"/>
          <w:lang w:val="lt-LT"/>
        </w:rPr>
      </w:pPr>
      <w:r w:rsidRPr="00EE75B4">
        <w:rPr>
          <w:rFonts w:ascii="Times New Roman" w:hAnsi="Times New Roman"/>
          <w:b/>
          <w:lang w:val="lt-LT"/>
        </w:rPr>
        <w:lastRenderedPageBreak/>
        <w:t>3.</w:t>
      </w:r>
      <w:r w:rsidRPr="00EE75B4">
        <w:rPr>
          <w:rFonts w:ascii="Times New Roman" w:hAnsi="Times New Roman"/>
          <w:b/>
          <w:lang w:val="lt-LT"/>
        </w:rPr>
        <w:tab/>
        <w:t xml:space="preserve">Kaip vartoti </w:t>
      </w:r>
      <w:proofErr w:type="spellStart"/>
      <w:r w:rsidRPr="00EE75B4">
        <w:rPr>
          <w:rFonts w:ascii="Times New Roman" w:hAnsi="Times New Roman"/>
          <w:b/>
          <w:lang w:val="lt-LT"/>
        </w:rPr>
        <w:t>Valganciclovir</w:t>
      </w:r>
      <w:proofErr w:type="spellEnd"/>
      <w:r w:rsidRPr="00EE75B4">
        <w:rPr>
          <w:rFonts w:ascii="Times New Roman" w:hAnsi="Times New Roman"/>
          <w:b/>
          <w:lang w:val="lt-LT"/>
        </w:rPr>
        <w:t xml:space="preserve"> </w:t>
      </w:r>
      <w:proofErr w:type="spellStart"/>
      <w:r w:rsidRPr="00EE75B4">
        <w:rPr>
          <w:rFonts w:ascii="Times New Roman" w:hAnsi="Times New Roman"/>
          <w:b/>
          <w:lang w:val="lt-LT"/>
        </w:rPr>
        <w:t>Accord</w:t>
      </w:r>
      <w:proofErr w:type="spellEnd"/>
    </w:p>
    <w:p w14:paraId="44599DAB" w14:textId="77777777" w:rsidR="005427AE" w:rsidRPr="00EE75B4" w:rsidRDefault="005427AE" w:rsidP="005427AE">
      <w:pPr>
        <w:keepNext/>
        <w:keepLines/>
        <w:spacing w:after="0" w:line="240" w:lineRule="auto"/>
        <w:rPr>
          <w:rFonts w:ascii="Times New Roman" w:hAnsi="Times New Roman"/>
          <w:b/>
          <w:lang w:val="lt-LT"/>
        </w:rPr>
      </w:pPr>
    </w:p>
    <w:p w14:paraId="3D027F5D" w14:textId="77777777" w:rsidR="005427AE" w:rsidRPr="00EE75B4" w:rsidRDefault="005427AE" w:rsidP="005427AE">
      <w:pPr>
        <w:keepNext/>
        <w:keepLines/>
        <w:spacing w:after="0" w:line="240" w:lineRule="auto"/>
        <w:rPr>
          <w:rFonts w:ascii="Times New Roman" w:hAnsi="Times New Roman"/>
          <w:lang w:val="lt-LT"/>
        </w:rPr>
      </w:pPr>
      <w:r w:rsidRPr="00EE75B4">
        <w:rPr>
          <w:rFonts w:ascii="Times New Roman" w:hAnsi="Times New Roman"/>
          <w:lang w:val="lt-LT"/>
        </w:rPr>
        <w:t>Visada vartokite šį vaistą tiksliai kaip nurodė gydytojas. Jeigu abejojate, kreipkitės į gydytoją arba vaistininką.</w:t>
      </w:r>
    </w:p>
    <w:p w14:paraId="23DCEF40" w14:textId="77777777" w:rsidR="005427AE" w:rsidRPr="00EE75B4" w:rsidRDefault="005427AE" w:rsidP="005427AE">
      <w:pPr>
        <w:keepNext/>
        <w:keepLines/>
        <w:spacing w:after="0" w:line="240" w:lineRule="auto"/>
        <w:rPr>
          <w:rFonts w:ascii="Times New Roman" w:hAnsi="Times New Roman"/>
          <w:lang w:val="lt-LT"/>
        </w:rPr>
      </w:pPr>
    </w:p>
    <w:p w14:paraId="6DD32345" w14:textId="77777777" w:rsidR="005427AE" w:rsidRPr="00EE75B4" w:rsidRDefault="005427AE" w:rsidP="005427AE">
      <w:pPr>
        <w:keepNext/>
        <w:keepLines/>
        <w:spacing w:after="0" w:line="240" w:lineRule="auto"/>
        <w:rPr>
          <w:rFonts w:ascii="Times New Roman" w:hAnsi="Times New Roman"/>
          <w:lang w:val="lt-LT"/>
        </w:rPr>
      </w:pPr>
      <w:r w:rsidRPr="00EE75B4">
        <w:rPr>
          <w:rFonts w:ascii="Times New Roman" w:hAnsi="Times New Roman"/>
          <w:lang w:val="lt-LT"/>
        </w:rPr>
        <w:t>Su tabletėmis reikia elgtis atsargiai. Jų negalima laužyti ar smulkinti.</w:t>
      </w:r>
      <w:r w:rsidRPr="00EE75B4">
        <w:rPr>
          <w:rFonts w:ascii="Times New Roman" w:hAnsi="Times New Roman"/>
          <w:b/>
          <w:lang w:val="lt-LT"/>
        </w:rPr>
        <w:t xml:space="preserve"> </w:t>
      </w:r>
      <w:r w:rsidRPr="00EE75B4">
        <w:rPr>
          <w:rFonts w:ascii="Times New Roman" w:hAnsi="Times New Roman"/>
          <w:lang w:val="lt-LT"/>
        </w:rPr>
        <w:t>Tabletes turite nuryti sveikas ir, jeigu įmanoma, valgio metu. Jeigu netyčia palietėte apgadintą tabletę, kruopščiai nusiplaukite rankas su muilu ir vandeniu. Jeigu miltelių nuo tablečių pateko į akis, išplaukite jas steriliu vandeniu, o jeigu jo neturite – paprastu švariu vandeniu.</w:t>
      </w:r>
    </w:p>
    <w:p w14:paraId="57FCF0AC" w14:textId="77777777" w:rsidR="005427AE" w:rsidRPr="00EE75B4" w:rsidRDefault="005427AE" w:rsidP="005427AE">
      <w:pPr>
        <w:keepNext/>
        <w:keepLines/>
        <w:spacing w:after="0" w:line="240" w:lineRule="auto"/>
        <w:rPr>
          <w:rFonts w:ascii="Times New Roman" w:hAnsi="Times New Roman"/>
          <w:lang w:val="lt-LT"/>
        </w:rPr>
      </w:pPr>
    </w:p>
    <w:p w14:paraId="1DA9D1D3" w14:textId="77777777" w:rsidR="005427AE" w:rsidRPr="00EE75B4" w:rsidRDefault="005427AE" w:rsidP="005427AE">
      <w:pPr>
        <w:keepNext/>
        <w:keepLines/>
        <w:spacing w:after="0" w:line="240" w:lineRule="auto"/>
        <w:rPr>
          <w:rFonts w:ascii="Times New Roman" w:hAnsi="Times New Roman"/>
          <w:b/>
          <w:lang w:val="lt-LT"/>
        </w:rPr>
      </w:pPr>
      <w:r w:rsidRPr="00EE75B4">
        <w:rPr>
          <w:rFonts w:ascii="Times New Roman" w:hAnsi="Times New Roman"/>
          <w:b/>
          <w:lang w:val="lt-LT"/>
        </w:rPr>
        <w:t>Kad vaisto nebūtų perdozuota, tablečių vartokite tiksliai tiek, kiek nurodė gydytojas.</w:t>
      </w:r>
    </w:p>
    <w:p w14:paraId="16E34F3E" w14:textId="77777777" w:rsidR="005427AE" w:rsidRPr="00EE75B4" w:rsidRDefault="005427AE" w:rsidP="005427AE">
      <w:pPr>
        <w:keepNext/>
        <w:keepLines/>
        <w:spacing w:after="0" w:line="240" w:lineRule="auto"/>
        <w:rPr>
          <w:rFonts w:ascii="Times New Roman" w:hAnsi="Times New Roman"/>
          <w:lang w:val="lt-LT"/>
        </w:rPr>
      </w:pPr>
    </w:p>
    <w:p w14:paraId="2963AADB" w14:textId="77777777" w:rsidR="005427AE" w:rsidRPr="00EE75B4" w:rsidRDefault="005427AE" w:rsidP="005427AE">
      <w:pPr>
        <w:keepNext/>
        <w:keepLines/>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tabletės turi būti vartojamos, jeigu įmanoma, su maistu, – žiūrėkite 2 skyrių.</w:t>
      </w:r>
    </w:p>
    <w:p w14:paraId="6F9E6946" w14:textId="77777777" w:rsidR="005427AE" w:rsidRPr="00EE75B4" w:rsidRDefault="005427AE" w:rsidP="005427AE">
      <w:pPr>
        <w:keepNext/>
        <w:keepLines/>
        <w:spacing w:after="0" w:line="240" w:lineRule="auto"/>
        <w:rPr>
          <w:rFonts w:ascii="Times New Roman" w:hAnsi="Times New Roman"/>
          <w:lang w:val="lt-LT"/>
        </w:rPr>
      </w:pPr>
    </w:p>
    <w:p w14:paraId="2B399AD7" w14:textId="77777777" w:rsidR="005427AE" w:rsidRPr="00EE75B4" w:rsidRDefault="005427AE" w:rsidP="005427AE">
      <w:pPr>
        <w:keepNext/>
        <w:keepLines/>
        <w:tabs>
          <w:tab w:val="center" w:pos="4153"/>
          <w:tab w:val="right" w:pos="8306"/>
        </w:tabs>
        <w:spacing w:after="0" w:line="240" w:lineRule="auto"/>
        <w:rPr>
          <w:rFonts w:ascii="Times New Roman" w:hAnsi="Times New Roman"/>
          <w:b/>
          <w:u w:val="single"/>
          <w:lang w:val="lt-LT"/>
        </w:rPr>
      </w:pPr>
      <w:r w:rsidRPr="00EE75B4">
        <w:rPr>
          <w:rFonts w:ascii="Times New Roman" w:hAnsi="Times New Roman"/>
          <w:b/>
          <w:u w:val="single"/>
          <w:lang w:val="lt-LT"/>
        </w:rPr>
        <w:t>Suaugusiesiems</w:t>
      </w:r>
    </w:p>
    <w:p w14:paraId="5BF6000C" w14:textId="77777777" w:rsidR="005427AE" w:rsidRPr="00EE75B4" w:rsidRDefault="005427AE" w:rsidP="005427AE">
      <w:pPr>
        <w:keepNext/>
        <w:keepLines/>
        <w:spacing w:after="0" w:line="240" w:lineRule="auto"/>
        <w:rPr>
          <w:rFonts w:ascii="Times New Roman" w:hAnsi="Times New Roman"/>
          <w:lang w:val="lt-LT"/>
        </w:rPr>
      </w:pPr>
    </w:p>
    <w:p w14:paraId="076CB351" w14:textId="77777777" w:rsidR="005427AE" w:rsidRPr="00EE75B4" w:rsidRDefault="005427AE" w:rsidP="005427AE">
      <w:pPr>
        <w:keepNext/>
        <w:keepLines/>
        <w:tabs>
          <w:tab w:val="center" w:pos="4153"/>
          <w:tab w:val="right" w:pos="8306"/>
        </w:tabs>
        <w:spacing w:after="0" w:line="240" w:lineRule="auto"/>
        <w:rPr>
          <w:rFonts w:ascii="Times New Roman" w:hAnsi="Times New Roman"/>
          <w:b/>
          <w:lang w:val="lt-LT"/>
        </w:rPr>
      </w:pPr>
      <w:r w:rsidRPr="00EE75B4">
        <w:rPr>
          <w:rFonts w:ascii="Times New Roman" w:hAnsi="Times New Roman"/>
          <w:b/>
          <w:lang w:val="lt-LT"/>
        </w:rPr>
        <w:t>CMV sukeltos ligos profilaktika pacientams po persodinimo</w:t>
      </w:r>
    </w:p>
    <w:p w14:paraId="7027CD91" w14:textId="77777777" w:rsidR="005427AE" w:rsidRPr="00EE75B4" w:rsidRDefault="005427AE" w:rsidP="005427AE">
      <w:pPr>
        <w:tabs>
          <w:tab w:val="center" w:pos="4153"/>
          <w:tab w:val="right" w:pos="8306"/>
        </w:tabs>
        <w:spacing w:after="0" w:line="240" w:lineRule="auto"/>
        <w:rPr>
          <w:rFonts w:ascii="Times New Roman" w:hAnsi="Times New Roman"/>
          <w:b/>
          <w:lang w:val="lt-LT"/>
        </w:rPr>
      </w:pPr>
    </w:p>
    <w:p w14:paraId="420614C8"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Turite pradėti vartoti šio vaisto per pirmąsias 10 parų po persodinimo. Rekomenduojama dozė yra dvi tabletės VIENĄ KARTĄ per parą. Turite tęsti šios dozės vartojimą iki 100 parų po persodinimo. Jeigu Jums persodintas inkstas, gydytojas gali patarti vartoti šių tablečių 200 parų.</w:t>
      </w:r>
    </w:p>
    <w:p w14:paraId="7E582614" w14:textId="77777777" w:rsidR="005427AE" w:rsidRPr="00EE75B4" w:rsidRDefault="005427AE" w:rsidP="005427AE">
      <w:pPr>
        <w:spacing w:after="0" w:line="240" w:lineRule="auto"/>
        <w:rPr>
          <w:rFonts w:ascii="Times New Roman" w:hAnsi="Times New Roman"/>
          <w:u w:val="single"/>
          <w:lang w:val="lt-LT"/>
        </w:rPr>
      </w:pPr>
    </w:p>
    <w:p w14:paraId="16B9BCE9" w14:textId="77777777" w:rsidR="005427AE" w:rsidRPr="00EE75B4" w:rsidRDefault="005427AE" w:rsidP="005427AE">
      <w:pPr>
        <w:spacing w:after="0" w:line="240" w:lineRule="auto"/>
        <w:rPr>
          <w:rFonts w:ascii="Times New Roman" w:hAnsi="Times New Roman"/>
          <w:b/>
          <w:lang w:val="lt-LT"/>
        </w:rPr>
      </w:pPr>
      <w:r w:rsidRPr="00EE75B4">
        <w:rPr>
          <w:rFonts w:ascii="Times New Roman" w:hAnsi="Times New Roman"/>
          <w:b/>
          <w:lang w:val="lt-LT"/>
        </w:rPr>
        <w:t xml:space="preserve">Aktyvaus CMV sukelto </w:t>
      </w:r>
      <w:proofErr w:type="spellStart"/>
      <w:r w:rsidRPr="00EE75B4">
        <w:rPr>
          <w:rFonts w:ascii="Times New Roman" w:hAnsi="Times New Roman"/>
          <w:b/>
          <w:lang w:val="lt-LT"/>
        </w:rPr>
        <w:t>retinito</w:t>
      </w:r>
      <w:proofErr w:type="spellEnd"/>
      <w:r w:rsidRPr="00EE75B4">
        <w:rPr>
          <w:rFonts w:ascii="Times New Roman" w:hAnsi="Times New Roman"/>
          <w:b/>
          <w:lang w:val="lt-LT"/>
        </w:rPr>
        <w:t xml:space="preserve"> gydymas AIDS sergantiems pacientams (vadinamasis įvadinis gydymas)</w:t>
      </w:r>
    </w:p>
    <w:p w14:paraId="6E9102FE" w14:textId="77777777" w:rsidR="005427AE" w:rsidRPr="00EE75B4" w:rsidRDefault="00BA4786" w:rsidP="005427AE">
      <w:pPr>
        <w:spacing w:after="0" w:line="240" w:lineRule="auto"/>
        <w:rPr>
          <w:rFonts w:ascii="Times New Roman" w:hAnsi="Times New Roman"/>
          <w:lang w:val="lt-LT"/>
        </w:rPr>
      </w:pPr>
      <w:r w:rsidRPr="00EE75B4">
        <w:rPr>
          <w:rFonts w:ascii="Times New Roman" w:eastAsia="Times New Roman" w:hAnsi="Times New Roman"/>
          <w:lang w:val="lt-LT" w:eastAsia="ja-JP"/>
        </w:rPr>
        <w:t>Įprastinė</w:t>
      </w:r>
      <w:r w:rsidRPr="00EE75B4">
        <w:rPr>
          <w:rFonts w:ascii="Times New Roman" w:hAnsi="Times New Roman"/>
          <w:lang w:val="lt-LT"/>
        </w:rPr>
        <w:t xml:space="preserve"> </w:t>
      </w:r>
      <w:r w:rsidR="005427AE" w:rsidRPr="00EE75B4">
        <w:rPr>
          <w:rFonts w:ascii="Times New Roman" w:hAnsi="Times New Roman"/>
          <w:lang w:val="lt-LT"/>
        </w:rPr>
        <w:t>dozė yra dvi tabletės DU KARTUS per parą 21 parą (tris savaites). Nevartokite šios dozės ilgiau negu 21 parą, nebent gydytojas nurodys kitaip, nes tai gali padidinti galimo šalutinio poveikio riziką.</w:t>
      </w:r>
    </w:p>
    <w:p w14:paraId="4C2CCDFF" w14:textId="77777777" w:rsidR="005427AE" w:rsidRPr="00EE75B4" w:rsidRDefault="005427AE" w:rsidP="005427AE">
      <w:pPr>
        <w:spacing w:after="0" w:line="240" w:lineRule="auto"/>
        <w:outlineLvl w:val="5"/>
        <w:rPr>
          <w:rFonts w:ascii="Times New Roman" w:hAnsi="Times New Roman"/>
          <w:b/>
          <w:lang w:val="lt-LT"/>
        </w:rPr>
      </w:pPr>
    </w:p>
    <w:p w14:paraId="6DE79610" w14:textId="77777777" w:rsidR="005427AE" w:rsidRPr="00EE75B4" w:rsidRDefault="005427AE" w:rsidP="005427AE">
      <w:pPr>
        <w:spacing w:after="0" w:line="240" w:lineRule="auto"/>
        <w:outlineLvl w:val="5"/>
        <w:rPr>
          <w:rFonts w:ascii="Times New Roman" w:hAnsi="Times New Roman"/>
          <w:lang w:val="lt-LT"/>
        </w:rPr>
      </w:pPr>
      <w:r w:rsidRPr="00EE75B4">
        <w:rPr>
          <w:rFonts w:ascii="Times New Roman" w:hAnsi="Times New Roman"/>
          <w:b/>
          <w:lang w:val="lt-LT"/>
        </w:rPr>
        <w:t xml:space="preserve">Ilgesnis gydymas, siekiant neleisti pasikartoti aktyviam uždegimui CMV sukeltu </w:t>
      </w:r>
      <w:proofErr w:type="spellStart"/>
      <w:r w:rsidRPr="00EE75B4">
        <w:rPr>
          <w:rFonts w:ascii="Times New Roman" w:hAnsi="Times New Roman"/>
          <w:b/>
          <w:lang w:val="lt-LT"/>
        </w:rPr>
        <w:t>retinitu</w:t>
      </w:r>
      <w:proofErr w:type="spellEnd"/>
      <w:r w:rsidRPr="00EE75B4">
        <w:rPr>
          <w:rFonts w:ascii="Times New Roman" w:hAnsi="Times New Roman"/>
          <w:b/>
          <w:lang w:val="lt-LT"/>
        </w:rPr>
        <w:t xml:space="preserve"> sergantiems pacientams, sergantiems AIDS (vadinamasis palaikomasis gydymas)</w:t>
      </w:r>
    </w:p>
    <w:p w14:paraId="6874C943" w14:textId="77777777" w:rsidR="005427AE" w:rsidRPr="00EE75B4" w:rsidRDefault="00BA4786" w:rsidP="005427AE">
      <w:pPr>
        <w:spacing w:after="0" w:line="240" w:lineRule="auto"/>
        <w:rPr>
          <w:rFonts w:ascii="Times New Roman" w:hAnsi="Times New Roman"/>
          <w:lang w:val="lt-LT"/>
        </w:rPr>
      </w:pPr>
      <w:r w:rsidRPr="00EE75B4">
        <w:rPr>
          <w:rFonts w:ascii="Times New Roman" w:eastAsia="Times New Roman" w:hAnsi="Times New Roman"/>
          <w:lang w:val="lt-LT" w:eastAsia="ja-JP"/>
        </w:rPr>
        <w:t>Įprastinė</w:t>
      </w:r>
      <w:r w:rsidRPr="00EE75B4">
        <w:rPr>
          <w:rFonts w:ascii="Times New Roman" w:hAnsi="Times New Roman"/>
          <w:lang w:val="lt-LT"/>
        </w:rPr>
        <w:t xml:space="preserve"> </w:t>
      </w:r>
      <w:r w:rsidR="005427AE" w:rsidRPr="00EE75B4">
        <w:rPr>
          <w:rFonts w:ascii="Times New Roman" w:hAnsi="Times New Roman"/>
          <w:lang w:val="lt-LT"/>
        </w:rPr>
        <w:t xml:space="preserve">dozė yra dvi tabletės VIENĄ KARTĄ per parą. Stenkitės vartoti tabletes kiekvieną dieną tuo pačiu laiku. Gydytojas pasakys, kaip ilgai vartoti </w:t>
      </w:r>
      <w:proofErr w:type="spellStart"/>
      <w:r w:rsidR="005427AE" w:rsidRPr="00EE75B4">
        <w:rPr>
          <w:rFonts w:ascii="Times New Roman" w:hAnsi="Times New Roman"/>
          <w:lang w:val="lt-LT"/>
        </w:rPr>
        <w:t>Valganciclovir</w:t>
      </w:r>
      <w:proofErr w:type="spellEnd"/>
      <w:r w:rsidR="005427AE" w:rsidRPr="00EE75B4">
        <w:rPr>
          <w:rFonts w:ascii="Times New Roman" w:hAnsi="Times New Roman"/>
          <w:lang w:val="lt-LT"/>
        </w:rPr>
        <w:t xml:space="preserve"> </w:t>
      </w:r>
      <w:proofErr w:type="spellStart"/>
      <w:r w:rsidR="005427AE" w:rsidRPr="00EE75B4">
        <w:rPr>
          <w:rFonts w:ascii="Times New Roman" w:hAnsi="Times New Roman"/>
          <w:lang w:val="lt-LT"/>
        </w:rPr>
        <w:t>Accord</w:t>
      </w:r>
      <w:proofErr w:type="spellEnd"/>
      <w:r w:rsidR="005427AE" w:rsidRPr="00EE75B4">
        <w:rPr>
          <w:rFonts w:ascii="Times New Roman" w:hAnsi="Times New Roman"/>
          <w:lang w:val="lt-LT"/>
        </w:rPr>
        <w:t xml:space="preserve">. Jeigu gydant šia doze </w:t>
      </w:r>
      <w:proofErr w:type="spellStart"/>
      <w:r w:rsidR="005427AE" w:rsidRPr="00EE75B4">
        <w:rPr>
          <w:rFonts w:ascii="Times New Roman" w:hAnsi="Times New Roman"/>
          <w:lang w:val="lt-LT"/>
        </w:rPr>
        <w:t>retinitas</w:t>
      </w:r>
      <w:proofErr w:type="spellEnd"/>
      <w:r w:rsidR="005427AE" w:rsidRPr="00EE75B4">
        <w:rPr>
          <w:rFonts w:ascii="Times New Roman" w:hAnsi="Times New Roman"/>
          <w:lang w:val="lt-LT"/>
        </w:rPr>
        <w:t xml:space="preserve"> blogėja, gydytojas gali nurodyti pakartoti įvadinį gydymą (kaip nurodyta anksčiau) arba gali nuspręsti skirti kitų vaistų CMV sukeltai infekcijai gydyti.</w:t>
      </w:r>
    </w:p>
    <w:p w14:paraId="635A0D71" w14:textId="77777777" w:rsidR="005427AE" w:rsidRPr="00EE75B4" w:rsidRDefault="005427AE" w:rsidP="005427AE">
      <w:pPr>
        <w:spacing w:after="0" w:line="240" w:lineRule="auto"/>
        <w:rPr>
          <w:rFonts w:ascii="Times New Roman" w:hAnsi="Times New Roman"/>
          <w:lang w:val="lt-LT"/>
        </w:rPr>
      </w:pPr>
    </w:p>
    <w:p w14:paraId="10C29CCB"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b/>
          <w:lang w:val="lt-LT"/>
        </w:rPr>
        <w:t>Senyviems pacientams</w:t>
      </w:r>
    </w:p>
    <w:p w14:paraId="1505CB13"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poveikis senyviems pacientams netirtas.</w:t>
      </w:r>
    </w:p>
    <w:p w14:paraId="1A4C5BA4" w14:textId="77777777" w:rsidR="005427AE" w:rsidRPr="00EE75B4" w:rsidRDefault="005427AE" w:rsidP="005427AE">
      <w:pPr>
        <w:spacing w:after="0" w:line="240" w:lineRule="auto"/>
        <w:rPr>
          <w:rFonts w:ascii="Times New Roman" w:hAnsi="Times New Roman"/>
          <w:lang w:val="lt-LT"/>
        </w:rPr>
      </w:pPr>
    </w:p>
    <w:p w14:paraId="7E645DD8" w14:textId="77777777" w:rsidR="005427AE" w:rsidRPr="00EE75B4" w:rsidRDefault="005427AE" w:rsidP="005427AE">
      <w:pPr>
        <w:spacing w:after="0" w:line="240" w:lineRule="auto"/>
        <w:rPr>
          <w:rFonts w:ascii="Times New Roman" w:hAnsi="Times New Roman"/>
          <w:b/>
          <w:lang w:val="lt-LT"/>
        </w:rPr>
      </w:pPr>
      <w:r w:rsidRPr="00EE75B4">
        <w:rPr>
          <w:rFonts w:ascii="Times New Roman" w:hAnsi="Times New Roman"/>
          <w:b/>
          <w:lang w:val="lt-LT"/>
        </w:rPr>
        <w:t>Pacientams, kurių inkstų funkcija sutrikusi</w:t>
      </w:r>
    </w:p>
    <w:p w14:paraId="6B711B4E"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Jeigu Jūsų inkstų funkcija nėra tinkama, gydytojas gali patarti kasdien vartoti mažiau tablečių arba jų vartoti kiekvieną savaitę tik tam tikromis dienomis. Labai svarbu vartoti tik tiek tablečių, kiek gydytojas paskyrė.</w:t>
      </w:r>
    </w:p>
    <w:p w14:paraId="6D3178A4" w14:textId="77777777" w:rsidR="005427AE" w:rsidRPr="00EE75B4" w:rsidRDefault="005427AE" w:rsidP="005427AE">
      <w:pPr>
        <w:tabs>
          <w:tab w:val="center" w:pos="4153"/>
          <w:tab w:val="right" w:pos="8306"/>
        </w:tabs>
        <w:spacing w:after="0" w:line="240" w:lineRule="auto"/>
        <w:rPr>
          <w:rFonts w:ascii="Times New Roman" w:hAnsi="Times New Roman"/>
          <w:lang w:val="lt-LT"/>
        </w:rPr>
      </w:pPr>
    </w:p>
    <w:p w14:paraId="1DEE2EC8" w14:textId="77777777" w:rsidR="005427AE" w:rsidRPr="00EE75B4" w:rsidRDefault="005427AE" w:rsidP="005427AE">
      <w:pPr>
        <w:spacing w:after="0" w:line="240" w:lineRule="auto"/>
        <w:rPr>
          <w:rFonts w:ascii="Times New Roman" w:hAnsi="Times New Roman"/>
          <w:b/>
          <w:lang w:val="lt-LT"/>
        </w:rPr>
      </w:pPr>
      <w:r w:rsidRPr="00EE75B4">
        <w:rPr>
          <w:rFonts w:ascii="Times New Roman" w:hAnsi="Times New Roman"/>
          <w:b/>
          <w:lang w:val="lt-LT"/>
        </w:rPr>
        <w:t>Pacientams, kurių kepenų funkcija sutrikusi</w:t>
      </w:r>
    </w:p>
    <w:p w14:paraId="5585643B"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poveikis pacientams, kurių kepenų funkcija sutrikusi, netirtas.</w:t>
      </w:r>
    </w:p>
    <w:p w14:paraId="79630066" w14:textId="77777777" w:rsidR="005427AE" w:rsidRPr="00EE75B4" w:rsidRDefault="005427AE" w:rsidP="005427AE">
      <w:pPr>
        <w:tabs>
          <w:tab w:val="center" w:pos="4153"/>
          <w:tab w:val="right" w:pos="8306"/>
        </w:tabs>
        <w:spacing w:after="0" w:line="240" w:lineRule="auto"/>
        <w:rPr>
          <w:rFonts w:ascii="Times New Roman" w:hAnsi="Times New Roman"/>
          <w:b/>
          <w:u w:val="single"/>
          <w:lang w:val="lt-LT"/>
        </w:rPr>
      </w:pPr>
    </w:p>
    <w:p w14:paraId="66134881" w14:textId="77777777" w:rsidR="005427AE" w:rsidRPr="00EE75B4" w:rsidRDefault="005427AE" w:rsidP="005427AE">
      <w:pPr>
        <w:tabs>
          <w:tab w:val="center" w:pos="4153"/>
          <w:tab w:val="right" w:pos="8306"/>
        </w:tabs>
        <w:spacing w:after="0" w:line="240" w:lineRule="auto"/>
        <w:rPr>
          <w:rFonts w:ascii="Times New Roman" w:hAnsi="Times New Roman"/>
          <w:b/>
          <w:u w:val="single"/>
          <w:lang w:val="lt-LT"/>
        </w:rPr>
      </w:pPr>
      <w:r w:rsidRPr="00EE75B4">
        <w:rPr>
          <w:rFonts w:ascii="Times New Roman" w:hAnsi="Times New Roman"/>
          <w:b/>
          <w:u w:val="single"/>
          <w:lang w:val="lt-LT"/>
        </w:rPr>
        <w:t>Vartojimas vaikams ir paaugliams</w:t>
      </w:r>
    </w:p>
    <w:p w14:paraId="0CD17C05" w14:textId="77777777" w:rsidR="005427AE" w:rsidRPr="00EE75B4" w:rsidRDefault="005427AE" w:rsidP="005427AE">
      <w:pPr>
        <w:tabs>
          <w:tab w:val="center" w:pos="4153"/>
          <w:tab w:val="right" w:pos="8306"/>
        </w:tabs>
        <w:spacing w:after="0" w:line="240" w:lineRule="auto"/>
        <w:rPr>
          <w:rFonts w:ascii="Times New Roman" w:hAnsi="Times New Roman"/>
          <w:b/>
          <w:lang w:val="lt-LT"/>
        </w:rPr>
      </w:pPr>
      <w:r w:rsidRPr="00EE75B4">
        <w:rPr>
          <w:rFonts w:ascii="Times New Roman" w:hAnsi="Times New Roman"/>
          <w:b/>
          <w:lang w:val="lt-LT"/>
        </w:rPr>
        <w:t>CMV sukeltos ligos profilaktika pacientams po persodinimo</w:t>
      </w:r>
    </w:p>
    <w:p w14:paraId="5B8F88A8" w14:textId="77777777" w:rsidR="005427AE" w:rsidRPr="00EE75B4" w:rsidRDefault="005427AE" w:rsidP="005427AE">
      <w:pPr>
        <w:tabs>
          <w:tab w:val="center" w:pos="4153"/>
          <w:tab w:val="right" w:pos="8306"/>
        </w:tabs>
        <w:spacing w:after="0" w:line="240" w:lineRule="auto"/>
        <w:rPr>
          <w:rFonts w:ascii="Times New Roman" w:hAnsi="Times New Roman"/>
          <w:lang w:val="lt-LT"/>
        </w:rPr>
      </w:pPr>
      <w:r w:rsidRPr="00EE75B4">
        <w:rPr>
          <w:rFonts w:ascii="Times New Roman" w:hAnsi="Times New Roman"/>
          <w:lang w:val="lt-LT"/>
        </w:rPr>
        <w:t>Vaikai turi pradėti vartoti šį vaistą per 10 parų po organo persodinimo. Dozė gali skirtis atsižvelgiant į vaiko didumą ir turi būti geriama VIENĄ KARTĄ per parą. Remdamasis Jūsų vaiko ūgiu, kūno mase ir inkstų funkcija tinkamiausią dozę nustatys gydytojas. Jūs turite toliau duoti šią dozę iki 100 parų. Jeigu Jūsų vaikui yra persodintas inkstas, gydytojas gali patarti vartoti tokią dozę iki 200 parų.</w:t>
      </w:r>
    </w:p>
    <w:p w14:paraId="2C7A81C1" w14:textId="77777777" w:rsidR="005427AE" w:rsidRPr="00EE75B4" w:rsidRDefault="005427AE" w:rsidP="005427AE">
      <w:pPr>
        <w:tabs>
          <w:tab w:val="center" w:pos="4153"/>
          <w:tab w:val="right" w:pos="8306"/>
        </w:tabs>
        <w:spacing w:after="0" w:line="240" w:lineRule="auto"/>
        <w:rPr>
          <w:rFonts w:ascii="Times New Roman" w:hAnsi="Times New Roman"/>
          <w:lang w:val="lt-LT"/>
        </w:rPr>
      </w:pPr>
      <w:r w:rsidRPr="00EE75B4">
        <w:rPr>
          <w:rFonts w:ascii="Times New Roman" w:hAnsi="Times New Roman"/>
          <w:lang w:val="lt-LT"/>
        </w:rPr>
        <w:t xml:space="preserve">Vaikams, kurie negali nuryti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plėvele dengtų tablečių, galima vartoti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miltelių geriamajam tirpalui.</w:t>
      </w:r>
    </w:p>
    <w:p w14:paraId="72D09217" w14:textId="77777777" w:rsidR="005427AE" w:rsidRPr="00EE75B4" w:rsidRDefault="005427AE" w:rsidP="005427AE">
      <w:pPr>
        <w:tabs>
          <w:tab w:val="center" w:pos="4153"/>
          <w:tab w:val="right" w:pos="8306"/>
        </w:tabs>
        <w:spacing w:after="0" w:line="240" w:lineRule="auto"/>
        <w:rPr>
          <w:rFonts w:ascii="Times New Roman" w:hAnsi="Times New Roman"/>
          <w:lang w:val="lt-LT"/>
        </w:rPr>
      </w:pPr>
    </w:p>
    <w:p w14:paraId="46817969" w14:textId="77777777" w:rsidR="005427AE" w:rsidRPr="00EE75B4" w:rsidRDefault="005427AE" w:rsidP="005427AE">
      <w:pPr>
        <w:keepNext/>
        <w:keepLines/>
        <w:spacing w:after="0" w:line="240" w:lineRule="auto"/>
        <w:ind w:right="-2"/>
        <w:rPr>
          <w:rFonts w:ascii="Times New Roman" w:hAnsi="Times New Roman"/>
          <w:lang w:val="lt-LT"/>
        </w:rPr>
      </w:pPr>
      <w:r w:rsidRPr="00EE75B4">
        <w:rPr>
          <w:rFonts w:ascii="Times New Roman" w:hAnsi="Times New Roman"/>
          <w:b/>
          <w:lang w:val="lt-LT"/>
        </w:rPr>
        <w:lastRenderedPageBreak/>
        <w:t xml:space="preserve">Ką daryti pavartojus per didelę </w:t>
      </w:r>
      <w:proofErr w:type="spellStart"/>
      <w:r w:rsidRPr="00EE75B4">
        <w:rPr>
          <w:rFonts w:ascii="Times New Roman" w:hAnsi="Times New Roman"/>
          <w:b/>
          <w:lang w:val="lt-LT"/>
        </w:rPr>
        <w:t>Valganciclovir</w:t>
      </w:r>
      <w:proofErr w:type="spellEnd"/>
      <w:r w:rsidRPr="00EE75B4">
        <w:rPr>
          <w:rFonts w:ascii="Times New Roman" w:hAnsi="Times New Roman"/>
          <w:b/>
          <w:lang w:val="lt-LT"/>
        </w:rPr>
        <w:t xml:space="preserve"> </w:t>
      </w:r>
      <w:proofErr w:type="spellStart"/>
      <w:r w:rsidRPr="00EE75B4">
        <w:rPr>
          <w:rFonts w:ascii="Times New Roman" w:hAnsi="Times New Roman"/>
          <w:b/>
          <w:lang w:val="lt-LT"/>
        </w:rPr>
        <w:t>Accord</w:t>
      </w:r>
      <w:proofErr w:type="spellEnd"/>
      <w:r w:rsidRPr="00EE75B4" w:rsidDel="00C5552C">
        <w:rPr>
          <w:rFonts w:ascii="Times New Roman" w:hAnsi="Times New Roman"/>
          <w:b/>
          <w:lang w:val="lt-LT"/>
        </w:rPr>
        <w:t xml:space="preserve"> </w:t>
      </w:r>
      <w:r w:rsidRPr="00EE75B4">
        <w:rPr>
          <w:rFonts w:ascii="Times New Roman" w:hAnsi="Times New Roman"/>
          <w:b/>
          <w:lang w:val="lt-LT"/>
        </w:rPr>
        <w:t>dozę?</w:t>
      </w:r>
    </w:p>
    <w:p w14:paraId="701B9120" w14:textId="77777777" w:rsidR="005427AE" w:rsidRPr="00EE75B4" w:rsidRDefault="005427AE" w:rsidP="005427AE">
      <w:pPr>
        <w:keepNext/>
        <w:keepLines/>
        <w:spacing w:after="0" w:line="240" w:lineRule="auto"/>
        <w:rPr>
          <w:rFonts w:ascii="Times New Roman" w:hAnsi="Times New Roman"/>
          <w:lang w:val="lt-LT"/>
        </w:rPr>
      </w:pPr>
      <w:r w:rsidRPr="00EE75B4">
        <w:rPr>
          <w:rFonts w:ascii="Times New Roman" w:hAnsi="Times New Roman"/>
          <w:lang w:val="lt-LT"/>
        </w:rPr>
        <w:t>Jeigu suvartojote arba manote, kad suvartojote, daugiau tablečių negu reikėjo, nedelsdami kreipkitės į gydytoją arba vykite į ligoninę. Pavartojus per daug tablečių gali pasireikšti sunkių šalutinių reiškinių, ypač galinčių pakenkti kraujui arba inkstams. Dėl to Jus gali tekti gydyti ligoninėje.</w:t>
      </w:r>
    </w:p>
    <w:p w14:paraId="6C9B6C9D" w14:textId="77777777" w:rsidR="005427AE" w:rsidRPr="00EE75B4" w:rsidRDefault="005427AE" w:rsidP="005427AE">
      <w:pPr>
        <w:keepNext/>
        <w:keepLines/>
        <w:spacing w:after="0" w:line="240" w:lineRule="auto"/>
        <w:rPr>
          <w:rFonts w:ascii="Times New Roman" w:hAnsi="Times New Roman"/>
          <w:lang w:val="lt-LT"/>
        </w:rPr>
      </w:pPr>
    </w:p>
    <w:p w14:paraId="21A2A3C5" w14:textId="77777777" w:rsidR="005427AE" w:rsidRPr="00EE75B4" w:rsidRDefault="005427AE" w:rsidP="005427AE">
      <w:pPr>
        <w:spacing w:after="0" w:line="240" w:lineRule="auto"/>
        <w:ind w:right="-2"/>
        <w:rPr>
          <w:rFonts w:ascii="Times New Roman" w:hAnsi="Times New Roman"/>
          <w:lang w:val="lt-LT"/>
        </w:rPr>
      </w:pPr>
      <w:r w:rsidRPr="00EE75B4">
        <w:rPr>
          <w:rFonts w:ascii="Times New Roman" w:hAnsi="Times New Roman"/>
          <w:b/>
          <w:lang w:val="lt-LT"/>
        </w:rPr>
        <w:t xml:space="preserve">Pamiršus pavartoti </w:t>
      </w:r>
      <w:proofErr w:type="spellStart"/>
      <w:r w:rsidRPr="00EE75B4">
        <w:rPr>
          <w:rFonts w:ascii="Times New Roman" w:hAnsi="Times New Roman"/>
          <w:b/>
          <w:lang w:val="lt-LT"/>
        </w:rPr>
        <w:t>Valganciclovir</w:t>
      </w:r>
      <w:proofErr w:type="spellEnd"/>
      <w:r w:rsidRPr="00EE75B4">
        <w:rPr>
          <w:rFonts w:ascii="Times New Roman" w:hAnsi="Times New Roman"/>
          <w:b/>
          <w:lang w:val="lt-LT"/>
        </w:rPr>
        <w:t xml:space="preserve"> </w:t>
      </w:r>
      <w:proofErr w:type="spellStart"/>
      <w:r w:rsidRPr="00EE75B4">
        <w:rPr>
          <w:rFonts w:ascii="Times New Roman" w:hAnsi="Times New Roman"/>
          <w:b/>
          <w:lang w:val="lt-LT"/>
        </w:rPr>
        <w:t>Accord</w:t>
      </w:r>
      <w:proofErr w:type="spellEnd"/>
    </w:p>
    <w:p w14:paraId="77718339" w14:textId="77777777" w:rsidR="005427AE" w:rsidRPr="00EE75B4" w:rsidRDefault="005427AE" w:rsidP="005427AE">
      <w:pPr>
        <w:spacing w:after="0" w:line="240" w:lineRule="auto"/>
        <w:ind w:right="-2"/>
        <w:rPr>
          <w:rFonts w:ascii="Times New Roman" w:hAnsi="Times New Roman"/>
          <w:lang w:val="lt-LT"/>
        </w:rPr>
      </w:pPr>
      <w:r w:rsidRPr="00EE75B4">
        <w:rPr>
          <w:rFonts w:ascii="Times New Roman" w:hAnsi="Times New Roman"/>
          <w:lang w:val="lt-LT"/>
        </w:rPr>
        <w:t>Jeigu pamiršote išgerti tablečių, suvartokite praleistą dozę, kai tik prisiminsite, ir kitą gerkite įprastu laiku. Negalima vartoti dvigubos dozės norint kompensuoti praleistą tabletę.</w:t>
      </w:r>
    </w:p>
    <w:p w14:paraId="58C4068F" w14:textId="77777777" w:rsidR="005427AE" w:rsidRPr="00EE75B4" w:rsidRDefault="005427AE" w:rsidP="005427AE">
      <w:pPr>
        <w:spacing w:after="0" w:line="240" w:lineRule="auto"/>
        <w:ind w:right="-2"/>
        <w:rPr>
          <w:rFonts w:ascii="Times New Roman" w:hAnsi="Times New Roman"/>
          <w:lang w:val="lt-LT"/>
        </w:rPr>
      </w:pPr>
    </w:p>
    <w:p w14:paraId="733C88AB" w14:textId="77777777" w:rsidR="005427AE" w:rsidRPr="00EE75B4" w:rsidRDefault="005427AE" w:rsidP="005427AE">
      <w:pPr>
        <w:spacing w:after="0" w:line="240" w:lineRule="auto"/>
        <w:ind w:right="-2"/>
        <w:rPr>
          <w:rFonts w:ascii="Times New Roman" w:hAnsi="Times New Roman"/>
          <w:b/>
          <w:lang w:val="lt-LT"/>
        </w:rPr>
      </w:pPr>
      <w:r w:rsidRPr="00EE75B4">
        <w:rPr>
          <w:rFonts w:ascii="Times New Roman" w:hAnsi="Times New Roman"/>
          <w:b/>
          <w:lang w:val="lt-LT"/>
        </w:rPr>
        <w:t xml:space="preserve">Nustojus vartoti </w:t>
      </w:r>
      <w:proofErr w:type="spellStart"/>
      <w:r w:rsidRPr="00EE75B4">
        <w:rPr>
          <w:rFonts w:ascii="Times New Roman" w:hAnsi="Times New Roman"/>
          <w:b/>
          <w:lang w:val="lt-LT"/>
        </w:rPr>
        <w:t>Valganciclovir</w:t>
      </w:r>
      <w:proofErr w:type="spellEnd"/>
      <w:r w:rsidRPr="00EE75B4">
        <w:rPr>
          <w:rFonts w:ascii="Times New Roman" w:hAnsi="Times New Roman"/>
          <w:b/>
          <w:lang w:val="lt-LT"/>
        </w:rPr>
        <w:t xml:space="preserve"> </w:t>
      </w:r>
      <w:proofErr w:type="spellStart"/>
      <w:r w:rsidRPr="00EE75B4">
        <w:rPr>
          <w:rFonts w:ascii="Times New Roman" w:hAnsi="Times New Roman"/>
          <w:b/>
          <w:lang w:val="lt-LT"/>
        </w:rPr>
        <w:t>Accord</w:t>
      </w:r>
      <w:proofErr w:type="spellEnd"/>
    </w:p>
    <w:p w14:paraId="7453F776" w14:textId="77777777" w:rsidR="005427AE" w:rsidRPr="00EE75B4" w:rsidRDefault="005427AE" w:rsidP="005427AE">
      <w:pPr>
        <w:spacing w:after="0" w:line="240" w:lineRule="auto"/>
        <w:ind w:right="-2"/>
        <w:rPr>
          <w:rFonts w:ascii="Times New Roman" w:hAnsi="Times New Roman"/>
          <w:lang w:val="lt-LT"/>
        </w:rPr>
      </w:pPr>
      <w:r w:rsidRPr="00EE75B4">
        <w:rPr>
          <w:rFonts w:ascii="Times New Roman" w:hAnsi="Times New Roman"/>
          <w:lang w:val="lt-LT"/>
        </w:rPr>
        <w:t>Nenustokite vartoti vaisto, nebent tai daryti lieptų Jūsų gydytojas.</w:t>
      </w:r>
    </w:p>
    <w:p w14:paraId="54496712" w14:textId="77777777" w:rsidR="005427AE" w:rsidRPr="00EE75B4" w:rsidRDefault="005427AE" w:rsidP="005427AE">
      <w:pPr>
        <w:spacing w:after="0" w:line="240" w:lineRule="auto"/>
        <w:ind w:right="-2"/>
        <w:rPr>
          <w:rFonts w:ascii="Times New Roman" w:hAnsi="Times New Roman"/>
          <w:lang w:val="lt-LT"/>
        </w:rPr>
      </w:pPr>
    </w:p>
    <w:p w14:paraId="1F040B76" w14:textId="77777777" w:rsidR="005427AE" w:rsidRPr="00EE75B4" w:rsidRDefault="005427AE" w:rsidP="005427AE">
      <w:pPr>
        <w:spacing w:after="0" w:line="240" w:lineRule="auto"/>
        <w:ind w:right="-2"/>
        <w:rPr>
          <w:rFonts w:ascii="Times New Roman" w:hAnsi="Times New Roman"/>
          <w:lang w:val="lt-LT"/>
        </w:rPr>
      </w:pPr>
      <w:r w:rsidRPr="00EE75B4">
        <w:rPr>
          <w:rFonts w:ascii="Times New Roman" w:hAnsi="Times New Roman"/>
          <w:lang w:val="lt-LT"/>
        </w:rPr>
        <w:t>Jeigu kiltų daugiau klausimų dėl šio vaisto vartojimo, kreipkitės į gydytoją arba vaistininką.</w:t>
      </w:r>
    </w:p>
    <w:p w14:paraId="7938733F" w14:textId="77777777" w:rsidR="005427AE" w:rsidRPr="00EE75B4" w:rsidRDefault="005427AE" w:rsidP="005427AE">
      <w:pPr>
        <w:spacing w:after="0" w:line="240" w:lineRule="auto"/>
        <w:ind w:right="-2"/>
        <w:rPr>
          <w:rFonts w:ascii="Times New Roman" w:hAnsi="Times New Roman"/>
          <w:lang w:val="lt-LT"/>
        </w:rPr>
      </w:pPr>
    </w:p>
    <w:p w14:paraId="05AA3FBC" w14:textId="77777777" w:rsidR="005427AE" w:rsidRPr="00EE75B4" w:rsidRDefault="005427AE" w:rsidP="005427AE">
      <w:pPr>
        <w:spacing w:after="0" w:line="240" w:lineRule="auto"/>
        <w:ind w:left="567" w:right="-2" w:hanging="567"/>
        <w:rPr>
          <w:rFonts w:ascii="Times New Roman" w:hAnsi="Times New Roman"/>
          <w:lang w:val="lt-LT"/>
        </w:rPr>
      </w:pPr>
    </w:p>
    <w:p w14:paraId="6F5BCEE9" w14:textId="77777777" w:rsidR="005427AE" w:rsidRPr="00EE75B4" w:rsidRDefault="005427AE" w:rsidP="005427AE">
      <w:pPr>
        <w:spacing w:after="0" w:line="240" w:lineRule="auto"/>
        <w:ind w:left="567" w:right="-2" w:hanging="567"/>
        <w:rPr>
          <w:rFonts w:ascii="Times New Roman" w:hAnsi="Times New Roman"/>
          <w:lang w:val="lt-LT"/>
        </w:rPr>
      </w:pPr>
      <w:r w:rsidRPr="00EE75B4">
        <w:rPr>
          <w:rFonts w:ascii="Times New Roman" w:hAnsi="Times New Roman"/>
          <w:b/>
          <w:lang w:val="lt-LT"/>
        </w:rPr>
        <w:t>4.</w:t>
      </w:r>
      <w:r w:rsidRPr="00EE75B4">
        <w:rPr>
          <w:rFonts w:ascii="Times New Roman" w:hAnsi="Times New Roman"/>
          <w:b/>
          <w:lang w:val="lt-LT"/>
        </w:rPr>
        <w:tab/>
        <w:t>Galimas šalutinis poveikis</w:t>
      </w:r>
    </w:p>
    <w:p w14:paraId="301DA2A7" w14:textId="77777777" w:rsidR="005427AE" w:rsidRPr="00EE75B4" w:rsidRDefault="005427AE" w:rsidP="005427AE">
      <w:pPr>
        <w:spacing w:after="0" w:line="240" w:lineRule="auto"/>
        <w:ind w:right="-29"/>
        <w:rPr>
          <w:rFonts w:ascii="Times New Roman" w:hAnsi="Times New Roman"/>
          <w:lang w:val="lt-LT"/>
        </w:rPr>
      </w:pPr>
    </w:p>
    <w:p w14:paraId="7BF5AA9E" w14:textId="77777777" w:rsidR="005427AE" w:rsidRPr="00EE75B4" w:rsidRDefault="005427AE" w:rsidP="005427AE">
      <w:pPr>
        <w:spacing w:after="0" w:line="240" w:lineRule="auto"/>
        <w:ind w:right="-29"/>
        <w:rPr>
          <w:rFonts w:ascii="Times New Roman" w:hAnsi="Times New Roman"/>
          <w:lang w:val="lt-LT"/>
        </w:rPr>
      </w:pPr>
      <w:r w:rsidRPr="00EE75B4">
        <w:rPr>
          <w:rFonts w:ascii="Times New Roman" w:hAnsi="Times New Roman"/>
          <w:lang w:val="lt-LT"/>
        </w:rPr>
        <w:t>Šis vaistas, kaip ir visi kiti, gali sukelti šalutinį poveikį, nors jis pasireiškia ne visiems žmonėms.</w:t>
      </w:r>
    </w:p>
    <w:p w14:paraId="1A9F7A51" w14:textId="77777777" w:rsidR="005427AE" w:rsidRPr="00EE75B4" w:rsidRDefault="005427AE" w:rsidP="005427AE">
      <w:pPr>
        <w:spacing w:after="0" w:line="240" w:lineRule="auto"/>
        <w:ind w:right="-29"/>
        <w:rPr>
          <w:rFonts w:ascii="Times New Roman" w:hAnsi="Times New Roman"/>
          <w:lang w:val="lt-LT"/>
        </w:rPr>
      </w:pPr>
    </w:p>
    <w:p w14:paraId="73244645" w14:textId="77777777" w:rsidR="005427AE" w:rsidRPr="00EE75B4" w:rsidRDefault="005427AE" w:rsidP="005427AE">
      <w:pPr>
        <w:spacing w:after="0" w:line="240" w:lineRule="auto"/>
        <w:ind w:right="-29"/>
        <w:rPr>
          <w:rFonts w:ascii="Times New Roman" w:hAnsi="Times New Roman"/>
          <w:lang w:val="lt-LT"/>
        </w:rPr>
      </w:pPr>
      <w:r w:rsidRPr="00EE75B4">
        <w:rPr>
          <w:rFonts w:ascii="Times New Roman" w:hAnsi="Times New Roman"/>
          <w:b/>
          <w:lang w:val="lt-LT"/>
        </w:rPr>
        <w:t>Alerginės reakcijos</w:t>
      </w:r>
    </w:p>
    <w:p w14:paraId="51A8C4E5" w14:textId="77777777" w:rsidR="005427AE" w:rsidRPr="00EE75B4" w:rsidRDefault="005427AE" w:rsidP="005427AE">
      <w:pPr>
        <w:spacing w:after="0" w:line="240" w:lineRule="auto"/>
        <w:ind w:right="-29"/>
        <w:rPr>
          <w:rFonts w:ascii="Times New Roman" w:hAnsi="Times New Roman"/>
          <w:lang w:val="lt-LT"/>
        </w:rPr>
      </w:pPr>
      <w:r w:rsidRPr="00EE75B4">
        <w:rPr>
          <w:rFonts w:ascii="Times New Roman" w:hAnsi="Times New Roman"/>
          <w:lang w:val="lt-LT"/>
        </w:rPr>
        <w:t xml:space="preserve">Ne daugiau kaip vienam iš </w:t>
      </w:r>
      <w:r w:rsidRPr="00EE75B4">
        <w:rPr>
          <w:rFonts w:ascii="Times New Roman" w:eastAsia="Times New Roman" w:hAnsi="Times New Roman"/>
          <w:lang w:val="lt-LT" w:eastAsia="ja-JP"/>
        </w:rPr>
        <w:t>100</w:t>
      </w:r>
      <w:r w:rsidR="00BA4786" w:rsidRPr="00EE75B4">
        <w:rPr>
          <w:rFonts w:ascii="Times New Roman" w:eastAsia="Times New Roman" w:hAnsi="Times New Roman"/>
          <w:lang w:val="lt-LT" w:eastAsia="ja-JP"/>
        </w:rPr>
        <w:t>0</w:t>
      </w:r>
      <w:r w:rsidRPr="00EE75B4">
        <w:rPr>
          <w:rFonts w:ascii="Times New Roman" w:hAnsi="Times New Roman"/>
          <w:lang w:val="lt-LT"/>
        </w:rPr>
        <w:t xml:space="preserve"> žmonių gali pasireikšti staigi ir sunki alerginė reakcija į </w:t>
      </w:r>
      <w:proofErr w:type="spellStart"/>
      <w:r w:rsidRPr="00EE75B4">
        <w:rPr>
          <w:rFonts w:ascii="Times New Roman" w:hAnsi="Times New Roman"/>
          <w:lang w:val="lt-LT"/>
        </w:rPr>
        <w:t>valganciklovirą</w:t>
      </w:r>
      <w:proofErr w:type="spellEnd"/>
      <w:r w:rsidRPr="00EE75B4">
        <w:rPr>
          <w:rFonts w:ascii="Times New Roman" w:hAnsi="Times New Roman"/>
          <w:lang w:val="lt-LT"/>
        </w:rPr>
        <w:t xml:space="preserve"> (anafilaksinis šokas). </w:t>
      </w:r>
      <w:r w:rsidRPr="00EE75B4">
        <w:rPr>
          <w:rFonts w:ascii="Times New Roman" w:hAnsi="Times New Roman"/>
          <w:b/>
          <w:lang w:val="lt-LT"/>
        </w:rPr>
        <w:t xml:space="preserve">NUSTOKITE </w:t>
      </w:r>
      <w:r w:rsidRPr="00EE75B4">
        <w:rPr>
          <w:rFonts w:ascii="Times New Roman" w:hAnsi="Times New Roman"/>
          <w:lang w:val="lt-LT"/>
        </w:rPr>
        <w:t xml:space="preserve">vartoti </w:t>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ir vykite į artimiausios ligoninės skubios pagalbos skyrių, jeigu pasireikš bet kuris toliau nurodytas poveikis:</w:t>
      </w:r>
    </w:p>
    <w:p w14:paraId="52965A89" w14:textId="77777777" w:rsidR="005427AE" w:rsidRPr="00EE75B4" w:rsidRDefault="005427AE" w:rsidP="005427AE">
      <w:pPr>
        <w:tabs>
          <w:tab w:val="left" w:pos="567"/>
        </w:tabs>
        <w:spacing w:after="0" w:line="240" w:lineRule="auto"/>
        <w:ind w:right="-29"/>
        <w:rPr>
          <w:rFonts w:ascii="Times New Roman" w:hAnsi="Times New Roman"/>
          <w:lang w:val="lt-LT"/>
        </w:rPr>
      </w:pPr>
      <w:r w:rsidRPr="00EE75B4">
        <w:rPr>
          <w:rFonts w:ascii="Times New Roman" w:hAnsi="Times New Roman"/>
          <w:lang w:val="lt-LT"/>
        </w:rPr>
        <w:t>–</w:t>
      </w:r>
      <w:r w:rsidRPr="00EE75B4">
        <w:rPr>
          <w:rFonts w:ascii="Times New Roman" w:hAnsi="Times New Roman"/>
          <w:lang w:val="lt-LT"/>
        </w:rPr>
        <w:tab/>
        <w:t>iškilas, niežintis odos išbėrimas (dilgėlinė);</w:t>
      </w:r>
    </w:p>
    <w:p w14:paraId="6D1C0F56" w14:textId="77777777" w:rsidR="005427AE" w:rsidRPr="00EE75B4" w:rsidRDefault="005427AE" w:rsidP="005427AE">
      <w:pPr>
        <w:tabs>
          <w:tab w:val="left" w:pos="567"/>
        </w:tabs>
        <w:spacing w:after="0" w:line="240" w:lineRule="auto"/>
        <w:ind w:right="-29"/>
        <w:rPr>
          <w:rFonts w:ascii="Times New Roman" w:hAnsi="Times New Roman"/>
          <w:lang w:val="lt-LT"/>
        </w:rPr>
      </w:pPr>
      <w:r w:rsidRPr="00EE75B4">
        <w:rPr>
          <w:rFonts w:ascii="Times New Roman" w:hAnsi="Times New Roman"/>
          <w:lang w:val="lt-LT"/>
        </w:rPr>
        <w:t>–</w:t>
      </w:r>
      <w:r w:rsidRPr="00EE75B4">
        <w:rPr>
          <w:rFonts w:ascii="Times New Roman" w:hAnsi="Times New Roman"/>
          <w:lang w:val="lt-LT"/>
        </w:rPr>
        <w:tab/>
        <w:t>staigus gerklės, veido, lūpų ir burnos patinimas, dėl kurio gali būti sunku ryti ar kvėpuoti;</w:t>
      </w:r>
    </w:p>
    <w:p w14:paraId="688540B7" w14:textId="77777777" w:rsidR="005427AE" w:rsidRPr="00EE75B4" w:rsidRDefault="005427AE" w:rsidP="005427AE">
      <w:pPr>
        <w:tabs>
          <w:tab w:val="left" w:pos="567"/>
        </w:tabs>
        <w:spacing w:after="0" w:line="240" w:lineRule="auto"/>
        <w:ind w:right="-29"/>
        <w:rPr>
          <w:rFonts w:ascii="Times New Roman" w:hAnsi="Times New Roman"/>
          <w:lang w:val="lt-LT"/>
        </w:rPr>
      </w:pPr>
      <w:r w:rsidRPr="00EE75B4">
        <w:rPr>
          <w:rFonts w:ascii="Times New Roman" w:hAnsi="Times New Roman"/>
          <w:lang w:val="lt-LT"/>
        </w:rPr>
        <w:t>–</w:t>
      </w:r>
      <w:r w:rsidRPr="00EE75B4">
        <w:rPr>
          <w:rFonts w:ascii="Times New Roman" w:hAnsi="Times New Roman"/>
          <w:lang w:val="lt-LT"/>
        </w:rPr>
        <w:tab/>
        <w:t>staigus rankų</w:t>
      </w:r>
      <w:smartTag w:uri="schemas-tilde-lv/tildestengine" w:element="metric2">
        <w:smartTagPr>
          <w:attr w:name="metric_text" w:val="pėdų"/>
          <w:attr w:name="metric_value" w:val="."/>
        </w:smartTagPr>
        <w:r w:rsidRPr="00EE75B4">
          <w:rPr>
            <w:rFonts w:ascii="Times New Roman" w:hAnsi="Times New Roman"/>
            <w:lang w:val="lt-LT"/>
          </w:rPr>
          <w:t>, pėdų</w:t>
        </w:r>
      </w:smartTag>
      <w:r w:rsidRPr="00EE75B4">
        <w:rPr>
          <w:rFonts w:ascii="Times New Roman" w:hAnsi="Times New Roman"/>
          <w:lang w:val="lt-LT"/>
        </w:rPr>
        <w:t xml:space="preserve"> arba kulkšnių patinimas.</w:t>
      </w:r>
    </w:p>
    <w:p w14:paraId="5B108AAA" w14:textId="77777777" w:rsidR="005427AE" w:rsidRPr="00EE75B4" w:rsidRDefault="005427AE" w:rsidP="005427AE">
      <w:pPr>
        <w:spacing w:after="0" w:line="240" w:lineRule="auto"/>
        <w:ind w:right="-29"/>
        <w:rPr>
          <w:rFonts w:ascii="Times New Roman" w:hAnsi="Times New Roman"/>
          <w:lang w:val="lt-LT"/>
        </w:rPr>
      </w:pPr>
    </w:p>
    <w:p w14:paraId="24A481F6" w14:textId="77777777" w:rsidR="00BA4786" w:rsidRPr="00EE75B4" w:rsidRDefault="00BA4786" w:rsidP="005427AE">
      <w:pPr>
        <w:spacing w:after="0" w:line="240" w:lineRule="auto"/>
        <w:ind w:right="-29"/>
        <w:rPr>
          <w:rFonts w:ascii="Times New Roman" w:eastAsia="Times New Roman" w:hAnsi="Times New Roman"/>
          <w:b/>
          <w:lang w:val="lt-LT" w:eastAsia="ja-JP"/>
        </w:rPr>
      </w:pPr>
      <w:r w:rsidRPr="00EE75B4">
        <w:rPr>
          <w:rFonts w:ascii="Times New Roman" w:eastAsia="Times New Roman" w:hAnsi="Times New Roman"/>
          <w:b/>
          <w:lang w:val="lt-LT" w:eastAsia="ja-JP"/>
        </w:rPr>
        <w:t>Sunkūs šalutiniai poveikiai</w:t>
      </w:r>
    </w:p>
    <w:p w14:paraId="561A8AEA" w14:textId="77777777" w:rsidR="00BA4786" w:rsidRPr="00EE75B4" w:rsidRDefault="00BA4786" w:rsidP="005427AE">
      <w:pPr>
        <w:spacing w:after="0" w:line="240" w:lineRule="auto"/>
        <w:ind w:right="-29"/>
        <w:rPr>
          <w:rFonts w:ascii="Times New Roman" w:eastAsia="Times New Roman" w:hAnsi="Times New Roman"/>
          <w:lang w:val="lt-LT" w:eastAsia="ja-JP"/>
        </w:rPr>
      </w:pPr>
      <w:r w:rsidRPr="00EE75B4">
        <w:rPr>
          <w:rFonts w:ascii="Times New Roman" w:eastAsia="Times New Roman" w:hAnsi="Times New Roman"/>
          <w:lang w:val="lt-LT" w:eastAsia="ja-JP"/>
        </w:rPr>
        <w:t xml:space="preserve">Pastebėję bet kurį iš žemiau išvardytų sunkių šalutinių poveikių, nedelsdami pasakykite savo gydytojui. Jūsų gydytojas gali nurodyti nutraukti gydymą </w:t>
      </w:r>
      <w:proofErr w:type="spellStart"/>
      <w:r w:rsidR="00A921CE" w:rsidRPr="00EE75B4">
        <w:rPr>
          <w:rFonts w:ascii="Times New Roman" w:eastAsia="Times New Roman" w:hAnsi="Times New Roman"/>
          <w:lang w:val="lt-LT" w:eastAsia="ja-JP"/>
        </w:rPr>
        <w:t>Valganciclovir</w:t>
      </w:r>
      <w:proofErr w:type="spellEnd"/>
      <w:r w:rsidR="00A921CE" w:rsidRPr="00EE75B4">
        <w:rPr>
          <w:rFonts w:ascii="Times New Roman" w:eastAsia="Times New Roman" w:hAnsi="Times New Roman"/>
          <w:lang w:val="lt-LT" w:eastAsia="ja-JP"/>
        </w:rPr>
        <w:t xml:space="preserve"> </w:t>
      </w:r>
      <w:proofErr w:type="spellStart"/>
      <w:r w:rsidR="00A921CE" w:rsidRPr="00EE75B4">
        <w:rPr>
          <w:rFonts w:ascii="Times New Roman" w:eastAsia="Times New Roman" w:hAnsi="Times New Roman"/>
          <w:lang w:val="lt-LT" w:eastAsia="ja-JP"/>
        </w:rPr>
        <w:t>Accord</w:t>
      </w:r>
      <w:proofErr w:type="spellEnd"/>
      <w:r w:rsidRPr="00EE75B4">
        <w:rPr>
          <w:rFonts w:ascii="Times New Roman" w:eastAsia="Times New Roman" w:hAnsi="Times New Roman"/>
          <w:lang w:val="lt-LT" w:eastAsia="ja-JP"/>
        </w:rPr>
        <w:t>, o Jums gali prireikti skubios medicininės pagalbos.</w:t>
      </w:r>
    </w:p>
    <w:p w14:paraId="535016F6" w14:textId="77777777" w:rsidR="00BA4786" w:rsidRPr="00EE75B4" w:rsidRDefault="00BA4786" w:rsidP="005427AE">
      <w:pPr>
        <w:spacing w:after="0" w:line="240" w:lineRule="auto"/>
        <w:ind w:right="-29"/>
        <w:rPr>
          <w:rFonts w:ascii="Times New Roman" w:eastAsia="Times New Roman" w:hAnsi="Times New Roman"/>
          <w:lang w:val="lt-LT" w:eastAsia="ja-JP"/>
        </w:rPr>
      </w:pPr>
    </w:p>
    <w:p w14:paraId="428DC10C" w14:textId="1FEDFBF4" w:rsidR="00BA4786" w:rsidRPr="00EE75B4" w:rsidRDefault="00BA4786" w:rsidP="00BA4786">
      <w:pPr>
        <w:pStyle w:val="Default"/>
        <w:rPr>
          <w:color w:val="auto"/>
          <w:sz w:val="22"/>
          <w:szCs w:val="22"/>
          <w:lang w:val="lt-LT"/>
        </w:rPr>
      </w:pPr>
      <w:r w:rsidRPr="00EE75B4">
        <w:rPr>
          <w:b/>
          <w:bCs/>
          <w:color w:val="auto"/>
          <w:sz w:val="22"/>
          <w:szCs w:val="22"/>
          <w:lang w:val="lt-LT"/>
        </w:rPr>
        <w:t xml:space="preserve">Labai dažni </w:t>
      </w:r>
      <w:r w:rsidRPr="00EE75B4">
        <w:rPr>
          <w:color w:val="auto"/>
          <w:sz w:val="22"/>
          <w:szCs w:val="22"/>
          <w:lang w:val="lt-LT"/>
        </w:rPr>
        <w:t xml:space="preserve">(gali pasireikšti </w:t>
      </w:r>
      <w:r w:rsidR="00987758">
        <w:rPr>
          <w:color w:val="auto"/>
          <w:sz w:val="22"/>
          <w:szCs w:val="22"/>
          <w:lang w:val="lt-LT"/>
        </w:rPr>
        <w:t>ne rečiau kaip</w:t>
      </w:r>
      <w:r w:rsidR="00987758" w:rsidRPr="00EE75B4">
        <w:rPr>
          <w:color w:val="auto"/>
          <w:sz w:val="22"/>
          <w:szCs w:val="22"/>
          <w:lang w:val="lt-LT"/>
        </w:rPr>
        <w:t xml:space="preserve"> </w:t>
      </w:r>
      <w:r w:rsidRPr="00EE75B4">
        <w:rPr>
          <w:color w:val="auto"/>
          <w:sz w:val="22"/>
          <w:szCs w:val="22"/>
          <w:lang w:val="lt-LT"/>
        </w:rPr>
        <w:t xml:space="preserve">1 iš 10 </w:t>
      </w:r>
      <w:r w:rsidR="00987758">
        <w:rPr>
          <w:color w:val="auto"/>
          <w:sz w:val="22"/>
          <w:szCs w:val="22"/>
          <w:lang w:val="lt-LT"/>
        </w:rPr>
        <w:t>asmenų</w:t>
      </w:r>
      <w:r w:rsidRPr="00EE75B4">
        <w:rPr>
          <w:color w:val="auto"/>
          <w:sz w:val="22"/>
          <w:szCs w:val="22"/>
          <w:lang w:val="lt-LT"/>
        </w:rPr>
        <w:t xml:space="preserve">): </w:t>
      </w:r>
    </w:p>
    <w:p w14:paraId="5333AF7E" w14:textId="77777777" w:rsidR="00BA4786" w:rsidRPr="00EE75B4" w:rsidRDefault="00BA4786" w:rsidP="00732BB8">
      <w:pPr>
        <w:pStyle w:val="Default"/>
        <w:numPr>
          <w:ilvl w:val="0"/>
          <w:numId w:val="29"/>
        </w:numPr>
        <w:rPr>
          <w:color w:val="auto"/>
          <w:sz w:val="22"/>
          <w:szCs w:val="22"/>
          <w:lang w:val="lt-LT"/>
        </w:rPr>
      </w:pPr>
      <w:r w:rsidRPr="00EE75B4">
        <w:rPr>
          <w:color w:val="auto"/>
          <w:sz w:val="22"/>
          <w:szCs w:val="22"/>
          <w:lang w:val="lt-LT"/>
        </w:rPr>
        <w:t xml:space="preserve">mažas baltųjų kraujo kūnelių kiekis </w:t>
      </w:r>
      <w:r w:rsidR="00A06038" w:rsidRPr="00EE75B4">
        <w:rPr>
          <w:color w:val="auto"/>
          <w:sz w:val="22"/>
          <w:szCs w:val="22"/>
          <w:lang w:val="lt-LT"/>
        </w:rPr>
        <w:t>–</w:t>
      </w:r>
      <w:r w:rsidRPr="00EE75B4">
        <w:rPr>
          <w:color w:val="auto"/>
          <w:sz w:val="22"/>
          <w:szCs w:val="22"/>
          <w:lang w:val="lt-LT"/>
        </w:rPr>
        <w:t xml:space="preserve"> su infekcijos požymiais, tokiais kaip gerklės skausmas, burnos gleivinės opos ar karščiavimas; </w:t>
      </w:r>
    </w:p>
    <w:p w14:paraId="00E04F37" w14:textId="77777777" w:rsidR="00BA4786" w:rsidRPr="00EE75B4" w:rsidRDefault="00BA4786" w:rsidP="00732BB8">
      <w:pPr>
        <w:pStyle w:val="Default"/>
        <w:numPr>
          <w:ilvl w:val="0"/>
          <w:numId w:val="29"/>
        </w:numPr>
        <w:rPr>
          <w:color w:val="auto"/>
          <w:sz w:val="22"/>
          <w:szCs w:val="22"/>
          <w:lang w:val="lt-LT"/>
        </w:rPr>
      </w:pPr>
      <w:r w:rsidRPr="00EE75B4">
        <w:rPr>
          <w:color w:val="auto"/>
          <w:sz w:val="22"/>
          <w:szCs w:val="22"/>
          <w:lang w:val="lt-LT"/>
        </w:rPr>
        <w:t xml:space="preserve">mažas raudonųjų kraujo kūnelių kiekis </w:t>
      </w:r>
      <w:r w:rsidR="00A06038" w:rsidRPr="00EE75B4">
        <w:rPr>
          <w:color w:val="auto"/>
          <w:sz w:val="22"/>
          <w:szCs w:val="22"/>
          <w:lang w:val="lt-LT"/>
        </w:rPr>
        <w:t>–</w:t>
      </w:r>
      <w:r w:rsidRPr="00EE75B4">
        <w:rPr>
          <w:color w:val="auto"/>
          <w:sz w:val="22"/>
          <w:szCs w:val="22"/>
          <w:lang w:val="lt-LT"/>
        </w:rPr>
        <w:t xml:space="preserve"> požymiai gali būti dusulys ar nuovargis, širdies plakimas ar blyški oda. </w:t>
      </w:r>
    </w:p>
    <w:p w14:paraId="384BADAC" w14:textId="77777777" w:rsidR="00BA4786" w:rsidRPr="00EE75B4" w:rsidRDefault="00BA4786" w:rsidP="00BA4786">
      <w:pPr>
        <w:pStyle w:val="Default"/>
        <w:rPr>
          <w:color w:val="auto"/>
          <w:sz w:val="22"/>
          <w:szCs w:val="22"/>
          <w:lang w:val="lt-LT"/>
        </w:rPr>
      </w:pPr>
    </w:p>
    <w:p w14:paraId="4A527E45" w14:textId="550459E6" w:rsidR="00BA4786" w:rsidRPr="00EE75B4" w:rsidRDefault="00BA4786" w:rsidP="00BA4786">
      <w:pPr>
        <w:pStyle w:val="Default"/>
        <w:rPr>
          <w:color w:val="auto"/>
          <w:sz w:val="22"/>
          <w:szCs w:val="22"/>
          <w:lang w:val="lt-LT"/>
        </w:rPr>
      </w:pPr>
      <w:r w:rsidRPr="00EE75B4">
        <w:rPr>
          <w:b/>
          <w:bCs/>
          <w:color w:val="auto"/>
          <w:sz w:val="22"/>
          <w:szCs w:val="22"/>
          <w:lang w:val="lt-LT"/>
        </w:rPr>
        <w:t xml:space="preserve">Dažni </w:t>
      </w:r>
      <w:r w:rsidRPr="00EE75B4">
        <w:rPr>
          <w:color w:val="auto"/>
          <w:sz w:val="22"/>
          <w:szCs w:val="22"/>
          <w:lang w:val="lt-LT"/>
        </w:rPr>
        <w:t xml:space="preserve">(gali pasireikšti </w:t>
      </w:r>
      <w:r w:rsidR="00987758">
        <w:rPr>
          <w:color w:val="auto"/>
          <w:sz w:val="22"/>
          <w:szCs w:val="22"/>
          <w:lang w:val="lt-LT"/>
        </w:rPr>
        <w:t>rečiau</w:t>
      </w:r>
      <w:r w:rsidR="00987758" w:rsidRPr="00EE75B4">
        <w:rPr>
          <w:color w:val="auto"/>
          <w:sz w:val="22"/>
          <w:szCs w:val="22"/>
          <w:lang w:val="lt-LT"/>
        </w:rPr>
        <w:t xml:space="preserve"> </w:t>
      </w:r>
      <w:r w:rsidRPr="00EE75B4">
        <w:rPr>
          <w:color w:val="auto"/>
          <w:sz w:val="22"/>
          <w:szCs w:val="22"/>
          <w:lang w:val="lt-LT"/>
        </w:rPr>
        <w:t xml:space="preserve">kaip 1 iš 10 </w:t>
      </w:r>
      <w:r w:rsidR="00987758">
        <w:rPr>
          <w:color w:val="auto"/>
          <w:sz w:val="22"/>
          <w:szCs w:val="22"/>
          <w:lang w:val="lt-LT"/>
        </w:rPr>
        <w:t>asmenų</w:t>
      </w:r>
      <w:r w:rsidRPr="00EE75B4">
        <w:rPr>
          <w:color w:val="auto"/>
          <w:sz w:val="22"/>
          <w:szCs w:val="22"/>
          <w:lang w:val="lt-LT"/>
        </w:rPr>
        <w:t xml:space="preserve">): </w:t>
      </w:r>
    </w:p>
    <w:p w14:paraId="59C2F9C0" w14:textId="77777777" w:rsidR="00BA4786" w:rsidRPr="00EE75B4" w:rsidRDefault="00BA4786" w:rsidP="00732BB8">
      <w:pPr>
        <w:pStyle w:val="Default"/>
        <w:numPr>
          <w:ilvl w:val="0"/>
          <w:numId w:val="30"/>
        </w:numPr>
        <w:rPr>
          <w:color w:val="auto"/>
          <w:sz w:val="22"/>
          <w:szCs w:val="22"/>
          <w:lang w:val="lt-LT"/>
        </w:rPr>
      </w:pPr>
      <w:r w:rsidRPr="00EE75B4">
        <w:rPr>
          <w:color w:val="auto"/>
          <w:sz w:val="22"/>
          <w:szCs w:val="22"/>
          <w:lang w:val="lt-LT"/>
        </w:rPr>
        <w:t xml:space="preserve">kraujo užkrėtimas (sepsis) – požymiai gali būti karščiavimas, </w:t>
      </w:r>
      <w:proofErr w:type="spellStart"/>
      <w:r w:rsidRPr="00EE75B4">
        <w:rPr>
          <w:color w:val="auto"/>
          <w:sz w:val="22"/>
          <w:szCs w:val="22"/>
          <w:lang w:val="lt-LT"/>
        </w:rPr>
        <w:t>šaltkrėtis</w:t>
      </w:r>
      <w:proofErr w:type="spellEnd"/>
      <w:r w:rsidRPr="00EE75B4">
        <w:rPr>
          <w:color w:val="auto"/>
          <w:sz w:val="22"/>
          <w:szCs w:val="22"/>
          <w:lang w:val="lt-LT"/>
        </w:rPr>
        <w:t xml:space="preserve">, širdies plakimai, sumišimo būklė ir neaiški kalba; </w:t>
      </w:r>
    </w:p>
    <w:p w14:paraId="27F42F0A" w14:textId="77777777" w:rsidR="00BA4786" w:rsidRPr="00EE75B4" w:rsidRDefault="00BA4786" w:rsidP="00732BB8">
      <w:pPr>
        <w:pStyle w:val="Default"/>
        <w:numPr>
          <w:ilvl w:val="0"/>
          <w:numId w:val="30"/>
        </w:numPr>
        <w:rPr>
          <w:color w:val="auto"/>
          <w:sz w:val="22"/>
          <w:szCs w:val="22"/>
          <w:lang w:val="lt-LT"/>
        </w:rPr>
      </w:pPr>
      <w:r w:rsidRPr="00EE75B4">
        <w:rPr>
          <w:color w:val="auto"/>
          <w:sz w:val="22"/>
          <w:szCs w:val="22"/>
          <w:lang w:val="lt-LT"/>
        </w:rPr>
        <w:t xml:space="preserve">mažas trombocitų kiekis </w:t>
      </w:r>
      <w:r w:rsidR="00986D38" w:rsidRPr="00EE75B4">
        <w:rPr>
          <w:color w:val="auto"/>
          <w:sz w:val="22"/>
          <w:szCs w:val="22"/>
          <w:lang w:val="lt-LT"/>
        </w:rPr>
        <w:t>–</w:t>
      </w:r>
      <w:r w:rsidRPr="00EE75B4">
        <w:rPr>
          <w:color w:val="auto"/>
          <w:sz w:val="22"/>
          <w:szCs w:val="22"/>
          <w:lang w:val="lt-LT"/>
        </w:rPr>
        <w:t xml:space="preserve"> požymiai gali būti lengviau nei įprastai atsirandantis kraujavimas ar mėlynės, kraujas šlapime ar išmatose ar kraujavimas iš dantenų, šie kraujavimai gali būti sunkūs; </w:t>
      </w:r>
    </w:p>
    <w:p w14:paraId="5DBD68E0" w14:textId="77777777" w:rsidR="00BA4786" w:rsidRPr="00EE75B4" w:rsidRDefault="00BA4786" w:rsidP="00732BB8">
      <w:pPr>
        <w:pStyle w:val="Default"/>
        <w:numPr>
          <w:ilvl w:val="0"/>
          <w:numId w:val="30"/>
        </w:numPr>
        <w:rPr>
          <w:color w:val="auto"/>
          <w:sz w:val="22"/>
          <w:szCs w:val="22"/>
          <w:lang w:val="lt-LT"/>
        </w:rPr>
      </w:pPr>
      <w:r w:rsidRPr="00EE75B4">
        <w:rPr>
          <w:color w:val="auto"/>
          <w:sz w:val="22"/>
          <w:szCs w:val="22"/>
          <w:lang w:val="lt-LT"/>
        </w:rPr>
        <w:t xml:space="preserve">ypač mažas kraujo ląstelių skaičius; </w:t>
      </w:r>
    </w:p>
    <w:p w14:paraId="466D35D6" w14:textId="77777777" w:rsidR="00BA4786" w:rsidRPr="00EE75B4" w:rsidRDefault="00BA4786" w:rsidP="00732BB8">
      <w:pPr>
        <w:pStyle w:val="Default"/>
        <w:numPr>
          <w:ilvl w:val="0"/>
          <w:numId w:val="30"/>
        </w:numPr>
        <w:rPr>
          <w:color w:val="auto"/>
          <w:sz w:val="22"/>
          <w:szCs w:val="22"/>
          <w:lang w:val="lt-LT"/>
        </w:rPr>
      </w:pPr>
      <w:r w:rsidRPr="00EE75B4">
        <w:rPr>
          <w:color w:val="auto"/>
          <w:sz w:val="22"/>
          <w:szCs w:val="22"/>
          <w:lang w:val="lt-LT"/>
        </w:rPr>
        <w:t xml:space="preserve">pankreatitas – požymiai yra ypač stiprus į nugarą plintantis skausmas; </w:t>
      </w:r>
    </w:p>
    <w:p w14:paraId="66B73220" w14:textId="77777777" w:rsidR="00BA4786" w:rsidRPr="00EE75B4" w:rsidRDefault="00BA4786" w:rsidP="00732BB8">
      <w:pPr>
        <w:pStyle w:val="Default"/>
        <w:numPr>
          <w:ilvl w:val="0"/>
          <w:numId w:val="30"/>
        </w:numPr>
        <w:rPr>
          <w:color w:val="auto"/>
          <w:sz w:val="22"/>
          <w:szCs w:val="22"/>
          <w:lang w:val="lt-LT"/>
        </w:rPr>
      </w:pPr>
      <w:r w:rsidRPr="00EE75B4">
        <w:rPr>
          <w:color w:val="auto"/>
          <w:sz w:val="22"/>
          <w:szCs w:val="22"/>
          <w:lang w:val="lt-LT"/>
        </w:rPr>
        <w:t xml:space="preserve">traukuliai. </w:t>
      </w:r>
    </w:p>
    <w:p w14:paraId="1D0AD83C" w14:textId="77777777" w:rsidR="00BA4786" w:rsidRPr="00EE75B4" w:rsidRDefault="00BA4786" w:rsidP="00BA4786">
      <w:pPr>
        <w:pStyle w:val="Default"/>
        <w:rPr>
          <w:color w:val="auto"/>
          <w:sz w:val="22"/>
          <w:szCs w:val="22"/>
          <w:lang w:val="lt-LT"/>
        </w:rPr>
      </w:pPr>
    </w:p>
    <w:p w14:paraId="44162AC5" w14:textId="5DFE4789" w:rsidR="00BA4786" w:rsidRPr="00EE75B4" w:rsidRDefault="00BA4786" w:rsidP="00BA4786">
      <w:pPr>
        <w:pStyle w:val="Default"/>
        <w:rPr>
          <w:color w:val="auto"/>
          <w:sz w:val="22"/>
          <w:szCs w:val="22"/>
          <w:lang w:val="lt-LT"/>
        </w:rPr>
      </w:pPr>
      <w:r w:rsidRPr="00EE75B4">
        <w:rPr>
          <w:b/>
          <w:bCs/>
          <w:color w:val="auto"/>
          <w:sz w:val="22"/>
          <w:szCs w:val="22"/>
          <w:lang w:val="lt-LT"/>
        </w:rPr>
        <w:t xml:space="preserve">Nedažni </w:t>
      </w:r>
      <w:r w:rsidRPr="00EE75B4">
        <w:rPr>
          <w:color w:val="auto"/>
          <w:sz w:val="22"/>
          <w:szCs w:val="22"/>
          <w:lang w:val="lt-LT"/>
        </w:rPr>
        <w:t xml:space="preserve">(gali pasireikšti </w:t>
      </w:r>
      <w:r w:rsidR="00987758">
        <w:rPr>
          <w:color w:val="auto"/>
          <w:sz w:val="22"/>
          <w:szCs w:val="22"/>
          <w:lang w:val="lt-LT"/>
        </w:rPr>
        <w:t>rečiau</w:t>
      </w:r>
      <w:r w:rsidR="00987758" w:rsidRPr="00EE75B4">
        <w:rPr>
          <w:color w:val="auto"/>
          <w:sz w:val="22"/>
          <w:szCs w:val="22"/>
          <w:lang w:val="lt-LT"/>
        </w:rPr>
        <w:t xml:space="preserve"> </w:t>
      </w:r>
      <w:r w:rsidRPr="00EE75B4">
        <w:rPr>
          <w:color w:val="auto"/>
          <w:sz w:val="22"/>
          <w:szCs w:val="22"/>
          <w:lang w:val="lt-LT"/>
        </w:rPr>
        <w:t xml:space="preserve">kaip 1 iš 100 </w:t>
      </w:r>
      <w:r w:rsidR="00987758">
        <w:rPr>
          <w:color w:val="auto"/>
          <w:sz w:val="22"/>
          <w:szCs w:val="22"/>
          <w:lang w:val="lt-LT"/>
        </w:rPr>
        <w:t>asmenų</w:t>
      </w:r>
      <w:r w:rsidRPr="00EE75B4">
        <w:rPr>
          <w:color w:val="auto"/>
          <w:sz w:val="22"/>
          <w:szCs w:val="22"/>
          <w:lang w:val="lt-LT"/>
        </w:rPr>
        <w:t xml:space="preserve">): </w:t>
      </w:r>
    </w:p>
    <w:p w14:paraId="2173B184" w14:textId="77777777" w:rsidR="00BA4786" w:rsidRPr="00EE75B4" w:rsidRDefault="00BA4786" w:rsidP="00732BB8">
      <w:pPr>
        <w:pStyle w:val="Default"/>
        <w:numPr>
          <w:ilvl w:val="0"/>
          <w:numId w:val="31"/>
        </w:numPr>
        <w:rPr>
          <w:color w:val="auto"/>
          <w:sz w:val="22"/>
          <w:szCs w:val="22"/>
          <w:lang w:val="lt-LT"/>
        </w:rPr>
      </w:pPr>
      <w:r w:rsidRPr="00EE75B4">
        <w:rPr>
          <w:color w:val="auto"/>
          <w:sz w:val="22"/>
          <w:szCs w:val="22"/>
          <w:lang w:val="lt-LT"/>
        </w:rPr>
        <w:t xml:space="preserve">kaulų čiulpų nepajėgumas gaminti kraujo kūnelius; </w:t>
      </w:r>
    </w:p>
    <w:p w14:paraId="6E6DE8A5" w14:textId="77777777" w:rsidR="00BA4786" w:rsidRPr="00EE75B4" w:rsidRDefault="00BA4786" w:rsidP="00732BB8">
      <w:pPr>
        <w:pStyle w:val="Default"/>
        <w:numPr>
          <w:ilvl w:val="0"/>
          <w:numId w:val="31"/>
        </w:numPr>
        <w:rPr>
          <w:color w:val="auto"/>
          <w:sz w:val="22"/>
          <w:szCs w:val="22"/>
          <w:lang w:val="lt-LT"/>
        </w:rPr>
      </w:pPr>
      <w:r w:rsidRPr="00EE75B4">
        <w:rPr>
          <w:color w:val="auto"/>
          <w:sz w:val="22"/>
          <w:szCs w:val="22"/>
          <w:lang w:val="lt-LT"/>
        </w:rPr>
        <w:t xml:space="preserve">haliucinacijos (nesančių dalykų girdėjimas ar matymas); </w:t>
      </w:r>
    </w:p>
    <w:p w14:paraId="0982FE07" w14:textId="77777777" w:rsidR="00BA4786" w:rsidRPr="00EE75B4" w:rsidRDefault="00BA4786" w:rsidP="00732BB8">
      <w:pPr>
        <w:pStyle w:val="Default"/>
        <w:numPr>
          <w:ilvl w:val="0"/>
          <w:numId w:val="31"/>
        </w:numPr>
        <w:rPr>
          <w:color w:val="auto"/>
          <w:sz w:val="22"/>
          <w:szCs w:val="22"/>
          <w:lang w:val="lt-LT"/>
        </w:rPr>
      </w:pPr>
      <w:r w:rsidRPr="00EE75B4">
        <w:rPr>
          <w:color w:val="auto"/>
          <w:sz w:val="22"/>
          <w:szCs w:val="22"/>
          <w:lang w:val="lt-LT"/>
        </w:rPr>
        <w:t xml:space="preserve">nenormalios mintys ar jausmai, ryšio su tikrove praradimas; </w:t>
      </w:r>
    </w:p>
    <w:p w14:paraId="0157FE3B" w14:textId="77777777" w:rsidR="00BA4786" w:rsidRPr="00EE75B4" w:rsidRDefault="00BA4786" w:rsidP="00732BB8">
      <w:pPr>
        <w:pStyle w:val="Default"/>
        <w:numPr>
          <w:ilvl w:val="0"/>
          <w:numId w:val="31"/>
        </w:numPr>
        <w:rPr>
          <w:color w:val="auto"/>
          <w:sz w:val="22"/>
          <w:szCs w:val="22"/>
          <w:lang w:val="lt-LT"/>
        </w:rPr>
      </w:pPr>
      <w:r w:rsidRPr="00EE75B4">
        <w:rPr>
          <w:color w:val="auto"/>
          <w:sz w:val="22"/>
          <w:szCs w:val="22"/>
          <w:lang w:val="lt-LT"/>
        </w:rPr>
        <w:t xml:space="preserve">inkstų veiklos nepakankamumas. </w:t>
      </w:r>
    </w:p>
    <w:p w14:paraId="27C0CCF1" w14:textId="77777777" w:rsidR="00BA4786" w:rsidRPr="00EE75B4" w:rsidRDefault="00BA4786" w:rsidP="005427AE">
      <w:pPr>
        <w:spacing w:after="0" w:line="240" w:lineRule="auto"/>
        <w:ind w:right="-29"/>
        <w:rPr>
          <w:rFonts w:ascii="Times New Roman" w:eastAsia="Times New Roman" w:hAnsi="Times New Roman"/>
          <w:lang w:val="lt-LT" w:eastAsia="ja-JP"/>
        </w:rPr>
      </w:pPr>
    </w:p>
    <w:p w14:paraId="2A82F32C" w14:textId="77777777" w:rsidR="00BA4786" w:rsidRPr="00EE75B4" w:rsidRDefault="00BA4786" w:rsidP="005427AE">
      <w:pPr>
        <w:spacing w:after="0" w:line="240" w:lineRule="auto"/>
        <w:ind w:right="-29"/>
        <w:rPr>
          <w:rFonts w:ascii="Times New Roman" w:eastAsia="Times New Roman" w:hAnsi="Times New Roman"/>
          <w:lang w:val="lt-LT" w:eastAsia="ja-JP"/>
        </w:rPr>
      </w:pPr>
    </w:p>
    <w:p w14:paraId="7CB7B81C" w14:textId="77777777" w:rsidR="00F505A3" w:rsidRPr="00EE75B4" w:rsidRDefault="00F505A3" w:rsidP="00F505A3">
      <w:pPr>
        <w:spacing w:after="0" w:line="240" w:lineRule="auto"/>
        <w:ind w:right="-29"/>
        <w:rPr>
          <w:rFonts w:ascii="Times New Roman" w:hAnsi="Times New Roman"/>
          <w:lang w:val="lt-LT"/>
        </w:rPr>
      </w:pPr>
      <w:r w:rsidRPr="00EE75B4">
        <w:rPr>
          <w:rFonts w:ascii="Times New Roman" w:hAnsi="Times New Roman"/>
          <w:lang w:val="lt-LT"/>
        </w:rPr>
        <w:lastRenderedPageBreak/>
        <w:t xml:space="preserve">Toliau išvardytas šalutinis poveikis, kuris buvo pasireiškęs gydymo </w:t>
      </w:r>
      <w:proofErr w:type="spellStart"/>
      <w:r w:rsidRPr="00EE75B4">
        <w:rPr>
          <w:rFonts w:ascii="Times New Roman" w:hAnsi="Times New Roman"/>
          <w:lang w:val="lt-LT"/>
        </w:rPr>
        <w:t>valgancikloviru</w:t>
      </w:r>
      <w:proofErr w:type="spellEnd"/>
      <w:r w:rsidRPr="00EE75B4">
        <w:rPr>
          <w:rFonts w:ascii="Times New Roman" w:hAnsi="Times New Roman"/>
          <w:lang w:val="lt-LT"/>
        </w:rPr>
        <w:t xml:space="preserve"> arba </w:t>
      </w:r>
      <w:proofErr w:type="spellStart"/>
      <w:r w:rsidRPr="00EE75B4">
        <w:rPr>
          <w:rFonts w:ascii="Times New Roman" w:hAnsi="Times New Roman"/>
          <w:lang w:val="lt-LT"/>
        </w:rPr>
        <w:t>gancikloviru</w:t>
      </w:r>
      <w:proofErr w:type="spellEnd"/>
      <w:r w:rsidRPr="00EE75B4">
        <w:rPr>
          <w:rFonts w:ascii="Times New Roman" w:hAnsi="Times New Roman"/>
          <w:lang w:val="lt-LT"/>
        </w:rPr>
        <w:t xml:space="preserve"> metu.</w:t>
      </w:r>
    </w:p>
    <w:p w14:paraId="2F1EF98E" w14:textId="77777777" w:rsidR="005427AE" w:rsidRPr="00EE75B4" w:rsidRDefault="005427AE" w:rsidP="00813362">
      <w:pPr>
        <w:tabs>
          <w:tab w:val="num" w:pos="567"/>
        </w:tabs>
        <w:spacing w:after="0" w:line="240" w:lineRule="auto"/>
        <w:ind w:left="567" w:right="-29" w:hanging="567"/>
        <w:rPr>
          <w:rFonts w:ascii="Times New Roman" w:hAnsi="Times New Roman"/>
          <w:lang w:val="lt-LT"/>
        </w:rPr>
      </w:pPr>
    </w:p>
    <w:p w14:paraId="525883B1" w14:textId="77777777" w:rsidR="005427AE" w:rsidRPr="00EE75B4" w:rsidRDefault="005427AE" w:rsidP="005427AE">
      <w:pPr>
        <w:spacing w:after="0" w:line="240" w:lineRule="auto"/>
        <w:rPr>
          <w:rFonts w:ascii="Times New Roman" w:eastAsia="Times New Roman" w:hAnsi="Times New Roman"/>
          <w:b/>
          <w:snapToGrid w:val="0"/>
          <w:lang w:val="lt-LT"/>
        </w:rPr>
      </w:pPr>
    </w:p>
    <w:p w14:paraId="28C1059A" w14:textId="77777777" w:rsidR="00A06038" w:rsidRPr="00EE75B4" w:rsidRDefault="00A06038" w:rsidP="00A06038">
      <w:pPr>
        <w:pStyle w:val="Default"/>
        <w:rPr>
          <w:b/>
          <w:bCs/>
          <w:color w:val="auto"/>
          <w:sz w:val="22"/>
          <w:szCs w:val="22"/>
          <w:lang w:val="lt-LT"/>
        </w:rPr>
      </w:pPr>
      <w:r w:rsidRPr="00EE75B4">
        <w:rPr>
          <w:b/>
          <w:bCs/>
          <w:color w:val="auto"/>
          <w:sz w:val="22"/>
          <w:szCs w:val="22"/>
          <w:lang w:val="lt-LT"/>
        </w:rPr>
        <w:t>Kitas</w:t>
      </w:r>
      <w:r w:rsidRPr="00EE75B4">
        <w:rPr>
          <w:b/>
          <w:color w:val="auto"/>
          <w:sz w:val="22"/>
          <w:lang w:val="lt-LT"/>
        </w:rPr>
        <w:t xml:space="preserve"> šalutinis poveikis </w:t>
      </w:r>
    </w:p>
    <w:p w14:paraId="1000B8CB" w14:textId="77777777" w:rsidR="00A06038" w:rsidRPr="00EE75B4" w:rsidRDefault="00A06038" w:rsidP="00A06038">
      <w:pPr>
        <w:pStyle w:val="Default"/>
        <w:rPr>
          <w:color w:val="auto"/>
          <w:sz w:val="22"/>
          <w:szCs w:val="22"/>
          <w:lang w:val="lt-LT"/>
        </w:rPr>
      </w:pPr>
    </w:p>
    <w:p w14:paraId="06BE010B" w14:textId="77777777" w:rsidR="00A06038" w:rsidRPr="00EE75B4" w:rsidRDefault="00A06038" w:rsidP="00A06038">
      <w:pPr>
        <w:pStyle w:val="Default"/>
        <w:rPr>
          <w:color w:val="auto"/>
          <w:sz w:val="22"/>
          <w:szCs w:val="22"/>
          <w:lang w:val="lt-LT"/>
        </w:rPr>
      </w:pPr>
      <w:r w:rsidRPr="00EE75B4">
        <w:rPr>
          <w:color w:val="auto"/>
          <w:sz w:val="22"/>
          <w:szCs w:val="22"/>
          <w:lang w:val="lt-LT"/>
        </w:rPr>
        <w:t xml:space="preserve">Pastebėję bet kurį iš žemiau išvardytų šalutinių poveikių, pasakykite savo gydytojui, vaistininkui arba slaugytojui. </w:t>
      </w:r>
    </w:p>
    <w:p w14:paraId="423AA670" w14:textId="77777777" w:rsidR="00A06038" w:rsidRPr="00EE75B4" w:rsidRDefault="00A06038" w:rsidP="00A06038">
      <w:pPr>
        <w:pStyle w:val="Default"/>
        <w:rPr>
          <w:color w:val="auto"/>
          <w:sz w:val="22"/>
          <w:szCs w:val="22"/>
          <w:lang w:val="lt-LT"/>
        </w:rPr>
      </w:pPr>
    </w:p>
    <w:p w14:paraId="5F0FED4E" w14:textId="0E162366" w:rsidR="00A06038" w:rsidRPr="00EE75B4" w:rsidRDefault="00A06038" w:rsidP="00813362">
      <w:pPr>
        <w:pStyle w:val="Default"/>
        <w:rPr>
          <w:lang w:val="lt-LT"/>
        </w:rPr>
      </w:pPr>
      <w:r w:rsidRPr="00EE75B4">
        <w:rPr>
          <w:b/>
          <w:bCs/>
          <w:color w:val="auto"/>
          <w:sz w:val="22"/>
          <w:szCs w:val="22"/>
          <w:lang w:val="lt-LT"/>
        </w:rPr>
        <w:t xml:space="preserve">Labai dažnas </w:t>
      </w:r>
      <w:r w:rsidRPr="00EE75B4">
        <w:rPr>
          <w:b/>
          <w:color w:val="auto"/>
          <w:sz w:val="22"/>
          <w:lang w:val="lt-LT"/>
        </w:rPr>
        <w:t>(</w:t>
      </w:r>
      <w:r w:rsidRPr="00EE75B4">
        <w:rPr>
          <w:color w:val="auto"/>
          <w:sz w:val="22"/>
          <w:lang w:val="lt-LT"/>
        </w:rPr>
        <w:t xml:space="preserve">gali pasireikšti </w:t>
      </w:r>
      <w:r w:rsidR="00987758">
        <w:rPr>
          <w:color w:val="auto"/>
          <w:sz w:val="22"/>
          <w:lang w:val="lt-LT"/>
        </w:rPr>
        <w:t>ne rečiau</w:t>
      </w:r>
      <w:r w:rsidR="00987758" w:rsidRPr="00EE75B4">
        <w:rPr>
          <w:color w:val="auto"/>
          <w:sz w:val="22"/>
          <w:lang w:val="lt-LT"/>
        </w:rPr>
        <w:t xml:space="preserve"> </w:t>
      </w:r>
      <w:r w:rsidR="00987758">
        <w:rPr>
          <w:color w:val="auto"/>
          <w:sz w:val="22"/>
          <w:szCs w:val="22"/>
          <w:lang w:val="lt-LT"/>
        </w:rPr>
        <w:t>kaip</w:t>
      </w:r>
      <w:r w:rsidR="00987758" w:rsidRPr="00EE75B4">
        <w:rPr>
          <w:color w:val="auto"/>
          <w:sz w:val="22"/>
          <w:szCs w:val="22"/>
          <w:lang w:val="lt-LT"/>
        </w:rPr>
        <w:t xml:space="preserve"> </w:t>
      </w:r>
      <w:r w:rsidRPr="00EE75B4">
        <w:rPr>
          <w:color w:val="auto"/>
          <w:sz w:val="22"/>
          <w:szCs w:val="22"/>
          <w:lang w:val="lt-LT"/>
        </w:rPr>
        <w:t>vienam</w:t>
      </w:r>
      <w:r w:rsidRPr="00EE75B4">
        <w:rPr>
          <w:color w:val="auto"/>
          <w:sz w:val="22"/>
          <w:lang w:val="lt-LT"/>
        </w:rPr>
        <w:t xml:space="preserve"> iš 10 </w:t>
      </w:r>
      <w:r w:rsidR="00987758">
        <w:rPr>
          <w:color w:val="auto"/>
          <w:sz w:val="22"/>
          <w:szCs w:val="22"/>
          <w:lang w:val="lt-LT"/>
        </w:rPr>
        <w:t>asmenų</w:t>
      </w:r>
      <w:r w:rsidRPr="00EE75B4">
        <w:rPr>
          <w:color w:val="auto"/>
          <w:sz w:val="22"/>
          <w:szCs w:val="22"/>
          <w:lang w:val="lt-LT"/>
        </w:rPr>
        <w:t xml:space="preserve">): </w:t>
      </w:r>
    </w:p>
    <w:p w14:paraId="010FA248" w14:textId="77777777" w:rsidR="00A06038" w:rsidRPr="00EE75B4" w:rsidRDefault="00A06038" w:rsidP="00732BB8">
      <w:pPr>
        <w:pStyle w:val="Default"/>
        <w:numPr>
          <w:ilvl w:val="0"/>
          <w:numId w:val="32"/>
        </w:numPr>
        <w:rPr>
          <w:color w:val="auto"/>
          <w:sz w:val="22"/>
          <w:szCs w:val="22"/>
          <w:lang w:val="lt-LT"/>
        </w:rPr>
      </w:pPr>
      <w:r w:rsidRPr="00EE75B4">
        <w:rPr>
          <w:color w:val="auto"/>
          <w:sz w:val="22"/>
          <w:szCs w:val="22"/>
          <w:lang w:val="lt-LT"/>
        </w:rPr>
        <w:t xml:space="preserve">pienligė ir burnos pienligė; </w:t>
      </w:r>
    </w:p>
    <w:p w14:paraId="4FD14892" w14:textId="77777777" w:rsidR="00A06038" w:rsidRPr="00EE75B4" w:rsidRDefault="00A06038" w:rsidP="00732BB8">
      <w:pPr>
        <w:pStyle w:val="Default"/>
        <w:numPr>
          <w:ilvl w:val="0"/>
          <w:numId w:val="32"/>
        </w:numPr>
        <w:rPr>
          <w:color w:val="auto"/>
          <w:sz w:val="22"/>
          <w:szCs w:val="22"/>
          <w:lang w:val="lt-LT"/>
        </w:rPr>
      </w:pPr>
      <w:r w:rsidRPr="00EE75B4">
        <w:rPr>
          <w:color w:val="auto"/>
          <w:sz w:val="22"/>
          <w:szCs w:val="22"/>
          <w:lang w:val="lt-LT"/>
        </w:rPr>
        <w:t xml:space="preserve">viršutinių kvėpavimo takų infekcija (pvz., sinusitas ar </w:t>
      </w:r>
      <w:proofErr w:type="spellStart"/>
      <w:r w:rsidRPr="00EE75B4">
        <w:rPr>
          <w:color w:val="auto"/>
          <w:sz w:val="22"/>
          <w:szCs w:val="22"/>
          <w:lang w:val="lt-LT"/>
        </w:rPr>
        <w:t>tonzilitas</w:t>
      </w:r>
      <w:proofErr w:type="spellEnd"/>
      <w:r w:rsidRPr="00EE75B4">
        <w:rPr>
          <w:color w:val="auto"/>
          <w:sz w:val="22"/>
          <w:szCs w:val="22"/>
          <w:lang w:val="lt-LT"/>
        </w:rPr>
        <w:t xml:space="preserve">); </w:t>
      </w:r>
    </w:p>
    <w:p w14:paraId="2AD9ED85" w14:textId="77777777" w:rsidR="00A06038" w:rsidRPr="00EE75B4" w:rsidRDefault="00A06038" w:rsidP="00732BB8">
      <w:pPr>
        <w:pStyle w:val="Default"/>
        <w:numPr>
          <w:ilvl w:val="0"/>
          <w:numId w:val="32"/>
        </w:numPr>
        <w:rPr>
          <w:color w:val="auto"/>
          <w:sz w:val="22"/>
          <w:szCs w:val="22"/>
          <w:lang w:val="lt-LT"/>
        </w:rPr>
      </w:pPr>
      <w:r w:rsidRPr="00EE75B4">
        <w:rPr>
          <w:color w:val="auto"/>
          <w:sz w:val="22"/>
          <w:szCs w:val="22"/>
          <w:lang w:val="lt-LT"/>
        </w:rPr>
        <w:t xml:space="preserve">apetito sumažėjimas; </w:t>
      </w:r>
    </w:p>
    <w:p w14:paraId="0579DC84" w14:textId="77777777" w:rsidR="00A06038" w:rsidRPr="00EE75B4" w:rsidRDefault="00A06038" w:rsidP="00732BB8">
      <w:pPr>
        <w:pStyle w:val="Default"/>
        <w:numPr>
          <w:ilvl w:val="0"/>
          <w:numId w:val="32"/>
        </w:numPr>
        <w:rPr>
          <w:color w:val="auto"/>
          <w:sz w:val="22"/>
          <w:szCs w:val="22"/>
          <w:lang w:val="lt-LT"/>
        </w:rPr>
      </w:pPr>
      <w:r w:rsidRPr="00EE75B4">
        <w:rPr>
          <w:color w:val="auto"/>
          <w:sz w:val="22"/>
          <w:szCs w:val="22"/>
          <w:lang w:val="lt-LT"/>
        </w:rPr>
        <w:t xml:space="preserve">galvos skausmas; </w:t>
      </w:r>
    </w:p>
    <w:p w14:paraId="2F0D5539" w14:textId="77777777" w:rsidR="00A06038" w:rsidRPr="00EE75B4" w:rsidRDefault="00A06038" w:rsidP="00732BB8">
      <w:pPr>
        <w:pStyle w:val="Default"/>
        <w:numPr>
          <w:ilvl w:val="0"/>
          <w:numId w:val="32"/>
        </w:numPr>
        <w:rPr>
          <w:color w:val="auto"/>
          <w:sz w:val="22"/>
          <w:szCs w:val="22"/>
          <w:lang w:val="lt-LT"/>
        </w:rPr>
      </w:pPr>
      <w:r w:rsidRPr="00EE75B4">
        <w:rPr>
          <w:color w:val="auto"/>
          <w:sz w:val="22"/>
          <w:szCs w:val="22"/>
          <w:lang w:val="lt-LT"/>
        </w:rPr>
        <w:t xml:space="preserve">kosulys; </w:t>
      </w:r>
    </w:p>
    <w:p w14:paraId="2D8B380F" w14:textId="77777777" w:rsidR="00A06038" w:rsidRPr="00EE75B4" w:rsidRDefault="00A06038" w:rsidP="00732BB8">
      <w:pPr>
        <w:pStyle w:val="Default"/>
        <w:numPr>
          <w:ilvl w:val="0"/>
          <w:numId w:val="32"/>
        </w:numPr>
        <w:rPr>
          <w:color w:val="auto"/>
          <w:sz w:val="22"/>
          <w:szCs w:val="22"/>
          <w:lang w:val="lt-LT"/>
        </w:rPr>
      </w:pPr>
      <w:r w:rsidRPr="00EE75B4">
        <w:rPr>
          <w:color w:val="auto"/>
          <w:sz w:val="22"/>
          <w:szCs w:val="22"/>
          <w:lang w:val="lt-LT"/>
        </w:rPr>
        <w:t>dusulys;</w:t>
      </w:r>
    </w:p>
    <w:p w14:paraId="50F274CF" w14:textId="77777777" w:rsidR="00A06038" w:rsidRPr="00EE75B4" w:rsidRDefault="00A06038" w:rsidP="00A06038">
      <w:pPr>
        <w:pStyle w:val="Sraopastraipa"/>
        <w:numPr>
          <w:ilvl w:val="0"/>
          <w:numId w:val="32"/>
        </w:num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 xml:space="preserve">viduriavimas; </w:t>
      </w:r>
    </w:p>
    <w:p w14:paraId="00780F7B" w14:textId="77777777" w:rsidR="00A06038" w:rsidRPr="00EE75B4" w:rsidRDefault="00A06038" w:rsidP="00A06038">
      <w:pPr>
        <w:pStyle w:val="Sraopastraipa"/>
        <w:numPr>
          <w:ilvl w:val="0"/>
          <w:numId w:val="32"/>
        </w:num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 xml:space="preserve">pykinimas ar vėmimas; </w:t>
      </w:r>
    </w:p>
    <w:p w14:paraId="18F692D7" w14:textId="77777777" w:rsidR="00A06038" w:rsidRPr="00EE75B4" w:rsidRDefault="00A06038" w:rsidP="00A06038">
      <w:pPr>
        <w:pStyle w:val="Sraopastraipa"/>
        <w:numPr>
          <w:ilvl w:val="0"/>
          <w:numId w:val="32"/>
        </w:num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 xml:space="preserve">pilvo skausmas; </w:t>
      </w:r>
    </w:p>
    <w:p w14:paraId="466BFB94" w14:textId="77777777" w:rsidR="00A06038" w:rsidRPr="00EE75B4" w:rsidRDefault="00A06038" w:rsidP="00A06038">
      <w:pPr>
        <w:pStyle w:val="Sraopastraipa"/>
        <w:numPr>
          <w:ilvl w:val="0"/>
          <w:numId w:val="32"/>
        </w:num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 xml:space="preserve">egzema; </w:t>
      </w:r>
    </w:p>
    <w:p w14:paraId="379F27F5" w14:textId="77777777" w:rsidR="00A06038" w:rsidRPr="00EE75B4" w:rsidRDefault="00A06038" w:rsidP="00A06038">
      <w:pPr>
        <w:pStyle w:val="Sraopastraipa"/>
        <w:numPr>
          <w:ilvl w:val="0"/>
          <w:numId w:val="32"/>
        </w:num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 xml:space="preserve">nuovargio jutimas; </w:t>
      </w:r>
    </w:p>
    <w:p w14:paraId="6FCCB339" w14:textId="77777777" w:rsidR="00A06038" w:rsidRPr="00EE75B4" w:rsidRDefault="00A06038" w:rsidP="00732BB8">
      <w:pPr>
        <w:pStyle w:val="Sraopastraipa"/>
        <w:numPr>
          <w:ilvl w:val="0"/>
          <w:numId w:val="32"/>
        </w:numPr>
        <w:autoSpaceDE w:val="0"/>
        <w:autoSpaceDN w:val="0"/>
        <w:adjustRightInd w:val="0"/>
        <w:spacing w:after="0" w:line="240" w:lineRule="auto"/>
        <w:rPr>
          <w:lang w:val="lt-LT"/>
        </w:rPr>
      </w:pPr>
      <w:r w:rsidRPr="00EE75B4">
        <w:rPr>
          <w:rFonts w:ascii="Times New Roman" w:hAnsi="Times New Roman"/>
          <w:lang w:val="lt-LT"/>
        </w:rPr>
        <w:t xml:space="preserve">karščiavimas. </w:t>
      </w:r>
    </w:p>
    <w:p w14:paraId="1B048E04" w14:textId="77777777" w:rsidR="00A06038" w:rsidRPr="00EE75B4" w:rsidRDefault="00A06038" w:rsidP="00732BB8">
      <w:pPr>
        <w:autoSpaceDE w:val="0"/>
        <w:autoSpaceDN w:val="0"/>
        <w:adjustRightInd w:val="0"/>
        <w:spacing w:after="0" w:line="240" w:lineRule="auto"/>
        <w:rPr>
          <w:lang w:val="lt-LT"/>
        </w:rPr>
      </w:pPr>
    </w:p>
    <w:p w14:paraId="18C8F01E" w14:textId="20A431CE" w:rsidR="00A06038" w:rsidRPr="00EE75B4" w:rsidRDefault="00A06038" w:rsidP="00A06038">
      <w:pPr>
        <w:pStyle w:val="Default"/>
        <w:rPr>
          <w:color w:val="auto"/>
          <w:sz w:val="22"/>
          <w:szCs w:val="22"/>
          <w:lang w:val="lt-LT"/>
        </w:rPr>
      </w:pPr>
      <w:r w:rsidRPr="00EE75B4">
        <w:rPr>
          <w:b/>
          <w:bCs/>
          <w:color w:val="auto"/>
          <w:sz w:val="22"/>
          <w:szCs w:val="22"/>
          <w:lang w:val="lt-LT"/>
        </w:rPr>
        <w:t>Dažnas (</w:t>
      </w:r>
      <w:r w:rsidRPr="00EE75B4">
        <w:rPr>
          <w:color w:val="auto"/>
          <w:sz w:val="22"/>
          <w:szCs w:val="22"/>
          <w:lang w:val="lt-LT"/>
        </w:rPr>
        <w:t xml:space="preserve">gali pasireikšti </w:t>
      </w:r>
      <w:r w:rsidR="00987758">
        <w:rPr>
          <w:color w:val="auto"/>
          <w:sz w:val="22"/>
          <w:lang w:val="lt-LT"/>
        </w:rPr>
        <w:t>rečiau</w:t>
      </w:r>
      <w:r w:rsidR="00987758" w:rsidRPr="00EE75B4">
        <w:rPr>
          <w:color w:val="auto"/>
          <w:sz w:val="22"/>
          <w:lang w:val="lt-LT"/>
        </w:rPr>
        <w:t xml:space="preserve"> </w:t>
      </w:r>
      <w:r w:rsidRPr="00EE75B4">
        <w:rPr>
          <w:color w:val="auto"/>
          <w:sz w:val="22"/>
          <w:szCs w:val="22"/>
          <w:lang w:val="lt-LT"/>
        </w:rPr>
        <w:t xml:space="preserve">kaip 1 iš 10 </w:t>
      </w:r>
      <w:r w:rsidR="00987758">
        <w:rPr>
          <w:color w:val="auto"/>
          <w:sz w:val="22"/>
          <w:szCs w:val="22"/>
          <w:lang w:val="lt-LT"/>
        </w:rPr>
        <w:t>asmenų</w:t>
      </w:r>
      <w:r w:rsidRPr="00EE75B4">
        <w:rPr>
          <w:color w:val="auto"/>
          <w:sz w:val="22"/>
          <w:szCs w:val="22"/>
          <w:lang w:val="lt-LT"/>
        </w:rPr>
        <w:t xml:space="preserve">): </w:t>
      </w:r>
    </w:p>
    <w:p w14:paraId="6FB07F5E"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gripas; </w:t>
      </w:r>
    </w:p>
    <w:p w14:paraId="61133C7F"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šlapimo takų infekcija, kurios požymiai yra karščiavimas, dažnesnis </w:t>
      </w:r>
      <w:proofErr w:type="spellStart"/>
      <w:r w:rsidRPr="00EE75B4">
        <w:rPr>
          <w:color w:val="auto"/>
          <w:sz w:val="22"/>
          <w:szCs w:val="22"/>
          <w:lang w:val="lt-LT"/>
        </w:rPr>
        <w:t>šlapinimasis</w:t>
      </w:r>
      <w:proofErr w:type="spellEnd"/>
      <w:r w:rsidRPr="00EE75B4">
        <w:rPr>
          <w:color w:val="auto"/>
          <w:sz w:val="22"/>
          <w:szCs w:val="22"/>
          <w:lang w:val="lt-LT"/>
        </w:rPr>
        <w:t xml:space="preserve">, skausmas šlapinantis; </w:t>
      </w:r>
    </w:p>
    <w:p w14:paraId="3A04BE03"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odos ir poodinio audinio infekcija; </w:t>
      </w:r>
    </w:p>
    <w:p w14:paraId="62FA45D1"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nesunki alerginė reakcija, kurios požymiai gali būti paraudusi ir niežtinti oda; </w:t>
      </w:r>
    </w:p>
    <w:p w14:paraId="36553CC4"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kūno masės mažėjimas; </w:t>
      </w:r>
    </w:p>
    <w:p w14:paraId="7F08FCDF"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depresijos, nerimo ar sumišimo jausmas; </w:t>
      </w:r>
    </w:p>
    <w:p w14:paraId="16D9F6C4"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miego sutrikimai; </w:t>
      </w:r>
    </w:p>
    <w:p w14:paraId="42DC8B81"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rankų ar kojų silpnumas ar tirpimas, galintis turėti įtakos jūsų pusiausvyrai; </w:t>
      </w:r>
    </w:p>
    <w:p w14:paraId="21E0A696"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lytėjimo pokyčiai, dilgsėjimo, kutenimo, badymo ar deginimo jutimas; </w:t>
      </w:r>
    </w:p>
    <w:p w14:paraId="42639059"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skonio jutimo pokyčiai; </w:t>
      </w:r>
    </w:p>
    <w:p w14:paraId="00A58798" w14:textId="77777777" w:rsidR="00A06038" w:rsidRPr="00EE75B4" w:rsidRDefault="00A06038" w:rsidP="00732BB8">
      <w:pPr>
        <w:pStyle w:val="Default"/>
        <w:numPr>
          <w:ilvl w:val="0"/>
          <w:numId w:val="33"/>
        </w:numPr>
        <w:rPr>
          <w:color w:val="auto"/>
          <w:sz w:val="22"/>
          <w:szCs w:val="22"/>
          <w:lang w:val="lt-LT"/>
        </w:rPr>
      </w:pPr>
      <w:proofErr w:type="spellStart"/>
      <w:r w:rsidRPr="00EE75B4">
        <w:rPr>
          <w:color w:val="auto"/>
          <w:sz w:val="22"/>
          <w:szCs w:val="22"/>
          <w:lang w:val="lt-LT"/>
        </w:rPr>
        <w:t>šaltkrėtis</w:t>
      </w:r>
      <w:proofErr w:type="spellEnd"/>
      <w:r w:rsidRPr="00EE75B4">
        <w:rPr>
          <w:color w:val="auto"/>
          <w:sz w:val="22"/>
          <w:szCs w:val="22"/>
          <w:lang w:val="lt-LT"/>
        </w:rPr>
        <w:t xml:space="preserve">; </w:t>
      </w:r>
    </w:p>
    <w:p w14:paraId="694F7CDA"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akių uždegimas (konjunktyvitas); akių skausmas ar regėjimo sutrikimai; </w:t>
      </w:r>
    </w:p>
    <w:p w14:paraId="29759E99" w14:textId="77777777" w:rsidR="00A06038" w:rsidRPr="00EE75B4" w:rsidRDefault="00A06038" w:rsidP="00813362">
      <w:pPr>
        <w:pStyle w:val="Default"/>
        <w:numPr>
          <w:ilvl w:val="0"/>
          <w:numId w:val="33"/>
        </w:numPr>
        <w:rPr>
          <w:lang w:val="lt-LT"/>
        </w:rPr>
      </w:pPr>
      <w:r w:rsidRPr="00EE75B4">
        <w:rPr>
          <w:color w:val="auto"/>
          <w:sz w:val="22"/>
          <w:lang w:val="lt-LT"/>
        </w:rPr>
        <w:t>ausų skausmas</w:t>
      </w:r>
      <w:r w:rsidRPr="00EE75B4">
        <w:rPr>
          <w:color w:val="auto"/>
          <w:sz w:val="22"/>
          <w:szCs w:val="22"/>
          <w:lang w:val="lt-LT"/>
        </w:rPr>
        <w:t xml:space="preserve">; </w:t>
      </w:r>
    </w:p>
    <w:p w14:paraId="20522C00"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žemas kraujospūdis, dėl ko galite jausti svaigulį ar alpulį; </w:t>
      </w:r>
    </w:p>
    <w:p w14:paraId="0B6EBC5E"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rijimo sutrikimai; </w:t>
      </w:r>
    </w:p>
    <w:p w14:paraId="323D16C0" w14:textId="77777777" w:rsidR="00A06038" w:rsidRPr="00EE75B4" w:rsidRDefault="00A06038" w:rsidP="00813362">
      <w:pPr>
        <w:pStyle w:val="Default"/>
        <w:numPr>
          <w:ilvl w:val="0"/>
          <w:numId w:val="33"/>
        </w:numPr>
        <w:rPr>
          <w:lang w:val="lt-LT"/>
        </w:rPr>
      </w:pPr>
      <w:r w:rsidRPr="00EE75B4">
        <w:rPr>
          <w:color w:val="auto"/>
          <w:sz w:val="22"/>
          <w:lang w:val="lt-LT"/>
        </w:rPr>
        <w:t xml:space="preserve">vidurių užkietėjimas, pilvo pūtimas, </w:t>
      </w:r>
      <w:proofErr w:type="spellStart"/>
      <w:r w:rsidRPr="00EE75B4">
        <w:rPr>
          <w:color w:val="auto"/>
          <w:sz w:val="22"/>
          <w:szCs w:val="22"/>
          <w:lang w:val="lt-LT"/>
        </w:rPr>
        <w:t>nevirškinimas</w:t>
      </w:r>
      <w:proofErr w:type="spellEnd"/>
      <w:r w:rsidRPr="00EE75B4">
        <w:rPr>
          <w:color w:val="auto"/>
          <w:sz w:val="22"/>
          <w:szCs w:val="22"/>
          <w:lang w:val="lt-LT"/>
        </w:rPr>
        <w:t xml:space="preserve">, pilvo skausmas, pilvo patinimas; </w:t>
      </w:r>
    </w:p>
    <w:p w14:paraId="6C9E8ADB"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burnos opos; </w:t>
      </w:r>
    </w:p>
    <w:p w14:paraId="1941DBDD"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kepenų ar inkstų veiklą atspindinčių laboratorinių tyrimų rodmenų pokyčiai; </w:t>
      </w:r>
    </w:p>
    <w:p w14:paraId="0E9C5AC5" w14:textId="77777777" w:rsidR="00A06038" w:rsidRPr="00EE75B4" w:rsidRDefault="00A06038" w:rsidP="00813362">
      <w:pPr>
        <w:pStyle w:val="Default"/>
        <w:numPr>
          <w:ilvl w:val="0"/>
          <w:numId w:val="33"/>
        </w:numPr>
        <w:rPr>
          <w:lang w:val="lt-LT"/>
        </w:rPr>
      </w:pPr>
      <w:r w:rsidRPr="00EE75B4">
        <w:rPr>
          <w:color w:val="auto"/>
          <w:sz w:val="22"/>
          <w:lang w:val="lt-LT"/>
        </w:rPr>
        <w:t>naktinis prakaitavimas</w:t>
      </w:r>
      <w:r w:rsidRPr="00EE75B4">
        <w:rPr>
          <w:color w:val="auto"/>
          <w:sz w:val="22"/>
          <w:szCs w:val="22"/>
          <w:lang w:val="lt-LT"/>
        </w:rPr>
        <w:t xml:space="preserve">; </w:t>
      </w:r>
    </w:p>
    <w:p w14:paraId="1F52F4DC"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niežulys, išbėrimas; </w:t>
      </w:r>
    </w:p>
    <w:p w14:paraId="4C8865BA"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plaukų slinkimas; </w:t>
      </w:r>
    </w:p>
    <w:p w14:paraId="27B36730" w14:textId="77777777" w:rsidR="00A06038" w:rsidRPr="00EE75B4" w:rsidRDefault="00A06038" w:rsidP="00813362">
      <w:pPr>
        <w:pStyle w:val="Default"/>
        <w:numPr>
          <w:ilvl w:val="0"/>
          <w:numId w:val="33"/>
        </w:numPr>
        <w:rPr>
          <w:lang w:val="lt-LT"/>
        </w:rPr>
      </w:pPr>
      <w:r w:rsidRPr="00EE75B4">
        <w:rPr>
          <w:color w:val="auto"/>
          <w:sz w:val="22"/>
          <w:lang w:val="lt-LT"/>
        </w:rPr>
        <w:t xml:space="preserve">nugaros skausmas, raumenų </w:t>
      </w:r>
      <w:r w:rsidRPr="00EE75B4">
        <w:rPr>
          <w:color w:val="auto"/>
          <w:sz w:val="22"/>
          <w:szCs w:val="22"/>
          <w:lang w:val="lt-LT"/>
        </w:rPr>
        <w:t>ar</w:t>
      </w:r>
      <w:r w:rsidRPr="00EE75B4">
        <w:rPr>
          <w:color w:val="auto"/>
          <w:sz w:val="22"/>
          <w:lang w:val="lt-LT"/>
        </w:rPr>
        <w:t xml:space="preserve"> sąnarių skausmas</w:t>
      </w:r>
      <w:r w:rsidRPr="00EE75B4">
        <w:rPr>
          <w:color w:val="auto"/>
          <w:sz w:val="22"/>
          <w:szCs w:val="22"/>
          <w:lang w:val="lt-LT"/>
        </w:rPr>
        <w:t>,</w:t>
      </w:r>
      <w:r w:rsidRPr="00EE75B4">
        <w:rPr>
          <w:color w:val="auto"/>
          <w:sz w:val="22"/>
          <w:lang w:val="lt-LT"/>
        </w:rPr>
        <w:t xml:space="preserve"> raumenų </w:t>
      </w:r>
      <w:r w:rsidRPr="00EE75B4">
        <w:rPr>
          <w:color w:val="auto"/>
          <w:sz w:val="22"/>
          <w:szCs w:val="22"/>
          <w:lang w:val="lt-LT"/>
        </w:rPr>
        <w:t xml:space="preserve">spazmai; </w:t>
      </w:r>
    </w:p>
    <w:p w14:paraId="288A7561" w14:textId="77777777" w:rsidR="00A06038" w:rsidRPr="00EE75B4" w:rsidRDefault="00A06038" w:rsidP="00732BB8">
      <w:pPr>
        <w:pStyle w:val="Default"/>
        <w:numPr>
          <w:ilvl w:val="0"/>
          <w:numId w:val="33"/>
        </w:numPr>
        <w:rPr>
          <w:color w:val="auto"/>
          <w:sz w:val="22"/>
          <w:szCs w:val="22"/>
          <w:lang w:val="lt-LT"/>
        </w:rPr>
      </w:pPr>
      <w:r w:rsidRPr="00EE75B4">
        <w:rPr>
          <w:color w:val="auto"/>
          <w:sz w:val="22"/>
          <w:szCs w:val="22"/>
          <w:lang w:val="lt-LT"/>
        </w:rPr>
        <w:t xml:space="preserve">svaigulys, silpnumas ar bendrai bloga savijauta. </w:t>
      </w:r>
    </w:p>
    <w:p w14:paraId="62C5D504" w14:textId="77777777" w:rsidR="00A06038" w:rsidRPr="00EE75B4" w:rsidRDefault="00A06038" w:rsidP="00A06038">
      <w:pPr>
        <w:pStyle w:val="Default"/>
        <w:rPr>
          <w:color w:val="auto"/>
          <w:sz w:val="22"/>
          <w:szCs w:val="22"/>
          <w:lang w:val="lt-LT"/>
        </w:rPr>
      </w:pPr>
    </w:p>
    <w:p w14:paraId="5A89DEEE" w14:textId="5A57213C" w:rsidR="00A06038" w:rsidRPr="00EE75B4" w:rsidRDefault="00A06038" w:rsidP="00813362">
      <w:pPr>
        <w:pStyle w:val="Default"/>
        <w:rPr>
          <w:lang w:val="lt-LT"/>
        </w:rPr>
      </w:pPr>
      <w:r w:rsidRPr="00EE75B4">
        <w:rPr>
          <w:b/>
          <w:color w:val="auto"/>
          <w:sz w:val="22"/>
          <w:lang w:val="lt-LT"/>
        </w:rPr>
        <w:t>Nedažnas (</w:t>
      </w:r>
      <w:r w:rsidRPr="00EE75B4">
        <w:rPr>
          <w:color w:val="auto"/>
          <w:sz w:val="22"/>
          <w:lang w:val="lt-LT"/>
        </w:rPr>
        <w:t xml:space="preserve">gali pasireikšti </w:t>
      </w:r>
      <w:r w:rsidR="00987758">
        <w:rPr>
          <w:color w:val="auto"/>
          <w:sz w:val="22"/>
          <w:lang w:val="lt-LT"/>
        </w:rPr>
        <w:t>rečiau</w:t>
      </w:r>
      <w:r w:rsidR="00987758" w:rsidRPr="00EE75B4">
        <w:rPr>
          <w:color w:val="auto"/>
          <w:sz w:val="22"/>
          <w:lang w:val="lt-LT"/>
        </w:rPr>
        <w:t xml:space="preserve"> </w:t>
      </w:r>
      <w:r w:rsidRPr="00EE75B4">
        <w:rPr>
          <w:color w:val="auto"/>
          <w:sz w:val="22"/>
          <w:szCs w:val="22"/>
          <w:lang w:val="lt-LT"/>
        </w:rPr>
        <w:t xml:space="preserve">kaip </w:t>
      </w:r>
      <w:r w:rsidRPr="00EE75B4">
        <w:rPr>
          <w:color w:val="auto"/>
          <w:sz w:val="22"/>
          <w:lang w:val="lt-LT"/>
        </w:rPr>
        <w:t xml:space="preserve">1 iš </w:t>
      </w:r>
      <w:r w:rsidRPr="00EE75B4">
        <w:rPr>
          <w:color w:val="auto"/>
          <w:sz w:val="22"/>
          <w:szCs w:val="22"/>
          <w:lang w:val="lt-LT"/>
        </w:rPr>
        <w:t xml:space="preserve">100 </w:t>
      </w:r>
      <w:r w:rsidR="00987758">
        <w:rPr>
          <w:color w:val="auto"/>
          <w:sz w:val="22"/>
          <w:szCs w:val="22"/>
          <w:lang w:val="lt-LT"/>
        </w:rPr>
        <w:t>asmenų</w:t>
      </w:r>
      <w:r w:rsidRPr="00EE75B4">
        <w:rPr>
          <w:color w:val="auto"/>
          <w:sz w:val="22"/>
          <w:szCs w:val="22"/>
          <w:lang w:val="lt-LT"/>
        </w:rPr>
        <w:t xml:space="preserve">): </w:t>
      </w:r>
    </w:p>
    <w:p w14:paraId="763A408D" w14:textId="77777777" w:rsidR="00A06038" w:rsidRPr="00EE75B4" w:rsidRDefault="00A06038" w:rsidP="00732BB8">
      <w:pPr>
        <w:pStyle w:val="Default"/>
        <w:numPr>
          <w:ilvl w:val="0"/>
          <w:numId w:val="34"/>
        </w:numPr>
        <w:rPr>
          <w:color w:val="auto"/>
          <w:sz w:val="22"/>
          <w:szCs w:val="22"/>
          <w:lang w:val="lt-LT"/>
        </w:rPr>
      </w:pPr>
      <w:r w:rsidRPr="00EE75B4">
        <w:rPr>
          <w:color w:val="auto"/>
          <w:sz w:val="22"/>
          <w:szCs w:val="22"/>
          <w:lang w:val="lt-LT"/>
        </w:rPr>
        <w:t xml:space="preserve">sujaudinimo jutimas; </w:t>
      </w:r>
    </w:p>
    <w:p w14:paraId="33CB573C" w14:textId="77777777" w:rsidR="00A06038" w:rsidRPr="00EE75B4" w:rsidRDefault="00A06038" w:rsidP="00813362">
      <w:pPr>
        <w:pStyle w:val="Default"/>
        <w:numPr>
          <w:ilvl w:val="0"/>
          <w:numId w:val="34"/>
        </w:numPr>
        <w:rPr>
          <w:lang w:val="lt-LT"/>
        </w:rPr>
      </w:pPr>
      <w:r w:rsidRPr="00EE75B4">
        <w:rPr>
          <w:color w:val="auto"/>
          <w:sz w:val="22"/>
          <w:szCs w:val="22"/>
          <w:lang w:val="lt-LT"/>
        </w:rPr>
        <w:t>purtymas ar</w:t>
      </w:r>
      <w:r w:rsidRPr="00EE75B4">
        <w:rPr>
          <w:color w:val="auto"/>
          <w:sz w:val="22"/>
          <w:lang w:val="lt-LT"/>
        </w:rPr>
        <w:t xml:space="preserve"> drebėjimas (</w:t>
      </w:r>
      <w:proofErr w:type="spellStart"/>
      <w:r w:rsidRPr="00EE75B4">
        <w:rPr>
          <w:color w:val="auto"/>
          <w:sz w:val="22"/>
          <w:lang w:val="lt-LT"/>
        </w:rPr>
        <w:t>tremoras</w:t>
      </w:r>
      <w:proofErr w:type="spellEnd"/>
      <w:r w:rsidRPr="00EE75B4">
        <w:rPr>
          <w:color w:val="auto"/>
          <w:sz w:val="22"/>
          <w:szCs w:val="22"/>
          <w:lang w:val="lt-LT"/>
        </w:rPr>
        <w:t xml:space="preserve">); </w:t>
      </w:r>
    </w:p>
    <w:p w14:paraId="1ADE75EF" w14:textId="77777777" w:rsidR="00A06038" w:rsidRPr="00EE75B4" w:rsidRDefault="00A06038" w:rsidP="00813362">
      <w:pPr>
        <w:pStyle w:val="Default"/>
        <w:numPr>
          <w:ilvl w:val="0"/>
          <w:numId w:val="34"/>
        </w:numPr>
        <w:rPr>
          <w:lang w:val="lt-LT"/>
        </w:rPr>
      </w:pPr>
      <w:r w:rsidRPr="00EE75B4">
        <w:rPr>
          <w:color w:val="auto"/>
          <w:sz w:val="22"/>
          <w:lang w:val="lt-LT"/>
        </w:rPr>
        <w:t>kurtumas</w:t>
      </w:r>
      <w:r w:rsidRPr="00EE75B4">
        <w:rPr>
          <w:color w:val="auto"/>
          <w:sz w:val="22"/>
          <w:szCs w:val="22"/>
          <w:lang w:val="lt-LT"/>
        </w:rPr>
        <w:t xml:space="preserve">; </w:t>
      </w:r>
    </w:p>
    <w:p w14:paraId="635F2332" w14:textId="77777777" w:rsidR="00A06038" w:rsidRPr="00EE75B4" w:rsidRDefault="00A06038" w:rsidP="00732BB8">
      <w:pPr>
        <w:pStyle w:val="Default"/>
        <w:numPr>
          <w:ilvl w:val="0"/>
          <w:numId w:val="34"/>
        </w:numPr>
        <w:rPr>
          <w:color w:val="auto"/>
          <w:sz w:val="22"/>
          <w:szCs w:val="22"/>
          <w:lang w:val="lt-LT"/>
        </w:rPr>
      </w:pPr>
      <w:r w:rsidRPr="00EE75B4">
        <w:rPr>
          <w:color w:val="auto"/>
          <w:sz w:val="22"/>
          <w:szCs w:val="22"/>
          <w:lang w:val="lt-LT"/>
        </w:rPr>
        <w:t xml:space="preserve">netolygus širdies plakimas; </w:t>
      </w:r>
    </w:p>
    <w:p w14:paraId="53D6190B" w14:textId="77777777" w:rsidR="00A06038" w:rsidRPr="00EE75B4" w:rsidRDefault="00A06038" w:rsidP="00732BB8">
      <w:pPr>
        <w:pStyle w:val="Default"/>
        <w:numPr>
          <w:ilvl w:val="0"/>
          <w:numId w:val="34"/>
        </w:numPr>
        <w:rPr>
          <w:color w:val="auto"/>
          <w:sz w:val="22"/>
          <w:szCs w:val="22"/>
          <w:lang w:val="lt-LT"/>
        </w:rPr>
      </w:pPr>
      <w:r w:rsidRPr="00EE75B4">
        <w:rPr>
          <w:color w:val="auto"/>
          <w:sz w:val="22"/>
          <w:szCs w:val="22"/>
          <w:lang w:val="lt-LT"/>
        </w:rPr>
        <w:lastRenderedPageBreak/>
        <w:t xml:space="preserve">dilgėlinė, odos sausmė; </w:t>
      </w:r>
    </w:p>
    <w:p w14:paraId="578B99B4" w14:textId="77777777" w:rsidR="00A06038" w:rsidRPr="00EE75B4" w:rsidRDefault="00A06038" w:rsidP="00813362">
      <w:pPr>
        <w:pStyle w:val="Default"/>
        <w:numPr>
          <w:ilvl w:val="0"/>
          <w:numId w:val="34"/>
        </w:numPr>
        <w:rPr>
          <w:lang w:val="lt-LT"/>
        </w:rPr>
      </w:pPr>
      <w:r w:rsidRPr="00EE75B4">
        <w:rPr>
          <w:color w:val="auto"/>
          <w:sz w:val="22"/>
          <w:lang w:val="lt-LT"/>
        </w:rPr>
        <w:t>kraujas šlapime</w:t>
      </w:r>
      <w:r w:rsidRPr="00EE75B4">
        <w:rPr>
          <w:color w:val="auto"/>
          <w:sz w:val="22"/>
          <w:szCs w:val="22"/>
          <w:lang w:val="lt-LT"/>
        </w:rPr>
        <w:t xml:space="preserve">; </w:t>
      </w:r>
    </w:p>
    <w:p w14:paraId="21947F03" w14:textId="77777777" w:rsidR="00A06038" w:rsidRPr="00EE75B4" w:rsidRDefault="00A06038" w:rsidP="00813362">
      <w:pPr>
        <w:pStyle w:val="Default"/>
        <w:numPr>
          <w:ilvl w:val="0"/>
          <w:numId w:val="34"/>
        </w:numPr>
        <w:rPr>
          <w:lang w:val="lt-LT"/>
        </w:rPr>
      </w:pPr>
      <w:r w:rsidRPr="00EE75B4">
        <w:rPr>
          <w:color w:val="auto"/>
          <w:sz w:val="22"/>
          <w:lang w:val="lt-LT"/>
        </w:rPr>
        <w:t>vyrų nevaisingumas</w:t>
      </w:r>
      <w:r w:rsidRPr="00EE75B4">
        <w:rPr>
          <w:color w:val="auto"/>
          <w:sz w:val="22"/>
          <w:szCs w:val="22"/>
          <w:lang w:val="lt-LT"/>
        </w:rPr>
        <w:t xml:space="preserve"> – žiūrėkite poskyrį „Vaisingumas“; </w:t>
      </w:r>
    </w:p>
    <w:p w14:paraId="58D949CA" w14:textId="77777777" w:rsidR="00A06038" w:rsidRPr="00EE75B4" w:rsidRDefault="00A06038" w:rsidP="00732BB8">
      <w:pPr>
        <w:pStyle w:val="Default"/>
        <w:numPr>
          <w:ilvl w:val="0"/>
          <w:numId w:val="34"/>
        </w:numPr>
        <w:rPr>
          <w:color w:val="auto"/>
          <w:sz w:val="22"/>
          <w:szCs w:val="22"/>
          <w:lang w:val="lt-LT"/>
        </w:rPr>
      </w:pPr>
      <w:r w:rsidRPr="00EE75B4">
        <w:rPr>
          <w:color w:val="auto"/>
          <w:sz w:val="22"/>
          <w:szCs w:val="22"/>
          <w:lang w:val="lt-LT"/>
        </w:rPr>
        <w:t xml:space="preserve">krūtinės skausmas. </w:t>
      </w:r>
    </w:p>
    <w:p w14:paraId="22F0B0F6" w14:textId="77777777" w:rsidR="00A06038" w:rsidRPr="00EE75B4" w:rsidRDefault="00A06038" w:rsidP="00A06038">
      <w:pPr>
        <w:pStyle w:val="Default"/>
        <w:rPr>
          <w:color w:val="auto"/>
          <w:sz w:val="22"/>
          <w:szCs w:val="22"/>
          <w:lang w:val="lt-LT"/>
        </w:rPr>
      </w:pPr>
    </w:p>
    <w:p w14:paraId="06C19A66" w14:textId="77777777" w:rsidR="00A06038" w:rsidRPr="00EE75B4" w:rsidRDefault="00A06038" w:rsidP="00813362">
      <w:pPr>
        <w:spacing w:after="0" w:line="240" w:lineRule="auto"/>
        <w:rPr>
          <w:lang w:val="lt-LT"/>
        </w:rPr>
      </w:pPr>
      <w:r w:rsidRPr="00EE75B4">
        <w:rPr>
          <w:rFonts w:ascii="Times New Roman" w:hAnsi="Times New Roman"/>
          <w:lang w:val="lt-LT"/>
        </w:rPr>
        <w:t xml:space="preserve">Vidinio akies sluoksnio atsilupimas (tinklainės atšoka) </w:t>
      </w:r>
      <w:r w:rsidRPr="00EE75B4">
        <w:rPr>
          <w:rFonts w:ascii="Times New Roman" w:eastAsia="SimSun" w:hAnsi="Times New Roman"/>
          <w:lang w:val="lt-LT" w:eastAsia="zh-CN"/>
        </w:rPr>
        <w:t>įvyko</w:t>
      </w:r>
      <w:r w:rsidRPr="00EE75B4">
        <w:rPr>
          <w:rFonts w:ascii="Times New Roman" w:hAnsi="Times New Roman"/>
          <w:lang w:val="lt-LT"/>
        </w:rPr>
        <w:t xml:space="preserve"> tik AIDS </w:t>
      </w:r>
      <w:r w:rsidRPr="00EE75B4">
        <w:rPr>
          <w:rFonts w:ascii="Times New Roman" w:eastAsia="SimSun" w:hAnsi="Times New Roman"/>
          <w:lang w:val="lt-LT" w:eastAsia="zh-CN"/>
        </w:rPr>
        <w:t>segantiems</w:t>
      </w:r>
      <w:r w:rsidRPr="00EE75B4">
        <w:rPr>
          <w:rFonts w:ascii="Times New Roman" w:hAnsi="Times New Roman"/>
          <w:lang w:val="lt-LT"/>
        </w:rPr>
        <w:t xml:space="preserve"> pacientams, </w:t>
      </w:r>
      <w:proofErr w:type="spellStart"/>
      <w:r w:rsidR="00A921CE" w:rsidRPr="00EE75B4">
        <w:rPr>
          <w:rFonts w:ascii="Times New Roman" w:eastAsia="Times New Roman" w:hAnsi="Times New Roman"/>
          <w:lang w:val="lt-LT" w:eastAsia="ja-JP"/>
        </w:rPr>
        <w:t>Valganciclovir</w:t>
      </w:r>
      <w:proofErr w:type="spellEnd"/>
      <w:r w:rsidR="00A921CE" w:rsidRPr="00EE75B4">
        <w:rPr>
          <w:rFonts w:ascii="Times New Roman" w:eastAsia="Times New Roman" w:hAnsi="Times New Roman"/>
          <w:lang w:val="lt-LT" w:eastAsia="ja-JP"/>
        </w:rPr>
        <w:t xml:space="preserve"> </w:t>
      </w:r>
      <w:proofErr w:type="spellStart"/>
      <w:r w:rsidR="00A921CE" w:rsidRPr="00EE75B4">
        <w:rPr>
          <w:rFonts w:ascii="Times New Roman" w:eastAsia="Times New Roman" w:hAnsi="Times New Roman"/>
          <w:lang w:val="lt-LT" w:eastAsia="ja-JP"/>
        </w:rPr>
        <w:t>Accord</w:t>
      </w:r>
      <w:proofErr w:type="spellEnd"/>
      <w:r w:rsidR="00A921CE" w:rsidRPr="00EE75B4">
        <w:rPr>
          <w:rFonts w:ascii="Times New Roman" w:eastAsia="Times New Roman" w:hAnsi="Times New Roman"/>
          <w:lang w:val="lt-LT" w:eastAsia="ja-JP"/>
        </w:rPr>
        <w:t xml:space="preserve"> </w:t>
      </w:r>
      <w:r w:rsidRPr="00EE75B4">
        <w:rPr>
          <w:rFonts w:ascii="Times New Roman" w:eastAsia="SimSun" w:hAnsi="Times New Roman"/>
          <w:lang w:val="lt-LT" w:eastAsia="zh-CN"/>
        </w:rPr>
        <w:t>gydytiems</w:t>
      </w:r>
      <w:r w:rsidRPr="00EE75B4">
        <w:rPr>
          <w:rFonts w:ascii="Times New Roman" w:hAnsi="Times New Roman"/>
          <w:lang w:val="lt-LT"/>
        </w:rPr>
        <w:t xml:space="preserve"> nuo CMV infekcijos.</w:t>
      </w:r>
    </w:p>
    <w:p w14:paraId="4C4CE40A" w14:textId="77777777" w:rsidR="00A06038" w:rsidRPr="00EE75B4" w:rsidRDefault="00A06038" w:rsidP="005427AE">
      <w:pPr>
        <w:spacing w:after="0" w:line="240" w:lineRule="auto"/>
        <w:rPr>
          <w:rFonts w:ascii="Times New Roman" w:hAnsi="Times New Roman"/>
          <w:b/>
          <w:lang w:val="lt-LT"/>
        </w:rPr>
      </w:pPr>
    </w:p>
    <w:p w14:paraId="3CD53B2F" w14:textId="77777777" w:rsidR="005427AE" w:rsidRPr="00EE75B4" w:rsidRDefault="005427AE" w:rsidP="005427AE">
      <w:pPr>
        <w:keepNext/>
        <w:tabs>
          <w:tab w:val="left" w:pos="567"/>
        </w:tabs>
        <w:spacing w:after="0" w:line="240" w:lineRule="auto"/>
        <w:jc w:val="both"/>
        <w:outlineLvl w:val="3"/>
        <w:rPr>
          <w:rFonts w:ascii="Times New Roman" w:hAnsi="Times New Roman"/>
          <w:b/>
          <w:lang w:val="lt-LT"/>
        </w:rPr>
      </w:pPr>
      <w:r w:rsidRPr="00EE75B4">
        <w:rPr>
          <w:rFonts w:ascii="Times New Roman" w:hAnsi="Times New Roman"/>
          <w:b/>
          <w:lang w:val="lt-LT"/>
        </w:rPr>
        <w:t>Papildomas šalutinis poveikis vaikams ir paaugliams</w:t>
      </w:r>
    </w:p>
    <w:p w14:paraId="5B4C54F6" w14:textId="77777777" w:rsidR="005427AE" w:rsidRPr="00EE75B4" w:rsidRDefault="005427AE" w:rsidP="005427AE">
      <w:pPr>
        <w:spacing w:after="0" w:line="240" w:lineRule="auto"/>
        <w:rPr>
          <w:rFonts w:ascii="Times New Roman" w:hAnsi="Times New Roman"/>
          <w:b/>
          <w:lang w:val="lt-LT"/>
        </w:rPr>
      </w:pPr>
      <w:r w:rsidRPr="00EE75B4">
        <w:rPr>
          <w:rFonts w:ascii="Times New Roman" w:hAnsi="Times New Roman"/>
          <w:lang w:val="lt-LT"/>
        </w:rPr>
        <w:t>Vaikams ir paaugliams bei suaugusiesiems pastebėti šalutinio poveikio atvejai yra panašūs.</w:t>
      </w:r>
    </w:p>
    <w:p w14:paraId="1A6447DF" w14:textId="77777777" w:rsidR="005427AE" w:rsidRPr="00EE75B4" w:rsidRDefault="005427AE" w:rsidP="005427AE">
      <w:pPr>
        <w:spacing w:after="0" w:line="240" w:lineRule="auto"/>
        <w:ind w:right="-2"/>
        <w:rPr>
          <w:rFonts w:ascii="Times New Roman" w:hAnsi="Times New Roman"/>
          <w:b/>
          <w:lang w:val="lt-LT"/>
        </w:rPr>
      </w:pPr>
    </w:p>
    <w:p w14:paraId="1425FC13" w14:textId="77777777" w:rsidR="005427AE" w:rsidRPr="00EE75B4" w:rsidRDefault="005427AE" w:rsidP="005427AE">
      <w:pPr>
        <w:keepNext/>
        <w:spacing w:after="0" w:line="240" w:lineRule="auto"/>
        <w:rPr>
          <w:rFonts w:ascii="Times New Roman" w:hAnsi="Times New Roman"/>
          <w:b/>
          <w:lang w:val="lt-LT"/>
        </w:rPr>
      </w:pPr>
      <w:r w:rsidRPr="00EE75B4">
        <w:rPr>
          <w:rFonts w:ascii="Times New Roman" w:hAnsi="Times New Roman"/>
          <w:b/>
          <w:lang w:val="lt-LT"/>
        </w:rPr>
        <w:t>Pranešimas apie šalutinį poveikį</w:t>
      </w:r>
    </w:p>
    <w:p w14:paraId="10441203" w14:textId="2D6B60EC" w:rsidR="005427AE" w:rsidRPr="00EE75B4" w:rsidRDefault="005427AE" w:rsidP="005427AE">
      <w:pPr>
        <w:spacing w:after="0" w:line="240" w:lineRule="auto"/>
        <w:ind w:right="-2"/>
        <w:rPr>
          <w:rFonts w:ascii="Times New Roman" w:hAnsi="Times New Roman"/>
          <w:lang w:val="lt-LT"/>
        </w:rPr>
      </w:pPr>
      <w:r w:rsidRPr="00EE75B4">
        <w:rPr>
          <w:rFonts w:ascii="Times New Roman" w:hAnsi="Times New Roman"/>
          <w:lang w:val="lt-LT"/>
        </w:rPr>
        <w:t xml:space="preserve">Jeigu pasireiškė šalutinis poveikis, įskaitant šiame lapelyje nenurodytą, pasakykite gydytojui arba vaistininkui. </w:t>
      </w:r>
      <w:r w:rsidR="00987758" w:rsidRPr="00115099">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987758" w:rsidRPr="00115099">
          <w:rPr>
            <w:rFonts w:ascii="Times New Roman" w:hAnsi="Times New Roman"/>
          </w:rPr>
          <w:t>https://vapris.vvkt.lt/vvkt-web/public/nrv</w:t>
        </w:r>
      </w:hyperlink>
      <w:r w:rsidR="00987758" w:rsidRPr="00115099">
        <w:rPr>
          <w:rFonts w:ascii="Times New Roman" w:hAnsi="Times New Roman"/>
          <w:lang w:val="lt-LT"/>
        </w:rPr>
        <w:t xml:space="preserve"> arba užpildant Sveikatos priežiūros ar farmacijos specialisto pranešimo apie įtariamą nepageidaujamą reakciją formą, kuri skelbiama </w:t>
      </w:r>
      <w:hyperlink r:id="rId15" w:history="1">
        <w:r w:rsidR="00987758" w:rsidRPr="00115099">
          <w:rPr>
            <w:rFonts w:ascii="Times New Roman" w:hAnsi="Times New Roman"/>
          </w:rPr>
          <w:t>https://www.vvkt.lt/index.php?4004286486</w:t>
        </w:r>
      </w:hyperlink>
      <w:r w:rsidR="00987758" w:rsidRPr="00115099">
        <w:rPr>
          <w:rFonts w:ascii="Times New Roman" w:hAnsi="Times New Roman"/>
          <w:lang w:val="lt-LT"/>
        </w:rPr>
        <w:t xml:space="preserve">, ir atsiunčiant elektroniniu paštu (adresu </w:t>
      </w:r>
      <w:hyperlink r:id="rId16" w:history="1">
        <w:r w:rsidR="00987758" w:rsidRPr="00115099">
          <w:rPr>
            <w:rFonts w:ascii="Times New Roman" w:hAnsi="Times New Roman"/>
          </w:rPr>
          <w:t>NepageidaujamaR@vvkt.lt</w:t>
        </w:r>
      </w:hyperlink>
      <w:r w:rsidR="00987758" w:rsidRPr="00115099">
        <w:rPr>
          <w:rFonts w:ascii="Times New Roman" w:hAnsi="Times New Roman"/>
          <w:lang w:val="lt-LT"/>
        </w:rPr>
        <w:t xml:space="preserve">) arba nemokamu telefonu 8 800 73 568. </w:t>
      </w:r>
    </w:p>
    <w:p w14:paraId="1E73BDE8" w14:textId="77777777" w:rsidR="005427AE" w:rsidRPr="00EE75B4" w:rsidRDefault="005427AE" w:rsidP="005427AE">
      <w:pPr>
        <w:spacing w:after="0" w:line="240" w:lineRule="auto"/>
        <w:ind w:right="-2"/>
        <w:rPr>
          <w:rFonts w:ascii="Times New Roman" w:hAnsi="Times New Roman"/>
          <w:lang w:val="lt-LT"/>
        </w:rPr>
      </w:pPr>
    </w:p>
    <w:p w14:paraId="59492554" w14:textId="77777777" w:rsidR="005427AE" w:rsidRPr="00EE75B4" w:rsidRDefault="005427AE" w:rsidP="005427AE">
      <w:pPr>
        <w:spacing w:after="0" w:line="240" w:lineRule="auto"/>
        <w:ind w:right="-2"/>
        <w:rPr>
          <w:rFonts w:ascii="Times New Roman" w:hAnsi="Times New Roman"/>
          <w:lang w:val="lt-LT"/>
        </w:rPr>
      </w:pPr>
    </w:p>
    <w:p w14:paraId="6629DC42" w14:textId="77777777" w:rsidR="005427AE" w:rsidRPr="00EE75B4" w:rsidRDefault="005427AE" w:rsidP="005427AE">
      <w:pPr>
        <w:keepNext/>
        <w:keepLines/>
        <w:tabs>
          <w:tab w:val="left" w:pos="567"/>
        </w:tabs>
        <w:spacing w:after="0" w:line="240" w:lineRule="auto"/>
        <w:rPr>
          <w:rFonts w:ascii="Times New Roman" w:hAnsi="Times New Roman"/>
          <w:lang w:val="lt-LT"/>
        </w:rPr>
      </w:pPr>
      <w:r w:rsidRPr="00EE75B4">
        <w:rPr>
          <w:rFonts w:ascii="Times New Roman" w:hAnsi="Times New Roman"/>
          <w:b/>
          <w:lang w:val="lt-LT"/>
        </w:rPr>
        <w:t>5.</w:t>
      </w:r>
      <w:r w:rsidRPr="00EE75B4">
        <w:rPr>
          <w:rFonts w:ascii="Times New Roman" w:hAnsi="Times New Roman"/>
          <w:b/>
          <w:lang w:val="lt-LT"/>
        </w:rPr>
        <w:tab/>
        <w:t xml:space="preserve">Kaip laikyti </w:t>
      </w:r>
      <w:proofErr w:type="spellStart"/>
      <w:r w:rsidRPr="00EE75B4">
        <w:rPr>
          <w:rFonts w:ascii="Times New Roman" w:hAnsi="Times New Roman"/>
          <w:b/>
          <w:lang w:val="lt-LT"/>
        </w:rPr>
        <w:t>Valganciclovir</w:t>
      </w:r>
      <w:proofErr w:type="spellEnd"/>
      <w:r w:rsidRPr="00EE75B4">
        <w:rPr>
          <w:rFonts w:ascii="Times New Roman" w:hAnsi="Times New Roman"/>
          <w:b/>
          <w:lang w:val="lt-LT"/>
        </w:rPr>
        <w:t xml:space="preserve"> </w:t>
      </w:r>
      <w:proofErr w:type="spellStart"/>
      <w:r w:rsidRPr="00EE75B4">
        <w:rPr>
          <w:rFonts w:ascii="Times New Roman" w:hAnsi="Times New Roman"/>
          <w:b/>
          <w:lang w:val="lt-LT"/>
        </w:rPr>
        <w:t>Accord</w:t>
      </w:r>
      <w:proofErr w:type="spellEnd"/>
    </w:p>
    <w:p w14:paraId="6EF3BA86" w14:textId="77777777" w:rsidR="005427AE" w:rsidRPr="00EE75B4" w:rsidRDefault="005427AE" w:rsidP="005427AE">
      <w:pPr>
        <w:keepNext/>
        <w:keepLines/>
        <w:spacing w:after="0" w:line="240" w:lineRule="auto"/>
        <w:ind w:right="-2"/>
        <w:rPr>
          <w:rFonts w:ascii="Times New Roman" w:hAnsi="Times New Roman"/>
          <w:lang w:val="lt-LT"/>
        </w:rPr>
      </w:pPr>
    </w:p>
    <w:p w14:paraId="17478BC3" w14:textId="77777777" w:rsidR="005427AE" w:rsidRPr="00EE75B4" w:rsidRDefault="005427AE" w:rsidP="005427AE">
      <w:pPr>
        <w:keepNext/>
        <w:keepLines/>
        <w:spacing w:after="0" w:line="240" w:lineRule="auto"/>
        <w:ind w:right="-2"/>
        <w:rPr>
          <w:rFonts w:ascii="Times New Roman" w:hAnsi="Times New Roman"/>
          <w:lang w:val="lt-LT"/>
        </w:rPr>
      </w:pPr>
      <w:r w:rsidRPr="00EE75B4">
        <w:rPr>
          <w:rFonts w:ascii="Times New Roman" w:hAnsi="Times New Roman"/>
          <w:lang w:val="lt-LT"/>
        </w:rPr>
        <w:t>Šį vaistą laikykite vaikams nepastebimoje ir nepasiekiamoje vietoje.</w:t>
      </w:r>
    </w:p>
    <w:p w14:paraId="2EC96CAA" w14:textId="77777777" w:rsidR="005427AE" w:rsidRPr="00EE75B4" w:rsidRDefault="005427AE" w:rsidP="005427AE">
      <w:pPr>
        <w:keepNext/>
        <w:keepLines/>
        <w:spacing w:after="0" w:line="240" w:lineRule="auto"/>
        <w:ind w:right="-2"/>
        <w:rPr>
          <w:rFonts w:ascii="Times New Roman" w:hAnsi="Times New Roman"/>
          <w:lang w:val="lt-LT"/>
        </w:rPr>
      </w:pPr>
    </w:p>
    <w:p w14:paraId="005A91C6" w14:textId="33B44BED" w:rsidR="005427AE" w:rsidRPr="00EE75B4" w:rsidRDefault="005427AE" w:rsidP="005427AE">
      <w:pPr>
        <w:keepNext/>
        <w:keepLines/>
        <w:spacing w:after="0" w:line="240" w:lineRule="auto"/>
        <w:ind w:right="-2"/>
        <w:rPr>
          <w:rFonts w:ascii="Times New Roman" w:hAnsi="Times New Roman"/>
          <w:lang w:val="lt-LT"/>
        </w:rPr>
      </w:pPr>
      <w:r w:rsidRPr="00EE75B4">
        <w:rPr>
          <w:rFonts w:ascii="Times New Roman" w:hAnsi="Times New Roman"/>
          <w:lang w:val="lt-LT"/>
        </w:rPr>
        <w:t>Ant dėžutės</w:t>
      </w:r>
      <w:r w:rsidR="00764A14">
        <w:rPr>
          <w:rFonts w:ascii="Times New Roman" w:hAnsi="Times New Roman"/>
          <w:lang w:val="lt-LT"/>
        </w:rPr>
        <w:t>,</w:t>
      </w:r>
      <w:r w:rsidRPr="00EE75B4">
        <w:rPr>
          <w:rFonts w:ascii="Times New Roman" w:hAnsi="Times New Roman"/>
          <w:lang w:val="lt-LT"/>
        </w:rPr>
        <w:t xml:space="preserve"> etiketės </w:t>
      </w:r>
      <w:r w:rsidR="005C3A0E" w:rsidRPr="00EE75B4">
        <w:rPr>
          <w:rFonts w:ascii="Times New Roman" w:eastAsia="Times New Roman" w:hAnsi="Times New Roman"/>
          <w:lang w:val="lt-LT" w:eastAsia="ja-JP"/>
        </w:rPr>
        <w:t>ir</w:t>
      </w:r>
      <w:r w:rsidR="005C3A0E" w:rsidRPr="00EE75B4">
        <w:rPr>
          <w:rFonts w:ascii="Times New Roman" w:hAnsi="Times New Roman"/>
          <w:lang w:val="lt-LT"/>
        </w:rPr>
        <w:t xml:space="preserve"> </w:t>
      </w:r>
      <w:r w:rsidRPr="00EE75B4">
        <w:rPr>
          <w:rFonts w:ascii="Times New Roman" w:hAnsi="Times New Roman"/>
          <w:lang w:val="lt-LT"/>
        </w:rPr>
        <w:t>lizdinės plokštelės po „EXP“ nurodytam tinkamumo laikui pasibaigus, šio vaisto vartoti negalima. Vaistas tinkamas vartoti iki paskutinės nurodyto mėnesio dienos.</w:t>
      </w:r>
    </w:p>
    <w:p w14:paraId="2D970E81" w14:textId="77777777" w:rsidR="005427AE" w:rsidRPr="00EE75B4" w:rsidRDefault="005427AE" w:rsidP="005427AE">
      <w:pPr>
        <w:spacing w:after="0" w:line="240" w:lineRule="auto"/>
        <w:ind w:right="-2"/>
        <w:rPr>
          <w:rFonts w:ascii="Times New Roman" w:hAnsi="Times New Roman"/>
          <w:lang w:val="lt-LT"/>
        </w:rPr>
      </w:pPr>
    </w:p>
    <w:p w14:paraId="17143FD6" w14:textId="77777777" w:rsidR="005427AE" w:rsidRPr="00EE75B4" w:rsidRDefault="005427AE" w:rsidP="005427AE">
      <w:pPr>
        <w:spacing w:after="0" w:line="240" w:lineRule="auto"/>
        <w:ind w:right="-2"/>
        <w:rPr>
          <w:rFonts w:ascii="Times New Roman" w:hAnsi="Times New Roman"/>
          <w:lang w:val="lt-LT"/>
        </w:rPr>
      </w:pPr>
      <w:r w:rsidRPr="00EE75B4">
        <w:rPr>
          <w:rFonts w:ascii="Times New Roman" w:hAnsi="Times New Roman"/>
          <w:lang w:val="lt-LT"/>
        </w:rPr>
        <w:t>Šiam vaistui specialių laikymo sąlygų nereikia.</w:t>
      </w:r>
    </w:p>
    <w:p w14:paraId="7EE1B5DA" w14:textId="77777777" w:rsidR="005427AE" w:rsidRPr="00EE75B4" w:rsidRDefault="005427AE" w:rsidP="005427AE">
      <w:pPr>
        <w:spacing w:after="0" w:line="240" w:lineRule="auto"/>
        <w:ind w:right="-2"/>
        <w:rPr>
          <w:rFonts w:ascii="Times New Roman" w:hAnsi="Times New Roman"/>
          <w:lang w:val="lt-LT"/>
        </w:rPr>
      </w:pPr>
    </w:p>
    <w:p w14:paraId="340A667B" w14:textId="77777777" w:rsidR="005427AE" w:rsidRPr="00EE75B4" w:rsidRDefault="005427AE" w:rsidP="005427AE">
      <w:pPr>
        <w:spacing w:after="0" w:line="240" w:lineRule="auto"/>
        <w:ind w:right="-2"/>
        <w:rPr>
          <w:rFonts w:ascii="Times New Roman" w:hAnsi="Times New Roman"/>
          <w:lang w:val="lt-LT"/>
        </w:rPr>
      </w:pPr>
      <w:r w:rsidRPr="00EE75B4">
        <w:rPr>
          <w:rFonts w:ascii="Times New Roman" w:hAnsi="Times New Roman"/>
          <w:lang w:val="lt-LT"/>
        </w:rPr>
        <w:t>Vaistų negalima išmesti į kanalizaciją arba su buitinėmis atliekomis. Kaip išmesti nereikalingus vaistus, klauskite vaistininko. Šios priemonės padės apsaugoti aplinką.</w:t>
      </w:r>
    </w:p>
    <w:p w14:paraId="0E0A40F2" w14:textId="77777777" w:rsidR="005427AE" w:rsidRPr="00EE75B4" w:rsidRDefault="005427AE" w:rsidP="005427AE">
      <w:pPr>
        <w:spacing w:after="0" w:line="240" w:lineRule="auto"/>
        <w:rPr>
          <w:rFonts w:ascii="Times New Roman" w:hAnsi="Times New Roman"/>
          <w:lang w:val="lt-LT"/>
        </w:rPr>
      </w:pPr>
    </w:p>
    <w:p w14:paraId="3A6A4999" w14:textId="77777777" w:rsidR="005427AE" w:rsidRPr="00EE75B4" w:rsidRDefault="005427AE" w:rsidP="005427AE">
      <w:pPr>
        <w:spacing w:after="0" w:line="240" w:lineRule="auto"/>
        <w:ind w:right="-2"/>
        <w:rPr>
          <w:rFonts w:ascii="Times New Roman" w:hAnsi="Times New Roman"/>
          <w:lang w:val="lt-LT"/>
        </w:rPr>
      </w:pPr>
    </w:p>
    <w:p w14:paraId="1A964994" w14:textId="77777777" w:rsidR="005427AE" w:rsidRPr="00EE75B4" w:rsidRDefault="005427AE" w:rsidP="005427AE">
      <w:pPr>
        <w:keepNext/>
        <w:keepLines/>
        <w:numPr>
          <w:ilvl w:val="12"/>
          <w:numId w:val="0"/>
        </w:numPr>
        <w:spacing w:after="0" w:line="240" w:lineRule="auto"/>
        <w:ind w:left="567" w:hanging="567"/>
        <w:outlineLvl w:val="0"/>
        <w:rPr>
          <w:rFonts w:ascii="Times New Roman" w:hAnsi="Times New Roman"/>
          <w:b/>
          <w:lang w:val="lt-LT"/>
        </w:rPr>
      </w:pPr>
      <w:r w:rsidRPr="00EE75B4">
        <w:rPr>
          <w:rFonts w:ascii="Times New Roman" w:hAnsi="Times New Roman"/>
          <w:b/>
          <w:lang w:val="lt-LT"/>
        </w:rPr>
        <w:t>6.</w:t>
      </w:r>
      <w:r w:rsidRPr="00EE75B4">
        <w:rPr>
          <w:rFonts w:ascii="Times New Roman" w:hAnsi="Times New Roman"/>
          <w:lang w:val="lt-LT"/>
        </w:rPr>
        <w:tab/>
      </w:r>
      <w:r w:rsidRPr="00EE75B4">
        <w:rPr>
          <w:rFonts w:ascii="Times New Roman" w:hAnsi="Times New Roman"/>
          <w:b/>
          <w:lang w:val="lt-LT"/>
        </w:rPr>
        <w:t>Pakuotės turinys ir kita informacija</w:t>
      </w:r>
    </w:p>
    <w:p w14:paraId="129161D3" w14:textId="77777777" w:rsidR="005427AE" w:rsidRPr="00EE75B4" w:rsidRDefault="005427AE" w:rsidP="005427AE">
      <w:pPr>
        <w:keepNext/>
        <w:keepLines/>
        <w:spacing w:after="0" w:line="240" w:lineRule="auto"/>
        <w:ind w:left="567" w:hanging="567"/>
        <w:rPr>
          <w:rFonts w:ascii="Times New Roman" w:hAnsi="Times New Roman"/>
          <w:lang w:val="lt-LT"/>
        </w:rPr>
      </w:pPr>
    </w:p>
    <w:p w14:paraId="6E6291D3" w14:textId="77777777" w:rsidR="005427AE" w:rsidRPr="00EE75B4" w:rsidRDefault="005427AE" w:rsidP="005427AE">
      <w:pPr>
        <w:keepNext/>
        <w:keepLines/>
        <w:numPr>
          <w:ilvl w:val="12"/>
          <w:numId w:val="0"/>
        </w:numPr>
        <w:spacing w:after="0" w:line="240" w:lineRule="auto"/>
        <w:outlineLvl w:val="4"/>
        <w:rPr>
          <w:rFonts w:ascii="Times New Roman" w:hAnsi="Times New Roman"/>
          <w:b/>
          <w:lang w:val="lt-LT"/>
        </w:rPr>
      </w:pPr>
      <w:proofErr w:type="spellStart"/>
      <w:r w:rsidRPr="00EE75B4">
        <w:rPr>
          <w:rFonts w:ascii="Times New Roman" w:hAnsi="Times New Roman"/>
          <w:b/>
          <w:lang w:val="lt-LT"/>
        </w:rPr>
        <w:t>Valganciclovir</w:t>
      </w:r>
      <w:proofErr w:type="spellEnd"/>
      <w:r w:rsidRPr="00EE75B4">
        <w:rPr>
          <w:rFonts w:ascii="Times New Roman" w:hAnsi="Times New Roman"/>
          <w:b/>
          <w:lang w:val="lt-LT"/>
        </w:rPr>
        <w:t xml:space="preserve"> </w:t>
      </w:r>
      <w:proofErr w:type="spellStart"/>
      <w:r w:rsidRPr="00EE75B4">
        <w:rPr>
          <w:rFonts w:ascii="Times New Roman" w:hAnsi="Times New Roman"/>
          <w:b/>
          <w:lang w:val="lt-LT"/>
        </w:rPr>
        <w:t>Accord</w:t>
      </w:r>
      <w:proofErr w:type="spellEnd"/>
      <w:r w:rsidRPr="00EE75B4">
        <w:rPr>
          <w:rFonts w:ascii="Times New Roman" w:hAnsi="Times New Roman"/>
          <w:b/>
          <w:lang w:val="lt-LT"/>
        </w:rPr>
        <w:t xml:space="preserve"> sudėtis</w:t>
      </w:r>
    </w:p>
    <w:p w14:paraId="56813201" w14:textId="77777777" w:rsidR="005427AE" w:rsidRPr="00EE75B4" w:rsidRDefault="005427AE" w:rsidP="005427AE">
      <w:pPr>
        <w:keepNext/>
        <w:keepLines/>
        <w:numPr>
          <w:ilvl w:val="12"/>
          <w:numId w:val="0"/>
        </w:numPr>
        <w:spacing w:after="0" w:line="240" w:lineRule="auto"/>
        <w:rPr>
          <w:rFonts w:ascii="Times New Roman" w:hAnsi="Times New Roman"/>
          <w:lang w:val="lt-LT"/>
        </w:rPr>
      </w:pPr>
    </w:p>
    <w:p w14:paraId="35682F00" w14:textId="77777777" w:rsidR="005427AE" w:rsidRPr="00EE75B4" w:rsidRDefault="005427AE" w:rsidP="005427AE">
      <w:pPr>
        <w:keepNext/>
        <w:keepLines/>
        <w:spacing w:after="0" w:line="240" w:lineRule="auto"/>
        <w:rPr>
          <w:rFonts w:ascii="Times New Roman" w:hAnsi="Times New Roman"/>
          <w:lang w:val="lt-LT"/>
        </w:rPr>
      </w:pPr>
      <w:r w:rsidRPr="00EE75B4">
        <w:rPr>
          <w:rFonts w:ascii="Times New Roman" w:hAnsi="Times New Roman"/>
          <w:lang w:val="lt-LT"/>
        </w:rPr>
        <w:t xml:space="preserve">Veiklioji medžiaga yra 450 mg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496,3 mg </w:t>
      </w:r>
      <w:proofErr w:type="spellStart"/>
      <w:r w:rsidRPr="00EE75B4">
        <w:rPr>
          <w:rFonts w:ascii="Times New Roman" w:hAnsi="Times New Roman"/>
          <w:lang w:val="lt-LT"/>
        </w:rPr>
        <w:t>valgancikloviro</w:t>
      </w:r>
      <w:proofErr w:type="spellEnd"/>
      <w:r w:rsidRPr="00EE75B4">
        <w:rPr>
          <w:rFonts w:ascii="Times New Roman" w:hAnsi="Times New Roman"/>
          <w:lang w:val="lt-LT"/>
        </w:rPr>
        <w:t xml:space="preserve"> hidrochlorido pavidalu.</w:t>
      </w:r>
    </w:p>
    <w:p w14:paraId="78DFD648" w14:textId="77777777" w:rsidR="005427AE" w:rsidRPr="00EE75B4" w:rsidRDefault="005427AE" w:rsidP="005427AE">
      <w:pPr>
        <w:spacing w:after="0" w:line="240" w:lineRule="auto"/>
        <w:rPr>
          <w:rFonts w:ascii="Times New Roman" w:hAnsi="Times New Roman"/>
          <w:lang w:val="lt-LT"/>
        </w:rPr>
      </w:pPr>
    </w:p>
    <w:p w14:paraId="3E2C8CB4"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Pagalbinės medžiagos yra:</w:t>
      </w:r>
    </w:p>
    <w:p w14:paraId="4E1EBBAB"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Branduolys: </w:t>
      </w:r>
      <w:proofErr w:type="spellStart"/>
      <w:r w:rsidRPr="00EE75B4">
        <w:rPr>
          <w:rFonts w:ascii="Times New Roman" w:hAnsi="Times New Roman"/>
          <w:lang w:val="lt-LT"/>
        </w:rPr>
        <w:t>mikrokristalinė</w:t>
      </w:r>
      <w:proofErr w:type="spellEnd"/>
      <w:r w:rsidRPr="00EE75B4">
        <w:rPr>
          <w:rFonts w:ascii="Times New Roman" w:hAnsi="Times New Roman"/>
          <w:lang w:val="lt-LT"/>
        </w:rPr>
        <w:t xml:space="preserve"> celiuliozė, </w:t>
      </w:r>
      <w:proofErr w:type="spellStart"/>
      <w:r w:rsidRPr="00EE75B4">
        <w:rPr>
          <w:rFonts w:ascii="Times New Roman" w:hAnsi="Times New Roman"/>
          <w:lang w:val="lt-LT"/>
        </w:rPr>
        <w:t>krospovidonas</w:t>
      </w:r>
      <w:proofErr w:type="spellEnd"/>
      <w:r w:rsidRPr="00EE75B4">
        <w:rPr>
          <w:rFonts w:ascii="Times New Roman" w:hAnsi="Times New Roman"/>
          <w:lang w:val="lt-LT"/>
        </w:rPr>
        <w:t xml:space="preserve"> (A tipo), </w:t>
      </w:r>
      <w:proofErr w:type="spellStart"/>
      <w:r w:rsidRPr="00EE75B4">
        <w:rPr>
          <w:rFonts w:ascii="Times New Roman" w:hAnsi="Times New Roman"/>
          <w:lang w:val="lt-LT"/>
        </w:rPr>
        <w:t>povidonas</w:t>
      </w:r>
      <w:proofErr w:type="spellEnd"/>
      <w:r w:rsidRPr="00EE75B4">
        <w:rPr>
          <w:rFonts w:ascii="Times New Roman" w:hAnsi="Times New Roman"/>
          <w:lang w:val="lt-LT"/>
        </w:rPr>
        <w:t xml:space="preserve"> (K30) ir stearino rūgštis (50). </w:t>
      </w:r>
    </w:p>
    <w:p w14:paraId="0C1266A4"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Plėvelė: </w:t>
      </w:r>
      <w:proofErr w:type="spellStart"/>
      <w:r w:rsidRPr="00EE75B4">
        <w:rPr>
          <w:rFonts w:ascii="Times New Roman" w:hAnsi="Times New Roman"/>
          <w:lang w:val="lt-LT"/>
        </w:rPr>
        <w:t>hipromeliozė</w:t>
      </w:r>
      <w:proofErr w:type="spellEnd"/>
      <w:r w:rsidRPr="00EE75B4">
        <w:rPr>
          <w:rFonts w:ascii="Times New Roman" w:hAnsi="Times New Roman"/>
          <w:lang w:val="lt-LT"/>
        </w:rPr>
        <w:t xml:space="preserve"> (3cP), </w:t>
      </w:r>
      <w:proofErr w:type="spellStart"/>
      <w:r w:rsidRPr="00EE75B4">
        <w:rPr>
          <w:rFonts w:ascii="Times New Roman" w:hAnsi="Times New Roman"/>
          <w:lang w:val="lt-LT"/>
        </w:rPr>
        <w:t>hipromeliozė</w:t>
      </w:r>
      <w:proofErr w:type="spellEnd"/>
      <w:r w:rsidRPr="00EE75B4">
        <w:rPr>
          <w:rFonts w:ascii="Times New Roman" w:hAnsi="Times New Roman"/>
          <w:lang w:val="lt-LT"/>
        </w:rPr>
        <w:t xml:space="preserve"> (6cP), titano dioksidas (E171), </w:t>
      </w:r>
      <w:proofErr w:type="spellStart"/>
      <w:r w:rsidRPr="00EE75B4">
        <w:rPr>
          <w:rFonts w:ascii="Times New Roman" w:hAnsi="Times New Roman"/>
          <w:lang w:val="lt-LT"/>
        </w:rPr>
        <w:t>makrogolis</w:t>
      </w:r>
      <w:proofErr w:type="spellEnd"/>
      <w:r w:rsidRPr="00EE75B4">
        <w:rPr>
          <w:rFonts w:ascii="Times New Roman" w:hAnsi="Times New Roman"/>
          <w:lang w:val="lt-LT"/>
        </w:rPr>
        <w:t xml:space="preserve"> 400, raudonasis geležies oksidas (E172), </w:t>
      </w:r>
      <w:proofErr w:type="spellStart"/>
      <w:r w:rsidRPr="00EE75B4">
        <w:rPr>
          <w:rFonts w:ascii="Times New Roman" w:hAnsi="Times New Roman"/>
          <w:lang w:val="lt-LT"/>
        </w:rPr>
        <w:t>polisorbatas</w:t>
      </w:r>
      <w:proofErr w:type="spellEnd"/>
      <w:r w:rsidRPr="00EE75B4">
        <w:rPr>
          <w:rFonts w:ascii="Times New Roman" w:hAnsi="Times New Roman"/>
          <w:lang w:val="lt-LT"/>
        </w:rPr>
        <w:t xml:space="preserve"> 80.</w:t>
      </w:r>
    </w:p>
    <w:p w14:paraId="38F85B0D" w14:textId="77777777" w:rsidR="005427AE" w:rsidRPr="00EE75B4" w:rsidRDefault="005427AE" w:rsidP="005427AE">
      <w:pPr>
        <w:spacing w:after="0" w:line="240" w:lineRule="auto"/>
        <w:rPr>
          <w:rFonts w:ascii="Times New Roman" w:hAnsi="Times New Roman"/>
          <w:lang w:val="lt-LT"/>
        </w:rPr>
      </w:pPr>
    </w:p>
    <w:p w14:paraId="2AC9C16A" w14:textId="77777777" w:rsidR="005427AE" w:rsidRPr="00EE75B4" w:rsidRDefault="005427AE" w:rsidP="005427AE">
      <w:pPr>
        <w:spacing w:after="0" w:line="240" w:lineRule="auto"/>
        <w:rPr>
          <w:rFonts w:ascii="Times New Roman" w:hAnsi="Times New Roman"/>
          <w:b/>
          <w:lang w:val="lt-LT"/>
        </w:rPr>
      </w:pPr>
      <w:proofErr w:type="spellStart"/>
      <w:r w:rsidRPr="00EE75B4">
        <w:rPr>
          <w:rFonts w:ascii="Times New Roman" w:hAnsi="Times New Roman"/>
          <w:b/>
          <w:lang w:val="lt-LT"/>
        </w:rPr>
        <w:t>Valganciclovir</w:t>
      </w:r>
      <w:proofErr w:type="spellEnd"/>
      <w:r w:rsidRPr="00EE75B4">
        <w:rPr>
          <w:rFonts w:ascii="Times New Roman" w:hAnsi="Times New Roman"/>
          <w:b/>
          <w:lang w:val="lt-LT"/>
        </w:rPr>
        <w:t xml:space="preserve"> </w:t>
      </w:r>
      <w:proofErr w:type="spellStart"/>
      <w:r w:rsidRPr="00EE75B4">
        <w:rPr>
          <w:rFonts w:ascii="Times New Roman" w:hAnsi="Times New Roman"/>
          <w:b/>
          <w:lang w:val="lt-LT"/>
        </w:rPr>
        <w:t>Accord</w:t>
      </w:r>
      <w:proofErr w:type="spellEnd"/>
      <w:r w:rsidRPr="00EE75B4">
        <w:rPr>
          <w:rFonts w:ascii="Times New Roman" w:hAnsi="Times New Roman"/>
          <w:b/>
          <w:lang w:val="lt-LT"/>
        </w:rPr>
        <w:t xml:space="preserve"> išvaizda ir kiekis pakuotėje</w:t>
      </w:r>
    </w:p>
    <w:p w14:paraId="190DC21F" w14:textId="77777777" w:rsidR="005427AE" w:rsidRPr="00EE75B4" w:rsidRDefault="005427AE" w:rsidP="005427AE">
      <w:pPr>
        <w:spacing w:after="0" w:line="240" w:lineRule="auto"/>
        <w:rPr>
          <w:rFonts w:ascii="Times New Roman" w:hAnsi="Times New Roman"/>
          <w:lang w:val="lt-LT"/>
        </w:rPr>
      </w:pPr>
    </w:p>
    <w:p w14:paraId="3FDCE518"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tiekiamas 450 mg plėvele dengtomis tabletėmis. Tabletės aprašytos toliau.</w:t>
      </w:r>
    </w:p>
    <w:p w14:paraId="184DAEA6" w14:textId="77777777" w:rsidR="005427AE" w:rsidRPr="00EE75B4" w:rsidRDefault="005427AE" w:rsidP="005427AE">
      <w:pPr>
        <w:spacing w:after="0" w:line="240" w:lineRule="auto"/>
        <w:rPr>
          <w:rFonts w:ascii="Times New Roman" w:hAnsi="Times New Roman"/>
          <w:lang w:val="lt-LT"/>
        </w:rPr>
      </w:pPr>
    </w:p>
    <w:p w14:paraId="7731E37A"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 xml:space="preserve">Maždaug 16,7 x 7,8 mm, rožinės spalvos, ovalios, abipus išgaubtos plėvele dengtos tabletės, kurių vienoje pusėje įspausta „J”, o kitoje – “156”. </w:t>
      </w:r>
    </w:p>
    <w:p w14:paraId="4FF0C2F8" w14:textId="77777777" w:rsidR="005427AE" w:rsidRPr="00EE75B4" w:rsidRDefault="005427AE" w:rsidP="005427AE">
      <w:pPr>
        <w:spacing w:after="0" w:line="240" w:lineRule="auto"/>
        <w:rPr>
          <w:rFonts w:ascii="Times New Roman" w:hAnsi="Times New Roman"/>
          <w:lang w:val="lt-LT"/>
        </w:rPr>
      </w:pPr>
    </w:p>
    <w:p w14:paraId="6274837A" w14:textId="77777777" w:rsidR="005427AE" w:rsidRPr="00EE75B4" w:rsidRDefault="005427AE" w:rsidP="005427AE">
      <w:pPr>
        <w:spacing w:after="0" w:line="240" w:lineRule="auto"/>
        <w:rPr>
          <w:rFonts w:ascii="Times New Roman" w:hAnsi="Times New Roman"/>
          <w:lang w:val="lt-LT"/>
        </w:rPr>
      </w:pP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tiekiamas </w:t>
      </w:r>
    </w:p>
    <w:p w14:paraId="2AE4C1ED"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OPA-Aliuminio-PVC/Aliuminio lizdinė plokštelė išorinėje kartono dėžutėje: 30, 60, 90 ir 120 tablečių.</w:t>
      </w:r>
    </w:p>
    <w:p w14:paraId="24F07C70" w14:textId="77777777" w:rsidR="005427AE" w:rsidRPr="00EE75B4" w:rsidRDefault="005427AE" w:rsidP="005427AE">
      <w:pPr>
        <w:spacing w:after="0" w:line="240" w:lineRule="auto"/>
        <w:rPr>
          <w:rFonts w:ascii="Times New Roman" w:hAnsi="Times New Roman"/>
          <w:lang w:val="lt-LT"/>
        </w:rPr>
      </w:pPr>
    </w:p>
    <w:p w14:paraId="38E29846"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lastRenderedPageBreak/>
        <w:t xml:space="preserve">Didelio tankio polietileno (DTPE) buteliukas su medvilnės užpildu ir vaikų sunkiai atidaromu užsukamuoju polipropileno dangteliu su minkštu įdėklu (padarytu iš pagrindo, vaško, folijos, PET ir užlydomos plėvelės): 60 tablečių. </w:t>
      </w:r>
    </w:p>
    <w:p w14:paraId="67F8891F" w14:textId="77777777" w:rsidR="005427AE" w:rsidRPr="00EE75B4" w:rsidRDefault="005427AE" w:rsidP="005427AE">
      <w:pPr>
        <w:spacing w:after="0" w:line="240" w:lineRule="auto"/>
        <w:rPr>
          <w:rFonts w:ascii="Times New Roman" w:hAnsi="Times New Roman"/>
          <w:lang w:val="lt-LT"/>
        </w:rPr>
      </w:pPr>
    </w:p>
    <w:p w14:paraId="44B16658"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Gali būti tiekiamos ne visų dydžių pakuotės.</w:t>
      </w:r>
    </w:p>
    <w:p w14:paraId="64B01003" w14:textId="77777777" w:rsidR="005427AE" w:rsidRPr="00EE75B4" w:rsidRDefault="005427AE" w:rsidP="005427AE">
      <w:pPr>
        <w:spacing w:after="0" w:line="240" w:lineRule="auto"/>
        <w:rPr>
          <w:rFonts w:ascii="Times New Roman" w:hAnsi="Times New Roman"/>
          <w:lang w:val="lt-LT"/>
        </w:rPr>
      </w:pPr>
    </w:p>
    <w:p w14:paraId="51633F52" w14:textId="77777777" w:rsidR="005427AE" w:rsidRPr="00EE75B4" w:rsidRDefault="005427AE" w:rsidP="005427AE">
      <w:pPr>
        <w:keepNext/>
        <w:tabs>
          <w:tab w:val="left" w:pos="567"/>
        </w:tabs>
        <w:spacing w:after="0" w:line="240" w:lineRule="auto"/>
        <w:jc w:val="both"/>
        <w:outlineLvl w:val="3"/>
        <w:rPr>
          <w:rFonts w:ascii="Times New Roman" w:hAnsi="Times New Roman"/>
          <w:b/>
          <w:lang w:val="lt-LT"/>
        </w:rPr>
      </w:pPr>
      <w:r w:rsidRPr="00EE75B4">
        <w:rPr>
          <w:rFonts w:ascii="Times New Roman" w:hAnsi="Times New Roman"/>
          <w:b/>
          <w:lang w:val="lt-LT"/>
        </w:rPr>
        <w:t>Registruotojas ir gamintojas</w:t>
      </w:r>
    </w:p>
    <w:p w14:paraId="67810CC5" w14:textId="77777777" w:rsidR="005427AE" w:rsidRPr="00EE75B4" w:rsidRDefault="005427AE" w:rsidP="005427AE">
      <w:pPr>
        <w:tabs>
          <w:tab w:val="left" w:pos="567"/>
        </w:tabs>
        <w:spacing w:after="0" w:line="240" w:lineRule="auto"/>
        <w:rPr>
          <w:rFonts w:ascii="Times New Roman" w:hAnsi="Times New Roman"/>
          <w:lang w:val="lt-LT"/>
        </w:rPr>
      </w:pPr>
    </w:p>
    <w:p w14:paraId="5CD3D58E" w14:textId="77777777" w:rsidR="005427AE" w:rsidRPr="00EE75B4" w:rsidRDefault="005427AE" w:rsidP="005427AE">
      <w:pPr>
        <w:tabs>
          <w:tab w:val="left" w:pos="567"/>
        </w:tabs>
        <w:spacing w:after="0" w:line="240" w:lineRule="auto"/>
        <w:rPr>
          <w:rFonts w:ascii="Times New Roman" w:hAnsi="Times New Roman"/>
          <w:u w:val="single"/>
          <w:lang w:val="lt-LT"/>
        </w:rPr>
      </w:pPr>
      <w:r w:rsidRPr="00EE75B4">
        <w:rPr>
          <w:rFonts w:ascii="Times New Roman" w:hAnsi="Times New Roman"/>
          <w:u w:val="single"/>
          <w:lang w:val="lt-LT"/>
        </w:rPr>
        <w:t>Registruotojas</w:t>
      </w:r>
    </w:p>
    <w:p w14:paraId="1442F95C" w14:textId="77777777" w:rsidR="002A306B" w:rsidRPr="00EE75B4" w:rsidRDefault="002A306B" w:rsidP="002A306B">
      <w:pPr>
        <w:spacing w:after="0" w:line="240" w:lineRule="auto"/>
        <w:rPr>
          <w:rFonts w:ascii="Times New Roman" w:hAnsi="Times New Roman"/>
          <w:lang w:val="lt-LT"/>
        </w:rPr>
      </w:pP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w:t>
      </w:r>
      <w:proofErr w:type="spellStart"/>
      <w:r w:rsidRPr="00EE75B4">
        <w:rPr>
          <w:rFonts w:ascii="Times New Roman" w:hAnsi="Times New Roman"/>
          <w:lang w:val="lt-LT"/>
        </w:rPr>
        <w:t>Healthcare</w:t>
      </w:r>
      <w:proofErr w:type="spellEnd"/>
      <w:r w:rsidRPr="00EE75B4">
        <w:rPr>
          <w:rFonts w:ascii="Times New Roman" w:hAnsi="Times New Roman"/>
          <w:lang w:val="lt-LT"/>
        </w:rPr>
        <w:t xml:space="preserve"> B.V. </w:t>
      </w:r>
    </w:p>
    <w:p w14:paraId="6864F69E" w14:textId="77777777" w:rsidR="002A306B" w:rsidRPr="00EE75B4" w:rsidRDefault="002A306B" w:rsidP="002A306B">
      <w:pPr>
        <w:spacing w:after="0" w:line="240" w:lineRule="auto"/>
        <w:rPr>
          <w:rFonts w:ascii="Times New Roman" w:hAnsi="Times New Roman"/>
          <w:lang w:val="lt-LT"/>
        </w:rPr>
      </w:pPr>
      <w:proofErr w:type="spellStart"/>
      <w:r w:rsidRPr="00EE75B4">
        <w:rPr>
          <w:rFonts w:ascii="Times New Roman" w:hAnsi="Times New Roman"/>
          <w:lang w:val="lt-LT"/>
        </w:rPr>
        <w:t>Winthontlaan</w:t>
      </w:r>
      <w:proofErr w:type="spellEnd"/>
      <w:r w:rsidRPr="00EE75B4">
        <w:rPr>
          <w:rFonts w:ascii="Times New Roman" w:hAnsi="Times New Roman"/>
          <w:lang w:val="lt-LT"/>
        </w:rPr>
        <w:t xml:space="preserve"> 200 </w:t>
      </w:r>
    </w:p>
    <w:p w14:paraId="0455EE15" w14:textId="77777777" w:rsidR="002A306B" w:rsidRPr="00EE75B4" w:rsidRDefault="002A306B" w:rsidP="002A306B">
      <w:pPr>
        <w:spacing w:after="0" w:line="240" w:lineRule="auto"/>
        <w:rPr>
          <w:rFonts w:ascii="Times New Roman" w:hAnsi="Times New Roman"/>
          <w:lang w:val="lt-LT"/>
        </w:rPr>
      </w:pPr>
      <w:r w:rsidRPr="00EE75B4">
        <w:rPr>
          <w:rFonts w:ascii="Times New Roman" w:hAnsi="Times New Roman"/>
          <w:lang w:val="lt-LT"/>
        </w:rPr>
        <w:t xml:space="preserve">3526 KV </w:t>
      </w:r>
      <w:proofErr w:type="spellStart"/>
      <w:r w:rsidRPr="00EE75B4">
        <w:rPr>
          <w:rFonts w:ascii="Times New Roman" w:hAnsi="Times New Roman"/>
          <w:lang w:val="lt-LT"/>
        </w:rPr>
        <w:t>Utrecht</w:t>
      </w:r>
      <w:proofErr w:type="spellEnd"/>
      <w:r w:rsidRPr="00EE75B4">
        <w:rPr>
          <w:rFonts w:ascii="Times New Roman" w:hAnsi="Times New Roman"/>
          <w:lang w:val="lt-LT"/>
        </w:rPr>
        <w:t xml:space="preserve"> </w:t>
      </w:r>
    </w:p>
    <w:p w14:paraId="6F9B5792" w14:textId="77777777" w:rsidR="002A306B" w:rsidRPr="00EE75B4" w:rsidRDefault="002A306B" w:rsidP="002A306B">
      <w:pPr>
        <w:spacing w:after="0" w:line="240" w:lineRule="auto"/>
        <w:rPr>
          <w:rFonts w:ascii="Times New Roman" w:hAnsi="Times New Roman"/>
          <w:lang w:val="lt-LT"/>
        </w:rPr>
      </w:pPr>
      <w:r w:rsidRPr="00EE75B4">
        <w:rPr>
          <w:rFonts w:ascii="Times New Roman" w:hAnsi="Times New Roman"/>
          <w:lang w:val="lt-LT"/>
        </w:rPr>
        <w:t>Nyderlandai</w:t>
      </w:r>
    </w:p>
    <w:p w14:paraId="471A0AA2" w14:textId="77777777" w:rsidR="005427AE" w:rsidRPr="00EE75B4" w:rsidRDefault="005427AE" w:rsidP="005427AE">
      <w:pPr>
        <w:tabs>
          <w:tab w:val="left" w:pos="567"/>
        </w:tabs>
        <w:spacing w:after="0" w:line="240" w:lineRule="auto"/>
        <w:rPr>
          <w:rFonts w:ascii="Times New Roman" w:hAnsi="Times New Roman"/>
          <w:lang w:val="lt-LT"/>
        </w:rPr>
      </w:pPr>
    </w:p>
    <w:p w14:paraId="4D16CB4F" w14:textId="77777777" w:rsidR="005427AE" w:rsidRPr="00EE75B4" w:rsidRDefault="005427AE" w:rsidP="005427AE">
      <w:pPr>
        <w:tabs>
          <w:tab w:val="left" w:pos="567"/>
        </w:tabs>
        <w:spacing w:after="0" w:line="240" w:lineRule="auto"/>
        <w:rPr>
          <w:rFonts w:ascii="Times New Roman" w:hAnsi="Times New Roman"/>
          <w:u w:val="single"/>
          <w:lang w:val="lt-LT"/>
        </w:rPr>
      </w:pPr>
      <w:r w:rsidRPr="00EE75B4">
        <w:rPr>
          <w:rFonts w:ascii="Times New Roman" w:hAnsi="Times New Roman"/>
          <w:u w:val="single"/>
          <w:lang w:val="lt-LT"/>
        </w:rPr>
        <w:t>Gamintojas</w:t>
      </w:r>
    </w:p>
    <w:p w14:paraId="7E826319" w14:textId="77777777" w:rsidR="005427AE" w:rsidRPr="00EE75B4" w:rsidRDefault="005427AE" w:rsidP="005427AE">
      <w:pPr>
        <w:tabs>
          <w:tab w:val="left" w:pos="567"/>
        </w:tabs>
        <w:spacing w:after="0" w:line="240" w:lineRule="auto"/>
        <w:rPr>
          <w:rFonts w:ascii="Times New Roman" w:hAnsi="Times New Roman"/>
          <w:lang w:val="lt-LT"/>
        </w:rPr>
      </w:pPr>
      <w:proofErr w:type="spellStart"/>
      <w:r w:rsidRPr="00EE75B4">
        <w:rPr>
          <w:rFonts w:ascii="Times New Roman" w:hAnsi="Times New Roman"/>
          <w:lang w:val="lt-LT"/>
        </w:rPr>
        <w:t>Pharmadox</w:t>
      </w:r>
      <w:proofErr w:type="spellEnd"/>
      <w:r w:rsidRPr="00EE75B4">
        <w:rPr>
          <w:rFonts w:ascii="Times New Roman" w:hAnsi="Times New Roman"/>
          <w:lang w:val="lt-LT"/>
        </w:rPr>
        <w:t xml:space="preserve"> </w:t>
      </w:r>
      <w:proofErr w:type="spellStart"/>
      <w:r w:rsidRPr="00EE75B4">
        <w:rPr>
          <w:rFonts w:ascii="Times New Roman" w:hAnsi="Times New Roman"/>
          <w:lang w:val="lt-LT"/>
        </w:rPr>
        <w:t>Healthcare</w:t>
      </w:r>
      <w:proofErr w:type="spellEnd"/>
      <w:r w:rsidRPr="00EE75B4">
        <w:rPr>
          <w:rFonts w:ascii="Times New Roman" w:hAnsi="Times New Roman"/>
          <w:lang w:val="lt-LT"/>
        </w:rPr>
        <w:t xml:space="preserve"> Ltd.</w:t>
      </w:r>
    </w:p>
    <w:p w14:paraId="6B20A845" w14:textId="77777777" w:rsidR="005427AE" w:rsidRPr="00EE75B4" w:rsidRDefault="005427AE" w:rsidP="005427AE">
      <w:pPr>
        <w:tabs>
          <w:tab w:val="left" w:pos="567"/>
        </w:tabs>
        <w:spacing w:after="0" w:line="240" w:lineRule="auto"/>
        <w:rPr>
          <w:rFonts w:ascii="Times New Roman" w:hAnsi="Times New Roman"/>
          <w:lang w:val="lt-LT"/>
        </w:rPr>
      </w:pPr>
      <w:r w:rsidRPr="00EE75B4">
        <w:rPr>
          <w:rFonts w:ascii="Times New Roman" w:hAnsi="Times New Roman"/>
          <w:lang w:val="lt-LT"/>
        </w:rPr>
        <w:t xml:space="preserve">KW20A </w:t>
      </w:r>
      <w:proofErr w:type="spellStart"/>
      <w:r w:rsidRPr="00EE75B4">
        <w:rPr>
          <w:rFonts w:ascii="Times New Roman" w:hAnsi="Times New Roman"/>
          <w:lang w:val="lt-LT"/>
        </w:rPr>
        <w:t>Kordin</w:t>
      </w:r>
      <w:proofErr w:type="spellEnd"/>
      <w:r w:rsidRPr="00EE75B4">
        <w:rPr>
          <w:rFonts w:ascii="Times New Roman" w:hAnsi="Times New Roman"/>
          <w:lang w:val="lt-LT"/>
        </w:rPr>
        <w:t xml:space="preserve"> </w:t>
      </w:r>
      <w:proofErr w:type="spellStart"/>
      <w:r w:rsidRPr="00EE75B4">
        <w:rPr>
          <w:rFonts w:ascii="Times New Roman" w:hAnsi="Times New Roman"/>
          <w:lang w:val="lt-LT"/>
        </w:rPr>
        <w:t>Industrial</w:t>
      </w:r>
      <w:proofErr w:type="spellEnd"/>
      <w:r w:rsidRPr="00EE75B4">
        <w:rPr>
          <w:rFonts w:ascii="Times New Roman" w:hAnsi="Times New Roman"/>
          <w:lang w:val="lt-LT"/>
        </w:rPr>
        <w:t xml:space="preserve"> </w:t>
      </w:r>
      <w:proofErr w:type="spellStart"/>
      <w:r w:rsidRPr="00EE75B4">
        <w:rPr>
          <w:rFonts w:ascii="Times New Roman" w:hAnsi="Times New Roman"/>
          <w:lang w:val="lt-LT"/>
        </w:rPr>
        <w:t>Park</w:t>
      </w:r>
      <w:proofErr w:type="spellEnd"/>
      <w:r w:rsidRPr="00EE75B4">
        <w:rPr>
          <w:rFonts w:ascii="Times New Roman" w:hAnsi="Times New Roman"/>
          <w:lang w:val="lt-LT"/>
        </w:rPr>
        <w:t xml:space="preserve">, </w:t>
      </w:r>
      <w:proofErr w:type="spellStart"/>
      <w:r w:rsidRPr="00EE75B4">
        <w:rPr>
          <w:rFonts w:ascii="Times New Roman" w:hAnsi="Times New Roman"/>
          <w:lang w:val="lt-LT"/>
        </w:rPr>
        <w:t>Paola</w:t>
      </w:r>
      <w:proofErr w:type="spellEnd"/>
    </w:p>
    <w:p w14:paraId="5EE45860" w14:textId="77777777" w:rsidR="005427AE" w:rsidRPr="00EE75B4" w:rsidRDefault="005427AE" w:rsidP="005427AE">
      <w:pPr>
        <w:tabs>
          <w:tab w:val="left" w:pos="567"/>
        </w:tabs>
        <w:spacing w:after="0" w:line="240" w:lineRule="auto"/>
        <w:rPr>
          <w:rFonts w:ascii="Times New Roman" w:hAnsi="Times New Roman"/>
          <w:lang w:val="lt-LT"/>
        </w:rPr>
      </w:pPr>
      <w:r w:rsidRPr="00EE75B4">
        <w:rPr>
          <w:rFonts w:ascii="Times New Roman" w:hAnsi="Times New Roman"/>
          <w:lang w:val="lt-LT"/>
        </w:rPr>
        <w:t>PLA 3000</w:t>
      </w:r>
    </w:p>
    <w:p w14:paraId="791F37B5" w14:textId="77777777" w:rsidR="005427AE" w:rsidRPr="00EE75B4" w:rsidRDefault="005427AE" w:rsidP="005427AE">
      <w:pPr>
        <w:tabs>
          <w:tab w:val="left" w:pos="567"/>
        </w:tabs>
        <w:spacing w:after="0" w:line="240" w:lineRule="auto"/>
        <w:rPr>
          <w:rFonts w:ascii="Times New Roman" w:hAnsi="Times New Roman"/>
          <w:lang w:val="lt-LT"/>
        </w:rPr>
      </w:pPr>
      <w:r w:rsidRPr="00EE75B4">
        <w:rPr>
          <w:rFonts w:ascii="Times New Roman" w:hAnsi="Times New Roman"/>
          <w:lang w:val="lt-LT"/>
        </w:rPr>
        <w:t>Malta</w:t>
      </w:r>
    </w:p>
    <w:p w14:paraId="3071BBBD" w14:textId="77777777" w:rsidR="005427AE" w:rsidRPr="00EE75B4" w:rsidRDefault="005427AE" w:rsidP="002858FF">
      <w:pPr>
        <w:keepNext/>
        <w:keepLines/>
        <w:tabs>
          <w:tab w:val="left" w:pos="567"/>
        </w:tabs>
        <w:spacing w:after="0" w:line="240" w:lineRule="auto"/>
        <w:rPr>
          <w:rFonts w:ascii="Times New Roman" w:hAnsi="Times New Roman"/>
          <w:lang w:val="lt-LT"/>
        </w:rPr>
      </w:pPr>
    </w:p>
    <w:p w14:paraId="163C06E6" w14:textId="77777777" w:rsidR="005427AE" w:rsidRPr="00EE75B4" w:rsidRDefault="005427AE" w:rsidP="002858FF">
      <w:pPr>
        <w:keepNext/>
        <w:keepLines/>
        <w:tabs>
          <w:tab w:val="left" w:pos="567"/>
        </w:tabs>
        <w:spacing w:after="0" w:line="240" w:lineRule="auto"/>
        <w:rPr>
          <w:rFonts w:ascii="Times New Roman" w:hAnsi="Times New Roman"/>
          <w:lang w:val="lt-LT"/>
        </w:rPr>
      </w:pPr>
      <w:r w:rsidRPr="00EE75B4">
        <w:rPr>
          <w:rFonts w:ascii="Times New Roman" w:hAnsi="Times New Roman"/>
          <w:lang w:val="lt-LT"/>
        </w:rPr>
        <w:t>arba</w:t>
      </w:r>
    </w:p>
    <w:p w14:paraId="2470D9A5" w14:textId="77777777" w:rsidR="00FE345E" w:rsidRPr="00EE75B4" w:rsidRDefault="00FE345E" w:rsidP="002858FF">
      <w:pPr>
        <w:keepNext/>
        <w:keepLines/>
        <w:tabs>
          <w:tab w:val="left" w:pos="567"/>
        </w:tabs>
        <w:spacing w:after="0" w:line="240" w:lineRule="auto"/>
        <w:rPr>
          <w:rFonts w:ascii="Times New Roman" w:hAnsi="Times New Roman"/>
          <w:lang w:val="lt-LT"/>
        </w:rPr>
      </w:pPr>
    </w:p>
    <w:p w14:paraId="1357BC63" w14:textId="4F0BB077" w:rsidR="00FE345E" w:rsidRPr="00EE75B4" w:rsidRDefault="00FE345E" w:rsidP="002858FF">
      <w:pPr>
        <w:tabs>
          <w:tab w:val="left" w:pos="567"/>
        </w:tabs>
        <w:spacing w:after="0" w:line="240" w:lineRule="auto"/>
        <w:rPr>
          <w:rFonts w:ascii="Times New Roman" w:hAnsi="Times New Roman"/>
          <w:lang w:val="lt-LT"/>
        </w:rPr>
      </w:pP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w:t>
      </w:r>
      <w:proofErr w:type="spellStart"/>
      <w:r w:rsidRPr="00EE75B4">
        <w:rPr>
          <w:rFonts w:ascii="Times New Roman" w:hAnsi="Times New Roman"/>
          <w:lang w:val="lt-LT"/>
        </w:rPr>
        <w:t>Healthcare</w:t>
      </w:r>
      <w:proofErr w:type="spellEnd"/>
      <w:r w:rsidRPr="00EE75B4">
        <w:rPr>
          <w:rFonts w:ascii="Times New Roman" w:hAnsi="Times New Roman"/>
          <w:lang w:val="lt-LT"/>
        </w:rPr>
        <w:t xml:space="preserve"> </w:t>
      </w:r>
      <w:proofErr w:type="spellStart"/>
      <w:r w:rsidRPr="00EE75B4">
        <w:rPr>
          <w:rFonts w:ascii="Times New Roman" w:hAnsi="Times New Roman"/>
          <w:lang w:val="lt-LT"/>
        </w:rPr>
        <w:t>Polska</w:t>
      </w:r>
      <w:proofErr w:type="spellEnd"/>
      <w:r w:rsidRPr="00EE75B4">
        <w:rPr>
          <w:rFonts w:ascii="Times New Roman" w:hAnsi="Times New Roman"/>
          <w:lang w:val="lt-LT"/>
        </w:rPr>
        <w:t xml:space="preserve"> </w:t>
      </w:r>
      <w:proofErr w:type="spellStart"/>
      <w:r w:rsidRPr="00EE75B4">
        <w:rPr>
          <w:rFonts w:ascii="Times New Roman" w:hAnsi="Times New Roman"/>
          <w:lang w:val="lt-LT"/>
        </w:rPr>
        <w:t>Sp.z</w:t>
      </w:r>
      <w:proofErr w:type="spellEnd"/>
      <w:r w:rsidRPr="00EE75B4">
        <w:rPr>
          <w:rFonts w:ascii="Times New Roman" w:hAnsi="Times New Roman"/>
          <w:lang w:val="lt-LT"/>
        </w:rPr>
        <w:t xml:space="preserve"> </w:t>
      </w:r>
      <w:proofErr w:type="spellStart"/>
      <w:r w:rsidRPr="00EE75B4">
        <w:rPr>
          <w:rFonts w:ascii="Times New Roman" w:hAnsi="Times New Roman"/>
          <w:lang w:val="lt-LT"/>
        </w:rPr>
        <w:t>o.o</w:t>
      </w:r>
      <w:proofErr w:type="spellEnd"/>
      <w:r w:rsidRPr="00EE75B4">
        <w:rPr>
          <w:rFonts w:ascii="Times New Roman" w:hAnsi="Times New Roman"/>
          <w:lang w:val="lt-LT"/>
        </w:rPr>
        <w:t>.,</w:t>
      </w:r>
    </w:p>
    <w:p w14:paraId="271E99D9" w14:textId="77777777" w:rsidR="00FD2257" w:rsidRDefault="00FE345E" w:rsidP="00FE345E">
      <w:pPr>
        <w:tabs>
          <w:tab w:val="left" w:pos="567"/>
        </w:tabs>
        <w:spacing w:after="0" w:line="240" w:lineRule="auto"/>
        <w:rPr>
          <w:rFonts w:ascii="Times New Roman" w:hAnsi="Times New Roman"/>
          <w:lang w:val="lt-LT"/>
        </w:rPr>
      </w:pPr>
      <w:proofErr w:type="spellStart"/>
      <w:r w:rsidRPr="00EE75B4">
        <w:rPr>
          <w:rFonts w:ascii="Times New Roman" w:hAnsi="Times New Roman"/>
          <w:lang w:val="lt-LT"/>
        </w:rPr>
        <w:t>ul</w:t>
      </w:r>
      <w:proofErr w:type="spellEnd"/>
      <w:r w:rsidRPr="00EE75B4">
        <w:rPr>
          <w:rFonts w:ascii="Times New Roman" w:hAnsi="Times New Roman"/>
          <w:lang w:val="lt-LT"/>
        </w:rPr>
        <w:t xml:space="preserve">. </w:t>
      </w:r>
      <w:proofErr w:type="spellStart"/>
      <w:r w:rsidRPr="00EE75B4">
        <w:rPr>
          <w:rFonts w:ascii="Times New Roman" w:hAnsi="Times New Roman"/>
          <w:lang w:val="lt-LT"/>
        </w:rPr>
        <w:t>Lutomierska</w:t>
      </w:r>
      <w:proofErr w:type="spellEnd"/>
      <w:r w:rsidRPr="00EE75B4">
        <w:rPr>
          <w:rFonts w:ascii="Times New Roman" w:hAnsi="Times New Roman"/>
          <w:lang w:val="lt-LT"/>
        </w:rPr>
        <w:t xml:space="preserve"> 50,</w:t>
      </w:r>
      <w:r w:rsidR="00EE75B4" w:rsidRPr="00EE75B4">
        <w:rPr>
          <w:rFonts w:ascii="Times New Roman" w:hAnsi="Times New Roman"/>
          <w:lang w:val="lt-LT"/>
        </w:rPr>
        <w:t xml:space="preserve"> </w:t>
      </w:r>
    </w:p>
    <w:p w14:paraId="2FB68841" w14:textId="26D1A568" w:rsidR="00FD2257" w:rsidRDefault="00FE345E" w:rsidP="00FE345E">
      <w:pPr>
        <w:tabs>
          <w:tab w:val="left" w:pos="567"/>
        </w:tabs>
        <w:spacing w:after="0" w:line="240" w:lineRule="auto"/>
        <w:rPr>
          <w:rFonts w:ascii="Times New Roman" w:hAnsi="Times New Roman"/>
          <w:lang w:val="lt-LT"/>
        </w:rPr>
      </w:pPr>
      <w:r w:rsidRPr="00EE75B4">
        <w:rPr>
          <w:rFonts w:ascii="Times New Roman" w:hAnsi="Times New Roman"/>
          <w:lang w:val="lt-LT"/>
        </w:rPr>
        <w:t xml:space="preserve">95-200 </w:t>
      </w:r>
      <w:proofErr w:type="spellStart"/>
      <w:r w:rsidRPr="00EE75B4">
        <w:rPr>
          <w:rFonts w:ascii="Times New Roman" w:hAnsi="Times New Roman"/>
          <w:lang w:val="lt-LT"/>
        </w:rPr>
        <w:t>Pabianice</w:t>
      </w:r>
      <w:proofErr w:type="spellEnd"/>
      <w:r w:rsidRPr="00EE75B4">
        <w:rPr>
          <w:rFonts w:ascii="Times New Roman" w:hAnsi="Times New Roman"/>
          <w:lang w:val="lt-LT"/>
        </w:rPr>
        <w:t xml:space="preserve"> </w:t>
      </w:r>
    </w:p>
    <w:p w14:paraId="27E2D30B" w14:textId="2D339A63" w:rsidR="00FE345E" w:rsidRPr="00EE75B4" w:rsidRDefault="00FE345E" w:rsidP="00FE345E">
      <w:pPr>
        <w:tabs>
          <w:tab w:val="left" w:pos="567"/>
        </w:tabs>
        <w:spacing w:after="0" w:line="240" w:lineRule="auto"/>
        <w:rPr>
          <w:rFonts w:ascii="Times New Roman" w:hAnsi="Times New Roman"/>
          <w:lang w:val="lt-LT"/>
        </w:rPr>
      </w:pPr>
      <w:r w:rsidRPr="00EE75B4">
        <w:rPr>
          <w:rFonts w:ascii="Times New Roman" w:hAnsi="Times New Roman"/>
          <w:lang w:val="lt-LT"/>
        </w:rPr>
        <w:t>Lenkija</w:t>
      </w:r>
    </w:p>
    <w:p w14:paraId="43C725DC" w14:textId="77777777" w:rsidR="00FE345E" w:rsidRPr="00EE75B4" w:rsidRDefault="00FE345E" w:rsidP="00FE345E">
      <w:pPr>
        <w:tabs>
          <w:tab w:val="left" w:pos="567"/>
        </w:tabs>
        <w:spacing w:after="0" w:line="240" w:lineRule="auto"/>
        <w:rPr>
          <w:rFonts w:ascii="Times New Roman" w:hAnsi="Times New Roman"/>
          <w:lang w:val="lt-LT"/>
        </w:rPr>
      </w:pPr>
    </w:p>
    <w:p w14:paraId="00336170" w14:textId="4A045318" w:rsidR="00FE345E" w:rsidRPr="00EE75B4" w:rsidRDefault="00FE345E" w:rsidP="00FE345E">
      <w:pPr>
        <w:keepNext/>
        <w:keepLines/>
        <w:tabs>
          <w:tab w:val="left" w:pos="567"/>
        </w:tabs>
        <w:spacing w:after="0" w:line="240" w:lineRule="auto"/>
        <w:rPr>
          <w:rFonts w:ascii="Times New Roman" w:hAnsi="Times New Roman"/>
          <w:lang w:val="lt-LT"/>
        </w:rPr>
      </w:pPr>
      <w:r w:rsidRPr="00EE75B4">
        <w:rPr>
          <w:rFonts w:ascii="Times New Roman" w:hAnsi="Times New Roman"/>
          <w:lang w:val="lt-LT"/>
        </w:rPr>
        <w:t>arba</w:t>
      </w:r>
    </w:p>
    <w:p w14:paraId="17E152BD" w14:textId="77777777" w:rsidR="005427AE" w:rsidRPr="00EE75B4" w:rsidRDefault="005427AE" w:rsidP="005427AE">
      <w:pPr>
        <w:keepNext/>
        <w:keepLines/>
        <w:tabs>
          <w:tab w:val="left" w:pos="567"/>
        </w:tabs>
        <w:spacing w:after="0" w:line="240" w:lineRule="auto"/>
        <w:rPr>
          <w:rFonts w:ascii="Times New Roman" w:hAnsi="Times New Roman"/>
          <w:lang w:val="lt-LT"/>
        </w:rPr>
      </w:pPr>
    </w:p>
    <w:p w14:paraId="2F5A711F" w14:textId="77777777" w:rsidR="002C3B2B" w:rsidRPr="00EE75B4" w:rsidRDefault="002C3B2B" w:rsidP="002C3B2B">
      <w:pPr>
        <w:keepNext/>
        <w:keepLines/>
        <w:tabs>
          <w:tab w:val="left" w:pos="567"/>
        </w:tabs>
        <w:spacing w:after="0" w:line="240" w:lineRule="auto"/>
        <w:rPr>
          <w:rFonts w:ascii="Times New Roman" w:hAnsi="Times New Roman"/>
          <w:lang w:val="lt-LT"/>
        </w:rPr>
      </w:pP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w:t>
      </w:r>
      <w:proofErr w:type="spellStart"/>
      <w:r w:rsidRPr="00EE75B4">
        <w:rPr>
          <w:rFonts w:ascii="Times New Roman" w:hAnsi="Times New Roman"/>
          <w:lang w:val="lt-LT"/>
        </w:rPr>
        <w:t>Healthcare</w:t>
      </w:r>
      <w:proofErr w:type="spellEnd"/>
      <w:r w:rsidRPr="00EE75B4">
        <w:rPr>
          <w:rFonts w:ascii="Times New Roman" w:hAnsi="Times New Roman"/>
          <w:lang w:val="lt-LT"/>
        </w:rPr>
        <w:t xml:space="preserve"> B.V. </w:t>
      </w:r>
    </w:p>
    <w:p w14:paraId="3BB2837C" w14:textId="77777777" w:rsidR="002C3B2B" w:rsidRPr="00EE75B4" w:rsidRDefault="002C3B2B" w:rsidP="002C3B2B">
      <w:pPr>
        <w:keepNext/>
        <w:keepLines/>
        <w:tabs>
          <w:tab w:val="left" w:pos="567"/>
        </w:tabs>
        <w:spacing w:after="0" w:line="240" w:lineRule="auto"/>
        <w:rPr>
          <w:rFonts w:ascii="Times New Roman" w:hAnsi="Times New Roman"/>
          <w:lang w:val="lt-LT"/>
        </w:rPr>
      </w:pPr>
      <w:proofErr w:type="spellStart"/>
      <w:r w:rsidRPr="00EE75B4">
        <w:rPr>
          <w:rFonts w:ascii="Times New Roman" w:hAnsi="Times New Roman"/>
          <w:lang w:val="lt-LT"/>
        </w:rPr>
        <w:t>Winthontlaan</w:t>
      </w:r>
      <w:proofErr w:type="spellEnd"/>
      <w:r w:rsidRPr="00EE75B4">
        <w:rPr>
          <w:rFonts w:ascii="Times New Roman" w:hAnsi="Times New Roman"/>
          <w:lang w:val="lt-LT"/>
        </w:rPr>
        <w:t xml:space="preserve"> 200</w:t>
      </w:r>
    </w:p>
    <w:p w14:paraId="4A6B01FD" w14:textId="77777777" w:rsidR="002C3B2B" w:rsidRPr="00EE75B4" w:rsidRDefault="002C3B2B" w:rsidP="002C3B2B">
      <w:pPr>
        <w:keepNext/>
        <w:keepLines/>
        <w:tabs>
          <w:tab w:val="left" w:pos="567"/>
        </w:tabs>
        <w:spacing w:after="0" w:line="240" w:lineRule="auto"/>
        <w:rPr>
          <w:rFonts w:ascii="Times New Roman" w:hAnsi="Times New Roman"/>
          <w:lang w:val="lt-LT"/>
        </w:rPr>
      </w:pPr>
      <w:r w:rsidRPr="00EE75B4">
        <w:rPr>
          <w:rFonts w:ascii="Times New Roman" w:hAnsi="Times New Roman"/>
          <w:lang w:val="lt-LT"/>
        </w:rPr>
        <w:t xml:space="preserve">3526 KV </w:t>
      </w:r>
      <w:proofErr w:type="spellStart"/>
      <w:r w:rsidRPr="00EE75B4">
        <w:rPr>
          <w:rFonts w:ascii="Times New Roman" w:hAnsi="Times New Roman"/>
          <w:lang w:val="lt-LT"/>
        </w:rPr>
        <w:t>Utrecht</w:t>
      </w:r>
      <w:proofErr w:type="spellEnd"/>
    </w:p>
    <w:p w14:paraId="02598B3D" w14:textId="44565558" w:rsidR="005427AE" w:rsidRPr="00EE75B4" w:rsidRDefault="002C3B2B" w:rsidP="005427AE">
      <w:pPr>
        <w:keepNext/>
        <w:keepLines/>
        <w:tabs>
          <w:tab w:val="left" w:pos="567"/>
        </w:tabs>
        <w:spacing w:after="0" w:line="240" w:lineRule="auto"/>
        <w:rPr>
          <w:rFonts w:ascii="Times New Roman" w:hAnsi="Times New Roman"/>
          <w:lang w:val="lt-LT"/>
        </w:rPr>
      </w:pPr>
      <w:r w:rsidRPr="00EE75B4">
        <w:rPr>
          <w:rFonts w:ascii="Times New Roman" w:hAnsi="Times New Roman"/>
          <w:lang w:val="lt-LT"/>
        </w:rPr>
        <w:t>Nyderlandai</w:t>
      </w:r>
    </w:p>
    <w:p w14:paraId="403F4D45" w14:textId="77777777" w:rsidR="005427AE" w:rsidRPr="00EE75B4" w:rsidRDefault="005427AE" w:rsidP="005427AE">
      <w:pPr>
        <w:keepNext/>
        <w:keepLines/>
        <w:tabs>
          <w:tab w:val="left" w:pos="567"/>
        </w:tabs>
        <w:spacing w:after="0" w:line="240" w:lineRule="auto"/>
        <w:rPr>
          <w:rFonts w:ascii="Times New Roman" w:hAnsi="Times New Roman"/>
          <w:lang w:val="lt-LT"/>
        </w:rPr>
      </w:pPr>
    </w:p>
    <w:p w14:paraId="57842D0E" w14:textId="6F718654" w:rsidR="005427AE" w:rsidRDefault="005427AE" w:rsidP="005427AE">
      <w:pPr>
        <w:tabs>
          <w:tab w:val="left" w:pos="567"/>
        </w:tabs>
        <w:spacing w:after="0" w:line="240" w:lineRule="auto"/>
        <w:rPr>
          <w:rFonts w:ascii="Times New Roman" w:hAnsi="Times New Roman"/>
          <w:b/>
          <w:lang w:val="lt-LT"/>
        </w:rPr>
      </w:pPr>
      <w:r w:rsidRPr="00EE75B4">
        <w:rPr>
          <w:rFonts w:ascii="Times New Roman" w:hAnsi="Times New Roman"/>
          <w:b/>
          <w:lang w:val="lt-LT"/>
        </w:rPr>
        <w:t xml:space="preserve">Šis vaistas </w:t>
      </w:r>
      <w:r w:rsidR="001E7720" w:rsidRPr="001E7720">
        <w:rPr>
          <w:rFonts w:ascii="Times New Roman" w:hAnsi="Times New Roman"/>
          <w:b/>
          <w:lang w:val="lt-LT"/>
        </w:rPr>
        <w:t xml:space="preserve">Europos ekonominės erdvės </w:t>
      </w:r>
      <w:r w:rsidRPr="00EE75B4">
        <w:rPr>
          <w:rFonts w:ascii="Times New Roman" w:hAnsi="Times New Roman"/>
          <w:b/>
          <w:lang w:val="lt-LT"/>
        </w:rPr>
        <w:t xml:space="preserve">valstybėse narėse </w:t>
      </w:r>
      <w:r w:rsidR="001E7720" w:rsidRPr="001E7720">
        <w:rPr>
          <w:rFonts w:ascii="Times New Roman" w:hAnsi="Times New Roman"/>
          <w:b/>
          <w:lang w:val="lt-LT"/>
        </w:rPr>
        <w:t>ir Jungtinėje Karalystėje (Šiaurės Airijoje)</w:t>
      </w:r>
      <w:r w:rsidR="001E7720">
        <w:rPr>
          <w:rFonts w:ascii="Times New Roman" w:hAnsi="Times New Roman"/>
          <w:b/>
          <w:lang w:val="lt-LT"/>
        </w:rPr>
        <w:t xml:space="preserve"> </w:t>
      </w:r>
      <w:r w:rsidRPr="00EE75B4">
        <w:rPr>
          <w:rFonts w:ascii="Times New Roman" w:hAnsi="Times New Roman"/>
          <w:b/>
          <w:lang w:val="lt-LT"/>
        </w:rPr>
        <w:t>registruotas tokiais pavadinimais:</w:t>
      </w:r>
    </w:p>
    <w:p w14:paraId="56CECFA9" w14:textId="77777777" w:rsidR="001E7720" w:rsidRPr="00EE75B4" w:rsidRDefault="001E7720" w:rsidP="005427AE">
      <w:pPr>
        <w:tabs>
          <w:tab w:val="left" w:pos="567"/>
        </w:tabs>
        <w:spacing w:after="0" w:line="240" w:lineRule="auto"/>
        <w:rPr>
          <w:rFonts w:ascii="Times New Roman" w:hAnsi="Times New Roman"/>
          <w:b/>
          <w:lang w:val="lt-LT"/>
        </w:rPr>
      </w:pPr>
    </w:p>
    <w:p w14:paraId="04C14C87"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Nyderlandai</w:t>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w:t>
      </w:r>
      <w:proofErr w:type="spellStart"/>
      <w:r w:rsidRPr="00EE75B4">
        <w:rPr>
          <w:rFonts w:ascii="Times New Roman" w:hAnsi="Times New Roman"/>
          <w:lang w:val="lt-LT"/>
        </w:rPr>
        <w:t>filmomhulde</w:t>
      </w:r>
      <w:proofErr w:type="spellEnd"/>
      <w:r w:rsidRPr="00EE75B4">
        <w:rPr>
          <w:rFonts w:ascii="Times New Roman" w:hAnsi="Times New Roman"/>
          <w:lang w:val="lt-LT"/>
        </w:rPr>
        <w:t xml:space="preserve"> </w:t>
      </w:r>
      <w:proofErr w:type="spellStart"/>
      <w:r w:rsidRPr="00EE75B4">
        <w:rPr>
          <w:rFonts w:ascii="Times New Roman" w:hAnsi="Times New Roman"/>
          <w:lang w:val="lt-LT"/>
        </w:rPr>
        <w:t>tabletten</w:t>
      </w:r>
      <w:proofErr w:type="spellEnd"/>
    </w:p>
    <w:p w14:paraId="06A193BD"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Austrija</w:t>
      </w:r>
      <w:r w:rsidRPr="00EE75B4">
        <w:rPr>
          <w:rFonts w:ascii="Times New Roman" w:hAnsi="Times New Roman"/>
          <w:lang w:val="lt-LT"/>
        </w:rPr>
        <w:tab/>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w:t>
      </w:r>
      <w:proofErr w:type="spellStart"/>
      <w:r w:rsidRPr="00EE75B4">
        <w:rPr>
          <w:rFonts w:ascii="Times New Roman" w:hAnsi="Times New Roman"/>
          <w:lang w:val="lt-LT"/>
        </w:rPr>
        <w:t>Filmtabletten</w:t>
      </w:r>
      <w:proofErr w:type="spellEnd"/>
    </w:p>
    <w:p w14:paraId="7FAD7214"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Kipras</w:t>
      </w:r>
      <w:r w:rsidRPr="00EE75B4">
        <w:rPr>
          <w:rFonts w:ascii="Times New Roman" w:hAnsi="Times New Roman"/>
          <w:lang w:val="lt-LT"/>
        </w:rPr>
        <w:tab/>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w:t>
      </w:r>
      <w:proofErr w:type="spellStart"/>
      <w:r w:rsidRPr="00EE75B4">
        <w:rPr>
          <w:rFonts w:ascii="Times New Roman" w:hAnsi="Times New Roman"/>
          <w:lang w:val="lt-LT"/>
        </w:rPr>
        <w:t>film</w:t>
      </w:r>
      <w:proofErr w:type="spellEnd"/>
      <w:r w:rsidRPr="00EE75B4">
        <w:rPr>
          <w:rFonts w:ascii="Times New Roman" w:hAnsi="Times New Roman"/>
          <w:lang w:val="lt-LT"/>
        </w:rPr>
        <w:t xml:space="preserve"> </w:t>
      </w:r>
      <w:proofErr w:type="spellStart"/>
      <w:r w:rsidRPr="00EE75B4">
        <w:rPr>
          <w:rFonts w:ascii="Times New Roman" w:hAnsi="Times New Roman"/>
          <w:lang w:val="lt-LT"/>
        </w:rPr>
        <w:t>coated</w:t>
      </w:r>
      <w:proofErr w:type="spellEnd"/>
      <w:r w:rsidRPr="00EE75B4">
        <w:rPr>
          <w:rFonts w:ascii="Times New Roman" w:hAnsi="Times New Roman"/>
          <w:lang w:val="lt-LT"/>
        </w:rPr>
        <w:t xml:space="preserve"> </w:t>
      </w:r>
      <w:proofErr w:type="spellStart"/>
      <w:r w:rsidRPr="00EE75B4">
        <w:rPr>
          <w:rFonts w:ascii="Times New Roman" w:hAnsi="Times New Roman"/>
          <w:lang w:val="lt-LT"/>
        </w:rPr>
        <w:t>tablets</w:t>
      </w:r>
      <w:proofErr w:type="spellEnd"/>
    </w:p>
    <w:p w14:paraId="3BFE60DA" w14:textId="056AB2F6"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Čekija</w:t>
      </w:r>
      <w:r w:rsidRPr="00EE75B4">
        <w:rPr>
          <w:rFonts w:ascii="Times New Roman" w:hAnsi="Times New Roman"/>
          <w:lang w:val="lt-LT"/>
        </w:rPr>
        <w:tab/>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eastAsia="Times New Roman" w:hAnsi="Times New Roman"/>
          <w:lang w:val="lt-LT" w:eastAsia="en-GB"/>
        </w:rPr>
        <w:t>Virexan</w:t>
      </w:r>
      <w:proofErr w:type="spellEnd"/>
      <w:r w:rsidRPr="00EE75B4">
        <w:rPr>
          <w:rFonts w:ascii="Times New Roman" w:eastAsia="Times New Roman" w:hAnsi="Times New Roman"/>
          <w:lang w:val="lt-LT" w:eastAsia="en-GB"/>
        </w:rPr>
        <w:t xml:space="preserve"> 450</w:t>
      </w:r>
      <w:r w:rsidR="00FD2257">
        <w:rPr>
          <w:rFonts w:ascii="Times New Roman" w:eastAsia="Times New Roman" w:hAnsi="Times New Roman"/>
          <w:lang w:val="lt-LT" w:eastAsia="en-GB"/>
        </w:rPr>
        <w:t> </w:t>
      </w:r>
      <w:r w:rsidRPr="00EE75B4">
        <w:rPr>
          <w:rFonts w:ascii="Times New Roman" w:eastAsia="Times New Roman" w:hAnsi="Times New Roman"/>
          <w:lang w:val="lt-LT" w:eastAsia="en-GB"/>
        </w:rPr>
        <w:t>mg</w:t>
      </w:r>
    </w:p>
    <w:p w14:paraId="28D66124"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Danija</w:t>
      </w:r>
      <w:r w:rsidRPr="00EE75B4">
        <w:rPr>
          <w:rFonts w:ascii="Times New Roman" w:hAnsi="Times New Roman"/>
          <w:lang w:val="lt-LT"/>
        </w:rPr>
        <w:tab/>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w:t>
      </w:r>
      <w:proofErr w:type="spellStart"/>
      <w:r w:rsidRPr="00EE75B4">
        <w:rPr>
          <w:rFonts w:ascii="Times New Roman" w:hAnsi="Times New Roman"/>
          <w:lang w:val="lt-LT"/>
        </w:rPr>
        <w:t>filmovertrukne</w:t>
      </w:r>
      <w:proofErr w:type="spellEnd"/>
      <w:r w:rsidRPr="00EE75B4">
        <w:rPr>
          <w:rFonts w:ascii="Times New Roman" w:hAnsi="Times New Roman"/>
          <w:lang w:val="lt-LT"/>
        </w:rPr>
        <w:t xml:space="preserve"> </w:t>
      </w:r>
      <w:proofErr w:type="spellStart"/>
      <w:r w:rsidRPr="00EE75B4">
        <w:rPr>
          <w:rFonts w:ascii="Times New Roman" w:hAnsi="Times New Roman"/>
          <w:lang w:val="lt-LT"/>
        </w:rPr>
        <w:t>tabletter</w:t>
      </w:r>
      <w:proofErr w:type="spellEnd"/>
    </w:p>
    <w:p w14:paraId="435962AB"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Estija</w:t>
      </w:r>
      <w:r w:rsidRPr="00EE75B4">
        <w:rPr>
          <w:rFonts w:ascii="Times New Roman" w:hAnsi="Times New Roman"/>
          <w:lang w:val="lt-LT"/>
        </w:rPr>
        <w:tab/>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p>
    <w:p w14:paraId="572B03A0"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Suomija</w:t>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w:t>
      </w:r>
      <w:proofErr w:type="spellStart"/>
      <w:r w:rsidRPr="00EE75B4">
        <w:rPr>
          <w:rFonts w:ascii="Times New Roman" w:hAnsi="Times New Roman"/>
          <w:lang w:val="lt-LT"/>
        </w:rPr>
        <w:t>tabletti</w:t>
      </w:r>
      <w:proofErr w:type="spellEnd"/>
      <w:r w:rsidRPr="00EE75B4">
        <w:rPr>
          <w:rFonts w:ascii="Times New Roman" w:hAnsi="Times New Roman"/>
          <w:lang w:val="lt-LT"/>
        </w:rPr>
        <w:t xml:space="preserve">, </w:t>
      </w:r>
      <w:proofErr w:type="spellStart"/>
      <w:r w:rsidRPr="00EE75B4">
        <w:rPr>
          <w:rFonts w:ascii="Times New Roman" w:hAnsi="Times New Roman"/>
          <w:lang w:val="lt-LT"/>
        </w:rPr>
        <w:t>kalvopäällysteinen</w:t>
      </w:r>
      <w:proofErr w:type="spellEnd"/>
    </w:p>
    <w:p w14:paraId="2836F23C"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Airija</w:t>
      </w:r>
      <w:r w:rsidRPr="00EE75B4">
        <w:rPr>
          <w:rFonts w:ascii="Times New Roman" w:hAnsi="Times New Roman"/>
          <w:lang w:val="lt-LT"/>
        </w:rPr>
        <w:tab/>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450 mg </w:t>
      </w:r>
      <w:proofErr w:type="spellStart"/>
      <w:r w:rsidRPr="00EE75B4">
        <w:rPr>
          <w:rFonts w:ascii="Times New Roman" w:hAnsi="Times New Roman"/>
          <w:lang w:val="lt-LT"/>
        </w:rPr>
        <w:t>film-coated</w:t>
      </w:r>
      <w:proofErr w:type="spellEnd"/>
      <w:r w:rsidRPr="00EE75B4">
        <w:rPr>
          <w:rFonts w:ascii="Times New Roman" w:hAnsi="Times New Roman"/>
          <w:lang w:val="lt-LT"/>
        </w:rPr>
        <w:t xml:space="preserve"> </w:t>
      </w:r>
      <w:proofErr w:type="spellStart"/>
      <w:r w:rsidRPr="00EE75B4">
        <w:rPr>
          <w:rFonts w:ascii="Times New Roman" w:hAnsi="Times New Roman"/>
          <w:lang w:val="lt-LT"/>
        </w:rPr>
        <w:t>tablets</w:t>
      </w:r>
      <w:proofErr w:type="spellEnd"/>
    </w:p>
    <w:p w14:paraId="5EF7AADB"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Italija</w:t>
      </w:r>
      <w:r w:rsidRPr="00EE75B4">
        <w:rPr>
          <w:rFonts w:ascii="Times New Roman" w:hAnsi="Times New Roman"/>
          <w:lang w:val="lt-LT"/>
        </w:rPr>
        <w:tab/>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p>
    <w:p w14:paraId="5E628333"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Lietuva</w:t>
      </w:r>
      <w:r w:rsidRPr="00EE75B4">
        <w:rPr>
          <w:rFonts w:ascii="Times New Roman" w:hAnsi="Times New Roman"/>
          <w:lang w:val="lt-LT"/>
        </w:rPr>
        <w:tab/>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plėvele dengtos tabletės</w:t>
      </w:r>
    </w:p>
    <w:p w14:paraId="04502E19"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Latvija</w:t>
      </w:r>
      <w:r w:rsidRPr="00EE75B4">
        <w:rPr>
          <w:rFonts w:ascii="Times New Roman" w:hAnsi="Times New Roman"/>
          <w:lang w:val="lt-LT"/>
        </w:rPr>
        <w:tab/>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w:t>
      </w:r>
      <w:proofErr w:type="spellStart"/>
      <w:r w:rsidRPr="00EE75B4">
        <w:rPr>
          <w:rFonts w:ascii="Times New Roman" w:hAnsi="Times New Roman"/>
          <w:lang w:val="lt-LT"/>
        </w:rPr>
        <w:t>apvalkotās</w:t>
      </w:r>
      <w:proofErr w:type="spellEnd"/>
      <w:r w:rsidRPr="00EE75B4">
        <w:rPr>
          <w:rFonts w:ascii="Times New Roman" w:hAnsi="Times New Roman"/>
          <w:lang w:val="lt-LT"/>
        </w:rPr>
        <w:t xml:space="preserve"> tabletes</w:t>
      </w:r>
    </w:p>
    <w:p w14:paraId="13051E25"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Malta</w:t>
      </w:r>
      <w:r w:rsidRPr="00EE75B4">
        <w:rPr>
          <w:rFonts w:ascii="Times New Roman" w:hAnsi="Times New Roman"/>
          <w:lang w:val="lt-LT"/>
        </w:rPr>
        <w:tab/>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450 mg </w:t>
      </w:r>
      <w:proofErr w:type="spellStart"/>
      <w:r w:rsidRPr="00EE75B4">
        <w:rPr>
          <w:rFonts w:ascii="Times New Roman" w:hAnsi="Times New Roman"/>
          <w:lang w:val="lt-LT"/>
        </w:rPr>
        <w:t>film-coated</w:t>
      </w:r>
      <w:proofErr w:type="spellEnd"/>
      <w:r w:rsidRPr="00EE75B4">
        <w:rPr>
          <w:rFonts w:ascii="Times New Roman" w:hAnsi="Times New Roman"/>
          <w:lang w:val="lt-LT"/>
        </w:rPr>
        <w:t xml:space="preserve"> </w:t>
      </w:r>
      <w:proofErr w:type="spellStart"/>
      <w:r w:rsidRPr="00EE75B4">
        <w:rPr>
          <w:rFonts w:ascii="Times New Roman" w:hAnsi="Times New Roman"/>
          <w:lang w:val="lt-LT"/>
        </w:rPr>
        <w:t>tablets</w:t>
      </w:r>
      <w:proofErr w:type="spellEnd"/>
    </w:p>
    <w:p w14:paraId="46623999"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Norvegija</w:t>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p>
    <w:p w14:paraId="41487959"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Lenkija</w:t>
      </w:r>
      <w:r w:rsidRPr="00EE75B4">
        <w:rPr>
          <w:rFonts w:ascii="Times New Roman" w:hAnsi="Times New Roman"/>
          <w:lang w:val="lt-LT"/>
        </w:rPr>
        <w:tab/>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eastAsia="Times New Roman" w:hAnsi="Times New Roman"/>
          <w:lang w:val="lt-LT" w:eastAsia="en-GB"/>
        </w:rPr>
        <w:t>Valhit</w:t>
      </w:r>
      <w:proofErr w:type="spellEnd"/>
    </w:p>
    <w:p w14:paraId="14643236"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Portugalija</w:t>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p>
    <w:p w14:paraId="62E70427"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Švedija</w:t>
      </w:r>
      <w:r w:rsidRPr="00EE75B4">
        <w:rPr>
          <w:rFonts w:ascii="Times New Roman" w:hAnsi="Times New Roman"/>
          <w:lang w:val="lt-LT"/>
        </w:rPr>
        <w:tab/>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w:t>
      </w:r>
      <w:proofErr w:type="spellStart"/>
      <w:r w:rsidRPr="00EE75B4">
        <w:rPr>
          <w:rFonts w:ascii="Times New Roman" w:hAnsi="Times New Roman"/>
          <w:lang w:val="lt-LT"/>
        </w:rPr>
        <w:t>filmdragerade</w:t>
      </w:r>
      <w:proofErr w:type="spellEnd"/>
      <w:r w:rsidRPr="00EE75B4">
        <w:rPr>
          <w:rFonts w:ascii="Times New Roman" w:hAnsi="Times New Roman"/>
          <w:lang w:val="lt-LT"/>
        </w:rPr>
        <w:t xml:space="preserve"> </w:t>
      </w:r>
      <w:proofErr w:type="spellStart"/>
      <w:r w:rsidRPr="00EE75B4">
        <w:rPr>
          <w:rFonts w:ascii="Times New Roman" w:hAnsi="Times New Roman"/>
          <w:lang w:val="lt-LT"/>
        </w:rPr>
        <w:t>tabletter</w:t>
      </w:r>
      <w:proofErr w:type="spellEnd"/>
    </w:p>
    <w:p w14:paraId="1D6C8146" w14:textId="77777777" w:rsidR="001E7720" w:rsidRDefault="005427AE" w:rsidP="005427AE">
      <w:pPr>
        <w:spacing w:after="0" w:line="240" w:lineRule="auto"/>
        <w:rPr>
          <w:rFonts w:ascii="Times New Roman" w:hAnsi="Times New Roman"/>
          <w:lang w:val="lt-LT"/>
        </w:rPr>
      </w:pPr>
      <w:r w:rsidRPr="00EE75B4">
        <w:rPr>
          <w:rFonts w:ascii="Times New Roman" w:hAnsi="Times New Roman"/>
          <w:lang w:val="lt-LT"/>
        </w:rPr>
        <w:t>Jungtinė Karalystė</w:t>
      </w:r>
      <w:r w:rsidR="001E7720">
        <w:rPr>
          <w:rFonts w:ascii="Times New Roman" w:hAnsi="Times New Roman"/>
          <w:lang w:val="lt-LT"/>
        </w:rPr>
        <w:t xml:space="preserve"> </w:t>
      </w:r>
    </w:p>
    <w:p w14:paraId="53973165" w14:textId="528BACA6" w:rsidR="005427AE" w:rsidRPr="001E7720" w:rsidRDefault="001E7720" w:rsidP="005427AE">
      <w:pPr>
        <w:spacing w:after="0" w:line="240" w:lineRule="auto"/>
        <w:rPr>
          <w:rFonts w:ascii="Times New Roman" w:hAnsi="Times New Roman"/>
          <w:bCs/>
          <w:lang w:val="lt-LT"/>
        </w:rPr>
      </w:pPr>
      <w:r w:rsidRPr="00115099">
        <w:rPr>
          <w:rFonts w:ascii="Times New Roman" w:hAnsi="Times New Roman"/>
          <w:bCs/>
          <w:lang w:val="lt-LT"/>
        </w:rPr>
        <w:t>(Šiaurės Airija)</w:t>
      </w:r>
      <w:r w:rsidR="005427AE" w:rsidRPr="001E7720">
        <w:rPr>
          <w:rFonts w:ascii="Times New Roman" w:hAnsi="Times New Roman"/>
          <w:bCs/>
          <w:lang w:val="lt-LT"/>
        </w:rPr>
        <w:tab/>
      </w:r>
      <w:r>
        <w:rPr>
          <w:rFonts w:ascii="Times New Roman" w:hAnsi="Times New Roman"/>
          <w:bCs/>
          <w:lang w:val="lt-LT"/>
        </w:rPr>
        <w:tab/>
      </w:r>
      <w:proofErr w:type="spellStart"/>
      <w:r w:rsidR="005427AE" w:rsidRPr="001E7720">
        <w:rPr>
          <w:rFonts w:ascii="Times New Roman" w:hAnsi="Times New Roman"/>
          <w:bCs/>
          <w:lang w:val="lt-LT"/>
        </w:rPr>
        <w:t>Valganciclovir</w:t>
      </w:r>
      <w:proofErr w:type="spellEnd"/>
      <w:r w:rsidR="005427AE" w:rsidRPr="001E7720">
        <w:rPr>
          <w:rFonts w:ascii="Times New Roman" w:hAnsi="Times New Roman"/>
          <w:bCs/>
          <w:lang w:val="lt-LT"/>
        </w:rPr>
        <w:t xml:space="preserve"> 450 mg </w:t>
      </w:r>
      <w:proofErr w:type="spellStart"/>
      <w:r w:rsidR="005427AE" w:rsidRPr="001E7720">
        <w:rPr>
          <w:rFonts w:ascii="Times New Roman" w:hAnsi="Times New Roman"/>
          <w:bCs/>
          <w:lang w:val="lt-LT"/>
        </w:rPr>
        <w:t>film-coated</w:t>
      </w:r>
      <w:proofErr w:type="spellEnd"/>
      <w:r w:rsidR="005427AE" w:rsidRPr="001E7720">
        <w:rPr>
          <w:rFonts w:ascii="Times New Roman" w:hAnsi="Times New Roman"/>
          <w:bCs/>
          <w:lang w:val="lt-LT"/>
        </w:rPr>
        <w:t xml:space="preserve"> </w:t>
      </w:r>
      <w:proofErr w:type="spellStart"/>
      <w:r w:rsidR="005427AE" w:rsidRPr="001E7720">
        <w:rPr>
          <w:rFonts w:ascii="Times New Roman" w:hAnsi="Times New Roman"/>
          <w:bCs/>
          <w:lang w:val="lt-LT"/>
        </w:rPr>
        <w:t>tablets</w:t>
      </w:r>
      <w:proofErr w:type="spellEnd"/>
    </w:p>
    <w:p w14:paraId="6A4ED8BD"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Ispanija</w:t>
      </w:r>
      <w:r w:rsidRPr="00EE75B4">
        <w:rPr>
          <w:rFonts w:ascii="Times New Roman" w:hAnsi="Times New Roman"/>
          <w:lang w:val="lt-LT"/>
        </w:rPr>
        <w:tab/>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w:t>
      </w:r>
      <w:proofErr w:type="spellStart"/>
      <w:r w:rsidRPr="00EE75B4">
        <w:rPr>
          <w:rFonts w:ascii="Times New Roman" w:hAnsi="Times New Roman"/>
          <w:lang w:val="lt-LT"/>
        </w:rPr>
        <w:t>comprimidos</w:t>
      </w:r>
      <w:proofErr w:type="spellEnd"/>
      <w:r w:rsidRPr="00EE75B4">
        <w:rPr>
          <w:rFonts w:ascii="Times New Roman" w:hAnsi="Times New Roman"/>
          <w:lang w:val="lt-LT"/>
        </w:rPr>
        <w:t xml:space="preserve"> </w:t>
      </w:r>
      <w:proofErr w:type="spellStart"/>
      <w:r w:rsidRPr="00EE75B4">
        <w:rPr>
          <w:rFonts w:ascii="Times New Roman" w:hAnsi="Times New Roman"/>
          <w:lang w:val="lt-LT"/>
        </w:rPr>
        <w:t>recubiertos</w:t>
      </w:r>
      <w:proofErr w:type="spellEnd"/>
      <w:r w:rsidRPr="00EE75B4">
        <w:rPr>
          <w:rFonts w:ascii="Times New Roman" w:hAnsi="Times New Roman"/>
          <w:lang w:val="lt-LT"/>
        </w:rPr>
        <w:t xml:space="preserve"> </w:t>
      </w:r>
      <w:proofErr w:type="spellStart"/>
      <w:r w:rsidRPr="00EE75B4">
        <w:rPr>
          <w:rFonts w:ascii="Times New Roman" w:hAnsi="Times New Roman"/>
          <w:lang w:val="lt-LT"/>
        </w:rPr>
        <w:t>con</w:t>
      </w:r>
      <w:proofErr w:type="spellEnd"/>
      <w:r w:rsidRPr="00EE75B4">
        <w:rPr>
          <w:rFonts w:ascii="Times New Roman" w:hAnsi="Times New Roman"/>
          <w:lang w:val="lt-LT"/>
        </w:rPr>
        <w:t xml:space="preserve"> </w:t>
      </w:r>
      <w:proofErr w:type="spellStart"/>
      <w:r w:rsidRPr="00EE75B4">
        <w:rPr>
          <w:rFonts w:ascii="Times New Roman" w:hAnsi="Times New Roman"/>
          <w:lang w:val="lt-LT"/>
        </w:rPr>
        <w:t>película</w:t>
      </w:r>
      <w:proofErr w:type="spellEnd"/>
    </w:p>
    <w:p w14:paraId="6DDDBDD3" w14:textId="77777777" w:rsidR="005427AE" w:rsidRPr="00EE75B4" w:rsidRDefault="005427AE" w:rsidP="005427AE">
      <w:pPr>
        <w:spacing w:after="0" w:line="240" w:lineRule="auto"/>
        <w:rPr>
          <w:rFonts w:ascii="Times New Roman" w:hAnsi="Times New Roman"/>
          <w:lang w:val="lt-LT"/>
        </w:rPr>
      </w:pPr>
      <w:r w:rsidRPr="00EE75B4">
        <w:rPr>
          <w:rFonts w:ascii="Times New Roman" w:hAnsi="Times New Roman"/>
          <w:lang w:val="lt-LT"/>
        </w:rPr>
        <w:t>Prancūzija</w:t>
      </w:r>
      <w:r w:rsidRPr="00EE75B4">
        <w:rPr>
          <w:rFonts w:ascii="Times New Roman" w:hAnsi="Times New Roman"/>
          <w:lang w:val="lt-LT"/>
        </w:rPr>
        <w:tab/>
      </w:r>
      <w:r w:rsidRPr="00EE75B4">
        <w:rPr>
          <w:rFonts w:ascii="Times New Roman" w:hAnsi="Times New Roman"/>
          <w:lang w:val="lt-LT"/>
        </w:rPr>
        <w:tab/>
      </w:r>
      <w:proofErr w:type="spellStart"/>
      <w:r w:rsidRPr="00EE75B4">
        <w:rPr>
          <w:rFonts w:ascii="Times New Roman" w:hAnsi="Times New Roman"/>
          <w:lang w:val="lt-LT"/>
        </w:rPr>
        <w:t>Valganciclovir</w:t>
      </w:r>
      <w:proofErr w:type="spellEnd"/>
      <w:r w:rsidRPr="00EE75B4">
        <w:rPr>
          <w:rFonts w:ascii="Times New Roman" w:hAnsi="Times New Roman"/>
          <w:lang w:val="lt-LT"/>
        </w:rPr>
        <w:t xml:space="preserve"> </w:t>
      </w:r>
      <w:proofErr w:type="spellStart"/>
      <w:r w:rsidRPr="00EE75B4">
        <w:rPr>
          <w:rFonts w:ascii="Times New Roman" w:hAnsi="Times New Roman"/>
          <w:lang w:val="lt-LT"/>
        </w:rPr>
        <w:t>Accord</w:t>
      </w:r>
      <w:proofErr w:type="spellEnd"/>
      <w:r w:rsidRPr="00EE75B4">
        <w:rPr>
          <w:rFonts w:ascii="Times New Roman" w:hAnsi="Times New Roman"/>
          <w:lang w:val="lt-LT"/>
        </w:rPr>
        <w:t xml:space="preserve"> 450 mg </w:t>
      </w:r>
      <w:proofErr w:type="spellStart"/>
      <w:r w:rsidRPr="00EE75B4">
        <w:rPr>
          <w:rFonts w:ascii="Times New Roman" w:hAnsi="Times New Roman"/>
          <w:lang w:val="lt-LT"/>
        </w:rPr>
        <w:t>comprimé</w:t>
      </w:r>
      <w:proofErr w:type="spellEnd"/>
      <w:r w:rsidRPr="00EE75B4">
        <w:rPr>
          <w:rFonts w:ascii="Times New Roman" w:hAnsi="Times New Roman"/>
          <w:lang w:val="lt-LT"/>
        </w:rPr>
        <w:t xml:space="preserve"> </w:t>
      </w:r>
      <w:proofErr w:type="spellStart"/>
      <w:r w:rsidRPr="00EE75B4">
        <w:rPr>
          <w:rFonts w:ascii="Times New Roman" w:hAnsi="Times New Roman"/>
          <w:lang w:val="lt-LT"/>
        </w:rPr>
        <w:t>pelliculé</w:t>
      </w:r>
      <w:proofErr w:type="spellEnd"/>
    </w:p>
    <w:p w14:paraId="6EC82875" w14:textId="77777777" w:rsidR="005427AE" w:rsidRPr="00EE75B4" w:rsidRDefault="005427AE" w:rsidP="005427AE">
      <w:pPr>
        <w:tabs>
          <w:tab w:val="left" w:pos="567"/>
        </w:tabs>
        <w:spacing w:after="0" w:line="240" w:lineRule="auto"/>
        <w:rPr>
          <w:rFonts w:ascii="Times New Roman" w:hAnsi="Times New Roman"/>
          <w:lang w:val="lt-LT"/>
        </w:rPr>
      </w:pPr>
    </w:p>
    <w:p w14:paraId="0FC5046C" w14:textId="77777777" w:rsidR="005427AE" w:rsidRPr="00EE75B4" w:rsidRDefault="005427AE" w:rsidP="005427AE">
      <w:pPr>
        <w:tabs>
          <w:tab w:val="left" w:pos="567"/>
        </w:tabs>
        <w:spacing w:after="0" w:line="240" w:lineRule="auto"/>
        <w:rPr>
          <w:rFonts w:ascii="Times New Roman" w:hAnsi="Times New Roman"/>
          <w:lang w:val="lt-LT"/>
        </w:rPr>
      </w:pPr>
    </w:p>
    <w:p w14:paraId="77521D27" w14:textId="671487EC" w:rsidR="005427AE" w:rsidRDefault="005427AE" w:rsidP="00D43F43">
      <w:pPr>
        <w:tabs>
          <w:tab w:val="left" w:pos="567"/>
        </w:tabs>
        <w:spacing w:after="0" w:line="240" w:lineRule="auto"/>
        <w:rPr>
          <w:rFonts w:ascii="Times New Roman" w:hAnsi="Times New Roman"/>
          <w:b/>
          <w:lang w:val="lt-LT"/>
        </w:rPr>
      </w:pPr>
      <w:r w:rsidRPr="00EE75B4">
        <w:rPr>
          <w:rFonts w:ascii="Times New Roman" w:hAnsi="Times New Roman"/>
          <w:b/>
          <w:lang w:val="lt-LT"/>
        </w:rPr>
        <w:t>Šis pakuotės lape</w:t>
      </w:r>
      <w:r w:rsidR="00603BE6" w:rsidRPr="00EE75B4">
        <w:rPr>
          <w:rFonts w:ascii="Times New Roman" w:hAnsi="Times New Roman"/>
          <w:b/>
          <w:lang w:val="lt-LT"/>
        </w:rPr>
        <w:t>lis paskutinį kartą peržiūrėtas</w:t>
      </w:r>
      <w:r w:rsidR="007D014C">
        <w:rPr>
          <w:rFonts w:ascii="Times New Roman" w:hAnsi="Times New Roman"/>
          <w:b/>
          <w:lang w:val="lt-LT"/>
        </w:rPr>
        <w:t xml:space="preserve"> 2023-03-15</w:t>
      </w:r>
      <w:r w:rsidR="00D43F43">
        <w:rPr>
          <w:rFonts w:ascii="Times New Roman" w:hAnsi="Times New Roman"/>
          <w:b/>
          <w:lang w:val="lt-LT"/>
        </w:rPr>
        <w:t>.</w:t>
      </w:r>
    </w:p>
    <w:p w14:paraId="19AF686A" w14:textId="77777777" w:rsidR="006116C4" w:rsidRPr="00EE75B4" w:rsidRDefault="006116C4" w:rsidP="00D43F43">
      <w:pPr>
        <w:tabs>
          <w:tab w:val="left" w:pos="567"/>
        </w:tabs>
        <w:spacing w:after="0" w:line="240" w:lineRule="auto"/>
        <w:rPr>
          <w:lang w:val="lt-LT"/>
        </w:rPr>
      </w:pPr>
      <w:bookmarkStart w:id="0" w:name="_GoBack"/>
      <w:bookmarkEnd w:id="0"/>
    </w:p>
    <w:sectPr w:rsidR="006116C4" w:rsidRPr="00EE75B4" w:rsidSect="00BB21C4">
      <w:headerReference w:type="default" r:id="rId17"/>
      <w:footerReference w:type="even" r:id="rId18"/>
      <w:footerReference w:type="default" r:id="rId19"/>
      <w:footerReference w:type="first" r:id="rId20"/>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BC30B" w14:textId="77777777" w:rsidR="00391469" w:rsidRDefault="00391469">
      <w:pPr>
        <w:spacing w:after="0" w:line="240" w:lineRule="auto"/>
      </w:pPr>
      <w:r>
        <w:separator/>
      </w:r>
    </w:p>
  </w:endnote>
  <w:endnote w:type="continuationSeparator" w:id="0">
    <w:p w14:paraId="5B0BCE7A" w14:textId="77777777" w:rsidR="00391469" w:rsidRDefault="00391469">
      <w:pPr>
        <w:spacing w:after="0" w:line="240" w:lineRule="auto"/>
      </w:pPr>
      <w:r>
        <w:continuationSeparator/>
      </w:r>
    </w:p>
  </w:endnote>
  <w:endnote w:type="continuationNotice" w:id="1">
    <w:p w14:paraId="78DA794C" w14:textId="77777777" w:rsidR="00391469" w:rsidRDefault="003914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55349" w14:textId="77777777" w:rsidR="00391469" w:rsidRDefault="0039146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C8E393" w14:textId="77777777" w:rsidR="00391469" w:rsidRDefault="0039146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2DE39" w14:textId="4B9BB697" w:rsidR="00391469" w:rsidRPr="001979E6" w:rsidRDefault="00391469">
    <w:pPr>
      <w:pStyle w:val="Porat"/>
      <w:framePr w:wrap="around" w:vAnchor="text" w:hAnchor="margin" w:xAlign="center" w:y="1"/>
      <w:rPr>
        <w:rStyle w:val="Puslapionumeris"/>
        <w:sz w:val="22"/>
      </w:rPr>
    </w:pPr>
    <w:r w:rsidRPr="001979E6">
      <w:rPr>
        <w:rStyle w:val="Puslapionumeris"/>
        <w:sz w:val="22"/>
      </w:rPr>
      <w:fldChar w:fldCharType="begin"/>
    </w:r>
    <w:r w:rsidRPr="001979E6">
      <w:rPr>
        <w:rStyle w:val="Puslapionumeris"/>
        <w:sz w:val="22"/>
      </w:rPr>
      <w:instrText xml:space="preserve">PAGE  </w:instrText>
    </w:r>
    <w:r w:rsidRPr="001979E6">
      <w:rPr>
        <w:rStyle w:val="Puslapionumeris"/>
        <w:sz w:val="22"/>
      </w:rPr>
      <w:fldChar w:fldCharType="separate"/>
    </w:r>
    <w:r w:rsidR="006116C4">
      <w:rPr>
        <w:rStyle w:val="Puslapionumeris"/>
        <w:noProof/>
        <w:sz w:val="22"/>
      </w:rPr>
      <w:t>42</w:t>
    </w:r>
    <w:r w:rsidRPr="001979E6">
      <w:rPr>
        <w:rStyle w:val="Puslapionumeris"/>
        <w:sz w:val="22"/>
      </w:rPr>
      <w:fldChar w:fldCharType="end"/>
    </w:r>
  </w:p>
  <w:p w14:paraId="12A42D17" w14:textId="77777777" w:rsidR="00391469" w:rsidRDefault="0039146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AE064" w14:textId="799A8A52" w:rsidR="00391469" w:rsidRDefault="00391469">
    <w:pPr>
      <w:pStyle w:val="Porat"/>
      <w:jc w:val="center"/>
    </w:pPr>
    <w:r w:rsidRPr="001979E6">
      <w:rPr>
        <w:sz w:val="22"/>
      </w:rPr>
      <w:fldChar w:fldCharType="begin"/>
    </w:r>
    <w:r w:rsidRPr="001979E6">
      <w:rPr>
        <w:sz w:val="22"/>
      </w:rPr>
      <w:instrText>PAGE   \* MERGEFORMAT</w:instrText>
    </w:r>
    <w:r w:rsidRPr="001979E6">
      <w:rPr>
        <w:sz w:val="22"/>
      </w:rPr>
      <w:fldChar w:fldCharType="separate"/>
    </w:r>
    <w:r w:rsidR="006116C4" w:rsidRPr="006116C4">
      <w:rPr>
        <w:noProof/>
        <w:sz w:val="22"/>
        <w:lang w:val="lt-LT"/>
      </w:rPr>
      <w:t>1</w:t>
    </w:r>
    <w:r w:rsidRPr="001979E6">
      <w:rPr>
        <w:sz w:val="22"/>
      </w:rPr>
      <w:fldChar w:fldCharType="end"/>
    </w:r>
  </w:p>
  <w:p w14:paraId="0D6F3DD0" w14:textId="77777777" w:rsidR="00391469" w:rsidRDefault="003914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F6269" w14:textId="77777777" w:rsidR="00391469" w:rsidRDefault="00391469">
      <w:pPr>
        <w:spacing w:after="0" w:line="240" w:lineRule="auto"/>
      </w:pPr>
      <w:r>
        <w:separator/>
      </w:r>
    </w:p>
  </w:footnote>
  <w:footnote w:type="continuationSeparator" w:id="0">
    <w:p w14:paraId="1839E48E" w14:textId="77777777" w:rsidR="00391469" w:rsidRDefault="00391469">
      <w:pPr>
        <w:spacing w:after="0" w:line="240" w:lineRule="auto"/>
      </w:pPr>
      <w:r>
        <w:continuationSeparator/>
      </w:r>
    </w:p>
  </w:footnote>
  <w:footnote w:type="continuationNotice" w:id="1">
    <w:p w14:paraId="64C6F890" w14:textId="77777777" w:rsidR="00391469" w:rsidRDefault="003914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D837" w14:textId="77777777" w:rsidR="00391469" w:rsidRDefault="003914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CC184F"/>
    <w:multiLevelType w:val="hybridMultilevel"/>
    <w:tmpl w:val="9A36A6AC"/>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15:restartNumberingAfterBreak="0">
    <w:nsid w:val="02133C18"/>
    <w:multiLevelType w:val="hybridMultilevel"/>
    <w:tmpl w:val="454009D2"/>
    <w:lvl w:ilvl="0" w:tplc="911414B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6E24778"/>
    <w:multiLevelType w:val="hybridMultilevel"/>
    <w:tmpl w:val="0132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F092C"/>
    <w:multiLevelType w:val="singleLevel"/>
    <w:tmpl w:val="1C1CC8FA"/>
    <w:lvl w:ilvl="0">
      <w:numFmt w:val="bullet"/>
      <w:lvlText w:val="-"/>
      <w:lvlJc w:val="left"/>
      <w:pPr>
        <w:tabs>
          <w:tab w:val="num" w:pos="360"/>
        </w:tabs>
        <w:ind w:left="360" w:hanging="360"/>
      </w:pPr>
      <w:rPr>
        <w:rFonts w:hint="default"/>
      </w:rPr>
    </w:lvl>
  </w:abstractNum>
  <w:abstractNum w:abstractNumId="5" w15:restartNumberingAfterBreak="0">
    <w:nsid w:val="102C2641"/>
    <w:multiLevelType w:val="hybridMultilevel"/>
    <w:tmpl w:val="4CA268D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 w15:restartNumberingAfterBreak="0">
    <w:nsid w:val="14EB41D2"/>
    <w:multiLevelType w:val="multilevel"/>
    <w:tmpl w:val="C2DE753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C35601B"/>
    <w:multiLevelType w:val="singleLevel"/>
    <w:tmpl w:val="FFFFFFFF"/>
    <w:lvl w:ilvl="0">
      <w:start w:val="1"/>
      <w:numFmt w:val="bullet"/>
      <w:lvlText w:val="-"/>
      <w:legacy w:legacy="1" w:legacySpace="0" w:legacyIndent="360"/>
      <w:lvlJc w:val="left"/>
      <w:pPr>
        <w:ind w:left="360" w:hanging="360"/>
      </w:pPr>
    </w:lvl>
  </w:abstractNum>
  <w:abstractNum w:abstractNumId="8" w15:restartNumberingAfterBreak="0">
    <w:nsid w:val="1C6B688F"/>
    <w:multiLevelType w:val="hybridMultilevel"/>
    <w:tmpl w:val="32CC2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730BE"/>
    <w:multiLevelType w:val="hybridMultilevel"/>
    <w:tmpl w:val="6F92C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507E4B"/>
    <w:multiLevelType w:val="hybridMultilevel"/>
    <w:tmpl w:val="C6727B5E"/>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DF0781"/>
    <w:multiLevelType w:val="hybridMultilevel"/>
    <w:tmpl w:val="1FB4B80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2328C8"/>
    <w:multiLevelType w:val="hybridMultilevel"/>
    <w:tmpl w:val="7DDAAE86"/>
    <w:lvl w:ilvl="0" w:tplc="04270019">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2677600D"/>
    <w:multiLevelType w:val="hybridMultilevel"/>
    <w:tmpl w:val="2B083F44"/>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D21628"/>
    <w:multiLevelType w:val="hybridMultilevel"/>
    <w:tmpl w:val="69541A70"/>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15:restartNumberingAfterBreak="0">
    <w:nsid w:val="2F7B425D"/>
    <w:multiLevelType w:val="hybridMultilevel"/>
    <w:tmpl w:val="419EC10C"/>
    <w:lvl w:ilvl="0" w:tplc="3FCAA52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65D7A"/>
    <w:multiLevelType w:val="singleLevel"/>
    <w:tmpl w:val="FFFFFFFF"/>
    <w:lvl w:ilvl="0">
      <w:start w:val="1"/>
      <w:numFmt w:val="bullet"/>
      <w:lvlText w:val="-"/>
      <w:legacy w:legacy="1" w:legacySpace="0" w:legacyIndent="360"/>
      <w:lvlJc w:val="left"/>
      <w:pPr>
        <w:ind w:left="360" w:hanging="360"/>
      </w:pPr>
    </w:lvl>
  </w:abstractNum>
  <w:abstractNum w:abstractNumId="17"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18" w15:restartNumberingAfterBreak="0">
    <w:nsid w:val="354F475C"/>
    <w:multiLevelType w:val="hybridMultilevel"/>
    <w:tmpl w:val="9A9605E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9F5550"/>
    <w:multiLevelType w:val="hybridMultilevel"/>
    <w:tmpl w:val="525AAFD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577A2D"/>
    <w:multiLevelType w:val="hybridMultilevel"/>
    <w:tmpl w:val="C574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D22CE"/>
    <w:multiLevelType w:val="hybridMultilevel"/>
    <w:tmpl w:val="E53EF8E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D916D6"/>
    <w:multiLevelType w:val="hybridMultilevel"/>
    <w:tmpl w:val="AF18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277918"/>
    <w:multiLevelType w:val="hybridMultilevel"/>
    <w:tmpl w:val="A4828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CE3568"/>
    <w:multiLevelType w:val="hybridMultilevel"/>
    <w:tmpl w:val="417EC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455079"/>
    <w:multiLevelType w:val="hybridMultilevel"/>
    <w:tmpl w:val="D6F0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1606F"/>
    <w:multiLevelType w:val="hybridMultilevel"/>
    <w:tmpl w:val="BEAEA074"/>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7450EE7"/>
    <w:multiLevelType w:val="hybridMultilevel"/>
    <w:tmpl w:val="B59A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F91BF0"/>
    <w:multiLevelType w:val="hybridMultilevel"/>
    <w:tmpl w:val="F95A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B0A2C"/>
    <w:multiLevelType w:val="hybridMultilevel"/>
    <w:tmpl w:val="CF6CF872"/>
    <w:lvl w:ilvl="0" w:tplc="78060EBA">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940229"/>
    <w:multiLevelType w:val="singleLevel"/>
    <w:tmpl w:val="FFFFFFFF"/>
    <w:lvl w:ilvl="0">
      <w:start w:val="1"/>
      <w:numFmt w:val="bullet"/>
      <w:lvlText w:val="-"/>
      <w:legacy w:legacy="1" w:legacySpace="0" w:legacyIndent="360"/>
      <w:lvlJc w:val="left"/>
      <w:pPr>
        <w:ind w:left="360" w:hanging="360"/>
      </w:pPr>
    </w:lvl>
  </w:abstractNum>
  <w:abstractNum w:abstractNumId="31" w15:restartNumberingAfterBreak="0">
    <w:nsid w:val="712909AC"/>
    <w:multiLevelType w:val="hybridMultilevel"/>
    <w:tmpl w:val="65C821AE"/>
    <w:lvl w:ilvl="0" w:tplc="78060EBA">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9514B3"/>
    <w:multiLevelType w:val="hybridMultilevel"/>
    <w:tmpl w:val="7E62F1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7"/>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7"/>
    <w:lvlOverride w:ilvl="0">
      <w:startOverride w:val="2"/>
    </w:lvlOverride>
  </w:num>
  <w:num w:numId="7">
    <w:abstractNumId w:val="0"/>
    <w:lvlOverride w:ilvl="0">
      <w:lvl w:ilvl="0">
        <w:numFmt w:val="bullet"/>
        <w:lvlText w:val="-"/>
        <w:legacy w:legacy="1" w:legacySpace="0" w:legacyIndent="360"/>
        <w:lvlJc w:val="left"/>
        <w:pPr>
          <w:ind w:left="360" w:hanging="360"/>
        </w:pPr>
      </w:lvl>
    </w:lvlOverride>
  </w:num>
  <w:num w:numId="8">
    <w:abstractNumId w:val="31"/>
  </w:num>
  <w:num w:numId="9">
    <w:abstractNumId w:val="3"/>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3"/>
  </w:num>
  <w:num w:numId="15">
    <w:abstractNumId w:val="18"/>
  </w:num>
  <w:num w:numId="16">
    <w:abstractNumId w:val="12"/>
  </w:num>
  <w:num w:numId="17">
    <w:abstractNumId w:val="1"/>
  </w:num>
  <w:num w:numId="18">
    <w:abstractNumId w:val="21"/>
  </w:num>
  <w:num w:numId="19">
    <w:abstractNumId w:val="10"/>
  </w:num>
  <w:num w:numId="20">
    <w:abstractNumId w:val="32"/>
  </w:num>
  <w:num w:numId="21">
    <w:abstractNumId w:val="15"/>
  </w:num>
  <w:num w:numId="22">
    <w:abstractNumId w:val="26"/>
  </w:num>
  <w:num w:numId="23">
    <w:abstractNumId w:val="11"/>
  </w:num>
  <w:num w:numId="24">
    <w:abstractNumId w:val="13"/>
  </w:num>
  <w:num w:numId="25">
    <w:abstractNumId w:val="19"/>
  </w:num>
  <w:num w:numId="26">
    <w:abstractNumId w:val="24"/>
  </w:num>
  <w:num w:numId="27">
    <w:abstractNumId w:val="9"/>
  </w:num>
  <w:num w:numId="28">
    <w:abstractNumId w:val="2"/>
  </w:num>
  <w:num w:numId="29">
    <w:abstractNumId w:val="8"/>
  </w:num>
  <w:num w:numId="30">
    <w:abstractNumId w:val="28"/>
  </w:num>
  <w:num w:numId="31">
    <w:abstractNumId w:val="22"/>
  </w:num>
  <w:num w:numId="32">
    <w:abstractNumId w:val="25"/>
  </w:num>
  <w:num w:numId="33">
    <w:abstractNumId w:val="2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7D"/>
    <w:rsid w:val="00000A98"/>
    <w:rsid w:val="000073F0"/>
    <w:rsid w:val="00012257"/>
    <w:rsid w:val="00040FAF"/>
    <w:rsid w:val="0009553F"/>
    <w:rsid w:val="000A206A"/>
    <w:rsid w:val="000B52DF"/>
    <w:rsid w:val="0011117D"/>
    <w:rsid w:val="00115099"/>
    <w:rsid w:val="00151F06"/>
    <w:rsid w:val="0015649E"/>
    <w:rsid w:val="001E5DBB"/>
    <w:rsid w:val="001E7720"/>
    <w:rsid w:val="001F45D5"/>
    <w:rsid w:val="00230B74"/>
    <w:rsid w:val="00245DDC"/>
    <w:rsid w:val="002829DA"/>
    <w:rsid w:val="002858FF"/>
    <w:rsid w:val="002A306B"/>
    <w:rsid w:val="002B4704"/>
    <w:rsid w:val="002B534F"/>
    <w:rsid w:val="002C3B2B"/>
    <w:rsid w:val="002C6E26"/>
    <w:rsid w:val="002D2553"/>
    <w:rsid w:val="002E5455"/>
    <w:rsid w:val="00303228"/>
    <w:rsid w:val="00357B3D"/>
    <w:rsid w:val="00366F84"/>
    <w:rsid w:val="00391469"/>
    <w:rsid w:val="003A7595"/>
    <w:rsid w:val="003D1A0D"/>
    <w:rsid w:val="003E1F36"/>
    <w:rsid w:val="003E63A3"/>
    <w:rsid w:val="00407EC9"/>
    <w:rsid w:val="00413EA9"/>
    <w:rsid w:val="00432B94"/>
    <w:rsid w:val="004A62A8"/>
    <w:rsid w:val="004A6760"/>
    <w:rsid w:val="004B7654"/>
    <w:rsid w:val="004C5FBB"/>
    <w:rsid w:val="004D2E8A"/>
    <w:rsid w:val="004E1631"/>
    <w:rsid w:val="005427AE"/>
    <w:rsid w:val="00575EE3"/>
    <w:rsid w:val="00581BF7"/>
    <w:rsid w:val="0058293C"/>
    <w:rsid w:val="005B69BB"/>
    <w:rsid w:val="005C3A0E"/>
    <w:rsid w:val="005C454D"/>
    <w:rsid w:val="0060119E"/>
    <w:rsid w:val="00603BE6"/>
    <w:rsid w:val="00604FAA"/>
    <w:rsid w:val="006116C4"/>
    <w:rsid w:val="00652FCD"/>
    <w:rsid w:val="00655F3C"/>
    <w:rsid w:val="006B7D35"/>
    <w:rsid w:val="006D4DB1"/>
    <w:rsid w:val="006D6F87"/>
    <w:rsid w:val="006E00BA"/>
    <w:rsid w:val="00713282"/>
    <w:rsid w:val="00732BB8"/>
    <w:rsid w:val="00740BA4"/>
    <w:rsid w:val="00752171"/>
    <w:rsid w:val="00764A14"/>
    <w:rsid w:val="0077301D"/>
    <w:rsid w:val="007831E2"/>
    <w:rsid w:val="007923DA"/>
    <w:rsid w:val="007C5CA6"/>
    <w:rsid w:val="007D014C"/>
    <w:rsid w:val="007F387B"/>
    <w:rsid w:val="00813362"/>
    <w:rsid w:val="00822F0B"/>
    <w:rsid w:val="00891493"/>
    <w:rsid w:val="008D1D62"/>
    <w:rsid w:val="008D1EC1"/>
    <w:rsid w:val="008D501E"/>
    <w:rsid w:val="008F6A14"/>
    <w:rsid w:val="008F74C3"/>
    <w:rsid w:val="0098088E"/>
    <w:rsid w:val="00986D38"/>
    <w:rsid w:val="00987758"/>
    <w:rsid w:val="009A20E3"/>
    <w:rsid w:val="009F09B3"/>
    <w:rsid w:val="00A06038"/>
    <w:rsid w:val="00A43461"/>
    <w:rsid w:val="00A64112"/>
    <w:rsid w:val="00A6613D"/>
    <w:rsid w:val="00A67A1E"/>
    <w:rsid w:val="00A748AF"/>
    <w:rsid w:val="00A921CE"/>
    <w:rsid w:val="00AA2915"/>
    <w:rsid w:val="00AB7DCF"/>
    <w:rsid w:val="00AC0CFD"/>
    <w:rsid w:val="00AE2DD6"/>
    <w:rsid w:val="00AF2159"/>
    <w:rsid w:val="00B23815"/>
    <w:rsid w:val="00B64C0B"/>
    <w:rsid w:val="00B91382"/>
    <w:rsid w:val="00BA4786"/>
    <w:rsid w:val="00BB21C4"/>
    <w:rsid w:val="00BB6528"/>
    <w:rsid w:val="00BD134D"/>
    <w:rsid w:val="00BF0F08"/>
    <w:rsid w:val="00C0577A"/>
    <w:rsid w:val="00C06741"/>
    <w:rsid w:val="00C73AF5"/>
    <w:rsid w:val="00CB339E"/>
    <w:rsid w:val="00CD1123"/>
    <w:rsid w:val="00CF696C"/>
    <w:rsid w:val="00D269FF"/>
    <w:rsid w:val="00D32ADB"/>
    <w:rsid w:val="00D43F43"/>
    <w:rsid w:val="00D56C77"/>
    <w:rsid w:val="00D60169"/>
    <w:rsid w:val="00D6760F"/>
    <w:rsid w:val="00D85669"/>
    <w:rsid w:val="00D967B1"/>
    <w:rsid w:val="00DB5FDD"/>
    <w:rsid w:val="00DF6289"/>
    <w:rsid w:val="00E13386"/>
    <w:rsid w:val="00E2287D"/>
    <w:rsid w:val="00EE2703"/>
    <w:rsid w:val="00EE75B4"/>
    <w:rsid w:val="00EF3534"/>
    <w:rsid w:val="00EF63A1"/>
    <w:rsid w:val="00F018C3"/>
    <w:rsid w:val="00F4283D"/>
    <w:rsid w:val="00F505A3"/>
    <w:rsid w:val="00F85F26"/>
    <w:rsid w:val="00F933F3"/>
    <w:rsid w:val="00F97BED"/>
    <w:rsid w:val="00FA27C9"/>
    <w:rsid w:val="00FB04D5"/>
    <w:rsid w:val="00FB489D"/>
    <w:rsid w:val="00FD2257"/>
    <w:rsid w:val="00FD7CF5"/>
    <w:rsid w:val="00FE345E"/>
    <w:rsid w:val="00FE43E2"/>
    <w:rsid w:val="00FE7ED4"/>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5D1C5445"/>
  <w15:docId w15:val="{BE86C5C5-0CD7-43BD-95A1-257BDB81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4A14"/>
    <w:pPr>
      <w:spacing w:after="200" w:line="276" w:lineRule="auto"/>
    </w:pPr>
    <w:rPr>
      <w:sz w:val="22"/>
      <w:szCs w:val="22"/>
      <w:lang w:eastAsia="en-US"/>
    </w:rPr>
  </w:style>
  <w:style w:type="paragraph" w:styleId="Antrat1">
    <w:name w:val="heading 1"/>
    <w:basedOn w:val="prastasis"/>
    <w:next w:val="prastasis"/>
    <w:link w:val="Antrat1Diagrama"/>
    <w:qFormat/>
    <w:rsid w:val="005427AE"/>
    <w:pPr>
      <w:keepNext/>
      <w:spacing w:before="240" w:after="60" w:line="240" w:lineRule="auto"/>
      <w:outlineLvl w:val="0"/>
    </w:pPr>
    <w:rPr>
      <w:rFonts w:ascii="Arial" w:eastAsia="Times New Roman" w:hAnsi="Arial" w:cs="Arial"/>
      <w:b/>
      <w:bCs/>
      <w:kern w:val="32"/>
      <w:sz w:val="32"/>
      <w:szCs w:val="32"/>
      <w:lang w:val="en-GB"/>
    </w:rPr>
  </w:style>
  <w:style w:type="paragraph" w:styleId="Antrat2">
    <w:name w:val="heading 2"/>
    <w:basedOn w:val="Heading1NavyHeading11"/>
    <w:next w:val="Pagrindinistekstas"/>
    <w:link w:val="Antrat2Diagrama"/>
    <w:qFormat/>
    <w:rsid w:val="005427AE"/>
    <w:pPr>
      <w:spacing w:before="180"/>
      <w:outlineLvl w:val="1"/>
    </w:pPr>
    <w:rPr>
      <w:caps w:val="0"/>
    </w:rPr>
  </w:style>
  <w:style w:type="paragraph" w:styleId="Antrat3">
    <w:name w:val="heading 3"/>
    <w:basedOn w:val="Antrat2"/>
    <w:next w:val="Pagrindinistekstas"/>
    <w:link w:val="Antrat3Diagrama"/>
    <w:qFormat/>
    <w:rsid w:val="005427AE"/>
    <w:pPr>
      <w:outlineLvl w:val="2"/>
    </w:pPr>
  </w:style>
  <w:style w:type="paragraph" w:styleId="Antrat4">
    <w:name w:val="heading 4"/>
    <w:basedOn w:val="prastasis"/>
    <w:next w:val="prastasis"/>
    <w:link w:val="Antrat4Diagrama"/>
    <w:qFormat/>
    <w:rsid w:val="005427AE"/>
    <w:pPr>
      <w:keepNext/>
      <w:tabs>
        <w:tab w:val="left" w:pos="2835"/>
      </w:tabs>
      <w:spacing w:after="0" w:line="240" w:lineRule="auto"/>
      <w:outlineLvl w:val="3"/>
    </w:pPr>
    <w:rPr>
      <w:rFonts w:ascii="Times New Roman" w:hAnsi="Times New Roman"/>
      <w:sz w:val="24"/>
      <w:szCs w:val="20"/>
      <w:u w:val="single"/>
      <w:lang w:val="lt-LT" w:eastAsia="ja-JP"/>
    </w:rPr>
  </w:style>
  <w:style w:type="paragraph" w:styleId="Antrat5">
    <w:name w:val="heading 5"/>
    <w:basedOn w:val="prastasis"/>
    <w:next w:val="prastasis"/>
    <w:link w:val="Antrat5Diagrama"/>
    <w:qFormat/>
    <w:rsid w:val="005427AE"/>
    <w:pPr>
      <w:spacing w:before="240" w:after="60" w:line="240" w:lineRule="auto"/>
      <w:outlineLvl w:val="4"/>
    </w:pPr>
    <w:rPr>
      <w:rFonts w:ascii="Times New Roman" w:hAnsi="Times New Roman"/>
      <w:b/>
      <w:bCs/>
      <w:i/>
      <w:iCs/>
      <w:sz w:val="26"/>
      <w:szCs w:val="26"/>
      <w:lang w:val="lt-LT"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427AE"/>
    <w:rPr>
      <w:rFonts w:ascii="Arial" w:eastAsia="Times New Roman" w:hAnsi="Arial" w:cs="Arial"/>
      <w:b/>
      <w:bCs/>
      <w:kern w:val="32"/>
      <w:sz w:val="32"/>
      <w:szCs w:val="32"/>
      <w:lang w:val="en-GB"/>
    </w:rPr>
  </w:style>
  <w:style w:type="character" w:customStyle="1" w:styleId="Antrat2Diagrama">
    <w:name w:val="Antraštė 2 Diagrama"/>
    <w:link w:val="Antrat2"/>
    <w:rsid w:val="005427AE"/>
    <w:rPr>
      <w:rFonts w:ascii="Times New Roman" w:eastAsia="Times New Roman" w:hAnsi="Times New Roman" w:cs="Times New Roman"/>
      <w:b/>
      <w:kern w:val="28"/>
      <w:sz w:val="24"/>
      <w:szCs w:val="20"/>
    </w:rPr>
  </w:style>
  <w:style w:type="character" w:customStyle="1" w:styleId="Antrat3Diagrama">
    <w:name w:val="Antraštė 3 Diagrama"/>
    <w:link w:val="Antrat3"/>
    <w:rsid w:val="005427AE"/>
    <w:rPr>
      <w:rFonts w:ascii="Times New Roman" w:eastAsia="Times New Roman" w:hAnsi="Times New Roman" w:cs="Times New Roman"/>
      <w:b/>
      <w:kern w:val="28"/>
      <w:sz w:val="24"/>
      <w:szCs w:val="20"/>
    </w:rPr>
  </w:style>
  <w:style w:type="character" w:customStyle="1" w:styleId="Antrat4Diagrama">
    <w:name w:val="Antraštė 4 Diagrama"/>
    <w:link w:val="Antrat4"/>
    <w:rsid w:val="005427AE"/>
    <w:rPr>
      <w:rFonts w:ascii="Times New Roman" w:eastAsia="Calibri" w:hAnsi="Times New Roman" w:cs="Times New Roman"/>
      <w:sz w:val="24"/>
      <w:szCs w:val="20"/>
      <w:u w:val="single"/>
      <w:lang w:val="lt-LT" w:eastAsia="ja-JP"/>
    </w:rPr>
  </w:style>
  <w:style w:type="character" w:customStyle="1" w:styleId="Antrat5Diagrama">
    <w:name w:val="Antraštė 5 Diagrama"/>
    <w:link w:val="Antrat5"/>
    <w:rsid w:val="005427AE"/>
    <w:rPr>
      <w:rFonts w:ascii="Times New Roman" w:eastAsia="Calibri" w:hAnsi="Times New Roman" w:cs="Times New Roman"/>
      <w:b/>
      <w:bCs/>
      <w:i/>
      <w:iCs/>
      <w:sz w:val="26"/>
      <w:szCs w:val="26"/>
      <w:lang w:val="lt-LT" w:eastAsia="ja-JP"/>
    </w:rPr>
  </w:style>
  <w:style w:type="numbering" w:customStyle="1" w:styleId="NoList1">
    <w:name w:val="No List1"/>
    <w:next w:val="Sraonra"/>
    <w:uiPriority w:val="99"/>
    <w:semiHidden/>
    <w:unhideWhenUsed/>
    <w:rsid w:val="005427AE"/>
  </w:style>
  <w:style w:type="numbering" w:customStyle="1" w:styleId="Sraonra1">
    <w:name w:val="Sąrašo nėra1"/>
    <w:next w:val="Sraonra"/>
    <w:uiPriority w:val="99"/>
    <w:semiHidden/>
    <w:unhideWhenUsed/>
    <w:rsid w:val="005427AE"/>
  </w:style>
  <w:style w:type="paragraph" w:customStyle="1" w:styleId="Heading1NavyHeading11">
    <w:name w:val="Heading 1.Navy Heading 11"/>
    <w:basedOn w:val="prastasis"/>
    <w:next w:val="Pagrindinistekstas"/>
    <w:rsid w:val="005427AE"/>
    <w:pPr>
      <w:keepNext/>
      <w:widowControl w:val="0"/>
      <w:spacing w:before="240" w:after="60" w:line="240" w:lineRule="auto"/>
    </w:pPr>
    <w:rPr>
      <w:rFonts w:ascii="Times New Roman" w:eastAsia="Times New Roman" w:hAnsi="Times New Roman"/>
      <w:b/>
      <w:caps/>
      <w:kern w:val="28"/>
      <w:sz w:val="24"/>
      <w:szCs w:val="20"/>
    </w:rPr>
  </w:style>
  <w:style w:type="paragraph" w:styleId="Pagrindinistekstas">
    <w:name w:val="Body Text"/>
    <w:basedOn w:val="prastasis"/>
    <w:link w:val="PagrindinistekstasDiagrama"/>
    <w:rsid w:val="005427AE"/>
    <w:pPr>
      <w:widowControl w:val="0"/>
      <w:spacing w:after="240" w:line="312"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5427AE"/>
    <w:rPr>
      <w:rFonts w:ascii="Times New Roman" w:eastAsia="Times New Roman" w:hAnsi="Times New Roman" w:cs="Times New Roman"/>
      <w:sz w:val="24"/>
      <w:szCs w:val="20"/>
    </w:rPr>
  </w:style>
  <w:style w:type="paragraph" w:styleId="Antrats">
    <w:name w:val="header"/>
    <w:basedOn w:val="prastasis"/>
    <w:link w:val="AntratsDiagrama"/>
    <w:rsid w:val="005427AE"/>
    <w:pPr>
      <w:widowControl w:val="0"/>
      <w:tabs>
        <w:tab w:val="center" w:pos="4320"/>
        <w:tab w:val="right" w:pos="8640"/>
      </w:tabs>
      <w:spacing w:after="0" w:line="240" w:lineRule="auto"/>
    </w:pPr>
    <w:rPr>
      <w:rFonts w:ascii="Times New Roman" w:eastAsia="Times New Roman" w:hAnsi="Times New Roman"/>
      <w:sz w:val="24"/>
      <w:szCs w:val="20"/>
    </w:rPr>
  </w:style>
  <w:style w:type="character" w:customStyle="1" w:styleId="AntratsDiagrama">
    <w:name w:val="Antraštės Diagrama"/>
    <w:link w:val="Antrats"/>
    <w:rsid w:val="005427AE"/>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5427AE"/>
    <w:pPr>
      <w:widowControl w:val="0"/>
      <w:spacing w:after="0" w:line="240" w:lineRule="auto"/>
    </w:pPr>
    <w:rPr>
      <w:rFonts w:ascii="Times New Roman" w:eastAsia="Times New Roman" w:hAnsi="Times New Roman"/>
      <w:szCs w:val="20"/>
    </w:rPr>
  </w:style>
  <w:style w:type="character" w:customStyle="1" w:styleId="Pagrindinistekstas3Diagrama">
    <w:name w:val="Pagrindinis tekstas 3 Diagrama"/>
    <w:link w:val="Pagrindinistekstas3"/>
    <w:rsid w:val="005427AE"/>
    <w:rPr>
      <w:rFonts w:ascii="Times New Roman" w:eastAsia="Times New Roman" w:hAnsi="Times New Roman" w:cs="Times New Roman"/>
      <w:szCs w:val="20"/>
    </w:rPr>
  </w:style>
  <w:style w:type="paragraph" w:styleId="Porat">
    <w:name w:val="footer"/>
    <w:basedOn w:val="prastasis"/>
    <w:link w:val="PoratDiagrama"/>
    <w:uiPriority w:val="99"/>
    <w:rsid w:val="005427AE"/>
    <w:pPr>
      <w:widowControl w:val="0"/>
      <w:tabs>
        <w:tab w:val="center" w:pos="4153"/>
        <w:tab w:val="right" w:pos="8306"/>
      </w:tabs>
      <w:spacing w:after="0" w:line="240" w:lineRule="auto"/>
    </w:pPr>
    <w:rPr>
      <w:rFonts w:ascii="Times New Roman" w:eastAsia="Times New Roman" w:hAnsi="Times New Roman"/>
      <w:sz w:val="24"/>
      <w:szCs w:val="20"/>
    </w:rPr>
  </w:style>
  <w:style w:type="character" w:customStyle="1" w:styleId="PoratDiagrama">
    <w:name w:val="Poraštė Diagrama"/>
    <w:link w:val="Porat"/>
    <w:uiPriority w:val="99"/>
    <w:rsid w:val="005427A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427AE"/>
    <w:pPr>
      <w:tabs>
        <w:tab w:val="left" w:pos="567"/>
      </w:tabs>
      <w:spacing w:after="0" w:line="360" w:lineRule="auto"/>
      <w:jc w:val="both"/>
    </w:pPr>
    <w:rPr>
      <w:rFonts w:ascii="Times New Roman" w:eastAsia="Times New Roman" w:hAnsi="Times New Roman"/>
      <w:sz w:val="24"/>
      <w:szCs w:val="20"/>
    </w:rPr>
  </w:style>
  <w:style w:type="character" w:customStyle="1" w:styleId="Pagrindinistekstas2Diagrama">
    <w:name w:val="Pagrindinis tekstas 2 Diagrama"/>
    <w:link w:val="Pagrindinistekstas2"/>
    <w:rsid w:val="005427A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427AE"/>
    <w:pPr>
      <w:tabs>
        <w:tab w:val="left" w:pos="567"/>
      </w:tabs>
      <w:spacing w:after="0" w:line="360" w:lineRule="auto"/>
      <w:ind w:left="420"/>
      <w:jc w:val="both"/>
    </w:pPr>
    <w:rPr>
      <w:rFonts w:ascii="Times New Roman" w:eastAsia="Times New Roman" w:hAnsi="Times New Roman"/>
      <w:sz w:val="24"/>
      <w:szCs w:val="20"/>
    </w:rPr>
  </w:style>
  <w:style w:type="character" w:customStyle="1" w:styleId="PagrindiniotekstotraukaDiagrama">
    <w:name w:val="Pagrindinio teksto įtrauka Diagrama"/>
    <w:link w:val="Pagrindiniotekstotrauka"/>
    <w:rsid w:val="005427AE"/>
    <w:rPr>
      <w:rFonts w:ascii="Times New Roman" w:eastAsia="Times New Roman" w:hAnsi="Times New Roman" w:cs="Times New Roman"/>
      <w:sz w:val="24"/>
      <w:szCs w:val="20"/>
    </w:rPr>
  </w:style>
  <w:style w:type="character" w:styleId="Puslapionumeris">
    <w:name w:val="page number"/>
    <w:basedOn w:val="Numatytasispastraiposriftas"/>
    <w:rsid w:val="005427AE"/>
  </w:style>
  <w:style w:type="paragraph" w:customStyle="1" w:styleId="listssp">
    <w:name w:val="list:ssp"/>
    <w:basedOn w:val="prastasis"/>
    <w:rsid w:val="005427AE"/>
    <w:pPr>
      <w:spacing w:after="0" w:line="240" w:lineRule="auto"/>
    </w:pPr>
    <w:rPr>
      <w:rFonts w:ascii="Times New Roman" w:eastAsia="Times New Roman" w:hAnsi="Times New Roman"/>
      <w:sz w:val="24"/>
      <w:szCs w:val="20"/>
      <w:lang w:val="en-GB" w:eastAsia="en-GB"/>
    </w:rPr>
  </w:style>
  <w:style w:type="paragraph" w:styleId="prastasiniatinklio">
    <w:name w:val="Normal (Web)"/>
    <w:basedOn w:val="prastasis"/>
    <w:rsid w:val="005427AE"/>
    <w:pPr>
      <w:spacing w:before="100" w:beforeAutospacing="1" w:after="100" w:afterAutospacing="1" w:line="240" w:lineRule="auto"/>
    </w:pPr>
    <w:rPr>
      <w:rFonts w:ascii="Times New Roman" w:eastAsia="Times New Roman" w:hAnsi="Times New Roman"/>
      <w:sz w:val="24"/>
      <w:szCs w:val="24"/>
      <w:lang w:val="de-DE" w:eastAsia="de-DE"/>
    </w:rPr>
  </w:style>
  <w:style w:type="paragraph" w:styleId="Pavadinimas">
    <w:name w:val="Title"/>
    <w:basedOn w:val="prastasis"/>
    <w:link w:val="PavadinimasDiagrama"/>
    <w:qFormat/>
    <w:rsid w:val="005427AE"/>
    <w:pPr>
      <w:spacing w:after="0" w:line="240" w:lineRule="auto"/>
      <w:jc w:val="center"/>
    </w:pPr>
    <w:rPr>
      <w:rFonts w:ascii="Times New Roman" w:eastAsia="Times New Roman" w:hAnsi="Times New Roman"/>
      <w:b/>
      <w:szCs w:val="20"/>
      <w:lang w:val="en-GB"/>
    </w:rPr>
  </w:style>
  <w:style w:type="character" w:customStyle="1" w:styleId="PavadinimasDiagrama">
    <w:name w:val="Pavadinimas Diagrama"/>
    <w:link w:val="Pavadinimas"/>
    <w:rsid w:val="005427AE"/>
    <w:rPr>
      <w:rFonts w:ascii="Times New Roman" w:eastAsia="Times New Roman" w:hAnsi="Times New Roman" w:cs="Times New Roman"/>
      <w:b/>
      <w:szCs w:val="20"/>
      <w:lang w:val="en-GB"/>
    </w:rPr>
  </w:style>
  <w:style w:type="character" w:styleId="Hipersaitas">
    <w:name w:val="Hyperlink"/>
    <w:uiPriority w:val="99"/>
    <w:rsid w:val="005427AE"/>
    <w:rPr>
      <w:color w:val="0000FF"/>
      <w:u w:val="single"/>
    </w:rPr>
  </w:style>
  <w:style w:type="paragraph" w:customStyle="1" w:styleId="Normal11pt">
    <w:name w:val="Normal + 11 pt"/>
    <w:basedOn w:val="Pagrindinistekstas"/>
    <w:rsid w:val="005427AE"/>
    <w:pPr>
      <w:spacing w:after="0"/>
    </w:pPr>
    <w:rPr>
      <w:sz w:val="22"/>
      <w:szCs w:val="22"/>
      <w:lang w:eastAsia="ar-SA"/>
    </w:rPr>
  </w:style>
  <w:style w:type="paragraph" w:customStyle="1" w:styleId="BTEMEASMCA">
    <w:name w:val="BT EMEA_SMCA"/>
    <w:basedOn w:val="prastasis"/>
    <w:link w:val="BTEMEASMCAChar"/>
    <w:rsid w:val="005427AE"/>
    <w:pPr>
      <w:widowControl w:val="0"/>
      <w:suppressAutoHyphens/>
      <w:spacing w:after="0" w:line="240" w:lineRule="auto"/>
    </w:pPr>
    <w:rPr>
      <w:rFonts w:ascii="Times New Roman" w:eastAsia="Lucida Sans Unicode" w:hAnsi="Times New Roman"/>
      <w:lang w:val="lt-LT"/>
    </w:rPr>
  </w:style>
  <w:style w:type="paragraph" w:styleId="Debesliotekstas">
    <w:name w:val="Balloon Text"/>
    <w:basedOn w:val="prastasis"/>
    <w:link w:val="DebesliotekstasDiagrama"/>
    <w:semiHidden/>
    <w:rsid w:val="005427AE"/>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link w:val="Debesliotekstas"/>
    <w:semiHidden/>
    <w:rsid w:val="005427AE"/>
    <w:rPr>
      <w:rFonts w:ascii="Tahoma" w:eastAsia="Times New Roman" w:hAnsi="Tahoma" w:cs="Tahoma"/>
      <w:sz w:val="16"/>
      <w:szCs w:val="16"/>
      <w:lang w:val="en-GB"/>
    </w:rPr>
  </w:style>
  <w:style w:type="paragraph" w:customStyle="1" w:styleId="PI-1EMEASMCA">
    <w:name w:val="PI-1 EMEA_SMCA"/>
    <w:basedOn w:val="Antrat2"/>
    <w:autoRedefine/>
    <w:rsid w:val="005427AE"/>
    <w:pPr>
      <w:widowControl/>
      <w:tabs>
        <w:tab w:val="left" w:pos="567"/>
      </w:tabs>
      <w:spacing w:before="0" w:after="0"/>
      <w:ind w:left="567" w:hanging="567"/>
    </w:pPr>
    <w:rPr>
      <w:kern w:val="0"/>
      <w:sz w:val="22"/>
      <w:szCs w:val="22"/>
      <w:lang w:val="lt-LT"/>
    </w:rPr>
  </w:style>
  <w:style w:type="paragraph" w:customStyle="1" w:styleId="PI-2EMEASMCA">
    <w:name w:val="PI-2 EMEA_SMCA"/>
    <w:basedOn w:val="Antrat3"/>
    <w:autoRedefine/>
    <w:rsid w:val="005427AE"/>
    <w:pPr>
      <w:keepLines/>
      <w:widowControl/>
      <w:tabs>
        <w:tab w:val="left" w:pos="567"/>
      </w:tabs>
      <w:spacing w:before="0" w:after="0"/>
      <w:ind w:left="567" w:hanging="567"/>
    </w:pPr>
    <w:rPr>
      <w:sz w:val="22"/>
      <w:szCs w:val="22"/>
      <w:lang w:val="lt-LT"/>
    </w:rPr>
  </w:style>
  <w:style w:type="paragraph" w:customStyle="1" w:styleId="TTEMEASMCA">
    <w:name w:val="TT EMEA_SMCA"/>
    <w:basedOn w:val="Antrat1"/>
    <w:link w:val="TTEMEASMCAChar"/>
    <w:autoRedefine/>
    <w:rsid w:val="005427A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5427AE"/>
    <w:rPr>
      <w:rFonts w:ascii="Times New Roman" w:eastAsia="Times New Roman" w:hAnsi="Times New Roman" w:cs="Times New Roman"/>
      <w:b/>
      <w:caps/>
    </w:rPr>
  </w:style>
  <w:style w:type="paragraph" w:customStyle="1" w:styleId="BTAnIIEMEASMCA">
    <w:name w:val="BT(AnII) EMEA_SMCA"/>
    <w:basedOn w:val="Debesliotekstas"/>
    <w:autoRedefine/>
    <w:rsid w:val="005427AE"/>
    <w:pPr>
      <w:tabs>
        <w:tab w:val="left" w:pos="1701"/>
      </w:tabs>
      <w:ind w:left="1701" w:hanging="567"/>
    </w:pPr>
    <w:rPr>
      <w:rFonts w:ascii="Times New Roman" w:hAnsi="Times New Roman"/>
      <w:b/>
      <w:sz w:val="22"/>
      <w:szCs w:val="22"/>
    </w:rPr>
  </w:style>
  <w:style w:type="character" w:customStyle="1" w:styleId="BTEMEASMCAChar">
    <w:name w:val="BT EMEA_SMCA Char"/>
    <w:link w:val="BTEMEASMCA"/>
    <w:rsid w:val="005427AE"/>
    <w:rPr>
      <w:rFonts w:ascii="Times New Roman" w:eastAsia="Lucida Sans Unicode" w:hAnsi="Times New Roman" w:cs="Times New Roman"/>
      <w:lang w:val="lt-LT"/>
    </w:rPr>
  </w:style>
  <w:style w:type="paragraph" w:customStyle="1" w:styleId="BTuEMEASMCA">
    <w:name w:val="BT(u) EMEA_SMCA"/>
    <w:basedOn w:val="BTEMEASMCA"/>
    <w:autoRedefine/>
    <w:rsid w:val="005427AE"/>
    <w:pPr>
      <w:widowControl/>
      <w:suppressAutoHyphens w:val="0"/>
    </w:pPr>
    <w:rPr>
      <w:rFonts w:eastAsia="Times New Roman"/>
      <w:u w:val="single"/>
    </w:rPr>
  </w:style>
  <w:style w:type="numbering" w:customStyle="1" w:styleId="NoList11">
    <w:name w:val="No List11"/>
    <w:next w:val="Sraonra"/>
    <w:uiPriority w:val="99"/>
    <w:semiHidden/>
    <w:unhideWhenUsed/>
    <w:rsid w:val="005427AE"/>
  </w:style>
  <w:style w:type="numbering" w:customStyle="1" w:styleId="Sraonra11">
    <w:name w:val="Sąrašo nėra11"/>
    <w:next w:val="Sraonra"/>
    <w:uiPriority w:val="99"/>
    <w:semiHidden/>
    <w:unhideWhenUsed/>
    <w:rsid w:val="005427AE"/>
  </w:style>
  <w:style w:type="numbering" w:customStyle="1" w:styleId="Sraonra111">
    <w:name w:val="Sąrašo nėra111"/>
    <w:next w:val="Sraonra"/>
    <w:semiHidden/>
    <w:rsid w:val="005427AE"/>
  </w:style>
  <w:style w:type="paragraph" w:styleId="Dokumentoinaostekstas">
    <w:name w:val="endnote text"/>
    <w:basedOn w:val="prastasis"/>
    <w:next w:val="prastasis"/>
    <w:link w:val="DokumentoinaostekstasDiagrama"/>
    <w:rsid w:val="005427AE"/>
    <w:pPr>
      <w:spacing w:after="0" w:line="240" w:lineRule="auto"/>
    </w:pPr>
    <w:rPr>
      <w:rFonts w:ascii="Times New Roman" w:hAnsi="Times New Roman"/>
      <w:szCs w:val="20"/>
      <w:lang w:eastAsia="ja-JP"/>
    </w:rPr>
  </w:style>
  <w:style w:type="character" w:customStyle="1" w:styleId="DokumentoinaostekstasDiagrama">
    <w:name w:val="Dokumento išnašos tekstas Diagrama"/>
    <w:link w:val="Dokumentoinaostekstas"/>
    <w:rsid w:val="005427AE"/>
    <w:rPr>
      <w:rFonts w:ascii="Times New Roman" w:eastAsia="Calibri" w:hAnsi="Times New Roman" w:cs="Times New Roman"/>
      <w:szCs w:val="20"/>
      <w:lang w:eastAsia="ja-JP"/>
    </w:rPr>
  </w:style>
  <w:style w:type="paragraph" w:customStyle="1" w:styleId="Text">
    <w:name w:val="Text"/>
    <w:rsid w:val="00151F06"/>
    <w:pPr>
      <w:suppressAutoHyphens/>
    </w:pPr>
    <w:rPr>
      <w:rFonts w:ascii="Arial" w:hAnsi="Arial"/>
      <w:lang w:val="en-GB"/>
    </w:rPr>
  </w:style>
  <w:style w:type="character" w:styleId="Grietas">
    <w:name w:val="Strong"/>
    <w:qFormat/>
    <w:rsid w:val="005427AE"/>
    <w:rPr>
      <w:b/>
    </w:rPr>
  </w:style>
  <w:style w:type="paragraph" w:customStyle="1" w:styleId="TextTi10">
    <w:name w:val="Text:Ti10"/>
    <w:basedOn w:val="prastasis"/>
    <w:link w:val="TextTi10Char"/>
    <w:rsid w:val="005427AE"/>
    <w:pPr>
      <w:spacing w:after="0" w:line="240" w:lineRule="auto"/>
    </w:pPr>
    <w:rPr>
      <w:rFonts w:ascii="Times New Roman" w:hAnsi="Times New Roman"/>
      <w:sz w:val="20"/>
      <w:szCs w:val="20"/>
      <w:lang w:val="lt-LT" w:eastAsia="ja-JP"/>
    </w:rPr>
  </w:style>
  <w:style w:type="character" w:customStyle="1" w:styleId="TextTi10Char">
    <w:name w:val="Text:Ti10 Char"/>
    <w:link w:val="TextTi10"/>
    <w:locked/>
    <w:rsid w:val="005427AE"/>
    <w:rPr>
      <w:rFonts w:ascii="Times New Roman" w:eastAsia="Calibri" w:hAnsi="Times New Roman" w:cs="Times New Roman"/>
      <w:sz w:val="20"/>
      <w:szCs w:val="20"/>
      <w:lang w:val="lt-LT" w:eastAsia="ja-JP"/>
    </w:rPr>
  </w:style>
  <w:style w:type="character" w:styleId="Komentaronuoroda">
    <w:name w:val="annotation reference"/>
    <w:rsid w:val="005427AE"/>
    <w:rPr>
      <w:sz w:val="16"/>
    </w:rPr>
  </w:style>
  <w:style w:type="paragraph" w:styleId="Komentarotekstas">
    <w:name w:val="annotation text"/>
    <w:basedOn w:val="prastasis"/>
    <w:link w:val="KomentarotekstasDiagrama"/>
    <w:rsid w:val="00581BF7"/>
    <w:rPr>
      <w:rFonts w:eastAsia="Times New Roman"/>
      <w:sz w:val="20"/>
      <w:szCs w:val="20"/>
    </w:rPr>
  </w:style>
  <w:style w:type="character" w:customStyle="1" w:styleId="KomentarotekstasDiagrama">
    <w:name w:val="Komentaro tekstas Diagrama"/>
    <w:link w:val="Komentarotekstas"/>
    <w:rsid w:val="005427AE"/>
    <w:rPr>
      <w:rFonts w:eastAsia="Times New Roman"/>
      <w:lang w:eastAsia="en-US"/>
    </w:rPr>
  </w:style>
  <w:style w:type="paragraph" w:styleId="Komentarotema">
    <w:name w:val="annotation subject"/>
    <w:basedOn w:val="Komentarotekstas"/>
    <w:next w:val="Komentarotekstas"/>
    <w:link w:val="KomentarotemaDiagrama"/>
    <w:rsid w:val="005427AE"/>
    <w:rPr>
      <w:b/>
      <w:bCs/>
    </w:rPr>
  </w:style>
  <w:style w:type="character" w:customStyle="1" w:styleId="KomentarotemaDiagrama">
    <w:name w:val="Komentaro tema Diagrama"/>
    <w:link w:val="Komentarotema"/>
    <w:rsid w:val="005427AE"/>
    <w:rPr>
      <w:rFonts w:ascii="Calibri" w:eastAsia="Times New Roman" w:hAnsi="Calibri" w:cs="Times New Roman"/>
      <w:b/>
      <w:bCs/>
      <w:sz w:val="20"/>
      <w:szCs w:val="20"/>
    </w:rPr>
  </w:style>
  <w:style w:type="paragraph" w:styleId="Betarp">
    <w:name w:val="No Spacing"/>
    <w:uiPriority w:val="1"/>
    <w:qFormat/>
    <w:rsid w:val="00151F06"/>
    <w:rPr>
      <w:sz w:val="22"/>
      <w:szCs w:val="22"/>
      <w:lang w:eastAsia="en-US"/>
    </w:rPr>
  </w:style>
  <w:style w:type="paragraph" w:styleId="Paprastasistekstas">
    <w:name w:val="Plain Text"/>
    <w:basedOn w:val="prastasis"/>
    <w:link w:val="PaprastasistekstasDiagrama"/>
    <w:uiPriority w:val="99"/>
    <w:unhideWhenUsed/>
    <w:rsid w:val="00581BF7"/>
    <w:pPr>
      <w:spacing w:after="0" w:line="240" w:lineRule="auto"/>
    </w:pPr>
    <w:rPr>
      <w:rFonts w:cs="Consolas"/>
      <w:szCs w:val="21"/>
    </w:rPr>
  </w:style>
  <w:style w:type="character" w:customStyle="1" w:styleId="PaprastasistekstasDiagrama">
    <w:name w:val="Paprastasis tekstas Diagrama"/>
    <w:link w:val="Paprastasistekstas"/>
    <w:uiPriority w:val="99"/>
    <w:rsid w:val="005427AE"/>
    <w:rPr>
      <w:rFonts w:cs="Consolas"/>
      <w:sz w:val="22"/>
      <w:szCs w:val="21"/>
      <w:lang w:eastAsia="en-US"/>
    </w:rPr>
  </w:style>
  <w:style w:type="table" w:styleId="Lentelstinklelis">
    <w:name w:val="Table Grid"/>
    <w:basedOn w:val="prastojilentel"/>
    <w:uiPriority w:val="39"/>
    <w:rsid w:val="005427AE"/>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51F06"/>
    <w:rPr>
      <w:sz w:val="22"/>
      <w:szCs w:val="22"/>
      <w:lang w:val="lt-LT" w:eastAsia="en-US"/>
    </w:rPr>
  </w:style>
  <w:style w:type="paragraph" w:customStyle="1" w:styleId="Default">
    <w:name w:val="Default"/>
    <w:rsid w:val="00151F06"/>
    <w:pPr>
      <w:autoSpaceDE w:val="0"/>
      <w:autoSpaceDN w:val="0"/>
      <w:adjustRightInd w:val="0"/>
    </w:pPr>
    <w:rPr>
      <w:rFonts w:ascii="Times New Roman" w:hAnsi="Times New Roman"/>
      <w:color w:val="000000"/>
      <w:sz w:val="24"/>
      <w:szCs w:val="24"/>
      <w:lang w:eastAsia="en-US"/>
    </w:rPr>
  </w:style>
  <w:style w:type="paragraph" w:styleId="Sraopastraipa">
    <w:name w:val="List Paragraph"/>
    <w:basedOn w:val="prastasis"/>
    <w:uiPriority w:val="34"/>
    <w:qFormat/>
    <w:rsid w:val="00A06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05783">
      <w:bodyDiv w:val="1"/>
      <w:marLeft w:val="0"/>
      <w:marRight w:val="0"/>
      <w:marTop w:val="0"/>
      <w:marBottom w:val="0"/>
      <w:divBdr>
        <w:top w:val="none" w:sz="0" w:space="0" w:color="auto"/>
        <w:left w:val="none" w:sz="0" w:space="0" w:color="auto"/>
        <w:bottom w:val="none" w:sz="0" w:space="0" w:color="auto"/>
        <w:right w:val="none" w:sz="0" w:space="0" w:color="auto"/>
      </w:divBdr>
    </w:div>
    <w:div w:id="11864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vkt.lt/index.php?1399030386" TargetMode="External"/><Relationship Id="rId5" Type="http://schemas.openxmlformats.org/officeDocument/2006/relationships/webSettings" Target="webSettings.xml"/><Relationship Id="rId15" Type="http://schemas.openxmlformats.org/officeDocument/2006/relationships/hyperlink" Target="https://www.vvkt.lt/index.php?4004286486"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55CF-D000-4BF2-95B1-6D3C96C93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53126</Words>
  <Characters>30283</Characters>
  <Application>Microsoft Office Word</Application>
  <DocSecurity>0</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83243</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rtiwari</dc:creator>
  <cp:lastModifiedBy>Albina Burkauskaitė</cp:lastModifiedBy>
  <cp:revision>3</cp:revision>
  <dcterms:created xsi:type="dcterms:W3CDTF">2023-03-27T07:24:00Z</dcterms:created>
  <dcterms:modified xsi:type="dcterms:W3CDTF">2023-03-27T07:39:00Z</dcterms:modified>
</cp:coreProperties>
</file>