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62E70" w14:textId="77777777" w:rsidR="00A27597" w:rsidRPr="00CE7679" w:rsidRDefault="00A27597" w:rsidP="00A27597">
      <w:pPr>
        <w:outlineLvl w:val="0"/>
        <w:rPr>
          <w:b/>
          <w:szCs w:val="22"/>
        </w:rPr>
      </w:pPr>
    </w:p>
    <w:p w14:paraId="64906018" w14:textId="77777777" w:rsidR="00A27597" w:rsidRPr="00CE7679" w:rsidRDefault="00A27597" w:rsidP="00A27597">
      <w:pPr>
        <w:outlineLvl w:val="0"/>
        <w:rPr>
          <w:b/>
          <w:szCs w:val="22"/>
        </w:rPr>
      </w:pPr>
    </w:p>
    <w:p w14:paraId="11C357A8" w14:textId="77777777" w:rsidR="00A27597" w:rsidRPr="00CE7679" w:rsidRDefault="00A27597" w:rsidP="00A27597">
      <w:pPr>
        <w:outlineLvl w:val="0"/>
        <w:rPr>
          <w:b/>
          <w:szCs w:val="22"/>
        </w:rPr>
      </w:pPr>
    </w:p>
    <w:p w14:paraId="0E0680D5" w14:textId="77777777" w:rsidR="00A27597" w:rsidRPr="00CE7679" w:rsidRDefault="00A27597" w:rsidP="00A27597">
      <w:pPr>
        <w:outlineLvl w:val="0"/>
        <w:rPr>
          <w:b/>
          <w:szCs w:val="22"/>
        </w:rPr>
      </w:pPr>
    </w:p>
    <w:p w14:paraId="2A8912B8" w14:textId="77777777" w:rsidR="00A27597" w:rsidRPr="00CE7679" w:rsidRDefault="00A27597" w:rsidP="00A27597">
      <w:pPr>
        <w:tabs>
          <w:tab w:val="left" w:pos="-1440"/>
          <w:tab w:val="left" w:pos="-720"/>
        </w:tabs>
        <w:rPr>
          <w:b/>
          <w:szCs w:val="22"/>
        </w:rPr>
      </w:pPr>
    </w:p>
    <w:p w14:paraId="679FDE2E" w14:textId="77777777" w:rsidR="00A27597" w:rsidRPr="00CE7679" w:rsidRDefault="00A27597" w:rsidP="00A27597">
      <w:pPr>
        <w:tabs>
          <w:tab w:val="left" w:pos="-1440"/>
          <w:tab w:val="left" w:pos="-720"/>
        </w:tabs>
        <w:rPr>
          <w:b/>
          <w:szCs w:val="22"/>
        </w:rPr>
      </w:pPr>
    </w:p>
    <w:p w14:paraId="7B1B7388" w14:textId="77777777" w:rsidR="00A27597" w:rsidRPr="00CE7679" w:rsidRDefault="00A27597" w:rsidP="00A27597">
      <w:pPr>
        <w:tabs>
          <w:tab w:val="left" w:pos="-1440"/>
          <w:tab w:val="left" w:pos="-720"/>
        </w:tabs>
        <w:rPr>
          <w:b/>
          <w:szCs w:val="22"/>
        </w:rPr>
      </w:pPr>
    </w:p>
    <w:p w14:paraId="672C2D07" w14:textId="77777777" w:rsidR="00A27597" w:rsidRPr="00CE7679" w:rsidRDefault="00A27597" w:rsidP="00A27597">
      <w:pPr>
        <w:tabs>
          <w:tab w:val="left" w:pos="-1440"/>
          <w:tab w:val="left" w:pos="-720"/>
        </w:tabs>
        <w:rPr>
          <w:b/>
          <w:szCs w:val="22"/>
        </w:rPr>
      </w:pPr>
    </w:p>
    <w:p w14:paraId="24C852DE" w14:textId="77777777" w:rsidR="00A27597" w:rsidRPr="00CE7679" w:rsidRDefault="00A27597" w:rsidP="00A27597">
      <w:pPr>
        <w:tabs>
          <w:tab w:val="left" w:pos="-1440"/>
          <w:tab w:val="left" w:pos="-720"/>
        </w:tabs>
        <w:rPr>
          <w:b/>
          <w:szCs w:val="22"/>
        </w:rPr>
      </w:pPr>
    </w:p>
    <w:p w14:paraId="341FC2A6" w14:textId="77777777" w:rsidR="00A27597" w:rsidRPr="00CE7679" w:rsidRDefault="00A27597" w:rsidP="00A27597">
      <w:pPr>
        <w:tabs>
          <w:tab w:val="left" w:pos="-1440"/>
          <w:tab w:val="left" w:pos="-720"/>
        </w:tabs>
        <w:rPr>
          <w:b/>
          <w:szCs w:val="22"/>
        </w:rPr>
      </w:pPr>
    </w:p>
    <w:p w14:paraId="417B3664" w14:textId="77777777" w:rsidR="00A27597" w:rsidRPr="00CE7679" w:rsidRDefault="00A27597" w:rsidP="00A27597">
      <w:pPr>
        <w:tabs>
          <w:tab w:val="left" w:pos="-1440"/>
          <w:tab w:val="left" w:pos="-720"/>
        </w:tabs>
        <w:rPr>
          <w:b/>
          <w:szCs w:val="22"/>
        </w:rPr>
      </w:pPr>
    </w:p>
    <w:p w14:paraId="2EE27D3C" w14:textId="77777777" w:rsidR="00A27597" w:rsidRPr="00CE7679" w:rsidRDefault="00A27597" w:rsidP="00A27597">
      <w:pPr>
        <w:tabs>
          <w:tab w:val="left" w:pos="-1440"/>
          <w:tab w:val="left" w:pos="-720"/>
        </w:tabs>
        <w:rPr>
          <w:b/>
          <w:szCs w:val="22"/>
        </w:rPr>
      </w:pPr>
    </w:p>
    <w:p w14:paraId="41EB37A5" w14:textId="77777777" w:rsidR="00A27597" w:rsidRPr="00CE7679" w:rsidRDefault="00A27597" w:rsidP="00A27597">
      <w:pPr>
        <w:tabs>
          <w:tab w:val="left" w:pos="-1440"/>
          <w:tab w:val="left" w:pos="-720"/>
        </w:tabs>
        <w:rPr>
          <w:b/>
          <w:szCs w:val="22"/>
        </w:rPr>
      </w:pPr>
    </w:p>
    <w:p w14:paraId="77C28E67" w14:textId="77777777" w:rsidR="00A27597" w:rsidRPr="00CE7679" w:rsidRDefault="00A27597" w:rsidP="00A27597">
      <w:pPr>
        <w:tabs>
          <w:tab w:val="left" w:pos="-1440"/>
          <w:tab w:val="left" w:pos="-720"/>
        </w:tabs>
        <w:rPr>
          <w:b/>
          <w:szCs w:val="22"/>
        </w:rPr>
      </w:pPr>
    </w:p>
    <w:p w14:paraId="7DDE00F9" w14:textId="77777777" w:rsidR="00A27597" w:rsidRPr="00CE7679" w:rsidRDefault="00A27597" w:rsidP="00A27597">
      <w:pPr>
        <w:tabs>
          <w:tab w:val="left" w:pos="-1440"/>
          <w:tab w:val="left" w:pos="-720"/>
        </w:tabs>
        <w:rPr>
          <w:b/>
          <w:szCs w:val="22"/>
        </w:rPr>
      </w:pPr>
    </w:p>
    <w:p w14:paraId="48D83E87" w14:textId="77777777" w:rsidR="00A27597" w:rsidRPr="00CE7679" w:rsidRDefault="00A27597" w:rsidP="00A27597">
      <w:pPr>
        <w:tabs>
          <w:tab w:val="left" w:pos="-1440"/>
          <w:tab w:val="left" w:pos="-720"/>
        </w:tabs>
        <w:rPr>
          <w:b/>
          <w:szCs w:val="22"/>
        </w:rPr>
      </w:pPr>
    </w:p>
    <w:p w14:paraId="2AE39471" w14:textId="77777777" w:rsidR="00A27597" w:rsidRPr="00CE7679" w:rsidRDefault="00A27597" w:rsidP="00A27597">
      <w:pPr>
        <w:tabs>
          <w:tab w:val="left" w:pos="-1440"/>
          <w:tab w:val="left" w:pos="-720"/>
        </w:tabs>
        <w:rPr>
          <w:b/>
          <w:szCs w:val="22"/>
        </w:rPr>
      </w:pPr>
    </w:p>
    <w:p w14:paraId="77C26CE4" w14:textId="77777777" w:rsidR="00A27597" w:rsidRPr="00CE7679" w:rsidRDefault="00A27597" w:rsidP="00A27597">
      <w:pPr>
        <w:tabs>
          <w:tab w:val="left" w:pos="-1440"/>
          <w:tab w:val="left" w:pos="-720"/>
        </w:tabs>
        <w:rPr>
          <w:b/>
          <w:szCs w:val="22"/>
        </w:rPr>
      </w:pPr>
    </w:p>
    <w:p w14:paraId="78D86FB8" w14:textId="77777777" w:rsidR="00A27597" w:rsidRPr="00CE7679" w:rsidRDefault="00A27597" w:rsidP="00A27597">
      <w:pPr>
        <w:tabs>
          <w:tab w:val="left" w:pos="-1440"/>
          <w:tab w:val="left" w:pos="-720"/>
        </w:tabs>
        <w:rPr>
          <w:b/>
          <w:szCs w:val="22"/>
        </w:rPr>
      </w:pPr>
    </w:p>
    <w:p w14:paraId="2242E0A7" w14:textId="77777777" w:rsidR="00A27597" w:rsidRPr="00CE7679" w:rsidRDefault="00A27597" w:rsidP="00A27597">
      <w:pPr>
        <w:tabs>
          <w:tab w:val="left" w:pos="-1440"/>
          <w:tab w:val="left" w:pos="-720"/>
        </w:tabs>
        <w:rPr>
          <w:b/>
          <w:szCs w:val="22"/>
        </w:rPr>
      </w:pPr>
    </w:p>
    <w:p w14:paraId="7AB1356A" w14:textId="77777777" w:rsidR="00A27597" w:rsidRPr="00CE7679" w:rsidRDefault="00A27597" w:rsidP="00A27597">
      <w:pPr>
        <w:tabs>
          <w:tab w:val="left" w:pos="-1440"/>
          <w:tab w:val="left" w:pos="-720"/>
        </w:tabs>
        <w:rPr>
          <w:b/>
          <w:szCs w:val="22"/>
        </w:rPr>
      </w:pPr>
    </w:p>
    <w:p w14:paraId="7B5B2009" w14:textId="77777777" w:rsidR="00A27597" w:rsidRPr="00CE7679" w:rsidRDefault="00A27597" w:rsidP="00A27597">
      <w:pPr>
        <w:tabs>
          <w:tab w:val="left" w:pos="-1440"/>
          <w:tab w:val="left" w:pos="-720"/>
        </w:tabs>
        <w:rPr>
          <w:b/>
          <w:szCs w:val="22"/>
        </w:rPr>
      </w:pPr>
    </w:p>
    <w:p w14:paraId="71E8F546" w14:textId="77777777" w:rsidR="00A27597" w:rsidRPr="00CE7679" w:rsidRDefault="00A27597" w:rsidP="00A27597">
      <w:pPr>
        <w:pStyle w:val="Antrat2"/>
        <w:spacing w:before="0" w:after="0" w:line="240" w:lineRule="auto"/>
        <w:jc w:val="center"/>
        <w:rPr>
          <w:rFonts w:ascii="Times New Roman" w:hAnsi="Times New Roman"/>
          <w:i w:val="0"/>
          <w:sz w:val="22"/>
          <w:szCs w:val="22"/>
        </w:rPr>
      </w:pPr>
    </w:p>
    <w:p w14:paraId="11166FF3" w14:textId="77777777" w:rsidR="00A27597" w:rsidRPr="00CE7679" w:rsidRDefault="00A27597" w:rsidP="00A27597">
      <w:pPr>
        <w:pStyle w:val="Antrat2"/>
        <w:spacing w:before="0" w:after="0" w:line="240" w:lineRule="auto"/>
        <w:jc w:val="center"/>
        <w:rPr>
          <w:rFonts w:ascii="Times New Roman" w:hAnsi="Times New Roman"/>
          <w:bCs w:val="0"/>
          <w:i w:val="0"/>
          <w:iCs w:val="0"/>
          <w:sz w:val="22"/>
          <w:szCs w:val="22"/>
        </w:rPr>
      </w:pPr>
      <w:r w:rsidRPr="00CE7679">
        <w:rPr>
          <w:rFonts w:ascii="Times New Roman" w:hAnsi="Times New Roman"/>
          <w:i w:val="0"/>
          <w:sz w:val="22"/>
          <w:szCs w:val="22"/>
        </w:rPr>
        <w:t>I PRIEDAS</w:t>
      </w:r>
    </w:p>
    <w:p w14:paraId="24D177F3" w14:textId="77777777" w:rsidR="00A27597" w:rsidRPr="00CE7679" w:rsidRDefault="00A27597" w:rsidP="00A27597">
      <w:pPr>
        <w:spacing w:line="240" w:lineRule="auto"/>
        <w:rPr>
          <w:szCs w:val="22"/>
        </w:rPr>
      </w:pPr>
    </w:p>
    <w:p w14:paraId="12F3615F" w14:textId="77777777" w:rsidR="00A27597" w:rsidRPr="00CE7679" w:rsidRDefault="00A27597" w:rsidP="00A27597">
      <w:pPr>
        <w:tabs>
          <w:tab w:val="left" w:pos="-1440"/>
          <w:tab w:val="left" w:pos="-720"/>
        </w:tabs>
        <w:jc w:val="center"/>
        <w:rPr>
          <w:b/>
          <w:szCs w:val="22"/>
        </w:rPr>
      </w:pPr>
      <w:r w:rsidRPr="00CE7679">
        <w:rPr>
          <w:b/>
          <w:szCs w:val="22"/>
        </w:rPr>
        <w:t>PREPARATO CHARAKTERISTIKŲ SANTRAUKA</w:t>
      </w:r>
    </w:p>
    <w:p w14:paraId="1DEB46EA" w14:textId="77777777" w:rsidR="00A27597" w:rsidRPr="00CE7679" w:rsidRDefault="00A27597" w:rsidP="00A27597">
      <w:pPr>
        <w:tabs>
          <w:tab w:val="left" w:pos="-1440"/>
          <w:tab w:val="left" w:pos="-720"/>
        </w:tabs>
        <w:rPr>
          <w:szCs w:val="22"/>
        </w:rPr>
      </w:pPr>
      <w:r w:rsidRPr="00CE7679">
        <w:rPr>
          <w:szCs w:val="22"/>
          <w:lang w:eastAsia="zh-CN"/>
        </w:rPr>
        <w:br w:type="page"/>
      </w:r>
    </w:p>
    <w:p w14:paraId="660C4AD5" w14:textId="77777777" w:rsidR="00A27597" w:rsidRPr="00CE7679" w:rsidRDefault="00A27597" w:rsidP="00A27597">
      <w:pPr>
        <w:autoSpaceDE w:val="0"/>
        <w:autoSpaceDN w:val="0"/>
        <w:adjustRightInd w:val="0"/>
        <w:spacing w:line="240" w:lineRule="auto"/>
        <w:rPr>
          <w:rFonts w:eastAsia="Calibri"/>
          <w:snapToGrid/>
          <w:szCs w:val="22"/>
          <w:lang w:eastAsia="lt-LT"/>
        </w:rPr>
      </w:pPr>
      <w:r w:rsidRPr="00CE7679">
        <w:rPr>
          <w:rFonts w:eastAsia="Calibri"/>
          <w:b/>
          <w:bCs/>
          <w:snapToGrid/>
          <w:szCs w:val="22"/>
          <w:lang w:eastAsia="lt-LT"/>
        </w:rPr>
        <w:lastRenderedPageBreak/>
        <w:t>1.</w:t>
      </w:r>
      <w:r w:rsidRPr="00CE7679">
        <w:rPr>
          <w:rFonts w:eastAsia="Calibri"/>
          <w:b/>
          <w:bCs/>
          <w:snapToGrid/>
          <w:szCs w:val="22"/>
          <w:lang w:eastAsia="lt-LT"/>
        </w:rPr>
        <w:tab/>
        <w:t xml:space="preserve">VAISTINIO PREPARATO PAVADINIMAS </w:t>
      </w:r>
    </w:p>
    <w:p w14:paraId="009FC6B1" w14:textId="77777777" w:rsidR="00A27597" w:rsidRPr="00CE7679" w:rsidRDefault="00A27597" w:rsidP="00A27597">
      <w:pPr>
        <w:autoSpaceDE w:val="0"/>
        <w:autoSpaceDN w:val="0"/>
        <w:adjustRightInd w:val="0"/>
        <w:spacing w:line="240" w:lineRule="auto"/>
        <w:rPr>
          <w:rFonts w:eastAsia="Calibri"/>
          <w:snapToGrid/>
          <w:szCs w:val="22"/>
          <w:lang w:eastAsia="lt-LT"/>
        </w:rPr>
      </w:pPr>
    </w:p>
    <w:p w14:paraId="0C962AB4" w14:textId="77777777" w:rsidR="00A27597" w:rsidRPr="00CE7679" w:rsidRDefault="00A27597" w:rsidP="00A27597">
      <w:pPr>
        <w:autoSpaceDE w:val="0"/>
        <w:autoSpaceDN w:val="0"/>
        <w:adjustRightInd w:val="0"/>
        <w:spacing w:line="240" w:lineRule="auto"/>
        <w:rPr>
          <w:rFonts w:eastAsia="Calibri"/>
          <w:snapToGrid/>
          <w:szCs w:val="22"/>
          <w:lang w:eastAsia="lt-LT"/>
        </w:rPr>
      </w:pPr>
      <w:proofErr w:type="spellStart"/>
      <w:r w:rsidRPr="00CE7679">
        <w:rPr>
          <w:rFonts w:eastAsia="Calibri"/>
          <w:snapToGrid/>
          <w:szCs w:val="22"/>
          <w:lang w:eastAsia="lt-LT"/>
        </w:rPr>
        <w:t>Imatinib</w:t>
      </w:r>
      <w:proofErr w:type="spellEnd"/>
      <w:r w:rsidRPr="00CE7679">
        <w:rPr>
          <w:rFonts w:eastAsia="Calibri"/>
          <w:snapToGrid/>
          <w:szCs w:val="22"/>
          <w:lang w:eastAsia="lt-LT"/>
        </w:rPr>
        <w:t xml:space="preserve"> </w:t>
      </w:r>
      <w:proofErr w:type="spellStart"/>
      <w:r w:rsidRPr="00CE7679">
        <w:rPr>
          <w:rFonts w:eastAsia="Calibri"/>
          <w:snapToGrid/>
          <w:szCs w:val="22"/>
          <w:lang w:eastAsia="lt-LT"/>
        </w:rPr>
        <w:t>Sandoz</w:t>
      </w:r>
      <w:proofErr w:type="spellEnd"/>
      <w:r w:rsidRPr="00CE7679">
        <w:rPr>
          <w:rFonts w:eastAsia="Calibri"/>
          <w:snapToGrid/>
          <w:szCs w:val="22"/>
          <w:lang w:eastAsia="lt-LT"/>
        </w:rPr>
        <w:t xml:space="preserve"> 100 mg plėvele dengtos tabletės </w:t>
      </w:r>
    </w:p>
    <w:p w14:paraId="77F0E9EB" w14:textId="77777777" w:rsidR="00A27597" w:rsidRPr="00CE7679" w:rsidRDefault="00A27597" w:rsidP="00A27597">
      <w:pPr>
        <w:autoSpaceDE w:val="0"/>
        <w:autoSpaceDN w:val="0"/>
        <w:adjustRightInd w:val="0"/>
        <w:spacing w:line="240" w:lineRule="auto"/>
        <w:rPr>
          <w:rFonts w:eastAsia="Calibri"/>
          <w:snapToGrid/>
          <w:szCs w:val="22"/>
          <w:lang w:eastAsia="lt-LT"/>
        </w:rPr>
      </w:pPr>
      <w:proofErr w:type="spellStart"/>
      <w:r w:rsidRPr="00CE7679">
        <w:rPr>
          <w:rFonts w:eastAsia="Calibri"/>
          <w:snapToGrid/>
          <w:szCs w:val="22"/>
          <w:highlight w:val="lightGray"/>
          <w:lang w:eastAsia="lt-LT"/>
        </w:rPr>
        <w:t>Imatinib</w:t>
      </w:r>
      <w:proofErr w:type="spellEnd"/>
      <w:r w:rsidRPr="00CE7679">
        <w:rPr>
          <w:rFonts w:eastAsia="Calibri"/>
          <w:snapToGrid/>
          <w:szCs w:val="22"/>
          <w:highlight w:val="lightGray"/>
          <w:lang w:eastAsia="lt-LT"/>
        </w:rPr>
        <w:t xml:space="preserve"> </w:t>
      </w:r>
      <w:proofErr w:type="spellStart"/>
      <w:r w:rsidRPr="00CE7679">
        <w:rPr>
          <w:rFonts w:eastAsia="Calibri"/>
          <w:snapToGrid/>
          <w:szCs w:val="22"/>
          <w:highlight w:val="lightGray"/>
          <w:lang w:eastAsia="lt-LT"/>
        </w:rPr>
        <w:t>Sandoz</w:t>
      </w:r>
      <w:proofErr w:type="spellEnd"/>
      <w:r w:rsidRPr="00CE7679">
        <w:rPr>
          <w:rFonts w:eastAsia="Calibri"/>
          <w:snapToGrid/>
          <w:szCs w:val="22"/>
          <w:highlight w:val="lightGray"/>
          <w:lang w:eastAsia="lt-LT"/>
        </w:rPr>
        <w:t xml:space="preserve"> 400 mg plėvele dengtos tabletės</w:t>
      </w:r>
      <w:r w:rsidRPr="00CE7679">
        <w:rPr>
          <w:rFonts w:eastAsia="Calibri"/>
          <w:snapToGrid/>
          <w:szCs w:val="22"/>
          <w:lang w:eastAsia="lt-LT"/>
        </w:rPr>
        <w:t xml:space="preserve"> </w:t>
      </w:r>
    </w:p>
    <w:p w14:paraId="704AE05B" w14:textId="77777777" w:rsidR="00A27597" w:rsidRPr="00CE7679" w:rsidRDefault="00A27597" w:rsidP="00A27597">
      <w:pPr>
        <w:autoSpaceDE w:val="0"/>
        <w:autoSpaceDN w:val="0"/>
        <w:adjustRightInd w:val="0"/>
        <w:spacing w:line="240" w:lineRule="auto"/>
        <w:rPr>
          <w:rFonts w:eastAsia="Calibri"/>
          <w:b/>
          <w:bCs/>
          <w:snapToGrid/>
          <w:szCs w:val="22"/>
          <w:lang w:eastAsia="lt-LT"/>
        </w:rPr>
      </w:pPr>
    </w:p>
    <w:p w14:paraId="038DEE96" w14:textId="77777777" w:rsidR="00A27597" w:rsidRPr="00CE7679" w:rsidRDefault="00A27597" w:rsidP="00A27597">
      <w:pPr>
        <w:autoSpaceDE w:val="0"/>
        <w:autoSpaceDN w:val="0"/>
        <w:adjustRightInd w:val="0"/>
        <w:spacing w:line="240" w:lineRule="auto"/>
        <w:rPr>
          <w:rFonts w:eastAsia="Calibri"/>
          <w:b/>
          <w:bCs/>
          <w:snapToGrid/>
          <w:szCs w:val="22"/>
          <w:lang w:eastAsia="lt-LT"/>
        </w:rPr>
      </w:pPr>
    </w:p>
    <w:p w14:paraId="770696C7" w14:textId="77777777" w:rsidR="00A27597" w:rsidRPr="00CE7679" w:rsidRDefault="00A27597" w:rsidP="00A27597">
      <w:pPr>
        <w:autoSpaceDE w:val="0"/>
        <w:autoSpaceDN w:val="0"/>
        <w:adjustRightInd w:val="0"/>
        <w:spacing w:line="240" w:lineRule="auto"/>
        <w:rPr>
          <w:rFonts w:eastAsia="Calibri"/>
          <w:snapToGrid/>
          <w:szCs w:val="22"/>
          <w:lang w:eastAsia="lt-LT"/>
        </w:rPr>
      </w:pPr>
      <w:r w:rsidRPr="00CE7679">
        <w:rPr>
          <w:rFonts w:eastAsia="Calibri"/>
          <w:b/>
          <w:bCs/>
          <w:snapToGrid/>
          <w:szCs w:val="22"/>
          <w:lang w:eastAsia="lt-LT"/>
        </w:rPr>
        <w:t>2.</w:t>
      </w:r>
      <w:r w:rsidRPr="00CE7679">
        <w:rPr>
          <w:rFonts w:eastAsia="Calibri"/>
          <w:b/>
          <w:bCs/>
          <w:snapToGrid/>
          <w:szCs w:val="22"/>
          <w:lang w:eastAsia="lt-LT"/>
        </w:rPr>
        <w:tab/>
        <w:t xml:space="preserve">KOKYBINĖ IR KIEKYBINĖ SUDĖTIS </w:t>
      </w:r>
    </w:p>
    <w:p w14:paraId="52D34987" w14:textId="77777777" w:rsidR="00A27597" w:rsidRPr="00CE7679" w:rsidRDefault="00A27597" w:rsidP="00A27597">
      <w:pPr>
        <w:autoSpaceDE w:val="0"/>
        <w:autoSpaceDN w:val="0"/>
        <w:adjustRightInd w:val="0"/>
        <w:spacing w:line="240" w:lineRule="auto"/>
        <w:rPr>
          <w:rFonts w:eastAsia="Calibri"/>
          <w:snapToGrid/>
          <w:szCs w:val="22"/>
          <w:lang w:eastAsia="lt-LT"/>
        </w:rPr>
      </w:pPr>
    </w:p>
    <w:p w14:paraId="0EB895FD" w14:textId="77777777" w:rsidR="00A27597" w:rsidRPr="00CE7679" w:rsidRDefault="00A27597" w:rsidP="00A27597">
      <w:pPr>
        <w:autoSpaceDE w:val="0"/>
        <w:autoSpaceDN w:val="0"/>
        <w:adjustRightInd w:val="0"/>
        <w:spacing w:line="240" w:lineRule="auto"/>
        <w:rPr>
          <w:rFonts w:eastAsia="Calibri"/>
          <w:snapToGrid/>
          <w:szCs w:val="22"/>
          <w:lang w:eastAsia="lt-LT"/>
        </w:rPr>
      </w:pPr>
      <w:r w:rsidRPr="00CE7679">
        <w:rPr>
          <w:rFonts w:eastAsia="Calibri"/>
          <w:snapToGrid/>
          <w:szCs w:val="22"/>
          <w:lang w:eastAsia="lt-LT"/>
        </w:rPr>
        <w:t xml:space="preserve">Kiekvienoje plėvele dengtoje tabletėje yra 100 mg </w:t>
      </w:r>
      <w:proofErr w:type="spellStart"/>
      <w:r w:rsidRPr="00CE7679">
        <w:rPr>
          <w:rFonts w:eastAsia="Calibri"/>
          <w:snapToGrid/>
          <w:szCs w:val="22"/>
          <w:lang w:eastAsia="lt-LT"/>
        </w:rPr>
        <w:t>imatinibo</w:t>
      </w:r>
      <w:proofErr w:type="spellEnd"/>
      <w:r w:rsidRPr="00CE7679">
        <w:rPr>
          <w:rFonts w:eastAsia="Calibri"/>
          <w:snapToGrid/>
          <w:szCs w:val="22"/>
          <w:lang w:eastAsia="lt-LT"/>
        </w:rPr>
        <w:t xml:space="preserve"> (</w:t>
      </w:r>
      <w:proofErr w:type="spellStart"/>
      <w:r w:rsidRPr="00CE7679">
        <w:rPr>
          <w:rFonts w:eastAsia="Calibri"/>
          <w:snapToGrid/>
          <w:szCs w:val="22"/>
          <w:lang w:eastAsia="lt-LT"/>
        </w:rPr>
        <w:t>mesilato</w:t>
      </w:r>
      <w:proofErr w:type="spellEnd"/>
      <w:r w:rsidRPr="00CE7679">
        <w:rPr>
          <w:rFonts w:eastAsia="Calibri"/>
          <w:snapToGrid/>
          <w:szCs w:val="22"/>
          <w:lang w:eastAsia="lt-LT"/>
        </w:rPr>
        <w:t xml:space="preserve"> pavidalu). </w:t>
      </w:r>
    </w:p>
    <w:p w14:paraId="5A5ECB7F" w14:textId="77777777" w:rsidR="00A27597" w:rsidRPr="00CE7679" w:rsidRDefault="00A27597" w:rsidP="00A27597">
      <w:pPr>
        <w:autoSpaceDE w:val="0"/>
        <w:autoSpaceDN w:val="0"/>
        <w:adjustRightInd w:val="0"/>
        <w:spacing w:line="240" w:lineRule="auto"/>
        <w:rPr>
          <w:rFonts w:eastAsia="Calibri"/>
          <w:snapToGrid/>
          <w:szCs w:val="22"/>
          <w:lang w:eastAsia="lt-LT"/>
        </w:rPr>
      </w:pPr>
      <w:r w:rsidRPr="00CE7679">
        <w:rPr>
          <w:rFonts w:eastAsia="Calibri"/>
          <w:snapToGrid/>
          <w:szCs w:val="22"/>
          <w:highlight w:val="lightGray"/>
          <w:lang w:eastAsia="lt-LT"/>
        </w:rPr>
        <w:t xml:space="preserve">Kiekvienoje plėvele dengtoje tabletėje yra 400 mg </w:t>
      </w:r>
      <w:proofErr w:type="spellStart"/>
      <w:r w:rsidRPr="00CE7679">
        <w:rPr>
          <w:rFonts w:eastAsia="Calibri"/>
          <w:snapToGrid/>
          <w:szCs w:val="22"/>
          <w:highlight w:val="lightGray"/>
          <w:lang w:eastAsia="lt-LT"/>
        </w:rPr>
        <w:t>imatinibo</w:t>
      </w:r>
      <w:proofErr w:type="spellEnd"/>
      <w:r w:rsidRPr="00CE7679">
        <w:rPr>
          <w:rFonts w:eastAsia="Calibri"/>
          <w:snapToGrid/>
          <w:szCs w:val="22"/>
          <w:highlight w:val="lightGray"/>
          <w:lang w:eastAsia="lt-LT"/>
        </w:rPr>
        <w:t xml:space="preserve"> (</w:t>
      </w:r>
      <w:proofErr w:type="spellStart"/>
      <w:r w:rsidRPr="00CE7679">
        <w:rPr>
          <w:rFonts w:eastAsia="Calibri"/>
          <w:snapToGrid/>
          <w:szCs w:val="22"/>
          <w:highlight w:val="lightGray"/>
          <w:lang w:eastAsia="lt-LT"/>
        </w:rPr>
        <w:t>mesilato</w:t>
      </w:r>
      <w:proofErr w:type="spellEnd"/>
      <w:r w:rsidRPr="00CE7679">
        <w:rPr>
          <w:rFonts w:eastAsia="Calibri"/>
          <w:snapToGrid/>
          <w:szCs w:val="22"/>
          <w:highlight w:val="lightGray"/>
          <w:lang w:eastAsia="lt-LT"/>
        </w:rPr>
        <w:t xml:space="preserve"> pavidalu).</w:t>
      </w:r>
      <w:r w:rsidRPr="00CE7679">
        <w:rPr>
          <w:rFonts w:eastAsia="Calibri"/>
          <w:snapToGrid/>
          <w:szCs w:val="22"/>
          <w:lang w:eastAsia="lt-LT"/>
        </w:rPr>
        <w:t xml:space="preserve"> </w:t>
      </w:r>
    </w:p>
    <w:p w14:paraId="01B1B702" w14:textId="77777777" w:rsidR="00A27597" w:rsidRPr="00CE7679" w:rsidRDefault="00A27597" w:rsidP="00A27597">
      <w:pPr>
        <w:autoSpaceDE w:val="0"/>
        <w:autoSpaceDN w:val="0"/>
        <w:adjustRightInd w:val="0"/>
        <w:spacing w:line="240" w:lineRule="auto"/>
        <w:rPr>
          <w:rFonts w:eastAsia="Calibri"/>
          <w:snapToGrid/>
          <w:szCs w:val="22"/>
          <w:lang w:eastAsia="lt-LT"/>
        </w:rPr>
      </w:pPr>
    </w:p>
    <w:p w14:paraId="19C68279" w14:textId="36AFBC46" w:rsidR="00A27597" w:rsidRPr="00CE7679" w:rsidRDefault="00A27597" w:rsidP="00A27597">
      <w:pPr>
        <w:autoSpaceDE w:val="0"/>
        <w:autoSpaceDN w:val="0"/>
        <w:adjustRightInd w:val="0"/>
        <w:spacing w:line="240" w:lineRule="auto"/>
        <w:rPr>
          <w:rFonts w:eastAsia="Calibri"/>
          <w:snapToGrid/>
          <w:szCs w:val="22"/>
          <w:lang w:eastAsia="lt-LT"/>
        </w:rPr>
      </w:pPr>
      <w:r w:rsidRPr="00CE7679">
        <w:rPr>
          <w:rFonts w:eastAsia="Calibri"/>
          <w:snapToGrid/>
          <w:szCs w:val="22"/>
          <w:lang w:eastAsia="lt-LT"/>
        </w:rPr>
        <w:t>Visos pagalbinės medžiagos išvardytos 6.1</w:t>
      </w:r>
      <w:r w:rsidR="00984587">
        <w:rPr>
          <w:rFonts w:eastAsia="Calibri"/>
          <w:snapToGrid/>
          <w:szCs w:val="22"/>
          <w:lang w:eastAsia="lt-LT"/>
        </w:rPr>
        <w:t> </w:t>
      </w:r>
      <w:r w:rsidRPr="00CE7679">
        <w:rPr>
          <w:rFonts w:eastAsia="Calibri"/>
          <w:snapToGrid/>
          <w:szCs w:val="22"/>
          <w:lang w:eastAsia="lt-LT"/>
        </w:rPr>
        <w:t>skyriuje.</w:t>
      </w:r>
    </w:p>
    <w:p w14:paraId="6F881F05" w14:textId="77777777" w:rsidR="00A27597" w:rsidRPr="00CE7679" w:rsidRDefault="00A27597" w:rsidP="00A27597">
      <w:pPr>
        <w:autoSpaceDE w:val="0"/>
        <w:autoSpaceDN w:val="0"/>
        <w:adjustRightInd w:val="0"/>
        <w:spacing w:line="240" w:lineRule="auto"/>
        <w:rPr>
          <w:rFonts w:eastAsia="Calibri"/>
          <w:b/>
          <w:bCs/>
          <w:snapToGrid/>
          <w:szCs w:val="22"/>
          <w:lang w:eastAsia="lt-LT"/>
        </w:rPr>
      </w:pPr>
    </w:p>
    <w:p w14:paraId="541AE319" w14:textId="77777777" w:rsidR="00A27597" w:rsidRPr="00CE7679" w:rsidRDefault="00A27597" w:rsidP="00A27597">
      <w:pPr>
        <w:autoSpaceDE w:val="0"/>
        <w:autoSpaceDN w:val="0"/>
        <w:adjustRightInd w:val="0"/>
        <w:spacing w:line="240" w:lineRule="auto"/>
        <w:rPr>
          <w:rFonts w:eastAsia="Calibri"/>
          <w:b/>
          <w:bCs/>
          <w:snapToGrid/>
          <w:szCs w:val="22"/>
          <w:lang w:eastAsia="lt-LT"/>
        </w:rPr>
      </w:pPr>
    </w:p>
    <w:p w14:paraId="26871FA8" w14:textId="77777777" w:rsidR="00A27597" w:rsidRPr="00CE7679" w:rsidRDefault="00A27597" w:rsidP="00A27597">
      <w:pPr>
        <w:autoSpaceDE w:val="0"/>
        <w:autoSpaceDN w:val="0"/>
        <w:adjustRightInd w:val="0"/>
        <w:spacing w:line="240" w:lineRule="auto"/>
        <w:rPr>
          <w:rFonts w:eastAsia="Calibri"/>
          <w:snapToGrid/>
          <w:szCs w:val="22"/>
          <w:lang w:eastAsia="lt-LT"/>
        </w:rPr>
      </w:pPr>
      <w:r w:rsidRPr="00CE7679">
        <w:rPr>
          <w:rFonts w:eastAsia="Calibri"/>
          <w:b/>
          <w:bCs/>
          <w:snapToGrid/>
          <w:szCs w:val="22"/>
          <w:lang w:eastAsia="lt-LT"/>
        </w:rPr>
        <w:t>3.</w:t>
      </w:r>
      <w:r w:rsidRPr="00CE7679">
        <w:rPr>
          <w:rFonts w:eastAsia="Calibri"/>
          <w:b/>
          <w:bCs/>
          <w:snapToGrid/>
          <w:szCs w:val="22"/>
          <w:lang w:eastAsia="lt-LT"/>
        </w:rPr>
        <w:tab/>
        <w:t xml:space="preserve">FARMACINĖ FORMA </w:t>
      </w:r>
    </w:p>
    <w:p w14:paraId="28D64740" w14:textId="77777777" w:rsidR="00A27597" w:rsidRPr="00CE7679" w:rsidRDefault="00A27597" w:rsidP="00A27597">
      <w:pPr>
        <w:autoSpaceDE w:val="0"/>
        <w:autoSpaceDN w:val="0"/>
        <w:adjustRightInd w:val="0"/>
        <w:spacing w:line="240" w:lineRule="auto"/>
        <w:rPr>
          <w:rFonts w:eastAsia="Calibri"/>
          <w:snapToGrid/>
          <w:szCs w:val="22"/>
          <w:lang w:eastAsia="lt-LT"/>
        </w:rPr>
      </w:pPr>
    </w:p>
    <w:p w14:paraId="3F782636" w14:textId="77777777" w:rsidR="00A27597" w:rsidRPr="00CE7679" w:rsidRDefault="00A27597" w:rsidP="00A27597">
      <w:pPr>
        <w:autoSpaceDE w:val="0"/>
        <w:autoSpaceDN w:val="0"/>
        <w:adjustRightInd w:val="0"/>
        <w:spacing w:line="240" w:lineRule="auto"/>
        <w:rPr>
          <w:rFonts w:eastAsia="Calibri"/>
          <w:snapToGrid/>
          <w:szCs w:val="22"/>
          <w:lang w:eastAsia="lt-LT"/>
        </w:rPr>
      </w:pPr>
      <w:r w:rsidRPr="00CE7679">
        <w:rPr>
          <w:rFonts w:eastAsia="Calibri"/>
          <w:snapToGrid/>
          <w:szCs w:val="22"/>
          <w:lang w:eastAsia="lt-LT"/>
        </w:rPr>
        <w:t xml:space="preserve">Plėvele dengta tabletė </w:t>
      </w:r>
    </w:p>
    <w:p w14:paraId="7F5EB5C9" w14:textId="77777777" w:rsidR="00A27597" w:rsidRPr="00CE7679" w:rsidRDefault="00A27597" w:rsidP="00A27597">
      <w:pPr>
        <w:autoSpaceDE w:val="0"/>
        <w:autoSpaceDN w:val="0"/>
        <w:adjustRightInd w:val="0"/>
        <w:spacing w:line="240" w:lineRule="auto"/>
        <w:rPr>
          <w:rFonts w:eastAsia="Calibri"/>
          <w:snapToGrid/>
          <w:szCs w:val="22"/>
          <w:lang w:eastAsia="lt-LT"/>
        </w:rPr>
      </w:pPr>
    </w:p>
    <w:p w14:paraId="6F70EDDB" w14:textId="77777777" w:rsidR="00A27597" w:rsidRPr="00CE7679" w:rsidRDefault="00A27597" w:rsidP="00A27597">
      <w:pPr>
        <w:autoSpaceDE w:val="0"/>
        <w:autoSpaceDN w:val="0"/>
        <w:adjustRightInd w:val="0"/>
        <w:spacing w:line="240" w:lineRule="auto"/>
        <w:rPr>
          <w:rFonts w:eastAsia="Calibri"/>
          <w:snapToGrid/>
          <w:szCs w:val="22"/>
          <w:lang w:eastAsia="lt-LT"/>
        </w:rPr>
      </w:pPr>
      <w:r w:rsidRPr="00CE7679">
        <w:rPr>
          <w:rFonts w:eastAsia="Calibri"/>
          <w:snapToGrid/>
          <w:szCs w:val="22"/>
          <w:lang w:eastAsia="lt-LT"/>
        </w:rPr>
        <w:t xml:space="preserve">Tamsiai geltona ar rudai oranžinė, abipus išgaubta su nusklembtais kraštais, apvali, apytiksliai 9,2 mm skersmens plėvele dengta tabletė, kurios vienoje pusėje įspausta „NVR“, kitoje pusėje „SA“ ir vagelė tarp raidžių. </w:t>
      </w:r>
    </w:p>
    <w:p w14:paraId="5A61E4EA" w14:textId="77777777" w:rsidR="00A27597" w:rsidRPr="00CE7679" w:rsidRDefault="00A27597" w:rsidP="00A27597">
      <w:pPr>
        <w:autoSpaceDE w:val="0"/>
        <w:autoSpaceDN w:val="0"/>
        <w:adjustRightInd w:val="0"/>
        <w:spacing w:line="240" w:lineRule="auto"/>
        <w:rPr>
          <w:rFonts w:eastAsia="Calibri"/>
          <w:snapToGrid/>
          <w:szCs w:val="22"/>
          <w:highlight w:val="lightGray"/>
          <w:lang w:eastAsia="lt-LT"/>
        </w:rPr>
      </w:pPr>
      <w:r w:rsidRPr="00CE7679">
        <w:rPr>
          <w:rFonts w:eastAsia="Calibri"/>
          <w:snapToGrid/>
          <w:szCs w:val="22"/>
          <w:highlight w:val="lightGray"/>
          <w:lang w:eastAsia="lt-LT"/>
        </w:rPr>
        <w:t>Tamsiai geltona ar rudai oranžinė, abipus išgaubta su nusklembtais kraštais, panašios į ovalą formos, apytiksliai 19,2 mm ilgio ir 7,7 mm pločio plėvele dengta tabletė, kurios vienoje pusėje įspausta „400“, kitoje – vagelė ir prie abiejų jos šonų „SL“.</w:t>
      </w:r>
    </w:p>
    <w:p w14:paraId="7897D6AC" w14:textId="77777777" w:rsidR="00A27597" w:rsidRPr="00CE7679" w:rsidRDefault="00A27597" w:rsidP="00A27597">
      <w:pPr>
        <w:autoSpaceDE w:val="0"/>
        <w:autoSpaceDN w:val="0"/>
        <w:adjustRightInd w:val="0"/>
        <w:spacing w:line="240" w:lineRule="auto"/>
        <w:rPr>
          <w:rFonts w:eastAsia="Calibri"/>
          <w:bCs/>
          <w:snapToGrid/>
          <w:szCs w:val="22"/>
          <w:lang w:eastAsia="lt-LT"/>
        </w:rPr>
      </w:pPr>
    </w:p>
    <w:p w14:paraId="74137360" w14:textId="77777777" w:rsidR="00A27597" w:rsidRPr="00CE7679" w:rsidRDefault="00FE3C95" w:rsidP="00A27597">
      <w:pPr>
        <w:autoSpaceDE w:val="0"/>
        <w:autoSpaceDN w:val="0"/>
        <w:adjustRightInd w:val="0"/>
        <w:spacing w:line="240" w:lineRule="auto"/>
        <w:rPr>
          <w:rFonts w:eastAsia="Calibri"/>
          <w:bCs/>
          <w:snapToGrid/>
          <w:szCs w:val="22"/>
          <w:lang w:eastAsia="lt-LT"/>
        </w:rPr>
      </w:pPr>
      <w:r>
        <w:rPr>
          <w:rFonts w:eastAsia="Calibri"/>
          <w:bCs/>
          <w:snapToGrid/>
          <w:szCs w:val="22"/>
          <w:lang w:eastAsia="lt-LT"/>
        </w:rPr>
        <w:t>Plėvelę dengtą t</w:t>
      </w:r>
      <w:r w:rsidR="00A27597" w:rsidRPr="00CE7679">
        <w:rPr>
          <w:rFonts w:eastAsia="Calibri"/>
          <w:bCs/>
          <w:snapToGrid/>
          <w:szCs w:val="22"/>
          <w:lang w:eastAsia="lt-LT"/>
        </w:rPr>
        <w:t>abletę galima padalyti į lygias dozes.</w:t>
      </w:r>
    </w:p>
    <w:p w14:paraId="293E237C" w14:textId="77777777" w:rsidR="00A27597" w:rsidRPr="00CE7679" w:rsidRDefault="00A27597" w:rsidP="00A27597">
      <w:pPr>
        <w:autoSpaceDE w:val="0"/>
        <w:autoSpaceDN w:val="0"/>
        <w:adjustRightInd w:val="0"/>
        <w:spacing w:line="240" w:lineRule="auto"/>
        <w:rPr>
          <w:rFonts w:eastAsia="Calibri"/>
          <w:b/>
          <w:bCs/>
          <w:snapToGrid/>
          <w:szCs w:val="22"/>
          <w:lang w:eastAsia="lt-LT"/>
        </w:rPr>
      </w:pPr>
    </w:p>
    <w:p w14:paraId="4FE41E64" w14:textId="77777777" w:rsidR="00A27597" w:rsidRPr="00CE7679" w:rsidRDefault="00A27597" w:rsidP="00A27597">
      <w:pPr>
        <w:autoSpaceDE w:val="0"/>
        <w:autoSpaceDN w:val="0"/>
        <w:adjustRightInd w:val="0"/>
        <w:spacing w:line="240" w:lineRule="auto"/>
        <w:rPr>
          <w:rFonts w:eastAsia="Calibri"/>
          <w:b/>
          <w:bCs/>
          <w:snapToGrid/>
          <w:szCs w:val="22"/>
          <w:lang w:eastAsia="lt-LT"/>
        </w:rPr>
      </w:pPr>
    </w:p>
    <w:p w14:paraId="7D6ED411" w14:textId="77777777" w:rsidR="00A27597" w:rsidRPr="00CE7679" w:rsidRDefault="00A27597" w:rsidP="00A27597">
      <w:pPr>
        <w:autoSpaceDE w:val="0"/>
        <w:autoSpaceDN w:val="0"/>
        <w:adjustRightInd w:val="0"/>
        <w:spacing w:line="240" w:lineRule="auto"/>
        <w:rPr>
          <w:rFonts w:eastAsia="Calibri"/>
          <w:snapToGrid/>
          <w:szCs w:val="22"/>
          <w:lang w:eastAsia="lt-LT"/>
        </w:rPr>
      </w:pPr>
      <w:r w:rsidRPr="00CE7679">
        <w:rPr>
          <w:rFonts w:eastAsia="Calibri"/>
          <w:b/>
          <w:bCs/>
          <w:snapToGrid/>
          <w:szCs w:val="22"/>
          <w:lang w:eastAsia="lt-LT"/>
        </w:rPr>
        <w:t>4.</w:t>
      </w:r>
      <w:r w:rsidRPr="00CE7679">
        <w:rPr>
          <w:rFonts w:eastAsia="Calibri"/>
          <w:b/>
          <w:bCs/>
          <w:snapToGrid/>
          <w:szCs w:val="22"/>
          <w:lang w:eastAsia="lt-LT"/>
        </w:rPr>
        <w:tab/>
        <w:t xml:space="preserve">KLINIKINĖ INFORMACIJA </w:t>
      </w:r>
    </w:p>
    <w:p w14:paraId="1FCA860A" w14:textId="77777777" w:rsidR="00A27597" w:rsidRPr="00CE7679" w:rsidRDefault="00A27597" w:rsidP="00A27597">
      <w:pPr>
        <w:autoSpaceDE w:val="0"/>
        <w:autoSpaceDN w:val="0"/>
        <w:adjustRightInd w:val="0"/>
        <w:spacing w:line="240" w:lineRule="auto"/>
        <w:rPr>
          <w:rFonts w:eastAsia="Calibri"/>
          <w:b/>
          <w:bCs/>
          <w:snapToGrid/>
          <w:szCs w:val="22"/>
          <w:lang w:eastAsia="lt-LT"/>
        </w:rPr>
      </w:pPr>
    </w:p>
    <w:p w14:paraId="3784FCD5" w14:textId="77777777" w:rsidR="00A27597" w:rsidRPr="00CE7679" w:rsidRDefault="00A27597" w:rsidP="00A27597">
      <w:pPr>
        <w:autoSpaceDE w:val="0"/>
        <w:autoSpaceDN w:val="0"/>
        <w:adjustRightInd w:val="0"/>
        <w:spacing w:line="240" w:lineRule="auto"/>
        <w:rPr>
          <w:rFonts w:eastAsia="Calibri"/>
          <w:snapToGrid/>
          <w:szCs w:val="22"/>
          <w:lang w:eastAsia="lt-LT"/>
        </w:rPr>
      </w:pPr>
      <w:r w:rsidRPr="00CE7679">
        <w:rPr>
          <w:rFonts w:eastAsia="Calibri"/>
          <w:b/>
          <w:bCs/>
          <w:snapToGrid/>
          <w:szCs w:val="22"/>
          <w:lang w:eastAsia="lt-LT"/>
        </w:rPr>
        <w:t>4.1</w:t>
      </w:r>
      <w:r w:rsidRPr="00CE7679">
        <w:rPr>
          <w:rFonts w:eastAsia="Calibri"/>
          <w:b/>
          <w:bCs/>
          <w:snapToGrid/>
          <w:szCs w:val="22"/>
          <w:lang w:eastAsia="lt-LT"/>
        </w:rPr>
        <w:tab/>
        <w:t xml:space="preserve">Terapinės indikacijos </w:t>
      </w:r>
    </w:p>
    <w:p w14:paraId="03E450FF" w14:textId="77777777" w:rsidR="00A27597" w:rsidRPr="00CE7679" w:rsidRDefault="00A27597" w:rsidP="00A27597">
      <w:pPr>
        <w:autoSpaceDE w:val="0"/>
        <w:autoSpaceDN w:val="0"/>
        <w:adjustRightInd w:val="0"/>
        <w:spacing w:line="240" w:lineRule="auto"/>
        <w:rPr>
          <w:rFonts w:eastAsia="Calibri"/>
          <w:snapToGrid/>
          <w:szCs w:val="22"/>
          <w:lang w:eastAsia="lt-LT"/>
        </w:rPr>
      </w:pPr>
    </w:p>
    <w:p w14:paraId="69040367" w14:textId="77777777" w:rsidR="00A27597" w:rsidRPr="00CE7679" w:rsidRDefault="00A27597" w:rsidP="00A27597">
      <w:pPr>
        <w:autoSpaceDE w:val="0"/>
        <w:autoSpaceDN w:val="0"/>
        <w:adjustRightInd w:val="0"/>
        <w:spacing w:line="240" w:lineRule="auto"/>
        <w:rPr>
          <w:rFonts w:eastAsia="Calibri"/>
          <w:snapToGrid/>
          <w:szCs w:val="22"/>
          <w:lang w:eastAsia="lt-LT"/>
        </w:rPr>
      </w:pPr>
      <w:proofErr w:type="spellStart"/>
      <w:r w:rsidRPr="00CE7679">
        <w:rPr>
          <w:rFonts w:eastAsia="Calibri"/>
          <w:snapToGrid/>
          <w:szCs w:val="22"/>
          <w:lang w:eastAsia="lt-LT"/>
        </w:rPr>
        <w:t>Imatinib</w:t>
      </w:r>
      <w:proofErr w:type="spellEnd"/>
      <w:r w:rsidRPr="00CE7679">
        <w:rPr>
          <w:rFonts w:eastAsia="Calibri"/>
          <w:snapToGrid/>
          <w:szCs w:val="22"/>
          <w:lang w:eastAsia="lt-LT"/>
        </w:rPr>
        <w:t xml:space="preserve"> </w:t>
      </w:r>
      <w:proofErr w:type="spellStart"/>
      <w:r w:rsidRPr="00CE7679">
        <w:rPr>
          <w:rFonts w:eastAsia="Calibri"/>
          <w:snapToGrid/>
          <w:szCs w:val="22"/>
          <w:lang w:eastAsia="lt-LT"/>
        </w:rPr>
        <w:t>Sandoz</w:t>
      </w:r>
      <w:proofErr w:type="spellEnd"/>
      <w:r w:rsidRPr="00CE7679">
        <w:rPr>
          <w:rFonts w:eastAsia="Calibri"/>
          <w:snapToGrid/>
          <w:szCs w:val="22"/>
          <w:lang w:eastAsia="lt-LT"/>
        </w:rPr>
        <w:t xml:space="preserve"> skirtas gydyti:</w:t>
      </w:r>
    </w:p>
    <w:p w14:paraId="5A036C2B" w14:textId="77777777" w:rsidR="00A27597" w:rsidRPr="00CE7679" w:rsidRDefault="00A27597" w:rsidP="00A27597">
      <w:pPr>
        <w:numPr>
          <w:ilvl w:val="0"/>
          <w:numId w:val="6"/>
        </w:numPr>
        <w:tabs>
          <w:tab w:val="clear" w:pos="567"/>
        </w:tabs>
        <w:autoSpaceDE w:val="0"/>
        <w:autoSpaceDN w:val="0"/>
        <w:adjustRightInd w:val="0"/>
        <w:spacing w:line="240" w:lineRule="auto"/>
        <w:ind w:left="567" w:hanging="425"/>
        <w:rPr>
          <w:rFonts w:eastAsia="Calibri"/>
          <w:snapToGrid/>
          <w:szCs w:val="22"/>
          <w:lang w:eastAsia="lt-LT"/>
        </w:rPr>
      </w:pPr>
      <w:r w:rsidRPr="00CE7679">
        <w:rPr>
          <w:rFonts w:eastAsia="Calibri"/>
          <w:snapToGrid/>
          <w:szCs w:val="22"/>
          <w:lang w:eastAsia="lt-LT"/>
        </w:rPr>
        <w:t xml:space="preserve">suaugusiuosius ir vaikus, kuriems naujai diagnozuota </w:t>
      </w:r>
      <w:proofErr w:type="spellStart"/>
      <w:r w:rsidRPr="00CE7679">
        <w:rPr>
          <w:rFonts w:eastAsia="Calibri"/>
          <w:i/>
          <w:iCs/>
          <w:snapToGrid/>
          <w:szCs w:val="22"/>
          <w:lang w:eastAsia="lt-LT"/>
        </w:rPr>
        <w:t>Philadelphia</w:t>
      </w:r>
      <w:proofErr w:type="spellEnd"/>
      <w:r w:rsidRPr="00CE7679">
        <w:rPr>
          <w:rFonts w:eastAsia="Calibri"/>
          <w:i/>
          <w:iCs/>
          <w:snapToGrid/>
          <w:szCs w:val="22"/>
          <w:lang w:eastAsia="lt-LT"/>
        </w:rPr>
        <w:t xml:space="preserve"> </w:t>
      </w:r>
      <w:r w:rsidRPr="00CE7679">
        <w:rPr>
          <w:rFonts w:eastAsia="Calibri"/>
          <w:snapToGrid/>
          <w:szCs w:val="22"/>
          <w:lang w:eastAsia="lt-LT"/>
        </w:rPr>
        <w:t>chromosomai (</w:t>
      </w:r>
      <w:proofErr w:type="spellStart"/>
      <w:r w:rsidRPr="00CE7679">
        <w:rPr>
          <w:rFonts w:eastAsia="Calibri"/>
          <w:snapToGrid/>
          <w:szCs w:val="22"/>
          <w:lang w:eastAsia="lt-LT"/>
        </w:rPr>
        <w:t>bcr-abl</w:t>
      </w:r>
      <w:proofErr w:type="spellEnd"/>
      <w:r w:rsidRPr="00CE7679">
        <w:rPr>
          <w:rFonts w:eastAsia="Calibri"/>
          <w:snapToGrid/>
          <w:szCs w:val="22"/>
          <w:lang w:eastAsia="lt-LT"/>
        </w:rPr>
        <w:t>) teigiama (</w:t>
      </w:r>
      <w:proofErr w:type="spellStart"/>
      <w:r w:rsidRPr="00CE7679">
        <w:rPr>
          <w:rFonts w:eastAsia="Calibri"/>
          <w:snapToGrid/>
          <w:szCs w:val="22"/>
          <w:lang w:eastAsia="lt-LT"/>
        </w:rPr>
        <w:t>Ph</w:t>
      </w:r>
      <w:proofErr w:type="spellEnd"/>
      <w:r w:rsidRPr="00CE7679">
        <w:rPr>
          <w:rFonts w:eastAsia="Calibri"/>
          <w:snapToGrid/>
          <w:szCs w:val="22"/>
          <w:lang w:eastAsia="lt-LT"/>
        </w:rPr>
        <w:t>+) l</w:t>
      </w:r>
      <w:r w:rsidRPr="00CE7679">
        <w:rPr>
          <w:rFonts w:eastAsia="TimesNewRomanPSMT"/>
          <w:snapToGrid/>
          <w:szCs w:val="22"/>
          <w:lang w:eastAsia="lt-LT"/>
        </w:rPr>
        <w:t>ė</w:t>
      </w:r>
      <w:r w:rsidRPr="00CE7679">
        <w:rPr>
          <w:rFonts w:eastAsia="Calibri"/>
          <w:snapToGrid/>
          <w:szCs w:val="22"/>
          <w:lang w:eastAsia="lt-LT"/>
        </w:rPr>
        <w:t>tin</w:t>
      </w:r>
      <w:r w:rsidRPr="00CE7679">
        <w:rPr>
          <w:rFonts w:eastAsia="TimesNewRomanPSMT"/>
          <w:snapToGrid/>
          <w:szCs w:val="22"/>
          <w:lang w:eastAsia="lt-LT"/>
        </w:rPr>
        <w:t xml:space="preserve">ė </w:t>
      </w:r>
      <w:proofErr w:type="spellStart"/>
      <w:r w:rsidRPr="00CE7679">
        <w:rPr>
          <w:szCs w:val="22"/>
        </w:rPr>
        <w:t>mieloidinė</w:t>
      </w:r>
      <w:proofErr w:type="spellEnd"/>
      <w:r w:rsidRPr="00CE7679">
        <w:rPr>
          <w:szCs w:val="22"/>
        </w:rPr>
        <w:t xml:space="preserve"> leukemija </w:t>
      </w:r>
      <w:r w:rsidRPr="00CE7679">
        <w:rPr>
          <w:rFonts w:eastAsia="Calibri"/>
          <w:snapToGrid/>
          <w:szCs w:val="22"/>
          <w:lang w:eastAsia="lt-LT"/>
        </w:rPr>
        <w:t>(LML) ir kuriems kaul</w:t>
      </w:r>
      <w:r w:rsidRPr="00CE7679">
        <w:rPr>
          <w:rFonts w:eastAsia="TimesNewRomanPSMT"/>
          <w:snapToGrid/>
          <w:szCs w:val="22"/>
          <w:lang w:eastAsia="lt-LT"/>
        </w:rPr>
        <w:t>ų č</w:t>
      </w:r>
      <w:r w:rsidRPr="00CE7679">
        <w:rPr>
          <w:rFonts w:eastAsia="Calibri"/>
          <w:snapToGrid/>
          <w:szCs w:val="22"/>
          <w:lang w:eastAsia="lt-LT"/>
        </w:rPr>
        <w:t>iulp</w:t>
      </w:r>
      <w:r w:rsidRPr="00CE7679">
        <w:rPr>
          <w:rFonts w:eastAsia="TimesNewRomanPSMT"/>
          <w:snapToGrid/>
          <w:szCs w:val="22"/>
          <w:lang w:eastAsia="lt-LT"/>
        </w:rPr>
        <w:t xml:space="preserve">ų </w:t>
      </w:r>
      <w:r w:rsidRPr="00CE7679">
        <w:rPr>
          <w:rFonts w:eastAsia="Calibri"/>
          <w:snapToGrid/>
          <w:szCs w:val="22"/>
          <w:lang w:eastAsia="lt-LT"/>
        </w:rPr>
        <w:t>transplantacija n</w:t>
      </w:r>
      <w:r w:rsidRPr="00CE7679">
        <w:rPr>
          <w:rFonts w:eastAsia="TimesNewRomanPSMT"/>
          <w:snapToGrid/>
          <w:szCs w:val="22"/>
          <w:lang w:eastAsia="lt-LT"/>
        </w:rPr>
        <w:t>ė</w:t>
      </w:r>
      <w:r w:rsidRPr="00CE7679">
        <w:rPr>
          <w:rFonts w:eastAsia="Calibri"/>
          <w:snapToGrid/>
          <w:szCs w:val="22"/>
          <w:lang w:eastAsia="lt-LT"/>
        </w:rPr>
        <w:t>ra pirmiausiai pasirenkamas gydymas;</w:t>
      </w:r>
    </w:p>
    <w:p w14:paraId="5059A116" w14:textId="77777777" w:rsidR="00A27597" w:rsidRPr="00CE7679" w:rsidRDefault="00A27597" w:rsidP="00A27597">
      <w:pPr>
        <w:numPr>
          <w:ilvl w:val="0"/>
          <w:numId w:val="8"/>
        </w:numPr>
        <w:tabs>
          <w:tab w:val="clear" w:pos="567"/>
        </w:tabs>
        <w:autoSpaceDE w:val="0"/>
        <w:autoSpaceDN w:val="0"/>
        <w:adjustRightInd w:val="0"/>
        <w:spacing w:line="240" w:lineRule="auto"/>
        <w:ind w:left="567" w:hanging="425"/>
        <w:rPr>
          <w:rFonts w:eastAsia="Calibri"/>
          <w:snapToGrid/>
          <w:szCs w:val="22"/>
          <w:lang w:eastAsia="lt-LT"/>
        </w:rPr>
      </w:pPr>
      <w:r w:rsidRPr="00CE7679">
        <w:rPr>
          <w:rFonts w:eastAsia="Calibri"/>
          <w:snapToGrid/>
          <w:szCs w:val="22"/>
          <w:lang w:eastAsia="lt-LT"/>
        </w:rPr>
        <w:t xml:space="preserve">suaugusiuosius ir vaikus, kuriems nustatyta </w:t>
      </w:r>
      <w:proofErr w:type="spellStart"/>
      <w:r w:rsidRPr="00CE7679">
        <w:rPr>
          <w:rFonts w:eastAsia="Calibri"/>
          <w:snapToGrid/>
          <w:szCs w:val="22"/>
          <w:lang w:eastAsia="lt-LT"/>
        </w:rPr>
        <w:t>Ph</w:t>
      </w:r>
      <w:proofErr w:type="spellEnd"/>
      <w:r w:rsidRPr="00CE7679">
        <w:rPr>
          <w:rFonts w:eastAsia="Calibri"/>
          <w:snapToGrid/>
          <w:szCs w:val="22"/>
          <w:lang w:eastAsia="lt-LT"/>
        </w:rPr>
        <w:t>+ LML l</w:t>
      </w:r>
      <w:r w:rsidRPr="00CE7679">
        <w:rPr>
          <w:rFonts w:eastAsia="TimesNewRomanPSMT"/>
          <w:snapToGrid/>
          <w:szCs w:val="22"/>
          <w:lang w:eastAsia="lt-LT"/>
        </w:rPr>
        <w:t>ė</w:t>
      </w:r>
      <w:r w:rsidRPr="00CE7679">
        <w:rPr>
          <w:rFonts w:eastAsia="Calibri"/>
          <w:snapToGrid/>
          <w:szCs w:val="22"/>
          <w:lang w:eastAsia="lt-LT"/>
        </w:rPr>
        <w:t>tin</w:t>
      </w:r>
      <w:r w:rsidRPr="00CE7679">
        <w:rPr>
          <w:rFonts w:eastAsia="TimesNewRomanPSMT"/>
          <w:snapToGrid/>
          <w:szCs w:val="22"/>
          <w:lang w:eastAsia="lt-LT"/>
        </w:rPr>
        <w:t xml:space="preserve">ė </w:t>
      </w:r>
      <w:r w:rsidRPr="00CE7679">
        <w:rPr>
          <w:rFonts w:eastAsia="Calibri"/>
          <w:snapToGrid/>
          <w:szCs w:val="22"/>
          <w:lang w:eastAsia="lt-LT"/>
        </w:rPr>
        <w:t>faz</w:t>
      </w:r>
      <w:r w:rsidRPr="00CE7679">
        <w:rPr>
          <w:rFonts w:eastAsia="TimesNewRomanPSMT"/>
          <w:snapToGrid/>
          <w:szCs w:val="22"/>
          <w:lang w:eastAsia="lt-LT"/>
        </w:rPr>
        <w:t xml:space="preserve">ė </w:t>
      </w:r>
      <w:r w:rsidRPr="00CE7679">
        <w:rPr>
          <w:rFonts w:eastAsia="Calibri"/>
          <w:snapToGrid/>
          <w:szCs w:val="22"/>
          <w:lang w:eastAsia="lt-LT"/>
        </w:rPr>
        <w:t xml:space="preserve">po </w:t>
      </w:r>
      <w:r w:rsidRPr="00CE7679">
        <w:rPr>
          <w:spacing w:val="1"/>
        </w:rPr>
        <w:t>neveiksmingo</w:t>
      </w:r>
      <w:r w:rsidRPr="00CE7679">
        <w:rPr>
          <w:szCs w:val="22"/>
        </w:rPr>
        <w:t xml:space="preserve"> </w:t>
      </w:r>
      <w:r w:rsidRPr="00CE7679">
        <w:rPr>
          <w:rFonts w:eastAsia="Calibri"/>
          <w:snapToGrid/>
          <w:szCs w:val="22"/>
          <w:lang w:eastAsia="lt-LT"/>
        </w:rPr>
        <w:t>gydymo interferonu alfa arba akceleracijos faz</w:t>
      </w:r>
      <w:r w:rsidRPr="00CE7679">
        <w:rPr>
          <w:rFonts w:eastAsia="TimesNewRomanPSMT"/>
          <w:snapToGrid/>
          <w:szCs w:val="22"/>
          <w:lang w:eastAsia="lt-LT"/>
        </w:rPr>
        <w:t>ė</w:t>
      </w:r>
      <w:r w:rsidRPr="00CE7679">
        <w:rPr>
          <w:rFonts w:eastAsia="Calibri"/>
          <w:snapToGrid/>
          <w:szCs w:val="22"/>
          <w:lang w:eastAsia="lt-LT"/>
        </w:rPr>
        <w:t xml:space="preserve">, ar </w:t>
      </w:r>
      <w:proofErr w:type="spellStart"/>
      <w:r w:rsidRPr="00CE7679">
        <w:rPr>
          <w:rFonts w:eastAsia="Calibri"/>
          <w:snapToGrid/>
          <w:szCs w:val="22"/>
          <w:lang w:eastAsia="lt-LT"/>
        </w:rPr>
        <w:t>blastin</w:t>
      </w:r>
      <w:r w:rsidRPr="00CE7679">
        <w:rPr>
          <w:rFonts w:eastAsia="TimesNewRomanPSMT"/>
          <w:snapToGrid/>
          <w:szCs w:val="22"/>
          <w:lang w:eastAsia="lt-LT"/>
        </w:rPr>
        <w:t>ė</w:t>
      </w:r>
      <w:proofErr w:type="spellEnd"/>
      <w:r w:rsidRPr="00CE7679">
        <w:rPr>
          <w:rFonts w:eastAsia="TimesNewRomanPSMT"/>
          <w:snapToGrid/>
          <w:szCs w:val="22"/>
          <w:lang w:eastAsia="lt-LT"/>
        </w:rPr>
        <w:t xml:space="preserve"> </w:t>
      </w:r>
      <w:r w:rsidRPr="00CE7679">
        <w:rPr>
          <w:rFonts w:eastAsia="Calibri"/>
          <w:snapToGrid/>
          <w:szCs w:val="22"/>
          <w:lang w:eastAsia="lt-LT"/>
        </w:rPr>
        <w:t>kriz</w:t>
      </w:r>
      <w:r w:rsidRPr="00CE7679">
        <w:rPr>
          <w:rFonts w:eastAsia="TimesNewRomanPSMT"/>
          <w:snapToGrid/>
          <w:szCs w:val="22"/>
          <w:lang w:eastAsia="lt-LT"/>
        </w:rPr>
        <w:t>ė</w:t>
      </w:r>
      <w:r w:rsidRPr="00CE7679">
        <w:rPr>
          <w:rFonts w:eastAsia="Calibri"/>
          <w:snapToGrid/>
          <w:szCs w:val="22"/>
          <w:lang w:eastAsia="lt-LT"/>
        </w:rPr>
        <w:t>;</w:t>
      </w:r>
    </w:p>
    <w:p w14:paraId="19859F50" w14:textId="77777777" w:rsidR="00A27597" w:rsidRPr="00CE7679" w:rsidRDefault="00A27597" w:rsidP="00A27597">
      <w:pPr>
        <w:numPr>
          <w:ilvl w:val="0"/>
          <w:numId w:val="8"/>
        </w:numPr>
        <w:tabs>
          <w:tab w:val="clear" w:pos="567"/>
        </w:tabs>
        <w:autoSpaceDE w:val="0"/>
        <w:autoSpaceDN w:val="0"/>
        <w:adjustRightInd w:val="0"/>
        <w:spacing w:line="240" w:lineRule="auto"/>
        <w:ind w:left="567" w:hanging="425"/>
        <w:rPr>
          <w:rFonts w:eastAsia="Calibri"/>
          <w:snapToGrid/>
          <w:szCs w:val="22"/>
          <w:lang w:eastAsia="lt-LT"/>
        </w:rPr>
      </w:pPr>
      <w:r w:rsidRPr="00CE7679">
        <w:rPr>
          <w:rFonts w:eastAsia="Calibri"/>
          <w:szCs w:val="22"/>
        </w:rPr>
        <w:t>suaugusiuosius</w:t>
      </w:r>
      <w:r w:rsidRPr="00CE7679">
        <w:rPr>
          <w:rFonts w:eastAsia="TimesNewRomanPSMT"/>
          <w:snapToGrid/>
          <w:szCs w:val="22"/>
          <w:lang w:eastAsia="lt-LT"/>
        </w:rPr>
        <w:t xml:space="preserve"> ir vaikus</w:t>
      </w:r>
      <w:r w:rsidRPr="00CE7679">
        <w:rPr>
          <w:rFonts w:eastAsia="Calibri"/>
          <w:szCs w:val="22"/>
        </w:rPr>
        <w:t xml:space="preserve">, kuriems naujai diagnozuota </w:t>
      </w:r>
      <w:proofErr w:type="spellStart"/>
      <w:r w:rsidRPr="00CE7679">
        <w:rPr>
          <w:rFonts w:eastAsia="Calibri"/>
          <w:i/>
          <w:iCs/>
          <w:szCs w:val="22"/>
        </w:rPr>
        <w:t>Philadelphia</w:t>
      </w:r>
      <w:proofErr w:type="spellEnd"/>
      <w:r w:rsidRPr="00CE7679">
        <w:rPr>
          <w:rFonts w:eastAsia="Calibri"/>
          <w:i/>
          <w:iCs/>
          <w:szCs w:val="22"/>
        </w:rPr>
        <w:t xml:space="preserve"> </w:t>
      </w:r>
      <w:r w:rsidRPr="00CE7679">
        <w:rPr>
          <w:rFonts w:eastAsia="Calibri"/>
          <w:szCs w:val="22"/>
        </w:rPr>
        <w:t xml:space="preserve">chromosomai teigiama ūminė </w:t>
      </w:r>
      <w:proofErr w:type="spellStart"/>
      <w:r w:rsidRPr="00CE7679">
        <w:rPr>
          <w:rFonts w:eastAsia="Calibri"/>
          <w:szCs w:val="22"/>
        </w:rPr>
        <w:t>limfoblastinė</w:t>
      </w:r>
      <w:proofErr w:type="spellEnd"/>
      <w:r w:rsidRPr="00CE7679">
        <w:rPr>
          <w:rFonts w:eastAsia="Calibri"/>
          <w:szCs w:val="22"/>
        </w:rPr>
        <w:t xml:space="preserve"> leukemija</w:t>
      </w:r>
      <w:r w:rsidRPr="00CE7679">
        <w:t xml:space="preserve"> </w:t>
      </w:r>
      <w:r w:rsidRPr="00CE7679">
        <w:rPr>
          <w:rFonts w:eastAsia="Calibri"/>
          <w:szCs w:val="22"/>
        </w:rPr>
        <w:t>(</w:t>
      </w:r>
      <w:proofErr w:type="spellStart"/>
      <w:r w:rsidRPr="00CE7679">
        <w:rPr>
          <w:rFonts w:eastAsia="Calibri"/>
          <w:szCs w:val="22"/>
        </w:rPr>
        <w:t>Ph</w:t>
      </w:r>
      <w:proofErr w:type="spellEnd"/>
      <w:r w:rsidRPr="00CE7679">
        <w:rPr>
          <w:rFonts w:eastAsia="Calibri"/>
          <w:szCs w:val="22"/>
        </w:rPr>
        <w:t>+ ŪLL), kartu skiriant ir kitą chemoterapiją</w:t>
      </w:r>
      <w:r w:rsidRPr="00CE7679">
        <w:rPr>
          <w:rFonts w:eastAsia="Calibri"/>
          <w:snapToGrid/>
          <w:szCs w:val="22"/>
          <w:lang w:eastAsia="lt-LT"/>
        </w:rPr>
        <w:t>;</w:t>
      </w:r>
    </w:p>
    <w:p w14:paraId="363D7D21" w14:textId="77777777" w:rsidR="00A27597" w:rsidRPr="00CE7679" w:rsidRDefault="00A27597" w:rsidP="00A27597">
      <w:pPr>
        <w:numPr>
          <w:ilvl w:val="1"/>
          <w:numId w:val="10"/>
        </w:numPr>
        <w:tabs>
          <w:tab w:val="clear" w:pos="567"/>
        </w:tabs>
        <w:autoSpaceDE w:val="0"/>
        <w:autoSpaceDN w:val="0"/>
        <w:adjustRightInd w:val="0"/>
        <w:spacing w:line="240" w:lineRule="auto"/>
        <w:ind w:left="567" w:hanging="425"/>
        <w:rPr>
          <w:rFonts w:eastAsia="Calibri"/>
          <w:snapToGrid/>
          <w:szCs w:val="22"/>
          <w:lang w:eastAsia="lt-LT"/>
        </w:rPr>
      </w:pPr>
      <w:r w:rsidRPr="00CE7679">
        <w:rPr>
          <w:rFonts w:eastAsia="Calibri"/>
          <w:snapToGrid/>
          <w:szCs w:val="22"/>
          <w:lang w:eastAsia="lt-LT"/>
        </w:rPr>
        <w:t>suaugusi</w:t>
      </w:r>
      <w:r w:rsidRPr="00CE7679">
        <w:rPr>
          <w:rFonts w:eastAsia="TimesNewRomanPSMT"/>
          <w:snapToGrid/>
          <w:szCs w:val="22"/>
          <w:lang w:eastAsia="lt-LT"/>
        </w:rPr>
        <w:t>ų</w:t>
      </w:r>
      <w:r w:rsidRPr="00CE7679">
        <w:rPr>
          <w:rFonts w:eastAsia="Calibri"/>
          <w:snapToGrid/>
          <w:szCs w:val="22"/>
          <w:lang w:eastAsia="lt-LT"/>
        </w:rPr>
        <w:t>j</w:t>
      </w:r>
      <w:r w:rsidRPr="00CE7679">
        <w:rPr>
          <w:rFonts w:eastAsia="TimesNewRomanPSMT"/>
          <w:snapToGrid/>
          <w:szCs w:val="22"/>
          <w:lang w:eastAsia="lt-LT"/>
        </w:rPr>
        <w:t xml:space="preserve">ų </w:t>
      </w:r>
      <w:proofErr w:type="spellStart"/>
      <w:r w:rsidRPr="00CE7679">
        <w:rPr>
          <w:rFonts w:eastAsia="Calibri"/>
          <w:snapToGrid/>
          <w:szCs w:val="22"/>
          <w:lang w:eastAsia="lt-LT"/>
        </w:rPr>
        <w:t>recidyvavusią</w:t>
      </w:r>
      <w:proofErr w:type="spellEnd"/>
      <w:r w:rsidRPr="00CE7679">
        <w:rPr>
          <w:rFonts w:eastAsia="Calibri"/>
          <w:snapToGrid/>
          <w:szCs w:val="22"/>
          <w:lang w:eastAsia="lt-LT"/>
        </w:rPr>
        <w:t xml:space="preserve"> ar </w:t>
      </w:r>
      <w:proofErr w:type="spellStart"/>
      <w:r w:rsidRPr="00CE7679">
        <w:rPr>
          <w:rFonts w:eastAsia="Calibri"/>
          <w:snapToGrid/>
          <w:szCs w:val="22"/>
          <w:lang w:eastAsia="lt-LT"/>
        </w:rPr>
        <w:t>refrakterinę</w:t>
      </w:r>
      <w:proofErr w:type="spellEnd"/>
      <w:r w:rsidRPr="00CE7679">
        <w:rPr>
          <w:rFonts w:eastAsia="Calibri"/>
          <w:snapToGrid/>
          <w:szCs w:val="22"/>
          <w:lang w:eastAsia="lt-LT"/>
        </w:rPr>
        <w:t xml:space="preserve"> </w:t>
      </w:r>
      <w:proofErr w:type="spellStart"/>
      <w:r w:rsidRPr="00CE7679">
        <w:rPr>
          <w:rFonts w:eastAsia="Calibri"/>
          <w:snapToGrid/>
          <w:szCs w:val="22"/>
          <w:lang w:eastAsia="lt-LT"/>
        </w:rPr>
        <w:t>Ph</w:t>
      </w:r>
      <w:proofErr w:type="spellEnd"/>
      <w:r w:rsidRPr="00CE7679">
        <w:rPr>
          <w:rFonts w:eastAsia="Calibri"/>
          <w:snapToGrid/>
          <w:szCs w:val="22"/>
          <w:lang w:eastAsia="lt-LT"/>
        </w:rPr>
        <w:t xml:space="preserve">+ </w:t>
      </w:r>
      <w:r w:rsidRPr="00CE7679">
        <w:rPr>
          <w:rFonts w:eastAsia="TimesNewRomanPSMT"/>
          <w:snapToGrid/>
          <w:szCs w:val="22"/>
          <w:lang w:eastAsia="lt-LT"/>
        </w:rPr>
        <w:t>Ū</w:t>
      </w:r>
      <w:r w:rsidRPr="00CE7679">
        <w:rPr>
          <w:rFonts w:eastAsia="Calibri"/>
          <w:snapToGrid/>
          <w:szCs w:val="22"/>
          <w:lang w:eastAsia="lt-LT"/>
        </w:rPr>
        <w:t>LL (</w:t>
      </w:r>
      <w:proofErr w:type="spellStart"/>
      <w:r w:rsidRPr="00CE7679">
        <w:rPr>
          <w:rFonts w:eastAsia="Calibri"/>
          <w:snapToGrid/>
          <w:szCs w:val="22"/>
          <w:lang w:eastAsia="lt-LT"/>
        </w:rPr>
        <w:t>monoterapija</w:t>
      </w:r>
      <w:proofErr w:type="spellEnd"/>
      <w:r w:rsidRPr="00CE7679">
        <w:rPr>
          <w:rFonts w:eastAsia="Calibri"/>
          <w:snapToGrid/>
          <w:szCs w:val="22"/>
          <w:lang w:eastAsia="lt-LT"/>
        </w:rPr>
        <w:t>);</w:t>
      </w:r>
    </w:p>
    <w:p w14:paraId="6FF63640" w14:textId="77777777" w:rsidR="00A27597" w:rsidRPr="00CE7679" w:rsidRDefault="00A27597" w:rsidP="00A27597">
      <w:pPr>
        <w:numPr>
          <w:ilvl w:val="0"/>
          <w:numId w:val="7"/>
        </w:numPr>
        <w:tabs>
          <w:tab w:val="clear" w:pos="567"/>
        </w:tabs>
        <w:autoSpaceDE w:val="0"/>
        <w:autoSpaceDN w:val="0"/>
        <w:adjustRightInd w:val="0"/>
        <w:spacing w:line="240" w:lineRule="auto"/>
        <w:ind w:left="567" w:hanging="425"/>
        <w:rPr>
          <w:rFonts w:eastAsia="Calibri"/>
          <w:snapToGrid/>
          <w:szCs w:val="22"/>
          <w:lang w:eastAsia="lt-LT"/>
        </w:rPr>
      </w:pPr>
      <w:r w:rsidRPr="00CE7679">
        <w:rPr>
          <w:rFonts w:eastAsia="Calibri"/>
          <w:snapToGrid/>
          <w:szCs w:val="22"/>
          <w:lang w:eastAsia="lt-LT"/>
        </w:rPr>
        <w:t>suaugusi</w:t>
      </w:r>
      <w:r w:rsidRPr="00CE7679">
        <w:rPr>
          <w:rFonts w:eastAsia="TimesNewRomanPSMT"/>
          <w:snapToGrid/>
          <w:szCs w:val="22"/>
          <w:lang w:eastAsia="lt-LT"/>
        </w:rPr>
        <w:t>ų</w:t>
      </w:r>
      <w:r w:rsidRPr="00CE7679">
        <w:rPr>
          <w:rFonts w:eastAsia="Calibri"/>
          <w:snapToGrid/>
          <w:szCs w:val="22"/>
          <w:lang w:eastAsia="lt-LT"/>
        </w:rPr>
        <w:t>j</w:t>
      </w:r>
      <w:r w:rsidRPr="00CE7679">
        <w:rPr>
          <w:rFonts w:eastAsia="TimesNewRomanPSMT"/>
          <w:snapToGrid/>
          <w:szCs w:val="22"/>
          <w:lang w:eastAsia="lt-LT"/>
        </w:rPr>
        <w:t xml:space="preserve">ų </w:t>
      </w:r>
      <w:proofErr w:type="spellStart"/>
      <w:r w:rsidRPr="00CE7679">
        <w:rPr>
          <w:rFonts w:eastAsia="Calibri"/>
          <w:szCs w:val="22"/>
        </w:rPr>
        <w:t>mielodisplazinį</w:t>
      </w:r>
      <w:proofErr w:type="spellEnd"/>
      <w:r w:rsidRPr="00CE7679">
        <w:rPr>
          <w:rFonts w:eastAsia="Calibri"/>
          <w:szCs w:val="22"/>
        </w:rPr>
        <w:t xml:space="preserve"> sindromą </w:t>
      </w:r>
      <w:r w:rsidRPr="00CE7679">
        <w:rPr>
          <w:rFonts w:eastAsia="Calibri"/>
          <w:snapToGrid/>
          <w:szCs w:val="22"/>
          <w:lang w:eastAsia="lt-LT"/>
        </w:rPr>
        <w:t xml:space="preserve">ar </w:t>
      </w:r>
      <w:proofErr w:type="spellStart"/>
      <w:r w:rsidRPr="00CE7679">
        <w:rPr>
          <w:rFonts w:eastAsia="Calibri"/>
          <w:snapToGrid/>
          <w:szCs w:val="22"/>
          <w:lang w:eastAsia="lt-LT"/>
        </w:rPr>
        <w:t>mieloproliferacines</w:t>
      </w:r>
      <w:proofErr w:type="spellEnd"/>
      <w:r w:rsidRPr="00CE7679">
        <w:rPr>
          <w:rFonts w:eastAsia="Calibri"/>
          <w:snapToGrid/>
          <w:szCs w:val="22"/>
          <w:lang w:eastAsia="lt-LT"/>
        </w:rPr>
        <w:t xml:space="preserve"> ligas (MDS/MPL), susijusias su trombocit</w:t>
      </w:r>
      <w:r w:rsidRPr="00CE7679">
        <w:rPr>
          <w:rFonts w:eastAsia="TimesNewRomanPSMT"/>
          <w:snapToGrid/>
          <w:szCs w:val="22"/>
          <w:lang w:eastAsia="lt-LT"/>
        </w:rPr>
        <w:t xml:space="preserve">ų </w:t>
      </w:r>
      <w:r w:rsidRPr="00CE7679">
        <w:rPr>
          <w:rFonts w:eastAsia="Calibri"/>
          <w:snapToGrid/>
          <w:szCs w:val="22"/>
          <w:lang w:eastAsia="lt-LT"/>
        </w:rPr>
        <w:t>kilm</w:t>
      </w:r>
      <w:r w:rsidRPr="00CE7679">
        <w:rPr>
          <w:rFonts w:eastAsia="TimesNewRomanPSMT"/>
          <w:snapToGrid/>
          <w:szCs w:val="22"/>
          <w:lang w:eastAsia="lt-LT"/>
        </w:rPr>
        <w:t>ė</w:t>
      </w:r>
      <w:r w:rsidRPr="00CE7679">
        <w:rPr>
          <w:rFonts w:eastAsia="Calibri"/>
          <w:snapToGrid/>
          <w:szCs w:val="22"/>
          <w:lang w:eastAsia="lt-LT"/>
        </w:rPr>
        <w:t>s augimo faktoriaus receptoriaus (</w:t>
      </w:r>
      <w:proofErr w:type="spellStart"/>
      <w:r w:rsidRPr="00CE7679">
        <w:rPr>
          <w:rFonts w:eastAsia="Calibri"/>
          <w:snapToGrid/>
          <w:szCs w:val="22"/>
          <w:lang w:eastAsia="lt-LT"/>
        </w:rPr>
        <w:t>ang</w:t>
      </w:r>
      <w:proofErr w:type="spellEnd"/>
      <w:r w:rsidRPr="00CE7679">
        <w:rPr>
          <w:rFonts w:eastAsia="Calibri"/>
          <w:snapToGrid/>
          <w:szCs w:val="22"/>
          <w:lang w:eastAsia="lt-LT"/>
        </w:rPr>
        <w:t xml:space="preserve">. </w:t>
      </w:r>
      <w:proofErr w:type="spellStart"/>
      <w:r w:rsidRPr="00CE7679">
        <w:rPr>
          <w:rFonts w:eastAsia="Calibri"/>
          <w:i/>
          <w:iCs/>
          <w:snapToGrid/>
          <w:szCs w:val="22"/>
          <w:lang w:eastAsia="lt-LT"/>
        </w:rPr>
        <w:t>platelet-derived</w:t>
      </w:r>
      <w:proofErr w:type="spellEnd"/>
      <w:r w:rsidRPr="00CE7679">
        <w:rPr>
          <w:rFonts w:eastAsia="Calibri"/>
          <w:i/>
          <w:iCs/>
          <w:snapToGrid/>
          <w:szCs w:val="22"/>
          <w:lang w:eastAsia="lt-LT"/>
        </w:rPr>
        <w:t xml:space="preserve"> </w:t>
      </w:r>
      <w:proofErr w:type="spellStart"/>
      <w:r w:rsidRPr="00CE7679">
        <w:rPr>
          <w:rFonts w:eastAsia="Calibri"/>
          <w:i/>
          <w:iCs/>
          <w:snapToGrid/>
          <w:szCs w:val="22"/>
          <w:lang w:eastAsia="lt-LT"/>
        </w:rPr>
        <w:t>growth</w:t>
      </w:r>
      <w:proofErr w:type="spellEnd"/>
      <w:r w:rsidRPr="00CE7679">
        <w:rPr>
          <w:rFonts w:eastAsia="Calibri"/>
          <w:i/>
          <w:iCs/>
          <w:snapToGrid/>
          <w:szCs w:val="22"/>
          <w:lang w:eastAsia="lt-LT"/>
        </w:rPr>
        <w:t xml:space="preserve"> </w:t>
      </w:r>
      <w:proofErr w:type="spellStart"/>
      <w:r w:rsidRPr="00CE7679">
        <w:rPr>
          <w:rFonts w:eastAsia="Calibri"/>
          <w:i/>
          <w:iCs/>
          <w:snapToGrid/>
          <w:szCs w:val="22"/>
          <w:lang w:eastAsia="lt-LT"/>
        </w:rPr>
        <w:t>factor</w:t>
      </w:r>
      <w:proofErr w:type="spellEnd"/>
      <w:r w:rsidRPr="00CE7679">
        <w:rPr>
          <w:rFonts w:eastAsia="Calibri"/>
          <w:i/>
          <w:iCs/>
          <w:snapToGrid/>
          <w:szCs w:val="22"/>
          <w:lang w:eastAsia="lt-LT"/>
        </w:rPr>
        <w:t xml:space="preserve"> </w:t>
      </w:r>
      <w:proofErr w:type="spellStart"/>
      <w:r w:rsidRPr="00CE7679">
        <w:rPr>
          <w:rFonts w:eastAsia="Calibri"/>
          <w:i/>
          <w:iCs/>
          <w:snapToGrid/>
          <w:szCs w:val="22"/>
          <w:lang w:eastAsia="lt-LT"/>
        </w:rPr>
        <w:t>receptor</w:t>
      </w:r>
      <w:proofErr w:type="spellEnd"/>
      <w:r w:rsidRPr="00CE7679">
        <w:rPr>
          <w:rFonts w:eastAsia="Calibri"/>
          <w:snapToGrid/>
          <w:szCs w:val="22"/>
          <w:lang w:eastAsia="lt-LT"/>
        </w:rPr>
        <w:t>, PDGFR) gen</w:t>
      </w:r>
      <w:r w:rsidRPr="00CE7679">
        <w:rPr>
          <w:rFonts w:eastAsia="TimesNewRomanPSMT"/>
          <w:snapToGrid/>
          <w:szCs w:val="22"/>
          <w:lang w:eastAsia="lt-LT"/>
        </w:rPr>
        <w:t xml:space="preserve">o </w:t>
      </w:r>
      <w:r w:rsidRPr="00CE7679">
        <w:rPr>
          <w:rFonts w:eastAsia="Calibri"/>
          <w:snapToGrid/>
          <w:szCs w:val="22"/>
          <w:lang w:eastAsia="lt-LT"/>
        </w:rPr>
        <w:t>persitvarkymais;</w:t>
      </w:r>
    </w:p>
    <w:p w14:paraId="538C183B" w14:textId="77777777" w:rsidR="00A27597" w:rsidRPr="00CE7679" w:rsidRDefault="00A27597" w:rsidP="00A27597">
      <w:pPr>
        <w:numPr>
          <w:ilvl w:val="0"/>
          <w:numId w:val="7"/>
        </w:numPr>
        <w:tabs>
          <w:tab w:val="clear" w:pos="567"/>
        </w:tabs>
        <w:autoSpaceDE w:val="0"/>
        <w:autoSpaceDN w:val="0"/>
        <w:adjustRightInd w:val="0"/>
        <w:spacing w:line="240" w:lineRule="auto"/>
        <w:ind w:left="567" w:hanging="425"/>
        <w:rPr>
          <w:rFonts w:eastAsia="Calibri"/>
          <w:snapToGrid/>
          <w:szCs w:val="22"/>
          <w:lang w:eastAsia="lt-LT"/>
        </w:rPr>
      </w:pPr>
      <w:r w:rsidRPr="00CE7679">
        <w:rPr>
          <w:rFonts w:eastAsia="Calibri"/>
          <w:snapToGrid/>
          <w:szCs w:val="22"/>
          <w:lang w:eastAsia="lt-LT"/>
        </w:rPr>
        <w:t>suaugusi</w:t>
      </w:r>
      <w:r w:rsidRPr="00CE7679">
        <w:rPr>
          <w:rFonts w:eastAsia="TimesNewRomanPSMT"/>
          <w:snapToGrid/>
          <w:szCs w:val="22"/>
          <w:lang w:eastAsia="lt-LT"/>
        </w:rPr>
        <w:t>ų</w:t>
      </w:r>
      <w:r w:rsidRPr="00CE7679">
        <w:rPr>
          <w:rFonts w:eastAsia="Calibri"/>
          <w:snapToGrid/>
          <w:szCs w:val="22"/>
          <w:lang w:eastAsia="lt-LT"/>
        </w:rPr>
        <w:t>j</w:t>
      </w:r>
      <w:r w:rsidRPr="00CE7679">
        <w:rPr>
          <w:rFonts w:eastAsia="TimesNewRomanPSMT"/>
          <w:snapToGrid/>
          <w:szCs w:val="22"/>
          <w:lang w:eastAsia="lt-LT"/>
        </w:rPr>
        <w:t xml:space="preserve">ų </w:t>
      </w:r>
      <w:r w:rsidRPr="00CE7679">
        <w:rPr>
          <w:rFonts w:eastAsia="Calibri"/>
          <w:snapToGrid/>
          <w:szCs w:val="22"/>
          <w:lang w:eastAsia="lt-LT"/>
        </w:rPr>
        <w:t>progresavus</w:t>
      </w:r>
      <w:r w:rsidRPr="00CE7679">
        <w:rPr>
          <w:rFonts w:eastAsia="TimesNewRomanPSMT"/>
          <w:snapToGrid/>
          <w:szCs w:val="22"/>
          <w:lang w:eastAsia="lt-LT"/>
        </w:rPr>
        <w:t xml:space="preserve">į </w:t>
      </w:r>
      <w:proofErr w:type="spellStart"/>
      <w:r w:rsidRPr="00CE7679">
        <w:rPr>
          <w:rFonts w:eastAsia="Calibri"/>
          <w:snapToGrid/>
          <w:szCs w:val="22"/>
          <w:lang w:eastAsia="lt-LT"/>
        </w:rPr>
        <w:t>hipereozinofilijos</w:t>
      </w:r>
      <w:proofErr w:type="spellEnd"/>
      <w:r w:rsidRPr="00CE7679">
        <w:rPr>
          <w:rFonts w:eastAsia="Calibri"/>
          <w:snapToGrid/>
          <w:szCs w:val="22"/>
          <w:lang w:eastAsia="lt-LT"/>
        </w:rPr>
        <w:t xml:space="preserve"> sindrom</w:t>
      </w:r>
      <w:r w:rsidRPr="00CE7679">
        <w:rPr>
          <w:rFonts w:eastAsia="TimesNewRomanPSMT"/>
          <w:snapToGrid/>
          <w:szCs w:val="22"/>
          <w:lang w:eastAsia="lt-LT"/>
        </w:rPr>
        <w:t xml:space="preserve">ą </w:t>
      </w:r>
      <w:r w:rsidRPr="00CE7679">
        <w:rPr>
          <w:rFonts w:eastAsia="Calibri"/>
          <w:snapToGrid/>
          <w:szCs w:val="22"/>
          <w:lang w:eastAsia="lt-LT"/>
        </w:rPr>
        <w:t>(HES) ir (arba) l</w:t>
      </w:r>
      <w:r w:rsidRPr="00CE7679">
        <w:rPr>
          <w:rFonts w:eastAsia="TimesNewRomanPSMT"/>
          <w:snapToGrid/>
          <w:szCs w:val="22"/>
          <w:lang w:eastAsia="lt-LT"/>
        </w:rPr>
        <w:t>ė</w:t>
      </w:r>
      <w:r w:rsidRPr="00CE7679">
        <w:rPr>
          <w:rFonts w:eastAsia="Calibri"/>
          <w:snapToGrid/>
          <w:szCs w:val="22"/>
          <w:lang w:eastAsia="lt-LT"/>
        </w:rPr>
        <w:t>tin</w:t>
      </w:r>
      <w:r w:rsidRPr="00CE7679">
        <w:rPr>
          <w:rFonts w:eastAsia="TimesNewRomanPSMT"/>
          <w:snapToGrid/>
          <w:szCs w:val="22"/>
          <w:lang w:eastAsia="lt-LT"/>
        </w:rPr>
        <w:t xml:space="preserve">ę </w:t>
      </w:r>
      <w:proofErr w:type="spellStart"/>
      <w:r w:rsidRPr="00CE7679">
        <w:rPr>
          <w:rFonts w:eastAsia="Calibri"/>
          <w:snapToGrid/>
          <w:szCs w:val="22"/>
          <w:lang w:eastAsia="lt-LT"/>
        </w:rPr>
        <w:t>eozinofilin</w:t>
      </w:r>
      <w:r w:rsidRPr="00CE7679">
        <w:rPr>
          <w:rFonts w:eastAsia="TimesNewRomanPSMT"/>
          <w:snapToGrid/>
          <w:szCs w:val="22"/>
          <w:lang w:eastAsia="lt-LT"/>
        </w:rPr>
        <w:t>ę</w:t>
      </w:r>
      <w:proofErr w:type="spellEnd"/>
      <w:r w:rsidRPr="00CE7679">
        <w:rPr>
          <w:rFonts w:eastAsia="TimesNewRomanPSMT"/>
          <w:snapToGrid/>
          <w:szCs w:val="22"/>
          <w:lang w:eastAsia="lt-LT"/>
        </w:rPr>
        <w:t xml:space="preserve"> </w:t>
      </w:r>
      <w:r w:rsidRPr="00CE7679">
        <w:rPr>
          <w:rFonts w:eastAsia="Calibri"/>
          <w:snapToGrid/>
          <w:szCs w:val="22"/>
          <w:lang w:eastAsia="lt-LT"/>
        </w:rPr>
        <w:t>leukemij</w:t>
      </w:r>
      <w:r w:rsidRPr="00CE7679">
        <w:rPr>
          <w:rFonts w:eastAsia="TimesNewRomanPSMT"/>
          <w:snapToGrid/>
          <w:szCs w:val="22"/>
          <w:lang w:eastAsia="lt-LT"/>
        </w:rPr>
        <w:t xml:space="preserve">ą </w:t>
      </w:r>
      <w:r w:rsidRPr="00CE7679">
        <w:rPr>
          <w:rFonts w:eastAsia="Calibri"/>
          <w:snapToGrid/>
          <w:szCs w:val="22"/>
          <w:lang w:eastAsia="lt-LT"/>
        </w:rPr>
        <w:t>(LEL) su FIP1L1-PDGFR</w:t>
      </w:r>
      <w:r w:rsidRPr="00CE7679">
        <w:rPr>
          <w:rFonts w:eastAsia="TimesNewRomanPSMT"/>
          <w:snapToGrid/>
          <w:szCs w:val="22"/>
          <w:lang w:eastAsia="lt-LT"/>
        </w:rPr>
        <w:t xml:space="preserve">α </w:t>
      </w:r>
      <w:r w:rsidRPr="00CE7679">
        <w:rPr>
          <w:rFonts w:eastAsia="Calibri"/>
          <w:snapToGrid/>
          <w:szCs w:val="22"/>
          <w:lang w:eastAsia="lt-LT"/>
        </w:rPr>
        <w:t>persitvarkymu</w:t>
      </w:r>
      <w:r w:rsidR="00C76F58">
        <w:rPr>
          <w:rFonts w:eastAsia="Calibri"/>
          <w:snapToGrid/>
          <w:szCs w:val="22"/>
          <w:lang w:eastAsia="lt-LT"/>
        </w:rPr>
        <w:t>.</w:t>
      </w:r>
    </w:p>
    <w:p w14:paraId="408A6753" w14:textId="77777777" w:rsidR="00A27597" w:rsidRPr="00CE7679" w:rsidRDefault="00A27597" w:rsidP="00A27597">
      <w:pPr>
        <w:autoSpaceDE w:val="0"/>
        <w:autoSpaceDN w:val="0"/>
        <w:adjustRightInd w:val="0"/>
        <w:spacing w:line="240" w:lineRule="auto"/>
        <w:rPr>
          <w:rFonts w:eastAsia="Calibri"/>
          <w:snapToGrid/>
          <w:szCs w:val="22"/>
          <w:lang w:eastAsia="lt-LT"/>
        </w:rPr>
      </w:pPr>
    </w:p>
    <w:p w14:paraId="18AAB777" w14:textId="77777777" w:rsidR="00A27597" w:rsidRPr="00CE7679" w:rsidRDefault="00A27597" w:rsidP="00A27597">
      <w:pPr>
        <w:autoSpaceDE w:val="0"/>
        <w:autoSpaceDN w:val="0"/>
        <w:adjustRightInd w:val="0"/>
        <w:spacing w:line="240" w:lineRule="auto"/>
        <w:rPr>
          <w:rFonts w:eastAsia="Calibri"/>
          <w:snapToGrid/>
          <w:szCs w:val="22"/>
          <w:lang w:eastAsia="lt-LT"/>
        </w:rPr>
      </w:pPr>
      <w:proofErr w:type="spellStart"/>
      <w:r w:rsidRPr="00CE7679">
        <w:rPr>
          <w:rFonts w:eastAsia="Calibri"/>
          <w:snapToGrid/>
          <w:szCs w:val="22"/>
          <w:lang w:eastAsia="lt-LT"/>
        </w:rPr>
        <w:t>Imatinibo</w:t>
      </w:r>
      <w:proofErr w:type="spellEnd"/>
      <w:r w:rsidRPr="00CE7679">
        <w:rPr>
          <w:rFonts w:eastAsia="Calibri"/>
          <w:snapToGrid/>
          <w:szCs w:val="22"/>
          <w:lang w:eastAsia="lt-LT"/>
        </w:rPr>
        <w:t xml:space="preserve"> poveikis kaul</w:t>
      </w:r>
      <w:r w:rsidRPr="00CE7679">
        <w:rPr>
          <w:rFonts w:eastAsia="TimesNewRomanPSMT"/>
          <w:snapToGrid/>
          <w:szCs w:val="22"/>
          <w:lang w:eastAsia="lt-LT"/>
        </w:rPr>
        <w:t>ų č</w:t>
      </w:r>
      <w:r w:rsidRPr="00CE7679">
        <w:rPr>
          <w:rFonts w:eastAsia="Calibri"/>
          <w:snapToGrid/>
          <w:szCs w:val="22"/>
          <w:lang w:eastAsia="lt-LT"/>
        </w:rPr>
        <w:t>iulp</w:t>
      </w:r>
      <w:r w:rsidRPr="00CE7679">
        <w:rPr>
          <w:rFonts w:eastAsia="TimesNewRomanPSMT"/>
          <w:snapToGrid/>
          <w:szCs w:val="22"/>
          <w:lang w:eastAsia="lt-LT"/>
        </w:rPr>
        <w:t xml:space="preserve">ų </w:t>
      </w:r>
      <w:r w:rsidRPr="00CE7679">
        <w:rPr>
          <w:rFonts w:eastAsia="Calibri"/>
          <w:snapToGrid/>
          <w:szCs w:val="22"/>
          <w:lang w:eastAsia="lt-LT"/>
        </w:rPr>
        <w:t>transplantacijos rezultatams nenustatytas.</w:t>
      </w:r>
    </w:p>
    <w:p w14:paraId="684D21AD" w14:textId="77777777" w:rsidR="00A27597" w:rsidRDefault="00A27597" w:rsidP="00A27597">
      <w:pPr>
        <w:autoSpaceDE w:val="0"/>
        <w:autoSpaceDN w:val="0"/>
        <w:adjustRightInd w:val="0"/>
        <w:spacing w:line="240" w:lineRule="auto"/>
        <w:rPr>
          <w:rFonts w:eastAsia="Calibri"/>
          <w:snapToGrid/>
          <w:szCs w:val="22"/>
          <w:lang w:eastAsia="lt-LT"/>
        </w:rPr>
      </w:pPr>
    </w:p>
    <w:p w14:paraId="7211D4B1" w14:textId="77777777" w:rsidR="00C76F58" w:rsidRPr="00C76F58" w:rsidRDefault="00C76F58" w:rsidP="00C76F58">
      <w:pPr>
        <w:autoSpaceDE w:val="0"/>
        <w:autoSpaceDN w:val="0"/>
        <w:adjustRightInd w:val="0"/>
        <w:spacing w:line="240" w:lineRule="auto"/>
        <w:rPr>
          <w:rFonts w:eastAsia="Calibri"/>
          <w:snapToGrid/>
          <w:szCs w:val="22"/>
          <w:lang w:eastAsia="lt-LT"/>
        </w:rPr>
      </w:pPr>
      <w:proofErr w:type="spellStart"/>
      <w:r>
        <w:rPr>
          <w:rFonts w:eastAsia="Calibri"/>
          <w:snapToGrid/>
          <w:szCs w:val="22"/>
          <w:lang w:eastAsia="lt-LT"/>
        </w:rPr>
        <w:t>Imatinib</w:t>
      </w:r>
      <w:proofErr w:type="spellEnd"/>
      <w:r>
        <w:rPr>
          <w:rFonts w:eastAsia="Calibri"/>
          <w:snapToGrid/>
          <w:szCs w:val="22"/>
          <w:lang w:eastAsia="lt-LT"/>
        </w:rPr>
        <w:t xml:space="preserve"> </w:t>
      </w:r>
      <w:proofErr w:type="spellStart"/>
      <w:r>
        <w:rPr>
          <w:rFonts w:eastAsia="Calibri"/>
          <w:snapToGrid/>
          <w:szCs w:val="22"/>
          <w:lang w:eastAsia="lt-LT"/>
        </w:rPr>
        <w:t>Sandoz</w:t>
      </w:r>
      <w:proofErr w:type="spellEnd"/>
      <w:r w:rsidRPr="00C76F58">
        <w:rPr>
          <w:rFonts w:eastAsia="Calibri"/>
          <w:snapToGrid/>
          <w:szCs w:val="22"/>
          <w:lang w:eastAsia="lt-LT"/>
        </w:rPr>
        <w:t xml:space="preserve"> skiriama:</w:t>
      </w:r>
    </w:p>
    <w:p w14:paraId="31198B41" w14:textId="77777777" w:rsidR="00C76F58" w:rsidRPr="00C76F58" w:rsidRDefault="00C76F58" w:rsidP="007541DA">
      <w:pPr>
        <w:pStyle w:val="Sraopastraipa"/>
        <w:numPr>
          <w:ilvl w:val="0"/>
          <w:numId w:val="52"/>
        </w:numPr>
        <w:autoSpaceDE w:val="0"/>
        <w:autoSpaceDN w:val="0"/>
        <w:adjustRightInd w:val="0"/>
        <w:spacing w:line="240" w:lineRule="auto"/>
        <w:ind w:left="567" w:hanging="425"/>
        <w:rPr>
          <w:lang w:eastAsia="lt-LT"/>
        </w:rPr>
      </w:pPr>
      <w:r w:rsidRPr="00C76F58">
        <w:rPr>
          <w:rFonts w:ascii="Times New Roman" w:hAnsi="Times New Roman"/>
          <w:lang w:eastAsia="lt-LT"/>
        </w:rPr>
        <w:t xml:space="preserve">suaugusiesiems, kuriems yra </w:t>
      </w:r>
      <w:proofErr w:type="spellStart"/>
      <w:r w:rsidRPr="00C76F58">
        <w:rPr>
          <w:rFonts w:ascii="Times New Roman" w:hAnsi="Times New Roman"/>
          <w:lang w:eastAsia="lt-LT"/>
        </w:rPr>
        <w:t>Kit</w:t>
      </w:r>
      <w:proofErr w:type="spellEnd"/>
      <w:r w:rsidRPr="00C76F58">
        <w:rPr>
          <w:rFonts w:ascii="Times New Roman" w:hAnsi="Times New Roman"/>
          <w:lang w:eastAsia="lt-LT"/>
        </w:rPr>
        <w:t xml:space="preserve"> (CD 117) teigiamas </w:t>
      </w:r>
      <w:proofErr w:type="spellStart"/>
      <w:r w:rsidRPr="00C76F58">
        <w:rPr>
          <w:rFonts w:ascii="Times New Roman" w:hAnsi="Times New Roman"/>
          <w:lang w:eastAsia="lt-LT"/>
        </w:rPr>
        <w:t>nerezekuotinas</w:t>
      </w:r>
      <w:proofErr w:type="spellEnd"/>
      <w:r w:rsidRPr="00C76F58">
        <w:rPr>
          <w:rFonts w:ascii="Times New Roman" w:hAnsi="Times New Roman"/>
          <w:lang w:eastAsia="lt-LT"/>
        </w:rPr>
        <w:t xml:space="preserve"> ir (ar) </w:t>
      </w:r>
      <w:proofErr w:type="spellStart"/>
      <w:r w:rsidRPr="00C76F58">
        <w:rPr>
          <w:rFonts w:ascii="Times New Roman" w:hAnsi="Times New Roman"/>
          <w:lang w:eastAsia="lt-LT"/>
        </w:rPr>
        <w:t>metastazavęs</w:t>
      </w:r>
      <w:proofErr w:type="spellEnd"/>
      <w:r>
        <w:rPr>
          <w:rFonts w:ascii="Times New Roman" w:hAnsi="Times New Roman"/>
          <w:lang w:eastAsia="lt-LT"/>
        </w:rPr>
        <w:t xml:space="preserve"> </w:t>
      </w:r>
      <w:r w:rsidRPr="00C76F58">
        <w:rPr>
          <w:rFonts w:ascii="Times New Roman" w:hAnsi="Times New Roman"/>
          <w:lang w:eastAsia="lt-LT"/>
        </w:rPr>
        <w:t xml:space="preserve">piktybinis virškinimo trakto </w:t>
      </w:r>
      <w:proofErr w:type="spellStart"/>
      <w:r w:rsidRPr="00C76F58">
        <w:rPr>
          <w:rFonts w:ascii="Times New Roman" w:hAnsi="Times New Roman"/>
          <w:lang w:eastAsia="lt-LT"/>
        </w:rPr>
        <w:t>stromos</w:t>
      </w:r>
      <w:proofErr w:type="spellEnd"/>
      <w:r w:rsidRPr="00C76F58">
        <w:rPr>
          <w:rFonts w:ascii="Times New Roman" w:hAnsi="Times New Roman"/>
          <w:lang w:eastAsia="lt-LT"/>
        </w:rPr>
        <w:t xml:space="preserve"> navikas (VTSN), gydyti</w:t>
      </w:r>
      <w:r>
        <w:rPr>
          <w:rFonts w:ascii="Times New Roman" w:hAnsi="Times New Roman"/>
          <w:lang w:eastAsia="lt-LT"/>
        </w:rPr>
        <w:t>;</w:t>
      </w:r>
    </w:p>
    <w:p w14:paraId="3C000751" w14:textId="77777777" w:rsidR="00C76F58" w:rsidRPr="00C76F58" w:rsidRDefault="00C76F58" w:rsidP="007541DA">
      <w:pPr>
        <w:pStyle w:val="Sraopastraipa"/>
        <w:numPr>
          <w:ilvl w:val="0"/>
          <w:numId w:val="52"/>
        </w:numPr>
        <w:autoSpaceDE w:val="0"/>
        <w:autoSpaceDN w:val="0"/>
        <w:adjustRightInd w:val="0"/>
        <w:spacing w:line="240" w:lineRule="auto"/>
        <w:ind w:left="567" w:hanging="425"/>
        <w:rPr>
          <w:lang w:eastAsia="lt-LT"/>
        </w:rPr>
      </w:pPr>
      <w:proofErr w:type="spellStart"/>
      <w:r w:rsidRPr="00C76F58">
        <w:rPr>
          <w:rFonts w:ascii="Times New Roman" w:hAnsi="Times New Roman"/>
          <w:lang w:eastAsia="lt-LT"/>
        </w:rPr>
        <w:t>adjuvantiniam</w:t>
      </w:r>
      <w:proofErr w:type="spellEnd"/>
      <w:r w:rsidRPr="00C76F58">
        <w:rPr>
          <w:rFonts w:ascii="Times New Roman" w:hAnsi="Times New Roman"/>
          <w:lang w:eastAsia="lt-LT"/>
        </w:rPr>
        <w:t xml:space="preserve"> suaugusiųjų, kuriems po atliktos </w:t>
      </w:r>
      <w:proofErr w:type="spellStart"/>
      <w:r w:rsidRPr="00C76F58">
        <w:rPr>
          <w:rFonts w:ascii="Times New Roman" w:hAnsi="Times New Roman"/>
          <w:lang w:eastAsia="lt-LT"/>
        </w:rPr>
        <w:t>Kit</w:t>
      </w:r>
      <w:proofErr w:type="spellEnd"/>
      <w:r w:rsidRPr="00C76F58">
        <w:rPr>
          <w:rFonts w:ascii="Times New Roman" w:hAnsi="Times New Roman"/>
          <w:lang w:eastAsia="lt-LT"/>
        </w:rPr>
        <w:t xml:space="preserve"> (CD 117) teigiamo VTSN </w:t>
      </w:r>
      <w:proofErr w:type="spellStart"/>
      <w:r w:rsidRPr="00C76F58">
        <w:rPr>
          <w:rFonts w:ascii="Times New Roman" w:hAnsi="Times New Roman"/>
          <w:lang w:eastAsia="lt-LT"/>
        </w:rPr>
        <w:t>rezekcijos</w:t>
      </w:r>
      <w:proofErr w:type="spellEnd"/>
      <w:r w:rsidRPr="00C76F58">
        <w:rPr>
          <w:rFonts w:ascii="Times New Roman" w:hAnsi="Times New Roman"/>
          <w:lang w:eastAsia="lt-LT"/>
        </w:rPr>
        <w:t xml:space="preserve"> yra</w:t>
      </w:r>
      <w:r w:rsidRPr="007541DA">
        <w:rPr>
          <w:rFonts w:ascii="Times New Roman" w:hAnsi="Times New Roman"/>
          <w:lang w:eastAsia="lt-LT"/>
        </w:rPr>
        <w:t xml:space="preserve"> </w:t>
      </w:r>
      <w:r w:rsidRPr="00C76F58">
        <w:rPr>
          <w:rFonts w:ascii="Times New Roman" w:hAnsi="Times New Roman"/>
          <w:lang w:eastAsia="lt-LT"/>
        </w:rPr>
        <w:t>reikšmingai padidėjusi recidyvo rizika, gydymui. Pacienta</w:t>
      </w:r>
      <w:r>
        <w:rPr>
          <w:rFonts w:ascii="Times New Roman" w:hAnsi="Times New Roman"/>
          <w:lang w:eastAsia="lt-LT"/>
        </w:rPr>
        <w:t>ms</w:t>
      </w:r>
      <w:r w:rsidRPr="00C76F58">
        <w:rPr>
          <w:rFonts w:ascii="Times New Roman" w:hAnsi="Times New Roman"/>
          <w:lang w:eastAsia="lt-LT"/>
        </w:rPr>
        <w:t>, kuriems yra maža ar labai maža</w:t>
      </w:r>
      <w:r>
        <w:rPr>
          <w:rFonts w:ascii="Times New Roman" w:hAnsi="Times New Roman"/>
          <w:lang w:eastAsia="lt-LT"/>
        </w:rPr>
        <w:t xml:space="preserve"> </w:t>
      </w:r>
      <w:r w:rsidRPr="00C76F58">
        <w:rPr>
          <w:rFonts w:ascii="Times New Roman" w:hAnsi="Times New Roman"/>
          <w:lang w:eastAsia="lt-LT"/>
        </w:rPr>
        <w:t>recidyvo rizika</w:t>
      </w:r>
      <w:r>
        <w:rPr>
          <w:rFonts w:ascii="Times New Roman" w:hAnsi="Times New Roman"/>
          <w:lang w:eastAsia="lt-LT"/>
        </w:rPr>
        <w:t xml:space="preserve">, </w:t>
      </w:r>
      <w:proofErr w:type="spellStart"/>
      <w:r w:rsidRPr="00C76F58">
        <w:rPr>
          <w:rFonts w:ascii="Times New Roman" w:hAnsi="Times New Roman"/>
          <w:lang w:eastAsia="lt-LT"/>
        </w:rPr>
        <w:t>adjuvantini</w:t>
      </w:r>
      <w:r>
        <w:rPr>
          <w:rFonts w:ascii="Times New Roman" w:hAnsi="Times New Roman"/>
          <w:lang w:eastAsia="lt-LT"/>
        </w:rPr>
        <w:t>s</w:t>
      </w:r>
      <w:proofErr w:type="spellEnd"/>
      <w:r>
        <w:rPr>
          <w:rFonts w:ascii="Times New Roman" w:hAnsi="Times New Roman"/>
          <w:lang w:eastAsia="lt-LT"/>
        </w:rPr>
        <w:t xml:space="preserve"> gydymas turi būti netaikomas;</w:t>
      </w:r>
    </w:p>
    <w:p w14:paraId="68258BEF" w14:textId="77777777" w:rsidR="00C76F58" w:rsidRPr="00C76F58" w:rsidRDefault="00C76F58" w:rsidP="007541DA">
      <w:pPr>
        <w:pStyle w:val="Sraopastraipa"/>
        <w:numPr>
          <w:ilvl w:val="0"/>
          <w:numId w:val="52"/>
        </w:numPr>
        <w:autoSpaceDE w:val="0"/>
        <w:autoSpaceDN w:val="0"/>
        <w:adjustRightInd w:val="0"/>
        <w:spacing w:line="240" w:lineRule="auto"/>
        <w:ind w:left="567" w:hanging="425"/>
        <w:rPr>
          <w:lang w:eastAsia="lt-LT"/>
        </w:rPr>
      </w:pPr>
      <w:r w:rsidRPr="00C76F58">
        <w:rPr>
          <w:rFonts w:ascii="Times New Roman" w:hAnsi="Times New Roman"/>
          <w:lang w:eastAsia="lt-LT"/>
        </w:rPr>
        <w:lastRenderedPageBreak/>
        <w:t xml:space="preserve">suaugusiesiems, kuriems yra </w:t>
      </w:r>
      <w:proofErr w:type="spellStart"/>
      <w:r w:rsidRPr="00C76F58">
        <w:rPr>
          <w:rFonts w:ascii="Times New Roman" w:hAnsi="Times New Roman"/>
          <w:lang w:eastAsia="lt-LT"/>
        </w:rPr>
        <w:t>nerezekuotina</w:t>
      </w:r>
      <w:proofErr w:type="spellEnd"/>
      <w:r w:rsidRPr="00C76F58">
        <w:rPr>
          <w:rFonts w:ascii="Times New Roman" w:hAnsi="Times New Roman"/>
          <w:lang w:eastAsia="lt-LT"/>
        </w:rPr>
        <w:t xml:space="preserve"> iškilioji </w:t>
      </w:r>
      <w:proofErr w:type="spellStart"/>
      <w:r w:rsidRPr="00C76F58">
        <w:rPr>
          <w:rFonts w:ascii="Times New Roman" w:hAnsi="Times New Roman"/>
          <w:lang w:eastAsia="lt-LT"/>
        </w:rPr>
        <w:t>dermatofibrosarkoma</w:t>
      </w:r>
      <w:proofErr w:type="spellEnd"/>
      <w:r w:rsidRPr="007541DA">
        <w:rPr>
          <w:rFonts w:ascii="Times New Roman" w:hAnsi="Times New Roman"/>
          <w:lang w:eastAsia="lt-LT"/>
        </w:rPr>
        <w:t xml:space="preserve"> </w:t>
      </w:r>
      <w:r w:rsidRPr="00C76F58">
        <w:rPr>
          <w:rFonts w:ascii="Times New Roman" w:hAnsi="Times New Roman"/>
          <w:lang w:eastAsia="lt-LT"/>
        </w:rPr>
        <w:t>(</w:t>
      </w:r>
      <w:proofErr w:type="spellStart"/>
      <w:r w:rsidRPr="00C76F58">
        <w:rPr>
          <w:rFonts w:ascii="Times New Roman" w:hAnsi="Times New Roman"/>
          <w:lang w:eastAsia="lt-LT"/>
        </w:rPr>
        <w:t>dermatofibrosarcoma</w:t>
      </w:r>
      <w:proofErr w:type="spellEnd"/>
      <w:r w:rsidRPr="00C76F58">
        <w:rPr>
          <w:rFonts w:ascii="Times New Roman" w:hAnsi="Times New Roman"/>
          <w:lang w:eastAsia="lt-LT"/>
        </w:rPr>
        <w:t xml:space="preserve"> </w:t>
      </w:r>
      <w:proofErr w:type="spellStart"/>
      <w:r w:rsidRPr="00C76F58">
        <w:rPr>
          <w:rFonts w:ascii="Times New Roman" w:hAnsi="Times New Roman"/>
          <w:lang w:eastAsia="lt-LT"/>
        </w:rPr>
        <w:t>protuberans</w:t>
      </w:r>
      <w:proofErr w:type="spellEnd"/>
      <w:r w:rsidRPr="00C76F58">
        <w:rPr>
          <w:rFonts w:ascii="Times New Roman" w:hAnsi="Times New Roman"/>
          <w:lang w:eastAsia="lt-LT"/>
        </w:rPr>
        <w:t xml:space="preserve"> - DFSP)</w:t>
      </w:r>
      <w:r w:rsidR="007159E1">
        <w:rPr>
          <w:rFonts w:ascii="Times New Roman" w:hAnsi="Times New Roman"/>
          <w:lang w:eastAsia="lt-LT"/>
        </w:rPr>
        <w:t>, ir suaugusiesiems</w:t>
      </w:r>
      <w:r w:rsidRPr="00C76F58">
        <w:rPr>
          <w:rFonts w:ascii="Times New Roman" w:hAnsi="Times New Roman"/>
          <w:lang w:eastAsia="lt-LT"/>
        </w:rPr>
        <w:t xml:space="preserve">, kuriems yra </w:t>
      </w:r>
      <w:r w:rsidR="007159E1">
        <w:rPr>
          <w:rFonts w:ascii="Times New Roman" w:hAnsi="Times New Roman"/>
          <w:lang w:eastAsia="lt-LT"/>
        </w:rPr>
        <w:t>netinkama operacijai</w:t>
      </w:r>
      <w:r w:rsidR="007159E1" w:rsidRPr="007159E1">
        <w:rPr>
          <w:rFonts w:ascii="Times New Roman" w:hAnsi="Times New Roman"/>
          <w:lang w:eastAsia="lt-LT"/>
        </w:rPr>
        <w:t xml:space="preserve"> </w:t>
      </w:r>
      <w:r w:rsidRPr="00C76F58">
        <w:rPr>
          <w:rFonts w:ascii="Times New Roman" w:hAnsi="Times New Roman"/>
          <w:lang w:eastAsia="lt-LT"/>
        </w:rPr>
        <w:t xml:space="preserve">pasikartojanti ir (ar) </w:t>
      </w:r>
      <w:proofErr w:type="spellStart"/>
      <w:r w:rsidRPr="00C76F58">
        <w:rPr>
          <w:rFonts w:ascii="Times New Roman" w:hAnsi="Times New Roman"/>
          <w:lang w:eastAsia="lt-LT"/>
        </w:rPr>
        <w:t>metastazavusi</w:t>
      </w:r>
      <w:proofErr w:type="spellEnd"/>
      <w:r>
        <w:rPr>
          <w:rFonts w:ascii="Times New Roman" w:hAnsi="Times New Roman"/>
          <w:lang w:eastAsia="lt-LT"/>
        </w:rPr>
        <w:t xml:space="preserve"> </w:t>
      </w:r>
      <w:r w:rsidRPr="00C76F58">
        <w:rPr>
          <w:rFonts w:ascii="Times New Roman" w:hAnsi="Times New Roman"/>
          <w:lang w:eastAsia="lt-LT"/>
        </w:rPr>
        <w:t>DFSP.</w:t>
      </w:r>
    </w:p>
    <w:p w14:paraId="0376440B" w14:textId="5A56AA57" w:rsidR="00A27597" w:rsidRPr="00CE7679" w:rsidRDefault="00A27597" w:rsidP="00CD5B86">
      <w:pPr>
        <w:autoSpaceDE w:val="0"/>
        <w:autoSpaceDN w:val="0"/>
        <w:adjustRightInd w:val="0"/>
        <w:spacing w:line="240" w:lineRule="auto"/>
        <w:rPr>
          <w:szCs w:val="22"/>
        </w:rPr>
      </w:pPr>
      <w:r w:rsidRPr="00CE7679">
        <w:rPr>
          <w:rFonts w:eastAsia="Calibri"/>
          <w:snapToGrid/>
          <w:szCs w:val="22"/>
          <w:lang w:eastAsia="lt-LT"/>
        </w:rPr>
        <w:t xml:space="preserve">Suaugusiems pacientams ir vaikams </w:t>
      </w:r>
      <w:proofErr w:type="spellStart"/>
      <w:r w:rsidRPr="00CE7679">
        <w:rPr>
          <w:rFonts w:eastAsia="Calibri"/>
          <w:snapToGrid/>
          <w:szCs w:val="22"/>
          <w:lang w:eastAsia="lt-LT"/>
        </w:rPr>
        <w:t>imatinibo</w:t>
      </w:r>
      <w:proofErr w:type="spellEnd"/>
      <w:r w:rsidRPr="00CE7679">
        <w:rPr>
          <w:rFonts w:eastAsia="Calibri"/>
          <w:snapToGrid/>
          <w:szCs w:val="22"/>
          <w:lang w:eastAsia="lt-LT"/>
        </w:rPr>
        <w:t xml:space="preserve"> veiksmingumas </w:t>
      </w:r>
      <w:r w:rsidRPr="00CE7679">
        <w:rPr>
          <w:rFonts w:eastAsia="Calibri"/>
          <w:szCs w:val="22"/>
        </w:rPr>
        <w:t>pagrįstas bendru hematologinio ir citogenetinio atsako dažniu ir gyvenimo trukme ligai neprogresuojant</w:t>
      </w:r>
      <w:r w:rsidRPr="00CE7679">
        <w:rPr>
          <w:rFonts w:eastAsia="Calibri"/>
          <w:snapToGrid/>
          <w:szCs w:val="22"/>
          <w:lang w:eastAsia="lt-LT"/>
        </w:rPr>
        <w:t xml:space="preserve">, sergant LML, hematologinio ir citogenetinio atsako dažniu, sergant </w:t>
      </w:r>
      <w:proofErr w:type="spellStart"/>
      <w:r w:rsidRPr="00CE7679">
        <w:rPr>
          <w:rFonts w:eastAsia="Calibri"/>
          <w:snapToGrid/>
          <w:szCs w:val="22"/>
          <w:lang w:eastAsia="lt-LT"/>
        </w:rPr>
        <w:t>Ph</w:t>
      </w:r>
      <w:proofErr w:type="spellEnd"/>
      <w:r w:rsidRPr="00CE7679">
        <w:rPr>
          <w:rFonts w:eastAsia="Calibri"/>
          <w:snapToGrid/>
          <w:szCs w:val="22"/>
          <w:lang w:eastAsia="lt-LT"/>
        </w:rPr>
        <w:t xml:space="preserve">+ ŪLL, MDS/MPL, hematologinio atsako dažniu, sergant HES/LEL, suaugusių pacientų, sergančių </w:t>
      </w:r>
      <w:proofErr w:type="spellStart"/>
      <w:r w:rsidRPr="00CE7679">
        <w:rPr>
          <w:rFonts w:eastAsia="Calibri"/>
          <w:snapToGrid/>
          <w:szCs w:val="22"/>
          <w:lang w:eastAsia="lt-LT"/>
        </w:rPr>
        <w:t>nerezekuotinu</w:t>
      </w:r>
      <w:proofErr w:type="spellEnd"/>
      <w:r w:rsidRPr="00CE7679">
        <w:rPr>
          <w:rFonts w:eastAsia="Calibri"/>
          <w:snapToGrid/>
          <w:szCs w:val="22"/>
          <w:lang w:eastAsia="lt-LT"/>
        </w:rPr>
        <w:t xml:space="preserve"> ir (arba) </w:t>
      </w:r>
      <w:proofErr w:type="spellStart"/>
      <w:r w:rsidRPr="00CE7679">
        <w:rPr>
          <w:rFonts w:eastAsia="Calibri"/>
          <w:snapToGrid/>
          <w:szCs w:val="22"/>
          <w:lang w:eastAsia="lt-LT"/>
        </w:rPr>
        <w:t>metastaziniu</w:t>
      </w:r>
      <w:proofErr w:type="spellEnd"/>
      <w:r w:rsidRPr="00CE7679">
        <w:rPr>
          <w:rFonts w:eastAsia="Calibri"/>
          <w:snapToGrid/>
          <w:szCs w:val="22"/>
          <w:lang w:eastAsia="lt-LT"/>
        </w:rPr>
        <w:t xml:space="preserve"> </w:t>
      </w:r>
      <w:r w:rsidR="000E078C">
        <w:rPr>
          <w:rFonts w:eastAsia="Calibri"/>
          <w:snapToGrid/>
          <w:szCs w:val="22"/>
          <w:lang w:eastAsia="lt-LT"/>
        </w:rPr>
        <w:t>VTSN</w:t>
      </w:r>
      <w:r w:rsidR="00CD5B86">
        <w:rPr>
          <w:rFonts w:eastAsia="Calibri"/>
          <w:snapToGrid/>
          <w:szCs w:val="22"/>
          <w:lang w:eastAsia="lt-LT"/>
        </w:rPr>
        <w:t xml:space="preserve"> ir </w:t>
      </w:r>
      <w:r w:rsidRPr="00CE7679">
        <w:rPr>
          <w:rFonts w:eastAsia="Calibri"/>
          <w:snapToGrid/>
          <w:szCs w:val="22"/>
          <w:lang w:eastAsia="lt-LT"/>
        </w:rPr>
        <w:t xml:space="preserve">DFSP, </w:t>
      </w:r>
      <w:r w:rsidRPr="00CE7679">
        <w:rPr>
          <w:rFonts w:eastAsia="Calibri"/>
          <w:szCs w:val="22"/>
        </w:rPr>
        <w:t>objektyviu atsako dažniu</w:t>
      </w:r>
      <w:r w:rsidR="00CD5B86">
        <w:rPr>
          <w:rFonts w:eastAsia="Calibri"/>
          <w:szCs w:val="22"/>
        </w:rPr>
        <w:t xml:space="preserve"> ir </w:t>
      </w:r>
      <w:r w:rsidR="00CD5B86" w:rsidRPr="00CD5B86">
        <w:rPr>
          <w:rFonts w:eastAsia="Calibri"/>
          <w:szCs w:val="22"/>
        </w:rPr>
        <w:t xml:space="preserve">išgyvenamumo be ligos recidyvo trukme, </w:t>
      </w:r>
      <w:r w:rsidR="00CD5B86">
        <w:rPr>
          <w:rFonts w:eastAsia="Calibri"/>
          <w:szCs w:val="22"/>
        </w:rPr>
        <w:t>taikant</w:t>
      </w:r>
      <w:r w:rsidR="00CD5B86" w:rsidRPr="00CD5B86">
        <w:rPr>
          <w:rFonts w:eastAsia="Calibri"/>
          <w:szCs w:val="22"/>
        </w:rPr>
        <w:t xml:space="preserve"> </w:t>
      </w:r>
      <w:proofErr w:type="spellStart"/>
      <w:r w:rsidR="00CD5B86" w:rsidRPr="00CD5B86">
        <w:rPr>
          <w:rFonts w:eastAsia="Calibri"/>
          <w:szCs w:val="22"/>
        </w:rPr>
        <w:t>adjuvantin</w:t>
      </w:r>
      <w:r w:rsidR="00CD5B86">
        <w:rPr>
          <w:rFonts w:eastAsia="Calibri"/>
          <w:szCs w:val="22"/>
        </w:rPr>
        <w:t>į</w:t>
      </w:r>
      <w:proofErr w:type="spellEnd"/>
      <w:r w:rsidR="00CD5B86" w:rsidRPr="00CD5B86">
        <w:rPr>
          <w:rFonts w:eastAsia="Calibri"/>
          <w:szCs w:val="22"/>
        </w:rPr>
        <w:t xml:space="preserve"> VTSN gydym</w:t>
      </w:r>
      <w:r w:rsidR="00CD5B86">
        <w:rPr>
          <w:rFonts w:eastAsia="Calibri"/>
          <w:szCs w:val="22"/>
        </w:rPr>
        <w:t>ą</w:t>
      </w:r>
      <w:r w:rsidRPr="00CE7679">
        <w:rPr>
          <w:rFonts w:eastAsia="Calibri"/>
          <w:snapToGrid/>
          <w:szCs w:val="22"/>
          <w:lang w:eastAsia="lt-LT"/>
        </w:rPr>
        <w:t xml:space="preserve">. </w:t>
      </w:r>
      <w:r w:rsidRPr="00CE7679">
        <w:rPr>
          <w:rFonts w:eastAsia="Calibri"/>
          <w:szCs w:val="22"/>
        </w:rPr>
        <w:t xml:space="preserve">Pacientų, sergančių MDS ar MPL, susijusių su PDGFR geno pakitimais, gydymo </w:t>
      </w:r>
      <w:proofErr w:type="spellStart"/>
      <w:r w:rsidRPr="00CE7679">
        <w:rPr>
          <w:rFonts w:eastAsia="Calibri"/>
          <w:szCs w:val="22"/>
        </w:rPr>
        <w:t>imatinibu</w:t>
      </w:r>
      <w:proofErr w:type="spellEnd"/>
      <w:r w:rsidRPr="00CE7679">
        <w:rPr>
          <w:rFonts w:eastAsia="Calibri"/>
          <w:szCs w:val="22"/>
        </w:rPr>
        <w:t xml:space="preserve"> patirtis yra labai maža</w:t>
      </w:r>
      <w:r w:rsidRPr="00CE7679">
        <w:rPr>
          <w:rFonts w:eastAsia="Calibri"/>
          <w:snapToGrid/>
          <w:szCs w:val="22"/>
          <w:lang w:eastAsia="lt-LT"/>
        </w:rPr>
        <w:t xml:space="preserve"> (žr.</w:t>
      </w:r>
      <w:r w:rsidR="003262CD">
        <w:rPr>
          <w:rFonts w:eastAsia="Calibri"/>
          <w:snapToGrid/>
          <w:szCs w:val="22"/>
          <w:lang w:eastAsia="lt-LT"/>
        </w:rPr>
        <w:t> </w:t>
      </w:r>
      <w:r w:rsidRPr="00CE7679">
        <w:rPr>
          <w:rFonts w:eastAsia="Calibri"/>
          <w:snapToGrid/>
          <w:szCs w:val="22"/>
          <w:lang w:eastAsia="lt-LT"/>
        </w:rPr>
        <w:t>5.1</w:t>
      </w:r>
      <w:r w:rsidR="003262CD">
        <w:rPr>
          <w:rFonts w:eastAsia="Calibri"/>
          <w:snapToGrid/>
          <w:szCs w:val="22"/>
          <w:lang w:eastAsia="lt-LT"/>
        </w:rPr>
        <w:t> </w:t>
      </w:r>
      <w:r w:rsidRPr="00CE7679">
        <w:rPr>
          <w:rFonts w:eastAsia="Calibri"/>
          <w:snapToGrid/>
          <w:szCs w:val="22"/>
          <w:lang w:eastAsia="lt-LT"/>
        </w:rPr>
        <w:t xml:space="preserve">skyrių). </w:t>
      </w:r>
      <w:r w:rsidRPr="00CE7679">
        <w:rPr>
          <w:szCs w:val="22"/>
        </w:rPr>
        <w:t>Nėra kontroliuojamų tyrimų, įrodančių klinikinę naudą ar pailgėjusią gyvenimo trukmę, kai yra kuri nors iš šių ligų, išskyrus naujai diagnozuotą lėtinę LML fazę.</w:t>
      </w:r>
    </w:p>
    <w:p w14:paraId="6B1D02E8" w14:textId="77777777" w:rsidR="00A27597" w:rsidRPr="00CE7679" w:rsidRDefault="00A27597" w:rsidP="00A27597">
      <w:pPr>
        <w:rPr>
          <w:szCs w:val="22"/>
        </w:rPr>
      </w:pPr>
    </w:p>
    <w:p w14:paraId="53055EDD" w14:textId="77777777" w:rsidR="00A27597" w:rsidRPr="00CE7679" w:rsidRDefault="00A27597" w:rsidP="00A27597">
      <w:pPr>
        <w:pStyle w:val="Antrat4"/>
        <w:rPr>
          <w:rFonts w:ascii="Times New Roman" w:hAnsi="Times New Roman"/>
          <w:sz w:val="22"/>
          <w:szCs w:val="22"/>
        </w:rPr>
      </w:pPr>
      <w:r w:rsidRPr="00CE7679">
        <w:rPr>
          <w:rFonts w:ascii="Times New Roman" w:hAnsi="Times New Roman"/>
          <w:sz w:val="22"/>
          <w:szCs w:val="22"/>
        </w:rPr>
        <w:t>4.2</w:t>
      </w:r>
      <w:r w:rsidRPr="00CE7679">
        <w:rPr>
          <w:rFonts w:ascii="Times New Roman" w:hAnsi="Times New Roman"/>
          <w:sz w:val="22"/>
          <w:szCs w:val="22"/>
        </w:rPr>
        <w:tab/>
        <w:t>Dozavimas ir vartojimo metodas</w:t>
      </w:r>
    </w:p>
    <w:p w14:paraId="1015235F" w14:textId="77777777" w:rsidR="00A27597" w:rsidRPr="00CE7679" w:rsidRDefault="00A27597" w:rsidP="00A27597">
      <w:pPr>
        <w:rPr>
          <w:szCs w:val="22"/>
        </w:rPr>
      </w:pPr>
    </w:p>
    <w:p w14:paraId="15FABA3F" w14:textId="77777777" w:rsidR="00A27597" w:rsidRPr="00CE7679" w:rsidRDefault="00A27597" w:rsidP="00A27597">
      <w:pPr>
        <w:tabs>
          <w:tab w:val="clear" w:pos="567"/>
        </w:tabs>
        <w:autoSpaceDE w:val="0"/>
        <w:autoSpaceDN w:val="0"/>
        <w:adjustRightInd w:val="0"/>
        <w:spacing w:line="240" w:lineRule="auto"/>
        <w:rPr>
          <w:rFonts w:eastAsia="Calibri"/>
          <w:snapToGrid/>
          <w:szCs w:val="22"/>
          <w:lang w:eastAsia="lt-LT"/>
        </w:rPr>
      </w:pPr>
      <w:r w:rsidRPr="00CE7679">
        <w:rPr>
          <w:rFonts w:eastAsia="Calibri"/>
          <w:snapToGrid/>
          <w:szCs w:val="22"/>
          <w:lang w:eastAsia="lt-LT"/>
        </w:rPr>
        <w:t xml:space="preserve">Skirti vaistinį preparatą gali tik gydytojas, turintis patirties, kaip gydyti pacientus, sergančius piktybiniais hematologiniais navikais ar piktybine sarkoma. </w:t>
      </w:r>
    </w:p>
    <w:p w14:paraId="4EC7C858" w14:textId="77777777" w:rsidR="00A27597" w:rsidRPr="00CE7679" w:rsidRDefault="00A27597" w:rsidP="00A27597">
      <w:pPr>
        <w:tabs>
          <w:tab w:val="clear" w:pos="567"/>
        </w:tabs>
        <w:autoSpaceDE w:val="0"/>
        <w:autoSpaceDN w:val="0"/>
        <w:adjustRightInd w:val="0"/>
        <w:spacing w:line="240" w:lineRule="auto"/>
        <w:rPr>
          <w:rFonts w:eastAsia="Calibri"/>
          <w:snapToGrid/>
          <w:szCs w:val="22"/>
          <w:lang w:eastAsia="lt-LT"/>
        </w:rPr>
      </w:pPr>
    </w:p>
    <w:p w14:paraId="615DC06B" w14:textId="77777777" w:rsidR="00A27597" w:rsidRPr="00CE7679" w:rsidRDefault="00A27597" w:rsidP="00A27597">
      <w:pPr>
        <w:tabs>
          <w:tab w:val="clear" w:pos="567"/>
        </w:tabs>
        <w:autoSpaceDE w:val="0"/>
        <w:autoSpaceDN w:val="0"/>
        <w:adjustRightInd w:val="0"/>
        <w:spacing w:line="240" w:lineRule="auto"/>
        <w:rPr>
          <w:rFonts w:eastAsia="Calibri"/>
          <w:snapToGrid/>
          <w:szCs w:val="22"/>
          <w:lang w:eastAsia="lt-LT"/>
        </w:rPr>
      </w:pPr>
      <w:r w:rsidRPr="00CE7679">
        <w:rPr>
          <w:rFonts w:eastAsia="Calibri"/>
          <w:snapToGrid/>
          <w:szCs w:val="22"/>
          <w:lang w:eastAsia="lt-LT"/>
        </w:rPr>
        <w:t>Jeigu skiriama 400</w:t>
      </w:r>
      <w:r w:rsidR="008E1965" w:rsidRPr="00CE7679">
        <w:rPr>
          <w:rFonts w:eastAsia="Calibri"/>
          <w:snapToGrid/>
          <w:szCs w:val="22"/>
          <w:lang w:eastAsia="lt-LT"/>
        </w:rPr>
        <w:t> </w:t>
      </w:r>
      <w:r w:rsidRPr="00CE7679">
        <w:rPr>
          <w:rFonts w:eastAsia="Calibri"/>
          <w:snapToGrid/>
          <w:szCs w:val="22"/>
          <w:lang w:eastAsia="lt-LT"/>
        </w:rPr>
        <w:t>mg ar didesnė dozė (žr. dozavimo rekomendacijas toliau), rekomenduojama vartoti išleidžiamas 400</w:t>
      </w:r>
      <w:r w:rsidR="008E1965" w:rsidRPr="00CE7679">
        <w:rPr>
          <w:rFonts w:eastAsia="Calibri"/>
          <w:snapToGrid/>
          <w:szCs w:val="22"/>
          <w:lang w:eastAsia="lt-LT"/>
        </w:rPr>
        <w:t> </w:t>
      </w:r>
      <w:r w:rsidRPr="00CE7679">
        <w:rPr>
          <w:rFonts w:eastAsia="Calibri"/>
          <w:snapToGrid/>
          <w:szCs w:val="22"/>
          <w:lang w:eastAsia="lt-LT"/>
        </w:rPr>
        <w:t xml:space="preserve">mg tabletes (dalijamas). </w:t>
      </w:r>
    </w:p>
    <w:p w14:paraId="64ABAAA7" w14:textId="77777777" w:rsidR="00A27597" w:rsidRPr="00CE7679" w:rsidRDefault="00A27597" w:rsidP="00A27597">
      <w:pPr>
        <w:tabs>
          <w:tab w:val="clear" w:pos="567"/>
        </w:tabs>
        <w:autoSpaceDE w:val="0"/>
        <w:autoSpaceDN w:val="0"/>
        <w:adjustRightInd w:val="0"/>
        <w:spacing w:line="240" w:lineRule="auto"/>
        <w:rPr>
          <w:rFonts w:eastAsia="Calibri"/>
          <w:snapToGrid/>
          <w:szCs w:val="22"/>
          <w:lang w:eastAsia="lt-LT"/>
        </w:rPr>
      </w:pPr>
    </w:p>
    <w:p w14:paraId="28BEA415" w14:textId="77777777" w:rsidR="00A27597" w:rsidRPr="00CE7679" w:rsidRDefault="00A27597" w:rsidP="00A27597">
      <w:pPr>
        <w:tabs>
          <w:tab w:val="clear" w:pos="567"/>
        </w:tabs>
        <w:autoSpaceDE w:val="0"/>
        <w:autoSpaceDN w:val="0"/>
        <w:adjustRightInd w:val="0"/>
        <w:spacing w:line="240" w:lineRule="auto"/>
        <w:rPr>
          <w:rFonts w:eastAsia="Calibri"/>
          <w:snapToGrid/>
          <w:szCs w:val="22"/>
          <w:lang w:eastAsia="lt-LT"/>
        </w:rPr>
      </w:pPr>
      <w:r w:rsidRPr="00CE7679">
        <w:rPr>
          <w:rFonts w:eastAsia="Calibri"/>
          <w:snapToGrid/>
          <w:szCs w:val="22"/>
          <w:highlight w:val="lightGray"/>
          <w:lang w:eastAsia="lt-LT"/>
        </w:rPr>
        <w:t>Kitokioms negu 400</w:t>
      </w:r>
      <w:r w:rsidR="008E1965" w:rsidRPr="00CE7679">
        <w:rPr>
          <w:rFonts w:eastAsia="Calibri"/>
          <w:snapToGrid/>
          <w:szCs w:val="22"/>
          <w:highlight w:val="lightGray"/>
          <w:lang w:eastAsia="lt-LT"/>
        </w:rPr>
        <w:t> </w:t>
      </w:r>
      <w:r w:rsidRPr="00CE7679">
        <w:rPr>
          <w:rFonts w:eastAsia="Calibri"/>
          <w:snapToGrid/>
          <w:szCs w:val="22"/>
          <w:highlight w:val="lightGray"/>
          <w:lang w:eastAsia="lt-LT"/>
        </w:rPr>
        <w:t>mg, 600</w:t>
      </w:r>
      <w:r w:rsidR="008E1965" w:rsidRPr="00CE7679">
        <w:rPr>
          <w:rFonts w:eastAsia="Calibri"/>
          <w:snapToGrid/>
          <w:szCs w:val="22"/>
          <w:highlight w:val="lightGray"/>
          <w:lang w:eastAsia="lt-LT"/>
        </w:rPr>
        <w:t> </w:t>
      </w:r>
      <w:r w:rsidRPr="00CE7679">
        <w:rPr>
          <w:rFonts w:eastAsia="Calibri"/>
          <w:snapToGrid/>
          <w:szCs w:val="22"/>
          <w:highlight w:val="lightGray"/>
          <w:lang w:eastAsia="lt-LT"/>
        </w:rPr>
        <w:t>mg ir 800</w:t>
      </w:r>
      <w:r w:rsidR="008E1965" w:rsidRPr="00CE7679">
        <w:rPr>
          <w:rFonts w:eastAsia="Calibri"/>
          <w:snapToGrid/>
          <w:szCs w:val="22"/>
          <w:highlight w:val="lightGray"/>
          <w:lang w:eastAsia="lt-LT"/>
        </w:rPr>
        <w:t> </w:t>
      </w:r>
      <w:r w:rsidRPr="00CE7679">
        <w:rPr>
          <w:rFonts w:eastAsia="Calibri"/>
          <w:snapToGrid/>
          <w:szCs w:val="22"/>
          <w:highlight w:val="lightGray"/>
          <w:lang w:eastAsia="lt-LT"/>
        </w:rPr>
        <w:t>mg dozėms (žr. dozavimo rekomendacijas toliau), yra tinkamos 100</w:t>
      </w:r>
      <w:r w:rsidR="008E1965" w:rsidRPr="00CE7679">
        <w:rPr>
          <w:rFonts w:eastAsia="Calibri"/>
          <w:snapToGrid/>
          <w:szCs w:val="22"/>
          <w:highlight w:val="lightGray"/>
          <w:lang w:eastAsia="lt-LT"/>
        </w:rPr>
        <w:t> </w:t>
      </w:r>
      <w:r w:rsidRPr="00CE7679">
        <w:rPr>
          <w:rFonts w:eastAsia="Calibri"/>
          <w:snapToGrid/>
          <w:szCs w:val="22"/>
          <w:highlight w:val="lightGray"/>
          <w:lang w:eastAsia="lt-LT"/>
        </w:rPr>
        <w:t xml:space="preserve">mg </w:t>
      </w:r>
      <w:proofErr w:type="spellStart"/>
      <w:r w:rsidRPr="00CE7679">
        <w:rPr>
          <w:rFonts w:eastAsia="Calibri"/>
          <w:snapToGrid/>
          <w:szCs w:val="22"/>
          <w:highlight w:val="lightGray"/>
          <w:lang w:eastAsia="lt-LT"/>
        </w:rPr>
        <w:t>dalomosios</w:t>
      </w:r>
      <w:proofErr w:type="spellEnd"/>
      <w:r w:rsidRPr="00CE7679">
        <w:rPr>
          <w:rFonts w:eastAsia="Calibri"/>
          <w:snapToGrid/>
          <w:szCs w:val="22"/>
          <w:highlight w:val="lightGray"/>
          <w:lang w:eastAsia="lt-LT"/>
        </w:rPr>
        <w:t xml:space="preserve"> tabletės.</w:t>
      </w:r>
      <w:r w:rsidRPr="00CE7679">
        <w:rPr>
          <w:rFonts w:eastAsia="Calibri"/>
          <w:snapToGrid/>
          <w:szCs w:val="22"/>
          <w:lang w:eastAsia="lt-LT"/>
        </w:rPr>
        <w:t xml:space="preserve"> </w:t>
      </w:r>
    </w:p>
    <w:p w14:paraId="34A9842F" w14:textId="77777777" w:rsidR="00A27597" w:rsidRPr="00CE7679" w:rsidRDefault="00A27597" w:rsidP="00A27597">
      <w:pPr>
        <w:tabs>
          <w:tab w:val="clear" w:pos="567"/>
        </w:tabs>
        <w:autoSpaceDE w:val="0"/>
        <w:autoSpaceDN w:val="0"/>
        <w:adjustRightInd w:val="0"/>
        <w:spacing w:line="240" w:lineRule="auto"/>
        <w:rPr>
          <w:rFonts w:eastAsia="Calibri"/>
          <w:snapToGrid/>
          <w:szCs w:val="22"/>
          <w:lang w:eastAsia="lt-LT"/>
        </w:rPr>
      </w:pPr>
    </w:p>
    <w:p w14:paraId="6640CEA5" w14:textId="77777777" w:rsidR="00A27597" w:rsidRPr="00CE7679" w:rsidRDefault="00A27597" w:rsidP="00A27597">
      <w:pPr>
        <w:tabs>
          <w:tab w:val="clear" w:pos="567"/>
        </w:tabs>
        <w:autoSpaceDE w:val="0"/>
        <w:autoSpaceDN w:val="0"/>
        <w:adjustRightInd w:val="0"/>
        <w:spacing w:line="240" w:lineRule="auto"/>
        <w:rPr>
          <w:rFonts w:eastAsia="Calibri"/>
          <w:snapToGrid/>
          <w:szCs w:val="22"/>
          <w:lang w:eastAsia="lt-LT"/>
        </w:rPr>
      </w:pPr>
      <w:r w:rsidRPr="00CE7679">
        <w:rPr>
          <w:rFonts w:eastAsia="Calibri"/>
          <w:snapToGrid/>
          <w:szCs w:val="22"/>
          <w:lang w:eastAsia="lt-LT"/>
        </w:rPr>
        <w:t>Paskirta dozė geriama valgant ir užgeriant didele stikline vandens, kad būtų sumažinta virškinimo trakto dirginimo rizika. 400</w:t>
      </w:r>
      <w:r w:rsidR="008E1965" w:rsidRPr="00CE7679">
        <w:rPr>
          <w:rFonts w:eastAsia="Calibri"/>
          <w:snapToGrid/>
          <w:szCs w:val="22"/>
          <w:lang w:eastAsia="lt-LT"/>
        </w:rPr>
        <w:t> </w:t>
      </w:r>
      <w:r w:rsidRPr="00CE7679">
        <w:rPr>
          <w:rFonts w:eastAsia="Calibri"/>
          <w:snapToGrid/>
          <w:szCs w:val="22"/>
          <w:lang w:eastAsia="lt-LT"/>
        </w:rPr>
        <w:t>mg ar 600</w:t>
      </w:r>
      <w:r w:rsidR="008E1965" w:rsidRPr="00CE7679">
        <w:rPr>
          <w:rFonts w:eastAsia="Calibri"/>
          <w:snapToGrid/>
          <w:szCs w:val="22"/>
          <w:lang w:eastAsia="lt-LT"/>
        </w:rPr>
        <w:t> </w:t>
      </w:r>
      <w:r w:rsidRPr="00CE7679">
        <w:rPr>
          <w:rFonts w:eastAsia="Calibri"/>
          <w:snapToGrid/>
          <w:szCs w:val="22"/>
          <w:lang w:eastAsia="lt-LT"/>
        </w:rPr>
        <w:t>mg dozę vartoti vieną kartą per parą, tuo tarpu 800</w:t>
      </w:r>
      <w:r w:rsidR="008E1965" w:rsidRPr="00CE7679">
        <w:rPr>
          <w:rFonts w:eastAsia="Calibri"/>
          <w:snapToGrid/>
          <w:szCs w:val="22"/>
          <w:lang w:eastAsia="lt-LT"/>
        </w:rPr>
        <w:t> </w:t>
      </w:r>
      <w:r w:rsidRPr="00CE7679">
        <w:rPr>
          <w:rFonts w:eastAsia="Calibri"/>
          <w:snapToGrid/>
          <w:szCs w:val="22"/>
          <w:lang w:eastAsia="lt-LT"/>
        </w:rPr>
        <w:t>mg paros dozė turi būti vartojama po 400</w:t>
      </w:r>
      <w:r w:rsidR="008E1965" w:rsidRPr="00CE7679">
        <w:rPr>
          <w:rFonts w:eastAsia="Calibri"/>
          <w:snapToGrid/>
          <w:szCs w:val="22"/>
          <w:lang w:eastAsia="lt-LT"/>
        </w:rPr>
        <w:t> </w:t>
      </w:r>
      <w:r w:rsidRPr="00CE7679">
        <w:rPr>
          <w:rFonts w:eastAsia="Calibri"/>
          <w:snapToGrid/>
          <w:szCs w:val="22"/>
          <w:lang w:eastAsia="lt-LT"/>
        </w:rPr>
        <w:t>mg du kartus per parą, iš ryto ir vakare.</w:t>
      </w:r>
    </w:p>
    <w:p w14:paraId="5F448C65" w14:textId="77777777" w:rsidR="00A27597" w:rsidRPr="00CE7679" w:rsidRDefault="00A27597" w:rsidP="00A27597">
      <w:pPr>
        <w:tabs>
          <w:tab w:val="clear" w:pos="567"/>
        </w:tabs>
        <w:autoSpaceDE w:val="0"/>
        <w:autoSpaceDN w:val="0"/>
        <w:adjustRightInd w:val="0"/>
        <w:spacing w:line="240" w:lineRule="auto"/>
        <w:rPr>
          <w:rFonts w:eastAsia="Calibri"/>
          <w:snapToGrid/>
          <w:szCs w:val="22"/>
          <w:lang w:eastAsia="lt-LT"/>
        </w:rPr>
      </w:pPr>
    </w:p>
    <w:p w14:paraId="63CAF394" w14:textId="77777777" w:rsidR="00A27597" w:rsidRPr="00CE7679" w:rsidRDefault="00A27597" w:rsidP="00A27597">
      <w:pPr>
        <w:tabs>
          <w:tab w:val="clear" w:pos="567"/>
        </w:tabs>
        <w:autoSpaceDE w:val="0"/>
        <w:autoSpaceDN w:val="0"/>
        <w:adjustRightInd w:val="0"/>
        <w:spacing w:line="240" w:lineRule="auto"/>
        <w:rPr>
          <w:rFonts w:eastAsia="Calibri"/>
          <w:snapToGrid/>
          <w:szCs w:val="22"/>
          <w:lang w:eastAsia="lt-LT"/>
        </w:rPr>
      </w:pPr>
      <w:r w:rsidRPr="00CE7679">
        <w:rPr>
          <w:rFonts w:eastAsia="Calibri"/>
          <w:snapToGrid/>
          <w:szCs w:val="22"/>
          <w:lang w:eastAsia="lt-LT"/>
        </w:rPr>
        <w:t>Pacientams, kurie negali nuryti plėvele dengtos tabletės, ją galima ištirpinti stiklinėje negazuoto vandens ar obuolių sulčių. Reikiamą tablečių skaičių įmesti į atitinkamą skysčio tūrį (maždaug į 50</w:t>
      </w:r>
      <w:r w:rsidR="008E1965" w:rsidRPr="00CE7679">
        <w:rPr>
          <w:rFonts w:eastAsia="Calibri"/>
          <w:snapToGrid/>
          <w:szCs w:val="22"/>
          <w:lang w:eastAsia="lt-LT"/>
        </w:rPr>
        <w:t> </w:t>
      </w:r>
      <w:r w:rsidRPr="00CE7679">
        <w:rPr>
          <w:rFonts w:eastAsia="Calibri"/>
          <w:snapToGrid/>
          <w:szCs w:val="22"/>
          <w:lang w:eastAsia="lt-LT"/>
        </w:rPr>
        <w:t>ml</w:t>
      </w:r>
      <w:r w:rsidR="008E1965" w:rsidRPr="00CE7679">
        <w:rPr>
          <w:rFonts w:eastAsia="Calibri"/>
          <w:snapToGrid/>
          <w:szCs w:val="22"/>
          <w:lang w:eastAsia="lt-LT"/>
        </w:rPr>
        <w:t> </w:t>
      </w:r>
      <w:r w:rsidRPr="00CE7679">
        <w:rPr>
          <w:rFonts w:eastAsia="Calibri"/>
          <w:snapToGrid/>
          <w:szCs w:val="22"/>
          <w:lang w:eastAsia="lt-LT"/>
        </w:rPr>
        <w:t>–</w:t>
      </w:r>
      <w:r w:rsidR="008E1965" w:rsidRPr="00CE7679">
        <w:rPr>
          <w:rFonts w:eastAsia="Calibri"/>
          <w:snapToGrid/>
          <w:szCs w:val="22"/>
          <w:lang w:eastAsia="lt-LT"/>
        </w:rPr>
        <w:t> </w:t>
      </w:r>
      <w:r w:rsidRPr="00CE7679">
        <w:rPr>
          <w:rFonts w:eastAsia="Calibri"/>
          <w:snapToGrid/>
          <w:szCs w:val="22"/>
          <w:lang w:eastAsia="lt-LT"/>
        </w:rPr>
        <w:t>100</w:t>
      </w:r>
      <w:r w:rsidR="008E1965" w:rsidRPr="00CE7679">
        <w:rPr>
          <w:rFonts w:eastAsia="Calibri"/>
          <w:snapToGrid/>
          <w:szCs w:val="22"/>
          <w:lang w:eastAsia="lt-LT"/>
        </w:rPr>
        <w:t> </w:t>
      </w:r>
      <w:r w:rsidRPr="00CE7679">
        <w:rPr>
          <w:rFonts w:eastAsia="Calibri"/>
          <w:snapToGrid/>
          <w:szCs w:val="22"/>
          <w:lang w:eastAsia="lt-LT"/>
        </w:rPr>
        <w:t>mg tabletę, į 200</w:t>
      </w:r>
      <w:r w:rsidR="008E1965" w:rsidRPr="00CE7679">
        <w:rPr>
          <w:rFonts w:eastAsia="Calibri"/>
          <w:snapToGrid/>
          <w:szCs w:val="22"/>
          <w:lang w:eastAsia="lt-LT"/>
        </w:rPr>
        <w:t> </w:t>
      </w:r>
      <w:r w:rsidRPr="00CE7679">
        <w:rPr>
          <w:rFonts w:eastAsia="Calibri"/>
          <w:snapToGrid/>
          <w:szCs w:val="22"/>
          <w:lang w:eastAsia="lt-LT"/>
        </w:rPr>
        <w:t>ml</w:t>
      </w:r>
      <w:r w:rsidR="008E1965" w:rsidRPr="00CE7679">
        <w:rPr>
          <w:rFonts w:eastAsia="Calibri"/>
          <w:snapToGrid/>
          <w:szCs w:val="22"/>
          <w:lang w:eastAsia="lt-LT"/>
        </w:rPr>
        <w:t> </w:t>
      </w:r>
      <w:r w:rsidRPr="00CE7679">
        <w:rPr>
          <w:rFonts w:eastAsia="Calibri"/>
          <w:snapToGrid/>
          <w:szCs w:val="22"/>
          <w:lang w:eastAsia="lt-LT"/>
        </w:rPr>
        <w:t>–</w:t>
      </w:r>
      <w:r w:rsidR="008E1965" w:rsidRPr="00CE7679">
        <w:rPr>
          <w:rFonts w:eastAsia="Calibri"/>
          <w:snapToGrid/>
          <w:szCs w:val="22"/>
          <w:lang w:eastAsia="lt-LT"/>
        </w:rPr>
        <w:t> </w:t>
      </w:r>
      <w:r w:rsidRPr="00CE7679">
        <w:rPr>
          <w:rFonts w:eastAsia="Calibri"/>
          <w:snapToGrid/>
          <w:szCs w:val="22"/>
          <w:lang w:eastAsia="lt-LT"/>
        </w:rPr>
        <w:t>400</w:t>
      </w:r>
      <w:r w:rsidR="008E1965" w:rsidRPr="00CE7679">
        <w:rPr>
          <w:rFonts w:eastAsia="Calibri"/>
          <w:snapToGrid/>
          <w:szCs w:val="22"/>
          <w:lang w:eastAsia="lt-LT"/>
        </w:rPr>
        <w:t> </w:t>
      </w:r>
      <w:r w:rsidRPr="00CE7679">
        <w:rPr>
          <w:rFonts w:eastAsia="Calibri"/>
          <w:snapToGrid/>
          <w:szCs w:val="22"/>
          <w:lang w:eastAsia="lt-LT"/>
        </w:rPr>
        <w:t>mg tabletę) ir pamaišyti šaukštu. Tabletei (-</w:t>
      </w:r>
      <w:proofErr w:type="spellStart"/>
      <w:r w:rsidRPr="00CE7679">
        <w:rPr>
          <w:rFonts w:eastAsia="Calibri"/>
          <w:snapToGrid/>
          <w:szCs w:val="22"/>
          <w:lang w:eastAsia="lt-LT"/>
        </w:rPr>
        <w:t>ėms</w:t>
      </w:r>
      <w:proofErr w:type="spellEnd"/>
      <w:r w:rsidRPr="00CE7679">
        <w:rPr>
          <w:rFonts w:eastAsia="Calibri"/>
          <w:snapToGrid/>
          <w:szCs w:val="22"/>
          <w:lang w:eastAsia="lt-LT"/>
        </w:rPr>
        <w:t>) visiškai suirus, suspensiją išgerti nedels</w:t>
      </w:r>
      <w:r w:rsidR="00801A47" w:rsidRPr="00CE7679">
        <w:rPr>
          <w:rFonts w:eastAsia="Calibri"/>
          <w:snapToGrid/>
          <w:szCs w:val="22"/>
          <w:lang w:eastAsia="lt-LT"/>
        </w:rPr>
        <w:t>dami</w:t>
      </w:r>
      <w:r w:rsidRPr="00CE7679">
        <w:rPr>
          <w:rFonts w:eastAsia="Calibri"/>
          <w:snapToGrid/>
          <w:szCs w:val="22"/>
          <w:lang w:eastAsia="lt-LT"/>
        </w:rPr>
        <w:t xml:space="preserve">. </w:t>
      </w:r>
    </w:p>
    <w:p w14:paraId="7BEF5C63" w14:textId="77777777" w:rsidR="00A27597" w:rsidRPr="00CE7679" w:rsidRDefault="00A27597" w:rsidP="00A27597">
      <w:pPr>
        <w:tabs>
          <w:tab w:val="clear" w:pos="567"/>
        </w:tabs>
        <w:autoSpaceDE w:val="0"/>
        <w:autoSpaceDN w:val="0"/>
        <w:adjustRightInd w:val="0"/>
        <w:spacing w:line="240" w:lineRule="auto"/>
        <w:rPr>
          <w:rFonts w:eastAsia="Calibri"/>
          <w:snapToGrid/>
          <w:szCs w:val="22"/>
          <w:lang w:eastAsia="lt-LT"/>
        </w:rPr>
      </w:pPr>
    </w:p>
    <w:p w14:paraId="28B84A30" w14:textId="77777777" w:rsidR="00A27597" w:rsidRPr="00CE7679" w:rsidRDefault="00A27597" w:rsidP="00A27597">
      <w:pPr>
        <w:tabs>
          <w:tab w:val="clear" w:pos="567"/>
        </w:tabs>
        <w:autoSpaceDE w:val="0"/>
        <w:autoSpaceDN w:val="0"/>
        <w:adjustRightInd w:val="0"/>
        <w:spacing w:line="240" w:lineRule="auto"/>
        <w:rPr>
          <w:rFonts w:eastAsia="Calibri"/>
          <w:snapToGrid/>
          <w:szCs w:val="22"/>
          <w:u w:val="single"/>
          <w:lang w:eastAsia="lt-LT"/>
        </w:rPr>
      </w:pPr>
      <w:r w:rsidRPr="00CE7679">
        <w:rPr>
          <w:rFonts w:eastAsia="Calibri"/>
          <w:snapToGrid/>
          <w:szCs w:val="22"/>
          <w:u w:val="single"/>
          <w:lang w:eastAsia="lt-LT"/>
        </w:rPr>
        <w:t xml:space="preserve">Dozavimas, kai yra suaugusiųjų LML </w:t>
      </w:r>
    </w:p>
    <w:p w14:paraId="4102CF9B" w14:textId="77777777" w:rsidR="00A27597" w:rsidRPr="00CE7679" w:rsidRDefault="00A27597" w:rsidP="00A27597">
      <w:pPr>
        <w:pStyle w:val="Default"/>
        <w:rPr>
          <w:rFonts w:eastAsiaTheme="minorHAnsi"/>
          <w:color w:val="auto"/>
          <w:sz w:val="22"/>
          <w:szCs w:val="22"/>
          <w:lang w:val="lt-LT" w:eastAsia="en-US"/>
        </w:rPr>
      </w:pPr>
      <w:r w:rsidRPr="0068785E">
        <w:rPr>
          <w:rFonts w:eastAsia="Calibri"/>
          <w:color w:val="auto"/>
          <w:sz w:val="22"/>
          <w:szCs w:val="22"/>
          <w:lang w:val="lt-LT" w:eastAsia="lt-LT"/>
        </w:rPr>
        <w:t xml:space="preserve">Rekomenduojama </w:t>
      </w:r>
      <w:proofErr w:type="spellStart"/>
      <w:r w:rsidRPr="00CE7679">
        <w:rPr>
          <w:rFonts w:eastAsiaTheme="minorHAnsi"/>
          <w:color w:val="auto"/>
          <w:sz w:val="22"/>
          <w:szCs w:val="22"/>
          <w:lang w:val="lt-LT" w:eastAsia="en-US"/>
        </w:rPr>
        <w:t>imatinibo</w:t>
      </w:r>
      <w:proofErr w:type="spellEnd"/>
      <w:r w:rsidRPr="00CE7679">
        <w:rPr>
          <w:rFonts w:eastAsiaTheme="minorHAnsi"/>
          <w:color w:val="auto"/>
          <w:sz w:val="22"/>
          <w:szCs w:val="22"/>
          <w:lang w:val="lt-LT" w:eastAsia="en-US"/>
        </w:rPr>
        <w:t xml:space="preserve"> dozė suaugusiems pacientams, sergantiems LML lėtinėje fazėje, yra 400</w:t>
      </w:r>
      <w:r w:rsidR="008E1965" w:rsidRPr="00CE7679">
        <w:rPr>
          <w:rFonts w:eastAsiaTheme="minorHAnsi"/>
          <w:color w:val="auto"/>
          <w:sz w:val="22"/>
          <w:szCs w:val="22"/>
          <w:lang w:val="lt-LT" w:eastAsia="en-US"/>
        </w:rPr>
        <w:t> </w:t>
      </w:r>
      <w:r w:rsidRPr="00CE7679">
        <w:rPr>
          <w:rFonts w:eastAsiaTheme="minorHAnsi"/>
          <w:color w:val="auto"/>
          <w:sz w:val="22"/>
          <w:szCs w:val="22"/>
          <w:lang w:val="lt-LT" w:eastAsia="en-US"/>
        </w:rPr>
        <w:t xml:space="preserve">mg per parą. Lėtinė LML fazė nustatoma tada, kai yra tenkinamai visi šie kriterijai: </w:t>
      </w:r>
      <w:proofErr w:type="spellStart"/>
      <w:r w:rsidRPr="00CE7679">
        <w:rPr>
          <w:rFonts w:eastAsiaTheme="minorHAnsi"/>
          <w:color w:val="auto"/>
          <w:sz w:val="22"/>
          <w:szCs w:val="22"/>
          <w:lang w:val="lt-LT" w:eastAsia="en-US"/>
        </w:rPr>
        <w:t>blastų</w:t>
      </w:r>
      <w:proofErr w:type="spellEnd"/>
      <w:r w:rsidRPr="00CE7679">
        <w:rPr>
          <w:rFonts w:eastAsiaTheme="minorHAnsi"/>
          <w:color w:val="auto"/>
          <w:sz w:val="22"/>
          <w:szCs w:val="22"/>
          <w:lang w:val="lt-LT" w:eastAsia="en-US"/>
        </w:rPr>
        <w:t xml:space="preserve"> kiekis kraujyje ir kaulų čiulpuose &lt;</w:t>
      </w:r>
      <w:r w:rsidR="008E1965" w:rsidRPr="00CE7679">
        <w:rPr>
          <w:rFonts w:eastAsiaTheme="minorHAnsi"/>
          <w:color w:val="auto"/>
          <w:sz w:val="22"/>
          <w:szCs w:val="22"/>
          <w:lang w:val="lt-LT" w:eastAsia="en-US"/>
        </w:rPr>
        <w:t> </w:t>
      </w:r>
      <w:r w:rsidRPr="00CE7679">
        <w:rPr>
          <w:rFonts w:eastAsiaTheme="minorHAnsi"/>
          <w:color w:val="auto"/>
          <w:sz w:val="22"/>
          <w:szCs w:val="22"/>
          <w:lang w:val="lt-LT" w:eastAsia="en-US"/>
        </w:rPr>
        <w:t>15</w:t>
      </w:r>
      <w:r w:rsidR="008E1965" w:rsidRPr="00CE7679">
        <w:rPr>
          <w:rFonts w:eastAsiaTheme="minorHAnsi"/>
          <w:color w:val="auto"/>
          <w:sz w:val="22"/>
          <w:szCs w:val="22"/>
          <w:lang w:val="lt-LT" w:eastAsia="en-US"/>
        </w:rPr>
        <w:t> </w:t>
      </w:r>
      <w:r w:rsidRPr="00CE7679">
        <w:rPr>
          <w:rFonts w:eastAsiaTheme="minorHAnsi"/>
          <w:color w:val="auto"/>
          <w:sz w:val="22"/>
          <w:szCs w:val="22"/>
          <w:lang w:val="lt-LT" w:eastAsia="en-US"/>
        </w:rPr>
        <w:t xml:space="preserve">%, </w:t>
      </w:r>
      <w:proofErr w:type="spellStart"/>
      <w:r w:rsidRPr="00CE7679">
        <w:rPr>
          <w:rFonts w:eastAsiaTheme="minorHAnsi"/>
          <w:color w:val="auto"/>
          <w:sz w:val="22"/>
          <w:szCs w:val="22"/>
          <w:lang w:val="lt-LT" w:eastAsia="en-US"/>
        </w:rPr>
        <w:t>bazofilų</w:t>
      </w:r>
      <w:proofErr w:type="spellEnd"/>
      <w:r w:rsidRPr="00CE7679">
        <w:rPr>
          <w:rFonts w:eastAsiaTheme="minorHAnsi"/>
          <w:color w:val="auto"/>
          <w:sz w:val="22"/>
          <w:szCs w:val="22"/>
          <w:lang w:val="lt-LT" w:eastAsia="en-US"/>
        </w:rPr>
        <w:t xml:space="preserve"> periferiniame kraujyje &lt;</w:t>
      </w:r>
      <w:r w:rsidR="008E1965" w:rsidRPr="00CE7679">
        <w:rPr>
          <w:rFonts w:eastAsiaTheme="minorHAnsi"/>
          <w:color w:val="auto"/>
          <w:sz w:val="22"/>
          <w:szCs w:val="22"/>
          <w:lang w:val="lt-LT" w:eastAsia="en-US"/>
        </w:rPr>
        <w:t> </w:t>
      </w:r>
      <w:r w:rsidRPr="00CE7679">
        <w:rPr>
          <w:rFonts w:eastAsiaTheme="minorHAnsi"/>
          <w:color w:val="auto"/>
          <w:sz w:val="22"/>
          <w:szCs w:val="22"/>
          <w:lang w:val="lt-LT" w:eastAsia="en-US"/>
        </w:rPr>
        <w:t>20</w:t>
      </w:r>
      <w:r w:rsidR="008E1965" w:rsidRPr="00CE7679">
        <w:rPr>
          <w:rFonts w:eastAsiaTheme="minorHAnsi"/>
          <w:color w:val="auto"/>
          <w:sz w:val="22"/>
          <w:szCs w:val="22"/>
          <w:lang w:val="lt-LT" w:eastAsia="en-US"/>
        </w:rPr>
        <w:t> </w:t>
      </w:r>
      <w:r w:rsidRPr="00CE7679">
        <w:rPr>
          <w:rFonts w:eastAsiaTheme="minorHAnsi"/>
          <w:color w:val="auto"/>
          <w:sz w:val="22"/>
          <w:szCs w:val="22"/>
          <w:lang w:val="lt-LT" w:eastAsia="en-US"/>
        </w:rPr>
        <w:t>%, trombocitų &gt;</w:t>
      </w:r>
      <w:r w:rsidR="008E1965" w:rsidRPr="00CE7679">
        <w:rPr>
          <w:rFonts w:eastAsiaTheme="minorHAnsi"/>
          <w:color w:val="auto"/>
          <w:sz w:val="22"/>
          <w:szCs w:val="22"/>
          <w:lang w:val="lt-LT" w:eastAsia="en-US"/>
        </w:rPr>
        <w:t> </w:t>
      </w:r>
      <w:r w:rsidRPr="00CE7679">
        <w:rPr>
          <w:rFonts w:eastAsiaTheme="minorHAnsi"/>
          <w:color w:val="auto"/>
          <w:sz w:val="22"/>
          <w:szCs w:val="22"/>
          <w:lang w:val="lt-LT" w:eastAsia="en-US"/>
        </w:rPr>
        <w:t>100</w:t>
      </w:r>
      <w:r w:rsidR="008E1965" w:rsidRPr="00CE7679">
        <w:rPr>
          <w:rFonts w:eastAsiaTheme="minorHAnsi"/>
          <w:color w:val="auto"/>
          <w:sz w:val="22"/>
          <w:szCs w:val="22"/>
          <w:lang w:val="lt-LT" w:eastAsia="en-US"/>
        </w:rPr>
        <w:t> </w:t>
      </w:r>
      <w:r w:rsidRPr="00CE7679">
        <w:rPr>
          <w:rFonts w:eastAsiaTheme="minorHAnsi"/>
          <w:color w:val="auto"/>
          <w:sz w:val="22"/>
          <w:szCs w:val="22"/>
          <w:lang w:val="lt-LT" w:eastAsia="en-US"/>
        </w:rPr>
        <w:t>x</w:t>
      </w:r>
      <w:r w:rsidR="008E1965" w:rsidRPr="00CE7679">
        <w:rPr>
          <w:rFonts w:eastAsiaTheme="minorHAnsi"/>
          <w:color w:val="auto"/>
          <w:sz w:val="22"/>
          <w:szCs w:val="22"/>
          <w:lang w:val="lt-LT" w:eastAsia="en-US"/>
        </w:rPr>
        <w:t> </w:t>
      </w:r>
      <w:r w:rsidRPr="00CE7679">
        <w:rPr>
          <w:rFonts w:eastAsiaTheme="minorHAnsi"/>
          <w:color w:val="auto"/>
          <w:sz w:val="22"/>
          <w:szCs w:val="22"/>
          <w:lang w:val="lt-LT" w:eastAsia="en-US"/>
        </w:rPr>
        <w:t>10</w:t>
      </w:r>
      <w:r w:rsidRPr="00CE7679">
        <w:rPr>
          <w:rFonts w:eastAsiaTheme="minorHAnsi"/>
          <w:color w:val="auto"/>
          <w:sz w:val="22"/>
          <w:szCs w:val="22"/>
          <w:vertAlign w:val="superscript"/>
          <w:lang w:val="lt-LT" w:eastAsia="en-US"/>
        </w:rPr>
        <w:t>9</w:t>
      </w:r>
      <w:r w:rsidRPr="00CE7679">
        <w:rPr>
          <w:rFonts w:eastAsiaTheme="minorHAnsi"/>
          <w:color w:val="auto"/>
          <w:sz w:val="22"/>
          <w:szCs w:val="22"/>
          <w:lang w:val="lt-LT" w:eastAsia="en-US"/>
        </w:rPr>
        <w:t xml:space="preserve">/l. </w:t>
      </w:r>
    </w:p>
    <w:p w14:paraId="23E341AE" w14:textId="77777777" w:rsidR="00A27597" w:rsidRPr="00CE7679" w:rsidRDefault="00A27597" w:rsidP="00A27597">
      <w:pPr>
        <w:tabs>
          <w:tab w:val="clear" w:pos="567"/>
        </w:tabs>
        <w:autoSpaceDE w:val="0"/>
        <w:autoSpaceDN w:val="0"/>
        <w:adjustRightInd w:val="0"/>
        <w:spacing w:line="240" w:lineRule="auto"/>
        <w:rPr>
          <w:rFonts w:eastAsiaTheme="minorHAnsi"/>
          <w:snapToGrid/>
          <w:szCs w:val="22"/>
        </w:rPr>
      </w:pPr>
      <w:r w:rsidRPr="00CE7679">
        <w:rPr>
          <w:rFonts w:eastAsiaTheme="minorHAnsi"/>
          <w:snapToGrid/>
          <w:szCs w:val="22"/>
        </w:rPr>
        <w:t xml:space="preserve">Rekomenduojama </w:t>
      </w:r>
      <w:proofErr w:type="spellStart"/>
      <w:r w:rsidRPr="00CE7679">
        <w:rPr>
          <w:rFonts w:eastAsiaTheme="minorHAnsi"/>
          <w:snapToGrid/>
          <w:szCs w:val="22"/>
        </w:rPr>
        <w:t>imatinibo</w:t>
      </w:r>
      <w:proofErr w:type="spellEnd"/>
      <w:r w:rsidRPr="00CE7679">
        <w:rPr>
          <w:rFonts w:eastAsiaTheme="minorHAnsi"/>
          <w:snapToGrid/>
          <w:szCs w:val="22"/>
        </w:rPr>
        <w:t xml:space="preserve"> dozė suaugusiems pacientams, kuriems yra akceleracijos fazė, yra 600</w:t>
      </w:r>
      <w:r w:rsidR="008E1965" w:rsidRPr="00CE7679">
        <w:rPr>
          <w:rFonts w:eastAsiaTheme="minorHAnsi"/>
          <w:snapToGrid/>
          <w:szCs w:val="22"/>
        </w:rPr>
        <w:t> </w:t>
      </w:r>
      <w:r w:rsidRPr="00CE7679">
        <w:rPr>
          <w:rFonts w:eastAsiaTheme="minorHAnsi"/>
          <w:snapToGrid/>
          <w:szCs w:val="22"/>
        </w:rPr>
        <w:t xml:space="preserve">mg per parą. Akceleracijos fazė nustatoma, kai yra bet kuris iš šių požymių: </w:t>
      </w:r>
      <w:proofErr w:type="spellStart"/>
      <w:r w:rsidRPr="00CE7679">
        <w:rPr>
          <w:rFonts w:eastAsiaTheme="minorHAnsi"/>
          <w:snapToGrid/>
          <w:szCs w:val="22"/>
        </w:rPr>
        <w:t>blastų</w:t>
      </w:r>
      <w:proofErr w:type="spellEnd"/>
      <w:r w:rsidRPr="00CE7679">
        <w:rPr>
          <w:rFonts w:eastAsiaTheme="minorHAnsi"/>
          <w:snapToGrid/>
          <w:szCs w:val="22"/>
        </w:rPr>
        <w:t xml:space="preserve"> kiekis kraujyje ar kaulų čiulpuose ≥</w:t>
      </w:r>
      <w:r w:rsidR="008E1965" w:rsidRPr="00CE7679">
        <w:rPr>
          <w:rFonts w:eastAsiaTheme="minorHAnsi"/>
          <w:snapToGrid/>
          <w:szCs w:val="22"/>
        </w:rPr>
        <w:t> </w:t>
      </w:r>
      <w:r w:rsidRPr="00CE7679">
        <w:rPr>
          <w:rFonts w:eastAsiaTheme="minorHAnsi"/>
          <w:snapToGrid/>
          <w:szCs w:val="22"/>
        </w:rPr>
        <w:t>15</w:t>
      </w:r>
      <w:r w:rsidR="008E1965" w:rsidRPr="00CE7679">
        <w:rPr>
          <w:rFonts w:eastAsiaTheme="minorHAnsi"/>
          <w:snapToGrid/>
          <w:szCs w:val="22"/>
        </w:rPr>
        <w:t> </w:t>
      </w:r>
      <w:r w:rsidRPr="00CE7679">
        <w:rPr>
          <w:rFonts w:eastAsiaTheme="minorHAnsi"/>
          <w:snapToGrid/>
          <w:szCs w:val="22"/>
        </w:rPr>
        <w:t>%, bet &lt;</w:t>
      </w:r>
      <w:r w:rsidR="008E1965" w:rsidRPr="00CE7679">
        <w:rPr>
          <w:rFonts w:eastAsiaTheme="minorHAnsi"/>
          <w:snapToGrid/>
          <w:szCs w:val="22"/>
        </w:rPr>
        <w:t> </w:t>
      </w:r>
      <w:r w:rsidRPr="00CE7679">
        <w:rPr>
          <w:rFonts w:eastAsiaTheme="minorHAnsi"/>
          <w:snapToGrid/>
          <w:szCs w:val="22"/>
        </w:rPr>
        <w:t>30</w:t>
      </w:r>
      <w:r w:rsidR="008E1965" w:rsidRPr="00CE7679">
        <w:rPr>
          <w:rFonts w:eastAsiaTheme="minorHAnsi"/>
          <w:snapToGrid/>
          <w:szCs w:val="22"/>
        </w:rPr>
        <w:t> </w:t>
      </w:r>
      <w:r w:rsidRPr="00CE7679">
        <w:rPr>
          <w:rFonts w:eastAsiaTheme="minorHAnsi"/>
          <w:snapToGrid/>
          <w:szCs w:val="22"/>
        </w:rPr>
        <w:t xml:space="preserve">%, </w:t>
      </w:r>
      <w:proofErr w:type="spellStart"/>
      <w:r w:rsidRPr="00CE7679">
        <w:rPr>
          <w:rFonts w:eastAsiaTheme="minorHAnsi"/>
          <w:snapToGrid/>
          <w:szCs w:val="22"/>
        </w:rPr>
        <w:t>blastų</w:t>
      </w:r>
      <w:proofErr w:type="spellEnd"/>
      <w:r w:rsidRPr="00CE7679">
        <w:rPr>
          <w:rFonts w:eastAsiaTheme="minorHAnsi"/>
          <w:snapToGrid/>
          <w:szCs w:val="22"/>
        </w:rPr>
        <w:t xml:space="preserve"> su </w:t>
      </w:r>
      <w:proofErr w:type="spellStart"/>
      <w:r w:rsidRPr="00CE7679">
        <w:rPr>
          <w:rFonts w:eastAsiaTheme="minorHAnsi"/>
          <w:snapToGrid/>
          <w:szCs w:val="22"/>
        </w:rPr>
        <w:t>promielocitais</w:t>
      </w:r>
      <w:proofErr w:type="spellEnd"/>
      <w:r w:rsidRPr="00CE7679">
        <w:rPr>
          <w:rFonts w:eastAsiaTheme="minorHAnsi"/>
          <w:snapToGrid/>
          <w:szCs w:val="22"/>
        </w:rPr>
        <w:t xml:space="preserve"> kiekis kraujyje ar kaulų čiulpuose ≥</w:t>
      </w:r>
      <w:r w:rsidR="008E1965" w:rsidRPr="00CE7679">
        <w:rPr>
          <w:rFonts w:eastAsiaTheme="minorHAnsi"/>
          <w:snapToGrid/>
          <w:szCs w:val="22"/>
        </w:rPr>
        <w:t> </w:t>
      </w:r>
      <w:r w:rsidRPr="00CE7679">
        <w:rPr>
          <w:rFonts w:eastAsiaTheme="minorHAnsi"/>
          <w:snapToGrid/>
          <w:szCs w:val="22"/>
        </w:rPr>
        <w:t>30</w:t>
      </w:r>
      <w:r w:rsidR="008E1965" w:rsidRPr="00CE7679">
        <w:rPr>
          <w:rFonts w:eastAsiaTheme="minorHAnsi"/>
          <w:snapToGrid/>
          <w:szCs w:val="22"/>
        </w:rPr>
        <w:t> </w:t>
      </w:r>
      <w:r w:rsidRPr="00CE7679">
        <w:rPr>
          <w:rFonts w:eastAsiaTheme="minorHAnsi"/>
          <w:snapToGrid/>
          <w:szCs w:val="22"/>
        </w:rPr>
        <w:t>% (</w:t>
      </w:r>
      <w:proofErr w:type="spellStart"/>
      <w:r w:rsidRPr="00CE7679">
        <w:rPr>
          <w:rFonts w:eastAsiaTheme="minorHAnsi"/>
          <w:snapToGrid/>
          <w:szCs w:val="22"/>
        </w:rPr>
        <w:t>blastų</w:t>
      </w:r>
      <w:proofErr w:type="spellEnd"/>
      <w:r w:rsidRPr="00CE7679">
        <w:rPr>
          <w:rFonts w:eastAsiaTheme="minorHAnsi"/>
          <w:snapToGrid/>
          <w:szCs w:val="22"/>
        </w:rPr>
        <w:t xml:space="preserve"> &lt;</w:t>
      </w:r>
      <w:r w:rsidR="008E1965" w:rsidRPr="00CE7679">
        <w:rPr>
          <w:rFonts w:eastAsiaTheme="minorHAnsi"/>
          <w:snapToGrid/>
          <w:szCs w:val="22"/>
        </w:rPr>
        <w:t> </w:t>
      </w:r>
      <w:r w:rsidRPr="00CE7679">
        <w:rPr>
          <w:rFonts w:eastAsiaTheme="minorHAnsi"/>
          <w:snapToGrid/>
          <w:szCs w:val="22"/>
        </w:rPr>
        <w:t>30</w:t>
      </w:r>
      <w:r w:rsidR="008E1965" w:rsidRPr="00CE7679">
        <w:rPr>
          <w:rFonts w:eastAsiaTheme="minorHAnsi"/>
          <w:snapToGrid/>
          <w:szCs w:val="22"/>
        </w:rPr>
        <w:t> </w:t>
      </w:r>
      <w:r w:rsidRPr="00CE7679">
        <w:rPr>
          <w:rFonts w:eastAsiaTheme="minorHAnsi"/>
          <w:snapToGrid/>
          <w:szCs w:val="22"/>
        </w:rPr>
        <w:t xml:space="preserve">%), nesusijęs su gydymu </w:t>
      </w:r>
      <w:proofErr w:type="spellStart"/>
      <w:r w:rsidRPr="00CE7679">
        <w:rPr>
          <w:rFonts w:eastAsiaTheme="minorHAnsi"/>
          <w:snapToGrid/>
          <w:szCs w:val="22"/>
        </w:rPr>
        <w:t>bazofilų</w:t>
      </w:r>
      <w:proofErr w:type="spellEnd"/>
      <w:r w:rsidRPr="00CE7679">
        <w:rPr>
          <w:rFonts w:eastAsiaTheme="minorHAnsi"/>
          <w:snapToGrid/>
          <w:szCs w:val="22"/>
        </w:rPr>
        <w:t xml:space="preserve"> kiekis periferiniame kraujyje ≥</w:t>
      </w:r>
      <w:r w:rsidR="008E1965" w:rsidRPr="00CE7679">
        <w:rPr>
          <w:rFonts w:eastAsiaTheme="minorHAnsi"/>
          <w:snapToGrid/>
          <w:szCs w:val="22"/>
        </w:rPr>
        <w:t> </w:t>
      </w:r>
      <w:r w:rsidRPr="00CE7679">
        <w:rPr>
          <w:rFonts w:eastAsiaTheme="minorHAnsi"/>
          <w:snapToGrid/>
          <w:szCs w:val="22"/>
        </w:rPr>
        <w:t>20</w:t>
      </w:r>
      <w:r w:rsidR="008E1965" w:rsidRPr="00CE7679">
        <w:rPr>
          <w:rFonts w:eastAsiaTheme="minorHAnsi"/>
          <w:snapToGrid/>
          <w:szCs w:val="22"/>
        </w:rPr>
        <w:t> </w:t>
      </w:r>
      <w:r w:rsidRPr="00CE7679">
        <w:rPr>
          <w:rFonts w:eastAsiaTheme="minorHAnsi"/>
          <w:snapToGrid/>
          <w:szCs w:val="22"/>
        </w:rPr>
        <w:t>%, trombocitų &lt;</w:t>
      </w:r>
      <w:r w:rsidR="008E1965" w:rsidRPr="00CE7679">
        <w:rPr>
          <w:rFonts w:eastAsiaTheme="minorHAnsi"/>
          <w:snapToGrid/>
          <w:szCs w:val="22"/>
        </w:rPr>
        <w:t> </w:t>
      </w:r>
      <w:r w:rsidRPr="00CE7679">
        <w:rPr>
          <w:rFonts w:eastAsiaTheme="minorHAnsi"/>
          <w:snapToGrid/>
          <w:szCs w:val="22"/>
        </w:rPr>
        <w:t>100</w:t>
      </w:r>
      <w:r w:rsidR="008E1965" w:rsidRPr="00CE7679">
        <w:rPr>
          <w:rFonts w:eastAsiaTheme="minorHAnsi"/>
          <w:snapToGrid/>
          <w:szCs w:val="22"/>
        </w:rPr>
        <w:t> </w:t>
      </w:r>
      <w:r w:rsidRPr="00CE7679">
        <w:rPr>
          <w:rFonts w:eastAsiaTheme="minorHAnsi"/>
          <w:snapToGrid/>
          <w:szCs w:val="22"/>
        </w:rPr>
        <w:t>x</w:t>
      </w:r>
      <w:r w:rsidR="008E1965" w:rsidRPr="00CE7679">
        <w:rPr>
          <w:rFonts w:eastAsiaTheme="minorHAnsi"/>
          <w:snapToGrid/>
          <w:szCs w:val="22"/>
        </w:rPr>
        <w:t> </w:t>
      </w:r>
      <w:r w:rsidRPr="00CE7679">
        <w:rPr>
          <w:rFonts w:eastAsiaTheme="minorHAnsi"/>
          <w:snapToGrid/>
          <w:szCs w:val="22"/>
        </w:rPr>
        <w:t>10</w:t>
      </w:r>
      <w:r w:rsidRPr="00CE7679">
        <w:rPr>
          <w:rFonts w:eastAsiaTheme="minorHAnsi"/>
          <w:snapToGrid/>
          <w:szCs w:val="22"/>
          <w:vertAlign w:val="superscript"/>
        </w:rPr>
        <w:t>9</w:t>
      </w:r>
      <w:r w:rsidRPr="00CE7679">
        <w:rPr>
          <w:rFonts w:eastAsiaTheme="minorHAnsi"/>
          <w:snapToGrid/>
          <w:szCs w:val="22"/>
        </w:rPr>
        <w:t xml:space="preserve">/l. </w:t>
      </w:r>
    </w:p>
    <w:p w14:paraId="605B77EA" w14:textId="77777777" w:rsidR="00A27597" w:rsidRPr="00CE7679" w:rsidRDefault="00A27597" w:rsidP="00A27597">
      <w:pPr>
        <w:tabs>
          <w:tab w:val="clear" w:pos="567"/>
        </w:tabs>
        <w:autoSpaceDE w:val="0"/>
        <w:autoSpaceDN w:val="0"/>
        <w:adjustRightInd w:val="0"/>
        <w:spacing w:line="240" w:lineRule="auto"/>
        <w:rPr>
          <w:rFonts w:eastAsia="Calibri"/>
          <w:snapToGrid/>
          <w:szCs w:val="22"/>
          <w:lang w:eastAsia="lt-LT"/>
        </w:rPr>
      </w:pPr>
      <w:r w:rsidRPr="00CE7679">
        <w:rPr>
          <w:rFonts w:eastAsiaTheme="minorHAnsi"/>
          <w:snapToGrid/>
          <w:szCs w:val="22"/>
        </w:rPr>
        <w:t xml:space="preserve">Rekomenduojama </w:t>
      </w:r>
      <w:proofErr w:type="spellStart"/>
      <w:r w:rsidRPr="00CE7679">
        <w:rPr>
          <w:rFonts w:eastAsia="Calibri"/>
          <w:snapToGrid/>
          <w:szCs w:val="22"/>
          <w:lang w:eastAsia="lt-LT"/>
        </w:rPr>
        <w:t>imatinibo</w:t>
      </w:r>
      <w:proofErr w:type="spellEnd"/>
      <w:r w:rsidRPr="00CE7679">
        <w:rPr>
          <w:rFonts w:eastAsia="Calibri"/>
          <w:snapToGrid/>
          <w:szCs w:val="22"/>
          <w:lang w:eastAsia="lt-LT"/>
        </w:rPr>
        <w:t xml:space="preserve"> doz</w:t>
      </w:r>
      <w:r w:rsidRPr="00CE7679">
        <w:rPr>
          <w:rFonts w:eastAsia="TimesNewRomanPSMT"/>
          <w:snapToGrid/>
          <w:szCs w:val="22"/>
          <w:lang w:eastAsia="lt-LT"/>
        </w:rPr>
        <w:t xml:space="preserve">ė </w:t>
      </w:r>
      <w:r w:rsidRPr="00CE7679">
        <w:rPr>
          <w:rFonts w:eastAsia="Calibri"/>
          <w:snapToGrid/>
          <w:szCs w:val="22"/>
          <w:lang w:eastAsia="lt-LT"/>
        </w:rPr>
        <w:t xml:space="preserve">suaugusiems pacientams, kuriems yra </w:t>
      </w:r>
      <w:proofErr w:type="spellStart"/>
      <w:r w:rsidRPr="00CE7679">
        <w:rPr>
          <w:rFonts w:eastAsia="Calibri"/>
          <w:snapToGrid/>
          <w:szCs w:val="22"/>
          <w:lang w:eastAsia="lt-LT"/>
        </w:rPr>
        <w:t>blastin</w:t>
      </w:r>
      <w:r w:rsidRPr="00CE7679">
        <w:rPr>
          <w:rFonts w:eastAsia="TimesNewRomanPSMT"/>
          <w:snapToGrid/>
          <w:szCs w:val="22"/>
          <w:lang w:eastAsia="lt-LT"/>
        </w:rPr>
        <w:t>ė</w:t>
      </w:r>
      <w:proofErr w:type="spellEnd"/>
      <w:r w:rsidRPr="00CE7679">
        <w:rPr>
          <w:rFonts w:eastAsia="TimesNewRomanPSMT"/>
          <w:snapToGrid/>
          <w:szCs w:val="22"/>
          <w:lang w:eastAsia="lt-LT"/>
        </w:rPr>
        <w:t xml:space="preserve"> </w:t>
      </w:r>
      <w:r w:rsidRPr="00CE7679">
        <w:rPr>
          <w:rFonts w:eastAsia="Calibri"/>
          <w:snapToGrid/>
          <w:szCs w:val="22"/>
          <w:lang w:eastAsia="lt-LT"/>
        </w:rPr>
        <w:t>kriz</w:t>
      </w:r>
      <w:r w:rsidRPr="00CE7679">
        <w:rPr>
          <w:rFonts w:eastAsia="TimesNewRomanPSMT"/>
          <w:snapToGrid/>
          <w:szCs w:val="22"/>
          <w:lang w:eastAsia="lt-LT"/>
        </w:rPr>
        <w:t>ė</w:t>
      </w:r>
      <w:r w:rsidRPr="00CE7679">
        <w:rPr>
          <w:rFonts w:eastAsia="Calibri"/>
          <w:snapToGrid/>
          <w:szCs w:val="22"/>
          <w:lang w:eastAsia="lt-LT"/>
        </w:rPr>
        <w:t>, yra 600</w:t>
      </w:r>
      <w:r w:rsidR="008E1965" w:rsidRPr="00CE7679">
        <w:rPr>
          <w:rFonts w:eastAsia="Calibri"/>
          <w:snapToGrid/>
          <w:szCs w:val="22"/>
          <w:lang w:eastAsia="lt-LT"/>
        </w:rPr>
        <w:t> </w:t>
      </w:r>
      <w:r w:rsidRPr="00CE7679">
        <w:rPr>
          <w:rFonts w:eastAsia="Calibri"/>
          <w:snapToGrid/>
          <w:szCs w:val="22"/>
          <w:lang w:eastAsia="lt-LT"/>
        </w:rPr>
        <w:t>mg per par</w:t>
      </w:r>
      <w:r w:rsidRPr="00CE7679">
        <w:rPr>
          <w:rFonts w:eastAsia="TimesNewRomanPSMT"/>
          <w:snapToGrid/>
          <w:szCs w:val="22"/>
          <w:lang w:eastAsia="lt-LT"/>
        </w:rPr>
        <w:t>ą</w:t>
      </w:r>
      <w:r w:rsidRPr="00CE7679">
        <w:rPr>
          <w:rFonts w:eastAsia="Calibri"/>
          <w:snapToGrid/>
          <w:szCs w:val="22"/>
          <w:lang w:eastAsia="lt-LT"/>
        </w:rPr>
        <w:t xml:space="preserve">. </w:t>
      </w:r>
      <w:proofErr w:type="spellStart"/>
      <w:r w:rsidRPr="00CE7679">
        <w:rPr>
          <w:rFonts w:eastAsia="Calibri"/>
          <w:snapToGrid/>
          <w:szCs w:val="22"/>
          <w:lang w:eastAsia="lt-LT"/>
        </w:rPr>
        <w:t>Blastin</w:t>
      </w:r>
      <w:r w:rsidRPr="00CE7679">
        <w:rPr>
          <w:rFonts w:eastAsia="TimesNewRomanPSMT"/>
          <w:snapToGrid/>
          <w:szCs w:val="22"/>
          <w:lang w:eastAsia="lt-LT"/>
        </w:rPr>
        <w:t>ė</w:t>
      </w:r>
      <w:proofErr w:type="spellEnd"/>
      <w:r w:rsidRPr="00CE7679">
        <w:rPr>
          <w:rFonts w:eastAsia="TimesNewRomanPSMT"/>
          <w:snapToGrid/>
          <w:szCs w:val="22"/>
          <w:lang w:eastAsia="lt-LT"/>
        </w:rPr>
        <w:t xml:space="preserve"> </w:t>
      </w:r>
      <w:r w:rsidRPr="00CE7679">
        <w:rPr>
          <w:rFonts w:eastAsia="Calibri"/>
          <w:snapToGrid/>
          <w:szCs w:val="22"/>
          <w:lang w:eastAsia="lt-LT"/>
        </w:rPr>
        <w:t>kriz</w:t>
      </w:r>
      <w:r w:rsidRPr="00CE7679">
        <w:rPr>
          <w:rFonts w:eastAsia="TimesNewRomanPSMT"/>
          <w:snapToGrid/>
          <w:szCs w:val="22"/>
          <w:lang w:eastAsia="lt-LT"/>
        </w:rPr>
        <w:t xml:space="preserve">ė </w:t>
      </w:r>
      <w:r w:rsidRPr="00CE7679">
        <w:rPr>
          <w:rFonts w:eastAsia="Calibri"/>
          <w:snapToGrid/>
          <w:szCs w:val="22"/>
          <w:lang w:eastAsia="lt-LT"/>
        </w:rPr>
        <w:t xml:space="preserve">diagnozuojama, kai </w:t>
      </w:r>
      <w:proofErr w:type="spellStart"/>
      <w:r w:rsidRPr="00CE7679">
        <w:rPr>
          <w:rFonts w:eastAsia="Calibri"/>
          <w:snapToGrid/>
          <w:szCs w:val="22"/>
          <w:lang w:eastAsia="lt-LT"/>
        </w:rPr>
        <w:t>blast</w:t>
      </w:r>
      <w:r w:rsidRPr="00CE7679">
        <w:rPr>
          <w:rFonts w:eastAsia="TimesNewRomanPSMT"/>
          <w:snapToGrid/>
          <w:szCs w:val="22"/>
          <w:lang w:eastAsia="lt-LT"/>
        </w:rPr>
        <w:t>ų</w:t>
      </w:r>
      <w:proofErr w:type="spellEnd"/>
      <w:r w:rsidRPr="00CE7679">
        <w:rPr>
          <w:rFonts w:eastAsia="TimesNewRomanPSMT"/>
          <w:snapToGrid/>
          <w:szCs w:val="22"/>
          <w:lang w:eastAsia="lt-LT"/>
        </w:rPr>
        <w:t xml:space="preserve"> </w:t>
      </w:r>
      <w:r w:rsidRPr="00CE7679">
        <w:rPr>
          <w:rFonts w:eastAsia="Calibri"/>
          <w:snapToGrid/>
          <w:szCs w:val="22"/>
          <w:lang w:eastAsia="lt-LT"/>
        </w:rPr>
        <w:t>kraujyje ar kaul</w:t>
      </w:r>
      <w:r w:rsidRPr="00CE7679">
        <w:rPr>
          <w:rFonts w:eastAsia="TimesNewRomanPSMT"/>
          <w:snapToGrid/>
          <w:szCs w:val="22"/>
          <w:lang w:eastAsia="lt-LT"/>
        </w:rPr>
        <w:t>ų č</w:t>
      </w:r>
      <w:r w:rsidRPr="00CE7679">
        <w:rPr>
          <w:rFonts w:eastAsia="Calibri"/>
          <w:snapToGrid/>
          <w:szCs w:val="22"/>
          <w:lang w:eastAsia="lt-LT"/>
        </w:rPr>
        <w:t xml:space="preserve">iulpuose </w:t>
      </w:r>
      <w:r w:rsidRPr="00CE7679">
        <w:rPr>
          <w:rFonts w:eastAsia="TimesNewRomanPSMT"/>
          <w:snapToGrid/>
          <w:szCs w:val="22"/>
          <w:lang w:eastAsia="lt-LT"/>
        </w:rPr>
        <w:t>≥</w:t>
      </w:r>
      <w:r w:rsidR="008E1965" w:rsidRPr="00CE7679">
        <w:rPr>
          <w:rFonts w:eastAsia="TimesNewRomanPSMT"/>
          <w:snapToGrid/>
          <w:szCs w:val="22"/>
          <w:lang w:eastAsia="lt-LT"/>
        </w:rPr>
        <w:t> </w:t>
      </w:r>
      <w:r w:rsidRPr="00CE7679">
        <w:rPr>
          <w:rFonts w:eastAsia="Calibri"/>
          <w:snapToGrid/>
          <w:szCs w:val="22"/>
          <w:lang w:eastAsia="lt-LT"/>
        </w:rPr>
        <w:t xml:space="preserve">30 % ar yra kitokia negu </w:t>
      </w:r>
      <w:proofErr w:type="spellStart"/>
      <w:r w:rsidRPr="00CE7679">
        <w:rPr>
          <w:rFonts w:eastAsia="Calibri"/>
          <w:snapToGrid/>
          <w:szCs w:val="22"/>
          <w:lang w:eastAsia="lt-LT"/>
        </w:rPr>
        <w:t>hepatosplenomegalija</w:t>
      </w:r>
      <w:proofErr w:type="spellEnd"/>
      <w:r w:rsidRPr="00CE7679">
        <w:rPr>
          <w:rFonts w:eastAsia="Calibri"/>
          <w:snapToGrid/>
          <w:szCs w:val="22"/>
          <w:lang w:eastAsia="lt-LT"/>
        </w:rPr>
        <w:t xml:space="preserve"> </w:t>
      </w:r>
      <w:proofErr w:type="spellStart"/>
      <w:r w:rsidRPr="00CE7679">
        <w:rPr>
          <w:rFonts w:eastAsia="Calibri"/>
          <w:snapToGrid/>
          <w:szCs w:val="22"/>
          <w:lang w:eastAsia="lt-LT"/>
        </w:rPr>
        <w:t>ekstramedulinė</w:t>
      </w:r>
      <w:proofErr w:type="spellEnd"/>
      <w:r w:rsidRPr="00CE7679">
        <w:rPr>
          <w:rFonts w:eastAsia="Calibri"/>
          <w:snapToGrid/>
          <w:szCs w:val="22"/>
          <w:lang w:eastAsia="lt-LT"/>
        </w:rPr>
        <w:t xml:space="preserve"> liga.</w:t>
      </w:r>
    </w:p>
    <w:p w14:paraId="301445B1" w14:textId="77777777" w:rsidR="00A27597" w:rsidRPr="00CE7679" w:rsidRDefault="00A27597" w:rsidP="00A27597">
      <w:pPr>
        <w:tabs>
          <w:tab w:val="clear" w:pos="567"/>
        </w:tabs>
        <w:autoSpaceDE w:val="0"/>
        <w:autoSpaceDN w:val="0"/>
        <w:adjustRightInd w:val="0"/>
        <w:spacing w:line="240" w:lineRule="auto"/>
        <w:rPr>
          <w:rFonts w:eastAsia="Calibri"/>
          <w:snapToGrid/>
          <w:szCs w:val="22"/>
          <w:lang w:eastAsia="lt-LT"/>
        </w:rPr>
      </w:pPr>
    </w:p>
    <w:p w14:paraId="14C2708B" w14:textId="77777777" w:rsidR="00A27597" w:rsidRPr="00CE7679" w:rsidRDefault="00A27597" w:rsidP="00A27597">
      <w:pPr>
        <w:tabs>
          <w:tab w:val="clear" w:pos="567"/>
        </w:tabs>
        <w:autoSpaceDE w:val="0"/>
        <w:autoSpaceDN w:val="0"/>
        <w:adjustRightInd w:val="0"/>
        <w:spacing w:line="240" w:lineRule="auto"/>
        <w:rPr>
          <w:rFonts w:eastAsia="Calibri"/>
          <w:snapToGrid/>
          <w:szCs w:val="22"/>
          <w:lang w:eastAsia="lt-LT"/>
        </w:rPr>
      </w:pPr>
      <w:r w:rsidRPr="00CE7679">
        <w:rPr>
          <w:rFonts w:eastAsia="Calibri"/>
          <w:snapToGrid/>
          <w:szCs w:val="22"/>
          <w:lang w:eastAsia="lt-LT"/>
        </w:rPr>
        <w:t>Gydymo trukm</w:t>
      </w:r>
      <w:r w:rsidRPr="00CE7679">
        <w:rPr>
          <w:rFonts w:eastAsia="TimesNewRomanPSMT"/>
          <w:snapToGrid/>
          <w:szCs w:val="22"/>
          <w:lang w:eastAsia="lt-LT"/>
        </w:rPr>
        <w:t>ė: k</w:t>
      </w:r>
      <w:r w:rsidRPr="00CE7679">
        <w:rPr>
          <w:rFonts w:eastAsia="Calibri"/>
          <w:snapToGrid/>
          <w:szCs w:val="22"/>
          <w:lang w:eastAsia="lt-LT"/>
        </w:rPr>
        <w:t>linikini</w:t>
      </w:r>
      <w:r w:rsidRPr="00CE7679">
        <w:rPr>
          <w:rFonts w:eastAsia="TimesNewRomanPSMT"/>
          <w:snapToGrid/>
          <w:szCs w:val="22"/>
          <w:lang w:eastAsia="lt-LT"/>
        </w:rPr>
        <w:t xml:space="preserve">ų </w:t>
      </w:r>
      <w:r w:rsidRPr="00CE7679">
        <w:rPr>
          <w:rFonts w:eastAsia="Calibri"/>
          <w:snapToGrid/>
          <w:szCs w:val="22"/>
          <w:lang w:eastAsia="lt-LT"/>
        </w:rPr>
        <w:t>tyrim</w:t>
      </w:r>
      <w:r w:rsidRPr="00CE7679">
        <w:rPr>
          <w:rFonts w:eastAsia="TimesNewRomanPSMT"/>
          <w:snapToGrid/>
          <w:szCs w:val="22"/>
          <w:lang w:eastAsia="lt-LT"/>
        </w:rPr>
        <w:t xml:space="preserve">ų </w:t>
      </w:r>
      <w:r w:rsidRPr="00CE7679">
        <w:rPr>
          <w:rFonts w:eastAsia="Calibri"/>
          <w:snapToGrid/>
          <w:szCs w:val="22"/>
          <w:lang w:eastAsia="lt-LT"/>
        </w:rPr>
        <w:t xml:space="preserve">metu </w:t>
      </w:r>
      <w:proofErr w:type="spellStart"/>
      <w:r w:rsidRPr="00CE7679">
        <w:rPr>
          <w:rFonts w:eastAsia="Calibri"/>
          <w:snapToGrid/>
          <w:szCs w:val="22"/>
          <w:lang w:eastAsia="lt-LT"/>
        </w:rPr>
        <w:t>imatinibas</w:t>
      </w:r>
      <w:proofErr w:type="spellEnd"/>
      <w:r w:rsidRPr="00CE7679">
        <w:rPr>
          <w:rFonts w:eastAsia="Calibri"/>
          <w:snapToGrid/>
          <w:szCs w:val="22"/>
          <w:lang w:eastAsia="lt-LT"/>
        </w:rPr>
        <w:t xml:space="preserve"> vartotas iki ligos progresavimo. Gydymo nutraukimo poveikis gavus visišk</w:t>
      </w:r>
      <w:r w:rsidRPr="00CE7679">
        <w:rPr>
          <w:rFonts w:eastAsia="TimesNewRomanPSMT"/>
          <w:snapToGrid/>
          <w:szCs w:val="22"/>
          <w:lang w:eastAsia="lt-LT"/>
        </w:rPr>
        <w:t xml:space="preserve">ą </w:t>
      </w:r>
      <w:r w:rsidRPr="00CE7679">
        <w:rPr>
          <w:rFonts w:eastAsia="Calibri"/>
          <w:snapToGrid/>
          <w:szCs w:val="22"/>
          <w:lang w:eastAsia="lt-LT"/>
        </w:rPr>
        <w:t>citogenetin</w:t>
      </w:r>
      <w:r w:rsidRPr="00CE7679">
        <w:rPr>
          <w:rFonts w:eastAsia="TimesNewRomanPSMT"/>
          <w:snapToGrid/>
          <w:szCs w:val="22"/>
          <w:lang w:eastAsia="lt-LT"/>
        </w:rPr>
        <w:t xml:space="preserve">į </w:t>
      </w:r>
      <w:r w:rsidRPr="00CE7679">
        <w:rPr>
          <w:rFonts w:eastAsia="Calibri"/>
          <w:snapToGrid/>
          <w:szCs w:val="22"/>
          <w:lang w:eastAsia="lt-LT"/>
        </w:rPr>
        <w:t>atsak</w:t>
      </w:r>
      <w:r w:rsidRPr="00CE7679">
        <w:rPr>
          <w:rFonts w:eastAsia="TimesNewRomanPSMT"/>
          <w:snapToGrid/>
          <w:szCs w:val="22"/>
          <w:lang w:eastAsia="lt-LT"/>
        </w:rPr>
        <w:t xml:space="preserve">ą </w:t>
      </w:r>
      <w:r w:rsidRPr="00CE7679">
        <w:rPr>
          <w:rFonts w:eastAsia="Calibri"/>
          <w:snapToGrid/>
          <w:szCs w:val="22"/>
          <w:lang w:eastAsia="lt-LT"/>
        </w:rPr>
        <w:t xml:space="preserve">netirtas. </w:t>
      </w:r>
    </w:p>
    <w:p w14:paraId="026444CA" w14:textId="77777777" w:rsidR="00A27597" w:rsidRPr="00CE7679" w:rsidRDefault="00A27597" w:rsidP="00A27597">
      <w:pPr>
        <w:rPr>
          <w:rFonts w:eastAsia="Calibri"/>
          <w:snapToGrid/>
          <w:szCs w:val="22"/>
          <w:lang w:eastAsia="lt-LT"/>
        </w:rPr>
      </w:pPr>
    </w:p>
    <w:p w14:paraId="5BAFA703" w14:textId="77777777" w:rsidR="00A27597" w:rsidRPr="00CE7679" w:rsidRDefault="00A27597" w:rsidP="00A27597">
      <w:pPr>
        <w:rPr>
          <w:szCs w:val="22"/>
        </w:rPr>
      </w:pPr>
      <w:r w:rsidRPr="00CE7679">
        <w:rPr>
          <w:rFonts w:eastAsia="Calibri"/>
          <w:snapToGrid/>
          <w:szCs w:val="22"/>
          <w:lang w:eastAsia="lt-LT"/>
        </w:rPr>
        <w:t>Dozę galima didinti nuo 400</w:t>
      </w:r>
      <w:r w:rsidR="008E1965" w:rsidRPr="00CE7679">
        <w:rPr>
          <w:rFonts w:eastAsia="Calibri"/>
          <w:snapToGrid/>
          <w:szCs w:val="22"/>
          <w:lang w:eastAsia="lt-LT"/>
        </w:rPr>
        <w:t> </w:t>
      </w:r>
      <w:r w:rsidRPr="00CE7679">
        <w:rPr>
          <w:rFonts w:eastAsia="Calibri"/>
          <w:snapToGrid/>
          <w:szCs w:val="22"/>
          <w:lang w:eastAsia="lt-LT"/>
        </w:rPr>
        <w:t>mg iki 600</w:t>
      </w:r>
      <w:r w:rsidR="008E1965" w:rsidRPr="00CE7679">
        <w:rPr>
          <w:rFonts w:eastAsia="Calibri"/>
          <w:snapToGrid/>
          <w:szCs w:val="22"/>
          <w:lang w:eastAsia="lt-LT"/>
        </w:rPr>
        <w:t> </w:t>
      </w:r>
      <w:r w:rsidRPr="00CE7679">
        <w:rPr>
          <w:rFonts w:eastAsia="Calibri"/>
          <w:snapToGrid/>
          <w:szCs w:val="22"/>
          <w:lang w:eastAsia="lt-LT"/>
        </w:rPr>
        <w:t>mg ar 800</w:t>
      </w:r>
      <w:r w:rsidR="008E1965" w:rsidRPr="00CE7679">
        <w:rPr>
          <w:rFonts w:eastAsia="Calibri"/>
          <w:snapToGrid/>
          <w:szCs w:val="22"/>
          <w:lang w:eastAsia="lt-LT"/>
        </w:rPr>
        <w:t> </w:t>
      </w:r>
      <w:r w:rsidRPr="00CE7679">
        <w:rPr>
          <w:rFonts w:eastAsia="Calibri"/>
          <w:snapToGrid/>
          <w:szCs w:val="22"/>
          <w:lang w:eastAsia="lt-LT"/>
        </w:rPr>
        <w:t>mg pacientams, kuriems yra lėtinė ligos fazė ar nuo 600</w:t>
      </w:r>
      <w:r w:rsidR="008E1965" w:rsidRPr="00CE7679">
        <w:rPr>
          <w:rFonts w:eastAsia="Calibri"/>
          <w:snapToGrid/>
          <w:szCs w:val="22"/>
          <w:lang w:eastAsia="lt-LT"/>
        </w:rPr>
        <w:t> </w:t>
      </w:r>
      <w:r w:rsidRPr="00CE7679">
        <w:rPr>
          <w:rFonts w:eastAsia="Calibri"/>
          <w:snapToGrid/>
          <w:szCs w:val="22"/>
          <w:lang w:eastAsia="lt-LT"/>
        </w:rPr>
        <w:t>mg iki didžiausios 800</w:t>
      </w:r>
      <w:r w:rsidR="008E1965" w:rsidRPr="00CE7679">
        <w:rPr>
          <w:rFonts w:eastAsia="Calibri"/>
          <w:snapToGrid/>
          <w:szCs w:val="22"/>
          <w:lang w:eastAsia="lt-LT"/>
        </w:rPr>
        <w:t> </w:t>
      </w:r>
      <w:r w:rsidRPr="00CE7679">
        <w:rPr>
          <w:rFonts w:eastAsia="Calibri"/>
          <w:snapToGrid/>
          <w:szCs w:val="22"/>
          <w:lang w:eastAsia="lt-LT"/>
        </w:rPr>
        <w:t>mg dozės (po 400</w:t>
      </w:r>
      <w:r w:rsidR="008E1965" w:rsidRPr="00CE7679">
        <w:rPr>
          <w:rFonts w:eastAsia="Calibri"/>
          <w:snapToGrid/>
          <w:szCs w:val="22"/>
          <w:lang w:eastAsia="lt-LT"/>
        </w:rPr>
        <w:t> </w:t>
      </w:r>
      <w:r w:rsidRPr="00CE7679">
        <w:rPr>
          <w:rFonts w:eastAsia="Calibri"/>
          <w:snapToGrid/>
          <w:szCs w:val="22"/>
          <w:lang w:eastAsia="lt-LT"/>
        </w:rPr>
        <w:t>mg 2</w:t>
      </w:r>
      <w:r w:rsidR="008E1965" w:rsidRPr="00CE7679">
        <w:rPr>
          <w:rFonts w:eastAsia="Calibri"/>
          <w:snapToGrid/>
          <w:szCs w:val="22"/>
          <w:lang w:eastAsia="lt-LT"/>
        </w:rPr>
        <w:t> </w:t>
      </w:r>
      <w:r w:rsidRPr="00CE7679">
        <w:rPr>
          <w:rFonts w:eastAsia="Calibri"/>
          <w:snapToGrid/>
          <w:szCs w:val="22"/>
          <w:lang w:eastAsia="lt-LT"/>
        </w:rPr>
        <w:t xml:space="preserve">kartus per parą), kai yra </w:t>
      </w:r>
      <w:proofErr w:type="spellStart"/>
      <w:r w:rsidRPr="00CE7679">
        <w:rPr>
          <w:rFonts w:eastAsia="Calibri"/>
          <w:snapToGrid/>
          <w:szCs w:val="22"/>
          <w:lang w:eastAsia="lt-LT"/>
        </w:rPr>
        <w:t>blastinė</w:t>
      </w:r>
      <w:proofErr w:type="spellEnd"/>
      <w:r w:rsidRPr="00CE7679">
        <w:rPr>
          <w:rFonts w:eastAsia="Calibri"/>
          <w:snapToGrid/>
          <w:szCs w:val="22"/>
          <w:lang w:eastAsia="lt-LT"/>
        </w:rPr>
        <w:t xml:space="preserve"> krizė ir nėra sunkių nepageidaujamų vaistinio preparato reakcijų ar sunkios su leukemija susijusios </w:t>
      </w:r>
      <w:proofErr w:type="spellStart"/>
      <w:r w:rsidRPr="00CE7679">
        <w:rPr>
          <w:rFonts w:eastAsia="Calibri"/>
          <w:snapToGrid/>
          <w:szCs w:val="22"/>
          <w:lang w:eastAsia="lt-LT"/>
        </w:rPr>
        <w:t>neutropenijos</w:t>
      </w:r>
      <w:proofErr w:type="spellEnd"/>
      <w:r w:rsidRPr="00CE7679">
        <w:rPr>
          <w:rFonts w:eastAsia="Calibri"/>
          <w:snapToGrid/>
          <w:szCs w:val="22"/>
          <w:lang w:eastAsia="lt-LT"/>
        </w:rPr>
        <w:t xml:space="preserve"> ar </w:t>
      </w:r>
      <w:proofErr w:type="spellStart"/>
      <w:r w:rsidRPr="00CE7679">
        <w:rPr>
          <w:rFonts w:eastAsia="Calibri"/>
          <w:snapToGrid/>
          <w:szCs w:val="22"/>
          <w:lang w:eastAsia="lt-LT"/>
        </w:rPr>
        <w:t>trombocitopenijos</w:t>
      </w:r>
      <w:proofErr w:type="spellEnd"/>
      <w:r w:rsidRPr="00CE7679">
        <w:rPr>
          <w:rFonts w:eastAsia="Calibri"/>
          <w:snapToGrid/>
          <w:szCs w:val="22"/>
          <w:lang w:eastAsia="lt-LT"/>
        </w:rPr>
        <w:t xml:space="preserve"> šiais atvejais: ligai progresuojant (bet kuriuo metu); po 3</w:t>
      </w:r>
      <w:r w:rsidR="008E1965" w:rsidRPr="00CE7679">
        <w:rPr>
          <w:rFonts w:eastAsia="Calibri"/>
          <w:snapToGrid/>
          <w:szCs w:val="22"/>
          <w:lang w:eastAsia="lt-LT"/>
        </w:rPr>
        <w:t> </w:t>
      </w:r>
      <w:r w:rsidRPr="00CE7679">
        <w:rPr>
          <w:rFonts w:eastAsia="Calibri"/>
          <w:snapToGrid/>
          <w:szCs w:val="22"/>
          <w:lang w:eastAsia="lt-LT"/>
        </w:rPr>
        <w:t>mėnesių gydymo negavus reikiamo hematologinio atsako; po 12</w:t>
      </w:r>
      <w:r w:rsidR="008E1965" w:rsidRPr="00CE7679">
        <w:rPr>
          <w:rFonts w:eastAsia="Calibri"/>
          <w:snapToGrid/>
          <w:szCs w:val="22"/>
          <w:lang w:eastAsia="lt-LT"/>
        </w:rPr>
        <w:t> </w:t>
      </w:r>
      <w:r w:rsidRPr="00CE7679">
        <w:rPr>
          <w:rFonts w:eastAsia="Calibri"/>
          <w:snapToGrid/>
          <w:szCs w:val="22"/>
          <w:lang w:eastAsia="lt-LT"/>
        </w:rPr>
        <w:t xml:space="preserve">mėnesių gydymo negavus citogenetinio atsako; ar išnykus anksčiau pasiektam hematologiniam ir (arba) citogenetiniam atsakui. Pacientą, kuriam padidinama </w:t>
      </w:r>
      <w:r w:rsidRPr="00CE7679">
        <w:rPr>
          <w:rFonts w:eastAsia="Calibri"/>
          <w:snapToGrid/>
          <w:szCs w:val="22"/>
          <w:lang w:eastAsia="lt-LT"/>
        </w:rPr>
        <w:lastRenderedPageBreak/>
        <w:t>dozė, būtina atidžiai stebėti dėl galimų dažnesnių nepageidaujamų reakcijų esant didesniam dozavimui.</w:t>
      </w:r>
    </w:p>
    <w:p w14:paraId="7CA70FAE" w14:textId="77777777" w:rsidR="00A27597" w:rsidRPr="00CE7679" w:rsidRDefault="00A27597" w:rsidP="00A27597">
      <w:pPr>
        <w:rPr>
          <w:szCs w:val="22"/>
        </w:rPr>
      </w:pPr>
    </w:p>
    <w:p w14:paraId="30118524" w14:textId="77777777" w:rsidR="00A27597" w:rsidRPr="00CE7679" w:rsidRDefault="00A27597" w:rsidP="00A27597">
      <w:pPr>
        <w:rPr>
          <w:szCs w:val="22"/>
          <w:u w:val="single"/>
        </w:rPr>
      </w:pPr>
      <w:r w:rsidRPr="00CE7679">
        <w:rPr>
          <w:szCs w:val="22"/>
          <w:u w:val="single"/>
        </w:rPr>
        <w:t>Dozavimas, kai yra vaikų LML</w:t>
      </w:r>
    </w:p>
    <w:p w14:paraId="2B2D8488" w14:textId="0F59A353" w:rsidR="00A27597" w:rsidRPr="00CE7679" w:rsidRDefault="00A27597" w:rsidP="00A27597">
      <w:pPr>
        <w:rPr>
          <w:szCs w:val="22"/>
        </w:rPr>
      </w:pPr>
      <w:r w:rsidRPr="00CE7679">
        <w:rPr>
          <w:szCs w:val="22"/>
        </w:rPr>
        <w:t>Vaikams dozuojama pagal kūno paviršiaus plotą (mg/m</w:t>
      </w:r>
      <w:r w:rsidRPr="00CE7679">
        <w:rPr>
          <w:szCs w:val="22"/>
          <w:vertAlign w:val="superscript"/>
        </w:rPr>
        <w:t>2</w:t>
      </w:r>
      <w:r w:rsidRPr="00CE7679">
        <w:rPr>
          <w:szCs w:val="22"/>
        </w:rPr>
        <w:t>). Kai yra lėtinė ir progresavusi LML fazė, vaikams rekomenduojama 340</w:t>
      </w:r>
      <w:r w:rsidR="008E1965" w:rsidRPr="00CE7679">
        <w:rPr>
          <w:szCs w:val="22"/>
        </w:rPr>
        <w:t> </w:t>
      </w:r>
      <w:r w:rsidRPr="00CE7679">
        <w:rPr>
          <w:szCs w:val="22"/>
        </w:rPr>
        <w:t>mg/m</w:t>
      </w:r>
      <w:r w:rsidRPr="00CE7679">
        <w:rPr>
          <w:szCs w:val="22"/>
          <w:vertAlign w:val="superscript"/>
        </w:rPr>
        <w:t>2</w:t>
      </w:r>
      <w:r w:rsidRPr="00CE7679">
        <w:rPr>
          <w:szCs w:val="22"/>
        </w:rPr>
        <w:t xml:space="preserve"> paros dozė (bendros 800</w:t>
      </w:r>
      <w:r w:rsidR="008E1965" w:rsidRPr="00CE7679">
        <w:rPr>
          <w:szCs w:val="22"/>
        </w:rPr>
        <w:t> </w:t>
      </w:r>
      <w:r w:rsidRPr="00CE7679">
        <w:rPr>
          <w:szCs w:val="22"/>
        </w:rPr>
        <w:t>mg dozės viršyti negalima). Vaistinį preparatą galima vartoti vieną kartą per parą arba paros dozę dalyti į dvi dozes – vieną vartoti iš ryto, kitą – vakare. Dabartinės dozavimo rekomendacijos pagrįstos mažu vaikų skaičiumi (žr.</w:t>
      </w:r>
      <w:r w:rsidR="000B78EF">
        <w:rPr>
          <w:szCs w:val="22"/>
        </w:rPr>
        <w:t> </w:t>
      </w:r>
      <w:r w:rsidRPr="00CE7679">
        <w:rPr>
          <w:szCs w:val="22"/>
        </w:rPr>
        <w:t>5.1 ir 5.2</w:t>
      </w:r>
      <w:r w:rsidR="000B78EF">
        <w:rPr>
          <w:szCs w:val="22"/>
        </w:rPr>
        <w:t> </w:t>
      </w:r>
      <w:r w:rsidRPr="00CE7679">
        <w:rPr>
          <w:szCs w:val="22"/>
        </w:rPr>
        <w:t>skyrius). Kaip gydyti jaunesnius negu 2</w:t>
      </w:r>
      <w:r w:rsidR="008E1965" w:rsidRPr="00CE7679">
        <w:rPr>
          <w:szCs w:val="22"/>
        </w:rPr>
        <w:t> </w:t>
      </w:r>
      <w:r w:rsidRPr="00CE7679">
        <w:rPr>
          <w:szCs w:val="22"/>
        </w:rPr>
        <w:t>metų vaikus, patirties nėra.</w:t>
      </w:r>
    </w:p>
    <w:p w14:paraId="0C420FB4" w14:textId="77777777" w:rsidR="00A27597" w:rsidRPr="00CE7679" w:rsidRDefault="00A27597" w:rsidP="00A27597">
      <w:pPr>
        <w:rPr>
          <w:szCs w:val="22"/>
        </w:rPr>
      </w:pPr>
    </w:p>
    <w:p w14:paraId="5D612C01" w14:textId="77777777" w:rsidR="00A27597" w:rsidRPr="00CE7679" w:rsidRDefault="00A27597" w:rsidP="00A27597">
      <w:pPr>
        <w:rPr>
          <w:szCs w:val="22"/>
        </w:rPr>
      </w:pPr>
      <w:r w:rsidRPr="00CE7679">
        <w:rPr>
          <w:szCs w:val="22"/>
        </w:rPr>
        <w:t xml:space="preserve">Jeigu nepasireiškė sunkaus nepageidaujamo poveikio ir sunkios ne su leukemija susijusios </w:t>
      </w:r>
      <w:proofErr w:type="spellStart"/>
      <w:r w:rsidRPr="00CE7679">
        <w:rPr>
          <w:szCs w:val="22"/>
        </w:rPr>
        <w:t>neutropenijos</w:t>
      </w:r>
      <w:proofErr w:type="spellEnd"/>
      <w:r w:rsidRPr="00CE7679">
        <w:rPr>
          <w:szCs w:val="22"/>
        </w:rPr>
        <w:t xml:space="preserve"> arba </w:t>
      </w:r>
      <w:proofErr w:type="spellStart"/>
      <w:r w:rsidRPr="00CE7679">
        <w:rPr>
          <w:szCs w:val="22"/>
        </w:rPr>
        <w:t>trombocitopenijos</w:t>
      </w:r>
      <w:proofErr w:type="spellEnd"/>
      <w:r w:rsidRPr="00CE7679">
        <w:rPr>
          <w:szCs w:val="22"/>
        </w:rPr>
        <w:t>, dozė vaikams gali būti didinama nuo 340</w:t>
      </w:r>
      <w:r w:rsidR="008E1965" w:rsidRPr="00CE7679">
        <w:rPr>
          <w:szCs w:val="22"/>
        </w:rPr>
        <w:t> </w:t>
      </w:r>
      <w:r w:rsidRPr="00CE7679">
        <w:rPr>
          <w:szCs w:val="22"/>
        </w:rPr>
        <w:t>mg/m</w:t>
      </w:r>
      <w:r w:rsidRPr="00CE7679">
        <w:rPr>
          <w:szCs w:val="22"/>
          <w:vertAlign w:val="superscript"/>
        </w:rPr>
        <w:t>2</w:t>
      </w:r>
      <w:r w:rsidRPr="00CE7679">
        <w:t xml:space="preserve"> </w:t>
      </w:r>
      <w:r w:rsidRPr="00CE7679">
        <w:rPr>
          <w:szCs w:val="22"/>
        </w:rPr>
        <w:t>iki 570</w:t>
      </w:r>
      <w:r w:rsidR="008E1965" w:rsidRPr="00CE7679">
        <w:rPr>
          <w:szCs w:val="22"/>
        </w:rPr>
        <w:t> </w:t>
      </w:r>
      <w:r w:rsidRPr="00CE7679">
        <w:rPr>
          <w:szCs w:val="22"/>
        </w:rPr>
        <w:t>mg/m</w:t>
      </w:r>
      <w:r w:rsidRPr="00CE7679">
        <w:rPr>
          <w:szCs w:val="22"/>
          <w:vertAlign w:val="superscript"/>
        </w:rPr>
        <w:t>2</w:t>
      </w:r>
      <w:r w:rsidRPr="00CE7679">
        <w:rPr>
          <w:szCs w:val="22"/>
        </w:rPr>
        <w:t xml:space="preserve"> per parą (bendros 800</w:t>
      </w:r>
      <w:r w:rsidR="008E1965" w:rsidRPr="00CE7679">
        <w:rPr>
          <w:szCs w:val="22"/>
        </w:rPr>
        <w:t> </w:t>
      </w:r>
      <w:r w:rsidRPr="00CE7679">
        <w:rPr>
          <w:szCs w:val="22"/>
        </w:rPr>
        <w:t xml:space="preserve">mg dozės viršyti negalima) sekančiomis sąlygomis: ligos progresavimas (bet kuriuo metu); nepasiektas patenkinamas hematologinis atsakas po mažiausiai 3 gydymo mėnesių; nepasiektas citogenetinis atsakas po 12 gydymo mėnesių; anksčiau pasiekto hematologinio ir (arba) citogenetinio atsako praradimas. Didinant dozę, pacientai turi būti atidžiai stebimi dėl </w:t>
      </w:r>
      <w:r w:rsidRPr="00CE7679">
        <w:rPr>
          <w:rFonts w:eastAsia="Calibri"/>
          <w:snapToGrid/>
          <w:szCs w:val="22"/>
          <w:lang w:eastAsia="lt-LT"/>
        </w:rPr>
        <w:t>galimų dažnesnių nepageidaujamų reakcijų esant didesniam dozavimui</w:t>
      </w:r>
      <w:r w:rsidRPr="00CE7679">
        <w:rPr>
          <w:szCs w:val="22"/>
        </w:rPr>
        <w:t>.</w:t>
      </w:r>
    </w:p>
    <w:p w14:paraId="73E2045E" w14:textId="77777777" w:rsidR="00A27597" w:rsidRPr="00CE7679" w:rsidRDefault="00A27597" w:rsidP="00A27597">
      <w:pPr>
        <w:rPr>
          <w:szCs w:val="22"/>
        </w:rPr>
      </w:pPr>
    </w:p>
    <w:p w14:paraId="40CE7A77" w14:textId="77777777" w:rsidR="00A27597" w:rsidRPr="00CE7679" w:rsidRDefault="00A27597" w:rsidP="00A27597">
      <w:pPr>
        <w:rPr>
          <w:szCs w:val="22"/>
          <w:u w:val="single"/>
        </w:rPr>
      </w:pPr>
      <w:r w:rsidRPr="00CE7679">
        <w:rPr>
          <w:szCs w:val="22"/>
          <w:u w:val="single"/>
        </w:rPr>
        <w:t xml:space="preserve">Dozavimas, kai yra suaugusiųjų </w:t>
      </w:r>
      <w:proofErr w:type="spellStart"/>
      <w:r w:rsidRPr="00CE7679">
        <w:rPr>
          <w:szCs w:val="22"/>
          <w:u w:val="single"/>
        </w:rPr>
        <w:t>Ph</w:t>
      </w:r>
      <w:proofErr w:type="spellEnd"/>
      <w:r w:rsidRPr="00CE7679">
        <w:rPr>
          <w:szCs w:val="22"/>
          <w:u w:val="single"/>
        </w:rPr>
        <w:t>+ ŪLL</w:t>
      </w:r>
    </w:p>
    <w:p w14:paraId="4C3D0BDC" w14:textId="77777777" w:rsidR="00A27597" w:rsidRPr="00CE7679" w:rsidRDefault="00A27597" w:rsidP="00A27597">
      <w:pPr>
        <w:rPr>
          <w:szCs w:val="22"/>
        </w:rPr>
      </w:pPr>
      <w:proofErr w:type="spellStart"/>
      <w:r w:rsidRPr="00CE7679">
        <w:rPr>
          <w:szCs w:val="22"/>
        </w:rPr>
        <w:t>Ph</w:t>
      </w:r>
      <w:proofErr w:type="spellEnd"/>
      <w:r w:rsidRPr="00CE7679">
        <w:rPr>
          <w:szCs w:val="22"/>
        </w:rPr>
        <w:t xml:space="preserve">+ ŪLL sergantiems suaugusiems pacientams rekomenduojama </w:t>
      </w:r>
      <w:proofErr w:type="spellStart"/>
      <w:r w:rsidRPr="00CE7679">
        <w:rPr>
          <w:szCs w:val="22"/>
        </w:rPr>
        <w:t>imatinibo</w:t>
      </w:r>
      <w:proofErr w:type="spellEnd"/>
      <w:r w:rsidRPr="00CE7679">
        <w:rPr>
          <w:szCs w:val="22"/>
        </w:rPr>
        <w:t xml:space="preserve"> dozė yra 600</w:t>
      </w:r>
      <w:r w:rsidR="008E1965" w:rsidRPr="00CE7679">
        <w:rPr>
          <w:szCs w:val="22"/>
        </w:rPr>
        <w:t> </w:t>
      </w:r>
      <w:r w:rsidRPr="00CE7679">
        <w:rPr>
          <w:szCs w:val="22"/>
        </w:rPr>
        <w:t>mg per parą. Visų fazių metu gydymui turi vadovauti hematologai, turintys šios ligos gydymo patirties.</w:t>
      </w:r>
    </w:p>
    <w:p w14:paraId="5CFCCE96" w14:textId="77777777" w:rsidR="00A27597" w:rsidRPr="00CE7679" w:rsidRDefault="00A27597" w:rsidP="00A27597">
      <w:pPr>
        <w:rPr>
          <w:szCs w:val="22"/>
        </w:rPr>
      </w:pPr>
    </w:p>
    <w:p w14:paraId="698E3E43" w14:textId="071C598F" w:rsidR="00A27597" w:rsidRPr="00CE7679" w:rsidRDefault="00A27597" w:rsidP="00A27597">
      <w:pPr>
        <w:rPr>
          <w:szCs w:val="22"/>
        </w:rPr>
      </w:pPr>
      <w:r w:rsidRPr="00CE7679">
        <w:rPr>
          <w:szCs w:val="22"/>
        </w:rPr>
        <w:t xml:space="preserve">Gydymo planas: pagal turimus duomenis, </w:t>
      </w:r>
      <w:proofErr w:type="spellStart"/>
      <w:r w:rsidRPr="00CE7679">
        <w:rPr>
          <w:szCs w:val="22"/>
        </w:rPr>
        <w:t>imatinibo</w:t>
      </w:r>
      <w:proofErr w:type="spellEnd"/>
      <w:r w:rsidRPr="00CE7679">
        <w:rPr>
          <w:szCs w:val="22"/>
        </w:rPr>
        <w:t xml:space="preserve"> 600</w:t>
      </w:r>
      <w:r w:rsidR="008E1965" w:rsidRPr="00CE7679">
        <w:rPr>
          <w:szCs w:val="22"/>
        </w:rPr>
        <w:t> </w:t>
      </w:r>
      <w:r w:rsidRPr="00CE7679">
        <w:rPr>
          <w:szCs w:val="22"/>
        </w:rPr>
        <w:t>mg per parą dozė buvo veiksminga ir saugi kartu su chemoterapiniais vaistiniais preparatais pradinės, dozės didinimo ir palaikomosios chemoterapijos fazės metu (žr.</w:t>
      </w:r>
      <w:r w:rsidR="00A84E99">
        <w:rPr>
          <w:szCs w:val="22"/>
        </w:rPr>
        <w:t> </w:t>
      </w:r>
      <w:r w:rsidRPr="00CE7679">
        <w:rPr>
          <w:szCs w:val="22"/>
        </w:rPr>
        <w:t>5.1</w:t>
      </w:r>
      <w:r w:rsidR="00A84E99">
        <w:rPr>
          <w:szCs w:val="22"/>
        </w:rPr>
        <w:t> </w:t>
      </w:r>
      <w:r w:rsidRPr="00CE7679">
        <w:rPr>
          <w:szCs w:val="22"/>
        </w:rPr>
        <w:t xml:space="preserve">skyrių) suaugusiems pacientams, kuriems pirmą kartą diagnozuota </w:t>
      </w:r>
      <w:proofErr w:type="spellStart"/>
      <w:r w:rsidRPr="00CE7679">
        <w:rPr>
          <w:szCs w:val="22"/>
        </w:rPr>
        <w:t>Ph</w:t>
      </w:r>
      <w:proofErr w:type="spellEnd"/>
      <w:r w:rsidRPr="00CE7679">
        <w:rPr>
          <w:szCs w:val="22"/>
        </w:rPr>
        <w:t xml:space="preserve">+ ŪLL. Gydymo </w:t>
      </w:r>
      <w:proofErr w:type="spellStart"/>
      <w:r w:rsidRPr="00CE7679">
        <w:rPr>
          <w:szCs w:val="22"/>
        </w:rPr>
        <w:t>imatinibu</w:t>
      </w:r>
      <w:proofErr w:type="spellEnd"/>
      <w:r w:rsidRPr="00CE7679">
        <w:rPr>
          <w:szCs w:val="22"/>
        </w:rPr>
        <w:t xml:space="preserve"> trukmė gali priklausyti nuo pasirinktos gydymo programos, bet dažniausiai ilgiau vartojant </w:t>
      </w:r>
      <w:proofErr w:type="spellStart"/>
      <w:r w:rsidRPr="00CE7679">
        <w:rPr>
          <w:szCs w:val="22"/>
        </w:rPr>
        <w:t>imatinibo</w:t>
      </w:r>
      <w:proofErr w:type="spellEnd"/>
      <w:r w:rsidRPr="00CE7679">
        <w:rPr>
          <w:szCs w:val="22"/>
        </w:rPr>
        <w:t xml:space="preserve"> rezultatai buvo geresni.</w:t>
      </w:r>
    </w:p>
    <w:p w14:paraId="10F76E27" w14:textId="77777777" w:rsidR="00A27597" w:rsidRPr="00CE7679" w:rsidRDefault="00A27597" w:rsidP="00A27597">
      <w:pPr>
        <w:rPr>
          <w:szCs w:val="22"/>
        </w:rPr>
      </w:pPr>
    </w:p>
    <w:p w14:paraId="7F499186" w14:textId="77777777" w:rsidR="00A27597" w:rsidRPr="00CE7679" w:rsidRDefault="00A27597" w:rsidP="00A27597">
      <w:pPr>
        <w:rPr>
          <w:szCs w:val="22"/>
        </w:rPr>
      </w:pPr>
      <w:r w:rsidRPr="00CE7679">
        <w:rPr>
          <w:szCs w:val="22"/>
        </w:rPr>
        <w:t xml:space="preserve">Suaugusiems pacientams, kuriems yra recidyvas ar gydymui atspari </w:t>
      </w:r>
      <w:proofErr w:type="spellStart"/>
      <w:r w:rsidRPr="00CE7679">
        <w:rPr>
          <w:szCs w:val="22"/>
        </w:rPr>
        <w:t>Ph</w:t>
      </w:r>
      <w:proofErr w:type="spellEnd"/>
      <w:r w:rsidRPr="00CE7679">
        <w:rPr>
          <w:szCs w:val="22"/>
        </w:rPr>
        <w:t xml:space="preserve">+ ŪLL, gydymas vien tik </w:t>
      </w:r>
      <w:proofErr w:type="spellStart"/>
      <w:r w:rsidRPr="00CE7679">
        <w:rPr>
          <w:szCs w:val="22"/>
        </w:rPr>
        <w:t>imatinibu</w:t>
      </w:r>
      <w:proofErr w:type="spellEnd"/>
      <w:r w:rsidRPr="00CE7679">
        <w:rPr>
          <w:szCs w:val="22"/>
        </w:rPr>
        <w:t xml:space="preserve"> po 600</w:t>
      </w:r>
      <w:r w:rsidR="008E1965" w:rsidRPr="00CE7679">
        <w:rPr>
          <w:szCs w:val="22"/>
        </w:rPr>
        <w:t> </w:t>
      </w:r>
      <w:r w:rsidRPr="00CE7679">
        <w:rPr>
          <w:szCs w:val="22"/>
        </w:rPr>
        <w:t>mg per parą yra saugus, efektyvus ir gali būti skiriamas, kol liga pradės progresuoti.</w:t>
      </w:r>
    </w:p>
    <w:p w14:paraId="4460CD32" w14:textId="77777777" w:rsidR="00A27597" w:rsidRPr="00CE7679" w:rsidRDefault="00A27597" w:rsidP="00A27597">
      <w:pPr>
        <w:rPr>
          <w:szCs w:val="22"/>
        </w:rPr>
      </w:pPr>
    </w:p>
    <w:p w14:paraId="50ACD965" w14:textId="77777777" w:rsidR="00A27597" w:rsidRPr="00CE7679" w:rsidRDefault="00A27597" w:rsidP="00A27597">
      <w:pPr>
        <w:rPr>
          <w:szCs w:val="22"/>
          <w:u w:val="single"/>
        </w:rPr>
      </w:pPr>
      <w:r w:rsidRPr="00CE7679">
        <w:rPr>
          <w:szCs w:val="22"/>
          <w:u w:val="single"/>
        </w:rPr>
        <w:t xml:space="preserve">Dozavimas, kai yra vaikų </w:t>
      </w:r>
      <w:proofErr w:type="spellStart"/>
      <w:r w:rsidRPr="00CE7679">
        <w:rPr>
          <w:szCs w:val="22"/>
          <w:u w:val="single"/>
        </w:rPr>
        <w:t>Ph</w:t>
      </w:r>
      <w:proofErr w:type="spellEnd"/>
      <w:r w:rsidRPr="00CE7679">
        <w:rPr>
          <w:szCs w:val="22"/>
          <w:u w:val="single"/>
        </w:rPr>
        <w:t>+ ŪLL</w:t>
      </w:r>
    </w:p>
    <w:p w14:paraId="121CD68E" w14:textId="77777777" w:rsidR="00A27597" w:rsidRPr="00CE7679" w:rsidRDefault="00A27597" w:rsidP="00A27597">
      <w:pPr>
        <w:rPr>
          <w:szCs w:val="22"/>
        </w:rPr>
      </w:pPr>
      <w:r w:rsidRPr="00CE7679">
        <w:rPr>
          <w:szCs w:val="22"/>
        </w:rPr>
        <w:t>Vaikams dozuojama pagal kūno paviršiaus plotą (mg/m</w:t>
      </w:r>
      <w:r w:rsidRPr="00CE7679">
        <w:rPr>
          <w:szCs w:val="22"/>
          <w:vertAlign w:val="superscript"/>
        </w:rPr>
        <w:t>2</w:t>
      </w:r>
      <w:r w:rsidRPr="00CE7679">
        <w:rPr>
          <w:szCs w:val="22"/>
        </w:rPr>
        <w:t xml:space="preserve">). Kai yra </w:t>
      </w:r>
      <w:proofErr w:type="spellStart"/>
      <w:r w:rsidRPr="00CE7679">
        <w:rPr>
          <w:szCs w:val="22"/>
        </w:rPr>
        <w:t>Ph</w:t>
      </w:r>
      <w:proofErr w:type="spellEnd"/>
      <w:r w:rsidRPr="00CE7679">
        <w:rPr>
          <w:szCs w:val="22"/>
        </w:rPr>
        <w:t>+ ŪLL, vaikams rekomenduojama 340</w:t>
      </w:r>
      <w:r w:rsidR="008E1965" w:rsidRPr="00CE7679">
        <w:rPr>
          <w:szCs w:val="22"/>
        </w:rPr>
        <w:t> </w:t>
      </w:r>
      <w:r w:rsidRPr="00CE7679">
        <w:rPr>
          <w:szCs w:val="22"/>
        </w:rPr>
        <w:t>mg/m</w:t>
      </w:r>
      <w:r w:rsidRPr="00CE7679">
        <w:rPr>
          <w:szCs w:val="22"/>
          <w:vertAlign w:val="superscript"/>
        </w:rPr>
        <w:t>2</w:t>
      </w:r>
      <w:r w:rsidRPr="00CE7679">
        <w:rPr>
          <w:szCs w:val="22"/>
        </w:rPr>
        <w:t xml:space="preserve"> paros dozė (bendros 600</w:t>
      </w:r>
      <w:r w:rsidR="008E1965" w:rsidRPr="00CE7679">
        <w:rPr>
          <w:szCs w:val="22"/>
        </w:rPr>
        <w:t> </w:t>
      </w:r>
      <w:r w:rsidRPr="00CE7679">
        <w:rPr>
          <w:szCs w:val="22"/>
        </w:rPr>
        <w:t>mg dozės viršyti negalima).</w:t>
      </w:r>
    </w:p>
    <w:p w14:paraId="775FB769" w14:textId="77777777" w:rsidR="00A27597" w:rsidRPr="00CE7679" w:rsidRDefault="00A27597" w:rsidP="00A27597">
      <w:pPr>
        <w:rPr>
          <w:szCs w:val="22"/>
        </w:rPr>
      </w:pPr>
    </w:p>
    <w:p w14:paraId="2E0C2F55" w14:textId="77777777" w:rsidR="00A27597" w:rsidRPr="00CE7679" w:rsidRDefault="00A27597" w:rsidP="00A27597">
      <w:pPr>
        <w:rPr>
          <w:szCs w:val="22"/>
          <w:u w:val="single"/>
        </w:rPr>
      </w:pPr>
      <w:r w:rsidRPr="00CE7679">
        <w:rPr>
          <w:szCs w:val="22"/>
          <w:u w:val="single"/>
        </w:rPr>
        <w:t>Dozavimas, kai yra MDS/MPL</w:t>
      </w:r>
    </w:p>
    <w:p w14:paraId="248090D8" w14:textId="77777777" w:rsidR="00A27597" w:rsidRPr="00CE7679" w:rsidRDefault="00A27597" w:rsidP="00A27597">
      <w:pPr>
        <w:rPr>
          <w:szCs w:val="22"/>
        </w:rPr>
      </w:pPr>
      <w:r w:rsidRPr="00CE7679">
        <w:rPr>
          <w:szCs w:val="22"/>
        </w:rPr>
        <w:t xml:space="preserve">MDS ar MPL sergantiems suaugusiems pacientams rekomenduojama </w:t>
      </w:r>
      <w:proofErr w:type="spellStart"/>
      <w:r w:rsidRPr="00CE7679">
        <w:rPr>
          <w:szCs w:val="22"/>
        </w:rPr>
        <w:t>imatinibo</w:t>
      </w:r>
      <w:proofErr w:type="spellEnd"/>
      <w:r w:rsidRPr="00CE7679">
        <w:rPr>
          <w:szCs w:val="22"/>
        </w:rPr>
        <w:t xml:space="preserve"> dozė yra 400</w:t>
      </w:r>
      <w:r w:rsidR="008E1965" w:rsidRPr="00CE7679">
        <w:rPr>
          <w:szCs w:val="22"/>
        </w:rPr>
        <w:t> </w:t>
      </w:r>
      <w:r w:rsidRPr="00CE7679">
        <w:rPr>
          <w:szCs w:val="22"/>
        </w:rPr>
        <w:t>mg per parą.</w:t>
      </w:r>
    </w:p>
    <w:p w14:paraId="73417473" w14:textId="77777777" w:rsidR="00A27597" w:rsidRPr="00CE7679" w:rsidRDefault="00A27597" w:rsidP="00A27597">
      <w:pPr>
        <w:rPr>
          <w:szCs w:val="22"/>
        </w:rPr>
      </w:pPr>
    </w:p>
    <w:p w14:paraId="311D52A5" w14:textId="7268795E" w:rsidR="00A27597" w:rsidRPr="00CE7679" w:rsidRDefault="00A27597" w:rsidP="00A27597">
      <w:pPr>
        <w:rPr>
          <w:szCs w:val="22"/>
        </w:rPr>
      </w:pPr>
      <w:r w:rsidRPr="00CE7679">
        <w:rPr>
          <w:szCs w:val="22"/>
        </w:rPr>
        <w:t xml:space="preserve">Gydymo trukmė: klinikinio tyrimo, tęsiamo iki šiol, metu gydymas </w:t>
      </w:r>
      <w:proofErr w:type="spellStart"/>
      <w:r w:rsidRPr="00CE7679">
        <w:rPr>
          <w:szCs w:val="22"/>
        </w:rPr>
        <w:t>imatinibu</w:t>
      </w:r>
      <w:proofErr w:type="spellEnd"/>
      <w:r w:rsidRPr="00CE7679">
        <w:rPr>
          <w:szCs w:val="22"/>
        </w:rPr>
        <w:t xml:space="preserve"> buvo tęsiamas iki ligos progresavimo (žr.</w:t>
      </w:r>
      <w:r w:rsidR="00DC19F1">
        <w:rPr>
          <w:szCs w:val="22"/>
        </w:rPr>
        <w:t> </w:t>
      </w:r>
      <w:r w:rsidRPr="00CE7679">
        <w:rPr>
          <w:szCs w:val="22"/>
        </w:rPr>
        <w:t>5.1</w:t>
      </w:r>
      <w:r w:rsidR="00DC19F1">
        <w:rPr>
          <w:szCs w:val="22"/>
        </w:rPr>
        <w:t> </w:t>
      </w:r>
      <w:r w:rsidRPr="00CE7679">
        <w:rPr>
          <w:szCs w:val="22"/>
        </w:rPr>
        <w:t>skyrių). Tyrimo metu gydymo trukmės mediana buvo 47</w:t>
      </w:r>
      <w:r w:rsidR="008E1965" w:rsidRPr="00CE7679">
        <w:rPr>
          <w:szCs w:val="22"/>
        </w:rPr>
        <w:t> </w:t>
      </w:r>
      <w:r w:rsidRPr="00CE7679">
        <w:rPr>
          <w:szCs w:val="22"/>
        </w:rPr>
        <w:t>mėnesiai (24</w:t>
      </w:r>
      <w:r w:rsidR="008E1965" w:rsidRPr="00CE7679">
        <w:rPr>
          <w:szCs w:val="22"/>
        </w:rPr>
        <w:t> </w:t>
      </w:r>
      <w:r w:rsidRPr="00CE7679">
        <w:rPr>
          <w:szCs w:val="22"/>
        </w:rPr>
        <w:t>paros – 60</w:t>
      </w:r>
      <w:r w:rsidR="008E1965" w:rsidRPr="00CE7679">
        <w:rPr>
          <w:szCs w:val="22"/>
        </w:rPr>
        <w:t> </w:t>
      </w:r>
      <w:r w:rsidRPr="00CE7679">
        <w:rPr>
          <w:szCs w:val="22"/>
        </w:rPr>
        <w:t>mėnesių).</w:t>
      </w:r>
    </w:p>
    <w:p w14:paraId="4CF848F3" w14:textId="77777777" w:rsidR="00A27597" w:rsidRPr="00CE7679" w:rsidRDefault="00A27597" w:rsidP="00A27597">
      <w:pPr>
        <w:rPr>
          <w:szCs w:val="22"/>
        </w:rPr>
      </w:pPr>
    </w:p>
    <w:p w14:paraId="6C137747" w14:textId="77777777" w:rsidR="00A27597" w:rsidRPr="00CE7679" w:rsidRDefault="00A27597" w:rsidP="00A27597">
      <w:pPr>
        <w:rPr>
          <w:szCs w:val="22"/>
          <w:u w:val="single"/>
        </w:rPr>
      </w:pPr>
      <w:r w:rsidRPr="00CE7679">
        <w:rPr>
          <w:szCs w:val="22"/>
          <w:u w:val="single"/>
        </w:rPr>
        <w:t>Dozavimas, kai yra HES/LEL</w:t>
      </w:r>
    </w:p>
    <w:p w14:paraId="41D3D94D" w14:textId="77777777" w:rsidR="00A27597" w:rsidRPr="00CE7679" w:rsidRDefault="00A27597" w:rsidP="00A27597">
      <w:pPr>
        <w:rPr>
          <w:szCs w:val="22"/>
        </w:rPr>
      </w:pPr>
      <w:r w:rsidRPr="00CE7679">
        <w:rPr>
          <w:szCs w:val="22"/>
        </w:rPr>
        <w:t xml:space="preserve">Rekomenduojama </w:t>
      </w:r>
      <w:proofErr w:type="spellStart"/>
      <w:r w:rsidRPr="00CE7679">
        <w:rPr>
          <w:szCs w:val="22"/>
        </w:rPr>
        <w:t>imatinibo</w:t>
      </w:r>
      <w:proofErr w:type="spellEnd"/>
      <w:r w:rsidRPr="00CE7679">
        <w:rPr>
          <w:szCs w:val="22"/>
        </w:rPr>
        <w:t xml:space="preserve"> dozė suaugusiems pacientams, sergantiems HES/LEL, yra 100</w:t>
      </w:r>
      <w:r w:rsidR="008E1965" w:rsidRPr="00CE7679">
        <w:rPr>
          <w:szCs w:val="22"/>
        </w:rPr>
        <w:t> </w:t>
      </w:r>
      <w:r w:rsidRPr="00CE7679">
        <w:rPr>
          <w:szCs w:val="22"/>
        </w:rPr>
        <w:t>mg per parą.</w:t>
      </w:r>
    </w:p>
    <w:p w14:paraId="77443836" w14:textId="77777777" w:rsidR="00A27597" w:rsidRPr="00CE7679" w:rsidRDefault="00A27597" w:rsidP="00A27597">
      <w:pPr>
        <w:rPr>
          <w:szCs w:val="22"/>
        </w:rPr>
      </w:pPr>
    </w:p>
    <w:p w14:paraId="0F2D5646" w14:textId="77777777" w:rsidR="00A27597" w:rsidRPr="00CE7679" w:rsidRDefault="00A27597" w:rsidP="00A27597">
      <w:pPr>
        <w:rPr>
          <w:szCs w:val="22"/>
        </w:rPr>
      </w:pPr>
      <w:r w:rsidRPr="00CE7679">
        <w:rPr>
          <w:szCs w:val="22"/>
        </w:rPr>
        <w:t>Galima didinti dozę nuo 100</w:t>
      </w:r>
      <w:r w:rsidR="008E1965" w:rsidRPr="00CE7679">
        <w:rPr>
          <w:szCs w:val="22"/>
        </w:rPr>
        <w:t> </w:t>
      </w:r>
      <w:r w:rsidRPr="00CE7679">
        <w:rPr>
          <w:szCs w:val="22"/>
        </w:rPr>
        <w:t>mg iki 400</w:t>
      </w:r>
      <w:r w:rsidR="008E1965" w:rsidRPr="00CE7679">
        <w:rPr>
          <w:szCs w:val="22"/>
        </w:rPr>
        <w:t> </w:t>
      </w:r>
      <w:r w:rsidRPr="00CE7679">
        <w:rPr>
          <w:szCs w:val="22"/>
        </w:rPr>
        <w:t>mg, jeigu nėra nepageidaujamų reakcijų ir jeigu įvertinimas rodo nepakankamą atsaką į gydymą.</w:t>
      </w:r>
    </w:p>
    <w:p w14:paraId="59536936" w14:textId="77777777" w:rsidR="00A27597" w:rsidRPr="00CE7679" w:rsidRDefault="00A27597" w:rsidP="00A27597">
      <w:pPr>
        <w:rPr>
          <w:szCs w:val="22"/>
        </w:rPr>
      </w:pPr>
    </w:p>
    <w:p w14:paraId="6FF815C7" w14:textId="77777777" w:rsidR="00A27597" w:rsidRPr="00CE7679" w:rsidRDefault="00A27597" w:rsidP="00A27597">
      <w:pPr>
        <w:rPr>
          <w:szCs w:val="22"/>
        </w:rPr>
      </w:pPr>
      <w:r w:rsidRPr="00CE7679">
        <w:rPr>
          <w:szCs w:val="22"/>
        </w:rPr>
        <w:t>Gydymas turi būti tęsiamas tol, kol pacientui tai yra naudinga.</w:t>
      </w:r>
    </w:p>
    <w:p w14:paraId="1B687958" w14:textId="77777777" w:rsidR="00D33172" w:rsidRDefault="00D33172" w:rsidP="00D33172">
      <w:pPr>
        <w:rPr>
          <w:szCs w:val="22"/>
        </w:rPr>
      </w:pPr>
    </w:p>
    <w:p w14:paraId="1203D6CD" w14:textId="77777777" w:rsidR="00D33172" w:rsidRPr="007541DA" w:rsidRDefault="00D33172" w:rsidP="00D33172">
      <w:pPr>
        <w:rPr>
          <w:szCs w:val="22"/>
          <w:u w:val="single"/>
        </w:rPr>
      </w:pPr>
      <w:r w:rsidRPr="007541DA">
        <w:rPr>
          <w:szCs w:val="22"/>
          <w:u w:val="single"/>
        </w:rPr>
        <w:t>Dozavimas pacientams, kuriems yra VTSN</w:t>
      </w:r>
    </w:p>
    <w:p w14:paraId="385421EF" w14:textId="77777777" w:rsidR="00D33172" w:rsidRPr="00D33172" w:rsidRDefault="00D33172" w:rsidP="00D33172">
      <w:pPr>
        <w:rPr>
          <w:szCs w:val="22"/>
        </w:rPr>
      </w:pPr>
      <w:r w:rsidRPr="00D33172">
        <w:rPr>
          <w:szCs w:val="22"/>
        </w:rPr>
        <w:t xml:space="preserve">Rekomenduojama </w:t>
      </w:r>
      <w:proofErr w:type="spellStart"/>
      <w:r>
        <w:rPr>
          <w:szCs w:val="22"/>
        </w:rPr>
        <w:t>imatinibo</w:t>
      </w:r>
      <w:proofErr w:type="spellEnd"/>
      <w:r w:rsidRPr="00D33172">
        <w:rPr>
          <w:szCs w:val="22"/>
        </w:rPr>
        <w:t xml:space="preserve"> dozė suaugusiems pacientams, kuriems yra </w:t>
      </w:r>
      <w:proofErr w:type="spellStart"/>
      <w:r w:rsidRPr="00D33172">
        <w:rPr>
          <w:szCs w:val="22"/>
        </w:rPr>
        <w:t>nerezekuotinas</w:t>
      </w:r>
      <w:proofErr w:type="spellEnd"/>
      <w:r w:rsidRPr="00D33172">
        <w:rPr>
          <w:szCs w:val="22"/>
        </w:rPr>
        <w:t xml:space="preserve"> ir (ar)</w:t>
      </w:r>
      <w:r>
        <w:rPr>
          <w:szCs w:val="22"/>
        </w:rPr>
        <w:t xml:space="preserve"> </w:t>
      </w:r>
      <w:proofErr w:type="spellStart"/>
      <w:r w:rsidRPr="00D33172">
        <w:rPr>
          <w:szCs w:val="22"/>
        </w:rPr>
        <w:t>metastazavęs</w:t>
      </w:r>
      <w:proofErr w:type="spellEnd"/>
      <w:r w:rsidRPr="00D33172">
        <w:rPr>
          <w:szCs w:val="22"/>
        </w:rPr>
        <w:t xml:space="preserve"> piktybinis VTSN, yra 400</w:t>
      </w:r>
      <w:r>
        <w:rPr>
          <w:szCs w:val="22"/>
        </w:rPr>
        <w:t> </w:t>
      </w:r>
      <w:r w:rsidRPr="00D33172">
        <w:rPr>
          <w:szCs w:val="22"/>
        </w:rPr>
        <w:t>mg per parą.</w:t>
      </w:r>
    </w:p>
    <w:p w14:paraId="0EA68ECA" w14:textId="77777777" w:rsidR="00D33172" w:rsidRDefault="00D33172" w:rsidP="00D33172">
      <w:pPr>
        <w:rPr>
          <w:szCs w:val="22"/>
        </w:rPr>
      </w:pPr>
    </w:p>
    <w:p w14:paraId="26C0A15E" w14:textId="362C8676" w:rsidR="00D33172" w:rsidRDefault="00D33172" w:rsidP="00D33172">
      <w:pPr>
        <w:rPr>
          <w:szCs w:val="22"/>
        </w:rPr>
      </w:pPr>
      <w:r w:rsidRPr="00D33172">
        <w:rPr>
          <w:szCs w:val="22"/>
        </w:rPr>
        <w:t xml:space="preserve">Dar mažai duomenų apie </w:t>
      </w:r>
      <w:r>
        <w:rPr>
          <w:szCs w:val="22"/>
        </w:rPr>
        <w:t xml:space="preserve">dozės didinimo </w:t>
      </w:r>
      <w:r w:rsidRPr="00D33172">
        <w:rPr>
          <w:szCs w:val="22"/>
        </w:rPr>
        <w:t>nuo 400</w:t>
      </w:r>
      <w:r>
        <w:rPr>
          <w:szCs w:val="22"/>
        </w:rPr>
        <w:t> </w:t>
      </w:r>
      <w:r w:rsidRPr="00D33172">
        <w:rPr>
          <w:szCs w:val="22"/>
        </w:rPr>
        <w:t>mg iki 600</w:t>
      </w:r>
      <w:r w:rsidRPr="00D33172">
        <w:t xml:space="preserve"> </w:t>
      </w:r>
      <w:r w:rsidRPr="00D33172">
        <w:rPr>
          <w:szCs w:val="22"/>
        </w:rPr>
        <w:t>mg ar 800</w:t>
      </w:r>
      <w:r w:rsidRPr="00D33172">
        <w:t xml:space="preserve"> </w:t>
      </w:r>
      <w:r w:rsidRPr="00D33172">
        <w:rPr>
          <w:szCs w:val="22"/>
        </w:rPr>
        <w:t>mg poveikį pacientams,</w:t>
      </w:r>
      <w:r>
        <w:rPr>
          <w:szCs w:val="22"/>
        </w:rPr>
        <w:t xml:space="preserve"> </w:t>
      </w:r>
      <w:r w:rsidRPr="00D33172">
        <w:rPr>
          <w:szCs w:val="22"/>
        </w:rPr>
        <w:t>kuriems liga progresavo vartojant mažesnę dozę (žr.</w:t>
      </w:r>
      <w:r w:rsidR="00141B2C">
        <w:rPr>
          <w:szCs w:val="22"/>
        </w:rPr>
        <w:t> </w:t>
      </w:r>
      <w:r w:rsidRPr="00D33172">
        <w:rPr>
          <w:szCs w:val="22"/>
        </w:rPr>
        <w:t>5.1</w:t>
      </w:r>
      <w:r w:rsidR="00141B2C">
        <w:rPr>
          <w:szCs w:val="22"/>
        </w:rPr>
        <w:t> </w:t>
      </w:r>
      <w:r w:rsidRPr="00D33172">
        <w:rPr>
          <w:szCs w:val="22"/>
        </w:rPr>
        <w:t>skyrių).</w:t>
      </w:r>
    </w:p>
    <w:p w14:paraId="46FB5FA6" w14:textId="77777777" w:rsidR="00D33172" w:rsidRPr="00D33172" w:rsidRDefault="00D33172" w:rsidP="00D33172">
      <w:pPr>
        <w:rPr>
          <w:szCs w:val="22"/>
        </w:rPr>
      </w:pPr>
    </w:p>
    <w:p w14:paraId="34914E9A" w14:textId="5A7D874D" w:rsidR="00D33172" w:rsidRDefault="00D33172" w:rsidP="00D33172">
      <w:pPr>
        <w:rPr>
          <w:szCs w:val="22"/>
        </w:rPr>
      </w:pPr>
      <w:r w:rsidRPr="00D33172">
        <w:rPr>
          <w:szCs w:val="22"/>
        </w:rPr>
        <w:t xml:space="preserve">Gydymo trukmė. Klinikinių tyrimų metu VTSN sergantys pacientai </w:t>
      </w:r>
      <w:proofErr w:type="spellStart"/>
      <w:r>
        <w:rPr>
          <w:szCs w:val="22"/>
        </w:rPr>
        <w:t>imatinibu</w:t>
      </w:r>
      <w:proofErr w:type="spellEnd"/>
      <w:r w:rsidRPr="00D33172">
        <w:rPr>
          <w:szCs w:val="22"/>
        </w:rPr>
        <w:t xml:space="preserve"> buvo gydomi iki ligos</w:t>
      </w:r>
      <w:r>
        <w:rPr>
          <w:szCs w:val="22"/>
        </w:rPr>
        <w:t xml:space="preserve"> </w:t>
      </w:r>
      <w:r w:rsidRPr="00D33172">
        <w:rPr>
          <w:szCs w:val="22"/>
        </w:rPr>
        <w:t>progresavimo. Analizės metu nustatyta, kad vidutinė gydymo trukmė buvo 7</w:t>
      </w:r>
      <w:r w:rsidR="00141B2C">
        <w:rPr>
          <w:szCs w:val="22"/>
        </w:rPr>
        <w:t> </w:t>
      </w:r>
      <w:r w:rsidRPr="00D33172">
        <w:rPr>
          <w:szCs w:val="22"/>
        </w:rPr>
        <w:t>mėnesiai (nuo 7</w:t>
      </w:r>
      <w:r w:rsidR="00141B2C">
        <w:rPr>
          <w:szCs w:val="22"/>
        </w:rPr>
        <w:t> </w:t>
      </w:r>
      <w:r w:rsidRPr="00D33172">
        <w:rPr>
          <w:szCs w:val="22"/>
        </w:rPr>
        <w:t>dienų iki</w:t>
      </w:r>
      <w:r>
        <w:rPr>
          <w:szCs w:val="22"/>
        </w:rPr>
        <w:t xml:space="preserve"> </w:t>
      </w:r>
      <w:r w:rsidRPr="00D33172">
        <w:rPr>
          <w:szCs w:val="22"/>
        </w:rPr>
        <w:t>13</w:t>
      </w:r>
      <w:r w:rsidR="00141B2C">
        <w:rPr>
          <w:szCs w:val="22"/>
        </w:rPr>
        <w:t> </w:t>
      </w:r>
      <w:r w:rsidRPr="00D33172">
        <w:rPr>
          <w:szCs w:val="22"/>
        </w:rPr>
        <w:t>mėnesių). Gydymo nutraukimo poveikis po gauto atsako netirtas.</w:t>
      </w:r>
    </w:p>
    <w:p w14:paraId="458147FB" w14:textId="77777777" w:rsidR="00D33172" w:rsidRPr="00D33172" w:rsidRDefault="00D33172" w:rsidP="00D33172">
      <w:pPr>
        <w:rPr>
          <w:szCs w:val="22"/>
        </w:rPr>
      </w:pPr>
    </w:p>
    <w:p w14:paraId="0BB34074" w14:textId="013E1BCB" w:rsidR="00A27597" w:rsidRPr="00CE7679" w:rsidRDefault="00D33172" w:rsidP="00D33172">
      <w:pPr>
        <w:rPr>
          <w:szCs w:val="22"/>
        </w:rPr>
      </w:pPr>
      <w:r w:rsidRPr="00D33172">
        <w:rPr>
          <w:szCs w:val="22"/>
        </w:rPr>
        <w:t xml:space="preserve">Rekomenduojama </w:t>
      </w:r>
      <w:proofErr w:type="spellStart"/>
      <w:r>
        <w:rPr>
          <w:szCs w:val="22"/>
        </w:rPr>
        <w:t>imatinibo</w:t>
      </w:r>
      <w:proofErr w:type="spellEnd"/>
      <w:r w:rsidRPr="00D33172">
        <w:rPr>
          <w:szCs w:val="22"/>
        </w:rPr>
        <w:t xml:space="preserve"> dozė </w:t>
      </w:r>
      <w:proofErr w:type="spellStart"/>
      <w:r w:rsidRPr="00D33172">
        <w:rPr>
          <w:szCs w:val="22"/>
        </w:rPr>
        <w:t>adjuvantiniam</w:t>
      </w:r>
      <w:proofErr w:type="spellEnd"/>
      <w:r w:rsidRPr="00D33172">
        <w:rPr>
          <w:szCs w:val="22"/>
        </w:rPr>
        <w:t xml:space="preserve"> suaugusių</w:t>
      </w:r>
      <w:r>
        <w:rPr>
          <w:szCs w:val="22"/>
        </w:rPr>
        <w:t xml:space="preserve"> pacientų</w:t>
      </w:r>
      <w:r w:rsidRPr="00D33172">
        <w:rPr>
          <w:szCs w:val="22"/>
        </w:rPr>
        <w:t xml:space="preserve">, kuriems atlikta VTSN </w:t>
      </w:r>
      <w:proofErr w:type="spellStart"/>
      <w:r w:rsidRPr="00D33172">
        <w:rPr>
          <w:szCs w:val="22"/>
        </w:rPr>
        <w:t>rezekcija</w:t>
      </w:r>
      <w:proofErr w:type="spellEnd"/>
      <w:r w:rsidRPr="00D33172">
        <w:rPr>
          <w:szCs w:val="22"/>
        </w:rPr>
        <w:t>, gydymui</w:t>
      </w:r>
      <w:r>
        <w:rPr>
          <w:szCs w:val="22"/>
        </w:rPr>
        <w:t xml:space="preserve"> </w:t>
      </w:r>
      <w:r w:rsidRPr="00D33172">
        <w:rPr>
          <w:szCs w:val="22"/>
        </w:rPr>
        <w:t>yra 400</w:t>
      </w:r>
      <w:r>
        <w:rPr>
          <w:szCs w:val="22"/>
        </w:rPr>
        <w:t> </w:t>
      </w:r>
      <w:r w:rsidRPr="00D33172">
        <w:rPr>
          <w:szCs w:val="22"/>
        </w:rPr>
        <w:t>mg per parą. Optimali gydymo trukmė kol kas nenustatyta. Klinikinių tyrimų duomenimis</w:t>
      </w:r>
      <w:r>
        <w:rPr>
          <w:szCs w:val="22"/>
        </w:rPr>
        <w:t xml:space="preserve"> </w:t>
      </w:r>
      <w:r w:rsidRPr="00D33172">
        <w:rPr>
          <w:szCs w:val="22"/>
        </w:rPr>
        <w:t xml:space="preserve">gydymo trukmė </w:t>
      </w:r>
      <w:r w:rsidR="009F65C9">
        <w:rPr>
          <w:szCs w:val="22"/>
        </w:rPr>
        <w:t>remiantis šia indikacija</w:t>
      </w:r>
      <w:r w:rsidRPr="00D33172">
        <w:rPr>
          <w:szCs w:val="22"/>
        </w:rPr>
        <w:t xml:space="preserve"> truko 36</w:t>
      </w:r>
      <w:r w:rsidR="00141B2C">
        <w:rPr>
          <w:szCs w:val="22"/>
        </w:rPr>
        <w:t> </w:t>
      </w:r>
      <w:r w:rsidRPr="00D33172">
        <w:rPr>
          <w:szCs w:val="22"/>
        </w:rPr>
        <w:t>mėnesius (žr.</w:t>
      </w:r>
      <w:r w:rsidR="00141B2C">
        <w:rPr>
          <w:szCs w:val="22"/>
        </w:rPr>
        <w:t> </w:t>
      </w:r>
      <w:r w:rsidRPr="00D33172">
        <w:rPr>
          <w:szCs w:val="22"/>
        </w:rPr>
        <w:t>5.1</w:t>
      </w:r>
      <w:r w:rsidR="00141B2C">
        <w:rPr>
          <w:szCs w:val="22"/>
        </w:rPr>
        <w:t> </w:t>
      </w:r>
      <w:r w:rsidRPr="00D33172">
        <w:rPr>
          <w:szCs w:val="22"/>
        </w:rPr>
        <w:t>skyrių).</w:t>
      </w:r>
    </w:p>
    <w:p w14:paraId="76BC5490" w14:textId="77777777" w:rsidR="009F65C9" w:rsidRDefault="009F65C9" w:rsidP="00A27597">
      <w:pPr>
        <w:tabs>
          <w:tab w:val="clear" w:pos="567"/>
        </w:tabs>
        <w:autoSpaceDE w:val="0"/>
        <w:autoSpaceDN w:val="0"/>
        <w:adjustRightInd w:val="0"/>
        <w:spacing w:line="240" w:lineRule="auto"/>
        <w:rPr>
          <w:rFonts w:eastAsia="Calibri"/>
          <w:iCs/>
          <w:snapToGrid/>
          <w:szCs w:val="22"/>
          <w:u w:val="single"/>
          <w:lang w:eastAsia="lt-LT"/>
        </w:rPr>
      </w:pPr>
    </w:p>
    <w:p w14:paraId="320521E2" w14:textId="77777777" w:rsidR="00A27597" w:rsidRPr="00CE7679" w:rsidRDefault="00A27597" w:rsidP="00A27597">
      <w:pPr>
        <w:tabs>
          <w:tab w:val="clear" w:pos="567"/>
        </w:tabs>
        <w:autoSpaceDE w:val="0"/>
        <w:autoSpaceDN w:val="0"/>
        <w:adjustRightInd w:val="0"/>
        <w:spacing w:line="240" w:lineRule="auto"/>
        <w:rPr>
          <w:rFonts w:eastAsia="Calibri"/>
          <w:iCs/>
          <w:snapToGrid/>
          <w:szCs w:val="22"/>
          <w:u w:val="single"/>
          <w:lang w:eastAsia="lt-LT"/>
        </w:rPr>
      </w:pPr>
      <w:r w:rsidRPr="00CE7679">
        <w:rPr>
          <w:rFonts w:eastAsia="Calibri"/>
          <w:iCs/>
          <w:snapToGrid/>
          <w:szCs w:val="22"/>
          <w:u w:val="single"/>
          <w:lang w:eastAsia="lt-LT"/>
        </w:rPr>
        <w:t>Dozavimas, kai yra DFSP</w:t>
      </w:r>
    </w:p>
    <w:p w14:paraId="09F1A176" w14:textId="77777777" w:rsidR="00A27597" w:rsidRPr="00CE7679" w:rsidRDefault="00A27597" w:rsidP="00A27597">
      <w:pPr>
        <w:tabs>
          <w:tab w:val="clear" w:pos="567"/>
        </w:tabs>
        <w:autoSpaceDE w:val="0"/>
        <w:autoSpaceDN w:val="0"/>
        <w:adjustRightInd w:val="0"/>
        <w:spacing w:line="240" w:lineRule="auto"/>
        <w:rPr>
          <w:rFonts w:eastAsia="Calibri"/>
          <w:snapToGrid/>
          <w:szCs w:val="22"/>
          <w:lang w:eastAsia="lt-LT"/>
        </w:rPr>
      </w:pPr>
      <w:r w:rsidRPr="00CE7679">
        <w:rPr>
          <w:rFonts w:eastAsia="Calibri"/>
          <w:snapToGrid/>
          <w:szCs w:val="22"/>
          <w:lang w:eastAsia="lt-LT"/>
        </w:rPr>
        <w:t xml:space="preserve">DFSP sergantiems suaugusiems pacientams rekomenduojama </w:t>
      </w:r>
      <w:proofErr w:type="spellStart"/>
      <w:r w:rsidRPr="00CE7679">
        <w:rPr>
          <w:rFonts w:eastAsia="Calibri"/>
          <w:snapToGrid/>
          <w:szCs w:val="22"/>
          <w:lang w:eastAsia="lt-LT"/>
        </w:rPr>
        <w:t>imatinibo</w:t>
      </w:r>
      <w:proofErr w:type="spellEnd"/>
      <w:r w:rsidRPr="00CE7679">
        <w:rPr>
          <w:rFonts w:eastAsia="Calibri"/>
          <w:snapToGrid/>
          <w:szCs w:val="22"/>
          <w:lang w:eastAsia="lt-LT"/>
        </w:rPr>
        <w:t xml:space="preserve"> doz</w:t>
      </w:r>
      <w:r w:rsidRPr="00CE7679">
        <w:rPr>
          <w:rFonts w:eastAsia="TimesNewRomanPSMT"/>
          <w:snapToGrid/>
          <w:szCs w:val="22"/>
          <w:lang w:eastAsia="lt-LT"/>
        </w:rPr>
        <w:t xml:space="preserve">ė </w:t>
      </w:r>
      <w:r w:rsidRPr="00CE7679">
        <w:rPr>
          <w:rFonts w:eastAsia="Calibri"/>
          <w:snapToGrid/>
          <w:szCs w:val="22"/>
          <w:lang w:eastAsia="lt-LT"/>
        </w:rPr>
        <w:t>yra 800</w:t>
      </w:r>
      <w:r w:rsidR="008E1965" w:rsidRPr="00CE7679">
        <w:rPr>
          <w:rFonts w:eastAsia="Calibri"/>
          <w:snapToGrid/>
          <w:szCs w:val="22"/>
          <w:lang w:eastAsia="lt-LT"/>
        </w:rPr>
        <w:t> </w:t>
      </w:r>
      <w:r w:rsidRPr="00CE7679">
        <w:rPr>
          <w:rFonts w:eastAsia="Calibri"/>
          <w:snapToGrid/>
          <w:szCs w:val="22"/>
          <w:lang w:eastAsia="lt-LT"/>
        </w:rPr>
        <w:t>mg per par</w:t>
      </w:r>
      <w:r w:rsidRPr="00CE7679">
        <w:rPr>
          <w:rFonts w:eastAsia="TimesNewRomanPSMT"/>
          <w:snapToGrid/>
          <w:szCs w:val="22"/>
          <w:lang w:eastAsia="lt-LT"/>
        </w:rPr>
        <w:t>ą</w:t>
      </w:r>
      <w:r w:rsidRPr="00CE7679">
        <w:rPr>
          <w:rFonts w:eastAsia="Calibri"/>
          <w:snapToGrid/>
          <w:szCs w:val="22"/>
          <w:lang w:eastAsia="lt-LT"/>
        </w:rPr>
        <w:t>.</w:t>
      </w:r>
    </w:p>
    <w:p w14:paraId="15CBF4DA" w14:textId="77777777" w:rsidR="00A27597" w:rsidRPr="00CE7679" w:rsidRDefault="00A27597" w:rsidP="00A27597">
      <w:pPr>
        <w:tabs>
          <w:tab w:val="clear" w:pos="567"/>
        </w:tabs>
        <w:autoSpaceDE w:val="0"/>
        <w:autoSpaceDN w:val="0"/>
        <w:adjustRightInd w:val="0"/>
        <w:spacing w:line="240" w:lineRule="auto"/>
        <w:rPr>
          <w:rFonts w:eastAsia="Calibri"/>
          <w:i/>
          <w:iCs/>
          <w:snapToGrid/>
          <w:szCs w:val="22"/>
          <w:lang w:eastAsia="lt-LT"/>
        </w:rPr>
      </w:pPr>
    </w:p>
    <w:p w14:paraId="4C7CFF86" w14:textId="77777777" w:rsidR="00A27597" w:rsidRPr="00CE7679" w:rsidRDefault="00A27597" w:rsidP="00A27597">
      <w:pPr>
        <w:tabs>
          <w:tab w:val="clear" w:pos="567"/>
        </w:tabs>
        <w:autoSpaceDE w:val="0"/>
        <w:autoSpaceDN w:val="0"/>
        <w:adjustRightInd w:val="0"/>
        <w:spacing w:line="240" w:lineRule="auto"/>
        <w:rPr>
          <w:rFonts w:eastAsia="Calibri"/>
          <w:iCs/>
          <w:snapToGrid/>
          <w:szCs w:val="22"/>
          <w:u w:val="single"/>
          <w:lang w:eastAsia="lt-LT"/>
        </w:rPr>
      </w:pPr>
      <w:r w:rsidRPr="00CE7679">
        <w:rPr>
          <w:rFonts w:eastAsia="Calibri"/>
          <w:iCs/>
          <w:snapToGrid/>
          <w:szCs w:val="22"/>
          <w:u w:val="single"/>
          <w:lang w:eastAsia="lt-LT"/>
        </w:rPr>
        <w:t>Dozės korekcija dėl nepageidaujamo poveikio</w:t>
      </w:r>
    </w:p>
    <w:p w14:paraId="72639796" w14:textId="77777777" w:rsidR="00A27597" w:rsidRPr="00CE7679" w:rsidRDefault="00A27597" w:rsidP="00A27597">
      <w:pPr>
        <w:tabs>
          <w:tab w:val="clear" w:pos="567"/>
        </w:tabs>
        <w:autoSpaceDE w:val="0"/>
        <w:autoSpaceDN w:val="0"/>
        <w:adjustRightInd w:val="0"/>
        <w:spacing w:line="240" w:lineRule="auto"/>
        <w:rPr>
          <w:rFonts w:eastAsia="Calibri"/>
          <w:i/>
          <w:iCs/>
          <w:snapToGrid/>
          <w:szCs w:val="22"/>
          <w:lang w:eastAsia="lt-LT"/>
        </w:rPr>
      </w:pPr>
      <w:r w:rsidRPr="00CE7679">
        <w:rPr>
          <w:rFonts w:eastAsia="Calibri"/>
          <w:i/>
          <w:iCs/>
          <w:snapToGrid/>
          <w:szCs w:val="22"/>
          <w:lang w:eastAsia="lt-LT"/>
        </w:rPr>
        <w:t>Nehematologinės nepageidaujamos reakcijos</w:t>
      </w:r>
    </w:p>
    <w:p w14:paraId="71BB4283" w14:textId="77777777" w:rsidR="00A27597" w:rsidRPr="00CE7679" w:rsidRDefault="00A27597" w:rsidP="00A27597">
      <w:pPr>
        <w:tabs>
          <w:tab w:val="clear" w:pos="567"/>
        </w:tabs>
        <w:autoSpaceDE w:val="0"/>
        <w:autoSpaceDN w:val="0"/>
        <w:adjustRightInd w:val="0"/>
        <w:spacing w:line="240" w:lineRule="auto"/>
        <w:rPr>
          <w:rFonts w:eastAsia="Calibri"/>
          <w:snapToGrid/>
          <w:szCs w:val="22"/>
          <w:lang w:eastAsia="lt-LT"/>
        </w:rPr>
      </w:pPr>
      <w:r w:rsidRPr="00CE7679">
        <w:rPr>
          <w:rFonts w:eastAsia="Calibri"/>
          <w:snapToGrid/>
          <w:szCs w:val="22"/>
          <w:lang w:eastAsia="lt-LT"/>
        </w:rPr>
        <w:t xml:space="preserve">Jeigu vartojant </w:t>
      </w:r>
      <w:proofErr w:type="spellStart"/>
      <w:r w:rsidRPr="00CE7679">
        <w:rPr>
          <w:rFonts w:eastAsia="Calibri"/>
          <w:snapToGrid/>
          <w:szCs w:val="22"/>
          <w:lang w:eastAsia="lt-LT"/>
        </w:rPr>
        <w:t>imatinibo</w:t>
      </w:r>
      <w:proofErr w:type="spellEnd"/>
      <w:r w:rsidRPr="00CE7679">
        <w:rPr>
          <w:rFonts w:eastAsia="Calibri"/>
          <w:snapToGrid/>
          <w:szCs w:val="22"/>
          <w:lang w:eastAsia="lt-LT"/>
        </w:rPr>
        <w:t xml:space="preserve"> atsiranda sunki</w:t>
      </w:r>
      <w:r w:rsidRPr="00CE7679">
        <w:rPr>
          <w:rFonts w:eastAsia="TimesNewRomanPSMT"/>
          <w:snapToGrid/>
          <w:szCs w:val="22"/>
          <w:lang w:eastAsia="lt-LT"/>
        </w:rPr>
        <w:t xml:space="preserve">ų </w:t>
      </w:r>
      <w:r w:rsidRPr="00CE7679">
        <w:rPr>
          <w:rFonts w:eastAsia="Calibri"/>
          <w:snapToGrid/>
          <w:szCs w:val="22"/>
          <w:lang w:eastAsia="lt-LT"/>
        </w:rPr>
        <w:t>nehematologini</w:t>
      </w:r>
      <w:r w:rsidRPr="00CE7679">
        <w:rPr>
          <w:rFonts w:eastAsia="TimesNewRomanPSMT"/>
          <w:snapToGrid/>
          <w:szCs w:val="22"/>
          <w:lang w:eastAsia="lt-LT"/>
        </w:rPr>
        <w:t xml:space="preserve">ų </w:t>
      </w:r>
      <w:r w:rsidRPr="00CE7679">
        <w:rPr>
          <w:rFonts w:eastAsia="Calibri"/>
          <w:snapToGrid/>
          <w:szCs w:val="22"/>
          <w:lang w:eastAsia="lt-LT"/>
        </w:rPr>
        <w:t>nepageidaujam</w:t>
      </w:r>
      <w:r w:rsidRPr="00CE7679">
        <w:rPr>
          <w:rFonts w:eastAsia="TimesNewRomanPSMT"/>
          <w:snapToGrid/>
          <w:szCs w:val="22"/>
          <w:lang w:eastAsia="lt-LT"/>
        </w:rPr>
        <w:t xml:space="preserve">ų </w:t>
      </w:r>
      <w:r w:rsidRPr="00CE7679">
        <w:rPr>
          <w:rFonts w:eastAsia="Calibri"/>
          <w:snapToGrid/>
          <w:szCs w:val="22"/>
          <w:lang w:eastAsia="lt-LT"/>
        </w:rPr>
        <w:t>reakcij</w:t>
      </w:r>
      <w:r w:rsidRPr="00CE7679">
        <w:rPr>
          <w:rFonts w:eastAsia="TimesNewRomanPSMT"/>
          <w:snapToGrid/>
          <w:szCs w:val="22"/>
          <w:lang w:eastAsia="lt-LT"/>
        </w:rPr>
        <w:t>ų</w:t>
      </w:r>
      <w:r w:rsidRPr="00CE7679">
        <w:rPr>
          <w:rFonts w:eastAsia="Calibri"/>
          <w:snapToGrid/>
          <w:szCs w:val="22"/>
          <w:lang w:eastAsia="lt-LT"/>
        </w:rPr>
        <w:t>, gydym</w:t>
      </w:r>
      <w:r w:rsidRPr="00CE7679">
        <w:rPr>
          <w:rFonts w:eastAsia="TimesNewRomanPSMT"/>
          <w:snapToGrid/>
          <w:szCs w:val="22"/>
          <w:lang w:eastAsia="lt-LT"/>
        </w:rPr>
        <w:t xml:space="preserve">ą </w:t>
      </w:r>
      <w:r w:rsidRPr="00CE7679">
        <w:rPr>
          <w:rFonts w:eastAsia="Calibri"/>
          <w:snapToGrid/>
          <w:szCs w:val="22"/>
          <w:lang w:eastAsia="lt-LT"/>
        </w:rPr>
        <w:t>b</w:t>
      </w:r>
      <w:r w:rsidRPr="00CE7679">
        <w:rPr>
          <w:rFonts w:eastAsia="TimesNewRomanPSMT"/>
          <w:snapToGrid/>
          <w:szCs w:val="22"/>
          <w:lang w:eastAsia="lt-LT"/>
        </w:rPr>
        <w:t>ū</w:t>
      </w:r>
      <w:r w:rsidRPr="00CE7679">
        <w:rPr>
          <w:rFonts w:eastAsia="Calibri"/>
          <w:snapToGrid/>
          <w:szCs w:val="22"/>
          <w:lang w:eastAsia="lt-LT"/>
        </w:rPr>
        <w:t>tina nutraukti tol, kol reiškinys išnyksta. V</w:t>
      </w:r>
      <w:r w:rsidRPr="00CE7679">
        <w:rPr>
          <w:rFonts w:eastAsia="TimesNewRomanPSMT"/>
          <w:snapToGrid/>
          <w:szCs w:val="22"/>
          <w:lang w:eastAsia="lt-LT"/>
        </w:rPr>
        <w:t>ė</w:t>
      </w:r>
      <w:r w:rsidRPr="00CE7679">
        <w:rPr>
          <w:rFonts w:eastAsia="Calibri"/>
          <w:snapToGrid/>
          <w:szCs w:val="22"/>
          <w:lang w:eastAsia="lt-LT"/>
        </w:rPr>
        <w:t>liau, jei reikia, gydym</w:t>
      </w:r>
      <w:r w:rsidRPr="00CE7679">
        <w:rPr>
          <w:rFonts w:eastAsia="TimesNewRomanPSMT"/>
          <w:snapToGrid/>
          <w:szCs w:val="22"/>
          <w:lang w:eastAsia="lt-LT"/>
        </w:rPr>
        <w:t xml:space="preserve">ą </w:t>
      </w:r>
      <w:r w:rsidRPr="00CE7679">
        <w:rPr>
          <w:rFonts w:eastAsia="Calibri"/>
          <w:snapToGrid/>
          <w:szCs w:val="22"/>
          <w:lang w:eastAsia="lt-LT"/>
        </w:rPr>
        <w:t xml:space="preserve">galima atnaujinti atsižvelgiant </w:t>
      </w:r>
      <w:r w:rsidRPr="00CE7679">
        <w:rPr>
          <w:rFonts w:eastAsia="TimesNewRomanPSMT"/>
          <w:snapToGrid/>
          <w:szCs w:val="22"/>
          <w:lang w:eastAsia="lt-LT"/>
        </w:rPr>
        <w:t xml:space="preserve">į </w:t>
      </w:r>
      <w:r w:rsidRPr="00CE7679">
        <w:rPr>
          <w:rFonts w:eastAsia="Calibri"/>
          <w:snapToGrid/>
          <w:szCs w:val="22"/>
          <w:lang w:eastAsia="lt-LT"/>
        </w:rPr>
        <w:t>pradin</w:t>
      </w:r>
      <w:r w:rsidRPr="00CE7679">
        <w:rPr>
          <w:rFonts w:eastAsia="TimesNewRomanPSMT"/>
          <w:snapToGrid/>
          <w:szCs w:val="22"/>
          <w:lang w:eastAsia="lt-LT"/>
        </w:rPr>
        <w:t xml:space="preserve">į </w:t>
      </w:r>
      <w:r w:rsidRPr="00CE7679">
        <w:rPr>
          <w:rFonts w:eastAsia="Calibri"/>
          <w:snapToGrid/>
          <w:szCs w:val="22"/>
          <w:lang w:eastAsia="lt-LT"/>
        </w:rPr>
        <w:t>nepageidaujam</w:t>
      </w:r>
      <w:r w:rsidRPr="00CE7679">
        <w:rPr>
          <w:rFonts w:eastAsia="TimesNewRomanPSMT"/>
          <w:snapToGrid/>
          <w:szCs w:val="22"/>
          <w:lang w:eastAsia="lt-LT"/>
        </w:rPr>
        <w:t xml:space="preserve">o </w:t>
      </w:r>
      <w:r w:rsidRPr="00CE7679">
        <w:rPr>
          <w:rFonts w:eastAsia="Calibri"/>
          <w:snapToGrid/>
          <w:szCs w:val="22"/>
          <w:lang w:eastAsia="lt-LT"/>
        </w:rPr>
        <w:t>reiškini</w:t>
      </w:r>
      <w:r w:rsidRPr="00CE7679">
        <w:rPr>
          <w:rFonts w:eastAsia="TimesNewRomanPSMT"/>
          <w:snapToGrid/>
          <w:szCs w:val="22"/>
          <w:lang w:eastAsia="lt-LT"/>
        </w:rPr>
        <w:t xml:space="preserve">o </w:t>
      </w:r>
      <w:r w:rsidRPr="00CE7679">
        <w:rPr>
          <w:rFonts w:eastAsia="Calibri"/>
          <w:snapToGrid/>
          <w:szCs w:val="22"/>
          <w:lang w:eastAsia="lt-LT"/>
        </w:rPr>
        <w:t>sunkum</w:t>
      </w:r>
      <w:r w:rsidRPr="00CE7679">
        <w:rPr>
          <w:rFonts w:eastAsia="TimesNewRomanPSMT"/>
          <w:snapToGrid/>
          <w:szCs w:val="22"/>
          <w:lang w:eastAsia="lt-LT"/>
        </w:rPr>
        <w:t>ą</w:t>
      </w:r>
      <w:r w:rsidRPr="00CE7679">
        <w:rPr>
          <w:rFonts w:eastAsia="Calibri"/>
          <w:snapToGrid/>
          <w:szCs w:val="22"/>
          <w:lang w:eastAsia="lt-LT"/>
        </w:rPr>
        <w:t>.</w:t>
      </w:r>
    </w:p>
    <w:p w14:paraId="37F38085" w14:textId="77777777" w:rsidR="00A27597" w:rsidRPr="00CE7679" w:rsidRDefault="00A27597" w:rsidP="00A27597">
      <w:pPr>
        <w:tabs>
          <w:tab w:val="clear" w:pos="567"/>
        </w:tabs>
        <w:autoSpaceDE w:val="0"/>
        <w:autoSpaceDN w:val="0"/>
        <w:adjustRightInd w:val="0"/>
        <w:spacing w:line="240" w:lineRule="auto"/>
        <w:rPr>
          <w:rFonts w:eastAsia="Calibri"/>
          <w:snapToGrid/>
          <w:szCs w:val="22"/>
          <w:lang w:eastAsia="lt-LT"/>
        </w:rPr>
      </w:pPr>
    </w:p>
    <w:p w14:paraId="13963B92" w14:textId="77777777" w:rsidR="00A27597" w:rsidRPr="00CE7679" w:rsidRDefault="00A27597" w:rsidP="00A27597">
      <w:pPr>
        <w:tabs>
          <w:tab w:val="clear" w:pos="567"/>
        </w:tabs>
        <w:autoSpaceDE w:val="0"/>
        <w:autoSpaceDN w:val="0"/>
        <w:adjustRightInd w:val="0"/>
        <w:spacing w:line="240" w:lineRule="auto"/>
        <w:rPr>
          <w:rFonts w:eastAsia="Calibri"/>
          <w:snapToGrid/>
          <w:szCs w:val="22"/>
          <w:lang w:eastAsia="lt-LT"/>
        </w:rPr>
      </w:pPr>
      <w:r w:rsidRPr="00CE7679">
        <w:rPr>
          <w:rFonts w:eastAsia="Calibri"/>
          <w:snapToGrid/>
          <w:szCs w:val="22"/>
          <w:lang w:eastAsia="lt-LT"/>
        </w:rPr>
        <w:t xml:space="preserve">Jeigu </w:t>
      </w:r>
      <w:proofErr w:type="spellStart"/>
      <w:r w:rsidRPr="00CE7679">
        <w:rPr>
          <w:rFonts w:eastAsia="Calibri"/>
          <w:snapToGrid/>
          <w:szCs w:val="22"/>
          <w:lang w:eastAsia="lt-LT"/>
        </w:rPr>
        <w:t>bilirubino</w:t>
      </w:r>
      <w:proofErr w:type="spellEnd"/>
      <w:r w:rsidRPr="00CE7679">
        <w:rPr>
          <w:rFonts w:eastAsia="Calibri"/>
          <w:snapToGrid/>
          <w:szCs w:val="22"/>
          <w:lang w:eastAsia="lt-LT"/>
        </w:rPr>
        <w:t xml:space="preserve"> kiekis &gt;</w:t>
      </w:r>
      <w:r w:rsidR="008E1965" w:rsidRPr="00CE7679">
        <w:rPr>
          <w:rFonts w:eastAsia="Calibri"/>
          <w:snapToGrid/>
          <w:szCs w:val="22"/>
          <w:lang w:eastAsia="lt-LT"/>
        </w:rPr>
        <w:t> </w:t>
      </w:r>
      <w:r w:rsidRPr="00CE7679">
        <w:rPr>
          <w:rFonts w:eastAsia="Calibri"/>
          <w:snapToGrid/>
          <w:szCs w:val="22"/>
          <w:lang w:eastAsia="lt-LT"/>
        </w:rPr>
        <w:t>3</w:t>
      </w:r>
      <w:r w:rsidR="008E1965" w:rsidRPr="00CE7679">
        <w:rPr>
          <w:rFonts w:eastAsia="Calibri"/>
          <w:snapToGrid/>
          <w:szCs w:val="22"/>
          <w:lang w:eastAsia="lt-LT"/>
        </w:rPr>
        <w:t> </w:t>
      </w:r>
      <w:r w:rsidRPr="00CE7679">
        <w:rPr>
          <w:rFonts w:eastAsia="Calibri"/>
          <w:snapToGrid/>
          <w:szCs w:val="22"/>
          <w:lang w:eastAsia="lt-LT"/>
        </w:rPr>
        <w:t>kartus yra didesn</w:t>
      </w:r>
      <w:r w:rsidRPr="00CE7679">
        <w:rPr>
          <w:rFonts w:eastAsia="TimesNewRomanPSMT"/>
          <w:snapToGrid/>
          <w:szCs w:val="22"/>
          <w:lang w:eastAsia="lt-LT"/>
        </w:rPr>
        <w:t xml:space="preserve">is </w:t>
      </w:r>
      <w:r w:rsidRPr="00CE7679">
        <w:rPr>
          <w:rFonts w:eastAsia="Calibri"/>
          <w:snapToGrid/>
          <w:szCs w:val="22"/>
          <w:lang w:eastAsia="lt-LT"/>
        </w:rPr>
        <w:t>už nustatyt</w:t>
      </w:r>
      <w:r w:rsidRPr="00CE7679">
        <w:rPr>
          <w:rFonts w:eastAsia="TimesNewRomanPSMT"/>
          <w:snapToGrid/>
          <w:szCs w:val="22"/>
          <w:lang w:eastAsia="lt-LT"/>
        </w:rPr>
        <w:t xml:space="preserve">ą </w:t>
      </w:r>
      <w:r w:rsidRPr="00CE7679">
        <w:rPr>
          <w:rFonts w:eastAsia="Calibri"/>
          <w:snapToGrid/>
          <w:szCs w:val="22"/>
          <w:lang w:eastAsia="lt-LT"/>
        </w:rPr>
        <w:t>viršutin</w:t>
      </w:r>
      <w:r w:rsidRPr="00CE7679">
        <w:rPr>
          <w:rFonts w:eastAsia="TimesNewRomanPSMT"/>
          <w:snapToGrid/>
          <w:szCs w:val="22"/>
          <w:lang w:eastAsia="lt-LT"/>
        </w:rPr>
        <w:t xml:space="preserve">ę </w:t>
      </w:r>
      <w:r w:rsidRPr="00CE7679">
        <w:rPr>
          <w:rFonts w:eastAsia="Calibri"/>
          <w:snapToGrid/>
          <w:szCs w:val="22"/>
          <w:lang w:eastAsia="lt-LT"/>
        </w:rPr>
        <w:t>normos rib</w:t>
      </w:r>
      <w:r w:rsidRPr="00CE7679">
        <w:rPr>
          <w:rFonts w:eastAsia="TimesNewRomanPSMT"/>
          <w:snapToGrid/>
          <w:szCs w:val="22"/>
          <w:lang w:eastAsia="lt-LT"/>
        </w:rPr>
        <w:t xml:space="preserve">ą </w:t>
      </w:r>
      <w:r w:rsidRPr="00CE7679">
        <w:rPr>
          <w:rFonts w:eastAsia="Calibri"/>
          <w:snapToGrid/>
          <w:szCs w:val="22"/>
          <w:lang w:eastAsia="lt-LT"/>
        </w:rPr>
        <w:t>(NVNR) ar kepen</w:t>
      </w:r>
      <w:r w:rsidRPr="00CE7679">
        <w:rPr>
          <w:rFonts w:eastAsia="TimesNewRomanPSMT"/>
          <w:snapToGrid/>
          <w:szCs w:val="22"/>
          <w:lang w:eastAsia="lt-LT"/>
        </w:rPr>
        <w:t xml:space="preserve">ų </w:t>
      </w:r>
      <w:proofErr w:type="spellStart"/>
      <w:r w:rsidRPr="00CE7679">
        <w:rPr>
          <w:rFonts w:eastAsia="Calibri"/>
          <w:snapToGrid/>
          <w:szCs w:val="22"/>
          <w:lang w:eastAsia="lt-LT"/>
        </w:rPr>
        <w:t>transaminazi</w:t>
      </w:r>
      <w:r w:rsidRPr="00CE7679">
        <w:rPr>
          <w:rFonts w:eastAsia="TimesNewRomanPSMT"/>
          <w:snapToGrid/>
          <w:szCs w:val="22"/>
          <w:lang w:eastAsia="lt-LT"/>
        </w:rPr>
        <w:t>ų</w:t>
      </w:r>
      <w:proofErr w:type="spellEnd"/>
      <w:r w:rsidRPr="00CE7679">
        <w:rPr>
          <w:rFonts w:eastAsia="TimesNewRomanPSMT"/>
          <w:snapToGrid/>
          <w:szCs w:val="22"/>
          <w:lang w:eastAsia="lt-LT"/>
        </w:rPr>
        <w:t xml:space="preserve"> </w:t>
      </w:r>
      <w:r w:rsidRPr="00CE7679">
        <w:rPr>
          <w:rFonts w:eastAsia="Calibri"/>
          <w:snapToGrid/>
          <w:szCs w:val="22"/>
          <w:lang w:eastAsia="lt-LT"/>
        </w:rPr>
        <w:t>aktyvumas &gt;</w:t>
      </w:r>
      <w:r w:rsidR="008E1965" w:rsidRPr="00CE7679">
        <w:rPr>
          <w:rFonts w:eastAsia="Calibri"/>
          <w:snapToGrid/>
          <w:szCs w:val="22"/>
          <w:lang w:eastAsia="lt-LT"/>
        </w:rPr>
        <w:t> </w:t>
      </w:r>
      <w:r w:rsidRPr="00CE7679">
        <w:rPr>
          <w:rFonts w:eastAsia="Calibri"/>
          <w:snapToGrid/>
          <w:szCs w:val="22"/>
          <w:lang w:eastAsia="lt-LT"/>
        </w:rPr>
        <w:t>5</w:t>
      </w:r>
      <w:r w:rsidR="008E1965" w:rsidRPr="00CE7679">
        <w:rPr>
          <w:rFonts w:eastAsia="Calibri"/>
          <w:snapToGrid/>
          <w:szCs w:val="22"/>
          <w:lang w:eastAsia="lt-LT"/>
        </w:rPr>
        <w:t> </w:t>
      </w:r>
      <w:r w:rsidRPr="00CE7679">
        <w:rPr>
          <w:rFonts w:eastAsia="Calibri"/>
          <w:snapToGrid/>
          <w:szCs w:val="22"/>
          <w:lang w:eastAsia="lt-LT"/>
        </w:rPr>
        <w:t>kartus didesn</w:t>
      </w:r>
      <w:r w:rsidRPr="00CE7679">
        <w:rPr>
          <w:rFonts w:eastAsia="TimesNewRomanPSMT"/>
          <w:snapToGrid/>
          <w:szCs w:val="22"/>
          <w:lang w:eastAsia="lt-LT"/>
        </w:rPr>
        <w:t xml:space="preserve">is </w:t>
      </w:r>
      <w:r w:rsidRPr="00CE7679">
        <w:rPr>
          <w:rFonts w:eastAsia="Calibri"/>
          <w:snapToGrid/>
          <w:szCs w:val="22"/>
          <w:lang w:eastAsia="lt-LT"/>
        </w:rPr>
        <w:t xml:space="preserve">už NVNR, </w:t>
      </w:r>
      <w:proofErr w:type="spellStart"/>
      <w:r w:rsidRPr="00CE7679">
        <w:rPr>
          <w:rFonts w:eastAsia="Calibri"/>
          <w:snapToGrid/>
          <w:szCs w:val="22"/>
          <w:lang w:eastAsia="lt-LT"/>
        </w:rPr>
        <w:t>imatinibo</w:t>
      </w:r>
      <w:proofErr w:type="spellEnd"/>
      <w:r w:rsidRPr="00CE7679">
        <w:rPr>
          <w:rFonts w:eastAsia="Calibri"/>
          <w:snapToGrid/>
          <w:szCs w:val="22"/>
          <w:lang w:eastAsia="lt-LT"/>
        </w:rPr>
        <w:t xml:space="preserve"> nevartoti, kol </w:t>
      </w:r>
      <w:proofErr w:type="spellStart"/>
      <w:r w:rsidRPr="00CE7679">
        <w:rPr>
          <w:rFonts w:eastAsia="Calibri"/>
          <w:snapToGrid/>
          <w:szCs w:val="22"/>
          <w:lang w:eastAsia="lt-LT"/>
        </w:rPr>
        <w:t>bilirubino</w:t>
      </w:r>
      <w:proofErr w:type="spellEnd"/>
      <w:r w:rsidRPr="00CE7679">
        <w:rPr>
          <w:rFonts w:eastAsia="Calibri"/>
          <w:snapToGrid/>
          <w:szCs w:val="22"/>
          <w:lang w:eastAsia="lt-LT"/>
        </w:rPr>
        <w:t xml:space="preserve"> kiekis sumaž</w:t>
      </w:r>
      <w:r w:rsidRPr="00CE7679">
        <w:rPr>
          <w:rFonts w:eastAsia="TimesNewRomanPSMT"/>
          <w:snapToGrid/>
          <w:szCs w:val="22"/>
          <w:lang w:eastAsia="lt-LT"/>
        </w:rPr>
        <w:t>ė</w:t>
      </w:r>
      <w:r w:rsidRPr="00CE7679">
        <w:rPr>
          <w:rFonts w:eastAsia="Calibri"/>
          <w:snapToGrid/>
          <w:szCs w:val="22"/>
          <w:lang w:eastAsia="lt-LT"/>
        </w:rPr>
        <w:t>ja &lt;</w:t>
      </w:r>
      <w:r w:rsidR="008E1965" w:rsidRPr="00CE7679">
        <w:rPr>
          <w:rFonts w:eastAsia="Calibri"/>
          <w:snapToGrid/>
          <w:szCs w:val="22"/>
          <w:lang w:eastAsia="lt-LT"/>
        </w:rPr>
        <w:t> </w:t>
      </w:r>
      <w:r w:rsidRPr="00CE7679">
        <w:rPr>
          <w:rFonts w:eastAsia="Calibri"/>
          <w:snapToGrid/>
          <w:szCs w:val="22"/>
          <w:lang w:eastAsia="lt-LT"/>
        </w:rPr>
        <w:t>1,5</w:t>
      </w:r>
      <w:r w:rsidR="008E1965" w:rsidRPr="00CE7679">
        <w:rPr>
          <w:rFonts w:eastAsia="Calibri"/>
          <w:snapToGrid/>
          <w:szCs w:val="22"/>
          <w:lang w:eastAsia="lt-LT"/>
        </w:rPr>
        <w:t> </w:t>
      </w:r>
      <w:r w:rsidRPr="00CE7679">
        <w:rPr>
          <w:rFonts w:eastAsia="Calibri"/>
          <w:snapToGrid/>
          <w:szCs w:val="22"/>
          <w:lang w:eastAsia="lt-LT"/>
        </w:rPr>
        <w:t xml:space="preserve">karto už NVNR ir </w:t>
      </w:r>
      <w:proofErr w:type="spellStart"/>
      <w:r w:rsidRPr="00CE7679">
        <w:rPr>
          <w:rFonts w:eastAsia="Calibri"/>
          <w:snapToGrid/>
          <w:szCs w:val="22"/>
          <w:lang w:eastAsia="lt-LT"/>
        </w:rPr>
        <w:t>transaminazi</w:t>
      </w:r>
      <w:r w:rsidRPr="00CE7679">
        <w:rPr>
          <w:rFonts w:eastAsia="TimesNewRomanPSMT"/>
          <w:snapToGrid/>
          <w:szCs w:val="22"/>
          <w:lang w:eastAsia="lt-LT"/>
        </w:rPr>
        <w:t>ų</w:t>
      </w:r>
      <w:proofErr w:type="spellEnd"/>
      <w:r w:rsidRPr="00CE7679">
        <w:rPr>
          <w:rFonts w:eastAsia="TimesNewRomanPSMT"/>
          <w:snapToGrid/>
          <w:szCs w:val="22"/>
          <w:lang w:eastAsia="lt-LT"/>
        </w:rPr>
        <w:t xml:space="preserve"> </w:t>
      </w:r>
      <w:r w:rsidRPr="00CE7679">
        <w:rPr>
          <w:rFonts w:eastAsia="Calibri"/>
          <w:snapToGrid/>
          <w:szCs w:val="22"/>
          <w:lang w:eastAsia="lt-LT"/>
        </w:rPr>
        <w:t>aktyvumas &lt;</w:t>
      </w:r>
      <w:r w:rsidR="008E1965" w:rsidRPr="00CE7679">
        <w:rPr>
          <w:rFonts w:eastAsia="Calibri"/>
          <w:snapToGrid/>
          <w:szCs w:val="22"/>
          <w:lang w:eastAsia="lt-LT"/>
        </w:rPr>
        <w:t> </w:t>
      </w:r>
      <w:r w:rsidRPr="00CE7679">
        <w:rPr>
          <w:rFonts w:eastAsia="Calibri"/>
          <w:snapToGrid/>
          <w:szCs w:val="22"/>
          <w:lang w:eastAsia="lt-LT"/>
        </w:rPr>
        <w:t>2,5</w:t>
      </w:r>
      <w:r w:rsidR="008E1965" w:rsidRPr="00CE7679">
        <w:rPr>
          <w:rFonts w:eastAsia="Calibri"/>
          <w:snapToGrid/>
          <w:szCs w:val="22"/>
          <w:lang w:eastAsia="lt-LT"/>
        </w:rPr>
        <w:t> </w:t>
      </w:r>
      <w:r w:rsidRPr="00CE7679">
        <w:rPr>
          <w:rFonts w:eastAsia="Calibri"/>
          <w:snapToGrid/>
          <w:szCs w:val="22"/>
          <w:lang w:eastAsia="lt-LT"/>
        </w:rPr>
        <w:t>karto už NVNR. Gydym</w:t>
      </w:r>
      <w:r w:rsidRPr="00CE7679">
        <w:rPr>
          <w:rFonts w:eastAsia="TimesNewRomanPSMT"/>
          <w:snapToGrid/>
          <w:szCs w:val="22"/>
          <w:lang w:eastAsia="lt-LT"/>
        </w:rPr>
        <w:t xml:space="preserve">ą </w:t>
      </w:r>
      <w:r w:rsidRPr="00CE7679">
        <w:rPr>
          <w:rFonts w:eastAsia="Calibri"/>
          <w:snapToGrid/>
          <w:szCs w:val="22"/>
          <w:lang w:eastAsia="lt-LT"/>
        </w:rPr>
        <w:t>galima t</w:t>
      </w:r>
      <w:r w:rsidRPr="00CE7679">
        <w:rPr>
          <w:rFonts w:eastAsia="TimesNewRomanPSMT"/>
          <w:snapToGrid/>
          <w:szCs w:val="22"/>
          <w:lang w:eastAsia="lt-LT"/>
        </w:rPr>
        <w:t>ę</w:t>
      </w:r>
      <w:r w:rsidRPr="00CE7679">
        <w:rPr>
          <w:rFonts w:eastAsia="Calibri"/>
          <w:snapToGrid/>
          <w:szCs w:val="22"/>
          <w:lang w:eastAsia="lt-LT"/>
        </w:rPr>
        <w:t xml:space="preserve">sti sumažinta </w:t>
      </w:r>
      <w:proofErr w:type="spellStart"/>
      <w:r w:rsidRPr="00CE7679">
        <w:rPr>
          <w:rFonts w:eastAsia="Calibri"/>
          <w:snapToGrid/>
          <w:szCs w:val="22"/>
          <w:lang w:eastAsia="lt-LT"/>
        </w:rPr>
        <w:t>imatinibo</w:t>
      </w:r>
      <w:proofErr w:type="spellEnd"/>
      <w:r w:rsidRPr="00CE7679">
        <w:rPr>
          <w:rFonts w:eastAsia="Calibri"/>
          <w:snapToGrid/>
          <w:szCs w:val="22"/>
          <w:lang w:eastAsia="lt-LT"/>
        </w:rPr>
        <w:t xml:space="preserve"> paros doze. Suaugusiesiems doz</w:t>
      </w:r>
      <w:r w:rsidRPr="00CE7679">
        <w:rPr>
          <w:rFonts w:eastAsia="TimesNewRomanPSMT"/>
          <w:snapToGrid/>
          <w:szCs w:val="22"/>
          <w:lang w:eastAsia="lt-LT"/>
        </w:rPr>
        <w:t xml:space="preserve">ę </w:t>
      </w:r>
      <w:r w:rsidRPr="00CE7679">
        <w:rPr>
          <w:rFonts w:eastAsia="Calibri"/>
          <w:snapToGrid/>
          <w:szCs w:val="22"/>
          <w:lang w:eastAsia="lt-LT"/>
        </w:rPr>
        <w:t>reikia sumažinti nuo 400</w:t>
      </w:r>
      <w:r w:rsidR="008E1965" w:rsidRPr="00CE7679">
        <w:rPr>
          <w:rFonts w:eastAsia="Calibri"/>
          <w:snapToGrid/>
          <w:szCs w:val="22"/>
          <w:lang w:eastAsia="lt-LT"/>
        </w:rPr>
        <w:t> </w:t>
      </w:r>
      <w:r w:rsidRPr="00CE7679">
        <w:rPr>
          <w:rFonts w:eastAsia="Calibri"/>
          <w:snapToGrid/>
          <w:szCs w:val="22"/>
          <w:lang w:eastAsia="lt-LT"/>
        </w:rPr>
        <w:t>mg iki 300</w:t>
      </w:r>
      <w:r w:rsidR="008E1965" w:rsidRPr="00CE7679">
        <w:rPr>
          <w:rFonts w:eastAsia="Calibri"/>
          <w:snapToGrid/>
          <w:szCs w:val="22"/>
          <w:lang w:eastAsia="lt-LT"/>
        </w:rPr>
        <w:t> </w:t>
      </w:r>
      <w:r w:rsidRPr="00CE7679">
        <w:rPr>
          <w:rFonts w:eastAsia="Calibri"/>
          <w:snapToGrid/>
          <w:szCs w:val="22"/>
          <w:lang w:eastAsia="lt-LT"/>
        </w:rPr>
        <w:t>mg, nuo 600</w:t>
      </w:r>
      <w:r w:rsidR="008E1965" w:rsidRPr="00CE7679">
        <w:rPr>
          <w:rFonts w:eastAsia="Calibri"/>
          <w:snapToGrid/>
          <w:szCs w:val="22"/>
          <w:lang w:eastAsia="lt-LT"/>
        </w:rPr>
        <w:t> </w:t>
      </w:r>
      <w:r w:rsidRPr="00CE7679">
        <w:rPr>
          <w:rFonts w:eastAsia="Calibri"/>
          <w:snapToGrid/>
          <w:szCs w:val="22"/>
          <w:lang w:eastAsia="lt-LT"/>
        </w:rPr>
        <w:t>mg iki 400</w:t>
      </w:r>
      <w:r w:rsidR="008E1965" w:rsidRPr="00CE7679">
        <w:rPr>
          <w:rFonts w:eastAsia="Calibri"/>
          <w:snapToGrid/>
          <w:szCs w:val="22"/>
          <w:lang w:eastAsia="lt-LT"/>
        </w:rPr>
        <w:t> </w:t>
      </w:r>
      <w:r w:rsidRPr="00CE7679">
        <w:rPr>
          <w:rFonts w:eastAsia="Calibri"/>
          <w:snapToGrid/>
          <w:szCs w:val="22"/>
          <w:lang w:eastAsia="lt-LT"/>
        </w:rPr>
        <w:t>mg, ar nuo 800</w:t>
      </w:r>
      <w:r w:rsidR="008E1965" w:rsidRPr="00CE7679">
        <w:rPr>
          <w:rFonts w:eastAsia="Calibri"/>
          <w:snapToGrid/>
          <w:szCs w:val="22"/>
          <w:lang w:eastAsia="lt-LT"/>
        </w:rPr>
        <w:t> </w:t>
      </w:r>
      <w:r w:rsidRPr="00CE7679">
        <w:rPr>
          <w:rFonts w:eastAsia="Calibri"/>
          <w:snapToGrid/>
          <w:szCs w:val="22"/>
          <w:lang w:eastAsia="lt-LT"/>
        </w:rPr>
        <w:t>mg iki 600</w:t>
      </w:r>
      <w:r w:rsidR="008E1965" w:rsidRPr="00CE7679">
        <w:rPr>
          <w:rFonts w:eastAsia="Calibri"/>
          <w:snapToGrid/>
          <w:szCs w:val="22"/>
          <w:lang w:eastAsia="lt-LT"/>
        </w:rPr>
        <w:t> </w:t>
      </w:r>
      <w:r w:rsidRPr="00CE7679">
        <w:rPr>
          <w:rFonts w:eastAsia="Calibri"/>
          <w:snapToGrid/>
          <w:szCs w:val="22"/>
          <w:lang w:eastAsia="lt-LT"/>
        </w:rPr>
        <w:t>mg, o vaikams nuo 340</w:t>
      </w:r>
      <w:r w:rsidR="008E1965" w:rsidRPr="00CE7679">
        <w:rPr>
          <w:rFonts w:eastAsia="Calibri"/>
          <w:snapToGrid/>
          <w:szCs w:val="22"/>
          <w:lang w:eastAsia="lt-LT"/>
        </w:rPr>
        <w:t> </w:t>
      </w:r>
      <w:r w:rsidRPr="00CE7679">
        <w:rPr>
          <w:rFonts w:eastAsia="Calibri"/>
          <w:snapToGrid/>
          <w:szCs w:val="22"/>
          <w:lang w:eastAsia="lt-LT"/>
        </w:rPr>
        <w:t>mg/m</w:t>
      </w:r>
      <w:r w:rsidRPr="00CE7679">
        <w:rPr>
          <w:rFonts w:eastAsia="Calibri"/>
          <w:snapToGrid/>
          <w:szCs w:val="22"/>
          <w:vertAlign w:val="superscript"/>
          <w:lang w:eastAsia="lt-LT"/>
        </w:rPr>
        <w:t>2</w:t>
      </w:r>
      <w:r w:rsidRPr="00CE7679">
        <w:rPr>
          <w:rFonts w:eastAsia="Calibri"/>
          <w:snapToGrid/>
          <w:szCs w:val="22"/>
          <w:lang w:eastAsia="lt-LT"/>
        </w:rPr>
        <w:t xml:space="preserve"> per par</w:t>
      </w:r>
      <w:r w:rsidRPr="00CE7679">
        <w:rPr>
          <w:rFonts w:eastAsia="TimesNewRomanPSMT"/>
          <w:snapToGrid/>
          <w:szCs w:val="22"/>
          <w:lang w:eastAsia="lt-LT"/>
        </w:rPr>
        <w:t xml:space="preserve">ą </w:t>
      </w:r>
      <w:r w:rsidRPr="00CE7679">
        <w:rPr>
          <w:rFonts w:eastAsia="Calibri"/>
          <w:snapToGrid/>
          <w:szCs w:val="22"/>
          <w:lang w:eastAsia="lt-LT"/>
        </w:rPr>
        <w:t>iki 260</w:t>
      </w:r>
      <w:r w:rsidR="008E1965" w:rsidRPr="00CE7679">
        <w:rPr>
          <w:rFonts w:eastAsia="Calibri"/>
          <w:snapToGrid/>
          <w:szCs w:val="22"/>
          <w:lang w:eastAsia="lt-LT"/>
        </w:rPr>
        <w:t> </w:t>
      </w:r>
      <w:r w:rsidRPr="00CE7679">
        <w:rPr>
          <w:rFonts w:eastAsia="Calibri"/>
          <w:snapToGrid/>
          <w:szCs w:val="22"/>
          <w:lang w:eastAsia="lt-LT"/>
        </w:rPr>
        <w:t>mg/m</w:t>
      </w:r>
      <w:r w:rsidRPr="00CE7679">
        <w:rPr>
          <w:rFonts w:eastAsia="Calibri"/>
          <w:snapToGrid/>
          <w:szCs w:val="22"/>
          <w:vertAlign w:val="superscript"/>
          <w:lang w:eastAsia="lt-LT"/>
        </w:rPr>
        <w:t>2</w:t>
      </w:r>
      <w:r w:rsidRPr="00CE7679">
        <w:rPr>
          <w:rFonts w:eastAsia="Calibri"/>
          <w:snapToGrid/>
          <w:szCs w:val="22"/>
          <w:lang w:eastAsia="lt-LT"/>
        </w:rPr>
        <w:t xml:space="preserve"> per par</w:t>
      </w:r>
      <w:r w:rsidRPr="00CE7679">
        <w:rPr>
          <w:rFonts w:eastAsia="TimesNewRomanPSMT"/>
          <w:snapToGrid/>
          <w:szCs w:val="22"/>
          <w:lang w:eastAsia="lt-LT"/>
        </w:rPr>
        <w:t>ą</w:t>
      </w:r>
      <w:r w:rsidRPr="00CE7679">
        <w:rPr>
          <w:rFonts w:eastAsia="Calibri"/>
          <w:snapToGrid/>
          <w:szCs w:val="22"/>
          <w:lang w:eastAsia="lt-LT"/>
        </w:rPr>
        <w:t>.</w:t>
      </w:r>
    </w:p>
    <w:p w14:paraId="05780DEF" w14:textId="77777777" w:rsidR="00A27597" w:rsidRPr="00CE7679" w:rsidRDefault="00A27597" w:rsidP="00A27597">
      <w:pPr>
        <w:tabs>
          <w:tab w:val="clear" w:pos="567"/>
        </w:tabs>
        <w:autoSpaceDE w:val="0"/>
        <w:autoSpaceDN w:val="0"/>
        <w:adjustRightInd w:val="0"/>
        <w:spacing w:line="240" w:lineRule="auto"/>
        <w:rPr>
          <w:rFonts w:eastAsia="Calibri"/>
          <w:i/>
          <w:iCs/>
          <w:snapToGrid/>
          <w:szCs w:val="22"/>
          <w:lang w:eastAsia="lt-LT"/>
        </w:rPr>
      </w:pPr>
    </w:p>
    <w:p w14:paraId="69BB3EA5" w14:textId="77777777" w:rsidR="00A27597" w:rsidRPr="00CE7679" w:rsidRDefault="00A27597" w:rsidP="00A27597">
      <w:pPr>
        <w:tabs>
          <w:tab w:val="clear" w:pos="567"/>
        </w:tabs>
        <w:autoSpaceDE w:val="0"/>
        <w:autoSpaceDN w:val="0"/>
        <w:adjustRightInd w:val="0"/>
        <w:spacing w:line="240" w:lineRule="auto"/>
        <w:rPr>
          <w:rFonts w:eastAsia="Calibri"/>
          <w:i/>
          <w:iCs/>
          <w:snapToGrid/>
          <w:szCs w:val="22"/>
          <w:lang w:eastAsia="lt-LT"/>
        </w:rPr>
      </w:pPr>
      <w:r w:rsidRPr="00CE7679">
        <w:rPr>
          <w:rFonts w:eastAsia="Calibri"/>
          <w:i/>
          <w:iCs/>
          <w:snapToGrid/>
          <w:szCs w:val="22"/>
          <w:lang w:eastAsia="lt-LT"/>
        </w:rPr>
        <w:t>Hematologinės nepageidaujamos reakcijos</w:t>
      </w:r>
    </w:p>
    <w:p w14:paraId="4F5F4251" w14:textId="77777777" w:rsidR="00A27597" w:rsidRPr="00CE7679" w:rsidRDefault="00A27597" w:rsidP="00A27597">
      <w:pPr>
        <w:tabs>
          <w:tab w:val="clear" w:pos="567"/>
        </w:tabs>
        <w:autoSpaceDE w:val="0"/>
        <w:autoSpaceDN w:val="0"/>
        <w:adjustRightInd w:val="0"/>
        <w:spacing w:line="240" w:lineRule="auto"/>
        <w:rPr>
          <w:rFonts w:eastAsia="Calibri"/>
          <w:snapToGrid/>
          <w:szCs w:val="22"/>
          <w:lang w:eastAsia="lt-LT"/>
        </w:rPr>
      </w:pPr>
      <w:r w:rsidRPr="00CE7679">
        <w:rPr>
          <w:rFonts w:eastAsia="Calibri"/>
          <w:snapToGrid/>
          <w:szCs w:val="22"/>
          <w:lang w:eastAsia="lt-LT"/>
        </w:rPr>
        <w:t>Doz</w:t>
      </w:r>
      <w:r w:rsidRPr="00CE7679">
        <w:rPr>
          <w:rFonts w:eastAsia="TimesNewRomanPSMT"/>
          <w:snapToGrid/>
          <w:szCs w:val="22"/>
          <w:lang w:eastAsia="lt-LT"/>
        </w:rPr>
        <w:t>ė</w:t>
      </w:r>
      <w:r w:rsidRPr="00CE7679">
        <w:rPr>
          <w:rFonts w:eastAsia="Calibri"/>
          <w:snapToGrid/>
          <w:szCs w:val="22"/>
          <w:lang w:eastAsia="lt-LT"/>
        </w:rPr>
        <w:t>s mažinimo ir gydymo pertraukimo rekomendacijos, išryšk</w:t>
      </w:r>
      <w:r w:rsidRPr="00CE7679">
        <w:rPr>
          <w:rFonts w:eastAsia="TimesNewRomanPSMT"/>
          <w:snapToGrid/>
          <w:szCs w:val="22"/>
          <w:lang w:eastAsia="lt-LT"/>
        </w:rPr>
        <w:t>ė</w:t>
      </w:r>
      <w:r w:rsidRPr="00CE7679">
        <w:rPr>
          <w:rFonts w:eastAsia="Calibri"/>
          <w:snapToGrid/>
          <w:szCs w:val="22"/>
          <w:lang w:eastAsia="lt-LT"/>
        </w:rPr>
        <w:t xml:space="preserve">jus sunkiai </w:t>
      </w:r>
      <w:proofErr w:type="spellStart"/>
      <w:r w:rsidRPr="00CE7679">
        <w:rPr>
          <w:rFonts w:eastAsia="Calibri"/>
          <w:snapToGrid/>
          <w:szCs w:val="22"/>
          <w:lang w:eastAsia="lt-LT"/>
        </w:rPr>
        <w:t>neutropenijai</w:t>
      </w:r>
      <w:proofErr w:type="spellEnd"/>
      <w:r w:rsidRPr="00CE7679">
        <w:rPr>
          <w:rFonts w:eastAsia="Calibri"/>
          <w:snapToGrid/>
          <w:szCs w:val="22"/>
          <w:lang w:eastAsia="lt-LT"/>
        </w:rPr>
        <w:t xml:space="preserve"> ar </w:t>
      </w:r>
      <w:proofErr w:type="spellStart"/>
      <w:r w:rsidRPr="00CE7679">
        <w:rPr>
          <w:rFonts w:eastAsia="Calibri"/>
          <w:snapToGrid/>
          <w:szCs w:val="22"/>
          <w:lang w:eastAsia="lt-LT"/>
        </w:rPr>
        <w:t>trombocitopenijai</w:t>
      </w:r>
      <w:proofErr w:type="spellEnd"/>
      <w:r w:rsidRPr="00CE7679">
        <w:rPr>
          <w:rFonts w:eastAsia="Calibri"/>
          <w:snapToGrid/>
          <w:szCs w:val="22"/>
          <w:lang w:eastAsia="lt-LT"/>
        </w:rPr>
        <w:t>, nurodytos lentel</w:t>
      </w:r>
      <w:r w:rsidRPr="00CE7679">
        <w:rPr>
          <w:rFonts w:eastAsia="TimesNewRomanPSMT"/>
          <w:snapToGrid/>
          <w:szCs w:val="22"/>
          <w:lang w:eastAsia="lt-LT"/>
        </w:rPr>
        <w:t>ė</w:t>
      </w:r>
      <w:r w:rsidRPr="00CE7679">
        <w:rPr>
          <w:rFonts w:eastAsia="Calibri"/>
          <w:snapToGrid/>
          <w:szCs w:val="22"/>
          <w:lang w:eastAsia="lt-LT"/>
        </w:rPr>
        <w:t>je žemiau.</w:t>
      </w:r>
    </w:p>
    <w:p w14:paraId="147FF95E" w14:textId="77777777" w:rsidR="00A27597" w:rsidRPr="00CE7679" w:rsidRDefault="00A27597" w:rsidP="00A27597">
      <w:pPr>
        <w:spacing w:line="240" w:lineRule="auto"/>
        <w:rPr>
          <w:rFonts w:eastAsia="SimSun"/>
          <w:snapToGrid/>
          <w:szCs w:val="22"/>
          <w:lang w:eastAsia="zh-CN"/>
        </w:rPr>
      </w:pPr>
    </w:p>
    <w:p w14:paraId="0C8E39C2" w14:textId="77777777" w:rsidR="00A27597" w:rsidRPr="00CE7679" w:rsidRDefault="00A27597" w:rsidP="00A27597">
      <w:pPr>
        <w:spacing w:line="240" w:lineRule="auto"/>
        <w:rPr>
          <w:rFonts w:eastAsia="SimSun"/>
          <w:snapToGrid/>
          <w:szCs w:val="22"/>
          <w:lang w:eastAsia="zh-CN"/>
        </w:rPr>
      </w:pPr>
      <w:r w:rsidRPr="00CE7679">
        <w:rPr>
          <w:rFonts w:eastAsia="SimSun"/>
          <w:snapToGrid/>
          <w:szCs w:val="22"/>
          <w:lang w:eastAsia="zh-CN"/>
        </w:rPr>
        <w:t xml:space="preserve">Dozės korekcija, kai yra </w:t>
      </w:r>
      <w:proofErr w:type="spellStart"/>
      <w:r w:rsidRPr="00CE7679">
        <w:rPr>
          <w:rFonts w:eastAsia="SimSun"/>
          <w:snapToGrid/>
          <w:szCs w:val="22"/>
          <w:lang w:eastAsia="zh-CN"/>
        </w:rPr>
        <w:t>neutropenija</w:t>
      </w:r>
      <w:proofErr w:type="spellEnd"/>
      <w:r w:rsidRPr="00CE7679">
        <w:rPr>
          <w:rFonts w:eastAsia="SimSun"/>
          <w:snapToGrid/>
          <w:szCs w:val="22"/>
          <w:lang w:eastAsia="zh-CN"/>
        </w:rPr>
        <w:t xml:space="preserve"> ir </w:t>
      </w:r>
      <w:proofErr w:type="spellStart"/>
      <w:r w:rsidRPr="00CE7679">
        <w:rPr>
          <w:rFonts w:eastAsia="SimSun"/>
          <w:snapToGrid/>
          <w:szCs w:val="22"/>
          <w:lang w:eastAsia="zh-CN"/>
        </w:rPr>
        <w:t>trombocitopenija</w:t>
      </w:r>
      <w:proofErr w:type="spellEnd"/>
      <w:r w:rsidRPr="00CE7679">
        <w:rPr>
          <w:rFonts w:eastAsia="SimSun"/>
          <w:snapToGrid/>
          <w:szCs w:val="22"/>
          <w:lang w:eastAsia="zh-CN"/>
        </w:rPr>
        <w:t>:</w:t>
      </w:r>
    </w:p>
    <w:p w14:paraId="474A7A34" w14:textId="77777777" w:rsidR="00A27597" w:rsidRPr="00CE7679" w:rsidRDefault="00A27597" w:rsidP="00A27597">
      <w:pPr>
        <w:spacing w:line="240" w:lineRule="auto"/>
        <w:rPr>
          <w:rFonts w:eastAsia="SimSun"/>
          <w:snapToGrid/>
          <w:szCs w:val="22"/>
          <w:lang w:eastAsia="zh-C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67"/>
        <w:gridCol w:w="7"/>
        <w:gridCol w:w="2960"/>
        <w:gridCol w:w="14"/>
        <w:gridCol w:w="3374"/>
      </w:tblGrid>
      <w:tr w:rsidR="00701D61" w:rsidRPr="00CE7679" w14:paraId="417A1B93" w14:textId="77777777" w:rsidTr="00A27597">
        <w:trPr>
          <w:trHeight w:val="698"/>
        </w:trPr>
        <w:tc>
          <w:tcPr>
            <w:tcW w:w="2967" w:type="dxa"/>
          </w:tcPr>
          <w:p w14:paraId="0F3EF59C"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HES/LEL (pradinė dozė – 100 mg)</w:t>
            </w:r>
          </w:p>
        </w:tc>
        <w:tc>
          <w:tcPr>
            <w:tcW w:w="2967" w:type="dxa"/>
            <w:gridSpan w:val="2"/>
          </w:tcPr>
          <w:p w14:paraId="7D61178B" w14:textId="77777777" w:rsidR="00A27597" w:rsidRPr="00CE7679" w:rsidRDefault="00A27597" w:rsidP="008E1965">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ANS &lt;</w:t>
            </w:r>
            <w:r w:rsidR="008E1965" w:rsidRPr="00CE7679">
              <w:rPr>
                <w:rFonts w:eastAsia="SimSun"/>
                <w:snapToGrid/>
                <w:szCs w:val="22"/>
                <w:lang w:eastAsia="zh-CN"/>
              </w:rPr>
              <w:t> </w:t>
            </w:r>
            <w:r w:rsidRPr="00CE7679">
              <w:rPr>
                <w:rFonts w:eastAsia="SimSun"/>
                <w:snapToGrid/>
                <w:szCs w:val="22"/>
                <w:lang w:eastAsia="zh-CN"/>
              </w:rPr>
              <w:t>1,0</w:t>
            </w:r>
            <w:r w:rsidR="008E1965" w:rsidRPr="00CE7679">
              <w:rPr>
                <w:rFonts w:eastAsia="SimSun"/>
                <w:snapToGrid/>
                <w:szCs w:val="22"/>
                <w:lang w:eastAsia="zh-CN"/>
              </w:rPr>
              <w:t> </w:t>
            </w:r>
            <w:r w:rsidRPr="00CE7679">
              <w:rPr>
                <w:rFonts w:eastAsia="SimSun"/>
                <w:snapToGrid/>
                <w:szCs w:val="22"/>
                <w:lang w:eastAsia="zh-CN"/>
              </w:rPr>
              <w:t>x</w:t>
            </w:r>
            <w:r w:rsidR="008E1965" w:rsidRPr="00CE7679">
              <w:rPr>
                <w:rFonts w:eastAsia="SimSun"/>
                <w:snapToGrid/>
                <w:szCs w:val="22"/>
                <w:lang w:eastAsia="zh-CN"/>
              </w:rPr>
              <w:t> </w:t>
            </w:r>
            <w:r w:rsidRPr="00CE7679">
              <w:rPr>
                <w:rFonts w:eastAsia="SimSun"/>
                <w:snapToGrid/>
                <w:szCs w:val="22"/>
                <w:lang w:eastAsia="zh-CN"/>
              </w:rPr>
              <w:t>10</w:t>
            </w:r>
            <w:r w:rsidRPr="00CE7679">
              <w:rPr>
                <w:rFonts w:eastAsia="SimSun"/>
                <w:snapToGrid/>
                <w:szCs w:val="22"/>
                <w:vertAlign w:val="superscript"/>
                <w:lang w:eastAsia="zh-CN"/>
              </w:rPr>
              <w:t>9</w:t>
            </w:r>
            <w:r w:rsidRPr="00CE7679">
              <w:rPr>
                <w:rFonts w:eastAsia="SimSun"/>
                <w:snapToGrid/>
                <w:szCs w:val="22"/>
                <w:lang w:eastAsia="zh-CN"/>
              </w:rPr>
              <w:t>/l ir (arba) trombocitų &lt;</w:t>
            </w:r>
            <w:r w:rsidR="008E1965" w:rsidRPr="00CE7679">
              <w:rPr>
                <w:rFonts w:eastAsia="SimSun"/>
                <w:snapToGrid/>
                <w:szCs w:val="22"/>
                <w:lang w:eastAsia="zh-CN"/>
              </w:rPr>
              <w:t> </w:t>
            </w:r>
            <w:r w:rsidRPr="00CE7679">
              <w:rPr>
                <w:rFonts w:eastAsia="SimSun"/>
                <w:snapToGrid/>
                <w:szCs w:val="22"/>
                <w:lang w:eastAsia="zh-CN"/>
              </w:rPr>
              <w:t>50</w:t>
            </w:r>
            <w:r w:rsidR="008E1965" w:rsidRPr="00CE7679">
              <w:rPr>
                <w:rFonts w:eastAsia="SimSun"/>
                <w:snapToGrid/>
                <w:szCs w:val="22"/>
                <w:lang w:eastAsia="zh-CN"/>
              </w:rPr>
              <w:t> </w:t>
            </w:r>
            <w:r w:rsidRPr="00CE7679">
              <w:rPr>
                <w:rFonts w:eastAsia="SimSun"/>
                <w:snapToGrid/>
                <w:szCs w:val="22"/>
                <w:lang w:eastAsia="zh-CN"/>
              </w:rPr>
              <w:t>x</w:t>
            </w:r>
            <w:r w:rsidR="008E1965" w:rsidRPr="00CE7679">
              <w:rPr>
                <w:rFonts w:eastAsia="SimSun"/>
                <w:snapToGrid/>
                <w:szCs w:val="22"/>
                <w:lang w:eastAsia="zh-CN"/>
              </w:rPr>
              <w:t> </w:t>
            </w:r>
            <w:r w:rsidRPr="00CE7679">
              <w:rPr>
                <w:rFonts w:eastAsia="SimSun"/>
                <w:snapToGrid/>
                <w:szCs w:val="22"/>
                <w:lang w:eastAsia="zh-CN"/>
              </w:rPr>
              <w:t>10</w:t>
            </w:r>
            <w:r w:rsidRPr="00CE7679">
              <w:rPr>
                <w:rFonts w:eastAsia="SimSun"/>
                <w:snapToGrid/>
                <w:szCs w:val="22"/>
                <w:vertAlign w:val="superscript"/>
                <w:lang w:eastAsia="zh-CN"/>
              </w:rPr>
              <w:t>9</w:t>
            </w:r>
            <w:r w:rsidRPr="00CE7679">
              <w:rPr>
                <w:rFonts w:eastAsia="SimSun"/>
                <w:snapToGrid/>
                <w:szCs w:val="22"/>
                <w:lang w:eastAsia="zh-CN"/>
              </w:rPr>
              <w:t>/l</w:t>
            </w:r>
          </w:p>
        </w:tc>
        <w:tc>
          <w:tcPr>
            <w:tcW w:w="3388" w:type="dxa"/>
            <w:gridSpan w:val="2"/>
          </w:tcPr>
          <w:p w14:paraId="10D12057" w14:textId="77777777" w:rsidR="00A27597" w:rsidRPr="00CE7679" w:rsidRDefault="00A27597" w:rsidP="00A27597">
            <w:pPr>
              <w:widowControl w:val="0"/>
              <w:tabs>
                <w:tab w:val="left" w:pos="540"/>
              </w:tabs>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1.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vartojimą nutraukti, kol ANS bus ≥</w:t>
            </w:r>
            <w:r w:rsidR="008E1965" w:rsidRPr="00CE7679">
              <w:rPr>
                <w:rFonts w:eastAsia="SimSun"/>
                <w:snapToGrid/>
                <w:szCs w:val="22"/>
                <w:lang w:eastAsia="zh-CN"/>
              </w:rPr>
              <w:t> </w:t>
            </w:r>
            <w:r w:rsidRPr="00CE7679">
              <w:rPr>
                <w:rFonts w:eastAsia="SimSun"/>
                <w:snapToGrid/>
                <w:szCs w:val="22"/>
                <w:lang w:eastAsia="zh-CN"/>
              </w:rPr>
              <w:t>1,5</w:t>
            </w:r>
            <w:r w:rsidR="008E1965" w:rsidRPr="00CE7679">
              <w:rPr>
                <w:rFonts w:eastAsia="SimSun"/>
                <w:snapToGrid/>
                <w:szCs w:val="22"/>
                <w:lang w:eastAsia="zh-CN"/>
              </w:rPr>
              <w:t> </w:t>
            </w:r>
            <w:r w:rsidRPr="00CE7679">
              <w:rPr>
                <w:rFonts w:eastAsia="SimSun"/>
                <w:snapToGrid/>
                <w:szCs w:val="22"/>
                <w:lang w:eastAsia="zh-CN"/>
              </w:rPr>
              <w:t>x</w:t>
            </w:r>
            <w:r w:rsidR="008E1965" w:rsidRPr="00CE7679">
              <w:rPr>
                <w:rFonts w:eastAsia="SimSun"/>
                <w:snapToGrid/>
                <w:szCs w:val="22"/>
                <w:lang w:eastAsia="zh-CN"/>
              </w:rPr>
              <w:t> </w:t>
            </w:r>
            <w:r w:rsidRPr="00CE7679">
              <w:rPr>
                <w:rFonts w:eastAsia="SimSun"/>
                <w:snapToGrid/>
                <w:szCs w:val="22"/>
                <w:lang w:eastAsia="zh-CN"/>
              </w:rPr>
              <w:t>10</w:t>
            </w:r>
            <w:r w:rsidRPr="00CE7679">
              <w:rPr>
                <w:rFonts w:eastAsia="SimSun"/>
                <w:snapToGrid/>
                <w:szCs w:val="22"/>
                <w:vertAlign w:val="superscript"/>
                <w:lang w:eastAsia="zh-CN"/>
              </w:rPr>
              <w:t>9</w:t>
            </w:r>
            <w:r w:rsidRPr="00CE7679">
              <w:rPr>
                <w:rFonts w:eastAsia="SimSun"/>
                <w:snapToGrid/>
                <w:szCs w:val="22"/>
                <w:lang w:eastAsia="zh-CN"/>
              </w:rPr>
              <w:t>/l ir trombocitų ≥</w:t>
            </w:r>
            <w:r w:rsidR="008E1965" w:rsidRPr="00CE7679">
              <w:rPr>
                <w:rFonts w:eastAsia="SimSun"/>
                <w:snapToGrid/>
                <w:szCs w:val="22"/>
                <w:lang w:eastAsia="zh-CN"/>
              </w:rPr>
              <w:t> </w:t>
            </w:r>
            <w:r w:rsidRPr="00CE7679">
              <w:rPr>
                <w:rFonts w:eastAsia="SimSun"/>
                <w:snapToGrid/>
                <w:szCs w:val="22"/>
                <w:lang w:eastAsia="zh-CN"/>
              </w:rPr>
              <w:t>75</w:t>
            </w:r>
            <w:r w:rsidR="008E1965" w:rsidRPr="00CE7679">
              <w:rPr>
                <w:rFonts w:eastAsia="SimSun"/>
                <w:snapToGrid/>
                <w:szCs w:val="22"/>
                <w:lang w:eastAsia="zh-CN"/>
              </w:rPr>
              <w:t> </w:t>
            </w:r>
            <w:r w:rsidRPr="00CE7679">
              <w:rPr>
                <w:rFonts w:eastAsia="SimSun"/>
                <w:snapToGrid/>
                <w:szCs w:val="22"/>
                <w:lang w:eastAsia="zh-CN"/>
              </w:rPr>
              <w:t>x</w:t>
            </w:r>
            <w:r w:rsidR="008E1965" w:rsidRPr="00CE7679">
              <w:rPr>
                <w:rFonts w:eastAsia="SimSun"/>
                <w:snapToGrid/>
                <w:szCs w:val="22"/>
                <w:lang w:eastAsia="zh-CN"/>
              </w:rPr>
              <w:t> </w:t>
            </w:r>
            <w:r w:rsidRPr="00CE7679">
              <w:rPr>
                <w:rFonts w:eastAsia="SimSun"/>
                <w:snapToGrid/>
                <w:szCs w:val="22"/>
                <w:lang w:eastAsia="zh-CN"/>
              </w:rPr>
              <w:t>10</w:t>
            </w:r>
            <w:r w:rsidRPr="00CE7679">
              <w:rPr>
                <w:rFonts w:eastAsia="SimSun"/>
                <w:snapToGrid/>
                <w:szCs w:val="22"/>
                <w:vertAlign w:val="superscript"/>
                <w:lang w:eastAsia="zh-CN"/>
              </w:rPr>
              <w:t>9</w:t>
            </w:r>
            <w:r w:rsidRPr="00CE7679">
              <w:rPr>
                <w:rFonts w:eastAsia="SimSun"/>
                <w:snapToGrid/>
                <w:szCs w:val="22"/>
                <w:lang w:eastAsia="zh-CN"/>
              </w:rPr>
              <w:t xml:space="preserve">/l. </w:t>
            </w:r>
          </w:p>
          <w:p w14:paraId="41D2725C" w14:textId="7C789379" w:rsidR="00A27597" w:rsidRPr="00CE7679" w:rsidRDefault="00A27597" w:rsidP="00A27597">
            <w:pPr>
              <w:widowControl w:val="0"/>
              <w:tabs>
                <w:tab w:val="left" w:pos="540"/>
              </w:tabs>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2.Gydymą </w:t>
            </w: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 xml:space="preserve"> atnaujinti anksčiau vartota doze (</w:t>
            </w:r>
            <w:proofErr w:type="spellStart"/>
            <w:r w:rsidRPr="00CE7679">
              <w:rPr>
                <w:rFonts w:eastAsia="SimSun"/>
                <w:snapToGrid/>
                <w:szCs w:val="22"/>
                <w:lang w:eastAsia="zh-CN"/>
              </w:rPr>
              <w:t>t.y</w:t>
            </w:r>
            <w:proofErr w:type="spellEnd"/>
            <w:r w:rsidRPr="00CE7679">
              <w:rPr>
                <w:rFonts w:eastAsia="SimSun"/>
                <w:snapToGrid/>
                <w:szCs w:val="22"/>
                <w:lang w:eastAsia="zh-CN"/>
              </w:rPr>
              <w:t>. ta, kuri buvo vartota prieš pasireiškiant stipriai nepageidaujamai reakcijai).</w:t>
            </w:r>
          </w:p>
        </w:tc>
      </w:tr>
      <w:tr w:rsidR="00701D61" w:rsidRPr="00CE7679" w14:paraId="42481DAD" w14:textId="77777777" w:rsidTr="00A27597">
        <w:trPr>
          <w:trHeight w:val="698"/>
        </w:trPr>
        <w:tc>
          <w:tcPr>
            <w:tcW w:w="2967" w:type="dxa"/>
          </w:tcPr>
          <w:p w14:paraId="04809C50" w14:textId="77777777" w:rsidR="00A27597" w:rsidRPr="00CE7679" w:rsidRDefault="00A27597" w:rsidP="00A27597">
            <w:pPr>
              <w:widowControl w:val="0"/>
              <w:autoSpaceDE w:val="0"/>
              <w:autoSpaceDN w:val="0"/>
              <w:adjustRightInd w:val="0"/>
              <w:spacing w:line="240" w:lineRule="auto"/>
              <w:rPr>
                <w:rFonts w:eastAsiaTheme="minorHAnsi"/>
                <w:szCs w:val="22"/>
              </w:rPr>
            </w:pPr>
            <w:r w:rsidRPr="00CE7679">
              <w:rPr>
                <w:rFonts w:eastAsiaTheme="minorHAnsi"/>
                <w:szCs w:val="22"/>
              </w:rPr>
              <w:t>Lėtinė LML fazė</w:t>
            </w:r>
          </w:p>
          <w:p w14:paraId="54F96E98"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MDS/ MPL</w:t>
            </w:r>
            <w:r w:rsidR="009F65C9">
              <w:rPr>
                <w:rFonts w:eastAsia="SimSun"/>
                <w:snapToGrid/>
                <w:szCs w:val="22"/>
                <w:lang w:eastAsia="zh-CN"/>
              </w:rPr>
              <w:t xml:space="preserve"> ir VTSN</w:t>
            </w:r>
            <w:r w:rsidRPr="00CE7679">
              <w:rPr>
                <w:rFonts w:eastAsia="SimSun"/>
                <w:snapToGrid/>
                <w:szCs w:val="22"/>
                <w:lang w:eastAsia="zh-CN"/>
              </w:rPr>
              <w:t xml:space="preserve"> (pradinė dozė – 400 mg) HES/LEL (400 mg dozė)</w:t>
            </w:r>
          </w:p>
        </w:tc>
        <w:tc>
          <w:tcPr>
            <w:tcW w:w="2967" w:type="dxa"/>
            <w:gridSpan w:val="2"/>
          </w:tcPr>
          <w:p w14:paraId="0014ACA4" w14:textId="77777777" w:rsidR="00A27597" w:rsidRPr="00CE7679" w:rsidRDefault="00A27597" w:rsidP="008E1965">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ANS &lt;</w:t>
            </w:r>
            <w:r w:rsidR="008E1965" w:rsidRPr="00CE7679">
              <w:rPr>
                <w:rFonts w:eastAsia="SimSun"/>
                <w:snapToGrid/>
                <w:szCs w:val="22"/>
                <w:lang w:eastAsia="zh-CN"/>
              </w:rPr>
              <w:t> </w:t>
            </w:r>
            <w:r w:rsidRPr="00CE7679">
              <w:rPr>
                <w:rFonts w:eastAsia="SimSun"/>
                <w:snapToGrid/>
                <w:szCs w:val="22"/>
                <w:lang w:eastAsia="zh-CN"/>
              </w:rPr>
              <w:t>1,0</w:t>
            </w:r>
            <w:r w:rsidR="008E1965" w:rsidRPr="00CE7679">
              <w:rPr>
                <w:rFonts w:eastAsia="SimSun"/>
                <w:snapToGrid/>
                <w:szCs w:val="22"/>
                <w:lang w:eastAsia="zh-CN"/>
              </w:rPr>
              <w:t> </w:t>
            </w:r>
            <w:r w:rsidRPr="00CE7679">
              <w:rPr>
                <w:rFonts w:eastAsia="SimSun"/>
                <w:snapToGrid/>
                <w:szCs w:val="22"/>
                <w:lang w:eastAsia="zh-CN"/>
              </w:rPr>
              <w:t>x</w:t>
            </w:r>
            <w:r w:rsidR="008E1965" w:rsidRPr="00CE7679">
              <w:rPr>
                <w:rFonts w:eastAsia="SimSun"/>
                <w:snapToGrid/>
                <w:szCs w:val="22"/>
                <w:lang w:eastAsia="zh-CN"/>
              </w:rPr>
              <w:t> </w:t>
            </w:r>
            <w:r w:rsidRPr="00CE7679">
              <w:rPr>
                <w:rFonts w:eastAsia="SimSun"/>
                <w:snapToGrid/>
                <w:szCs w:val="22"/>
                <w:lang w:eastAsia="zh-CN"/>
              </w:rPr>
              <w:t>10</w:t>
            </w:r>
            <w:r w:rsidRPr="00CE7679">
              <w:rPr>
                <w:rFonts w:eastAsia="SimSun"/>
                <w:snapToGrid/>
                <w:szCs w:val="22"/>
                <w:vertAlign w:val="superscript"/>
                <w:lang w:eastAsia="zh-CN"/>
              </w:rPr>
              <w:t>9</w:t>
            </w:r>
            <w:r w:rsidRPr="00CE7679">
              <w:rPr>
                <w:rFonts w:eastAsia="SimSun"/>
                <w:snapToGrid/>
                <w:szCs w:val="22"/>
                <w:lang w:eastAsia="zh-CN"/>
              </w:rPr>
              <w:t>/l ir (arba) trombocitų &lt;</w:t>
            </w:r>
            <w:r w:rsidR="008E1965" w:rsidRPr="00CE7679">
              <w:rPr>
                <w:rFonts w:eastAsia="SimSun"/>
                <w:snapToGrid/>
                <w:szCs w:val="22"/>
                <w:lang w:eastAsia="zh-CN"/>
              </w:rPr>
              <w:t> </w:t>
            </w:r>
            <w:r w:rsidRPr="00CE7679">
              <w:rPr>
                <w:rFonts w:eastAsia="SimSun"/>
                <w:snapToGrid/>
                <w:szCs w:val="22"/>
                <w:lang w:eastAsia="zh-CN"/>
              </w:rPr>
              <w:t>50</w:t>
            </w:r>
            <w:r w:rsidR="008E1965" w:rsidRPr="00CE7679">
              <w:rPr>
                <w:rFonts w:eastAsia="SimSun"/>
                <w:snapToGrid/>
                <w:szCs w:val="22"/>
                <w:lang w:eastAsia="zh-CN"/>
              </w:rPr>
              <w:t> </w:t>
            </w:r>
            <w:r w:rsidRPr="00CE7679">
              <w:rPr>
                <w:rFonts w:eastAsia="SimSun"/>
                <w:snapToGrid/>
                <w:szCs w:val="22"/>
                <w:lang w:eastAsia="zh-CN"/>
              </w:rPr>
              <w:t>x</w:t>
            </w:r>
            <w:r w:rsidR="008E1965" w:rsidRPr="00CE7679">
              <w:rPr>
                <w:rFonts w:eastAsia="SimSun"/>
                <w:snapToGrid/>
                <w:szCs w:val="22"/>
                <w:lang w:eastAsia="zh-CN"/>
              </w:rPr>
              <w:t> </w:t>
            </w:r>
            <w:r w:rsidRPr="00CE7679">
              <w:rPr>
                <w:rFonts w:eastAsia="SimSun"/>
                <w:snapToGrid/>
                <w:szCs w:val="22"/>
                <w:lang w:eastAsia="zh-CN"/>
              </w:rPr>
              <w:t>10</w:t>
            </w:r>
            <w:r w:rsidRPr="00CE7679">
              <w:rPr>
                <w:rFonts w:eastAsia="SimSun"/>
                <w:snapToGrid/>
                <w:szCs w:val="22"/>
                <w:vertAlign w:val="superscript"/>
                <w:lang w:eastAsia="zh-CN"/>
              </w:rPr>
              <w:t>9</w:t>
            </w:r>
            <w:r w:rsidRPr="00CE7679">
              <w:rPr>
                <w:rFonts w:eastAsia="SimSun"/>
                <w:snapToGrid/>
                <w:szCs w:val="22"/>
                <w:lang w:eastAsia="zh-CN"/>
              </w:rPr>
              <w:t>/l</w:t>
            </w:r>
          </w:p>
        </w:tc>
        <w:tc>
          <w:tcPr>
            <w:tcW w:w="3388" w:type="dxa"/>
            <w:gridSpan w:val="2"/>
          </w:tcPr>
          <w:p w14:paraId="342FC6E0" w14:textId="77777777" w:rsidR="00A27597" w:rsidRPr="00CE7679" w:rsidRDefault="00A27597" w:rsidP="00A27597">
            <w:pPr>
              <w:widowControl w:val="0"/>
              <w:tabs>
                <w:tab w:val="left" w:pos="540"/>
              </w:tabs>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1.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vartojimą nutraukti, kol ANS bus ≥</w:t>
            </w:r>
            <w:r w:rsidR="004C1A71" w:rsidRPr="00CE7679">
              <w:rPr>
                <w:rFonts w:eastAsia="SimSun"/>
                <w:snapToGrid/>
                <w:szCs w:val="22"/>
                <w:lang w:eastAsia="zh-CN"/>
              </w:rPr>
              <w:t> </w:t>
            </w:r>
            <w:r w:rsidRPr="00CE7679">
              <w:rPr>
                <w:rFonts w:eastAsia="SimSun"/>
                <w:snapToGrid/>
                <w:szCs w:val="22"/>
                <w:lang w:eastAsia="zh-CN"/>
              </w:rPr>
              <w:t>1,5</w:t>
            </w:r>
            <w:r w:rsidR="004C1A71" w:rsidRPr="00CE7679">
              <w:rPr>
                <w:rFonts w:eastAsia="SimSun"/>
                <w:snapToGrid/>
                <w:szCs w:val="22"/>
                <w:lang w:eastAsia="zh-CN"/>
              </w:rPr>
              <w:t> </w:t>
            </w:r>
            <w:r w:rsidRPr="00CE7679">
              <w:rPr>
                <w:rFonts w:eastAsia="SimSun"/>
                <w:snapToGrid/>
                <w:szCs w:val="22"/>
                <w:lang w:eastAsia="zh-CN"/>
              </w:rPr>
              <w:t>x</w:t>
            </w:r>
            <w:r w:rsidR="004C1A71" w:rsidRPr="00CE7679">
              <w:rPr>
                <w:rFonts w:eastAsia="SimSun"/>
                <w:snapToGrid/>
                <w:szCs w:val="22"/>
                <w:lang w:eastAsia="zh-CN"/>
              </w:rPr>
              <w:t> </w:t>
            </w:r>
            <w:r w:rsidRPr="00CE7679">
              <w:rPr>
                <w:rFonts w:eastAsia="SimSun"/>
                <w:snapToGrid/>
                <w:szCs w:val="22"/>
                <w:lang w:eastAsia="zh-CN"/>
              </w:rPr>
              <w:t>10</w:t>
            </w:r>
            <w:r w:rsidRPr="00CE7679">
              <w:rPr>
                <w:rFonts w:eastAsia="SimSun"/>
                <w:snapToGrid/>
                <w:szCs w:val="22"/>
                <w:vertAlign w:val="superscript"/>
                <w:lang w:eastAsia="zh-CN"/>
              </w:rPr>
              <w:t>9</w:t>
            </w:r>
            <w:r w:rsidRPr="00CE7679">
              <w:rPr>
                <w:rFonts w:eastAsia="SimSun"/>
                <w:snapToGrid/>
                <w:szCs w:val="22"/>
                <w:lang w:eastAsia="zh-CN"/>
              </w:rPr>
              <w:t>/l ir trombocitų ≥</w:t>
            </w:r>
            <w:r w:rsidR="004C1A71" w:rsidRPr="00CE7679">
              <w:rPr>
                <w:rFonts w:eastAsia="SimSun"/>
                <w:snapToGrid/>
                <w:szCs w:val="22"/>
                <w:lang w:eastAsia="zh-CN"/>
              </w:rPr>
              <w:t> </w:t>
            </w:r>
            <w:r w:rsidRPr="00CE7679">
              <w:rPr>
                <w:rFonts w:eastAsia="SimSun"/>
                <w:snapToGrid/>
                <w:szCs w:val="22"/>
                <w:lang w:eastAsia="zh-CN"/>
              </w:rPr>
              <w:t>75</w:t>
            </w:r>
            <w:r w:rsidR="004C1A71" w:rsidRPr="00CE7679">
              <w:rPr>
                <w:rFonts w:eastAsia="SimSun"/>
                <w:snapToGrid/>
                <w:szCs w:val="22"/>
                <w:lang w:eastAsia="zh-CN"/>
              </w:rPr>
              <w:t> </w:t>
            </w:r>
            <w:r w:rsidRPr="00CE7679">
              <w:rPr>
                <w:rFonts w:eastAsia="SimSun"/>
                <w:snapToGrid/>
                <w:szCs w:val="22"/>
                <w:lang w:eastAsia="zh-CN"/>
              </w:rPr>
              <w:t>x</w:t>
            </w:r>
            <w:r w:rsidR="004C1A71" w:rsidRPr="00CE7679">
              <w:rPr>
                <w:rFonts w:eastAsia="SimSun"/>
                <w:snapToGrid/>
                <w:szCs w:val="22"/>
                <w:lang w:eastAsia="zh-CN"/>
              </w:rPr>
              <w:t> </w:t>
            </w:r>
            <w:r w:rsidRPr="00CE7679">
              <w:rPr>
                <w:rFonts w:eastAsia="SimSun"/>
                <w:snapToGrid/>
                <w:szCs w:val="22"/>
                <w:lang w:eastAsia="zh-CN"/>
              </w:rPr>
              <w:t>10</w:t>
            </w:r>
            <w:r w:rsidRPr="00CE7679">
              <w:rPr>
                <w:rFonts w:eastAsia="SimSun"/>
                <w:snapToGrid/>
                <w:szCs w:val="22"/>
                <w:vertAlign w:val="superscript"/>
                <w:lang w:eastAsia="zh-CN"/>
              </w:rPr>
              <w:t>9</w:t>
            </w:r>
            <w:r w:rsidRPr="00CE7679">
              <w:rPr>
                <w:rFonts w:eastAsia="SimSun"/>
                <w:snapToGrid/>
                <w:szCs w:val="22"/>
                <w:lang w:eastAsia="zh-CN"/>
              </w:rPr>
              <w:t xml:space="preserve">/l. </w:t>
            </w:r>
          </w:p>
          <w:p w14:paraId="27ED5B2A" w14:textId="77777777" w:rsidR="00A27597" w:rsidRPr="00CE7679" w:rsidRDefault="00A27597" w:rsidP="00A27597">
            <w:pPr>
              <w:widowControl w:val="0"/>
              <w:tabs>
                <w:tab w:val="left" w:pos="540"/>
              </w:tabs>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2. Gydymą </w:t>
            </w:r>
            <w:proofErr w:type="spellStart"/>
            <w:r w:rsidRPr="00CE7679">
              <w:rPr>
                <w:rFonts w:eastAsia="SimSun"/>
                <w:snapToGrid/>
                <w:szCs w:val="22"/>
                <w:lang w:eastAsia="zh-CN"/>
              </w:rPr>
              <w:t>imatinibu</w:t>
            </w:r>
            <w:proofErr w:type="spellEnd"/>
            <w:r w:rsidRPr="00CE7679">
              <w:rPr>
                <w:rFonts w:eastAsia="SimSun"/>
                <w:snapToGrid/>
                <w:szCs w:val="22"/>
                <w:lang w:eastAsia="zh-CN"/>
              </w:rPr>
              <w:t xml:space="preserve"> atnaujinti anksčiau vartota doze (</w:t>
            </w:r>
            <w:proofErr w:type="spellStart"/>
            <w:r w:rsidRPr="00CE7679">
              <w:rPr>
                <w:rFonts w:eastAsia="SimSun"/>
                <w:snapToGrid/>
                <w:szCs w:val="22"/>
                <w:lang w:eastAsia="zh-CN"/>
              </w:rPr>
              <w:t>t.y</w:t>
            </w:r>
            <w:proofErr w:type="spellEnd"/>
            <w:r w:rsidRPr="00CE7679">
              <w:rPr>
                <w:rFonts w:eastAsia="SimSun"/>
                <w:snapToGrid/>
                <w:szCs w:val="22"/>
                <w:lang w:eastAsia="zh-CN"/>
              </w:rPr>
              <w:t xml:space="preserve">. ta, kuri buvo vartota prieš pasireiškiant stipriai nepageidaujamai reakcijai). </w:t>
            </w:r>
          </w:p>
          <w:p w14:paraId="57CF2EED" w14:textId="77777777" w:rsidR="00A27597" w:rsidRPr="00CE7679" w:rsidRDefault="00A27597" w:rsidP="004C1A71">
            <w:pPr>
              <w:widowControl w:val="0"/>
              <w:tabs>
                <w:tab w:val="left" w:pos="540"/>
              </w:tabs>
              <w:autoSpaceDE w:val="0"/>
              <w:autoSpaceDN w:val="0"/>
              <w:adjustRightInd w:val="0"/>
              <w:spacing w:line="240" w:lineRule="auto"/>
              <w:rPr>
                <w:rFonts w:eastAsia="SimSun"/>
                <w:snapToGrid/>
                <w:szCs w:val="22"/>
                <w:lang w:eastAsia="zh-CN"/>
              </w:rPr>
            </w:pPr>
            <w:r w:rsidRPr="00CE7679">
              <w:rPr>
                <w:rFonts w:eastAsia="SimSun"/>
                <w:snapToGrid/>
                <w:szCs w:val="22"/>
                <w:lang w:eastAsia="zh-CN"/>
              </w:rPr>
              <w:t>3. Kartotinai sumažėjus ANS &lt;</w:t>
            </w:r>
            <w:r w:rsidR="004C1A71" w:rsidRPr="00CE7679">
              <w:rPr>
                <w:rFonts w:eastAsia="SimSun"/>
                <w:snapToGrid/>
                <w:szCs w:val="22"/>
                <w:lang w:eastAsia="zh-CN"/>
              </w:rPr>
              <w:t> </w:t>
            </w:r>
            <w:r w:rsidRPr="00CE7679">
              <w:rPr>
                <w:rFonts w:eastAsia="SimSun"/>
                <w:snapToGrid/>
                <w:szCs w:val="22"/>
                <w:lang w:eastAsia="zh-CN"/>
              </w:rPr>
              <w:t>1,0</w:t>
            </w:r>
            <w:r w:rsidR="004C1A71" w:rsidRPr="00CE7679">
              <w:rPr>
                <w:rFonts w:eastAsia="SimSun"/>
                <w:snapToGrid/>
                <w:szCs w:val="22"/>
                <w:lang w:eastAsia="zh-CN"/>
              </w:rPr>
              <w:t> </w:t>
            </w:r>
            <w:r w:rsidRPr="00CE7679">
              <w:rPr>
                <w:rFonts w:eastAsia="SimSun"/>
                <w:snapToGrid/>
                <w:szCs w:val="22"/>
                <w:lang w:eastAsia="zh-CN"/>
              </w:rPr>
              <w:t>x</w:t>
            </w:r>
            <w:r w:rsidR="004C1A71" w:rsidRPr="00CE7679">
              <w:rPr>
                <w:rFonts w:eastAsia="SimSun"/>
                <w:snapToGrid/>
                <w:szCs w:val="22"/>
                <w:lang w:eastAsia="zh-CN"/>
              </w:rPr>
              <w:t> </w:t>
            </w:r>
            <w:r w:rsidRPr="00CE7679">
              <w:rPr>
                <w:rFonts w:eastAsia="SimSun"/>
                <w:snapToGrid/>
                <w:szCs w:val="22"/>
                <w:lang w:eastAsia="zh-CN"/>
              </w:rPr>
              <w:t>10</w:t>
            </w:r>
            <w:r w:rsidRPr="00CE7679">
              <w:rPr>
                <w:rFonts w:eastAsia="SimSun"/>
                <w:snapToGrid/>
                <w:szCs w:val="22"/>
                <w:vertAlign w:val="superscript"/>
                <w:lang w:eastAsia="zh-CN"/>
              </w:rPr>
              <w:t>9</w:t>
            </w:r>
            <w:r w:rsidRPr="00CE7679">
              <w:rPr>
                <w:rFonts w:eastAsia="SimSun"/>
                <w:snapToGrid/>
                <w:szCs w:val="22"/>
                <w:lang w:eastAsia="zh-CN"/>
              </w:rPr>
              <w:t>/l ir trombocitų &lt;</w:t>
            </w:r>
            <w:r w:rsidR="004C1A71" w:rsidRPr="00CE7679">
              <w:rPr>
                <w:rFonts w:eastAsia="SimSun"/>
                <w:snapToGrid/>
                <w:szCs w:val="22"/>
                <w:lang w:eastAsia="zh-CN"/>
              </w:rPr>
              <w:t> </w:t>
            </w:r>
            <w:r w:rsidRPr="00CE7679">
              <w:rPr>
                <w:rFonts w:eastAsia="SimSun"/>
                <w:snapToGrid/>
                <w:szCs w:val="22"/>
                <w:lang w:eastAsia="zh-CN"/>
              </w:rPr>
              <w:t>50</w:t>
            </w:r>
            <w:r w:rsidR="004C1A71" w:rsidRPr="00CE7679">
              <w:rPr>
                <w:rFonts w:eastAsia="SimSun"/>
                <w:snapToGrid/>
                <w:szCs w:val="22"/>
                <w:lang w:eastAsia="zh-CN"/>
              </w:rPr>
              <w:t> </w:t>
            </w:r>
            <w:r w:rsidRPr="00CE7679">
              <w:rPr>
                <w:rFonts w:eastAsia="SimSun"/>
                <w:snapToGrid/>
                <w:szCs w:val="22"/>
                <w:lang w:eastAsia="zh-CN"/>
              </w:rPr>
              <w:t>x</w:t>
            </w:r>
            <w:r w:rsidR="004C1A71" w:rsidRPr="00CE7679">
              <w:rPr>
                <w:rFonts w:eastAsia="SimSun"/>
                <w:snapToGrid/>
                <w:szCs w:val="22"/>
                <w:lang w:eastAsia="zh-CN"/>
              </w:rPr>
              <w:t> </w:t>
            </w:r>
            <w:r w:rsidRPr="00CE7679">
              <w:rPr>
                <w:rFonts w:eastAsia="SimSun"/>
                <w:snapToGrid/>
                <w:szCs w:val="22"/>
                <w:lang w:eastAsia="zh-CN"/>
              </w:rPr>
              <w:t>10</w:t>
            </w:r>
            <w:r w:rsidRPr="00CE7679">
              <w:rPr>
                <w:rFonts w:eastAsia="SimSun"/>
                <w:snapToGrid/>
                <w:szCs w:val="22"/>
                <w:vertAlign w:val="superscript"/>
                <w:lang w:eastAsia="zh-CN"/>
              </w:rPr>
              <w:t>9</w:t>
            </w:r>
            <w:r w:rsidRPr="00CE7679">
              <w:rPr>
                <w:rFonts w:eastAsia="SimSun"/>
                <w:snapToGrid/>
                <w:szCs w:val="22"/>
                <w:lang w:eastAsia="zh-CN"/>
              </w:rPr>
              <w:t xml:space="preserve">/l, kartoti nuo 1-ojo punkto ir gydymą </w:t>
            </w:r>
            <w:proofErr w:type="spellStart"/>
            <w:r w:rsidRPr="00CE7679">
              <w:rPr>
                <w:rFonts w:eastAsia="SimSun"/>
                <w:snapToGrid/>
                <w:szCs w:val="22"/>
                <w:lang w:eastAsia="zh-CN"/>
              </w:rPr>
              <w:t>imatinibu</w:t>
            </w:r>
            <w:proofErr w:type="spellEnd"/>
            <w:r w:rsidRPr="00CE7679">
              <w:rPr>
                <w:rFonts w:eastAsia="SimSun"/>
                <w:snapToGrid/>
                <w:szCs w:val="22"/>
                <w:lang w:eastAsia="zh-CN"/>
              </w:rPr>
              <w:t xml:space="preserve"> atnaujinti sumažinta 300 mg doze.</w:t>
            </w:r>
          </w:p>
        </w:tc>
      </w:tr>
      <w:tr w:rsidR="00701D61" w:rsidRPr="00CE7679" w14:paraId="4C1466AB" w14:textId="77777777" w:rsidTr="00A27597">
        <w:trPr>
          <w:trHeight w:val="698"/>
        </w:trPr>
        <w:tc>
          <w:tcPr>
            <w:tcW w:w="2967" w:type="dxa"/>
          </w:tcPr>
          <w:p w14:paraId="63A75F0C"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lastRenderedPageBreak/>
              <w:t>Vaikų lėtinė LML fazė</w:t>
            </w:r>
          </w:p>
          <w:p w14:paraId="26F62A19" w14:textId="77777777" w:rsidR="00A27597" w:rsidRPr="00CE7679" w:rsidRDefault="00A27597" w:rsidP="00A27597">
            <w:pPr>
              <w:spacing w:line="240" w:lineRule="auto"/>
              <w:jc w:val="both"/>
              <w:rPr>
                <w:rFonts w:eastAsia="SimSun"/>
                <w:snapToGrid/>
                <w:szCs w:val="22"/>
                <w:lang w:eastAsia="en-GB"/>
              </w:rPr>
            </w:pPr>
            <w:r w:rsidRPr="00CE7679">
              <w:rPr>
                <w:rFonts w:eastAsia="SimSun"/>
                <w:snapToGrid/>
                <w:szCs w:val="22"/>
                <w:lang w:eastAsia="zh-CN"/>
              </w:rPr>
              <w:t>(340 mg/m</w:t>
            </w:r>
            <w:r w:rsidRPr="00CE7679">
              <w:rPr>
                <w:rFonts w:eastAsia="SimSun"/>
                <w:snapToGrid/>
                <w:szCs w:val="22"/>
                <w:vertAlign w:val="superscript"/>
                <w:lang w:eastAsia="zh-CN"/>
              </w:rPr>
              <w:t>2</w:t>
            </w:r>
            <w:r w:rsidRPr="00CE7679">
              <w:rPr>
                <w:rFonts w:eastAsia="SimSun"/>
                <w:snapToGrid/>
                <w:szCs w:val="22"/>
                <w:lang w:eastAsia="zh-CN"/>
              </w:rPr>
              <w:t xml:space="preserve"> dozė)</w:t>
            </w:r>
          </w:p>
        </w:tc>
        <w:tc>
          <w:tcPr>
            <w:tcW w:w="2967" w:type="dxa"/>
            <w:gridSpan w:val="2"/>
          </w:tcPr>
          <w:p w14:paraId="4CB9D9A6"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ANS &lt; 1,0</w:t>
            </w:r>
            <w:r w:rsidR="008E1965" w:rsidRPr="00CE7679">
              <w:rPr>
                <w:rFonts w:eastAsia="SimSun"/>
                <w:snapToGrid/>
                <w:szCs w:val="22"/>
                <w:lang w:eastAsia="zh-CN"/>
              </w:rPr>
              <w:t> </w:t>
            </w:r>
            <w:r w:rsidRPr="00CE7679">
              <w:rPr>
                <w:rFonts w:eastAsia="SimSun"/>
                <w:snapToGrid/>
                <w:szCs w:val="22"/>
                <w:lang w:eastAsia="zh-CN"/>
              </w:rPr>
              <w:t>x</w:t>
            </w:r>
            <w:r w:rsidR="008E1965" w:rsidRPr="00CE7679">
              <w:rPr>
                <w:rFonts w:eastAsia="SimSun"/>
                <w:snapToGrid/>
                <w:szCs w:val="22"/>
                <w:lang w:eastAsia="zh-CN"/>
              </w:rPr>
              <w:t> </w:t>
            </w:r>
            <w:r w:rsidRPr="00CE7679">
              <w:rPr>
                <w:rFonts w:eastAsia="SimSun"/>
                <w:snapToGrid/>
                <w:szCs w:val="22"/>
                <w:lang w:eastAsia="zh-CN"/>
              </w:rPr>
              <w:t>10</w:t>
            </w:r>
            <w:r w:rsidRPr="00CE7679">
              <w:rPr>
                <w:rFonts w:eastAsia="SimSun"/>
                <w:snapToGrid/>
                <w:szCs w:val="22"/>
                <w:vertAlign w:val="superscript"/>
                <w:lang w:eastAsia="zh-CN"/>
              </w:rPr>
              <w:t>9</w:t>
            </w:r>
            <w:r w:rsidRPr="00CE7679">
              <w:rPr>
                <w:rFonts w:eastAsia="SimSun"/>
                <w:snapToGrid/>
                <w:szCs w:val="22"/>
                <w:lang w:eastAsia="zh-CN"/>
              </w:rPr>
              <w:t>/l</w:t>
            </w:r>
          </w:p>
          <w:p w14:paraId="10DF839C"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ir (arba)</w:t>
            </w:r>
          </w:p>
          <w:p w14:paraId="69C8A407" w14:textId="77777777" w:rsidR="00A27597" w:rsidRPr="00CE7679" w:rsidRDefault="00A27597" w:rsidP="008E1965">
            <w:pPr>
              <w:spacing w:line="240" w:lineRule="auto"/>
              <w:jc w:val="both"/>
              <w:rPr>
                <w:rFonts w:eastAsia="SimSun"/>
                <w:snapToGrid/>
                <w:szCs w:val="22"/>
                <w:lang w:eastAsia="en-GB"/>
              </w:rPr>
            </w:pPr>
            <w:r w:rsidRPr="00CE7679">
              <w:rPr>
                <w:rFonts w:eastAsia="SimSun"/>
                <w:snapToGrid/>
                <w:szCs w:val="22"/>
                <w:lang w:eastAsia="zh-CN"/>
              </w:rPr>
              <w:t>trombocitų &lt; 50</w:t>
            </w:r>
            <w:r w:rsidR="008E1965" w:rsidRPr="00CE7679">
              <w:rPr>
                <w:rFonts w:eastAsia="SimSun"/>
                <w:snapToGrid/>
                <w:szCs w:val="22"/>
                <w:lang w:eastAsia="zh-CN"/>
              </w:rPr>
              <w:t> </w:t>
            </w:r>
            <w:r w:rsidRPr="00CE7679">
              <w:rPr>
                <w:rFonts w:eastAsia="SimSun"/>
                <w:snapToGrid/>
                <w:szCs w:val="22"/>
                <w:lang w:eastAsia="zh-CN"/>
              </w:rPr>
              <w:t>x</w:t>
            </w:r>
            <w:r w:rsidR="008E1965" w:rsidRPr="00CE7679">
              <w:rPr>
                <w:rFonts w:eastAsia="SimSun"/>
                <w:snapToGrid/>
                <w:szCs w:val="22"/>
                <w:lang w:eastAsia="zh-CN"/>
              </w:rPr>
              <w:t> </w:t>
            </w:r>
            <w:r w:rsidRPr="00CE7679">
              <w:rPr>
                <w:rFonts w:eastAsia="SimSun"/>
                <w:snapToGrid/>
                <w:szCs w:val="22"/>
                <w:lang w:eastAsia="zh-CN"/>
              </w:rPr>
              <w:t>10</w:t>
            </w:r>
            <w:r w:rsidRPr="00CE7679">
              <w:rPr>
                <w:rFonts w:eastAsia="SimSun"/>
                <w:snapToGrid/>
                <w:szCs w:val="22"/>
                <w:vertAlign w:val="superscript"/>
                <w:lang w:eastAsia="zh-CN"/>
              </w:rPr>
              <w:t>9</w:t>
            </w:r>
            <w:r w:rsidRPr="00CE7679">
              <w:rPr>
                <w:rFonts w:eastAsia="SimSun"/>
                <w:snapToGrid/>
                <w:szCs w:val="22"/>
                <w:lang w:eastAsia="zh-CN"/>
              </w:rPr>
              <w:t>/l</w:t>
            </w:r>
          </w:p>
        </w:tc>
        <w:tc>
          <w:tcPr>
            <w:tcW w:w="3388" w:type="dxa"/>
            <w:gridSpan w:val="2"/>
          </w:tcPr>
          <w:p w14:paraId="51498EC3" w14:textId="04BDD8DB" w:rsidR="00A27597" w:rsidRPr="00CE7679" w:rsidRDefault="00A27597" w:rsidP="00A27597">
            <w:pPr>
              <w:widowControl w:val="0"/>
              <w:tabs>
                <w:tab w:val="left" w:pos="540"/>
              </w:tabs>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1.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vartojimą nutraukti, kol ANS bus ≥</w:t>
            </w:r>
            <w:r w:rsidR="004C1A71" w:rsidRPr="00CE7679">
              <w:rPr>
                <w:rFonts w:eastAsia="SimSun"/>
                <w:snapToGrid/>
                <w:szCs w:val="22"/>
                <w:lang w:eastAsia="zh-CN"/>
              </w:rPr>
              <w:t> </w:t>
            </w:r>
            <w:r w:rsidRPr="00CE7679">
              <w:rPr>
                <w:rFonts w:eastAsia="SimSun"/>
                <w:snapToGrid/>
                <w:szCs w:val="22"/>
                <w:lang w:eastAsia="zh-CN"/>
              </w:rPr>
              <w:t>1,5</w:t>
            </w:r>
            <w:r w:rsidR="004C1A71" w:rsidRPr="00CE7679">
              <w:rPr>
                <w:rFonts w:eastAsia="SimSun"/>
                <w:snapToGrid/>
                <w:szCs w:val="22"/>
                <w:lang w:eastAsia="zh-CN"/>
              </w:rPr>
              <w:t> </w:t>
            </w:r>
            <w:r w:rsidRPr="00CE7679">
              <w:rPr>
                <w:rFonts w:eastAsia="SimSun"/>
                <w:snapToGrid/>
                <w:szCs w:val="22"/>
                <w:lang w:eastAsia="zh-CN"/>
              </w:rPr>
              <w:t>x</w:t>
            </w:r>
            <w:r w:rsidR="004C1A71" w:rsidRPr="00CE7679">
              <w:rPr>
                <w:rFonts w:eastAsia="SimSun"/>
                <w:snapToGrid/>
                <w:szCs w:val="22"/>
                <w:lang w:eastAsia="zh-CN"/>
              </w:rPr>
              <w:t> </w:t>
            </w:r>
            <w:r w:rsidRPr="00CE7679">
              <w:rPr>
                <w:rFonts w:eastAsia="SimSun"/>
                <w:snapToGrid/>
                <w:szCs w:val="22"/>
                <w:lang w:eastAsia="zh-CN"/>
              </w:rPr>
              <w:t>10</w:t>
            </w:r>
            <w:r w:rsidRPr="00CE7679">
              <w:rPr>
                <w:rFonts w:eastAsia="SimSun"/>
                <w:snapToGrid/>
                <w:szCs w:val="22"/>
                <w:vertAlign w:val="superscript"/>
                <w:lang w:eastAsia="zh-CN"/>
              </w:rPr>
              <w:t>9</w:t>
            </w:r>
            <w:r w:rsidRPr="00CE7679">
              <w:rPr>
                <w:rFonts w:eastAsia="SimSun"/>
                <w:snapToGrid/>
                <w:szCs w:val="22"/>
                <w:lang w:eastAsia="zh-CN"/>
              </w:rPr>
              <w:t>/l ir trombocitų ≥</w:t>
            </w:r>
            <w:r w:rsidR="004C1A71" w:rsidRPr="00CE7679">
              <w:rPr>
                <w:rFonts w:eastAsia="SimSun"/>
                <w:snapToGrid/>
                <w:szCs w:val="22"/>
                <w:lang w:eastAsia="zh-CN"/>
              </w:rPr>
              <w:t> </w:t>
            </w:r>
            <w:r w:rsidRPr="00CE7679">
              <w:rPr>
                <w:rFonts w:eastAsia="SimSun"/>
                <w:snapToGrid/>
                <w:szCs w:val="22"/>
                <w:lang w:eastAsia="zh-CN"/>
              </w:rPr>
              <w:t>75</w:t>
            </w:r>
            <w:r w:rsidR="004C1A71" w:rsidRPr="00CE7679">
              <w:rPr>
                <w:rFonts w:eastAsia="SimSun"/>
                <w:snapToGrid/>
                <w:szCs w:val="22"/>
                <w:lang w:eastAsia="zh-CN"/>
              </w:rPr>
              <w:t> </w:t>
            </w:r>
            <w:r w:rsidRPr="00CE7679">
              <w:rPr>
                <w:rFonts w:eastAsia="SimSun"/>
                <w:snapToGrid/>
                <w:szCs w:val="22"/>
                <w:lang w:eastAsia="zh-CN"/>
              </w:rPr>
              <w:t>x</w:t>
            </w:r>
            <w:r w:rsidR="004C1A71" w:rsidRPr="00CE7679">
              <w:rPr>
                <w:rFonts w:eastAsia="SimSun"/>
                <w:snapToGrid/>
                <w:szCs w:val="22"/>
                <w:lang w:eastAsia="zh-CN"/>
              </w:rPr>
              <w:t> </w:t>
            </w:r>
            <w:r w:rsidRPr="00CE7679">
              <w:rPr>
                <w:rFonts w:eastAsia="SimSun"/>
                <w:snapToGrid/>
                <w:szCs w:val="22"/>
                <w:lang w:eastAsia="zh-CN"/>
              </w:rPr>
              <w:t>10</w:t>
            </w:r>
            <w:r w:rsidRPr="00CE7679">
              <w:rPr>
                <w:rFonts w:eastAsia="SimSun"/>
                <w:snapToGrid/>
                <w:szCs w:val="22"/>
                <w:vertAlign w:val="superscript"/>
                <w:lang w:eastAsia="zh-CN"/>
              </w:rPr>
              <w:t>9</w:t>
            </w:r>
            <w:r w:rsidRPr="00CE7679">
              <w:rPr>
                <w:rFonts w:eastAsia="SimSun"/>
                <w:snapToGrid/>
                <w:szCs w:val="22"/>
                <w:lang w:eastAsia="zh-CN"/>
              </w:rPr>
              <w:t>/l.</w:t>
            </w:r>
          </w:p>
          <w:p w14:paraId="0DF6B01A" w14:textId="77777777" w:rsidR="00A27597" w:rsidRPr="00CE7679" w:rsidRDefault="00A27597" w:rsidP="00A27597">
            <w:pPr>
              <w:widowControl w:val="0"/>
              <w:tabs>
                <w:tab w:val="left" w:pos="540"/>
              </w:tabs>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2. Gydymą </w:t>
            </w:r>
            <w:proofErr w:type="spellStart"/>
            <w:r w:rsidRPr="00CE7679">
              <w:rPr>
                <w:rFonts w:eastAsia="SimSun"/>
                <w:snapToGrid/>
                <w:szCs w:val="22"/>
                <w:lang w:eastAsia="zh-CN"/>
              </w:rPr>
              <w:t>imatinibu</w:t>
            </w:r>
            <w:proofErr w:type="spellEnd"/>
            <w:r w:rsidRPr="00CE7679">
              <w:rPr>
                <w:rFonts w:eastAsia="SimSun"/>
                <w:snapToGrid/>
                <w:szCs w:val="22"/>
                <w:lang w:eastAsia="zh-CN"/>
              </w:rPr>
              <w:t xml:space="preserve"> atnaujinti anksčiau vartota doze (</w:t>
            </w:r>
            <w:proofErr w:type="spellStart"/>
            <w:r w:rsidRPr="00CE7679">
              <w:rPr>
                <w:rFonts w:eastAsia="SimSun"/>
                <w:snapToGrid/>
                <w:szCs w:val="22"/>
                <w:lang w:eastAsia="zh-CN"/>
              </w:rPr>
              <w:t>t.y</w:t>
            </w:r>
            <w:proofErr w:type="spellEnd"/>
            <w:r w:rsidRPr="00CE7679">
              <w:rPr>
                <w:rFonts w:eastAsia="SimSun"/>
                <w:snapToGrid/>
                <w:szCs w:val="22"/>
                <w:lang w:eastAsia="zh-CN"/>
              </w:rPr>
              <w:t>. ta, kuri buvo vartota prieš pasireiškiant stipriai nepageidaujamai reakcijai).</w:t>
            </w:r>
          </w:p>
          <w:p w14:paraId="4BCE8014" w14:textId="77777777" w:rsidR="00A27597" w:rsidRPr="00CE7679" w:rsidRDefault="00A27597" w:rsidP="004C1A71">
            <w:pPr>
              <w:widowControl w:val="0"/>
              <w:tabs>
                <w:tab w:val="left" w:pos="500"/>
              </w:tabs>
              <w:autoSpaceDE w:val="0"/>
              <w:autoSpaceDN w:val="0"/>
              <w:adjustRightInd w:val="0"/>
              <w:spacing w:line="240" w:lineRule="auto"/>
              <w:rPr>
                <w:rFonts w:eastAsia="SimSun"/>
                <w:snapToGrid/>
                <w:szCs w:val="22"/>
                <w:lang w:eastAsia="zh-CN"/>
              </w:rPr>
            </w:pPr>
            <w:r w:rsidRPr="00CE7679">
              <w:rPr>
                <w:rFonts w:eastAsia="SimSun"/>
                <w:snapToGrid/>
                <w:szCs w:val="22"/>
                <w:lang w:eastAsia="zh-CN"/>
              </w:rPr>
              <w:t>3. Kartotinai sumažėjus ANS &lt; 1,0</w:t>
            </w:r>
            <w:r w:rsidR="004C1A71" w:rsidRPr="00CE7679">
              <w:rPr>
                <w:rFonts w:eastAsia="SimSun"/>
                <w:snapToGrid/>
                <w:szCs w:val="22"/>
                <w:lang w:eastAsia="zh-CN"/>
              </w:rPr>
              <w:t> </w:t>
            </w:r>
            <w:r w:rsidRPr="00CE7679">
              <w:rPr>
                <w:rFonts w:eastAsia="SimSun"/>
                <w:snapToGrid/>
                <w:szCs w:val="22"/>
                <w:lang w:eastAsia="zh-CN"/>
              </w:rPr>
              <w:t>x</w:t>
            </w:r>
            <w:r w:rsidR="004C1A71" w:rsidRPr="00CE7679">
              <w:rPr>
                <w:rFonts w:eastAsia="SimSun"/>
                <w:snapToGrid/>
                <w:szCs w:val="22"/>
                <w:lang w:eastAsia="zh-CN"/>
              </w:rPr>
              <w:t> </w:t>
            </w:r>
            <w:r w:rsidRPr="00CE7679">
              <w:rPr>
                <w:rFonts w:eastAsia="SimSun"/>
                <w:snapToGrid/>
                <w:szCs w:val="22"/>
                <w:lang w:eastAsia="zh-CN"/>
              </w:rPr>
              <w:t>10</w:t>
            </w:r>
            <w:r w:rsidRPr="00CE7679">
              <w:rPr>
                <w:rFonts w:eastAsia="SimSun"/>
                <w:snapToGrid/>
                <w:szCs w:val="22"/>
                <w:vertAlign w:val="superscript"/>
                <w:lang w:eastAsia="zh-CN"/>
              </w:rPr>
              <w:t>9</w:t>
            </w:r>
            <w:r w:rsidRPr="00CE7679">
              <w:rPr>
                <w:rFonts w:eastAsia="SimSun"/>
                <w:snapToGrid/>
                <w:szCs w:val="22"/>
                <w:lang w:eastAsia="zh-CN"/>
              </w:rPr>
              <w:t>/l ir trombocitų &lt; 50</w:t>
            </w:r>
            <w:r w:rsidR="004C1A71" w:rsidRPr="00CE7679">
              <w:rPr>
                <w:rFonts w:eastAsia="SimSun"/>
                <w:snapToGrid/>
                <w:szCs w:val="22"/>
                <w:lang w:eastAsia="zh-CN"/>
              </w:rPr>
              <w:t> </w:t>
            </w:r>
            <w:r w:rsidRPr="00CE7679">
              <w:rPr>
                <w:rFonts w:eastAsia="SimSun"/>
                <w:snapToGrid/>
                <w:szCs w:val="22"/>
                <w:lang w:eastAsia="zh-CN"/>
              </w:rPr>
              <w:t>x</w:t>
            </w:r>
            <w:r w:rsidR="004C1A71" w:rsidRPr="00CE7679">
              <w:rPr>
                <w:rFonts w:eastAsia="SimSun"/>
                <w:snapToGrid/>
                <w:szCs w:val="22"/>
                <w:lang w:eastAsia="zh-CN"/>
              </w:rPr>
              <w:t> </w:t>
            </w:r>
            <w:r w:rsidRPr="00CE7679">
              <w:rPr>
                <w:rFonts w:eastAsia="SimSun"/>
                <w:snapToGrid/>
                <w:szCs w:val="22"/>
                <w:lang w:eastAsia="zh-CN"/>
              </w:rPr>
              <w:t>10</w:t>
            </w:r>
            <w:r w:rsidRPr="00CE7679">
              <w:rPr>
                <w:rFonts w:eastAsia="SimSun"/>
                <w:snapToGrid/>
                <w:szCs w:val="22"/>
                <w:vertAlign w:val="superscript"/>
                <w:lang w:eastAsia="zh-CN"/>
              </w:rPr>
              <w:t>9</w:t>
            </w:r>
            <w:r w:rsidRPr="00CE7679">
              <w:rPr>
                <w:rFonts w:eastAsia="SimSun"/>
                <w:snapToGrid/>
                <w:szCs w:val="22"/>
                <w:lang w:eastAsia="zh-CN"/>
              </w:rPr>
              <w:t xml:space="preserve">/l, kartoti nuo 1-ojo punkto ir (arba) gydymą </w:t>
            </w:r>
            <w:proofErr w:type="spellStart"/>
            <w:r w:rsidRPr="00CE7679">
              <w:rPr>
                <w:rFonts w:eastAsia="SimSun"/>
                <w:snapToGrid/>
                <w:szCs w:val="22"/>
                <w:lang w:eastAsia="zh-CN"/>
              </w:rPr>
              <w:t>imatinibu</w:t>
            </w:r>
            <w:proofErr w:type="spellEnd"/>
            <w:r w:rsidRPr="00CE7679">
              <w:rPr>
                <w:rFonts w:eastAsia="SimSun"/>
                <w:snapToGrid/>
                <w:szCs w:val="22"/>
                <w:lang w:eastAsia="zh-CN"/>
              </w:rPr>
              <w:t xml:space="preserve"> atnaujinti sumažinta 260 mg/m</w:t>
            </w:r>
            <w:r w:rsidRPr="00CE7679">
              <w:rPr>
                <w:rFonts w:eastAsia="SimSun"/>
                <w:snapToGrid/>
                <w:szCs w:val="22"/>
                <w:vertAlign w:val="superscript"/>
                <w:lang w:eastAsia="zh-CN"/>
              </w:rPr>
              <w:t xml:space="preserve">2 </w:t>
            </w:r>
            <w:r w:rsidRPr="00CE7679">
              <w:rPr>
                <w:rFonts w:eastAsia="SimSun"/>
                <w:snapToGrid/>
                <w:szCs w:val="22"/>
                <w:lang w:eastAsia="zh-CN"/>
              </w:rPr>
              <w:t>doze.</w:t>
            </w:r>
          </w:p>
        </w:tc>
      </w:tr>
      <w:tr w:rsidR="00701D61" w:rsidRPr="00CE7679" w14:paraId="6EC950C7" w14:textId="77777777" w:rsidTr="00A27597">
        <w:trPr>
          <w:trHeight w:val="1433"/>
        </w:trPr>
        <w:tc>
          <w:tcPr>
            <w:tcW w:w="2967" w:type="dxa"/>
          </w:tcPr>
          <w:p w14:paraId="45B37B13" w14:textId="77777777" w:rsidR="00A27597" w:rsidRPr="00CE7679" w:rsidRDefault="00A27597" w:rsidP="00A27597">
            <w:pPr>
              <w:spacing w:line="240" w:lineRule="auto"/>
              <w:rPr>
                <w:rFonts w:eastAsia="SimSun"/>
                <w:snapToGrid/>
                <w:szCs w:val="22"/>
                <w:lang w:eastAsia="en-GB"/>
              </w:rPr>
            </w:pPr>
            <w:r w:rsidRPr="00CE7679">
              <w:rPr>
                <w:rFonts w:eastAsia="SimSun"/>
                <w:snapToGrid/>
                <w:szCs w:val="22"/>
                <w:lang w:eastAsia="zh-CN"/>
              </w:rPr>
              <w:t xml:space="preserve">LML akceleracijos fazė ir </w:t>
            </w:r>
            <w:proofErr w:type="spellStart"/>
            <w:r w:rsidRPr="00CE7679">
              <w:rPr>
                <w:rFonts w:eastAsia="SimSun"/>
                <w:snapToGrid/>
                <w:szCs w:val="22"/>
                <w:lang w:eastAsia="zh-CN"/>
              </w:rPr>
              <w:t>blastinė</w:t>
            </w:r>
            <w:proofErr w:type="spellEnd"/>
            <w:r w:rsidRPr="00CE7679">
              <w:rPr>
                <w:rFonts w:eastAsia="SimSun"/>
                <w:snapToGrid/>
                <w:szCs w:val="22"/>
                <w:lang w:eastAsia="zh-CN"/>
              </w:rPr>
              <w:t xml:space="preserve"> krizė bei </w:t>
            </w:r>
            <w:proofErr w:type="spellStart"/>
            <w:r w:rsidRPr="00CE7679">
              <w:rPr>
                <w:rFonts w:eastAsia="SimSun"/>
                <w:snapToGrid/>
                <w:szCs w:val="22"/>
                <w:lang w:eastAsia="zh-CN"/>
              </w:rPr>
              <w:t>Ph</w:t>
            </w:r>
            <w:proofErr w:type="spellEnd"/>
            <w:r w:rsidRPr="00CE7679">
              <w:rPr>
                <w:rFonts w:eastAsia="SimSun"/>
                <w:snapToGrid/>
                <w:szCs w:val="22"/>
                <w:lang w:eastAsia="zh-CN"/>
              </w:rPr>
              <w:t xml:space="preserve">+ ŪLL (pradinė dozė 600 mg) </w:t>
            </w:r>
          </w:p>
        </w:tc>
        <w:tc>
          <w:tcPr>
            <w:tcW w:w="2967" w:type="dxa"/>
            <w:gridSpan w:val="2"/>
          </w:tcPr>
          <w:p w14:paraId="11855049" w14:textId="77777777" w:rsidR="00A27597" w:rsidRPr="00CE7679" w:rsidRDefault="00A27597" w:rsidP="00A27597">
            <w:pPr>
              <w:spacing w:line="240" w:lineRule="auto"/>
              <w:jc w:val="both"/>
              <w:rPr>
                <w:rFonts w:eastAsia="SimSun"/>
                <w:snapToGrid/>
                <w:szCs w:val="22"/>
                <w:lang w:eastAsia="en-GB"/>
              </w:rPr>
            </w:pPr>
            <w:proofErr w:type="spellStart"/>
            <w:r w:rsidRPr="00CE7679">
              <w:rPr>
                <w:rFonts w:eastAsia="SimSun"/>
                <w:snapToGrid/>
                <w:szCs w:val="22"/>
                <w:vertAlign w:val="superscript"/>
                <w:lang w:eastAsia="zh-CN"/>
              </w:rPr>
              <w:t>a</w:t>
            </w:r>
            <w:r w:rsidRPr="00CE7679">
              <w:rPr>
                <w:rFonts w:eastAsia="SimSun"/>
                <w:snapToGrid/>
                <w:szCs w:val="22"/>
                <w:lang w:eastAsia="zh-CN"/>
              </w:rPr>
              <w:t>ANS</w:t>
            </w:r>
            <w:proofErr w:type="spellEnd"/>
            <w:r w:rsidRPr="00CE7679">
              <w:rPr>
                <w:rFonts w:eastAsia="SimSun"/>
                <w:snapToGrid/>
                <w:szCs w:val="22"/>
                <w:lang w:eastAsia="zh-CN"/>
              </w:rPr>
              <w:t xml:space="preserve"> &lt; 0,5</w:t>
            </w:r>
            <w:r w:rsidR="008E1965" w:rsidRPr="00CE7679">
              <w:rPr>
                <w:rFonts w:eastAsia="SimSun"/>
                <w:snapToGrid/>
                <w:szCs w:val="22"/>
                <w:lang w:eastAsia="zh-CN"/>
              </w:rPr>
              <w:t> </w:t>
            </w:r>
            <w:r w:rsidRPr="00CE7679">
              <w:rPr>
                <w:rFonts w:eastAsia="SimSun"/>
                <w:snapToGrid/>
                <w:szCs w:val="22"/>
                <w:lang w:eastAsia="zh-CN"/>
              </w:rPr>
              <w:t>x</w:t>
            </w:r>
            <w:r w:rsidR="008E1965" w:rsidRPr="00CE7679">
              <w:rPr>
                <w:rFonts w:eastAsia="SimSun"/>
                <w:snapToGrid/>
                <w:szCs w:val="22"/>
                <w:lang w:eastAsia="zh-CN"/>
              </w:rPr>
              <w:t> </w:t>
            </w:r>
            <w:r w:rsidRPr="00CE7679">
              <w:rPr>
                <w:rFonts w:eastAsia="SimSun"/>
                <w:snapToGrid/>
                <w:szCs w:val="22"/>
                <w:lang w:eastAsia="zh-CN"/>
              </w:rPr>
              <w:t>10</w:t>
            </w:r>
            <w:r w:rsidRPr="00CE7679">
              <w:rPr>
                <w:rFonts w:eastAsia="SimSun"/>
                <w:snapToGrid/>
                <w:szCs w:val="22"/>
                <w:vertAlign w:val="superscript"/>
                <w:lang w:eastAsia="zh-CN"/>
              </w:rPr>
              <w:t>9</w:t>
            </w:r>
            <w:r w:rsidRPr="00CE7679">
              <w:rPr>
                <w:rFonts w:eastAsia="SimSun"/>
                <w:snapToGrid/>
                <w:szCs w:val="22"/>
                <w:lang w:eastAsia="zh-CN"/>
              </w:rPr>
              <w:t xml:space="preserve">/l </w:t>
            </w:r>
          </w:p>
          <w:p w14:paraId="4265C5D4" w14:textId="77777777" w:rsidR="00A27597" w:rsidRPr="00CE7679" w:rsidRDefault="00A27597" w:rsidP="00A27597">
            <w:pPr>
              <w:spacing w:line="240" w:lineRule="auto"/>
              <w:jc w:val="both"/>
              <w:rPr>
                <w:rFonts w:eastAsia="SimSun"/>
                <w:snapToGrid/>
                <w:szCs w:val="22"/>
                <w:lang w:eastAsia="zh-CN"/>
              </w:rPr>
            </w:pPr>
            <w:r w:rsidRPr="00CE7679">
              <w:rPr>
                <w:rFonts w:eastAsia="SimSun"/>
                <w:snapToGrid/>
                <w:szCs w:val="22"/>
                <w:lang w:eastAsia="zh-CN"/>
              </w:rPr>
              <w:t xml:space="preserve">ir (arba) </w:t>
            </w:r>
          </w:p>
          <w:p w14:paraId="55633087" w14:textId="77777777" w:rsidR="00A27597" w:rsidRPr="00CE7679" w:rsidRDefault="00A27597" w:rsidP="008E1965">
            <w:pPr>
              <w:spacing w:line="240" w:lineRule="auto"/>
              <w:jc w:val="both"/>
              <w:rPr>
                <w:rFonts w:eastAsia="SimSun"/>
                <w:snapToGrid/>
                <w:szCs w:val="22"/>
                <w:lang w:eastAsia="en-GB"/>
              </w:rPr>
            </w:pPr>
            <w:r w:rsidRPr="00CE7679">
              <w:rPr>
                <w:rFonts w:eastAsia="SimSun"/>
                <w:snapToGrid/>
                <w:szCs w:val="22"/>
                <w:lang w:eastAsia="zh-CN"/>
              </w:rPr>
              <w:t>trombocitų &lt; 10</w:t>
            </w:r>
            <w:r w:rsidR="008E1965" w:rsidRPr="00CE7679">
              <w:rPr>
                <w:rFonts w:eastAsia="SimSun"/>
                <w:snapToGrid/>
                <w:szCs w:val="22"/>
                <w:lang w:eastAsia="zh-CN"/>
              </w:rPr>
              <w:t> </w:t>
            </w:r>
            <w:r w:rsidRPr="00CE7679">
              <w:rPr>
                <w:rFonts w:eastAsia="SimSun"/>
                <w:snapToGrid/>
                <w:szCs w:val="22"/>
                <w:lang w:eastAsia="zh-CN"/>
              </w:rPr>
              <w:t>x</w:t>
            </w:r>
            <w:r w:rsidR="008E1965" w:rsidRPr="00CE7679">
              <w:rPr>
                <w:rFonts w:eastAsia="SimSun"/>
                <w:snapToGrid/>
                <w:szCs w:val="22"/>
                <w:lang w:eastAsia="zh-CN"/>
              </w:rPr>
              <w:t> </w:t>
            </w:r>
            <w:r w:rsidRPr="00CE7679">
              <w:rPr>
                <w:rFonts w:eastAsia="SimSun"/>
                <w:snapToGrid/>
                <w:szCs w:val="22"/>
                <w:lang w:eastAsia="zh-CN"/>
              </w:rPr>
              <w:t>10</w:t>
            </w:r>
            <w:r w:rsidRPr="00CE7679">
              <w:rPr>
                <w:rFonts w:eastAsia="SimSun"/>
                <w:snapToGrid/>
                <w:szCs w:val="22"/>
                <w:vertAlign w:val="superscript"/>
                <w:lang w:eastAsia="zh-CN"/>
              </w:rPr>
              <w:t>9</w:t>
            </w:r>
            <w:r w:rsidRPr="00CE7679">
              <w:rPr>
                <w:rFonts w:eastAsia="SimSun"/>
                <w:snapToGrid/>
                <w:szCs w:val="22"/>
                <w:lang w:eastAsia="zh-CN"/>
              </w:rPr>
              <w:t xml:space="preserve">/l </w:t>
            </w:r>
          </w:p>
        </w:tc>
        <w:tc>
          <w:tcPr>
            <w:tcW w:w="3388" w:type="dxa"/>
            <w:gridSpan w:val="2"/>
          </w:tcPr>
          <w:p w14:paraId="59499511" w14:textId="77777777" w:rsidR="00A27597" w:rsidRPr="00CE7679" w:rsidRDefault="00A27597" w:rsidP="00A27597">
            <w:pPr>
              <w:spacing w:line="240" w:lineRule="auto"/>
              <w:rPr>
                <w:rFonts w:eastAsia="SimSun"/>
                <w:snapToGrid/>
                <w:szCs w:val="22"/>
                <w:lang w:eastAsia="en-GB"/>
              </w:rPr>
            </w:pPr>
            <w:r w:rsidRPr="00CE7679">
              <w:rPr>
                <w:rFonts w:eastAsia="SimSun"/>
                <w:snapToGrid/>
                <w:szCs w:val="22"/>
                <w:lang w:eastAsia="zh-CN"/>
              </w:rPr>
              <w:t xml:space="preserve">1. Ištirti, ar </w:t>
            </w:r>
            <w:proofErr w:type="spellStart"/>
            <w:r w:rsidRPr="00CE7679">
              <w:rPr>
                <w:rFonts w:eastAsia="SimSun"/>
                <w:snapToGrid/>
                <w:szCs w:val="22"/>
                <w:lang w:eastAsia="zh-CN"/>
              </w:rPr>
              <w:t>citopenija</w:t>
            </w:r>
            <w:proofErr w:type="spellEnd"/>
            <w:r w:rsidRPr="00CE7679">
              <w:rPr>
                <w:rFonts w:eastAsia="SimSun"/>
                <w:snapToGrid/>
                <w:szCs w:val="22"/>
                <w:lang w:eastAsia="zh-CN"/>
              </w:rPr>
              <w:t xml:space="preserve"> nesusijusi su leukemija (kaulų čiulpų </w:t>
            </w:r>
            <w:proofErr w:type="spellStart"/>
            <w:r w:rsidRPr="00CE7679">
              <w:rPr>
                <w:rFonts w:eastAsia="SimSun"/>
                <w:snapToGrid/>
                <w:szCs w:val="22"/>
                <w:lang w:eastAsia="zh-CN"/>
              </w:rPr>
              <w:t>aspiratas</w:t>
            </w:r>
            <w:proofErr w:type="spellEnd"/>
            <w:r w:rsidRPr="00CE7679">
              <w:rPr>
                <w:rFonts w:eastAsia="SimSun"/>
                <w:snapToGrid/>
                <w:szCs w:val="22"/>
                <w:lang w:eastAsia="zh-CN"/>
              </w:rPr>
              <w:t xml:space="preserve"> ar biopsija). </w:t>
            </w:r>
          </w:p>
          <w:p w14:paraId="76E887D6" w14:textId="77777777" w:rsidR="00A27597" w:rsidRPr="00CE7679" w:rsidRDefault="00A27597" w:rsidP="00A27597">
            <w:pPr>
              <w:spacing w:line="240" w:lineRule="auto"/>
              <w:rPr>
                <w:rFonts w:eastAsia="SimSun"/>
                <w:snapToGrid/>
                <w:szCs w:val="22"/>
                <w:lang w:eastAsia="zh-CN"/>
              </w:rPr>
            </w:pPr>
            <w:r w:rsidRPr="00CE7679">
              <w:rPr>
                <w:rFonts w:eastAsia="SimSun"/>
                <w:snapToGrid/>
                <w:szCs w:val="22"/>
                <w:lang w:eastAsia="zh-CN"/>
              </w:rPr>
              <w:t xml:space="preserve">2. Jei </w:t>
            </w:r>
            <w:proofErr w:type="spellStart"/>
            <w:r w:rsidRPr="00CE7679">
              <w:rPr>
                <w:rFonts w:eastAsia="SimSun"/>
                <w:snapToGrid/>
                <w:szCs w:val="22"/>
                <w:lang w:eastAsia="zh-CN"/>
              </w:rPr>
              <w:t>citopenija</w:t>
            </w:r>
            <w:proofErr w:type="spellEnd"/>
            <w:r w:rsidRPr="00CE7679">
              <w:rPr>
                <w:rFonts w:eastAsia="SimSun"/>
                <w:snapToGrid/>
                <w:szCs w:val="22"/>
                <w:lang w:eastAsia="zh-CN"/>
              </w:rPr>
              <w:t xml:space="preserve"> nesusijusi su leukemija,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dozę sumažinti iki 400 mg. </w:t>
            </w:r>
          </w:p>
          <w:p w14:paraId="51B014B4" w14:textId="77777777" w:rsidR="00A27597" w:rsidRPr="00CE7679" w:rsidRDefault="00A27597" w:rsidP="00A27597">
            <w:pPr>
              <w:spacing w:line="240" w:lineRule="auto"/>
              <w:rPr>
                <w:rFonts w:eastAsia="SimSun"/>
                <w:snapToGrid/>
                <w:szCs w:val="22"/>
                <w:lang w:eastAsia="zh-CN"/>
              </w:rPr>
            </w:pPr>
            <w:r w:rsidRPr="00CE7679">
              <w:rPr>
                <w:rFonts w:eastAsia="SimSun"/>
                <w:snapToGrid/>
                <w:szCs w:val="22"/>
                <w:lang w:eastAsia="zh-CN"/>
              </w:rPr>
              <w:t xml:space="preserve">3. Jei </w:t>
            </w:r>
            <w:proofErr w:type="spellStart"/>
            <w:r w:rsidRPr="00CE7679">
              <w:rPr>
                <w:rFonts w:eastAsia="SimSun"/>
                <w:snapToGrid/>
                <w:szCs w:val="22"/>
                <w:lang w:eastAsia="zh-CN"/>
              </w:rPr>
              <w:t>citopenija</w:t>
            </w:r>
            <w:proofErr w:type="spellEnd"/>
            <w:r w:rsidRPr="00CE7679">
              <w:rPr>
                <w:rFonts w:eastAsia="SimSun"/>
                <w:snapToGrid/>
                <w:szCs w:val="22"/>
                <w:lang w:eastAsia="zh-CN"/>
              </w:rPr>
              <w:t xml:space="preserve"> trunka 2 savaites, dozę dar sumažinti iki 300 mg.</w:t>
            </w:r>
          </w:p>
          <w:p w14:paraId="6B170FE2" w14:textId="77777777" w:rsidR="00A27597" w:rsidRPr="00CE7679" w:rsidRDefault="00A27597" w:rsidP="004C1A71">
            <w:pPr>
              <w:widowControl w:val="0"/>
              <w:tabs>
                <w:tab w:val="left" w:pos="540"/>
              </w:tabs>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4. Jei </w:t>
            </w:r>
            <w:proofErr w:type="spellStart"/>
            <w:r w:rsidRPr="00CE7679">
              <w:rPr>
                <w:rFonts w:eastAsia="SimSun"/>
                <w:snapToGrid/>
                <w:szCs w:val="22"/>
                <w:lang w:eastAsia="zh-CN"/>
              </w:rPr>
              <w:t>citopenija</w:t>
            </w:r>
            <w:proofErr w:type="spellEnd"/>
            <w:r w:rsidRPr="00CE7679">
              <w:rPr>
                <w:rFonts w:eastAsia="SimSun"/>
                <w:snapToGrid/>
                <w:szCs w:val="22"/>
                <w:lang w:eastAsia="zh-CN"/>
              </w:rPr>
              <w:t xml:space="preserve"> trunka 4 savaites ir yra nesusijusi su leukemija,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nevartoti tol, kol ANS bus ≥</w:t>
            </w:r>
            <w:r w:rsidR="004C1A71" w:rsidRPr="00CE7679">
              <w:rPr>
                <w:rFonts w:eastAsia="SimSun"/>
                <w:snapToGrid/>
                <w:szCs w:val="22"/>
                <w:lang w:eastAsia="zh-CN"/>
              </w:rPr>
              <w:t> </w:t>
            </w:r>
            <w:r w:rsidRPr="00CE7679">
              <w:rPr>
                <w:rFonts w:eastAsia="SimSun"/>
                <w:snapToGrid/>
                <w:szCs w:val="22"/>
                <w:lang w:eastAsia="zh-CN"/>
              </w:rPr>
              <w:t>1</w:t>
            </w:r>
            <w:r w:rsidR="004C1A71" w:rsidRPr="00CE7679">
              <w:rPr>
                <w:rFonts w:eastAsia="SimSun"/>
                <w:snapToGrid/>
                <w:szCs w:val="22"/>
                <w:lang w:eastAsia="zh-CN"/>
              </w:rPr>
              <w:t> </w:t>
            </w:r>
            <w:r w:rsidRPr="00CE7679">
              <w:rPr>
                <w:rFonts w:eastAsia="SimSun"/>
                <w:snapToGrid/>
                <w:szCs w:val="22"/>
                <w:lang w:eastAsia="zh-CN"/>
              </w:rPr>
              <w:t>x</w:t>
            </w:r>
            <w:r w:rsidR="004C1A71" w:rsidRPr="00CE7679">
              <w:rPr>
                <w:rFonts w:eastAsia="SimSun"/>
                <w:snapToGrid/>
                <w:szCs w:val="22"/>
                <w:lang w:eastAsia="zh-CN"/>
              </w:rPr>
              <w:t> </w:t>
            </w:r>
            <w:r w:rsidRPr="00CE7679">
              <w:rPr>
                <w:rFonts w:eastAsia="SimSun"/>
                <w:snapToGrid/>
                <w:szCs w:val="22"/>
                <w:lang w:eastAsia="zh-CN"/>
              </w:rPr>
              <w:t>10</w:t>
            </w:r>
            <w:r w:rsidRPr="00CE7679">
              <w:rPr>
                <w:rFonts w:eastAsia="SimSun"/>
                <w:snapToGrid/>
                <w:szCs w:val="22"/>
                <w:vertAlign w:val="superscript"/>
                <w:lang w:eastAsia="zh-CN"/>
              </w:rPr>
              <w:t>9</w:t>
            </w:r>
            <w:r w:rsidRPr="00CE7679">
              <w:rPr>
                <w:rFonts w:eastAsia="SimSun"/>
                <w:snapToGrid/>
                <w:szCs w:val="22"/>
                <w:lang w:eastAsia="zh-CN"/>
              </w:rPr>
              <w:t>/l ir trombocitų ≥ 20</w:t>
            </w:r>
            <w:r w:rsidR="004C1A71" w:rsidRPr="00CE7679">
              <w:rPr>
                <w:rFonts w:eastAsia="SimSun"/>
                <w:snapToGrid/>
                <w:szCs w:val="22"/>
                <w:lang w:eastAsia="zh-CN"/>
              </w:rPr>
              <w:t> </w:t>
            </w:r>
            <w:r w:rsidRPr="00CE7679">
              <w:rPr>
                <w:rFonts w:eastAsia="SimSun"/>
                <w:snapToGrid/>
                <w:szCs w:val="22"/>
                <w:lang w:eastAsia="zh-CN"/>
              </w:rPr>
              <w:t>x</w:t>
            </w:r>
            <w:r w:rsidR="004C1A71" w:rsidRPr="00CE7679">
              <w:rPr>
                <w:rFonts w:eastAsia="SimSun"/>
                <w:snapToGrid/>
                <w:szCs w:val="22"/>
                <w:lang w:eastAsia="zh-CN"/>
              </w:rPr>
              <w:t> </w:t>
            </w:r>
            <w:r w:rsidRPr="00CE7679">
              <w:rPr>
                <w:rFonts w:eastAsia="SimSun"/>
                <w:snapToGrid/>
                <w:szCs w:val="22"/>
                <w:lang w:eastAsia="zh-CN"/>
              </w:rPr>
              <w:t>10</w:t>
            </w:r>
            <w:r w:rsidRPr="00CE7679">
              <w:rPr>
                <w:rFonts w:eastAsia="SimSun"/>
                <w:snapToGrid/>
                <w:szCs w:val="22"/>
                <w:vertAlign w:val="superscript"/>
                <w:lang w:eastAsia="zh-CN"/>
              </w:rPr>
              <w:t>9</w:t>
            </w:r>
            <w:r w:rsidRPr="00CE7679">
              <w:rPr>
                <w:rFonts w:eastAsia="SimSun"/>
                <w:snapToGrid/>
                <w:szCs w:val="22"/>
                <w:lang w:eastAsia="zh-CN"/>
              </w:rPr>
              <w:t xml:space="preserve">/l, paskui gydymą atnaujinti 300 mg doze. </w:t>
            </w:r>
          </w:p>
        </w:tc>
      </w:tr>
      <w:tr w:rsidR="00701D61" w:rsidRPr="00CE7679" w14:paraId="75986D6E" w14:textId="77777777" w:rsidTr="00A27597">
        <w:trPr>
          <w:trHeight w:val="1433"/>
        </w:trPr>
        <w:tc>
          <w:tcPr>
            <w:tcW w:w="2974" w:type="dxa"/>
            <w:gridSpan w:val="2"/>
          </w:tcPr>
          <w:p w14:paraId="3C2CCFEA" w14:textId="77777777" w:rsidR="00A27597" w:rsidRPr="00CE7679" w:rsidRDefault="00A27597" w:rsidP="00A27597">
            <w:pPr>
              <w:spacing w:line="240" w:lineRule="auto"/>
              <w:jc w:val="both"/>
              <w:rPr>
                <w:rFonts w:eastAsia="SimSun"/>
                <w:snapToGrid/>
                <w:szCs w:val="22"/>
                <w:lang w:eastAsia="en-GB"/>
              </w:rPr>
            </w:pPr>
            <w:r w:rsidRPr="00CE7679">
              <w:rPr>
                <w:rFonts w:eastAsia="SimSun"/>
                <w:snapToGrid/>
                <w:szCs w:val="22"/>
                <w:lang w:eastAsia="zh-CN"/>
              </w:rPr>
              <w:t xml:space="preserve">Vaikų LML akceleracijos fazė ir </w:t>
            </w:r>
            <w:proofErr w:type="spellStart"/>
            <w:r w:rsidRPr="00CE7679">
              <w:rPr>
                <w:rFonts w:eastAsia="SimSun"/>
                <w:snapToGrid/>
                <w:szCs w:val="22"/>
                <w:lang w:eastAsia="zh-CN"/>
              </w:rPr>
              <w:t>blastinė</w:t>
            </w:r>
            <w:proofErr w:type="spellEnd"/>
            <w:r w:rsidRPr="00CE7679">
              <w:rPr>
                <w:rFonts w:eastAsia="SimSun"/>
                <w:snapToGrid/>
                <w:szCs w:val="22"/>
                <w:lang w:eastAsia="zh-CN"/>
              </w:rPr>
              <w:t xml:space="preserve"> krizė (pradinė dozė 340 mg/m</w:t>
            </w:r>
            <w:r w:rsidRPr="00CE7679">
              <w:rPr>
                <w:rFonts w:eastAsia="SimSun"/>
                <w:snapToGrid/>
                <w:szCs w:val="22"/>
                <w:vertAlign w:val="superscript"/>
                <w:lang w:eastAsia="zh-CN"/>
              </w:rPr>
              <w:t>2</w:t>
            </w:r>
            <w:r w:rsidRPr="00CE7679">
              <w:rPr>
                <w:rFonts w:eastAsia="SimSun"/>
                <w:snapToGrid/>
                <w:szCs w:val="22"/>
                <w:lang w:eastAsia="zh-CN"/>
              </w:rPr>
              <w:t xml:space="preserve">) </w:t>
            </w:r>
          </w:p>
        </w:tc>
        <w:tc>
          <w:tcPr>
            <w:tcW w:w="2974" w:type="dxa"/>
            <w:gridSpan w:val="2"/>
          </w:tcPr>
          <w:p w14:paraId="1E3113F5" w14:textId="77777777" w:rsidR="00A27597" w:rsidRPr="00CE7679" w:rsidRDefault="00A27597" w:rsidP="00A27597">
            <w:pPr>
              <w:spacing w:line="240" w:lineRule="auto"/>
              <w:jc w:val="both"/>
              <w:rPr>
                <w:rFonts w:eastAsia="SimSun"/>
                <w:snapToGrid/>
                <w:szCs w:val="22"/>
                <w:lang w:eastAsia="en-GB"/>
              </w:rPr>
            </w:pPr>
            <w:proofErr w:type="spellStart"/>
            <w:r w:rsidRPr="00CE7679">
              <w:rPr>
                <w:rFonts w:eastAsia="SimSun"/>
                <w:snapToGrid/>
                <w:szCs w:val="22"/>
                <w:vertAlign w:val="superscript"/>
                <w:lang w:eastAsia="zh-CN"/>
              </w:rPr>
              <w:t>a</w:t>
            </w:r>
            <w:r w:rsidRPr="00CE7679">
              <w:rPr>
                <w:rFonts w:eastAsia="SimSun"/>
                <w:snapToGrid/>
                <w:szCs w:val="22"/>
                <w:lang w:eastAsia="zh-CN"/>
              </w:rPr>
              <w:t>ANS</w:t>
            </w:r>
            <w:proofErr w:type="spellEnd"/>
            <w:r w:rsidRPr="00CE7679">
              <w:rPr>
                <w:rFonts w:eastAsia="SimSun"/>
                <w:snapToGrid/>
                <w:szCs w:val="22"/>
                <w:lang w:eastAsia="zh-CN"/>
              </w:rPr>
              <w:t xml:space="preserve"> &lt; 0,5</w:t>
            </w:r>
            <w:r w:rsidR="004C1A71" w:rsidRPr="00CE7679">
              <w:rPr>
                <w:rFonts w:eastAsia="SimSun"/>
                <w:snapToGrid/>
                <w:szCs w:val="22"/>
                <w:lang w:eastAsia="zh-CN"/>
              </w:rPr>
              <w:t> </w:t>
            </w:r>
            <w:r w:rsidRPr="00CE7679">
              <w:rPr>
                <w:rFonts w:eastAsia="SimSun"/>
                <w:snapToGrid/>
                <w:szCs w:val="22"/>
                <w:lang w:eastAsia="zh-CN"/>
              </w:rPr>
              <w:t>x</w:t>
            </w:r>
            <w:r w:rsidR="004C1A71" w:rsidRPr="00CE7679">
              <w:rPr>
                <w:rFonts w:eastAsia="SimSun"/>
                <w:snapToGrid/>
                <w:szCs w:val="22"/>
                <w:lang w:eastAsia="zh-CN"/>
              </w:rPr>
              <w:t> </w:t>
            </w:r>
            <w:r w:rsidRPr="00CE7679">
              <w:rPr>
                <w:rFonts w:eastAsia="SimSun"/>
                <w:snapToGrid/>
                <w:szCs w:val="22"/>
                <w:lang w:eastAsia="zh-CN"/>
              </w:rPr>
              <w:t>10</w:t>
            </w:r>
            <w:r w:rsidRPr="00CE7679">
              <w:rPr>
                <w:rFonts w:eastAsia="SimSun"/>
                <w:snapToGrid/>
                <w:szCs w:val="22"/>
                <w:vertAlign w:val="superscript"/>
                <w:lang w:eastAsia="zh-CN"/>
              </w:rPr>
              <w:t>9</w:t>
            </w:r>
            <w:r w:rsidRPr="00CE7679">
              <w:rPr>
                <w:rFonts w:eastAsia="SimSun"/>
                <w:snapToGrid/>
                <w:szCs w:val="22"/>
                <w:lang w:eastAsia="zh-CN"/>
              </w:rPr>
              <w:t>/l</w:t>
            </w:r>
          </w:p>
          <w:p w14:paraId="5BD77093" w14:textId="77777777" w:rsidR="00A27597" w:rsidRPr="00CE7679" w:rsidRDefault="00A27597" w:rsidP="00A27597">
            <w:pPr>
              <w:spacing w:line="240" w:lineRule="auto"/>
              <w:jc w:val="both"/>
              <w:rPr>
                <w:rFonts w:eastAsia="SimSun"/>
                <w:snapToGrid/>
                <w:szCs w:val="22"/>
                <w:lang w:eastAsia="zh-CN"/>
              </w:rPr>
            </w:pPr>
            <w:r w:rsidRPr="00CE7679">
              <w:rPr>
                <w:rFonts w:eastAsia="SimSun"/>
                <w:snapToGrid/>
                <w:szCs w:val="22"/>
                <w:lang w:eastAsia="zh-CN"/>
              </w:rPr>
              <w:t xml:space="preserve">ir (arba) </w:t>
            </w:r>
          </w:p>
          <w:p w14:paraId="730697AF" w14:textId="77777777" w:rsidR="00A27597" w:rsidRPr="00CE7679" w:rsidRDefault="00A27597" w:rsidP="004C1A71">
            <w:pPr>
              <w:spacing w:line="240" w:lineRule="auto"/>
              <w:jc w:val="both"/>
              <w:rPr>
                <w:rFonts w:eastAsia="SimSun"/>
                <w:snapToGrid/>
                <w:szCs w:val="22"/>
                <w:lang w:eastAsia="en-GB"/>
              </w:rPr>
            </w:pPr>
            <w:r w:rsidRPr="00CE7679">
              <w:rPr>
                <w:rFonts w:eastAsia="SimSun"/>
                <w:snapToGrid/>
                <w:szCs w:val="22"/>
                <w:lang w:eastAsia="zh-CN"/>
              </w:rPr>
              <w:t>trombocitų &lt; 10</w:t>
            </w:r>
            <w:r w:rsidR="004C1A71" w:rsidRPr="00CE7679">
              <w:rPr>
                <w:rFonts w:eastAsia="SimSun"/>
                <w:snapToGrid/>
                <w:szCs w:val="22"/>
                <w:lang w:eastAsia="zh-CN"/>
              </w:rPr>
              <w:t> </w:t>
            </w:r>
            <w:r w:rsidRPr="00CE7679">
              <w:rPr>
                <w:rFonts w:eastAsia="SimSun"/>
                <w:snapToGrid/>
                <w:szCs w:val="22"/>
                <w:lang w:eastAsia="zh-CN"/>
              </w:rPr>
              <w:t>x</w:t>
            </w:r>
            <w:r w:rsidR="004C1A71" w:rsidRPr="00CE7679">
              <w:rPr>
                <w:rFonts w:eastAsia="SimSun"/>
                <w:snapToGrid/>
                <w:szCs w:val="22"/>
                <w:lang w:eastAsia="zh-CN"/>
              </w:rPr>
              <w:t> </w:t>
            </w:r>
            <w:r w:rsidRPr="00CE7679">
              <w:rPr>
                <w:rFonts w:eastAsia="SimSun"/>
                <w:snapToGrid/>
                <w:szCs w:val="22"/>
                <w:lang w:eastAsia="zh-CN"/>
              </w:rPr>
              <w:t>10</w:t>
            </w:r>
            <w:r w:rsidRPr="00CE7679">
              <w:rPr>
                <w:rFonts w:eastAsia="SimSun"/>
                <w:snapToGrid/>
                <w:szCs w:val="22"/>
                <w:vertAlign w:val="superscript"/>
                <w:lang w:eastAsia="zh-CN"/>
              </w:rPr>
              <w:t>9</w:t>
            </w:r>
            <w:r w:rsidRPr="00CE7679">
              <w:rPr>
                <w:rFonts w:eastAsia="SimSun"/>
                <w:snapToGrid/>
                <w:szCs w:val="22"/>
                <w:lang w:eastAsia="zh-CN"/>
              </w:rPr>
              <w:t>/l</w:t>
            </w:r>
          </w:p>
        </w:tc>
        <w:tc>
          <w:tcPr>
            <w:tcW w:w="3374" w:type="dxa"/>
          </w:tcPr>
          <w:p w14:paraId="5EF5FE12" w14:textId="77777777" w:rsidR="00A27597" w:rsidRPr="00CE7679" w:rsidRDefault="00A27597" w:rsidP="00A27597">
            <w:pPr>
              <w:spacing w:line="240" w:lineRule="auto"/>
              <w:jc w:val="both"/>
              <w:rPr>
                <w:rFonts w:eastAsia="SimSun"/>
                <w:snapToGrid/>
                <w:szCs w:val="22"/>
                <w:lang w:eastAsia="en-GB"/>
              </w:rPr>
            </w:pPr>
            <w:r w:rsidRPr="00CE7679">
              <w:rPr>
                <w:rFonts w:eastAsia="SimSun"/>
                <w:snapToGrid/>
                <w:szCs w:val="22"/>
                <w:lang w:eastAsia="zh-CN"/>
              </w:rPr>
              <w:t xml:space="preserve">1. Ištirti, ar </w:t>
            </w:r>
            <w:proofErr w:type="spellStart"/>
            <w:r w:rsidRPr="00CE7679">
              <w:rPr>
                <w:rFonts w:eastAsia="SimSun"/>
                <w:snapToGrid/>
                <w:szCs w:val="22"/>
                <w:lang w:eastAsia="zh-CN"/>
              </w:rPr>
              <w:t>citopenija</w:t>
            </w:r>
            <w:proofErr w:type="spellEnd"/>
            <w:r w:rsidRPr="00CE7679">
              <w:rPr>
                <w:rFonts w:eastAsia="SimSun"/>
                <w:snapToGrid/>
                <w:szCs w:val="22"/>
                <w:lang w:eastAsia="zh-CN"/>
              </w:rPr>
              <w:t xml:space="preserve"> nesusijusi su leukemija (kaulų čiulpų </w:t>
            </w:r>
            <w:proofErr w:type="spellStart"/>
            <w:r w:rsidR="00795D17" w:rsidRPr="00CE7679">
              <w:rPr>
                <w:rFonts w:eastAsia="SimSun"/>
                <w:snapToGrid/>
                <w:szCs w:val="22"/>
                <w:lang w:eastAsia="zh-CN"/>
              </w:rPr>
              <w:t>aspiratas</w:t>
            </w:r>
            <w:proofErr w:type="spellEnd"/>
            <w:r w:rsidRPr="00CE7679">
              <w:rPr>
                <w:rFonts w:eastAsia="SimSun"/>
                <w:snapToGrid/>
                <w:szCs w:val="22"/>
                <w:lang w:eastAsia="zh-CN"/>
              </w:rPr>
              <w:t xml:space="preserve"> ar biopsija).</w:t>
            </w:r>
          </w:p>
          <w:p w14:paraId="1E20EF27" w14:textId="199BFF06" w:rsidR="00A27597" w:rsidRPr="00CE7679" w:rsidRDefault="00A27597" w:rsidP="00A27597">
            <w:pPr>
              <w:spacing w:line="240" w:lineRule="auto"/>
              <w:rPr>
                <w:rFonts w:eastAsia="SimSun"/>
                <w:snapToGrid/>
                <w:szCs w:val="22"/>
                <w:lang w:eastAsia="zh-CN"/>
              </w:rPr>
            </w:pPr>
            <w:r w:rsidRPr="00CE7679">
              <w:rPr>
                <w:rFonts w:eastAsia="SimSun"/>
                <w:snapToGrid/>
                <w:szCs w:val="22"/>
                <w:lang w:eastAsia="zh-CN"/>
              </w:rPr>
              <w:t xml:space="preserve">2. Jei </w:t>
            </w:r>
            <w:proofErr w:type="spellStart"/>
            <w:r w:rsidRPr="00CE7679">
              <w:rPr>
                <w:rFonts w:eastAsia="SimSun"/>
                <w:snapToGrid/>
                <w:szCs w:val="22"/>
                <w:lang w:eastAsia="zh-CN"/>
              </w:rPr>
              <w:t>citopenija</w:t>
            </w:r>
            <w:proofErr w:type="spellEnd"/>
            <w:r w:rsidRPr="00CE7679">
              <w:rPr>
                <w:rFonts w:eastAsia="SimSun"/>
                <w:snapToGrid/>
                <w:szCs w:val="22"/>
                <w:lang w:eastAsia="zh-CN"/>
              </w:rPr>
              <w:t xml:space="preserve"> nesusijusi su leukemija,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dozę sumažinti iki 260 mg/m</w:t>
            </w:r>
            <w:r w:rsidRPr="00CE7679">
              <w:rPr>
                <w:rFonts w:eastAsia="SimSun"/>
                <w:snapToGrid/>
                <w:szCs w:val="22"/>
                <w:vertAlign w:val="superscript"/>
                <w:lang w:eastAsia="zh-CN"/>
              </w:rPr>
              <w:t>2</w:t>
            </w:r>
            <w:r w:rsidRPr="00CE7679">
              <w:rPr>
                <w:rFonts w:eastAsia="SimSun"/>
                <w:snapToGrid/>
                <w:szCs w:val="22"/>
                <w:lang w:eastAsia="zh-CN"/>
              </w:rPr>
              <w:t>.</w:t>
            </w:r>
          </w:p>
          <w:p w14:paraId="7083733F" w14:textId="77777777" w:rsidR="00A27597" w:rsidRPr="00CE7679" w:rsidRDefault="00A27597" w:rsidP="00A27597">
            <w:pPr>
              <w:spacing w:line="240" w:lineRule="auto"/>
              <w:rPr>
                <w:rFonts w:eastAsia="SimSun"/>
                <w:snapToGrid/>
                <w:szCs w:val="22"/>
                <w:lang w:eastAsia="zh-CN"/>
              </w:rPr>
            </w:pPr>
            <w:r w:rsidRPr="00CE7679">
              <w:rPr>
                <w:rFonts w:eastAsia="SimSun"/>
                <w:snapToGrid/>
                <w:szCs w:val="22"/>
                <w:lang w:eastAsia="zh-CN"/>
              </w:rPr>
              <w:t xml:space="preserve">3. Jei </w:t>
            </w:r>
            <w:proofErr w:type="spellStart"/>
            <w:r w:rsidRPr="00CE7679">
              <w:rPr>
                <w:rFonts w:eastAsia="SimSun"/>
                <w:snapToGrid/>
                <w:szCs w:val="22"/>
                <w:lang w:eastAsia="zh-CN"/>
              </w:rPr>
              <w:t>citopenija</w:t>
            </w:r>
            <w:proofErr w:type="spellEnd"/>
            <w:r w:rsidRPr="00CE7679">
              <w:rPr>
                <w:rFonts w:eastAsia="SimSun"/>
                <w:snapToGrid/>
                <w:szCs w:val="22"/>
                <w:lang w:eastAsia="zh-CN"/>
              </w:rPr>
              <w:t xml:space="preserve"> trunka 2 savaites, dozę dar sumažinti iki 200 mg/m</w:t>
            </w:r>
            <w:r w:rsidRPr="00CE7679">
              <w:rPr>
                <w:rFonts w:eastAsia="SimSun"/>
                <w:snapToGrid/>
                <w:szCs w:val="22"/>
                <w:vertAlign w:val="superscript"/>
                <w:lang w:eastAsia="zh-CN"/>
              </w:rPr>
              <w:t>2</w:t>
            </w:r>
            <w:r w:rsidRPr="00CE7679">
              <w:rPr>
                <w:rFonts w:eastAsia="SimSun"/>
                <w:snapToGrid/>
                <w:szCs w:val="22"/>
                <w:lang w:eastAsia="zh-CN"/>
              </w:rPr>
              <w:t xml:space="preserve">. </w:t>
            </w:r>
          </w:p>
          <w:p w14:paraId="7DE92E0C" w14:textId="77777777" w:rsidR="00A27597" w:rsidRPr="00CE7679" w:rsidRDefault="00A27597" w:rsidP="00A27597">
            <w:pPr>
              <w:spacing w:line="240" w:lineRule="auto"/>
              <w:rPr>
                <w:rFonts w:eastAsia="SimSun"/>
                <w:snapToGrid/>
                <w:szCs w:val="22"/>
                <w:lang w:eastAsia="en-GB"/>
              </w:rPr>
            </w:pPr>
            <w:r w:rsidRPr="00CE7679">
              <w:rPr>
                <w:rFonts w:eastAsia="SimSun"/>
                <w:snapToGrid/>
                <w:szCs w:val="22"/>
                <w:lang w:eastAsia="zh-CN"/>
              </w:rPr>
              <w:t xml:space="preserve">4. Jei </w:t>
            </w:r>
            <w:proofErr w:type="spellStart"/>
            <w:r w:rsidRPr="00CE7679">
              <w:rPr>
                <w:rFonts w:eastAsia="SimSun"/>
                <w:snapToGrid/>
                <w:szCs w:val="22"/>
                <w:lang w:eastAsia="zh-CN"/>
              </w:rPr>
              <w:t>citopenija</w:t>
            </w:r>
            <w:proofErr w:type="spellEnd"/>
            <w:r w:rsidRPr="00CE7679">
              <w:rPr>
                <w:rFonts w:eastAsia="SimSun"/>
                <w:snapToGrid/>
                <w:szCs w:val="22"/>
                <w:lang w:eastAsia="zh-CN"/>
              </w:rPr>
              <w:t xml:space="preserve"> trunka 4 savaites ir yra nesusijusi su leukemija,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nevartoti tol, kol bus ANS ≥1 x 10</w:t>
            </w:r>
            <w:r w:rsidRPr="00CE7679">
              <w:rPr>
                <w:rFonts w:eastAsia="SimSun"/>
                <w:snapToGrid/>
                <w:szCs w:val="22"/>
                <w:vertAlign w:val="superscript"/>
                <w:lang w:eastAsia="zh-CN"/>
              </w:rPr>
              <w:t>9</w:t>
            </w:r>
            <w:r w:rsidRPr="00CE7679">
              <w:rPr>
                <w:rFonts w:eastAsia="SimSun"/>
                <w:snapToGrid/>
                <w:szCs w:val="22"/>
                <w:lang w:eastAsia="zh-CN"/>
              </w:rPr>
              <w:t>/l ir trombocitų ≥ 20 x 10</w:t>
            </w:r>
            <w:r w:rsidRPr="00CE7679">
              <w:rPr>
                <w:rFonts w:eastAsia="SimSun"/>
                <w:snapToGrid/>
                <w:szCs w:val="22"/>
                <w:vertAlign w:val="superscript"/>
                <w:lang w:eastAsia="zh-CN"/>
              </w:rPr>
              <w:t>9</w:t>
            </w:r>
            <w:r w:rsidRPr="00CE7679">
              <w:rPr>
                <w:rFonts w:eastAsia="SimSun"/>
                <w:snapToGrid/>
                <w:szCs w:val="22"/>
                <w:lang w:eastAsia="zh-CN"/>
              </w:rPr>
              <w:t>/l, paskui gydymą atnaujinti 200 mg/m</w:t>
            </w:r>
            <w:r w:rsidRPr="00CE7679">
              <w:rPr>
                <w:rFonts w:eastAsia="SimSun"/>
                <w:snapToGrid/>
                <w:szCs w:val="22"/>
                <w:vertAlign w:val="superscript"/>
                <w:lang w:eastAsia="zh-CN"/>
              </w:rPr>
              <w:t>2</w:t>
            </w:r>
            <w:r w:rsidRPr="00CE7679">
              <w:rPr>
                <w:rFonts w:eastAsia="SimSun"/>
                <w:snapToGrid/>
                <w:szCs w:val="22"/>
                <w:lang w:eastAsia="zh-CN"/>
              </w:rPr>
              <w:t xml:space="preserve"> doze. </w:t>
            </w:r>
          </w:p>
        </w:tc>
      </w:tr>
      <w:tr w:rsidR="00701D61" w:rsidRPr="00CE7679" w14:paraId="6789DF65" w14:textId="77777777" w:rsidTr="00A27597">
        <w:trPr>
          <w:trHeight w:val="1433"/>
        </w:trPr>
        <w:tc>
          <w:tcPr>
            <w:tcW w:w="2974" w:type="dxa"/>
            <w:gridSpan w:val="2"/>
          </w:tcPr>
          <w:p w14:paraId="73AB0487" w14:textId="77777777" w:rsidR="00A27597" w:rsidRPr="00CE7679" w:rsidRDefault="00A27597" w:rsidP="00A27597">
            <w:pPr>
              <w:spacing w:line="240" w:lineRule="auto"/>
              <w:jc w:val="both"/>
              <w:rPr>
                <w:rFonts w:eastAsia="SimSun"/>
                <w:snapToGrid/>
                <w:szCs w:val="22"/>
                <w:lang w:eastAsia="zh-CN"/>
              </w:rPr>
            </w:pPr>
            <w:r w:rsidRPr="00CE7679">
              <w:rPr>
                <w:rFonts w:eastAsia="SimSun"/>
                <w:snapToGrid/>
                <w:szCs w:val="22"/>
                <w:lang w:eastAsia="zh-CN"/>
              </w:rPr>
              <w:t>DFSP (kai dozė – 800 mg)</w:t>
            </w:r>
          </w:p>
        </w:tc>
        <w:tc>
          <w:tcPr>
            <w:tcW w:w="2974" w:type="dxa"/>
            <w:gridSpan w:val="2"/>
          </w:tcPr>
          <w:p w14:paraId="02D99AB8" w14:textId="77777777" w:rsidR="00A27597" w:rsidRPr="00CE7679" w:rsidRDefault="00A27597" w:rsidP="004C1A71">
            <w:pPr>
              <w:spacing w:line="240" w:lineRule="auto"/>
              <w:jc w:val="both"/>
              <w:rPr>
                <w:rFonts w:eastAsia="SimSun"/>
                <w:snapToGrid/>
                <w:szCs w:val="22"/>
                <w:lang w:eastAsia="zh-CN"/>
              </w:rPr>
            </w:pPr>
            <w:r w:rsidRPr="00CE7679">
              <w:rPr>
                <w:rFonts w:eastAsia="SimSun"/>
                <w:snapToGrid/>
                <w:szCs w:val="22"/>
                <w:lang w:eastAsia="zh-CN"/>
              </w:rPr>
              <w:t>ANS &lt;</w:t>
            </w:r>
            <w:r w:rsidR="004C1A71" w:rsidRPr="00CE7679">
              <w:rPr>
                <w:rFonts w:eastAsia="SimSun"/>
                <w:snapToGrid/>
                <w:szCs w:val="22"/>
                <w:lang w:eastAsia="zh-CN"/>
              </w:rPr>
              <w:t> </w:t>
            </w:r>
            <w:r w:rsidRPr="00CE7679">
              <w:rPr>
                <w:rFonts w:eastAsia="SimSun"/>
                <w:snapToGrid/>
                <w:szCs w:val="22"/>
                <w:lang w:eastAsia="zh-CN"/>
              </w:rPr>
              <w:t>1,0</w:t>
            </w:r>
            <w:r w:rsidR="004C1A71" w:rsidRPr="00CE7679">
              <w:rPr>
                <w:rFonts w:eastAsia="SimSun"/>
                <w:snapToGrid/>
                <w:szCs w:val="22"/>
                <w:lang w:eastAsia="zh-CN"/>
              </w:rPr>
              <w:t> </w:t>
            </w:r>
            <w:r w:rsidRPr="00CE7679">
              <w:rPr>
                <w:rFonts w:eastAsia="SimSun"/>
                <w:snapToGrid/>
                <w:szCs w:val="22"/>
                <w:lang w:eastAsia="zh-CN"/>
              </w:rPr>
              <w:t>x</w:t>
            </w:r>
            <w:r w:rsidR="004C1A71" w:rsidRPr="00CE7679">
              <w:rPr>
                <w:rFonts w:eastAsia="SimSun"/>
                <w:snapToGrid/>
                <w:szCs w:val="22"/>
                <w:lang w:eastAsia="zh-CN"/>
              </w:rPr>
              <w:t> </w:t>
            </w:r>
            <w:r w:rsidRPr="00CE7679">
              <w:rPr>
                <w:rFonts w:eastAsia="SimSun"/>
                <w:snapToGrid/>
                <w:szCs w:val="22"/>
                <w:lang w:eastAsia="zh-CN"/>
              </w:rPr>
              <w:t>10</w:t>
            </w:r>
            <w:r w:rsidRPr="00CE7679">
              <w:rPr>
                <w:rFonts w:eastAsia="SimSun"/>
                <w:snapToGrid/>
                <w:szCs w:val="22"/>
                <w:vertAlign w:val="superscript"/>
                <w:lang w:eastAsia="zh-CN"/>
              </w:rPr>
              <w:t>9</w:t>
            </w:r>
            <w:r w:rsidRPr="00CE7679">
              <w:rPr>
                <w:rFonts w:eastAsia="SimSun"/>
                <w:snapToGrid/>
                <w:szCs w:val="22"/>
                <w:lang w:eastAsia="zh-CN"/>
              </w:rPr>
              <w:t>/l ir (arba) trombocitų &lt;</w:t>
            </w:r>
            <w:r w:rsidR="004C1A71" w:rsidRPr="00CE7679">
              <w:rPr>
                <w:rFonts w:eastAsia="SimSun"/>
                <w:snapToGrid/>
                <w:szCs w:val="22"/>
                <w:lang w:eastAsia="zh-CN"/>
              </w:rPr>
              <w:t> </w:t>
            </w:r>
            <w:r w:rsidRPr="00CE7679">
              <w:rPr>
                <w:rFonts w:eastAsia="SimSun"/>
                <w:snapToGrid/>
                <w:szCs w:val="22"/>
                <w:lang w:eastAsia="zh-CN"/>
              </w:rPr>
              <w:t>50</w:t>
            </w:r>
            <w:r w:rsidR="004C1A71" w:rsidRPr="00CE7679">
              <w:rPr>
                <w:rFonts w:eastAsia="SimSun"/>
                <w:snapToGrid/>
                <w:szCs w:val="22"/>
                <w:lang w:eastAsia="zh-CN"/>
              </w:rPr>
              <w:t> </w:t>
            </w:r>
            <w:r w:rsidRPr="00CE7679">
              <w:rPr>
                <w:rFonts w:eastAsia="SimSun"/>
                <w:snapToGrid/>
                <w:szCs w:val="22"/>
                <w:lang w:eastAsia="zh-CN"/>
              </w:rPr>
              <w:t>x</w:t>
            </w:r>
            <w:r w:rsidR="004C1A71" w:rsidRPr="00CE7679">
              <w:rPr>
                <w:rFonts w:eastAsia="SimSun"/>
                <w:snapToGrid/>
                <w:szCs w:val="22"/>
                <w:lang w:eastAsia="zh-CN"/>
              </w:rPr>
              <w:t> </w:t>
            </w:r>
            <w:r w:rsidRPr="00CE7679">
              <w:rPr>
                <w:rFonts w:eastAsia="SimSun"/>
                <w:snapToGrid/>
                <w:szCs w:val="22"/>
                <w:lang w:eastAsia="zh-CN"/>
              </w:rPr>
              <w:t>10</w:t>
            </w:r>
            <w:r w:rsidRPr="00CE7679">
              <w:rPr>
                <w:rFonts w:eastAsia="SimSun"/>
                <w:snapToGrid/>
                <w:szCs w:val="22"/>
                <w:vertAlign w:val="superscript"/>
                <w:lang w:eastAsia="zh-CN"/>
              </w:rPr>
              <w:t>9</w:t>
            </w:r>
            <w:r w:rsidRPr="00CE7679">
              <w:rPr>
                <w:rFonts w:eastAsia="SimSun"/>
                <w:snapToGrid/>
                <w:szCs w:val="22"/>
                <w:lang w:eastAsia="zh-CN"/>
              </w:rPr>
              <w:t>/l</w:t>
            </w:r>
            <w:r w:rsidRPr="00CE7679">
              <w:rPr>
                <w:rFonts w:eastAsia="SimSun"/>
                <w:snapToGrid/>
                <w:szCs w:val="22"/>
                <w:vertAlign w:val="superscript"/>
                <w:lang w:eastAsia="zh-CN"/>
              </w:rPr>
              <w:t xml:space="preserve"> </w:t>
            </w:r>
          </w:p>
        </w:tc>
        <w:tc>
          <w:tcPr>
            <w:tcW w:w="3374" w:type="dxa"/>
          </w:tcPr>
          <w:p w14:paraId="71113911" w14:textId="77777777" w:rsidR="00A27597" w:rsidRPr="00CE7679" w:rsidRDefault="00A27597" w:rsidP="00A27597">
            <w:pPr>
              <w:spacing w:line="240" w:lineRule="auto"/>
              <w:jc w:val="both"/>
              <w:rPr>
                <w:rFonts w:eastAsia="SimSun"/>
                <w:snapToGrid/>
                <w:szCs w:val="22"/>
                <w:lang w:eastAsia="zh-CN"/>
              </w:rPr>
            </w:pPr>
            <w:r w:rsidRPr="00CE7679">
              <w:rPr>
                <w:rFonts w:eastAsia="SimSun"/>
                <w:snapToGrid/>
                <w:szCs w:val="22"/>
                <w:lang w:eastAsia="zh-CN"/>
              </w:rPr>
              <w:t xml:space="preserve">1.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vartojimą nutraukti, kol ANS bus ≥</w:t>
            </w:r>
            <w:r w:rsidR="004C1A71" w:rsidRPr="00CE7679">
              <w:rPr>
                <w:rFonts w:eastAsia="SimSun"/>
                <w:snapToGrid/>
                <w:szCs w:val="22"/>
                <w:lang w:eastAsia="zh-CN"/>
              </w:rPr>
              <w:t> </w:t>
            </w:r>
            <w:r w:rsidRPr="00CE7679">
              <w:rPr>
                <w:rFonts w:eastAsia="SimSun"/>
                <w:snapToGrid/>
                <w:szCs w:val="22"/>
                <w:lang w:eastAsia="zh-CN"/>
              </w:rPr>
              <w:t>1,5</w:t>
            </w:r>
            <w:r w:rsidR="004C1A71" w:rsidRPr="00CE7679">
              <w:rPr>
                <w:rFonts w:eastAsia="SimSun"/>
                <w:snapToGrid/>
                <w:szCs w:val="22"/>
                <w:lang w:eastAsia="zh-CN"/>
              </w:rPr>
              <w:t> </w:t>
            </w:r>
            <w:r w:rsidRPr="00CE7679">
              <w:rPr>
                <w:rFonts w:eastAsia="SimSun"/>
                <w:snapToGrid/>
                <w:szCs w:val="22"/>
                <w:lang w:eastAsia="zh-CN"/>
              </w:rPr>
              <w:t>x</w:t>
            </w:r>
            <w:r w:rsidR="004C1A71" w:rsidRPr="00CE7679">
              <w:rPr>
                <w:rFonts w:eastAsia="SimSun"/>
                <w:snapToGrid/>
                <w:szCs w:val="22"/>
                <w:lang w:eastAsia="zh-CN"/>
              </w:rPr>
              <w:t> </w:t>
            </w:r>
            <w:r w:rsidRPr="00CE7679">
              <w:rPr>
                <w:rFonts w:eastAsia="SimSun"/>
                <w:snapToGrid/>
                <w:szCs w:val="22"/>
                <w:lang w:eastAsia="zh-CN"/>
              </w:rPr>
              <w:t>10</w:t>
            </w:r>
            <w:r w:rsidRPr="00CE7679">
              <w:rPr>
                <w:rFonts w:eastAsia="SimSun"/>
                <w:snapToGrid/>
                <w:szCs w:val="22"/>
                <w:vertAlign w:val="superscript"/>
                <w:lang w:eastAsia="zh-CN"/>
              </w:rPr>
              <w:t>9</w:t>
            </w:r>
            <w:r w:rsidRPr="00CE7679">
              <w:rPr>
                <w:rFonts w:eastAsia="SimSun"/>
                <w:snapToGrid/>
                <w:szCs w:val="22"/>
                <w:lang w:eastAsia="zh-CN"/>
              </w:rPr>
              <w:t>/l ir trombocitų ≥</w:t>
            </w:r>
            <w:r w:rsidR="004C1A71" w:rsidRPr="00CE7679">
              <w:rPr>
                <w:rFonts w:eastAsia="SimSun"/>
                <w:snapToGrid/>
                <w:szCs w:val="22"/>
                <w:lang w:eastAsia="zh-CN"/>
              </w:rPr>
              <w:t> </w:t>
            </w:r>
            <w:r w:rsidRPr="00CE7679">
              <w:rPr>
                <w:rFonts w:eastAsia="SimSun"/>
                <w:snapToGrid/>
                <w:szCs w:val="22"/>
                <w:lang w:eastAsia="zh-CN"/>
              </w:rPr>
              <w:t>75</w:t>
            </w:r>
            <w:r w:rsidR="004C1A71" w:rsidRPr="00CE7679">
              <w:rPr>
                <w:rFonts w:eastAsia="SimSun"/>
                <w:snapToGrid/>
                <w:szCs w:val="22"/>
                <w:lang w:eastAsia="zh-CN"/>
              </w:rPr>
              <w:t> </w:t>
            </w:r>
            <w:r w:rsidRPr="00CE7679">
              <w:rPr>
                <w:rFonts w:eastAsia="SimSun"/>
                <w:snapToGrid/>
                <w:szCs w:val="22"/>
                <w:lang w:eastAsia="zh-CN"/>
              </w:rPr>
              <w:t>x</w:t>
            </w:r>
            <w:r w:rsidR="004C1A71" w:rsidRPr="00CE7679">
              <w:rPr>
                <w:rFonts w:eastAsia="SimSun"/>
                <w:snapToGrid/>
                <w:szCs w:val="22"/>
                <w:lang w:eastAsia="zh-CN"/>
              </w:rPr>
              <w:t> </w:t>
            </w:r>
            <w:r w:rsidRPr="00CE7679">
              <w:rPr>
                <w:rFonts w:eastAsia="SimSun"/>
                <w:snapToGrid/>
                <w:szCs w:val="22"/>
                <w:lang w:eastAsia="zh-CN"/>
              </w:rPr>
              <w:t>10</w:t>
            </w:r>
            <w:r w:rsidRPr="00CE7679">
              <w:rPr>
                <w:rFonts w:eastAsia="SimSun"/>
                <w:snapToGrid/>
                <w:szCs w:val="22"/>
                <w:vertAlign w:val="superscript"/>
                <w:lang w:eastAsia="zh-CN"/>
              </w:rPr>
              <w:t>9</w:t>
            </w:r>
            <w:r w:rsidRPr="00CE7679">
              <w:rPr>
                <w:rFonts w:eastAsia="SimSun"/>
                <w:snapToGrid/>
                <w:szCs w:val="22"/>
                <w:lang w:eastAsia="zh-CN"/>
              </w:rPr>
              <w:t xml:space="preserve">/l. </w:t>
            </w:r>
          </w:p>
          <w:p w14:paraId="3CC7322C" w14:textId="77777777" w:rsidR="00A27597" w:rsidRPr="00CE7679" w:rsidRDefault="00A27597" w:rsidP="00A27597">
            <w:pPr>
              <w:spacing w:line="240" w:lineRule="auto"/>
              <w:jc w:val="both"/>
              <w:rPr>
                <w:rFonts w:eastAsia="SimSun"/>
                <w:snapToGrid/>
                <w:szCs w:val="22"/>
                <w:lang w:eastAsia="zh-CN"/>
              </w:rPr>
            </w:pPr>
            <w:r w:rsidRPr="00CE7679">
              <w:rPr>
                <w:rFonts w:eastAsia="SimSun"/>
                <w:snapToGrid/>
                <w:szCs w:val="22"/>
                <w:lang w:eastAsia="zh-CN"/>
              </w:rPr>
              <w:t xml:space="preserve">2. Gydymą </w:t>
            </w:r>
            <w:proofErr w:type="spellStart"/>
            <w:r w:rsidRPr="00CE7679">
              <w:rPr>
                <w:rFonts w:eastAsia="SimSun"/>
                <w:snapToGrid/>
                <w:szCs w:val="22"/>
                <w:lang w:eastAsia="zh-CN"/>
              </w:rPr>
              <w:t>imatinibu</w:t>
            </w:r>
            <w:proofErr w:type="spellEnd"/>
            <w:r w:rsidRPr="00CE7679">
              <w:rPr>
                <w:rFonts w:eastAsia="SimSun"/>
                <w:snapToGrid/>
                <w:szCs w:val="22"/>
                <w:lang w:eastAsia="zh-CN"/>
              </w:rPr>
              <w:t xml:space="preserve"> atnaujinti 600 mg doze. </w:t>
            </w:r>
          </w:p>
          <w:p w14:paraId="40DC893E" w14:textId="77777777" w:rsidR="00A27597" w:rsidRPr="00CE7679" w:rsidRDefault="00A27597" w:rsidP="004C1A71">
            <w:pPr>
              <w:spacing w:line="240" w:lineRule="auto"/>
              <w:rPr>
                <w:rFonts w:eastAsia="SimSun"/>
                <w:snapToGrid/>
                <w:szCs w:val="22"/>
                <w:lang w:eastAsia="zh-CN"/>
              </w:rPr>
            </w:pPr>
            <w:r w:rsidRPr="00CE7679">
              <w:rPr>
                <w:rFonts w:eastAsia="SimSun"/>
                <w:snapToGrid/>
                <w:szCs w:val="22"/>
                <w:lang w:eastAsia="zh-CN"/>
              </w:rPr>
              <w:t>3. Kartotinai sumažėjus ANS &lt;</w:t>
            </w:r>
            <w:r w:rsidR="004C1A71" w:rsidRPr="00CE7679">
              <w:rPr>
                <w:rFonts w:eastAsia="SimSun"/>
                <w:snapToGrid/>
                <w:szCs w:val="22"/>
                <w:lang w:eastAsia="zh-CN"/>
              </w:rPr>
              <w:t> </w:t>
            </w:r>
            <w:r w:rsidRPr="00CE7679">
              <w:rPr>
                <w:rFonts w:eastAsia="SimSun"/>
                <w:snapToGrid/>
                <w:szCs w:val="22"/>
                <w:lang w:eastAsia="zh-CN"/>
              </w:rPr>
              <w:t>1,0</w:t>
            </w:r>
            <w:r w:rsidR="004C1A71" w:rsidRPr="00CE7679">
              <w:rPr>
                <w:rFonts w:eastAsia="SimSun"/>
                <w:snapToGrid/>
                <w:szCs w:val="22"/>
                <w:lang w:eastAsia="zh-CN"/>
              </w:rPr>
              <w:t> </w:t>
            </w:r>
            <w:r w:rsidRPr="00CE7679">
              <w:rPr>
                <w:rFonts w:eastAsia="SimSun"/>
                <w:snapToGrid/>
                <w:szCs w:val="22"/>
                <w:lang w:eastAsia="zh-CN"/>
              </w:rPr>
              <w:t>x</w:t>
            </w:r>
            <w:r w:rsidR="004C1A71" w:rsidRPr="00CE7679">
              <w:rPr>
                <w:rFonts w:eastAsia="SimSun"/>
                <w:snapToGrid/>
                <w:szCs w:val="22"/>
                <w:lang w:eastAsia="zh-CN"/>
              </w:rPr>
              <w:t> </w:t>
            </w:r>
            <w:r w:rsidRPr="00CE7679">
              <w:rPr>
                <w:rFonts w:eastAsia="SimSun"/>
                <w:snapToGrid/>
                <w:szCs w:val="22"/>
                <w:lang w:eastAsia="zh-CN"/>
              </w:rPr>
              <w:t>10</w:t>
            </w:r>
            <w:r w:rsidRPr="00CE7679">
              <w:rPr>
                <w:rFonts w:eastAsia="SimSun"/>
                <w:snapToGrid/>
                <w:szCs w:val="22"/>
                <w:vertAlign w:val="superscript"/>
                <w:lang w:eastAsia="zh-CN"/>
              </w:rPr>
              <w:t>9</w:t>
            </w:r>
            <w:r w:rsidRPr="00CE7679">
              <w:rPr>
                <w:rFonts w:eastAsia="SimSun"/>
                <w:snapToGrid/>
                <w:szCs w:val="22"/>
                <w:lang w:eastAsia="zh-CN"/>
              </w:rPr>
              <w:t>/l ir (arba) trombocitų &lt;</w:t>
            </w:r>
            <w:r w:rsidR="004C1A71" w:rsidRPr="00CE7679">
              <w:rPr>
                <w:rFonts w:eastAsia="SimSun"/>
                <w:snapToGrid/>
                <w:szCs w:val="22"/>
                <w:lang w:eastAsia="zh-CN"/>
              </w:rPr>
              <w:t> </w:t>
            </w:r>
            <w:r w:rsidRPr="00CE7679">
              <w:rPr>
                <w:rFonts w:eastAsia="SimSun"/>
                <w:snapToGrid/>
                <w:szCs w:val="22"/>
                <w:lang w:eastAsia="zh-CN"/>
              </w:rPr>
              <w:t>50</w:t>
            </w:r>
            <w:r w:rsidR="004C1A71" w:rsidRPr="00CE7679">
              <w:rPr>
                <w:rFonts w:eastAsia="SimSun"/>
                <w:snapToGrid/>
                <w:szCs w:val="22"/>
                <w:lang w:eastAsia="zh-CN"/>
              </w:rPr>
              <w:t> </w:t>
            </w:r>
            <w:r w:rsidRPr="00CE7679">
              <w:rPr>
                <w:rFonts w:eastAsia="SimSun"/>
                <w:snapToGrid/>
                <w:szCs w:val="22"/>
                <w:lang w:eastAsia="zh-CN"/>
              </w:rPr>
              <w:t>x</w:t>
            </w:r>
            <w:r w:rsidR="004C1A71" w:rsidRPr="00CE7679">
              <w:rPr>
                <w:rFonts w:eastAsia="SimSun"/>
                <w:snapToGrid/>
                <w:szCs w:val="22"/>
                <w:lang w:eastAsia="zh-CN"/>
              </w:rPr>
              <w:t> </w:t>
            </w:r>
            <w:r w:rsidRPr="00CE7679">
              <w:rPr>
                <w:rFonts w:eastAsia="SimSun"/>
                <w:snapToGrid/>
                <w:szCs w:val="22"/>
                <w:lang w:eastAsia="zh-CN"/>
              </w:rPr>
              <w:t>10</w:t>
            </w:r>
            <w:r w:rsidRPr="00CE7679">
              <w:rPr>
                <w:rFonts w:eastAsia="SimSun"/>
                <w:snapToGrid/>
                <w:szCs w:val="22"/>
                <w:vertAlign w:val="superscript"/>
                <w:lang w:eastAsia="zh-CN"/>
              </w:rPr>
              <w:t>9</w:t>
            </w:r>
            <w:r w:rsidRPr="00CE7679">
              <w:rPr>
                <w:rFonts w:eastAsia="SimSun"/>
                <w:snapToGrid/>
                <w:szCs w:val="22"/>
                <w:lang w:eastAsia="zh-CN"/>
              </w:rPr>
              <w:t xml:space="preserve">/l, kartoti nuo 1-ojo punkto ir gydymą </w:t>
            </w:r>
            <w:proofErr w:type="spellStart"/>
            <w:r w:rsidRPr="00CE7679">
              <w:rPr>
                <w:rFonts w:eastAsia="SimSun"/>
                <w:snapToGrid/>
                <w:szCs w:val="22"/>
                <w:lang w:eastAsia="zh-CN"/>
              </w:rPr>
              <w:t>imatinibu</w:t>
            </w:r>
            <w:proofErr w:type="spellEnd"/>
            <w:r w:rsidRPr="00CE7679">
              <w:rPr>
                <w:rFonts w:eastAsia="SimSun"/>
                <w:snapToGrid/>
                <w:szCs w:val="22"/>
                <w:lang w:eastAsia="zh-CN"/>
              </w:rPr>
              <w:t xml:space="preserve"> atnaujinti sumažinta 400 mg doze.</w:t>
            </w:r>
          </w:p>
        </w:tc>
      </w:tr>
      <w:tr w:rsidR="00A27597" w:rsidRPr="00CE7679" w14:paraId="1730C774" w14:textId="77777777" w:rsidTr="00A27597">
        <w:trPr>
          <w:trHeight w:val="516"/>
        </w:trPr>
        <w:tc>
          <w:tcPr>
            <w:tcW w:w="9322" w:type="dxa"/>
            <w:gridSpan w:val="5"/>
          </w:tcPr>
          <w:p w14:paraId="2F4C17A9" w14:textId="77777777" w:rsidR="00A27597" w:rsidRPr="00CE7679" w:rsidRDefault="00A27597" w:rsidP="00A27597">
            <w:pPr>
              <w:spacing w:line="240" w:lineRule="auto"/>
              <w:jc w:val="both"/>
              <w:rPr>
                <w:rFonts w:eastAsia="SimSun"/>
                <w:snapToGrid/>
                <w:szCs w:val="22"/>
                <w:lang w:eastAsia="en-GB"/>
              </w:rPr>
            </w:pPr>
            <w:r w:rsidRPr="00CE7679">
              <w:rPr>
                <w:rFonts w:eastAsia="SimSun"/>
                <w:snapToGrid/>
                <w:szCs w:val="22"/>
                <w:lang w:eastAsia="zh-CN"/>
              </w:rPr>
              <w:t xml:space="preserve">ANS = absoliutus </w:t>
            </w:r>
            <w:proofErr w:type="spellStart"/>
            <w:r w:rsidRPr="00CE7679">
              <w:rPr>
                <w:rFonts w:eastAsia="SimSun"/>
                <w:snapToGrid/>
                <w:szCs w:val="22"/>
                <w:lang w:eastAsia="zh-CN"/>
              </w:rPr>
              <w:t>neutrofilų</w:t>
            </w:r>
            <w:proofErr w:type="spellEnd"/>
            <w:r w:rsidRPr="00CE7679">
              <w:rPr>
                <w:rFonts w:eastAsia="SimSun"/>
                <w:snapToGrid/>
                <w:szCs w:val="22"/>
                <w:lang w:eastAsia="zh-CN"/>
              </w:rPr>
              <w:t xml:space="preserve"> skaičius </w:t>
            </w:r>
          </w:p>
          <w:p w14:paraId="15346C70" w14:textId="77777777" w:rsidR="00A27597" w:rsidRPr="00CE7679" w:rsidRDefault="00A27597" w:rsidP="00A27597">
            <w:pPr>
              <w:spacing w:line="240" w:lineRule="auto"/>
              <w:jc w:val="both"/>
              <w:rPr>
                <w:rFonts w:eastAsia="SimSun"/>
                <w:snapToGrid/>
                <w:szCs w:val="22"/>
                <w:lang w:eastAsia="en-GB"/>
              </w:rPr>
            </w:pPr>
            <w:r w:rsidRPr="00CE7679">
              <w:rPr>
                <w:rFonts w:eastAsia="SimSun"/>
                <w:snapToGrid/>
                <w:szCs w:val="22"/>
                <w:vertAlign w:val="superscript"/>
                <w:lang w:eastAsia="zh-CN"/>
              </w:rPr>
              <w:t>a</w:t>
            </w:r>
            <w:r w:rsidRPr="00CE7679">
              <w:rPr>
                <w:rFonts w:eastAsia="SimSun"/>
                <w:snapToGrid/>
                <w:szCs w:val="22"/>
                <w:lang w:eastAsia="zh-CN"/>
              </w:rPr>
              <w:t xml:space="preserve"> atsiranda mažiausiai po 1 gydymo mėnesio </w:t>
            </w:r>
          </w:p>
        </w:tc>
      </w:tr>
    </w:tbl>
    <w:p w14:paraId="45605A8C" w14:textId="77777777" w:rsidR="00A27597" w:rsidRPr="00CE7679" w:rsidRDefault="00A27597" w:rsidP="00A27597">
      <w:pPr>
        <w:spacing w:line="240" w:lineRule="auto"/>
        <w:rPr>
          <w:rFonts w:eastAsia="SimSun"/>
          <w:i/>
          <w:iCs/>
          <w:snapToGrid/>
          <w:szCs w:val="22"/>
          <w:lang w:eastAsia="zh-CN"/>
        </w:rPr>
      </w:pPr>
    </w:p>
    <w:p w14:paraId="1C7E898C" w14:textId="77777777" w:rsidR="00A27597" w:rsidRPr="00CE7679" w:rsidRDefault="00A27597" w:rsidP="00A27597">
      <w:pPr>
        <w:spacing w:line="240" w:lineRule="auto"/>
        <w:rPr>
          <w:rFonts w:eastAsia="SimSun"/>
          <w:iCs/>
          <w:snapToGrid/>
          <w:szCs w:val="22"/>
          <w:u w:val="single"/>
          <w:lang w:eastAsia="zh-CN"/>
        </w:rPr>
      </w:pPr>
      <w:r w:rsidRPr="00CE7679">
        <w:rPr>
          <w:rFonts w:eastAsia="SimSun"/>
          <w:iCs/>
          <w:snapToGrid/>
          <w:szCs w:val="22"/>
          <w:u w:val="single"/>
          <w:lang w:eastAsia="zh-CN"/>
        </w:rPr>
        <w:t>Ypatingos populiacijos</w:t>
      </w:r>
    </w:p>
    <w:p w14:paraId="3D6F8DC9" w14:textId="77777777" w:rsidR="00A27597" w:rsidRPr="00CE7679" w:rsidRDefault="00A27597" w:rsidP="00A27597">
      <w:pPr>
        <w:spacing w:line="240" w:lineRule="auto"/>
        <w:rPr>
          <w:rFonts w:eastAsia="SimSun"/>
          <w:i/>
          <w:iCs/>
          <w:snapToGrid/>
          <w:szCs w:val="22"/>
          <w:lang w:eastAsia="zh-CN"/>
        </w:rPr>
      </w:pPr>
      <w:r w:rsidRPr="00CE7679">
        <w:rPr>
          <w:rFonts w:eastAsia="SimSun"/>
          <w:i/>
          <w:iCs/>
          <w:snapToGrid/>
          <w:szCs w:val="22"/>
          <w:lang w:eastAsia="zh-CN"/>
        </w:rPr>
        <w:t xml:space="preserve">Vaikų populiacija </w:t>
      </w:r>
    </w:p>
    <w:p w14:paraId="7B9F2E42" w14:textId="7EB2865C" w:rsidR="00A27597" w:rsidRPr="00CE7679" w:rsidRDefault="00A27597" w:rsidP="00A27597">
      <w:pPr>
        <w:spacing w:line="240" w:lineRule="auto"/>
        <w:rPr>
          <w:rFonts w:eastAsia="SimSun"/>
          <w:snapToGrid/>
          <w:szCs w:val="22"/>
          <w:lang w:eastAsia="zh-CN"/>
        </w:rPr>
      </w:pPr>
      <w:r w:rsidRPr="00CE7679">
        <w:rPr>
          <w:rFonts w:eastAsia="SimSun"/>
          <w:snapToGrid/>
          <w:szCs w:val="22"/>
          <w:lang w:eastAsia="zh-CN"/>
        </w:rPr>
        <w:lastRenderedPageBreak/>
        <w:t>Vartojimo vaikams, jaunesniems kaip 2</w:t>
      </w:r>
      <w:r w:rsidR="004C1A71" w:rsidRPr="00CE7679">
        <w:rPr>
          <w:rFonts w:eastAsia="SimSun"/>
          <w:snapToGrid/>
          <w:szCs w:val="22"/>
          <w:lang w:eastAsia="zh-CN"/>
        </w:rPr>
        <w:t> </w:t>
      </w:r>
      <w:r w:rsidRPr="00CE7679">
        <w:rPr>
          <w:rFonts w:eastAsia="SimSun"/>
          <w:snapToGrid/>
          <w:szCs w:val="22"/>
          <w:lang w:eastAsia="zh-CN"/>
        </w:rPr>
        <w:t>metų ir sergantiems LML</w:t>
      </w:r>
      <w:r w:rsidRPr="00CE7679">
        <w:t xml:space="preserve"> ir </w:t>
      </w:r>
      <w:r w:rsidRPr="00CE7679">
        <w:rPr>
          <w:rFonts w:eastAsia="SimSun"/>
          <w:snapToGrid/>
          <w:szCs w:val="22"/>
          <w:lang w:eastAsia="zh-CN"/>
        </w:rPr>
        <w:t>jaunesniems kaip 1</w:t>
      </w:r>
      <w:r w:rsidR="004C1A71" w:rsidRPr="00CE7679">
        <w:rPr>
          <w:rFonts w:eastAsia="SimSun"/>
          <w:snapToGrid/>
          <w:szCs w:val="22"/>
          <w:lang w:eastAsia="zh-CN"/>
        </w:rPr>
        <w:t> </w:t>
      </w:r>
      <w:r w:rsidRPr="00CE7679">
        <w:rPr>
          <w:rFonts w:eastAsia="SimSun"/>
          <w:snapToGrid/>
          <w:szCs w:val="22"/>
          <w:lang w:eastAsia="zh-CN"/>
        </w:rPr>
        <w:t xml:space="preserve">metų ir sergantiems </w:t>
      </w:r>
      <w:proofErr w:type="spellStart"/>
      <w:r w:rsidRPr="00CE7679">
        <w:rPr>
          <w:rFonts w:eastAsia="SimSun"/>
          <w:snapToGrid/>
          <w:szCs w:val="22"/>
          <w:lang w:eastAsia="zh-CN"/>
        </w:rPr>
        <w:t>Ph</w:t>
      </w:r>
      <w:proofErr w:type="spellEnd"/>
      <w:r w:rsidRPr="00CE7679">
        <w:rPr>
          <w:rFonts w:eastAsia="SimSun"/>
          <w:snapToGrid/>
          <w:szCs w:val="22"/>
          <w:lang w:eastAsia="zh-CN"/>
        </w:rPr>
        <w:t>+ ŪLL, patirties nėra (žr.</w:t>
      </w:r>
      <w:r w:rsidR="0034778A">
        <w:rPr>
          <w:rFonts w:eastAsia="SimSun"/>
          <w:snapToGrid/>
          <w:szCs w:val="22"/>
          <w:lang w:eastAsia="zh-CN"/>
        </w:rPr>
        <w:t> </w:t>
      </w:r>
      <w:r w:rsidRPr="00CE7679">
        <w:rPr>
          <w:rFonts w:eastAsia="SimSun"/>
          <w:snapToGrid/>
          <w:szCs w:val="22"/>
          <w:lang w:eastAsia="zh-CN"/>
        </w:rPr>
        <w:t>5.1</w:t>
      </w:r>
      <w:r w:rsidR="000E7026">
        <w:rPr>
          <w:rFonts w:eastAsia="SimSun"/>
          <w:snapToGrid/>
          <w:szCs w:val="22"/>
          <w:lang w:eastAsia="zh-CN"/>
        </w:rPr>
        <w:t> </w:t>
      </w:r>
      <w:r w:rsidRPr="00CE7679">
        <w:rPr>
          <w:rFonts w:eastAsia="SimSun"/>
          <w:snapToGrid/>
          <w:szCs w:val="22"/>
          <w:lang w:eastAsia="zh-CN"/>
        </w:rPr>
        <w:t>skyrių). Vartojimo patirtis vaikams, sergantiems MDS/MPL, DFSP</w:t>
      </w:r>
      <w:r w:rsidR="009F65C9">
        <w:rPr>
          <w:rFonts w:eastAsia="SimSun"/>
          <w:snapToGrid/>
          <w:szCs w:val="22"/>
          <w:lang w:eastAsia="zh-CN"/>
        </w:rPr>
        <w:t>, VTSN</w:t>
      </w:r>
      <w:r w:rsidRPr="00CE7679">
        <w:rPr>
          <w:rFonts w:eastAsia="SimSun"/>
          <w:snapToGrid/>
          <w:szCs w:val="22"/>
          <w:lang w:eastAsia="zh-CN"/>
        </w:rPr>
        <w:t xml:space="preserve"> ir HES/LEL, labai ribota.</w:t>
      </w:r>
    </w:p>
    <w:p w14:paraId="24BE9CCE" w14:textId="77777777" w:rsidR="00A27597" w:rsidRPr="00CE7679" w:rsidRDefault="00A27597" w:rsidP="00A27597">
      <w:pPr>
        <w:spacing w:line="240" w:lineRule="auto"/>
        <w:rPr>
          <w:rFonts w:eastAsia="SimSun"/>
          <w:snapToGrid/>
          <w:szCs w:val="22"/>
          <w:lang w:eastAsia="zh-CN"/>
        </w:rPr>
      </w:pPr>
    </w:p>
    <w:p w14:paraId="3F924402" w14:textId="77777777" w:rsidR="00A27597" w:rsidRPr="00CE7679" w:rsidRDefault="00A27597" w:rsidP="00A27597">
      <w:pPr>
        <w:spacing w:line="240" w:lineRule="auto"/>
        <w:rPr>
          <w:rFonts w:eastAsia="SimSun"/>
          <w:snapToGrid/>
          <w:szCs w:val="22"/>
          <w:lang w:eastAsia="zh-CN"/>
        </w:rPr>
      </w:pPr>
      <w:r w:rsidRPr="00CE7679">
        <w:rPr>
          <w:rFonts w:eastAsia="SimSun"/>
          <w:snapToGrid/>
          <w:szCs w:val="22"/>
          <w:lang w:eastAsia="zh-CN"/>
        </w:rPr>
        <w:t xml:space="preserve">Klinikinių tyrimų metu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saugumas ir veiksmingumas jaunesniems kaip 18 metų vaikams, sergantiems MDS/MPL, DFSP</w:t>
      </w:r>
      <w:r w:rsidR="009F65C9">
        <w:rPr>
          <w:rFonts w:eastAsia="SimSun"/>
          <w:snapToGrid/>
          <w:szCs w:val="22"/>
          <w:lang w:eastAsia="zh-CN"/>
        </w:rPr>
        <w:t>,VTSN</w:t>
      </w:r>
      <w:r w:rsidRPr="00CE7679">
        <w:rPr>
          <w:rFonts w:eastAsia="SimSun"/>
          <w:snapToGrid/>
          <w:szCs w:val="22"/>
          <w:lang w:eastAsia="zh-CN"/>
        </w:rPr>
        <w:t xml:space="preserve"> ir HES/LEL, neištirti. Turimi literatūros duomenys pateikiami 5.1 skyriuje, tačiau dozavimo rekomendacijų pateikti negalima.</w:t>
      </w:r>
    </w:p>
    <w:p w14:paraId="6947CAE7" w14:textId="77777777" w:rsidR="00A27597" w:rsidRPr="00CE7679" w:rsidRDefault="00A27597" w:rsidP="00A27597">
      <w:pPr>
        <w:widowControl w:val="0"/>
        <w:autoSpaceDE w:val="0"/>
        <w:autoSpaceDN w:val="0"/>
        <w:adjustRightInd w:val="0"/>
        <w:spacing w:line="240" w:lineRule="auto"/>
        <w:rPr>
          <w:rFonts w:eastAsia="SimSun"/>
          <w:i/>
          <w:iCs/>
          <w:snapToGrid/>
          <w:szCs w:val="22"/>
          <w:lang w:eastAsia="zh-CN"/>
        </w:rPr>
      </w:pPr>
    </w:p>
    <w:p w14:paraId="023FF961" w14:textId="77777777" w:rsidR="00A27597" w:rsidRPr="00CE7679" w:rsidRDefault="00A27597" w:rsidP="00A27597">
      <w:pPr>
        <w:widowControl w:val="0"/>
        <w:autoSpaceDE w:val="0"/>
        <w:autoSpaceDN w:val="0"/>
        <w:adjustRightInd w:val="0"/>
        <w:spacing w:line="240" w:lineRule="auto"/>
        <w:rPr>
          <w:rFonts w:eastAsia="SimSun"/>
          <w:i/>
          <w:iCs/>
          <w:snapToGrid/>
          <w:szCs w:val="22"/>
          <w:lang w:eastAsia="zh-CN"/>
        </w:rPr>
      </w:pPr>
      <w:r w:rsidRPr="00CE7679">
        <w:rPr>
          <w:rFonts w:eastAsia="SimSun"/>
          <w:i/>
          <w:iCs/>
          <w:snapToGrid/>
          <w:szCs w:val="22"/>
          <w:lang w:eastAsia="zh-CN"/>
        </w:rPr>
        <w:t xml:space="preserve">Pacientams, kurių kepenų funkcija sutrikusi </w:t>
      </w:r>
    </w:p>
    <w:p w14:paraId="6B4EC292" w14:textId="2DACB403"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Daugiausia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metabolizuojama</w:t>
      </w:r>
      <w:proofErr w:type="spellEnd"/>
      <w:r w:rsidRPr="00CE7679">
        <w:rPr>
          <w:rFonts w:eastAsia="SimSun"/>
          <w:snapToGrid/>
          <w:szCs w:val="22"/>
          <w:lang w:eastAsia="zh-CN"/>
        </w:rPr>
        <w:t xml:space="preserve"> kepenyse. Pacientams, kuriems yra nesunkus, vidutinio sunkumo ar sunkus kepenų funkcijos sutrikimas, turi būti skiriama mažiausia rekomenduojama 400 mg paros dozė. Dozę galima mažinti, jeigu ji netoleruojama (žr.</w:t>
      </w:r>
      <w:r w:rsidR="000E7026">
        <w:rPr>
          <w:rFonts w:eastAsia="SimSun"/>
          <w:snapToGrid/>
          <w:szCs w:val="22"/>
          <w:lang w:eastAsia="zh-CN"/>
        </w:rPr>
        <w:t> </w:t>
      </w:r>
      <w:r w:rsidRPr="00CE7679">
        <w:rPr>
          <w:rFonts w:eastAsia="SimSun"/>
          <w:snapToGrid/>
          <w:szCs w:val="22"/>
          <w:lang w:eastAsia="zh-CN"/>
        </w:rPr>
        <w:t>4.4, 4.8 ir 5.2</w:t>
      </w:r>
      <w:r w:rsidR="000E7026">
        <w:rPr>
          <w:rFonts w:eastAsia="SimSun"/>
          <w:snapToGrid/>
          <w:szCs w:val="22"/>
          <w:lang w:eastAsia="zh-CN"/>
        </w:rPr>
        <w:t> </w:t>
      </w:r>
      <w:r w:rsidRPr="00CE7679">
        <w:rPr>
          <w:rFonts w:eastAsia="SimSun"/>
          <w:snapToGrid/>
          <w:szCs w:val="22"/>
          <w:lang w:eastAsia="zh-CN"/>
        </w:rPr>
        <w:t>skyrius).</w:t>
      </w:r>
    </w:p>
    <w:p w14:paraId="478B4E0E"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463E58F6"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Kepenų funkcijos sutrikimų klasifikacija:</w:t>
      </w:r>
    </w:p>
    <w:p w14:paraId="60E7A218"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tbl>
      <w:tblPr>
        <w:tblW w:w="0" w:type="auto"/>
        <w:tblInd w:w="105" w:type="dxa"/>
        <w:tblLayout w:type="fixed"/>
        <w:tblCellMar>
          <w:left w:w="0" w:type="dxa"/>
          <w:right w:w="0" w:type="dxa"/>
        </w:tblCellMar>
        <w:tblLook w:val="0000" w:firstRow="0" w:lastRow="0" w:firstColumn="0" w:lastColumn="0" w:noHBand="0" w:noVBand="0"/>
      </w:tblPr>
      <w:tblGrid>
        <w:gridCol w:w="3370"/>
        <w:gridCol w:w="5918"/>
      </w:tblGrid>
      <w:tr w:rsidR="00701D61" w:rsidRPr="00CE7679" w14:paraId="5F193C26" w14:textId="77777777" w:rsidTr="00A27597">
        <w:trPr>
          <w:trHeight w:hRule="exact" w:val="264"/>
        </w:trPr>
        <w:tc>
          <w:tcPr>
            <w:tcW w:w="3370" w:type="dxa"/>
            <w:tcBorders>
              <w:top w:val="single" w:sz="4" w:space="0" w:color="000000"/>
              <w:left w:val="single" w:sz="4" w:space="0" w:color="000000"/>
              <w:bottom w:val="single" w:sz="4" w:space="0" w:color="000000"/>
              <w:right w:val="single" w:sz="4" w:space="0" w:color="000000"/>
            </w:tcBorders>
          </w:tcPr>
          <w:p w14:paraId="31424C8F"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Kepenų funkcijos sutrikimas</w:t>
            </w:r>
          </w:p>
        </w:tc>
        <w:tc>
          <w:tcPr>
            <w:tcW w:w="5918" w:type="dxa"/>
            <w:tcBorders>
              <w:top w:val="single" w:sz="4" w:space="0" w:color="000000"/>
              <w:left w:val="single" w:sz="4" w:space="0" w:color="000000"/>
              <w:bottom w:val="single" w:sz="4" w:space="0" w:color="000000"/>
              <w:right w:val="single" w:sz="4" w:space="0" w:color="000000"/>
            </w:tcBorders>
          </w:tcPr>
          <w:p w14:paraId="577FDB9F"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Kepenų funkcijos tyrimai</w:t>
            </w:r>
          </w:p>
        </w:tc>
      </w:tr>
      <w:tr w:rsidR="00701D61" w:rsidRPr="00CE7679" w14:paraId="13CBB237" w14:textId="77777777" w:rsidTr="00A27597">
        <w:trPr>
          <w:trHeight w:hRule="exact" w:val="768"/>
        </w:trPr>
        <w:tc>
          <w:tcPr>
            <w:tcW w:w="3370" w:type="dxa"/>
            <w:tcBorders>
              <w:top w:val="single" w:sz="4" w:space="0" w:color="000000"/>
              <w:left w:val="single" w:sz="4" w:space="0" w:color="000000"/>
              <w:bottom w:val="single" w:sz="4" w:space="0" w:color="000000"/>
              <w:right w:val="single" w:sz="4" w:space="0" w:color="000000"/>
            </w:tcBorders>
          </w:tcPr>
          <w:p w14:paraId="66257264"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Nesunkus</w:t>
            </w:r>
          </w:p>
        </w:tc>
        <w:tc>
          <w:tcPr>
            <w:tcW w:w="5918" w:type="dxa"/>
            <w:tcBorders>
              <w:top w:val="single" w:sz="4" w:space="0" w:color="000000"/>
              <w:left w:val="single" w:sz="4" w:space="0" w:color="000000"/>
              <w:bottom w:val="single" w:sz="4" w:space="0" w:color="000000"/>
              <w:right w:val="single" w:sz="4" w:space="0" w:color="000000"/>
            </w:tcBorders>
          </w:tcPr>
          <w:p w14:paraId="45A25872"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Bendras </w:t>
            </w:r>
            <w:proofErr w:type="spellStart"/>
            <w:r w:rsidRPr="00CE7679">
              <w:rPr>
                <w:rFonts w:eastAsia="SimSun"/>
                <w:snapToGrid/>
                <w:szCs w:val="22"/>
                <w:lang w:eastAsia="zh-CN"/>
              </w:rPr>
              <w:t>bilirubinas</w:t>
            </w:r>
            <w:proofErr w:type="spellEnd"/>
            <w:r w:rsidRPr="00CE7679">
              <w:rPr>
                <w:rFonts w:eastAsia="SimSun"/>
                <w:snapToGrid/>
                <w:szCs w:val="22"/>
                <w:lang w:eastAsia="zh-CN"/>
              </w:rPr>
              <w:t>: = 1,5</w:t>
            </w:r>
            <w:r w:rsidR="004C1A71" w:rsidRPr="00CE7679">
              <w:rPr>
                <w:rFonts w:eastAsia="SimSun"/>
                <w:snapToGrid/>
                <w:szCs w:val="22"/>
                <w:lang w:eastAsia="zh-CN"/>
              </w:rPr>
              <w:t> </w:t>
            </w:r>
            <w:r w:rsidRPr="00CE7679">
              <w:rPr>
                <w:rFonts w:eastAsia="SimSun"/>
                <w:snapToGrid/>
                <w:szCs w:val="22"/>
                <w:lang w:eastAsia="zh-CN"/>
              </w:rPr>
              <w:t>VNR</w:t>
            </w:r>
          </w:p>
          <w:p w14:paraId="0027D965"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AST: &gt; VNR (gali būti normali ar &lt; VNR, jei bendras </w:t>
            </w:r>
            <w:proofErr w:type="spellStart"/>
            <w:r w:rsidRPr="00CE7679">
              <w:rPr>
                <w:rFonts w:eastAsia="SimSun"/>
                <w:snapToGrid/>
                <w:szCs w:val="22"/>
                <w:lang w:eastAsia="zh-CN"/>
              </w:rPr>
              <w:t>bilirubinas</w:t>
            </w:r>
            <w:proofErr w:type="spellEnd"/>
            <w:r w:rsidRPr="00CE7679">
              <w:rPr>
                <w:rFonts w:eastAsia="SimSun"/>
                <w:snapToGrid/>
                <w:szCs w:val="22"/>
                <w:lang w:eastAsia="zh-CN"/>
              </w:rPr>
              <w:t xml:space="preserve"> &gt; VNR)</w:t>
            </w:r>
          </w:p>
        </w:tc>
      </w:tr>
      <w:tr w:rsidR="00701D61" w:rsidRPr="00CE7679" w14:paraId="46A63F0B" w14:textId="77777777" w:rsidTr="00A27597">
        <w:trPr>
          <w:trHeight w:hRule="exact" w:val="516"/>
        </w:trPr>
        <w:tc>
          <w:tcPr>
            <w:tcW w:w="3370" w:type="dxa"/>
            <w:tcBorders>
              <w:top w:val="single" w:sz="4" w:space="0" w:color="000000"/>
              <w:left w:val="single" w:sz="4" w:space="0" w:color="000000"/>
              <w:bottom w:val="single" w:sz="4" w:space="0" w:color="000000"/>
              <w:right w:val="single" w:sz="4" w:space="0" w:color="000000"/>
            </w:tcBorders>
          </w:tcPr>
          <w:p w14:paraId="08809624"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Vidutinio sunkumo</w:t>
            </w:r>
          </w:p>
        </w:tc>
        <w:tc>
          <w:tcPr>
            <w:tcW w:w="5918" w:type="dxa"/>
            <w:tcBorders>
              <w:top w:val="single" w:sz="4" w:space="0" w:color="000000"/>
              <w:left w:val="single" w:sz="4" w:space="0" w:color="000000"/>
              <w:bottom w:val="single" w:sz="4" w:space="0" w:color="000000"/>
              <w:right w:val="single" w:sz="4" w:space="0" w:color="000000"/>
            </w:tcBorders>
          </w:tcPr>
          <w:p w14:paraId="480CA0BA"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Bendras </w:t>
            </w:r>
            <w:proofErr w:type="spellStart"/>
            <w:r w:rsidRPr="00CE7679">
              <w:rPr>
                <w:rFonts w:eastAsia="SimSun"/>
                <w:snapToGrid/>
                <w:szCs w:val="22"/>
                <w:lang w:eastAsia="zh-CN"/>
              </w:rPr>
              <w:t>bilirubinas</w:t>
            </w:r>
            <w:proofErr w:type="spellEnd"/>
            <w:r w:rsidRPr="00CE7679">
              <w:rPr>
                <w:rFonts w:eastAsia="SimSun"/>
                <w:snapToGrid/>
                <w:szCs w:val="22"/>
                <w:lang w:eastAsia="zh-CN"/>
              </w:rPr>
              <w:t>: &gt; 1,5–3,0 VNR</w:t>
            </w:r>
          </w:p>
          <w:p w14:paraId="277ECDB4"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AST: bet kokia</w:t>
            </w:r>
          </w:p>
        </w:tc>
      </w:tr>
      <w:tr w:rsidR="00701D61" w:rsidRPr="00CE7679" w14:paraId="551316CB" w14:textId="77777777" w:rsidTr="00A27597">
        <w:trPr>
          <w:trHeight w:hRule="exact" w:val="516"/>
        </w:trPr>
        <w:tc>
          <w:tcPr>
            <w:tcW w:w="3370" w:type="dxa"/>
            <w:tcBorders>
              <w:top w:val="single" w:sz="4" w:space="0" w:color="000000"/>
              <w:left w:val="single" w:sz="4" w:space="0" w:color="000000"/>
              <w:bottom w:val="single" w:sz="4" w:space="0" w:color="000000"/>
              <w:right w:val="single" w:sz="4" w:space="0" w:color="000000"/>
            </w:tcBorders>
          </w:tcPr>
          <w:p w14:paraId="72CD5BDD"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Sunkus</w:t>
            </w:r>
          </w:p>
        </w:tc>
        <w:tc>
          <w:tcPr>
            <w:tcW w:w="5918" w:type="dxa"/>
            <w:tcBorders>
              <w:top w:val="single" w:sz="4" w:space="0" w:color="000000"/>
              <w:left w:val="single" w:sz="4" w:space="0" w:color="000000"/>
              <w:bottom w:val="single" w:sz="4" w:space="0" w:color="000000"/>
              <w:right w:val="single" w:sz="4" w:space="0" w:color="000000"/>
            </w:tcBorders>
          </w:tcPr>
          <w:p w14:paraId="4B4A2971"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Bendras </w:t>
            </w:r>
            <w:proofErr w:type="spellStart"/>
            <w:r w:rsidRPr="00CE7679">
              <w:rPr>
                <w:rFonts w:eastAsia="SimSun"/>
                <w:snapToGrid/>
                <w:szCs w:val="22"/>
                <w:lang w:eastAsia="zh-CN"/>
              </w:rPr>
              <w:t>bilirubinas</w:t>
            </w:r>
            <w:proofErr w:type="spellEnd"/>
            <w:r w:rsidRPr="00CE7679">
              <w:rPr>
                <w:rFonts w:eastAsia="SimSun"/>
                <w:snapToGrid/>
                <w:szCs w:val="22"/>
                <w:lang w:eastAsia="zh-CN"/>
              </w:rPr>
              <w:t>: &gt; 3–10 VNR</w:t>
            </w:r>
          </w:p>
          <w:p w14:paraId="7724AD23"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AST: bet kokia</w:t>
            </w:r>
          </w:p>
        </w:tc>
      </w:tr>
    </w:tbl>
    <w:p w14:paraId="585E45FB"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VNR = viršutinė normos riba </w:t>
      </w:r>
    </w:p>
    <w:p w14:paraId="33AF9F07"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AST = aspartataminotransferazė</w:t>
      </w:r>
    </w:p>
    <w:p w14:paraId="73749825"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5AFDC404" w14:textId="77777777" w:rsidR="00A27597" w:rsidRPr="00CE7679" w:rsidRDefault="00A27597" w:rsidP="00A27597">
      <w:pPr>
        <w:widowControl w:val="0"/>
        <w:autoSpaceDE w:val="0"/>
        <w:autoSpaceDN w:val="0"/>
        <w:adjustRightInd w:val="0"/>
        <w:spacing w:line="240" w:lineRule="auto"/>
        <w:rPr>
          <w:rFonts w:eastAsia="SimSun"/>
          <w:i/>
          <w:iCs/>
          <w:snapToGrid/>
          <w:szCs w:val="22"/>
          <w:lang w:eastAsia="zh-CN"/>
        </w:rPr>
      </w:pPr>
      <w:r w:rsidRPr="00CE7679">
        <w:rPr>
          <w:rFonts w:eastAsia="SimSun"/>
          <w:i/>
          <w:iCs/>
          <w:snapToGrid/>
          <w:szCs w:val="22"/>
          <w:lang w:eastAsia="zh-CN"/>
        </w:rPr>
        <w:t>Pacientams, kurių inkstų funkcija sutrikusi</w:t>
      </w:r>
    </w:p>
    <w:p w14:paraId="5455C1F7" w14:textId="0D32C108"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Pacientams, kuriems yra inkstų funkcijos sutrikimas arba kurie yra </w:t>
      </w:r>
      <w:proofErr w:type="spellStart"/>
      <w:r w:rsidRPr="00CE7679">
        <w:rPr>
          <w:rFonts w:eastAsia="SimSun"/>
          <w:snapToGrid/>
          <w:szCs w:val="22"/>
          <w:lang w:eastAsia="zh-CN"/>
        </w:rPr>
        <w:t>dializuojami</w:t>
      </w:r>
      <w:proofErr w:type="spellEnd"/>
      <w:r w:rsidRPr="00CE7679">
        <w:rPr>
          <w:rFonts w:eastAsia="SimSun"/>
          <w:snapToGrid/>
          <w:szCs w:val="22"/>
          <w:lang w:eastAsia="zh-CN"/>
        </w:rPr>
        <w:t>, turi būti skiriama pradinė mažiausia rekomenduojama 400 mg paros dozė. Tačiau rekomenduojama imtis atsargumo priemonių. Dozė gali būti sumažinta, jeigu netoleruojama. Jeigu toleruojama, dozė gali būti padidinta, jeigu yra nepakankamai veiksminga (žr.</w:t>
      </w:r>
      <w:r w:rsidR="000E7026">
        <w:rPr>
          <w:rFonts w:eastAsia="SimSun"/>
          <w:snapToGrid/>
          <w:szCs w:val="22"/>
          <w:lang w:eastAsia="zh-CN"/>
        </w:rPr>
        <w:t> </w:t>
      </w:r>
      <w:r w:rsidRPr="00CE7679">
        <w:rPr>
          <w:rFonts w:eastAsia="SimSun"/>
          <w:snapToGrid/>
          <w:szCs w:val="22"/>
          <w:lang w:eastAsia="zh-CN"/>
        </w:rPr>
        <w:t>4.4 ir 5.2</w:t>
      </w:r>
      <w:r w:rsidR="000E7026">
        <w:rPr>
          <w:rFonts w:eastAsia="SimSun"/>
          <w:snapToGrid/>
          <w:szCs w:val="22"/>
          <w:lang w:eastAsia="zh-CN"/>
        </w:rPr>
        <w:t> </w:t>
      </w:r>
      <w:r w:rsidRPr="00CE7679">
        <w:rPr>
          <w:rFonts w:eastAsia="SimSun"/>
          <w:snapToGrid/>
          <w:szCs w:val="22"/>
          <w:lang w:eastAsia="zh-CN"/>
        </w:rPr>
        <w:t>skyrius).</w:t>
      </w:r>
    </w:p>
    <w:p w14:paraId="78FF0BE0"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6B7786D6" w14:textId="77777777" w:rsidR="00A27597" w:rsidRPr="00CE7679" w:rsidRDefault="00A27597" w:rsidP="00A27597">
      <w:pPr>
        <w:widowControl w:val="0"/>
        <w:autoSpaceDE w:val="0"/>
        <w:autoSpaceDN w:val="0"/>
        <w:adjustRightInd w:val="0"/>
        <w:spacing w:line="240" w:lineRule="auto"/>
        <w:rPr>
          <w:rFonts w:eastAsia="SimSun"/>
          <w:i/>
          <w:snapToGrid/>
          <w:szCs w:val="22"/>
          <w:lang w:eastAsia="zh-CN"/>
        </w:rPr>
      </w:pPr>
      <w:r w:rsidRPr="00CE7679">
        <w:rPr>
          <w:rFonts w:eastAsia="SimSun"/>
          <w:i/>
          <w:snapToGrid/>
          <w:szCs w:val="22"/>
          <w:lang w:eastAsia="zh-CN"/>
        </w:rPr>
        <w:t>Senyviems pacientams</w:t>
      </w:r>
    </w:p>
    <w:p w14:paraId="637CA053"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Senyviems žmonėms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farmakokinetika nebuvo specialiai tirta. Klinikinių tyrimų, kuriuose dalyvavo daugiau kaip 20</w:t>
      </w:r>
      <w:r w:rsidR="004C1A71" w:rsidRPr="00CE7679">
        <w:rPr>
          <w:rFonts w:eastAsia="SimSun"/>
          <w:snapToGrid/>
          <w:szCs w:val="22"/>
          <w:lang w:eastAsia="zh-CN"/>
        </w:rPr>
        <w:t> </w:t>
      </w:r>
      <w:r w:rsidRPr="00CE7679">
        <w:rPr>
          <w:rFonts w:eastAsia="SimSun"/>
          <w:snapToGrid/>
          <w:szCs w:val="22"/>
          <w:lang w:eastAsia="zh-CN"/>
        </w:rPr>
        <w:t>% 65</w:t>
      </w:r>
      <w:r w:rsidR="004C1A71" w:rsidRPr="00CE7679">
        <w:rPr>
          <w:rFonts w:eastAsia="SimSun"/>
          <w:snapToGrid/>
          <w:szCs w:val="22"/>
          <w:lang w:eastAsia="zh-CN"/>
        </w:rPr>
        <w:t> </w:t>
      </w:r>
      <w:r w:rsidRPr="00CE7679">
        <w:rPr>
          <w:rFonts w:eastAsia="SimSun"/>
          <w:snapToGrid/>
          <w:szCs w:val="22"/>
          <w:lang w:eastAsia="zh-CN"/>
        </w:rPr>
        <w:t>metų ir vyresnių pacientų, metu reikšmingų, su amžiumi susijusių farmakokinetikos pokyčių nestebėta. Senyviems žmonėms ypatingos dozavimo rekomendacijos nereikalingos.</w:t>
      </w:r>
    </w:p>
    <w:p w14:paraId="3F1F6F3D" w14:textId="77777777" w:rsidR="00A27597" w:rsidRPr="00CE7679" w:rsidRDefault="00A27597" w:rsidP="00A27597">
      <w:pPr>
        <w:spacing w:line="240" w:lineRule="auto"/>
        <w:rPr>
          <w:rFonts w:eastAsia="SimSun"/>
          <w:snapToGrid/>
          <w:szCs w:val="22"/>
          <w:lang w:eastAsia="zh-CN"/>
        </w:rPr>
      </w:pPr>
    </w:p>
    <w:p w14:paraId="33FB3DE5" w14:textId="77777777" w:rsidR="00A27597" w:rsidRPr="00CE7679" w:rsidRDefault="00A27597" w:rsidP="00A27597">
      <w:pPr>
        <w:keepNext/>
        <w:spacing w:line="240" w:lineRule="auto"/>
        <w:jc w:val="both"/>
        <w:outlineLvl w:val="3"/>
        <w:rPr>
          <w:rFonts w:eastAsia="SimSun"/>
          <w:b/>
          <w:snapToGrid/>
          <w:szCs w:val="22"/>
        </w:rPr>
      </w:pPr>
      <w:r w:rsidRPr="00CE7679">
        <w:rPr>
          <w:rFonts w:eastAsia="SimSun"/>
          <w:b/>
          <w:snapToGrid/>
          <w:szCs w:val="22"/>
        </w:rPr>
        <w:t>4.3</w:t>
      </w:r>
      <w:r w:rsidRPr="00CE7679">
        <w:rPr>
          <w:rFonts w:eastAsia="SimSun"/>
          <w:b/>
          <w:snapToGrid/>
          <w:szCs w:val="22"/>
        </w:rPr>
        <w:tab/>
        <w:t>Kontraindikacijos</w:t>
      </w:r>
    </w:p>
    <w:p w14:paraId="48823FA6" w14:textId="77777777" w:rsidR="00A27597" w:rsidRPr="00CE7679" w:rsidRDefault="00A27597" w:rsidP="00A27597">
      <w:pPr>
        <w:spacing w:line="240" w:lineRule="auto"/>
        <w:rPr>
          <w:rFonts w:eastAsia="SimSun"/>
          <w:snapToGrid/>
          <w:szCs w:val="22"/>
          <w:lang w:eastAsia="zh-CN"/>
        </w:rPr>
      </w:pPr>
    </w:p>
    <w:p w14:paraId="47D0ABC1" w14:textId="77777777" w:rsidR="00A27597" w:rsidRPr="00CE7679" w:rsidRDefault="00A27597" w:rsidP="00A27597">
      <w:pPr>
        <w:spacing w:line="240" w:lineRule="auto"/>
        <w:rPr>
          <w:rFonts w:eastAsia="SimSun"/>
          <w:snapToGrid/>
          <w:szCs w:val="22"/>
          <w:lang w:eastAsia="zh-CN"/>
        </w:rPr>
      </w:pPr>
      <w:r w:rsidRPr="00CE7679">
        <w:rPr>
          <w:rFonts w:eastAsia="SimSun"/>
          <w:snapToGrid/>
          <w:szCs w:val="22"/>
          <w:lang w:eastAsia="zh-CN"/>
        </w:rPr>
        <w:t>Padidėjęs jautrumas veikliajai arba bet kuriai 6.1 skyriuje nurodytai pagalbinei medžiagai.</w:t>
      </w:r>
    </w:p>
    <w:p w14:paraId="2B59ECE5" w14:textId="77777777" w:rsidR="00A27597" w:rsidRPr="00CE7679" w:rsidRDefault="00A27597" w:rsidP="00A27597">
      <w:pPr>
        <w:spacing w:line="240" w:lineRule="auto"/>
        <w:rPr>
          <w:rFonts w:eastAsia="SimSun"/>
          <w:snapToGrid/>
          <w:szCs w:val="22"/>
          <w:lang w:eastAsia="zh-CN"/>
        </w:rPr>
      </w:pPr>
    </w:p>
    <w:p w14:paraId="33E1E89B" w14:textId="77777777" w:rsidR="00A27597" w:rsidRPr="00CE7679" w:rsidRDefault="00A27597" w:rsidP="00A27597">
      <w:pPr>
        <w:keepNext/>
        <w:spacing w:line="240" w:lineRule="auto"/>
        <w:jc w:val="both"/>
        <w:outlineLvl w:val="3"/>
        <w:rPr>
          <w:rFonts w:eastAsia="SimSun"/>
          <w:b/>
          <w:snapToGrid/>
          <w:szCs w:val="22"/>
        </w:rPr>
      </w:pPr>
      <w:r w:rsidRPr="00CE7679">
        <w:rPr>
          <w:rFonts w:eastAsia="SimSun"/>
          <w:b/>
          <w:snapToGrid/>
          <w:szCs w:val="22"/>
        </w:rPr>
        <w:t>4.4</w:t>
      </w:r>
      <w:r w:rsidRPr="00CE7679">
        <w:rPr>
          <w:rFonts w:eastAsia="SimSun"/>
          <w:b/>
          <w:snapToGrid/>
          <w:szCs w:val="22"/>
        </w:rPr>
        <w:tab/>
        <w:t>Specialūs įspėjimai ir atsargumo priemonės</w:t>
      </w:r>
    </w:p>
    <w:p w14:paraId="7CA54CDC" w14:textId="77777777" w:rsidR="00A27597" w:rsidRPr="00CE7679" w:rsidRDefault="00A27597" w:rsidP="00A27597">
      <w:pPr>
        <w:spacing w:line="240" w:lineRule="auto"/>
        <w:rPr>
          <w:rFonts w:eastAsia="SimSun"/>
          <w:snapToGrid/>
          <w:szCs w:val="22"/>
          <w:lang w:eastAsia="zh-CN"/>
        </w:rPr>
      </w:pPr>
    </w:p>
    <w:p w14:paraId="6C8289DB" w14:textId="05AE847B" w:rsidR="00A27597" w:rsidRPr="00CE7679" w:rsidRDefault="00A27597" w:rsidP="00A27597">
      <w:pPr>
        <w:pStyle w:val="Default"/>
        <w:rPr>
          <w:rFonts w:eastAsia="Calibri"/>
          <w:color w:val="auto"/>
          <w:sz w:val="22"/>
          <w:szCs w:val="22"/>
          <w:lang w:val="lt-LT" w:eastAsia="lt-LT"/>
        </w:rPr>
      </w:pPr>
      <w:r w:rsidRPr="00CE7679">
        <w:rPr>
          <w:color w:val="auto"/>
          <w:sz w:val="22"/>
          <w:szCs w:val="22"/>
          <w:lang w:val="lt-LT"/>
        </w:rPr>
        <w:t xml:space="preserve">Kai </w:t>
      </w:r>
      <w:proofErr w:type="spellStart"/>
      <w:r w:rsidRPr="00CE7679">
        <w:rPr>
          <w:color w:val="auto"/>
          <w:sz w:val="22"/>
          <w:szCs w:val="22"/>
          <w:lang w:val="lt-LT"/>
        </w:rPr>
        <w:t>imatinibo</w:t>
      </w:r>
      <w:proofErr w:type="spellEnd"/>
      <w:r w:rsidRPr="00CE7679">
        <w:rPr>
          <w:color w:val="auto"/>
          <w:sz w:val="22"/>
          <w:szCs w:val="22"/>
          <w:lang w:val="lt-LT"/>
        </w:rPr>
        <w:t xml:space="preserve"> vartojama kartu su kitais vaistiniais preparatais, yra vaistinių preparatų sąveikos galimybė. Būtina laikytis atsargumo priemonių, kai </w:t>
      </w:r>
      <w:proofErr w:type="spellStart"/>
      <w:r w:rsidRPr="00CE7679">
        <w:rPr>
          <w:color w:val="auto"/>
          <w:sz w:val="22"/>
          <w:szCs w:val="22"/>
          <w:lang w:val="lt-LT"/>
        </w:rPr>
        <w:t>imatinibo</w:t>
      </w:r>
      <w:proofErr w:type="spellEnd"/>
      <w:r w:rsidRPr="00CE7679">
        <w:rPr>
          <w:color w:val="auto"/>
          <w:sz w:val="22"/>
          <w:szCs w:val="22"/>
          <w:lang w:val="lt-LT"/>
        </w:rPr>
        <w:t xml:space="preserve"> </w:t>
      </w:r>
      <w:r w:rsidRPr="00CE7679">
        <w:rPr>
          <w:rFonts w:eastAsia="Calibri"/>
          <w:color w:val="auto"/>
          <w:sz w:val="22"/>
          <w:szCs w:val="22"/>
          <w:lang w:val="lt-LT" w:eastAsia="lt-LT"/>
        </w:rPr>
        <w:t xml:space="preserve">vartojama kartu su proteazės inhibitoriais, </w:t>
      </w:r>
      <w:proofErr w:type="spellStart"/>
      <w:r w:rsidRPr="00CE7679">
        <w:rPr>
          <w:rFonts w:eastAsia="Calibri"/>
          <w:color w:val="auto"/>
          <w:sz w:val="22"/>
          <w:szCs w:val="22"/>
          <w:lang w:val="lt-LT" w:eastAsia="lt-LT"/>
        </w:rPr>
        <w:t>azolo</w:t>
      </w:r>
      <w:proofErr w:type="spellEnd"/>
      <w:r w:rsidRPr="00CE7679">
        <w:rPr>
          <w:rFonts w:eastAsia="Calibri"/>
          <w:color w:val="auto"/>
          <w:sz w:val="22"/>
          <w:szCs w:val="22"/>
          <w:lang w:val="lt-LT" w:eastAsia="lt-LT"/>
        </w:rPr>
        <w:t xml:space="preserve"> dariniais nuo grybelių, tam tikrais </w:t>
      </w:r>
      <w:proofErr w:type="spellStart"/>
      <w:r w:rsidRPr="00CE7679">
        <w:rPr>
          <w:rFonts w:eastAsia="Calibri"/>
          <w:color w:val="auto"/>
          <w:sz w:val="22"/>
          <w:szCs w:val="22"/>
          <w:lang w:val="lt-LT" w:eastAsia="lt-LT"/>
        </w:rPr>
        <w:t>makrolidais</w:t>
      </w:r>
      <w:proofErr w:type="spellEnd"/>
      <w:r w:rsidRPr="00CE7679">
        <w:rPr>
          <w:rFonts w:eastAsia="Calibri"/>
          <w:color w:val="auto"/>
          <w:sz w:val="22"/>
          <w:szCs w:val="22"/>
          <w:lang w:val="lt-LT" w:eastAsia="lt-LT"/>
        </w:rPr>
        <w:t xml:space="preserve"> (žr.</w:t>
      </w:r>
      <w:r w:rsidR="00B12ECC">
        <w:rPr>
          <w:rFonts w:eastAsia="Calibri"/>
          <w:color w:val="auto"/>
          <w:sz w:val="22"/>
          <w:szCs w:val="22"/>
          <w:lang w:val="lt-LT" w:eastAsia="lt-LT"/>
        </w:rPr>
        <w:t> </w:t>
      </w:r>
      <w:r w:rsidRPr="00CE7679">
        <w:rPr>
          <w:rFonts w:eastAsia="Calibri"/>
          <w:color w:val="auto"/>
          <w:sz w:val="22"/>
          <w:szCs w:val="22"/>
          <w:lang w:val="lt-LT" w:eastAsia="lt-LT"/>
        </w:rPr>
        <w:t>4.5</w:t>
      </w:r>
      <w:r w:rsidR="00B12ECC">
        <w:rPr>
          <w:rFonts w:eastAsia="Calibri"/>
          <w:color w:val="auto"/>
          <w:sz w:val="22"/>
          <w:szCs w:val="22"/>
          <w:lang w:val="lt-LT" w:eastAsia="lt-LT"/>
        </w:rPr>
        <w:t> </w:t>
      </w:r>
      <w:r w:rsidRPr="00CE7679">
        <w:rPr>
          <w:rFonts w:eastAsia="Calibri"/>
          <w:color w:val="auto"/>
          <w:sz w:val="22"/>
          <w:szCs w:val="22"/>
          <w:lang w:val="lt-LT" w:eastAsia="lt-LT"/>
        </w:rPr>
        <w:t xml:space="preserve">skyrių), CYP3A4 substratais, kurių yra siaura terapinė platuma (pvz., </w:t>
      </w:r>
      <w:proofErr w:type="spellStart"/>
      <w:r w:rsidRPr="00CE7679">
        <w:rPr>
          <w:rFonts w:eastAsia="Calibri"/>
          <w:color w:val="auto"/>
          <w:sz w:val="22"/>
          <w:szCs w:val="22"/>
          <w:lang w:val="lt-LT" w:eastAsia="lt-LT"/>
        </w:rPr>
        <w:t>ciklosporinu</w:t>
      </w:r>
      <w:proofErr w:type="spellEnd"/>
      <w:r w:rsidRPr="00CE7679">
        <w:rPr>
          <w:rFonts w:eastAsia="Calibri"/>
          <w:color w:val="auto"/>
          <w:sz w:val="22"/>
          <w:szCs w:val="22"/>
          <w:lang w:val="lt-LT" w:eastAsia="lt-LT"/>
        </w:rPr>
        <w:t xml:space="preserve">, </w:t>
      </w:r>
      <w:proofErr w:type="spellStart"/>
      <w:r w:rsidRPr="00CE7679">
        <w:rPr>
          <w:rFonts w:eastAsia="Calibri"/>
          <w:color w:val="auto"/>
          <w:sz w:val="22"/>
          <w:szCs w:val="22"/>
          <w:lang w:val="lt-LT" w:eastAsia="lt-LT"/>
        </w:rPr>
        <w:t>pimozidu</w:t>
      </w:r>
      <w:proofErr w:type="spellEnd"/>
      <w:r w:rsidRPr="00CE7679">
        <w:rPr>
          <w:rFonts w:eastAsia="Calibri"/>
          <w:color w:val="auto"/>
          <w:sz w:val="22"/>
          <w:szCs w:val="22"/>
          <w:lang w:val="lt-LT" w:eastAsia="lt-LT"/>
        </w:rPr>
        <w:t xml:space="preserve">, </w:t>
      </w:r>
      <w:proofErr w:type="spellStart"/>
      <w:r w:rsidRPr="00CE7679">
        <w:rPr>
          <w:rFonts w:eastAsia="Calibri"/>
          <w:color w:val="auto"/>
          <w:sz w:val="22"/>
          <w:szCs w:val="22"/>
          <w:lang w:val="lt-LT" w:eastAsia="lt-LT"/>
        </w:rPr>
        <w:t>takrolimuzu</w:t>
      </w:r>
      <w:proofErr w:type="spellEnd"/>
      <w:r w:rsidRPr="00CE7679">
        <w:rPr>
          <w:rFonts w:eastAsia="Calibri"/>
          <w:color w:val="auto"/>
          <w:sz w:val="22"/>
          <w:szCs w:val="22"/>
          <w:lang w:val="lt-LT" w:eastAsia="lt-LT"/>
        </w:rPr>
        <w:t xml:space="preserve">, </w:t>
      </w:r>
      <w:proofErr w:type="spellStart"/>
      <w:r w:rsidRPr="00CE7679">
        <w:rPr>
          <w:rFonts w:eastAsia="Calibri"/>
          <w:color w:val="auto"/>
          <w:sz w:val="22"/>
          <w:szCs w:val="22"/>
          <w:lang w:val="lt-LT" w:eastAsia="lt-LT"/>
        </w:rPr>
        <w:t>sirolimuzu</w:t>
      </w:r>
      <w:proofErr w:type="spellEnd"/>
      <w:r w:rsidRPr="00CE7679">
        <w:rPr>
          <w:rFonts w:eastAsia="Calibri"/>
          <w:color w:val="auto"/>
          <w:sz w:val="22"/>
          <w:szCs w:val="22"/>
          <w:lang w:val="lt-LT" w:eastAsia="lt-LT"/>
        </w:rPr>
        <w:t xml:space="preserve">, </w:t>
      </w:r>
      <w:proofErr w:type="spellStart"/>
      <w:r w:rsidRPr="00CE7679">
        <w:rPr>
          <w:rFonts w:eastAsia="Calibri"/>
          <w:color w:val="auto"/>
          <w:sz w:val="22"/>
          <w:szCs w:val="22"/>
          <w:lang w:val="lt-LT" w:eastAsia="lt-LT"/>
        </w:rPr>
        <w:t>ergotaminu</w:t>
      </w:r>
      <w:proofErr w:type="spellEnd"/>
      <w:r w:rsidRPr="00CE7679">
        <w:rPr>
          <w:rFonts w:eastAsia="Calibri"/>
          <w:color w:val="auto"/>
          <w:sz w:val="22"/>
          <w:szCs w:val="22"/>
          <w:lang w:val="lt-LT" w:eastAsia="lt-LT"/>
        </w:rPr>
        <w:t xml:space="preserve">, </w:t>
      </w:r>
      <w:proofErr w:type="spellStart"/>
      <w:r w:rsidRPr="00CE7679">
        <w:rPr>
          <w:rFonts w:eastAsia="Calibri"/>
          <w:color w:val="auto"/>
          <w:sz w:val="22"/>
          <w:szCs w:val="22"/>
          <w:lang w:val="lt-LT" w:eastAsia="lt-LT"/>
        </w:rPr>
        <w:t>diergotaminu</w:t>
      </w:r>
      <w:proofErr w:type="spellEnd"/>
      <w:r w:rsidRPr="00CE7679">
        <w:rPr>
          <w:rFonts w:eastAsia="Calibri"/>
          <w:color w:val="auto"/>
          <w:sz w:val="22"/>
          <w:szCs w:val="22"/>
          <w:lang w:val="lt-LT" w:eastAsia="lt-LT"/>
        </w:rPr>
        <w:t xml:space="preserve">, </w:t>
      </w:r>
      <w:proofErr w:type="spellStart"/>
      <w:r w:rsidRPr="00CE7679">
        <w:rPr>
          <w:rFonts w:eastAsia="Calibri"/>
          <w:color w:val="auto"/>
          <w:sz w:val="22"/>
          <w:szCs w:val="22"/>
          <w:lang w:val="lt-LT" w:eastAsia="lt-LT"/>
        </w:rPr>
        <w:t>fentaniliu</w:t>
      </w:r>
      <w:proofErr w:type="spellEnd"/>
      <w:r w:rsidRPr="00CE7679">
        <w:rPr>
          <w:rFonts w:eastAsia="Calibri"/>
          <w:color w:val="auto"/>
          <w:sz w:val="22"/>
          <w:szCs w:val="22"/>
          <w:lang w:val="lt-LT" w:eastAsia="lt-LT"/>
        </w:rPr>
        <w:t xml:space="preserve">, </w:t>
      </w:r>
      <w:proofErr w:type="spellStart"/>
      <w:r w:rsidRPr="00CE7679">
        <w:rPr>
          <w:rFonts w:eastAsia="Calibri"/>
          <w:color w:val="auto"/>
          <w:sz w:val="22"/>
          <w:szCs w:val="22"/>
          <w:lang w:val="lt-LT" w:eastAsia="lt-LT"/>
        </w:rPr>
        <w:t>alfetaniliu</w:t>
      </w:r>
      <w:proofErr w:type="spellEnd"/>
      <w:r w:rsidRPr="00CE7679">
        <w:rPr>
          <w:rFonts w:eastAsia="Calibri"/>
          <w:color w:val="auto"/>
          <w:sz w:val="22"/>
          <w:szCs w:val="22"/>
          <w:lang w:val="lt-LT" w:eastAsia="lt-LT"/>
        </w:rPr>
        <w:t xml:space="preserve">, </w:t>
      </w:r>
      <w:proofErr w:type="spellStart"/>
      <w:r w:rsidRPr="00CE7679">
        <w:rPr>
          <w:rFonts w:eastAsia="Calibri"/>
          <w:color w:val="auto"/>
          <w:sz w:val="22"/>
          <w:szCs w:val="22"/>
          <w:lang w:val="lt-LT" w:eastAsia="lt-LT"/>
        </w:rPr>
        <w:t>terfenadinu</w:t>
      </w:r>
      <w:proofErr w:type="spellEnd"/>
      <w:r w:rsidRPr="00CE7679">
        <w:rPr>
          <w:rFonts w:eastAsia="Calibri"/>
          <w:color w:val="auto"/>
          <w:sz w:val="22"/>
          <w:szCs w:val="22"/>
          <w:lang w:val="lt-LT" w:eastAsia="lt-LT"/>
        </w:rPr>
        <w:t xml:space="preserve">, </w:t>
      </w:r>
      <w:proofErr w:type="spellStart"/>
      <w:r w:rsidRPr="00CE7679">
        <w:rPr>
          <w:rFonts w:eastAsia="Calibri"/>
          <w:color w:val="auto"/>
          <w:sz w:val="22"/>
          <w:szCs w:val="22"/>
          <w:lang w:val="lt-LT" w:eastAsia="lt-LT"/>
        </w:rPr>
        <w:t>bortezomibu</w:t>
      </w:r>
      <w:proofErr w:type="spellEnd"/>
      <w:r w:rsidRPr="00CE7679">
        <w:rPr>
          <w:rFonts w:eastAsia="Calibri"/>
          <w:color w:val="auto"/>
          <w:sz w:val="22"/>
          <w:szCs w:val="22"/>
          <w:lang w:val="lt-LT" w:eastAsia="lt-LT"/>
        </w:rPr>
        <w:t xml:space="preserve">, </w:t>
      </w:r>
      <w:proofErr w:type="spellStart"/>
      <w:r w:rsidRPr="00CE7679">
        <w:rPr>
          <w:rFonts w:eastAsia="Calibri"/>
          <w:color w:val="auto"/>
          <w:sz w:val="22"/>
          <w:szCs w:val="22"/>
          <w:lang w:val="lt-LT" w:eastAsia="lt-LT"/>
        </w:rPr>
        <w:t>docetakseliu</w:t>
      </w:r>
      <w:proofErr w:type="spellEnd"/>
      <w:r w:rsidRPr="00CE7679">
        <w:rPr>
          <w:rFonts w:eastAsia="Calibri"/>
          <w:color w:val="auto"/>
          <w:sz w:val="22"/>
          <w:szCs w:val="22"/>
          <w:lang w:val="lt-LT" w:eastAsia="lt-LT"/>
        </w:rPr>
        <w:t xml:space="preserve">, </w:t>
      </w:r>
      <w:proofErr w:type="spellStart"/>
      <w:r w:rsidRPr="00CE7679">
        <w:rPr>
          <w:rFonts w:eastAsia="Calibri"/>
          <w:color w:val="auto"/>
          <w:sz w:val="22"/>
          <w:szCs w:val="22"/>
          <w:lang w:val="lt-LT" w:eastAsia="lt-LT"/>
        </w:rPr>
        <w:t>chinidinu</w:t>
      </w:r>
      <w:proofErr w:type="spellEnd"/>
      <w:r w:rsidRPr="00CE7679">
        <w:rPr>
          <w:rFonts w:eastAsia="Calibri"/>
          <w:color w:val="auto"/>
          <w:sz w:val="22"/>
          <w:szCs w:val="22"/>
          <w:lang w:val="lt-LT" w:eastAsia="lt-LT"/>
        </w:rPr>
        <w:t>) ar varfarinu ir kitais kumarino junginiais (žr.</w:t>
      </w:r>
      <w:r w:rsidR="00B12ECC">
        <w:rPr>
          <w:rFonts w:eastAsia="Calibri"/>
          <w:color w:val="auto"/>
          <w:sz w:val="22"/>
          <w:szCs w:val="22"/>
          <w:lang w:val="lt-LT" w:eastAsia="lt-LT"/>
        </w:rPr>
        <w:t> </w:t>
      </w:r>
      <w:r w:rsidRPr="00CE7679">
        <w:rPr>
          <w:rFonts w:eastAsia="Calibri"/>
          <w:color w:val="auto"/>
          <w:sz w:val="22"/>
          <w:szCs w:val="22"/>
          <w:lang w:val="lt-LT" w:eastAsia="lt-LT"/>
        </w:rPr>
        <w:t>4.5</w:t>
      </w:r>
      <w:r w:rsidR="00B12ECC">
        <w:rPr>
          <w:rFonts w:eastAsia="Calibri"/>
          <w:color w:val="auto"/>
          <w:sz w:val="22"/>
          <w:szCs w:val="22"/>
          <w:lang w:val="lt-LT" w:eastAsia="lt-LT"/>
        </w:rPr>
        <w:t> </w:t>
      </w:r>
      <w:r w:rsidRPr="00CE7679">
        <w:rPr>
          <w:rFonts w:eastAsia="Calibri"/>
          <w:color w:val="auto"/>
          <w:sz w:val="22"/>
          <w:szCs w:val="22"/>
          <w:lang w:val="lt-LT" w:eastAsia="lt-LT"/>
        </w:rPr>
        <w:t xml:space="preserve">skyrių). </w:t>
      </w:r>
    </w:p>
    <w:p w14:paraId="66EF932A"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0FED8ECC" w14:textId="5E832D95" w:rsidR="00A27597" w:rsidRPr="00CE7679" w:rsidRDefault="00A27597" w:rsidP="00A27597">
      <w:pPr>
        <w:tabs>
          <w:tab w:val="clear" w:pos="567"/>
        </w:tabs>
        <w:autoSpaceDE w:val="0"/>
        <w:autoSpaceDN w:val="0"/>
        <w:adjustRightInd w:val="0"/>
        <w:spacing w:line="240" w:lineRule="auto"/>
        <w:rPr>
          <w:rFonts w:eastAsia="SimSun"/>
          <w:snapToGrid/>
          <w:szCs w:val="22"/>
          <w:lang w:eastAsia="zh-CN"/>
        </w:rPr>
      </w:pPr>
      <w:proofErr w:type="spellStart"/>
      <w:r w:rsidRPr="00CE7679">
        <w:rPr>
          <w:rFonts w:eastAsia="TimesNewRomanPSMT"/>
          <w:snapToGrid/>
          <w:szCs w:val="22"/>
          <w:lang w:eastAsia="lt-LT"/>
        </w:rPr>
        <w:t>Imatinibo</w:t>
      </w:r>
      <w:proofErr w:type="spellEnd"/>
      <w:r w:rsidRPr="00CE7679">
        <w:rPr>
          <w:rFonts w:eastAsia="TimesNewRomanPSMT"/>
          <w:snapToGrid/>
          <w:szCs w:val="22"/>
          <w:lang w:eastAsia="lt-LT"/>
        </w:rPr>
        <w:t xml:space="preserve"> vartojant kartu su vaistiniais preparatais, indukuojančiais CYP3A4 (pvz., </w:t>
      </w:r>
      <w:proofErr w:type="spellStart"/>
      <w:r w:rsidRPr="00CE7679">
        <w:rPr>
          <w:rFonts w:eastAsia="TimesNewRomanPSMT"/>
          <w:snapToGrid/>
          <w:szCs w:val="22"/>
          <w:lang w:eastAsia="lt-LT"/>
        </w:rPr>
        <w:t>deksametazonu</w:t>
      </w:r>
      <w:proofErr w:type="spellEnd"/>
      <w:r w:rsidRPr="00CE7679">
        <w:rPr>
          <w:rFonts w:eastAsia="TimesNewRomanPSMT"/>
          <w:snapToGrid/>
          <w:szCs w:val="22"/>
          <w:lang w:eastAsia="lt-LT"/>
        </w:rPr>
        <w:t xml:space="preserve">, </w:t>
      </w:r>
      <w:proofErr w:type="spellStart"/>
      <w:r w:rsidRPr="00CE7679">
        <w:rPr>
          <w:rFonts w:eastAsia="TimesNewRomanPSMT"/>
          <w:snapToGrid/>
          <w:szCs w:val="22"/>
          <w:lang w:eastAsia="lt-LT"/>
        </w:rPr>
        <w:t>fenitoinu</w:t>
      </w:r>
      <w:proofErr w:type="spellEnd"/>
      <w:r w:rsidRPr="00CE7679">
        <w:rPr>
          <w:rFonts w:eastAsia="TimesNewRomanPSMT"/>
          <w:snapToGrid/>
          <w:szCs w:val="22"/>
          <w:lang w:eastAsia="lt-LT"/>
        </w:rPr>
        <w:t xml:space="preserve">, </w:t>
      </w:r>
      <w:proofErr w:type="spellStart"/>
      <w:r w:rsidRPr="00CE7679">
        <w:rPr>
          <w:rFonts w:eastAsia="TimesNewRomanPSMT"/>
          <w:snapToGrid/>
          <w:szCs w:val="22"/>
          <w:lang w:eastAsia="lt-LT"/>
        </w:rPr>
        <w:t>karbamazepinu</w:t>
      </w:r>
      <w:proofErr w:type="spellEnd"/>
      <w:r w:rsidRPr="00CE7679">
        <w:rPr>
          <w:rFonts w:eastAsia="TimesNewRomanPSMT"/>
          <w:snapToGrid/>
          <w:szCs w:val="22"/>
          <w:lang w:eastAsia="lt-LT"/>
        </w:rPr>
        <w:t xml:space="preserve">, </w:t>
      </w:r>
      <w:proofErr w:type="spellStart"/>
      <w:r w:rsidRPr="00CE7679">
        <w:rPr>
          <w:rFonts w:eastAsia="TimesNewRomanPSMT"/>
          <w:snapToGrid/>
          <w:szCs w:val="22"/>
          <w:lang w:eastAsia="lt-LT"/>
        </w:rPr>
        <w:t>rifampicinu</w:t>
      </w:r>
      <w:proofErr w:type="spellEnd"/>
      <w:r w:rsidRPr="00CE7679">
        <w:rPr>
          <w:rFonts w:eastAsia="TimesNewRomanPSMT"/>
          <w:snapToGrid/>
          <w:szCs w:val="22"/>
          <w:lang w:eastAsia="lt-LT"/>
        </w:rPr>
        <w:t xml:space="preserve">, </w:t>
      </w:r>
      <w:proofErr w:type="spellStart"/>
      <w:r w:rsidRPr="00CE7679">
        <w:rPr>
          <w:rFonts w:eastAsia="TimesNewRomanPSMT"/>
          <w:snapToGrid/>
          <w:szCs w:val="22"/>
          <w:lang w:eastAsia="lt-LT"/>
        </w:rPr>
        <w:t>fenobarbitaliu</w:t>
      </w:r>
      <w:proofErr w:type="spellEnd"/>
      <w:r w:rsidRPr="00CE7679">
        <w:rPr>
          <w:rFonts w:eastAsia="TimesNewRomanPSMT"/>
          <w:snapToGrid/>
          <w:szCs w:val="22"/>
          <w:lang w:eastAsia="lt-LT"/>
        </w:rPr>
        <w:t xml:space="preserve"> ar </w:t>
      </w:r>
      <w:proofErr w:type="spellStart"/>
      <w:r w:rsidRPr="00CE7679">
        <w:rPr>
          <w:rFonts w:eastAsia="TimesNewRomanPSMT"/>
          <w:i/>
          <w:iCs/>
          <w:snapToGrid/>
          <w:szCs w:val="22"/>
          <w:lang w:eastAsia="lt-LT"/>
        </w:rPr>
        <w:t>Hypericum</w:t>
      </w:r>
      <w:proofErr w:type="spellEnd"/>
      <w:r w:rsidRPr="00CE7679">
        <w:rPr>
          <w:rFonts w:eastAsia="TimesNewRomanPSMT"/>
          <w:i/>
          <w:iCs/>
          <w:snapToGrid/>
          <w:szCs w:val="22"/>
          <w:lang w:eastAsia="lt-LT"/>
        </w:rPr>
        <w:t xml:space="preserve"> </w:t>
      </w:r>
      <w:proofErr w:type="spellStart"/>
      <w:r w:rsidRPr="00CE7679">
        <w:rPr>
          <w:rFonts w:eastAsia="TimesNewRomanPSMT"/>
          <w:i/>
          <w:iCs/>
          <w:snapToGrid/>
          <w:szCs w:val="22"/>
          <w:lang w:eastAsia="lt-LT"/>
        </w:rPr>
        <w:t>perforatum</w:t>
      </w:r>
      <w:proofErr w:type="spellEnd"/>
      <w:r w:rsidRPr="00CE7679">
        <w:rPr>
          <w:rFonts w:eastAsia="TimesNewRomanPSMT"/>
          <w:snapToGrid/>
          <w:szCs w:val="22"/>
          <w:lang w:eastAsia="lt-LT"/>
        </w:rPr>
        <w:t xml:space="preserve">, </w:t>
      </w:r>
      <w:proofErr w:type="spellStart"/>
      <w:r w:rsidRPr="00CE7679">
        <w:rPr>
          <w:rFonts w:eastAsia="TimesNewRomanPSMT"/>
          <w:snapToGrid/>
          <w:szCs w:val="22"/>
          <w:lang w:eastAsia="lt-LT"/>
        </w:rPr>
        <w:t>t.y</w:t>
      </w:r>
      <w:proofErr w:type="spellEnd"/>
      <w:r w:rsidRPr="00CE7679">
        <w:rPr>
          <w:rFonts w:eastAsia="TimesNewRomanPSMT"/>
          <w:snapToGrid/>
          <w:szCs w:val="22"/>
          <w:lang w:eastAsia="lt-LT"/>
        </w:rPr>
        <w:t xml:space="preserve">. jonažole), gali reikšmingai sumažėti </w:t>
      </w:r>
      <w:proofErr w:type="spellStart"/>
      <w:r w:rsidRPr="00CE7679">
        <w:rPr>
          <w:rFonts w:eastAsia="TimesNewRomanPSMT"/>
          <w:snapToGrid/>
          <w:szCs w:val="22"/>
          <w:lang w:eastAsia="lt-LT"/>
        </w:rPr>
        <w:t>imatinibo</w:t>
      </w:r>
      <w:proofErr w:type="spellEnd"/>
      <w:r w:rsidRPr="00CE7679">
        <w:rPr>
          <w:rFonts w:eastAsia="TimesNewRomanPSMT"/>
          <w:snapToGrid/>
          <w:szCs w:val="22"/>
          <w:lang w:eastAsia="lt-LT"/>
        </w:rPr>
        <w:t xml:space="preserve"> ekspozicija ir padidėti nesėkmingo gydymo tikimybė. Todėl reikia vengti </w:t>
      </w:r>
      <w:proofErr w:type="spellStart"/>
      <w:r w:rsidRPr="00CE7679">
        <w:rPr>
          <w:rFonts w:eastAsia="TimesNewRomanPSMT"/>
          <w:snapToGrid/>
          <w:szCs w:val="22"/>
          <w:lang w:eastAsia="lt-LT"/>
        </w:rPr>
        <w:t>imatinibą</w:t>
      </w:r>
      <w:proofErr w:type="spellEnd"/>
      <w:r w:rsidRPr="00CE7679">
        <w:rPr>
          <w:rFonts w:eastAsia="TimesNewRomanPSMT"/>
          <w:snapToGrid/>
          <w:szCs w:val="22"/>
          <w:lang w:eastAsia="lt-LT"/>
        </w:rPr>
        <w:t xml:space="preserve"> vartoti kartu su stipriais CYP3A4 </w:t>
      </w:r>
      <w:proofErr w:type="spellStart"/>
      <w:r w:rsidRPr="00CE7679">
        <w:rPr>
          <w:rFonts w:eastAsia="TimesNewRomanPSMT"/>
          <w:snapToGrid/>
          <w:szCs w:val="22"/>
          <w:lang w:eastAsia="lt-LT"/>
        </w:rPr>
        <w:t>induktoriais</w:t>
      </w:r>
      <w:proofErr w:type="spellEnd"/>
      <w:r w:rsidRPr="00CE7679">
        <w:rPr>
          <w:rFonts w:eastAsia="TimesNewRomanPSMT"/>
          <w:snapToGrid/>
          <w:szCs w:val="22"/>
          <w:lang w:eastAsia="lt-LT"/>
        </w:rPr>
        <w:t xml:space="preserve"> (žr.</w:t>
      </w:r>
      <w:r w:rsidR="00B12ECC">
        <w:rPr>
          <w:rFonts w:eastAsia="TimesNewRomanPSMT"/>
          <w:snapToGrid/>
          <w:szCs w:val="22"/>
          <w:lang w:eastAsia="lt-LT"/>
        </w:rPr>
        <w:t> </w:t>
      </w:r>
      <w:r w:rsidRPr="00CE7679">
        <w:rPr>
          <w:rFonts w:eastAsia="TimesNewRomanPSMT"/>
          <w:snapToGrid/>
          <w:szCs w:val="22"/>
          <w:lang w:eastAsia="lt-LT"/>
        </w:rPr>
        <w:t>4.5</w:t>
      </w:r>
      <w:r w:rsidR="00B12ECC">
        <w:rPr>
          <w:rFonts w:eastAsia="TimesNewRomanPSMT"/>
          <w:snapToGrid/>
          <w:szCs w:val="22"/>
          <w:lang w:eastAsia="lt-LT"/>
        </w:rPr>
        <w:t> </w:t>
      </w:r>
      <w:r w:rsidRPr="00CE7679">
        <w:rPr>
          <w:rFonts w:eastAsia="TimesNewRomanPSMT"/>
          <w:snapToGrid/>
          <w:szCs w:val="22"/>
          <w:lang w:eastAsia="lt-LT"/>
        </w:rPr>
        <w:t>skyrių).</w:t>
      </w:r>
    </w:p>
    <w:p w14:paraId="278BE81A"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3D53E591"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roofErr w:type="spellStart"/>
      <w:r w:rsidRPr="00CE7679">
        <w:rPr>
          <w:rFonts w:eastAsia="SimSun"/>
          <w:snapToGrid/>
          <w:szCs w:val="22"/>
          <w:u w:val="single"/>
          <w:lang w:eastAsia="zh-CN"/>
        </w:rPr>
        <w:lastRenderedPageBreak/>
        <w:t>Hipotirozė</w:t>
      </w:r>
      <w:proofErr w:type="spellEnd"/>
    </w:p>
    <w:p w14:paraId="569AC763" w14:textId="50F29D59"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Pastebėta klinikinių </w:t>
      </w:r>
      <w:proofErr w:type="spellStart"/>
      <w:r w:rsidRPr="00CE7679">
        <w:rPr>
          <w:rFonts w:eastAsia="SimSun"/>
          <w:snapToGrid/>
          <w:szCs w:val="22"/>
          <w:lang w:eastAsia="zh-CN"/>
        </w:rPr>
        <w:t>hipotirozės</w:t>
      </w:r>
      <w:proofErr w:type="spellEnd"/>
      <w:r w:rsidRPr="00CE7679">
        <w:rPr>
          <w:rFonts w:eastAsia="SimSun"/>
          <w:snapToGrid/>
          <w:szCs w:val="22"/>
          <w:lang w:eastAsia="zh-CN"/>
        </w:rPr>
        <w:t xml:space="preserve"> atvejų pacientams, kuriems pašalinta skydliaukė ir kuriems gydymo </w:t>
      </w:r>
      <w:proofErr w:type="spellStart"/>
      <w:r w:rsidRPr="00CE7679">
        <w:rPr>
          <w:rFonts w:eastAsia="SimSun"/>
          <w:snapToGrid/>
          <w:szCs w:val="22"/>
          <w:lang w:eastAsia="zh-CN"/>
        </w:rPr>
        <w:t>imatinibu</w:t>
      </w:r>
      <w:proofErr w:type="spellEnd"/>
      <w:r w:rsidRPr="00CE7679">
        <w:rPr>
          <w:rFonts w:eastAsia="SimSun"/>
          <w:snapToGrid/>
          <w:szCs w:val="22"/>
          <w:lang w:eastAsia="zh-CN"/>
        </w:rPr>
        <w:t xml:space="preserve"> metu buvo taikomas pakeičiamasis gydymas </w:t>
      </w:r>
      <w:proofErr w:type="spellStart"/>
      <w:r w:rsidRPr="00CE7679">
        <w:rPr>
          <w:rFonts w:eastAsia="SimSun"/>
          <w:snapToGrid/>
          <w:szCs w:val="22"/>
          <w:lang w:eastAsia="zh-CN"/>
        </w:rPr>
        <w:t>levotiroksinu</w:t>
      </w:r>
      <w:proofErr w:type="spellEnd"/>
      <w:r w:rsidRPr="00CE7679">
        <w:rPr>
          <w:rFonts w:eastAsia="SimSun"/>
          <w:snapToGrid/>
          <w:szCs w:val="22"/>
          <w:lang w:eastAsia="zh-CN"/>
        </w:rPr>
        <w:t xml:space="preserve"> (žr.</w:t>
      </w:r>
      <w:r w:rsidR="00D12574">
        <w:rPr>
          <w:rFonts w:eastAsia="SimSun"/>
          <w:snapToGrid/>
          <w:szCs w:val="22"/>
          <w:lang w:eastAsia="zh-CN"/>
        </w:rPr>
        <w:t> </w:t>
      </w:r>
      <w:r w:rsidRPr="00CE7679">
        <w:rPr>
          <w:rFonts w:eastAsia="SimSun"/>
          <w:snapToGrid/>
          <w:szCs w:val="22"/>
          <w:lang w:eastAsia="zh-CN"/>
        </w:rPr>
        <w:t>4.5</w:t>
      </w:r>
      <w:r w:rsidR="00D12574">
        <w:rPr>
          <w:rFonts w:eastAsia="SimSun"/>
          <w:snapToGrid/>
          <w:szCs w:val="22"/>
          <w:lang w:eastAsia="zh-CN"/>
        </w:rPr>
        <w:t> </w:t>
      </w:r>
      <w:r w:rsidRPr="00CE7679">
        <w:rPr>
          <w:rFonts w:eastAsia="SimSun"/>
          <w:snapToGrid/>
          <w:szCs w:val="22"/>
          <w:lang w:eastAsia="zh-CN"/>
        </w:rPr>
        <w:t xml:space="preserve">skyrių). Būtina stebėti tokių pacientų </w:t>
      </w:r>
      <w:proofErr w:type="spellStart"/>
      <w:r w:rsidRPr="00CE7679">
        <w:rPr>
          <w:rFonts w:eastAsia="SimSun"/>
          <w:snapToGrid/>
          <w:szCs w:val="22"/>
          <w:lang w:eastAsia="zh-CN"/>
        </w:rPr>
        <w:t>tirotropinio</w:t>
      </w:r>
      <w:proofErr w:type="spellEnd"/>
      <w:r w:rsidRPr="00CE7679">
        <w:rPr>
          <w:rFonts w:eastAsia="SimSun"/>
          <w:snapToGrid/>
          <w:szCs w:val="22"/>
          <w:lang w:eastAsia="zh-CN"/>
        </w:rPr>
        <w:t xml:space="preserve"> hormono (TTH) koncentraciją.</w:t>
      </w:r>
    </w:p>
    <w:p w14:paraId="0AE00765"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4F886CC8"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u w:val="single"/>
          <w:lang w:eastAsia="zh-CN"/>
        </w:rPr>
        <w:t>Toksinis poveikis kepenims</w:t>
      </w:r>
    </w:p>
    <w:p w14:paraId="3FC20C3F" w14:textId="29FFB1E9" w:rsidR="00A27597" w:rsidRPr="00CE7679" w:rsidRDefault="00A27597" w:rsidP="00A27597">
      <w:pPr>
        <w:widowControl w:val="0"/>
        <w:autoSpaceDE w:val="0"/>
        <w:autoSpaceDN w:val="0"/>
        <w:adjustRightInd w:val="0"/>
        <w:spacing w:line="240" w:lineRule="auto"/>
        <w:rPr>
          <w:rFonts w:eastAsia="SimSun"/>
          <w:snapToGrid/>
          <w:szCs w:val="22"/>
          <w:lang w:eastAsia="zh-CN"/>
        </w:rPr>
      </w:pPr>
      <w:proofErr w:type="spellStart"/>
      <w:r w:rsidRPr="00CE7679">
        <w:rPr>
          <w:rFonts w:eastAsia="SimSun"/>
          <w:snapToGrid/>
          <w:szCs w:val="22"/>
          <w:lang w:eastAsia="zh-CN"/>
        </w:rPr>
        <w:t>Imatinibas</w:t>
      </w:r>
      <w:proofErr w:type="spellEnd"/>
      <w:r w:rsidRPr="00CE7679">
        <w:rPr>
          <w:rFonts w:eastAsia="SimSun"/>
          <w:snapToGrid/>
          <w:szCs w:val="22"/>
          <w:lang w:eastAsia="zh-CN"/>
        </w:rPr>
        <w:t xml:space="preserve"> daugiausia </w:t>
      </w:r>
      <w:proofErr w:type="spellStart"/>
      <w:r w:rsidRPr="00CE7679">
        <w:rPr>
          <w:rFonts w:eastAsia="SimSun"/>
          <w:snapToGrid/>
          <w:szCs w:val="22"/>
          <w:lang w:eastAsia="zh-CN"/>
        </w:rPr>
        <w:t>metabolizuojamas</w:t>
      </w:r>
      <w:proofErr w:type="spellEnd"/>
      <w:r w:rsidRPr="00CE7679">
        <w:rPr>
          <w:rFonts w:eastAsia="SimSun"/>
          <w:snapToGrid/>
          <w:szCs w:val="22"/>
          <w:lang w:eastAsia="zh-CN"/>
        </w:rPr>
        <w:t xml:space="preserve"> kepenyse ir tik 13 % jo išsiskiria pro inkstus. Pacientams, kuriems yra kepenų funkcijos sutrikimas (nesunkus, vidutinio sunkumo ar sunkus) būtina atidžiai stebėti periferinio kraujo vaizdą ir kepenų fermentų aktyvumą (žr.</w:t>
      </w:r>
      <w:r w:rsidR="00D12574">
        <w:rPr>
          <w:rFonts w:eastAsia="SimSun"/>
          <w:snapToGrid/>
          <w:szCs w:val="22"/>
          <w:lang w:eastAsia="zh-CN"/>
        </w:rPr>
        <w:t> </w:t>
      </w:r>
      <w:r w:rsidRPr="00CE7679">
        <w:rPr>
          <w:rFonts w:eastAsia="SimSun"/>
          <w:snapToGrid/>
          <w:szCs w:val="22"/>
          <w:lang w:eastAsia="zh-CN"/>
        </w:rPr>
        <w:t>4.2, 4.8 ir 5.2</w:t>
      </w:r>
      <w:r w:rsidR="00D12574">
        <w:rPr>
          <w:rFonts w:eastAsia="SimSun"/>
          <w:snapToGrid/>
          <w:szCs w:val="22"/>
          <w:lang w:eastAsia="zh-CN"/>
        </w:rPr>
        <w:t> </w:t>
      </w:r>
      <w:r w:rsidRPr="00CE7679">
        <w:rPr>
          <w:rFonts w:eastAsia="SimSun"/>
          <w:snapToGrid/>
          <w:szCs w:val="22"/>
          <w:lang w:eastAsia="zh-CN"/>
        </w:rPr>
        <w:t xml:space="preserve">skyrius). Reikia pažymėti, kad pacientams, kuriems diagnozuotas virškinimo trakto </w:t>
      </w:r>
      <w:proofErr w:type="spellStart"/>
      <w:r w:rsidRPr="00CE7679">
        <w:rPr>
          <w:rFonts w:eastAsia="SimSun"/>
          <w:iCs/>
          <w:snapToGrid/>
          <w:szCs w:val="22"/>
          <w:lang w:eastAsia="zh-CN"/>
        </w:rPr>
        <w:t>stromos</w:t>
      </w:r>
      <w:proofErr w:type="spellEnd"/>
      <w:r w:rsidRPr="00CE7679">
        <w:rPr>
          <w:rFonts w:eastAsia="SimSun"/>
          <w:iCs/>
          <w:snapToGrid/>
          <w:szCs w:val="22"/>
          <w:lang w:eastAsia="zh-CN"/>
        </w:rPr>
        <w:t xml:space="preserve"> navikas (angl.</w:t>
      </w:r>
      <w:r w:rsidRPr="00CE7679" w:rsidDel="0020661A">
        <w:rPr>
          <w:rFonts w:eastAsia="SimSun"/>
          <w:snapToGrid/>
          <w:szCs w:val="22"/>
          <w:lang w:eastAsia="zh-CN"/>
        </w:rPr>
        <w:t xml:space="preserve"> </w:t>
      </w:r>
      <w:proofErr w:type="spellStart"/>
      <w:r w:rsidRPr="00CE7679">
        <w:rPr>
          <w:rFonts w:eastAsia="Calibri"/>
          <w:i/>
          <w:snapToGrid/>
          <w:szCs w:val="22"/>
        </w:rPr>
        <w:t>Gastrointestinal</w:t>
      </w:r>
      <w:proofErr w:type="spellEnd"/>
      <w:r w:rsidRPr="00CE7679">
        <w:rPr>
          <w:rFonts w:eastAsia="Calibri"/>
          <w:i/>
          <w:snapToGrid/>
          <w:szCs w:val="22"/>
        </w:rPr>
        <w:t xml:space="preserve"> </w:t>
      </w:r>
      <w:proofErr w:type="spellStart"/>
      <w:r w:rsidRPr="00CE7679">
        <w:rPr>
          <w:rFonts w:eastAsia="Calibri"/>
          <w:i/>
          <w:snapToGrid/>
          <w:szCs w:val="22"/>
        </w:rPr>
        <w:t>stromal</w:t>
      </w:r>
      <w:proofErr w:type="spellEnd"/>
      <w:r w:rsidRPr="00CE7679">
        <w:rPr>
          <w:rFonts w:eastAsia="Calibri"/>
          <w:i/>
          <w:snapToGrid/>
          <w:szCs w:val="22"/>
        </w:rPr>
        <w:t xml:space="preserve"> </w:t>
      </w:r>
      <w:proofErr w:type="spellStart"/>
      <w:r w:rsidRPr="00CE7679">
        <w:rPr>
          <w:rFonts w:eastAsia="Calibri"/>
          <w:i/>
          <w:snapToGrid/>
          <w:szCs w:val="22"/>
        </w:rPr>
        <w:t>tumor</w:t>
      </w:r>
      <w:proofErr w:type="spellEnd"/>
      <w:r w:rsidRPr="00CE7679">
        <w:rPr>
          <w:rFonts w:eastAsia="Calibri"/>
          <w:i/>
          <w:snapToGrid/>
          <w:szCs w:val="22"/>
        </w:rPr>
        <w:t>,</w:t>
      </w:r>
      <w:r w:rsidRPr="00CE7679">
        <w:rPr>
          <w:rFonts w:eastAsia="Calibri"/>
          <w:snapToGrid/>
          <w:szCs w:val="22"/>
        </w:rPr>
        <w:t xml:space="preserve"> </w:t>
      </w:r>
      <w:r w:rsidRPr="00CE7679">
        <w:rPr>
          <w:rFonts w:eastAsia="SimSun"/>
          <w:snapToGrid/>
          <w:szCs w:val="22"/>
          <w:lang w:eastAsia="zh-CN"/>
        </w:rPr>
        <w:t>GIST), gali būti metastazių kepenyse, kurios gali sukelti kepenų pakenkimą.</w:t>
      </w:r>
    </w:p>
    <w:p w14:paraId="125CB3B1"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096648DF" w14:textId="5FF81F9D"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Vartojant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pastebėta kepenų pažaidos, įskaitant kepenų nepakankamumą ir kepenų nekrozę, atvejų.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skiriant kartu su didelėmis chemoterapinių preparatų dozėmis, nustatytas sunkių kepenų reakcijų padažnėjimas.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skiriant kartu su kepenų funkciją galinčiais bloginti chemoterapiniais preparatais, reikia atidžiai stebėti kepenų funkciją (žr.</w:t>
      </w:r>
      <w:r w:rsidR="00D12574">
        <w:rPr>
          <w:rFonts w:eastAsia="SimSun"/>
          <w:snapToGrid/>
          <w:szCs w:val="22"/>
          <w:lang w:eastAsia="zh-CN"/>
        </w:rPr>
        <w:t> </w:t>
      </w:r>
      <w:r w:rsidRPr="00CE7679">
        <w:rPr>
          <w:rFonts w:eastAsia="SimSun"/>
          <w:snapToGrid/>
          <w:szCs w:val="22"/>
          <w:lang w:eastAsia="zh-CN"/>
        </w:rPr>
        <w:t>4.5 ir 4.8</w:t>
      </w:r>
      <w:r w:rsidR="00D12574">
        <w:rPr>
          <w:rFonts w:eastAsia="SimSun"/>
          <w:snapToGrid/>
          <w:szCs w:val="22"/>
          <w:lang w:eastAsia="zh-CN"/>
        </w:rPr>
        <w:t> </w:t>
      </w:r>
      <w:r w:rsidRPr="00CE7679">
        <w:rPr>
          <w:rFonts w:eastAsia="SimSun"/>
          <w:snapToGrid/>
          <w:szCs w:val="22"/>
          <w:lang w:eastAsia="zh-CN"/>
        </w:rPr>
        <w:t>skyrius).</w:t>
      </w:r>
    </w:p>
    <w:p w14:paraId="34065600"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721E004F"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u w:val="single"/>
          <w:lang w:eastAsia="zh-CN"/>
        </w:rPr>
        <w:t>Skysčio susilaikymas</w:t>
      </w:r>
    </w:p>
    <w:p w14:paraId="03FECD64"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Maždaug 2,5 %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vartojusių pacientų, sergančių naujai diagnozuota LML, susilaikė daug skysčio organizme (skystis pleuros ertmėje, edema, plaučių edema, </w:t>
      </w:r>
      <w:proofErr w:type="spellStart"/>
      <w:r w:rsidRPr="00CE7679">
        <w:rPr>
          <w:rFonts w:eastAsia="SimSun"/>
          <w:snapToGrid/>
          <w:szCs w:val="22"/>
          <w:lang w:eastAsia="zh-CN"/>
        </w:rPr>
        <w:t>ascitas</w:t>
      </w:r>
      <w:proofErr w:type="spellEnd"/>
      <w:r w:rsidRPr="00CE7679">
        <w:rPr>
          <w:rFonts w:eastAsia="SimSun"/>
          <w:snapToGrid/>
          <w:szCs w:val="22"/>
          <w:lang w:eastAsia="zh-CN"/>
        </w:rPr>
        <w:t>, paviršinė edema). Todėl privalu pacientus reguliariai sverti. Pacientą, kuriam kūno svoris neįtikėtinai greitai didėja, reikia atidžiai ištirti ir prireikus taikyti atitinkamas pagalbos ir gydymo priemones. Klinikinių tyrimų metu šių reiškinių dažniau buvo senyviems ir sergantiems širdies ligomis pacientams. Todėl vaistinio preparato reikia atsargiai skirti pacientams, kurių širdies funkcija sutrikusi.</w:t>
      </w:r>
    </w:p>
    <w:p w14:paraId="611A1E03"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41FE4B22"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u w:val="single"/>
          <w:lang w:eastAsia="zh-CN"/>
        </w:rPr>
        <w:t>Pacientai, sergantys širdies liga</w:t>
      </w:r>
    </w:p>
    <w:p w14:paraId="53951C5C"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Pacientai, kurie serga širdies liga, kuriems yra širdies nepakankamumo rizikos faktorių ar kuriems yra buvęs inkstų nepakankamumas, turi būti atidžiai stebimi, ir bet kuris pacientas, kuriam yra širdies ar inkstų nepakankamumo požymių arba simptomų, turi būti įvertintas ir gydomas.</w:t>
      </w:r>
    </w:p>
    <w:p w14:paraId="1A6DDA6E"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03615BBF"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roofErr w:type="spellStart"/>
      <w:r w:rsidRPr="00CE7679">
        <w:rPr>
          <w:szCs w:val="22"/>
        </w:rPr>
        <w:t>Hipereozinofiliniu</w:t>
      </w:r>
      <w:proofErr w:type="spellEnd"/>
      <w:r w:rsidRPr="00CE7679">
        <w:rPr>
          <w:szCs w:val="22"/>
        </w:rPr>
        <w:t xml:space="preserve"> sindromu (HES) sergantiems pacientams, kuriems yra slaptoji HES ląstelių infiltracija miokarde, pastebėti pavieniai </w:t>
      </w:r>
      <w:proofErr w:type="spellStart"/>
      <w:r w:rsidRPr="00CE7679">
        <w:rPr>
          <w:szCs w:val="22"/>
        </w:rPr>
        <w:t>kardiogeninio</w:t>
      </w:r>
      <w:proofErr w:type="spellEnd"/>
      <w:r w:rsidRPr="00CE7679">
        <w:rPr>
          <w:szCs w:val="22"/>
        </w:rPr>
        <w:t xml:space="preserve"> šoko ar kairiojo skilvelio disfunkcijos atvejai, siejami su HES ląstelių </w:t>
      </w:r>
      <w:proofErr w:type="spellStart"/>
      <w:r w:rsidRPr="00CE7679">
        <w:rPr>
          <w:szCs w:val="22"/>
        </w:rPr>
        <w:t>degranuliacija</w:t>
      </w:r>
      <w:proofErr w:type="spellEnd"/>
      <w:r w:rsidRPr="00CE7679">
        <w:rPr>
          <w:szCs w:val="22"/>
        </w:rPr>
        <w:t xml:space="preserve"> po gydymo </w:t>
      </w:r>
      <w:proofErr w:type="spellStart"/>
      <w:r w:rsidRPr="00CE7679">
        <w:rPr>
          <w:szCs w:val="22"/>
        </w:rPr>
        <w:t>imatinibu</w:t>
      </w:r>
      <w:proofErr w:type="spellEnd"/>
      <w:r w:rsidRPr="00CE7679">
        <w:rPr>
          <w:szCs w:val="22"/>
        </w:rPr>
        <w:t xml:space="preserve"> pradžios. Būklė gerėjo gydant sisteminio veikimo steroidiniais hormonais, palaikant kraujotaką ir laikinai nutraukiant </w:t>
      </w:r>
      <w:proofErr w:type="spellStart"/>
      <w:r w:rsidRPr="00CE7679">
        <w:rPr>
          <w:szCs w:val="22"/>
        </w:rPr>
        <w:t>imatinibo</w:t>
      </w:r>
      <w:proofErr w:type="spellEnd"/>
      <w:r w:rsidRPr="00CE7679">
        <w:rPr>
          <w:szCs w:val="22"/>
        </w:rPr>
        <w:t xml:space="preserve"> vartojimą. Kadangi vartojant </w:t>
      </w:r>
      <w:proofErr w:type="spellStart"/>
      <w:r w:rsidRPr="00CE7679">
        <w:rPr>
          <w:szCs w:val="22"/>
        </w:rPr>
        <w:t>imatinibo</w:t>
      </w:r>
      <w:proofErr w:type="spellEnd"/>
      <w:r w:rsidRPr="00CE7679">
        <w:rPr>
          <w:szCs w:val="22"/>
        </w:rPr>
        <w:t xml:space="preserve"> nedažnai gauta pranešimų apie nepageidaujamus reiškinius širdžiai, prieš pradedant gydyti </w:t>
      </w:r>
      <w:proofErr w:type="spellStart"/>
      <w:r w:rsidRPr="00CE7679">
        <w:rPr>
          <w:szCs w:val="22"/>
        </w:rPr>
        <w:t>imatinibu</w:t>
      </w:r>
      <w:proofErr w:type="spellEnd"/>
      <w:r w:rsidRPr="00CE7679">
        <w:rPr>
          <w:szCs w:val="22"/>
        </w:rPr>
        <w:t xml:space="preserve"> HES/LEL sergančius pacientus turi būti atidžiai įvertintas gydymo </w:t>
      </w:r>
      <w:proofErr w:type="spellStart"/>
      <w:r w:rsidRPr="00CE7679">
        <w:rPr>
          <w:szCs w:val="22"/>
        </w:rPr>
        <w:t>imatinibu</w:t>
      </w:r>
      <w:proofErr w:type="spellEnd"/>
      <w:r w:rsidRPr="00CE7679">
        <w:rPr>
          <w:szCs w:val="22"/>
        </w:rPr>
        <w:t xml:space="preserve"> naudos ir rizikos santykis</w:t>
      </w:r>
      <w:r w:rsidRPr="00CE7679">
        <w:rPr>
          <w:rFonts w:eastAsia="SimSun"/>
          <w:snapToGrid/>
          <w:szCs w:val="22"/>
          <w:lang w:eastAsia="zh-CN"/>
        </w:rPr>
        <w:t xml:space="preserve">. </w:t>
      </w:r>
    </w:p>
    <w:p w14:paraId="49096130"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07E24E20" w14:textId="77777777" w:rsidR="00A27597" w:rsidRPr="00CE7679" w:rsidRDefault="00A27597" w:rsidP="00A27597">
      <w:pPr>
        <w:tabs>
          <w:tab w:val="clear" w:pos="567"/>
        </w:tabs>
        <w:autoSpaceDE w:val="0"/>
        <w:autoSpaceDN w:val="0"/>
        <w:adjustRightInd w:val="0"/>
        <w:spacing w:line="240" w:lineRule="auto"/>
        <w:rPr>
          <w:rFonts w:eastAsia="Calibri"/>
          <w:snapToGrid/>
          <w:szCs w:val="22"/>
        </w:rPr>
      </w:pPr>
      <w:r w:rsidRPr="00CE7679">
        <w:rPr>
          <w:rFonts w:eastAsia="Calibri"/>
          <w:snapToGrid/>
          <w:szCs w:val="22"/>
        </w:rPr>
        <w:t xml:space="preserve">Sergant </w:t>
      </w:r>
      <w:proofErr w:type="spellStart"/>
      <w:r w:rsidRPr="00CE7679">
        <w:rPr>
          <w:rFonts w:eastAsia="Calibri"/>
          <w:snapToGrid/>
          <w:szCs w:val="22"/>
        </w:rPr>
        <w:t>mielodisplazinėmis</w:t>
      </w:r>
      <w:proofErr w:type="spellEnd"/>
      <w:r w:rsidRPr="00CE7679">
        <w:rPr>
          <w:rFonts w:eastAsia="Calibri"/>
          <w:snapToGrid/>
          <w:szCs w:val="22"/>
        </w:rPr>
        <w:t xml:space="preserve"> ar </w:t>
      </w:r>
      <w:proofErr w:type="spellStart"/>
      <w:r w:rsidRPr="00CE7679">
        <w:rPr>
          <w:rFonts w:eastAsia="Calibri"/>
          <w:snapToGrid/>
          <w:szCs w:val="22"/>
        </w:rPr>
        <w:t>mieloproliferacinėmis</w:t>
      </w:r>
      <w:proofErr w:type="spellEnd"/>
      <w:r w:rsidRPr="00CE7679">
        <w:rPr>
          <w:rFonts w:eastAsia="Calibri"/>
          <w:snapToGrid/>
          <w:szCs w:val="22"/>
        </w:rPr>
        <w:t xml:space="preserve"> ligomis (MDS ar MPL) su trombocitų kilmės augimo faktoriaus receptoriaus (angl. </w:t>
      </w:r>
      <w:proofErr w:type="spellStart"/>
      <w:r w:rsidRPr="00CE7679">
        <w:rPr>
          <w:rFonts w:eastAsia="Calibri"/>
          <w:i/>
          <w:snapToGrid/>
          <w:szCs w:val="22"/>
        </w:rPr>
        <w:t>Platelet-derived</w:t>
      </w:r>
      <w:proofErr w:type="spellEnd"/>
      <w:r w:rsidRPr="00CE7679">
        <w:rPr>
          <w:rFonts w:eastAsia="Calibri"/>
          <w:i/>
          <w:snapToGrid/>
          <w:szCs w:val="22"/>
        </w:rPr>
        <w:t xml:space="preserve"> </w:t>
      </w:r>
      <w:proofErr w:type="spellStart"/>
      <w:r w:rsidRPr="00CE7679">
        <w:rPr>
          <w:rFonts w:eastAsia="Calibri"/>
          <w:i/>
          <w:snapToGrid/>
          <w:szCs w:val="22"/>
        </w:rPr>
        <w:t>growth</w:t>
      </w:r>
      <w:proofErr w:type="spellEnd"/>
      <w:r w:rsidRPr="00CE7679">
        <w:rPr>
          <w:rFonts w:eastAsia="Calibri"/>
          <w:i/>
          <w:snapToGrid/>
          <w:szCs w:val="22"/>
        </w:rPr>
        <w:t xml:space="preserve"> </w:t>
      </w:r>
      <w:proofErr w:type="spellStart"/>
      <w:r w:rsidRPr="00CE7679">
        <w:rPr>
          <w:rFonts w:eastAsia="Calibri"/>
          <w:i/>
          <w:snapToGrid/>
          <w:szCs w:val="22"/>
        </w:rPr>
        <w:t>factor</w:t>
      </w:r>
      <w:proofErr w:type="spellEnd"/>
      <w:r w:rsidRPr="00CE7679">
        <w:rPr>
          <w:rFonts w:eastAsia="Calibri"/>
          <w:i/>
          <w:snapToGrid/>
          <w:szCs w:val="22"/>
        </w:rPr>
        <w:t xml:space="preserve"> </w:t>
      </w:r>
      <w:proofErr w:type="spellStart"/>
      <w:r w:rsidRPr="00CE7679">
        <w:rPr>
          <w:rFonts w:eastAsia="Calibri"/>
          <w:i/>
          <w:snapToGrid/>
          <w:szCs w:val="22"/>
        </w:rPr>
        <w:t>receptor</w:t>
      </w:r>
      <w:proofErr w:type="spellEnd"/>
      <w:r w:rsidRPr="00CE7679">
        <w:rPr>
          <w:rFonts w:eastAsia="Calibri"/>
          <w:snapToGrid/>
          <w:szCs w:val="22"/>
        </w:rPr>
        <w:t xml:space="preserve">, PDGFR) geno persitvarkymais, gali būti padidėjęs </w:t>
      </w:r>
      <w:proofErr w:type="spellStart"/>
      <w:r w:rsidRPr="00CE7679">
        <w:rPr>
          <w:rFonts w:eastAsia="Calibri"/>
          <w:snapToGrid/>
          <w:szCs w:val="22"/>
        </w:rPr>
        <w:t>eozinofilų</w:t>
      </w:r>
      <w:proofErr w:type="spellEnd"/>
      <w:r w:rsidRPr="00CE7679">
        <w:rPr>
          <w:rFonts w:eastAsia="Calibri"/>
          <w:snapToGrid/>
          <w:szCs w:val="22"/>
        </w:rPr>
        <w:t xml:space="preserve"> kiekis. Prieš skiriant </w:t>
      </w:r>
      <w:proofErr w:type="spellStart"/>
      <w:r w:rsidRPr="00CE7679">
        <w:rPr>
          <w:rFonts w:eastAsia="Calibri"/>
          <w:snapToGrid/>
          <w:szCs w:val="22"/>
        </w:rPr>
        <w:t>imatinibą</w:t>
      </w:r>
      <w:proofErr w:type="spellEnd"/>
      <w:r w:rsidRPr="00CE7679">
        <w:rPr>
          <w:rFonts w:eastAsia="Calibri"/>
          <w:snapToGrid/>
          <w:szCs w:val="22"/>
        </w:rPr>
        <w:t xml:space="preserve"> pacientams, sergantiems HES ar LEL ir pacientams, sergantiems MDS ar MDL, kuriems yra padidėjęs </w:t>
      </w:r>
      <w:proofErr w:type="spellStart"/>
      <w:r w:rsidRPr="00CE7679">
        <w:rPr>
          <w:rFonts w:eastAsia="Calibri"/>
          <w:snapToGrid/>
          <w:szCs w:val="22"/>
        </w:rPr>
        <w:t>eozinofilų</w:t>
      </w:r>
      <w:proofErr w:type="spellEnd"/>
      <w:r w:rsidRPr="00CE7679">
        <w:rPr>
          <w:rFonts w:eastAsia="Calibri"/>
          <w:snapToGrid/>
          <w:szCs w:val="22"/>
        </w:rPr>
        <w:t xml:space="preserve"> kiekis, reikalinga kardiologo konsultacija, taip pat reikia atlikti </w:t>
      </w:r>
      <w:proofErr w:type="spellStart"/>
      <w:r w:rsidRPr="00CE7679">
        <w:rPr>
          <w:rFonts w:eastAsia="Calibri"/>
          <w:snapToGrid/>
          <w:szCs w:val="22"/>
        </w:rPr>
        <w:t>echokardiogramą</w:t>
      </w:r>
      <w:proofErr w:type="spellEnd"/>
      <w:r w:rsidRPr="00CE7679">
        <w:rPr>
          <w:rFonts w:eastAsia="Calibri"/>
          <w:snapToGrid/>
          <w:szCs w:val="22"/>
        </w:rPr>
        <w:t xml:space="preserve"> ir nustatyti </w:t>
      </w:r>
      <w:proofErr w:type="spellStart"/>
      <w:r w:rsidRPr="00CE7679">
        <w:rPr>
          <w:rFonts w:eastAsia="Calibri"/>
          <w:snapToGrid/>
          <w:szCs w:val="22"/>
        </w:rPr>
        <w:t>troponino</w:t>
      </w:r>
      <w:proofErr w:type="spellEnd"/>
      <w:r w:rsidRPr="00CE7679">
        <w:rPr>
          <w:rFonts w:eastAsia="Calibri"/>
          <w:snapToGrid/>
          <w:szCs w:val="22"/>
        </w:rPr>
        <w:t xml:space="preserve"> koncentraciją serume. Jei bent vieno šių tyrimų rezultatai neatitinka normos, pirmąsias vieną ar dvi gydymo savaites, stebint kardiologui, kartu su </w:t>
      </w:r>
      <w:proofErr w:type="spellStart"/>
      <w:r w:rsidRPr="00CE7679">
        <w:rPr>
          <w:rFonts w:eastAsia="Calibri"/>
          <w:snapToGrid/>
          <w:szCs w:val="22"/>
        </w:rPr>
        <w:t>imatinibu</w:t>
      </w:r>
      <w:proofErr w:type="spellEnd"/>
      <w:r w:rsidRPr="00CE7679">
        <w:rPr>
          <w:rFonts w:eastAsia="Calibri"/>
          <w:snapToGrid/>
          <w:szCs w:val="22"/>
        </w:rPr>
        <w:t xml:space="preserve"> profilaktiškai galima vartoti sisteminio poveikio steroidų (1-2 mg/kg dozę).</w:t>
      </w:r>
    </w:p>
    <w:p w14:paraId="0FDBD361"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7F48FB17"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u w:val="single"/>
          <w:lang w:eastAsia="zh-CN"/>
        </w:rPr>
        <w:t>Kraujavimas iš virškinimo trakto</w:t>
      </w:r>
    </w:p>
    <w:p w14:paraId="2DD58CCE" w14:textId="0C5AA05F"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Atlikto klinikinio tyrimo duomenimis, jame dalyvavusiems pacientams, kuriems buvo </w:t>
      </w:r>
      <w:proofErr w:type="spellStart"/>
      <w:r w:rsidRPr="00CE7679">
        <w:rPr>
          <w:rFonts w:eastAsia="SimSun"/>
          <w:snapToGrid/>
          <w:szCs w:val="22"/>
          <w:lang w:eastAsia="zh-CN"/>
        </w:rPr>
        <w:t>nerezekuotinas</w:t>
      </w:r>
      <w:proofErr w:type="spellEnd"/>
      <w:r w:rsidRPr="00CE7679">
        <w:rPr>
          <w:rFonts w:eastAsia="SimSun"/>
          <w:snapToGrid/>
          <w:szCs w:val="22"/>
          <w:lang w:eastAsia="zh-CN"/>
        </w:rPr>
        <w:t xml:space="preserve"> ir (arba) </w:t>
      </w:r>
      <w:proofErr w:type="spellStart"/>
      <w:r w:rsidRPr="00CE7679">
        <w:rPr>
          <w:rFonts w:eastAsia="SimSun"/>
          <w:snapToGrid/>
          <w:szCs w:val="22"/>
          <w:lang w:eastAsia="zh-CN"/>
        </w:rPr>
        <w:t>metastazavęs</w:t>
      </w:r>
      <w:proofErr w:type="spellEnd"/>
      <w:r w:rsidRPr="00CE7679">
        <w:rPr>
          <w:rFonts w:eastAsia="SimSun"/>
          <w:snapToGrid/>
          <w:szCs w:val="22"/>
          <w:lang w:eastAsia="zh-CN"/>
        </w:rPr>
        <w:t xml:space="preserve"> GIST, pasitaikė ir virškinimo trakto bei </w:t>
      </w:r>
      <w:proofErr w:type="spellStart"/>
      <w:r w:rsidRPr="00CE7679">
        <w:rPr>
          <w:rFonts w:eastAsia="SimSun"/>
          <w:snapToGrid/>
          <w:szCs w:val="22"/>
          <w:lang w:eastAsia="zh-CN"/>
        </w:rPr>
        <w:t>vidunavikinių</w:t>
      </w:r>
      <w:proofErr w:type="spellEnd"/>
      <w:r w:rsidRPr="00CE7679">
        <w:rPr>
          <w:rFonts w:eastAsia="SimSun"/>
          <w:snapToGrid/>
          <w:szCs w:val="22"/>
          <w:lang w:eastAsia="zh-CN"/>
        </w:rPr>
        <w:t xml:space="preserve"> kraujavimų (žr.</w:t>
      </w:r>
      <w:r w:rsidR="00AE5FC9">
        <w:rPr>
          <w:rFonts w:eastAsia="SimSun"/>
          <w:snapToGrid/>
          <w:szCs w:val="22"/>
          <w:lang w:eastAsia="zh-CN"/>
        </w:rPr>
        <w:t> </w:t>
      </w:r>
      <w:r w:rsidRPr="00CE7679">
        <w:rPr>
          <w:rFonts w:eastAsia="SimSun"/>
          <w:snapToGrid/>
          <w:szCs w:val="22"/>
          <w:lang w:eastAsia="zh-CN"/>
        </w:rPr>
        <w:t>4.8</w:t>
      </w:r>
      <w:r w:rsidR="00AE5FC9">
        <w:rPr>
          <w:rFonts w:eastAsia="SimSun"/>
          <w:snapToGrid/>
          <w:szCs w:val="22"/>
          <w:lang w:eastAsia="zh-CN"/>
        </w:rPr>
        <w:t> </w:t>
      </w:r>
      <w:r w:rsidRPr="00CE7679">
        <w:rPr>
          <w:rFonts w:eastAsia="SimSun"/>
          <w:snapToGrid/>
          <w:szCs w:val="22"/>
          <w:lang w:eastAsia="zh-CN"/>
        </w:rPr>
        <w:t xml:space="preserve">skyrių). Turimi duomenys neatskleidė </w:t>
      </w:r>
      <w:proofErr w:type="spellStart"/>
      <w:r w:rsidRPr="00CE7679">
        <w:rPr>
          <w:rFonts w:eastAsia="SimSun"/>
          <w:snapToGrid/>
          <w:szCs w:val="22"/>
          <w:lang w:eastAsia="zh-CN"/>
        </w:rPr>
        <w:t>predisponuojančių</w:t>
      </w:r>
      <w:proofErr w:type="spellEnd"/>
      <w:r w:rsidRPr="00CE7679">
        <w:rPr>
          <w:rFonts w:eastAsia="SimSun"/>
          <w:snapToGrid/>
          <w:szCs w:val="22"/>
          <w:lang w:eastAsia="zh-CN"/>
        </w:rPr>
        <w:t xml:space="preserve"> veiksnių (pvz., naviko dydžio, naviko lokalizacijos, krešėjimo sutrikimų), dėl kurių padidėtų pacientų, sergančių GIST, bet kokio kraujavimo rizika. Padidėjęs kraujagyslinis tinklas bei polinkis į kraujavimą iš dalies yra prigimtiniai ir būdingi klinikinei GIST eigai, todėl visiems pacientams būtina taikyti įprastines priemones ir procedūras kraujavimui stebėti ir gydyti.</w:t>
      </w:r>
    </w:p>
    <w:p w14:paraId="74878097"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0D5D252F" w14:textId="6F302968"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szCs w:val="22"/>
        </w:rPr>
        <w:lastRenderedPageBreak/>
        <w:t xml:space="preserve">Be to, vaistiniam preparatui patekus į rinką, buvo gauta pranešimų apie </w:t>
      </w:r>
      <w:proofErr w:type="spellStart"/>
      <w:r w:rsidRPr="00CE7679">
        <w:rPr>
          <w:szCs w:val="22"/>
        </w:rPr>
        <w:t>prievarčio</w:t>
      </w:r>
      <w:proofErr w:type="spellEnd"/>
      <w:r w:rsidRPr="00CE7679">
        <w:rPr>
          <w:szCs w:val="22"/>
        </w:rPr>
        <w:t xml:space="preserve"> kraujagyslių išsiplėtimą (</w:t>
      </w:r>
      <w:r w:rsidRPr="00CE7679">
        <w:rPr>
          <w:i/>
          <w:iCs/>
          <w:szCs w:val="22"/>
        </w:rPr>
        <w:t xml:space="preserve">angl. </w:t>
      </w:r>
      <w:proofErr w:type="spellStart"/>
      <w:r w:rsidRPr="00CE7679">
        <w:rPr>
          <w:i/>
          <w:szCs w:val="22"/>
        </w:rPr>
        <w:t>Gastric</w:t>
      </w:r>
      <w:proofErr w:type="spellEnd"/>
      <w:r w:rsidRPr="00CE7679">
        <w:rPr>
          <w:i/>
          <w:szCs w:val="22"/>
        </w:rPr>
        <w:t xml:space="preserve"> </w:t>
      </w:r>
      <w:proofErr w:type="spellStart"/>
      <w:r w:rsidRPr="00CE7679">
        <w:rPr>
          <w:i/>
          <w:szCs w:val="22"/>
        </w:rPr>
        <w:t>antral</w:t>
      </w:r>
      <w:proofErr w:type="spellEnd"/>
      <w:r w:rsidRPr="00CE7679">
        <w:rPr>
          <w:i/>
          <w:szCs w:val="22"/>
        </w:rPr>
        <w:t xml:space="preserve"> </w:t>
      </w:r>
      <w:proofErr w:type="spellStart"/>
      <w:r w:rsidRPr="00CE7679">
        <w:rPr>
          <w:i/>
          <w:szCs w:val="22"/>
        </w:rPr>
        <w:t>vascular</w:t>
      </w:r>
      <w:proofErr w:type="spellEnd"/>
      <w:r w:rsidRPr="00CE7679">
        <w:rPr>
          <w:i/>
          <w:szCs w:val="22"/>
        </w:rPr>
        <w:t xml:space="preserve"> </w:t>
      </w:r>
      <w:proofErr w:type="spellStart"/>
      <w:r w:rsidRPr="00CE7679">
        <w:rPr>
          <w:i/>
          <w:szCs w:val="22"/>
        </w:rPr>
        <w:t>ectasia</w:t>
      </w:r>
      <w:proofErr w:type="spellEnd"/>
      <w:r w:rsidRPr="00CE7679">
        <w:rPr>
          <w:szCs w:val="22"/>
        </w:rPr>
        <w:t>, GAVE) - retą kraujavimo iš virškinimo trakto priežastį - pacientams, sergantiems LML, ŪLL ir kitomis ligomis (žr.</w:t>
      </w:r>
      <w:r w:rsidR="00B535F6">
        <w:rPr>
          <w:szCs w:val="22"/>
        </w:rPr>
        <w:t> </w:t>
      </w:r>
      <w:r w:rsidRPr="00CE7679">
        <w:rPr>
          <w:szCs w:val="22"/>
        </w:rPr>
        <w:t>4.8</w:t>
      </w:r>
      <w:r w:rsidR="00B535F6">
        <w:rPr>
          <w:szCs w:val="22"/>
        </w:rPr>
        <w:t> </w:t>
      </w:r>
      <w:r w:rsidRPr="00CE7679">
        <w:rPr>
          <w:szCs w:val="22"/>
        </w:rPr>
        <w:t xml:space="preserve">skyrių). Prireikus gali būti apsvarstyta, ar nereikia nutraukti gydymo </w:t>
      </w:r>
      <w:proofErr w:type="spellStart"/>
      <w:r w:rsidRPr="00CE7679">
        <w:rPr>
          <w:szCs w:val="22"/>
        </w:rPr>
        <w:t>Imatinib</w:t>
      </w:r>
      <w:proofErr w:type="spellEnd"/>
      <w:r w:rsidRPr="00CE7679">
        <w:rPr>
          <w:szCs w:val="22"/>
        </w:rPr>
        <w:t xml:space="preserve"> </w:t>
      </w:r>
      <w:proofErr w:type="spellStart"/>
      <w:r w:rsidRPr="00CE7679">
        <w:rPr>
          <w:szCs w:val="22"/>
        </w:rPr>
        <w:t>Sandoz</w:t>
      </w:r>
      <w:proofErr w:type="spellEnd"/>
      <w:r w:rsidRPr="00CE7679">
        <w:rPr>
          <w:szCs w:val="22"/>
        </w:rPr>
        <w:t>.</w:t>
      </w:r>
    </w:p>
    <w:p w14:paraId="49682728"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3BB31461"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u w:val="single"/>
          <w:lang w:eastAsia="zh-CN"/>
        </w:rPr>
        <w:t xml:space="preserve">Naviko </w:t>
      </w:r>
      <w:proofErr w:type="spellStart"/>
      <w:r w:rsidRPr="00CE7679">
        <w:rPr>
          <w:rFonts w:eastAsia="SimSun"/>
          <w:snapToGrid/>
          <w:szCs w:val="22"/>
          <w:u w:val="single"/>
          <w:lang w:eastAsia="zh-CN"/>
        </w:rPr>
        <w:t>lizės</w:t>
      </w:r>
      <w:proofErr w:type="spellEnd"/>
      <w:r w:rsidRPr="00CE7679">
        <w:rPr>
          <w:rFonts w:eastAsia="SimSun"/>
          <w:snapToGrid/>
          <w:szCs w:val="22"/>
          <w:u w:val="single"/>
          <w:lang w:eastAsia="zh-CN"/>
        </w:rPr>
        <w:t xml:space="preserve"> sindromas</w:t>
      </w:r>
    </w:p>
    <w:p w14:paraId="6021A7D3" w14:textId="2301BBBB"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Dėl galimo naviko </w:t>
      </w:r>
      <w:proofErr w:type="spellStart"/>
      <w:r w:rsidRPr="00CE7679">
        <w:rPr>
          <w:rFonts w:eastAsia="SimSun"/>
          <w:snapToGrid/>
          <w:szCs w:val="22"/>
          <w:lang w:eastAsia="zh-CN"/>
        </w:rPr>
        <w:t>lizės</w:t>
      </w:r>
      <w:proofErr w:type="spellEnd"/>
      <w:r w:rsidRPr="00CE7679">
        <w:rPr>
          <w:rFonts w:eastAsia="SimSun"/>
          <w:snapToGrid/>
          <w:szCs w:val="22"/>
          <w:lang w:eastAsia="zh-CN"/>
        </w:rPr>
        <w:t xml:space="preserve"> sindromo (NLS), pradedant vartoti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pirmiausia rekomenduojama pašalinti kliniškai reikšmingą </w:t>
      </w:r>
      <w:proofErr w:type="spellStart"/>
      <w:r w:rsidRPr="00CE7679">
        <w:rPr>
          <w:rFonts w:eastAsia="SimSun"/>
          <w:snapToGrid/>
          <w:szCs w:val="22"/>
          <w:lang w:eastAsia="zh-CN"/>
        </w:rPr>
        <w:t>dehidraciją</w:t>
      </w:r>
      <w:proofErr w:type="spellEnd"/>
      <w:r w:rsidRPr="00CE7679">
        <w:rPr>
          <w:rFonts w:eastAsia="SimSun"/>
          <w:snapToGrid/>
          <w:szCs w:val="22"/>
          <w:lang w:eastAsia="zh-CN"/>
        </w:rPr>
        <w:t xml:space="preserve"> gydyti nuo didelio šlapimo rūgšties kiekio (žr.</w:t>
      </w:r>
      <w:r w:rsidR="00B535F6">
        <w:rPr>
          <w:rFonts w:eastAsia="SimSun"/>
          <w:snapToGrid/>
          <w:szCs w:val="22"/>
          <w:lang w:eastAsia="zh-CN"/>
        </w:rPr>
        <w:t> </w:t>
      </w:r>
      <w:r w:rsidRPr="00CE7679">
        <w:rPr>
          <w:rFonts w:eastAsia="SimSun"/>
          <w:snapToGrid/>
          <w:szCs w:val="22"/>
          <w:lang w:eastAsia="zh-CN"/>
        </w:rPr>
        <w:t>4.8</w:t>
      </w:r>
      <w:r w:rsidR="00B535F6">
        <w:rPr>
          <w:rFonts w:eastAsia="SimSun"/>
          <w:snapToGrid/>
          <w:szCs w:val="22"/>
          <w:lang w:eastAsia="zh-CN"/>
        </w:rPr>
        <w:t> </w:t>
      </w:r>
      <w:r w:rsidRPr="00CE7679">
        <w:rPr>
          <w:rFonts w:eastAsia="SimSun"/>
          <w:snapToGrid/>
          <w:szCs w:val="22"/>
          <w:lang w:eastAsia="zh-CN"/>
        </w:rPr>
        <w:t>skyrių).</w:t>
      </w:r>
    </w:p>
    <w:p w14:paraId="06303AA6"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0346A27D" w14:textId="77777777" w:rsidR="00A27597" w:rsidRPr="00CE7679" w:rsidRDefault="00A27597" w:rsidP="00A27597">
      <w:pPr>
        <w:widowControl w:val="0"/>
        <w:autoSpaceDE w:val="0"/>
        <w:autoSpaceDN w:val="0"/>
        <w:adjustRightInd w:val="0"/>
        <w:spacing w:line="240" w:lineRule="auto"/>
        <w:rPr>
          <w:rFonts w:eastAsia="SimSun"/>
          <w:snapToGrid/>
          <w:szCs w:val="22"/>
          <w:u w:val="single"/>
          <w:lang w:eastAsia="zh-CN"/>
        </w:rPr>
      </w:pPr>
      <w:r w:rsidRPr="00CE7679">
        <w:rPr>
          <w:rFonts w:eastAsia="SimSun"/>
          <w:snapToGrid/>
          <w:szCs w:val="22"/>
          <w:u w:val="single"/>
          <w:lang w:eastAsia="zh-CN"/>
        </w:rPr>
        <w:t xml:space="preserve">Hepatito B </w:t>
      </w:r>
      <w:proofErr w:type="spellStart"/>
      <w:r w:rsidRPr="00CE7679">
        <w:rPr>
          <w:rFonts w:eastAsia="SimSun"/>
          <w:snapToGrid/>
          <w:szCs w:val="22"/>
          <w:u w:val="single"/>
          <w:lang w:eastAsia="zh-CN"/>
        </w:rPr>
        <w:t>reaktyvacija</w:t>
      </w:r>
      <w:proofErr w:type="spellEnd"/>
      <w:r w:rsidRPr="00CE7679">
        <w:rPr>
          <w:rFonts w:eastAsia="SimSun"/>
          <w:snapToGrid/>
          <w:szCs w:val="22"/>
          <w:u w:val="single"/>
          <w:lang w:eastAsia="zh-CN"/>
        </w:rPr>
        <w:t xml:space="preserve"> </w:t>
      </w:r>
    </w:p>
    <w:p w14:paraId="47D44105"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Hepatito B </w:t>
      </w:r>
      <w:proofErr w:type="spellStart"/>
      <w:r w:rsidRPr="00CE7679">
        <w:rPr>
          <w:rFonts w:eastAsia="SimSun"/>
          <w:snapToGrid/>
          <w:szCs w:val="22"/>
          <w:lang w:eastAsia="zh-CN"/>
        </w:rPr>
        <w:t>reaktyvacijos</w:t>
      </w:r>
      <w:proofErr w:type="spellEnd"/>
      <w:r w:rsidRPr="00CE7679">
        <w:rPr>
          <w:rFonts w:eastAsia="SimSun"/>
          <w:snapToGrid/>
          <w:szCs w:val="22"/>
          <w:lang w:eastAsia="zh-CN"/>
        </w:rPr>
        <w:t xml:space="preserve"> atvejų nustatyta pacientams, kurie yra ilgalaikiai šio viruso nešiotojai, po to, kai šie pacientai pavartojo BCR-ABL </w:t>
      </w:r>
      <w:proofErr w:type="spellStart"/>
      <w:r w:rsidRPr="00CE7679">
        <w:rPr>
          <w:rFonts w:eastAsia="SimSun"/>
          <w:snapToGrid/>
          <w:szCs w:val="22"/>
          <w:lang w:eastAsia="zh-CN"/>
        </w:rPr>
        <w:t>tirozinkinazės</w:t>
      </w:r>
      <w:proofErr w:type="spellEnd"/>
      <w:r w:rsidRPr="00CE7679">
        <w:rPr>
          <w:rFonts w:eastAsia="SimSun"/>
          <w:snapToGrid/>
          <w:szCs w:val="22"/>
          <w:lang w:eastAsia="zh-CN"/>
        </w:rPr>
        <w:t xml:space="preserve"> inhibitorių. Kai kuriais atvejais tai sukėlė ūminį kepenų nepakankamumą arba žaibinį hepatitą, dėl kurio pacientui teko persodinti kepenis arba pacientas mirė. </w:t>
      </w:r>
    </w:p>
    <w:p w14:paraId="34CF2BB8"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0ACD0697" w14:textId="4D9A6C60"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Prieš pradedant gydymą </w:t>
      </w: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 xml:space="preserve">  reikia ištirti, ar pacientas neužsikrėtęs HBV. Prieš pradedant gydyti pacientus, kuriems nustatytas </w:t>
      </w:r>
      <w:proofErr w:type="spellStart"/>
      <w:r w:rsidRPr="00CE7679">
        <w:rPr>
          <w:rFonts w:eastAsia="SimSun"/>
          <w:snapToGrid/>
          <w:szCs w:val="22"/>
          <w:lang w:eastAsia="zh-CN"/>
        </w:rPr>
        <w:t>serologiškai</w:t>
      </w:r>
      <w:proofErr w:type="spellEnd"/>
      <w:r w:rsidRPr="00CE7679">
        <w:rPr>
          <w:rFonts w:eastAsia="SimSun"/>
          <w:snapToGrid/>
          <w:szCs w:val="22"/>
          <w:lang w:eastAsia="zh-CN"/>
        </w:rPr>
        <w:t xml:space="preserve"> teigiamas hepatitas B (įskaitant aktyvia liga sergančius pacientus), ir dėl pacientų, kuriems gydymo laikotarpiu nustatyta HBV infekcija, reikia pasitarti su kepenų ligų ekspertais ir hepatitą B gydančiais gydytojais specialistais. Terapijos laikotarpiu ir kelis mėnesius po terapijos pabaigos reikia atidžiai stebėti, ar HBV nešiotojams, kuriems būtinas gydymas </w:t>
      </w: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 xml:space="preserve">  nepasireiškia aktyvios HBV infekcijos požymiai ir simptomai (žr.</w:t>
      </w:r>
      <w:r w:rsidR="00B535F6">
        <w:rPr>
          <w:rFonts w:eastAsia="SimSun"/>
          <w:snapToGrid/>
          <w:szCs w:val="22"/>
          <w:lang w:eastAsia="zh-CN"/>
        </w:rPr>
        <w:t> </w:t>
      </w:r>
      <w:r w:rsidRPr="00CE7679">
        <w:rPr>
          <w:rFonts w:eastAsia="SimSun"/>
          <w:snapToGrid/>
          <w:szCs w:val="22"/>
          <w:lang w:eastAsia="zh-CN"/>
        </w:rPr>
        <w:t>4.8</w:t>
      </w:r>
      <w:r w:rsidR="00B535F6">
        <w:rPr>
          <w:rFonts w:eastAsia="SimSun"/>
          <w:snapToGrid/>
          <w:szCs w:val="22"/>
          <w:lang w:eastAsia="zh-CN"/>
        </w:rPr>
        <w:t> </w:t>
      </w:r>
      <w:r w:rsidRPr="00CE7679">
        <w:rPr>
          <w:rFonts w:eastAsia="SimSun"/>
          <w:snapToGrid/>
          <w:szCs w:val="22"/>
          <w:lang w:eastAsia="zh-CN"/>
        </w:rPr>
        <w:t>skyrių).</w:t>
      </w:r>
    </w:p>
    <w:p w14:paraId="7682930A"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0A4FCBB7" w14:textId="77777777" w:rsidR="00B26AB1" w:rsidRPr="00CE7679" w:rsidRDefault="00B26AB1" w:rsidP="00B26AB1">
      <w:pPr>
        <w:tabs>
          <w:tab w:val="clear" w:pos="567"/>
        </w:tabs>
        <w:autoSpaceDE w:val="0"/>
        <w:autoSpaceDN w:val="0"/>
        <w:adjustRightInd w:val="0"/>
        <w:spacing w:line="240" w:lineRule="auto"/>
        <w:rPr>
          <w:rFonts w:eastAsiaTheme="minorHAnsi"/>
          <w:snapToGrid/>
          <w:szCs w:val="22"/>
          <w:u w:val="single"/>
        </w:rPr>
      </w:pPr>
      <w:proofErr w:type="spellStart"/>
      <w:r w:rsidRPr="00CE7679">
        <w:rPr>
          <w:rFonts w:eastAsiaTheme="minorHAnsi"/>
          <w:snapToGrid/>
          <w:szCs w:val="22"/>
          <w:u w:val="single"/>
        </w:rPr>
        <w:t>Fototoksiškumas</w:t>
      </w:r>
      <w:proofErr w:type="spellEnd"/>
    </w:p>
    <w:p w14:paraId="3246E04E" w14:textId="77777777" w:rsidR="00B26AB1" w:rsidRPr="00CE7679" w:rsidRDefault="00B26AB1" w:rsidP="00B26AB1">
      <w:pPr>
        <w:tabs>
          <w:tab w:val="clear" w:pos="567"/>
        </w:tabs>
        <w:autoSpaceDE w:val="0"/>
        <w:autoSpaceDN w:val="0"/>
        <w:adjustRightInd w:val="0"/>
        <w:spacing w:line="240" w:lineRule="auto"/>
        <w:rPr>
          <w:rFonts w:eastAsiaTheme="minorHAnsi"/>
          <w:snapToGrid/>
          <w:szCs w:val="22"/>
        </w:rPr>
      </w:pPr>
      <w:r w:rsidRPr="00CE7679">
        <w:rPr>
          <w:rFonts w:eastAsiaTheme="minorHAnsi"/>
          <w:snapToGrid/>
          <w:szCs w:val="22"/>
        </w:rPr>
        <w:t>Reikia vengti tiesioginių saulės spindulių ekspozicijos arba ją sumažinti iki minimumo dėl</w:t>
      </w:r>
    </w:p>
    <w:p w14:paraId="6417EC59" w14:textId="77777777" w:rsidR="00B26AB1" w:rsidRPr="00F25FDC" w:rsidRDefault="00B26AB1" w:rsidP="00B26AB1">
      <w:pPr>
        <w:tabs>
          <w:tab w:val="clear" w:pos="567"/>
        </w:tabs>
        <w:autoSpaceDE w:val="0"/>
        <w:autoSpaceDN w:val="0"/>
        <w:adjustRightInd w:val="0"/>
        <w:spacing w:line="240" w:lineRule="auto"/>
        <w:rPr>
          <w:rFonts w:eastAsiaTheme="minorHAnsi"/>
        </w:rPr>
      </w:pPr>
      <w:proofErr w:type="spellStart"/>
      <w:r w:rsidRPr="00F25FDC">
        <w:rPr>
          <w:rFonts w:eastAsiaTheme="minorHAnsi"/>
        </w:rPr>
        <w:t>fototoksinio</w:t>
      </w:r>
      <w:proofErr w:type="spellEnd"/>
      <w:r w:rsidRPr="00F25FDC">
        <w:rPr>
          <w:rFonts w:eastAsiaTheme="minorHAnsi"/>
        </w:rPr>
        <w:t xml:space="preserve"> poveikio rizikos, susijusios su gydymu </w:t>
      </w:r>
      <w:proofErr w:type="spellStart"/>
      <w:r w:rsidRPr="00F25FDC">
        <w:rPr>
          <w:rFonts w:eastAsiaTheme="minorHAnsi"/>
        </w:rPr>
        <w:t>imatinibu</w:t>
      </w:r>
      <w:proofErr w:type="spellEnd"/>
      <w:r w:rsidRPr="00F25FDC">
        <w:rPr>
          <w:rFonts w:eastAsiaTheme="minorHAnsi"/>
        </w:rPr>
        <w:t>. Pacientams reikia nurodyti naudoti</w:t>
      </w:r>
    </w:p>
    <w:p w14:paraId="04D2EE46" w14:textId="77777777" w:rsidR="00B26AB1" w:rsidRPr="00F25FDC" w:rsidRDefault="00314D14" w:rsidP="00B26AB1">
      <w:pPr>
        <w:widowControl w:val="0"/>
        <w:autoSpaceDE w:val="0"/>
        <w:autoSpaceDN w:val="0"/>
        <w:adjustRightInd w:val="0"/>
        <w:spacing w:line="240" w:lineRule="auto"/>
        <w:rPr>
          <w:rFonts w:eastAsiaTheme="minorHAnsi"/>
        </w:rPr>
      </w:pPr>
      <w:r w:rsidRPr="00F25FDC">
        <w:rPr>
          <w:rFonts w:eastAsiaTheme="minorHAnsi"/>
        </w:rPr>
        <w:t>apsauginius</w:t>
      </w:r>
      <w:r w:rsidR="00B26AB1" w:rsidRPr="00F25FDC">
        <w:rPr>
          <w:rFonts w:eastAsiaTheme="minorHAnsi"/>
        </w:rPr>
        <w:t xml:space="preserve"> drabužius ir preparatą nuo saulės nudegimo, kurio aukštas apsaugos faktorius (SPF).</w:t>
      </w:r>
    </w:p>
    <w:p w14:paraId="2B0BA209" w14:textId="77777777" w:rsidR="00530B92" w:rsidRPr="00F25FDC" w:rsidRDefault="00530B92" w:rsidP="00B26AB1">
      <w:pPr>
        <w:widowControl w:val="0"/>
        <w:autoSpaceDE w:val="0"/>
        <w:autoSpaceDN w:val="0"/>
        <w:adjustRightInd w:val="0"/>
        <w:spacing w:line="240" w:lineRule="auto"/>
        <w:rPr>
          <w:rFonts w:eastAsiaTheme="minorHAnsi"/>
        </w:rPr>
      </w:pPr>
    </w:p>
    <w:p w14:paraId="78540C5B" w14:textId="77777777" w:rsidR="00530B92" w:rsidRPr="00CE7679" w:rsidRDefault="00530B92" w:rsidP="00C3142F">
      <w:pPr>
        <w:tabs>
          <w:tab w:val="clear" w:pos="567"/>
        </w:tabs>
        <w:autoSpaceDE w:val="0"/>
        <w:autoSpaceDN w:val="0"/>
        <w:adjustRightInd w:val="0"/>
        <w:spacing w:line="240" w:lineRule="auto"/>
        <w:rPr>
          <w:rFonts w:eastAsiaTheme="minorHAnsi"/>
          <w:szCs w:val="22"/>
          <w:u w:val="single"/>
        </w:rPr>
      </w:pPr>
      <w:r w:rsidRPr="00CE7679">
        <w:rPr>
          <w:rFonts w:eastAsiaTheme="minorHAnsi"/>
          <w:snapToGrid/>
          <w:szCs w:val="22"/>
          <w:u w:val="single"/>
        </w:rPr>
        <w:t>T</w:t>
      </w:r>
      <w:r w:rsidR="009D3395" w:rsidRPr="00CE7679">
        <w:rPr>
          <w:rFonts w:eastAsiaTheme="minorHAnsi"/>
          <w:snapToGrid/>
          <w:szCs w:val="22"/>
          <w:u w:val="single"/>
        </w:rPr>
        <w:t xml:space="preserve">rombinė </w:t>
      </w:r>
      <w:proofErr w:type="spellStart"/>
      <w:r w:rsidR="009D3395" w:rsidRPr="00CE7679">
        <w:rPr>
          <w:rFonts w:eastAsiaTheme="minorHAnsi"/>
          <w:snapToGrid/>
          <w:szCs w:val="22"/>
          <w:u w:val="single"/>
        </w:rPr>
        <w:t>mikroangiopati</w:t>
      </w:r>
      <w:r w:rsidRPr="00CE7679">
        <w:rPr>
          <w:rFonts w:eastAsiaTheme="minorHAnsi"/>
          <w:snapToGrid/>
          <w:szCs w:val="22"/>
          <w:u w:val="single"/>
        </w:rPr>
        <w:t>ja</w:t>
      </w:r>
      <w:proofErr w:type="spellEnd"/>
    </w:p>
    <w:p w14:paraId="4B6AFE23" w14:textId="77777777" w:rsidR="00530B92" w:rsidRPr="00CE7679" w:rsidRDefault="00530B92" w:rsidP="00530B92">
      <w:pPr>
        <w:pStyle w:val="Pagrindinistekstas"/>
        <w:kinsoku w:val="0"/>
        <w:overflowPunct w:val="0"/>
        <w:spacing w:before="4"/>
        <w:rPr>
          <w:b/>
          <w:bCs/>
          <w:sz w:val="16"/>
          <w:szCs w:val="16"/>
        </w:rPr>
      </w:pPr>
    </w:p>
    <w:p w14:paraId="62A460F3" w14:textId="03C76C75" w:rsidR="00CE7679" w:rsidRPr="00F25FDC" w:rsidRDefault="00530B92" w:rsidP="00C3142F">
      <w:pPr>
        <w:tabs>
          <w:tab w:val="clear" w:pos="567"/>
        </w:tabs>
        <w:autoSpaceDE w:val="0"/>
        <w:autoSpaceDN w:val="0"/>
        <w:adjustRightInd w:val="0"/>
        <w:spacing w:line="240" w:lineRule="auto"/>
        <w:rPr>
          <w:rFonts w:eastAsiaTheme="minorHAnsi"/>
          <w:snapToGrid/>
          <w:szCs w:val="22"/>
        </w:rPr>
      </w:pPr>
      <w:r w:rsidRPr="00CE7679">
        <w:rPr>
          <w:rFonts w:eastAsiaTheme="minorHAnsi"/>
          <w:snapToGrid/>
          <w:szCs w:val="22"/>
        </w:rPr>
        <w:t xml:space="preserve">BCR-ABL </w:t>
      </w:r>
      <w:proofErr w:type="spellStart"/>
      <w:r w:rsidR="009D3395" w:rsidRPr="00CE7679">
        <w:rPr>
          <w:rFonts w:eastAsiaTheme="minorHAnsi"/>
          <w:snapToGrid/>
          <w:szCs w:val="22"/>
        </w:rPr>
        <w:t>tirozinkinazės</w:t>
      </w:r>
      <w:proofErr w:type="spellEnd"/>
      <w:r w:rsidR="009D3395" w:rsidRPr="00CE7679">
        <w:rPr>
          <w:rFonts w:eastAsiaTheme="minorHAnsi"/>
          <w:snapToGrid/>
          <w:szCs w:val="22"/>
        </w:rPr>
        <w:t xml:space="preserve"> inhibitorių</w:t>
      </w:r>
      <w:r w:rsidRPr="00CE7679">
        <w:rPr>
          <w:rFonts w:eastAsiaTheme="minorHAnsi"/>
          <w:snapToGrid/>
          <w:szCs w:val="22"/>
        </w:rPr>
        <w:t xml:space="preserve"> (TKI) vartojimas buvo susi</w:t>
      </w:r>
      <w:r w:rsidR="002347DD" w:rsidRPr="00CE7679">
        <w:rPr>
          <w:rFonts w:eastAsiaTheme="minorHAnsi"/>
          <w:snapToGrid/>
          <w:szCs w:val="22"/>
        </w:rPr>
        <w:t>j</w:t>
      </w:r>
      <w:r w:rsidR="00CE7679">
        <w:rPr>
          <w:rFonts w:eastAsiaTheme="minorHAnsi"/>
          <w:snapToGrid/>
          <w:szCs w:val="22"/>
        </w:rPr>
        <w:t>ę</w:t>
      </w:r>
      <w:r w:rsidR="009D3395" w:rsidRPr="00CE7679">
        <w:rPr>
          <w:rFonts w:eastAsiaTheme="minorHAnsi"/>
          <w:snapToGrid/>
          <w:szCs w:val="22"/>
        </w:rPr>
        <w:t xml:space="preserve">s su trombinės </w:t>
      </w:r>
      <w:proofErr w:type="spellStart"/>
      <w:r w:rsidR="009D3395" w:rsidRPr="00CE7679">
        <w:rPr>
          <w:rFonts w:eastAsiaTheme="minorHAnsi"/>
          <w:snapToGrid/>
          <w:szCs w:val="22"/>
        </w:rPr>
        <w:t>mikroangiopatij</w:t>
      </w:r>
      <w:r w:rsidR="00737315" w:rsidRPr="00CE7679">
        <w:rPr>
          <w:rFonts w:eastAsiaTheme="minorHAnsi"/>
          <w:snapToGrid/>
          <w:szCs w:val="22"/>
        </w:rPr>
        <w:t>os</w:t>
      </w:r>
      <w:proofErr w:type="spellEnd"/>
      <w:r w:rsidR="00737315" w:rsidRPr="00CE7679">
        <w:rPr>
          <w:rFonts w:eastAsiaTheme="minorHAnsi"/>
          <w:snapToGrid/>
          <w:szCs w:val="22"/>
        </w:rPr>
        <w:t xml:space="preserve"> (TMA) pasirei</w:t>
      </w:r>
      <w:r w:rsidR="00CE7679">
        <w:rPr>
          <w:rFonts w:eastAsiaTheme="minorHAnsi"/>
          <w:snapToGrid/>
          <w:szCs w:val="22"/>
        </w:rPr>
        <w:t>š</w:t>
      </w:r>
      <w:r w:rsidR="00737315" w:rsidRPr="00CE7679">
        <w:rPr>
          <w:rFonts w:eastAsiaTheme="minorHAnsi"/>
          <w:snapToGrid/>
          <w:szCs w:val="22"/>
        </w:rPr>
        <w:t>kimu, į</w:t>
      </w:r>
      <w:r w:rsidRPr="00CE7679">
        <w:rPr>
          <w:rFonts w:eastAsiaTheme="minorHAnsi"/>
          <w:snapToGrid/>
          <w:szCs w:val="22"/>
        </w:rPr>
        <w:t>ska</w:t>
      </w:r>
      <w:r w:rsidR="00737315" w:rsidRPr="00CE7679">
        <w:rPr>
          <w:rFonts w:eastAsiaTheme="minorHAnsi"/>
          <w:snapToGrid/>
          <w:szCs w:val="22"/>
        </w:rPr>
        <w:t>itant pranešimus apie atskirus j</w:t>
      </w:r>
      <w:r w:rsidRPr="00CE7679">
        <w:rPr>
          <w:rFonts w:eastAsiaTheme="minorHAnsi"/>
          <w:snapToGrid/>
          <w:szCs w:val="22"/>
        </w:rPr>
        <w:t>os atvejus vartojant</w:t>
      </w:r>
      <w:r w:rsidR="00737315" w:rsidRPr="00CE7679">
        <w:rPr>
          <w:rFonts w:eastAsiaTheme="minorHAnsi"/>
          <w:snapToGrid/>
          <w:szCs w:val="22"/>
        </w:rPr>
        <w:t xml:space="preserve"> </w:t>
      </w:r>
      <w:proofErr w:type="spellStart"/>
      <w:r w:rsidR="00737315" w:rsidRPr="00CE7679">
        <w:rPr>
          <w:rFonts w:eastAsiaTheme="minorHAnsi"/>
          <w:snapToGrid/>
          <w:szCs w:val="22"/>
        </w:rPr>
        <w:t>Imatinib</w:t>
      </w:r>
      <w:proofErr w:type="spellEnd"/>
      <w:r w:rsidR="00737315" w:rsidRPr="00CE7679">
        <w:rPr>
          <w:rFonts w:eastAsiaTheme="minorHAnsi"/>
          <w:snapToGrid/>
          <w:szCs w:val="22"/>
        </w:rPr>
        <w:t xml:space="preserve"> </w:t>
      </w:r>
      <w:proofErr w:type="spellStart"/>
      <w:r w:rsidR="00737315" w:rsidRPr="00CE7679">
        <w:rPr>
          <w:rFonts w:eastAsiaTheme="minorHAnsi"/>
          <w:snapToGrid/>
          <w:szCs w:val="22"/>
        </w:rPr>
        <w:t>Sandoz</w:t>
      </w:r>
      <w:proofErr w:type="spellEnd"/>
      <w:r w:rsidR="00737315" w:rsidRPr="00CE7679">
        <w:rPr>
          <w:rFonts w:eastAsiaTheme="minorHAnsi"/>
          <w:snapToGrid/>
          <w:szCs w:val="22"/>
        </w:rPr>
        <w:t xml:space="preserve"> </w:t>
      </w:r>
      <w:r w:rsidRPr="00CE7679">
        <w:rPr>
          <w:rFonts w:eastAsiaTheme="minorHAnsi"/>
          <w:snapToGrid/>
          <w:szCs w:val="22"/>
        </w:rPr>
        <w:t xml:space="preserve"> </w:t>
      </w:r>
      <w:r w:rsidR="00737315" w:rsidRPr="00CE7679">
        <w:rPr>
          <w:rFonts w:eastAsiaTheme="minorHAnsi"/>
          <w:snapToGrid/>
          <w:szCs w:val="22"/>
        </w:rPr>
        <w:t>(</w:t>
      </w:r>
      <w:r w:rsidR="00CE7679">
        <w:rPr>
          <w:rFonts w:eastAsiaTheme="minorHAnsi"/>
          <w:snapToGrid/>
          <w:szCs w:val="22"/>
        </w:rPr>
        <w:t>ž</w:t>
      </w:r>
      <w:r w:rsidR="00737315" w:rsidRPr="00CE7679">
        <w:rPr>
          <w:rFonts w:eastAsiaTheme="minorHAnsi"/>
          <w:snapToGrid/>
          <w:szCs w:val="22"/>
        </w:rPr>
        <w:t>r.</w:t>
      </w:r>
      <w:r w:rsidR="00AF0E72">
        <w:rPr>
          <w:rFonts w:eastAsiaTheme="minorHAnsi"/>
          <w:snapToGrid/>
          <w:szCs w:val="22"/>
        </w:rPr>
        <w:t> </w:t>
      </w:r>
      <w:r w:rsidR="00737315" w:rsidRPr="00CE7679">
        <w:rPr>
          <w:rFonts w:eastAsiaTheme="minorHAnsi"/>
          <w:snapToGrid/>
          <w:szCs w:val="22"/>
        </w:rPr>
        <w:t>4.8</w:t>
      </w:r>
      <w:r w:rsidR="00AF0E72">
        <w:rPr>
          <w:rFonts w:eastAsiaTheme="minorHAnsi"/>
          <w:snapToGrid/>
          <w:szCs w:val="22"/>
        </w:rPr>
        <w:t> </w:t>
      </w:r>
      <w:r w:rsidR="00737315" w:rsidRPr="00CE7679">
        <w:rPr>
          <w:rFonts w:eastAsiaTheme="minorHAnsi"/>
          <w:snapToGrid/>
          <w:szCs w:val="22"/>
        </w:rPr>
        <w:t>skyrių</w:t>
      </w:r>
      <w:r w:rsidRPr="00CE7679">
        <w:rPr>
          <w:rFonts w:eastAsiaTheme="minorHAnsi"/>
          <w:snapToGrid/>
          <w:szCs w:val="22"/>
        </w:rPr>
        <w:t xml:space="preserve">). Jeigu </w:t>
      </w:r>
      <w:proofErr w:type="spellStart"/>
      <w:r w:rsidR="00737315" w:rsidRPr="00CE7679">
        <w:rPr>
          <w:rFonts w:eastAsiaTheme="minorHAnsi"/>
          <w:snapToGrid/>
          <w:szCs w:val="22"/>
        </w:rPr>
        <w:t>Imatinib</w:t>
      </w:r>
      <w:proofErr w:type="spellEnd"/>
      <w:r w:rsidR="00737315" w:rsidRPr="00CE7679">
        <w:rPr>
          <w:rFonts w:eastAsiaTheme="minorHAnsi"/>
          <w:snapToGrid/>
          <w:szCs w:val="22"/>
        </w:rPr>
        <w:t xml:space="preserve"> </w:t>
      </w:r>
      <w:proofErr w:type="spellStart"/>
      <w:r w:rsidR="00737315" w:rsidRPr="00CE7679">
        <w:rPr>
          <w:rFonts w:eastAsiaTheme="minorHAnsi"/>
          <w:snapToGrid/>
          <w:szCs w:val="22"/>
        </w:rPr>
        <w:t>Sandoz</w:t>
      </w:r>
      <w:proofErr w:type="spellEnd"/>
      <w:r w:rsidR="00737315" w:rsidRPr="00CE7679">
        <w:rPr>
          <w:rFonts w:eastAsiaTheme="minorHAnsi"/>
          <w:snapToGrid/>
          <w:szCs w:val="22"/>
        </w:rPr>
        <w:t xml:space="preserve"> </w:t>
      </w:r>
      <w:r w:rsidRPr="00CE7679">
        <w:rPr>
          <w:rFonts w:eastAsiaTheme="minorHAnsi"/>
          <w:snapToGrid/>
          <w:szCs w:val="22"/>
        </w:rPr>
        <w:t>vartojan</w:t>
      </w:r>
      <w:r w:rsidR="00CE7679">
        <w:rPr>
          <w:rFonts w:eastAsiaTheme="minorHAnsi"/>
          <w:snapToGrid/>
          <w:szCs w:val="22"/>
        </w:rPr>
        <w:t>č</w:t>
      </w:r>
      <w:r w:rsidRPr="00CE7679">
        <w:rPr>
          <w:rFonts w:eastAsiaTheme="minorHAnsi"/>
          <w:snapToGrid/>
          <w:szCs w:val="22"/>
        </w:rPr>
        <w:t>iam p</w:t>
      </w:r>
      <w:r w:rsidR="00737315" w:rsidRPr="00CE7679">
        <w:rPr>
          <w:rFonts w:eastAsiaTheme="minorHAnsi"/>
          <w:snapToGrid/>
          <w:szCs w:val="22"/>
        </w:rPr>
        <w:t>acientui nustatoma laboratorinių ar klinikinių duomenų, susijusių su TMA požymiais, gydymą reikia nutraukti, o paciento būklę i</w:t>
      </w:r>
      <w:r w:rsidR="00CE7679">
        <w:rPr>
          <w:rFonts w:eastAsiaTheme="minorHAnsi"/>
          <w:snapToGrid/>
          <w:szCs w:val="22"/>
        </w:rPr>
        <w:t>š</w:t>
      </w:r>
      <w:r w:rsidR="00737315" w:rsidRPr="00CE7679">
        <w:rPr>
          <w:rFonts w:eastAsiaTheme="minorHAnsi"/>
          <w:snapToGrid/>
          <w:szCs w:val="22"/>
        </w:rPr>
        <w:t>samiai i</w:t>
      </w:r>
      <w:r w:rsidR="00CE7679">
        <w:rPr>
          <w:rFonts w:eastAsiaTheme="minorHAnsi"/>
          <w:snapToGrid/>
          <w:szCs w:val="22"/>
        </w:rPr>
        <w:t>š</w:t>
      </w:r>
      <w:r w:rsidR="00737315" w:rsidRPr="00CE7679">
        <w:rPr>
          <w:rFonts w:eastAsiaTheme="minorHAnsi"/>
          <w:snapToGrid/>
          <w:szCs w:val="22"/>
        </w:rPr>
        <w:t>tirti dėl TMA tikimybė</w:t>
      </w:r>
      <w:r w:rsidRPr="00CE7679">
        <w:rPr>
          <w:rFonts w:eastAsiaTheme="minorHAnsi"/>
          <w:snapToGrid/>
          <w:szCs w:val="22"/>
        </w:rPr>
        <w:t xml:space="preserve">s, </w:t>
      </w:r>
      <w:proofErr w:type="spellStart"/>
      <w:r w:rsidRPr="00CE7679">
        <w:rPr>
          <w:rFonts w:eastAsiaTheme="minorHAnsi"/>
          <w:snapToGrid/>
          <w:szCs w:val="22"/>
        </w:rPr>
        <w:t>iskai</w:t>
      </w:r>
      <w:r w:rsidR="00737315" w:rsidRPr="00CE7679">
        <w:rPr>
          <w:rFonts w:eastAsiaTheme="minorHAnsi"/>
          <w:snapToGrid/>
          <w:szCs w:val="22"/>
        </w:rPr>
        <w:t>tant</w:t>
      </w:r>
      <w:proofErr w:type="spellEnd"/>
      <w:r w:rsidR="00737315" w:rsidRPr="00CE7679">
        <w:rPr>
          <w:rFonts w:eastAsiaTheme="minorHAnsi"/>
          <w:snapToGrid/>
          <w:szCs w:val="22"/>
        </w:rPr>
        <w:t xml:space="preserve"> ADAMTS13 aktyvumo vertinimą ir anti-ADAMTS13 antikūnų nustatymą</w:t>
      </w:r>
      <w:r w:rsidRPr="00CE7679">
        <w:rPr>
          <w:rFonts w:eastAsiaTheme="minorHAnsi"/>
          <w:snapToGrid/>
          <w:szCs w:val="22"/>
        </w:rPr>
        <w:t>. Je</w:t>
      </w:r>
      <w:r w:rsidR="00737315" w:rsidRPr="00CE7679">
        <w:rPr>
          <w:rFonts w:eastAsiaTheme="minorHAnsi"/>
          <w:snapToGrid/>
          <w:szCs w:val="22"/>
        </w:rPr>
        <w:t xml:space="preserve">igu nustatomas </w:t>
      </w:r>
      <w:r w:rsidR="003A704D" w:rsidRPr="00CE7679">
        <w:rPr>
          <w:rFonts w:eastAsiaTheme="minorHAnsi"/>
          <w:snapToGrid/>
          <w:szCs w:val="22"/>
        </w:rPr>
        <w:t>padidėj</w:t>
      </w:r>
      <w:r w:rsidR="003A704D">
        <w:rPr>
          <w:rFonts w:eastAsiaTheme="minorHAnsi"/>
          <w:snapToGrid/>
          <w:szCs w:val="22"/>
        </w:rPr>
        <w:t>ę</w:t>
      </w:r>
      <w:r w:rsidR="003A704D" w:rsidRPr="00CE7679">
        <w:rPr>
          <w:rFonts w:eastAsiaTheme="minorHAnsi"/>
          <w:snapToGrid/>
          <w:szCs w:val="22"/>
        </w:rPr>
        <w:t xml:space="preserve">s </w:t>
      </w:r>
      <w:r w:rsidR="00737315" w:rsidRPr="00CE7679">
        <w:rPr>
          <w:rFonts w:eastAsiaTheme="minorHAnsi"/>
          <w:snapToGrid/>
          <w:szCs w:val="22"/>
        </w:rPr>
        <w:t xml:space="preserve">anti-ADAMTS13 antikūnų kiekis kartu su </w:t>
      </w:r>
      <w:r w:rsidR="003A704D" w:rsidRPr="00CE7679">
        <w:rPr>
          <w:rFonts w:eastAsiaTheme="minorHAnsi"/>
          <w:snapToGrid/>
          <w:szCs w:val="22"/>
        </w:rPr>
        <w:t>suma</w:t>
      </w:r>
      <w:r w:rsidR="003A704D">
        <w:rPr>
          <w:rFonts w:eastAsiaTheme="minorHAnsi"/>
          <w:snapToGrid/>
          <w:szCs w:val="22"/>
        </w:rPr>
        <w:t>ž</w:t>
      </w:r>
      <w:r w:rsidR="003A704D" w:rsidRPr="00CE7679">
        <w:rPr>
          <w:rFonts w:eastAsiaTheme="minorHAnsi"/>
          <w:snapToGrid/>
          <w:szCs w:val="22"/>
        </w:rPr>
        <w:t xml:space="preserve">ėjusiu </w:t>
      </w:r>
      <w:r w:rsidRPr="00CE7679">
        <w:rPr>
          <w:rFonts w:eastAsiaTheme="minorHAnsi"/>
          <w:snapToGrid/>
          <w:szCs w:val="22"/>
        </w:rPr>
        <w:t xml:space="preserve">ADAMTS13 aktyvumu, gydymo </w:t>
      </w:r>
      <w:proofErr w:type="spellStart"/>
      <w:r w:rsidR="00737315" w:rsidRPr="00CE7679">
        <w:rPr>
          <w:rFonts w:eastAsiaTheme="minorHAnsi"/>
          <w:snapToGrid/>
          <w:szCs w:val="22"/>
        </w:rPr>
        <w:t>Imatinib</w:t>
      </w:r>
      <w:proofErr w:type="spellEnd"/>
      <w:r w:rsidR="00737315" w:rsidRPr="00CE7679">
        <w:rPr>
          <w:rFonts w:eastAsiaTheme="minorHAnsi"/>
          <w:snapToGrid/>
          <w:szCs w:val="22"/>
        </w:rPr>
        <w:t xml:space="preserve"> </w:t>
      </w:r>
      <w:proofErr w:type="spellStart"/>
      <w:r w:rsidR="00737315" w:rsidRPr="00CE7679">
        <w:rPr>
          <w:rFonts w:eastAsiaTheme="minorHAnsi"/>
          <w:snapToGrid/>
          <w:szCs w:val="22"/>
        </w:rPr>
        <w:t>Sandoz</w:t>
      </w:r>
      <w:proofErr w:type="spellEnd"/>
      <w:r w:rsidR="00737315" w:rsidRPr="00CE7679">
        <w:rPr>
          <w:rFonts w:eastAsiaTheme="minorHAnsi"/>
          <w:snapToGrid/>
          <w:szCs w:val="22"/>
        </w:rPr>
        <w:t xml:space="preserve">  </w:t>
      </w:r>
      <w:r w:rsidRPr="00CE7679">
        <w:rPr>
          <w:rFonts w:eastAsiaTheme="minorHAnsi"/>
          <w:snapToGrid/>
          <w:szCs w:val="22"/>
        </w:rPr>
        <w:t>atnaujinti negalima.</w:t>
      </w:r>
    </w:p>
    <w:p w14:paraId="57283B1E" w14:textId="77777777" w:rsidR="00B26AB1" w:rsidRPr="00CE7679" w:rsidRDefault="00B26AB1" w:rsidP="00B26AB1">
      <w:pPr>
        <w:widowControl w:val="0"/>
        <w:autoSpaceDE w:val="0"/>
        <w:autoSpaceDN w:val="0"/>
        <w:adjustRightInd w:val="0"/>
        <w:spacing w:line="240" w:lineRule="auto"/>
        <w:rPr>
          <w:rFonts w:eastAsiaTheme="minorHAnsi"/>
          <w:snapToGrid/>
          <w:szCs w:val="22"/>
        </w:rPr>
      </w:pPr>
    </w:p>
    <w:p w14:paraId="3D70DCDE" w14:textId="77777777" w:rsidR="00A27597" w:rsidRPr="00CE7679" w:rsidRDefault="00A27597" w:rsidP="00B26AB1">
      <w:pPr>
        <w:widowControl w:val="0"/>
        <w:autoSpaceDE w:val="0"/>
        <w:autoSpaceDN w:val="0"/>
        <w:adjustRightInd w:val="0"/>
        <w:spacing w:line="240" w:lineRule="auto"/>
        <w:rPr>
          <w:rFonts w:eastAsia="SimSun"/>
          <w:snapToGrid/>
          <w:szCs w:val="22"/>
          <w:lang w:eastAsia="zh-CN"/>
        </w:rPr>
      </w:pPr>
      <w:r w:rsidRPr="00CE7679">
        <w:rPr>
          <w:rFonts w:eastAsia="SimSun"/>
          <w:snapToGrid/>
          <w:szCs w:val="22"/>
          <w:u w:val="single"/>
          <w:lang w:eastAsia="zh-CN"/>
        </w:rPr>
        <w:t>Laboratoriniai tyrimai</w:t>
      </w:r>
    </w:p>
    <w:p w14:paraId="2DD60ADD" w14:textId="1498755C"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Gydant </w:t>
      </w:r>
      <w:proofErr w:type="spellStart"/>
      <w:r w:rsidRPr="00CE7679">
        <w:rPr>
          <w:rFonts w:eastAsia="SimSun"/>
          <w:snapToGrid/>
          <w:szCs w:val="22"/>
          <w:lang w:eastAsia="zh-CN"/>
        </w:rPr>
        <w:t>imatinibu</w:t>
      </w:r>
      <w:proofErr w:type="spellEnd"/>
      <w:r w:rsidRPr="00CE7679">
        <w:rPr>
          <w:rFonts w:eastAsia="SimSun"/>
          <w:snapToGrid/>
          <w:szCs w:val="22"/>
          <w:lang w:eastAsia="zh-CN"/>
        </w:rPr>
        <w:t xml:space="preserve"> reikia reguliariai atlikti išsamų kraujo tyrimą. LML sergančių pacientų gydymas </w:t>
      </w:r>
      <w:proofErr w:type="spellStart"/>
      <w:r w:rsidRPr="00CE7679">
        <w:rPr>
          <w:rFonts w:eastAsia="SimSun"/>
          <w:snapToGrid/>
          <w:szCs w:val="22"/>
          <w:lang w:eastAsia="zh-CN"/>
        </w:rPr>
        <w:t>imatinibu</w:t>
      </w:r>
      <w:proofErr w:type="spellEnd"/>
      <w:r w:rsidRPr="00CE7679">
        <w:rPr>
          <w:rFonts w:eastAsia="SimSun"/>
          <w:snapToGrid/>
          <w:szCs w:val="22"/>
          <w:lang w:eastAsia="zh-CN"/>
        </w:rPr>
        <w:t xml:space="preserve"> yra susijęs su </w:t>
      </w:r>
      <w:proofErr w:type="spellStart"/>
      <w:r w:rsidRPr="00CE7679">
        <w:rPr>
          <w:rFonts w:eastAsia="SimSun"/>
          <w:snapToGrid/>
          <w:szCs w:val="22"/>
          <w:lang w:eastAsia="zh-CN"/>
        </w:rPr>
        <w:t>neutropenija</w:t>
      </w:r>
      <w:proofErr w:type="spellEnd"/>
      <w:r w:rsidRPr="00CE7679">
        <w:rPr>
          <w:rFonts w:eastAsia="SimSun"/>
          <w:snapToGrid/>
          <w:szCs w:val="22"/>
          <w:lang w:eastAsia="zh-CN"/>
        </w:rPr>
        <w:t xml:space="preserve"> ir </w:t>
      </w:r>
      <w:proofErr w:type="spellStart"/>
      <w:r w:rsidRPr="00CE7679">
        <w:rPr>
          <w:rFonts w:eastAsia="SimSun"/>
          <w:snapToGrid/>
          <w:szCs w:val="22"/>
          <w:lang w:eastAsia="zh-CN"/>
        </w:rPr>
        <w:t>trombocitopenija</w:t>
      </w:r>
      <w:proofErr w:type="spellEnd"/>
      <w:r w:rsidRPr="00CE7679">
        <w:rPr>
          <w:rFonts w:eastAsia="SimSun"/>
          <w:snapToGrid/>
          <w:szCs w:val="22"/>
          <w:lang w:eastAsia="zh-CN"/>
        </w:rPr>
        <w:t xml:space="preserve">. Tačiau šios </w:t>
      </w:r>
      <w:proofErr w:type="spellStart"/>
      <w:r w:rsidRPr="00CE7679">
        <w:rPr>
          <w:rFonts w:eastAsia="SimSun"/>
          <w:snapToGrid/>
          <w:szCs w:val="22"/>
          <w:lang w:eastAsia="zh-CN"/>
        </w:rPr>
        <w:t>citopenijos</w:t>
      </w:r>
      <w:proofErr w:type="spellEnd"/>
      <w:r w:rsidRPr="00CE7679">
        <w:rPr>
          <w:rFonts w:eastAsia="SimSun"/>
          <w:snapToGrid/>
          <w:szCs w:val="22"/>
          <w:lang w:eastAsia="zh-CN"/>
        </w:rPr>
        <w:t xml:space="preserve"> gali priklausyti nuo gydomos ligos stadijos ir dažniau būna pacientams, kuriems yra LML akceleracijos fazė ar </w:t>
      </w:r>
      <w:proofErr w:type="spellStart"/>
      <w:r w:rsidRPr="00CE7679">
        <w:rPr>
          <w:rFonts w:eastAsia="SimSun"/>
          <w:snapToGrid/>
          <w:szCs w:val="22"/>
          <w:lang w:eastAsia="zh-CN"/>
        </w:rPr>
        <w:t>blastinė</w:t>
      </w:r>
      <w:proofErr w:type="spellEnd"/>
      <w:r w:rsidRPr="00CE7679">
        <w:rPr>
          <w:rFonts w:eastAsia="SimSun"/>
          <w:snapToGrid/>
          <w:szCs w:val="22"/>
          <w:lang w:eastAsia="zh-CN"/>
        </w:rPr>
        <w:t xml:space="preserve"> krizė, negu tiems, kuriems yra lėtinė LML fazė. Gydymas </w:t>
      </w:r>
      <w:proofErr w:type="spellStart"/>
      <w:r w:rsidRPr="00CE7679">
        <w:rPr>
          <w:rFonts w:eastAsia="SimSun"/>
          <w:snapToGrid/>
          <w:szCs w:val="22"/>
          <w:lang w:eastAsia="zh-CN"/>
        </w:rPr>
        <w:t>imatinibu</w:t>
      </w:r>
      <w:proofErr w:type="spellEnd"/>
      <w:r w:rsidRPr="00CE7679">
        <w:rPr>
          <w:rFonts w:eastAsia="SimSun"/>
          <w:snapToGrid/>
          <w:szCs w:val="22"/>
          <w:lang w:eastAsia="zh-CN"/>
        </w:rPr>
        <w:t xml:space="preserve"> gali būti pertrauktas arba gali būti sumažinta vaistinio preparato dozė, kaip rekomenduota 4.2</w:t>
      </w:r>
      <w:r w:rsidR="00AF0E72">
        <w:rPr>
          <w:rFonts w:eastAsia="SimSun"/>
          <w:snapToGrid/>
          <w:szCs w:val="22"/>
          <w:lang w:eastAsia="zh-CN"/>
        </w:rPr>
        <w:t> </w:t>
      </w:r>
      <w:r w:rsidRPr="00CE7679">
        <w:rPr>
          <w:rFonts w:eastAsia="SimSun"/>
          <w:snapToGrid/>
          <w:szCs w:val="22"/>
          <w:lang w:eastAsia="zh-CN"/>
        </w:rPr>
        <w:t>skyriuje.</w:t>
      </w:r>
    </w:p>
    <w:p w14:paraId="076B8E70"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44442379"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Būtina reguliariai tirti </w:t>
      </w:r>
      <w:proofErr w:type="spellStart"/>
      <w:r w:rsidRPr="00CE7679">
        <w:rPr>
          <w:rFonts w:eastAsia="SimSun"/>
          <w:snapToGrid/>
          <w:szCs w:val="22"/>
          <w:lang w:eastAsia="zh-CN"/>
        </w:rPr>
        <w:t>imatinibą</w:t>
      </w:r>
      <w:proofErr w:type="spellEnd"/>
      <w:r w:rsidRPr="00CE7679">
        <w:rPr>
          <w:rFonts w:eastAsia="SimSun"/>
          <w:snapToGrid/>
          <w:szCs w:val="22"/>
          <w:lang w:eastAsia="zh-CN"/>
        </w:rPr>
        <w:t xml:space="preserve"> vartojančių pacientų kepenų funkciją (</w:t>
      </w:r>
      <w:proofErr w:type="spellStart"/>
      <w:r w:rsidRPr="00CE7679">
        <w:rPr>
          <w:rFonts w:eastAsia="SimSun"/>
          <w:snapToGrid/>
          <w:szCs w:val="22"/>
          <w:lang w:eastAsia="zh-CN"/>
        </w:rPr>
        <w:t>transaminazių</w:t>
      </w:r>
      <w:proofErr w:type="spellEnd"/>
      <w:r w:rsidRPr="00CE7679">
        <w:rPr>
          <w:rFonts w:eastAsia="SimSun"/>
          <w:snapToGrid/>
          <w:szCs w:val="22"/>
          <w:lang w:eastAsia="zh-CN"/>
        </w:rPr>
        <w:t xml:space="preserve">, šarminės fosfatazės aktyvumą ir </w:t>
      </w:r>
      <w:proofErr w:type="spellStart"/>
      <w:r w:rsidRPr="00CE7679">
        <w:rPr>
          <w:rFonts w:eastAsia="SimSun"/>
          <w:snapToGrid/>
          <w:szCs w:val="22"/>
          <w:lang w:eastAsia="zh-CN"/>
        </w:rPr>
        <w:t>bilirubino</w:t>
      </w:r>
      <w:proofErr w:type="spellEnd"/>
      <w:r w:rsidRPr="00CE7679">
        <w:rPr>
          <w:rFonts w:eastAsia="SimSun"/>
          <w:snapToGrid/>
          <w:szCs w:val="22"/>
          <w:lang w:eastAsia="zh-CN"/>
        </w:rPr>
        <w:t xml:space="preserve"> kiekį).</w:t>
      </w:r>
    </w:p>
    <w:p w14:paraId="0511A90F"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118F5E99" w14:textId="69C395C6"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Manoma, kad pacientų, kurių inkstų funkcija susilpnėjusi,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ekspozicija plazmoje būna didesnė nei pacientų, kurių inkstų funkcija normali. Tikriausiai tai lemia </w:t>
      </w:r>
      <w:proofErr w:type="spellStart"/>
      <w:r w:rsidRPr="00CE7679">
        <w:rPr>
          <w:rFonts w:eastAsia="SimSun"/>
          <w:snapToGrid/>
          <w:szCs w:val="22"/>
          <w:lang w:eastAsia="zh-CN"/>
        </w:rPr>
        <w:t>imatinibą</w:t>
      </w:r>
      <w:proofErr w:type="spellEnd"/>
      <w:r w:rsidRPr="00CE7679">
        <w:rPr>
          <w:rFonts w:eastAsia="SimSun"/>
          <w:snapToGrid/>
          <w:szCs w:val="22"/>
          <w:lang w:eastAsia="zh-CN"/>
        </w:rPr>
        <w:t xml:space="preserve"> surišančio baltymo alfa rūgščiojo </w:t>
      </w:r>
      <w:proofErr w:type="spellStart"/>
      <w:r w:rsidRPr="00CE7679">
        <w:rPr>
          <w:rFonts w:eastAsia="SimSun"/>
          <w:snapToGrid/>
          <w:szCs w:val="22"/>
          <w:lang w:eastAsia="zh-CN"/>
        </w:rPr>
        <w:t>glikoproteino</w:t>
      </w:r>
      <w:proofErr w:type="spellEnd"/>
      <w:r w:rsidRPr="00CE7679">
        <w:rPr>
          <w:rFonts w:eastAsia="SimSun"/>
          <w:snapToGrid/>
          <w:szCs w:val="22"/>
          <w:lang w:eastAsia="zh-CN"/>
        </w:rPr>
        <w:t xml:space="preserve"> (AGP) kiekis plazmoje, kuris yra didesnis pacientams, kurių inkstų funkcija sutrikusi. Pacientams, kurių inkstai pakenkti, turi būti skiriama mažiausia pradinė dozė. Pacientus, kuriems yra sunkus  inkstų pakenkimas, reikia gydyti ypač atsargiai. Dozė gali būti mažinama, jei blogai toleruojama (žr.</w:t>
      </w:r>
      <w:r w:rsidR="00AF0E72">
        <w:rPr>
          <w:rFonts w:eastAsia="SimSun"/>
          <w:snapToGrid/>
          <w:szCs w:val="22"/>
          <w:lang w:eastAsia="zh-CN"/>
        </w:rPr>
        <w:t> </w:t>
      </w:r>
      <w:r w:rsidRPr="00CE7679">
        <w:rPr>
          <w:rFonts w:eastAsia="SimSun"/>
          <w:snapToGrid/>
          <w:szCs w:val="22"/>
          <w:lang w:eastAsia="zh-CN"/>
        </w:rPr>
        <w:t>4.2 ir 5.2</w:t>
      </w:r>
      <w:r w:rsidR="00AF0E72">
        <w:rPr>
          <w:rFonts w:eastAsia="SimSun"/>
          <w:snapToGrid/>
          <w:szCs w:val="22"/>
          <w:lang w:eastAsia="zh-CN"/>
        </w:rPr>
        <w:t> </w:t>
      </w:r>
      <w:r w:rsidRPr="00CE7679">
        <w:rPr>
          <w:rFonts w:eastAsia="SimSun"/>
          <w:snapToGrid/>
          <w:szCs w:val="22"/>
          <w:lang w:eastAsia="zh-CN"/>
        </w:rPr>
        <w:t>skyrius).</w:t>
      </w:r>
    </w:p>
    <w:p w14:paraId="442CC542"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04985F3B" w14:textId="77777777" w:rsidR="00A27597" w:rsidRPr="00CE7679" w:rsidRDefault="00A27597" w:rsidP="00A27597">
      <w:pPr>
        <w:widowControl w:val="0"/>
        <w:autoSpaceDE w:val="0"/>
        <w:autoSpaceDN w:val="0"/>
        <w:adjustRightInd w:val="0"/>
        <w:spacing w:line="240" w:lineRule="auto"/>
        <w:rPr>
          <w:szCs w:val="22"/>
        </w:rPr>
      </w:pPr>
      <w:r w:rsidRPr="00CE7679">
        <w:rPr>
          <w:szCs w:val="22"/>
        </w:rPr>
        <w:t xml:space="preserve">Užsitęsęs gydymas </w:t>
      </w:r>
      <w:proofErr w:type="spellStart"/>
      <w:r w:rsidRPr="00CE7679">
        <w:rPr>
          <w:szCs w:val="22"/>
        </w:rPr>
        <w:t>imatinibu</w:t>
      </w:r>
      <w:proofErr w:type="spellEnd"/>
      <w:r w:rsidRPr="00CE7679">
        <w:rPr>
          <w:szCs w:val="22"/>
        </w:rPr>
        <w:t xml:space="preserve"> gali būti susijęs su kliniškai reikšmingu inkstų funkcijos susilpnėjimu. Dėl to inkstų funkcija turi būti atidžiai įvertinta prieš pradedant gydymą </w:t>
      </w:r>
      <w:proofErr w:type="spellStart"/>
      <w:r w:rsidRPr="00CE7679">
        <w:rPr>
          <w:szCs w:val="22"/>
        </w:rPr>
        <w:t>imatinibu</w:t>
      </w:r>
      <w:proofErr w:type="spellEnd"/>
      <w:r w:rsidRPr="00CE7679">
        <w:rPr>
          <w:szCs w:val="22"/>
        </w:rPr>
        <w:t xml:space="preserve"> ir atidžiai stebima </w:t>
      </w:r>
      <w:r w:rsidRPr="00CE7679">
        <w:rPr>
          <w:szCs w:val="22"/>
        </w:rPr>
        <w:lastRenderedPageBreak/>
        <w:t xml:space="preserve">gydymo metu, atkreipiant ypatingą dėmesį į pacientus, kuriems yra inkstų funkcijos sutrikimo rizikos veiksnių. Jeigu nustatytas inkstų funkcijos sutrikimas, turi būti skiriamas reikiamas gydymas laikantis standartinių gydymo rekomendacijų. </w:t>
      </w:r>
    </w:p>
    <w:p w14:paraId="6489FD46"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1CC65207"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u w:val="single"/>
          <w:lang w:eastAsia="zh-CN"/>
        </w:rPr>
        <w:t>Vaikų populiacija</w:t>
      </w:r>
    </w:p>
    <w:p w14:paraId="2E9AFC23" w14:textId="0F55B469" w:rsidR="00140C5C" w:rsidRPr="00CE40E1" w:rsidRDefault="00A27597" w:rsidP="00F30108">
      <w:pPr>
        <w:widowControl w:val="0"/>
        <w:autoSpaceDE w:val="0"/>
        <w:autoSpaceDN w:val="0"/>
        <w:adjustRightInd w:val="0"/>
        <w:spacing w:line="240" w:lineRule="auto"/>
      </w:pPr>
      <w:r w:rsidRPr="00175D6F">
        <w:rPr>
          <w:rFonts w:eastAsia="SimSun"/>
          <w:snapToGrid/>
          <w:szCs w:val="22"/>
          <w:lang w:eastAsia="zh-CN"/>
        </w:rPr>
        <w:t xml:space="preserve">Gauta pranešimų apie augimo sulėtėjimą mažiems ir vyresniems vaikams, vartojusiems </w:t>
      </w:r>
      <w:proofErr w:type="spellStart"/>
      <w:r w:rsidRPr="00175D6F">
        <w:rPr>
          <w:rFonts w:eastAsia="SimSun"/>
          <w:snapToGrid/>
          <w:szCs w:val="22"/>
          <w:lang w:eastAsia="zh-CN"/>
        </w:rPr>
        <w:t>imatinibo</w:t>
      </w:r>
      <w:proofErr w:type="spellEnd"/>
      <w:r w:rsidRPr="00175D6F">
        <w:rPr>
          <w:rFonts w:eastAsia="SimSun"/>
          <w:snapToGrid/>
          <w:szCs w:val="22"/>
          <w:lang w:eastAsia="zh-CN"/>
        </w:rPr>
        <w:t>.</w:t>
      </w:r>
      <w:r w:rsidR="001E55A8">
        <w:rPr>
          <w:rFonts w:eastAsia="SimSun"/>
          <w:snapToGrid/>
          <w:szCs w:val="22"/>
          <w:lang w:eastAsia="zh-CN"/>
        </w:rPr>
        <w:t xml:space="preserve"> </w:t>
      </w:r>
      <w:r w:rsidR="00140C5C" w:rsidRPr="00F30108">
        <w:t>LML</w:t>
      </w:r>
      <w:r w:rsidR="00140C5C" w:rsidRPr="00CE40E1">
        <w:rPr>
          <w:spacing w:val="10"/>
        </w:rPr>
        <w:t xml:space="preserve"> </w:t>
      </w:r>
      <w:r w:rsidR="00140C5C" w:rsidRPr="00F30108">
        <w:t>sergančių</w:t>
      </w:r>
      <w:r w:rsidR="00140C5C" w:rsidRPr="00CE40E1">
        <w:rPr>
          <w:spacing w:val="6"/>
        </w:rPr>
        <w:t xml:space="preserve"> </w:t>
      </w:r>
      <w:r w:rsidR="00140C5C" w:rsidRPr="00CE40E1">
        <w:rPr>
          <w:spacing w:val="-3"/>
        </w:rPr>
        <w:t>vaikų</w:t>
      </w:r>
      <w:r w:rsidR="00140C5C" w:rsidRPr="00CE40E1">
        <w:rPr>
          <w:spacing w:val="6"/>
        </w:rPr>
        <w:t xml:space="preserve"> </w:t>
      </w:r>
      <w:r w:rsidR="00140C5C" w:rsidRPr="00F30108">
        <w:t>populiacijoje,</w:t>
      </w:r>
      <w:r w:rsidR="00140C5C" w:rsidRPr="00CE40E1">
        <w:rPr>
          <w:spacing w:val="12"/>
        </w:rPr>
        <w:t xml:space="preserve"> </w:t>
      </w:r>
      <w:r w:rsidR="00140C5C" w:rsidRPr="00F30108">
        <w:t>atlikto</w:t>
      </w:r>
      <w:r w:rsidR="00140C5C" w:rsidRPr="00CE40E1">
        <w:rPr>
          <w:spacing w:val="6"/>
        </w:rPr>
        <w:t xml:space="preserve"> </w:t>
      </w:r>
      <w:r w:rsidR="00140C5C" w:rsidRPr="00CE40E1">
        <w:rPr>
          <w:spacing w:val="-3"/>
        </w:rPr>
        <w:t>stebėjimo</w:t>
      </w:r>
      <w:r w:rsidR="00140C5C" w:rsidRPr="00CE40E1">
        <w:rPr>
          <w:spacing w:val="6"/>
        </w:rPr>
        <w:t xml:space="preserve"> </w:t>
      </w:r>
      <w:r w:rsidR="00140C5C" w:rsidRPr="00F30108">
        <w:t>tyrimo</w:t>
      </w:r>
      <w:r w:rsidR="00140C5C" w:rsidRPr="00CE40E1">
        <w:rPr>
          <w:spacing w:val="6"/>
        </w:rPr>
        <w:t xml:space="preserve"> </w:t>
      </w:r>
      <w:r w:rsidR="00140C5C" w:rsidRPr="00CE40E1">
        <w:rPr>
          <w:spacing w:val="-3"/>
        </w:rPr>
        <w:t>duomenimis,</w:t>
      </w:r>
      <w:r w:rsidR="00140C5C" w:rsidRPr="00CE40E1">
        <w:rPr>
          <w:spacing w:val="26"/>
        </w:rPr>
        <w:t xml:space="preserve"> </w:t>
      </w:r>
      <w:r w:rsidR="00140C5C" w:rsidRPr="00507407">
        <w:rPr>
          <w:spacing w:val="-3"/>
        </w:rPr>
        <w:t>buvo</w:t>
      </w:r>
      <w:r w:rsidR="00140C5C" w:rsidRPr="00507407">
        <w:rPr>
          <w:spacing w:val="6"/>
        </w:rPr>
        <w:t xml:space="preserve"> </w:t>
      </w:r>
      <w:r w:rsidR="00140C5C" w:rsidRPr="00507407">
        <w:rPr>
          <w:spacing w:val="-1"/>
        </w:rPr>
        <w:t>pastebėtas</w:t>
      </w:r>
      <w:r w:rsidR="00140C5C" w:rsidRPr="00507407">
        <w:rPr>
          <w:spacing w:val="2"/>
        </w:rPr>
        <w:t xml:space="preserve"> </w:t>
      </w:r>
      <w:r w:rsidR="00140C5C" w:rsidRPr="00F30108">
        <w:t>statistiškai</w:t>
      </w:r>
    </w:p>
    <w:p w14:paraId="0AC7A528" w14:textId="77777777" w:rsidR="00140C5C" w:rsidRPr="00F30108" w:rsidRDefault="00140C5C" w:rsidP="00F30108">
      <w:pPr>
        <w:pStyle w:val="Pagrindinistekstas"/>
        <w:kinsoku w:val="0"/>
        <w:overflowPunct w:val="0"/>
        <w:spacing w:line="0" w:lineRule="atLeast"/>
        <w:ind w:right="98"/>
        <w:rPr>
          <w:i w:val="0"/>
          <w:color w:val="auto"/>
        </w:rPr>
      </w:pPr>
      <w:r w:rsidRPr="00F30108">
        <w:rPr>
          <w:i w:val="0"/>
          <w:color w:val="auto"/>
          <w:spacing w:val="-2"/>
        </w:rPr>
        <w:t>reikšmingas</w:t>
      </w:r>
      <w:r w:rsidRPr="00F30108">
        <w:rPr>
          <w:i w:val="0"/>
          <w:color w:val="auto"/>
          <w:spacing w:val="1"/>
        </w:rPr>
        <w:t xml:space="preserve"> </w:t>
      </w:r>
      <w:r w:rsidRPr="00F30108">
        <w:rPr>
          <w:i w:val="0"/>
          <w:color w:val="auto"/>
          <w:spacing w:val="-2"/>
        </w:rPr>
        <w:t>(bet</w:t>
      </w:r>
      <w:r w:rsidRPr="00F30108">
        <w:rPr>
          <w:i w:val="0"/>
          <w:color w:val="auto"/>
          <w:spacing w:val="13"/>
        </w:rPr>
        <w:t xml:space="preserve"> </w:t>
      </w:r>
      <w:r w:rsidRPr="00F30108">
        <w:rPr>
          <w:i w:val="0"/>
          <w:color w:val="auto"/>
          <w:spacing w:val="-2"/>
        </w:rPr>
        <w:t>neaiškios</w:t>
      </w:r>
      <w:r w:rsidRPr="00F30108">
        <w:rPr>
          <w:i w:val="0"/>
          <w:color w:val="auto"/>
          <w:spacing w:val="2"/>
        </w:rPr>
        <w:t xml:space="preserve"> </w:t>
      </w:r>
      <w:r w:rsidRPr="00F30108">
        <w:rPr>
          <w:i w:val="0"/>
          <w:color w:val="auto"/>
          <w:spacing w:val="-2"/>
        </w:rPr>
        <w:t>klinikinės</w:t>
      </w:r>
      <w:r w:rsidRPr="00F30108">
        <w:rPr>
          <w:i w:val="0"/>
          <w:color w:val="auto"/>
          <w:spacing w:val="2"/>
        </w:rPr>
        <w:t xml:space="preserve"> </w:t>
      </w:r>
      <w:r w:rsidRPr="00F30108">
        <w:rPr>
          <w:i w:val="0"/>
          <w:color w:val="auto"/>
          <w:spacing w:val="-3"/>
        </w:rPr>
        <w:t>reikšmės)</w:t>
      </w:r>
      <w:r w:rsidRPr="00F30108">
        <w:rPr>
          <w:i w:val="0"/>
          <w:color w:val="auto"/>
          <w:spacing w:val="14"/>
        </w:rPr>
        <w:t xml:space="preserve"> </w:t>
      </w:r>
      <w:r w:rsidRPr="00F30108">
        <w:rPr>
          <w:i w:val="0"/>
          <w:color w:val="auto"/>
          <w:spacing w:val="-2"/>
        </w:rPr>
        <w:t>ūgio</w:t>
      </w:r>
      <w:r w:rsidRPr="00F30108">
        <w:rPr>
          <w:i w:val="0"/>
          <w:color w:val="auto"/>
          <w:spacing w:val="8"/>
        </w:rPr>
        <w:t xml:space="preserve"> </w:t>
      </w:r>
      <w:r w:rsidRPr="00F30108">
        <w:rPr>
          <w:i w:val="0"/>
          <w:color w:val="auto"/>
          <w:spacing w:val="-1"/>
        </w:rPr>
        <w:t>standartinio</w:t>
      </w:r>
      <w:r w:rsidRPr="00F30108">
        <w:rPr>
          <w:i w:val="0"/>
          <w:color w:val="auto"/>
          <w:spacing w:val="7"/>
        </w:rPr>
        <w:t xml:space="preserve"> </w:t>
      </w:r>
      <w:r w:rsidRPr="00F30108">
        <w:rPr>
          <w:i w:val="0"/>
          <w:color w:val="auto"/>
          <w:spacing w:val="-2"/>
        </w:rPr>
        <w:t>nuokrypio</w:t>
      </w:r>
      <w:r w:rsidRPr="00F30108">
        <w:rPr>
          <w:i w:val="0"/>
          <w:color w:val="auto"/>
          <w:spacing w:val="6"/>
        </w:rPr>
        <w:t xml:space="preserve"> </w:t>
      </w:r>
      <w:r w:rsidRPr="00F30108">
        <w:rPr>
          <w:i w:val="0"/>
          <w:color w:val="auto"/>
          <w:spacing w:val="-1"/>
        </w:rPr>
        <w:t>balų</w:t>
      </w:r>
      <w:r w:rsidRPr="00F30108">
        <w:rPr>
          <w:i w:val="0"/>
          <w:color w:val="auto"/>
          <w:spacing w:val="7"/>
        </w:rPr>
        <w:t xml:space="preserve"> </w:t>
      </w:r>
      <w:r w:rsidRPr="00F30108">
        <w:rPr>
          <w:i w:val="0"/>
          <w:color w:val="auto"/>
          <w:spacing w:val="-3"/>
        </w:rPr>
        <w:t>medianos</w:t>
      </w:r>
      <w:r w:rsidRPr="00F30108">
        <w:rPr>
          <w:i w:val="0"/>
          <w:color w:val="auto"/>
          <w:spacing w:val="61"/>
          <w:w w:val="101"/>
        </w:rPr>
        <w:t xml:space="preserve"> </w:t>
      </w:r>
      <w:r w:rsidRPr="00F30108">
        <w:rPr>
          <w:i w:val="0"/>
          <w:color w:val="auto"/>
          <w:spacing w:val="-2"/>
        </w:rPr>
        <w:t>sumažėjimas</w:t>
      </w:r>
      <w:r w:rsidRPr="00F30108">
        <w:rPr>
          <w:i w:val="0"/>
          <w:color w:val="auto"/>
          <w:spacing w:val="2"/>
        </w:rPr>
        <w:t xml:space="preserve"> </w:t>
      </w:r>
      <w:r w:rsidRPr="00F30108">
        <w:rPr>
          <w:i w:val="0"/>
          <w:color w:val="auto"/>
          <w:spacing w:val="-2"/>
        </w:rPr>
        <w:t>po</w:t>
      </w:r>
      <w:r w:rsidRPr="00F30108">
        <w:rPr>
          <w:i w:val="0"/>
          <w:color w:val="auto"/>
          <w:spacing w:val="5"/>
        </w:rPr>
        <w:t xml:space="preserve"> </w:t>
      </w:r>
      <w:r w:rsidRPr="00F30108">
        <w:rPr>
          <w:i w:val="0"/>
          <w:color w:val="auto"/>
          <w:spacing w:val="-2"/>
        </w:rPr>
        <w:t>12</w:t>
      </w:r>
      <w:r w:rsidRPr="00F30108">
        <w:rPr>
          <w:i w:val="0"/>
          <w:color w:val="auto"/>
          <w:spacing w:val="6"/>
        </w:rPr>
        <w:t xml:space="preserve"> </w:t>
      </w:r>
      <w:r w:rsidRPr="00F30108">
        <w:rPr>
          <w:i w:val="0"/>
          <w:color w:val="auto"/>
          <w:spacing w:val="1"/>
        </w:rPr>
        <w:t>ir</w:t>
      </w:r>
      <w:r w:rsidRPr="00F30108">
        <w:rPr>
          <w:i w:val="0"/>
          <w:color w:val="auto"/>
          <w:spacing w:val="-1"/>
        </w:rPr>
        <w:t xml:space="preserve"> </w:t>
      </w:r>
      <w:r w:rsidRPr="00F30108">
        <w:rPr>
          <w:i w:val="0"/>
          <w:color w:val="auto"/>
          <w:spacing w:val="1"/>
        </w:rPr>
        <w:t>24</w:t>
      </w:r>
      <w:r w:rsidRPr="00F30108">
        <w:rPr>
          <w:i w:val="0"/>
          <w:color w:val="auto"/>
          <w:spacing w:val="6"/>
        </w:rPr>
        <w:t xml:space="preserve"> </w:t>
      </w:r>
      <w:r w:rsidRPr="00F30108">
        <w:rPr>
          <w:i w:val="0"/>
          <w:color w:val="auto"/>
          <w:spacing w:val="-3"/>
        </w:rPr>
        <w:t>gydymo</w:t>
      </w:r>
      <w:r w:rsidRPr="00F30108">
        <w:rPr>
          <w:i w:val="0"/>
          <w:color w:val="auto"/>
          <w:spacing w:val="5"/>
        </w:rPr>
        <w:t xml:space="preserve"> </w:t>
      </w:r>
      <w:r w:rsidRPr="00F30108">
        <w:rPr>
          <w:i w:val="0"/>
          <w:color w:val="auto"/>
          <w:spacing w:val="-3"/>
        </w:rPr>
        <w:t>mėnesių</w:t>
      </w:r>
      <w:r w:rsidRPr="00F30108">
        <w:rPr>
          <w:i w:val="0"/>
          <w:color w:val="auto"/>
          <w:spacing w:val="5"/>
        </w:rPr>
        <w:t xml:space="preserve"> </w:t>
      </w:r>
      <w:r w:rsidRPr="00F30108">
        <w:rPr>
          <w:i w:val="0"/>
          <w:color w:val="auto"/>
          <w:spacing w:val="-1"/>
        </w:rPr>
        <w:t>dviejuose</w:t>
      </w:r>
      <w:r w:rsidRPr="00F30108">
        <w:rPr>
          <w:i w:val="0"/>
          <w:color w:val="auto"/>
          <w:spacing w:val="11"/>
        </w:rPr>
        <w:t xml:space="preserve"> </w:t>
      </w:r>
      <w:r w:rsidRPr="00F30108">
        <w:rPr>
          <w:i w:val="0"/>
          <w:color w:val="auto"/>
          <w:spacing w:val="-4"/>
        </w:rPr>
        <w:t>mažuose</w:t>
      </w:r>
      <w:r w:rsidRPr="00F30108">
        <w:rPr>
          <w:i w:val="0"/>
          <w:color w:val="auto"/>
          <w:spacing w:val="12"/>
        </w:rPr>
        <w:t xml:space="preserve"> </w:t>
      </w:r>
      <w:r w:rsidRPr="00F30108">
        <w:rPr>
          <w:i w:val="0"/>
          <w:color w:val="auto"/>
          <w:spacing w:val="-3"/>
        </w:rPr>
        <w:t>pogrupiuose,</w:t>
      </w:r>
      <w:r w:rsidRPr="00F30108">
        <w:rPr>
          <w:i w:val="0"/>
          <w:color w:val="auto"/>
          <w:spacing w:val="10"/>
        </w:rPr>
        <w:t xml:space="preserve"> </w:t>
      </w:r>
      <w:r w:rsidRPr="00F30108">
        <w:rPr>
          <w:i w:val="0"/>
          <w:color w:val="auto"/>
          <w:spacing w:val="-2"/>
        </w:rPr>
        <w:t>nepriklausomai</w:t>
      </w:r>
      <w:r w:rsidRPr="00F30108">
        <w:rPr>
          <w:i w:val="0"/>
          <w:color w:val="auto"/>
          <w:spacing w:val="12"/>
        </w:rPr>
        <w:t xml:space="preserve"> </w:t>
      </w:r>
      <w:r w:rsidRPr="00F30108">
        <w:rPr>
          <w:i w:val="0"/>
          <w:color w:val="auto"/>
          <w:spacing w:val="-3"/>
        </w:rPr>
        <w:t>nuo</w:t>
      </w:r>
      <w:r w:rsidRPr="00F30108">
        <w:rPr>
          <w:i w:val="0"/>
          <w:color w:val="auto"/>
          <w:spacing w:val="5"/>
        </w:rPr>
        <w:t xml:space="preserve"> </w:t>
      </w:r>
      <w:r w:rsidRPr="00F30108">
        <w:rPr>
          <w:i w:val="0"/>
          <w:color w:val="auto"/>
          <w:spacing w:val="-1"/>
        </w:rPr>
        <w:t>lytinio</w:t>
      </w:r>
      <w:r w:rsidRPr="00F30108">
        <w:rPr>
          <w:i w:val="0"/>
          <w:color w:val="auto"/>
          <w:spacing w:val="57"/>
          <w:w w:val="101"/>
        </w:rPr>
        <w:t xml:space="preserve"> </w:t>
      </w:r>
      <w:r w:rsidRPr="00F30108">
        <w:rPr>
          <w:i w:val="0"/>
          <w:color w:val="auto"/>
          <w:spacing w:val="-2"/>
        </w:rPr>
        <w:t>brendimo</w:t>
      </w:r>
      <w:r w:rsidRPr="00F30108">
        <w:rPr>
          <w:i w:val="0"/>
          <w:color w:val="auto"/>
          <w:spacing w:val="4"/>
        </w:rPr>
        <w:t xml:space="preserve"> </w:t>
      </w:r>
      <w:r w:rsidRPr="00F30108">
        <w:rPr>
          <w:i w:val="0"/>
          <w:color w:val="auto"/>
        </w:rPr>
        <w:t>ar</w:t>
      </w:r>
      <w:r w:rsidRPr="00F30108">
        <w:rPr>
          <w:i w:val="0"/>
          <w:color w:val="auto"/>
          <w:spacing w:val="7"/>
        </w:rPr>
        <w:t xml:space="preserve"> </w:t>
      </w:r>
      <w:r w:rsidRPr="00F30108">
        <w:rPr>
          <w:i w:val="0"/>
          <w:color w:val="auto"/>
          <w:spacing w:val="-3"/>
        </w:rPr>
        <w:t>lyties.</w:t>
      </w:r>
      <w:r w:rsidRPr="00F30108">
        <w:rPr>
          <w:i w:val="0"/>
          <w:color w:val="auto"/>
          <w:spacing w:val="11"/>
        </w:rPr>
        <w:t xml:space="preserve"> </w:t>
      </w:r>
      <w:r w:rsidR="00693741" w:rsidRPr="006D5E98">
        <w:rPr>
          <w:rFonts w:eastAsia="Times New Roman"/>
          <w:i w:val="0"/>
          <w:snapToGrid w:val="0"/>
          <w:color w:val="auto"/>
        </w:rPr>
        <w:t>ŪLL sergančių vaikų populiacijoje, atlikto stebėjimo tyrimo rezultatai buvo</w:t>
      </w:r>
      <w:r w:rsidR="00693741">
        <w:rPr>
          <w:rFonts w:eastAsia="Times New Roman"/>
          <w:i w:val="0"/>
          <w:snapToGrid w:val="0"/>
          <w:color w:val="auto"/>
        </w:rPr>
        <w:t xml:space="preserve"> </w:t>
      </w:r>
      <w:r w:rsidR="00693741" w:rsidRPr="006D5E98">
        <w:rPr>
          <w:rFonts w:eastAsia="Times New Roman"/>
          <w:i w:val="0"/>
          <w:snapToGrid w:val="0"/>
          <w:color w:val="auto"/>
        </w:rPr>
        <w:t>panašūs.</w:t>
      </w:r>
    </w:p>
    <w:p w14:paraId="2817AC3A" w14:textId="483E36A6"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Todėl rekomenduojama atidžiai stebėti vaikų augimą gydant </w:t>
      </w:r>
      <w:proofErr w:type="spellStart"/>
      <w:r w:rsidRPr="00CE7679">
        <w:rPr>
          <w:rFonts w:eastAsia="SimSun"/>
          <w:snapToGrid/>
          <w:szCs w:val="22"/>
          <w:lang w:eastAsia="zh-CN"/>
        </w:rPr>
        <w:t>imatinibu</w:t>
      </w:r>
      <w:proofErr w:type="spellEnd"/>
      <w:r w:rsidRPr="00CE7679">
        <w:rPr>
          <w:rFonts w:eastAsia="SimSun"/>
          <w:snapToGrid/>
          <w:szCs w:val="22"/>
          <w:lang w:eastAsia="zh-CN"/>
        </w:rPr>
        <w:t xml:space="preserve"> (žr.</w:t>
      </w:r>
      <w:r w:rsidR="001E55A8">
        <w:rPr>
          <w:rFonts w:eastAsia="SimSun"/>
          <w:snapToGrid/>
          <w:szCs w:val="22"/>
          <w:lang w:eastAsia="zh-CN"/>
        </w:rPr>
        <w:t> </w:t>
      </w:r>
      <w:r w:rsidRPr="00CE7679">
        <w:rPr>
          <w:rFonts w:eastAsia="SimSun"/>
          <w:snapToGrid/>
          <w:szCs w:val="22"/>
          <w:lang w:eastAsia="zh-CN"/>
        </w:rPr>
        <w:t>4.8</w:t>
      </w:r>
      <w:r w:rsidR="001E55A8">
        <w:rPr>
          <w:rFonts w:eastAsia="SimSun"/>
          <w:snapToGrid/>
          <w:szCs w:val="22"/>
          <w:lang w:eastAsia="zh-CN"/>
        </w:rPr>
        <w:t> </w:t>
      </w:r>
      <w:r w:rsidRPr="00CE7679">
        <w:rPr>
          <w:rFonts w:eastAsia="SimSun"/>
          <w:snapToGrid/>
          <w:szCs w:val="22"/>
          <w:lang w:eastAsia="zh-CN"/>
        </w:rPr>
        <w:t>skyrių).</w:t>
      </w:r>
    </w:p>
    <w:p w14:paraId="2F36E57E" w14:textId="77777777" w:rsidR="00A27597" w:rsidRPr="00CE7679" w:rsidRDefault="00A27597" w:rsidP="00A27597">
      <w:pPr>
        <w:widowControl w:val="0"/>
        <w:autoSpaceDE w:val="0"/>
        <w:autoSpaceDN w:val="0"/>
        <w:adjustRightInd w:val="0"/>
        <w:spacing w:line="240" w:lineRule="auto"/>
        <w:rPr>
          <w:rFonts w:eastAsia="SimSun"/>
          <w:snapToGrid/>
          <w:szCs w:val="22"/>
          <w:u w:val="single"/>
          <w:lang w:eastAsia="zh-CN"/>
        </w:rPr>
      </w:pPr>
    </w:p>
    <w:p w14:paraId="680EE3FE" w14:textId="77777777" w:rsidR="00A27597" w:rsidRPr="00CE7679" w:rsidRDefault="00A27597" w:rsidP="00A27597">
      <w:pPr>
        <w:keepNext/>
        <w:spacing w:line="240" w:lineRule="auto"/>
        <w:jc w:val="both"/>
        <w:outlineLvl w:val="3"/>
        <w:rPr>
          <w:rFonts w:eastAsia="SimSun"/>
          <w:b/>
          <w:snapToGrid/>
          <w:szCs w:val="22"/>
        </w:rPr>
      </w:pPr>
      <w:r w:rsidRPr="00CE7679">
        <w:rPr>
          <w:rFonts w:eastAsia="SimSun"/>
          <w:b/>
          <w:snapToGrid/>
          <w:szCs w:val="22"/>
        </w:rPr>
        <w:t>4.5</w:t>
      </w:r>
      <w:r w:rsidRPr="00CE7679">
        <w:rPr>
          <w:rFonts w:eastAsia="SimSun"/>
          <w:b/>
          <w:snapToGrid/>
          <w:szCs w:val="22"/>
        </w:rPr>
        <w:tab/>
        <w:t>Sąveika su kitais vaistiniais preparatais ir kitokia sąveika</w:t>
      </w:r>
    </w:p>
    <w:p w14:paraId="1E4D8395" w14:textId="77777777" w:rsidR="00A27597" w:rsidRPr="00CE7679" w:rsidRDefault="00A27597" w:rsidP="00A27597">
      <w:pPr>
        <w:spacing w:line="240" w:lineRule="auto"/>
        <w:rPr>
          <w:rFonts w:eastAsia="SimSun"/>
          <w:snapToGrid/>
          <w:szCs w:val="22"/>
          <w:lang w:eastAsia="zh-CN"/>
        </w:rPr>
      </w:pPr>
    </w:p>
    <w:p w14:paraId="1EBDABB8"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u w:val="single"/>
          <w:lang w:eastAsia="zh-CN"/>
        </w:rPr>
        <w:t xml:space="preserve">Veikliosios medžiagos, kurios gali </w:t>
      </w:r>
      <w:r w:rsidRPr="00CE7679">
        <w:rPr>
          <w:rFonts w:eastAsia="SimSun"/>
          <w:b/>
          <w:snapToGrid/>
          <w:szCs w:val="22"/>
          <w:u w:val="single"/>
          <w:lang w:eastAsia="zh-CN"/>
        </w:rPr>
        <w:t xml:space="preserve">didinti </w:t>
      </w:r>
      <w:proofErr w:type="spellStart"/>
      <w:r w:rsidRPr="00CE7679">
        <w:rPr>
          <w:rFonts w:eastAsia="SimSun"/>
          <w:snapToGrid/>
          <w:szCs w:val="22"/>
          <w:u w:val="single"/>
          <w:lang w:eastAsia="zh-CN"/>
        </w:rPr>
        <w:t>imatinibo</w:t>
      </w:r>
      <w:proofErr w:type="spellEnd"/>
      <w:r w:rsidRPr="00CE7679">
        <w:rPr>
          <w:rFonts w:eastAsia="SimSun"/>
          <w:snapToGrid/>
          <w:szCs w:val="22"/>
          <w:u w:val="single"/>
          <w:lang w:eastAsia="zh-CN"/>
        </w:rPr>
        <w:t xml:space="preserve"> koncentraciją plazmoje</w:t>
      </w:r>
    </w:p>
    <w:p w14:paraId="6D717B59" w14:textId="77777777" w:rsidR="00A27597" w:rsidRPr="00CE7679" w:rsidRDefault="00A27597" w:rsidP="00A27597">
      <w:pPr>
        <w:tabs>
          <w:tab w:val="clear" w:pos="567"/>
        </w:tabs>
        <w:autoSpaceDE w:val="0"/>
        <w:autoSpaceDN w:val="0"/>
        <w:adjustRightInd w:val="0"/>
        <w:spacing w:line="240" w:lineRule="auto"/>
        <w:rPr>
          <w:rFonts w:eastAsia="Calibri"/>
          <w:snapToGrid/>
          <w:szCs w:val="22"/>
          <w:lang w:eastAsia="lt-LT"/>
        </w:rPr>
      </w:pPr>
      <w:r w:rsidRPr="00CE7679">
        <w:rPr>
          <w:rFonts w:eastAsia="Calibri"/>
          <w:snapToGrid/>
          <w:szCs w:val="22"/>
          <w:lang w:eastAsia="lt-LT"/>
        </w:rPr>
        <w:t xml:space="preserve">Medžiagos, kurios slopina </w:t>
      </w:r>
      <w:proofErr w:type="spellStart"/>
      <w:r w:rsidRPr="00CE7679">
        <w:rPr>
          <w:rFonts w:eastAsia="Calibri"/>
          <w:snapToGrid/>
          <w:szCs w:val="22"/>
          <w:lang w:eastAsia="lt-LT"/>
        </w:rPr>
        <w:t>citochromo</w:t>
      </w:r>
      <w:proofErr w:type="spellEnd"/>
      <w:r w:rsidRPr="00CE7679">
        <w:rPr>
          <w:rFonts w:eastAsia="Calibri"/>
          <w:snapToGrid/>
          <w:szCs w:val="22"/>
          <w:lang w:eastAsia="lt-LT"/>
        </w:rPr>
        <w:t xml:space="preserve"> P450 </w:t>
      </w:r>
      <w:proofErr w:type="spellStart"/>
      <w:r w:rsidRPr="00CE7679">
        <w:rPr>
          <w:rFonts w:eastAsia="Calibri"/>
          <w:snapToGrid/>
          <w:szCs w:val="22"/>
          <w:lang w:eastAsia="lt-LT"/>
        </w:rPr>
        <w:t>izofermento</w:t>
      </w:r>
      <w:proofErr w:type="spellEnd"/>
      <w:r w:rsidRPr="00CE7679">
        <w:rPr>
          <w:rFonts w:eastAsia="Calibri"/>
          <w:snapToGrid/>
          <w:szCs w:val="22"/>
          <w:lang w:eastAsia="lt-LT"/>
        </w:rPr>
        <w:t xml:space="preserve"> CYP3A4 aktyvumą (pvz., proteazės inhibitoriai, tokie, kaip </w:t>
      </w:r>
      <w:proofErr w:type="spellStart"/>
      <w:r w:rsidRPr="00CE7679">
        <w:rPr>
          <w:rFonts w:eastAsia="Calibri"/>
          <w:snapToGrid/>
          <w:szCs w:val="22"/>
          <w:lang w:eastAsia="lt-LT"/>
        </w:rPr>
        <w:t>indinaviras</w:t>
      </w:r>
      <w:proofErr w:type="spellEnd"/>
      <w:r w:rsidRPr="00CE7679">
        <w:rPr>
          <w:rFonts w:eastAsia="Calibri"/>
          <w:snapToGrid/>
          <w:szCs w:val="22"/>
          <w:lang w:eastAsia="lt-LT"/>
        </w:rPr>
        <w:t xml:space="preserve">, lopinaviras/ritonaviras, ritonaviras, </w:t>
      </w:r>
      <w:proofErr w:type="spellStart"/>
      <w:r w:rsidRPr="00CE7679">
        <w:rPr>
          <w:rFonts w:eastAsia="Calibri"/>
          <w:snapToGrid/>
          <w:szCs w:val="22"/>
          <w:lang w:eastAsia="lt-LT"/>
        </w:rPr>
        <w:t>sakvinaviras</w:t>
      </w:r>
      <w:proofErr w:type="spellEnd"/>
      <w:r w:rsidRPr="00CE7679">
        <w:rPr>
          <w:rFonts w:eastAsia="Calibri"/>
          <w:snapToGrid/>
          <w:szCs w:val="22"/>
          <w:lang w:eastAsia="lt-LT"/>
        </w:rPr>
        <w:t xml:space="preserve">, </w:t>
      </w:r>
      <w:proofErr w:type="spellStart"/>
      <w:r w:rsidRPr="00CE7679">
        <w:rPr>
          <w:rFonts w:eastAsia="Calibri"/>
          <w:snapToGrid/>
          <w:szCs w:val="22"/>
          <w:lang w:eastAsia="lt-LT"/>
        </w:rPr>
        <w:t>telapreviras</w:t>
      </w:r>
      <w:proofErr w:type="spellEnd"/>
      <w:r w:rsidRPr="00CE7679">
        <w:rPr>
          <w:rFonts w:eastAsia="Calibri"/>
          <w:snapToGrid/>
          <w:szCs w:val="22"/>
          <w:lang w:eastAsia="lt-LT"/>
        </w:rPr>
        <w:t xml:space="preserve">, </w:t>
      </w:r>
      <w:proofErr w:type="spellStart"/>
      <w:r w:rsidRPr="00CE7679">
        <w:rPr>
          <w:rFonts w:eastAsia="Calibri"/>
          <w:snapToGrid/>
          <w:szCs w:val="22"/>
          <w:lang w:eastAsia="lt-LT"/>
        </w:rPr>
        <w:t>nelfinaviras</w:t>
      </w:r>
      <w:proofErr w:type="spellEnd"/>
      <w:r w:rsidRPr="00CE7679">
        <w:rPr>
          <w:rFonts w:eastAsia="Calibri"/>
          <w:snapToGrid/>
          <w:szCs w:val="22"/>
          <w:lang w:eastAsia="lt-LT"/>
        </w:rPr>
        <w:t xml:space="preserve">, </w:t>
      </w:r>
      <w:proofErr w:type="spellStart"/>
      <w:r w:rsidRPr="00CE7679">
        <w:rPr>
          <w:rFonts w:eastAsia="Calibri"/>
          <w:snapToGrid/>
          <w:szCs w:val="22"/>
          <w:lang w:eastAsia="lt-LT"/>
        </w:rPr>
        <w:t>bocepreviras</w:t>
      </w:r>
      <w:proofErr w:type="spellEnd"/>
      <w:r w:rsidRPr="00CE7679">
        <w:rPr>
          <w:rFonts w:eastAsia="Calibri"/>
          <w:snapToGrid/>
          <w:szCs w:val="22"/>
          <w:lang w:eastAsia="lt-LT"/>
        </w:rPr>
        <w:t xml:space="preserve">; </w:t>
      </w:r>
      <w:proofErr w:type="spellStart"/>
      <w:r w:rsidRPr="00CE7679">
        <w:rPr>
          <w:rFonts w:eastAsia="Calibri"/>
          <w:snapToGrid/>
          <w:szCs w:val="22"/>
          <w:lang w:eastAsia="lt-LT"/>
        </w:rPr>
        <w:t>azolo</w:t>
      </w:r>
      <w:proofErr w:type="spellEnd"/>
      <w:r w:rsidRPr="00CE7679">
        <w:rPr>
          <w:rFonts w:eastAsia="Calibri"/>
          <w:snapToGrid/>
          <w:szCs w:val="22"/>
          <w:lang w:eastAsia="lt-LT"/>
        </w:rPr>
        <w:t xml:space="preserve"> dariniai nuo grybelių, įskaitant </w:t>
      </w:r>
      <w:proofErr w:type="spellStart"/>
      <w:r w:rsidRPr="00CE7679">
        <w:rPr>
          <w:rFonts w:eastAsia="Calibri"/>
          <w:snapToGrid/>
          <w:szCs w:val="22"/>
          <w:lang w:eastAsia="lt-LT"/>
        </w:rPr>
        <w:t>ketokonazolą</w:t>
      </w:r>
      <w:proofErr w:type="spellEnd"/>
      <w:r w:rsidRPr="00CE7679">
        <w:rPr>
          <w:rFonts w:eastAsia="Calibri"/>
          <w:snapToGrid/>
          <w:szCs w:val="22"/>
          <w:lang w:eastAsia="lt-LT"/>
        </w:rPr>
        <w:t xml:space="preserve">, </w:t>
      </w:r>
      <w:proofErr w:type="spellStart"/>
      <w:r w:rsidRPr="00CE7679">
        <w:rPr>
          <w:rFonts w:eastAsia="Calibri"/>
          <w:snapToGrid/>
          <w:szCs w:val="22"/>
          <w:lang w:eastAsia="lt-LT"/>
        </w:rPr>
        <w:t>itrakonazolą</w:t>
      </w:r>
      <w:proofErr w:type="spellEnd"/>
      <w:r w:rsidRPr="00CE7679">
        <w:rPr>
          <w:rFonts w:eastAsia="Calibri"/>
          <w:snapToGrid/>
          <w:szCs w:val="22"/>
          <w:lang w:eastAsia="lt-LT"/>
        </w:rPr>
        <w:t xml:space="preserve">, </w:t>
      </w:r>
      <w:proofErr w:type="spellStart"/>
      <w:r w:rsidRPr="00CE7679">
        <w:rPr>
          <w:rFonts w:eastAsia="Calibri"/>
          <w:snapToGrid/>
          <w:szCs w:val="22"/>
          <w:lang w:eastAsia="lt-LT"/>
        </w:rPr>
        <w:t>pozakonazolą</w:t>
      </w:r>
      <w:proofErr w:type="spellEnd"/>
      <w:r w:rsidRPr="00CE7679">
        <w:rPr>
          <w:rFonts w:eastAsia="Calibri"/>
          <w:snapToGrid/>
          <w:szCs w:val="22"/>
          <w:lang w:eastAsia="lt-LT"/>
        </w:rPr>
        <w:t xml:space="preserve">, </w:t>
      </w:r>
      <w:proofErr w:type="spellStart"/>
      <w:r w:rsidRPr="00CE7679">
        <w:rPr>
          <w:rFonts w:eastAsia="Calibri"/>
          <w:snapToGrid/>
          <w:szCs w:val="22"/>
          <w:lang w:eastAsia="lt-LT"/>
        </w:rPr>
        <w:t>vorikonazolą</w:t>
      </w:r>
      <w:proofErr w:type="spellEnd"/>
      <w:r w:rsidRPr="00CE7679">
        <w:rPr>
          <w:rFonts w:eastAsia="Calibri"/>
          <w:snapToGrid/>
          <w:szCs w:val="22"/>
          <w:lang w:eastAsia="lt-LT"/>
        </w:rPr>
        <w:t xml:space="preserve">; tam tikri </w:t>
      </w:r>
      <w:proofErr w:type="spellStart"/>
      <w:r w:rsidRPr="00CE7679">
        <w:rPr>
          <w:rFonts w:eastAsia="Calibri"/>
          <w:snapToGrid/>
          <w:szCs w:val="22"/>
          <w:lang w:eastAsia="lt-LT"/>
        </w:rPr>
        <w:t>makrolidai</w:t>
      </w:r>
      <w:proofErr w:type="spellEnd"/>
      <w:r w:rsidRPr="00CE7679">
        <w:rPr>
          <w:rFonts w:eastAsia="Calibri"/>
          <w:snapToGrid/>
          <w:szCs w:val="22"/>
          <w:lang w:eastAsia="lt-LT"/>
        </w:rPr>
        <w:t xml:space="preserve">, tokie kaip </w:t>
      </w:r>
      <w:proofErr w:type="spellStart"/>
      <w:r w:rsidRPr="00CE7679">
        <w:rPr>
          <w:rFonts w:eastAsia="Calibri"/>
          <w:snapToGrid/>
          <w:szCs w:val="22"/>
          <w:lang w:eastAsia="lt-LT"/>
        </w:rPr>
        <w:t>eritromicinas</w:t>
      </w:r>
      <w:proofErr w:type="spellEnd"/>
      <w:r w:rsidRPr="00CE7679">
        <w:rPr>
          <w:rFonts w:eastAsia="Calibri"/>
          <w:snapToGrid/>
          <w:szCs w:val="22"/>
          <w:lang w:eastAsia="lt-LT"/>
        </w:rPr>
        <w:t xml:space="preserve">, </w:t>
      </w:r>
      <w:proofErr w:type="spellStart"/>
      <w:r w:rsidRPr="00CE7679">
        <w:rPr>
          <w:rFonts w:eastAsia="Calibri"/>
          <w:snapToGrid/>
          <w:szCs w:val="22"/>
          <w:lang w:eastAsia="lt-LT"/>
        </w:rPr>
        <w:t>klaritromicinas</w:t>
      </w:r>
      <w:proofErr w:type="spellEnd"/>
      <w:r w:rsidRPr="00CE7679">
        <w:rPr>
          <w:rFonts w:eastAsia="Calibri"/>
          <w:snapToGrid/>
          <w:szCs w:val="22"/>
          <w:lang w:eastAsia="lt-LT"/>
        </w:rPr>
        <w:t xml:space="preserve"> ir </w:t>
      </w:r>
      <w:proofErr w:type="spellStart"/>
      <w:r w:rsidRPr="00CE7679">
        <w:rPr>
          <w:rFonts w:eastAsia="Calibri"/>
          <w:snapToGrid/>
          <w:szCs w:val="22"/>
          <w:lang w:eastAsia="lt-LT"/>
        </w:rPr>
        <w:t>telitromicinas</w:t>
      </w:r>
      <w:proofErr w:type="spellEnd"/>
      <w:r w:rsidRPr="00CE7679">
        <w:rPr>
          <w:rFonts w:eastAsia="Calibri"/>
          <w:snapToGrid/>
          <w:szCs w:val="22"/>
          <w:lang w:eastAsia="lt-LT"/>
        </w:rPr>
        <w:t xml:space="preserve">), gali slopinti </w:t>
      </w:r>
      <w:proofErr w:type="spellStart"/>
      <w:r w:rsidRPr="00CE7679">
        <w:rPr>
          <w:rFonts w:eastAsia="Calibri"/>
          <w:snapToGrid/>
          <w:szCs w:val="22"/>
          <w:lang w:eastAsia="lt-LT"/>
        </w:rPr>
        <w:t>imatinibo</w:t>
      </w:r>
      <w:proofErr w:type="spellEnd"/>
      <w:r w:rsidRPr="00CE7679">
        <w:rPr>
          <w:rFonts w:eastAsia="Calibri"/>
          <w:snapToGrid/>
          <w:szCs w:val="22"/>
          <w:lang w:eastAsia="lt-LT"/>
        </w:rPr>
        <w:t xml:space="preserve"> metabolizmą ir didinti jo koncentraciją. Nustatyta reikšmingai padidėjusi </w:t>
      </w:r>
      <w:proofErr w:type="spellStart"/>
      <w:r w:rsidRPr="00CE7679">
        <w:rPr>
          <w:rFonts w:eastAsia="Calibri"/>
          <w:snapToGrid/>
          <w:szCs w:val="22"/>
          <w:lang w:eastAsia="lt-LT"/>
        </w:rPr>
        <w:t>imatinibo</w:t>
      </w:r>
      <w:proofErr w:type="spellEnd"/>
      <w:r w:rsidRPr="00CE7679">
        <w:rPr>
          <w:rFonts w:eastAsia="Calibri"/>
          <w:snapToGrid/>
          <w:szCs w:val="22"/>
          <w:lang w:eastAsia="lt-LT"/>
        </w:rPr>
        <w:t xml:space="preserve"> ekspozicija (vidutinė </w:t>
      </w:r>
      <w:proofErr w:type="spellStart"/>
      <w:r w:rsidRPr="00CE7679">
        <w:rPr>
          <w:rFonts w:eastAsia="Calibri"/>
          <w:snapToGrid/>
          <w:szCs w:val="22"/>
          <w:lang w:eastAsia="lt-LT"/>
        </w:rPr>
        <w:t>imatinibo</w:t>
      </w:r>
      <w:proofErr w:type="spellEnd"/>
      <w:r w:rsidRPr="00CE7679">
        <w:rPr>
          <w:rFonts w:eastAsia="Calibri"/>
          <w:snapToGrid/>
          <w:szCs w:val="22"/>
          <w:lang w:eastAsia="lt-LT"/>
        </w:rPr>
        <w:t xml:space="preserve"> </w:t>
      </w:r>
      <w:proofErr w:type="spellStart"/>
      <w:r w:rsidRPr="00CE7679">
        <w:rPr>
          <w:rFonts w:eastAsia="Calibri"/>
          <w:snapToGrid/>
          <w:szCs w:val="22"/>
          <w:lang w:eastAsia="lt-LT"/>
        </w:rPr>
        <w:t>C</w:t>
      </w:r>
      <w:r w:rsidRPr="00CE7679">
        <w:rPr>
          <w:rFonts w:eastAsia="Calibri"/>
          <w:snapToGrid/>
          <w:sz w:val="14"/>
          <w:szCs w:val="14"/>
          <w:lang w:eastAsia="lt-LT"/>
        </w:rPr>
        <w:t>max</w:t>
      </w:r>
      <w:proofErr w:type="spellEnd"/>
      <w:r w:rsidRPr="00CE7679">
        <w:rPr>
          <w:rFonts w:eastAsia="Calibri"/>
          <w:snapToGrid/>
          <w:sz w:val="14"/>
          <w:szCs w:val="14"/>
          <w:lang w:eastAsia="lt-LT"/>
        </w:rPr>
        <w:t xml:space="preserve"> </w:t>
      </w:r>
      <w:r w:rsidRPr="00CE7679">
        <w:rPr>
          <w:rFonts w:eastAsia="Calibri"/>
          <w:snapToGrid/>
          <w:szCs w:val="22"/>
          <w:lang w:eastAsia="lt-LT"/>
        </w:rPr>
        <w:t>ir AUC padidėjo atitinkamai 26</w:t>
      </w:r>
      <w:r w:rsidR="004C1A71" w:rsidRPr="00CE7679">
        <w:rPr>
          <w:rFonts w:eastAsia="Calibri"/>
          <w:snapToGrid/>
          <w:szCs w:val="22"/>
          <w:lang w:eastAsia="lt-LT"/>
        </w:rPr>
        <w:t> </w:t>
      </w:r>
      <w:r w:rsidRPr="00CE7679">
        <w:rPr>
          <w:rFonts w:eastAsia="Calibri"/>
          <w:snapToGrid/>
          <w:szCs w:val="22"/>
          <w:lang w:eastAsia="lt-LT"/>
        </w:rPr>
        <w:t>% ir 40</w:t>
      </w:r>
      <w:r w:rsidR="004C1A71" w:rsidRPr="00CE7679">
        <w:rPr>
          <w:rFonts w:eastAsia="Calibri"/>
          <w:snapToGrid/>
          <w:szCs w:val="22"/>
          <w:lang w:eastAsia="lt-LT"/>
        </w:rPr>
        <w:t> </w:t>
      </w:r>
      <w:r w:rsidRPr="00CE7679">
        <w:rPr>
          <w:rFonts w:eastAsia="Calibri"/>
          <w:snapToGrid/>
          <w:szCs w:val="22"/>
          <w:lang w:eastAsia="lt-LT"/>
        </w:rPr>
        <w:t xml:space="preserve">%) sveikiems savanoriams, kurie kartu vartojo vienkartinę </w:t>
      </w:r>
      <w:proofErr w:type="spellStart"/>
      <w:r w:rsidRPr="00CE7679">
        <w:rPr>
          <w:rFonts w:eastAsia="Calibri"/>
          <w:snapToGrid/>
          <w:szCs w:val="22"/>
          <w:lang w:eastAsia="lt-LT"/>
        </w:rPr>
        <w:t>ketokonazolo</w:t>
      </w:r>
      <w:proofErr w:type="spellEnd"/>
      <w:r w:rsidRPr="00CE7679">
        <w:rPr>
          <w:rFonts w:eastAsia="Calibri"/>
          <w:snapToGrid/>
          <w:szCs w:val="22"/>
          <w:lang w:eastAsia="lt-LT"/>
        </w:rPr>
        <w:t xml:space="preserve"> (CYP3A4 inhibitoriaus) dozę. Būtina laikytis atsargumo priemonių, kai </w:t>
      </w:r>
      <w:proofErr w:type="spellStart"/>
      <w:r w:rsidRPr="00CE7679">
        <w:rPr>
          <w:rFonts w:eastAsia="Calibri"/>
          <w:snapToGrid/>
          <w:szCs w:val="22"/>
          <w:lang w:eastAsia="lt-LT"/>
        </w:rPr>
        <w:t>imatinibo</w:t>
      </w:r>
      <w:proofErr w:type="spellEnd"/>
      <w:r w:rsidRPr="00CE7679">
        <w:rPr>
          <w:rFonts w:eastAsia="Calibri"/>
          <w:snapToGrid/>
          <w:szCs w:val="22"/>
          <w:lang w:eastAsia="lt-LT"/>
        </w:rPr>
        <w:t xml:space="preserve"> skiriama kartu su CYP3A4 šeimos inhibitoriais. </w:t>
      </w:r>
    </w:p>
    <w:p w14:paraId="3595E671" w14:textId="77777777" w:rsidR="00A27597" w:rsidRPr="00CE7679" w:rsidRDefault="00A27597" w:rsidP="00A27597">
      <w:pPr>
        <w:tabs>
          <w:tab w:val="clear" w:pos="567"/>
        </w:tabs>
        <w:autoSpaceDE w:val="0"/>
        <w:autoSpaceDN w:val="0"/>
        <w:adjustRightInd w:val="0"/>
        <w:spacing w:line="240" w:lineRule="auto"/>
        <w:rPr>
          <w:rFonts w:eastAsia="Calibri"/>
          <w:snapToGrid/>
          <w:szCs w:val="22"/>
          <w:lang w:eastAsia="lt-LT"/>
        </w:rPr>
      </w:pPr>
    </w:p>
    <w:p w14:paraId="52B6401C" w14:textId="77777777" w:rsidR="00A27597" w:rsidRPr="00CE7679" w:rsidRDefault="00A27597" w:rsidP="00A27597">
      <w:pPr>
        <w:tabs>
          <w:tab w:val="clear" w:pos="567"/>
        </w:tabs>
        <w:autoSpaceDE w:val="0"/>
        <w:autoSpaceDN w:val="0"/>
        <w:adjustRightInd w:val="0"/>
        <w:spacing w:line="240" w:lineRule="auto"/>
        <w:rPr>
          <w:rFonts w:eastAsia="Calibri"/>
          <w:snapToGrid/>
          <w:szCs w:val="22"/>
          <w:u w:val="single"/>
          <w:lang w:eastAsia="lt-LT"/>
        </w:rPr>
      </w:pPr>
      <w:r w:rsidRPr="00CE7679">
        <w:rPr>
          <w:rFonts w:eastAsia="Calibri"/>
          <w:snapToGrid/>
          <w:szCs w:val="22"/>
          <w:u w:val="single"/>
          <w:lang w:eastAsia="lt-LT"/>
        </w:rPr>
        <w:t xml:space="preserve">Veikliosios medžiagos, kurios gali </w:t>
      </w:r>
      <w:r w:rsidRPr="00CE7679">
        <w:rPr>
          <w:rFonts w:eastAsia="Calibri"/>
          <w:b/>
          <w:bCs/>
          <w:snapToGrid/>
          <w:szCs w:val="22"/>
          <w:u w:val="single"/>
          <w:lang w:eastAsia="lt-LT"/>
        </w:rPr>
        <w:t xml:space="preserve">mažinti </w:t>
      </w:r>
      <w:proofErr w:type="spellStart"/>
      <w:r w:rsidRPr="00CE7679">
        <w:rPr>
          <w:rFonts w:eastAsia="Calibri"/>
          <w:snapToGrid/>
          <w:szCs w:val="22"/>
          <w:u w:val="single"/>
          <w:lang w:eastAsia="lt-LT"/>
        </w:rPr>
        <w:t>imatinibo</w:t>
      </w:r>
      <w:proofErr w:type="spellEnd"/>
      <w:r w:rsidRPr="00CE7679">
        <w:rPr>
          <w:rFonts w:eastAsia="Calibri"/>
          <w:snapToGrid/>
          <w:szCs w:val="22"/>
          <w:u w:val="single"/>
          <w:lang w:eastAsia="lt-LT"/>
        </w:rPr>
        <w:t xml:space="preserve"> koncentraciją plazmoje </w:t>
      </w:r>
    </w:p>
    <w:p w14:paraId="34C661D1"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Calibri"/>
          <w:snapToGrid/>
          <w:szCs w:val="22"/>
          <w:lang w:eastAsia="lt-LT"/>
        </w:rPr>
        <w:t xml:space="preserve">Medžiagos, kurios indukuoja CYP3A4 aktyvumą (pvz., </w:t>
      </w:r>
      <w:proofErr w:type="spellStart"/>
      <w:r w:rsidRPr="00CE7679">
        <w:rPr>
          <w:rFonts w:eastAsia="Calibri"/>
          <w:snapToGrid/>
          <w:szCs w:val="22"/>
          <w:lang w:eastAsia="lt-LT"/>
        </w:rPr>
        <w:t>deksametazonas</w:t>
      </w:r>
      <w:proofErr w:type="spellEnd"/>
      <w:r w:rsidRPr="00CE7679">
        <w:rPr>
          <w:rFonts w:eastAsia="Calibri"/>
          <w:snapToGrid/>
          <w:szCs w:val="22"/>
          <w:lang w:eastAsia="lt-LT"/>
        </w:rPr>
        <w:t xml:space="preserve">, </w:t>
      </w:r>
      <w:proofErr w:type="spellStart"/>
      <w:r w:rsidRPr="00CE7679">
        <w:rPr>
          <w:rFonts w:eastAsia="Calibri"/>
          <w:snapToGrid/>
          <w:szCs w:val="22"/>
          <w:lang w:eastAsia="lt-LT"/>
        </w:rPr>
        <w:t>fenitoinas</w:t>
      </w:r>
      <w:proofErr w:type="spellEnd"/>
      <w:r w:rsidRPr="00CE7679">
        <w:rPr>
          <w:rFonts w:eastAsia="Calibri"/>
          <w:snapToGrid/>
          <w:szCs w:val="22"/>
          <w:lang w:eastAsia="lt-LT"/>
        </w:rPr>
        <w:t xml:space="preserve">, </w:t>
      </w:r>
      <w:proofErr w:type="spellStart"/>
      <w:r w:rsidRPr="00CE7679">
        <w:rPr>
          <w:rFonts w:eastAsia="Calibri"/>
          <w:snapToGrid/>
          <w:szCs w:val="22"/>
          <w:lang w:eastAsia="lt-LT"/>
        </w:rPr>
        <w:t>karbamazepinas</w:t>
      </w:r>
      <w:proofErr w:type="spellEnd"/>
      <w:r w:rsidRPr="00CE7679">
        <w:rPr>
          <w:rFonts w:eastAsia="Calibri"/>
          <w:snapToGrid/>
          <w:szCs w:val="22"/>
          <w:lang w:eastAsia="lt-LT"/>
        </w:rPr>
        <w:t xml:space="preserve">, </w:t>
      </w:r>
      <w:proofErr w:type="spellStart"/>
      <w:r w:rsidRPr="00CE7679">
        <w:rPr>
          <w:rFonts w:eastAsia="Calibri"/>
          <w:snapToGrid/>
          <w:szCs w:val="22"/>
          <w:lang w:eastAsia="lt-LT"/>
        </w:rPr>
        <w:t>rifampicinas</w:t>
      </w:r>
      <w:proofErr w:type="spellEnd"/>
      <w:r w:rsidRPr="00CE7679">
        <w:rPr>
          <w:rFonts w:eastAsia="Calibri"/>
          <w:snapToGrid/>
          <w:szCs w:val="22"/>
          <w:lang w:eastAsia="lt-LT"/>
        </w:rPr>
        <w:t xml:space="preserve">, </w:t>
      </w:r>
      <w:proofErr w:type="spellStart"/>
      <w:r w:rsidRPr="00CE7679">
        <w:rPr>
          <w:rFonts w:eastAsia="Calibri"/>
          <w:snapToGrid/>
          <w:szCs w:val="22"/>
          <w:lang w:eastAsia="lt-LT"/>
        </w:rPr>
        <w:t>fenobarbitalis</w:t>
      </w:r>
      <w:proofErr w:type="spellEnd"/>
      <w:r w:rsidRPr="00CE7679">
        <w:rPr>
          <w:rFonts w:eastAsia="Calibri"/>
          <w:snapToGrid/>
          <w:szCs w:val="22"/>
          <w:lang w:eastAsia="lt-LT"/>
        </w:rPr>
        <w:t xml:space="preserve">, </w:t>
      </w:r>
      <w:proofErr w:type="spellStart"/>
      <w:r w:rsidRPr="00CE7679">
        <w:rPr>
          <w:rFonts w:eastAsia="Calibri"/>
          <w:snapToGrid/>
          <w:szCs w:val="22"/>
          <w:lang w:eastAsia="lt-LT"/>
        </w:rPr>
        <w:t>fosfenitoinas</w:t>
      </w:r>
      <w:proofErr w:type="spellEnd"/>
      <w:r w:rsidRPr="00CE7679">
        <w:rPr>
          <w:rFonts w:eastAsia="Calibri"/>
          <w:snapToGrid/>
          <w:szCs w:val="22"/>
          <w:lang w:eastAsia="lt-LT"/>
        </w:rPr>
        <w:t xml:space="preserve">, </w:t>
      </w:r>
      <w:proofErr w:type="spellStart"/>
      <w:r w:rsidRPr="00CE7679">
        <w:rPr>
          <w:rFonts w:eastAsia="Calibri"/>
          <w:snapToGrid/>
          <w:szCs w:val="22"/>
          <w:lang w:eastAsia="lt-LT"/>
        </w:rPr>
        <w:t>primidonas</w:t>
      </w:r>
      <w:proofErr w:type="spellEnd"/>
      <w:r w:rsidRPr="00CE7679">
        <w:rPr>
          <w:rFonts w:eastAsia="Calibri"/>
          <w:snapToGrid/>
          <w:szCs w:val="22"/>
          <w:lang w:eastAsia="lt-LT"/>
        </w:rPr>
        <w:t xml:space="preserve"> ar </w:t>
      </w:r>
      <w:proofErr w:type="spellStart"/>
      <w:r w:rsidRPr="00CE7679">
        <w:rPr>
          <w:rFonts w:eastAsia="Calibri"/>
          <w:i/>
          <w:iCs/>
          <w:snapToGrid/>
          <w:szCs w:val="22"/>
          <w:lang w:eastAsia="lt-LT"/>
        </w:rPr>
        <w:t>Hypericum</w:t>
      </w:r>
      <w:proofErr w:type="spellEnd"/>
      <w:r w:rsidRPr="00CE7679">
        <w:rPr>
          <w:rFonts w:eastAsia="Calibri"/>
          <w:i/>
          <w:iCs/>
          <w:snapToGrid/>
          <w:szCs w:val="22"/>
          <w:lang w:eastAsia="lt-LT"/>
        </w:rPr>
        <w:t xml:space="preserve"> </w:t>
      </w:r>
      <w:proofErr w:type="spellStart"/>
      <w:r w:rsidRPr="00CE7679">
        <w:rPr>
          <w:rFonts w:eastAsia="Calibri"/>
          <w:i/>
          <w:iCs/>
          <w:snapToGrid/>
          <w:szCs w:val="22"/>
          <w:lang w:eastAsia="lt-LT"/>
        </w:rPr>
        <w:t>perforatum</w:t>
      </w:r>
      <w:proofErr w:type="spellEnd"/>
      <w:r w:rsidRPr="00CE7679">
        <w:rPr>
          <w:rFonts w:eastAsia="Calibri"/>
          <w:snapToGrid/>
          <w:szCs w:val="22"/>
          <w:lang w:eastAsia="lt-LT"/>
        </w:rPr>
        <w:t xml:space="preserve">, </w:t>
      </w:r>
      <w:proofErr w:type="spellStart"/>
      <w:r w:rsidRPr="00CE7679">
        <w:rPr>
          <w:rFonts w:eastAsia="Calibri"/>
          <w:snapToGrid/>
          <w:szCs w:val="22"/>
          <w:lang w:eastAsia="lt-LT"/>
        </w:rPr>
        <w:t>t.y</w:t>
      </w:r>
      <w:proofErr w:type="spellEnd"/>
      <w:r w:rsidRPr="00CE7679">
        <w:rPr>
          <w:rFonts w:eastAsia="Calibri"/>
          <w:snapToGrid/>
          <w:szCs w:val="22"/>
          <w:lang w:eastAsia="lt-LT"/>
        </w:rPr>
        <w:t xml:space="preserve">. jonažolė), gali reikšmingai sumažinti </w:t>
      </w:r>
      <w:proofErr w:type="spellStart"/>
      <w:r w:rsidRPr="00CE7679">
        <w:rPr>
          <w:rFonts w:eastAsia="Calibri"/>
          <w:snapToGrid/>
          <w:szCs w:val="22"/>
          <w:lang w:eastAsia="lt-LT"/>
        </w:rPr>
        <w:t>imatinibo</w:t>
      </w:r>
      <w:proofErr w:type="spellEnd"/>
      <w:r w:rsidRPr="00CE7679">
        <w:rPr>
          <w:rFonts w:eastAsia="Calibri"/>
          <w:snapToGrid/>
          <w:szCs w:val="22"/>
          <w:lang w:eastAsia="lt-LT"/>
        </w:rPr>
        <w:t xml:space="preserve"> ekspoziciją ir padidinti gydymo susilpnėjimo riziką. Po iš pradžių skirto gydymo daugkartinėmis </w:t>
      </w:r>
      <w:proofErr w:type="spellStart"/>
      <w:r w:rsidRPr="00CE7679">
        <w:rPr>
          <w:rFonts w:eastAsia="Calibri"/>
          <w:snapToGrid/>
          <w:szCs w:val="22"/>
          <w:lang w:eastAsia="lt-LT"/>
        </w:rPr>
        <w:t>rifampicino</w:t>
      </w:r>
      <w:proofErr w:type="spellEnd"/>
      <w:r w:rsidRPr="00CE7679">
        <w:rPr>
          <w:rFonts w:eastAsia="Calibri"/>
          <w:snapToGrid/>
          <w:szCs w:val="22"/>
          <w:lang w:eastAsia="lt-LT"/>
        </w:rPr>
        <w:t xml:space="preserve"> 600</w:t>
      </w:r>
      <w:r w:rsidR="004C1A71" w:rsidRPr="00CE7679">
        <w:rPr>
          <w:rFonts w:eastAsia="Calibri"/>
          <w:snapToGrid/>
          <w:szCs w:val="22"/>
          <w:lang w:eastAsia="lt-LT"/>
        </w:rPr>
        <w:t> </w:t>
      </w:r>
      <w:r w:rsidRPr="00CE7679">
        <w:rPr>
          <w:rFonts w:eastAsia="Calibri"/>
          <w:snapToGrid/>
          <w:szCs w:val="22"/>
          <w:lang w:eastAsia="lt-LT"/>
        </w:rPr>
        <w:t>mg dozėmis, suvartojus vienkartinę 400</w:t>
      </w:r>
      <w:r w:rsidR="004C1A71" w:rsidRPr="00CE7679">
        <w:rPr>
          <w:rFonts w:eastAsia="Calibri"/>
          <w:snapToGrid/>
          <w:szCs w:val="22"/>
          <w:lang w:eastAsia="lt-LT"/>
        </w:rPr>
        <w:t> </w:t>
      </w:r>
      <w:r w:rsidRPr="00CE7679">
        <w:rPr>
          <w:rFonts w:eastAsia="Calibri"/>
          <w:snapToGrid/>
          <w:szCs w:val="22"/>
          <w:lang w:eastAsia="lt-LT"/>
        </w:rPr>
        <w:t xml:space="preserve">mg </w:t>
      </w:r>
      <w:proofErr w:type="spellStart"/>
      <w:r w:rsidRPr="00CE7679">
        <w:rPr>
          <w:rFonts w:eastAsia="Calibri"/>
          <w:snapToGrid/>
          <w:szCs w:val="22"/>
          <w:lang w:eastAsia="lt-LT"/>
        </w:rPr>
        <w:t>imatinibo</w:t>
      </w:r>
      <w:proofErr w:type="spellEnd"/>
      <w:r w:rsidRPr="00CE7679">
        <w:rPr>
          <w:rFonts w:eastAsia="Calibri"/>
          <w:snapToGrid/>
          <w:szCs w:val="22"/>
          <w:lang w:eastAsia="lt-LT"/>
        </w:rPr>
        <w:t xml:space="preserve"> dozę, </w:t>
      </w:r>
      <w:proofErr w:type="spellStart"/>
      <w:r w:rsidRPr="00CE7679">
        <w:rPr>
          <w:rFonts w:eastAsia="Calibri"/>
          <w:snapToGrid/>
          <w:szCs w:val="22"/>
          <w:lang w:eastAsia="lt-LT"/>
        </w:rPr>
        <w:t>imatinibo</w:t>
      </w:r>
      <w:proofErr w:type="spellEnd"/>
      <w:r w:rsidRPr="00CE7679">
        <w:rPr>
          <w:rFonts w:eastAsia="Calibri"/>
          <w:snapToGrid/>
          <w:szCs w:val="22"/>
          <w:lang w:eastAsia="lt-LT"/>
        </w:rPr>
        <w:t xml:space="preserve"> </w:t>
      </w:r>
      <w:proofErr w:type="spellStart"/>
      <w:r w:rsidRPr="00CE7679">
        <w:rPr>
          <w:rFonts w:eastAsia="Calibri"/>
          <w:snapToGrid/>
          <w:szCs w:val="22"/>
          <w:lang w:eastAsia="lt-LT"/>
        </w:rPr>
        <w:t>C</w:t>
      </w:r>
      <w:r w:rsidRPr="00CE7679">
        <w:rPr>
          <w:rFonts w:eastAsia="Calibri"/>
          <w:snapToGrid/>
          <w:sz w:val="14"/>
          <w:szCs w:val="14"/>
          <w:lang w:eastAsia="lt-LT"/>
        </w:rPr>
        <w:t>max</w:t>
      </w:r>
      <w:proofErr w:type="spellEnd"/>
      <w:r w:rsidRPr="00CE7679">
        <w:rPr>
          <w:rFonts w:eastAsia="Calibri"/>
          <w:snapToGrid/>
          <w:sz w:val="14"/>
          <w:szCs w:val="14"/>
          <w:lang w:eastAsia="lt-LT"/>
        </w:rPr>
        <w:t xml:space="preserve"> </w:t>
      </w:r>
      <w:r w:rsidRPr="00CE7679">
        <w:rPr>
          <w:rFonts w:eastAsia="Calibri"/>
          <w:snapToGrid/>
          <w:szCs w:val="22"/>
          <w:lang w:eastAsia="lt-LT"/>
        </w:rPr>
        <w:t>ir AUC</w:t>
      </w:r>
      <w:r w:rsidRPr="00CE7679">
        <w:rPr>
          <w:rFonts w:eastAsia="Calibri"/>
          <w:snapToGrid/>
          <w:sz w:val="14"/>
          <w:szCs w:val="14"/>
          <w:lang w:eastAsia="lt-LT"/>
        </w:rPr>
        <w:t xml:space="preserve">(0-∞) </w:t>
      </w:r>
      <w:r w:rsidRPr="00CE7679">
        <w:rPr>
          <w:rFonts w:eastAsia="Calibri"/>
          <w:snapToGrid/>
          <w:szCs w:val="22"/>
          <w:lang w:eastAsia="lt-LT"/>
        </w:rPr>
        <w:t>sumažėjo mažiausiai 54</w:t>
      </w:r>
      <w:r w:rsidR="004C1A71" w:rsidRPr="00CE7679">
        <w:rPr>
          <w:rFonts w:eastAsia="Calibri"/>
          <w:snapToGrid/>
          <w:szCs w:val="22"/>
          <w:lang w:eastAsia="lt-LT"/>
        </w:rPr>
        <w:t> </w:t>
      </w:r>
      <w:r w:rsidRPr="00CE7679">
        <w:rPr>
          <w:rFonts w:eastAsia="Calibri"/>
          <w:snapToGrid/>
          <w:szCs w:val="22"/>
          <w:lang w:eastAsia="lt-LT"/>
        </w:rPr>
        <w:t>% ir 74</w:t>
      </w:r>
      <w:r w:rsidR="004C1A71" w:rsidRPr="00CE7679">
        <w:rPr>
          <w:rFonts w:eastAsia="Calibri"/>
          <w:snapToGrid/>
          <w:szCs w:val="22"/>
          <w:lang w:eastAsia="lt-LT"/>
        </w:rPr>
        <w:t> </w:t>
      </w:r>
      <w:r w:rsidRPr="00CE7679">
        <w:rPr>
          <w:rFonts w:eastAsia="Calibri"/>
          <w:snapToGrid/>
          <w:szCs w:val="22"/>
          <w:lang w:eastAsia="lt-LT"/>
        </w:rPr>
        <w:t xml:space="preserve">%, lyginant su atitinkamais duomenimis be </w:t>
      </w:r>
      <w:proofErr w:type="spellStart"/>
      <w:r w:rsidRPr="00CE7679">
        <w:rPr>
          <w:rFonts w:eastAsia="Calibri"/>
          <w:snapToGrid/>
          <w:szCs w:val="22"/>
          <w:lang w:eastAsia="lt-LT"/>
        </w:rPr>
        <w:t>rifampicino</w:t>
      </w:r>
      <w:proofErr w:type="spellEnd"/>
      <w:r w:rsidRPr="00CE7679">
        <w:rPr>
          <w:rFonts w:eastAsia="Calibri"/>
          <w:snapToGrid/>
          <w:szCs w:val="22"/>
          <w:lang w:eastAsia="lt-LT"/>
        </w:rPr>
        <w:t xml:space="preserve"> vartojimo. Panašūs rezultatai pastebėti </w:t>
      </w:r>
      <w:proofErr w:type="spellStart"/>
      <w:r w:rsidRPr="00CE7679">
        <w:rPr>
          <w:rFonts w:eastAsia="Calibri"/>
          <w:snapToGrid/>
          <w:szCs w:val="22"/>
          <w:lang w:eastAsia="lt-LT"/>
        </w:rPr>
        <w:t>imatinibu</w:t>
      </w:r>
      <w:proofErr w:type="spellEnd"/>
      <w:r w:rsidRPr="00CE7679">
        <w:rPr>
          <w:rFonts w:eastAsia="Calibri"/>
          <w:snapToGrid/>
          <w:szCs w:val="22"/>
          <w:lang w:eastAsia="lt-LT"/>
        </w:rPr>
        <w:t xml:space="preserve"> gydant piktybinėmis </w:t>
      </w:r>
      <w:proofErr w:type="spellStart"/>
      <w:r w:rsidRPr="00CE7679">
        <w:rPr>
          <w:rFonts w:eastAsia="Calibri"/>
          <w:snapToGrid/>
          <w:szCs w:val="22"/>
          <w:lang w:eastAsia="lt-LT"/>
        </w:rPr>
        <w:t>gliomomis</w:t>
      </w:r>
      <w:proofErr w:type="spellEnd"/>
      <w:r w:rsidRPr="00CE7679">
        <w:rPr>
          <w:rFonts w:eastAsia="Calibri"/>
          <w:snapToGrid/>
          <w:szCs w:val="22"/>
          <w:lang w:eastAsia="lt-LT"/>
        </w:rPr>
        <w:t xml:space="preserve"> sergančius pacientus, vartojusius fermentus indukuojančių vaistinių preparatų nuo epilepsijos (FIVNE), pavyzdžiui, </w:t>
      </w:r>
      <w:proofErr w:type="spellStart"/>
      <w:r w:rsidRPr="00CE7679">
        <w:rPr>
          <w:rFonts w:eastAsia="Calibri"/>
          <w:snapToGrid/>
          <w:szCs w:val="22"/>
          <w:lang w:eastAsia="lt-LT"/>
        </w:rPr>
        <w:t>karbamazepino</w:t>
      </w:r>
      <w:proofErr w:type="spellEnd"/>
      <w:r w:rsidRPr="00CE7679">
        <w:rPr>
          <w:rFonts w:eastAsia="Calibri"/>
          <w:snapToGrid/>
          <w:szCs w:val="22"/>
          <w:lang w:eastAsia="lt-LT"/>
        </w:rPr>
        <w:t xml:space="preserve">, </w:t>
      </w:r>
      <w:proofErr w:type="spellStart"/>
      <w:r w:rsidRPr="00CE7679">
        <w:rPr>
          <w:rFonts w:eastAsia="Calibri"/>
          <w:snapToGrid/>
          <w:szCs w:val="22"/>
          <w:lang w:eastAsia="lt-LT"/>
        </w:rPr>
        <w:t>oksakarbazepino</w:t>
      </w:r>
      <w:proofErr w:type="spellEnd"/>
      <w:r w:rsidRPr="00CE7679">
        <w:rPr>
          <w:rFonts w:eastAsia="Calibri"/>
          <w:snapToGrid/>
          <w:szCs w:val="22"/>
          <w:lang w:eastAsia="lt-LT"/>
        </w:rPr>
        <w:t xml:space="preserve"> ir </w:t>
      </w:r>
      <w:proofErr w:type="spellStart"/>
      <w:r w:rsidRPr="00CE7679">
        <w:rPr>
          <w:rFonts w:eastAsia="Calibri"/>
          <w:snapToGrid/>
          <w:szCs w:val="22"/>
          <w:lang w:eastAsia="lt-LT"/>
        </w:rPr>
        <w:t>fenitoino</w:t>
      </w:r>
      <w:proofErr w:type="spellEnd"/>
      <w:r w:rsidRPr="00CE7679">
        <w:rPr>
          <w:rFonts w:eastAsia="Calibri"/>
          <w:snapToGrid/>
          <w:szCs w:val="22"/>
          <w:lang w:eastAsia="lt-LT"/>
        </w:rPr>
        <w:t xml:space="preserve">. Lyginant su FIVNE nevartojusiais pacientais, vartojant FIVNE, plotas po </w:t>
      </w:r>
      <w:proofErr w:type="spellStart"/>
      <w:r w:rsidRPr="00CE7679">
        <w:rPr>
          <w:rFonts w:eastAsia="Calibri"/>
          <w:snapToGrid/>
          <w:szCs w:val="22"/>
          <w:lang w:eastAsia="lt-LT"/>
        </w:rPr>
        <w:t>imatinibo</w:t>
      </w:r>
      <w:proofErr w:type="spellEnd"/>
      <w:r w:rsidRPr="00CE7679">
        <w:rPr>
          <w:rFonts w:eastAsia="Calibri"/>
          <w:snapToGrid/>
          <w:szCs w:val="22"/>
          <w:lang w:eastAsia="lt-LT"/>
        </w:rPr>
        <w:t xml:space="preserve"> koncentracijos plazmoje kreive (AUC) sumažėjo 73</w:t>
      </w:r>
      <w:r w:rsidR="004C1A71" w:rsidRPr="00CE7679">
        <w:rPr>
          <w:rFonts w:eastAsia="Calibri"/>
          <w:snapToGrid/>
          <w:szCs w:val="22"/>
          <w:lang w:eastAsia="lt-LT"/>
        </w:rPr>
        <w:t> </w:t>
      </w:r>
      <w:r w:rsidRPr="00CE7679">
        <w:rPr>
          <w:rFonts w:eastAsia="Calibri"/>
          <w:snapToGrid/>
          <w:szCs w:val="22"/>
          <w:lang w:eastAsia="lt-LT"/>
        </w:rPr>
        <w:t xml:space="preserve">%. Reikia vengti </w:t>
      </w:r>
      <w:proofErr w:type="spellStart"/>
      <w:r w:rsidRPr="00CE7679">
        <w:rPr>
          <w:rFonts w:eastAsia="Calibri"/>
          <w:snapToGrid/>
          <w:szCs w:val="22"/>
          <w:lang w:eastAsia="lt-LT"/>
        </w:rPr>
        <w:t>imatinibo</w:t>
      </w:r>
      <w:proofErr w:type="spellEnd"/>
      <w:r w:rsidRPr="00CE7679">
        <w:rPr>
          <w:rFonts w:eastAsia="Calibri"/>
          <w:snapToGrid/>
          <w:szCs w:val="22"/>
          <w:lang w:eastAsia="lt-LT"/>
        </w:rPr>
        <w:t xml:space="preserve"> vartoti kartu su </w:t>
      </w:r>
      <w:proofErr w:type="spellStart"/>
      <w:r w:rsidRPr="00CE7679">
        <w:rPr>
          <w:rFonts w:eastAsia="Calibri"/>
          <w:snapToGrid/>
          <w:szCs w:val="22"/>
          <w:lang w:eastAsia="lt-LT"/>
        </w:rPr>
        <w:t>rifampicinu</w:t>
      </w:r>
      <w:proofErr w:type="spellEnd"/>
      <w:r w:rsidRPr="00CE7679">
        <w:rPr>
          <w:rFonts w:eastAsia="Calibri"/>
          <w:snapToGrid/>
          <w:szCs w:val="22"/>
          <w:lang w:eastAsia="lt-LT"/>
        </w:rPr>
        <w:t xml:space="preserve"> ar kitais stipriais CYP3A4 </w:t>
      </w:r>
      <w:proofErr w:type="spellStart"/>
      <w:r w:rsidRPr="00CE7679">
        <w:rPr>
          <w:rFonts w:eastAsia="Calibri"/>
          <w:snapToGrid/>
          <w:szCs w:val="22"/>
          <w:lang w:eastAsia="lt-LT"/>
        </w:rPr>
        <w:t>induktoriais</w:t>
      </w:r>
      <w:proofErr w:type="spellEnd"/>
      <w:r w:rsidRPr="00CE7679">
        <w:rPr>
          <w:rFonts w:eastAsia="Calibri"/>
          <w:snapToGrid/>
          <w:szCs w:val="22"/>
          <w:lang w:eastAsia="lt-LT"/>
        </w:rPr>
        <w:t>.</w:t>
      </w:r>
    </w:p>
    <w:p w14:paraId="39A35B21"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4AEBD069" w14:textId="77777777" w:rsidR="00A27597" w:rsidRPr="00CE7679" w:rsidRDefault="00A27597" w:rsidP="00A27597">
      <w:pPr>
        <w:widowControl w:val="0"/>
        <w:autoSpaceDE w:val="0"/>
        <w:autoSpaceDN w:val="0"/>
        <w:adjustRightInd w:val="0"/>
        <w:spacing w:line="240" w:lineRule="auto"/>
        <w:rPr>
          <w:rFonts w:eastAsia="SimSun"/>
          <w:snapToGrid/>
          <w:szCs w:val="22"/>
          <w:u w:val="single"/>
          <w:lang w:eastAsia="zh-CN"/>
        </w:rPr>
      </w:pPr>
      <w:r w:rsidRPr="00CE7679">
        <w:rPr>
          <w:rFonts w:eastAsia="SimSun"/>
          <w:bCs/>
          <w:snapToGrid/>
          <w:szCs w:val="22"/>
          <w:u w:val="single"/>
          <w:lang w:eastAsia="zh-CN"/>
        </w:rPr>
        <w:t xml:space="preserve">Veikliosios medžiagos, kurių koncentraciją plazmoje gali keisti </w:t>
      </w:r>
      <w:proofErr w:type="spellStart"/>
      <w:r w:rsidRPr="00CE7679">
        <w:rPr>
          <w:rFonts w:eastAsia="SimSun"/>
          <w:bCs/>
          <w:snapToGrid/>
          <w:szCs w:val="22"/>
          <w:u w:val="single"/>
          <w:lang w:eastAsia="zh-CN"/>
        </w:rPr>
        <w:t>imatinibas</w:t>
      </w:r>
      <w:proofErr w:type="spellEnd"/>
    </w:p>
    <w:p w14:paraId="53A73AAA"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roofErr w:type="spellStart"/>
      <w:r w:rsidRPr="00CE7679">
        <w:rPr>
          <w:rFonts w:eastAsia="SimSun"/>
          <w:snapToGrid/>
          <w:szCs w:val="22"/>
          <w:lang w:eastAsia="zh-CN"/>
        </w:rPr>
        <w:t>Imatinibas</w:t>
      </w:r>
      <w:proofErr w:type="spellEnd"/>
      <w:r w:rsidRPr="00CE7679">
        <w:rPr>
          <w:rFonts w:eastAsia="SimSun"/>
          <w:snapToGrid/>
          <w:szCs w:val="22"/>
          <w:lang w:eastAsia="zh-CN"/>
        </w:rPr>
        <w:t xml:space="preserve"> didina </w:t>
      </w:r>
      <w:proofErr w:type="spellStart"/>
      <w:r w:rsidRPr="00CE7679">
        <w:rPr>
          <w:rFonts w:eastAsia="SimSun"/>
          <w:snapToGrid/>
          <w:szCs w:val="22"/>
          <w:lang w:eastAsia="zh-CN"/>
        </w:rPr>
        <w:t>simvastatino</w:t>
      </w:r>
      <w:proofErr w:type="spellEnd"/>
      <w:r w:rsidRPr="00CE7679">
        <w:rPr>
          <w:rFonts w:eastAsia="SimSun"/>
          <w:snapToGrid/>
          <w:szCs w:val="22"/>
          <w:lang w:eastAsia="zh-CN"/>
        </w:rPr>
        <w:t xml:space="preserve"> (CYP3A4 substrato) </w:t>
      </w:r>
      <w:proofErr w:type="spellStart"/>
      <w:r w:rsidRPr="00CE7679">
        <w:rPr>
          <w:rFonts w:eastAsia="SimSun"/>
          <w:snapToGrid/>
          <w:szCs w:val="22"/>
          <w:lang w:eastAsia="zh-CN"/>
        </w:rPr>
        <w:t>C</w:t>
      </w:r>
      <w:r w:rsidRPr="00CE7679">
        <w:rPr>
          <w:rFonts w:eastAsia="SimSun"/>
          <w:snapToGrid/>
          <w:szCs w:val="22"/>
          <w:vertAlign w:val="subscript"/>
          <w:lang w:eastAsia="zh-CN"/>
        </w:rPr>
        <w:t>max</w:t>
      </w:r>
      <w:proofErr w:type="spellEnd"/>
      <w:r w:rsidRPr="00CE7679">
        <w:rPr>
          <w:rFonts w:eastAsia="SimSun"/>
          <w:snapToGrid/>
          <w:szCs w:val="22"/>
          <w:lang w:eastAsia="zh-CN"/>
        </w:rPr>
        <w:t xml:space="preserve"> ir AUC atitinkamai 2</w:t>
      </w:r>
      <w:r w:rsidR="004C1A71" w:rsidRPr="00CE7679">
        <w:rPr>
          <w:rFonts w:eastAsia="SimSun"/>
          <w:snapToGrid/>
          <w:szCs w:val="22"/>
          <w:lang w:eastAsia="zh-CN"/>
        </w:rPr>
        <w:t> </w:t>
      </w:r>
      <w:r w:rsidRPr="00CE7679">
        <w:rPr>
          <w:rFonts w:eastAsia="SimSun"/>
          <w:snapToGrid/>
          <w:szCs w:val="22"/>
          <w:lang w:eastAsia="zh-CN"/>
        </w:rPr>
        <w:t>kartus ir 3,5</w:t>
      </w:r>
      <w:r w:rsidR="004C1A71" w:rsidRPr="00CE7679">
        <w:rPr>
          <w:rFonts w:eastAsia="SimSun"/>
          <w:snapToGrid/>
          <w:szCs w:val="22"/>
          <w:lang w:eastAsia="zh-CN"/>
        </w:rPr>
        <w:t> </w:t>
      </w:r>
      <w:r w:rsidRPr="00CE7679">
        <w:rPr>
          <w:rFonts w:eastAsia="SimSun"/>
          <w:snapToGrid/>
          <w:szCs w:val="22"/>
          <w:lang w:eastAsia="zh-CN"/>
        </w:rPr>
        <w:t xml:space="preserve">karto. Tai rodo, kad </w:t>
      </w:r>
      <w:proofErr w:type="spellStart"/>
      <w:r w:rsidRPr="00CE7679">
        <w:rPr>
          <w:rFonts w:eastAsia="SimSun"/>
          <w:snapToGrid/>
          <w:szCs w:val="22"/>
          <w:lang w:eastAsia="zh-CN"/>
        </w:rPr>
        <w:t>imatinibas</w:t>
      </w:r>
      <w:proofErr w:type="spellEnd"/>
      <w:r w:rsidRPr="00CE7679">
        <w:rPr>
          <w:rFonts w:eastAsia="SimSun"/>
          <w:snapToGrid/>
          <w:szCs w:val="22"/>
          <w:lang w:eastAsia="zh-CN"/>
        </w:rPr>
        <w:t xml:space="preserve"> slopina CYP3A4. Todėl būtina laikytis atsargumo priemonių, kai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vartojama kartu su CYP3A4 substratais, kurių yra siaura terapinė platuma (</w:t>
      </w:r>
      <w:r w:rsidRPr="00CE7679">
        <w:rPr>
          <w:szCs w:val="22"/>
        </w:rPr>
        <w:t xml:space="preserve">pvz., </w:t>
      </w:r>
      <w:proofErr w:type="spellStart"/>
      <w:r w:rsidRPr="00CE7679">
        <w:rPr>
          <w:szCs w:val="22"/>
        </w:rPr>
        <w:t>ciklosporinu</w:t>
      </w:r>
      <w:proofErr w:type="spellEnd"/>
      <w:r w:rsidRPr="00CE7679">
        <w:rPr>
          <w:szCs w:val="22"/>
        </w:rPr>
        <w:t xml:space="preserve">, </w:t>
      </w:r>
      <w:proofErr w:type="spellStart"/>
      <w:r w:rsidRPr="00CE7679">
        <w:rPr>
          <w:szCs w:val="22"/>
        </w:rPr>
        <w:t>pimozidu</w:t>
      </w:r>
      <w:proofErr w:type="spellEnd"/>
      <w:r w:rsidRPr="00CE7679">
        <w:rPr>
          <w:szCs w:val="22"/>
        </w:rPr>
        <w:t xml:space="preserve">, </w:t>
      </w:r>
      <w:proofErr w:type="spellStart"/>
      <w:r w:rsidRPr="00CE7679">
        <w:rPr>
          <w:szCs w:val="22"/>
        </w:rPr>
        <w:t>takrolimuzu</w:t>
      </w:r>
      <w:proofErr w:type="spellEnd"/>
      <w:r w:rsidRPr="00CE7679">
        <w:rPr>
          <w:szCs w:val="22"/>
        </w:rPr>
        <w:t xml:space="preserve">, </w:t>
      </w:r>
      <w:proofErr w:type="spellStart"/>
      <w:r w:rsidRPr="00CE7679">
        <w:rPr>
          <w:szCs w:val="22"/>
        </w:rPr>
        <w:t>sirolimuzu</w:t>
      </w:r>
      <w:proofErr w:type="spellEnd"/>
      <w:r w:rsidRPr="00CE7679">
        <w:rPr>
          <w:szCs w:val="22"/>
        </w:rPr>
        <w:t xml:space="preserve">, </w:t>
      </w:r>
      <w:proofErr w:type="spellStart"/>
      <w:r w:rsidRPr="00CE7679">
        <w:rPr>
          <w:szCs w:val="22"/>
        </w:rPr>
        <w:t>ergotaminu</w:t>
      </w:r>
      <w:proofErr w:type="spellEnd"/>
      <w:r w:rsidRPr="00CE7679">
        <w:rPr>
          <w:szCs w:val="22"/>
        </w:rPr>
        <w:t xml:space="preserve">, </w:t>
      </w:r>
      <w:proofErr w:type="spellStart"/>
      <w:r w:rsidRPr="00CE7679">
        <w:rPr>
          <w:szCs w:val="22"/>
        </w:rPr>
        <w:t>diergotaminu</w:t>
      </w:r>
      <w:proofErr w:type="spellEnd"/>
      <w:r w:rsidRPr="00CE7679">
        <w:rPr>
          <w:szCs w:val="22"/>
        </w:rPr>
        <w:t xml:space="preserve">, </w:t>
      </w:r>
      <w:proofErr w:type="spellStart"/>
      <w:r w:rsidRPr="00CE7679">
        <w:rPr>
          <w:szCs w:val="22"/>
        </w:rPr>
        <w:t>fentaniliu</w:t>
      </w:r>
      <w:proofErr w:type="spellEnd"/>
      <w:r w:rsidRPr="00CE7679">
        <w:rPr>
          <w:szCs w:val="22"/>
        </w:rPr>
        <w:t xml:space="preserve">, </w:t>
      </w:r>
      <w:proofErr w:type="spellStart"/>
      <w:r w:rsidRPr="00CE7679">
        <w:rPr>
          <w:szCs w:val="22"/>
        </w:rPr>
        <w:t>alfetaniliu</w:t>
      </w:r>
      <w:proofErr w:type="spellEnd"/>
      <w:r w:rsidRPr="00CE7679">
        <w:rPr>
          <w:szCs w:val="22"/>
        </w:rPr>
        <w:t xml:space="preserve">, </w:t>
      </w:r>
      <w:proofErr w:type="spellStart"/>
      <w:r w:rsidRPr="00CE7679">
        <w:rPr>
          <w:szCs w:val="22"/>
        </w:rPr>
        <w:t>terfenadinu</w:t>
      </w:r>
      <w:proofErr w:type="spellEnd"/>
      <w:r w:rsidRPr="00CE7679">
        <w:rPr>
          <w:szCs w:val="22"/>
        </w:rPr>
        <w:t xml:space="preserve">, </w:t>
      </w:r>
      <w:proofErr w:type="spellStart"/>
      <w:r w:rsidRPr="00CE7679">
        <w:rPr>
          <w:szCs w:val="22"/>
        </w:rPr>
        <w:t>bortezomibu</w:t>
      </w:r>
      <w:proofErr w:type="spellEnd"/>
      <w:r w:rsidRPr="00CE7679">
        <w:rPr>
          <w:szCs w:val="22"/>
        </w:rPr>
        <w:t xml:space="preserve">, </w:t>
      </w:r>
      <w:proofErr w:type="spellStart"/>
      <w:r w:rsidRPr="00CE7679">
        <w:rPr>
          <w:szCs w:val="22"/>
        </w:rPr>
        <w:t>docetakseliu</w:t>
      </w:r>
      <w:proofErr w:type="spellEnd"/>
      <w:r w:rsidRPr="00CE7679">
        <w:rPr>
          <w:szCs w:val="22"/>
        </w:rPr>
        <w:t xml:space="preserve"> ir </w:t>
      </w:r>
      <w:proofErr w:type="spellStart"/>
      <w:r w:rsidRPr="00CE7679">
        <w:rPr>
          <w:szCs w:val="22"/>
        </w:rPr>
        <w:t>chinidinu</w:t>
      </w:r>
      <w:proofErr w:type="spellEnd"/>
      <w:r w:rsidRPr="00CE7679">
        <w:rPr>
          <w:szCs w:val="22"/>
        </w:rPr>
        <w:t>).</w:t>
      </w:r>
      <w:r w:rsidRPr="00CE7679">
        <w:rPr>
          <w:rFonts w:eastAsia="SimSun"/>
          <w:snapToGrid/>
          <w:szCs w:val="22"/>
          <w:lang w:eastAsia="zh-CN"/>
        </w:rPr>
        <w:t xml:space="preserve"> </w:t>
      </w:r>
      <w:proofErr w:type="spellStart"/>
      <w:r w:rsidRPr="00CE7679">
        <w:rPr>
          <w:rFonts w:eastAsia="SimSun"/>
          <w:snapToGrid/>
          <w:szCs w:val="22"/>
          <w:lang w:eastAsia="zh-CN"/>
        </w:rPr>
        <w:t>Imatinibas</w:t>
      </w:r>
      <w:proofErr w:type="spellEnd"/>
      <w:r w:rsidRPr="00CE7679">
        <w:rPr>
          <w:rFonts w:eastAsia="SimSun"/>
          <w:snapToGrid/>
          <w:szCs w:val="22"/>
          <w:lang w:eastAsia="zh-CN"/>
        </w:rPr>
        <w:t xml:space="preserve"> gali didinti kitų CYP3A4 </w:t>
      </w:r>
      <w:proofErr w:type="spellStart"/>
      <w:r w:rsidRPr="00CE7679">
        <w:rPr>
          <w:rFonts w:eastAsia="SimSun"/>
          <w:snapToGrid/>
          <w:szCs w:val="22"/>
          <w:lang w:eastAsia="zh-CN"/>
        </w:rPr>
        <w:t>metabolizuojamų</w:t>
      </w:r>
      <w:proofErr w:type="spellEnd"/>
      <w:r w:rsidRPr="00CE7679">
        <w:rPr>
          <w:rFonts w:eastAsia="SimSun"/>
          <w:snapToGrid/>
          <w:szCs w:val="22"/>
          <w:lang w:eastAsia="zh-CN"/>
        </w:rPr>
        <w:t xml:space="preserve"> vaistinių preparatų (pvz., </w:t>
      </w:r>
      <w:proofErr w:type="spellStart"/>
      <w:r w:rsidRPr="00CE7679">
        <w:rPr>
          <w:rFonts w:eastAsia="SimSun"/>
          <w:snapToGrid/>
          <w:szCs w:val="22"/>
          <w:lang w:eastAsia="zh-CN"/>
        </w:rPr>
        <w:t>triazolo</w:t>
      </w:r>
      <w:proofErr w:type="spellEnd"/>
      <w:r w:rsidRPr="00CE7679">
        <w:rPr>
          <w:rFonts w:eastAsia="SimSun"/>
          <w:snapToGrid/>
          <w:szCs w:val="22"/>
          <w:lang w:eastAsia="zh-CN"/>
        </w:rPr>
        <w:t xml:space="preserve"> grupės benzodiazepinų, </w:t>
      </w:r>
      <w:proofErr w:type="spellStart"/>
      <w:r w:rsidRPr="00CE7679">
        <w:rPr>
          <w:rFonts w:eastAsia="SimSun"/>
          <w:snapToGrid/>
          <w:szCs w:val="22"/>
          <w:lang w:eastAsia="zh-CN"/>
        </w:rPr>
        <w:t>dihidropiridino</w:t>
      </w:r>
      <w:proofErr w:type="spellEnd"/>
      <w:r w:rsidRPr="00CE7679">
        <w:rPr>
          <w:rFonts w:eastAsia="SimSun"/>
          <w:snapToGrid/>
          <w:szCs w:val="22"/>
          <w:lang w:eastAsia="zh-CN"/>
        </w:rPr>
        <w:t xml:space="preserve"> grupės kalcio kanalų blokatorių, tam tikrų HMG-</w:t>
      </w:r>
      <w:proofErr w:type="spellStart"/>
      <w:r w:rsidRPr="00CE7679">
        <w:rPr>
          <w:rFonts w:eastAsia="SimSun"/>
          <w:snapToGrid/>
          <w:szCs w:val="22"/>
          <w:lang w:eastAsia="zh-CN"/>
        </w:rPr>
        <w:t>KoA</w:t>
      </w:r>
      <w:proofErr w:type="spellEnd"/>
      <w:r w:rsidRPr="00CE7679">
        <w:rPr>
          <w:rFonts w:eastAsia="SimSun"/>
          <w:snapToGrid/>
          <w:szCs w:val="22"/>
          <w:lang w:eastAsia="zh-CN"/>
        </w:rPr>
        <w:t xml:space="preserve"> reduktazės inhibitorių, </w:t>
      </w:r>
      <w:proofErr w:type="spellStart"/>
      <w:r w:rsidRPr="00CE7679">
        <w:rPr>
          <w:rFonts w:eastAsia="SimSun"/>
          <w:snapToGrid/>
          <w:szCs w:val="22"/>
          <w:lang w:eastAsia="zh-CN"/>
        </w:rPr>
        <w:t>t.y</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statinų</w:t>
      </w:r>
      <w:proofErr w:type="spellEnd"/>
      <w:r w:rsidRPr="00CE7679">
        <w:rPr>
          <w:rFonts w:eastAsia="SimSun"/>
          <w:snapToGrid/>
          <w:szCs w:val="22"/>
          <w:lang w:eastAsia="zh-CN"/>
        </w:rPr>
        <w:t>, ir kt.) koncentraciją plazmoje.</w:t>
      </w:r>
    </w:p>
    <w:p w14:paraId="51826286"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120A958F"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Dėl žinomos padidėjusios kraujavimo rizikos, siejamos su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vartojimu (pvz., kraujosruvų), pacientams, kuriuos reikia gydyti antikoaguliantais, vietoj kumarino darinių, tokių kaip varfarinas, turi vartoti mažos molekulinės masės ar standartinio heparino. </w:t>
      </w:r>
    </w:p>
    <w:p w14:paraId="3B18517C" w14:textId="77777777" w:rsidR="00A27597" w:rsidRPr="00CE7679" w:rsidRDefault="00A27597" w:rsidP="00A27597">
      <w:pPr>
        <w:widowControl w:val="0"/>
        <w:autoSpaceDE w:val="0"/>
        <w:autoSpaceDN w:val="0"/>
        <w:adjustRightInd w:val="0"/>
        <w:spacing w:line="240" w:lineRule="auto"/>
        <w:rPr>
          <w:rFonts w:eastAsia="SimSun"/>
          <w:i/>
          <w:iCs/>
          <w:snapToGrid/>
          <w:szCs w:val="22"/>
          <w:lang w:eastAsia="zh-CN"/>
        </w:rPr>
      </w:pPr>
    </w:p>
    <w:p w14:paraId="2EFAE747"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roofErr w:type="spellStart"/>
      <w:r w:rsidRPr="00CE7679">
        <w:rPr>
          <w:rFonts w:eastAsia="SimSun"/>
          <w:i/>
          <w:iCs/>
          <w:snapToGrid/>
          <w:szCs w:val="22"/>
          <w:lang w:eastAsia="zh-CN"/>
        </w:rPr>
        <w:t>In</w:t>
      </w:r>
      <w:proofErr w:type="spellEnd"/>
      <w:r w:rsidRPr="00CE7679">
        <w:rPr>
          <w:rFonts w:eastAsia="SimSun"/>
          <w:i/>
          <w:iCs/>
          <w:snapToGrid/>
          <w:szCs w:val="22"/>
          <w:lang w:eastAsia="zh-CN"/>
        </w:rPr>
        <w:t xml:space="preserve"> </w:t>
      </w:r>
      <w:proofErr w:type="spellStart"/>
      <w:r w:rsidRPr="00CE7679">
        <w:rPr>
          <w:rFonts w:eastAsia="SimSun"/>
          <w:i/>
          <w:iCs/>
          <w:snapToGrid/>
          <w:szCs w:val="22"/>
          <w:lang w:eastAsia="zh-CN"/>
        </w:rPr>
        <w:t>vitro</w:t>
      </w:r>
      <w:proofErr w:type="spellEnd"/>
      <w:r w:rsidRPr="00CE7679">
        <w:rPr>
          <w:rFonts w:eastAsia="SimSun"/>
          <w:i/>
          <w:iCs/>
          <w:snapToGrid/>
          <w:szCs w:val="22"/>
          <w:lang w:eastAsia="zh-CN"/>
        </w:rPr>
        <w:t xml:space="preserve"> </w:t>
      </w:r>
      <w:proofErr w:type="spellStart"/>
      <w:r w:rsidRPr="00CE7679">
        <w:rPr>
          <w:rFonts w:eastAsia="SimSun"/>
          <w:snapToGrid/>
          <w:szCs w:val="22"/>
          <w:lang w:eastAsia="zh-CN"/>
        </w:rPr>
        <w:t>imatinibas</w:t>
      </w:r>
      <w:proofErr w:type="spellEnd"/>
      <w:r w:rsidRPr="00CE7679">
        <w:rPr>
          <w:rFonts w:eastAsia="SimSun"/>
          <w:snapToGrid/>
          <w:szCs w:val="22"/>
          <w:lang w:eastAsia="zh-CN"/>
        </w:rPr>
        <w:t xml:space="preserve"> slopina </w:t>
      </w:r>
      <w:proofErr w:type="spellStart"/>
      <w:r w:rsidRPr="00CE7679">
        <w:rPr>
          <w:rFonts w:eastAsia="SimSun"/>
          <w:snapToGrid/>
          <w:szCs w:val="22"/>
          <w:lang w:eastAsia="zh-CN"/>
        </w:rPr>
        <w:t>citochromo</w:t>
      </w:r>
      <w:proofErr w:type="spellEnd"/>
      <w:r w:rsidRPr="00CE7679">
        <w:rPr>
          <w:rFonts w:eastAsia="SimSun"/>
          <w:snapToGrid/>
          <w:szCs w:val="22"/>
          <w:lang w:eastAsia="zh-CN"/>
        </w:rPr>
        <w:t xml:space="preserve"> P450 </w:t>
      </w:r>
      <w:proofErr w:type="spellStart"/>
      <w:r w:rsidRPr="00CE7679">
        <w:rPr>
          <w:rFonts w:eastAsia="SimSun"/>
          <w:snapToGrid/>
          <w:szCs w:val="22"/>
          <w:lang w:eastAsia="zh-CN"/>
        </w:rPr>
        <w:t>izofermento</w:t>
      </w:r>
      <w:proofErr w:type="spellEnd"/>
      <w:r w:rsidRPr="00CE7679">
        <w:rPr>
          <w:rFonts w:eastAsia="SimSun"/>
          <w:snapToGrid/>
          <w:szCs w:val="22"/>
          <w:lang w:eastAsia="zh-CN"/>
        </w:rPr>
        <w:t xml:space="preserve"> CYP2D6 aktyvumą, kai jo koncentracija yra panaši į tą, kuri veikia CYP3A4 aktyvumą. </w:t>
      </w:r>
      <w:proofErr w:type="spellStart"/>
      <w:r w:rsidRPr="00CE7679">
        <w:rPr>
          <w:rFonts w:eastAsia="SimSun"/>
          <w:snapToGrid/>
          <w:szCs w:val="22"/>
          <w:lang w:eastAsia="zh-CN"/>
        </w:rPr>
        <w:t>Imatinibas</w:t>
      </w:r>
      <w:proofErr w:type="spellEnd"/>
      <w:r w:rsidRPr="00CE7679">
        <w:rPr>
          <w:rFonts w:eastAsia="SimSun"/>
          <w:snapToGrid/>
          <w:szCs w:val="22"/>
          <w:lang w:eastAsia="zh-CN"/>
        </w:rPr>
        <w:t xml:space="preserve">, vartojant 400 mg dozę du kartus per parą, slopino </w:t>
      </w:r>
      <w:proofErr w:type="spellStart"/>
      <w:r w:rsidRPr="00CE7679">
        <w:rPr>
          <w:rFonts w:eastAsia="SimSun"/>
          <w:snapToGrid/>
          <w:szCs w:val="22"/>
          <w:lang w:eastAsia="zh-CN"/>
        </w:rPr>
        <w:t>metoprololio</w:t>
      </w:r>
      <w:proofErr w:type="spellEnd"/>
      <w:r w:rsidRPr="00CE7679">
        <w:rPr>
          <w:rFonts w:eastAsia="SimSun"/>
          <w:snapToGrid/>
          <w:szCs w:val="22"/>
          <w:lang w:eastAsia="zh-CN"/>
        </w:rPr>
        <w:t xml:space="preserve"> metabolizmą dalyvaujant CYP2D6, todėl </w:t>
      </w:r>
      <w:proofErr w:type="spellStart"/>
      <w:r w:rsidRPr="00CE7679">
        <w:rPr>
          <w:rFonts w:eastAsia="SimSun"/>
          <w:snapToGrid/>
          <w:szCs w:val="22"/>
          <w:lang w:eastAsia="zh-CN"/>
        </w:rPr>
        <w:t>metoprololio</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C</w:t>
      </w:r>
      <w:r w:rsidRPr="00CE7679">
        <w:rPr>
          <w:rFonts w:eastAsia="SimSun"/>
          <w:snapToGrid/>
          <w:szCs w:val="22"/>
          <w:vertAlign w:val="subscript"/>
          <w:lang w:eastAsia="zh-CN"/>
        </w:rPr>
        <w:t>max</w:t>
      </w:r>
      <w:proofErr w:type="spellEnd"/>
      <w:r w:rsidRPr="00CE7679">
        <w:rPr>
          <w:rFonts w:eastAsia="SimSun"/>
          <w:snapToGrid/>
          <w:szCs w:val="22"/>
          <w:lang w:eastAsia="zh-CN"/>
        </w:rPr>
        <w:t xml:space="preserve"> ir AUC padidėjo maždaug 23 % (90</w:t>
      </w:r>
      <w:r w:rsidR="004C1A71" w:rsidRPr="00CE7679">
        <w:rPr>
          <w:rFonts w:eastAsia="SimSun"/>
          <w:snapToGrid/>
          <w:szCs w:val="22"/>
          <w:lang w:eastAsia="zh-CN"/>
        </w:rPr>
        <w:t> </w:t>
      </w:r>
      <w:r w:rsidRPr="00CE7679">
        <w:rPr>
          <w:rFonts w:eastAsia="SimSun"/>
          <w:snapToGrid/>
          <w:szCs w:val="22"/>
          <w:lang w:eastAsia="zh-CN"/>
        </w:rPr>
        <w:t xml:space="preserve">% PI [1,16-1,30]). Kai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vartojama kartu su CYP2D6 substratais, manoma, kad dozės koreguoti nereikia, tačiau būtina laikytis atsargumo priemonių, kai skiriama siauro terapinio lango CYP2D6 substratų, tokių kaip </w:t>
      </w:r>
      <w:proofErr w:type="spellStart"/>
      <w:r w:rsidRPr="00CE7679">
        <w:rPr>
          <w:rFonts w:eastAsia="SimSun"/>
          <w:snapToGrid/>
          <w:szCs w:val="22"/>
          <w:lang w:eastAsia="zh-CN"/>
        </w:rPr>
        <w:t>metoprololis</w:t>
      </w:r>
      <w:proofErr w:type="spellEnd"/>
      <w:r w:rsidRPr="00CE7679">
        <w:rPr>
          <w:rFonts w:eastAsia="SimSun"/>
          <w:snapToGrid/>
          <w:szCs w:val="22"/>
          <w:lang w:eastAsia="zh-CN"/>
        </w:rPr>
        <w:t xml:space="preserve">. Turi būti apgalvotas </w:t>
      </w:r>
      <w:proofErr w:type="spellStart"/>
      <w:r w:rsidRPr="00CE7679">
        <w:rPr>
          <w:rFonts w:eastAsia="SimSun"/>
          <w:snapToGrid/>
          <w:szCs w:val="22"/>
          <w:lang w:eastAsia="zh-CN"/>
        </w:rPr>
        <w:t>metoprololiu</w:t>
      </w:r>
      <w:proofErr w:type="spellEnd"/>
      <w:r w:rsidRPr="00CE7679">
        <w:rPr>
          <w:rFonts w:eastAsia="SimSun"/>
          <w:snapToGrid/>
          <w:szCs w:val="22"/>
          <w:lang w:eastAsia="zh-CN"/>
        </w:rPr>
        <w:t xml:space="preserve"> gydomų pacientų </w:t>
      </w:r>
      <w:r w:rsidRPr="00CE7679">
        <w:rPr>
          <w:rFonts w:eastAsia="SimSun"/>
          <w:snapToGrid/>
          <w:szCs w:val="22"/>
          <w:lang w:eastAsia="zh-CN"/>
        </w:rPr>
        <w:lastRenderedPageBreak/>
        <w:t>klinikinis stebėjimas.</w:t>
      </w:r>
    </w:p>
    <w:p w14:paraId="6A87517A"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644DA87C" w14:textId="51A5BE3B" w:rsidR="00A27597" w:rsidRPr="00CE7679" w:rsidRDefault="00A27597" w:rsidP="00A27597">
      <w:pPr>
        <w:widowControl w:val="0"/>
        <w:autoSpaceDE w:val="0"/>
        <w:autoSpaceDN w:val="0"/>
        <w:adjustRightInd w:val="0"/>
        <w:spacing w:line="240" w:lineRule="auto"/>
        <w:rPr>
          <w:rFonts w:eastAsia="SimSun"/>
          <w:snapToGrid/>
          <w:szCs w:val="22"/>
          <w:lang w:eastAsia="zh-CN"/>
        </w:rPr>
      </w:pPr>
      <w:proofErr w:type="spellStart"/>
      <w:r w:rsidRPr="00CE7679">
        <w:rPr>
          <w:rFonts w:eastAsia="SimSun"/>
          <w:i/>
          <w:iCs/>
          <w:snapToGrid/>
          <w:szCs w:val="22"/>
          <w:lang w:eastAsia="zh-CN"/>
        </w:rPr>
        <w:t>In</w:t>
      </w:r>
      <w:proofErr w:type="spellEnd"/>
      <w:r w:rsidRPr="00CE7679">
        <w:rPr>
          <w:rFonts w:eastAsia="SimSun"/>
          <w:i/>
          <w:iCs/>
          <w:snapToGrid/>
          <w:szCs w:val="22"/>
          <w:lang w:eastAsia="zh-CN"/>
        </w:rPr>
        <w:t xml:space="preserve"> </w:t>
      </w:r>
      <w:proofErr w:type="spellStart"/>
      <w:r w:rsidRPr="00CE7679">
        <w:rPr>
          <w:rFonts w:eastAsia="SimSun"/>
          <w:i/>
          <w:iCs/>
          <w:snapToGrid/>
          <w:szCs w:val="22"/>
          <w:lang w:eastAsia="zh-CN"/>
        </w:rPr>
        <w:t>vitro</w:t>
      </w:r>
      <w:proofErr w:type="spellEnd"/>
      <w:r w:rsidRPr="00CE7679">
        <w:rPr>
          <w:rFonts w:eastAsia="SimSun"/>
          <w:i/>
          <w:iCs/>
          <w:snapToGrid/>
          <w:szCs w:val="22"/>
          <w:lang w:eastAsia="zh-CN"/>
        </w:rPr>
        <w:t xml:space="preserve"> </w:t>
      </w:r>
      <w:proofErr w:type="spellStart"/>
      <w:r w:rsidRPr="00CE7679">
        <w:rPr>
          <w:rFonts w:eastAsia="SimSun"/>
          <w:snapToGrid/>
          <w:szCs w:val="22"/>
          <w:lang w:eastAsia="zh-CN"/>
        </w:rPr>
        <w:t>imatinibas</w:t>
      </w:r>
      <w:proofErr w:type="spellEnd"/>
      <w:r w:rsidRPr="00CE7679">
        <w:rPr>
          <w:rFonts w:eastAsia="SimSun"/>
          <w:snapToGrid/>
          <w:szCs w:val="22"/>
          <w:lang w:eastAsia="zh-CN"/>
        </w:rPr>
        <w:t xml:space="preserve"> slopina </w:t>
      </w:r>
      <w:proofErr w:type="spellStart"/>
      <w:r w:rsidRPr="00CE7679">
        <w:rPr>
          <w:rFonts w:eastAsia="SimSun"/>
          <w:snapToGrid/>
          <w:szCs w:val="22"/>
          <w:lang w:eastAsia="zh-CN"/>
        </w:rPr>
        <w:t>paracetamolio</w:t>
      </w:r>
      <w:proofErr w:type="spellEnd"/>
      <w:r w:rsidRPr="00CE7679">
        <w:rPr>
          <w:rFonts w:eastAsia="SimSun"/>
          <w:snapToGrid/>
          <w:szCs w:val="22"/>
          <w:lang w:eastAsia="zh-CN"/>
        </w:rPr>
        <w:t xml:space="preserve"> O-</w:t>
      </w:r>
      <w:proofErr w:type="spellStart"/>
      <w:r w:rsidRPr="00CE7679">
        <w:rPr>
          <w:rFonts w:eastAsia="SimSun"/>
          <w:snapToGrid/>
          <w:szCs w:val="22"/>
          <w:lang w:eastAsia="zh-CN"/>
        </w:rPr>
        <w:t>gliukuroninimą</w:t>
      </w:r>
      <w:proofErr w:type="spellEnd"/>
      <w:r w:rsidRPr="00CE7679">
        <w:rPr>
          <w:rFonts w:eastAsia="SimSun"/>
          <w:snapToGrid/>
          <w:szCs w:val="22"/>
          <w:lang w:eastAsia="zh-CN"/>
        </w:rPr>
        <w:t xml:space="preserve">, kai </w:t>
      </w:r>
      <w:proofErr w:type="spellStart"/>
      <w:r w:rsidRPr="00CE7679">
        <w:rPr>
          <w:rFonts w:eastAsia="SimSun"/>
          <w:snapToGrid/>
          <w:szCs w:val="22"/>
          <w:lang w:eastAsia="zh-CN"/>
        </w:rPr>
        <w:t>K</w:t>
      </w:r>
      <w:r w:rsidRPr="00CE7679">
        <w:rPr>
          <w:rFonts w:eastAsia="SimSun"/>
          <w:snapToGrid/>
          <w:szCs w:val="22"/>
          <w:vertAlign w:val="subscript"/>
          <w:lang w:eastAsia="zh-CN"/>
        </w:rPr>
        <w:t>i</w:t>
      </w:r>
      <w:proofErr w:type="spellEnd"/>
      <w:r w:rsidRPr="00CE7679">
        <w:rPr>
          <w:rFonts w:eastAsia="SimSun"/>
          <w:snapToGrid/>
          <w:szCs w:val="22"/>
          <w:lang w:eastAsia="zh-CN"/>
        </w:rPr>
        <w:t xml:space="preserve"> vertė yra 58,5</w:t>
      </w:r>
      <w:r w:rsidR="004C1A71" w:rsidRPr="00CE7679">
        <w:rPr>
          <w:rFonts w:eastAsia="SimSun"/>
          <w:snapToGrid/>
          <w:szCs w:val="22"/>
          <w:lang w:eastAsia="zh-CN"/>
        </w:rPr>
        <w:t> </w:t>
      </w:r>
      <w:proofErr w:type="spellStart"/>
      <w:r w:rsidRPr="00CE7679">
        <w:rPr>
          <w:rFonts w:eastAsia="SimSun"/>
          <w:snapToGrid/>
          <w:szCs w:val="22"/>
          <w:lang w:eastAsia="zh-CN"/>
        </w:rPr>
        <w:t>mikromol</w:t>
      </w:r>
      <w:proofErr w:type="spellEnd"/>
      <w:r w:rsidRPr="00CE7679">
        <w:rPr>
          <w:rFonts w:eastAsia="SimSun"/>
          <w:snapToGrid/>
          <w:szCs w:val="22"/>
          <w:lang w:eastAsia="zh-CN"/>
        </w:rPr>
        <w:t xml:space="preserve">/l. Pavartojus 400 mg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ir 1</w:t>
      </w:r>
      <w:r w:rsidR="001E28ED">
        <w:rPr>
          <w:rFonts w:eastAsia="SimSun"/>
          <w:snapToGrid/>
          <w:szCs w:val="22"/>
          <w:lang w:eastAsia="zh-CN"/>
        </w:rPr>
        <w:t xml:space="preserve"> </w:t>
      </w:r>
      <w:r w:rsidRPr="00CE7679">
        <w:rPr>
          <w:rFonts w:eastAsia="SimSun"/>
          <w:snapToGrid/>
          <w:szCs w:val="22"/>
          <w:lang w:eastAsia="zh-CN"/>
        </w:rPr>
        <w:t xml:space="preserve">000 mg </w:t>
      </w:r>
      <w:proofErr w:type="spellStart"/>
      <w:r w:rsidRPr="00CE7679">
        <w:rPr>
          <w:rFonts w:eastAsia="SimSun"/>
          <w:snapToGrid/>
          <w:szCs w:val="22"/>
          <w:lang w:eastAsia="zh-CN"/>
        </w:rPr>
        <w:t>paracetamolio</w:t>
      </w:r>
      <w:proofErr w:type="spellEnd"/>
      <w:r w:rsidRPr="00CE7679">
        <w:rPr>
          <w:rFonts w:eastAsia="SimSun"/>
          <w:snapToGrid/>
          <w:szCs w:val="22"/>
          <w:lang w:eastAsia="zh-CN"/>
        </w:rPr>
        <w:t xml:space="preserve"> </w:t>
      </w:r>
      <w:proofErr w:type="spellStart"/>
      <w:r w:rsidRPr="00CE7679">
        <w:rPr>
          <w:rFonts w:eastAsia="SimSun"/>
          <w:i/>
          <w:iCs/>
          <w:snapToGrid/>
          <w:szCs w:val="22"/>
          <w:lang w:eastAsia="zh-CN"/>
        </w:rPr>
        <w:t>in</w:t>
      </w:r>
      <w:proofErr w:type="spellEnd"/>
      <w:r w:rsidRPr="00CE7679">
        <w:rPr>
          <w:rFonts w:eastAsia="SimSun"/>
          <w:i/>
          <w:iCs/>
          <w:snapToGrid/>
          <w:szCs w:val="22"/>
          <w:lang w:eastAsia="zh-CN"/>
        </w:rPr>
        <w:t xml:space="preserve"> </w:t>
      </w:r>
      <w:proofErr w:type="spellStart"/>
      <w:r w:rsidRPr="00CE7679">
        <w:rPr>
          <w:rFonts w:eastAsia="SimSun"/>
          <w:i/>
          <w:iCs/>
          <w:snapToGrid/>
          <w:szCs w:val="22"/>
          <w:lang w:eastAsia="zh-CN"/>
        </w:rPr>
        <w:t>vivo</w:t>
      </w:r>
      <w:proofErr w:type="spellEnd"/>
      <w:r w:rsidRPr="00CE7679">
        <w:rPr>
          <w:rFonts w:eastAsia="SimSun"/>
          <w:i/>
          <w:iCs/>
          <w:snapToGrid/>
          <w:szCs w:val="22"/>
          <w:lang w:eastAsia="zh-CN"/>
        </w:rPr>
        <w:t xml:space="preserve"> </w:t>
      </w:r>
      <w:r w:rsidRPr="00CE7679">
        <w:rPr>
          <w:rFonts w:eastAsia="SimSun"/>
          <w:snapToGrid/>
          <w:szCs w:val="22"/>
          <w:lang w:eastAsia="zh-CN"/>
        </w:rPr>
        <w:t xml:space="preserve">tokio slopinimo nenustatyta. Didesnių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ir </w:t>
      </w:r>
      <w:proofErr w:type="spellStart"/>
      <w:r w:rsidRPr="00CE7679">
        <w:rPr>
          <w:rFonts w:eastAsia="SimSun"/>
          <w:snapToGrid/>
          <w:szCs w:val="22"/>
          <w:lang w:eastAsia="zh-CN"/>
        </w:rPr>
        <w:t>paracetamolio</w:t>
      </w:r>
      <w:proofErr w:type="spellEnd"/>
      <w:r w:rsidRPr="00CE7679">
        <w:rPr>
          <w:rFonts w:eastAsia="SimSun"/>
          <w:snapToGrid/>
          <w:szCs w:val="22"/>
          <w:lang w:eastAsia="zh-CN"/>
        </w:rPr>
        <w:t xml:space="preserve"> dozių vartojimo tyrimų neatlikta.</w:t>
      </w:r>
    </w:p>
    <w:p w14:paraId="12457DDB"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0EFA081D"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Todėl vartojant dideles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dozes kartu su </w:t>
      </w:r>
      <w:proofErr w:type="spellStart"/>
      <w:r w:rsidRPr="00CE7679">
        <w:rPr>
          <w:rFonts w:eastAsia="SimSun"/>
          <w:snapToGrid/>
          <w:szCs w:val="22"/>
          <w:lang w:eastAsia="zh-CN"/>
        </w:rPr>
        <w:t>paracetamoliu</w:t>
      </w:r>
      <w:proofErr w:type="spellEnd"/>
      <w:r w:rsidRPr="00CE7679">
        <w:rPr>
          <w:rFonts w:eastAsia="SimSun"/>
          <w:snapToGrid/>
          <w:szCs w:val="22"/>
          <w:lang w:eastAsia="zh-CN"/>
        </w:rPr>
        <w:t xml:space="preserve"> reikia laikytis atsargumo.</w:t>
      </w:r>
    </w:p>
    <w:p w14:paraId="2915F3F0"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4A3C08E4" w14:textId="04D3D5B1"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Po skydliaukės pašalinimo </w:t>
      </w:r>
      <w:proofErr w:type="spellStart"/>
      <w:r w:rsidRPr="00CE7679">
        <w:rPr>
          <w:rFonts w:eastAsia="SimSun"/>
          <w:snapToGrid/>
          <w:szCs w:val="22"/>
          <w:lang w:eastAsia="zh-CN"/>
        </w:rPr>
        <w:t>levotiroksinu</w:t>
      </w:r>
      <w:proofErr w:type="spellEnd"/>
      <w:r w:rsidRPr="00CE7679">
        <w:rPr>
          <w:rFonts w:eastAsia="SimSun"/>
          <w:snapToGrid/>
          <w:szCs w:val="22"/>
          <w:lang w:eastAsia="zh-CN"/>
        </w:rPr>
        <w:t xml:space="preserve"> gydomiems pacientams paskyrus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gali sumažėti </w:t>
      </w:r>
      <w:proofErr w:type="spellStart"/>
      <w:r w:rsidRPr="00CE7679">
        <w:rPr>
          <w:rFonts w:eastAsia="SimSun"/>
          <w:snapToGrid/>
          <w:szCs w:val="22"/>
          <w:lang w:eastAsia="zh-CN"/>
        </w:rPr>
        <w:t>levotiroksino</w:t>
      </w:r>
      <w:proofErr w:type="spellEnd"/>
      <w:r w:rsidRPr="00CE7679">
        <w:rPr>
          <w:rFonts w:eastAsia="SimSun"/>
          <w:snapToGrid/>
          <w:szCs w:val="22"/>
          <w:lang w:eastAsia="zh-CN"/>
        </w:rPr>
        <w:t xml:space="preserve"> ekspozicija plazmoje (žr.</w:t>
      </w:r>
      <w:r w:rsidR="00A62956">
        <w:rPr>
          <w:rFonts w:eastAsia="SimSun"/>
          <w:snapToGrid/>
          <w:szCs w:val="22"/>
          <w:lang w:eastAsia="zh-CN"/>
        </w:rPr>
        <w:t> </w:t>
      </w:r>
      <w:r w:rsidRPr="00CE7679">
        <w:rPr>
          <w:rFonts w:eastAsia="SimSun"/>
          <w:snapToGrid/>
          <w:szCs w:val="22"/>
          <w:lang w:eastAsia="zh-CN"/>
        </w:rPr>
        <w:t>4.4</w:t>
      </w:r>
      <w:r w:rsidR="00A62956">
        <w:rPr>
          <w:rFonts w:eastAsia="SimSun"/>
          <w:snapToGrid/>
          <w:szCs w:val="22"/>
          <w:lang w:eastAsia="zh-CN"/>
        </w:rPr>
        <w:t> </w:t>
      </w:r>
      <w:r w:rsidRPr="00CE7679">
        <w:rPr>
          <w:rFonts w:eastAsia="SimSun"/>
          <w:snapToGrid/>
          <w:szCs w:val="22"/>
          <w:lang w:eastAsia="zh-CN"/>
        </w:rPr>
        <w:t>skyrių), todėl rekomenduojama laikytis atsargumo. Vis dėlto, stebėtos sąveikos mechanizmas iki šiol nežinomas.</w:t>
      </w:r>
    </w:p>
    <w:p w14:paraId="7C2DF056"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096A0776" w14:textId="7F273D85"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Yra klinikinės patirties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vartojant chemoterapijos, taikomos pacientams, sergantiems </w:t>
      </w:r>
      <w:proofErr w:type="spellStart"/>
      <w:r w:rsidRPr="00CE7679">
        <w:rPr>
          <w:rFonts w:eastAsia="SimSun"/>
          <w:i/>
          <w:iCs/>
          <w:snapToGrid/>
          <w:szCs w:val="22"/>
          <w:lang w:eastAsia="zh-CN"/>
        </w:rPr>
        <w:t>Philadelphia</w:t>
      </w:r>
      <w:proofErr w:type="spellEnd"/>
      <w:r w:rsidRPr="00CE7679">
        <w:rPr>
          <w:rFonts w:eastAsia="SimSun"/>
          <w:snapToGrid/>
          <w:szCs w:val="22"/>
          <w:lang w:eastAsia="zh-CN"/>
        </w:rPr>
        <w:t xml:space="preserve"> chromosomai teigiama (</w:t>
      </w:r>
      <w:proofErr w:type="spellStart"/>
      <w:r w:rsidRPr="00CE7679">
        <w:rPr>
          <w:rFonts w:eastAsia="SimSun"/>
          <w:snapToGrid/>
          <w:szCs w:val="22"/>
          <w:lang w:eastAsia="zh-CN"/>
        </w:rPr>
        <w:t>Ph</w:t>
      </w:r>
      <w:proofErr w:type="spellEnd"/>
      <w:r w:rsidRPr="00CE7679">
        <w:rPr>
          <w:rFonts w:eastAsia="SimSun"/>
          <w:snapToGrid/>
          <w:szCs w:val="22"/>
          <w:lang w:eastAsia="zh-CN"/>
        </w:rPr>
        <w:t xml:space="preserve">+ ŪLL) ūmine </w:t>
      </w:r>
      <w:proofErr w:type="spellStart"/>
      <w:r w:rsidRPr="00CE7679">
        <w:rPr>
          <w:rFonts w:eastAsia="SimSun"/>
          <w:snapToGrid/>
          <w:szCs w:val="22"/>
          <w:lang w:eastAsia="zh-CN"/>
        </w:rPr>
        <w:t>limfoblastine</w:t>
      </w:r>
      <w:proofErr w:type="spellEnd"/>
      <w:r w:rsidRPr="00CE7679">
        <w:rPr>
          <w:rFonts w:eastAsia="SimSun"/>
          <w:snapToGrid/>
          <w:szCs w:val="22"/>
          <w:lang w:eastAsia="zh-CN"/>
        </w:rPr>
        <w:t xml:space="preserve"> leukemija, metu (žr.</w:t>
      </w:r>
      <w:r w:rsidR="00082339">
        <w:rPr>
          <w:rFonts w:eastAsia="SimSun"/>
          <w:snapToGrid/>
          <w:szCs w:val="22"/>
          <w:lang w:eastAsia="zh-CN"/>
        </w:rPr>
        <w:t> </w:t>
      </w:r>
      <w:r w:rsidRPr="00CE7679">
        <w:rPr>
          <w:rFonts w:eastAsia="SimSun"/>
          <w:snapToGrid/>
          <w:szCs w:val="22"/>
          <w:lang w:eastAsia="zh-CN"/>
        </w:rPr>
        <w:t>5.1</w:t>
      </w:r>
      <w:r w:rsidR="00082339">
        <w:rPr>
          <w:rFonts w:eastAsia="SimSun"/>
          <w:snapToGrid/>
          <w:szCs w:val="22"/>
          <w:lang w:eastAsia="zh-CN"/>
        </w:rPr>
        <w:t> </w:t>
      </w:r>
      <w:r w:rsidRPr="00CE7679">
        <w:rPr>
          <w:rFonts w:eastAsia="SimSun"/>
          <w:snapToGrid/>
          <w:szCs w:val="22"/>
          <w:lang w:eastAsia="zh-CN"/>
        </w:rPr>
        <w:t xml:space="preserve">skyrių), bet vaistinių preparatų sąveikos tarp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ir chemoterapinio gydymo schemų nėra gerai apibūdintos.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sukeliamų nepageidaujamų reiškinių, pvz., </w:t>
      </w:r>
      <w:proofErr w:type="spellStart"/>
      <w:r w:rsidRPr="00CE7679">
        <w:rPr>
          <w:rFonts w:eastAsia="SimSun"/>
          <w:snapToGrid/>
          <w:szCs w:val="22"/>
          <w:lang w:eastAsia="zh-CN"/>
        </w:rPr>
        <w:t>hepatotoksiškumo</w:t>
      </w:r>
      <w:proofErr w:type="spellEnd"/>
      <w:r w:rsidRPr="00CE7679">
        <w:rPr>
          <w:rFonts w:eastAsia="SimSun"/>
          <w:snapToGrid/>
          <w:szCs w:val="22"/>
          <w:lang w:eastAsia="zh-CN"/>
        </w:rPr>
        <w:t>, kaulų čiulpų slopinimo arba kitų, gali daugėti ir pranešta, kad kartu vartojant L-</w:t>
      </w:r>
      <w:proofErr w:type="spellStart"/>
      <w:r w:rsidRPr="00CE7679">
        <w:rPr>
          <w:rFonts w:eastAsia="SimSun"/>
          <w:snapToGrid/>
          <w:szCs w:val="22"/>
          <w:lang w:eastAsia="zh-CN"/>
        </w:rPr>
        <w:t>asparaginazės</w:t>
      </w:r>
      <w:proofErr w:type="spellEnd"/>
      <w:r w:rsidRPr="00CE7679">
        <w:rPr>
          <w:rFonts w:eastAsia="SimSun"/>
          <w:snapToGrid/>
          <w:szCs w:val="22"/>
          <w:lang w:eastAsia="zh-CN"/>
        </w:rPr>
        <w:t xml:space="preserve">, gali padidėti </w:t>
      </w:r>
      <w:proofErr w:type="spellStart"/>
      <w:r w:rsidRPr="00CE7679">
        <w:rPr>
          <w:rFonts w:eastAsia="SimSun"/>
          <w:snapToGrid/>
          <w:szCs w:val="22"/>
          <w:lang w:eastAsia="zh-CN"/>
        </w:rPr>
        <w:t>hepatotoksiškumas</w:t>
      </w:r>
      <w:proofErr w:type="spellEnd"/>
      <w:r w:rsidRPr="00CE7679">
        <w:rPr>
          <w:rFonts w:eastAsia="SimSun"/>
          <w:snapToGrid/>
          <w:szCs w:val="22"/>
          <w:lang w:eastAsia="zh-CN"/>
        </w:rPr>
        <w:t xml:space="preserve"> (žr.</w:t>
      </w:r>
      <w:r w:rsidR="00082339">
        <w:rPr>
          <w:rFonts w:eastAsia="SimSun"/>
          <w:snapToGrid/>
          <w:szCs w:val="22"/>
          <w:lang w:eastAsia="zh-CN"/>
        </w:rPr>
        <w:t> </w:t>
      </w:r>
      <w:r w:rsidRPr="00CE7679">
        <w:rPr>
          <w:rFonts w:eastAsia="SimSun"/>
          <w:snapToGrid/>
          <w:szCs w:val="22"/>
          <w:lang w:eastAsia="zh-CN"/>
        </w:rPr>
        <w:t>4.8</w:t>
      </w:r>
      <w:r w:rsidR="00082339">
        <w:rPr>
          <w:rFonts w:eastAsia="SimSun"/>
          <w:snapToGrid/>
          <w:szCs w:val="22"/>
          <w:lang w:eastAsia="zh-CN"/>
        </w:rPr>
        <w:t> </w:t>
      </w:r>
      <w:r w:rsidRPr="00CE7679">
        <w:rPr>
          <w:rFonts w:eastAsia="SimSun"/>
          <w:snapToGrid/>
          <w:szCs w:val="22"/>
          <w:lang w:eastAsia="zh-CN"/>
        </w:rPr>
        <w:t xml:space="preserve">skyrių). Todėl, kartu su </w:t>
      </w:r>
      <w:proofErr w:type="spellStart"/>
      <w:r w:rsidRPr="00CE7679">
        <w:rPr>
          <w:rFonts w:eastAsia="SimSun"/>
          <w:snapToGrid/>
          <w:szCs w:val="22"/>
          <w:lang w:eastAsia="zh-CN"/>
        </w:rPr>
        <w:t>imatinibu</w:t>
      </w:r>
      <w:proofErr w:type="spellEnd"/>
      <w:r w:rsidRPr="00CE7679">
        <w:rPr>
          <w:rFonts w:eastAsia="SimSun"/>
          <w:snapToGrid/>
          <w:szCs w:val="22"/>
          <w:lang w:eastAsia="zh-CN"/>
        </w:rPr>
        <w:t xml:space="preserve"> vartojant kitų vaistinių preparatų, reikia imtis specialių atsargumo priemonių.</w:t>
      </w:r>
    </w:p>
    <w:p w14:paraId="43ACE2DA"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5A87ACBF" w14:textId="77777777" w:rsidR="00A27597" w:rsidRPr="00CE7679" w:rsidRDefault="00A27597" w:rsidP="00A27597">
      <w:pPr>
        <w:widowControl w:val="0"/>
        <w:tabs>
          <w:tab w:val="left" w:pos="680"/>
        </w:tabs>
        <w:autoSpaceDE w:val="0"/>
        <w:autoSpaceDN w:val="0"/>
        <w:adjustRightInd w:val="0"/>
        <w:spacing w:line="240" w:lineRule="auto"/>
        <w:rPr>
          <w:rFonts w:eastAsia="SimSun"/>
          <w:snapToGrid/>
          <w:szCs w:val="22"/>
          <w:lang w:eastAsia="zh-CN"/>
        </w:rPr>
      </w:pPr>
      <w:r w:rsidRPr="009626A0">
        <w:rPr>
          <w:rFonts w:eastAsia="SimSun"/>
          <w:b/>
          <w:bCs/>
          <w:snapToGrid/>
          <w:szCs w:val="22"/>
          <w:lang w:eastAsia="zh-CN"/>
        </w:rPr>
        <w:t>4.6</w:t>
      </w:r>
      <w:r w:rsidRPr="009626A0">
        <w:rPr>
          <w:rFonts w:eastAsia="SimSun"/>
          <w:b/>
          <w:bCs/>
          <w:snapToGrid/>
          <w:szCs w:val="22"/>
          <w:lang w:eastAsia="zh-CN"/>
        </w:rPr>
        <w:tab/>
        <w:t xml:space="preserve">Vaisingumas, nėštumo ir žindymo </w:t>
      </w:r>
      <w:r w:rsidRPr="00D776C2">
        <w:rPr>
          <w:rFonts w:eastAsia="SimSun"/>
          <w:b/>
          <w:bCs/>
          <w:snapToGrid/>
          <w:szCs w:val="22"/>
          <w:lang w:eastAsia="zh-CN"/>
        </w:rPr>
        <w:t>laikotarpis</w:t>
      </w:r>
    </w:p>
    <w:p w14:paraId="21FAF647"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33C6C1EF" w14:textId="77777777" w:rsidR="00A27597" w:rsidRPr="00082339" w:rsidRDefault="00A27597" w:rsidP="00A27597">
      <w:pPr>
        <w:widowControl w:val="0"/>
        <w:autoSpaceDE w:val="0"/>
        <w:autoSpaceDN w:val="0"/>
        <w:adjustRightInd w:val="0"/>
        <w:spacing w:line="240" w:lineRule="auto"/>
        <w:rPr>
          <w:rFonts w:eastAsia="SimSun"/>
          <w:snapToGrid/>
          <w:szCs w:val="22"/>
          <w:u w:val="single"/>
          <w:lang w:eastAsia="zh-CN"/>
        </w:rPr>
      </w:pPr>
      <w:r w:rsidRPr="00082339">
        <w:rPr>
          <w:rFonts w:eastAsia="SimSun"/>
          <w:snapToGrid/>
          <w:szCs w:val="22"/>
          <w:u w:val="single"/>
          <w:lang w:eastAsia="zh-CN"/>
        </w:rPr>
        <w:t xml:space="preserve">Vaisingos moterys </w:t>
      </w:r>
    </w:p>
    <w:p w14:paraId="6B0AB3E1" w14:textId="77777777" w:rsidR="00A27597" w:rsidRPr="00F30108" w:rsidRDefault="00A27597" w:rsidP="00961430">
      <w:pPr>
        <w:pStyle w:val="Default"/>
        <w:rPr>
          <w:sz w:val="22"/>
          <w:lang w:val="lt-LT"/>
        </w:rPr>
      </w:pPr>
      <w:r w:rsidRPr="00F30108">
        <w:rPr>
          <w:sz w:val="22"/>
          <w:lang w:val="lt-LT"/>
        </w:rPr>
        <w:t xml:space="preserve">Vaisingo amžiaus moterys turi būti informuotos, kad gydymo metu </w:t>
      </w:r>
      <w:r w:rsidR="00FE3C95" w:rsidRPr="00F30108">
        <w:rPr>
          <w:sz w:val="22"/>
          <w:lang w:val="lt-LT"/>
        </w:rPr>
        <w:t xml:space="preserve">ir mažiausiai 15 dienų po gydymo </w:t>
      </w:r>
      <w:proofErr w:type="spellStart"/>
      <w:r w:rsidR="00FE3C95" w:rsidRPr="00F30108">
        <w:rPr>
          <w:sz w:val="22"/>
          <w:lang w:val="lt-LT"/>
        </w:rPr>
        <w:t>Imatinib</w:t>
      </w:r>
      <w:proofErr w:type="spellEnd"/>
      <w:r w:rsidR="00FE3C95" w:rsidRPr="00F30108">
        <w:rPr>
          <w:sz w:val="22"/>
          <w:lang w:val="lt-LT"/>
        </w:rPr>
        <w:t xml:space="preserve"> </w:t>
      </w:r>
      <w:proofErr w:type="spellStart"/>
      <w:r w:rsidR="00FE3C95" w:rsidRPr="00F30108">
        <w:rPr>
          <w:sz w:val="22"/>
          <w:lang w:val="lt-LT"/>
        </w:rPr>
        <w:t>Sandoz</w:t>
      </w:r>
      <w:proofErr w:type="spellEnd"/>
      <w:r w:rsidR="00FE3C95" w:rsidRPr="00F30108">
        <w:rPr>
          <w:sz w:val="22"/>
          <w:lang w:val="lt-LT"/>
        </w:rPr>
        <w:t xml:space="preserve">  nutraukimo jos turi naudoti veiksmingą kontracepcijos metodą. </w:t>
      </w:r>
    </w:p>
    <w:p w14:paraId="14A3B893" w14:textId="77777777" w:rsidR="00A27597" w:rsidRPr="00961430" w:rsidRDefault="00A27597" w:rsidP="00A27597">
      <w:pPr>
        <w:widowControl w:val="0"/>
        <w:autoSpaceDE w:val="0"/>
        <w:autoSpaceDN w:val="0"/>
        <w:adjustRightInd w:val="0"/>
        <w:spacing w:line="240" w:lineRule="auto"/>
        <w:rPr>
          <w:rFonts w:eastAsia="SimSun"/>
          <w:snapToGrid/>
          <w:color w:val="000000"/>
          <w:sz w:val="24"/>
          <w:szCs w:val="22"/>
          <w:lang w:eastAsia="zh-CN"/>
        </w:rPr>
      </w:pPr>
    </w:p>
    <w:p w14:paraId="67ECA05D"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u w:val="single"/>
          <w:lang w:eastAsia="zh-CN"/>
        </w:rPr>
        <w:t>Nėštumas</w:t>
      </w:r>
    </w:p>
    <w:p w14:paraId="7BD0FC21" w14:textId="2A8AF7C2" w:rsidR="00A27597" w:rsidRPr="00CE7679" w:rsidRDefault="00A27597" w:rsidP="000C1203">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Duomenų apie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vartojimą nėštumo metu nepakanka. </w:t>
      </w:r>
      <w:r w:rsidR="000C1203" w:rsidRPr="00CE7679">
        <w:rPr>
          <w:rFonts w:eastAsia="SimSun"/>
          <w:snapToGrid/>
          <w:szCs w:val="22"/>
          <w:lang w:eastAsia="zh-CN"/>
        </w:rPr>
        <w:t>Vaistiniam preparatui patekus į rinką</w:t>
      </w:r>
      <w:r w:rsidR="00E21C13" w:rsidRPr="00CE7679">
        <w:rPr>
          <w:rFonts w:eastAsia="SimSun"/>
          <w:snapToGrid/>
          <w:szCs w:val="22"/>
          <w:lang w:eastAsia="zh-CN"/>
        </w:rPr>
        <w:t>,</w:t>
      </w:r>
      <w:r w:rsidR="000C1203" w:rsidRPr="00CE7679">
        <w:rPr>
          <w:rFonts w:eastAsia="SimSun"/>
          <w:snapToGrid/>
          <w:szCs w:val="22"/>
          <w:lang w:eastAsia="zh-CN"/>
        </w:rPr>
        <w:t xml:space="preserve"> gauta pranešimų apie </w:t>
      </w:r>
      <w:proofErr w:type="spellStart"/>
      <w:r w:rsidR="000C1203" w:rsidRPr="00CE7679">
        <w:rPr>
          <w:rFonts w:eastAsia="SimSun"/>
          <w:snapToGrid/>
          <w:szCs w:val="22"/>
          <w:lang w:eastAsia="zh-CN"/>
        </w:rPr>
        <w:t>imatinibą</w:t>
      </w:r>
      <w:proofErr w:type="spellEnd"/>
      <w:r w:rsidR="000C1203" w:rsidRPr="00CE7679">
        <w:rPr>
          <w:rFonts w:eastAsia="SimSun"/>
          <w:snapToGrid/>
          <w:szCs w:val="22"/>
          <w:lang w:eastAsia="zh-CN"/>
        </w:rPr>
        <w:t xml:space="preserve"> vartojusioms moterims pasireiškusius savaiminių abortų atvejus ir įgimtus kūdikių nenormalumus. </w:t>
      </w:r>
      <w:r w:rsidRPr="00CE7679">
        <w:rPr>
          <w:rFonts w:eastAsia="SimSun"/>
          <w:snapToGrid/>
          <w:szCs w:val="22"/>
          <w:lang w:eastAsia="zh-CN"/>
        </w:rPr>
        <w:t>Tačiau su gyvūnais atlikti tyrimai parodė toksinį poveikį reprodukcijai (žr.</w:t>
      </w:r>
      <w:r w:rsidR="00082339">
        <w:rPr>
          <w:rFonts w:eastAsia="SimSun"/>
          <w:snapToGrid/>
          <w:szCs w:val="22"/>
          <w:lang w:eastAsia="zh-CN"/>
        </w:rPr>
        <w:t> </w:t>
      </w:r>
      <w:r w:rsidRPr="00CE7679">
        <w:rPr>
          <w:rFonts w:eastAsia="SimSun"/>
          <w:snapToGrid/>
          <w:szCs w:val="22"/>
          <w:lang w:eastAsia="zh-CN"/>
        </w:rPr>
        <w:t>5.3</w:t>
      </w:r>
      <w:r w:rsidR="00082339">
        <w:rPr>
          <w:rFonts w:eastAsia="SimSun"/>
          <w:snapToGrid/>
          <w:szCs w:val="22"/>
          <w:lang w:eastAsia="zh-CN"/>
        </w:rPr>
        <w:t> </w:t>
      </w:r>
      <w:r w:rsidRPr="00CE7679">
        <w:rPr>
          <w:rFonts w:eastAsia="SimSun"/>
          <w:snapToGrid/>
          <w:szCs w:val="22"/>
          <w:lang w:eastAsia="zh-CN"/>
        </w:rPr>
        <w:t xml:space="preserve">skyrių), ir galima rizika vaisiui yra nežinoma.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nėštumo metu vartoti negalima, išskyrus neabejotinai būtinus atvejus. Nėščiąją, kuriai skiriama vaistinio preparato, reikia informuoti apie galimą riziką vaisiui. </w:t>
      </w:r>
    </w:p>
    <w:p w14:paraId="1B6570DB"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1DA74692"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u w:val="single"/>
          <w:lang w:eastAsia="zh-CN"/>
        </w:rPr>
        <w:t>Žindymas</w:t>
      </w:r>
    </w:p>
    <w:p w14:paraId="354B0DAE"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Yra mažai duomenų apie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išsiskyrimą į</w:t>
      </w:r>
      <w:r w:rsidR="00B76C43">
        <w:rPr>
          <w:rFonts w:eastAsia="SimSun"/>
          <w:snapToGrid/>
          <w:szCs w:val="22"/>
          <w:lang w:eastAsia="zh-CN"/>
        </w:rPr>
        <w:t xml:space="preserve"> gydytų </w:t>
      </w:r>
      <w:r w:rsidRPr="00CE7679">
        <w:rPr>
          <w:rFonts w:eastAsia="SimSun"/>
          <w:snapToGrid/>
          <w:szCs w:val="22"/>
          <w:lang w:eastAsia="zh-CN"/>
        </w:rPr>
        <w:t xml:space="preserve"> motin</w:t>
      </w:r>
      <w:r w:rsidR="00B76C43">
        <w:rPr>
          <w:rFonts w:eastAsia="SimSun"/>
          <w:snapToGrid/>
          <w:szCs w:val="22"/>
          <w:lang w:eastAsia="zh-CN"/>
        </w:rPr>
        <w:t>ų</w:t>
      </w:r>
      <w:r w:rsidRPr="00CE7679">
        <w:rPr>
          <w:rFonts w:eastAsia="SimSun"/>
          <w:snapToGrid/>
          <w:szCs w:val="22"/>
          <w:lang w:eastAsia="zh-CN"/>
        </w:rPr>
        <w:t xml:space="preserve"> pieną. Abu žindančių moterų tyrimai parodė, kad tiek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tiek jo aktyvaus metabolito gali išsiskirti į žindyvės pieną. Nustatyta, kad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ir jo metabolito koncentracijų piene ir kraujo plazmoje santykis vienai pacientei tenka atitinkamai 0,5 ir 0,9. Tai rodo, kad į pieną daugiau išsiskiria vaistinio preparato metabolito. Atsižvelgiant į suminę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ir jo metabolito koncentraciją bei didžiausią kūdikio suvartojamą pieno kiekį per parą, tikėtina, kad bendroji ekspozicija galėtų būti nedidelė (~10 % terapinės dozės). </w:t>
      </w:r>
      <w:r w:rsidR="00FE3C95" w:rsidRPr="00961430">
        <w:rPr>
          <w:rFonts w:eastAsia="SimSun"/>
          <w:snapToGrid/>
          <w:szCs w:val="22"/>
          <w:lang w:eastAsia="zh-CN"/>
        </w:rPr>
        <w:t xml:space="preserve">Tačiau, kadangi nedidelės </w:t>
      </w:r>
      <w:proofErr w:type="spellStart"/>
      <w:r w:rsidR="00FE3C95" w:rsidRPr="00961430">
        <w:rPr>
          <w:rFonts w:eastAsia="SimSun"/>
          <w:snapToGrid/>
          <w:szCs w:val="22"/>
          <w:lang w:eastAsia="zh-CN"/>
        </w:rPr>
        <w:t>imatinibo</w:t>
      </w:r>
      <w:proofErr w:type="spellEnd"/>
      <w:r w:rsidR="00FE3C95" w:rsidRPr="00961430">
        <w:rPr>
          <w:rFonts w:eastAsia="SimSun"/>
          <w:snapToGrid/>
          <w:szCs w:val="22"/>
          <w:lang w:eastAsia="zh-CN"/>
        </w:rPr>
        <w:t xml:space="preserve"> dozės poveikis kūdikiui nežinomas, gydymo metu ir mažiausiai 15 dienų po gydymo  nutraukimo moterims žindyti negalima. </w:t>
      </w:r>
    </w:p>
    <w:p w14:paraId="1B58A05C" w14:textId="77777777" w:rsidR="00A27597" w:rsidRPr="00CE7679" w:rsidRDefault="00A27597" w:rsidP="00A27597">
      <w:pPr>
        <w:widowControl w:val="0"/>
        <w:autoSpaceDE w:val="0"/>
        <w:autoSpaceDN w:val="0"/>
        <w:adjustRightInd w:val="0"/>
        <w:spacing w:line="240" w:lineRule="auto"/>
        <w:rPr>
          <w:rFonts w:eastAsia="SimSun"/>
          <w:snapToGrid/>
          <w:szCs w:val="22"/>
          <w:u w:val="single"/>
          <w:lang w:eastAsia="zh-CN"/>
        </w:rPr>
      </w:pPr>
    </w:p>
    <w:p w14:paraId="320C9C39"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u w:val="single"/>
          <w:lang w:eastAsia="zh-CN"/>
        </w:rPr>
        <w:t>Vaisingumas</w:t>
      </w:r>
    </w:p>
    <w:p w14:paraId="28D21664" w14:textId="35230D81"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Ikiklinikinių tyrimų metu, žiurkių patinų ir patelių vaisingumas nepakito</w:t>
      </w:r>
      <w:r w:rsidR="00FE3C95">
        <w:rPr>
          <w:rFonts w:eastAsia="SimSun"/>
          <w:snapToGrid/>
          <w:szCs w:val="22"/>
          <w:lang w:eastAsia="zh-CN"/>
        </w:rPr>
        <w:t xml:space="preserve">, </w:t>
      </w:r>
      <w:r w:rsidR="00FE3C95" w:rsidRPr="00961430">
        <w:rPr>
          <w:rFonts w:eastAsia="SimSun"/>
          <w:snapToGrid/>
          <w:szCs w:val="22"/>
          <w:lang w:eastAsia="zh-CN"/>
        </w:rPr>
        <w:t xml:space="preserve">nors poveikis reprodukciniams parametrams buvo pastebėtas </w:t>
      </w:r>
      <w:r w:rsidRPr="00CE7679">
        <w:rPr>
          <w:rFonts w:eastAsia="SimSun"/>
          <w:snapToGrid/>
          <w:szCs w:val="22"/>
          <w:lang w:eastAsia="zh-CN"/>
        </w:rPr>
        <w:t>(žr.</w:t>
      </w:r>
      <w:r w:rsidR="00815A8F">
        <w:rPr>
          <w:rFonts w:eastAsia="SimSun"/>
          <w:snapToGrid/>
          <w:szCs w:val="22"/>
          <w:lang w:eastAsia="zh-CN"/>
        </w:rPr>
        <w:t> </w:t>
      </w:r>
      <w:r w:rsidRPr="00CE7679">
        <w:rPr>
          <w:rFonts w:eastAsia="SimSun"/>
          <w:snapToGrid/>
          <w:szCs w:val="22"/>
          <w:lang w:eastAsia="zh-CN"/>
        </w:rPr>
        <w:t>5.3</w:t>
      </w:r>
      <w:r w:rsidR="00815A8F">
        <w:rPr>
          <w:rFonts w:eastAsia="SimSun"/>
          <w:snapToGrid/>
          <w:szCs w:val="22"/>
          <w:lang w:eastAsia="zh-CN"/>
        </w:rPr>
        <w:t> </w:t>
      </w:r>
      <w:r w:rsidRPr="00CE7679">
        <w:rPr>
          <w:rFonts w:eastAsia="SimSun"/>
          <w:snapToGrid/>
          <w:szCs w:val="22"/>
          <w:lang w:eastAsia="zh-CN"/>
        </w:rPr>
        <w:t xml:space="preserve">skyrių). Nebuvo atlikta poveikio vaisingumui tyrimų, skiriant pacientams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taigi vaistinio preparato poveikis vaisingumui ir </w:t>
      </w:r>
      <w:proofErr w:type="spellStart"/>
      <w:r w:rsidRPr="00CE7679">
        <w:rPr>
          <w:rFonts w:eastAsia="SimSun"/>
          <w:snapToGrid/>
          <w:szCs w:val="22"/>
          <w:lang w:eastAsia="zh-CN"/>
        </w:rPr>
        <w:t>gametogenezei</w:t>
      </w:r>
      <w:proofErr w:type="spellEnd"/>
      <w:r w:rsidRPr="00CE7679">
        <w:rPr>
          <w:rFonts w:eastAsia="SimSun"/>
          <w:snapToGrid/>
          <w:szCs w:val="22"/>
          <w:lang w:eastAsia="zh-CN"/>
        </w:rPr>
        <w:t xml:space="preserve"> nebuvo ištirtas. </w:t>
      </w:r>
      <w:proofErr w:type="spellStart"/>
      <w:r w:rsidRPr="00CE7679">
        <w:rPr>
          <w:rFonts w:eastAsia="SimSun"/>
          <w:snapToGrid/>
          <w:szCs w:val="22"/>
          <w:lang w:eastAsia="zh-CN"/>
        </w:rPr>
        <w:t>Imatinibu</w:t>
      </w:r>
      <w:proofErr w:type="spellEnd"/>
      <w:r w:rsidRPr="00CE7679">
        <w:rPr>
          <w:rFonts w:eastAsia="SimSun"/>
          <w:snapToGrid/>
          <w:szCs w:val="22"/>
          <w:lang w:eastAsia="zh-CN"/>
        </w:rPr>
        <w:t xml:space="preserve"> gydomi pacientai, nerimaujantys dėl savo vaisingumo, turi pasikonsultuoti su gydytoju.</w:t>
      </w:r>
    </w:p>
    <w:p w14:paraId="1EB1D272"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26E32A45" w14:textId="77777777" w:rsidR="00A27597" w:rsidRPr="00CE7679" w:rsidRDefault="00A27597" w:rsidP="00A27597">
      <w:pPr>
        <w:widowControl w:val="0"/>
        <w:tabs>
          <w:tab w:val="left" w:pos="680"/>
        </w:tabs>
        <w:autoSpaceDE w:val="0"/>
        <w:autoSpaceDN w:val="0"/>
        <w:adjustRightInd w:val="0"/>
        <w:spacing w:line="240" w:lineRule="auto"/>
        <w:rPr>
          <w:rFonts w:eastAsia="SimSun"/>
          <w:snapToGrid/>
          <w:szCs w:val="22"/>
          <w:lang w:eastAsia="zh-CN"/>
        </w:rPr>
      </w:pPr>
      <w:r w:rsidRPr="00CE7679">
        <w:rPr>
          <w:rFonts w:eastAsia="SimSun"/>
          <w:b/>
          <w:bCs/>
          <w:snapToGrid/>
          <w:szCs w:val="22"/>
          <w:lang w:eastAsia="zh-CN"/>
        </w:rPr>
        <w:t>4.7</w:t>
      </w:r>
      <w:r w:rsidRPr="00CE7679">
        <w:rPr>
          <w:rFonts w:eastAsia="SimSun"/>
          <w:b/>
          <w:bCs/>
          <w:snapToGrid/>
          <w:szCs w:val="22"/>
          <w:lang w:eastAsia="zh-CN"/>
        </w:rPr>
        <w:tab/>
        <w:t>Poveikis gebėjimui vairuoti ir valdyti mechanizmus</w:t>
      </w:r>
    </w:p>
    <w:p w14:paraId="73D95E26"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74FDC3C6"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Pacientams reikia nurodyti, kad vartojant </w:t>
      </w:r>
      <w:proofErr w:type="spellStart"/>
      <w:r w:rsidRPr="00CE7679">
        <w:rPr>
          <w:rFonts w:eastAsia="SimSun"/>
          <w:snapToGrid/>
          <w:szCs w:val="22"/>
          <w:lang w:eastAsia="zh-CN"/>
        </w:rPr>
        <w:t>imatinibą</w:t>
      </w:r>
      <w:proofErr w:type="spellEnd"/>
      <w:r w:rsidRPr="00CE7679">
        <w:rPr>
          <w:rFonts w:eastAsia="SimSun"/>
          <w:snapToGrid/>
          <w:szCs w:val="22"/>
          <w:lang w:eastAsia="zh-CN"/>
        </w:rPr>
        <w:t xml:space="preserve"> gali būti nepageidaujamų reiškinių, pvz., svaigulys, neryškus matymas ar mieguistumas. Todėl vairuojant ar valdant mechanizmus rekomenduojama laikytis atsargumo.</w:t>
      </w:r>
    </w:p>
    <w:p w14:paraId="464C7964" w14:textId="77777777" w:rsidR="00A27597" w:rsidRPr="00CE7679" w:rsidRDefault="00A27597" w:rsidP="00A27597">
      <w:pPr>
        <w:spacing w:line="240" w:lineRule="auto"/>
        <w:rPr>
          <w:rFonts w:eastAsia="SimSun"/>
          <w:snapToGrid/>
          <w:szCs w:val="22"/>
          <w:lang w:eastAsia="zh-CN"/>
        </w:rPr>
      </w:pPr>
    </w:p>
    <w:p w14:paraId="7ED9D1E8" w14:textId="77777777" w:rsidR="00A27597" w:rsidRPr="00CE7679" w:rsidRDefault="00A27597" w:rsidP="00A27597">
      <w:pPr>
        <w:keepNext/>
        <w:spacing w:line="240" w:lineRule="auto"/>
        <w:outlineLvl w:val="3"/>
        <w:rPr>
          <w:rFonts w:eastAsia="SimSun"/>
          <w:b/>
          <w:snapToGrid/>
          <w:szCs w:val="22"/>
        </w:rPr>
      </w:pPr>
      <w:r w:rsidRPr="00CE7679">
        <w:rPr>
          <w:rFonts w:eastAsia="SimSun"/>
          <w:b/>
          <w:snapToGrid/>
          <w:szCs w:val="22"/>
        </w:rPr>
        <w:lastRenderedPageBreak/>
        <w:t>4.8</w:t>
      </w:r>
      <w:r w:rsidRPr="00CE7679">
        <w:rPr>
          <w:rFonts w:eastAsia="SimSun"/>
          <w:b/>
          <w:snapToGrid/>
          <w:szCs w:val="22"/>
        </w:rPr>
        <w:tab/>
        <w:t>Nepageidaujamas poveikis</w:t>
      </w:r>
    </w:p>
    <w:p w14:paraId="0556B6A8" w14:textId="77777777" w:rsidR="00A27597" w:rsidRPr="00CE7679" w:rsidRDefault="00A27597" w:rsidP="00A27597">
      <w:pPr>
        <w:spacing w:line="240" w:lineRule="auto"/>
        <w:rPr>
          <w:rFonts w:eastAsia="SimSun"/>
          <w:snapToGrid/>
          <w:szCs w:val="22"/>
        </w:rPr>
      </w:pPr>
    </w:p>
    <w:p w14:paraId="6AAA0ACB"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Pacientams, sergantiems vėlyvesnių stadijų piktybiniais navikais, gali būti kitų sveikatos būklių, dėl kurių sunkiau nustatyti nepageidaujamų reiškinių priežastis dėl įvairių simptomų, susijusių su esančia liga, jos progresavimu ir dėl didelio kiekio kitų kartu vartojamų vaistinių preparatų.</w:t>
      </w:r>
    </w:p>
    <w:p w14:paraId="186CFDB1"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284D3104"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Klinikinių LML tyrimų metu dėl nepageidaujamų su vaistiniu preparatu susijusių reakcijų vaistinio preparato vartojimą teko nutraukti 2,4 % pacientų, kuriems buvo naujai diagnozuota liga, 4 % pacientų, kuriems buvo vėlyvoji lėtinė ligos fazė po nesėkmingo gydymo interferonu, 4 % – kuriems buvo akceleracijos fazė po nesėkmingo gydymo interferonu ir 5 % – kuriems buvo </w:t>
      </w:r>
      <w:proofErr w:type="spellStart"/>
      <w:r w:rsidRPr="00CE7679">
        <w:rPr>
          <w:rFonts w:eastAsia="SimSun"/>
          <w:snapToGrid/>
          <w:szCs w:val="22"/>
          <w:lang w:eastAsia="zh-CN"/>
        </w:rPr>
        <w:t>blastinė</w:t>
      </w:r>
      <w:proofErr w:type="spellEnd"/>
      <w:r w:rsidRPr="00CE7679">
        <w:rPr>
          <w:rFonts w:eastAsia="SimSun"/>
          <w:snapToGrid/>
          <w:szCs w:val="22"/>
          <w:lang w:eastAsia="zh-CN"/>
        </w:rPr>
        <w:t xml:space="preserve"> krizė po nesėkmingo gydymo interferonu. GIST tyrimų metu dėl su vaistiniu preparatu susijusių nepageidaujamų reakcijų tiriamojo vaistinio preparato vartojimą teko nutraukti 4 % pacientų.</w:t>
      </w:r>
    </w:p>
    <w:p w14:paraId="345E2565"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1ACD5D59" w14:textId="0A012819"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Vaistinio preparato vartojant dėl bet kurios indikacijos nepageidaujamos reakcijos buvo panašios, išskyrus dvi išimtis. Sergant LML, palyginti su GIST, dažniau pastebėtas kaulų čiulpų slopinimas, galbūt susijęs su pagrindine liga. Klinikinio tyrimo duomenimis, iš jame dalyvavusių pacientų, kuriems buvo </w:t>
      </w:r>
      <w:proofErr w:type="spellStart"/>
      <w:r w:rsidRPr="00CE7679">
        <w:rPr>
          <w:rFonts w:eastAsia="SimSun"/>
          <w:snapToGrid/>
          <w:szCs w:val="22"/>
          <w:lang w:eastAsia="zh-CN"/>
        </w:rPr>
        <w:t>nerezekuotinas</w:t>
      </w:r>
      <w:proofErr w:type="spellEnd"/>
      <w:r w:rsidRPr="00CE7679">
        <w:rPr>
          <w:rFonts w:eastAsia="SimSun"/>
          <w:snapToGrid/>
          <w:szCs w:val="22"/>
          <w:lang w:eastAsia="zh-CN"/>
        </w:rPr>
        <w:t xml:space="preserve"> ir (arba) </w:t>
      </w:r>
      <w:proofErr w:type="spellStart"/>
      <w:r w:rsidRPr="00CE7679">
        <w:rPr>
          <w:rFonts w:eastAsia="SimSun"/>
          <w:snapToGrid/>
          <w:szCs w:val="22"/>
          <w:lang w:eastAsia="zh-CN"/>
        </w:rPr>
        <w:t>metastazavęs</w:t>
      </w:r>
      <w:proofErr w:type="spellEnd"/>
      <w:r w:rsidRPr="00CE7679">
        <w:rPr>
          <w:rFonts w:eastAsia="SimSun"/>
          <w:snapToGrid/>
          <w:szCs w:val="22"/>
          <w:lang w:eastAsia="zh-CN"/>
        </w:rPr>
        <w:t xml:space="preserve"> GIST, 7 (5 %) pacientams buvo: CTC 3 ar 4 laipsnio kraujavimas iš virškinimo trakto (3 pacientams), </w:t>
      </w:r>
      <w:proofErr w:type="spellStart"/>
      <w:r w:rsidRPr="00CE7679">
        <w:rPr>
          <w:rFonts w:eastAsia="SimSun"/>
          <w:snapToGrid/>
          <w:szCs w:val="22"/>
          <w:lang w:eastAsia="zh-CN"/>
        </w:rPr>
        <w:t>vidunavikinis</w:t>
      </w:r>
      <w:proofErr w:type="spellEnd"/>
      <w:r w:rsidRPr="00CE7679">
        <w:rPr>
          <w:rFonts w:eastAsia="SimSun"/>
          <w:snapToGrid/>
          <w:szCs w:val="22"/>
          <w:lang w:eastAsia="zh-CN"/>
        </w:rPr>
        <w:t xml:space="preserve"> kraujavimas (3 pacientams) ar abu požymiai (1 pacientui). Virškinimo trakte esantis navikas gali būti kraujavimo šaltinis iš virškinamojo trakto (žr.</w:t>
      </w:r>
      <w:r w:rsidR="00A9192F">
        <w:rPr>
          <w:rFonts w:eastAsia="SimSun"/>
          <w:snapToGrid/>
          <w:szCs w:val="22"/>
          <w:lang w:eastAsia="zh-CN"/>
        </w:rPr>
        <w:t> </w:t>
      </w:r>
      <w:r w:rsidRPr="00CE7679">
        <w:rPr>
          <w:rFonts w:eastAsia="SimSun"/>
          <w:snapToGrid/>
          <w:szCs w:val="22"/>
          <w:lang w:eastAsia="zh-CN"/>
        </w:rPr>
        <w:t>4.4</w:t>
      </w:r>
      <w:r w:rsidR="00A9192F">
        <w:rPr>
          <w:rFonts w:eastAsia="SimSun"/>
          <w:snapToGrid/>
          <w:szCs w:val="22"/>
          <w:lang w:eastAsia="zh-CN"/>
        </w:rPr>
        <w:t> </w:t>
      </w:r>
      <w:r w:rsidRPr="00CE7679">
        <w:rPr>
          <w:rFonts w:eastAsia="SimSun"/>
          <w:snapToGrid/>
          <w:szCs w:val="22"/>
          <w:lang w:eastAsia="zh-CN"/>
        </w:rPr>
        <w:t>skyrių). Kraujavimas iš virškinimo trakto ir naviko gali būti sunkus ir kartais net mirtinas. Dažniausi (</w:t>
      </w:r>
      <w:r w:rsidRPr="00CE7679">
        <w:rPr>
          <w:rFonts w:eastAsia="Calibri"/>
          <w:snapToGrid/>
          <w:szCs w:val="22"/>
          <w:u w:val="single"/>
          <w:lang w:eastAsia="zh-CN"/>
        </w:rPr>
        <w:t>&gt;</w:t>
      </w:r>
      <w:r w:rsidRPr="00CE7679">
        <w:rPr>
          <w:rFonts w:eastAsia="SimSun"/>
          <w:snapToGrid/>
          <w:szCs w:val="22"/>
          <w:lang w:eastAsia="zh-CN"/>
        </w:rPr>
        <w:t xml:space="preserve"> 10 %) su vaistiniu preparatu susijusios nepageidaujamos reakcijos abiejose </w:t>
      </w:r>
      <w:r w:rsidR="00317800">
        <w:rPr>
          <w:rFonts w:eastAsia="SimSun"/>
          <w:snapToGrid/>
          <w:szCs w:val="22"/>
          <w:lang w:eastAsia="zh-CN"/>
        </w:rPr>
        <w:t>pacientų</w:t>
      </w:r>
      <w:r w:rsidRPr="00CE7679">
        <w:rPr>
          <w:rFonts w:eastAsia="SimSun"/>
          <w:snapToGrid/>
          <w:szCs w:val="22"/>
          <w:lang w:eastAsia="zh-CN"/>
        </w:rPr>
        <w:t xml:space="preserve"> grupėse buvo nestiprus pykinimas, vėmimas, viduriavimas, pilvo skausmas, nuovargis, </w:t>
      </w:r>
      <w:proofErr w:type="spellStart"/>
      <w:r w:rsidRPr="00CE7679">
        <w:rPr>
          <w:rFonts w:eastAsia="SimSun"/>
          <w:snapToGrid/>
          <w:szCs w:val="22"/>
          <w:lang w:eastAsia="zh-CN"/>
        </w:rPr>
        <w:t>mialgija</w:t>
      </w:r>
      <w:proofErr w:type="spellEnd"/>
      <w:r w:rsidRPr="00CE7679">
        <w:rPr>
          <w:rFonts w:eastAsia="SimSun"/>
          <w:snapToGrid/>
          <w:szCs w:val="22"/>
          <w:lang w:eastAsia="zh-CN"/>
        </w:rPr>
        <w:t xml:space="preserve">, mėšlungis ir išbėrimas. Visų tyrimų metu dažnai stebėta paviršinių edemų, dažniausiai – apie akis ar kojų. Tačiau labai retai šios edemos buvo sunkios, jas buvo galima koreguoti diuretikais, kitomis pagalbinėmis priemonėmis ar sumažinus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dozę.</w:t>
      </w:r>
    </w:p>
    <w:p w14:paraId="5382E803"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600B9C45"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roofErr w:type="spellStart"/>
      <w:r w:rsidRPr="00CE7679">
        <w:rPr>
          <w:rFonts w:eastAsia="SimSun"/>
          <w:snapToGrid/>
          <w:szCs w:val="22"/>
          <w:lang w:eastAsia="zh-CN"/>
        </w:rPr>
        <w:t>Ph</w:t>
      </w:r>
      <w:proofErr w:type="spellEnd"/>
      <w:r w:rsidRPr="00CE7679">
        <w:rPr>
          <w:rFonts w:eastAsia="SimSun"/>
          <w:snapToGrid/>
          <w:szCs w:val="22"/>
          <w:lang w:eastAsia="zh-CN"/>
        </w:rPr>
        <w:t xml:space="preserve">+ ŪLL sergantiems pacientams, vartojusiems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kartu su didelėmis chemoterapinių preparatų dozėmis, pastebėtas laikinas toksinis poveikis kepenims, pasireiškęs </w:t>
      </w:r>
      <w:proofErr w:type="spellStart"/>
      <w:r w:rsidRPr="00CE7679">
        <w:rPr>
          <w:rFonts w:eastAsia="SimSun"/>
          <w:snapToGrid/>
          <w:szCs w:val="22"/>
          <w:lang w:eastAsia="zh-CN"/>
        </w:rPr>
        <w:t>transaminazių</w:t>
      </w:r>
      <w:proofErr w:type="spellEnd"/>
      <w:r w:rsidRPr="00CE7679">
        <w:rPr>
          <w:rFonts w:eastAsia="SimSun"/>
          <w:snapToGrid/>
          <w:szCs w:val="22"/>
          <w:lang w:eastAsia="zh-CN"/>
        </w:rPr>
        <w:t xml:space="preserve"> aktyvumo padidėjimu ir </w:t>
      </w:r>
      <w:proofErr w:type="spellStart"/>
      <w:r w:rsidRPr="00CE7679">
        <w:rPr>
          <w:rFonts w:eastAsia="SimSun"/>
          <w:snapToGrid/>
          <w:szCs w:val="22"/>
          <w:lang w:eastAsia="zh-CN"/>
        </w:rPr>
        <w:t>hiperbilirubinemija</w:t>
      </w:r>
      <w:proofErr w:type="spellEnd"/>
      <w:r w:rsidRPr="00CE7679">
        <w:rPr>
          <w:rFonts w:eastAsia="SimSun"/>
          <w:snapToGrid/>
          <w:szCs w:val="22"/>
          <w:lang w:eastAsia="zh-CN"/>
        </w:rPr>
        <w:t>.</w:t>
      </w:r>
      <w:r w:rsidRPr="00CE7679">
        <w:rPr>
          <w:szCs w:val="22"/>
        </w:rPr>
        <w:t xml:space="preserve"> Atsižvelgiant į ribotus saugumo duomenis, iki šiol vaikams pasireiškusių nepageidaujamų reiškinių pobūdis atitinka žinomus saugumo charakteristikos duomenis </w:t>
      </w:r>
      <w:proofErr w:type="spellStart"/>
      <w:r w:rsidRPr="00CE7679">
        <w:rPr>
          <w:szCs w:val="22"/>
        </w:rPr>
        <w:t>Ph</w:t>
      </w:r>
      <w:proofErr w:type="spellEnd"/>
      <w:r w:rsidRPr="00CE7679">
        <w:rPr>
          <w:szCs w:val="22"/>
        </w:rPr>
        <w:t xml:space="preserve">+ ŪLL sergantiems suaugusiesiems. Duomenys apie saugumo charakteristikas </w:t>
      </w:r>
      <w:proofErr w:type="spellStart"/>
      <w:r w:rsidRPr="00CE7679">
        <w:rPr>
          <w:szCs w:val="22"/>
        </w:rPr>
        <w:t>Ph</w:t>
      </w:r>
      <w:proofErr w:type="spellEnd"/>
      <w:r w:rsidRPr="00CE7679">
        <w:rPr>
          <w:szCs w:val="22"/>
        </w:rPr>
        <w:t>+ ŪLL sergantiems vaikams yra labai riboti, vis dėlto naujų nerimą keliančių saugumo duomenų nenustatyta.</w:t>
      </w:r>
      <w:r w:rsidRPr="00CE7679">
        <w:rPr>
          <w:rFonts w:eastAsia="SimSun"/>
          <w:snapToGrid/>
          <w:szCs w:val="22"/>
          <w:lang w:eastAsia="zh-CN"/>
        </w:rPr>
        <w:t xml:space="preserve"> </w:t>
      </w:r>
    </w:p>
    <w:p w14:paraId="3876F376"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4666BB07"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Įvairios nepageidaujamos reakcijos, pvz., skystis pleuros ertmėje, </w:t>
      </w:r>
      <w:proofErr w:type="spellStart"/>
      <w:r w:rsidRPr="00CE7679">
        <w:rPr>
          <w:rFonts w:eastAsia="SimSun"/>
          <w:snapToGrid/>
          <w:szCs w:val="22"/>
          <w:lang w:eastAsia="zh-CN"/>
        </w:rPr>
        <w:t>ascitas</w:t>
      </w:r>
      <w:proofErr w:type="spellEnd"/>
      <w:r w:rsidRPr="00CE7679">
        <w:rPr>
          <w:rFonts w:eastAsia="SimSun"/>
          <w:snapToGrid/>
          <w:szCs w:val="22"/>
          <w:lang w:eastAsia="zh-CN"/>
        </w:rPr>
        <w:t xml:space="preserve">, plaučių edema ar greitai didėjantis kūno svoris su paviršine edema ar be jos, gali būti bendrai vadinamos „skysčio susilaikymu“. Šias reakcijas galima gydyti laikinai nutraukiant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vartojimą, diuretikais ir kitomis tinkamomis pagalbos priemonėmis. Tačiau kai kurie šių reiškinių gali būti sunkūs ir pavojingi gyvybei. Keli pacientai, kuriems buvo </w:t>
      </w:r>
      <w:proofErr w:type="spellStart"/>
      <w:r w:rsidRPr="00CE7679">
        <w:rPr>
          <w:rFonts w:eastAsia="SimSun"/>
          <w:snapToGrid/>
          <w:szCs w:val="22"/>
          <w:lang w:eastAsia="zh-CN"/>
        </w:rPr>
        <w:t>blastinė</w:t>
      </w:r>
      <w:proofErr w:type="spellEnd"/>
      <w:r w:rsidRPr="00CE7679">
        <w:rPr>
          <w:rFonts w:eastAsia="SimSun"/>
          <w:snapToGrid/>
          <w:szCs w:val="22"/>
          <w:lang w:eastAsia="zh-CN"/>
        </w:rPr>
        <w:t xml:space="preserve"> krizė, mirė. Jų ligos istorija buvo sudėtinė: skystis pleuros ertmėje, </w:t>
      </w:r>
      <w:proofErr w:type="spellStart"/>
      <w:r w:rsidRPr="00CE7679">
        <w:rPr>
          <w:rFonts w:eastAsia="SimSun"/>
          <w:snapToGrid/>
          <w:szCs w:val="22"/>
          <w:lang w:eastAsia="zh-CN"/>
        </w:rPr>
        <w:t>stazinis</w:t>
      </w:r>
      <w:proofErr w:type="spellEnd"/>
      <w:r w:rsidRPr="00CE7679">
        <w:rPr>
          <w:rFonts w:eastAsia="SimSun"/>
          <w:snapToGrid/>
          <w:szCs w:val="22"/>
          <w:lang w:eastAsia="zh-CN"/>
        </w:rPr>
        <w:t xml:space="preserve"> širdies nepakankamumas ir inkstų nepakankamumas. Vaikų klinikinių tyrimų metu ypatingų saugumo reiškinių nenustatyta.</w:t>
      </w:r>
    </w:p>
    <w:p w14:paraId="6E21C81E"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2107192B" w14:textId="77777777" w:rsidR="00A27597" w:rsidRPr="00CE7679" w:rsidRDefault="00A27597" w:rsidP="00A27597">
      <w:pPr>
        <w:widowControl w:val="0"/>
        <w:autoSpaceDE w:val="0"/>
        <w:autoSpaceDN w:val="0"/>
        <w:adjustRightInd w:val="0"/>
        <w:spacing w:line="240" w:lineRule="auto"/>
        <w:rPr>
          <w:rFonts w:eastAsia="SimSun"/>
          <w:snapToGrid/>
          <w:szCs w:val="22"/>
          <w:u w:val="single"/>
          <w:lang w:eastAsia="zh-CN"/>
        </w:rPr>
      </w:pPr>
      <w:r w:rsidRPr="00CE7679">
        <w:rPr>
          <w:rFonts w:eastAsia="SimSun"/>
          <w:bCs/>
          <w:snapToGrid/>
          <w:szCs w:val="22"/>
          <w:u w:val="single"/>
          <w:lang w:eastAsia="zh-CN"/>
        </w:rPr>
        <w:t>Nepageidaujamos reakcijos</w:t>
      </w:r>
    </w:p>
    <w:p w14:paraId="285D3A40" w14:textId="05EBE09F"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Nepageidaujamos reakcijos, pasireiškusios dažniau negu pavieniais atvejais, išvardytos žemiau pagal organų sistemas ir dažnį. </w:t>
      </w:r>
      <w:r w:rsidRPr="00CE7679">
        <w:rPr>
          <w:szCs w:val="22"/>
        </w:rPr>
        <w:t xml:space="preserve">Nepageidaujamo poveikio </w:t>
      </w:r>
      <w:r w:rsidRPr="00CE7679">
        <w:t>dažnis apibūdinamas taip: labai dažnas (≥ 1/10), dažnas (nuo ≥ 1/100 iki &lt; 1/10), nedažnas (nuo ≥ 1/1</w:t>
      </w:r>
      <w:r w:rsidR="00A9192F">
        <w:t> </w:t>
      </w:r>
      <w:r w:rsidRPr="00CE7679">
        <w:t>000 iki &lt; 1/100), retas (nuo ≥ 1/10</w:t>
      </w:r>
      <w:r w:rsidR="00A9192F">
        <w:t> </w:t>
      </w:r>
      <w:r w:rsidRPr="00CE7679">
        <w:t>000 iki &lt; 1/1</w:t>
      </w:r>
      <w:r w:rsidR="00A9192F">
        <w:t> </w:t>
      </w:r>
      <w:r w:rsidRPr="00CE7679">
        <w:t>000), labai retas (&lt; 1/10</w:t>
      </w:r>
      <w:r w:rsidR="00A9192F">
        <w:t> </w:t>
      </w:r>
      <w:r w:rsidRPr="00CE7679">
        <w:t>000) ir nežinomas (negali būti apskaičiuotas pagal turimus duomenis).</w:t>
      </w:r>
    </w:p>
    <w:p w14:paraId="1B90627F"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0D1F734A"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Kiekvienoje dažnio grupėje nepageidaujamas poveikis pateikiamas pagal pasireiškimo dažnumą. Dažniausiai pasireiškusieji pateikti pirmiausiai.</w:t>
      </w:r>
    </w:p>
    <w:p w14:paraId="0A96867F"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4BB27AD8" w14:textId="4514D960"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1</w:t>
      </w:r>
      <w:r w:rsidR="00A9192F">
        <w:rPr>
          <w:rFonts w:eastAsia="SimSun"/>
          <w:snapToGrid/>
          <w:szCs w:val="22"/>
          <w:lang w:eastAsia="zh-CN"/>
        </w:rPr>
        <w:t> </w:t>
      </w:r>
      <w:r w:rsidRPr="00CE7679">
        <w:rPr>
          <w:rFonts w:eastAsia="SimSun"/>
          <w:snapToGrid/>
          <w:szCs w:val="22"/>
          <w:lang w:eastAsia="zh-CN"/>
        </w:rPr>
        <w:t>lentelėje išvard</w:t>
      </w:r>
      <w:r w:rsidR="00E21C13" w:rsidRPr="00CE7679">
        <w:rPr>
          <w:rFonts w:eastAsia="SimSun"/>
          <w:snapToGrid/>
          <w:szCs w:val="22"/>
          <w:lang w:eastAsia="zh-CN"/>
        </w:rPr>
        <w:t>y</w:t>
      </w:r>
      <w:r w:rsidRPr="00CE7679">
        <w:rPr>
          <w:rFonts w:eastAsia="SimSun"/>
          <w:snapToGrid/>
          <w:szCs w:val="22"/>
          <w:lang w:eastAsia="zh-CN"/>
        </w:rPr>
        <w:t>tos nepageidaujamos reakcijos ir jų pasireiškimo dažnumas.</w:t>
      </w:r>
    </w:p>
    <w:p w14:paraId="191F9FF7"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6D4884FE" w14:textId="4BE418C2" w:rsidR="00A27597" w:rsidRPr="00CE7679" w:rsidRDefault="00A27597" w:rsidP="00A27597">
      <w:pPr>
        <w:widowControl w:val="0"/>
        <w:autoSpaceDE w:val="0"/>
        <w:autoSpaceDN w:val="0"/>
        <w:adjustRightInd w:val="0"/>
        <w:spacing w:line="240" w:lineRule="auto"/>
        <w:rPr>
          <w:rFonts w:eastAsia="SimSun"/>
          <w:b/>
          <w:bCs/>
          <w:snapToGrid/>
          <w:szCs w:val="22"/>
          <w:lang w:eastAsia="zh-CN"/>
        </w:rPr>
      </w:pPr>
      <w:r w:rsidRPr="00CE7679">
        <w:rPr>
          <w:rFonts w:eastAsia="SimSun"/>
          <w:b/>
          <w:snapToGrid/>
          <w:szCs w:val="22"/>
          <w:lang w:eastAsia="zh-CN"/>
        </w:rPr>
        <w:t>1</w:t>
      </w:r>
      <w:r w:rsidR="00A9192F">
        <w:rPr>
          <w:rFonts w:eastAsia="SimSun"/>
          <w:b/>
          <w:snapToGrid/>
          <w:szCs w:val="22"/>
          <w:lang w:eastAsia="zh-CN"/>
        </w:rPr>
        <w:t> </w:t>
      </w:r>
      <w:r w:rsidRPr="00CE7679">
        <w:rPr>
          <w:rFonts w:eastAsia="SimSun"/>
          <w:b/>
          <w:snapToGrid/>
          <w:szCs w:val="22"/>
          <w:lang w:eastAsia="zh-CN"/>
        </w:rPr>
        <w:t xml:space="preserve">lentelė. </w:t>
      </w:r>
      <w:r w:rsidRPr="00CE7679">
        <w:rPr>
          <w:rFonts w:eastAsia="SimSun"/>
          <w:b/>
          <w:bCs/>
          <w:snapToGrid/>
          <w:szCs w:val="22"/>
          <w:lang w:eastAsia="zh-CN"/>
        </w:rPr>
        <w:t>Nepageidaujamų reakcijų santrauka</w:t>
      </w:r>
    </w:p>
    <w:p w14:paraId="1223024E"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tbl>
      <w:tblPr>
        <w:tblW w:w="9246" w:type="dxa"/>
        <w:tblInd w:w="105" w:type="dxa"/>
        <w:tblLayout w:type="fixed"/>
        <w:tblCellMar>
          <w:left w:w="0" w:type="dxa"/>
          <w:right w:w="0" w:type="dxa"/>
        </w:tblCellMar>
        <w:tblLook w:val="0000" w:firstRow="0" w:lastRow="0" w:firstColumn="0" w:lastColumn="0" w:noHBand="0" w:noVBand="0"/>
      </w:tblPr>
      <w:tblGrid>
        <w:gridCol w:w="2235"/>
        <w:gridCol w:w="7011"/>
      </w:tblGrid>
      <w:tr w:rsidR="00701D61" w:rsidRPr="00CE7679" w14:paraId="28B2E394" w14:textId="77777777" w:rsidTr="00F30108">
        <w:trPr>
          <w:trHeight w:hRule="exact" w:val="269"/>
        </w:trPr>
        <w:tc>
          <w:tcPr>
            <w:tcW w:w="9246" w:type="dxa"/>
            <w:gridSpan w:val="2"/>
            <w:tcBorders>
              <w:top w:val="single" w:sz="4" w:space="0" w:color="000000"/>
              <w:left w:val="single" w:sz="4" w:space="0" w:color="000000"/>
              <w:bottom w:val="single" w:sz="4" w:space="0" w:color="000000"/>
              <w:right w:val="single" w:sz="4" w:space="0" w:color="000000"/>
            </w:tcBorders>
          </w:tcPr>
          <w:p w14:paraId="641C31E4"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b/>
                <w:bCs/>
                <w:snapToGrid/>
                <w:szCs w:val="22"/>
                <w:lang w:eastAsia="zh-CN"/>
              </w:rPr>
              <w:t xml:space="preserve">Infekcijos ir </w:t>
            </w:r>
            <w:proofErr w:type="spellStart"/>
            <w:r w:rsidRPr="00CE7679">
              <w:rPr>
                <w:rFonts w:eastAsia="SimSun"/>
                <w:b/>
                <w:bCs/>
                <w:snapToGrid/>
                <w:szCs w:val="22"/>
                <w:lang w:eastAsia="zh-CN"/>
              </w:rPr>
              <w:t>infestacijos</w:t>
            </w:r>
            <w:proofErr w:type="spellEnd"/>
          </w:p>
        </w:tc>
      </w:tr>
      <w:tr w:rsidR="00701D61" w:rsidRPr="00CE7679" w14:paraId="3DA8CC67" w14:textId="77777777" w:rsidTr="00F30108">
        <w:trPr>
          <w:trHeight w:hRule="exact" w:val="790"/>
        </w:trPr>
        <w:tc>
          <w:tcPr>
            <w:tcW w:w="2235" w:type="dxa"/>
            <w:tcBorders>
              <w:top w:val="single" w:sz="4" w:space="0" w:color="000000"/>
              <w:left w:val="single" w:sz="4" w:space="0" w:color="000000"/>
              <w:bottom w:val="single" w:sz="4" w:space="0" w:color="000000"/>
              <w:right w:val="single" w:sz="4" w:space="0" w:color="000000"/>
            </w:tcBorders>
          </w:tcPr>
          <w:p w14:paraId="71D15FE2" w14:textId="77777777" w:rsidR="00A27597" w:rsidRPr="00CE7679" w:rsidRDefault="00A27597" w:rsidP="00A27597">
            <w:pPr>
              <w:widowControl w:val="0"/>
              <w:autoSpaceDE w:val="0"/>
              <w:autoSpaceDN w:val="0"/>
              <w:adjustRightInd w:val="0"/>
              <w:spacing w:line="240" w:lineRule="auto"/>
              <w:rPr>
                <w:rFonts w:eastAsia="SimSun"/>
                <w:i/>
                <w:snapToGrid/>
                <w:szCs w:val="22"/>
                <w:lang w:eastAsia="zh-CN"/>
              </w:rPr>
            </w:pPr>
            <w:r w:rsidRPr="00CE7679">
              <w:rPr>
                <w:rFonts w:eastAsia="SimSun"/>
                <w:i/>
                <w:iCs/>
                <w:snapToGrid/>
                <w:szCs w:val="22"/>
                <w:lang w:eastAsia="zh-CN"/>
              </w:rPr>
              <w:lastRenderedPageBreak/>
              <w:t>Nedažnas</w:t>
            </w:r>
          </w:p>
        </w:tc>
        <w:tc>
          <w:tcPr>
            <w:tcW w:w="7011" w:type="dxa"/>
            <w:tcBorders>
              <w:top w:val="single" w:sz="4" w:space="0" w:color="000000"/>
              <w:left w:val="single" w:sz="4" w:space="0" w:color="000000"/>
              <w:bottom w:val="single" w:sz="4" w:space="0" w:color="000000"/>
              <w:right w:val="single" w:sz="4" w:space="0" w:color="000000"/>
            </w:tcBorders>
          </w:tcPr>
          <w:p w14:paraId="08584702"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iCs/>
                <w:snapToGrid/>
                <w:szCs w:val="22"/>
                <w:lang w:eastAsia="zh-CN"/>
              </w:rPr>
              <w:t>Juostinė pūslelinė</w:t>
            </w:r>
            <w:r w:rsidRPr="00CE7679">
              <w:rPr>
                <w:rFonts w:eastAsia="SimSun"/>
                <w:snapToGrid/>
                <w:szCs w:val="22"/>
                <w:lang w:eastAsia="zh-CN"/>
              </w:rPr>
              <w:t>, paprastoji pūslelinė, nosiaryklės uždegimas, pneumonija</w:t>
            </w:r>
            <w:r w:rsidRPr="00CE7679">
              <w:rPr>
                <w:rFonts w:eastAsia="SimSun"/>
                <w:snapToGrid/>
                <w:szCs w:val="22"/>
                <w:vertAlign w:val="superscript"/>
                <w:lang w:eastAsia="zh-CN"/>
              </w:rPr>
              <w:t>1</w:t>
            </w:r>
            <w:r w:rsidRPr="00CE7679">
              <w:rPr>
                <w:rFonts w:eastAsia="SimSun"/>
                <w:snapToGrid/>
                <w:szCs w:val="22"/>
                <w:lang w:eastAsia="zh-CN"/>
              </w:rPr>
              <w:t>,</w:t>
            </w:r>
            <w:r w:rsidRPr="00CE7679" w:rsidDel="005B3852">
              <w:rPr>
                <w:rFonts w:eastAsia="SimSun"/>
                <w:snapToGrid/>
                <w:szCs w:val="22"/>
                <w:lang w:eastAsia="zh-CN"/>
              </w:rPr>
              <w:t xml:space="preserve"> </w:t>
            </w:r>
            <w:r w:rsidRPr="00CE7679">
              <w:rPr>
                <w:rFonts w:eastAsia="SimSun"/>
                <w:snapToGrid/>
                <w:szCs w:val="22"/>
                <w:lang w:eastAsia="zh-CN"/>
              </w:rPr>
              <w:t xml:space="preserve">sinusitas, puriojo </w:t>
            </w:r>
            <w:proofErr w:type="spellStart"/>
            <w:r w:rsidRPr="00CE7679">
              <w:rPr>
                <w:rFonts w:eastAsia="SimSun"/>
                <w:snapToGrid/>
                <w:szCs w:val="22"/>
                <w:lang w:eastAsia="zh-CN"/>
              </w:rPr>
              <w:t>ląstelyno</w:t>
            </w:r>
            <w:proofErr w:type="spellEnd"/>
            <w:r w:rsidRPr="00CE7679">
              <w:rPr>
                <w:rFonts w:eastAsia="SimSun"/>
                <w:snapToGrid/>
                <w:szCs w:val="22"/>
                <w:lang w:eastAsia="zh-CN"/>
              </w:rPr>
              <w:t xml:space="preserve"> uždegimas, viršutinių kvėpavimo takų infekcija, gripas, šlapimo takų infekcija, </w:t>
            </w:r>
            <w:proofErr w:type="spellStart"/>
            <w:r w:rsidRPr="00CE7679">
              <w:rPr>
                <w:rFonts w:eastAsia="SimSun"/>
                <w:snapToGrid/>
                <w:szCs w:val="22"/>
                <w:lang w:eastAsia="zh-CN"/>
              </w:rPr>
              <w:t>gastroenteritas</w:t>
            </w:r>
            <w:proofErr w:type="spellEnd"/>
            <w:r w:rsidRPr="00CE7679">
              <w:rPr>
                <w:rFonts w:eastAsia="SimSun"/>
                <w:snapToGrid/>
                <w:szCs w:val="22"/>
                <w:lang w:eastAsia="zh-CN"/>
              </w:rPr>
              <w:t>, sepsis</w:t>
            </w:r>
          </w:p>
        </w:tc>
      </w:tr>
      <w:tr w:rsidR="00701D61" w:rsidRPr="00CE7679" w14:paraId="09DAD6DD" w14:textId="77777777" w:rsidTr="00F30108">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0FB6597F" w14:textId="77777777" w:rsidR="00A27597" w:rsidRPr="00CE7679" w:rsidRDefault="00A27597" w:rsidP="00A27597">
            <w:pPr>
              <w:widowControl w:val="0"/>
              <w:autoSpaceDE w:val="0"/>
              <w:autoSpaceDN w:val="0"/>
              <w:adjustRightInd w:val="0"/>
              <w:spacing w:line="240" w:lineRule="auto"/>
              <w:rPr>
                <w:rFonts w:eastAsia="SimSun"/>
                <w:i/>
                <w:snapToGrid/>
                <w:szCs w:val="22"/>
                <w:lang w:eastAsia="zh-CN"/>
              </w:rPr>
            </w:pPr>
            <w:r w:rsidRPr="00CE7679">
              <w:rPr>
                <w:rFonts w:eastAsia="SimSun"/>
                <w:i/>
                <w:iCs/>
                <w:snapToGrid/>
                <w:szCs w:val="22"/>
                <w:lang w:eastAsia="zh-CN"/>
              </w:rPr>
              <w:t>Retas</w:t>
            </w:r>
          </w:p>
        </w:tc>
        <w:tc>
          <w:tcPr>
            <w:tcW w:w="7011" w:type="dxa"/>
            <w:tcBorders>
              <w:top w:val="single" w:sz="4" w:space="0" w:color="000000"/>
              <w:left w:val="single" w:sz="4" w:space="0" w:color="000000"/>
              <w:bottom w:val="single" w:sz="4" w:space="0" w:color="000000"/>
              <w:right w:val="single" w:sz="4" w:space="0" w:color="000000"/>
            </w:tcBorders>
          </w:tcPr>
          <w:p w14:paraId="61941AF3"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Grybelinė infekcija</w:t>
            </w:r>
          </w:p>
        </w:tc>
      </w:tr>
      <w:tr w:rsidR="00701D61" w:rsidRPr="00CE7679" w14:paraId="09B922CC" w14:textId="77777777" w:rsidTr="00F30108">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2B71960E" w14:textId="77777777" w:rsidR="00A27597" w:rsidRPr="00CE7679" w:rsidRDefault="00A27597" w:rsidP="00A27597">
            <w:pPr>
              <w:widowControl w:val="0"/>
              <w:autoSpaceDE w:val="0"/>
              <w:autoSpaceDN w:val="0"/>
              <w:adjustRightInd w:val="0"/>
              <w:spacing w:line="240" w:lineRule="auto"/>
              <w:rPr>
                <w:rFonts w:eastAsia="SimSun"/>
                <w:i/>
                <w:iCs/>
                <w:snapToGrid/>
                <w:szCs w:val="22"/>
                <w:lang w:eastAsia="zh-CN"/>
              </w:rPr>
            </w:pPr>
            <w:r w:rsidRPr="00CE7679">
              <w:rPr>
                <w:rFonts w:eastAsia="SimSun"/>
                <w:i/>
                <w:iCs/>
                <w:snapToGrid/>
                <w:szCs w:val="22"/>
                <w:lang w:eastAsia="zh-CN"/>
              </w:rPr>
              <w:t>Dažnis nežinomas</w:t>
            </w:r>
          </w:p>
        </w:tc>
        <w:tc>
          <w:tcPr>
            <w:tcW w:w="7011" w:type="dxa"/>
            <w:tcBorders>
              <w:top w:val="single" w:sz="4" w:space="0" w:color="000000"/>
              <w:left w:val="single" w:sz="4" w:space="0" w:color="000000"/>
              <w:bottom w:val="single" w:sz="4" w:space="0" w:color="000000"/>
              <w:right w:val="single" w:sz="4" w:space="0" w:color="000000"/>
            </w:tcBorders>
          </w:tcPr>
          <w:p w14:paraId="3F9672A6" w14:textId="495E0065"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Hepatito B </w:t>
            </w:r>
            <w:proofErr w:type="spellStart"/>
            <w:r w:rsidRPr="00CE7679">
              <w:rPr>
                <w:rFonts w:eastAsia="SimSun"/>
                <w:snapToGrid/>
                <w:szCs w:val="22"/>
                <w:lang w:eastAsia="zh-CN"/>
              </w:rPr>
              <w:t>reaktyvacija</w:t>
            </w:r>
            <w:proofErr w:type="spellEnd"/>
            <w:r w:rsidR="00693741">
              <w:rPr>
                <w:rFonts w:eastAsia="SimSun"/>
                <w:snapToGrid/>
                <w:szCs w:val="22"/>
                <w:lang w:val="en-US" w:eastAsia="zh-CN"/>
              </w:rPr>
              <w:t>*</w:t>
            </w:r>
          </w:p>
        </w:tc>
      </w:tr>
      <w:tr w:rsidR="00701D61" w:rsidRPr="00CE7679" w14:paraId="1788CCE5" w14:textId="77777777" w:rsidTr="00F30108">
        <w:trPr>
          <w:trHeight w:hRule="exact" w:val="269"/>
        </w:trPr>
        <w:tc>
          <w:tcPr>
            <w:tcW w:w="9246" w:type="dxa"/>
            <w:gridSpan w:val="2"/>
            <w:tcBorders>
              <w:top w:val="single" w:sz="4" w:space="0" w:color="000000"/>
              <w:left w:val="single" w:sz="4" w:space="0" w:color="000000"/>
              <w:bottom w:val="single" w:sz="4" w:space="0" w:color="000000"/>
              <w:right w:val="single" w:sz="4" w:space="0" w:color="000000"/>
            </w:tcBorders>
          </w:tcPr>
          <w:p w14:paraId="1E78B372"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b/>
                <w:bCs/>
                <w:snapToGrid/>
                <w:szCs w:val="22"/>
                <w:lang w:eastAsia="zh-CN"/>
              </w:rPr>
              <w:t>Gerybiniai, piktybiniai ir nepatikslinti navikai (tarp jų cistos ir polipai)</w:t>
            </w:r>
          </w:p>
        </w:tc>
      </w:tr>
      <w:tr w:rsidR="00701D61" w:rsidRPr="00CE7679" w14:paraId="3342E305" w14:textId="77777777" w:rsidTr="00F30108">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762934AC" w14:textId="77777777" w:rsidR="00A27597" w:rsidRPr="00CE7679" w:rsidRDefault="00A27597" w:rsidP="00A27597">
            <w:pPr>
              <w:widowControl w:val="0"/>
              <w:autoSpaceDE w:val="0"/>
              <w:autoSpaceDN w:val="0"/>
              <w:adjustRightInd w:val="0"/>
              <w:spacing w:line="240" w:lineRule="auto"/>
              <w:rPr>
                <w:rFonts w:eastAsia="SimSun"/>
                <w:i/>
                <w:snapToGrid/>
                <w:szCs w:val="22"/>
                <w:lang w:eastAsia="zh-CN"/>
              </w:rPr>
            </w:pPr>
            <w:r w:rsidRPr="00CE7679">
              <w:rPr>
                <w:rFonts w:eastAsia="SimSun"/>
                <w:i/>
                <w:iCs/>
                <w:snapToGrid/>
                <w:szCs w:val="22"/>
                <w:lang w:eastAsia="zh-CN"/>
              </w:rPr>
              <w:t>Retas</w:t>
            </w:r>
          </w:p>
        </w:tc>
        <w:tc>
          <w:tcPr>
            <w:tcW w:w="7011" w:type="dxa"/>
            <w:tcBorders>
              <w:top w:val="single" w:sz="4" w:space="0" w:color="000000"/>
              <w:left w:val="single" w:sz="4" w:space="0" w:color="000000"/>
              <w:bottom w:val="single" w:sz="4" w:space="0" w:color="000000"/>
              <w:right w:val="single" w:sz="4" w:space="0" w:color="000000"/>
            </w:tcBorders>
          </w:tcPr>
          <w:p w14:paraId="25D68F44"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Naviko </w:t>
            </w:r>
            <w:proofErr w:type="spellStart"/>
            <w:r w:rsidRPr="00CE7679">
              <w:rPr>
                <w:rFonts w:eastAsia="SimSun"/>
                <w:snapToGrid/>
                <w:szCs w:val="22"/>
                <w:lang w:eastAsia="zh-CN"/>
              </w:rPr>
              <w:t>lizės</w:t>
            </w:r>
            <w:proofErr w:type="spellEnd"/>
            <w:r w:rsidRPr="00CE7679">
              <w:rPr>
                <w:rFonts w:eastAsia="SimSun"/>
                <w:snapToGrid/>
                <w:szCs w:val="22"/>
                <w:lang w:eastAsia="zh-CN"/>
              </w:rPr>
              <w:t xml:space="preserve"> sindromas</w:t>
            </w:r>
          </w:p>
        </w:tc>
      </w:tr>
      <w:tr w:rsidR="00701D61" w:rsidRPr="00CE7679" w14:paraId="1A9ADF8A" w14:textId="77777777" w:rsidTr="00F30108">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280BFCF3" w14:textId="77777777" w:rsidR="00A27597" w:rsidRPr="00CE7679" w:rsidRDefault="00A27597" w:rsidP="00A27597">
            <w:pPr>
              <w:widowControl w:val="0"/>
              <w:autoSpaceDE w:val="0"/>
              <w:autoSpaceDN w:val="0"/>
              <w:adjustRightInd w:val="0"/>
              <w:spacing w:line="240" w:lineRule="auto"/>
              <w:rPr>
                <w:rFonts w:eastAsia="SimSun"/>
                <w:i/>
                <w:iCs/>
                <w:snapToGrid/>
                <w:szCs w:val="22"/>
                <w:lang w:eastAsia="zh-CN"/>
              </w:rPr>
            </w:pPr>
            <w:r w:rsidRPr="00CE7679">
              <w:rPr>
                <w:rFonts w:eastAsia="SimSun"/>
                <w:i/>
                <w:iCs/>
                <w:snapToGrid/>
                <w:szCs w:val="22"/>
                <w:lang w:eastAsia="zh-CN"/>
              </w:rPr>
              <w:t>Dažnis nežinomas</w:t>
            </w:r>
          </w:p>
        </w:tc>
        <w:tc>
          <w:tcPr>
            <w:tcW w:w="7011" w:type="dxa"/>
            <w:tcBorders>
              <w:top w:val="single" w:sz="4" w:space="0" w:color="000000"/>
              <w:left w:val="single" w:sz="4" w:space="0" w:color="000000"/>
              <w:bottom w:val="single" w:sz="4" w:space="0" w:color="000000"/>
              <w:right w:val="single" w:sz="4" w:space="0" w:color="000000"/>
            </w:tcBorders>
          </w:tcPr>
          <w:p w14:paraId="6EF3D0B7"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Naviko kraujosruva/naviko nekrozė*</w:t>
            </w:r>
          </w:p>
        </w:tc>
      </w:tr>
      <w:tr w:rsidR="00701D61" w:rsidRPr="00CE7679" w14:paraId="06A9FD8E" w14:textId="77777777" w:rsidTr="00F30108">
        <w:trPr>
          <w:trHeight w:hRule="exact" w:val="271"/>
        </w:trPr>
        <w:tc>
          <w:tcPr>
            <w:tcW w:w="9246" w:type="dxa"/>
            <w:gridSpan w:val="2"/>
            <w:tcBorders>
              <w:top w:val="single" w:sz="4" w:space="0" w:color="000000"/>
              <w:left w:val="single" w:sz="4" w:space="0" w:color="000000"/>
              <w:bottom w:val="single" w:sz="4" w:space="0" w:color="000000"/>
              <w:right w:val="single" w:sz="4" w:space="0" w:color="000000"/>
            </w:tcBorders>
          </w:tcPr>
          <w:p w14:paraId="427E69B4" w14:textId="77777777" w:rsidR="00A27597" w:rsidRPr="00CE7679" w:rsidRDefault="00A27597" w:rsidP="00A27597">
            <w:pPr>
              <w:widowControl w:val="0"/>
              <w:autoSpaceDE w:val="0"/>
              <w:autoSpaceDN w:val="0"/>
              <w:adjustRightInd w:val="0"/>
              <w:spacing w:line="240" w:lineRule="auto"/>
              <w:rPr>
                <w:rFonts w:eastAsia="SimSun"/>
                <w:b/>
                <w:snapToGrid/>
                <w:szCs w:val="22"/>
                <w:lang w:eastAsia="zh-CN"/>
              </w:rPr>
            </w:pPr>
            <w:r w:rsidRPr="00CE7679">
              <w:rPr>
                <w:rFonts w:eastAsia="SimSun"/>
                <w:b/>
                <w:snapToGrid/>
                <w:szCs w:val="22"/>
                <w:lang w:eastAsia="zh-CN"/>
              </w:rPr>
              <w:t>Imuninės sistemos sutrikimai</w:t>
            </w:r>
          </w:p>
        </w:tc>
      </w:tr>
      <w:tr w:rsidR="00701D61" w:rsidRPr="00CE7679" w14:paraId="08386B27" w14:textId="77777777" w:rsidTr="00F30108">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4270D7EC" w14:textId="77777777" w:rsidR="00A27597" w:rsidRPr="00CE7679" w:rsidRDefault="00A27597" w:rsidP="00A27597">
            <w:pPr>
              <w:widowControl w:val="0"/>
              <w:autoSpaceDE w:val="0"/>
              <w:autoSpaceDN w:val="0"/>
              <w:adjustRightInd w:val="0"/>
              <w:spacing w:line="240" w:lineRule="auto"/>
              <w:rPr>
                <w:rFonts w:eastAsia="SimSun"/>
                <w:i/>
                <w:iCs/>
                <w:snapToGrid/>
                <w:szCs w:val="22"/>
                <w:lang w:eastAsia="zh-CN"/>
              </w:rPr>
            </w:pPr>
            <w:r w:rsidRPr="00CE7679">
              <w:rPr>
                <w:rFonts w:eastAsia="SimSun"/>
                <w:i/>
                <w:iCs/>
                <w:snapToGrid/>
                <w:szCs w:val="22"/>
                <w:lang w:eastAsia="zh-CN"/>
              </w:rPr>
              <w:t>Dažnis nežinomas</w:t>
            </w:r>
          </w:p>
        </w:tc>
        <w:tc>
          <w:tcPr>
            <w:tcW w:w="7011" w:type="dxa"/>
            <w:tcBorders>
              <w:top w:val="single" w:sz="4" w:space="0" w:color="000000"/>
              <w:left w:val="single" w:sz="4" w:space="0" w:color="000000"/>
              <w:bottom w:val="single" w:sz="4" w:space="0" w:color="000000"/>
              <w:right w:val="single" w:sz="4" w:space="0" w:color="000000"/>
            </w:tcBorders>
          </w:tcPr>
          <w:p w14:paraId="7E18606F"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Anafilaksinis šokas*</w:t>
            </w:r>
          </w:p>
        </w:tc>
      </w:tr>
      <w:tr w:rsidR="00701D61" w:rsidRPr="00CE7679" w14:paraId="227B85DB" w14:textId="77777777" w:rsidTr="00F30108">
        <w:trPr>
          <w:trHeight w:hRule="exact" w:val="269"/>
        </w:trPr>
        <w:tc>
          <w:tcPr>
            <w:tcW w:w="9246" w:type="dxa"/>
            <w:gridSpan w:val="2"/>
            <w:tcBorders>
              <w:top w:val="single" w:sz="4" w:space="0" w:color="000000"/>
              <w:left w:val="single" w:sz="4" w:space="0" w:color="000000"/>
              <w:bottom w:val="single" w:sz="4" w:space="0" w:color="000000"/>
              <w:right w:val="single" w:sz="4" w:space="0" w:color="000000"/>
            </w:tcBorders>
          </w:tcPr>
          <w:p w14:paraId="77736F23"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b/>
                <w:bCs/>
                <w:snapToGrid/>
                <w:szCs w:val="22"/>
                <w:lang w:eastAsia="zh-CN"/>
              </w:rPr>
              <w:t>Kraujo ir limfinės sistemos sutrikimai</w:t>
            </w:r>
          </w:p>
        </w:tc>
      </w:tr>
      <w:tr w:rsidR="00701D61" w:rsidRPr="00CE7679" w14:paraId="1ED6107A" w14:textId="77777777" w:rsidTr="00F30108">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77CAEB03" w14:textId="77777777" w:rsidR="00A27597" w:rsidRPr="00CE7679" w:rsidRDefault="00A27597" w:rsidP="00A27597">
            <w:pPr>
              <w:widowControl w:val="0"/>
              <w:autoSpaceDE w:val="0"/>
              <w:autoSpaceDN w:val="0"/>
              <w:adjustRightInd w:val="0"/>
              <w:spacing w:line="240" w:lineRule="auto"/>
              <w:rPr>
                <w:rFonts w:eastAsia="SimSun"/>
                <w:i/>
                <w:snapToGrid/>
                <w:szCs w:val="22"/>
                <w:lang w:eastAsia="zh-CN"/>
              </w:rPr>
            </w:pPr>
            <w:r w:rsidRPr="00CE7679">
              <w:rPr>
                <w:rFonts w:eastAsia="SimSun"/>
                <w:i/>
                <w:iCs/>
                <w:snapToGrid/>
                <w:szCs w:val="22"/>
                <w:lang w:eastAsia="zh-CN"/>
              </w:rPr>
              <w:t>Labai dažnas</w:t>
            </w:r>
          </w:p>
        </w:tc>
        <w:tc>
          <w:tcPr>
            <w:tcW w:w="7011" w:type="dxa"/>
            <w:tcBorders>
              <w:top w:val="single" w:sz="4" w:space="0" w:color="000000"/>
              <w:left w:val="single" w:sz="4" w:space="0" w:color="000000"/>
              <w:bottom w:val="single" w:sz="4" w:space="0" w:color="000000"/>
              <w:right w:val="single" w:sz="4" w:space="0" w:color="000000"/>
            </w:tcBorders>
          </w:tcPr>
          <w:p w14:paraId="3EA6C4BB"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roofErr w:type="spellStart"/>
            <w:r w:rsidRPr="00CE7679">
              <w:rPr>
                <w:rFonts w:eastAsia="SimSun"/>
                <w:snapToGrid/>
                <w:szCs w:val="22"/>
                <w:lang w:eastAsia="zh-CN"/>
              </w:rPr>
              <w:t>Neutropenija</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trombocitopenija</w:t>
            </w:r>
            <w:proofErr w:type="spellEnd"/>
            <w:r w:rsidRPr="00CE7679">
              <w:rPr>
                <w:rFonts w:eastAsia="SimSun"/>
                <w:snapToGrid/>
                <w:szCs w:val="22"/>
                <w:lang w:eastAsia="zh-CN"/>
              </w:rPr>
              <w:t>, anemija</w:t>
            </w:r>
          </w:p>
        </w:tc>
      </w:tr>
      <w:tr w:rsidR="00701D61" w:rsidRPr="00CE7679" w14:paraId="32E2858C" w14:textId="77777777" w:rsidTr="00F30108">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14:paraId="1542EA4B" w14:textId="77777777" w:rsidR="00A27597" w:rsidRPr="00CE7679" w:rsidRDefault="00A27597" w:rsidP="00A27597">
            <w:pPr>
              <w:widowControl w:val="0"/>
              <w:autoSpaceDE w:val="0"/>
              <w:autoSpaceDN w:val="0"/>
              <w:adjustRightInd w:val="0"/>
              <w:spacing w:line="240" w:lineRule="auto"/>
              <w:rPr>
                <w:rFonts w:eastAsia="SimSun"/>
                <w:i/>
                <w:snapToGrid/>
                <w:szCs w:val="22"/>
                <w:lang w:eastAsia="zh-CN"/>
              </w:rPr>
            </w:pPr>
            <w:r w:rsidRPr="00CE7679">
              <w:rPr>
                <w:rFonts w:eastAsia="SimSun"/>
                <w:i/>
                <w:iCs/>
                <w:snapToGrid/>
                <w:szCs w:val="22"/>
                <w:lang w:eastAsia="zh-CN"/>
              </w:rPr>
              <w:t>Dažnas</w:t>
            </w:r>
          </w:p>
        </w:tc>
        <w:tc>
          <w:tcPr>
            <w:tcW w:w="7011" w:type="dxa"/>
            <w:tcBorders>
              <w:top w:val="single" w:sz="4" w:space="0" w:color="000000"/>
              <w:left w:val="single" w:sz="4" w:space="0" w:color="000000"/>
              <w:bottom w:val="single" w:sz="4" w:space="0" w:color="000000"/>
              <w:right w:val="single" w:sz="4" w:space="0" w:color="000000"/>
            </w:tcBorders>
          </w:tcPr>
          <w:p w14:paraId="43230E25"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roofErr w:type="spellStart"/>
            <w:r w:rsidRPr="00CE7679">
              <w:rPr>
                <w:rFonts w:eastAsia="SimSun"/>
                <w:snapToGrid/>
                <w:szCs w:val="22"/>
                <w:lang w:eastAsia="zh-CN"/>
              </w:rPr>
              <w:t>Pancitopenija</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febrilinė</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neutropenija</w:t>
            </w:r>
            <w:proofErr w:type="spellEnd"/>
          </w:p>
        </w:tc>
      </w:tr>
      <w:tr w:rsidR="00701D61" w:rsidRPr="00CE7679" w14:paraId="0518CFCA" w14:textId="77777777" w:rsidTr="00F30108">
        <w:trPr>
          <w:trHeight w:hRule="exact" w:val="531"/>
        </w:trPr>
        <w:tc>
          <w:tcPr>
            <w:tcW w:w="2235" w:type="dxa"/>
            <w:tcBorders>
              <w:top w:val="single" w:sz="4" w:space="0" w:color="000000"/>
              <w:left w:val="single" w:sz="4" w:space="0" w:color="000000"/>
              <w:bottom w:val="single" w:sz="4" w:space="0" w:color="000000"/>
              <w:right w:val="single" w:sz="4" w:space="0" w:color="000000"/>
            </w:tcBorders>
          </w:tcPr>
          <w:p w14:paraId="372A191C" w14:textId="77777777" w:rsidR="00A27597" w:rsidRPr="00CE7679" w:rsidRDefault="00A27597" w:rsidP="00A27597">
            <w:pPr>
              <w:widowControl w:val="0"/>
              <w:autoSpaceDE w:val="0"/>
              <w:autoSpaceDN w:val="0"/>
              <w:adjustRightInd w:val="0"/>
              <w:spacing w:line="240" w:lineRule="auto"/>
              <w:rPr>
                <w:rFonts w:eastAsia="SimSun"/>
                <w:i/>
                <w:snapToGrid/>
                <w:szCs w:val="22"/>
                <w:lang w:eastAsia="zh-CN"/>
              </w:rPr>
            </w:pPr>
            <w:r w:rsidRPr="00CE7679">
              <w:rPr>
                <w:rFonts w:eastAsia="SimSun"/>
                <w:i/>
                <w:iCs/>
                <w:snapToGrid/>
                <w:szCs w:val="22"/>
                <w:lang w:eastAsia="zh-CN"/>
              </w:rPr>
              <w:t>Nedažnas</w:t>
            </w:r>
          </w:p>
        </w:tc>
        <w:tc>
          <w:tcPr>
            <w:tcW w:w="7011" w:type="dxa"/>
            <w:tcBorders>
              <w:top w:val="single" w:sz="4" w:space="0" w:color="000000"/>
              <w:left w:val="single" w:sz="4" w:space="0" w:color="000000"/>
              <w:bottom w:val="single" w:sz="4" w:space="0" w:color="000000"/>
              <w:right w:val="single" w:sz="4" w:space="0" w:color="000000"/>
            </w:tcBorders>
          </w:tcPr>
          <w:p w14:paraId="65122B6D"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roofErr w:type="spellStart"/>
            <w:r w:rsidRPr="00CE7679">
              <w:rPr>
                <w:rFonts w:eastAsia="SimSun"/>
                <w:snapToGrid/>
                <w:szCs w:val="22"/>
                <w:lang w:eastAsia="zh-CN"/>
              </w:rPr>
              <w:t>Trombocitopenija</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limfocitopenija</w:t>
            </w:r>
            <w:proofErr w:type="spellEnd"/>
            <w:r w:rsidRPr="00CE7679">
              <w:rPr>
                <w:rFonts w:eastAsia="SimSun"/>
                <w:snapToGrid/>
                <w:szCs w:val="22"/>
                <w:lang w:eastAsia="zh-CN"/>
              </w:rPr>
              <w:t xml:space="preserve">, kaulų čiulpų slopinimas, </w:t>
            </w:r>
            <w:proofErr w:type="spellStart"/>
            <w:r w:rsidRPr="00CE7679">
              <w:rPr>
                <w:rFonts w:eastAsia="SimSun"/>
                <w:snapToGrid/>
                <w:szCs w:val="22"/>
                <w:lang w:eastAsia="zh-CN"/>
              </w:rPr>
              <w:t>eozinofilija</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limfadenopatija</w:t>
            </w:r>
            <w:proofErr w:type="spellEnd"/>
          </w:p>
        </w:tc>
      </w:tr>
      <w:tr w:rsidR="00701D61" w:rsidRPr="00CE7679" w14:paraId="729E676F" w14:textId="77777777" w:rsidTr="00F30108">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23E82E09" w14:textId="77777777" w:rsidR="00A27597" w:rsidRPr="00CE7679" w:rsidRDefault="00A27597" w:rsidP="00A27597">
            <w:pPr>
              <w:widowControl w:val="0"/>
              <w:autoSpaceDE w:val="0"/>
              <w:autoSpaceDN w:val="0"/>
              <w:adjustRightInd w:val="0"/>
              <w:spacing w:line="240" w:lineRule="auto"/>
              <w:rPr>
                <w:rFonts w:eastAsia="SimSun"/>
                <w:i/>
                <w:snapToGrid/>
                <w:szCs w:val="22"/>
                <w:lang w:eastAsia="zh-CN"/>
              </w:rPr>
            </w:pPr>
            <w:r w:rsidRPr="00CE7679">
              <w:rPr>
                <w:rFonts w:eastAsia="SimSun"/>
                <w:i/>
                <w:iCs/>
                <w:snapToGrid/>
                <w:szCs w:val="22"/>
                <w:lang w:eastAsia="zh-CN"/>
              </w:rPr>
              <w:t>Retas</w:t>
            </w:r>
          </w:p>
        </w:tc>
        <w:tc>
          <w:tcPr>
            <w:tcW w:w="7011" w:type="dxa"/>
            <w:tcBorders>
              <w:top w:val="single" w:sz="4" w:space="0" w:color="000000"/>
              <w:left w:val="single" w:sz="4" w:space="0" w:color="000000"/>
              <w:bottom w:val="single" w:sz="4" w:space="0" w:color="000000"/>
              <w:right w:val="single" w:sz="4" w:space="0" w:color="000000"/>
            </w:tcBorders>
          </w:tcPr>
          <w:p w14:paraId="1D3AC4D9" w14:textId="77777777" w:rsidR="00A27597" w:rsidRPr="00CE7679" w:rsidRDefault="00A27597" w:rsidP="002347DD">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Hemolizinė anemija</w:t>
            </w:r>
            <w:r w:rsidR="00530B92" w:rsidRPr="00CE7679">
              <w:rPr>
                <w:rFonts w:eastAsia="SimSun"/>
                <w:snapToGrid/>
                <w:szCs w:val="22"/>
                <w:lang w:eastAsia="zh-CN"/>
              </w:rPr>
              <w:t>, trombin</w:t>
            </w:r>
            <w:r w:rsidR="002347DD" w:rsidRPr="00CE7679">
              <w:rPr>
                <w:rFonts w:eastAsia="SimSun"/>
                <w:snapToGrid/>
                <w:szCs w:val="22"/>
                <w:lang w:eastAsia="zh-CN"/>
              </w:rPr>
              <w:t>ė</w:t>
            </w:r>
            <w:r w:rsidR="00530B92" w:rsidRPr="00CE7679">
              <w:rPr>
                <w:rFonts w:eastAsia="SimSun"/>
                <w:snapToGrid/>
                <w:szCs w:val="22"/>
                <w:lang w:eastAsia="zh-CN"/>
              </w:rPr>
              <w:t xml:space="preserve"> </w:t>
            </w:r>
            <w:proofErr w:type="spellStart"/>
            <w:r w:rsidR="00530B92" w:rsidRPr="00CE7679">
              <w:rPr>
                <w:rFonts w:eastAsia="SimSun"/>
                <w:snapToGrid/>
                <w:szCs w:val="22"/>
                <w:lang w:eastAsia="zh-CN"/>
              </w:rPr>
              <w:t>mikroangiopatija</w:t>
            </w:r>
            <w:proofErr w:type="spellEnd"/>
          </w:p>
        </w:tc>
      </w:tr>
      <w:tr w:rsidR="00701D61" w:rsidRPr="00CE7679" w14:paraId="243E0716" w14:textId="77777777" w:rsidTr="00F30108">
        <w:trPr>
          <w:trHeight w:hRule="exact" w:val="269"/>
        </w:trPr>
        <w:tc>
          <w:tcPr>
            <w:tcW w:w="9246" w:type="dxa"/>
            <w:gridSpan w:val="2"/>
            <w:tcBorders>
              <w:top w:val="single" w:sz="4" w:space="0" w:color="000000"/>
              <w:left w:val="single" w:sz="4" w:space="0" w:color="000000"/>
              <w:bottom w:val="single" w:sz="4" w:space="0" w:color="000000"/>
              <w:right w:val="single" w:sz="4" w:space="0" w:color="000000"/>
            </w:tcBorders>
          </w:tcPr>
          <w:p w14:paraId="41F30CC7"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b/>
                <w:bCs/>
                <w:snapToGrid/>
                <w:szCs w:val="22"/>
                <w:lang w:eastAsia="zh-CN"/>
              </w:rPr>
              <w:t>Metabolizmo ir mitybos sutrikimai</w:t>
            </w:r>
          </w:p>
        </w:tc>
      </w:tr>
      <w:tr w:rsidR="00701D61" w:rsidRPr="00CE7679" w14:paraId="1F979181" w14:textId="77777777" w:rsidTr="00F30108">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7AA293D5" w14:textId="77777777" w:rsidR="00A27597" w:rsidRPr="00CE7679" w:rsidRDefault="00A27597" w:rsidP="00A27597">
            <w:pPr>
              <w:widowControl w:val="0"/>
              <w:autoSpaceDE w:val="0"/>
              <w:autoSpaceDN w:val="0"/>
              <w:adjustRightInd w:val="0"/>
              <w:spacing w:line="240" w:lineRule="auto"/>
              <w:rPr>
                <w:rFonts w:eastAsia="SimSun"/>
                <w:i/>
                <w:snapToGrid/>
                <w:szCs w:val="22"/>
                <w:lang w:eastAsia="zh-CN"/>
              </w:rPr>
            </w:pPr>
            <w:r w:rsidRPr="00CE7679">
              <w:rPr>
                <w:rFonts w:eastAsia="SimSun"/>
                <w:i/>
                <w:iCs/>
                <w:snapToGrid/>
                <w:szCs w:val="22"/>
                <w:lang w:eastAsia="zh-CN"/>
              </w:rPr>
              <w:t>Dažnas</w:t>
            </w:r>
          </w:p>
        </w:tc>
        <w:tc>
          <w:tcPr>
            <w:tcW w:w="7011" w:type="dxa"/>
            <w:tcBorders>
              <w:top w:val="single" w:sz="4" w:space="0" w:color="000000"/>
              <w:left w:val="single" w:sz="4" w:space="0" w:color="000000"/>
              <w:bottom w:val="single" w:sz="4" w:space="0" w:color="000000"/>
              <w:right w:val="single" w:sz="4" w:space="0" w:color="000000"/>
            </w:tcBorders>
          </w:tcPr>
          <w:p w14:paraId="4A0E3F19"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Anoreksija</w:t>
            </w:r>
          </w:p>
        </w:tc>
      </w:tr>
      <w:tr w:rsidR="00701D61" w:rsidRPr="00CE7679" w14:paraId="3651419B" w14:textId="77777777" w:rsidTr="00F30108">
        <w:trPr>
          <w:trHeight w:hRule="exact" w:val="790"/>
        </w:trPr>
        <w:tc>
          <w:tcPr>
            <w:tcW w:w="2235" w:type="dxa"/>
            <w:tcBorders>
              <w:top w:val="single" w:sz="4" w:space="0" w:color="000000"/>
              <w:left w:val="single" w:sz="4" w:space="0" w:color="000000"/>
              <w:bottom w:val="single" w:sz="4" w:space="0" w:color="000000"/>
              <w:right w:val="single" w:sz="4" w:space="0" w:color="000000"/>
            </w:tcBorders>
          </w:tcPr>
          <w:p w14:paraId="14B5B92A" w14:textId="77777777" w:rsidR="00A27597" w:rsidRPr="00CE7679" w:rsidRDefault="00A27597" w:rsidP="00A27597">
            <w:pPr>
              <w:widowControl w:val="0"/>
              <w:autoSpaceDE w:val="0"/>
              <w:autoSpaceDN w:val="0"/>
              <w:adjustRightInd w:val="0"/>
              <w:spacing w:line="240" w:lineRule="auto"/>
              <w:rPr>
                <w:rFonts w:eastAsia="SimSun"/>
                <w:i/>
                <w:snapToGrid/>
                <w:szCs w:val="22"/>
                <w:lang w:eastAsia="zh-CN"/>
              </w:rPr>
            </w:pPr>
            <w:r w:rsidRPr="00CE7679">
              <w:rPr>
                <w:rFonts w:eastAsia="SimSun"/>
                <w:i/>
                <w:iCs/>
                <w:snapToGrid/>
                <w:szCs w:val="22"/>
                <w:lang w:eastAsia="zh-CN"/>
              </w:rPr>
              <w:t>Nedažnas</w:t>
            </w:r>
          </w:p>
        </w:tc>
        <w:tc>
          <w:tcPr>
            <w:tcW w:w="7011" w:type="dxa"/>
            <w:tcBorders>
              <w:top w:val="single" w:sz="4" w:space="0" w:color="000000"/>
              <w:left w:val="single" w:sz="4" w:space="0" w:color="000000"/>
              <w:bottom w:val="single" w:sz="4" w:space="0" w:color="000000"/>
              <w:right w:val="single" w:sz="4" w:space="0" w:color="000000"/>
            </w:tcBorders>
          </w:tcPr>
          <w:p w14:paraId="1A8D35AF"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roofErr w:type="spellStart"/>
            <w:r w:rsidRPr="00CE7679">
              <w:rPr>
                <w:rFonts w:eastAsia="SimSun"/>
                <w:snapToGrid/>
                <w:szCs w:val="22"/>
                <w:lang w:eastAsia="zh-CN"/>
              </w:rPr>
              <w:t>Hipokalemija</w:t>
            </w:r>
            <w:proofErr w:type="spellEnd"/>
            <w:r w:rsidRPr="00CE7679">
              <w:rPr>
                <w:rFonts w:eastAsia="SimSun"/>
                <w:snapToGrid/>
                <w:szCs w:val="22"/>
                <w:lang w:eastAsia="zh-CN"/>
              </w:rPr>
              <w:t xml:space="preserve">, padidėjęs apetitas, </w:t>
            </w:r>
            <w:proofErr w:type="spellStart"/>
            <w:r w:rsidRPr="00CE7679">
              <w:rPr>
                <w:rFonts w:eastAsia="SimSun"/>
                <w:snapToGrid/>
                <w:szCs w:val="22"/>
                <w:lang w:eastAsia="zh-CN"/>
              </w:rPr>
              <w:t>hipofosfatemija</w:t>
            </w:r>
            <w:proofErr w:type="spellEnd"/>
            <w:r w:rsidRPr="00CE7679">
              <w:rPr>
                <w:rFonts w:eastAsia="SimSun"/>
                <w:snapToGrid/>
                <w:szCs w:val="22"/>
                <w:lang w:eastAsia="zh-CN"/>
              </w:rPr>
              <w:t xml:space="preserve">, sumažėjęs apetitas, </w:t>
            </w:r>
            <w:proofErr w:type="spellStart"/>
            <w:r w:rsidRPr="00CE7679">
              <w:rPr>
                <w:rFonts w:eastAsia="SimSun"/>
                <w:snapToGrid/>
                <w:szCs w:val="22"/>
                <w:lang w:eastAsia="zh-CN"/>
              </w:rPr>
              <w:t>dehidracija</w:t>
            </w:r>
            <w:proofErr w:type="spellEnd"/>
            <w:r w:rsidRPr="00CE7679">
              <w:rPr>
                <w:rFonts w:eastAsia="SimSun"/>
                <w:snapToGrid/>
                <w:szCs w:val="22"/>
                <w:lang w:eastAsia="zh-CN"/>
              </w:rPr>
              <w:t xml:space="preserve">, podagra, </w:t>
            </w:r>
            <w:proofErr w:type="spellStart"/>
            <w:r w:rsidRPr="00CE7679">
              <w:rPr>
                <w:rFonts w:eastAsia="SimSun"/>
                <w:snapToGrid/>
                <w:szCs w:val="22"/>
                <w:lang w:eastAsia="zh-CN"/>
              </w:rPr>
              <w:t>hiperurikemija</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hiperkalcemija</w:t>
            </w:r>
            <w:proofErr w:type="spellEnd"/>
            <w:r w:rsidRPr="00CE7679">
              <w:rPr>
                <w:rFonts w:eastAsia="SimSun"/>
                <w:snapToGrid/>
                <w:szCs w:val="22"/>
                <w:lang w:eastAsia="zh-CN"/>
              </w:rPr>
              <w:t xml:space="preserve">, hiperglikemija, </w:t>
            </w:r>
            <w:proofErr w:type="spellStart"/>
            <w:r w:rsidRPr="00CE7679">
              <w:rPr>
                <w:rFonts w:eastAsia="SimSun"/>
                <w:snapToGrid/>
                <w:szCs w:val="22"/>
                <w:lang w:eastAsia="zh-CN"/>
              </w:rPr>
              <w:t>hiponatremija</w:t>
            </w:r>
            <w:proofErr w:type="spellEnd"/>
          </w:p>
        </w:tc>
      </w:tr>
      <w:tr w:rsidR="00701D61" w:rsidRPr="00CE7679" w14:paraId="3F420EC7" w14:textId="77777777" w:rsidTr="00F30108">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14:paraId="664EB8A3" w14:textId="77777777" w:rsidR="00A27597" w:rsidRPr="00CE7679" w:rsidRDefault="00A27597" w:rsidP="00A27597">
            <w:pPr>
              <w:widowControl w:val="0"/>
              <w:autoSpaceDE w:val="0"/>
              <w:autoSpaceDN w:val="0"/>
              <w:adjustRightInd w:val="0"/>
              <w:spacing w:line="240" w:lineRule="auto"/>
              <w:rPr>
                <w:rFonts w:eastAsia="SimSun"/>
                <w:i/>
                <w:snapToGrid/>
                <w:szCs w:val="22"/>
                <w:lang w:eastAsia="zh-CN"/>
              </w:rPr>
            </w:pPr>
            <w:r w:rsidRPr="00CE7679">
              <w:rPr>
                <w:rFonts w:eastAsia="SimSun"/>
                <w:i/>
                <w:iCs/>
                <w:snapToGrid/>
                <w:szCs w:val="22"/>
                <w:lang w:eastAsia="zh-CN"/>
              </w:rPr>
              <w:t>Retas</w:t>
            </w:r>
          </w:p>
        </w:tc>
        <w:tc>
          <w:tcPr>
            <w:tcW w:w="7011" w:type="dxa"/>
            <w:tcBorders>
              <w:top w:val="single" w:sz="4" w:space="0" w:color="000000"/>
              <w:left w:val="single" w:sz="4" w:space="0" w:color="000000"/>
              <w:bottom w:val="single" w:sz="4" w:space="0" w:color="000000"/>
              <w:right w:val="single" w:sz="4" w:space="0" w:color="000000"/>
            </w:tcBorders>
          </w:tcPr>
          <w:p w14:paraId="750E438B"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roofErr w:type="spellStart"/>
            <w:r w:rsidRPr="00CE7679">
              <w:rPr>
                <w:rFonts w:eastAsia="SimSun"/>
                <w:snapToGrid/>
                <w:szCs w:val="22"/>
                <w:lang w:eastAsia="zh-CN"/>
              </w:rPr>
              <w:t>Hiperkalemija</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hipomagnezemija</w:t>
            </w:r>
            <w:proofErr w:type="spellEnd"/>
          </w:p>
        </w:tc>
      </w:tr>
      <w:tr w:rsidR="00701D61" w:rsidRPr="00CE7679" w14:paraId="2E70397E" w14:textId="77777777" w:rsidTr="00F30108">
        <w:trPr>
          <w:trHeight w:hRule="exact" w:val="271"/>
        </w:trPr>
        <w:tc>
          <w:tcPr>
            <w:tcW w:w="9246" w:type="dxa"/>
            <w:gridSpan w:val="2"/>
            <w:tcBorders>
              <w:top w:val="single" w:sz="4" w:space="0" w:color="000000"/>
              <w:left w:val="single" w:sz="4" w:space="0" w:color="000000"/>
              <w:bottom w:val="single" w:sz="4" w:space="0" w:color="000000"/>
              <w:right w:val="single" w:sz="4" w:space="0" w:color="000000"/>
            </w:tcBorders>
          </w:tcPr>
          <w:p w14:paraId="643DB5B1"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b/>
                <w:bCs/>
                <w:snapToGrid/>
                <w:szCs w:val="22"/>
                <w:lang w:eastAsia="zh-CN"/>
              </w:rPr>
              <w:t>Psichikos sutrikimai</w:t>
            </w:r>
          </w:p>
        </w:tc>
      </w:tr>
      <w:tr w:rsidR="00701D61" w:rsidRPr="00CE7679" w14:paraId="08CFD335" w14:textId="77777777" w:rsidTr="00F30108">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14:paraId="225A69B9" w14:textId="77777777" w:rsidR="00A27597" w:rsidRPr="00CE7679" w:rsidRDefault="00A27597" w:rsidP="00A27597">
            <w:pPr>
              <w:widowControl w:val="0"/>
              <w:autoSpaceDE w:val="0"/>
              <w:autoSpaceDN w:val="0"/>
              <w:adjustRightInd w:val="0"/>
              <w:spacing w:line="240" w:lineRule="auto"/>
              <w:rPr>
                <w:rFonts w:eastAsia="SimSun"/>
                <w:i/>
                <w:snapToGrid/>
                <w:szCs w:val="22"/>
                <w:lang w:eastAsia="zh-CN"/>
              </w:rPr>
            </w:pPr>
            <w:r w:rsidRPr="00CE7679">
              <w:rPr>
                <w:rFonts w:eastAsia="SimSun"/>
                <w:i/>
                <w:iCs/>
                <w:snapToGrid/>
                <w:szCs w:val="22"/>
                <w:lang w:eastAsia="zh-CN"/>
              </w:rPr>
              <w:t>Dažnas</w:t>
            </w:r>
          </w:p>
        </w:tc>
        <w:tc>
          <w:tcPr>
            <w:tcW w:w="7011" w:type="dxa"/>
            <w:tcBorders>
              <w:top w:val="single" w:sz="4" w:space="0" w:color="000000"/>
              <w:left w:val="single" w:sz="4" w:space="0" w:color="000000"/>
              <w:bottom w:val="single" w:sz="4" w:space="0" w:color="000000"/>
              <w:right w:val="single" w:sz="4" w:space="0" w:color="000000"/>
            </w:tcBorders>
          </w:tcPr>
          <w:p w14:paraId="0196949C"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Nemiga</w:t>
            </w:r>
          </w:p>
        </w:tc>
      </w:tr>
      <w:tr w:rsidR="00701D61" w:rsidRPr="00CE7679" w14:paraId="7A78B31B" w14:textId="77777777" w:rsidTr="00F30108">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27E64404" w14:textId="77777777" w:rsidR="00A27597" w:rsidRPr="00CE7679" w:rsidRDefault="00A27597" w:rsidP="00A27597">
            <w:pPr>
              <w:widowControl w:val="0"/>
              <w:autoSpaceDE w:val="0"/>
              <w:autoSpaceDN w:val="0"/>
              <w:adjustRightInd w:val="0"/>
              <w:spacing w:line="240" w:lineRule="auto"/>
              <w:rPr>
                <w:rFonts w:eastAsia="SimSun"/>
                <w:i/>
                <w:snapToGrid/>
                <w:szCs w:val="22"/>
                <w:lang w:eastAsia="zh-CN"/>
              </w:rPr>
            </w:pPr>
            <w:r w:rsidRPr="00CE7679">
              <w:rPr>
                <w:rFonts w:eastAsia="SimSun"/>
                <w:i/>
                <w:iCs/>
                <w:snapToGrid/>
                <w:szCs w:val="22"/>
                <w:lang w:eastAsia="zh-CN"/>
              </w:rPr>
              <w:t>Nedažnas</w:t>
            </w:r>
          </w:p>
        </w:tc>
        <w:tc>
          <w:tcPr>
            <w:tcW w:w="7011" w:type="dxa"/>
            <w:tcBorders>
              <w:top w:val="single" w:sz="4" w:space="0" w:color="000000"/>
              <w:left w:val="single" w:sz="4" w:space="0" w:color="000000"/>
              <w:bottom w:val="single" w:sz="4" w:space="0" w:color="000000"/>
              <w:right w:val="single" w:sz="4" w:space="0" w:color="000000"/>
            </w:tcBorders>
          </w:tcPr>
          <w:p w14:paraId="47CC0F6D"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Depresija, sumažėjęs lytinis potraukis, nerimas</w:t>
            </w:r>
          </w:p>
        </w:tc>
      </w:tr>
      <w:tr w:rsidR="00701D61" w:rsidRPr="00CE7679" w14:paraId="027627B4" w14:textId="77777777" w:rsidTr="00F30108">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14:paraId="037C078D" w14:textId="77777777" w:rsidR="00A27597" w:rsidRPr="00CE7679" w:rsidRDefault="00A27597" w:rsidP="00A27597">
            <w:pPr>
              <w:widowControl w:val="0"/>
              <w:autoSpaceDE w:val="0"/>
              <w:autoSpaceDN w:val="0"/>
              <w:adjustRightInd w:val="0"/>
              <w:spacing w:line="240" w:lineRule="auto"/>
              <w:rPr>
                <w:rFonts w:eastAsia="SimSun"/>
                <w:i/>
                <w:snapToGrid/>
                <w:szCs w:val="22"/>
                <w:lang w:eastAsia="zh-CN"/>
              </w:rPr>
            </w:pPr>
            <w:r w:rsidRPr="00CE7679">
              <w:rPr>
                <w:rFonts w:eastAsia="SimSun"/>
                <w:i/>
                <w:iCs/>
                <w:snapToGrid/>
                <w:szCs w:val="22"/>
                <w:lang w:eastAsia="zh-CN"/>
              </w:rPr>
              <w:t>Retas</w:t>
            </w:r>
          </w:p>
        </w:tc>
        <w:tc>
          <w:tcPr>
            <w:tcW w:w="7011" w:type="dxa"/>
            <w:tcBorders>
              <w:top w:val="single" w:sz="4" w:space="0" w:color="000000"/>
              <w:left w:val="single" w:sz="4" w:space="0" w:color="000000"/>
              <w:bottom w:val="single" w:sz="4" w:space="0" w:color="000000"/>
              <w:right w:val="single" w:sz="4" w:space="0" w:color="000000"/>
            </w:tcBorders>
          </w:tcPr>
          <w:p w14:paraId="483A5FB3"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Sumišimo būsena </w:t>
            </w:r>
          </w:p>
        </w:tc>
      </w:tr>
      <w:tr w:rsidR="00701D61" w:rsidRPr="00CE7679" w14:paraId="1E9DF21A" w14:textId="77777777" w:rsidTr="00F30108">
        <w:trPr>
          <w:trHeight w:hRule="exact" w:val="271"/>
        </w:trPr>
        <w:tc>
          <w:tcPr>
            <w:tcW w:w="9246" w:type="dxa"/>
            <w:gridSpan w:val="2"/>
            <w:tcBorders>
              <w:top w:val="single" w:sz="4" w:space="0" w:color="000000"/>
              <w:left w:val="single" w:sz="4" w:space="0" w:color="000000"/>
              <w:bottom w:val="single" w:sz="4" w:space="0" w:color="000000"/>
              <w:right w:val="single" w:sz="4" w:space="0" w:color="000000"/>
            </w:tcBorders>
          </w:tcPr>
          <w:p w14:paraId="09DDD76C"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b/>
                <w:bCs/>
                <w:snapToGrid/>
                <w:szCs w:val="22"/>
                <w:lang w:eastAsia="zh-CN"/>
              </w:rPr>
              <w:t>Nervų sistemos sutrikimai</w:t>
            </w:r>
          </w:p>
        </w:tc>
      </w:tr>
      <w:tr w:rsidR="00701D61" w:rsidRPr="00CE7679" w14:paraId="33EF5BE8" w14:textId="77777777" w:rsidTr="00F30108">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14:paraId="2C5D8BD4" w14:textId="77777777" w:rsidR="00A27597" w:rsidRPr="00CE7679" w:rsidRDefault="00A27597" w:rsidP="00A27597">
            <w:pPr>
              <w:widowControl w:val="0"/>
              <w:autoSpaceDE w:val="0"/>
              <w:autoSpaceDN w:val="0"/>
              <w:adjustRightInd w:val="0"/>
              <w:spacing w:line="240" w:lineRule="auto"/>
              <w:rPr>
                <w:rFonts w:eastAsia="SimSun"/>
                <w:i/>
                <w:snapToGrid/>
                <w:szCs w:val="22"/>
                <w:lang w:eastAsia="zh-CN"/>
              </w:rPr>
            </w:pPr>
            <w:r w:rsidRPr="00CE7679">
              <w:rPr>
                <w:rFonts w:eastAsia="SimSun"/>
                <w:i/>
                <w:iCs/>
                <w:snapToGrid/>
                <w:szCs w:val="22"/>
                <w:lang w:eastAsia="zh-CN"/>
              </w:rPr>
              <w:t>Labai dažnas</w:t>
            </w:r>
          </w:p>
        </w:tc>
        <w:tc>
          <w:tcPr>
            <w:tcW w:w="7011" w:type="dxa"/>
            <w:tcBorders>
              <w:top w:val="single" w:sz="4" w:space="0" w:color="000000"/>
              <w:left w:val="single" w:sz="4" w:space="0" w:color="000000"/>
              <w:bottom w:val="single" w:sz="4" w:space="0" w:color="000000"/>
              <w:right w:val="single" w:sz="4" w:space="0" w:color="000000"/>
            </w:tcBorders>
          </w:tcPr>
          <w:p w14:paraId="1BCA1E0B"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Galvos skausmas</w:t>
            </w:r>
            <w:r w:rsidRPr="00CE7679">
              <w:rPr>
                <w:rFonts w:eastAsia="SimSun"/>
                <w:snapToGrid/>
                <w:szCs w:val="22"/>
                <w:vertAlign w:val="superscript"/>
                <w:lang w:eastAsia="zh-CN"/>
              </w:rPr>
              <w:t>2</w:t>
            </w:r>
          </w:p>
        </w:tc>
      </w:tr>
      <w:tr w:rsidR="00701D61" w:rsidRPr="00CE7679" w14:paraId="63CBE5EA" w14:textId="77777777" w:rsidTr="00F30108">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00A5B58E" w14:textId="77777777" w:rsidR="00A27597" w:rsidRPr="00CE7679" w:rsidRDefault="00A27597" w:rsidP="00A27597">
            <w:pPr>
              <w:widowControl w:val="0"/>
              <w:autoSpaceDE w:val="0"/>
              <w:autoSpaceDN w:val="0"/>
              <w:adjustRightInd w:val="0"/>
              <w:spacing w:line="240" w:lineRule="auto"/>
              <w:rPr>
                <w:rFonts w:eastAsia="SimSun"/>
                <w:i/>
                <w:snapToGrid/>
                <w:szCs w:val="22"/>
                <w:lang w:eastAsia="zh-CN"/>
              </w:rPr>
            </w:pPr>
            <w:r w:rsidRPr="00CE7679">
              <w:rPr>
                <w:rFonts w:eastAsia="SimSun"/>
                <w:i/>
                <w:iCs/>
                <w:snapToGrid/>
                <w:szCs w:val="22"/>
                <w:lang w:eastAsia="zh-CN"/>
              </w:rPr>
              <w:t>Dažnas</w:t>
            </w:r>
          </w:p>
        </w:tc>
        <w:tc>
          <w:tcPr>
            <w:tcW w:w="7011" w:type="dxa"/>
            <w:tcBorders>
              <w:top w:val="single" w:sz="4" w:space="0" w:color="000000"/>
              <w:left w:val="single" w:sz="4" w:space="0" w:color="000000"/>
              <w:bottom w:val="single" w:sz="4" w:space="0" w:color="000000"/>
              <w:right w:val="single" w:sz="4" w:space="0" w:color="000000"/>
            </w:tcBorders>
          </w:tcPr>
          <w:p w14:paraId="7032B162"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Svaigulys, </w:t>
            </w:r>
            <w:proofErr w:type="spellStart"/>
            <w:r w:rsidRPr="00CE7679">
              <w:rPr>
                <w:rFonts w:eastAsia="SimSun"/>
                <w:snapToGrid/>
                <w:szCs w:val="22"/>
                <w:lang w:eastAsia="zh-CN"/>
              </w:rPr>
              <w:t>parestezija</w:t>
            </w:r>
            <w:proofErr w:type="spellEnd"/>
            <w:r w:rsidRPr="00CE7679">
              <w:rPr>
                <w:rFonts w:eastAsia="SimSun"/>
                <w:snapToGrid/>
                <w:szCs w:val="22"/>
                <w:lang w:eastAsia="zh-CN"/>
              </w:rPr>
              <w:t xml:space="preserve">, sutrikęs skonio jutimas, </w:t>
            </w:r>
            <w:proofErr w:type="spellStart"/>
            <w:r w:rsidRPr="00CE7679">
              <w:rPr>
                <w:rFonts w:eastAsia="SimSun"/>
                <w:snapToGrid/>
                <w:szCs w:val="22"/>
                <w:lang w:eastAsia="zh-CN"/>
              </w:rPr>
              <w:t>hipestezija</w:t>
            </w:r>
            <w:proofErr w:type="spellEnd"/>
          </w:p>
        </w:tc>
      </w:tr>
      <w:tr w:rsidR="00701D61" w:rsidRPr="00CE7679" w14:paraId="0A614DCA" w14:textId="77777777" w:rsidTr="00F30108">
        <w:trPr>
          <w:trHeight w:hRule="exact" w:val="779"/>
        </w:trPr>
        <w:tc>
          <w:tcPr>
            <w:tcW w:w="2235" w:type="dxa"/>
            <w:tcBorders>
              <w:top w:val="single" w:sz="4" w:space="0" w:color="000000"/>
              <w:left w:val="single" w:sz="4" w:space="0" w:color="000000"/>
              <w:bottom w:val="single" w:sz="4" w:space="0" w:color="000000"/>
              <w:right w:val="single" w:sz="4" w:space="0" w:color="000000"/>
            </w:tcBorders>
          </w:tcPr>
          <w:p w14:paraId="20401F98" w14:textId="77777777" w:rsidR="00A27597" w:rsidRPr="00CE7679" w:rsidRDefault="00A27597" w:rsidP="00A27597">
            <w:pPr>
              <w:widowControl w:val="0"/>
              <w:autoSpaceDE w:val="0"/>
              <w:autoSpaceDN w:val="0"/>
              <w:adjustRightInd w:val="0"/>
              <w:spacing w:line="240" w:lineRule="auto"/>
              <w:rPr>
                <w:rFonts w:eastAsia="SimSun"/>
                <w:i/>
                <w:snapToGrid/>
                <w:szCs w:val="22"/>
                <w:lang w:eastAsia="zh-CN"/>
              </w:rPr>
            </w:pPr>
            <w:r w:rsidRPr="00CE7679">
              <w:rPr>
                <w:rFonts w:eastAsia="SimSun"/>
                <w:i/>
                <w:iCs/>
                <w:snapToGrid/>
                <w:szCs w:val="22"/>
                <w:lang w:eastAsia="zh-CN"/>
              </w:rPr>
              <w:t>Nedažnas</w:t>
            </w:r>
          </w:p>
        </w:tc>
        <w:tc>
          <w:tcPr>
            <w:tcW w:w="7011" w:type="dxa"/>
            <w:tcBorders>
              <w:top w:val="single" w:sz="4" w:space="0" w:color="000000"/>
              <w:left w:val="single" w:sz="4" w:space="0" w:color="000000"/>
              <w:bottom w:val="single" w:sz="4" w:space="0" w:color="000000"/>
              <w:right w:val="single" w:sz="4" w:space="0" w:color="000000"/>
            </w:tcBorders>
          </w:tcPr>
          <w:p w14:paraId="5708DF09"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Migrena, mieguistumas, apalpimas (sinkopė), periferinė neuropatija, atminties sutrikimai, </w:t>
            </w:r>
            <w:proofErr w:type="spellStart"/>
            <w:r w:rsidRPr="00CE7679">
              <w:rPr>
                <w:rFonts w:eastAsia="SimSun"/>
                <w:snapToGrid/>
                <w:szCs w:val="22"/>
                <w:lang w:eastAsia="zh-CN"/>
              </w:rPr>
              <w:t>išialgija</w:t>
            </w:r>
            <w:proofErr w:type="spellEnd"/>
            <w:r w:rsidRPr="00CE7679">
              <w:rPr>
                <w:rFonts w:eastAsia="SimSun"/>
                <w:snapToGrid/>
                <w:szCs w:val="22"/>
                <w:lang w:eastAsia="zh-CN"/>
              </w:rPr>
              <w:t>, neramių kojų sindromas, tremoras, smegenų kraujosruvos</w:t>
            </w:r>
          </w:p>
        </w:tc>
      </w:tr>
      <w:tr w:rsidR="00701D61" w:rsidRPr="00CE7679" w14:paraId="77A02A38" w14:textId="77777777" w:rsidTr="00F30108">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14:paraId="51F1F8FA" w14:textId="77777777" w:rsidR="00A27597" w:rsidRPr="00CE7679" w:rsidRDefault="00A27597" w:rsidP="00A27597">
            <w:pPr>
              <w:widowControl w:val="0"/>
              <w:autoSpaceDE w:val="0"/>
              <w:autoSpaceDN w:val="0"/>
              <w:adjustRightInd w:val="0"/>
              <w:spacing w:line="240" w:lineRule="auto"/>
              <w:rPr>
                <w:rFonts w:eastAsia="SimSun"/>
                <w:i/>
                <w:snapToGrid/>
                <w:szCs w:val="22"/>
                <w:lang w:eastAsia="zh-CN"/>
              </w:rPr>
            </w:pPr>
            <w:r w:rsidRPr="00CE7679">
              <w:rPr>
                <w:rFonts w:eastAsia="SimSun"/>
                <w:i/>
                <w:iCs/>
                <w:snapToGrid/>
                <w:szCs w:val="22"/>
                <w:lang w:eastAsia="zh-CN"/>
              </w:rPr>
              <w:t>Retas</w:t>
            </w:r>
          </w:p>
        </w:tc>
        <w:tc>
          <w:tcPr>
            <w:tcW w:w="7011" w:type="dxa"/>
            <w:tcBorders>
              <w:top w:val="single" w:sz="4" w:space="0" w:color="000000"/>
              <w:left w:val="single" w:sz="4" w:space="0" w:color="000000"/>
              <w:bottom w:val="single" w:sz="4" w:space="0" w:color="000000"/>
              <w:right w:val="single" w:sz="4" w:space="0" w:color="000000"/>
            </w:tcBorders>
          </w:tcPr>
          <w:p w14:paraId="4AE96A4F"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Padidėjęs </w:t>
            </w:r>
            <w:proofErr w:type="spellStart"/>
            <w:r w:rsidRPr="00CE7679">
              <w:rPr>
                <w:rFonts w:eastAsia="SimSun"/>
                <w:snapToGrid/>
                <w:szCs w:val="22"/>
                <w:lang w:eastAsia="zh-CN"/>
              </w:rPr>
              <w:t>intrakranijinis</w:t>
            </w:r>
            <w:proofErr w:type="spellEnd"/>
            <w:r w:rsidRPr="00CE7679">
              <w:rPr>
                <w:rFonts w:eastAsia="SimSun"/>
                <w:snapToGrid/>
                <w:szCs w:val="22"/>
                <w:lang w:eastAsia="zh-CN"/>
              </w:rPr>
              <w:t xml:space="preserve"> spaudimas, traukuliai, regos nervo uždegimas</w:t>
            </w:r>
          </w:p>
        </w:tc>
      </w:tr>
      <w:tr w:rsidR="00701D61" w:rsidRPr="00CE7679" w14:paraId="057421AA" w14:textId="77777777" w:rsidTr="00F30108">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14:paraId="56809829" w14:textId="77777777" w:rsidR="00A27597" w:rsidRPr="00CE7679" w:rsidRDefault="00A27597" w:rsidP="00A27597">
            <w:pPr>
              <w:widowControl w:val="0"/>
              <w:autoSpaceDE w:val="0"/>
              <w:autoSpaceDN w:val="0"/>
              <w:adjustRightInd w:val="0"/>
              <w:spacing w:line="240" w:lineRule="auto"/>
              <w:rPr>
                <w:rFonts w:eastAsia="SimSun"/>
                <w:i/>
                <w:iCs/>
                <w:snapToGrid/>
                <w:szCs w:val="22"/>
                <w:lang w:eastAsia="zh-CN"/>
              </w:rPr>
            </w:pPr>
            <w:r w:rsidRPr="00CE7679">
              <w:rPr>
                <w:rFonts w:eastAsia="SimSun"/>
                <w:i/>
                <w:iCs/>
                <w:snapToGrid/>
                <w:szCs w:val="22"/>
                <w:lang w:eastAsia="zh-CN"/>
              </w:rPr>
              <w:t>Dažnis nežinomas</w:t>
            </w:r>
          </w:p>
        </w:tc>
        <w:tc>
          <w:tcPr>
            <w:tcW w:w="7011" w:type="dxa"/>
            <w:tcBorders>
              <w:top w:val="single" w:sz="4" w:space="0" w:color="000000"/>
              <w:left w:val="single" w:sz="4" w:space="0" w:color="000000"/>
              <w:bottom w:val="single" w:sz="4" w:space="0" w:color="000000"/>
              <w:right w:val="single" w:sz="4" w:space="0" w:color="000000"/>
            </w:tcBorders>
          </w:tcPr>
          <w:p w14:paraId="1E5A3370"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Smegenų edema*</w:t>
            </w:r>
          </w:p>
        </w:tc>
      </w:tr>
      <w:tr w:rsidR="00701D61" w:rsidRPr="00CE7679" w14:paraId="4489645A" w14:textId="77777777" w:rsidTr="00F30108">
        <w:trPr>
          <w:trHeight w:hRule="exact" w:val="271"/>
        </w:trPr>
        <w:tc>
          <w:tcPr>
            <w:tcW w:w="9246" w:type="dxa"/>
            <w:gridSpan w:val="2"/>
            <w:tcBorders>
              <w:top w:val="single" w:sz="4" w:space="0" w:color="000000"/>
              <w:left w:val="single" w:sz="4" w:space="0" w:color="000000"/>
              <w:bottom w:val="single" w:sz="4" w:space="0" w:color="000000"/>
              <w:right w:val="single" w:sz="4" w:space="0" w:color="000000"/>
            </w:tcBorders>
          </w:tcPr>
          <w:p w14:paraId="533C1F4B"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b/>
                <w:bCs/>
                <w:snapToGrid/>
                <w:szCs w:val="22"/>
                <w:lang w:eastAsia="zh-CN"/>
              </w:rPr>
              <w:t>Akių sutrikimai</w:t>
            </w:r>
          </w:p>
        </w:tc>
      </w:tr>
      <w:tr w:rsidR="00701D61" w:rsidRPr="00CE7679" w14:paraId="073619D0" w14:textId="77777777" w:rsidTr="00F30108">
        <w:trPr>
          <w:trHeight w:hRule="exact" w:val="528"/>
        </w:trPr>
        <w:tc>
          <w:tcPr>
            <w:tcW w:w="2235" w:type="dxa"/>
            <w:tcBorders>
              <w:top w:val="single" w:sz="4" w:space="0" w:color="000000"/>
              <w:left w:val="single" w:sz="4" w:space="0" w:color="000000"/>
              <w:bottom w:val="single" w:sz="4" w:space="0" w:color="000000"/>
              <w:right w:val="single" w:sz="4" w:space="0" w:color="000000"/>
            </w:tcBorders>
          </w:tcPr>
          <w:p w14:paraId="65DB9DF2" w14:textId="77777777" w:rsidR="00A27597" w:rsidRPr="00CE7679" w:rsidRDefault="00A27597" w:rsidP="00A27597">
            <w:pPr>
              <w:widowControl w:val="0"/>
              <w:autoSpaceDE w:val="0"/>
              <w:autoSpaceDN w:val="0"/>
              <w:adjustRightInd w:val="0"/>
              <w:spacing w:line="240" w:lineRule="auto"/>
              <w:rPr>
                <w:rFonts w:eastAsia="SimSun"/>
                <w:i/>
                <w:snapToGrid/>
                <w:szCs w:val="22"/>
                <w:lang w:eastAsia="zh-CN"/>
              </w:rPr>
            </w:pPr>
            <w:r w:rsidRPr="00CE7679">
              <w:rPr>
                <w:rFonts w:eastAsia="SimSun"/>
                <w:i/>
                <w:iCs/>
                <w:snapToGrid/>
                <w:szCs w:val="22"/>
                <w:lang w:eastAsia="zh-CN"/>
              </w:rPr>
              <w:t>Dažnas</w:t>
            </w:r>
          </w:p>
        </w:tc>
        <w:tc>
          <w:tcPr>
            <w:tcW w:w="7011" w:type="dxa"/>
            <w:tcBorders>
              <w:top w:val="single" w:sz="4" w:space="0" w:color="000000"/>
              <w:left w:val="single" w:sz="4" w:space="0" w:color="000000"/>
              <w:bottom w:val="single" w:sz="4" w:space="0" w:color="000000"/>
              <w:right w:val="single" w:sz="4" w:space="0" w:color="000000"/>
            </w:tcBorders>
          </w:tcPr>
          <w:p w14:paraId="3547312B"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Akių vokų edema, padidėjęs ašarojimas, junginės kraujosruvos, konjunktyvitas, akių sausmė, neryškus matymas</w:t>
            </w:r>
          </w:p>
        </w:tc>
      </w:tr>
      <w:tr w:rsidR="00701D61" w:rsidRPr="00CE7679" w14:paraId="29F7898E" w14:textId="77777777" w:rsidTr="00F30108">
        <w:trPr>
          <w:trHeight w:hRule="exact" w:val="530"/>
        </w:trPr>
        <w:tc>
          <w:tcPr>
            <w:tcW w:w="2235" w:type="dxa"/>
            <w:tcBorders>
              <w:top w:val="single" w:sz="4" w:space="0" w:color="000000"/>
              <w:left w:val="single" w:sz="4" w:space="0" w:color="000000"/>
              <w:bottom w:val="single" w:sz="4" w:space="0" w:color="000000"/>
              <w:right w:val="single" w:sz="4" w:space="0" w:color="000000"/>
            </w:tcBorders>
          </w:tcPr>
          <w:p w14:paraId="4188F636" w14:textId="77777777" w:rsidR="00A27597" w:rsidRPr="00CE7679" w:rsidRDefault="00A27597" w:rsidP="00A27597">
            <w:pPr>
              <w:widowControl w:val="0"/>
              <w:autoSpaceDE w:val="0"/>
              <w:autoSpaceDN w:val="0"/>
              <w:adjustRightInd w:val="0"/>
              <w:spacing w:line="240" w:lineRule="auto"/>
              <w:rPr>
                <w:rFonts w:eastAsia="SimSun"/>
                <w:i/>
                <w:snapToGrid/>
                <w:szCs w:val="22"/>
                <w:lang w:eastAsia="zh-CN"/>
              </w:rPr>
            </w:pPr>
            <w:r w:rsidRPr="00CE7679">
              <w:rPr>
                <w:rFonts w:eastAsia="SimSun"/>
                <w:i/>
                <w:iCs/>
                <w:snapToGrid/>
                <w:szCs w:val="22"/>
                <w:lang w:eastAsia="zh-CN"/>
              </w:rPr>
              <w:t>Nedažnas</w:t>
            </w:r>
          </w:p>
        </w:tc>
        <w:tc>
          <w:tcPr>
            <w:tcW w:w="7011" w:type="dxa"/>
            <w:tcBorders>
              <w:top w:val="single" w:sz="4" w:space="0" w:color="000000"/>
              <w:left w:val="single" w:sz="4" w:space="0" w:color="000000"/>
              <w:bottom w:val="single" w:sz="4" w:space="0" w:color="000000"/>
              <w:right w:val="single" w:sz="4" w:space="0" w:color="000000"/>
            </w:tcBorders>
          </w:tcPr>
          <w:p w14:paraId="3E5A518E"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Akių dirginimas, akių skausmas, akiduobės edema, odenos kraujosruvos, tinklainės kraujosruvos, blefaritas, geltonosios dėmės edema</w:t>
            </w:r>
          </w:p>
        </w:tc>
      </w:tr>
      <w:tr w:rsidR="00701D61" w:rsidRPr="00CE7679" w14:paraId="38BECE8D" w14:textId="77777777" w:rsidTr="00F30108">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1864E5AE" w14:textId="77777777" w:rsidR="00A27597" w:rsidRPr="00CE7679" w:rsidRDefault="00A27597" w:rsidP="00A27597">
            <w:pPr>
              <w:widowControl w:val="0"/>
              <w:autoSpaceDE w:val="0"/>
              <w:autoSpaceDN w:val="0"/>
              <w:adjustRightInd w:val="0"/>
              <w:spacing w:line="240" w:lineRule="auto"/>
              <w:rPr>
                <w:rFonts w:eastAsia="SimSun"/>
                <w:i/>
                <w:snapToGrid/>
                <w:szCs w:val="22"/>
                <w:lang w:eastAsia="zh-CN"/>
              </w:rPr>
            </w:pPr>
            <w:r w:rsidRPr="00CE7679">
              <w:rPr>
                <w:rFonts w:eastAsia="SimSun"/>
                <w:i/>
                <w:iCs/>
                <w:snapToGrid/>
                <w:szCs w:val="22"/>
                <w:lang w:eastAsia="zh-CN"/>
              </w:rPr>
              <w:t>Retas</w:t>
            </w:r>
          </w:p>
        </w:tc>
        <w:tc>
          <w:tcPr>
            <w:tcW w:w="7011" w:type="dxa"/>
            <w:tcBorders>
              <w:top w:val="single" w:sz="4" w:space="0" w:color="000000"/>
              <w:left w:val="single" w:sz="4" w:space="0" w:color="000000"/>
              <w:bottom w:val="single" w:sz="4" w:space="0" w:color="000000"/>
              <w:right w:val="single" w:sz="4" w:space="0" w:color="000000"/>
            </w:tcBorders>
          </w:tcPr>
          <w:p w14:paraId="71CBF68F"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Katarakta, glaukoma, regos nervo disko edema</w:t>
            </w:r>
          </w:p>
        </w:tc>
      </w:tr>
      <w:tr w:rsidR="00701D61" w:rsidRPr="00CE7679" w14:paraId="715B20BD" w14:textId="77777777" w:rsidTr="00F30108">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0B06C1C8" w14:textId="77777777" w:rsidR="00A27597" w:rsidRPr="00CE7679" w:rsidRDefault="00A27597" w:rsidP="00A27597">
            <w:pPr>
              <w:widowControl w:val="0"/>
              <w:autoSpaceDE w:val="0"/>
              <w:autoSpaceDN w:val="0"/>
              <w:adjustRightInd w:val="0"/>
              <w:spacing w:line="240" w:lineRule="auto"/>
              <w:rPr>
                <w:rFonts w:eastAsia="SimSun"/>
                <w:i/>
                <w:iCs/>
                <w:snapToGrid/>
                <w:szCs w:val="22"/>
                <w:lang w:eastAsia="zh-CN"/>
              </w:rPr>
            </w:pPr>
            <w:r w:rsidRPr="00CE7679">
              <w:rPr>
                <w:rFonts w:eastAsia="SimSun"/>
                <w:i/>
                <w:iCs/>
                <w:snapToGrid/>
                <w:szCs w:val="22"/>
                <w:lang w:eastAsia="zh-CN"/>
              </w:rPr>
              <w:t>Dažnis nežinomas</w:t>
            </w:r>
          </w:p>
        </w:tc>
        <w:tc>
          <w:tcPr>
            <w:tcW w:w="7011" w:type="dxa"/>
            <w:tcBorders>
              <w:top w:val="single" w:sz="4" w:space="0" w:color="000000"/>
              <w:left w:val="single" w:sz="4" w:space="0" w:color="000000"/>
              <w:bottom w:val="single" w:sz="4" w:space="0" w:color="000000"/>
              <w:right w:val="single" w:sz="4" w:space="0" w:color="000000"/>
            </w:tcBorders>
          </w:tcPr>
          <w:p w14:paraId="1D44BEDF"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Stiklakūnio kraujosruva*</w:t>
            </w:r>
          </w:p>
        </w:tc>
      </w:tr>
      <w:tr w:rsidR="00701D61" w:rsidRPr="00CE7679" w14:paraId="40D6CD7C" w14:textId="77777777" w:rsidTr="00F30108">
        <w:trPr>
          <w:trHeight w:hRule="exact" w:val="269"/>
        </w:trPr>
        <w:tc>
          <w:tcPr>
            <w:tcW w:w="9246" w:type="dxa"/>
            <w:gridSpan w:val="2"/>
            <w:tcBorders>
              <w:top w:val="single" w:sz="4" w:space="0" w:color="000000"/>
              <w:left w:val="single" w:sz="4" w:space="0" w:color="000000"/>
              <w:bottom w:val="single" w:sz="4" w:space="0" w:color="000000"/>
              <w:right w:val="single" w:sz="4" w:space="0" w:color="000000"/>
            </w:tcBorders>
          </w:tcPr>
          <w:p w14:paraId="5003E78C"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b/>
                <w:bCs/>
                <w:snapToGrid/>
                <w:szCs w:val="22"/>
                <w:lang w:eastAsia="zh-CN"/>
              </w:rPr>
              <w:t>Ausų ir labirintų sutrikimai</w:t>
            </w:r>
          </w:p>
        </w:tc>
      </w:tr>
      <w:tr w:rsidR="00701D61" w:rsidRPr="00CE7679" w14:paraId="23857768" w14:textId="77777777" w:rsidTr="00F30108">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0B95EFE8" w14:textId="77777777" w:rsidR="00A27597" w:rsidRPr="00CE7679" w:rsidRDefault="00A27597" w:rsidP="00A27597">
            <w:pPr>
              <w:widowControl w:val="0"/>
              <w:autoSpaceDE w:val="0"/>
              <w:autoSpaceDN w:val="0"/>
              <w:adjustRightInd w:val="0"/>
              <w:spacing w:line="240" w:lineRule="auto"/>
              <w:rPr>
                <w:rFonts w:eastAsia="SimSun"/>
                <w:i/>
                <w:snapToGrid/>
                <w:szCs w:val="22"/>
                <w:lang w:eastAsia="zh-CN"/>
              </w:rPr>
            </w:pPr>
            <w:r w:rsidRPr="00CE7679">
              <w:rPr>
                <w:rFonts w:eastAsia="SimSun"/>
                <w:i/>
                <w:iCs/>
                <w:snapToGrid/>
                <w:szCs w:val="22"/>
                <w:lang w:eastAsia="zh-CN"/>
              </w:rPr>
              <w:t>Nedažnas</w:t>
            </w:r>
          </w:p>
        </w:tc>
        <w:tc>
          <w:tcPr>
            <w:tcW w:w="7011" w:type="dxa"/>
            <w:tcBorders>
              <w:top w:val="single" w:sz="4" w:space="0" w:color="000000"/>
              <w:left w:val="single" w:sz="4" w:space="0" w:color="000000"/>
              <w:bottom w:val="single" w:sz="4" w:space="0" w:color="000000"/>
              <w:right w:val="single" w:sz="4" w:space="0" w:color="000000"/>
            </w:tcBorders>
          </w:tcPr>
          <w:p w14:paraId="1221534D"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Svaigimas (</w:t>
            </w:r>
            <w:proofErr w:type="spellStart"/>
            <w:r w:rsidRPr="00CE7679">
              <w:rPr>
                <w:rFonts w:eastAsia="SimSun"/>
                <w:i/>
                <w:snapToGrid/>
                <w:szCs w:val="22"/>
                <w:lang w:eastAsia="zh-CN"/>
              </w:rPr>
              <w:t>vertigo</w:t>
            </w:r>
            <w:proofErr w:type="spellEnd"/>
            <w:r w:rsidRPr="00CE7679">
              <w:rPr>
                <w:rFonts w:eastAsia="SimSun"/>
                <w:snapToGrid/>
                <w:szCs w:val="22"/>
                <w:lang w:eastAsia="zh-CN"/>
              </w:rPr>
              <w:t>), ūžesys (</w:t>
            </w:r>
            <w:proofErr w:type="spellStart"/>
            <w:r w:rsidRPr="00CE7679">
              <w:rPr>
                <w:rFonts w:eastAsia="SimSun"/>
                <w:i/>
                <w:snapToGrid/>
                <w:szCs w:val="22"/>
                <w:lang w:eastAsia="zh-CN"/>
              </w:rPr>
              <w:t>tinnitus</w:t>
            </w:r>
            <w:proofErr w:type="spellEnd"/>
            <w:r w:rsidRPr="00CE7679">
              <w:rPr>
                <w:rFonts w:eastAsia="SimSun"/>
                <w:snapToGrid/>
                <w:szCs w:val="22"/>
                <w:lang w:eastAsia="zh-CN"/>
              </w:rPr>
              <w:t>), apkurtimas</w:t>
            </w:r>
          </w:p>
        </w:tc>
      </w:tr>
      <w:tr w:rsidR="00701D61" w:rsidRPr="00CE7679" w14:paraId="611CF881" w14:textId="77777777" w:rsidTr="00F30108">
        <w:trPr>
          <w:trHeight w:hRule="exact" w:val="269"/>
        </w:trPr>
        <w:tc>
          <w:tcPr>
            <w:tcW w:w="9246" w:type="dxa"/>
            <w:gridSpan w:val="2"/>
            <w:tcBorders>
              <w:top w:val="single" w:sz="4" w:space="0" w:color="000000"/>
              <w:left w:val="single" w:sz="4" w:space="0" w:color="000000"/>
              <w:bottom w:val="single" w:sz="4" w:space="0" w:color="000000"/>
              <w:right w:val="single" w:sz="4" w:space="0" w:color="000000"/>
            </w:tcBorders>
          </w:tcPr>
          <w:p w14:paraId="5242A0BB"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b/>
                <w:bCs/>
                <w:snapToGrid/>
                <w:szCs w:val="22"/>
                <w:lang w:eastAsia="zh-CN"/>
              </w:rPr>
              <w:t>Širdies sutrikimai</w:t>
            </w:r>
          </w:p>
        </w:tc>
      </w:tr>
      <w:tr w:rsidR="00701D61" w:rsidRPr="00CE7679" w14:paraId="3BD886CD" w14:textId="77777777" w:rsidTr="00F30108">
        <w:trPr>
          <w:trHeight w:hRule="exact" w:val="531"/>
        </w:trPr>
        <w:tc>
          <w:tcPr>
            <w:tcW w:w="2235" w:type="dxa"/>
            <w:tcBorders>
              <w:top w:val="single" w:sz="4" w:space="0" w:color="000000"/>
              <w:left w:val="single" w:sz="4" w:space="0" w:color="000000"/>
              <w:bottom w:val="single" w:sz="4" w:space="0" w:color="000000"/>
              <w:right w:val="single" w:sz="4" w:space="0" w:color="000000"/>
            </w:tcBorders>
          </w:tcPr>
          <w:p w14:paraId="2F764D26" w14:textId="77777777" w:rsidR="00A27597" w:rsidRPr="00CE7679" w:rsidRDefault="00A27597" w:rsidP="00A27597">
            <w:pPr>
              <w:widowControl w:val="0"/>
              <w:autoSpaceDE w:val="0"/>
              <w:autoSpaceDN w:val="0"/>
              <w:adjustRightInd w:val="0"/>
              <w:spacing w:line="240" w:lineRule="auto"/>
              <w:rPr>
                <w:rFonts w:eastAsia="SimSun"/>
                <w:i/>
                <w:snapToGrid/>
                <w:szCs w:val="22"/>
                <w:lang w:eastAsia="zh-CN"/>
              </w:rPr>
            </w:pPr>
            <w:r w:rsidRPr="00CE7679">
              <w:rPr>
                <w:rFonts w:eastAsia="SimSun"/>
                <w:i/>
                <w:iCs/>
                <w:snapToGrid/>
                <w:szCs w:val="22"/>
                <w:lang w:eastAsia="zh-CN"/>
              </w:rPr>
              <w:t>Nedažnas</w:t>
            </w:r>
          </w:p>
        </w:tc>
        <w:tc>
          <w:tcPr>
            <w:tcW w:w="7011" w:type="dxa"/>
            <w:tcBorders>
              <w:top w:val="single" w:sz="4" w:space="0" w:color="000000"/>
              <w:left w:val="single" w:sz="4" w:space="0" w:color="000000"/>
              <w:bottom w:val="single" w:sz="4" w:space="0" w:color="000000"/>
              <w:right w:val="single" w:sz="4" w:space="0" w:color="000000"/>
            </w:tcBorders>
          </w:tcPr>
          <w:p w14:paraId="687A6DF0"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Stiprus ir greitas širdies plakimas, tachikardija, </w:t>
            </w:r>
            <w:proofErr w:type="spellStart"/>
            <w:r w:rsidRPr="00CE7679">
              <w:rPr>
                <w:rFonts w:eastAsia="SimSun"/>
                <w:snapToGrid/>
                <w:szCs w:val="22"/>
                <w:lang w:eastAsia="zh-CN"/>
              </w:rPr>
              <w:t>stazinis</w:t>
            </w:r>
            <w:proofErr w:type="spellEnd"/>
            <w:r w:rsidRPr="00CE7679">
              <w:rPr>
                <w:rFonts w:eastAsia="SimSun"/>
                <w:snapToGrid/>
                <w:szCs w:val="22"/>
                <w:lang w:eastAsia="zh-CN"/>
              </w:rPr>
              <w:t xml:space="preserve"> širdies nepakankamumas</w:t>
            </w:r>
            <w:r w:rsidRPr="00CE7679">
              <w:rPr>
                <w:rFonts w:eastAsia="SimSun"/>
                <w:snapToGrid/>
                <w:szCs w:val="22"/>
                <w:vertAlign w:val="superscript"/>
                <w:lang w:eastAsia="zh-CN"/>
              </w:rPr>
              <w:t>3</w:t>
            </w:r>
            <w:r w:rsidRPr="00CE7679">
              <w:rPr>
                <w:rFonts w:eastAsia="SimSun"/>
                <w:snapToGrid/>
                <w:szCs w:val="22"/>
                <w:lang w:eastAsia="zh-CN"/>
              </w:rPr>
              <w:t>, plaučių edema</w:t>
            </w:r>
          </w:p>
        </w:tc>
      </w:tr>
      <w:tr w:rsidR="00701D61" w:rsidRPr="00CE7679" w14:paraId="6C519CFA" w14:textId="77777777" w:rsidTr="00F30108">
        <w:trPr>
          <w:trHeight w:hRule="exact" w:val="629"/>
        </w:trPr>
        <w:tc>
          <w:tcPr>
            <w:tcW w:w="2235" w:type="dxa"/>
            <w:tcBorders>
              <w:top w:val="single" w:sz="4" w:space="0" w:color="000000"/>
              <w:left w:val="single" w:sz="4" w:space="0" w:color="000000"/>
              <w:bottom w:val="single" w:sz="4" w:space="0" w:color="000000"/>
              <w:right w:val="single" w:sz="4" w:space="0" w:color="000000"/>
            </w:tcBorders>
          </w:tcPr>
          <w:p w14:paraId="7CB82E8D" w14:textId="77777777" w:rsidR="00A27597" w:rsidRPr="00CE7679" w:rsidRDefault="00A27597" w:rsidP="00A27597">
            <w:pPr>
              <w:widowControl w:val="0"/>
              <w:autoSpaceDE w:val="0"/>
              <w:autoSpaceDN w:val="0"/>
              <w:adjustRightInd w:val="0"/>
              <w:spacing w:line="240" w:lineRule="auto"/>
              <w:rPr>
                <w:rFonts w:eastAsia="SimSun"/>
                <w:i/>
                <w:snapToGrid/>
                <w:szCs w:val="22"/>
                <w:lang w:eastAsia="zh-CN"/>
              </w:rPr>
            </w:pPr>
            <w:r w:rsidRPr="00CE7679">
              <w:rPr>
                <w:rFonts w:eastAsia="SimSun"/>
                <w:i/>
                <w:iCs/>
                <w:snapToGrid/>
                <w:szCs w:val="22"/>
                <w:lang w:eastAsia="zh-CN"/>
              </w:rPr>
              <w:t>Retas</w:t>
            </w:r>
          </w:p>
        </w:tc>
        <w:tc>
          <w:tcPr>
            <w:tcW w:w="7011" w:type="dxa"/>
            <w:tcBorders>
              <w:top w:val="single" w:sz="4" w:space="0" w:color="000000"/>
              <w:left w:val="single" w:sz="4" w:space="0" w:color="000000"/>
              <w:bottom w:val="single" w:sz="4" w:space="0" w:color="000000"/>
              <w:right w:val="single" w:sz="4" w:space="0" w:color="000000"/>
            </w:tcBorders>
          </w:tcPr>
          <w:p w14:paraId="40DECD63"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Aritmija, prieširdžių virpėjimas, širdies sustojimas, miokardo infarktas, krūtinės angina, skystis perikarde </w:t>
            </w:r>
          </w:p>
          <w:p w14:paraId="3E7A13AD"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tc>
      </w:tr>
      <w:tr w:rsidR="00701D61" w:rsidRPr="00CE7679" w14:paraId="4C1022B1" w14:textId="77777777" w:rsidTr="00F30108">
        <w:trPr>
          <w:trHeight w:hRule="exact" w:val="306"/>
        </w:trPr>
        <w:tc>
          <w:tcPr>
            <w:tcW w:w="2235" w:type="dxa"/>
            <w:tcBorders>
              <w:top w:val="single" w:sz="4" w:space="0" w:color="000000"/>
              <w:left w:val="single" w:sz="4" w:space="0" w:color="000000"/>
              <w:bottom w:val="single" w:sz="4" w:space="0" w:color="000000"/>
              <w:right w:val="single" w:sz="4" w:space="0" w:color="000000"/>
            </w:tcBorders>
          </w:tcPr>
          <w:p w14:paraId="12000774" w14:textId="77777777" w:rsidR="00A27597" w:rsidRPr="00CE7679" w:rsidRDefault="00A27597" w:rsidP="00A27597">
            <w:pPr>
              <w:widowControl w:val="0"/>
              <w:autoSpaceDE w:val="0"/>
              <w:autoSpaceDN w:val="0"/>
              <w:adjustRightInd w:val="0"/>
              <w:spacing w:line="240" w:lineRule="auto"/>
              <w:rPr>
                <w:rFonts w:eastAsia="SimSun"/>
                <w:i/>
                <w:iCs/>
                <w:snapToGrid/>
                <w:szCs w:val="22"/>
                <w:lang w:eastAsia="zh-CN"/>
              </w:rPr>
            </w:pPr>
            <w:r w:rsidRPr="00CE7679">
              <w:rPr>
                <w:rFonts w:eastAsia="SimSun"/>
                <w:i/>
                <w:iCs/>
                <w:snapToGrid/>
                <w:szCs w:val="22"/>
                <w:lang w:eastAsia="zh-CN"/>
              </w:rPr>
              <w:t>Dažnis nežinomas</w:t>
            </w:r>
          </w:p>
        </w:tc>
        <w:tc>
          <w:tcPr>
            <w:tcW w:w="7011" w:type="dxa"/>
            <w:tcBorders>
              <w:top w:val="single" w:sz="4" w:space="0" w:color="000000"/>
              <w:left w:val="single" w:sz="4" w:space="0" w:color="000000"/>
              <w:bottom w:val="single" w:sz="4" w:space="0" w:color="000000"/>
              <w:right w:val="single" w:sz="4" w:space="0" w:color="000000"/>
            </w:tcBorders>
          </w:tcPr>
          <w:p w14:paraId="262A9E85"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roofErr w:type="spellStart"/>
            <w:r w:rsidRPr="00CE7679">
              <w:rPr>
                <w:rFonts w:eastAsia="SimSun"/>
                <w:snapToGrid/>
                <w:szCs w:val="22"/>
                <w:lang w:eastAsia="zh-CN"/>
              </w:rPr>
              <w:t>Perikarditas</w:t>
            </w:r>
            <w:proofErr w:type="spellEnd"/>
            <w:r w:rsidRPr="00CE7679">
              <w:rPr>
                <w:rFonts w:eastAsia="SimSun"/>
                <w:snapToGrid/>
                <w:szCs w:val="22"/>
                <w:lang w:eastAsia="zh-CN"/>
              </w:rPr>
              <w:t xml:space="preserve">*, širdies </w:t>
            </w:r>
            <w:proofErr w:type="spellStart"/>
            <w:r w:rsidRPr="00CE7679">
              <w:rPr>
                <w:rFonts w:eastAsia="SimSun"/>
                <w:snapToGrid/>
                <w:szCs w:val="22"/>
                <w:lang w:eastAsia="zh-CN"/>
              </w:rPr>
              <w:t>tamponada</w:t>
            </w:r>
            <w:proofErr w:type="spellEnd"/>
            <w:r w:rsidRPr="00CE7679">
              <w:rPr>
                <w:rFonts w:eastAsia="SimSun"/>
                <w:snapToGrid/>
                <w:szCs w:val="22"/>
                <w:lang w:eastAsia="zh-CN"/>
              </w:rPr>
              <w:t>*</w:t>
            </w:r>
          </w:p>
        </w:tc>
      </w:tr>
      <w:tr w:rsidR="00701D61" w:rsidRPr="00CE7679" w14:paraId="505F0902" w14:textId="77777777" w:rsidTr="00F30108">
        <w:trPr>
          <w:trHeight w:hRule="exact" w:val="269"/>
        </w:trPr>
        <w:tc>
          <w:tcPr>
            <w:tcW w:w="9246" w:type="dxa"/>
            <w:gridSpan w:val="2"/>
            <w:tcBorders>
              <w:top w:val="single" w:sz="4" w:space="0" w:color="000000"/>
              <w:left w:val="single" w:sz="4" w:space="0" w:color="000000"/>
              <w:bottom w:val="single" w:sz="4" w:space="0" w:color="000000"/>
              <w:right w:val="single" w:sz="4" w:space="0" w:color="000000"/>
            </w:tcBorders>
          </w:tcPr>
          <w:p w14:paraId="220FB9FE"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b/>
                <w:bCs/>
                <w:snapToGrid/>
                <w:szCs w:val="22"/>
                <w:lang w:eastAsia="zh-CN"/>
              </w:rPr>
              <w:t>Kraujagyslių sutrikimai</w:t>
            </w:r>
            <w:r w:rsidRPr="00CE7679">
              <w:rPr>
                <w:rFonts w:eastAsia="SimSun"/>
                <w:b/>
                <w:bCs/>
                <w:snapToGrid/>
                <w:szCs w:val="22"/>
                <w:vertAlign w:val="superscript"/>
                <w:lang w:eastAsia="zh-CN"/>
              </w:rPr>
              <w:t>4</w:t>
            </w:r>
          </w:p>
        </w:tc>
      </w:tr>
      <w:tr w:rsidR="00701D61" w:rsidRPr="00CE7679" w14:paraId="6C4E1359" w14:textId="77777777" w:rsidTr="00F30108">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68E9735B" w14:textId="77777777" w:rsidR="00A27597" w:rsidRPr="00CE7679" w:rsidRDefault="00A27597" w:rsidP="00A27597">
            <w:pPr>
              <w:widowControl w:val="0"/>
              <w:autoSpaceDE w:val="0"/>
              <w:autoSpaceDN w:val="0"/>
              <w:adjustRightInd w:val="0"/>
              <w:spacing w:line="240" w:lineRule="auto"/>
              <w:rPr>
                <w:rFonts w:eastAsia="SimSun"/>
                <w:i/>
                <w:snapToGrid/>
                <w:szCs w:val="22"/>
                <w:lang w:eastAsia="zh-CN"/>
              </w:rPr>
            </w:pPr>
            <w:r w:rsidRPr="00CE7679">
              <w:rPr>
                <w:rFonts w:eastAsia="SimSun"/>
                <w:i/>
                <w:iCs/>
                <w:snapToGrid/>
                <w:szCs w:val="22"/>
                <w:lang w:eastAsia="zh-CN"/>
              </w:rPr>
              <w:t>Dažnas</w:t>
            </w:r>
          </w:p>
        </w:tc>
        <w:tc>
          <w:tcPr>
            <w:tcW w:w="7011" w:type="dxa"/>
            <w:tcBorders>
              <w:top w:val="single" w:sz="4" w:space="0" w:color="000000"/>
              <w:left w:val="single" w:sz="4" w:space="0" w:color="000000"/>
              <w:bottom w:val="single" w:sz="4" w:space="0" w:color="000000"/>
              <w:right w:val="single" w:sz="4" w:space="0" w:color="000000"/>
            </w:tcBorders>
          </w:tcPr>
          <w:p w14:paraId="5EFB5DE5"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Trumpalaikis veido ir kaklo paraudimas, </w:t>
            </w:r>
            <w:proofErr w:type="spellStart"/>
            <w:r w:rsidRPr="00CE7679">
              <w:rPr>
                <w:rFonts w:eastAsia="SimSun"/>
                <w:snapToGrid/>
                <w:szCs w:val="22"/>
                <w:lang w:eastAsia="zh-CN"/>
              </w:rPr>
              <w:t>hemoragija</w:t>
            </w:r>
            <w:proofErr w:type="spellEnd"/>
          </w:p>
        </w:tc>
      </w:tr>
      <w:tr w:rsidR="00701D61" w:rsidRPr="00CE7679" w14:paraId="3F8C3483" w14:textId="77777777" w:rsidTr="00F30108">
        <w:trPr>
          <w:trHeight w:hRule="exact" w:val="559"/>
        </w:trPr>
        <w:tc>
          <w:tcPr>
            <w:tcW w:w="2235" w:type="dxa"/>
            <w:tcBorders>
              <w:top w:val="single" w:sz="4" w:space="0" w:color="000000"/>
              <w:left w:val="single" w:sz="4" w:space="0" w:color="000000"/>
              <w:bottom w:val="single" w:sz="4" w:space="0" w:color="000000"/>
              <w:right w:val="single" w:sz="4" w:space="0" w:color="000000"/>
            </w:tcBorders>
          </w:tcPr>
          <w:p w14:paraId="0A493286" w14:textId="77777777" w:rsidR="00A27597" w:rsidRPr="00CE7679" w:rsidRDefault="00A27597" w:rsidP="00A27597">
            <w:pPr>
              <w:widowControl w:val="0"/>
              <w:autoSpaceDE w:val="0"/>
              <w:autoSpaceDN w:val="0"/>
              <w:adjustRightInd w:val="0"/>
              <w:spacing w:line="240" w:lineRule="auto"/>
              <w:rPr>
                <w:rFonts w:eastAsia="SimSun"/>
                <w:i/>
                <w:snapToGrid/>
                <w:szCs w:val="22"/>
                <w:lang w:eastAsia="zh-CN"/>
              </w:rPr>
            </w:pPr>
            <w:r w:rsidRPr="00CE7679">
              <w:rPr>
                <w:rFonts w:eastAsia="SimSun"/>
                <w:i/>
                <w:iCs/>
                <w:snapToGrid/>
                <w:szCs w:val="22"/>
                <w:lang w:eastAsia="zh-CN"/>
              </w:rPr>
              <w:t>Nedažnas</w:t>
            </w:r>
          </w:p>
        </w:tc>
        <w:tc>
          <w:tcPr>
            <w:tcW w:w="7011" w:type="dxa"/>
            <w:tcBorders>
              <w:top w:val="single" w:sz="4" w:space="0" w:color="000000"/>
              <w:left w:val="single" w:sz="4" w:space="0" w:color="000000"/>
              <w:bottom w:val="single" w:sz="4" w:space="0" w:color="000000"/>
              <w:right w:val="single" w:sz="4" w:space="0" w:color="000000"/>
            </w:tcBorders>
          </w:tcPr>
          <w:p w14:paraId="3523F574"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Hipertenzija,  hematoma, </w:t>
            </w:r>
            <w:proofErr w:type="spellStart"/>
            <w:r w:rsidRPr="00CE7679">
              <w:rPr>
                <w:rFonts w:eastAsia="SimSun"/>
                <w:snapToGrid/>
                <w:szCs w:val="22"/>
                <w:lang w:eastAsia="zh-CN"/>
              </w:rPr>
              <w:t>subdurinė</w:t>
            </w:r>
            <w:proofErr w:type="spellEnd"/>
            <w:r w:rsidRPr="00CE7679">
              <w:rPr>
                <w:rFonts w:eastAsia="SimSun"/>
                <w:snapToGrid/>
                <w:szCs w:val="22"/>
                <w:lang w:eastAsia="zh-CN"/>
              </w:rPr>
              <w:t xml:space="preserve"> hematoma, periferinis šalimas, </w:t>
            </w:r>
            <w:proofErr w:type="spellStart"/>
            <w:r w:rsidRPr="00CE7679">
              <w:rPr>
                <w:rFonts w:eastAsia="SimSun"/>
                <w:snapToGrid/>
                <w:szCs w:val="22"/>
                <w:lang w:eastAsia="zh-CN"/>
              </w:rPr>
              <w:t>hipotenzija</w:t>
            </w:r>
            <w:proofErr w:type="spellEnd"/>
            <w:r w:rsidRPr="00CE7679">
              <w:rPr>
                <w:rFonts w:eastAsia="SimSun"/>
                <w:snapToGrid/>
                <w:szCs w:val="22"/>
                <w:lang w:eastAsia="zh-CN"/>
              </w:rPr>
              <w:t>, Reino (</w:t>
            </w:r>
            <w:proofErr w:type="spellStart"/>
            <w:r w:rsidRPr="00CE7679">
              <w:rPr>
                <w:rFonts w:eastAsia="SimSun"/>
                <w:i/>
                <w:snapToGrid/>
                <w:szCs w:val="22"/>
                <w:lang w:eastAsia="zh-CN"/>
              </w:rPr>
              <w:t>Raynaud</w:t>
            </w:r>
            <w:proofErr w:type="spellEnd"/>
            <w:r w:rsidRPr="00CE7679">
              <w:rPr>
                <w:rFonts w:eastAsia="SimSun"/>
                <w:snapToGrid/>
                <w:szCs w:val="22"/>
                <w:lang w:eastAsia="zh-CN"/>
              </w:rPr>
              <w:t>) fenomenas</w:t>
            </w:r>
          </w:p>
        </w:tc>
      </w:tr>
      <w:tr w:rsidR="00A27597" w:rsidRPr="00CE7679" w14:paraId="35C01D98" w14:textId="77777777" w:rsidTr="00F30108">
        <w:trPr>
          <w:trHeight w:hRule="exact" w:val="311"/>
        </w:trPr>
        <w:tc>
          <w:tcPr>
            <w:tcW w:w="2235" w:type="dxa"/>
            <w:tcBorders>
              <w:top w:val="single" w:sz="4" w:space="0" w:color="000000"/>
              <w:left w:val="single" w:sz="4" w:space="0" w:color="000000"/>
              <w:bottom w:val="single" w:sz="4" w:space="0" w:color="000000"/>
              <w:right w:val="single" w:sz="4" w:space="0" w:color="000000"/>
            </w:tcBorders>
          </w:tcPr>
          <w:p w14:paraId="00C76979" w14:textId="77777777" w:rsidR="00A27597" w:rsidRPr="00CE7679" w:rsidRDefault="00A27597" w:rsidP="00A27597">
            <w:pPr>
              <w:widowControl w:val="0"/>
              <w:autoSpaceDE w:val="0"/>
              <w:autoSpaceDN w:val="0"/>
              <w:adjustRightInd w:val="0"/>
              <w:spacing w:line="240" w:lineRule="auto"/>
              <w:rPr>
                <w:rFonts w:eastAsia="SimSun"/>
                <w:i/>
                <w:iCs/>
                <w:snapToGrid/>
                <w:szCs w:val="22"/>
                <w:lang w:eastAsia="zh-CN"/>
              </w:rPr>
            </w:pPr>
            <w:r w:rsidRPr="00CE7679">
              <w:rPr>
                <w:rFonts w:eastAsia="SimSun"/>
                <w:i/>
                <w:iCs/>
                <w:snapToGrid/>
                <w:szCs w:val="22"/>
                <w:lang w:eastAsia="zh-CN"/>
              </w:rPr>
              <w:lastRenderedPageBreak/>
              <w:t>Dažnis nežinomas</w:t>
            </w:r>
          </w:p>
        </w:tc>
        <w:tc>
          <w:tcPr>
            <w:tcW w:w="7011" w:type="dxa"/>
            <w:tcBorders>
              <w:top w:val="single" w:sz="4" w:space="0" w:color="000000"/>
              <w:left w:val="single" w:sz="4" w:space="0" w:color="000000"/>
              <w:bottom w:val="single" w:sz="4" w:space="0" w:color="000000"/>
              <w:right w:val="single" w:sz="4" w:space="0" w:color="000000"/>
            </w:tcBorders>
          </w:tcPr>
          <w:p w14:paraId="7D25FF4D"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Trombozė/embolija*</w:t>
            </w:r>
          </w:p>
        </w:tc>
      </w:tr>
    </w:tbl>
    <w:p w14:paraId="263C0F89"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tbl>
      <w:tblPr>
        <w:tblW w:w="0" w:type="auto"/>
        <w:tblInd w:w="105" w:type="dxa"/>
        <w:tblLayout w:type="fixed"/>
        <w:tblCellMar>
          <w:left w:w="0" w:type="dxa"/>
          <w:right w:w="0" w:type="dxa"/>
        </w:tblCellMar>
        <w:tblLook w:val="0000" w:firstRow="0" w:lastRow="0" w:firstColumn="0" w:lastColumn="0" w:noHBand="0" w:noVBand="0"/>
      </w:tblPr>
      <w:tblGrid>
        <w:gridCol w:w="2235"/>
        <w:gridCol w:w="7089"/>
      </w:tblGrid>
      <w:tr w:rsidR="00701D61" w:rsidRPr="00CE7679" w14:paraId="74F1385A" w14:textId="77777777" w:rsidTr="00A27597">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14:paraId="692CC0E6"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b/>
                <w:bCs/>
                <w:snapToGrid/>
                <w:szCs w:val="22"/>
                <w:lang w:eastAsia="zh-CN"/>
              </w:rPr>
              <w:t>Kvėpavimo sistemos, krūtinės ląstos ir tarpuplaučio sutrikimai</w:t>
            </w:r>
          </w:p>
        </w:tc>
      </w:tr>
      <w:tr w:rsidR="00701D61" w:rsidRPr="00CE7679" w14:paraId="39C123C1" w14:textId="77777777" w:rsidTr="00A27597">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14:paraId="650BDE1D" w14:textId="77777777" w:rsidR="00A27597" w:rsidRPr="00CE7679" w:rsidRDefault="00A27597" w:rsidP="00A27597">
            <w:pPr>
              <w:widowControl w:val="0"/>
              <w:autoSpaceDE w:val="0"/>
              <w:autoSpaceDN w:val="0"/>
              <w:adjustRightInd w:val="0"/>
              <w:spacing w:line="240" w:lineRule="auto"/>
              <w:rPr>
                <w:rFonts w:eastAsia="SimSun"/>
                <w:i/>
                <w:snapToGrid/>
                <w:szCs w:val="22"/>
                <w:lang w:eastAsia="zh-CN"/>
              </w:rPr>
            </w:pPr>
            <w:r w:rsidRPr="00CE7679">
              <w:rPr>
                <w:rFonts w:eastAsia="SimSun"/>
                <w:i/>
                <w:iCs/>
                <w:snapToGrid/>
                <w:szCs w:val="22"/>
                <w:lang w:eastAsia="zh-CN"/>
              </w:rPr>
              <w:t>Dažnas</w:t>
            </w:r>
          </w:p>
        </w:tc>
        <w:tc>
          <w:tcPr>
            <w:tcW w:w="7089" w:type="dxa"/>
            <w:tcBorders>
              <w:top w:val="single" w:sz="4" w:space="0" w:color="000000"/>
              <w:left w:val="single" w:sz="4" w:space="0" w:color="000000"/>
              <w:bottom w:val="single" w:sz="4" w:space="0" w:color="000000"/>
              <w:right w:val="single" w:sz="4" w:space="0" w:color="000000"/>
            </w:tcBorders>
          </w:tcPr>
          <w:p w14:paraId="1354DD79"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Dusulys, kraujavimas iš nosies, kosulys</w:t>
            </w:r>
          </w:p>
        </w:tc>
      </w:tr>
      <w:tr w:rsidR="00701D61" w:rsidRPr="00CE7679" w14:paraId="0A60CA2B" w14:textId="77777777" w:rsidTr="00A27597">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418570D0" w14:textId="77777777" w:rsidR="00A27597" w:rsidRPr="00CE7679" w:rsidRDefault="00A27597" w:rsidP="00A27597">
            <w:pPr>
              <w:widowControl w:val="0"/>
              <w:autoSpaceDE w:val="0"/>
              <w:autoSpaceDN w:val="0"/>
              <w:adjustRightInd w:val="0"/>
              <w:spacing w:line="240" w:lineRule="auto"/>
              <w:rPr>
                <w:rFonts w:eastAsia="SimSun"/>
                <w:i/>
                <w:snapToGrid/>
                <w:szCs w:val="22"/>
                <w:lang w:eastAsia="zh-CN"/>
              </w:rPr>
            </w:pPr>
            <w:r w:rsidRPr="00CE7679">
              <w:rPr>
                <w:rFonts w:eastAsia="SimSun"/>
                <w:i/>
                <w:iCs/>
                <w:snapToGrid/>
                <w:szCs w:val="22"/>
                <w:lang w:eastAsia="zh-CN"/>
              </w:rPr>
              <w:t>Nedažnas</w:t>
            </w:r>
          </w:p>
        </w:tc>
        <w:tc>
          <w:tcPr>
            <w:tcW w:w="7089" w:type="dxa"/>
            <w:tcBorders>
              <w:top w:val="single" w:sz="4" w:space="0" w:color="000000"/>
              <w:left w:val="single" w:sz="4" w:space="0" w:color="000000"/>
              <w:bottom w:val="single" w:sz="4" w:space="0" w:color="000000"/>
              <w:right w:val="single" w:sz="4" w:space="0" w:color="000000"/>
            </w:tcBorders>
          </w:tcPr>
          <w:p w14:paraId="3745C344"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Skystis pleuros ertmėje</w:t>
            </w:r>
            <w:r w:rsidRPr="00CE7679">
              <w:rPr>
                <w:rFonts w:eastAsia="SimSun"/>
                <w:snapToGrid/>
                <w:szCs w:val="22"/>
                <w:vertAlign w:val="superscript"/>
                <w:lang w:eastAsia="zh-CN"/>
              </w:rPr>
              <w:t>5</w:t>
            </w:r>
            <w:r w:rsidRPr="00CE7679">
              <w:rPr>
                <w:rFonts w:eastAsia="SimSun"/>
                <w:snapToGrid/>
                <w:szCs w:val="22"/>
                <w:lang w:eastAsia="zh-CN"/>
              </w:rPr>
              <w:t xml:space="preserve">, ryklės ir gerklų skausmas, </w:t>
            </w:r>
            <w:proofErr w:type="spellStart"/>
            <w:r w:rsidRPr="00CE7679">
              <w:rPr>
                <w:rFonts w:eastAsia="SimSun"/>
                <w:snapToGrid/>
                <w:szCs w:val="22"/>
                <w:lang w:eastAsia="zh-CN"/>
              </w:rPr>
              <w:t>faringitas</w:t>
            </w:r>
            <w:proofErr w:type="spellEnd"/>
          </w:p>
        </w:tc>
      </w:tr>
      <w:tr w:rsidR="00701D61" w:rsidRPr="00CE7679" w14:paraId="7F04E30C" w14:textId="77777777" w:rsidTr="00A27597">
        <w:trPr>
          <w:trHeight w:hRule="exact" w:val="639"/>
        </w:trPr>
        <w:tc>
          <w:tcPr>
            <w:tcW w:w="2235" w:type="dxa"/>
            <w:tcBorders>
              <w:top w:val="single" w:sz="4" w:space="0" w:color="000000"/>
              <w:left w:val="single" w:sz="4" w:space="0" w:color="000000"/>
              <w:bottom w:val="single" w:sz="4" w:space="0" w:color="000000"/>
              <w:right w:val="single" w:sz="4" w:space="0" w:color="000000"/>
            </w:tcBorders>
          </w:tcPr>
          <w:p w14:paraId="3E388B85" w14:textId="77777777" w:rsidR="00A27597" w:rsidRPr="00CE7679" w:rsidRDefault="00A27597" w:rsidP="00A27597">
            <w:pPr>
              <w:widowControl w:val="0"/>
              <w:autoSpaceDE w:val="0"/>
              <w:autoSpaceDN w:val="0"/>
              <w:adjustRightInd w:val="0"/>
              <w:spacing w:line="240" w:lineRule="auto"/>
              <w:rPr>
                <w:rFonts w:eastAsia="SimSun"/>
                <w:i/>
                <w:snapToGrid/>
                <w:szCs w:val="22"/>
                <w:lang w:eastAsia="zh-CN"/>
              </w:rPr>
            </w:pPr>
            <w:r w:rsidRPr="00CE7679">
              <w:rPr>
                <w:rFonts w:eastAsia="SimSun"/>
                <w:i/>
                <w:iCs/>
                <w:snapToGrid/>
                <w:szCs w:val="22"/>
                <w:lang w:eastAsia="zh-CN"/>
              </w:rPr>
              <w:t>Retas</w:t>
            </w:r>
          </w:p>
        </w:tc>
        <w:tc>
          <w:tcPr>
            <w:tcW w:w="7089" w:type="dxa"/>
            <w:tcBorders>
              <w:top w:val="single" w:sz="4" w:space="0" w:color="000000"/>
              <w:left w:val="single" w:sz="4" w:space="0" w:color="000000"/>
              <w:bottom w:val="single" w:sz="4" w:space="0" w:color="000000"/>
              <w:right w:val="single" w:sz="4" w:space="0" w:color="000000"/>
            </w:tcBorders>
          </w:tcPr>
          <w:p w14:paraId="1A4D3420"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roofErr w:type="spellStart"/>
            <w:r w:rsidRPr="00CE7679">
              <w:rPr>
                <w:rFonts w:eastAsia="SimSun"/>
                <w:snapToGrid/>
                <w:szCs w:val="22"/>
                <w:lang w:eastAsia="zh-CN"/>
              </w:rPr>
              <w:t>Pleuritinis</w:t>
            </w:r>
            <w:proofErr w:type="spellEnd"/>
            <w:r w:rsidRPr="00CE7679">
              <w:rPr>
                <w:rFonts w:eastAsia="SimSun"/>
                <w:snapToGrid/>
                <w:szCs w:val="22"/>
                <w:lang w:eastAsia="zh-CN"/>
              </w:rPr>
              <w:t xml:space="preserve"> skausmas, plaučių fibrozė, plaučių hipertenzija, kraujavimas iš plaučių </w:t>
            </w:r>
          </w:p>
          <w:p w14:paraId="1ED57C0E"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tc>
      </w:tr>
      <w:tr w:rsidR="00701D61" w:rsidRPr="00CE7679" w14:paraId="26E7929E" w14:textId="77777777" w:rsidTr="00A27597">
        <w:trPr>
          <w:trHeight w:hRule="exact" w:val="284"/>
        </w:trPr>
        <w:tc>
          <w:tcPr>
            <w:tcW w:w="2235" w:type="dxa"/>
            <w:tcBorders>
              <w:top w:val="single" w:sz="4" w:space="0" w:color="000000"/>
              <w:left w:val="single" w:sz="4" w:space="0" w:color="000000"/>
              <w:bottom w:val="single" w:sz="4" w:space="0" w:color="000000"/>
              <w:right w:val="single" w:sz="4" w:space="0" w:color="000000"/>
            </w:tcBorders>
          </w:tcPr>
          <w:p w14:paraId="79874BE0" w14:textId="77777777" w:rsidR="00A27597" w:rsidRPr="00CE7679" w:rsidRDefault="00A27597" w:rsidP="00A27597">
            <w:pPr>
              <w:widowControl w:val="0"/>
              <w:autoSpaceDE w:val="0"/>
              <w:autoSpaceDN w:val="0"/>
              <w:adjustRightInd w:val="0"/>
              <w:spacing w:line="240" w:lineRule="auto"/>
              <w:rPr>
                <w:rFonts w:eastAsia="SimSun"/>
                <w:i/>
                <w:iCs/>
                <w:snapToGrid/>
                <w:szCs w:val="22"/>
                <w:lang w:eastAsia="zh-CN"/>
              </w:rPr>
            </w:pPr>
            <w:r w:rsidRPr="00CE7679">
              <w:rPr>
                <w:rFonts w:eastAsia="SimSun"/>
                <w:i/>
                <w:iCs/>
                <w:snapToGrid/>
                <w:szCs w:val="22"/>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14:paraId="5676CEC7" w14:textId="1B56CC88"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Ūminis kvėpavimo nepakankamumas</w:t>
            </w:r>
            <w:r w:rsidRPr="00CE7679">
              <w:rPr>
                <w:rFonts w:eastAsia="SimSun"/>
                <w:snapToGrid/>
                <w:szCs w:val="22"/>
                <w:vertAlign w:val="superscript"/>
                <w:lang w:eastAsia="zh-CN"/>
              </w:rPr>
              <w:t>1</w:t>
            </w:r>
            <w:r w:rsidR="007A55D3">
              <w:rPr>
                <w:rFonts w:eastAsia="SimSun"/>
                <w:snapToGrid/>
                <w:szCs w:val="22"/>
                <w:vertAlign w:val="superscript"/>
                <w:lang w:eastAsia="zh-CN"/>
              </w:rPr>
              <w:t>1</w:t>
            </w:r>
            <w:r w:rsidRPr="00CE7679">
              <w:rPr>
                <w:rFonts w:eastAsia="SimSun"/>
                <w:snapToGrid/>
                <w:szCs w:val="22"/>
                <w:lang w:eastAsia="zh-CN"/>
              </w:rPr>
              <w:t xml:space="preserve">*, </w:t>
            </w:r>
            <w:proofErr w:type="spellStart"/>
            <w:r w:rsidRPr="00CE7679">
              <w:rPr>
                <w:rFonts w:eastAsia="SimSun"/>
                <w:snapToGrid/>
                <w:szCs w:val="22"/>
                <w:lang w:eastAsia="zh-CN"/>
              </w:rPr>
              <w:t>intersticinė</w:t>
            </w:r>
            <w:proofErr w:type="spellEnd"/>
            <w:r w:rsidRPr="00CE7679">
              <w:rPr>
                <w:rFonts w:eastAsia="SimSun"/>
                <w:snapToGrid/>
                <w:szCs w:val="22"/>
                <w:lang w:eastAsia="zh-CN"/>
              </w:rPr>
              <w:t xml:space="preserve"> plaučių liga*</w:t>
            </w:r>
          </w:p>
        </w:tc>
      </w:tr>
      <w:tr w:rsidR="00701D61" w:rsidRPr="00CE7679" w14:paraId="528DD384" w14:textId="77777777" w:rsidTr="00A27597">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14:paraId="1CF08793"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b/>
                <w:bCs/>
                <w:snapToGrid/>
                <w:szCs w:val="22"/>
                <w:lang w:eastAsia="zh-CN"/>
              </w:rPr>
              <w:t>Virškinimo trakto sutrikimai</w:t>
            </w:r>
          </w:p>
        </w:tc>
      </w:tr>
      <w:tr w:rsidR="00701D61" w:rsidRPr="00CE7679" w14:paraId="323DE5E6" w14:textId="77777777" w:rsidTr="00A27597">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25F842E0" w14:textId="77777777" w:rsidR="00A27597" w:rsidRPr="00CE7679" w:rsidRDefault="00A27597" w:rsidP="00A27597">
            <w:pPr>
              <w:widowControl w:val="0"/>
              <w:autoSpaceDE w:val="0"/>
              <w:autoSpaceDN w:val="0"/>
              <w:adjustRightInd w:val="0"/>
              <w:spacing w:line="240" w:lineRule="auto"/>
              <w:rPr>
                <w:rFonts w:eastAsia="SimSun"/>
                <w:i/>
                <w:snapToGrid/>
                <w:szCs w:val="22"/>
                <w:lang w:eastAsia="zh-CN"/>
              </w:rPr>
            </w:pPr>
            <w:r w:rsidRPr="00CE7679">
              <w:rPr>
                <w:rFonts w:eastAsia="SimSun"/>
                <w:i/>
                <w:iCs/>
                <w:snapToGrid/>
                <w:szCs w:val="22"/>
                <w:lang w:eastAsia="zh-CN"/>
              </w:rPr>
              <w:t>Labai dažnas</w:t>
            </w:r>
          </w:p>
        </w:tc>
        <w:tc>
          <w:tcPr>
            <w:tcW w:w="7089" w:type="dxa"/>
            <w:tcBorders>
              <w:top w:val="single" w:sz="4" w:space="0" w:color="000000"/>
              <w:left w:val="single" w:sz="4" w:space="0" w:color="000000"/>
              <w:bottom w:val="single" w:sz="4" w:space="0" w:color="000000"/>
              <w:right w:val="single" w:sz="4" w:space="0" w:color="000000"/>
            </w:tcBorders>
          </w:tcPr>
          <w:p w14:paraId="402A4FA3"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Pykinimas, viduriavimas, vėmimas, dispepsija, pilvo skausmas</w:t>
            </w:r>
            <w:r w:rsidRPr="00CE7679">
              <w:rPr>
                <w:rFonts w:eastAsia="SimSun"/>
                <w:snapToGrid/>
                <w:szCs w:val="22"/>
                <w:vertAlign w:val="superscript"/>
                <w:lang w:eastAsia="zh-CN"/>
              </w:rPr>
              <w:t>6</w:t>
            </w:r>
          </w:p>
        </w:tc>
      </w:tr>
      <w:tr w:rsidR="00701D61" w:rsidRPr="00CE7679" w14:paraId="0717C755" w14:textId="77777777" w:rsidTr="00A27597">
        <w:trPr>
          <w:trHeight w:hRule="exact" w:val="530"/>
        </w:trPr>
        <w:tc>
          <w:tcPr>
            <w:tcW w:w="2235" w:type="dxa"/>
            <w:tcBorders>
              <w:top w:val="single" w:sz="4" w:space="0" w:color="000000"/>
              <w:left w:val="single" w:sz="4" w:space="0" w:color="000000"/>
              <w:bottom w:val="single" w:sz="4" w:space="0" w:color="000000"/>
              <w:right w:val="single" w:sz="4" w:space="0" w:color="000000"/>
            </w:tcBorders>
          </w:tcPr>
          <w:p w14:paraId="0BA97F8D" w14:textId="77777777" w:rsidR="00A27597" w:rsidRPr="00CE7679" w:rsidRDefault="00A27597" w:rsidP="00A27597">
            <w:pPr>
              <w:widowControl w:val="0"/>
              <w:autoSpaceDE w:val="0"/>
              <w:autoSpaceDN w:val="0"/>
              <w:adjustRightInd w:val="0"/>
              <w:spacing w:line="240" w:lineRule="auto"/>
              <w:rPr>
                <w:rFonts w:eastAsia="SimSun"/>
                <w:i/>
                <w:snapToGrid/>
                <w:szCs w:val="22"/>
                <w:lang w:eastAsia="zh-CN"/>
              </w:rPr>
            </w:pPr>
            <w:r w:rsidRPr="00CE7679">
              <w:rPr>
                <w:rFonts w:eastAsia="SimSun"/>
                <w:i/>
                <w:iCs/>
                <w:snapToGrid/>
                <w:szCs w:val="22"/>
                <w:lang w:eastAsia="zh-CN"/>
              </w:rPr>
              <w:t>Dažnas</w:t>
            </w:r>
          </w:p>
        </w:tc>
        <w:tc>
          <w:tcPr>
            <w:tcW w:w="7089" w:type="dxa"/>
            <w:tcBorders>
              <w:top w:val="single" w:sz="4" w:space="0" w:color="000000"/>
              <w:left w:val="single" w:sz="4" w:space="0" w:color="000000"/>
              <w:bottom w:val="single" w:sz="4" w:space="0" w:color="000000"/>
              <w:right w:val="single" w:sz="4" w:space="0" w:color="000000"/>
            </w:tcBorders>
          </w:tcPr>
          <w:p w14:paraId="008EF348"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Dujų susikaupimas žarnyne, pilvo pūtimas, </w:t>
            </w:r>
            <w:proofErr w:type="spellStart"/>
            <w:r w:rsidRPr="00CE7679">
              <w:rPr>
                <w:rFonts w:eastAsia="SimSun"/>
                <w:snapToGrid/>
                <w:szCs w:val="22"/>
                <w:lang w:eastAsia="zh-CN"/>
              </w:rPr>
              <w:t>gastroezofaginis</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refliuksas</w:t>
            </w:r>
            <w:proofErr w:type="spellEnd"/>
            <w:r w:rsidRPr="00CE7679">
              <w:rPr>
                <w:rFonts w:eastAsia="SimSun"/>
                <w:snapToGrid/>
                <w:szCs w:val="22"/>
                <w:lang w:eastAsia="zh-CN"/>
              </w:rPr>
              <w:t>, vidurių užkietėjimas, burnos džiūvimas, gastritas</w:t>
            </w:r>
          </w:p>
        </w:tc>
      </w:tr>
      <w:tr w:rsidR="00701D61" w:rsidRPr="00CE7679" w14:paraId="2D3D2640" w14:textId="77777777" w:rsidTr="00A27597">
        <w:trPr>
          <w:trHeight w:hRule="exact" w:val="918"/>
        </w:trPr>
        <w:tc>
          <w:tcPr>
            <w:tcW w:w="2235" w:type="dxa"/>
            <w:tcBorders>
              <w:top w:val="single" w:sz="4" w:space="0" w:color="000000"/>
              <w:left w:val="single" w:sz="4" w:space="0" w:color="000000"/>
              <w:bottom w:val="single" w:sz="4" w:space="0" w:color="000000"/>
              <w:right w:val="single" w:sz="4" w:space="0" w:color="000000"/>
            </w:tcBorders>
          </w:tcPr>
          <w:p w14:paraId="3646C7DF" w14:textId="77777777" w:rsidR="00A27597" w:rsidRPr="00CE7679" w:rsidRDefault="00A27597" w:rsidP="00A27597">
            <w:pPr>
              <w:widowControl w:val="0"/>
              <w:autoSpaceDE w:val="0"/>
              <w:autoSpaceDN w:val="0"/>
              <w:adjustRightInd w:val="0"/>
              <w:spacing w:line="240" w:lineRule="auto"/>
              <w:rPr>
                <w:rFonts w:eastAsia="SimSun"/>
                <w:i/>
                <w:snapToGrid/>
                <w:szCs w:val="22"/>
                <w:lang w:eastAsia="zh-CN"/>
              </w:rPr>
            </w:pPr>
            <w:r w:rsidRPr="00CE7679">
              <w:rPr>
                <w:rFonts w:eastAsia="SimSun"/>
                <w:i/>
                <w:iCs/>
                <w:snapToGrid/>
                <w:szCs w:val="22"/>
                <w:lang w:eastAsia="zh-CN"/>
              </w:rPr>
              <w:t>Nedažnas</w:t>
            </w:r>
          </w:p>
        </w:tc>
        <w:tc>
          <w:tcPr>
            <w:tcW w:w="7089" w:type="dxa"/>
            <w:tcBorders>
              <w:top w:val="single" w:sz="4" w:space="0" w:color="000000"/>
              <w:left w:val="single" w:sz="4" w:space="0" w:color="000000"/>
              <w:bottom w:val="single" w:sz="4" w:space="0" w:color="000000"/>
              <w:right w:val="single" w:sz="4" w:space="0" w:color="000000"/>
            </w:tcBorders>
          </w:tcPr>
          <w:p w14:paraId="546E79A2"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Stomatitas, burnos išopėjimas, kraujavimas iš virškinimo trakto</w:t>
            </w:r>
            <w:r w:rsidRPr="00CE7679">
              <w:rPr>
                <w:rFonts w:eastAsia="SimSun"/>
                <w:snapToGrid/>
                <w:szCs w:val="22"/>
                <w:vertAlign w:val="superscript"/>
                <w:lang w:eastAsia="zh-CN"/>
              </w:rPr>
              <w:t>7</w:t>
            </w:r>
            <w:r w:rsidRPr="00CE7679">
              <w:rPr>
                <w:rFonts w:eastAsia="SimSun"/>
                <w:snapToGrid/>
                <w:szCs w:val="22"/>
                <w:lang w:eastAsia="zh-CN"/>
              </w:rPr>
              <w:t xml:space="preserve">, raugulys, </w:t>
            </w:r>
            <w:proofErr w:type="spellStart"/>
            <w:r w:rsidRPr="00CE7679">
              <w:rPr>
                <w:rFonts w:eastAsia="SimSun"/>
                <w:snapToGrid/>
                <w:szCs w:val="22"/>
                <w:lang w:eastAsia="zh-CN"/>
              </w:rPr>
              <w:t>melena</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ezofagitas</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ascitas</w:t>
            </w:r>
            <w:proofErr w:type="spellEnd"/>
            <w:r w:rsidRPr="00CE7679">
              <w:rPr>
                <w:rFonts w:eastAsia="SimSun"/>
                <w:snapToGrid/>
                <w:szCs w:val="22"/>
                <w:lang w:eastAsia="zh-CN"/>
              </w:rPr>
              <w:t xml:space="preserve">, skrandžio opa, </w:t>
            </w:r>
            <w:proofErr w:type="spellStart"/>
            <w:r w:rsidRPr="00CE7679">
              <w:rPr>
                <w:rFonts w:eastAsia="SimSun"/>
                <w:snapToGrid/>
                <w:szCs w:val="22"/>
                <w:lang w:eastAsia="zh-CN"/>
              </w:rPr>
              <w:t>hematemezė</w:t>
            </w:r>
            <w:proofErr w:type="spellEnd"/>
            <w:r w:rsidRPr="00CE7679">
              <w:rPr>
                <w:rFonts w:eastAsia="SimSun"/>
                <w:snapToGrid/>
                <w:szCs w:val="22"/>
                <w:lang w:eastAsia="zh-CN"/>
              </w:rPr>
              <w:t xml:space="preserve">, lūpos uždegimas, </w:t>
            </w:r>
            <w:proofErr w:type="spellStart"/>
            <w:r w:rsidRPr="00CE7679">
              <w:rPr>
                <w:rFonts w:eastAsia="SimSun"/>
                <w:snapToGrid/>
                <w:szCs w:val="22"/>
                <w:lang w:eastAsia="zh-CN"/>
              </w:rPr>
              <w:t>disfagija</w:t>
            </w:r>
            <w:proofErr w:type="spellEnd"/>
            <w:r w:rsidRPr="00CE7679">
              <w:rPr>
                <w:rFonts w:eastAsia="SimSun"/>
                <w:snapToGrid/>
                <w:szCs w:val="22"/>
                <w:lang w:eastAsia="zh-CN"/>
              </w:rPr>
              <w:t xml:space="preserve">, pankreatitas </w:t>
            </w:r>
          </w:p>
        </w:tc>
      </w:tr>
      <w:tr w:rsidR="00701D61" w:rsidRPr="00CE7679" w14:paraId="77152CDE" w14:textId="77777777" w:rsidTr="00A27597">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14:paraId="1DF13C65" w14:textId="77777777" w:rsidR="00A27597" w:rsidRPr="00CE7679" w:rsidRDefault="00A27597" w:rsidP="00A27597">
            <w:pPr>
              <w:widowControl w:val="0"/>
              <w:autoSpaceDE w:val="0"/>
              <w:autoSpaceDN w:val="0"/>
              <w:adjustRightInd w:val="0"/>
              <w:spacing w:line="240" w:lineRule="auto"/>
              <w:rPr>
                <w:rFonts w:eastAsia="SimSun"/>
                <w:i/>
                <w:snapToGrid/>
                <w:szCs w:val="22"/>
                <w:lang w:eastAsia="zh-CN"/>
              </w:rPr>
            </w:pPr>
            <w:r w:rsidRPr="00CE7679">
              <w:rPr>
                <w:rFonts w:eastAsia="SimSun"/>
                <w:i/>
                <w:iCs/>
                <w:snapToGrid/>
                <w:szCs w:val="22"/>
                <w:lang w:eastAsia="zh-CN"/>
              </w:rPr>
              <w:t>Retas</w:t>
            </w:r>
          </w:p>
        </w:tc>
        <w:tc>
          <w:tcPr>
            <w:tcW w:w="7089" w:type="dxa"/>
            <w:tcBorders>
              <w:top w:val="single" w:sz="4" w:space="0" w:color="000000"/>
              <w:left w:val="single" w:sz="4" w:space="0" w:color="000000"/>
              <w:bottom w:val="single" w:sz="4" w:space="0" w:color="000000"/>
              <w:right w:val="single" w:sz="4" w:space="0" w:color="000000"/>
            </w:tcBorders>
          </w:tcPr>
          <w:p w14:paraId="4AA6ABAF"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Kolitas, žarnų nepraeinamumas, uždegiminė žarnų liga</w:t>
            </w:r>
          </w:p>
        </w:tc>
      </w:tr>
      <w:tr w:rsidR="00701D61" w:rsidRPr="00CE7679" w14:paraId="4A48D8AB" w14:textId="77777777" w:rsidTr="00A27597">
        <w:trPr>
          <w:trHeight w:hRule="exact" w:val="575"/>
        </w:trPr>
        <w:tc>
          <w:tcPr>
            <w:tcW w:w="2235" w:type="dxa"/>
            <w:tcBorders>
              <w:top w:val="single" w:sz="4" w:space="0" w:color="000000"/>
              <w:left w:val="single" w:sz="4" w:space="0" w:color="000000"/>
              <w:bottom w:val="single" w:sz="4" w:space="0" w:color="000000"/>
              <w:right w:val="single" w:sz="4" w:space="0" w:color="000000"/>
            </w:tcBorders>
          </w:tcPr>
          <w:p w14:paraId="026727C1" w14:textId="77777777" w:rsidR="00A27597" w:rsidRPr="00CE7679" w:rsidRDefault="00A27597" w:rsidP="00A27597">
            <w:pPr>
              <w:widowControl w:val="0"/>
              <w:autoSpaceDE w:val="0"/>
              <w:autoSpaceDN w:val="0"/>
              <w:adjustRightInd w:val="0"/>
              <w:spacing w:line="240" w:lineRule="auto"/>
              <w:rPr>
                <w:rFonts w:eastAsia="SimSun"/>
                <w:i/>
                <w:iCs/>
                <w:snapToGrid/>
                <w:szCs w:val="22"/>
                <w:lang w:eastAsia="zh-CN"/>
              </w:rPr>
            </w:pPr>
            <w:r w:rsidRPr="00CE7679">
              <w:rPr>
                <w:rFonts w:eastAsia="SimSun"/>
                <w:i/>
                <w:iCs/>
                <w:snapToGrid/>
                <w:szCs w:val="22"/>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14:paraId="4A6CC831"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Žarnų nepraeinamumas/žarnų obstrukcija*, virškinimo trakto perforacija*, </w:t>
            </w:r>
            <w:proofErr w:type="spellStart"/>
            <w:r w:rsidRPr="00CE7679">
              <w:rPr>
                <w:rFonts w:eastAsia="SimSun"/>
                <w:snapToGrid/>
                <w:szCs w:val="22"/>
                <w:lang w:eastAsia="zh-CN"/>
              </w:rPr>
              <w:t>divertikulitas</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prievarčio</w:t>
            </w:r>
            <w:proofErr w:type="spellEnd"/>
            <w:r w:rsidRPr="00CE7679">
              <w:rPr>
                <w:rFonts w:eastAsia="SimSun"/>
                <w:snapToGrid/>
                <w:szCs w:val="22"/>
                <w:lang w:eastAsia="zh-CN"/>
              </w:rPr>
              <w:t xml:space="preserve"> kraujagyslių išsiplėtimas (GAVE)*</w:t>
            </w:r>
          </w:p>
        </w:tc>
      </w:tr>
      <w:tr w:rsidR="00701D61" w:rsidRPr="00CE7679" w14:paraId="70F09A5B" w14:textId="77777777" w:rsidTr="00A27597">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14:paraId="67ACF2EF"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b/>
                <w:bCs/>
                <w:snapToGrid/>
                <w:szCs w:val="22"/>
                <w:lang w:eastAsia="zh-CN"/>
              </w:rPr>
              <w:t>Kepenų, tulžies pūslės ir latakų sutrikimai</w:t>
            </w:r>
          </w:p>
        </w:tc>
      </w:tr>
      <w:tr w:rsidR="00701D61" w:rsidRPr="00CE7679" w14:paraId="79D08212" w14:textId="77777777" w:rsidTr="00A27597">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14:paraId="595E859A" w14:textId="77777777" w:rsidR="00A27597" w:rsidRPr="00CE7679" w:rsidRDefault="00A27597" w:rsidP="00A27597">
            <w:pPr>
              <w:widowControl w:val="0"/>
              <w:autoSpaceDE w:val="0"/>
              <w:autoSpaceDN w:val="0"/>
              <w:adjustRightInd w:val="0"/>
              <w:spacing w:line="240" w:lineRule="auto"/>
              <w:rPr>
                <w:rFonts w:eastAsia="SimSun"/>
                <w:i/>
                <w:snapToGrid/>
                <w:szCs w:val="22"/>
                <w:lang w:eastAsia="zh-CN"/>
              </w:rPr>
            </w:pPr>
            <w:r w:rsidRPr="00CE7679">
              <w:rPr>
                <w:rFonts w:eastAsia="SimSun"/>
                <w:i/>
                <w:iCs/>
                <w:snapToGrid/>
                <w:szCs w:val="22"/>
                <w:lang w:eastAsia="zh-CN"/>
              </w:rPr>
              <w:t>Dažnas</w:t>
            </w:r>
          </w:p>
        </w:tc>
        <w:tc>
          <w:tcPr>
            <w:tcW w:w="7089" w:type="dxa"/>
            <w:tcBorders>
              <w:top w:val="single" w:sz="4" w:space="0" w:color="000000"/>
              <w:left w:val="single" w:sz="4" w:space="0" w:color="000000"/>
              <w:bottom w:val="single" w:sz="4" w:space="0" w:color="000000"/>
              <w:right w:val="single" w:sz="4" w:space="0" w:color="000000"/>
            </w:tcBorders>
          </w:tcPr>
          <w:p w14:paraId="1A383831"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Padidėjęs kepenų fermentų aktyvumas</w:t>
            </w:r>
          </w:p>
        </w:tc>
      </w:tr>
      <w:tr w:rsidR="00701D61" w:rsidRPr="00CE7679" w14:paraId="77DB4731" w14:textId="77777777" w:rsidTr="00A27597">
        <w:trPr>
          <w:trHeight w:hRule="exact" w:val="272"/>
        </w:trPr>
        <w:tc>
          <w:tcPr>
            <w:tcW w:w="2235" w:type="dxa"/>
            <w:tcBorders>
              <w:top w:val="single" w:sz="4" w:space="0" w:color="000000"/>
              <w:left w:val="single" w:sz="4" w:space="0" w:color="000000"/>
              <w:bottom w:val="single" w:sz="4" w:space="0" w:color="000000"/>
              <w:right w:val="single" w:sz="4" w:space="0" w:color="000000"/>
            </w:tcBorders>
          </w:tcPr>
          <w:p w14:paraId="4F1AD750" w14:textId="77777777" w:rsidR="00A27597" w:rsidRPr="00CE7679" w:rsidRDefault="00A27597" w:rsidP="00A27597">
            <w:pPr>
              <w:widowControl w:val="0"/>
              <w:autoSpaceDE w:val="0"/>
              <w:autoSpaceDN w:val="0"/>
              <w:adjustRightInd w:val="0"/>
              <w:spacing w:line="240" w:lineRule="auto"/>
              <w:rPr>
                <w:rFonts w:eastAsia="SimSun"/>
                <w:i/>
                <w:snapToGrid/>
                <w:szCs w:val="22"/>
                <w:lang w:eastAsia="zh-CN"/>
              </w:rPr>
            </w:pPr>
            <w:r w:rsidRPr="00CE7679">
              <w:rPr>
                <w:rFonts w:eastAsia="SimSun"/>
                <w:i/>
                <w:iCs/>
                <w:snapToGrid/>
                <w:szCs w:val="22"/>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14:paraId="53C2EBC2"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roofErr w:type="spellStart"/>
            <w:r w:rsidRPr="00CE7679">
              <w:rPr>
                <w:rFonts w:eastAsia="SimSun"/>
                <w:snapToGrid/>
                <w:szCs w:val="22"/>
                <w:lang w:eastAsia="zh-CN"/>
              </w:rPr>
              <w:t>Hiperbilirubinemija</w:t>
            </w:r>
            <w:proofErr w:type="spellEnd"/>
            <w:r w:rsidRPr="00CE7679">
              <w:rPr>
                <w:rFonts w:eastAsia="SimSun"/>
                <w:snapToGrid/>
                <w:szCs w:val="22"/>
                <w:lang w:eastAsia="zh-CN"/>
              </w:rPr>
              <w:t>, hepatitas, gelta</w:t>
            </w:r>
          </w:p>
        </w:tc>
      </w:tr>
      <w:tr w:rsidR="00701D61" w:rsidRPr="00CE7679" w14:paraId="2AADA0E7" w14:textId="77777777" w:rsidTr="00A27597">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14:paraId="32471B36" w14:textId="77777777" w:rsidR="00A27597" w:rsidRPr="00CE7679" w:rsidRDefault="00A27597" w:rsidP="00A27597">
            <w:pPr>
              <w:widowControl w:val="0"/>
              <w:autoSpaceDE w:val="0"/>
              <w:autoSpaceDN w:val="0"/>
              <w:adjustRightInd w:val="0"/>
              <w:spacing w:line="240" w:lineRule="auto"/>
              <w:rPr>
                <w:rFonts w:eastAsia="SimSun"/>
                <w:i/>
                <w:snapToGrid/>
                <w:szCs w:val="22"/>
                <w:lang w:eastAsia="zh-CN"/>
              </w:rPr>
            </w:pPr>
            <w:r w:rsidRPr="00CE7679">
              <w:rPr>
                <w:rFonts w:eastAsia="SimSun"/>
                <w:i/>
                <w:iCs/>
                <w:snapToGrid/>
                <w:szCs w:val="22"/>
                <w:lang w:eastAsia="zh-CN"/>
              </w:rPr>
              <w:t>Retas</w:t>
            </w:r>
          </w:p>
        </w:tc>
        <w:tc>
          <w:tcPr>
            <w:tcW w:w="7089" w:type="dxa"/>
            <w:tcBorders>
              <w:top w:val="single" w:sz="4" w:space="0" w:color="000000"/>
              <w:left w:val="single" w:sz="4" w:space="0" w:color="000000"/>
              <w:bottom w:val="single" w:sz="4" w:space="0" w:color="000000"/>
              <w:right w:val="single" w:sz="4" w:space="0" w:color="000000"/>
            </w:tcBorders>
          </w:tcPr>
          <w:p w14:paraId="6CEBBC8F"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Kepenų nepakankamumas</w:t>
            </w:r>
            <w:r w:rsidRPr="00CE7679">
              <w:rPr>
                <w:rFonts w:eastAsia="SimSun"/>
                <w:snapToGrid/>
                <w:szCs w:val="22"/>
                <w:vertAlign w:val="superscript"/>
                <w:lang w:eastAsia="zh-CN"/>
              </w:rPr>
              <w:t>8</w:t>
            </w:r>
            <w:r w:rsidRPr="00CE7679">
              <w:rPr>
                <w:rFonts w:eastAsia="SimSun"/>
                <w:snapToGrid/>
                <w:szCs w:val="22"/>
                <w:lang w:eastAsia="zh-CN"/>
              </w:rPr>
              <w:t>, kepenų nekrozė</w:t>
            </w:r>
          </w:p>
        </w:tc>
      </w:tr>
      <w:tr w:rsidR="00701D61" w:rsidRPr="00CE7679" w14:paraId="1617DB16" w14:textId="77777777" w:rsidTr="00A27597">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14:paraId="62028792"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b/>
                <w:bCs/>
                <w:snapToGrid/>
                <w:szCs w:val="22"/>
                <w:lang w:eastAsia="zh-CN"/>
              </w:rPr>
              <w:t>Odos ir poodinio audinio sutrikimai</w:t>
            </w:r>
          </w:p>
        </w:tc>
      </w:tr>
      <w:tr w:rsidR="00701D61" w:rsidRPr="00CE7679" w14:paraId="210B8A61" w14:textId="77777777" w:rsidTr="00A27597">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14:paraId="2C3C95D0" w14:textId="77777777" w:rsidR="00A27597" w:rsidRPr="00CE7679" w:rsidRDefault="00A27597" w:rsidP="00A27597">
            <w:pPr>
              <w:widowControl w:val="0"/>
              <w:autoSpaceDE w:val="0"/>
              <w:autoSpaceDN w:val="0"/>
              <w:adjustRightInd w:val="0"/>
              <w:spacing w:line="240" w:lineRule="auto"/>
              <w:rPr>
                <w:rFonts w:eastAsia="SimSun"/>
                <w:i/>
                <w:snapToGrid/>
                <w:szCs w:val="22"/>
                <w:lang w:eastAsia="zh-CN"/>
              </w:rPr>
            </w:pPr>
            <w:r w:rsidRPr="00CE7679">
              <w:rPr>
                <w:rFonts w:eastAsia="SimSun"/>
                <w:i/>
                <w:iCs/>
                <w:snapToGrid/>
                <w:szCs w:val="22"/>
                <w:lang w:eastAsia="zh-CN"/>
              </w:rPr>
              <w:t>Labai dažnas</w:t>
            </w:r>
          </w:p>
        </w:tc>
        <w:tc>
          <w:tcPr>
            <w:tcW w:w="7089" w:type="dxa"/>
            <w:tcBorders>
              <w:top w:val="single" w:sz="4" w:space="0" w:color="000000"/>
              <w:left w:val="single" w:sz="4" w:space="0" w:color="000000"/>
              <w:bottom w:val="single" w:sz="4" w:space="0" w:color="000000"/>
              <w:right w:val="single" w:sz="4" w:space="0" w:color="000000"/>
            </w:tcBorders>
          </w:tcPr>
          <w:p w14:paraId="2B4C1698"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Edema apie akis, dermatitas ar egzema, ar bėrimas</w:t>
            </w:r>
          </w:p>
        </w:tc>
      </w:tr>
      <w:tr w:rsidR="00701D61" w:rsidRPr="00CE7679" w14:paraId="4EC196EE" w14:textId="77777777" w:rsidTr="00A27597">
        <w:trPr>
          <w:trHeight w:hRule="exact" w:val="530"/>
        </w:trPr>
        <w:tc>
          <w:tcPr>
            <w:tcW w:w="2235" w:type="dxa"/>
            <w:tcBorders>
              <w:top w:val="single" w:sz="4" w:space="0" w:color="000000"/>
              <w:left w:val="single" w:sz="4" w:space="0" w:color="000000"/>
              <w:bottom w:val="single" w:sz="4" w:space="0" w:color="000000"/>
              <w:right w:val="single" w:sz="4" w:space="0" w:color="000000"/>
            </w:tcBorders>
          </w:tcPr>
          <w:p w14:paraId="52C877D0" w14:textId="77777777" w:rsidR="00A27597" w:rsidRPr="00CE7679" w:rsidRDefault="00A27597" w:rsidP="00A27597">
            <w:pPr>
              <w:widowControl w:val="0"/>
              <w:autoSpaceDE w:val="0"/>
              <w:autoSpaceDN w:val="0"/>
              <w:adjustRightInd w:val="0"/>
              <w:spacing w:line="240" w:lineRule="auto"/>
              <w:rPr>
                <w:rFonts w:eastAsia="SimSun"/>
                <w:i/>
                <w:snapToGrid/>
                <w:szCs w:val="22"/>
                <w:lang w:eastAsia="zh-CN"/>
              </w:rPr>
            </w:pPr>
            <w:r w:rsidRPr="00CE7679">
              <w:rPr>
                <w:rFonts w:eastAsia="SimSun"/>
                <w:i/>
                <w:iCs/>
                <w:snapToGrid/>
                <w:szCs w:val="22"/>
                <w:lang w:eastAsia="zh-CN"/>
              </w:rPr>
              <w:t>Dažnas</w:t>
            </w:r>
          </w:p>
        </w:tc>
        <w:tc>
          <w:tcPr>
            <w:tcW w:w="7089" w:type="dxa"/>
            <w:tcBorders>
              <w:top w:val="single" w:sz="4" w:space="0" w:color="000000"/>
              <w:left w:val="single" w:sz="4" w:space="0" w:color="000000"/>
              <w:bottom w:val="single" w:sz="4" w:space="0" w:color="000000"/>
              <w:right w:val="single" w:sz="4" w:space="0" w:color="000000"/>
            </w:tcBorders>
          </w:tcPr>
          <w:p w14:paraId="6FA958D3"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Niežėjimas, veido edema, sausa oda, </w:t>
            </w:r>
            <w:proofErr w:type="spellStart"/>
            <w:r w:rsidRPr="00CE7679">
              <w:rPr>
                <w:rFonts w:eastAsia="SimSun"/>
                <w:snapToGrid/>
                <w:szCs w:val="22"/>
                <w:lang w:eastAsia="zh-CN"/>
              </w:rPr>
              <w:t>eritema</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alopecija</w:t>
            </w:r>
            <w:proofErr w:type="spellEnd"/>
            <w:r w:rsidRPr="00CE7679">
              <w:rPr>
                <w:rFonts w:eastAsia="SimSun"/>
                <w:snapToGrid/>
                <w:szCs w:val="22"/>
                <w:lang w:eastAsia="zh-CN"/>
              </w:rPr>
              <w:t xml:space="preserve">, naktinis prakaitavimas, </w:t>
            </w:r>
            <w:proofErr w:type="spellStart"/>
            <w:r w:rsidRPr="00CE7679">
              <w:rPr>
                <w:rFonts w:eastAsia="SimSun"/>
                <w:snapToGrid/>
                <w:szCs w:val="22"/>
                <w:lang w:eastAsia="zh-CN"/>
              </w:rPr>
              <w:t>fotosensibilizacijos</w:t>
            </w:r>
            <w:proofErr w:type="spellEnd"/>
            <w:r w:rsidRPr="00CE7679">
              <w:rPr>
                <w:rFonts w:eastAsia="SimSun"/>
                <w:snapToGrid/>
                <w:szCs w:val="22"/>
                <w:lang w:eastAsia="zh-CN"/>
              </w:rPr>
              <w:t xml:space="preserve"> reakcija</w:t>
            </w:r>
          </w:p>
        </w:tc>
      </w:tr>
      <w:tr w:rsidR="00701D61" w:rsidRPr="00CE7679" w14:paraId="3B9D963B" w14:textId="77777777" w:rsidTr="00CE40E1">
        <w:trPr>
          <w:trHeight w:hRule="exact" w:val="1450"/>
        </w:trPr>
        <w:tc>
          <w:tcPr>
            <w:tcW w:w="2235" w:type="dxa"/>
            <w:tcBorders>
              <w:top w:val="single" w:sz="4" w:space="0" w:color="000000"/>
              <w:left w:val="single" w:sz="4" w:space="0" w:color="000000"/>
              <w:bottom w:val="single" w:sz="4" w:space="0" w:color="000000"/>
              <w:right w:val="single" w:sz="4" w:space="0" w:color="000000"/>
            </w:tcBorders>
          </w:tcPr>
          <w:p w14:paraId="73C80119" w14:textId="77777777" w:rsidR="00A27597" w:rsidRPr="00CE7679" w:rsidRDefault="00A27597" w:rsidP="00A27597">
            <w:pPr>
              <w:widowControl w:val="0"/>
              <w:autoSpaceDE w:val="0"/>
              <w:autoSpaceDN w:val="0"/>
              <w:adjustRightInd w:val="0"/>
              <w:spacing w:line="240" w:lineRule="auto"/>
              <w:rPr>
                <w:rFonts w:eastAsia="SimSun"/>
                <w:i/>
                <w:snapToGrid/>
                <w:szCs w:val="22"/>
                <w:lang w:eastAsia="zh-CN"/>
              </w:rPr>
            </w:pPr>
            <w:r w:rsidRPr="00CE7679">
              <w:rPr>
                <w:rFonts w:eastAsia="SimSun"/>
                <w:i/>
                <w:iCs/>
                <w:snapToGrid/>
                <w:szCs w:val="22"/>
                <w:lang w:eastAsia="zh-CN"/>
              </w:rPr>
              <w:t>Nedažnas</w:t>
            </w:r>
          </w:p>
        </w:tc>
        <w:tc>
          <w:tcPr>
            <w:tcW w:w="7089" w:type="dxa"/>
            <w:tcBorders>
              <w:top w:val="single" w:sz="4" w:space="0" w:color="000000"/>
              <w:left w:val="single" w:sz="4" w:space="0" w:color="000000"/>
              <w:bottom w:val="single" w:sz="4" w:space="0" w:color="000000"/>
              <w:right w:val="single" w:sz="4" w:space="0" w:color="000000"/>
            </w:tcBorders>
          </w:tcPr>
          <w:p w14:paraId="5ADF17B6" w14:textId="155E7248" w:rsidR="00A27597" w:rsidRPr="00CE7679" w:rsidRDefault="00A27597" w:rsidP="00A27597">
            <w:pPr>
              <w:widowControl w:val="0"/>
              <w:autoSpaceDE w:val="0"/>
              <w:autoSpaceDN w:val="0"/>
              <w:adjustRightInd w:val="0"/>
              <w:spacing w:line="240" w:lineRule="auto"/>
              <w:rPr>
                <w:rFonts w:eastAsia="SimSun"/>
                <w:snapToGrid/>
                <w:szCs w:val="22"/>
                <w:lang w:eastAsia="zh-CN"/>
              </w:rPr>
            </w:pPr>
            <w:proofErr w:type="spellStart"/>
            <w:r w:rsidRPr="00CE7679">
              <w:rPr>
                <w:rFonts w:eastAsia="SimSun"/>
                <w:snapToGrid/>
                <w:szCs w:val="22"/>
                <w:lang w:eastAsia="zh-CN"/>
              </w:rPr>
              <w:t>Pustulinis</w:t>
            </w:r>
            <w:proofErr w:type="spellEnd"/>
            <w:r w:rsidRPr="00CE7679">
              <w:rPr>
                <w:rFonts w:eastAsia="SimSun"/>
                <w:snapToGrid/>
                <w:szCs w:val="22"/>
                <w:lang w:eastAsia="zh-CN"/>
              </w:rPr>
              <w:t xml:space="preserve"> išbėrimas, sumušimas, padidėjęs prakaitavimas, dilgėlinė, </w:t>
            </w:r>
            <w:proofErr w:type="spellStart"/>
            <w:r w:rsidRPr="00CE7679">
              <w:rPr>
                <w:rFonts w:eastAsia="SimSun"/>
                <w:snapToGrid/>
                <w:szCs w:val="22"/>
                <w:lang w:eastAsia="zh-CN"/>
              </w:rPr>
              <w:t>ekchimozė</w:t>
            </w:r>
            <w:proofErr w:type="spellEnd"/>
            <w:r w:rsidRPr="00CE7679">
              <w:rPr>
                <w:rFonts w:eastAsia="SimSun"/>
                <w:snapToGrid/>
                <w:szCs w:val="22"/>
                <w:lang w:eastAsia="zh-CN"/>
              </w:rPr>
              <w:t xml:space="preserve">, padidėjęs polinkis į mėlynes, sumažėjęs plaukuotumas, odos </w:t>
            </w:r>
            <w:proofErr w:type="spellStart"/>
            <w:r w:rsidRPr="00CE7679">
              <w:rPr>
                <w:rFonts w:eastAsia="SimSun"/>
                <w:snapToGrid/>
                <w:szCs w:val="22"/>
                <w:lang w:eastAsia="zh-CN"/>
              </w:rPr>
              <w:t>hipopigmentacija</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eksfoliacinis</w:t>
            </w:r>
            <w:proofErr w:type="spellEnd"/>
            <w:r w:rsidRPr="00CE7679">
              <w:rPr>
                <w:rFonts w:eastAsia="SimSun"/>
                <w:snapToGrid/>
                <w:szCs w:val="22"/>
                <w:lang w:eastAsia="zh-CN"/>
              </w:rPr>
              <w:t xml:space="preserve"> dermatitas, nagų lūžinėjimas, </w:t>
            </w:r>
            <w:proofErr w:type="spellStart"/>
            <w:r w:rsidRPr="00CE7679">
              <w:rPr>
                <w:rFonts w:eastAsia="SimSun"/>
                <w:snapToGrid/>
                <w:szCs w:val="22"/>
                <w:lang w:eastAsia="zh-CN"/>
              </w:rPr>
              <w:t>folikulitas</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petechijos</w:t>
            </w:r>
            <w:proofErr w:type="spellEnd"/>
            <w:r w:rsidRPr="00CE7679">
              <w:rPr>
                <w:rFonts w:eastAsia="SimSun"/>
                <w:snapToGrid/>
                <w:szCs w:val="22"/>
                <w:lang w:eastAsia="zh-CN"/>
              </w:rPr>
              <w:t xml:space="preserve">, psoriazė, purpura, odos </w:t>
            </w:r>
            <w:proofErr w:type="spellStart"/>
            <w:r w:rsidRPr="00CE7679">
              <w:rPr>
                <w:rFonts w:eastAsia="SimSun"/>
                <w:snapToGrid/>
                <w:szCs w:val="22"/>
                <w:lang w:eastAsia="zh-CN"/>
              </w:rPr>
              <w:t>hiperpigmentacija</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pūslinis</w:t>
            </w:r>
            <w:proofErr w:type="spellEnd"/>
            <w:r w:rsidRPr="00CE7679">
              <w:rPr>
                <w:rFonts w:eastAsia="SimSun"/>
                <w:snapToGrid/>
                <w:szCs w:val="22"/>
                <w:lang w:eastAsia="zh-CN"/>
              </w:rPr>
              <w:t xml:space="preserve"> išbėrimas</w:t>
            </w:r>
            <w:r w:rsidR="00D94710">
              <w:rPr>
                <w:rFonts w:eastAsia="SimSun"/>
                <w:snapToGrid/>
                <w:szCs w:val="22"/>
                <w:lang w:eastAsia="zh-CN"/>
              </w:rPr>
              <w:t>,</w:t>
            </w:r>
            <w:r w:rsidR="00007843">
              <w:rPr>
                <w:rFonts w:eastAsia="SimSun"/>
                <w:snapToGrid/>
                <w:szCs w:val="22"/>
                <w:lang w:eastAsia="zh-CN"/>
              </w:rPr>
              <w:t xml:space="preserve"> </w:t>
            </w:r>
            <w:proofErr w:type="spellStart"/>
            <w:r w:rsidR="00007843">
              <w:rPr>
                <w:rFonts w:eastAsia="SimSun"/>
                <w:snapToGrid/>
                <w:szCs w:val="22"/>
                <w:lang w:eastAsia="zh-CN"/>
              </w:rPr>
              <w:t>panikulitas</w:t>
            </w:r>
            <w:proofErr w:type="spellEnd"/>
            <w:r w:rsidR="00007843">
              <w:rPr>
                <w:rFonts w:eastAsia="SimSun"/>
                <w:snapToGrid/>
                <w:szCs w:val="22"/>
                <w:lang w:eastAsia="zh-CN"/>
              </w:rPr>
              <w:t xml:space="preserve"> (įskaitant mazginę eritemą)</w:t>
            </w:r>
          </w:p>
        </w:tc>
      </w:tr>
      <w:tr w:rsidR="00701D61" w:rsidRPr="00CE7679" w14:paraId="0CC11432" w14:textId="77777777" w:rsidTr="00F30108">
        <w:trPr>
          <w:trHeight w:hRule="exact" w:val="1338"/>
        </w:trPr>
        <w:tc>
          <w:tcPr>
            <w:tcW w:w="2235" w:type="dxa"/>
            <w:tcBorders>
              <w:top w:val="single" w:sz="4" w:space="0" w:color="000000"/>
              <w:left w:val="single" w:sz="4" w:space="0" w:color="000000"/>
              <w:bottom w:val="single" w:sz="4" w:space="0" w:color="000000"/>
              <w:right w:val="single" w:sz="4" w:space="0" w:color="000000"/>
            </w:tcBorders>
          </w:tcPr>
          <w:p w14:paraId="27992B9A" w14:textId="77777777" w:rsidR="00A27597" w:rsidRPr="00CE7679" w:rsidRDefault="00A27597" w:rsidP="00A27597">
            <w:pPr>
              <w:widowControl w:val="0"/>
              <w:autoSpaceDE w:val="0"/>
              <w:autoSpaceDN w:val="0"/>
              <w:adjustRightInd w:val="0"/>
              <w:spacing w:line="240" w:lineRule="auto"/>
              <w:rPr>
                <w:rFonts w:eastAsia="SimSun"/>
                <w:i/>
                <w:snapToGrid/>
                <w:szCs w:val="22"/>
                <w:lang w:eastAsia="zh-CN"/>
              </w:rPr>
            </w:pPr>
            <w:r w:rsidRPr="00CE7679">
              <w:rPr>
                <w:rFonts w:eastAsia="SimSun"/>
                <w:i/>
                <w:iCs/>
                <w:snapToGrid/>
                <w:szCs w:val="22"/>
                <w:lang w:eastAsia="zh-CN"/>
              </w:rPr>
              <w:t>Retas</w:t>
            </w:r>
          </w:p>
        </w:tc>
        <w:tc>
          <w:tcPr>
            <w:tcW w:w="7089" w:type="dxa"/>
            <w:tcBorders>
              <w:top w:val="single" w:sz="4" w:space="0" w:color="000000"/>
              <w:left w:val="single" w:sz="4" w:space="0" w:color="000000"/>
              <w:bottom w:val="single" w:sz="4" w:space="0" w:color="000000"/>
              <w:right w:val="single" w:sz="4" w:space="0" w:color="000000"/>
            </w:tcBorders>
          </w:tcPr>
          <w:p w14:paraId="3A2A8870" w14:textId="6352FF3C"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Ūminė </w:t>
            </w:r>
            <w:proofErr w:type="spellStart"/>
            <w:r w:rsidRPr="00CE7679">
              <w:rPr>
                <w:rFonts w:eastAsia="SimSun"/>
                <w:snapToGrid/>
                <w:szCs w:val="22"/>
                <w:lang w:eastAsia="zh-CN"/>
              </w:rPr>
              <w:t>febrilinė</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neutrofilinė</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dermatozė</w:t>
            </w:r>
            <w:proofErr w:type="spellEnd"/>
            <w:r w:rsidRPr="00CE7679">
              <w:rPr>
                <w:rFonts w:eastAsia="SimSun"/>
                <w:snapToGrid/>
                <w:szCs w:val="22"/>
                <w:lang w:eastAsia="zh-CN"/>
              </w:rPr>
              <w:t xml:space="preserve"> (</w:t>
            </w:r>
            <w:proofErr w:type="spellStart"/>
            <w:r w:rsidRPr="00CE7679">
              <w:rPr>
                <w:rFonts w:eastAsia="SimSun"/>
                <w:i/>
                <w:snapToGrid/>
                <w:szCs w:val="22"/>
                <w:lang w:eastAsia="zh-CN"/>
              </w:rPr>
              <w:t>Sweet</w:t>
            </w:r>
            <w:proofErr w:type="spellEnd"/>
            <w:r w:rsidRPr="00CE7679">
              <w:rPr>
                <w:rFonts w:eastAsia="SimSun"/>
                <w:i/>
                <w:snapToGrid/>
                <w:szCs w:val="22"/>
                <w:lang w:eastAsia="zh-CN"/>
              </w:rPr>
              <w:t xml:space="preserve"> </w:t>
            </w:r>
            <w:r w:rsidRPr="00CE7679">
              <w:rPr>
                <w:rFonts w:eastAsia="SimSun"/>
                <w:snapToGrid/>
                <w:szCs w:val="22"/>
                <w:lang w:eastAsia="zh-CN"/>
              </w:rPr>
              <w:t xml:space="preserve">sindromas), nagų spalvos pakitimas, </w:t>
            </w:r>
            <w:proofErr w:type="spellStart"/>
            <w:r w:rsidRPr="00CE7679">
              <w:rPr>
                <w:rFonts w:eastAsia="SimSun"/>
                <w:snapToGrid/>
                <w:szCs w:val="22"/>
                <w:lang w:eastAsia="zh-CN"/>
              </w:rPr>
              <w:t>angioneurozinė</w:t>
            </w:r>
            <w:proofErr w:type="spellEnd"/>
            <w:r w:rsidRPr="00CE7679">
              <w:rPr>
                <w:rFonts w:eastAsia="SimSun"/>
                <w:snapToGrid/>
                <w:szCs w:val="22"/>
                <w:lang w:eastAsia="zh-CN"/>
              </w:rPr>
              <w:t xml:space="preserve"> edema, pūslelinis bėrimas, daugiaformė raudonė (</w:t>
            </w:r>
            <w:proofErr w:type="spellStart"/>
            <w:r w:rsidRPr="00CE7679">
              <w:rPr>
                <w:rFonts w:eastAsia="SimSun"/>
                <w:snapToGrid/>
                <w:szCs w:val="22"/>
                <w:lang w:eastAsia="zh-CN"/>
              </w:rPr>
              <w:t>eritema</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leukocitoklastinis</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vaskulitas</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Stivenso</w:t>
            </w:r>
            <w:proofErr w:type="spellEnd"/>
            <w:r w:rsidRPr="00CE7679">
              <w:rPr>
                <w:rFonts w:eastAsia="SimSun"/>
                <w:snapToGrid/>
                <w:szCs w:val="22"/>
                <w:lang w:eastAsia="zh-CN"/>
              </w:rPr>
              <w:t>-Džonsono (</w:t>
            </w:r>
            <w:proofErr w:type="spellStart"/>
            <w:r w:rsidRPr="00CE7679">
              <w:rPr>
                <w:rFonts w:eastAsia="SimSun"/>
                <w:i/>
                <w:snapToGrid/>
                <w:szCs w:val="22"/>
                <w:lang w:eastAsia="zh-CN"/>
              </w:rPr>
              <w:t>Stevens-Johnson</w:t>
            </w:r>
            <w:proofErr w:type="spellEnd"/>
            <w:r w:rsidRPr="00CE7679">
              <w:rPr>
                <w:rFonts w:eastAsia="SimSun"/>
                <w:snapToGrid/>
                <w:szCs w:val="22"/>
                <w:lang w:eastAsia="zh-CN"/>
              </w:rPr>
              <w:t xml:space="preserve">) sindromas, ūminė </w:t>
            </w:r>
            <w:proofErr w:type="spellStart"/>
            <w:r w:rsidRPr="00CE7679">
              <w:rPr>
                <w:rFonts w:eastAsia="SimSun"/>
                <w:snapToGrid/>
                <w:szCs w:val="22"/>
                <w:lang w:eastAsia="zh-CN"/>
              </w:rPr>
              <w:t>generalizuota</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egzanteminė</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pustuliozė</w:t>
            </w:r>
            <w:proofErr w:type="spellEnd"/>
            <w:r w:rsidRPr="00CE7679">
              <w:rPr>
                <w:rFonts w:eastAsia="SimSun"/>
                <w:snapToGrid/>
                <w:szCs w:val="22"/>
                <w:lang w:eastAsia="zh-CN"/>
              </w:rPr>
              <w:t xml:space="preserve"> (ŪGEP)</w:t>
            </w:r>
            <w:r w:rsidR="003356EC">
              <w:rPr>
                <w:rFonts w:eastAsia="SimSun"/>
                <w:snapToGrid/>
                <w:szCs w:val="22"/>
                <w:lang w:eastAsia="zh-CN"/>
              </w:rPr>
              <w:t>,</w:t>
            </w:r>
            <w:r w:rsidR="000041A8">
              <w:rPr>
                <w:rFonts w:eastAsia="SimSun"/>
                <w:snapToGrid/>
                <w:szCs w:val="22"/>
                <w:lang w:eastAsia="zh-CN"/>
              </w:rPr>
              <w:t xml:space="preserve"> </w:t>
            </w:r>
            <w:proofErr w:type="spellStart"/>
            <w:r w:rsidR="00A51560" w:rsidRPr="00A51560">
              <w:rPr>
                <w:rFonts w:eastAsia="SimSun"/>
                <w:snapToGrid/>
                <w:szCs w:val="22"/>
                <w:lang w:eastAsia="zh-CN"/>
              </w:rPr>
              <w:t>eriteminė</w:t>
            </w:r>
            <w:proofErr w:type="spellEnd"/>
            <w:r w:rsidR="00A51560" w:rsidRPr="00A51560">
              <w:rPr>
                <w:rFonts w:eastAsia="SimSun"/>
                <w:snapToGrid/>
                <w:szCs w:val="22"/>
                <w:lang w:eastAsia="zh-CN"/>
              </w:rPr>
              <w:t xml:space="preserve"> </w:t>
            </w:r>
            <w:proofErr w:type="spellStart"/>
            <w:r w:rsidR="00A51560" w:rsidRPr="00A51560">
              <w:rPr>
                <w:rFonts w:eastAsia="SimSun"/>
                <w:snapToGrid/>
                <w:szCs w:val="22"/>
                <w:lang w:eastAsia="zh-CN"/>
              </w:rPr>
              <w:t>pūslinė</w:t>
            </w:r>
            <w:proofErr w:type="spellEnd"/>
            <w:r w:rsidR="00A51560" w:rsidRPr="00A51560">
              <w:rPr>
                <w:rFonts w:eastAsia="SimSun"/>
                <w:snapToGrid/>
                <w:szCs w:val="22"/>
                <w:lang w:eastAsia="zh-CN"/>
              </w:rPr>
              <w:t xml:space="preserve"> (lot. </w:t>
            </w:r>
            <w:proofErr w:type="spellStart"/>
            <w:r w:rsidR="00A51560" w:rsidRPr="00CE40E1">
              <w:rPr>
                <w:rFonts w:eastAsia="SimSun"/>
                <w:i/>
                <w:iCs/>
                <w:snapToGrid/>
                <w:szCs w:val="22"/>
                <w:lang w:eastAsia="zh-CN"/>
              </w:rPr>
              <w:t>pemphigus</w:t>
            </w:r>
            <w:proofErr w:type="spellEnd"/>
            <w:r w:rsidR="00A51560" w:rsidRPr="00A51560">
              <w:rPr>
                <w:rFonts w:eastAsia="SimSun"/>
                <w:snapToGrid/>
                <w:szCs w:val="22"/>
                <w:lang w:eastAsia="zh-CN"/>
              </w:rPr>
              <w:t>)</w:t>
            </w:r>
            <w:r w:rsidR="00614A12">
              <w:rPr>
                <w:rFonts w:eastAsia="SimSun"/>
                <w:snapToGrid/>
                <w:szCs w:val="22"/>
                <w:lang w:eastAsia="zh-CN"/>
              </w:rPr>
              <w:t>*</w:t>
            </w:r>
          </w:p>
        </w:tc>
      </w:tr>
      <w:tr w:rsidR="00701D61" w:rsidRPr="00CE7679" w14:paraId="10E55266" w14:textId="77777777" w:rsidTr="00A27597">
        <w:trPr>
          <w:trHeight w:hRule="exact" w:val="876"/>
        </w:trPr>
        <w:tc>
          <w:tcPr>
            <w:tcW w:w="2235" w:type="dxa"/>
            <w:tcBorders>
              <w:top w:val="single" w:sz="4" w:space="0" w:color="000000"/>
              <w:left w:val="single" w:sz="4" w:space="0" w:color="000000"/>
              <w:bottom w:val="single" w:sz="4" w:space="0" w:color="000000"/>
              <w:right w:val="single" w:sz="4" w:space="0" w:color="000000"/>
            </w:tcBorders>
          </w:tcPr>
          <w:p w14:paraId="66307E08" w14:textId="77777777" w:rsidR="00A27597" w:rsidRPr="00CE7679" w:rsidRDefault="00A27597" w:rsidP="00A27597">
            <w:pPr>
              <w:widowControl w:val="0"/>
              <w:autoSpaceDE w:val="0"/>
              <w:autoSpaceDN w:val="0"/>
              <w:adjustRightInd w:val="0"/>
              <w:spacing w:line="240" w:lineRule="auto"/>
              <w:rPr>
                <w:rFonts w:eastAsia="SimSun"/>
                <w:i/>
                <w:iCs/>
                <w:snapToGrid/>
                <w:szCs w:val="22"/>
                <w:lang w:eastAsia="zh-CN"/>
              </w:rPr>
            </w:pPr>
            <w:r w:rsidRPr="00CE7679">
              <w:rPr>
                <w:rFonts w:eastAsia="SimSun"/>
                <w:i/>
                <w:iCs/>
                <w:snapToGrid/>
                <w:szCs w:val="22"/>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14:paraId="6D5FD7C3"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Delnų ir padų </w:t>
            </w:r>
            <w:proofErr w:type="spellStart"/>
            <w:r w:rsidRPr="00CE7679">
              <w:rPr>
                <w:rFonts w:eastAsia="SimSun"/>
                <w:snapToGrid/>
                <w:szCs w:val="22"/>
                <w:lang w:eastAsia="zh-CN"/>
              </w:rPr>
              <w:t>eritrodizestezijos</w:t>
            </w:r>
            <w:proofErr w:type="spellEnd"/>
            <w:r w:rsidRPr="00CE7679">
              <w:rPr>
                <w:rFonts w:eastAsia="SimSun"/>
                <w:snapToGrid/>
                <w:szCs w:val="22"/>
                <w:lang w:eastAsia="zh-CN"/>
              </w:rPr>
              <w:t xml:space="preserve"> sindromas*, </w:t>
            </w:r>
            <w:proofErr w:type="spellStart"/>
            <w:r w:rsidRPr="00CE7679">
              <w:rPr>
                <w:rFonts w:eastAsia="SimSun"/>
                <w:snapToGrid/>
                <w:szCs w:val="22"/>
                <w:lang w:eastAsia="zh-CN"/>
              </w:rPr>
              <w:t>lichenoidinė</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keratozė</w:t>
            </w:r>
            <w:proofErr w:type="spellEnd"/>
            <w:r w:rsidRPr="00CE7679">
              <w:rPr>
                <w:rFonts w:eastAsia="SimSun"/>
                <w:snapToGrid/>
                <w:szCs w:val="22"/>
                <w:lang w:eastAsia="zh-CN"/>
              </w:rPr>
              <w:t xml:space="preserve">*, plokščioji </w:t>
            </w:r>
            <w:proofErr w:type="spellStart"/>
            <w:r w:rsidRPr="00CE7679">
              <w:rPr>
                <w:rFonts w:eastAsia="SimSun"/>
                <w:snapToGrid/>
                <w:szCs w:val="22"/>
                <w:lang w:eastAsia="zh-CN"/>
              </w:rPr>
              <w:t>kerpligė</w:t>
            </w:r>
            <w:proofErr w:type="spellEnd"/>
            <w:r w:rsidRPr="00CE7679">
              <w:rPr>
                <w:rFonts w:eastAsia="SimSun"/>
                <w:snapToGrid/>
                <w:szCs w:val="22"/>
                <w:lang w:eastAsia="zh-CN"/>
              </w:rPr>
              <w:t xml:space="preserve">*, toksinė epidermio </w:t>
            </w:r>
            <w:proofErr w:type="spellStart"/>
            <w:r w:rsidRPr="00CE7679">
              <w:rPr>
                <w:rFonts w:eastAsia="SimSun"/>
                <w:snapToGrid/>
                <w:szCs w:val="22"/>
                <w:lang w:eastAsia="zh-CN"/>
              </w:rPr>
              <w:t>nekrolizė</w:t>
            </w:r>
            <w:proofErr w:type="spellEnd"/>
            <w:r w:rsidRPr="00CE7679">
              <w:rPr>
                <w:rFonts w:eastAsia="SimSun"/>
                <w:snapToGrid/>
                <w:szCs w:val="22"/>
                <w:lang w:eastAsia="zh-CN"/>
              </w:rPr>
              <w:t xml:space="preserve">*, medikamentinis išbėrimas su </w:t>
            </w:r>
            <w:proofErr w:type="spellStart"/>
            <w:r w:rsidRPr="00CE7679">
              <w:rPr>
                <w:rFonts w:eastAsia="SimSun"/>
                <w:snapToGrid/>
                <w:szCs w:val="22"/>
                <w:lang w:eastAsia="zh-CN"/>
              </w:rPr>
              <w:t>eozinofilija</w:t>
            </w:r>
            <w:proofErr w:type="spellEnd"/>
            <w:r w:rsidRPr="00CE7679">
              <w:rPr>
                <w:rFonts w:eastAsia="SimSun"/>
                <w:snapToGrid/>
                <w:szCs w:val="22"/>
                <w:lang w:eastAsia="zh-CN"/>
              </w:rPr>
              <w:t xml:space="preserve"> ir sisteminiais simptomais (DRESS)*</w:t>
            </w:r>
            <w:r w:rsidR="009C008A" w:rsidRPr="00CE7679">
              <w:rPr>
                <w:rFonts w:eastAsiaTheme="minorHAnsi"/>
                <w:snapToGrid/>
                <w:szCs w:val="22"/>
              </w:rPr>
              <w:t xml:space="preserve"> </w:t>
            </w:r>
            <w:proofErr w:type="spellStart"/>
            <w:r w:rsidR="009C008A" w:rsidRPr="00CE7679">
              <w:rPr>
                <w:rFonts w:eastAsiaTheme="minorHAnsi"/>
                <w:snapToGrid/>
                <w:szCs w:val="22"/>
              </w:rPr>
              <w:t>pseudoporfirija</w:t>
            </w:r>
            <w:proofErr w:type="spellEnd"/>
            <w:r w:rsidR="009C008A" w:rsidRPr="00CE7679">
              <w:rPr>
                <w:rFonts w:eastAsiaTheme="minorHAnsi"/>
                <w:snapToGrid/>
                <w:szCs w:val="22"/>
              </w:rPr>
              <w:t>*</w:t>
            </w:r>
          </w:p>
        </w:tc>
      </w:tr>
      <w:tr w:rsidR="00701D61" w:rsidRPr="00CE7679" w14:paraId="5A1A6EC9" w14:textId="77777777" w:rsidTr="00A27597">
        <w:trPr>
          <w:trHeight w:hRule="exact" w:val="272"/>
        </w:trPr>
        <w:tc>
          <w:tcPr>
            <w:tcW w:w="9324" w:type="dxa"/>
            <w:gridSpan w:val="2"/>
            <w:tcBorders>
              <w:top w:val="single" w:sz="4" w:space="0" w:color="000000"/>
              <w:left w:val="single" w:sz="4" w:space="0" w:color="000000"/>
              <w:bottom w:val="single" w:sz="4" w:space="0" w:color="000000"/>
              <w:right w:val="single" w:sz="4" w:space="0" w:color="000000"/>
            </w:tcBorders>
          </w:tcPr>
          <w:p w14:paraId="4896BE96"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b/>
                <w:bCs/>
                <w:snapToGrid/>
                <w:szCs w:val="22"/>
                <w:lang w:eastAsia="zh-CN"/>
              </w:rPr>
              <w:t>Skeleto, raumenų ir jungiamojo audinio sutrikimai</w:t>
            </w:r>
          </w:p>
        </w:tc>
      </w:tr>
      <w:tr w:rsidR="00701D61" w:rsidRPr="00CE7679" w14:paraId="23B3EE9E" w14:textId="77777777" w:rsidTr="00A27597">
        <w:trPr>
          <w:trHeight w:hRule="exact" w:val="528"/>
        </w:trPr>
        <w:tc>
          <w:tcPr>
            <w:tcW w:w="2235" w:type="dxa"/>
            <w:tcBorders>
              <w:top w:val="single" w:sz="4" w:space="0" w:color="000000"/>
              <w:left w:val="single" w:sz="4" w:space="0" w:color="000000"/>
              <w:bottom w:val="single" w:sz="4" w:space="0" w:color="000000"/>
              <w:right w:val="single" w:sz="4" w:space="0" w:color="000000"/>
            </w:tcBorders>
          </w:tcPr>
          <w:p w14:paraId="4318FD3F" w14:textId="77777777" w:rsidR="00A27597" w:rsidRPr="00CE7679" w:rsidRDefault="00A27597" w:rsidP="00A27597">
            <w:pPr>
              <w:widowControl w:val="0"/>
              <w:autoSpaceDE w:val="0"/>
              <w:autoSpaceDN w:val="0"/>
              <w:adjustRightInd w:val="0"/>
              <w:spacing w:line="240" w:lineRule="auto"/>
              <w:rPr>
                <w:rFonts w:eastAsia="SimSun"/>
                <w:i/>
                <w:snapToGrid/>
                <w:szCs w:val="22"/>
                <w:lang w:eastAsia="zh-CN"/>
              </w:rPr>
            </w:pPr>
            <w:r w:rsidRPr="00CE7679">
              <w:rPr>
                <w:rFonts w:eastAsia="SimSun"/>
                <w:i/>
                <w:iCs/>
                <w:snapToGrid/>
                <w:szCs w:val="22"/>
                <w:lang w:eastAsia="zh-CN"/>
              </w:rPr>
              <w:t>Labai dažnas</w:t>
            </w:r>
          </w:p>
        </w:tc>
        <w:tc>
          <w:tcPr>
            <w:tcW w:w="7089" w:type="dxa"/>
            <w:tcBorders>
              <w:top w:val="single" w:sz="4" w:space="0" w:color="000000"/>
              <w:left w:val="single" w:sz="4" w:space="0" w:color="000000"/>
              <w:bottom w:val="single" w:sz="4" w:space="0" w:color="000000"/>
              <w:right w:val="single" w:sz="4" w:space="0" w:color="000000"/>
            </w:tcBorders>
          </w:tcPr>
          <w:p w14:paraId="30B826C4" w14:textId="50CB70A4"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Raumenų spazmas ir mėšlungis, skeleto ir raumenų skausmas, taip pat mialgija</w:t>
            </w:r>
            <w:r w:rsidR="007A55D3">
              <w:rPr>
                <w:rFonts w:eastAsia="SimSun"/>
                <w:snapToGrid/>
                <w:szCs w:val="22"/>
                <w:vertAlign w:val="superscript"/>
                <w:lang w:eastAsia="zh-CN"/>
              </w:rPr>
              <w:t>9</w:t>
            </w:r>
            <w:r w:rsidRPr="00CE7679">
              <w:rPr>
                <w:rFonts w:eastAsia="SimSun"/>
                <w:snapToGrid/>
                <w:szCs w:val="22"/>
                <w:lang w:eastAsia="zh-CN"/>
              </w:rPr>
              <w:t xml:space="preserve">, </w:t>
            </w:r>
            <w:proofErr w:type="spellStart"/>
            <w:r w:rsidRPr="00CE7679">
              <w:rPr>
                <w:rFonts w:eastAsia="SimSun"/>
                <w:snapToGrid/>
                <w:szCs w:val="22"/>
                <w:lang w:eastAsia="zh-CN"/>
              </w:rPr>
              <w:t>artralgija</w:t>
            </w:r>
            <w:proofErr w:type="spellEnd"/>
            <w:r w:rsidRPr="00CE7679">
              <w:rPr>
                <w:rFonts w:eastAsia="SimSun"/>
                <w:snapToGrid/>
                <w:szCs w:val="22"/>
                <w:lang w:eastAsia="zh-CN"/>
              </w:rPr>
              <w:t>, kaulų skausmas</w:t>
            </w:r>
            <w:r w:rsidR="007A55D3">
              <w:rPr>
                <w:rFonts w:eastAsia="SimSun"/>
                <w:snapToGrid/>
                <w:szCs w:val="22"/>
                <w:vertAlign w:val="superscript"/>
                <w:lang w:eastAsia="zh-CN"/>
              </w:rPr>
              <w:t>10</w:t>
            </w:r>
          </w:p>
        </w:tc>
      </w:tr>
      <w:tr w:rsidR="00701D61" w:rsidRPr="00CE7679" w14:paraId="4D14D4B6" w14:textId="77777777" w:rsidTr="00A27597">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48D5ECD4" w14:textId="77777777" w:rsidR="00A27597" w:rsidRPr="00CE7679" w:rsidRDefault="00A27597" w:rsidP="00A27597">
            <w:pPr>
              <w:widowControl w:val="0"/>
              <w:autoSpaceDE w:val="0"/>
              <w:autoSpaceDN w:val="0"/>
              <w:adjustRightInd w:val="0"/>
              <w:spacing w:line="240" w:lineRule="auto"/>
              <w:rPr>
                <w:rFonts w:eastAsia="SimSun"/>
                <w:i/>
                <w:snapToGrid/>
                <w:szCs w:val="22"/>
                <w:lang w:eastAsia="zh-CN"/>
              </w:rPr>
            </w:pPr>
            <w:r w:rsidRPr="00CE7679">
              <w:rPr>
                <w:rFonts w:eastAsia="SimSun"/>
                <w:i/>
                <w:iCs/>
                <w:snapToGrid/>
                <w:szCs w:val="22"/>
                <w:lang w:eastAsia="zh-CN"/>
              </w:rPr>
              <w:t>Dažnas</w:t>
            </w:r>
          </w:p>
        </w:tc>
        <w:tc>
          <w:tcPr>
            <w:tcW w:w="7089" w:type="dxa"/>
            <w:tcBorders>
              <w:top w:val="single" w:sz="4" w:space="0" w:color="000000"/>
              <w:left w:val="single" w:sz="4" w:space="0" w:color="000000"/>
              <w:bottom w:val="single" w:sz="4" w:space="0" w:color="000000"/>
              <w:right w:val="single" w:sz="4" w:space="0" w:color="000000"/>
            </w:tcBorders>
          </w:tcPr>
          <w:p w14:paraId="51EB5B27"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Sąnarių tinimas</w:t>
            </w:r>
          </w:p>
        </w:tc>
      </w:tr>
      <w:tr w:rsidR="00701D61" w:rsidRPr="00CE7679" w14:paraId="1E6AF5F8" w14:textId="77777777" w:rsidTr="00A27597">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14:paraId="33313963" w14:textId="77777777" w:rsidR="00A27597" w:rsidRPr="00CE7679" w:rsidRDefault="00A27597" w:rsidP="00A27597">
            <w:pPr>
              <w:widowControl w:val="0"/>
              <w:autoSpaceDE w:val="0"/>
              <w:autoSpaceDN w:val="0"/>
              <w:adjustRightInd w:val="0"/>
              <w:spacing w:line="240" w:lineRule="auto"/>
              <w:rPr>
                <w:rFonts w:eastAsia="SimSun"/>
                <w:i/>
                <w:snapToGrid/>
                <w:szCs w:val="22"/>
                <w:lang w:eastAsia="zh-CN"/>
              </w:rPr>
            </w:pPr>
            <w:r w:rsidRPr="00CE7679">
              <w:rPr>
                <w:rFonts w:eastAsia="SimSun"/>
                <w:i/>
                <w:iCs/>
                <w:snapToGrid/>
                <w:szCs w:val="22"/>
                <w:lang w:eastAsia="zh-CN"/>
              </w:rPr>
              <w:t>Nedažnas</w:t>
            </w:r>
          </w:p>
        </w:tc>
        <w:tc>
          <w:tcPr>
            <w:tcW w:w="7089" w:type="dxa"/>
            <w:tcBorders>
              <w:top w:val="single" w:sz="4" w:space="0" w:color="000000"/>
              <w:left w:val="single" w:sz="4" w:space="0" w:color="000000"/>
              <w:bottom w:val="single" w:sz="4" w:space="0" w:color="000000"/>
              <w:right w:val="single" w:sz="4" w:space="0" w:color="000000"/>
            </w:tcBorders>
          </w:tcPr>
          <w:p w14:paraId="02735AB1" w14:textId="0DF86ACA"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Sąnarių ir raumenų sąstingis</w:t>
            </w:r>
            <w:r w:rsidR="00ED57B9">
              <w:rPr>
                <w:rFonts w:eastAsia="SimSun"/>
                <w:snapToGrid/>
                <w:szCs w:val="22"/>
                <w:lang w:eastAsia="zh-CN"/>
              </w:rPr>
              <w:t xml:space="preserve">, </w:t>
            </w:r>
            <w:proofErr w:type="spellStart"/>
            <w:r w:rsidR="00AD5034" w:rsidRPr="00AD5034">
              <w:rPr>
                <w:rFonts w:eastAsia="SimSun"/>
                <w:snapToGrid/>
                <w:szCs w:val="22"/>
                <w:lang w:eastAsia="zh-CN"/>
              </w:rPr>
              <w:t>osteonekrozė</w:t>
            </w:r>
            <w:proofErr w:type="spellEnd"/>
            <w:r w:rsidR="00AD5034">
              <w:rPr>
                <w:rFonts w:eastAsia="SimSun"/>
                <w:snapToGrid/>
                <w:szCs w:val="22"/>
                <w:lang w:eastAsia="zh-CN"/>
              </w:rPr>
              <w:t>*</w:t>
            </w:r>
          </w:p>
        </w:tc>
      </w:tr>
      <w:tr w:rsidR="00701D61" w:rsidRPr="00CE7679" w14:paraId="6379625C" w14:textId="77777777" w:rsidTr="00A27597">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086AF162" w14:textId="77777777" w:rsidR="00A27597" w:rsidRPr="00CE7679" w:rsidRDefault="00A27597" w:rsidP="00A27597">
            <w:pPr>
              <w:widowControl w:val="0"/>
              <w:autoSpaceDE w:val="0"/>
              <w:autoSpaceDN w:val="0"/>
              <w:adjustRightInd w:val="0"/>
              <w:spacing w:line="240" w:lineRule="auto"/>
              <w:rPr>
                <w:rFonts w:eastAsia="SimSun"/>
                <w:i/>
                <w:snapToGrid/>
                <w:szCs w:val="22"/>
                <w:lang w:eastAsia="zh-CN"/>
              </w:rPr>
            </w:pPr>
            <w:r w:rsidRPr="00CE7679">
              <w:rPr>
                <w:rFonts w:eastAsia="SimSun"/>
                <w:i/>
                <w:iCs/>
                <w:snapToGrid/>
                <w:szCs w:val="22"/>
                <w:lang w:eastAsia="zh-CN"/>
              </w:rPr>
              <w:t>Retas</w:t>
            </w:r>
          </w:p>
        </w:tc>
        <w:tc>
          <w:tcPr>
            <w:tcW w:w="7089" w:type="dxa"/>
            <w:tcBorders>
              <w:top w:val="single" w:sz="4" w:space="0" w:color="000000"/>
              <w:left w:val="single" w:sz="4" w:space="0" w:color="000000"/>
              <w:bottom w:val="single" w:sz="4" w:space="0" w:color="000000"/>
              <w:right w:val="single" w:sz="4" w:space="0" w:color="000000"/>
            </w:tcBorders>
          </w:tcPr>
          <w:p w14:paraId="09BAEF42"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Raumenų silpnumas, artritas, </w:t>
            </w:r>
            <w:proofErr w:type="spellStart"/>
            <w:r w:rsidRPr="00CE7679">
              <w:rPr>
                <w:rFonts w:eastAsia="SimSun"/>
                <w:snapToGrid/>
                <w:szCs w:val="22"/>
                <w:lang w:eastAsia="zh-CN"/>
              </w:rPr>
              <w:t>rabdomiolizė</w:t>
            </w:r>
            <w:proofErr w:type="spellEnd"/>
            <w:r w:rsidRPr="00CE7679">
              <w:rPr>
                <w:rFonts w:eastAsia="SimSun"/>
                <w:snapToGrid/>
                <w:szCs w:val="22"/>
                <w:lang w:eastAsia="zh-CN"/>
              </w:rPr>
              <w:t xml:space="preserve"> ar </w:t>
            </w:r>
            <w:proofErr w:type="spellStart"/>
            <w:r w:rsidRPr="00CE7679">
              <w:rPr>
                <w:rFonts w:eastAsia="SimSun"/>
                <w:snapToGrid/>
                <w:szCs w:val="22"/>
                <w:lang w:eastAsia="zh-CN"/>
              </w:rPr>
              <w:t>miopatija</w:t>
            </w:r>
            <w:proofErr w:type="spellEnd"/>
          </w:p>
        </w:tc>
      </w:tr>
      <w:tr w:rsidR="00701D61" w:rsidRPr="00CE7679" w14:paraId="6C2119F7" w14:textId="77777777" w:rsidTr="00A27597">
        <w:trPr>
          <w:trHeight w:hRule="exact" w:val="495"/>
        </w:trPr>
        <w:tc>
          <w:tcPr>
            <w:tcW w:w="2235" w:type="dxa"/>
            <w:tcBorders>
              <w:top w:val="single" w:sz="4" w:space="0" w:color="000000"/>
              <w:left w:val="single" w:sz="4" w:space="0" w:color="000000"/>
              <w:bottom w:val="single" w:sz="4" w:space="0" w:color="000000"/>
              <w:right w:val="single" w:sz="4" w:space="0" w:color="000000"/>
            </w:tcBorders>
          </w:tcPr>
          <w:p w14:paraId="42BF43C8" w14:textId="77777777" w:rsidR="00A27597" w:rsidRPr="00CE7679" w:rsidRDefault="00A27597" w:rsidP="00A27597">
            <w:pPr>
              <w:widowControl w:val="0"/>
              <w:autoSpaceDE w:val="0"/>
              <w:autoSpaceDN w:val="0"/>
              <w:adjustRightInd w:val="0"/>
              <w:spacing w:line="240" w:lineRule="auto"/>
              <w:rPr>
                <w:rFonts w:eastAsia="SimSun"/>
                <w:i/>
                <w:iCs/>
                <w:snapToGrid/>
                <w:szCs w:val="22"/>
                <w:lang w:eastAsia="zh-CN"/>
              </w:rPr>
            </w:pPr>
            <w:r w:rsidRPr="00CE7679">
              <w:rPr>
                <w:rFonts w:eastAsia="SimSun"/>
                <w:i/>
                <w:iCs/>
                <w:snapToGrid/>
                <w:szCs w:val="22"/>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14:paraId="3E9819C3" w14:textId="5FB22E2F" w:rsidR="00A27597" w:rsidRPr="00CE7679" w:rsidRDefault="0084415E" w:rsidP="00A27597">
            <w:pPr>
              <w:widowControl w:val="0"/>
              <w:autoSpaceDE w:val="0"/>
              <w:autoSpaceDN w:val="0"/>
              <w:adjustRightInd w:val="0"/>
              <w:spacing w:line="240" w:lineRule="auto"/>
              <w:rPr>
                <w:rFonts w:eastAsia="SimSun"/>
                <w:snapToGrid/>
                <w:szCs w:val="22"/>
                <w:lang w:eastAsia="zh-CN"/>
              </w:rPr>
            </w:pPr>
            <w:r>
              <w:rPr>
                <w:rFonts w:eastAsia="SimSun"/>
                <w:snapToGrid/>
                <w:szCs w:val="22"/>
                <w:lang w:eastAsia="zh-CN"/>
              </w:rPr>
              <w:t>V</w:t>
            </w:r>
            <w:r w:rsidR="00A27597" w:rsidRPr="00CE7679">
              <w:rPr>
                <w:rFonts w:eastAsia="SimSun"/>
                <w:snapToGrid/>
                <w:szCs w:val="22"/>
                <w:lang w:eastAsia="zh-CN"/>
              </w:rPr>
              <w:t>aikų augimo sulėtėjimas*</w:t>
            </w:r>
          </w:p>
        </w:tc>
      </w:tr>
      <w:tr w:rsidR="00701D61" w:rsidRPr="00CE7679" w14:paraId="62A47893" w14:textId="77777777" w:rsidTr="00A27597">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14:paraId="4CEE078D"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b/>
                <w:bCs/>
                <w:snapToGrid/>
                <w:szCs w:val="22"/>
                <w:lang w:eastAsia="zh-CN"/>
              </w:rPr>
              <w:t>Inkstų ir šlapimo takų sutrikimai</w:t>
            </w:r>
          </w:p>
        </w:tc>
      </w:tr>
      <w:tr w:rsidR="00701D61" w:rsidRPr="00CE7679" w14:paraId="39A7F56A" w14:textId="77777777" w:rsidTr="00A27597">
        <w:trPr>
          <w:trHeight w:hRule="exact" w:val="530"/>
        </w:trPr>
        <w:tc>
          <w:tcPr>
            <w:tcW w:w="2235" w:type="dxa"/>
            <w:tcBorders>
              <w:top w:val="single" w:sz="4" w:space="0" w:color="000000"/>
              <w:left w:val="single" w:sz="4" w:space="0" w:color="000000"/>
              <w:bottom w:val="single" w:sz="4" w:space="0" w:color="000000"/>
              <w:right w:val="single" w:sz="4" w:space="0" w:color="000000"/>
            </w:tcBorders>
          </w:tcPr>
          <w:p w14:paraId="5AB27CC3" w14:textId="77777777" w:rsidR="00A27597" w:rsidRPr="00CE7679" w:rsidRDefault="00A27597" w:rsidP="00A27597">
            <w:pPr>
              <w:widowControl w:val="0"/>
              <w:autoSpaceDE w:val="0"/>
              <w:autoSpaceDN w:val="0"/>
              <w:adjustRightInd w:val="0"/>
              <w:spacing w:line="240" w:lineRule="auto"/>
              <w:rPr>
                <w:rFonts w:eastAsia="SimSun"/>
                <w:i/>
                <w:snapToGrid/>
                <w:szCs w:val="22"/>
                <w:lang w:eastAsia="zh-CN"/>
              </w:rPr>
            </w:pPr>
            <w:r w:rsidRPr="00CE7679">
              <w:rPr>
                <w:rFonts w:eastAsia="SimSun"/>
                <w:i/>
                <w:iCs/>
                <w:snapToGrid/>
                <w:szCs w:val="22"/>
                <w:lang w:eastAsia="zh-CN"/>
              </w:rPr>
              <w:t>Nedažnas</w:t>
            </w:r>
          </w:p>
        </w:tc>
        <w:tc>
          <w:tcPr>
            <w:tcW w:w="7089" w:type="dxa"/>
            <w:tcBorders>
              <w:top w:val="single" w:sz="4" w:space="0" w:color="000000"/>
              <w:left w:val="single" w:sz="4" w:space="0" w:color="000000"/>
              <w:bottom w:val="single" w:sz="4" w:space="0" w:color="000000"/>
              <w:right w:val="single" w:sz="4" w:space="0" w:color="000000"/>
            </w:tcBorders>
          </w:tcPr>
          <w:p w14:paraId="0C692B1F"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Inkstų skausmas, </w:t>
            </w:r>
            <w:proofErr w:type="spellStart"/>
            <w:r w:rsidRPr="00CE7679">
              <w:rPr>
                <w:rFonts w:eastAsia="SimSun"/>
                <w:snapToGrid/>
                <w:szCs w:val="22"/>
                <w:lang w:eastAsia="zh-CN"/>
              </w:rPr>
              <w:t>hematurija</w:t>
            </w:r>
            <w:proofErr w:type="spellEnd"/>
            <w:r w:rsidRPr="00CE7679">
              <w:rPr>
                <w:rFonts w:eastAsia="SimSun"/>
                <w:snapToGrid/>
                <w:szCs w:val="22"/>
                <w:lang w:eastAsia="zh-CN"/>
              </w:rPr>
              <w:t>, ūminis inkstų nepakankamumas, padažnėjęs šlapinimasis</w:t>
            </w:r>
          </w:p>
        </w:tc>
      </w:tr>
      <w:tr w:rsidR="00701D61" w:rsidRPr="00CE7679" w14:paraId="568A0428" w14:textId="77777777" w:rsidTr="00A27597">
        <w:trPr>
          <w:trHeight w:hRule="exact" w:val="316"/>
        </w:trPr>
        <w:tc>
          <w:tcPr>
            <w:tcW w:w="2235" w:type="dxa"/>
            <w:tcBorders>
              <w:top w:val="single" w:sz="4" w:space="0" w:color="000000"/>
              <w:left w:val="single" w:sz="4" w:space="0" w:color="000000"/>
              <w:bottom w:val="single" w:sz="4" w:space="0" w:color="000000"/>
              <w:right w:val="single" w:sz="4" w:space="0" w:color="000000"/>
            </w:tcBorders>
          </w:tcPr>
          <w:p w14:paraId="7B7EC356" w14:textId="77777777" w:rsidR="00A27597" w:rsidRPr="00CE7679" w:rsidRDefault="00A27597" w:rsidP="00A27597">
            <w:pPr>
              <w:widowControl w:val="0"/>
              <w:autoSpaceDE w:val="0"/>
              <w:autoSpaceDN w:val="0"/>
              <w:adjustRightInd w:val="0"/>
              <w:spacing w:line="240" w:lineRule="auto"/>
              <w:rPr>
                <w:rFonts w:eastAsia="SimSun"/>
                <w:i/>
                <w:iCs/>
                <w:snapToGrid/>
                <w:szCs w:val="22"/>
                <w:lang w:eastAsia="zh-CN"/>
              </w:rPr>
            </w:pPr>
            <w:r w:rsidRPr="00CE7679">
              <w:rPr>
                <w:rFonts w:eastAsia="SimSun"/>
                <w:i/>
                <w:iCs/>
                <w:snapToGrid/>
                <w:szCs w:val="22"/>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14:paraId="4918C6A8"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Lėtinis inkstų nepakankamumas</w:t>
            </w:r>
          </w:p>
        </w:tc>
      </w:tr>
      <w:tr w:rsidR="00701D61" w:rsidRPr="00CE7679" w14:paraId="0F6BD4AA" w14:textId="77777777" w:rsidTr="00A27597">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14:paraId="07CE464E"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b/>
                <w:bCs/>
                <w:snapToGrid/>
                <w:szCs w:val="22"/>
                <w:lang w:eastAsia="zh-CN"/>
              </w:rPr>
              <w:lastRenderedPageBreak/>
              <w:t>Lytinės sistemos ir krūties sutrikimai</w:t>
            </w:r>
          </w:p>
        </w:tc>
      </w:tr>
      <w:tr w:rsidR="00701D61" w:rsidRPr="00CE7679" w14:paraId="0AF6BC5F" w14:textId="77777777" w:rsidTr="00A27597">
        <w:trPr>
          <w:trHeight w:hRule="exact" w:val="790"/>
        </w:trPr>
        <w:tc>
          <w:tcPr>
            <w:tcW w:w="2235" w:type="dxa"/>
            <w:tcBorders>
              <w:top w:val="single" w:sz="4" w:space="0" w:color="000000"/>
              <w:left w:val="single" w:sz="4" w:space="0" w:color="000000"/>
              <w:bottom w:val="single" w:sz="4" w:space="0" w:color="000000"/>
              <w:right w:val="single" w:sz="4" w:space="0" w:color="000000"/>
            </w:tcBorders>
          </w:tcPr>
          <w:p w14:paraId="36CA2552" w14:textId="77777777" w:rsidR="00A27597" w:rsidRPr="00CE7679" w:rsidRDefault="00A27597" w:rsidP="00A27597">
            <w:pPr>
              <w:widowControl w:val="0"/>
              <w:autoSpaceDE w:val="0"/>
              <w:autoSpaceDN w:val="0"/>
              <w:adjustRightInd w:val="0"/>
              <w:spacing w:line="240" w:lineRule="auto"/>
              <w:rPr>
                <w:rFonts w:eastAsia="SimSun"/>
                <w:i/>
                <w:snapToGrid/>
                <w:szCs w:val="22"/>
                <w:lang w:eastAsia="zh-CN"/>
              </w:rPr>
            </w:pPr>
            <w:r w:rsidRPr="00CE7679">
              <w:rPr>
                <w:rFonts w:eastAsia="SimSun"/>
                <w:i/>
                <w:iCs/>
                <w:snapToGrid/>
                <w:szCs w:val="22"/>
                <w:lang w:eastAsia="zh-CN"/>
              </w:rPr>
              <w:t>Nedažnas</w:t>
            </w:r>
          </w:p>
        </w:tc>
        <w:tc>
          <w:tcPr>
            <w:tcW w:w="7089" w:type="dxa"/>
            <w:tcBorders>
              <w:top w:val="single" w:sz="4" w:space="0" w:color="000000"/>
              <w:left w:val="single" w:sz="4" w:space="0" w:color="000000"/>
              <w:bottom w:val="single" w:sz="4" w:space="0" w:color="000000"/>
              <w:right w:val="single" w:sz="4" w:space="0" w:color="000000"/>
            </w:tcBorders>
          </w:tcPr>
          <w:p w14:paraId="04069109"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roofErr w:type="spellStart"/>
            <w:r w:rsidRPr="00CE7679">
              <w:rPr>
                <w:rFonts w:eastAsia="SimSun"/>
                <w:snapToGrid/>
                <w:szCs w:val="22"/>
                <w:lang w:eastAsia="zh-CN"/>
              </w:rPr>
              <w:t>Ginekomastija</w:t>
            </w:r>
            <w:proofErr w:type="spellEnd"/>
            <w:r w:rsidRPr="00CE7679">
              <w:rPr>
                <w:rFonts w:eastAsia="SimSun"/>
                <w:snapToGrid/>
                <w:szCs w:val="22"/>
                <w:lang w:eastAsia="zh-CN"/>
              </w:rPr>
              <w:t xml:space="preserve">, erekcijos sutrikimas, </w:t>
            </w:r>
            <w:proofErr w:type="spellStart"/>
            <w:r w:rsidRPr="00CE7679">
              <w:rPr>
                <w:rFonts w:eastAsia="SimSun"/>
                <w:snapToGrid/>
                <w:szCs w:val="22"/>
                <w:lang w:eastAsia="zh-CN"/>
              </w:rPr>
              <w:t>menoragija</w:t>
            </w:r>
            <w:proofErr w:type="spellEnd"/>
            <w:r w:rsidRPr="00CE7679">
              <w:rPr>
                <w:rFonts w:eastAsia="SimSun"/>
                <w:snapToGrid/>
                <w:szCs w:val="22"/>
                <w:lang w:eastAsia="zh-CN"/>
              </w:rPr>
              <w:t>, menstruacijų ciklo sutrikimas, lytinė disfunkcija, spenelio skausmas, krūtų padidėjimas, kapšelio edema</w:t>
            </w:r>
          </w:p>
        </w:tc>
      </w:tr>
      <w:tr w:rsidR="00701D61" w:rsidRPr="00CE7679" w14:paraId="4DF80B6D" w14:textId="77777777" w:rsidTr="00A27597">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14:paraId="36A54188" w14:textId="77777777" w:rsidR="00A27597" w:rsidRPr="00CE7679" w:rsidRDefault="00A27597" w:rsidP="00A27597">
            <w:pPr>
              <w:widowControl w:val="0"/>
              <w:autoSpaceDE w:val="0"/>
              <w:autoSpaceDN w:val="0"/>
              <w:adjustRightInd w:val="0"/>
              <w:spacing w:line="240" w:lineRule="auto"/>
              <w:rPr>
                <w:rFonts w:eastAsia="SimSun"/>
                <w:i/>
                <w:snapToGrid/>
                <w:szCs w:val="22"/>
                <w:lang w:eastAsia="zh-CN"/>
              </w:rPr>
            </w:pPr>
            <w:r w:rsidRPr="00CE7679">
              <w:rPr>
                <w:rFonts w:eastAsia="SimSun"/>
                <w:i/>
                <w:iCs/>
                <w:snapToGrid/>
                <w:szCs w:val="22"/>
                <w:lang w:eastAsia="zh-CN"/>
              </w:rPr>
              <w:t>Retas</w:t>
            </w:r>
          </w:p>
        </w:tc>
        <w:tc>
          <w:tcPr>
            <w:tcW w:w="7089" w:type="dxa"/>
            <w:tcBorders>
              <w:top w:val="single" w:sz="4" w:space="0" w:color="000000"/>
              <w:left w:val="single" w:sz="4" w:space="0" w:color="000000"/>
              <w:bottom w:val="single" w:sz="4" w:space="0" w:color="000000"/>
              <w:right w:val="single" w:sz="4" w:space="0" w:color="000000"/>
            </w:tcBorders>
          </w:tcPr>
          <w:p w14:paraId="7CCFE102"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roofErr w:type="spellStart"/>
            <w:r w:rsidRPr="00CE7679">
              <w:rPr>
                <w:rFonts w:eastAsia="SimSun"/>
                <w:snapToGrid/>
                <w:szCs w:val="22"/>
                <w:lang w:eastAsia="zh-CN"/>
              </w:rPr>
              <w:t>Geltonkūnio</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hemoragija</w:t>
            </w:r>
            <w:proofErr w:type="spellEnd"/>
            <w:r w:rsidRPr="00CE7679">
              <w:rPr>
                <w:rFonts w:eastAsia="SimSun"/>
                <w:snapToGrid/>
                <w:szCs w:val="22"/>
                <w:lang w:eastAsia="zh-CN"/>
              </w:rPr>
              <w:t xml:space="preserve"> ar hemoraginė kiaušidžių cista</w:t>
            </w:r>
          </w:p>
        </w:tc>
      </w:tr>
      <w:tr w:rsidR="00701D61" w:rsidRPr="00CE7679" w14:paraId="58FE346C" w14:textId="77777777" w:rsidTr="00A27597">
        <w:trPr>
          <w:trHeight w:hRule="exact" w:val="272"/>
        </w:trPr>
        <w:tc>
          <w:tcPr>
            <w:tcW w:w="9324" w:type="dxa"/>
            <w:gridSpan w:val="2"/>
            <w:tcBorders>
              <w:top w:val="single" w:sz="4" w:space="0" w:color="000000"/>
              <w:left w:val="single" w:sz="4" w:space="0" w:color="000000"/>
              <w:bottom w:val="single" w:sz="4" w:space="0" w:color="000000"/>
              <w:right w:val="single" w:sz="4" w:space="0" w:color="000000"/>
            </w:tcBorders>
          </w:tcPr>
          <w:p w14:paraId="3FDB3E9F"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b/>
                <w:bCs/>
                <w:snapToGrid/>
                <w:szCs w:val="22"/>
                <w:lang w:eastAsia="zh-CN"/>
              </w:rPr>
              <w:t>Bendrieji sutrikimai ir vartojimo vietos pažeidimai</w:t>
            </w:r>
          </w:p>
        </w:tc>
      </w:tr>
      <w:tr w:rsidR="00701D61" w:rsidRPr="00CE7679" w14:paraId="0FA9FFD7" w14:textId="77777777" w:rsidTr="00A27597">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14:paraId="2B2E0B32" w14:textId="77777777" w:rsidR="00A27597" w:rsidRPr="00CE7679" w:rsidRDefault="00A27597" w:rsidP="00A27597">
            <w:pPr>
              <w:widowControl w:val="0"/>
              <w:autoSpaceDE w:val="0"/>
              <w:autoSpaceDN w:val="0"/>
              <w:adjustRightInd w:val="0"/>
              <w:spacing w:line="240" w:lineRule="auto"/>
              <w:rPr>
                <w:rFonts w:eastAsia="SimSun"/>
                <w:i/>
                <w:snapToGrid/>
                <w:szCs w:val="22"/>
                <w:lang w:eastAsia="zh-CN"/>
              </w:rPr>
            </w:pPr>
            <w:r w:rsidRPr="00CE7679">
              <w:rPr>
                <w:rFonts w:eastAsia="SimSun"/>
                <w:i/>
                <w:iCs/>
                <w:snapToGrid/>
                <w:szCs w:val="22"/>
                <w:lang w:eastAsia="zh-CN"/>
              </w:rPr>
              <w:t>Labai dažnas</w:t>
            </w:r>
          </w:p>
        </w:tc>
        <w:tc>
          <w:tcPr>
            <w:tcW w:w="7089" w:type="dxa"/>
            <w:tcBorders>
              <w:top w:val="single" w:sz="4" w:space="0" w:color="000000"/>
              <w:left w:val="single" w:sz="4" w:space="0" w:color="000000"/>
              <w:bottom w:val="single" w:sz="4" w:space="0" w:color="000000"/>
              <w:right w:val="single" w:sz="4" w:space="0" w:color="000000"/>
            </w:tcBorders>
          </w:tcPr>
          <w:p w14:paraId="20704F96"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Skysčių susilaikymas ir edema, nuovargis</w:t>
            </w:r>
          </w:p>
        </w:tc>
      </w:tr>
      <w:tr w:rsidR="00701D61" w:rsidRPr="00CE7679" w14:paraId="377973FC" w14:textId="77777777" w:rsidTr="00A27597">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07C8A67D" w14:textId="77777777" w:rsidR="00A27597" w:rsidRPr="00CE7679" w:rsidRDefault="00A27597" w:rsidP="00A27597">
            <w:pPr>
              <w:widowControl w:val="0"/>
              <w:autoSpaceDE w:val="0"/>
              <w:autoSpaceDN w:val="0"/>
              <w:adjustRightInd w:val="0"/>
              <w:spacing w:line="240" w:lineRule="auto"/>
              <w:rPr>
                <w:rFonts w:eastAsia="SimSun"/>
                <w:i/>
                <w:snapToGrid/>
                <w:szCs w:val="22"/>
                <w:lang w:eastAsia="zh-CN"/>
              </w:rPr>
            </w:pPr>
            <w:r w:rsidRPr="00CE7679">
              <w:rPr>
                <w:rFonts w:eastAsia="SimSun"/>
                <w:i/>
                <w:iCs/>
                <w:snapToGrid/>
                <w:szCs w:val="22"/>
                <w:lang w:eastAsia="zh-CN"/>
              </w:rPr>
              <w:t>Dažnas</w:t>
            </w:r>
          </w:p>
        </w:tc>
        <w:tc>
          <w:tcPr>
            <w:tcW w:w="7089" w:type="dxa"/>
            <w:tcBorders>
              <w:top w:val="single" w:sz="4" w:space="0" w:color="000000"/>
              <w:left w:val="single" w:sz="4" w:space="0" w:color="000000"/>
              <w:bottom w:val="single" w:sz="4" w:space="0" w:color="000000"/>
              <w:right w:val="single" w:sz="4" w:space="0" w:color="000000"/>
            </w:tcBorders>
          </w:tcPr>
          <w:p w14:paraId="37A7B28C"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Silpnumas, karščiavimas, odos vandenė, tremoras, sąstingis</w:t>
            </w:r>
          </w:p>
        </w:tc>
      </w:tr>
      <w:tr w:rsidR="00A27597" w:rsidRPr="00CE7679" w14:paraId="5070C01A" w14:textId="77777777" w:rsidTr="00A27597">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49635D31" w14:textId="77777777" w:rsidR="00A27597" w:rsidRPr="00CE7679" w:rsidRDefault="00A27597" w:rsidP="00A27597">
            <w:pPr>
              <w:widowControl w:val="0"/>
              <w:autoSpaceDE w:val="0"/>
              <w:autoSpaceDN w:val="0"/>
              <w:adjustRightInd w:val="0"/>
              <w:spacing w:line="240" w:lineRule="auto"/>
              <w:rPr>
                <w:rFonts w:eastAsia="SimSun"/>
                <w:i/>
                <w:snapToGrid/>
                <w:szCs w:val="22"/>
                <w:lang w:eastAsia="zh-CN"/>
              </w:rPr>
            </w:pPr>
            <w:r w:rsidRPr="00CE7679">
              <w:rPr>
                <w:rFonts w:eastAsia="SimSun"/>
                <w:i/>
                <w:iCs/>
                <w:snapToGrid/>
                <w:szCs w:val="22"/>
                <w:lang w:eastAsia="zh-CN"/>
              </w:rPr>
              <w:t>Nedažnas</w:t>
            </w:r>
          </w:p>
        </w:tc>
        <w:tc>
          <w:tcPr>
            <w:tcW w:w="7089" w:type="dxa"/>
            <w:tcBorders>
              <w:top w:val="single" w:sz="4" w:space="0" w:color="000000"/>
              <w:left w:val="single" w:sz="4" w:space="0" w:color="000000"/>
              <w:bottom w:val="single" w:sz="4" w:space="0" w:color="000000"/>
              <w:right w:val="single" w:sz="4" w:space="0" w:color="000000"/>
            </w:tcBorders>
          </w:tcPr>
          <w:p w14:paraId="03FB080E"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Skausmas krūtinėje, bloga savijauta</w:t>
            </w:r>
          </w:p>
        </w:tc>
      </w:tr>
    </w:tbl>
    <w:p w14:paraId="10867612"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tbl>
      <w:tblPr>
        <w:tblW w:w="0" w:type="auto"/>
        <w:tblInd w:w="105" w:type="dxa"/>
        <w:tblLayout w:type="fixed"/>
        <w:tblCellMar>
          <w:left w:w="0" w:type="dxa"/>
          <w:right w:w="0" w:type="dxa"/>
        </w:tblCellMar>
        <w:tblLook w:val="0000" w:firstRow="0" w:lastRow="0" w:firstColumn="0" w:lastColumn="0" w:noHBand="0" w:noVBand="0"/>
      </w:tblPr>
      <w:tblGrid>
        <w:gridCol w:w="2235"/>
        <w:gridCol w:w="7089"/>
      </w:tblGrid>
      <w:tr w:rsidR="00701D61" w:rsidRPr="00CE7679" w14:paraId="040981A5" w14:textId="77777777" w:rsidTr="00A27597">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14:paraId="116C551A"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b/>
                <w:bCs/>
                <w:snapToGrid/>
                <w:szCs w:val="22"/>
                <w:lang w:eastAsia="zh-CN"/>
              </w:rPr>
              <w:t>Tyrimai</w:t>
            </w:r>
          </w:p>
        </w:tc>
      </w:tr>
      <w:tr w:rsidR="00701D61" w:rsidRPr="00CE7679" w14:paraId="32D54218" w14:textId="77777777" w:rsidTr="00A27597">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14:paraId="7BBF3715" w14:textId="77777777" w:rsidR="00A27597" w:rsidRPr="00CE7679" w:rsidRDefault="00A27597" w:rsidP="00A27597">
            <w:pPr>
              <w:widowControl w:val="0"/>
              <w:autoSpaceDE w:val="0"/>
              <w:autoSpaceDN w:val="0"/>
              <w:adjustRightInd w:val="0"/>
              <w:spacing w:line="240" w:lineRule="auto"/>
              <w:rPr>
                <w:rFonts w:eastAsia="SimSun"/>
                <w:i/>
                <w:snapToGrid/>
                <w:szCs w:val="22"/>
                <w:lang w:eastAsia="zh-CN"/>
              </w:rPr>
            </w:pPr>
            <w:r w:rsidRPr="00CE7679">
              <w:rPr>
                <w:rFonts w:eastAsia="SimSun"/>
                <w:i/>
                <w:iCs/>
                <w:snapToGrid/>
                <w:szCs w:val="22"/>
                <w:lang w:eastAsia="zh-CN"/>
              </w:rPr>
              <w:t>Labai dažnas</w:t>
            </w:r>
          </w:p>
        </w:tc>
        <w:tc>
          <w:tcPr>
            <w:tcW w:w="7089" w:type="dxa"/>
            <w:tcBorders>
              <w:top w:val="single" w:sz="4" w:space="0" w:color="000000"/>
              <w:left w:val="single" w:sz="4" w:space="0" w:color="000000"/>
              <w:bottom w:val="single" w:sz="4" w:space="0" w:color="000000"/>
              <w:right w:val="single" w:sz="4" w:space="0" w:color="000000"/>
            </w:tcBorders>
          </w:tcPr>
          <w:p w14:paraId="71B11DE8"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Padidėjęs kūno svoris</w:t>
            </w:r>
          </w:p>
        </w:tc>
      </w:tr>
      <w:tr w:rsidR="00701D61" w:rsidRPr="00CE7679" w14:paraId="1F0B6A18" w14:textId="77777777" w:rsidTr="00A27597">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3A557374" w14:textId="77777777" w:rsidR="00A27597" w:rsidRPr="00CE7679" w:rsidRDefault="00A27597" w:rsidP="00A27597">
            <w:pPr>
              <w:widowControl w:val="0"/>
              <w:autoSpaceDE w:val="0"/>
              <w:autoSpaceDN w:val="0"/>
              <w:adjustRightInd w:val="0"/>
              <w:spacing w:line="240" w:lineRule="auto"/>
              <w:rPr>
                <w:rFonts w:eastAsia="SimSun"/>
                <w:i/>
                <w:snapToGrid/>
                <w:szCs w:val="22"/>
                <w:lang w:eastAsia="zh-CN"/>
              </w:rPr>
            </w:pPr>
            <w:r w:rsidRPr="00CE7679">
              <w:rPr>
                <w:rFonts w:eastAsia="SimSun"/>
                <w:i/>
                <w:iCs/>
                <w:snapToGrid/>
                <w:szCs w:val="22"/>
                <w:lang w:eastAsia="zh-CN"/>
              </w:rPr>
              <w:t>Dažnas</w:t>
            </w:r>
          </w:p>
        </w:tc>
        <w:tc>
          <w:tcPr>
            <w:tcW w:w="7089" w:type="dxa"/>
            <w:tcBorders>
              <w:top w:val="single" w:sz="4" w:space="0" w:color="000000"/>
              <w:left w:val="single" w:sz="4" w:space="0" w:color="000000"/>
              <w:bottom w:val="single" w:sz="4" w:space="0" w:color="000000"/>
              <w:right w:val="single" w:sz="4" w:space="0" w:color="000000"/>
            </w:tcBorders>
          </w:tcPr>
          <w:p w14:paraId="7B3AEFB8"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Sumažėjęs kūno svoris</w:t>
            </w:r>
          </w:p>
        </w:tc>
      </w:tr>
      <w:tr w:rsidR="00701D61" w:rsidRPr="00CE7679" w14:paraId="2562EEAD" w14:textId="77777777" w:rsidTr="00A27597">
        <w:trPr>
          <w:trHeight w:hRule="exact" w:val="790"/>
        </w:trPr>
        <w:tc>
          <w:tcPr>
            <w:tcW w:w="2235" w:type="dxa"/>
            <w:tcBorders>
              <w:top w:val="single" w:sz="4" w:space="0" w:color="000000"/>
              <w:left w:val="single" w:sz="4" w:space="0" w:color="000000"/>
              <w:bottom w:val="single" w:sz="4" w:space="0" w:color="000000"/>
              <w:right w:val="single" w:sz="4" w:space="0" w:color="000000"/>
            </w:tcBorders>
          </w:tcPr>
          <w:p w14:paraId="13F1E520" w14:textId="77777777" w:rsidR="00A27597" w:rsidRPr="00CE7679" w:rsidRDefault="00A27597" w:rsidP="00A27597">
            <w:pPr>
              <w:widowControl w:val="0"/>
              <w:autoSpaceDE w:val="0"/>
              <w:autoSpaceDN w:val="0"/>
              <w:adjustRightInd w:val="0"/>
              <w:spacing w:line="240" w:lineRule="auto"/>
              <w:rPr>
                <w:rFonts w:eastAsia="SimSun"/>
                <w:i/>
                <w:snapToGrid/>
                <w:szCs w:val="22"/>
                <w:lang w:eastAsia="zh-CN"/>
              </w:rPr>
            </w:pPr>
            <w:r w:rsidRPr="00CE7679">
              <w:rPr>
                <w:rFonts w:eastAsia="SimSun"/>
                <w:i/>
                <w:iCs/>
                <w:snapToGrid/>
                <w:szCs w:val="22"/>
                <w:lang w:eastAsia="zh-CN"/>
              </w:rPr>
              <w:t>Nedažnas</w:t>
            </w:r>
          </w:p>
        </w:tc>
        <w:tc>
          <w:tcPr>
            <w:tcW w:w="7089" w:type="dxa"/>
            <w:tcBorders>
              <w:top w:val="single" w:sz="4" w:space="0" w:color="000000"/>
              <w:left w:val="single" w:sz="4" w:space="0" w:color="000000"/>
              <w:bottom w:val="single" w:sz="4" w:space="0" w:color="000000"/>
              <w:right w:val="single" w:sz="4" w:space="0" w:color="000000"/>
            </w:tcBorders>
          </w:tcPr>
          <w:p w14:paraId="41EFBE43"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Padidėjusi kreatinino koncentracija kraujyje, padidėjęs </w:t>
            </w:r>
            <w:proofErr w:type="spellStart"/>
            <w:r w:rsidRPr="00CE7679">
              <w:rPr>
                <w:rFonts w:eastAsia="SimSun"/>
                <w:snapToGrid/>
                <w:szCs w:val="22"/>
                <w:lang w:eastAsia="zh-CN"/>
              </w:rPr>
              <w:t>kreatinfosfokinazės</w:t>
            </w:r>
            <w:proofErr w:type="spellEnd"/>
            <w:r w:rsidRPr="00CE7679">
              <w:rPr>
                <w:rFonts w:eastAsia="SimSun"/>
                <w:snapToGrid/>
                <w:szCs w:val="22"/>
                <w:lang w:eastAsia="zh-CN"/>
              </w:rPr>
              <w:t xml:space="preserve"> aktyvumas kraujyje, padidėjęs </w:t>
            </w:r>
            <w:proofErr w:type="spellStart"/>
            <w:r w:rsidRPr="00CE7679">
              <w:rPr>
                <w:rFonts w:eastAsia="SimSun"/>
                <w:snapToGrid/>
                <w:szCs w:val="22"/>
                <w:lang w:eastAsia="zh-CN"/>
              </w:rPr>
              <w:t>laktatdehidrogenazės</w:t>
            </w:r>
            <w:proofErr w:type="spellEnd"/>
            <w:r w:rsidRPr="00CE7679">
              <w:rPr>
                <w:rFonts w:eastAsia="SimSun"/>
                <w:snapToGrid/>
                <w:szCs w:val="22"/>
                <w:lang w:eastAsia="zh-CN"/>
              </w:rPr>
              <w:t xml:space="preserve"> aktyvumas kraujyje, padidėjęs šarminės fosfatazės aktyvumas kraujyje</w:t>
            </w:r>
          </w:p>
        </w:tc>
      </w:tr>
      <w:tr w:rsidR="00701D61" w:rsidRPr="00CE7679" w14:paraId="49DC8AAA" w14:textId="77777777" w:rsidTr="00A27597">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5F6B309F" w14:textId="77777777" w:rsidR="00A27597" w:rsidRPr="00CE7679" w:rsidRDefault="00A27597" w:rsidP="00A27597">
            <w:pPr>
              <w:widowControl w:val="0"/>
              <w:autoSpaceDE w:val="0"/>
              <w:autoSpaceDN w:val="0"/>
              <w:adjustRightInd w:val="0"/>
              <w:spacing w:line="240" w:lineRule="auto"/>
              <w:rPr>
                <w:rFonts w:eastAsia="SimSun"/>
                <w:i/>
                <w:snapToGrid/>
                <w:szCs w:val="22"/>
                <w:lang w:eastAsia="zh-CN"/>
              </w:rPr>
            </w:pPr>
            <w:r w:rsidRPr="00CE7679">
              <w:rPr>
                <w:rFonts w:eastAsia="SimSun"/>
                <w:i/>
                <w:iCs/>
                <w:snapToGrid/>
                <w:szCs w:val="22"/>
                <w:lang w:eastAsia="zh-CN"/>
              </w:rPr>
              <w:t>Retas</w:t>
            </w:r>
          </w:p>
        </w:tc>
        <w:tc>
          <w:tcPr>
            <w:tcW w:w="7089" w:type="dxa"/>
            <w:tcBorders>
              <w:top w:val="single" w:sz="4" w:space="0" w:color="000000"/>
              <w:left w:val="single" w:sz="4" w:space="0" w:color="000000"/>
              <w:bottom w:val="single" w:sz="4" w:space="0" w:color="000000"/>
              <w:right w:val="single" w:sz="4" w:space="0" w:color="000000"/>
            </w:tcBorders>
          </w:tcPr>
          <w:p w14:paraId="2E35326F"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Padidėjęs </w:t>
            </w:r>
            <w:proofErr w:type="spellStart"/>
            <w:r w:rsidRPr="00CE7679">
              <w:rPr>
                <w:rFonts w:eastAsia="SimSun"/>
                <w:snapToGrid/>
                <w:szCs w:val="22"/>
                <w:lang w:eastAsia="zh-CN"/>
              </w:rPr>
              <w:t>amilazės</w:t>
            </w:r>
            <w:proofErr w:type="spellEnd"/>
            <w:r w:rsidRPr="00CE7679">
              <w:rPr>
                <w:rFonts w:eastAsia="SimSun"/>
                <w:snapToGrid/>
                <w:szCs w:val="22"/>
                <w:lang w:eastAsia="zh-CN"/>
              </w:rPr>
              <w:t xml:space="preserve"> aktyvumas kraujyje</w:t>
            </w:r>
          </w:p>
        </w:tc>
      </w:tr>
    </w:tbl>
    <w:p w14:paraId="2CC07A65" w14:textId="77777777" w:rsidR="00A27597" w:rsidRPr="00CE7679" w:rsidRDefault="00A27597" w:rsidP="00A27597">
      <w:pPr>
        <w:widowControl w:val="0"/>
        <w:autoSpaceDE w:val="0"/>
        <w:autoSpaceDN w:val="0"/>
        <w:adjustRightInd w:val="0"/>
        <w:spacing w:line="240" w:lineRule="auto"/>
        <w:ind w:left="567" w:hanging="567"/>
        <w:rPr>
          <w:rFonts w:eastAsia="SimSun"/>
          <w:snapToGrid/>
          <w:szCs w:val="22"/>
          <w:lang w:eastAsia="zh-CN"/>
        </w:rPr>
      </w:pPr>
      <w:r w:rsidRPr="00CE7679">
        <w:rPr>
          <w:rFonts w:eastAsia="SimSun"/>
          <w:snapToGrid/>
          <w:szCs w:val="22"/>
          <w:lang w:eastAsia="zh-CN"/>
        </w:rPr>
        <w:t>*</w:t>
      </w:r>
      <w:r w:rsidRPr="00CE7679">
        <w:rPr>
          <w:rFonts w:eastAsia="SimSun"/>
          <w:snapToGrid/>
          <w:szCs w:val="22"/>
          <w:lang w:eastAsia="zh-CN"/>
        </w:rPr>
        <w:tab/>
        <w:t xml:space="preserve">Šių reakcijų tipai daugiausiai registruoti po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pateikimo į rinką. Tai nepageidaujamos reakcijos, apie kurias pranešta spontaniniuose pranešimuose, taip pat sunkūs nepageidaujami reiškiniai, stebėti tebevykstančių tyrimų, išplėstinių gydymo programų, klinikinių farmakologinių tyrimų ir bandomųjų nepatvirtintų indikacijų tyrimų metu. Kadangi šios reakcijos registruotos neaiškaus dydžio populiacijoje, ne visuomet galima patikimai įvertinti jų dažnumą arba nustatyti priežastinį ryšį su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ekspozicija.</w:t>
      </w:r>
    </w:p>
    <w:p w14:paraId="6F2437F9" w14:textId="77777777" w:rsidR="00A27597" w:rsidRPr="00CE7679" w:rsidRDefault="00A27597" w:rsidP="00A27597">
      <w:pPr>
        <w:widowControl w:val="0"/>
        <w:tabs>
          <w:tab w:val="left" w:pos="780"/>
        </w:tabs>
        <w:autoSpaceDE w:val="0"/>
        <w:autoSpaceDN w:val="0"/>
        <w:adjustRightInd w:val="0"/>
        <w:spacing w:line="240" w:lineRule="auto"/>
        <w:ind w:left="567" w:hanging="567"/>
        <w:rPr>
          <w:rFonts w:eastAsia="SimSun"/>
          <w:snapToGrid/>
          <w:szCs w:val="22"/>
          <w:lang w:eastAsia="zh-CN"/>
        </w:rPr>
      </w:pPr>
      <w:r w:rsidRPr="00CE7679">
        <w:rPr>
          <w:rFonts w:eastAsia="SimSun"/>
          <w:snapToGrid/>
          <w:szCs w:val="22"/>
          <w:lang w:eastAsia="zh-CN"/>
        </w:rPr>
        <w:t>1</w:t>
      </w:r>
      <w:r w:rsidRPr="00CE7679">
        <w:rPr>
          <w:rFonts w:eastAsia="SimSun"/>
          <w:snapToGrid/>
          <w:szCs w:val="22"/>
          <w:lang w:eastAsia="zh-CN"/>
        </w:rPr>
        <w:tab/>
        <w:t>Pneumonija dažniausiai registruota pacientams, kuriems buvo transformuota LML, ir pacientams, kuriems buvo GIST.</w:t>
      </w:r>
    </w:p>
    <w:p w14:paraId="5B845001"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2</w:t>
      </w:r>
      <w:r w:rsidRPr="00CE7679">
        <w:rPr>
          <w:rFonts w:eastAsia="SimSun"/>
          <w:snapToGrid/>
          <w:szCs w:val="22"/>
          <w:lang w:eastAsia="zh-CN"/>
        </w:rPr>
        <w:tab/>
        <w:t>Galvos skausmas dažniausiai pasireiškė pacientams, kuriems buvo GIST.</w:t>
      </w:r>
    </w:p>
    <w:p w14:paraId="7DFE1CA3" w14:textId="77777777" w:rsidR="00A27597" w:rsidRPr="00CE7679" w:rsidRDefault="00A27597" w:rsidP="00A27597">
      <w:pPr>
        <w:widowControl w:val="0"/>
        <w:autoSpaceDE w:val="0"/>
        <w:autoSpaceDN w:val="0"/>
        <w:adjustRightInd w:val="0"/>
        <w:spacing w:line="240" w:lineRule="auto"/>
        <w:ind w:left="567" w:hanging="567"/>
        <w:rPr>
          <w:rFonts w:eastAsia="SimSun"/>
          <w:snapToGrid/>
          <w:szCs w:val="22"/>
          <w:lang w:eastAsia="zh-CN"/>
        </w:rPr>
      </w:pPr>
      <w:r w:rsidRPr="00CE7679">
        <w:rPr>
          <w:rFonts w:eastAsia="SimSun"/>
          <w:snapToGrid/>
          <w:szCs w:val="22"/>
          <w:lang w:eastAsia="zh-CN"/>
        </w:rPr>
        <w:t>3</w:t>
      </w:r>
      <w:r w:rsidRPr="00CE7679">
        <w:rPr>
          <w:rFonts w:eastAsia="SimSun"/>
          <w:snapToGrid/>
          <w:szCs w:val="22"/>
          <w:lang w:eastAsia="zh-CN"/>
        </w:rPr>
        <w:tab/>
        <w:t xml:space="preserve">Vertinant pagal pacientų metus </w:t>
      </w:r>
      <w:r w:rsidRPr="00CE7679">
        <w:rPr>
          <w:rFonts w:eastAsia="SimSun"/>
          <w:i/>
          <w:iCs/>
          <w:snapToGrid/>
          <w:szCs w:val="22"/>
          <w:lang w:eastAsia="zh-CN"/>
        </w:rPr>
        <w:t xml:space="preserve">(angl. </w:t>
      </w:r>
      <w:proofErr w:type="spellStart"/>
      <w:r w:rsidRPr="00CE7679">
        <w:rPr>
          <w:rFonts w:eastAsia="SimSun"/>
          <w:i/>
          <w:iCs/>
          <w:snapToGrid/>
          <w:szCs w:val="22"/>
          <w:lang w:eastAsia="zh-CN"/>
        </w:rPr>
        <w:t>Patient-years</w:t>
      </w:r>
      <w:proofErr w:type="spellEnd"/>
      <w:r w:rsidRPr="00CE7679">
        <w:rPr>
          <w:rFonts w:eastAsia="SimSun"/>
          <w:snapToGrid/>
          <w:szCs w:val="22"/>
          <w:lang w:eastAsia="zh-CN"/>
        </w:rPr>
        <w:t xml:space="preserve">), kardiologiniai reiškiniai, įskaitant </w:t>
      </w:r>
      <w:proofErr w:type="spellStart"/>
      <w:r w:rsidRPr="00CE7679">
        <w:rPr>
          <w:rFonts w:eastAsia="SimSun"/>
          <w:snapToGrid/>
          <w:szCs w:val="22"/>
          <w:lang w:eastAsia="zh-CN"/>
        </w:rPr>
        <w:t>stazinį</w:t>
      </w:r>
      <w:proofErr w:type="spellEnd"/>
      <w:r w:rsidRPr="00CE7679">
        <w:rPr>
          <w:rFonts w:eastAsia="SimSun"/>
          <w:snapToGrid/>
          <w:szCs w:val="22"/>
          <w:lang w:eastAsia="zh-CN"/>
        </w:rPr>
        <w:t xml:space="preserve"> širdies nepakankamumą, dažniau stebėti pacientams, kuriems buvo transformuota LML, nei pacientams, sergantiems lėtine LML.</w:t>
      </w:r>
    </w:p>
    <w:p w14:paraId="189D9719" w14:textId="77777777" w:rsidR="00A27597" w:rsidRPr="00CE7679" w:rsidRDefault="00A27597" w:rsidP="00A27597">
      <w:pPr>
        <w:widowControl w:val="0"/>
        <w:autoSpaceDE w:val="0"/>
        <w:autoSpaceDN w:val="0"/>
        <w:adjustRightInd w:val="0"/>
        <w:spacing w:line="240" w:lineRule="auto"/>
        <w:ind w:left="567" w:hanging="567"/>
        <w:rPr>
          <w:rFonts w:eastAsia="SimSun"/>
          <w:snapToGrid/>
          <w:szCs w:val="22"/>
          <w:lang w:eastAsia="zh-CN"/>
        </w:rPr>
      </w:pPr>
      <w:r w:rsidRPr="00CE7679">
        <w:rPr>
          <w:rFonts w:eastAsia="SimSun"/>
          <w:snapToGrid/>
          <w:szCs w:val="22"/>
          <w:lang w:eastAsia="zh-CN"/>
        </w:rPr>
        <w:t>4</w:t>
      </w:r>
      <w:r w:rsidRPr="00CE7679">
        <w:rPr>
          <w:rFonts w:eastAsia="SimSun"/>
          <w:snapToGrid/>
          <w:szCs w:val="22"/>
          <w:lang w:eastAsia="zh-CN"/>
        </w:rPr>
        <w:tab/>
        <w:t xml:space="preserve">Trumpalaikis veido ir kaklo paraudimas dažniausiai pasireiškė pacientams, kuriems buvo GIST, o kraujavimas (hematoma, </w:t>
      </w:r>
      <w:proofErr w:type="spellStart"/>
      <w:r w:rsidRPr="00CE7679">
        <w:rPr>
          <w:rFonts w:eastAsia="SimSun"/>
          <w:snapToGrid/>
          <w:szCs w:val="22"/>
          <w:lang w:eastAsia="zh-CN"/>
        </w:rPr>
        <w:t>hemoragija</w:t>
      </w:r>
      <w:proofErr w:type="spellEnd"/>
      <w:r w:rsidRPr="00CE7679">
        <w:rPr>
          <w:rFonts w:eastAsia="SimSun"/>
          <w:snapToGrid/>
          <w:szCs w:val="22"/>
          <w:lang w:eastAsia="zh-CN"/>
        </w:rPr>
        <w:t>) – pacientams, kuriems buvo GIST, ir pacientams, kuriems buvo transformuota LML (LML-AF ir LML-BK).</w:t>
      </w:r>
    </w:p>
    <w:p w14:paraId="70BA538D" w14:textId="77777777" w:rsidR="00A27597" w:rsidRPr="00CE7679" w:rsidRDefault="00A27597" w:rsidP="00A27597">
      <w:pPr>
        <w:widowControl w:val="0"/>
        <w:autoSpaceDE w:val="0"/>
        <w:autoSpaceDN w:val="0"/>
        <w:adjustRightInd w:val="0"/>
        <w:spacing w:line="240" w:lineRule="auto"/>
        <w:ind w:left="567" w:hanging="567"/>
        <w:rPr>
          <w:rFonts w:eastAsia="SimSun"/>
          <w:snapToGrid/>
          <w:szCs w:val="22"/>
          <w:lang w:eastAsia="zh-CN"/>
        </w:rPr>
      </w:pPr>
      <w:r w:rsidRPr="00CE7679">
        <w:rPr>
          <w:rFonts w:eastAsia="SimSun"/>
          <w:snapToGrid/>
          <w:szCs w:val="22"/>
          <w:lang w:eastAsia="zh-CN"/>
        </w:rPr>
        <w:t>5</w:t>
      </w:r>
      <w:r w:rsidRPr="00CE7679">
        <w:rPr>
          <w:rFonts w:eastAsia="SimSun"/>
          <w:snapToGrid/>
          <w:szCs w:val="22"/>
          <w:lang w:eastAsia="zh-CN"/>
        </w:rPr>
        <w:tab/>
        <w:t xml:space="preserve">Skystis pleuros ertmėje dažniau registruotas pacientams, kuriems buvo GIST, ir pacientams, kuriems buvo transformuota LML (LML-AF ir LML-BK), nei pacientams, sergantiems lėtine LML. </w:t>
      </w:r>
    </w:p>
    <w:p w14:paraId="37242E47" w14:textId="77777777" w:rsidR="00A27597" w:rsidRPr="00CE7679" w:rsidRDefault="00A27597" w:rsidP="00A27597">
      <w:pPr>
        <w:widowControl w:val="0"/>
        <w:tabs>
          <w:tab w:val="left" w:pos="780"/>
        </w:tabs>
        <w:autoSpaceDE w:val="0"/>
        <w:autoSpaceDN w:val="0"/>
        <w:adjustRightInd w:val="0"/>
        <w:spacing w:line="240" w:lineRule="auto"/>
        <w:ind w:left="567" w:hanging="567"/>
        <w:rPr>
          <w:rFonts w:eastAsia="SimSun"/>
          <w:snapToGrid/>
          <w:szCs w:val="22"/>
          <w:lang w:eastAsia="zh-CN"/>
        </w:rPr>
      </w:pPr>
      <w:r w:rsidRPr="00CE7679">
        <w:rPr>
          <w:rFonts w:eastAsia="SimSun"/>
          <w:snapToGrid/>
          <w:szCs w:val="22"/>
          <w:lang w:eastAsia="zh-CN"/>
        </w:rPr>
        <w:t>6+7</w:t>
      </w:r>
      <w:r w:rsidRPr="00CE7679">
        <w:rPr>
          <w:rFonts w:eastAsia="SimSun"/>
          <w:snapToGrid/>
          <w:szCs w:val="22"/>
          <w:lang w:eastAsia="zh-CN"/>
        </w:rPr>
        <w:tab/>
        <w:t>Pilvo skausmas ir kraujavimas iš virškinimo trakto dažniausiai stebėtas pacientams, kuriems buvo GIST.</w:t>
      </w:r>
    </w:p>
    <w:p w14:paraId="02101C8F" w14:textId="77777777" w:rsidR="00A27597" w:rsidRPr="00CE7679" w:rsidRDefault="00A27597" w:rsidP="00A27597">
      <w:pPr>
        <w:widowControl w:val="0"/>
        <w:autoSpaceDE w:val="0"/>
        <w:autoSpaceDN w:val="0"/>
        <w:adjustRightInd w:val="0"/>
        <w:spacing w:line="240" w:lineRule="auto"/>
        <w:ind w:left="567" w:hanging="567"/>
        <w:rPr>
          <w:rFonts w:eastAsia="SimSun"/>
          <w:snapToGrid/>
          <w:szCs w:val="22"/>
          <w:lang w:eastAsia="zh-CN"/>
        </w:rPr>
      </w:pPr>
      <w:r w:rsidRPr="00CE7679">
        <w:rPr>
          <w:rFonts w:eastAsia="SimSun"/>
          <w:snapToGrid/>
          <w:szCs w:val="22"/>
          <w:lang w:eastAsia="zh-CN"/>
        </w:rPr>
        <w:t>8</w:t>
      </w:r>
      <w:r w:rsidRPr="00CE7679">
        <w:rPr>
          <w:rFonts w:eastAsia="SimSun"/>
          <w:snapToGrid/>
          <w:szCs w:val="22"/>
          <w:lang w:eastAsia="zh-CN"/>
        </w:rPr>
        <w:tab/>
        <w:t>Registruoti keli mirtini kepenų nepakankamumo ir kepenų nekrozės atvejai.</w:t>
      </w:r>
    </w:p>
    <w:p w14:paraId="203E7751" w14:textId="6554570C" w:rsidR="00693741" w:rsidRDefault="00A27597" w:rsidP="00693741">
      <w:pPr>
        <w:widowControl w:val="0"/>
        <w:tabs>
          <w:tab w:val="left" w:pos="780"/>
        </w:tabs>
        <w:autoSpaceDE w:val="0"/>
        <w:autoSpaceDN w:val="0"/>
        <w:adjustRightInd w:val="0"/>
        <w:spacing w:line="240" w:lineRule="auto"/>
        <w:ind w:left="567" w:hanging="567"/>
        <w:rPr>
          <w:rFonts w:eastAsia="SimSun"/>
          <w:snapToGrid/>
          <w:szCs w:val="22"/>
          <w:lang w:eastAsia="zh-CN"/>
        </w:rPr>
      </w:pPr>
      <w:r w:rsidRPr="00CE7679">
        <w:rPr>
          <w:rFonts w:eastAsia="SimSun"/>
          <w:snapToGrid/>
          <w:szCs w:val="22"/>
          <w:lang w:eastAsia="zh-CN"/>
        </w:rPr>
        <w:t>9</w:t>
      </w:r>
      <w:r w:rsidRPr="00CE7679">
        <w:rPr>
          <w:rFonts w:eastAsia="SimSun"/>
          <w:snapToGrid/>
          <w:szCs w:val="22"/>
          <w:lang w:eastAsia="zh-CN"/>
        </w:rPr>
        <w:tab/>
        <w:t xml:space="preserve">Skeleto ir raumenų skausmas </w:t>
      </w:r>
      <w:r w:rsidR="00693741" w:rsidRPr="00693741">
        <w:rPr>
          <w:rFonts w:eastAsia="SimSun"/>
          <w:snapToGrid/>
          <w:szCs w:val="22"/>
          <w:lang w:eastAsia="zh-CN"/>
        </w:rPr>
        <w:t xml:space="preserve">gydymo </w:t>
      </w:r>
      <w:proofErr w:type="spellStart"/>
      <w:r w:rsidR="00693741" w:rsidRPr="00693741">
        <w:rPr>
          <w:rFonts w:eastAsia="SimSun"/>
          <w:snapToGrid/>
          <w:szCs w:val="22"/>
          <w:lang w:eastAsia="zh-CN"/>
        </w:rPr>
        <w:t>imatinibu</w:t>
      </w:r>
      <w:proofErr w:type="spellEnd"/>
      <w:r w:rsidR="00693741" w:rsidRPr="00693741">
        <w:rPr>
          <w:rFonts w:eastAsia="SimSun"/>
          <w:snapToGrid/>
          <w:szCs w:val="22"/>
          <w:lang w:eastAsia="zh-CN"/>
        </w:rPr>
        <w:t xml:space="preserve"> metu arba po jo nutraukimo buvo pastebėtas po vaistinio preparato pat</w:t>
      </w:r>
      <w:r w:rsidR="00BC61E8">
        <w:rPr>
          <w:rFonts w:eastAsia="SimSun"/>
          <w:snapToGrid/>
          <w:szCs w:val="22"/>
          <w:lang w:eastAsia="zh-CN"/>
        </w:rPr>
        <w:t>i</w:t>
      </w:r>
      <w:r w:rsidR="00693741" w:rsidRPr="00693741">
        <w:rPr>
          <w:rFonts w:eastAsia="SimSun"/>
          <w:snapToGrid/>
          <w:szCs w:val="22"/>
          <w:lang w:eastAsia="zh-CN"/>
        </w:rPr>
        <w:t>ekimo į rinką.</w:t>
      </w:r>
    </w:p>
    <w:p w14:paraId="3F24475B" w14:textId="77777777" w:rsidR="00A27597" w:rsidRPr="00CE7679" w:rsidRDefault="00693741" w:rsidP="00A27597">
      <w:pPr>
        <w:widowControl w:val="0"/>
        <w:tabs>
          <w:tab w:val="left" w:pos="780"/>
        </w:tabs>
        <w:autoSpaceDE w:val="0"/>
        <w:autoSpaceDN w:val="0"/>
        <w:adjustRightInd w:val="0"/>
        <w:spacing w:line="240" w:lineRule="auto"/>
        <w:ind w:left="567" w:hanging="567"/>
        <w:rPr>
          <w:rFonts w:eastAsia="SimSun"/>
          <w:snapToGrid/>
          <w:szCs w:val="22"/>
          <w:lang w:eastAsia="zh-CN"/>
        </w:rPr>
      </w:pPr>
      <w:r>
        <w:rPr>
          <w:rFonts w:eastAsia="SimSun"/>
          <w:snapToGrid/>
          <w:szCs w:val="22"/>
          <w:lang w:eastAsia="zh-CN"/>
        </w:rPr>
        <w:t>10</w:t>
      </w:r>
      <w:r>
        <w:rPr>
          <w:rFonts w:eastAsia="SimSun"/>
          <w:snapToGrid/>
          <w:szCs w:val="22"/>
          <w:lang w:eastAsia="zh-CN"/>
        </w:rPr>
        <w:tab/>
      </w:r>
      <w:r w:rsidR="00A27597" w:rsidRPr="00CE7679">
        <w:rPr>
          <w:rFonts w:eastAsia="SimSun"/>
          <w:snapToGrid/>
          <w:szCs w:val="22"/>
          <w:lang w:eastAsia="zh-CN"/>
        </w:rPr>
        <w:t>Skeleto ir raumenų skausmas bei susiję reiškiniai dažniau stebėti pacientams, sergantiems LML, nei pacientams, kuriems buvo GIST.</w:t>
      </w:r>
    </w:p>
    <w:p w14:paraId="6DD24ABF" w14:textId="27AD2177" w:rsidR="00A27597" w:rsidRPr="00CE7679" w:rsidRDefault="00A27597" w:rsidP="00A27597">
      <w:pPr>
        <w:widowControl w:val="0"/>
        <w:tabs>
          <w:tab w:val="left" w:pos="780"/>
        </w:tabs>
        <w:autoSpaceDE w:val="0"/>
        <w:autoSpaceDN w:val="0"/>
        <w:adjustRightInd w:val="0"/>
        <w:spacing w:line="240" w:lineRule="auto"/>
        <w:ind w:left="567" w:hanging="567"/>
        <w:rPr>
          <w:rFonts w:eastAsia="SimSun"/>
          <w:snapToGrid/>
          <w:szCs w:val="22"/>
          <w:lang w:eastAsia="zh-CN"/>
        </w:rPr>
      </w:pPr>
      <w:r w:rsidRPr="00CE7679">
        <w:rPr>
          <w:rFonts w:eastAsia="SimSun"/>
          <w:snapToGrid/>
          <w:szCs w:val="22"/>
          <w:lang w:eastAsia="zh-CN"/>
        </w:rPr>
        <w:t>1</w:t>
      </w:r>
      <w:r w:rsidR="00693741">
        <w:rPr>
          <w:rFonts w:eastAsia="SimSun"/>
          <w:snapToGrid/>
          <w:szCs w:val="22"/>
          <w:lang w:eastAsia="zh-CN"/>
        </w:rPr>
        <w:t>1</w:t>
      </w:r>
      <w:r w:rsidRPr="00CE7679">
        <w:rPr>
          <w:rFonts w:eastAsia="SimSun"/>
          <w:snapToGrid/>
          <w:szCs w:val="22"/>
          <w:lang w:eastAsia="zh-CN"/>
        </w:rPr>
        <w:tab/>
        <w:t xml:space="preserve">Buvo pranešta apie mirties atvejus pacientams, kuriems yra progresavusi liga, sunkių infekcijų, sunki </w:t>
      </w:r>
      <w:proofErr w:type="spellStart"/>
      <w:r w:rsidRPr="00CE7679">
        <w:rPr>
          <w:rFonts w:eastAsia="SimSun"/>
          <w:snapToGrid/>
          <w:szCs w:val="22"/>
          <w:lang w:eastAsia="zh-CN"/>
        </w:rPr>
        <w:t>neutropenija</w:t>
      </w:r>
      <w:proofErr w:type="spellEnd"/>
      <w:r w:rsidRPr="00CE7679">
        <w:rPr>
          <w:rFonts w:eastAsia="SimSun"/>
          <w:snapToGrid/>
          <w:szCs w:val="22"/>
          <w:lang w:eastAsia="zh-CN"/>
        </w:rPr>
        <w:t xml:space="preserve"> ir kitų sunkių gretutinių ligų. </w:t>
      </w:r>
    </w:p>
    <w:p w14:paraId="09CE171B" w14:textId="77777777" w:rsidR="00A27597" w:rsidRPr="00CE7679" w:rsidRDefault="00A27597" w:rsidP="00A27597">
      <w:pPr>
        <w:widowControl w:val="0"/>
        <w:tabs>
          <w:tab w:val="left" w:pos="780"/>
        </w:tabs>
        <w:autoSpaceDE w:val="0"/>
        <w:autoSpaceDN w:val="0"/>
        <w:adjustRightInd w:val="0"/>
        <w:spacing w:line="240" w:lineRule="auto"/>
        <w:rPr>
          <w:rFonts w:eastAsia="SimSun"/>
          <w:snapToGrid/>
          <w:szCs w:val="22"/>
          <w:lang w:eastAsia="zh-CN"/>
        </w:rPr>
      </w:pPr>
    </w:p>
    <w:p w14:paraId="42591BA2" w14:textId="77777777" w:rsidR="00A27597" w:rsidRPr="00CE7679" w:rsidRDefault="00A27597" w:rsidP="00A27597">
      <w:pPr>
        <w:widowControl w:val="0"/>
        <w:tabs>
          <w:tab w:val="left" w:pos="780"/>
        </w:tabs>
        <w:autoSpaceDE w:val="0"/>
        <w:autoSpaceDN w:val="0"/>
        <w:adjustRightInd w:val="0"/>
        <w:spacing w:line="240" w:lineRule="auto"/>
        <w:rPr>
          <w:rFonts w:eastAsia="SimSun"/>
          <w:snapToGrid/>
          <w:szCs w:val="22"/>
          <w:u w:val="single"/>
          <w:lang w:eastAsia="zh-CN"/>
        </w:rPr>
      </w:pPr>
      <w:r w:rsidRPr="00CE7679">
        <w:rPr>
          <w:rFonts w:eastAsia="SimSun"/>
          <w:snapToGrid/>
          <w:szCs w:val="22"/>
          <w:u w:val="single"/>
          <w:lang w:eastAsia="zh-CN"/>
        </w:rPr>
        <w:t>Laboratorinių tyrimų nenormalumai</w:t>
      </w:r>
    </w:p>
    <w:p w14:paraId="6F85F1DC" w14:textId="77777777" w:rsidR="00A27597" w:rsidRPr="00CE7679" w:rsidRDefault="00A27597" w:rsidP="00A27597">
      <w:pPr>
        <w:widowControl w:val="0"/>
        <w:tabs>
          <w:tab w:val="left" w:pos="780"/>
        </w:tabs>
        <w:autoSpaceDE w:val="0"/>
        <w:autoSpaceDN w:val="0"/>
        <w:adjustRightInd w:val="0"/>
        <w:spacing w:line="240" w:lineRule="auto"/>
        <w:rPr>
          <w:rFonts w:eastAsia="SimSun"/>
          <w:i/>
          <w:snapToGrid/>
          <w:szCs w:val="22"/>
          <w:lang w:eastAsia="zh-CN"/>
        </w:rPr>
      </w:pPr>
      <w:r w:rsidRPr="00CE7679">
        <w:rPr>
          <w:rFonts w:eastAsia="SimSun"/>
          <w:i/>
          <w:snapToGrid/>
          <w:szCs w:val="22"/>
          <w:lang w:eastAsia="zh-CN"/>
        </w:rPr>
        <w:t>Hematologija</w:t>
      </w:r>
    </w:p>
    <w:p w14:paraId="009C873A" w14:textId="2F5EB032" w:rsidR="00A27597" w:rsidRPr="00CE7679" w:rsidRDefault="00A27597" w:rsidP="00A27597">
      <w:pPr>
        <w:widowControl w:val="0"/>
        <w:tabs>
          <w:tab w:val="left" w:pos="780"/>
        </w:tabs>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Visų tyrimų metu LML sergantiems pacientams stebėta </w:t>
      </w:r>
      <w:proofErr w:type="spellStart"/>
      <w:r w:rsidRPr="00CE7679">
        <w:rPr>
          <w:rFonts w:eastAsia="SimSun"/>
          <w:snapToGrid/>
          <w:szCs w:val="22"/>
          <w:lang w:eastAsia="zh-CN"/>
        </w:rPr>
        <w:t>citopenija</w:t>
      </w:r>
      <w:proofErr w:type="spellEnd"/>
      <w:r w:rsidRPr="00CE7679">
        <w:rPr>
          <w:rFonts w:eastAsia="SimSun"/>
          <w:snapToGrid/>
          <w:szCs w:val="22"/>
          <w:lang w:eastAsia="zh-CN"/>
        </w:rPr>
        <w:t xml:space="preserve">, ypač </w:t>
      </w:r>
      <w:proofErr w:type="spellStart"/>
      <w:r w:rsidRPr="00CE7679">
        <w:rPr>
          <w:rFonts w:eastAsia="SimSun"/>
          <w:snapToGrid/>
          <w:szCs w:val="22"/>
          <w:lang w:eastAsia="zh-CN"/>
        </w:rPr>
        <w:t>neutropenija</w:t>
      </w:r>
      <w:proofErr w:type="spellEnd"/>
      <w:r w:rsidRPr="00CE7679">
        <w:rPr>
          <w:rFonts w:eastAsia="SimSun"/>
          <w:snapToGrid/>
          <w:szCs w:val="22"/>
          <w:lang w:eastAsia="zh-CN"/>
        </w:rPr>
        <w:t xml:space="preserve"> ir </w:t>
      </w:r>
      <w:proofErr w:type="spellStart"/>
      <w:r w:rsidRPr="00CE7679">
        <w:rPr>
          <w:rFonts w:eastAsia="SimSun"/>
          <w:snapToGrid/>
          <w:szCs w:val="22"/>
          <w:lang w:eastAsia="zh-CN"/>
        </w:rPr>
        <w:t>trombocitopenija</w:t>
      </w:r>
      <w:proofErr w:type="spellEnd"/>
      <w:r w:rsidRPr="00CE7679">
        <w:rPr>
          <w:rFonts w:eastAsia="SimSun"/>
          <w:snapToGrid/>
          <w:szCs w:val="22"/>
          <w:lang w:eastAsia="zh-CN"/>
        </w:rPr>
        <w:t xml:space="preserve">, dažniau vartojant dideles </w:t>
      </w:r>
      <w:r w:rsidRPr="00CE7679">
        <w:rPr>
          <w:rFonts w:eastAsia="SimSun" w:hint="eastAsia"/>
          <w:snapToGrid/>
          <w:szCs w:val="22"/>
          <w:lang w:eastAsia="zh-CN"/>
        </w:rPr>
        <w:t>≥</w:t>
      </w:r>
      <w:r w:rsidR="004C1A71" w:rsidRPr="00CE7679">
        <w:rPr>
          <w:rFonts w:eastAsia="SimSun"/>
          <w:snapToGrid/>
          <w:szCs w:val="22"/>
          <w:lang w:eastAsia="zh-CN"/>
        </w:rPr>
        <w:t> </w:t>
      </w:r>
      <w:r w:rsidRPr="00CE7679">
        <w:rPr>
          <w:rFonts w:eastAsia="SimSun"/>
          <w:snapToGrid/>
          <w:szCs w:val="22"/>
          <w:lang w:eastAsia="zh-CN"/>
        </w:rPr>
        <w:t>750</w:t>
      </w:r>
      <w:r w:rsidR="004C1A71" w:rsidRPr="00CE7679">
        <w:rPr>
          <w:rFonts w:eastAsia="SimSun"/>
          <w:snapToGrid/>
          <w:szCs w:val="22"/>
          <w:lang w:eastAsia="zh-CN"/>
        </w:rPr>
        <w:t> </w:t>
      </w:r>
      <w:r w:rsidRPr="00CE7679">
        <w:rPr>
          <w:rFonts w:eastAsia="SimSun"/>
          <w:snapToGrid/>
          <w:szCs w:val="22"/>
          <w:lang w:eastAsia="zh-CN"/>
        </w:rPr>
        <w:t xml:space="preserve">mg dozes (I fazės tyrimas). Tačiau </w:t>
      </w:r>
      <w:proofErr w:type="spellStart"/>
      <w:r w:rsidRPr="00CE7679">
        <w:rPr>
          <w:rFonts w:eastAsia="SimSun"/>
          <w:snapToGrid/>
          <w:szCs w:val="22"/>
          <w:lang w:eastAsia="zh-CN"/>
        </w:rPr>
        <w:t>citopenijos</w:t>
      </w:r>
      <w:proofErr w:type="spellEnd"/>
      <w:r w:rsidRPr="00CE7679">
        <w:rPr>
          <w:rFonts w:eastAsia="SimSun"/>
          <w:snapToGrid/>
          <w:szCs w:val="22"/>
          <w:lang w:eastAsia="zh-CN"/>
        </w:rPr>
        <w:t xml:space="preserve"> aiškiai priklauso nuo ligos stadijos, III-IV laipsnio </w:t>
      </w:r>
      <w:proofErr w:type="spellStart"/>
      <w:r w:rsidRPr="00CE7679">
        <w:rPr>
          <w:rFonts w:eastAsia="SimSun"/>
          <w:snapToGrid/>
          <w:szCs w:val="22"/>
          <w:lang w:eastAsia="zh-CN"/>
        </w:rPr>
        <w:t>neutropenija</w:t>
      </w:r>
      <w:proofErr w:type="spellEnd"/>
      <w:r w:rsidRPr="00CE7679">
        <w:rPr>
          <w:rFonts w:eastAsia="SimSun"/>
          <w:snapToGrid/>
          <w:szCs w:val="22"/>
          <w:lang w:eastAsia="zh-CN"/>
        </w:rPr>
        <w:t xml:space="preserve"> (ANS &lt;</w:t>
      </w:r>
      <w:r w:rsidR="004C1A71" w:rsidRPr="00CE7679">
        <w:rPr>
          <w:rFonts w:eastAsia="SimSun"/>
          <w:snapToGrid/>
          <w:szCs w:val="22"/>
          <w:lang w:eastAsia="zh-CN"/>
        </w:rPr>
        <w:t> </w:t>
      </w:r>
      <w:r w:rsidRPr="00CE7679">
        <w:rPr>
          <w:rFonts w:eastAsia="SimSun"/>
          <w:snapToGrid/>
          <w:szCs w:val="22"/>
          <w:lang w:eastAsia="zh-CN"/>
        </w:rPr>
        <w:t>1,0</w:t>
      </w:r>
      <w:r w:rsidR="004C1A71" w:rsidRPr="00CE7679">
        <w:rPr>
          <w:rFonts w:eastAsia="SimSun"/>
          <w:snapToGrid/>
          <w:szCs w:val="22"/>
          <w:lang w:eastAsia="zh-CN"/>
        </w:rPr>
        <w:t> </w:t>
      </w:r>
      <w:r w:rsidRPr="00CE7679">
        <w:rPr>
          <w:rFonts w:eastAsia="SimSun"/>
          <w:snapToGrid/>
          <w:szCs w:val="22"/>
          <w:lang w:eastAsia="zh-CN"/>
        </w:rPr>
        <w:t>x</w:t>
      </w:r>
      <w:r w:rsidR="004C1A71" w:rsidRPr="00CE7679">
        <w:rPr>
          <w:rFonts w:eastAsia="SimSun"/>
          <w:snapToGrid/>
          <w:szCs w:val="22"/>
          <w:lang w:eastAsia="zh-CN"/>
        </w:rPr>
        <w:t> </w:t>
      </w:r>
      <w:r w:rsidRPr="00CE7679">
        <w:rPr>
          <w:rFonts w:eastAsia="SimSun"/>
          <w:snapToGrid/>
          <w:szCs w:val="22"/>
          <w:lang w:eastAsia="zh-CN"/>
        </w:rPr>
        <w:t>10</w:t>
      </w:r>
      <w:r w:rsidRPr="00CE7679">
        <w:rPr>
          <w:rFonts w:eastAsia="SimSun"/>
          <w:snapToGrid/>
          <w:szCs w:val="22"/>
          <w:vertAlign w:val="superscript"/>
          <w:lang w:eastAsia="zh-CN"/>
        </w:rPr>
        <w:t>9</w:t>
      </w:r>
      <w:r w:rsidRPr="00CE7679">
        <w:rPr>
          <w:rFonts w:eastAsia="SimSun"/>
          <w:snapToGrid/>
          <w:szCs w:val="22"/>
          <w:lang w:eastAsia="zh-CN"/>
        </w:rPr>
        <w:t xml:space="preserve">/l) ir </w:t>
      </w:r>
      <w:proofErr w:type="spellStart"/>
      <w:r w:rsidRPr="00CE7679">
        <w:rPr>
          <w:rFonts w:eastAsia="SimSun"/>
          <w:snapToGrid/>
          <w:szCs w:val="22"/>
          <w:lang w:eastAsia="zh-CN"/>
        </w:rPr>
        <w:t>trombocitopenija</w:t>
      </w:r>
      <w:proofErr w:type="spellEnd"/>
      <w:r w:rsidRPr="00CE7679">
        <w:rPr>
          <w:rFonts w:eastAsia="SimSun"/>
          <w:snapToGrid/>
          <w:szCs w:val="22"/>
          <w:lang w:eastAsia="zh-CN"/>
        </w:rPr>
        <w:t xml:space="preserve"> (trombocitų &lt;</w:t>
      </w:r>
      <w:r w:rsidR="004C1A71" w:rsidRPr="00CE7679">
        <w:rPr>
          <w:rFonts w:eastAsia="SimSun"/>
          <w:snapToGrid/>
          <w:szCs w:val="22"/>
          <w:lang w:eastAsia="zh-CN"/>
        </w:rPr>
        <w:t> </w:t>
      </w:r>
      <w:r w:rsidRPr="00CE7679">
        <w:rPr>
          <w:rFonts w:eastAsia="SimSun"/>
          <w:snapToGrid/>
          <w:szCs w:val="22"/>
          <w:lang w:eastAsia="zh-CN"/>
        </w:rPr>
        <w:t>50</w:t>
      </w:r>
      <w:r w:rsidR="004C1A71" w:rsidRPr="00CE7679">
        <w:rPr>
          <w:rFonts w:eastAsia="SimSun"/>
          <w:snapToGrid/>
          <w:szCs w:val="22"/>
          <w:lang w:eastAsia="zh-CN"/>
        </w:rPr>
        <w:t> </w:t>
      </w:r>
      <w:r w:rsidRPr="00CE7679">
        <w:rPr>
          <w:rFonts w:eastAsia="SimSun"/>
          <w:snapToGrid/>
          <w:szCs w:val="22"/>
          <w:lang w:eastAsia="zh-CN"/>
        </w:rPr>
        <w:t>x</w:t>
      </w:r>
      <w:r w:rsidR="004C1A71" w:rsidRPr="00CE7679">
        <w:rPr>
          <w:rFonts w:eastAsia="SimSun"/>
          <w:snapToGrid/>
          <w:szCs w:val="22"/>
          <w:lang w:eastAsia="zh-CN"/>
        </w:rPr>
        <w:t> </w:t>
      </w:r>
      <w:r w:rsidRPr="00CE7679">
        <w:rPr>
          <w:rFonts w:eastAsia="SimSun"/>
          <w:snapToGrid/>
          <w:szCs w:val="22"/>
          <w:lang w:eastAsia="zh-CN"/>
        </w:rPr>
        <w:t>10</w:t>
      </w:r>
      <w:r w:rsidRPr="00CE7679">
        <w:rPr>
          <w:rFonts w:eastAsia="SimSun"/>
          <w:snapToGrid/>
          <w:szCs w:val="22"/>
          <w:vertAlign w:val="superscript"/>
          <w:lang w:eastAsia="zh-CN"/>
        </w:rPr>
        <w:t>9</w:t>
      </w:r>
      <w:r w:rsidRPr="00CE7679">
        <w:rPr>
          <w:rFonts w:eastAsia="SimSun"/>
          <w:snapToGrid/>
          <w:szCs w:val="22"/>
          <w:lang w:eastAsia="zh-CN"/>
        </w:rPr>
        <w:t xml:space="preserve">/l) buvo 4–6 kartus dažniau nustatyta pacientams, kuriems buvo </w:t>
      </w:r>
      <w:proofErr w:type="spellStart"/>
      <w:r w:rsidRPr="00CE7679">
        <w:rPr>
          <w:rFonts w:eastAsia="SimSun"/>
          <w:snapToGrid/>
          <w:szCs w:val="22"/>
          <w:lang w:eastAsia="zh-CN"/>
        </w:rPr>
        <w:t>blastinė</w:t>
      </w:r>
      <w:proofErr w:type="spellEnd"/>
      <w:r w:rsidRPr="00CE7679">
        <w:rPr>
          <w:rFonts w:eastAsia="SimSun"/>
          <w:snapToGrid/>
          <w:szCs w:val="22"/>
          <w:lang w:eastAsia="zh-CN"/>
        </w:rPr>
        <w:t xml:space="preserve"> krizė ar akceleracijos fazė (</w:t>
      </w:r>
      <w:proofErr w:type="spellStart"/>
      <w:r w:rsidRPr="00CE7679">
        <w:rPr>
          <w:rFonts w:eastAsia="SimSun"/>
          <w:snapToGrid/>
          <w:szCs w:val="22"/>
          <w:lang w:eastAsia="zh-CN"/>
        </w:rPr>
        <w:t>neutropenija</w:t>
      </w:r>
      <w:proofErr w:type="spellEnd"/>
      <w:r w:rsidRPr="00CE7679">
        <w:rPr>
          <w:rFonts w:eastAsia="SimSun"/>
          <w:snapToGrid/>
          <w:szCs w:val="22"/>
          <w:lang w:eastAsia="zh-CN"/>
        </w:rPr>
        <w:t xml:space="preserve"> ir </w:t>
      </w:r>
      <w:proofErr w:type="spellStart"/>
      <w:r w:rsidRPr="00CE7679">
        <w:rPr>
          <w:rFonts w:eastAsia="SimSun"/>
          <w:snapToGrid/>
          <w:szCs w:val="22"/>
          <w:lang w:eastAsia="zh-CN"/>
        </w:rPr>
        <w:t>trombocitopenija</w:t>
      </w:r>
      <w:proofErr w:type="spellEnd"/>
      <w:r w:rsidRPr="00CE7679">
        <w:rPr>
          <w:rFonts w:eastAsia="SimSun"/>
          <w:snapToGrid/>
          <w:szCs w:val="22"/>
          <w:lang w:eastAsia="zh-CN"/>
        </w:rPr>
        <w:t xml:space="preserve"> atitinkamai 59–64</w:t>
      </w:r>
      <w:r w:rsidR="004C1A71" w:rsidRPr="00CE7679">
        <w:rPr>
          <w:rFonts w:eastAsia="SimSun"/>
          <w:snapToGrid/>
          <w:szCs w:val="22"/>
          <w:lang w:eastAsia="zh-CN"/>
        </w:rPr>
        <w:t> </w:t>
      </w:r>
      <w:r w:rsidRPr="00CE7679">
        <w:rPr>
          <w:rFonts w:eastAsia="SimSun"/>
          <w:snapToGrid/>
          <w:szCs w:val="22"/>
          <w:lang w:eastAsia="zh-CN"/>
        </w:rPr>
        <w:t>% ir 44–63</w:t>
      </w:r>
      <w:r w:rsidR="004C1A71" w:rsidRPr="00CE7679">
        <w:rPr>
          <w:rFonts w:eastAsia="SimSun"/>
          <w:snapToGrid/>
          <w:szCs w:val="22"/>
          <w:lang w:eastAsia="zh-CN"/>
        </w:rPr>
        <w:t> </w:t>
      </w:r>
      <w:r w:rsidRPr="00CE7679">
        <w:rPr>
          <w:rFonts w:eastAsia="SimSun"/>
          <w:snapToGrid/>
          <w:szCs w:val="22"/>
          <w:lang w:eastAsia="zh-CN"/>
        </w:rPr>
        <w:t>%), lyginant su pacientais, kuriems buvo naujai diagnozuota lėtinė LML fazė (16,7</w:t>
      </w:r>
      <w:r w:rsidR="004C1A71" w:rsidRPr="00CE7679">
        <w:rPr>
          <w:rFonts w:eastAsia="SimSun"/>
          <w:snapToGrid/>
          <w:szCs w:val="22"/>
          <w:lang w:eastAsia="zh-CN"/>
        </w:rPr>
        <w:t> </w:t>
      </w:r>
      <w:r w:rsidRPr="00CE7679">
        <w:rPr>
          <w:rFonts w:eastAsia="SimSun"/>
          <w:snapToGrid/>
          <w:szCs w:val="22"/>
          <w:lang w:eastAsia="zh-CN"/>
        </w:rPr>
        <w:t xml:space="preserve">% </w:t>
      </w:r>
      <w:proofErr w:type="spellStart"/>
      <w:r w:rsidRPr="00CE7679">
        <w:rPr>
          <w:rFonts w:eastAsia="SimSun"/>
          <w:snapToGrid/>
          <w:szCs w:val="22"/>
          <w:lang w:eastAsia="zh-CN"/>
        </w:rPr>
        <w:t>neutropenija</w:t>
      </w:r>
      <w:proofErr w:type="spellEnd"/>
      <w:r w:rsidRPr="00CE7679">
        <w:rPr>
          <w:rFonts w:eastAsia="SimSun"/>
          <w:snapToGrid/>
          <w:szCs w:val="22"/>
          <w:lang w:eastAsia="zh-CN"/>
        </w:rPr>
        <w:t xml:space="preserve"> ir 8,9</w:t>
      </w:r>
      <w:r w:rsidR="004C1A71" w:rsidRPr="00CE7679">
        <w:rPr>
          <w:rFonts w:eastAsia="SimSun"/>
          <w:snapToGrid/>
          <w:szCs w:val="22"/>
          <w:lang w:eastAsia="zh-CN"/>
        </w:rPr>
        <w:t> </w:t>
      </w:r>
      <w:r w:rsidRPr="00CE7679">
        <w:rPr>
          <w:rFonts w:eastAsia="SimSun"/>
          <w:snapToGrid/>
          <w:szCs w:val="22"/>
          <w:lang w:eastAsia="zh-CN"/>
        </w:rPr>
        <w:t xml:space="preserve">% </w:t>
      </w:r>
      <w:proofErr w:type="spellStart"/>
      <w:r w:rsidRPr="00CE7679">
        <w:rPr>
          <w:rFonts w:eastAsia="SimSun"/>
          <w:snapToGrid/>
          <w:szCs w:val="22"/>
          <w:lang w:eastAsia="zh-CN"/>
        </w:rPr>
        <w:t>trombocitopenija</w:t>
      </w:r>
      <w:proofErr w:type="spellEnd"/>
      <w:r w:rsidRPr="00CE7679">
        <w:rPr>
          <w:rFonts w:eastAsia="SimSun"/>
          <w:snapToGrid/>
          <w:szCs w:val="22"/>
          <w:lang w:eastAsia="zh-CN"/>
        </w:rPr>
        <w:t xml:space="preserve">). Naujai diagnozuotos lėtinės LML fazės metu IV laipsnio </w:t>
      </w:r>
      <w:proofErr w:type="spellStart"/>
      <w:r w:rsidRPr="00CE7679">
        <w:rPr>
          <w:rFonts w:eastAsia="SimSun"/>
          <w:snapToGrid/>
          <w:szCs w:val="22"/>
          <w:lang w:eastAsia="zh-CN"/>
        </w:rPr>
        <w:t>neutropenija</w:t>
      </w:r>
      <w:proofErr w:type="spellEnd"/>
      <w:r w:rsidRPr="00CE7679">
        <w:rPr>
          <w:rFonts w:eastAsia="SimSun"/>
          <w:snapToGrid/>
          <w:szCs w:val="22"/>
          <w:lang w:eastAsia="zh-CN"/>
        </w:rPr>
        <w:t xml:space="preserve"> (ANS &lt;</w:t>
      </w:r>
      <w:r w:rsidR="004C1A71" w:rsidRPr="00CE7679">
        <w:rPr>
          <w:rFonts w:eastAsia="SimSun"/>
          <w:snapToGrid/>
          <w:szCs w:val="22"/>
          <w:lang w:eastAsia="zh-CN"/>
        </w:rPr>
        <w:t> </w:t>
      </w:r>
      <w:r w:rsidRPr="00CE7679">
        <w:rPr>
          <w:rFonts w:eastAsia="SimSun"/>
          <w:snapToGrid/>
          <w:szCs w:val="22"/>
          <w:lang w:eastAsia="zh-CN"/>
        </w:rPr>
        <w:t>0,5</w:t>
      </w:r>
      <w:r w:rsidR="004C1A71" w:rsidRPr="00CE7679">
        <w:rPr>
          <w:rFonts w:eastAsia="SimSun"/>
          <w:snapToGrid/>
          <w:szCs w:val="22"/>
          <w:lang w:eastAsia="zh-CN"/>
        </w:rPr>
        <w:t> </w:t>
      </w:r>
      <w:r w:rsidRPr="00CE7679">
        <w:rPr>
          <w:rFonts w:eastAsia="SimSun"/>
          <w:snapToGrid/>
          <w:szCs w:val="22"/>
          <w:lang w:eastAsia="zh-CN"/>
        </w:rPr>
        <w:t>x</w:t>
      </w:r>
      <w:r w:rsidR="004C1A71" w:rsidRPr="00CE7679">
        <w:rPr>
          <w:rFonts w:eastAsia="SimSun"/>
          <w:snapToGrid/>
          <w:szCs w:val="22"/>
          <w:lang w:eastAsia="zh-CN"/>
        </w:rPr>
        <w:t> </w:t>
      </w:r>
      <w:r w:rsidRPr="00CE7679">
        <w:rPr>
          <w:rFonts w:eastAsia="SimSun"/>
          <w:snapToGrid/>
          <w:szCs w:val="22"/>
          <w:lang w:eastAsia="zh-CN"/>
        </w:rPr>
        <w:t>10</w:t>
      </w:r>
      <w:r w:rsidRPr="00CE7679">
        <w:rPr>
          <w:rFonts w:eastAsia="SimSun"/>
          <w:snapToGrid/>
          <w:szCs w:val="22"/>
          <w:vertAlign w:val="superscript"/>
          <w:lang w:eastAsia="zh-CN"/>
        </w:rPr>
        <w:t>9</w:t>
      </w:r>
      <w:r w:rsidRPr="00CE7679">
        <w:rPr>
          <w:rFonts w:eastAsia="SimSun"/>
          <w:snapToGrid/>
          <w:szCs w:val="22"/>
          <w:lang w:eastAsia="zh-CN"/>
        </w:rPr>
        <w:t xml:space="preserve">/l) ir </w:t>
      </w:r>
      <w:proofErr w:type="spellStart"/>
      <w:r w:rsidRPr="00CE7679">
        <w:rPr>
          <w:rFonts w:eastAsia="SimSun"/>
          <w:snapToGrid/>
          <w:szCs w:val="22"/>
          <w:lang w:eastAsia="zh-CN"/>
        </w:rPr>
        <w:t>trombocitopenija</w:t>
      </w:r>
      <w:proofErr w:type="spellEnd"/>
      <w:r w:rsidRPr="00CE7679">
        <w:rPr>
          <w:rFonts w:eastAsia="SimSun"/>
          <w:snapToGrid/>
          <w:szCs w:val="22"/>
          <w:lang w:eastAsia="zh-CN"/>
        </w:rPr>
        <w:t xml:space="preserve"> (trombocitų &lt;</w:t>
      </w:r>
      <w:r w:rsidR="004C1A71" w:rsidRPr="00CE7679">
        <w:rPr>
          <w:rFonts w:eastAsia="SimSun"/>
          <w:snapToGrid/>
          <w:szCs w:val="22"/>
          <w:lang w:eastAsia="zh-CN"/>
        </w:rPr>
        <w:t> </w:t>
      </w:r>
      <w:r w:rsidR="00D36727">
        <w:rPr>
          <w:rFonts w:eastAsia="SimSun"/>
          <w:snapToGrid/>
          <w:szCs w:val="22"/>
          <w:lang w:eastAsia="zh-CN"/>
        </w:rPr>
        <w:t>1</w:t>
      </w:r>
      <w:r w:rsidRPr="00CE7679">
        <w:rPr>
          <w:rFonts w:eastAsia="SimSun"/>
          <w:snapToGrid/>
          <w:szCs w:val="22"/>
          <w:lang w:eastAsia="zh-CN"/>
        </w:rPr>
        <w:t>0</w:t>
      </w:r>
      <w:r w:rsidR="004C1A71" w:rsidRPr="00CE7679">
        <w:rPr>
          <w:rFonts w:eastAsia="SimSun"/>
          <w:snapToGrid/>
          <w:szCs w:val="22"/>
          <w:lang w:eastAsia="zh-CN"/>
        </w:rPr>
        <w:t> </w:t>
      </w:r>
      <w:r w:rsidRPr="00CE7679">
        <w:rPr>
          <w:rFonts w:eastAsia="SimSun"/>
          <w:snapToGrid/>
          <w:szCs w:val="22"/>
          <w:lang w:eastAsia="zh-CN"/>
        </w:rPr>
        <w:t>x</w:t>
      </w:r>
      <w:r w:rsidR="004C1A71" w:rsidRPr="00CE7679">
        <w:rPr>
          <w:rFonts w:eastAsia="SimSun"/>
          <w:snapToGrid/>
          <w:szCs w:val="22"/>
          <w:lang w:eastAsia="zh-CN"/>
        </w:rPr>
        <w:t> </w:t>
      </w:r>
      <w:r w:rsidRPr="00CE7679">
        <w:rPr>
          <w:rFonts w:eastAsia="SimSun"/>
          <w:snapToGrid/>
          <w:szCs w:val="22"/>
          <w:lang w:eastAsia="zh-CN"/>
        </w:rPr>
        <w:t>10</w:t>
      </w:r>
      <w:r w:rsidRPr="00CE7679">
        <w:rPr>
          <w:rFonts w:eastAsia="SimSun"/>
          <w:snapToGrid/>
          <w:szCs w:val="22"/>
          <w:vertAlign w:val="superscript"/>
          <w:lang w:eastAsia="zh-CN"/>
        </w:rPr>
        <w:t>9</w:t>
      </w:r>
      <w:r w:rsidRPr="00CE7679">
        <w:rPr>
          <w:rFonts w:eastAsia="SimSun"/>
          <w:snapToGrid/>
          <w:szCs w:val="22"/>
          <w:lang w:eastAsia="zh-CN"/>
        </w:rPr>
        <w:t>/l) stebėta atitinkamai 3,6</w:t>
      </w:r>
      <w:r w:rsidR="004C1A71" w:rsidRPr="00CE7679">
        <w:rPr>
          <w:rFonts w:eastAsia="SimSun"/>
          <w:snapToGrid/>
          <w:szCs w:val="22"/>
          <w:lang w:eastAsia="zh-CN"/>
        </w:rPr>
        <w:t> </w:t>
      </w:r>
      <w:r w:rsidRPr="00CE7679">
        <w:rPr>
          <w:rFonts w:eastAsia="SimSun"/>
          <w:snapToGrid/>
          <w:szCs w:val="22"/>
          <w:lang w:eastAsia="zh-CN"/>
        </w:rPr>
        <w:t>% ir &lt;</w:t>
      </w:r>
      <w:r w:rsidR="004C1A71" w:rsidRPr="00CE7679">
        <w:rPr>
          <w:rFonts w:eastAsia="SimSun"/>
          <w:snapToGrid/>
          <w:szCs w:val="22"/>
          <w:lang w:eastAsia="zh-CN"/>
        </w:rPr>
        <w:t> </w:t>
      </w:r>
      <w:r w:rsidRPr="00CE7679">
        <w:rPr>
          <w:rFonts w:eastAsia="SimSun"/>
          <w:snapToGrid/>
          <w:szCs w:val="22"/>
          <w:lang w:eastAsia="zh-CN"/>
        </w:rPr>
        <w:t>1</w:t>
      </w:r>
      <w:r w:rsidR="004C1A71" w:rsidRPr="00CE7679">
        <w:rPr>
          <w:rFonts w:eastAsia="SimSun"/>
          <w:snapToGrid/>
          <w:szCs w:val="22"/>
          <w:lang w:eastAsia="zh-CN"/>
        </w:rPr>
        <w:t> </w:t>
      </w:r>
      <w:r w:rsidRPr="00CE7679">
        <w:rPr>
          <w:rFonts w:eastAsia="SimSun"/>
          <w:snapToGrid/>
          <w:szCs w:val="22"/>
          <w:lang w:eastAsia="zh-CN"/>
        </w:rPr>
        <w:t xml:space="preserve">% </w:t>
      </w:r>
      <w:r w:rsidRPr="00CE7679">
        <w:rPr>
          <w:rFonts w:eastAsia="SimSun"/>
          <w:snapToGrid/>
          <w:szCs w:val="22"/>
          <w:lang w:eastAsia="zh-CN"/>
        </w:rPr>
        <w:lastRenderedPageBreak/>
        <w:t xml:space="preserve">pacientų. </w:t>
      </w:r>
      <w:proofErr w:type="spellStart"/>
      <w:r w:rsidRPr="00CE7679">
        <w:rPr>
          <w:rFonts w:eastAsia="SimSun"/>
          <w:snapToGrid/>
          <w:szCs w:val="22"/>
          <w:lang w:eastAsia="zh-CN"/>
        </w:rPr>
        <w:t>Neutropenijos</w:t>
      </w:r>
      <w:proofErr w:type="spellEnd"/>
      <w:r w:rsidRPr="00CE7679">
        <w:rPr>
          <w:rFonts w:eastAsia="SimSun"/>
          <w:snapToGrid/>
          <w:szCs w:val="22"/>
          <w:lang w:eastAsia="zh-CN"/>
        </w:rPr>
        <w:t xml:space="preserve"> ir </w:t>
      </w:r>
      <w:proofErr w:type="spellStart"/>
      <w:r w:rsidRPr="00CE7679">
        <w:rPr>
          <w:rFonts w:eastAsia="SimSun"/>
          <w:snapToGrid/>
          <w:szCs w:val="22"/>
          <w:lang w:eastAsia="zh-CN"/>
        </w:rPr>
        <w:t>trombocitopenijos</w:t>
      </w:r>
      <w:proofErr w:type="spellEnd"/>
      <w:r w:rsidRPr="00CE7679">
        <w:rPr>
          <w:rFonts w:eastAsia="SimSun"/>
          <w:snapToGrid/>
          <w:szCs w:val="22"/>
          <w:lang w:eastAsia="zh-CN"/>
        </w:rPr>
        <w:t xml:space="preserve"> epizodų trukmės mediana paprastai buvo atitinkamai 2–3</w:t>
      </w:r>
      <w:r w:rsidR="004C1A71" w:rsidRPr="00CE7679">
        <w:rPr>
          <w:rFonts w:eastAsia="SimSun"/>
          <w:snapToGrid/>
          <w:szCs w:val="22"/>
          <w:lang w:eastAsia="zh-CN"/>
        </w:rPr>
        <w:t> </w:t>
      </w:r>
      <w:r w:rsidRPr="00CE7679">
        <w:rPr>
          <w:rFonts w:eastAsia="SimSun"/>
          <w:snapToGrid/>
          <w:szCs w:val="22"/>
          <w:lang w:eastAsia="zh-CN"/>
        </w:rPr>
        <w:t>savaitės ir 3–4</w:t>
      </w:r>
      <w:r w:rsidR="004C1A71" w:rsidRPr="00CE7679">
        <w:rPr>
          <w:rFonts w:eastAsia="SimSun"/>
          <w:snapToGrid/>
          <w:szCs w:val="22"/>
          <w:lang w:eastAsia="zh-CN"/>
        </w:rPr>
        <w:t> </w:t>
      </w:r>
      <w:r w:rsidRPr="00CE7679">
        <w:rPr>
          <w:rFonts w:eastAsia="SimSun"/>
          <w:snapToGrid/>
          <w:szCs w:val="22"/>
          <w:lang w:eastAsia="zh-CN"/>
        </w:rPr>
        <w:t xml:space="preserve">savaitės. Šiuos reiškinius dažniausiai galima kontroliuoti sumažinus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dozę ar laikinai nutraukus jo gydymą, tačiau retai tenka gydymą visiškai nutraukti. Vaikų, sergančių LML, tarpe dažniausiai stebėtas nepageidaujamas poveikis buvo III-IV laipsnio </w:t>
      </w:r>
      <w:proofErr w:type="spellStart"/>
      <w:r w:rsidRPr="00CE7679">
        <w:rPr>
          <w:rFonts w:eastAsia="SimSun"/>
          <w:snapToGrid/>
          <w:szCs w:val="22"/>
          <w:lang w:eastAsia="zh-CN"/>
        </w:rPr>
        <w:t>citopenijos</w:t>
      </w:r>
      <w:proofErr w:type="spellEnd"/>
      <w:r w:rsidRPr="00CE7679">
        <w:rPr>
          <w:rFonts w:eastAsia="SimSun"/>
          <w:snapToGrid/>
          <w:szCs w:val="22"/>
          <w:lang w:eastAsia="zh-CN"/>
        </w:rPr>
        <w:t xml:space="preserve">, įskaitant </w:t>
      </w:r>
      <w:proofErr w:type="spellStart"/>
      <w:r w:rsidRPr="00CE7679">
        <w:rPr>
          <w:rFonts w:eastAsia="SimSun"/>
          <w:snapToGrid/>
          <w:szCs w:val="22"/>
          <w:lang w:eastAsia="zh-CN"/>
        </w:rPr>
        <w:t>neutropeniją</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trombocitopeniją</w:t>
      </w:r>
      <w:proofErr w:type="spellEnd"/>
      <w:r w:rsidRPr="00CE7679">
        <w:rPr>
          <w:rFonts w:eastAsia="SimSun"/>
          <w:snapToGrid/>
          <w:szCs w:val="22"/>
          <w:lang w:eastAsia="zh-CN"/>
        </w:rPr>
        <w:t xml:space="preserve"> ir anemiją. Paprastai jos pasireiškė per pirmus kelis gydymo mėnesius.</w:t>
      </w:r>
    </w:p>
    <w:p w14:paraId="0FFC6AC1" w14:textId="77777777" w:rsidR="00A27597" w:rsidRPr="00CE7679" w:rsidRDefault="00A27597" w:rsidP="00A27597">
      <w:pPr>
        <w:widowControl w:val="0"/>
        <w:tabs>
          <w:tab w:val="left" w:pos="780"/>
        </w:tabs>
        <w:autoSpaceDE w:val="0"/>
        <w:autoSpaceDN w:val="0"/>
        <w:adjustRightInd w:val="0"/>
        <w:spacing w:line="240" w:lineRule="auto"/>
        <w:rPr>
          <w:rFonts w:eastAsia="SimSun"/>
          <w:snapToGrid/>
          <w:szCs w:val="22"/>
          <w:lang w:eastAsia="zh-CN"/>
        </w:rPr>
      </w:pPr>
    </w:p>
    <w:p w14:paraId="619827CF" w14:textId="77777777" w:rsidR="00A27597" w:rsidRPr="00CE7679" w:rsidRDefault="00A27597" w:rsidP="00A27597">
      <w:pPr>
        <w:widowControl w:val="0"/>
        <w:tabs>
          <w:tab w:val="left" w:pos="780"/>
        </w:tabs>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Atlikto klinikinio tyrimo duomenimis, jame dalyvavusiems pacientams, kuriems buvo </w:t>
      </w:r>
      <w:proofErr w:type="spellStart"/>
      <w:r w:rsidRPr="00CE7679">
        <w:rPr>
          <w:rFonts w:eastAsia="SimSun"/>
          <w:snapToGrid/>
          <w:szCs w:val="22"/>
          <w:lang w:eastAsia="zh-CN"/>
        </w:rPr>
        <w:t>nerezekuotinas</w:t>
      </w:r>
      <w:proofErr w:type="spellEnd"/>
      <w:r w:rsidRPr="00CE7679">
        <w:rPr>
          <w:rFonts w:eastAsia="SimSun"/>
          <w:snapToGrid/>
          <w:szCs w:val="22"/>
          <w:lang w:eastAsia="zh-CN"/>
        </w:rPr>
        <w:t xml:space="preserve"> ir (arba) </w:t>
      </w:r>
      <w:proofErr w:type="spellStart"/>
      <w:r w:rsidRPr="00CE7679">
        <w:rPr>
          <w:rFonts w:eastAsia="SimSun"/>
          <w:snapToGrid/>
          <w:szCs w:val="22"/>
          <w:lang w:eastAsia="zh-CN"/>
        </w:rPr>
        <w:t>metastazavęs</w:t>
      </w:r>
      <w:proofErr w:type="spellEnd"/>
      <w:r w:rsidRPr="00CE7679">
        <w:rPr>
          <w:rFonts w:eastAsia="SimSun"/>
          <w:snapToGrid/>
          <w:szCs w:val="22"/>
          <w:lang w:eastAsia="zh-CN"/>
        </w:rPr>
        <w:t xml:space="preserve"> VTSN, III–IV laipsnio anemija pasireiškė atitinkamai 5,4</w:t>
      </w:r>
      <w:r w:rsidR="004C1A71" w:rsidRPr="00CE7679">
        <w:rPr>
          <w:rFonts w:eastAsia="SimSun"/>
          <w:snapToGrid/>
          <w:szCs w:val="22"/>
          <w:lang w:eastAsia="zh-CN"/>
        </w:rPr>
        <w:t> </w:t>
      </w:r>
      <w:r w:rsidRPr="00CE7679">
        <w:rPr>
          <w:rFonts w:eastAsia="SimSun"/>
          <w:snapToGrid/>
          <w:szCs w:val="22"/>
          <w:lang w:eastAsia="zh-CN"/>
        </w:rPr>
        <w:t>% ir 0,7</w:t>
      </w:r>
      <w:r w:rsidR="004C1A71" w:rsidRPr="00CE7679">
        <w:rPr>
          <w:rFonts w:eastAsia="SimSun"/>
          <w:snapToGrid/>
          <w:szCs w:val="22"/>
          <w:lang w:eastAsia="zh-CN"/>
        </w:rPr>
        <w:t> </w:t>
      </w:r>
      <w:r w:rsidRPr="00CE7679">
        <w:rPr>
          <w:rFonts w:eastAsia="SimSun"/>
          <w:snapToGrid/>
          <w:szCs w:val="22"/>
          <w:lang w:eastAsia="zh-CN"/>
        </w:rPr>
        <w:t xml:space="preserve">%. Ji gali būti susijusi su virškinimo trakto ir </w:t>
      </w:r>
      <w:proofErr w:type="spellStart"/>
      <w:r w:rsidRPr="00CE7679">
        <w:rPr>
          <w:rFonts w:eastAsia="SimSun"/>
          <w:snapToGrid/>
          <w:szCs w:val="22"/>
          <w:lang w:eastAsia="zh-CN"/>
        </w:rPr>
        <w:t>vidunavikiniu</w:t>
      </w:r>
      <w:proofErr w:type="spellEnd"/>
      <w:r w:rsidRPr="00CE7679">
        <w:rPr>
          <w:rFonts w:eastAsia="SimSun"/>
          <w:snapToGrid/>
          <w:szCs w:val="22"/>
          <w:lang w:eastAsia="zh-CN"/>
        </w:rPr>
        <w:t xml:space="preserve"> kraujavimu, bent jau kai kuriems pacientams. III–IV laipsnio </w:t>
      </w:r>
      <w:proofErr w:type="spellStart"/>
      <w:r w:rsidRPr="00CE7679">
        <w:rPr>
          <w:rFonts w:eastAsia="SimSun"/>
          <w:snapToGrid/>
          <w:szCs w:val="22"/>
          <w:lang w:eastAsia="zh-CN"/>
        </w:rPr>
        <w:t>neutropenija</w:t>
      </w:r>
      <w:proofErr w:type="spellEnd"/>
      <w:r w:rsidRPr="00CE7679">
        <w:rPr>
          <w:rFonts w:eastAsia="SimSun"/>
          <w:snapToGrid/>
          <w:szCs w:val="22"/>
          <w:lang w:eastAsia="zh-CN"/>
        </w:rPr>
        <w:t xml:space="preserve"> pastebėta atitinkamai 7,5</w:t>
      </w:r>
      <w:r w:rsidR="004C1A71" w:rsidRPr="00CE7679">
        <w:rPr>
          <w:rFonts w:eastAsia="SimSun"/>
          <w:snapToGrid/>
          <w:szCs w:val="22"/>
          <w:lang w:eastAsia="zh-CN"/>
        </w:rPr>
        <w:t> </w:t>
      </w:r>
      <w:r w:rsidRPr="00CE7679">
        <w:rPr>
          <w:rFonts w:eastAsia="SimSun"/>
          <w:snapToGrid/>
          <w:szCs w:val="22"/>
          <w:lang w:eastAsia="zh-CN"/>
        </w:rPr>
        <w:t>% ir 2,7</w:t>
      </w:r>
      <w:r w:rsidR="004C1A71" w:rsidRPr="00CE7679">
        <w:rPr>
          <w:rFonts w:eastAsia="SimSun"/>
          <w:snapToGrid/>
          <w:szCs w:val="22"/>
          <w:lang w:eastAsia="zh-CN"/>
        </w:rPr>
        <w:t> </w:t>
      </w:r>
      <w:r w:rsidRPr="00CE7679">
        <w:rPr>
          <w:rFonts w:eastAsia="SimSun"/>
          <w:snapToGrid/>
          <w:szCs w:val="22"/>
          <w:lang w:eastAsia="zh-CN"/>
        </w:rPr>
        <w:t xml:space="preserve">% pacientų, o III laipsnio </w:t>
      </w:r>
      <w:proofErr w:type="spellStart"/>
      <w:r w:rsidRPr="00CE7679">
        <w:rPr>
          <w:rFonts w:eastAsia="SimSun"/>
          <w:snapToGrid/>
          <w:szCs w:val="22"/>
          <w:lang w:eastAsia="zh-CN"/>
        </w:rPr>
        <w:t>trombocitopenija</w:t>
      </w:r>
      <w:proofErr w:type="spellEnd"/>
      <w:r w:rsidRPr="00CE7679">
        <w:rPr>
          <w:rFonts w:eastAsia="SimSun"/>
          <w:snapToGrid/>
          <w:szCs w:val="22"/>
          <w:lang w:eastAsia="zh-CN"/>
        </w:rPr>
        <w:t xml:space="preserve"> – 0,7</w:t>
      </w:r>
      <w:r w:rsidR="004C1A71" w:rsidRPr="00CE7679">
        <w:rPr>
          <w:rFonts w:eastAsia="SimSun"/>
          <w:snapToGrid/>
          <w:szCs w:val="22"/>
          <w:lang w:eastAsia="zh-CN"/>
        </w:rPr>
        <w:t> </w:t>
      </w:r>
      <w:r w:rsidRPr="00CE7679">
        <w:rPr>
          <w:rFonts w:eastAsia="SimSun"/>
          <w:snapToGrid/>
          <w:szCs w:val="22"/>
          <w:lang w:eastAsia="zh-CN"/>
        </w:rPr>
        <w:t xml:space="preserve">% pacientų. Nė vienam pacientui nepasireiškė IV laipsnio </w:t>
      </w:r>
      <w:proofErr w:type="spellStart"/>
      <w:r w:rsidRPr="00CE7679">
        <w:rPr>
          <w:rFonts w:eastAsia="SimSun"/>
          <w:snapToGrid/>
          <w:szCs w:val="22"/>
          <w:lang w:eastAsia="zh-CN"/>
        </w:rPr>
        <w:t>trombocitopenija</w:t>
      </w:r>
      <w:proofErr w:type="spellEnd"/>
      <w:r w:rsidRPr="00CE7679">
        <w:rPr>
          <w:rFonts w:eastAsia="SimSun"/>
          <w:snapToGrid/>
          <w:szCs w:val="22"/>
          <w:lang w:eastAsia="zh-CN"/>
        </w:rPr>
        <w:t xml:space="preserve">. Leukocitų (baltųjų kraujo kūnelių, BKK) ir </w:t>
      </w:r>
      <w:proofErr w:type="spellStart"/>
      <w:r w:rsidRPr="00CE7679">
        <w:rPr>
          <w:rFonts w:eastAsia="SimSun"/>
          <w:snapToGrid/>
          <w:szCs w:val="22"/>
          <w:lang w:eastAsia="zh-CN"/>
        </w:rPr>
        <w:t>neutrofilų</w:t>
      </w:r>
      <w:proofErr w:type="spellEnd"/>
      <w:r w:rsidRPr="00CE7679">
        <w:rPr>
          <w:rFonts w:eastAsia="SimSun"/>
          <w:snapToGrid/>
          <w:szCs w:val="22"/>
          <w:lang w:eastAsia="zh-CN"/>
        </w:rPr>
        <w:t xml:space="preserve"> daugiausia sumažėjo per pirmąsias šešias gydymo savaites, paskui jų kiekis santykinai nekito.</w:t>
      </w:r>
    </w:p>
    <w:p w14:paraId="253C104C" w14:textId="77777777" w:rsidR="00A27597" w:rsidRPr="00CE7679" w:rsidRDefault="00A27597" w:rsidP="00A27597">
      <w:pPr>
        <w:widowControl w:val="0"/>
        <w:tabs>
          <w:tab w:val="left" w:pos="780"/>
        </w:tabs>
        <w:autoSpaceDE w:val="0"/>
        <w:autoSpaceDN w:val="0"/>
        <w:adjustRightInd w:val="0"/>
        <w:spacing w:line="240" w:lineRule="auto"/>
        <w:rPr>
          <w:rFonts w:eastAsia="SimSun"/>
          <w:snapToGrid/>
          <w:szCs w:val="22"/>
          <w:lang w:eastAsia="zh-CN"/>
        </w:rPr>
      </w:pPr>
    </w:p>
    <w:p w14:paraId="0C49F88C" w14:textId="77777777" w:rsidR="00A27597" w:rsidRPr="00CE7679" w:rsidRDefault="00A27597" w:rsidP="00A27597">
      <w:pPr>
        <w:widowControl w:val="0"/>
        <w:tabs>
          <w:tab w:val="left" w:pos="780"/>
        </w:tabs>
        <w:autoSpaceDE w:val="0"/>
        <w:autoSpaceDN w:val="0"/>
        <w:adjustRightInd w:val="0"/>
        <w:spacing w:line="240" w:lineRule="auto"/>
        <w:rPr>
          <w:rFonts w:eastAsia="SimSun"/>
          <w:i/>
          <w:snapToGrid/>
          <w:szCs w:val="22"/>
          <w:lang w:eastAsia="zh-CN"/>
        </w:rPr>
      </w:pPr>
      <w:r w:rsidRPr="00CE7679">
        <w:rPr>
          <w:rFonts w:eastAsia="SimSun"/>
          <w:i/>
          <w:snapToGrid/>
          <w:szCs w:val="22"/>
          <w:lang w:eastAsia="zh-CN"/>
        </w:rPr>
        <w:t>Biocheminių tyrimų duomenys</w:t>
      </w:r>
    </w:p>
    <w:p w14:paraId="0CD0CA89" w14:textId="77777777" w:rsidR="00A27597" w:rsidRPr="00CE7679" w:rsidRDefault="00A27597" w:rsidP="00A27597">
      <w:pPr>
        <w:widowControl w:val="0"/>
        <w:tabs>
          <w:tab w:val="left" w:pos="780"/>
        </w:tabs>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LML sergantiems pacientams pastebėtas labai padidėjęs </w:t>
      </w:r>
      <w:proofErr w:type="spellStart"/>
      <w:r w:rsidRPr="00CE7679">
        <w:rPr>
          <w:rFonts w:eastAsia="SimSun"/>
          <w:snapToGrid/>
          <w:szCs w:val="22"/>
          <w:lang w:eastAsia="zh-CN"/>
        </w:rPr>
        <w:t>transaminazių</w:t>
      </w:r>
      <w:proofErr w:type="spellEnd"/>
      <w:r w:rsidRPr="00CE7679">
        <w:rPr>
          <w:rFonts w:eastAsia="SimSun"/>
          <w:snapToGrid/>
          <w:szCs w:val="22"/>
          <w:lang w:eastAsia="zh-CN"/>
        </w:rPr>
        <w:t xml:space="preserve"> aktyvumas (&lt;</w:t>
      </w:r>
      <w:r w:rsidR="004C1A71" w:rsidRPr="00CE7679">
        <w:rPr>
          <w:rFonts w:eastAsia="SimSun"/>
          <w:snapToGrid/>
          <w:szCs w:val="22"/>
          <w:lang w:eastAsia="zh-CN"/>
        </w:rPr>
        <w:t> </w:t>
      </w:r>
      <w:r w:rsidRPr="00CE7679">
        <w:rPr>
          <w:rFonts w:eastAsia="SimSun"/>
          <w:snapToGrid/>
          <w:szCs w:val="22"/>
          <w:lang w:eastAsia="zh-CN"/>
        </w:rPr>
        <w:t>5</w:t>
      </w:r>
      <w:r w:rsidR="004C1A71" w:rsidRPr="00CE7679">
        <w:rPr>
          <w:rFonts w:eastAsia="SimSun"/>
          <w:snapToGrid/>
          <w:szCs w:val="22"/>
          <w:lang w:eastAsia="zh-CN"/>
        </w:rPr>
        <w:t> </w:t>
      </w:r>
      <w:r w:rsidRPr="00CE7679">
        <w:rPr>
          <w:rFonts w:eastAsia="SimSun"/>
          <w:snapToGrid/>
          <w:szCs w:val="22"/>
          <w:lang w:eastAsia="zh-CN"/>
        </w:rPr>
        <w:t xml:space="preserve">%) ar </w:t>
      </w:r>
      <w:proofErr w:type="spellStart"/>
      <w:r w:rsidRPr="00CE7679">
        <w:rPr>
          <w:rFonts w:eastAsia="SimSun"/>
          <w:snapToGrid/>
          <w:szCs w:val="22"/>
          <w:lang w:eastAsia="zh-CN"/>
        </w:rPr>
        <w:t>bilirubino</w:t>
      </w:r>
      <w:proofErr w:type="spellEnd"/>
      <w:r w:rsidRPr="00CE7679">
        <w:rPr>
          <w:rFonts w:eastAsia="SimSun"/>
          <w:snapToGrid/>
          <w:szCs w:val="22"/>
          <w:lang w:eastAsia="zh-CN"/>
        </w:rPr>
        <w:t xml:space="preserve"> (&lt;</w:t>
      </w:r>
      <w:r w:rsidR="004C1A71" w:rsidRPr="00CE7679">
        <w:rPr>
          <w:rFonts w:eastAsia="SimSun"/>
          <w:snapToGrid/>
          <w:szCs w:val="22"/>
          <w:lang w:eastAsia="zh-CN"/>
        </w:rPr>
        <w:t> </w:t>
      </w:r>
      <w:r w:rsidRPr="00CE7679">
        <w:rPr>
          <w:rFonts w:eastAsia="SimSun"/>
          <w:snapToGrid/>
          <w:szCs w:val="22"/>
          <w:lang w:eastAsia="zh-CN"/>
        </w:rPr>
        <w:t>1</w:t>
      </w:r>
      <w:r w:rsidR="004C1A71" w:rsidRPr="00CE7679">
        <w:rPr>
          <w:rFonts w:eastAsia="SimSun"/>
          <w:snapToGrid/>
          <w:szCs w:val="22"/>
          <w:lang w:eastAsia="zh-CN"/>
        </w:rPr>
        <w:t> </w:t>
      </w:r>
      <w:r w:rsidRPr="00CE7679">
        <w:rPr>
          <w:rFonts w:eastAsia="SimSun"/>
          <w:snapToGrid/>
          <w:szCs w:val="22"/>
          <w:lang w:eastAsia="zh-CN"/>
        </w:rPr>
        <w:t>%) kiekis, kurie paprastai sumažėdavo sumažinus dozę ar laikinai nutraukus gydymą (šių epizodų trukmės mediana buvo maždaug viena savaitė). Dėl pakitusių kepenų funkcijos laboratorinių rodiklių gydymą visiškai reikėjo nutraukti mažiau kaip 1</w:t>
      </w:r>
      <w:r w:rsidR="004C1A71" w:rsidRPr="00CE7679">
        <w:rPr>
          <w:rFonts w:eastAsia="SimSun"/>
          <w:snapToGrid/>
          <w:szCs w:val="22"/>
          <w:lang w:eastAsia="zh-CN"/>
        </w:rPr>
        <w:t> </w:t>
      </w:r>
      <w:r w:rsidRPr="00CE7679">
        <w:rPr>
          <w:rFonts w:eastAsia="SimSun"/>
          <w:snapToGrid/>
          <w:szCs w:val="22"/>
          <w:lang w:eastAsia="zh-CN"/>
        </w:rPr>
        <w:t>% LML sergančių pacientų. 6,8</w:t>
      </w:r>
      <w:r w:rsidR="004C1A71" w:rsidRPr="00CE7679">
        <w:rPr>
          <w:rFonts w:eastAsia="SimSun"/>
          <w:snapToGrid/>
          <w:szCs w:val="22"/>
          <w:lang w:eastAsia="zh-CN"/>
        </w:rPr>
        <w:t> </w:t>
      </w:r>
      <w:r w:rsidRPr="00CE7679">
        <w:rPr>
          <w:rFonts w:eastAsia="SimSun"/>
          <w:snapToGrid/>
          <w:szCs w:val="22"/>
          <w:lang w:eastAsia="zh-CN"/>
        </w:rPr>
        <w:t>% VTSN sergančių pacientų (tyrimas B2222) buvo pastebėtas 3 ar 4 laipsnio ALT (alaninaminotransferazės) aktyvumo padidėjimas ir 4,8</w:t>
      </w:r>
      <w:r w:rsidR="004C1A71" w:rsidRPr="00CE7679">
        <w:rPr>
          <w:rFonts w:eastAsia="SimSun"/>
          <w:snapToGrid/>
          <w:szCs w:val="22"/>
          <w:lang w:eastAsia="zh-CN"/>
        </w:rPr>
        <w:t> </w:t>
      </w:r>
      <w:r w:rsidRPr="00CE7679">
        <w:rPr>
          <w:rFonts w:eastAsia="SimSun"/>
          <w:snapToGrid/>
          <w:szCs w:val="22"/>
          <w:lang w:eastAsia="zh-CN"/>
        </w:rPr>
        <w:t xml:space="preserve">% - 3 ar 4 laipsnio AST (aspartataminotransferazės) aktyvumo padidėjimas. </w:t>
      </w:r>
      <w:proofErr w:type="spellStart"/>
      <w:r w:rsidRPr="00CE7679">
        <w:rPr>
          <w:rFonts w:eastAsia="SimSun"/>
          <w:snapToGrid/>
          <w:szCs w:val="22"/>
          <w:lang w:eastAsia="zh-CN"/>
        </w:rPr>
        <w:t>Bilirubino</w:t>
      </w:r>
      <w:proofErr w:type="spellEnd"/>
      <w:r w:rsidRPr="00CE7679">
        <w:rPr>
          <w:rFonts w:eastAsia="SimSun"/>
          <w:snapToGrid/>
          <w:szCs w:val="22"/>
          <w:lang w:eastAsia="zh-CN"/>
        </w:rPr>
        <w:t xml:space="preserve"> kiekis didėjo mažiau kaip 3</w:t>
      </w:r>
      <w:r w:rsidR="004C1A71" w:rsidRPr="00CE7679">
        <w:rPr>
          <w:rFonts w:eastAsia="SimSun"/>
          <w:snapToGrid/>
          <w:szCs w:val="22"/>
          <w:lang w:eastAsia="zh-CN"/>
        </w:rPr>
        <w:t> </w:t>
      </w:r>
      <w:r w:rsidRPr="00CE7679">
        <w:rPr>
          <w:rFonts w:eastAsia="SimSun"/>
          <w:snapToGrid/>
          <w:szCs w:val="22"/>
          <w:lang w:eastAsia="zh-CN"/>
        </w:rPr>
        <w:t>%.</w:t>
      </w:r>
    </w:p>
    <w:p w14:paraId="40F69BAC"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4FBEEE46"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Buvo </w:t>
      </w:r>
      <w:proofErr w:type="spellStart"/>
      <w:r w:rsidRPr="00CE7679">
        <w:rPr>
          <w:rFonts w:eastAsia="SimSun"/>
          <w:snapToGrid/>
          <w:szCs w:val="22"/>
          <w:lang w:eastAsia="zh-CN"/>
        </w:rPr>
        <w:t>citolizinio</w:t>
      </w:r>
      <w:proofErr w:type="spellEnd"/>
      <w:r w:rsidRPr="00CE7679">
        <w:rPr>
          <w:rFonts w:eastAsia="SimSun"/>
          <w:snapToGrid/>
          <w:szCs w:val="22"/>
          <w:lang w:eastAsia="zh-CN"/>
        </w:rPr>
        <w:t xml:space="preserve"> bei </w:t>
      </w:r>
      <w:proofErr w:type="spellStart"/>
      <w:r w:rsidRPr="00CE7679">
        <w:rPr>
          <w:rFonts w:eastAsia="SimSun"/>
          <w:snapToGrid/>
          <w:szCs w:val="22"/>
          <w:lang w:eastAsia="zh-CN"/>
        </w:rPr>
        <w:t>cholestazinio</w:t>
      </w:r>
      <w:proofErr w:type="spellEnd"/>
      <w:r w:rsidRPr="00CE7679">
        <w:rPr>
          <w:rFonts w:eastAsia="SimSun"/>
          <w:snapToGrid/>
          <w:szCs w:val="22"/>
          <w:lang w:eastAsia="zh-CN"/>
        </w:rPr>
        <w:t xml:space="preserve"> hepatito ir kepenų nepakankamumo atvejų, kai kurie iš jų baigėsi mirtimi, įskaitant vieną pacientą, vartojusį didelę </w:t>
      </w:r>
      <w:proofErr w:type="spellStart"/>
      <w:r w:rsidRPr="00CE7679">
        <w:rPr>
          <w:rFonts w:eastAsia="SimSun"/>
          <w:snapToGrid/>
          <w:szCs w:val="22"/>
          <w:lang w:eastAsia="zh-CN"/>
        </w:rPr>
        <w:t>paracetamolio</w:t>
      </w:r>
      <w:proofErr w:type="spellEnd"/>
      <w:r w:rsidRPr="00CE7679">
        <w:rPr>
          <w:rFonts w:eastAsia="SimSun"/>
          <w:snapToGrid/>
          <w:szCs w:val="22"/>
          <w:lang w:eastAsia="zh-CN"/>
        </w:rPr>
        <w:t xml:space="preserve"> dozę.</w:t>
      </w:r>
    </w:p>
    <w:p w14:paraId="6AC7D6A2" w14:textId="77777777" w:rsidR="00A27597" w:rsidRPr="00CE7679" w:rsidRDefault="00A27597" w:rsidP="00A27597">
      <w:pPr>
        <w:spacing w:line="240" w:lineRule="auto"/>
        <w:rPr>
          <w:rFonts w:eastAsia="SimSun"/>
          <w:snapToGrid/>
          <w:szCs w:val="22"/>
          <w:lang w:eastAsia="zh-CN"/>
        </w:rPr>
      </w:pPr>
    </w:p>
    <w:p w14:paraId="0F81F193" w14:textId="77777777" w:rsidR="00A27597" w:rsidRPr="00CE7679" w:rsidRDefault="00A27597" w:rsidP="00A27597">
      <w:pPr>
        <w:autoSpaceDE w:val="0"/>
        <w:autoSpaceDN w:val="0"/>
        <w:adjustRightInd w:val="0"/>
        <w:spacing w:line="240" w:lineRule="auto"/>
        <w:rPr>
          <w:szCs w:val="22"/>
          <w:u w:val="single"/>
        </w:rPr>
      </w:pPr>
      <w:r w:rsidRPr="00CE7679">
        <w:rPr>
          <w:szCs w:val="22"/>
          <w:u w:val="single"/>
        </w:rPr>
        <w:t>Pranešimas apie įtariamas nepageidaujamas reakcijas</w:t>
      </w:r>
    </w:p>
    <w:p w14:paraId="071D5D76" w14:textId="77777777" w:rsidR="00B76C43" w:rsidRPr="00466DDA" w:rsidRDefault="00A27597" w:rsidP="002C4CCB">
      <w:pPr>
        <w:autoSpaceDE w:val="0"/>
        <w:autoSpaceDN w:val="0"/>
        <w:adjustRightInd w:val="0"/>
        <w:rPr>
          <w:noProof/>
          <w:szCs w:val="24"/>
        </w:rPr>
      </w:pPr>
      <w:r w:rsidRPr="00CE7679">
        <w:rPr>
          <w:szCs w:val="22"/>
        </w:rPr>
        <w:t xml:space="preserve">Svarbu pranešti apie įtariamas nepageidaujamas reakcijas, pastebėtas po vaistinio preparato registracijos, nes tai leidžia nuolat stebėti vaistinio preparato naudos ir rizikos santykį. </w:t>
      </w:r>
      <w:r w:rsidR="00B76C43" w:rsidRPr="00AB3654">
        <w:rPr>
          <w:noProof/>
          <w:szCs w:val="24"/>
        </w:rPr>
        <w:t>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NepageidaujamaR@vvkt.lt).</w:t>
      </w:r>
    </w:p>
    <w:p w14:paraId="0C972F2B" w14:textId="77777777" w:rsidR="00A27597" w:rsidRPr="00CE7679" w:rsidRDefault="00A27597" w:rsidP="00A27597">
      <w:pPr>
        <w:spacing w:line="240" w:lineRule="auto"/>
        <w:rPr>
          <w:rFonts w:eastAsia="SimSun"/>
          <w:snapToGrid/>
          <w:szCs w:val="22"/>
          <w:lang w:eastAsia="zh-CN"/>
        </w:rPr>
      </w:pPr>
    </w:p>
    <w:p w14:paraId="1EF93A0C" w14:textId="77777777" w:rsidR="00A27597" w:rsidRPr="00CE7679" w:rsidRDefault="00A27597" w:rsidP="00A27597">
      <w:pPr>
        <w:keepNext/>
        <w:spacing w:line="240" w:lineRule="auto"/>
        <w:outlineLvl w:val="3"/>
        <w:rPr>
          <w:rFonts w:eastAsia="SimSun"/>
          <w:b/>
          <w:snapToGrid/>
          <w:szCs w:val="22"/>
        </w:rPr>
      </w:pPr>
      <w:r w:rsidRPr="00CE7679">
        <w:rPr>
          <w:rFonts w:eastAsia="SimSun"/>
          <w:b/>
          <w:snapToGrid/>
          <w:szCs w:val="22"/>
        </w:rPr>
        <w:t>4.9</w:t>
      </w:r>
      <w:r w:rsidRPr="00CE7679">
        <w:rPr>
          <w:rFonts w:eastAsia="SimSun"/>
          <w:b/>
          <w:snapToGrid/>
          <w:szCs w:val="22"/>
        </w:rPr>
        <w:tab/>
        <w:t>Perdozavimas</w:t>
      </w:r>
    </w:p>
    <w:p w14:paraId="5A34A564" w14:textId="77777777" w:rsidR="00A27597" w:rsidRPr="00CE7679" w:rsidRDefault="00A27597" w:rsidP="00A27597">
      <w:pPr>
        <w:widowControl w:val="0"/>
        <w:autoSpaceDE w:val="0"/>
        <w:autoSpaceDN w:val="0"/>
        <w:adjustRightInd w:val="0"/>
        <w:spacing w:line="240" w:lineRule="auto"/>
        <w:rPr>
          <w:rFonts w:eastAsia="SimSun"/>
          <w:snapToGrid/>
          <w:szCs w:val="22"/>
        </w:rPr>
      </w:pPr>
    </w:p>
    <w:p w14:paraId="30B9CEA9"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Didesnės dozės nei rekomenduojama gydomoji dozė vartojimo patirties yra nedaug. Apie pavienius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perdozavimo atvejus gauta savanoriškų pranešimų metu ir paskelbta literatūros šaltiniuose. Perdozavusį vaistinio preparato pacientą reikia stebėti ir taikyti atitinkamas simptominio gydymo priemones. Paprastai praneštais atvejais pacientų būklė „pagerėjo” arba jie „pasveiko”. Buvo pranešta, kad perdozavus skirtingų vaistinio preparato dozių, pasireiškė šie toliau išvardyti reiškiniai:</w:t>
      </w:r>
    </w:p>
    <w:p w14:paraId="633A015C"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435309B4" w14:textId="77777777" w:rsidR="00A27597" w:rsidRPr="00CE7679" w:rsidRDefault="00A27597" w:rsidP="00A27597">
      <w:pPr>
        <w:widowControl w:val="0"/>
        <w:autoSpaceDE w:val="0"/>
        <w:autoSpaceDN w:val="0"/>
        <w:adjustRightInd w:val="0"/>
        <w:spacing w:line="240" w:lineRule="auto"/>
        <w:rPr>
          <w:rFonts w:eastAsia="SimSun"/>
          <w:i/>
          <w:snapToGrid/>
          <w:szCs w:val="22"/>
          <w:lang w:eastAsia="zh-CN"/>
        </w:rPr>
      </w:pPr>
      <w:r w:rsidRPr="00CE7679">
        <w:rPr>
          <w:rFonts w:eastAsia="SimSun"/>
          <w:i/>
          <w:iCs/>
          <w:snapToGrid/>
          <w:szCs w:val="22"/>
          <w:lang w:eastAsia="zh-CN"/>
        </w:rPr>
        <w:t>Suaugusiųjų populiacija</w:t>
      </w:r>
    </w:p>
    <w:p w14:paraId="63A80BB7"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Išgėrus 1200</w:t>
      </w:r>
      <w:r w:rsidRPr="00CE7679">
        <w:rPr>
          <w:rFonts w:eastAsia="SimSun"/>
          <w:snapToGrid/>
          <w:szCs w:val="22"/>
          <w:lang w:eastAsia="zh-CN"/>
        </w:rPr>
        <w:noBreakHyphen/>
        <w:t xml:space="preserve">1600 mg dozę (vartojimo trukmė buvo nuo 1 iki 10 dienų), pasireiškė pykinimas, vėmimas, viduriavimas, bėrimas, </w:t>
      </w:r>
      <w:proofErr w:type="spellStart"/>
      <w:r w:rsidRPr="00CE7679">
        <w:rPr>
          <w:rFonts w:eastAsia="SimSun"/>
          <w:snapToGrid/>
          <w:szCs w:val="22"/>
          <w:lang w:eastAsia="zh-CN"/>
        </w:rPr>
        <w:t>eritema</w:t>
      </w:r>
      <w:proofErr w:type="spellEnd"/>
      <w:r w:rsidRPr="00CE7679">
        <w:rPr>
          <w:rFonts w:eastAsia="SimSun"/>
          <w:snapToGrid/>
          <w:szCs w:val="22"/>
          <w:lang w:eastAsia="zh-CN"/>
        </w:rPr>
        <w:t xml:space="preserve">, edema, patinimas, nuovargis, raumenų spazmai, </w:t>
      </w:r>
      <w:proofErr w:type="spellStart"/>
      <w:r w:rsidRPr="00CE7679">
        <w:rPr>
          <w:rFonts w:eastAsia="SimSun"/>
          <w:snapToGrid/>
          <w:szCs w:val="22"/>
          <w:lang w:eastAsia="zh-CN"/>
        </w:rPr>
        <w:t>trombocitopenija</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pancitopenija</w:t>
      </w:r>
      <w:proofErr w:type="spellEnd"/>
      <w:r w:rsidRPr="00CE7679">
        <w:rPr>
          <w:rFonts w:eastAsia="SimSun"/>
          <w:snapToGrid/>
          <w:szCs w:val="22"/>
          <w:lang w:eastAsia="zh-CN"/>
        </w:rPr>
        <w:t>, pilvo skausmas, galvos skausmas, sumažėjęs apetitas.</w:t>
      </w:r>
    </w:p>
    <w:p w14:paraId="40D656B4"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Išgėrus 1800</w:t>
      </w:r>
      <w:r w:rsidRPr="00CE7679">
        <w:rPr>
          <w:rFonts w:eastAsia="SimSun"/>
          <w:snapToGrid/>
          <w:szCs w:val="22"/>
          <w:lang w:eastAsia="zh-CN"/>
        </w:rPr>
        <w:noBreakHyphen/>
        <w:t>3200 mg dozę (daugiausia po 3200 mg per parą 6</w:t>
      </w:r>
      <w:r w:rsidR="004C1A71" w:rsidRPr="00CE7679">
        <w:rPr>
          <w:rFonts w:eastAsia="SimSun"/>
          <w:snapToGrid/>
          <w:szCs w:val="22"/>
          <w:lang w:eastAsia="zh-CN"/>
        </w:rPr>
        <w:t> </w:t>
      </w:r>
      <w:r w:rsidRPr="00CE7679">
        <w:rPr>
          <w:rFonts w:eastAsia="SimSun"/>
          <w:snapToGrid/>
          <w:szCs w:val="22"/>
          <w:lang w:eastAsia="zh-CN"/>
        </w:rPr>
        <w:t xml:space="preserve">dienas), pasireiškė silpnumas, raumenų skausmas, padidėjo </w:t>
      </w:r>
      <w:proofErr w:type="spellStart"/>
      <w:r w:rsidRPr="00CE7679">
        <w:rPr>
          <w:rFonts w:eastAsia="SimSun"/>
          <w:snapToGrid/>
          <w:szCs w:val="22"/>
          <w:lang w:eastAsia="zh-CN"/>
        </w:rPr>
        <w:t>kreatinfosfokinazės</w:t>
      </w:r>
      <w:proofErr w:type="spellEnd"/>
      <w:r w:rsidRPr="00CE7679">
        <w:rPr>
          <w:rFonts w:eastAsia="SimSun"/>
          <w:snapToGrid/>
          <w:szCs w:val="22"/>
          <w:lang w:eastAsia="zh-CN"/>
        </w:rPr>
        <w:t xml:space="preserve"> aktyvumas, padidėjo </w:t>
      </w:r>
      <w:proofErr w:type="spellStart"/>
      <w:r w:rsidRPr="00CE7679">
        <w:rPr>
          <w:rFonts w:eastAsia="SimSun"/>
          <w:snapToGrid/>
          <w:szCs w:val="22"/>
          <w:lang w:eastAsia="zh-CN"/>
        </w:rPr>
        <w:t>bilirubino</w:t>
      </w:r>
      <w:proofErr w:type="spellEnd"/>
      <w:r w:rsidRPr="00CE7679">
        <w:rPr>
          <w:rFonts w:eastAsia="SimSun"/>
          <w:snapToGrid/>
          <w:szCs w:val="22"/>
          <w:lang w:eastAsia="zh-CN"/>
        </w:rPr>
        <w:t xml:space="preserve"> kiekis, skaudėjo virškinimo traktą.</w:t>
      </w:r>
    </w:p>
    <w:p w14:paraId="79C90E74"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Išgėrus 6400 mg (vienkartinę dozę): literatūros šaltiniuose pranešta apie vieną tokį atvejį, kai vienam pacientui pasireiškė pykinimas, vėmimas, pilvo skausmas, karščiavimas, veido patinimas, sumažėjo </w:t>
      </w:r>
      <w:proofErr w:type="spellStart"/>
      <w:r w:rsidRPr="00CE7679">
        <w:rPr>
          <w:rFonts w:eastAsia="SimSun"/>
          <w:snapToGrid/>
          <w:szCs w:val="22"/>
          <w:lang w:eastAsia="zh-CN"/>
        </w:rPr>
        <w:t>neutrofilų</w:t>
      </w:r>
      <w:proofErr w:type="spellEnd"/>
      <w:r w:rsidRPr="00CE7679">
        <w:rPr>
          <w:rFonts w:eastAsia="SimSun"/>
          <w:snapToGrid/>
          <w:szCs w:val="22"/>
          <w:lang w:eastAsia="zh-CN"/>
        </w:rPr>
        <w:t xml:space="preserve"> kiekis kraujyje, padidėjo </w:t>
      </w:r>
      <w:proofErr w:type="spellStart"/>
      <w:r w:rsidRPr="00CE7679">
        <w:rPr>
          <w:rFonts w:eastAsia="SimSun"/>
          <w:snapToGrid/>
          <w:szCs w:val="22"/>
          <w:lang w:eastAsia="zh-CN"/>
        </w:rPr>
        <w:t>transaminazių</w:t>
      </w:r>
      <w:proofErr w:type="spellEnd"/>
      <w:r w:rsidRPr="00CE7679">
        <w:rPr>
          <w:rFonts w:eastAsia="SimSun"/>
          <w:snapToGrid/>
          <w:szCs w:val="22"/>
          <w:lang w:eastAsia="zh-CN"/>
        </w:rPr>
        <w:t xml:space="preserve"> aktyvumas.</w:t>
      </w:r>
    </w:p>
    <w:p w14:paraId="313C7AE4"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Išgėrus 8</w:t>
      </w:r>
      <w:r w:rsidRPr="00CE7679">
        <w:rPr>
          <w:rFonts w:eastAsia="SimSun"/>
          <w:snapToGrid/>
          <w:szCs w:val="22"/>
          <w:lang w:eastAsia="zh-CN"/>
        </w:rPr>
        <w:noBreakHyphen/>
        <w:t>10 g (vienkartinę dozę), pranešta apie pasireiškusį vėmimą ir virškinimo trakto skausmą.</w:t>
      </w:r>
    </w:p>
    <w:p w14:paraId="78435551"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4A2CF21F" w14:textId="77777777" w:rsidR="00A27597" w:rsidRPr="00CE7679" w:rsidRDefault="00A27597" w:rsidP="00A27597">
      <w:pPr>
        <w:widowControl w:val="0"/>
        <w:autoSpaceDE w:val="0"/>
        <w:autoSpaceDN w:val="0"/>
        <w:adjustRightInd w:val="0"/>
        <w:spacing w:line="240" w:lineRule="auto"/>
        <w:rPr>
          <w:rFonts w:eastAsia="SimSun"/>
          <w:i/>
          <w:snapToGrid/>
          <w:szCs w:val="22"/>
          <w:lang w:eastAsia="zh-CN"/>
        </w:rPr>
      </w:pPr>
      <w:r w:rsidRPr="00CE7679">
        <w:rPr>
          <w:rFonts w:eastAsia="SimSun"/>
          <w:i/>
          <w:iCs/>
          <w:snapToGrid/>
          <w:szCs w:val="22"/>
          <w:lang w:eastAsia="zh-CN"/>
        </w:rPr>
        <w:lastRenderedPageBreak/>
        <w:t>Vaikų populiacija</w:t>
      </w:r>
    </w:p>
    <w:p w14:paraId="3951661B"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Vienam 3</w:t>
      </w:r>
      <w:r w:rsidR="004C1A71" w:rsidRPr="00CE7679">
        <w:rPr>
          <w:rFonts w:eastAsia="SimSun"/>
          <w:snapToGrid/>
          <w:szCs w:val="22"/>
          <w:lang w:eastAsia="zh-CN"/>
        </w:rPr>
        <w:t> </w:t>
      </w:r>
      <w:r w:rsidRPr="00CE7679">
        <w:rPr>
          <w:rFonts w:eastAsia="SimSun"/>
          <w:snapToGrid/>
          <w:szCs w:val="22"/>
          <w:lang w:eastAsia="zh-CN"/>
        </w:rPr>
        <w:t>metų berniukui, kuris išgėrė vienkartinę 400 mg dozę, pasireiškė vėmimas, viduriavimas ir anoreksija, o kitam 3</w:t>
      </w:r>
      <w:r w:rsidR="004C1A71" w:rsidRPr="00CE7679">
        <w:rPr>
          <w:rFonts w:eastAsia="SimSun"/>
          <w:snapToGrid/>
          <w:szCs w:val="22"/>
          <w:lang w:eastAsia="zh-CN"/>
        </w:rPr>
        <w:t> </w:t>
      </w:r>
      <w:r w:rsidRPr="00CE7679">
        <w:rPr>
          <w:rFonts w:eastAsia="SimSun"/>
          <w:snapToGrid/>
          <w:szCs w:val="22"/>
          <w:lang w:eastAsia="zh-CN"/>
        </w:rPr>
        <w:t>metų berniukui, kuris išgėrė vienkartinę 980 mg dozę, sumažėjo leukocitų kiekis kraujyje ir pasireiškė viduriavimas.</w:t>
      </w:r>
    </w:p>
    <w:p w14:paraId="02C6E14B"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22BDB8AA"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Pacientą, perdozavusį vaistinio preparato, reikia stebėti ir taikyti atitinkamą palaikomąjį gydymą.</w:t>
      </w:r>
    </w:p>
    <w:p w14:paraId="636210FF" w14:textId="77777777" w:rsidR="00A27597" w:rsidRPr="00CE7679" w:rsidRDefault="00A27597" w:rsidP="00A27597">
      <w:pPr>
        <w:spacing w:line="240" w:lineRule="auto"/>
        <w:rPr>
          <w:rFonts w:eastAsia="SimSun"/>
          <w:snapToGrid/>
          <w:szCs w:val="22"/>
          <w:lang w:eastAsia="zh-CN"/>
        </w:rPr>
      </w:pPr>
    </w:p>
    <w:p w14:paraId="4433032B" w14:textId="77777777" w:rsidR="00A27597" w:rsidRPr="00CE7679" w:rsidRDefault="00A27597" w:rsidP="00A27597">
      <w:pPr>
        <w:spacing w:line="240" w:lineRule="auto"/>
        <w:rPr>
          <w:rFonts w:eastAsia="SimSun"/>
          <w:snapToGrid/>
          <w:szCs w:val="22"/>
          <w:lang w:eastAsia="zh-CN"/>
        </w:rPr>
      </w:pPr>
    </w:p>
    <w:p w14:paraId="740D5E1D" w14:textId="77777777" w:rsidR="00A27597" w:rsidRPr="00CE7679" w:rsidRDefault="00A27597" w:rsidP="00A27597">
      <w:pPr>
        <w:keepNext/>
        <w:keepLines/>
        <w:spacing w:line="240" w:lineRule="auto"/>
        <w:outlineLvl w:val="2"/>
        <w:rPr>
          <w:rFonts w:eastAsia="SimSun"/>
          <w:b/>
          <w:bCs/>
          <w:snapToGrid/>
          <w:szCs w:val="22"/>
          <w:lang w:eastAsia="zh-CN"/>
        </w:rPr>
      </w:pPr>
      <w:r w:rsidRPr="00CE7679">
        <w:rPr>
          <w:rFonts w:eastAsia="SimSun"/>
          <w:b/>
          <w:bCs/>
          <w:snapToGrid/>
          <w:szCs w:val="22"/>
          <w:lang w:eastAsia="zh-CN"/>
        </w:rPr>
        <w:t>5.</w:t>
      </w:r>
      <w:r w:rsidRPr="00CE7679">
        <w:rPr>
          <w:rFonts w:eastAsia="SimSun"/>
          <w:b/>
          <w:bCs/>
          <w:snapToGrid/>
          <w:szCs w:val="22"/>
          <w:lang w:eastAsia="zh-CN"/>
        </w:rPr>
        <w:tab/>
        <w:t>FARMAKOLOGINĖS SAVYBĖS</w:t>
      </w:r>
    </w:p>
    <w:p w14:paraId="3FE0620A" w14:textId="77777777" w:rsidR="00A27597" w:rsidRPr="00CE7679" w:rsidRDefault="00A27597" w:rsidP="00A27597">
      <w:pPr>
        <w:spacing w:line="240" w:lineRule="auto"/>
        <w:rPr>
          <w:rFonts w:eastAsia="SimSun"/>
          <w:snapToGrid/>
          <w:szCs w:val="22"/>
          <w:lang w:eastAsia="zh-CN"/>
        </w:rPr>
      </w:pPr>
    </w:p>
    <w:p w14:paraId="1E1DFBDE" w14:textId="77777777" w:rsidR="00A27597" w:rsidRPr="00CE7679" w:rsidRDefault="00A27597" w:rsidP="00A27597">
      <w:pPr>
        <w:keepNext/>
        <w:spacing w:line="240" w:lineRule="auto"/>
        <w:jc w:val="both"/>
        <w:outlineLvl w:val="3"/>
        <w:rPr>
          <w:rFonts w:eastAsia="SimSun"/>
          <w:b/>
          <w:snapToGrid/>
          <w:szCs w:val="22"/>
        </w:rPr>
      </w:pPr>
      <w:r w:rsidRPr="00CE7679">
        <w:rPr>
          <w:rFonts w:eastAsia="SimSun"/>
          <w:b/>
          <w:snapToGrid/>
          <w:szCs w:val="22"/>
        </w:rPr>
        <w:t>5.1</w:t>
      </w:r>
      <w:r w:rsidRPr="00CE7679">
        <w:rPr>
          <w:rFonts w:eastAsia="SimSun"/>
          <w:b/>
          <w:snapToGrid/>
          <w:szCs w:val="22"/>
        </w:rPr>
        <w:tab/>
      </w:r>
      <w:proofErr w:type="spellStart"/>
      <w:r w:rsidRPr="00CE7679">
        <w:rPr>
          <w:rFonts w:eastAsia="SimSun"/>
          <w:b/>
          <w:snapToGrid/>
          <w:szCs w:val="22"/>
        </w:rPr>
        <w:t>Farmakodinaminės</w:t>
      </w:r>
      <w:proofErr w:type="spellEnd"/>
      <w:r w:rsidRPr="00CE7679">
        <w:rPr>
          <w:rFonts w:eastAsia="SimSun"/>
          <w:b/>
          <w:snapToGrid/>
          <w:szCs w:val="22"/>
        </w:rPr>
        <w:t xml:space="preserve"> savybės</w:t>
      </w:r>
    </w:p>
    <w:p w14:paraId="7F542C24" w14:textId="77777777" w:rsidR="00A27597" w:rsidRPr="00CE7679" w:rsidRDefault="00A27597" w:rsidP="00A27597">
      <w:pPr>
        <w:spacing w:line="240" w:lineRule="auto"/>
        <w:rPr>
          <w:rFonts w:eastAsia="SimSun"/>
          <w:snapToGrid/>
          <w:szCs w:val="22"/>
          <w:lang w:eastAsia="zh-CN"/>
        </w:rPr>
      </w:pPr>
    </w:p>
    <w:p w14:paraId="5B2E5FA1" w14:textId="0E535B99" w:rsidR="00A27597" w:rsidRPr="00CE7679" w:rsidRDefault="00A27597" w:rsidP="00A27597">
      <w:pPr>
        <w:spacing w:line="240" w:lineRule="auto"/>
        <w:rPr>
          <w:rFonts w:eastAsia="SimSun"/>
          <w:snapToGrid/>
          <w:szCs w:val="22"/>
          <w:lang w:eastAsia="zh-CN"/>
        </w:rPr>
      </w:pPr>
      <w:proofErr w:type="spellStart"/>
      <w:r w:rsidRPr="00CE7679">
        <w:rPr>
          <w:rFonts w:eastAsia="SimSun"/>
          <w:snapToGrid/>
          <w:szCs w:val="22"/>
          <w:lang w:eastAsia="zh-CN"/>
        </w:rPr>
        <w:t>Farmakoterapinė</w:t>
      </w:r>
      <w:proofErr w:type="spellEnd"/>
      <w:r w:rsidRPr="00CE7679">
        <w:rPr>
          <w:rFonts w:eastAsia="SimSun"/>
          <w:snapToGrid/>
          <w:szCs w:val="22"/>
          <w:lang w:eastAsia="zh-CN"/>
        </w:rPr>
        <w:t xml:space="preserve"> grupė – </w:t>
      </w:r>
      <w:proofErr w:type="spellStart"/>
      <w:r w:rsidR="00693741" w:rsidRPr="00693741">
        <w:rPr>
          <w:rFonts w:eastAsia="SimSun"/>
          <w:snapToGrid/>
          <w:szCs w:val="22"/>
          <w:lang w:eastAsia="zh-CN"/>
        </w:rPr>
        <w:t>priešnavikiniai</w:t>
      </w:r>
      <w:proofErr w:type="spellEnd"/>
      <w:r w:rsidR="00693741" w:rsidRPr="00693741">
        <w:rPr>
          <w:rFonts w:eastAsia="SimSun"/>
          <w:snapToGrid/>
          <w:szCs w:val="22"/>
          <w:lang w:eastAsia="zh-CN"/>
        </w:rPr>
        <w:t xml:space="preserve"> vaistiniai preparatai, BCR-ABL</w:t>
      </w:r>
      <w:r w:rsidRPr="00CE7679">
        <w:rPr>
          <w:rFonts w:eastAsia="SimSun"/>
          <w:snapToGrid/>
          <w:szCs w:val="22"/>
          <w:lang w:eastAsia="zh-CN"/>
        </w:rPr>
        <w:t xml:space="preserve"> </w:t>
      </w:r>
      <w:proofErr w:type="spellStart"/>
      <w:r w:rsidRPr="00CE7679">
        <w:rPr>
          <w:rFonts w:eastAsia="SimSun"/>
          <w:snapToGrid/>
          <w:szCs w:val="22"/>
          <w:lang w:eastAsia="zh-CN"/>
        </w:rPr>
        <w:t>tirozino</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kinazės</w:t>
      </w:r>
      <w:proofErr w:type="spellEnd"/>
      <w:r w:rsidRPr="00CE7679">
        <w:rPr>
          <w:rFonts w:eastAsia="SimSun"/>
          <w:snapToGrid/>
          <w:szCs w:val="22"/>
          <w:lang w:eastAsia="zh-CN"/>
        </w:rPr>
        <w:t xml:space="preserve"> </w:t>
      </w:r>
      <w:r w:rsidR="00693741" w:rsidRPr="00693741">
        <w:rPr>
          <w:rFonts w:eastAsia="SimSun"/>
          <w:snapToGrid/>
          <w:szCs w:val="22"/>
          <w:lang w:eastAsia="zh-CN"/>
        </w:rPr>
        <w:t>inhibitoriai</w:t>
      </w:r>
      <w:r w:rsidRPr="00CE7679">
        <w:rPr>
          <w:rFonts w:eastAsia="SimSun"/>
          <w:snapToGrid/>
          <w:szCs w:val="22"/>
          <w:lang w:eastAsia="zh-CN"/>
        </w:rPr>
        <w:t xml:space="preserve">, ATC kodas – </w:t>
      </w:r>
      <w:r w:rsidR="00720615" w:rsidRPr="00720615">
        <w:rPr>
          <w:rFonts w:eastAsia="SimSun"/>
          <w:snapToGrid/>
          <w:szCs w:val="22"/>
          <w:lang w:eastAsia="zh-CN"/>
        </w:rPr>
        <w:t>L01EA01</w:t>
      </w:r>
      <w:r w:rsidR="00720615">
        <w:rPr>
          <w:rFonts w:eastAsia="SimSun"/>
          <w:snapToGrid/>
          <w:szCs w:val="22"/>
          <w:lang w:eastAsia="zh-CN"/>
        </w:rPr>
        <w:t>.</w:t>
      </w:r>
    </w:p>
    <w:p w14:paraId="1D179BC0" w14:textId="77777777" w:rsidR="00A27597" w:rsidRPr="00CE7679" w:rsidRDefault="00A27597" w:rsidP="00A27597">
      <w:pPr>
        <w:spacing w:line="240" w:lineRule="auto"/>
        <w:rPr>
          <w:rFonts w:eastAsia="SimSun"/>
          <w:snapToGrid/>
          <w:szCs w:val="22"/>
          <w:lang w:eastAsia="zh-CN"/>
        </w:rPr>
      </w:pPr>
    </w:p>
    <w:p w14:paraId="2DBEDCAF"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u w:val="single"/>
          <w:lang w:eastAsia="zh-CN"/>
        </w:rPr>
        <w:t>Veikimo mechanizmas</w:t>
      </w:r>
    </w:p>
    <w:p w14:paraId="0E24E771"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roofErr w:type="spellStart"/>
      <w:r w:rsidRPr="00CE7679">
        <w:rPr>
          <w:rFonts w:eastAsia="SimSun"/>
          <w:snapToGrid/>
          <w:szCs w:val="22"/>
          <w:lang w:eastAsia="zh-CN"/>
        </w:rPr>
        <w:t>Imatinibas</w:t>
      </w:r>
      <w:proofErr w:type="spellEnd"/>
      <w:r w:rsidRPr="00CE7679">
        <w:rPr>
          <w:rFonts w:eastAsia="SimSun"/>
          <w:snapToGrid/>
          <w:szCs w:val="22"/>
          <w:lang w:eastAsia="zh-CN"/>
        </w:rPr>
        <w:t xml:space="preserve"> yra nedidelė baltymo </w:t>
      </w:r>
      <w:proofErr w:type="spellStart"/>
      <w:r w:rsidRPr="00CE7679">
        <w:rPr>
          <w:rFonts w:eastAsia="SimSun"/>
          <w:snapToGrid/>
          <w:szCs w:val="22"/>
          <w:lang w:eastAsia="zh-CN"/>
        </w:rPr>
        <w:t>tirozino</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kinazės</w:t>
      </w:r>
      <w:proofErr w:type="spellEnd"/>
      <w:r w:rsidRPr="00CE7679">
        <w:rPr>
          <w:rFonts w:eastAsia="SimSun"/>
          <w:snapToGrid/>
          <w:szCs w:val="22"/>
          <w:lang w:eastAsia="zh-CN"/>
        </w:rPr>
        <w:t xml:space="preserve"> inhibitoriaus molekulė, kuri stipriai slopina </w:t>
      </w:r>
      <w:proofErr w:type="spellStart"/>
      <w:r w:rsidRPr="00CE7679">
        <w:rPr>
          <w:rFonts w:eastAsia="SimSun"/>
          <w:snapToGrid/>
          <w:szCs w:val="22"/>
          <w:lang w:eastAsia="zh-CN"/>
        </w:rPr>
        <w:t>Bcr-Abl</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tirozino</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kinazės</w:t>
      </w:r>
      <w:proofErr w:type="spellEnd"/>
      <w:r w:rsidRPr="00CE7679">
        <w:rPr>
          <w:rFonts w:eastAsia="SimSun"/>
          <w:snapToGrid/>
          <w:szCs w:val="22"/>
          <w:lang w:eastAsia="zh-CN"/>
        </w:rPr>
        <w:t xml:space="preserve"> (TK) aktyvumą, taip pat keleto TK receptorių aktyvumą: </w:t>
      </w:r>
      <w:proofErr w:type="spellStart"/>
      <w:r w:rsidRPr="00CE7679">
        <w:rPr>
          <w:rFonts w:eastAsia="SimSun"/>
          <w:snapToGrid/>
          <w:szCs w:val="22"/>
          <w:lang w:eastAsia="zh-CN"/>
        </w:rPr>
        <w:t>Kit</w:t>
      </w:r>
      <w:proofErr w:type="spellEnd"/>
      <w:r w:rsidRPr="00CE7679">
        <w:rPr>
          <w:rFonts w:eastAsia="SimSun"/>
          <w:snapToGrid/>
          <w:szCs w:val="22"/>
          <w:lang w:eastAsia="zh-CN"/>
        </w:rPr>
        <w:t>, c-</w:t>
      </w:r>
      <w:proofErr w:type="spellStart"/>
      <w:r w:rsidRPr="00CE7679">
        <w:rPr>
          <w:rFonts w:eastAsia="SimSun"/>
          <w:snapToGrid/>
          <w:szCs w:val="22"/>
          <w:lang w:eastAsia="zh-CN"/>
        </w:rPr>
        <w:t>Kit</w:t>
      </w:r>
      <w:proofErr w:type="spellEnd"/>
      <w:r w:rsidRPr="00CE7679">
        <w:rPr>
          <w:rFonts w:eastAsia="SimSun"/>
          <w:snapToGrid/>
          <w:szCs w:val="22"/>
          <w:lang w:eastAsia="zh-CN"/>
        </w:rPr>
        <w:t xml:space="preserve"> proto-</w:t>
      </w:r>
      <w:proofErr w:type="spellStart"/>
      <w:r w:rsidRPr="00CE7679">
        <w:rPr>
          <w:rFonts w:eastAsia="SimSun"/>
          <w:snapToGrid/>
          <w:szCs w:val="22"/>
          <w:lang w:eastAsia="zh-CN"/>
        </w:rPr>
        <w:t>onkogeną</w:t>
      </w:r>
      <w:proofErr w:type="spellEnd"/>
      <w:r w:rsidRPr="00CE7679">
        <w:rPr>
          <w:rFonts w:eastAsia="SimSun"/>
          <w:snapToGrid/>
          <w:szCs w:val="22"/>
          <w:lang w:eastAsia="zh-CN"/>
        </w:rPr>
        <w:t xml:space="preserve"> koduojančio kamieninių ląstelių faktoriaus (angl.</w:t>
      </w:r>
      <w:r w:rsidR="00902B0A" w:rsidRPr="00CE7679">
        <w:rPr>
          <w:rFonts w:eastAsia="SimSun"/>
          <w:snapToGrid/>
          <w:szCs w:val="22"/>
          <w:lang w:eastAsia="zh-CN"/>
        </w:rPr>
        <w:t xml:space="preserve"> </w:t>
      </w:r>
      <w:proofErr w:type="spellStart"/>
      <w:r w:rsidRPr="00CE7679">
        <w:rPr>
          <w:rFonts w:eastAsia="SimSun"/>
          <w:i/>
          <w:iCs/>
          <w:snapToGrid/>
          <w:szCs w:val="22"/>
          <w:lang w:eastAsia="zh-CN"/>
        </w:rPr>
        <w:t>Stem</w:t>
      </w:r>
      <w:proofErr w:type="spellEnd"/>
      <w:r w:rsidRPr="00CE7679">
        <w:rPr>
          <w:rFonts w:eastAsia="SimSun"/>
          <w:i/>
          <w:iCs/>
          <w:snapToGrid/>
          <w:szCs w:val="22"/>
          <w:lang w:eastAsia="zh-CN"/>
        </w:rPr>
        <w:t xml:space="preserve"> </w:t>
      </w:r>
      <w:proofErr w:type="spellStart"/>
      <w:r w:rsidRPr="00CE7679">
        <w:rPr>
          <w:rFonts w:eastAsia="SimSun"/>
          <w:i/>
          <w:iCs/>
          <w:snapToGrid/>
          <w:szCs w:val="22"/>
          <w:lang w:eastAsia="zh-CN"/>
        </w:rPr>
        <w:t>cell</w:t>
      </w:r>
      <w:proofErr w:type="spellEnd"/>
      <w:r w:rsidRPr="00CE7679">
        <w:rPr>
          <w:rFonts w:eastAsia="SimSun"/>
          <w:i/>
          <w:iCs/>
          <w:snapToGrid/>
          <w:szCs w:val="22"/>
          <w:lang w:eastAsia="zh-CN"/>
        </w:rPr>
        <w:t xml:space="preserve"> </w:t>
      </w:r>
      <w:proofErr w:type="spellStart"/>
      <w:r w:rsidRPr="00CE7679">
        <w:rPr>
          <w:rFonts w:eastAsia="SimSun"/>
          <w:i/>
          <w:iCs/>
          <w:snapToGrid/>
          <w:szCs w:val="22"/>
          <w:lang w:eastAsia="zh-CN"/>
        </w:rPr>
        <w:t>factor</w:t>
      </w:r>
      <w:proofErr w:type="spellEnd"/>
      <w:r w:rsidRPr="00CE7679">
        <w:rPr>
          <w:rFonts w:eastAsia="SimSun"/>
          <w:i/>
          <w:iCs/>
          <w:snapToGrid/>
          <w:szCs w:val="22"/>
          <w:lang w:eastAsia="zh-CN"/>
        </w:rPr>
        <w:t xml:space="preserve">, </w:t>
      </w:r>
      <w:r w:rsidRPr="00CE7679">
        <w:rPr>
          <w:rFonts w:eastAsia="SimSun"/>
          <w:iCs/>
          <w:snapToGrid/>
          <w:szCs w:val="22"/>
          <w:lang w:eastAsia="zh-CN"/>
        </w:rPr>
        <w:t>SCF</w:t>
      </w:r>
      <w:r w:rsidRPr="00CE7679">
        <w:rPr>
          <w:rFonts w:eastAsia="SimSun"/>
          <w:snapToGrid/>
          <w:szCs w:val="22"/>
          <w:lang w:eastAsia="zh-CN"/>
        </w:rPr>
        <w:t xml:space="preserve">) receptorių, </w:t>
      </w:r>
      <w:proofErr w:type="spellStart"/>
      <w:r w:rsidRPr="00CE7679">
        <w:rPr>
          <w:rFonts w:eastAsia="SimSun"/>
          <w:snapToGrid/>
          <w:szCs w:val="22"/>
          <w:lang w:eastAsia="zh-CN"/>
        </w:rPr>
        <w:t>diskoidino</w:t>
      </w:r>
      <w:proofErr w:type="spellEnd"/>
      <w:r w:rsidRPr="00CE7679">
        <w:rPr>
          <w:rFonts w:eastAsia="SimSun"/>
          <w:snapToGrid/>
          <w:szCs w:val="22"/>
          <w:lang w:eastAsia="zh-CN"/>
        </w:rPr>
        <w:t xml:space="preserve"> domeno receptorius (DDR1 ir DDR2), kolonijas stimuliuojančio faktoriaus receptorių (angl. </w:t>
      </w:r>
      <w:proofErr w:type="spellStart"/>
      <w:r w:rsidRPr="00CE7679">
        <w:rPr>
          <w:rFonts w:eastAsia="SimSun"/>
          <w:i/>
          <w:iCs/>
          <w:snapToGrid/>
          <w:szCs w:val="22"/>
          <w:lang w:eastAsia="zh-CN"/>
        </w:rPr>
        <w:t>Colony</w:t>
      </w:r>
      <w:proofErr w:type="spellEnd"/>
      <w:r w:rsidRPr="00CE7679">
        <w:rPr>
          <w:rFonts w:eastAsia="SimSun"/>
          <w:i/>
          <w:iCs/>
          <w:snapToGrid/>
          <w:szCs w:val="22"/>
          <w:lang w:eastAsia="zh-CN"/>
        </w:rPr>
        <w:t xml:space="preserve"> </w:t>
      </w:r>
      <w:proofErr w:type="spellStart"/>
      <w:r w:rsidRPr="00CE7679">
        <w:rPr>
          <w:rFonts w:eastAsia="SimSun"/>
          <w:i/>
          <w:iCs/>
          <w:snapToGrid/>
          <w:szCs w:val="22"/>
          <w:lang w:eastAsia="zh-CN"/>
        </w:rPr>
        <w:t>stimulating</w:t>
      </w:r>
      <w:proofErr w:type="spellEnd"/>
      <w:r w:rsidRPr="00CE7679">
        <w:rPr>
          <w:rFonts w:eastAsia="SimSun"/>
          <w:i/>
          <w:iCs/>
          <w:snapToGrid/>
          <w:szCs w:val="22"/>
          <w:lang w:eastAsia="zh-CN"/>
        </w:rPr>
        <w:t xml:space="preserve"> </w:t>
      </w:r>
      <w:proofErr w:type="spellStart"/>
      <w:r w:rsidRPr="00CE7679">
        <w:rPr>
          <w:rFonts w:eastAsia="SimSun"/>
          <w:i/>
          <w:iCs/>
          <w:snapToGrid/>
          <w:szCs w:val="22"/>
          <w:lang w:eastAsia="zh-CN"/>
        </w:rPr>
        <w:t>factor</w:t>
      </w:r>
      <w:proofErr w:type="spellEnd"/>
      <w:r w:rsidRPr="00CE7679">
        <w:rPr>
          <w:rFonts w:eastAsia="SimSun"/>
          <w:i/>
          <w:iCs/>
          <w:snapToGrid/>
          <w:szCs w:val="22"/>
          <w:lang w:eastAsia="zh-CN"/>
        </w:rPr>
        <w:t xml:space="preserve"> </w:t>
      </w:r>
      <w:proofErr w:type="spellStart"/>
      <w:r w:rsidRPr="00CE7679">
        <w:rPr>
          <w:rFonts w:eastAsia="SimSun"/>
          <w:i/>
          <w:iCs/>
          <w:snapToGrid/>
          <w:szCs w:val="22"/>
          <w:lang w:eastAsia="zh-CN"/>
        </w:rPr>
        <w:t>receptor</w:t>
      </w:r>
      <w:proofErr w:type="spellEnd"/>
      <w:r w:rsidRPr="00CE7679">
        <w:rPr>
          <w:rFonts w:eastAsia="SimSun"/>
          <w:i/>
          <w:iCs/>
          <w:snapToGrid/>
          <w:szCs w:val="22"/>
          <w:lang w:eastAsia="zh-CN"/>
        </w:rPr>
        <w:t xml:space="preserve">, </w:t>
      </w:r>
      <w:r w:rsidRPr="00CE7679">
        <w:rPr>
          <w:rFonts w:eastAsia="SimSun"/>
          <w:iCs/>
          <w:snapToGrid/>
          <w:szCs w:val="22"/>
          <w:lang w:eastAsia="zh-CN"/>
        </w:rPr>
        <w:t>CSF-1R</w:t>
      </w:r>
      <w:r w:rsidRPr="00CE7679">
        <w:rPr>
          <w:rFonts w:eastAsia="SimSun"/>
          <w:snapToGrid/>
          <w:szCs w:val="22"/>
          <w:lang w:eastAsia="zh-CN"/>
        </w:rPr>
        <w:t xml:space="preserve">) bei trombocituose esančius augimo faktoriaus receptorius alfa ir beta (angl. </w:t>
      </w:r>
      <w:proofErr w:type="spellStart"/>
      <w:r w:rsidRPr="00CE7679">
        <w:rPr>
          <w:rFonts w:eastAsia="SimSun"/>
          <w:i/>
          <w:iCs/>
          <w:snapToGrid/>
          <w:szCs w:val="22"/>
          <w:lang w:eastAsia="zh-CN"/>
        </w:rPr>
        <w:t>Platelet-derived</w:t>
      </w:r>
      <w:proofErr w:type="spellEnd"/>
      <w:r w:rsidRPr="00CE7679">
        <w:rPr>
          <w:rFonts w:eastAsia="SimSun"/>
          <w:i/>
          <w:iCs/>
          <w:snapToGrid/>
          <w:szCs w:val="22"/>
          <w:lang w:eastAsia="zh-CN"/>
        </w:rPr>
        <w:t xml:space="preserve"> </w:t>
      </w:r>
      <w:proofErr w:type="spellStart"/>
      <w:r w:rsidRPr="00CE7679">
        <w:rPr>
          <w:rFonts w:eastAsia="SimSun"/>
          <w:i/>
          <w:iCs/>
          <w:snapToGrid/>
          <w:szCs w:val="22"/>
          <w:lang w:eastAsia="zh-CN"/>
        </w:rPr>
        <w:t>growth</w:t>
      </w:r>
      <w:proofErr w:type="spellEnd"/>
      <w:r w:rsidRPr="00CE7679">
        <w:rPr>
          <w:rFonts w:eastAsia="SimSun"/>
          <w:i/>
          <w:iCs/>
          <w:snapToGrid/>
          <w:szCs w:val="22"/>
          <w:lang w:eastAsia="zh-CN"/>
        </w:rPr>
        <w:t xml:space="preserve"> </w:t>
      </w:r>
      <w:proofErr w:type="spellStart"/>
      <w:r w:rsidRPr="00CE7679">
        <w:rPr>
          <w:rFonts w:eastAsia="SimSun"/>
          <w:i/>
          <w:iCs/>
          <w:snapToGrid/>
          <w:szCs w:val="22"/>
          <w:lang w:eastAsia="zh-CN"/>
        </w:rPr>
        <w:t>factor</w:t>
      </w:r>
      <w:proofErr w:type="spellEnd"/>
      <w:r w:rsidRPr="00CE7679">
        <w:rPr>
          <w:rFonts w:eastAsia="SimSun"/>
          <w:i/>
          <w:iCs/>
          <w:snapToGrid/>
          <w:szCs w:val="22"/>
          <w:lang w:eastAsia="zh-CN"/>
        </w:rPr>
        <w:t xml:space="preserve"> </w:t>
      </w:r>
      <w:proofErr w:type="spellStart"/>
      <w:r w:rsidRPr="00CE7679">
        <w:rPr>
          <w:rFonts w:eastAsia="SimSun"/>
          <w:i/>
          <w:iCs/>
          <w:snapToGrid/>
          <w:szCs w:val="22"/>
          <w:lang w:eastAsia="zh-CN"/>
        </w:rPr>
        <w:t>receptors</w:t>
      </w:r>
      <w:proofErr w:type="spellEnd"/>
      <w:r w:rsidRPr="00CE7679">
        <w:rPr>
          <w:rFonts w:eastAsia="SimSun"/>
          <w:i/>
          <w:iCs/>
          <w:snapToGrid/>
          <w:szCs w:val="22"/>
          <w:lang w:eastAsia="zh-CN"/>
        </w:rPr>
        <w:t xml:space="preserve">, </w:t>
      </w:r>
      <w:r w:rsidRPr="00CE7679">
        <w:rPr>
          <w:rFonts w:eastAsia="SimSun"/>
          <w:iCs/>
          <w:snapToGrid/>
          <w:szCs w:val="22"/>
          <w:lang w:eastAsia="zh-CN"/>
        </w:rPr>
        <w:t>PDGFR-</w:t>
      </w:r>
      <w:proofErr w:type="spellStart"/>
      <w:r w:rsidRPr="00CE7679">
        <w:rPr>
          <w:rFonts w:eastAsia="SimSun"/>
          <w:iCs/>
          <w:snapToGrid/>
          <w:szCs w:val="22"/>
          <w:lang w:eastAsia="zh-CN"/>
        </w:rPr>
        <w:t>alpha</w:t>
      </w:r>
      <w:proofErr w:type="spellEnd"/>
      <w:r w:rsidRPr="00CE7679">
        <w:rPr>
          <w:rFonts w:eastAsia="SimSun"/>
          <w:iCs/>
          <w:snapToGrid/>
          <w:szCs w:val="22"/>
          <w:lang w:eastAsia="zh-CN"/>
        </w:rPr>
        <w:t>, PDGFR-beta</w:t>
      </w:r>
      <w:r w:rsidRPr="00CE7679">
        <w:rPr>
          <w:rFonts w:eastAsia="SimSun"/>
          <w:snapToGrid/>
          <w:szCs w:val="22"/>
          <w:lang w:eastAsia="zh-CN"/>
        </w:rPr>
        <w:t xml:space="preserve">). </w:t>
      </w:r>
      <w:proofErr w:type="spellStart"/>
      <w:r w:rsidRPr="00CE7679">
        <w:rPr>
          <w:rFonts w:eastAsia="SimSun"/>
          <w:snapToGrid/>
          <w:szCs w:val="22"/>
          <w:lang w:eastAsia="zh-CN"/>
        </w:rPr>
        <w:t>Imatinibas</w:t>
      </w:r>
      <w:proofErr w:type="spellEnd"/>
      <w:r w:rsidRPr="00CE7679">
        <w:rPr>
          <w:rFonts w:eastAsia="SimSun"/>
          <w:snapToGrid/>
          <w:szCs w:val="22"/>
          <w:lang w:eastAsia="zh-CN"/>
        </w:rPr>
        <w:t xml:space="preserve"> taip pat gali slopinti ląstelių procesus, kuriuos skatina šių receptorių </w:t>
      </w:r>
      <w:proofErr w:type="spellStart"/>
      <w:r w:rsidRPr="00CE7679">
        <w:rPr>
          <w:rFonts w:eastAsia="SimSun"/>
          <w:snapToGrid/>
          <w:szCs w:val="22"/>
          <w:lang w:eastAsia="zh-CN"/>
        </w:rPr>
        <w:t>kinazių</w:t>
      </w:r>
      <w:proofErr w:type="spellEnd"/>
      <w:r w:rsidRPr="00CE7679">
        <w:rPr>
          <w:rFonts w:eastAsia="SimSun"/>
          <w:snapToGrid/>
          <w:szCs w:val="22"/>
          <w:lang w:eastAsia="zh-CN"/>
        </w:rPr>
        <w:t xml:space="preserve"> aktyvinimas.</w:t>
      </w:r>
    </w:p>
    <w:p w14:paraId="38CF8091"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0B83FC17"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roofErr w:type="spellStart"/>
      <w:r w:rsidRPr="00CE7679">
        <w:rPr>
          <w:rFonts w:eastAsia="SimSun"/>
          <w:snapToGrid/>
          <w:szCs w:val="22"/>
          <w:u w:val="single"/>
          <w:lang w:eastAsia="zh-CN"/>
        </w:rPr>
        <w:t>Farmakodinaminis</w:t>
      </w:r>
      <w:proofErr w:type="spellEnd"/>
      <w:r w:rsidRPr="00CE7679">
        <w:rPr>
          <w:rFonts w:eastAsia="SimSun"/>
          <w:snapToGrid/>
          <w:szCs w:val="22"/>
          <w:u w:val="single"/>
          <w:lang w:eastAsia="zh-CN"/>
        </w:rPr>
        <w:t xml:space="preserve"> poveikis</w:t>
      </w:r>
    </w:p>
    <w:p w14:paraId="616AC7C9"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roofErr w:type="spellStart"/>
      <w:r w:rsidRPr="00CE7679">
        <w:rPr>
          <w:rFonts w:eastAsia="SimSun"/>
          <w:snapToGrid/>
          <w:szCs w:val="22"/>
          <w:lang w:eastAsia="zh-CN"/>
        </w:rPr>
        <w:t>Imatinibas</w:t>
      </w:r>
      <w:proofErr w:type="spellEnd"/>
      <w:r w:rsidRPr="00CE7679">
        <w:rPr>
          <w:rFonts w:eastAsia="SimSun"/>
          <w:snapToGrid/>
          <w:szCs w:val="22"/>
          <w:lang w:eastAsia="zh-CN"/>
        </w:rPr>
        <w:t xml:space="preserve"> yra baltymo </w:t>
      </w:r>
      <w:proofErr w:type="spellStart"/>
      <w:r w:rsidRPr="00CE7679">
        <w:rPr>
          <w:rFonts w:eastAsia="SimSun"/>
          <w:snapToGrid/>
          <w:szCs w:val="22"/>
          <w:lang w:eastAsia="zh-CN"/>
        </w:rPr>
        <w:t>tirozino</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kinazės</w:t>
      </w:r>
      <w:proofErr w:type="spellEnd"/>
      <w:r w:rsidRPr="00CE7679">
        <w:rPr>
          <w:rFonts w:eastAsia="SimSun"/>
          <w:snapToGrid/>
          <w:szCs w:val="22"/>
          <w:lang w:eastAsia="zh-CN"/>
        </w:rPr>
        <w:t xml:space="preserve"> inhibitorius, kuris </w:t>
      </w:r>
      <w:proofErr w:type="spellStart"/>
      <w:r w:rsidRPr="00CE7679">
        <w:rPr>
          <w:rFonts w:eastAsia="SimSun"/>
          <w:i/>
          <w:iCs/>
          <w:snapToGrid/>
          <w:szCs w:val="22"/>
          <w:lang w:eastAsia="zh-CN"/>
        </w:rPr>
        <w:t>in</w:t>
      </w:r>
      <w:proofErr w:type="spellEnd"/>
      <w:r w:rsidRPr="00CE7679">
        <w:rPr>
          <w:rFonts w:eastAsia="SimSun"/>
          <w:i/>
          <w:iCs/>
          <w:snapToGrid/>
          <w:szCs w:val="22"/>
          <w:lang w:eastAsia="zh-CN"/>
        </w:rPr>
        <w:t xml:space="preserve"> </w:t>
      </w:r>
      <w:proofErr w:type="spellStart"/>
      <w:r w:rsidRPr="00CE7679">
        <w:rPr>
          <w:rFonts w:eastAsia="SimSun"/>
          <w:i/>
          <w:iCs/>
          <w:snapToGrid/>
          <w:szCs w:val="22"/>
          <w:lang w:eastAsia="zh-CN"/>
        </w:rPr>
        <w:t>vitro</w:t>
      </w:r>
      <w:proofErr w:type="spellEnd"/>
      <w:r w:rsidRPr="00CE7679">
        <w:rPr>
          <w:rFonts w:eastAsia="SimSun"/>
          <w:snapToGrid/>
          <w:szCs w:val="22"/>
          <w:lang w:eastAsia="zh-CN"/>
        </w:rPr>
        <w:t xml:space="preserve">, ląstelės lygmenyje ir </w:t>
      </w:r>
      <w:proofErr w:type="spellStart"/>
      <w:r w:rsidRPr="00CE7679">
        <w:rPr>
          <w:rFonts w:eastAsia="SimSun"/>
          <w:i/>
          <w:iCs/>
          <w:snapToGrid/>
          <w:szCs w:val="22"/>
          <w:lang w:eastAsia="zh-CN"/>
        </w:rPr>
        <w:t>in</w:t>
      </w:r>
      <w:proofErr w:type="spellEnd"/>
      <w:r w:rsidRPr="00CE7679">
        <w:rPr>
          <w:rFonts w:eastAsia="SimSun"/>
          <w:i/>
          <w:iCs/>
          <w:snapToGrid/>
          <w:szCs w:val="22"/>
          <w:lang w:eastAsia="zh-CN"/>
        </w:rPr>
        <w:t xml:space="preserve"> </w:t>
      </w:r>
      <w:proofErr w:type="spellStart"/>
      <w:r w:rsidRPr="00CE7679">
        <w:rPr>
          <w:rFonts w:eastAsia="SimSun"/>
          <w:i/>
          <w:iCs/>
          <w:snapToGrid/>
          <w:szCs w:val="22"/>
          <w:lang w:eastAsia="zh-CN"/>
        </w:rPr>
        <w:t>vivo</w:t>
      </w:r>
      <w:proofErr w:type="spellEnd"/>
      <w:r w:rsidRPr="00CE7679">
        <w:rPr>
          <w:rFonts w:eastAsia="SimSun"/>
          <w:i/>
          <w:iCs/>
          <w:snapToGrid/>
          <w:szCs w:val="22"/>
          <w:lang w:eastAsia="zh-CN"/>
        </w:rPr>
        <w:t xml:space="preserve"> </w:t>
      </w:r>
      <w:r w:rsidRPr="00CE7679">
        <w:rPr>
          <w:rFonts w:eastAsia="SimSun"/>
          <w:snapToGrid/>
          <w:szCs w:val="22"/>
          <w:lang w:eastAsia="zh-CN"/>
        </w:rPr>
        <w:t xml:space="preserve">stipriai slopina </w:t>
      </w:r>
      <w:proofErr w:type="spellStart"/>
      <w:r w:rsidRPr="00CE7679">
        <w:rPr>
          <w:rFonts w:eastAsia="SimSun"/>
          <w:snapToGrid/>
          <w:szCs w:val="22"/>
          <w:lang w:eastAsia="zh-CN"/>
        </w:rPr>
        <w:t>Bcr-Abl</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tirozino</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kinazę</w:t>
      </w:r>
      <w:proofErr w:type="spellEnd"/>
      <w:r w:rsidRPr="00CE7679">
        <w:rPr>
          <w:rFonts w:eastAsia="SimSun"/>
          <w:snapToGrid/>
          <w:szCs w:val="22"/>
          <w:lang w:eastAsia="zh-CN"/>
        </w:rPr>
        <w:t xml:space="preserve">. Junginys selektyviai slopina </w:t>
      </w:r>
      <w:proofErr w:type="spellStart"/>
      <w:r w:rsidRPr="00CE7679">
        <w:rPr>
          <w:rFonts w:eastAsia="SimSun"/>
          <w:snapToGrid/>
          <w:szCs w:val="22"/>
          <w:lang w:eastAsia="zh-CN"/>
        </w:rPr>
        <w:t>proliferaciją</w:t>
      </w:r>
      <w:proofErr w:type="spellEnd"/>
      <w:r w:rsidRPr="00CE7679">
        <w:rPr>
          <w:rFonts w:eastAsia="SimSun"/>
          <w:snapToGrid/>
          <w:szCs w:val="22"/>
          <w:lang w:eastAsia="zh-CN"/>
        </w:rPr>
        <w:t xml:space="preserve"> ir indukuoja </w:t>
      </w:r>
      <w:proofErr w:type="spellStart"/>
      <w:r w:rsidRPr="00CE7679">
        <w:rPr>
          <w:rFonts w:eastAsia="SimSun"/>
          <w:snapToGrid/>
          <w:szCs w:val="22"/>
          <w:lang w:eastAsia="zh-CN"/>
        </w:rPr>
        <w:t>apoptozę</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Bcr-Abl</w:t>
      </w:r>
      <w:proofErr w:type="spellEnd"/>
      <w:r w:rsidRPr="00CE7679">
        <w:rPr>
          <w:rFonts w:eastAsia="SimSun"/>
          <w:snapToGrid/>
          <w:szCs w:val="22"/>
          <w:lang w:eastAsia="zh-CN"/>
        </w:rPr>
        <w:t xml:space="preserve"> teigiamose ląstelių eilėse, taip pat šviežiose leukeminėse ląstelėse, gautose iš </w:t>
      </w:r>
      <w:proofErr w:type="spellStart"/>
      <w:r w:rsidRPr="00CE7679">
        <w:rPr>
          <w:rFonts w:eastAsia="SimSun"/>
          <w:i/>
          <w:iCs/>
          <w:snapToGrid/>
          <w:szCs w:val="22"/>
          <w:lang w:eastAsia="zh-CN"/>
        </w:rPr>
        <w:t>Philadelphia</w:t>
      </w:r>
      <w:proofErr w:type="spellEnd"/>
      <w:r w:rsidRPr="00CE7679">
        <w:rPr>
          <w:rFonts w:eastAsia="SimSun"/>
          <w:snapToGrid/>
          <w:szCs w:val="22"/>
          <w:lang w:eastAsia="zh-CN"/>
        </w:rPr>
        <w:t xml:space="preserve"> chromosomai teigiamų LML ir ūmine </w:t>
      </w:r>
      <w:proofErr w:type="spellStart"/>
      <w:r w:rsidRPr="00CE7679">
        <w:rPr>
          <w:rFonts w:eastAsia="SimSun"/>
          <w:snapToGrid/>
          <w:szCs w:val="22"/>
          <w:lang w:eastAsia="zh-CN"/>
        </w:rPr>
        <w:t>limfoblastine</w:t>
      </w:r>
      <w:proofErr w:type="spellEnd"/>
      <w:r w:rsidRPr="00CE7679">
        <w:rPr>
          <w:rFonts w:eastAsia="SimSun"/>
          <w:snapToGrid/>
          <w:szCs w:val="22"/>
          <w:lang w:eastAsia="zh-CN"/>
        </w:rPr>
        <w:t xml:space="preserve"> leukemija (ŪLL) sergančių pacientų.</w:t>
      </w:r>
    </w:p>
    <w:p w14:paraId="587F4428"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2566A014"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roofErr w:type="spellStart"/>
      <w:r w:rsidRPr="00CE7679">
        <w:rPr>
          <w:rFonts w:eastAsia="SimSun"/>
          <w:i/>
          <w:iCs/>
          <w:snapToGrid/>
          <w:szCs w:val="22"/>
          <w:lang w:eastAsia="zh-CN"/>
        </w:rPr>
        <w:t>In</w:t>
      </w:r>
      <w:proofErr w:type="spellEnd"/>
      <w:r w:rsidRPr="00CE7679">
        <w:rPr>
          <w:rFonts w:eastAsia="SimSun"/>
          <w:i/>
          <w:iCs/>
          <w:snapToGrid/>
          <w:szCs w:val="22"/>
          <w:lang w:eastAsia="zh-CN"/>
        </w:rPr>
        <w:t xml:space="preserve"> </w:t>
      </w:r>
      <w:proofErr w:type="spellStart"/>
      <w:r w:rsidRPr="00CE7679">
        <w:rPr>
          <w:rFonts w:eastAsia="SimSun"/>
          <w:i/>
          <w:iCs/>
          <w:snapToGrid/>
          <w:szCs w:val="22"/>
          <w:lang w:eastAsia="zh-CN"/>
        </w:rPr>
        <w:t>vivo</w:t>
      </w:r>
      <w:proofErr w:type="spellEnd"/>
      <w:r w:rsidRPr="00CE7679">
        <w:rPr>
          <w:rFonts w:eastAsia="SimSun"/>
          <w:i/>
          <w:iCs/>
          <w:snapToGrid/>
          <w:szCs w:val="22"/>
          <w:lang w:eastAsia="zh-CN"/>
        </w:rPr>
        <w:t xml:space="preserve"> </w:t>
      </w:r>
      <w:r w:rsidRPr="00CE7679">
        <w:rPr>
          <w:rFonts w:eastAsia="SimSun"/>
          <w:snapToGrid/>
          <w:szCs w:val="22"/>
          <w:lang w:eastAsia="zh-CN"/>
        </w:rPr>
        <w:t xml:space="preserve">gyvūnų modelyje su </w:t>
      </w:r>
      <w:proofErr w:type="spellStart"/>
      <w:r w:rsidRPr="00CE7679">
        <w:rPr>
          <w:rFonts w:eastAsia="SimSun"/>
          <w:snapToGrid/>
          <w:szCs w:val="22"/>
          <w:lang w:eastAsia="zh-CN"/>
        </w:rPr>
        <w:t>Bcr-Abl</w:t>
      </w:r>
      <w:proofErr w:type="spellEnd"/>
      <w:r w:rsidRPr="00CE7679">
        <w:rPr>
          <w:rFonts w:eastAsia="SimSun"/>
          <w:snapToGrid/>
          <w:szCs w:val="22"/>
          <w:lang w:eastAsia="zh-CN"/>
        </w:rPr>
        <w:t xml:space="preserve"> teigiamomis naviko ląstelėmis junginiui (</w:t>
      </w:r>
      <w:proofErr w:type="spellStart"/>
      <w:r w:rsidRPr="00CE7679">
        <w:rPr>
          <w:rFonts w:eastAsia="SimSun"/>
          <w:snapToGrid/>
          <w:szCs w:val="22"/>
          <w:lang w:eastAsia="zh-CN"/>
        </w:rPr>
        <w:t>monoterapijoje</w:t>
      </w:r>
      <w:proofErr w:type="spellEnd"/>
      <w:r w:rsidRPr="00CE7679">
        <w:rPr>
          <w:rFonts w:eastAsia="SimSun"/>
          <w:snapToGrid/>
          <w:szCs w:val="22"/>
          <w:lang w:eastAsia="zh-CN"/>
        </w:rPr>
        <w:t xml:space="preserve">) būdingas </w:t>
      </w:r>
      <w:proofErr w:type="spellStart"/>
      <w:r w:rsidRPr="00CE7679">
        <w:rPr>
          <w:rFonts w:eastAsia="SimSun"/>
          <w:snapToGrid/>
          <w:szCs w:val="22"/>
          <w:lang w:eastAsia="zh-CN"/>
        </w:rPr>
        <w:t>antinavikinis</w:t>
      </w:r>
      <w:proofErr w:type="spellEnd"/>
      <w:r w:rsidRPr="00CE7679">
        <w:rPr>
          <w:rFonts w:eastAsia="SimSun"/>
          <w:snapToGrid/>
          <w:szCs w:val="22"/>
          <w:lang w:eastAsia="zh-CN"/>
        </w:rPr>
        <w:t xml:space="preserve"> aktyvumas.</w:t>
      </w:r>
    </w:p>
    <w:p w14:paraId="6D17E82B" w14:textId="77777777" w:rsidR="00A27597" w:rsidRPr="00CE7679" w:rsidRDefault="00A27597" w:rsidP="00A27597">
      <w:pPr>
        <w:widowControl w:val="0"/>
        <w:autoSpaceDE w:val="0"/>
        <w:autoSpaceDN w:val="0"/>
        <w:adjustRightInd w:val="0"/>
        <w:spacing w:line="240" w:lineRule="auto"/>
        <w:rPr>
          <w:rFonts w:eastAsia="SimSun"/>
          <w:snapToGrid/>
          <w:szCs w:val="22"/>
          <w:u w:val="single"/>
          <w:lang w:eastAsia="zh-CN"/>
        </w:rPr>
      </w:pPr>
    </w:p>
    <w:p w14:paraId="4932AFB5" w14:textId="77777777" w:rsidR="00A27597" w:rsidRPr="00CE7679" w:rsidRDefault="00A27597" w:rsidP="009F65C9">
      <w:pPr>
        <w:widowControl w:val="0"/>
        <w:autoSpaceDE w:val="0"/>
        <w:autoSpaceDN w:val="0"/>
        <w:adjustRightInd w:val="0"/>
        <w:spacing w:line="240" w:lineRule="auto"/>
        <w:rPr>
          <w:rFonts w:eastAsia="SimSun"/>
          <w:snapToGrid/>
          <w:szCs w:val="22"/>
          <w:lang w:eastAsia="zh-CN"/>
        </w:rPr>
      </w:pPr>
      <w:proofErr w:type="spellStart"/>
      <w:r w:rsidRPr="00CE7679">
        <w:rPr>
          <w:rFonts w:eastAsia="SimSun"/>
          <w:snapToGrid/>
          <w:szCs w:val="22"/>
          <w:lang w:eastAsia="zh-CN"/>
        </w:rPr>
        <w:t>Imatinibas</w:t>
      </w:r>
      <w:proofErr w:type="spellEnd"/>
      <w:r w:rsidRPr="00CE7679">
        <w:rPr>
          <w:rFonts w:eastAsia="SimSun"/>
          <w:snapToGrid/>
          <w:szCs w:val="22"/>
          <w:lang w:eastAsia="zh-CN"/>
        </w:rPr>
        <w:t xml:space="preserve"> taip pat yra trombocitų kilmės augimo faktoriaus (</w:t>
      </w:r>
      <w:proofErr w:type="spellStart"/>
      <w:r w:rsidRPr="00CE7679">
        <w:rPr>
          <w:rFonts w:eastAsia="SimSun"/>
          <w:snapToGrid/>
          <w:szCs w:val="22"/>
          <w:lang w:eastAsia="zh-CN"/>
        </w:rPr>
        <w:t>ang</w:t>
      </w:r>
      <w:proofErr w:type="spellEnd"/>
      <w:r w:rsidRPr="00CE7679">
        <w:rPr>
          <w:rFonts w:eastAsia="SimSun"/>
          <w:snapToGrid/>
          <w:szCs w:val="22"/>
          <w:lang w:eastAsia="zh-CN"/>
        </w:rPr>
        <w:t xml:space="preserve">. </w:t>
      </w:r>
      <w:proofErr w:type="spellStart"/>
      <w:r w:rsidRPr="00CE7679">
        <w:rPr>
          <w:rFonts w:eastAsia="SimSun"/>
          <w:i/>
          <w:snapToGrid/>
          <w:szCs w:val="22"/>
          <w:lang w:eastAsia="zh-CN"/>
        </w:rPr>
        <w:t>Platelet-derived</w:t>
      </w:r>
      <w:proofErr w:type="spellEnd"/>
      <w:r w:rsidRPr="00CE7679">
        <w:rPr>
          <w:rFonts w:eastAsia="SimSun"/>
          <w:i/>
          <w:snapToGrid/>
          <w:szCs w:val="22"/>
          <w:lang w:eastAsia="zh-CN"/>
        </w:rPr>
        <w:t xml:space="preserve"> </w:t>
      </w:r>
      <w:proofErr w:type="spellStart"/>
      <w:r w:rsidRPr="00CE7679">
        <w:rPr>
          <w:rFonts w:eastAsia="SimSun"/>
          <w:i/>
          <w:snapToGrid/>
          <w:szCs w:val="22"/>
          <w:lang w:eastAsia="zh-CN"/>
        </w:rPr>
        <w:t>growth</w:t>
      </w:r>
      <w:proofErr w:type="spellEnd"/>
      <w:r w:rsidRPr="00CE7679">
        <w:rPr>
          <w:rFonts w:eastAsia="SimSun"/>
          <w:i/>
          <w:snapToGrid/>
          <w:szCs w:val="22"/>
          <w:lang w:eastAsia="zh-CN"/>
        </w:rPr>
        <w:t xml:space="preserve"> </w:t>
      </w:r>
      <w:proofErr w:type="spellStart"/>
      <w:r w:rsidRPr="00CE7679">
        <w:rPr>
          <w:rFonts w:eastAsia="SimSun"/>
          <w:i/>
          <w:snapToGrid/>
          <w:szCs w:val="22"/>
          <w:lang w:eastAsia="zh-CN"/>
        </w:rPr>
        <w:t>factor</w:t>
      </w:r>
      <w:proofErr w:type="spellEnd"/>
      <w:r w:rsidRPr="00CE7679">
        <w:rPr>
          <w:rFonts w:eastAsia="SimSun"/>
          <w:i/>
          <w:snapToGrid/>
          <w:szCs w:val="22"/>
          <w:lang w:eastAsia="zh-CN"/>
        </w:rPr>
        <w:t xml:space="preserve">, </w:t>
      </w:r>
      <w:r w:rsidRPr="00CE7679">
        <w:rPr>
          <w:rFonts w:eastAsia="SimSun"/>
          <w:snapToGrid/>
          <w:szCs w:val="22"/>
          <w:lang w:eastAsia="zh-CN"/>
        </w:rPr>
        <w:t xml:space="preserve">PDGF) </w:t>
      </w:r>
      <w:proofErr w:type="spellStart"/>
      <w:r w:rsidRPr="00CE7679">
        <w:rPr>
          <w:rFonts w:eastAsia="SimSun"/>
          <w:snapToGrid/>
          <w:szCs w:val="22"/>
          <w:lang w:eastAsia="zh-CN"/>
        </w:rPr>
        <w:t>tirozino</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kinazės</w:t>
      </w:r>
      <w:proofErr w:type="spellEnd"/>
      <w:r w:rsidRPr="00CE7679">
        <w:rPr>
          <w:rFonts w:eastAsia="SimSun"/>
          <w:snapToGrid/>
          <w:szCs w:val="22"/>
          <w:lang w:eastAsia="zh-CN"/>
        </w:rPr>
        <w:t xml:space="preserve"> receptorių, PDGF-R, kamieninių ląstelių faktoriaus (</w:t>
      </w:r>
      <w:proofErr w:type="spellStart"/>
      <w:r w:rsidRPr="00CE7679">
        <w:rPr>
          <w:rFonts w:eastAsia="SimSun"/>
          <w:snapToGrid/>
          <w:szCs w:val="22"/>
          <w:lang w:eastAsia="zh-CN"/>
        </w:rPr>
        <w:t>ang</w:t>
      </w:r>
      <w:proofErr w:type="spellEnd"/>
      <w:r w:rsidRPr="00CE7679">
        <w:rPr>
          <w:rFonts w:eastAsia="SimSun"/>
          <w:snapToGrid/>
          <w:szCs w:val="22"/>
          <w:lang w:eastAsia="zh-CN"/>
        </w:rPr>
        <w:t xml:space="preserve">. </w:t>
      </w:r>
      <w:proofErr w:type="spellStart"/>
      <w:r w:rsidRPr="00CE7679">
        <w:rPr>
          <w:rFonts w:eastAsia="SimSun"/>
          <w:i/>
          <w:snapToGrid/>
          <w:szCs w:val="22"/>
          <w:lang w:eastAsia="zh-CN"/>
        </w:rPr>
        <w:t>Stem</w:t>
      </w:r>
      <w:proofErr w:type="spellEnd"/>
      <w:r w:rsidRPr="00CE7679">
        <w:rPr>
          <w:rFonts w:eastAsia="SimSun"/>
          <w:i/>
          <w:snapToGrid/>
          <w:szCs w:val="22"/>
          <w:lang w:eastAsia="zh-CN"/>
        </w:rPr>
        <w:t xml:space="preserve"> </w:t>
      </w:r>
      <w:proofErr w:type="spellStart"/>
      <w:r w:rsidRPr="00CE7679">
        <w:rPr>
          <w:rFonts w:eastAsia="SimSun"/>
          <w:i/>
          <w:snapToGrid/>
          <w:szCs w:val="22"/>
          <w:lang w:eastAsia="zh-CN"/>
        </w:rPr>
        <w:t>cell</w:t>
      </w:r>
      <w:proofErr w:type="spellEnd"/>
      <w:r w:rsidRPr="00CE7679">
        <w:rPr>
          <w:rFonts w:eastAsia="SimSun"/>
          <w:i/>
          <w:snapToGrid/>
          <w:szCs w:val="22"/>
          <w:lang w:eastAsia="zh-CN"/>
        </w:rPr>
        <w:t xml:space="preserve"> </w:t>
      </w:r>
      <w:proofErr w:type="spellStart"/>
      <w:r w:rsidRPr="00CE7679">
        <w:rPr>
          <w:rFonts w:eastAsia="SimSun"/>
          <w:i/>
          <w:snapToGrid/>
          <w:szCs w:val="22"/>
          <w:lang w:eastAsia="zh-CN"/>
        </w:rPr>
        <w:t>factor</w:t>
      </w:r>
      <w:proofErr w:type="spellEnd"/>
      <w:r w:rsidRPr="00CE7679">
        <w:rPr>
          <w:rFonts w:eastAsia="SimSun"/>
          <w:i/>
          <w:snapToGrid/>
          <w:szCs w:val="22"/>
          <w:lang w:eastAsia="zh-CN"/>
        </w:rPr>
        <w:t xml:space="preserve">, </w:t>
      </w:r>
      <w:r w:rsidRPr="00CE7679">
        <w:rPr>
          <w:rFonts w:eastAsia="SimSun"/>
          <w:snapToGrid/>
          <w:szCs w:val="22"/>
          <w:lang w:eastAsia="zh-CN"/>
        </w:rPr>
        <w:t>SCF), c-</w:t>
      </w:r>
      <w:proofErr w:type="spellStart"/>
      <w:r w:rsidRPr="00CE7679">
        <w:rPr>
          <w:rFonts w:eastAsia="SimSun"/>
          <w:snapToGrid/>
          <w:szCs w:val="22"/>
          <w:lang w:eastAsia="zh-CN"/>
        </w:rPr>
        <w:t>Kit</w:t>
      </w:r>
      <w:proofErr w:type="spellEnd"/>
      <w:r w:rsidRPr="00CE7679">
        <w:rPr>
          <w:rFonts w:eastAsia="SimSun"/>
          <w:snapToGrid/>
          <w:szCs w:val="22"/>
          <w:lang w:eastAsia="zh-CN"/>
        </w:rPr>
        <w:t xml:space="preserve"> inhibitorius. Jis slopina PDGF ir SCF </w:t>
      </w:r>
      <w:proofErr w:type="spellStart"/>
      <w:r w:rsidRPr="00CE7679">
        <w:rPr>
          <w:rFonts w:eastAsia="SimSun"/>
          <w:snapToGrid/>
          <w:szCs w:val="22"/>
          <w:lang w:eastAsia="zh-CN"/>
        </w:rPr>
        <w:t>medijuojamus</w:t>
      </w:r>
      <w:proofErr w:type="spellEnd"/>
      <w:r w:rsidRPr="00CE7679">
        <w:rPr>
          <w:rFonts w:eastAsia="SimSun"/>
          <w:snapToGrid/>
          <w:szCs w:val="22"/>
          <w:lang w:eastAsia="zh-CN"/>
        </w:rPr>
        <w:t xml:space="preserve"> ląstelių procesus</w:t>
      </w:r>
      <w:r w:rsidRPr="007541DA">
        <w:rPr>
          <w:rFonts w:eastAsia="SimSun"/>
          <w:i/>
          <w:iCs/>
          <w:snapToGrid/>
          <w:szCs w:val="22"/>
          <w:lang w:eastAsia="zh-CN"/>
        </w:rPr>
        <w:t xml:space="preserve">. </w:t>
      </w:r>
      <w:proofErr w:type="spellStart"/>
      <w:r w:rsidR="009F65C9" w:rsidRPr="007541DA">
        <w:rPr>
          <w:rFonts w:eastAsia="SimSun"/>
          <w:i/>
          <w:iCs/>
          <w:snapToGrid/>
          <w:szCs w:val="22"/>
          <w:lang w:eastAsia="zh-CN"/>
        </w:rPr>
        <w:t>In</w:t>
      </w:r>
      <w:proofErr w:type="spellEnd"/>
      <w:r w:rsidR="009F65C9" w:rsidRPr="007541DA">
        <w:rPr>
          <w:rFonts w:eastAsia="SimSun"/>
          <w:i/>
          <w:iCs/>
          <w:snapToGrid/>
          <w:szCs w:val="22"/>
          <w:lang w:eastAsia="zh-CN"/>
        </w:rPr>
        <w:t xml:space="preserve"> </w:t>
      </w:r>
      <w:proofErr w:type="spellStart"/>
      <w:r w:rsidR="009F65C9" w:rsidRPr="007541DA">
        <w:rPr>
          <w:rFonts w:eastAsia="SimSun"/>
          <w:i/>
          <w:iCs/>
          <w:snapToGrid/>
          <w:szCs w:val="22"/>
          <w:lang w:eastAsia="zh-CN"/>
        </w:rPr>
        <w:t>vitro</w:t>
      </w:r>
      <w:proofErr w:type="spellEnd"/>
      <w:r w:rsidR="009F65C9" w:rsidRPr="009F65C9">
        <w:rPr>
          <w:rFonts w:eastAsia="SimSun"/>
          <w:snapToGrid/>
          <w:szCs w:val="22"/>
          <w:lang w:eastAsia="zh-CN"/>
        </w:rPr>
        <w:t xml:space="preserve"> </w:t>
      </w:r>
      <w:proofErr w:type="spellStart"/>
      <w:r w:rsidR="009F65C9" w:rsidRPr="009F65C9">
        <w:rPr>
          <w:rFonts w:eastAsia="SimSun"/>
          <w:snapToGrid/>
          <w:szCs w:val="22"/>
          <w:lang w:eastAsia="zh-CN"/>
        </w:rPr>
        <w:t>imatinibas</w:t>
      </w:r>
      <w:proofErr w:type="spellEnd"/>
      <w:r w:rsidR="009F65C9" w:rsidRPr="009F65C9">
        <w:rPr>
          <w:rFonts w:eastAsia="SimSun"/>
          <w:snapToGrid/>
          <w:szCs w:val="22"/>
          <w:lang w:eastAsia="zh-CN"/>
        </w:rPr>
        <w:t xml:space="preserve"> slopina</w:t>
      </w:r>
      <w:r w:rsidR="009F65C9">
        <w:rPr>
          <w:rFonts w:eastAsia="SimSun"/>
          <w:snapToGrid/>
          <w:szCs w:val="22"/>
          <w:lang w:eastAsia="zh-CN"/>
        </w:rPr>
        <w:t xml:space="preserve"> </w:t>
      </w:r>
      <w:proofErr w:type="spellStart"/>
      <w:r w:rsidR="009F65C9" w:rsidRPr="009F65C9">
        <w:rPr>
          <w:rFonts w:eastAsia="SimSun"/>
          <w:snapToGrid/>
          <w:szCs w:val="22"/>
          <w:lang w:eastAsia="zh-CN"/>
        </w:rPr>
        <w:t>proliferaciją</w:t>
      </w:r>
      <w:proofErr w:type="spellEnd"/>
      <w:r w:rsidR="009F65C9" w:rsidRPr="009F65C9">
        <w:rPr>
          <w:rFonts w:eastAsia="SimSun"/>
          <w:snapToGrid/>
          <w:szCs w:val="22"/>
          <w:lang w:eastAsia="zh-CN"/>
        </w:rPr>
        <w:t xml:space="preserve"> ir indukuoja virškinimo trakto </w:t>
      </w:r>
      <w:proofErr w:type="spellStart"/>
      <w:r w:rsidR="009F65C9" w:rsidRPr="009F65C9">
        <w:rPr>
          <w:rFonts w:eastAsia="SimSun"/>
          <w:snapToGrid/>
          <w:szCs w:val="22"/>
          <w:lang w:eastAsia="zh-CN"/>
        </w:rPr>
        <w:t>stromos</w:t>
      </w:r>
      <w:proofErr w:type="spellEnd"/>
      <w:r w:rsidR="009F65C9" w:rsidRPr="009F65C9">
        <w:rPr>
          <w:rFonts w:eastAsia="SimSun"/>
          <w:snapToGrid/>
          <w:szCs w:val="22"/>
          <w:lang w:eastAsia="zh-CN"/>
        </w:rPr>
        <w:t xml:space="preserve"> naviko (VTSN) ląstelių, kurios </w:t>
      </w:r>
      <w:proofErr w:type="spellStart"/>
      <w:r w:rsidR="009F65C9" w:rsidRPr="009F65C9">
        <w:rPr>
          <w:rFonts w:eastAsia="SimSun"/>
          <w:snapToGrid/>
          <w:szCs w:val="22"/>
          <w:lang w:eastAsia="zh-CN"/>
        </w:rPr>
        <w:t>ekspresuoja</w:t>
      </w:r>
      <w:proofErr w:type="spellEnd"/>
      <w:r w:rsidR="009F65C9">
        <w:rPr>
          <w:rFonts w:eastAsia="SimSun"/>
          <w:snapToGrid/>
          <w:szCs w:val="22"/>
          <w:lang w:eastAsia="zh-CN"/>
        </w:rPr>
        <w:t xml:space="preserve"> </w:t>
      </w:r>
      <w:r w:rsidR="009F65C9" w:rsidRPr="009F65C9">
        <w:rPr>
          <w:rFonts w:eastAsia="SimSun"/>
          <w:snapToGrid/>
          <w:szCs w:val="22"/>
          <w:lang w:eastAsia="zh-CN"/>
        </w:rPr>
        <w:t xml:space="preserve">aktyvintą </w:t>
      </w:r>
      <w:proofErr w:type="spellStart"/>
      <w:r w:rsidR="009F65C9" w:rsidRPr="007541DA">
        <w:rPr>
          <w:rFonts w:eastAsia="SimSun"/>
          <w:i/>
          <w:iCs/>
          <w:snapToGrid/>
          <w:szCs w:val="22"/>
          <w:lang w:eastAsia="zh-CN"/>
        </w:rPr>
        <w:t>kit</w:t>
      </w:r>
      <w:proofErr w:type="spellEnd"/>
      <w:r w:rsidR="009F65C9" w:rsidRPr="009F65C9">
        <w:rPr>
          <w:rFonts w:eastAsia="SimSun"/>
          <w:snapToGrid/>
          <w:szCs w:val="22"/>
          <w:lang w:eastAsia="zh-CN"/>
        </w:rPr>
        <w:t xml:space="preserve"> mutaciją, </w:t>
      </w:r>
      <w:proofErr w:type="spellStart"/>
      <w:r w:rsidR="009F65C9" w:rsidRPr="009F65C9">
        <w:rPr>
          <w:rFonts w:eastAsia="SimSun"/>
          <w:snapToGrid/>
          <w:szCs w:val="22"/>
          <w:lang w:eastAsia="zh-CN"/>
        </w:rPr>
        <w:t>apoptozę</w:t>
      </w:r>
      <w:proofErr w:type="spellEnd"/>
      <w:r w:rsidR="009F65C9" w:rsidRPr="009F65C9">
        <w:rPr>
          <w:rFonts w:eastAsia="SimSun"/>
          <w:snapToGrid/>
          <w:szCs w:val="22"/>
          <w:lang w:eastAsia="zh-CN"/>
        </w:rPr>
        <w:t xml:space="preserve">. </w:t>
      </w:r>
      <w:r w:rsidRPr="00CE7679">
        <w:rPr>
          <w:rFonts w:eastAsia="SimSun"/>
          <w:snapToGrid/>
          <w:szCs w:val="22"/>
          <w:lang w:eastAsia="zh-CN"/>
        </w:rPr>
        <w:t xml:space="preserve">MDS/MPL, HES/LEL ir DFSP patogenezėje svarbus PDGF receptorių ar </w:t>
      </w:r>
      <w:proofErr w:type="spellStart"/>
      <w:r w:rsidRPr="00CE7679">
        <w:rPr>
          <w:rFonts w:eastAsia="SimSun"/>
          <w:snapToGrid/>
          <w:szCs w:val="22"/>
          <w:lang w:eastAsia="zh-CN"/>
        </w:rPr>
        <w:t>Abl</w:t>
      </w:r>
      <w:proofErr w:type="spellEnd"/>
      <w:r w:rsidRPr="00CE7679">
        <w:rPr>
          <w:rFonts w:eastAsia="SimSun"/>
          <w:snapToGrid/>
          <w:szCs w:val="22"/>
          <w:lang w:eastAsia="zh-CN"/>
        </w:rPr>
        <w:t xml:space="preserve"> baltymo </w:t>
      </w:r>
      <w:proofErr w:type="spellStart"/>
      <w:r w:rsidRPr="00CE7679">
        <w:rPr>
          <w:rFonts w:eastAsia="SimSun"/>
          <w:snapToGrid/>
          <w:szCs w:val="22"/>
          <w:lang w:eastAsia="zh-CN"/>
        </w:rPr>
        <w:t>tirozino</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kinazės</w:t>
      </w:r>
      <w:proofErr w:type="spellEnd"/>
      <w:r w:rsidRPr="00CE7679">
        <w:rPr>
          <w:rFonts w:eastAsia="SimSun"/>
          <w:snapToGrid/>
          <w:szCs w:val="22"/>
          <w:lang w:eastAsia="zh-CN"/>
        </w:rPr>
        <w:t xml:space="preserve"> aktyvavimas, kurį gali skatinti jungimasis su įvairiais baltymais ar PDGF gamyba. </w:t>
      </w:r>
      <w:proofErr w:type="spellStart"/>
      <w:r w:rsidRPr="00CE7679">
        <w:rPr>
          <w:rFonts w:eastAsia="SimSun"/>
          <w:snapToGrid/>
          <w:szCs w:val="22"/>
          <w:lang w:eastAsia="zh-CN"/>
        </w:rPr>
        <w:t>Imatinibas</w:t>
      </w:r>
      <w:proofErr w:type="spellEnd"/>
      <w:r w:rsidRPr="00CE7679">
        <w:rPr>
          <w:rFonts w:eastAsia="SimSun"/>
          <w:snapToGrid/>
          <w:szCs w:val="22"/>
          <w:lang w:eastAsia="zh-CN"/>
        </w:rPr>
        <w:t xml:space="preserve"> slopina sutrikusio PDGFR ir </w:t>
      </w:r>
      <w:proofErr w:type="spellStart"/>
      <w:r w:rsidRPr="00CE7679">
        <w:rPr>
          <w:rFonts w:eastAsia="SimSun"/>
          <w:snapToGrid/>
          <w:szCs w:val="22"/>
          <w:lang w:eastAsia="zh-CN"/>
        </w:rPr>
        <w:t>Abl</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kinazės</w:t>
      </w:r>
      <w:proofErr w:type="spellEnd"/>
      <w:r w:rsidRPr="00CE7679">
        <w:rPr>
          <w:rFonts w:eastAsia="SimSun"/>
          <w:snapToGrid/>
          <w:szCs w:val="22"/>
          <w:lang w:eastAsia="zh-CN"/>
        </w:rPr>
        <w:t xml:space="preserve"> aktyvumo sukeltą signalo perdavimą ir ląstelių dauginimąsi.</w:t>
      </w:r>
    </w:p>
    <w:p w14:paraId="388B96C9" w14:textId="77777777" w:rsidR="00A27597" w:rsidRPr="00CE7679" w:rsidRDefault="00A27597" w:rsidP="00A27597">
      <w:pPr>
        <w:widowControl w:val="0"/>
        <w:autoSpaceDE w:val="0"/>
        <w:autoSpaceDN w:val="0"/>
        <w:adjustRightInd w:val="0"/>
        <w:spacing w:line="240" w:lineRule="auto"/>
        <w:rPr>
          <w:rFonts w:eastAsia="SimSun"/>
          <w:snapToGrid/>
          <w:szCs w:val="22"/>
          <w:u w:val="single"/>
          <w:lang w:eastAsia="zh-CN"/>
        </w:rPr>
      </w:pPr>
    </w:p>
    <w:p w14:paraId="5E24634D" w14:textId="77777777" w:rsidR="00A27597" w:rsidRPr="00CE7679" w:rsidRDefault="00A27597" w:rsidP="00A27597">
      <w:pPr>
        <w:widowControl w:val="0"/>
        <w:autoSpaceDE w:val="0"/>
        <w:autoSpaceDN w:val="0"/>
        <w:adjustRightInd w:val="0"/>
        <w:spacing w:line="240" w:lineRule="auto"/>
        <w:rPr>
          <w:rFonts w:eastAsia="SimSun"/>
          <w:snapToGrid/>
          <w:szCs w:val="22"/>
          <w:u w:val="single"/>
          <w:lang w:eastAsia="zh-CN"/>
        </w:rPr>
      </w:pPr>
      <w:r w:rsidRPr="00CE7679">
        <w:rPr>
          <w:rFonts w:eastAsia="SimSun"/>
          <w:snapToGrid/>
          <w:szCs w:val="22"/>
          <w:u w:val="single"/>
          <w:lang w:eastAsia="zh-CN"/>
        </w:rPr>
        <w:t xml:space="preserve">Klinikiniai lėtinės </w:t>
      </w:r>
      <w:proofErr w:type="spellStart"/>
      <w:r w:rsidRPr="00CE7679">
        <w:rPr>
          <w:rFonts w:eastAsia="SimSun"/>
          <w:snapToGrid/>
          <w:szCs w:val="22"/>
          <w:u w:val="single"/>
          <w:lang w:eastAsia="zh-CN"/>
        </w:rPr>
        <w:t>mieloleukemijos</w:t>
      </w:r>
      <w:proofErr w:type="spellEnd"/>
      <w:r w:rsidRPr="00CE7679">
        <w:rPr>
          <w:rFonts w:eastAsia="SimSun"/>
          <w:snapToGrid/>
          <w:szCs w:val="22"/>
          <w:u w:val="single"/>
          <w:lang w:eastAsia="zh-CN"/>
        </w:rPr>
        <w:t xml:space="preserve"> tyrimai</w:t>
      </w:r>
    </w:p>
    <w:p w14:paraId="35026959"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veiksmingumas nustatomas bendro hematologinio ir citogenetinio atsako dažniais ir gyvenimo trukme be ligos progresavimo. Išskyrus su naujai diagnozuota lėtine LML faze susijusį tyrimą, kontroliuotų klinikinių tyrimų, įrodančių klinikinę naudą, </w:t>
      </w:r>
      <w:proofErr w:type="spellStart"/>
      <w:r w:rsidRPr="00CE7679">
        <w:rPr>
          <w:rFonts w:eastAsia="SimSun"/>
          <w:snapToGrid/>
          <w:szCs w:val="22"/>
          <w:lang w:eastAsia="zh-CN"/>
        </w:rPr>
        <w:t>t.y</w:t>
      </w:r>
      <w:proofErr w:type="spellEnd"/>
      <w:r w:rsidRPr="00CE7679">
        <w:rPr>
          <w:rFonts w:eastAsia="SimSun"/>
          <w:snapToGrid/>
          <w:szCs w:val="22"/>
          <w:lang w:eastAsia="zh-CN"/>
        </w:rPr>
        <w:t>., nuo ligos priklausomų požymių išnykimą ar pailgėjusią gyvenimo trukmę, neatlikta.</w:t>
      </w:r>
    </w:p>
    <w:p w14:paraId="38905625"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1445A8FA" w14:textId="77777777" w:rsidR="00A27597" w:rsidRPr="00CE7679" w:rsidRDefault="00A27597" w:rsidP="00A27597">
      <w:pPr>
        <w:tabs>
          <w:tab w:val="clear" w:pos="567"/>
        </w:tabs>
        <w:autoSpaceDE w:val="0"/>
        <w:autoSpaceDN w:val="0"/>
        <w:adjustRightInd w:val="0"/>
        <w:spacing w:line="240" w:lineRule="auto"/>
        <w:rPr>
          <w:rFonts w:eastAsiaTheme="minorHAnsi"/>
          <w:snapToGrid/>
          <w:szCs w:val="22"/>
        </w:rPr>
      </w:pPr>
      <w:r w:rsidRPr="00CE7679">
        <w:rPr>
          <w:rFonts w:eastAsiaTheme="minorHAnsi"/>
          <w:snapToGrid/>
          <w:szCs w:val="22"/>
        </w:rPr>
        <w:t xml:space="preserve">Atlikti trys dideli tarptautiniai, atviri, nekontroliuojami II fazės tyrimai pacientams, kuriems buvo </w:t>
      </w:r>
      <w:proofErr w:type="spellStart"/>
      <w:r w:rsidRPr="00CE7679">
        <w:rPr>
          <w:rFonts w:eastAsiaTheme="minorHAnsi"/>
          <w:i/>
          <w:iCs/>
          <w:snapToGrid/>
          <w:szCs w:val="22"/>
        </w:rPr>
        <w:t>Philadelphia</w:t>
      </w:r>
      <w:proofErr w:type="spellEnd"/>
      <w:r w:rsidRPr="00CE7679">
        <w:rPr>
          <w:rFonts w:eastAsiaTheme="minorHAnsi"/>
          <w:i/>
          <w:iCs/>
          <w:snapToGrid/>
          <w:szCs w:val="22"/>
        </w:rPr>
        <w:t xml:space="preserve"> </w:t>
      </w:r>
      <w:r w:rsidRPr="00CE7679">
        <w:rPr>
          <w:rFonts w:eastAsiaTheme="minorHAnsi"/>
          <w:snapToGrid/>
          <w:szCs w:val="22"/>
        </w:rPr>
        <w:t>chromosomai teigiamos (</w:t>
      </w:r>
      <w:proofErr w:type="spellStart"/>
      <w:r w:rsidRPr="00CE7679">
        <w:rPr>
          <w:rFonts w:eastAsiaTheme="minorHAnsi"/>
          <w:snapToGrid/>
          <w:szCs w:val="22"/>
        </w:rPr>
        <w:t>Ph</w:t>
      </w:r>
      <w:proofErr w:type="spellEnd"/>
      <w:r w:rsidRPr="00CE7679">
        <w:rPr>
          <w:rFonts w:eastAsiaTheme="minorHAnsi"/>
          <w:snapToGrid/>
          <w:szCs w:val="22"/>
        </w:rPr>
        <w:t xml:space="preserve">+) LML progresavusi, </w:t>
      </w:r>
      <w:proofErr w:type="spellStart"/>
      <w:r w:rsidRPr="00CE7679">
        <w:rPr>
          <w:rFonts w:eastAsiaTheme="minorHAnsi"/>
          <w:snapToGrid/>
          <w:szCs w:val="22"/>
        </w:rPr>
        <w:t>blastinė</w:t>
      </w:r>
      <w:proofErr w:type="spellEnd"/>
      <w:r w:rsidRPr="00CE7679">
        <w:rPr>
          <w:rFonts w:eastAsiaTheme="minorHAnsi"/>
          <w:snapToGrid/>
          <w:szCs w:val="22"/>
        </w:rPr>
        <w:t xml:space="preserve"> ar akceleracijos fazė, kitos </w:t>
      </w:r>
      <w:proofErr w:type="spellStart"/>
      <w:r w:rsidRPr="00CE7679">
        <w:rPr>
          <w:rFonts w:eastAsiaTheme="minorHAnsi"/>
          <w:snapToGrid/>
          <w:szCs w:val="22"/>
        </w:rPr>
        <w:t>Ph</w:t>
      </w:r>
      <w:proofErr w:type="spellEnd"/>
      <w:r w:rsidRPr="00CE7679">
        <w:rPr>
          <w:rFonts w:eastAsiaTheme="minorHAnsi"/>
          <w:snapToGrid/>
          <w:szCs w:val="22"/>
        </w:rPr>
        <w:t xml:space="preserve">+ leukemijos ar lėtinė LML fazė, bet neefektyvus ankstesnis gydymas interferonu alfa (IFN). Vienas didelis, atviras, </w:t>
      </w:r>
      <w:proofErr w:type="spellStart"/>
      <w:r w:rsidRPr="00CE7679">
        <w:rPr>
          <w:rFonts w:eastAsiaTheme="minorHAnsi"/>
          <w:snapToGrid/>
          <w:szCs w:val="22"/>
        </w:rPr>
        <w:t>daugiacentris</w:t>
      </w:r>
      <w:proofErr w:type="spellEnd"/>
      <w:r w:rsidRPr="00CE7679">
        <w:rPr>
          <w:rFonts w:eastAsiaTheme="minorHAnsi"/>
          <w:snapToGrid/>
          <w:szCs w:val="22"/>
        </w:rPr>
        <w:t xml:space="preserve">, tarptautinis </w:t>
      </w:r>
      <w:proofErr w:type="spellStart"/>
      <w:r w:rsidRPr="00CE7679">
        <w:rPr>
          <w:rFonts w:eastAsiaTheme="minorHAnsi"/>
          <w:snapToGrid/>
          <w:szCs w:val="22"/>
        </w:rPr>
        <w:t>randomizuotas</w:t>
      </w:r>
      <w:proofErr w:type="spellEnd"/>
      <w:r w:rsidRPr="00CE7679">
        <w:rPr>
          <w:rFonts w:eastAsiaTheme="minorHAnsi"/>
          <w:snapToGrid/>
          <w:szCs w:val="22"/>
        </w:rPr>
        <w:t xml:space="preserve"> III fazės tyrimas atliktas pacientams, kuriems buvo naujai diagnozuota </w:t>
      </w:r>
      <w:proofErr w:type="spellStart"/>
      <w:r w:rsidRPr="00CE7679">
        <w:rPr>
          <w:rFonts w:eastAsiaTheme="minorHAnsi"/>
          <w:snapToGrid/>
          <w:szCs w:val="22"/>
        </w:rPr>
        <w:t>Ph</w:t>
      </w:r>
      <w:proofErr w:type="spellEnd"/>
      <w:r w:rsidRPr="00CE7679">
        <w:rPr>
          <w:rFonts w:eastAsiaTheme="minorHAnsi"/>
          <w:snapToGrid/>
          <w:szCs w:val="22"/>
        </w:rPr>
        <w:t xml:space="preserve">+ LML. </w:t>
      </w:r>
      <w:r w:rsidRPr="00CE7679">
        <w:rPr>
          <w:rFonts w:eastAsia="SimSun"/>
          <w:snapToGrid/>
          <w:szCs w:val="22"/>
          <w:lang w:eastAsia="zh-CN"/>
        </w:rPr>
        <w:t>Be to, vaikai buvo gydomi dviejų I fazės tyrimų  ir vieno II fazės tyrimo metu</w:t>
      </w:r>
      <w:r w:rsidRPr="00CE7679">
        <w:rPr>
          <w:rFonts w:eastAsiaTheme="minorHAnsi"/>
          <w:snapToGrid/>
          <w:szCs w:val="22"/>
        </w:rPr>
        <w:t>.</w:t>
      </w:r>
    </w:p>
    <w:p w14:paraId="4F704900" w14:textId="77777777" w:rsidR="00A27597" w:rsidRPr="00CE7679" w:rsidRDefault="00A27597" w:rsidP="00A27597">
      <w:pPr>
        <w:tabs>
          <w:tab w:val="clear" w:pos="567"/>
        </w:tabs>
        <w:autoSpaceDE w:val="0"/>
        <w:autoSpaceDN w:val="0"/>
        <w:adjustRightInd w:val="0"/>
        <w:spacing w:line="240" w:lineRule="auto"/>
        <w:rPr>
          <w:rFonts w:eastAsiaTheme="minorHAnsi"/>
          <w:snapToGrid/>
          <w:szCs w:val="22"/>
        </w:rPr>
      </w:pPr>
    </w:p>
    <w:p w14:paraId="21AD5819"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38</w:t>
      </w:r>
      <w:r w:rsidR="004C1A71" w:rsidRPr="00CE7679">
        <w:rPr>
          <w:rFonts w:eastAsia="SimSun"/>
          <w:snapToGrid/>
          <w:szCs w:val="22"/>
          <w:lang w:eastAsia="zh-CN"/>
        </w:rPr>
        <w:t> </w:t>
      </w:r>
      <w:r w:rsidRPr="00CE7679">
        <w:rPr>
          <w:rFonts w:eastAsia="SimSun"/>
          <w:snapToGrid/>
          <w:szCs w:val="22"/>
          <w:lang w:eastAsia="zh-CN"/>
        </w:rPr>
        <w:t>-</w:t>
      </w:r>
      <w:r w:rsidR="004C1A71" w:rsidRPr="00CE7679">
        <w:rPr>
          <w:rFonts w:eastAsia="SimSun"/>
          <w:snapToGrid/>
          <w:szCs w:val="22"/>
          <w:lang w:eastAsia="zh-CN"/>
        </w:rPr>
        <w:t> </w:t>
      </w:r>
      <w:r w:rsidRPr="00CE7679">
        <w:rPr>
          <w:rFonts w:eastAsia="SimSun"/>
          <w:snapToGrid/>
          <w:szCs w:val="22"/>
          <w:lang w:eastAsia="zh-CN"/>
        </w:rPr>
        <w:t xml:space="preserve">40 % visuose tyrimuose dalyvavusių pacientų buvo </w:t>
      </w:r>
      <w:r w:rsidRPr="00CE7679">
        <w:rPr>
          <w:rFonts w:eastAsia="Calibri"/>
          <w:snapToGrid/>
          <w:szCs w:val="22"/>
          <w:u w:val="single"/>
          <w:lang w:eastAsia="zh-CN"/>
        </w:rPr>
        <w:t>&gt; </w:t>
      </w:r>
      <w:r w:rsidRPr="00CE7679">
        <w:rPr>
          <w:rFonts w:eastAsia="SimSun"/>
          <w:snapToGrid/>
          <w:szCs w:val="22"/>
          <w:lang w:eastAsia="zh-CN"/>
        </w:rPr>
        <w:t>60</w:t>
      </w:r>
      <w:r w:rsidR="004C1A71" w:rsidRPr="00CE7679">
        <w:rPr>
          <w:rFonts w:eastAsia="SimSun"/>
          <w:snapToGrid/>
          <w:szCs w:val="22"/>
          <w:lang w:eastAsia="zh-CN"/>
        </w:rPr>
        <w:t> </w:t>
      </w:r>
      <w:r w:rsidRPr="00CE7679">
        <w:rPr>
          <w:rFonts w:eastAsia="SimSun"/>
          <w:snapToGrid/>
          <w:szCs w:val="22"/>
          <w:lang w:eastAsia="zh-CN"/>
        </w:rPr>
        <w:t>metų ir 10</w:t>
      </w:r>
      <w:r w:rsidR="004C1A71" w:rsidRPr="00CE7679">
        <w:rPr>
          <w:rFonts w:eastAsia="SimSun"/>
          <w:snapToGrid/>
          <w:szCs w:val="22"/>
          <w:lang w:eastAsia="zh-CN"/>
        </w:rPr>
        <w:t> </w:t>
      </w:r>
      <w:r w:rsidRPr="00CE7679">
        <w:rPr>
          <w:rFonts w:eastAsia="SimSun"/>
          <w:snapToGrid/>
          <w:szCs w:val="22"/>
          <w:lang w:eastAsia="zh-CN"/>
        </w:rPr>
        <w:t>-</w:t>
      </w:r>
      <w:r w:rsidR="004C1A71" w:rsidRPr="00CE7679">
        <w:rPr>
          <w:rFonts w:eastAsia="SimSun"/>
          <w:snapToGrid/>
          <w:szCs w:val="22"/>
          <w:lang w:eastAsia="zh-CN"/>
        </w:rPr>
        <w:t> </w:t>
      </w:r>
      <w:r w:rsidRPr="00CE7679">
        <w:rPr>
          <w:rFonts w:eastAsia="SimSun"/>
          <w:snapToGrid/>
          <w:szCs w:val="22"/>
          <w:lang w:eastAsia="zh-CN"/>
        </w:rPr>
        <w:t xml:space="preserve">12 % pacientų buvo </w:t>
      </w:r>
      <w:r w:rsidRPr="00CE7679">
        <w:rPr>
          <w:rFonts w:eastAsia="Calibri"/>
          <w:snapToGrid/>
          <w:szCs w:val="22"/>
          <w:u w:val="single"/>
          <w:lang w:eastAsia="zh-CN"/>
        </w:rPr>
        <w:t>&gt; </w:t>
      </w:r>
      <w:r w:rsidRPr="00CE7679">
        <w:rPr>
          <w:rFonts w:eastAsia="SimSun"/>
          <w:snapToGrid/>
          <w:szCs w:val="22"/>
          <w:lang w:eastAsia="zh-CN"/>
        </w:rPr>
        <w:t>70</w:t>
      </w:r>
      <w:r w:rsidR="004C1A71" w:rsidRPr="00CE7679">
        <w:rPr>
          <w:rFonts w:eastAsia="SimSun"/>
          <w:snapToGrid/>
          <w:szCs w:val="22"/>
          <w:lang w:eastAsia="zh-CN"/>
        </w:rPr>
        <w:t> </w:t>
      </w:r>
      <w:r w:rsidRPr="00CE7679">
        <w:rPr>
          <w:rFonts w:eastAsia="SimSun"/>
          <w:snapToGrid/>
          <w:szCs w:val="22"/>
          <w:lang w:eastAsia="zh-CN"/>
        </w:rPr>
        <w:t>metų.</w:t>
      </w:r>
    </w:p>
    <w:p w14:paraId="12197B6B" w14:textId="77777777" w:rsidR="00A27597" w:rsidRPr="00CE7679" w:rsidRDefault="00A27597" w:rsidP="00A27597">
      <w:pPr>
        <w:tabs>
          <w:tab w:val="clear" w:pos="567"/>
        </w:tabs>
        <w:autoSpaceDE w:val="0"/>
        <w:autoSpaceDN w:val="0"/>
        <w:adjustRightInd w:val="0"/>
        <w:spacing w:line="240" w:lineRule="auto"/>
        <w:rPr>
          <w:rFonts w:eastAsiaTheme="minorHAnsi"/>
          <w:snapToGrid/>
          <w:szCs w:val="22"/>
        </w:rPr>
      </w:pPr>
    </w:p>
    <w:p w14:paraId="76A08485" w14:textId="77777777" w:rsidR="00A27597" w:rsidRPr="00CE7679" w:rsidRDefault="00A27597" w:rsidP="00A27597">
      <w:pPr>
        <w:tabs>
          <w:tab w:val="clear" w:pos="567"/>
        </w:tabs>
        <w:autoSpaceDE w:val="0"/>
        <w:autoSpaceDN w:val="0"/>
        <w:adjustRightInd w:val="0"/>
        <w:spacing w:line="240" w:lineRule="auto"/>
        <w:rPr>
          <w:rFonts w:eastAsiaTheme="minorHAnsi"/>
          <w:snapToGrid/>
          <w:szCs w:val="22"/>
        </w:rPr>
      </w:pPr>
      <w:r w:rsidRPr="00CE7679">
        <w:rPr>
          <w:rFonts w:eastAsiaTheme="minorHAnsi"/>
          <w:i/>
          <w:iCs/>
          <w:snapToGrid/>
          <w:szCs w:val="22"/>
        </w:rPr>
        <w:t>Naujai diagnozuota lėtinė fazė</w:t>
      </w:r>
      <w:r w:rsidRPr="00CE7679">
        <w:rPr>
          <w:rFonts w:eastAsiaTheme="minorHAnsi"/>
          <w:snapToGrid/>
          <w:szCs w:val="22"/>
        </w:rPr>
        <w:t xml:space="preserve">. Šio III fazės tyrimo suaugusiųjų tarpe metu buvo lygintas gydymas tik </w:t>
      </w:r>
      <w:proofErr w:type="spellStart"/>
      <w:r w:rsidRPr="00CE7679">
        <w:rPr>
          <w:rFonts w:eastAsiaTheme="minorHAnsi"/>
          <w:snapToGrid/>
          <w:szCs w:val="22"/>
        </w:rPr>
        <w:t>imatinibu</w:t>
      </w:r>
      <w:proofErr w:type="spellEnd"/>
      <w:r w:rsidRPr="00CE7679">
        <w:rPr>
          <w:rFonts w:eastAsiaTheme="minorHAnsi"/>
          <w:snapToGrid/>
          <w:szCs w:val="22"/>
        </w:rPr>
        <w:t xml:space="preserve">, arba gydymas interferono alfa (IFN) deriniu su </w:t>
      </w:r>
      <w:proofErr w:type="spellStart"/>
      <w:r w:rsidRPr="00CE7679">
        <w:rPr>
          <w:rFonts w:eastAsiaTheme="minorHAnsi"/>
          <w:snapToGrid/>
          <w:szCs w:val="22"/>
        </w:rPr>
        <w:t>citarabinu</w:t>
      </w:r>
      <w:proofErr w:type="spellEnd"/>
      <w:r w:rsidRPr="00CE7679">
        <w:rPr>
          <w:rFonts w:eastAsiaTheme="minorHAnsi"/>
          <w:snapToGrid/>
          <w:szCs w:val="22"/>
        </w:rPr>
        <w:t xml:space="preserve"> (</w:t>
      </w:r>
      <w:proofErr w:type="spellStart"/>
      <w:r w:rsidRPr="00CE7679">
        <w:rPr>
          <w:rFonts w:eastAsiaTheme="minorHAnsi"/>
          <w:snapToGrid/>
          <w:szCs w:val="22"/>
        </w:rPr>
        <w:t>Ara</w:t>
      </w:r>
      <w:proofErr w:type="spellEnd"/>
      <w:r w:rsidRPr="00CE7679">
        <w:rPr>
          <w:rFonts w:eastAsiaTheme="minorHAnsi"/>
          <w:snapToGrid/>
          <w:szCs w:val="22"/>
        </w:rPr>
        <w:t>-C). Pacientams, kuriems negauta atsako (po 6</w:t>
      </w:r>
      <w:r w:rsidR="004C1A71" w:rsidRPr="00CE7679">
        <w:rPr>
          <w:rFonts w:eastAsiaTheme="minorHAnsi"/>
          <w:snapToGrid/>
          <w:szCs w:val="22"/>
        </w:rPr>
        <w:t> </w:t>
      </w:r>
      <w:r w:rsidRPr="00CE7679">
        <w:rPr>
          <w:rFonts w:eastAsiaTheme="minorHAnsi"/>
          <w:snapToGrid/>
          <w:szCs w:val="22"/>
        </w:rPr>
        <w:t>mėnesių gydymo nebuvo visiško hematologinio atsako (VHA), po 24</w:t>
      </w:r>
      <w:r w:rsidR="004C1A71" w:rsidRPr="00CE7679">
        <w:rPr>
          <w:rFonts w:eastAsiaTheme="minorHAnsi"/>
          <w:snapToGrid/>
          <w:szCs w:val="22"/>
        </w:rPr>
        <w:t> </w:t>
      </w:r>
      <w:r w:rsidRPr="00CE7679">
        <w:rPr>
          <w:rFonts w:eastAsiaTheme="minorHAnsi"/>
          <w:snapToGrid/>
          <w:szCs w:val="22"/>
        </w:rPr>
        <w:t>mėnesių padidėjo BKK, nebuvo ryškaus citogenetinio atsako (</w:t>
      </w:r>
      <w:proofErr w:type="spellStart"/>
      <w:r w:rsidRPr="00CE7679">
        <w:rPr>
          <w:rFonts w:eastAsiaTheme="minorHAnsi"/>
          <w:snapToGrid/>
          <w:szCs w:val="22"/>
        </w:rPr>
        <w:t>MCyR</w:t>
      </w:r>
      <w:proofErr w:type="spellEnd"/>
      <w:r w:rsidRPr="00CE7679">
        <w:rPr>
          <w:rFonts w:eastAsiaTheme="minorHAnsi"/>
          <w:snapToGrid/>
          <w:szCs w:val="22"/>
        </w:rPr>
        <w:t xml:space="preserve">)), atsakas išnyko (išnyko VHA ar </w:t>
      </w:r>
      <w:proofErr w:type="spellStart"/>
      <w:r w:rsidRPr="00CE7679">
        <w:rPr>
          <w:rFonts w:eastAsiaTheme="minorHAnsi"/>
          <w:snapToGrid/>
          <w:szCs w:val="22"/>
        </w:rPr>
        <w:t>MCyR</w:t>
      </w:r>
      <w:proofErr w:type="spellEnd"/>
      <w:r w:rsidRPr="00CE7679">
        <w:rPr>
          <w:rFonts w:eastAsiaTheme="minorHAnsi"/>
          <w:snapToGrid/>
          <w:szCs w:val="22"/>
        </w:rPr>
        <w:t xml:space="preserve">) ar visiškai netoleravo gydymo, buvo leista keisti gydymą į alternatyvų (kitos grupės). </w:t>
      </w:r>
      <w:proofErr w:type="spellStart"/>
      <w:r w:rsidRPr="00CE7679">
        <w:rPr>
          <w:rFonts w:eastAsiaTheme="minorHAnsi"/>
          <w:snapToGrid/>
          <w:szCs w:val="22"/>
        </w:rPr>
        <w:t>Imatinibo</w:t>
      </w:r>
      <w:proofErr w:type="spellEnd"/>
      <w:r w:rsidRPr="00CE7679">
        <w:rPr>
          <w:rFonts w:eastAsiaTheme="minorHAnsi"/>
          <w:snapToGrid/>
          <w:szCs w:val="22"/>
        </w:rPr>
        <w:t xml:space="preserve"> grupės pacientai vartojo po 400</w:t>
      </w:r>
      <w:r w:rsidR="004C1A71" w:rsidRPr="00CE7679">
        <w:rPr>
          <w:rFonts w:eastAsiaTheme="minorHAnsi"/>
          <w:snapToGrid/>
          <w:szCs w:val="22"/>
        </w:rPr>
        <w:t> </w:t>
      </w:r>
      <w:r w:rsidRPr="00CE7679">
        <w:rPr>
          <w:rFonts w:eastAsiaTheme="minorHAnsi"/>
          <w:snapToGrid/>
          <w:szCs w:val="22"/>
        </w:rPr>
        <w:t>mg vaistinio preparato per parą. IFN grupės tiriamieji buvo gydomi po 5</w:t>
      </w:r>
      <w:r w:rsidR="004C1A71" w:rsidRPr="00CE7679">
        <w:rPr>
          <w:rFonts w:eastAsiaTheme="minorHAnsi"/>
          <w:snapToGrid/>
          <w:szCs w:val="22"/>
        </w:rPr>
        <w:t> </w:t>
      </w:r>
      <w:r w:rsidRPr="00CE7679">
        <w:rPr>
          <w:rFonts w:eastAsiaTheme="minorHAnsi"/>
          <w:snapToGrid/>
          <w:szCs w:val="22"/>
        </w:rPr>
        <w:t>milijonus</w:t>
      </w:r>
      <w:r w:rsidR="004C1A71" w:rsidRPr="00CE7679">
        <w:rPr>
          <w:rFonts w:eastAsiaTheme="minorHAnsi"/>
          <w:snapToGrid/>
          <w:szCs w:val="22"/>
        </w:rPr>
        <w:t> </w:t>
      </w:r>
      <w:r w:rsidRPr="00CE7679">
        <w:rPr>
          <w:rFonts w:eastAsiaTheme="minorHAnsi"/>
          <w:snapToGrid/>
          <w:szCs w:val="22"/>
        </w:rPr>
        <w:t>TV/m</w:t>
      </w:r>
      <w:r w:rsidRPr="00CE7679">
        <w:rPr>
          <w:rFonts w:eastAsiaTheme="minorHAnsi"/>
          <w:vertAlign w:val="superscript"/>
        </w:rPr>
        <w:t>2</w:t>
      </w:r>
      <w:r w:rsidRPr="00CE7679">
        <w:rPr>
          <w:rFonts w:eastAsiaTheme="minorHAnsi"/>
          <w:snapToGrid/>
          <w:sz w:val="14"/>
          <w:szCs w:val="14"/>
        </w:rPr>
        <w:t xml:space="preserve"> </w:t>
      </w:r>
      <w:r w:rsidRPr="00CE7679">
        <w:rPr>
          <w:rFonts w:eastAsiaTheme="minorHAnsi"/>
          <w:snapToGrid/>
          <w:szCs w:val="22"/>
        </w:rPr>
        <w:t xml:space="preserve">IFN per parą į poodį kartu su po oda leidžiamu </w:t>
      </w:r>
      <w:proofErr w:type="spellStart"/>
      <w:r w:rsidRPr="00CE7679">
        <w:rPr>
          <w:rFonts w:eastAsiaTheme="minorHAnsi"/>
          <w:snapToGrid/>
          <w:szCs w:val="22"/>
        </w:rPr>
        <w:t>Ara</w:t>
      </w:r>
      <w:proofErr w:type="spellEnd"/>
      <w:r w:rsidRPr="00CE7679">
        <w:rPr>
          <w:rFonts w:eastAsiaTheme="minorHAnsi"/>
          <w:snapToGrid/>
          <w:szCs w:val="22"/>
        </w:rPr>
        <w:t>-C po 20</w:t>
      </w:r>
      <w:r w:rsidR="004C1A71" w:rsidRPr="00CE7679">
        <w:rPr>
          <w:rFonts w:eastAsiaTheme="minorHAnsi"/>
          <w:snapToGrid/>
          <w:szCs w:val="22"/>
        </w:rPr>
        <w:t> </w:t>
      </w:r>
      <w:r w:rsidRPr="00CE7679">
        <w:rPr>
          <w:rFonts w:eastAsiaTheme="minorHAnsi"/>
          <w:snapToGrid/>
          <w:szCs w:val="22"/>
        </w:rPr>
        <w:t>mg/m</w:t>
      </w:r>
      <w:r w:rsidRPr="00CE7679">
        <w:rPr>
          <w:rFonts w:eastAsiaTheme="minorHAnsi"/>
          <w:snapToGrid/>
          <w:szCs w:val="22"/>
          <w:vertAlign w:val="superscript"/>
        </w:rPr>
        <w:t>2</w:t>
      </w:r>
      <w:r w:rsidRPr="00CE7679">
        <w:rPr>
          <w:rFonts w:eastAsiaTheme="minorHAnsi"/>
          <w:snapToGrid/>
          <w:sz w:val="14"/>
          <w:szCs w:val="14"/>
        </w:rPr>
        <w:t xml:space="preserve"> </w:t>
      </w:r>
      <w:r w:rsidRPr="00CE7679">
        <w:rPr>
          <w:rFonts w:eastAsiaTheme="minorHAnsi"/>
          <w:snapToGrid/>
          <w:szCs w:val="22"/>
        </w:rPr>
        <w:t>per parą 10</w:t>
      </w:r>
      <w:r w:rsidR="004C1A71" w:rsidRPr="00CE7679">
        <w:rPr>
          <w:rFonts w:eastAsiaTheme="minorHAnsi"/>
          <w:snapToGrid/>
          <w:szCs w:val="22"/>
        </w:rPr>
        <w:t> </w:t>
      </w:r>
      <w:r w:rsidRPr="00CE7679">
        <w:rPr>
          <w:rFonts w:eastAsiaTheme="minorHAnsi"/>
          <w:snapToGrid/>
          <w:szCs w:val="22"/>
        </w:rPr>
        <w:t xml:space="preserve">dienų per mėnesį. </w:t>
      </w:r>
    </w:p>
    <w:p w14:paraId="0708DB8E" w14:textId="5E9A29CE" w:rsidR="00A27597" w:rsidRPr="00CE7679" w:rsidRDefault="00A27597" w:rsidP="00A27597">
      <w:pPr>
        <w:widowControl w:val="0"/>
        <w:autoSpaceDE w:val="0"/>
        <w:autoSpaceDN w:val="0"/>
        <w:adjustRightInd w:val="0"/>
        <w:spacing w:line="240" w:lineRule="auto"/>
        <w:rPr>
          <w:rFonts w:eastAsiaTheme="minorHAnsi"/>
          <w:snapToGrid/>
          <w:szCs w:val="22"/>
        </w:rPr>
      </w:pPr>
      <w:r w:rsidRPr="00CE7679">
        <w:rPr>
          <w:rFonts w:eastAsiaTheme="minorHAnsi"/>
          <w:snapToGrid/>
          <w:szCs w:val="22"/>
        </w:rPr>
        <w:t>Iš viso atsitiktinės atrankos būdu atrinkti 1106</w:t>
      </w:r>
      <w:r w:rsidR="004C1A71" w:rsidRPr="00CE7679">
        <w:rPr>
          <w:rFonts w:eastAsiaTheme="minorHAnsi"/>
          <w:snapToGrid/>
          <w:szCs w:val="22"/>
        </w:rPr>
        <w:t> </w:t>
      </w:r>
      <w:r w:rsidRPr="00CE7679">
        <w:rPr>
          <w:rFonts w:eastAsiaTheme="minorHAnsi"/>
          <w:snapToGrid/>
          <w:szCs w:val="22"/>
        </w:rPr>
        <w:t>pacientai, po 553</w:t>
      </w:r>
      <w:r w:rsidR="004C1A71" w:rsidRPr="00CE7679">
        <w:rPr>
          <w:rFonts w:eastAsiaTheme="minorHAnsi"/>
          <w:snapToGrid/>
          <w:szCs w:val="22"/>
        </w:rPr>
        <w:t> </w:t>
      </w:r>
      <w:r w:rsidRPr="00CE7679">
        <w:rPr>
          <w:rFonts w:eastAsiaTheme="minorHAnsi"/>
          <w:snapToGrid/>
          <w:szCs w:val="22"/>
        </w:rPr>
        <w:t>kiekvienoje grupėje. Pradinės abiejų grupių pacientų savybės buvo labai panašios. Vidutinis amžius buvo 51</w:t>
      </w:r>
      <w:r w:rsidR="004C1A71" w:rsidRPr="00CE7679">
        <w:rPr>
          <w:rFonts w:eastAsiaTheme="minorHAnsi"/>
          <w:snapToGrid/>
          <w:szCs w:val="22"/>
        </w:rPr>
        <w:t> </w:t>
      </w:r>
      <w:r w:rsidRPr="00CE7679">
        <w:rPr>
          <w:rFonts w:eastAsiaTheme="minorHAnsi"/>
          <w:snapToGrid/>
          <w:szCs w:val="22"/>
        </w:rPr>
        <w:t>metai (ribos – 18–70</w:t>
      </w:r>
      <w:r w:rsidR="004C1A71" w:rsidRPr="00CE7679">
        <w:rPr>
          <w:rFonts w:eastAsiaTheme="minorHAnsi"/>
          <w:snapToGrid/>
          <w:szCs w:val="22"/>
        </w:rPr>
        <w:t> </w:t>
      </w:r>
      <w:r w:rsidRPr="00CE7679">
        <w:rPr>
          <w:rFonts w:eastAsiaTheme="minorHAnsi"/>
          <w:snapToGrid/>
          <w:szCs w:val="22"/>
        </w:rPr>
        <w:t>metų), 21,9</w:t>
      </w:r>
      <w:r w:rsidR="004C1A71" w:rsidRPr="00CE7679">
        <w:rPr>
          <w:rFonts w:eastAsiaTheme="minorHAnsi"/>
          <w:snapToGrid/>
          <w:szCs w:val="22"/>
        </w:rPr>
        <w:t> </w:t>
      </w:r>
      <w:r w:rsidRPr="00CE7679">
        <w:rPr>
          <w:rFonts w:eastAsiaTheme="minorHAnsi"/>
          <w:snapToGrid/>
          <w:szCs w:val="22"/>
        </w:rPr>
        <w:t>% pacientų – ≥</w:t>
      </w:r>
      <w:r w:rsidR="004C1A71" w:rsidRPr="00CE7679">
        <w:rPr>
          <w:rFonts w:eastAsiaTheme="minorHAnsi"/>
          <w:snapToGrid/>
          <w:szCs w:val="22"/>
        </w:rPr>
        <w:t> </w:t>
      </w:r>
      <w:r w:rsidRPr="00CE7679">
        <w:rPr>
          <w:rFonts w:eastAsiaTheme="minorHAnsi"/>
          <w:snapToGrid/>
          <w:szCs w:val="22"/>
        </w:rPr>
        <w:t>60 metų. Iš jų buvo 59</w:t>
      </w:r>
      <w:r w:rsidR="004C1A71" w:rsidRPr="00CE7679">
        <w:rPr>
          <w:rFonts w:eastAsiaTheme="minorHAnsi"/>
          <w:snapToGrid/>
          <w:szCs w:val="22"/>
        </w:rPr>
        <w:t> </w:t>
      </w:r>
      <w:r w:rsidRPr="00CE7679">
        <w:rPr>
          <w:rFonts w:eastAsiaTheme="minorHAnsi"/>
          <w:snapToGrid/>
          <w:szCs w:val="22"/>
        </w:rPr>
        <w:t>% vyrų ir 41</w:t>
      </w:r>
      <w:r w:rsidR="004C1A71" w:rsidRPr="00CE7679">
        <w:rPr>
          <w:rFonts w:eastAsiaTheme="minorHAnsi"/>
          <w:snapToGrid/>
          <w:szCs w:val="22"/>
        </w:rPr>
        <w:t> </w:t>
      </w:r>
      <w:r w:rsidRPr="00CE7679">
        <w:rPr>
          <w:rFonts w:eastAsiaTheme="minorHAnsi"/>
          <w:snapToGrid/>
          <w:szCs w:val="22"/>
        </w:rPr>
        <w:t>% moterų; 89,9</w:t>
      </w:r>
      <w:r w:rsidR="004C1A71" w:rsidRPr="00CE7679">
        <w:rPr>
          <w:rFonts w:eastAsiaTheme="minorHAnsi"/>
          <w:snapToGrid/>
          <w:szCs w:val="22"/>
        </w:rPr>
        <w:t> </w:t>
      </w:r>
      <w:r w:rsidRPr="00CE7679">
        <w:rPr>
          <w:rFonts w:eastAsiaTheme="minorHAnsi"/>
          <w:snapToGrid/>
          <w:szCs w:val="22"/>
        </w:rPr>
        <w:t>% baltosios rasės ir 4,7</w:t>
      </w:r>
      <w:r w:rsidR="004C1A71" w:rsidRPr="00CE7679">
        <w:rPr>
          <w:rFonts w:eastAsiaTheme="minorHAnsi"/>
          <w:snapToGrid/>
          <w:szCs w:val="22"/>
        </w:rPr>
        <w:t> </w:t>
      </w:r>
      <w:r w:rsidRPr="00CE7679">
        <w:rPr>
          <w:rFonts w:eastAsiaTheme="minorHAnsi"/>
          <w:snapToGrid/>
          <w:szCs w:val="22"/>
        </w:rPr>
        <w:t>% juodaodžių. Praėjus septyneriems metams po paskutinio paciento įtraukimo į tyrimą, pirmaeilio gydymo trukmės mediana buvo 82</w:t>
      </w:r>
      <w:r w:rsidR="004C1A71" w:rsidRPr="00CE7679">
        <w:rPr>
          <w:rFonts w:eastAsiaTheme="minorHAnsi"/>
          <w:snapToGrid/>
          <w:szCs w:val="22"/>
        </w:rPr>
        <w:t> </w:t>
      </w:r>
      <w:r w:rsidRPr="00CE7679">
        <w:rPr>
          <w:rFonts w:eastAsiaTheme="minorHAnsi"/>
          <w:snapToGrid/>
          <w:szCs w:val="22"/>
        </w:rPr>
        <w:t xml:space="preserve">mėnesiai </w:t>
      </w:r>
      <w:proofErr w:type="spellStart"/>
      <w:r w:rsidRPr="00CE7679">
        <w:rPr>
          <w:rFonts w:eastAsiaTheme="minorHAnsi"/>
          <w:snapToGrid/>
          <w:szCs w:val="22"/>
        </w:rPr>
        <w:t>imatinibo</w:t>
      </w:r>
      <w:proofErr w:type="spellEnd"/>
      <w:r w:rsidRPr="00CE7679">
        <w:rPr>
          <w:rFonts w:eastAsiaTheme="minorHAnsi"/>
          <w:snapToGrid/>
          <w:szCs w:val="22"/>
        </w:rPr>
        <w:t xml:space="preserve"> grupėje ir 8</w:t>
      </w:r>
      <w:r w:rsidR="004C1A71" w:rsidRPr="00CE7679">
        <w:rPr>
          <w:rFonts w:eastAsiaTheme="minorHAnsi"/>
          <w:snapToGrid/>
          <w:szCs w:val="22"/>
        </w:rPr>
        <w:t> </w:t>
      </w:r>
      <w:r w:rsidRPr="00CE7679">
        <w:rPr>
          <w:rFonts w:eastAsiaTheme="minorHAnsi"/>
          <w:snapToGrid/>
          <w:szCs w:val="22"/>
        </w:rPr>
        <w:t xml:space="preserve">mėnesiai IFN grupėje. Antraeilio gydymo </w:t>
      </w:r>
      <w:proofErr w:type="spellStart"/>
      <w:r w:rsidRPr="00CE7679">
        <w:rPr>
          <w:rFonts w:eastAsiaTheme="minorHAnsi"/>
          <w:snapToGrid/>
          <w:szCs w:val="22"/>
        </w:rPr>
        <w:t>imatinibu</w:t>
      </w:r>
      <w:proofErr w:type="spellEnd"/>
      <w:r w:rsidRPr="00CE7679">
        <w:rPr>
          <w:rFonts w:eastAsiaTheme="minorHAnsi"/>
          <w:snapToGrid/>
          <w:szCs w:val="22"/>
        </w:rPr>
        <w:t xml:space="preserve"> trukmės mediana buvo 64</w:t>
      </w:r>
      <w:r w:rsidR="004C1A71" w:rsidRPr="00CE7679">
        <w:rPr>
          <w:rFonts w:eastAsiaTheme="minorHAnsi"/>
          <w:snapToGrid/>
          <w:szCs w:val="22"/>
        </w:rPr>
        <w:t> </w:t>
      </w:r>
      <w:r w:rsidRPr="00CE7679">
        <w:rPr>
          <w:rFonts w:eastAsiaTheme="minorHAnsi"/>
          <w:snapToGrid/>
          <w:szCs w:val="22"/>
        </w:rPr>
        <w:t xml:space="preserve">mėnesiai. Pacientų, kuriems taikytas pirmaeilis gydymas </w:t>
      </w:r>
      <w:proofErr w:type="spellStart"/>
      <w:r w:rsidRPr="00CE7679">
        <w:rPr>
          <w:rFonts w:eastAsiaTheme="minorHAnsi"/>
          <w:snapToGrid/>
          <w:szCs w:val="22"/>
        </w:rPr>
        <w:t>imatinibu</w:t>
      </w:r>
      <w:proofErr w:type="spellEnd"/>
      <w:r w:rsidRPr="00CE7679">
        <w:rPr>
          <w:rFonts w:eastAsiaTheme="minorHAnsi"/>
          <w:snapToGrid/>
          <w:szCs w:val="22"/>
        </w:rPr>
        <w:t>, vidutinė paros dozė buvo 406</w:t>
      </w:r>
      <w:r w:rsidR="004C1A71" w:rsidRPr="00CE7679">
        <w:rPr>
          <w:rFonts w:eastAsiaTheme="minorHAnsi"/>
          <w:snapToGrid/>
          <w:szCs w:val="22"/>
        </w:rPr>
        <w:t> </w:t>
      </w:r>
      <w:r w:rsidRPr="00CE7679">
        <w:rPr>
          <w:rFonts w:eastAsiaTheme="minorHAnsi"/>
          <w:snapToGrid/>
          <w:szCs w:val="22"/>
        </w:rPr>
        <w:t>±</w:t>
      </w:r>
      <w:r w:rsidR="004C1A71" w:rsidRPr="00CE7679">
        <w:rPr>
          <w:rFonts w:eastAsiaTheme="minorHAnsi"/>
          <w:snapToGrid/>
          <w:szCs w:val="22"/>
        </w:rPr>
        <w:t> </w:t>
      </w:r>
      <w:r w:rsidRPr="00CE7679">
        <w:rPr>
          <w:rFonts w:eastAsiaTheme="minorHAnsi"/>
          <w:snapToGrid/>
          <w:szCs w:val="22"/>
        </w:rPr>
        <w:t>76</w:t>
      </w:r>
      <w:r w:rsidR="004C1A71" w:rsidRPr="00CE7679">
        <w:rPr>
          <w:rFonts w:eastAsiaTheme="minorHAnsi"/>
          <w:snapToGrid/>
          <w:szCs w:val="22"/>
        </w:rPr>
        <w:t> </w:t>
      </w:r>
      <w:r w:rsidRPr="00CE7679">
        <w:rPr>
          <w:rFonts w:eastAsiaTheme="minorHAnsi"/>
          <w:snapToGrid/>
          <w:szCs w:val="22"/>
        </w:rPr>
        <w:t xml:space="preserve">mg. Tyrimo pagrindinė vertinamoji baigtis yra gyvenimo trukmė be ligos progresavimo. Progresavimas apibūdinamas, kaip bet kuris iš šių reiškinių: progresavimas iki akceleracijos fazės ar </w:t>
      </w:r>
      <w:proofErr w:type="spellStart"/>
      <w:r w:rsidRPr="00CE7679">
        <w:rPr>
          <w:rFonts w:eastAsiaTheme="minorHAnsi"/>
          <w:snapToGrid/>
          <w:szCs w:val="22"/>
        </w:rPr>
        <w:t>blastinės</w:t>
      </w:r>
      <w:proofErr w:type="spellEnd"/>
      <w:r w:rsidRPr="00CE7679">
        <w:rPr>
          <w:rFonts w:eastAsiaTheme="minorHAnsi"/>
          <w:snapToGrid/>
          <w:szCs w:val="22"/>
        </w:rPr>
        <w:t xml:space="preserve"> krizės, mirtis, išnykę VHA ar </w:t>
      </w:r>
      <w:proofErr w:type="spellStart"/>
      <w:r w:rsidRPr="00CE7679">
        <w:rPr>
          <w:rFonts w:eastAsiaTheme="minorHAnsi"/>
          <w:snapToGrid/>
          <w:szCs w:val="22"/>
        </w:rPr>
        <w:t>MCyR</w:t>
      </w:r>
      <w:proofErr w:type="spellEnd"/>
      <w:r w:rsidRPr="00CE7679">
        <w:rPr>
          <w:rFonts w:eastAsiaTheme="minorHAnsi"/>
          <w:snapToGrid/>
          <w:szCs w:val="22"/>
        </w:rPr>
        <w:t xml:space="preserve">, arba pacientams, kuriems negaunama VHA, didėjantis leukocitų skaičius nepaisant tinkamo gydymo. Pagrindinės antraeilės vertinamosios baigtys yra didysis citogenetinis atsakas, hematologinis atsakas, molekulinis atsakas (minimalios liekamosios ligos vertinimas), laikas iki akceleracijos fazės ar </w:t>
      </w:r>
      <w:proofErr w:type="spellStart"/>
      <w:r w:rsidRPr="00CE7679">
        <w:rPr>
          <w:rFonts w:eastAsiaTheme="minorHAnsi"/>
          <w:snapToGrid/>
          <w:szCs w:val="22"/>
        </w:rPr>
        <w:t>blastinės</w:t>
      </w:r>
      <w:proofErr w:type="spellEnd"/>
      <w:r w:rsidRPr="00CE7679">
        <w:rPr>
          <w:rFonts w:eastAsiaTheme="minorHAnsi"/>
          <w:snapToGrid/>
          <w:szCs w:val="22"/>
        </w:rPr>
        <w:t xml:space="preserve"> krizės ir gyvenimo trukmė. Atsako duomenys pateikti 2</w:t>
      </w:r>
      <w:r w:rsidR="004C1A71" w:rsidRPr="00CE7679">
        <w:rPr>
          <w:rFonts w:eastAsiaTheme="minorHAnsi"/>
          <w:snapToGrid/>
          <w:szCs w:val="22"/>
        </w:rPr>
        <w:t> </w:t>
      </w:r>
      <w:r w:rsidRPr="00CE7679">
        <w:rPr>
          <w:rFonts w:eastAsiaTheme="minorHAnsi"/>
          <w:snapToGrid/>
          <w:szCs w:val="22"/>
        </w:rPr>
        <w:t xml:space="preserve">lentelėje. </w:t>
      </w:r>
    </w:p>
    <w:p w14:paraId="79DB862A" w14:textId="77777777" w:rsidR="00A27597" w:rsidRPr="00CE7679" w:rsidRDefault="00A27597" w:rsidP="00A27597">
      <w:pPr>
        <w:widowControl w:val="0"/>
        <w:autoSpaceDE w:val="0"/>
        <w:autoSpaceDN w:val="0"/>
        <w:adjustRightInd w:val="0"/>
        <w:spacing w:line="240" w:lineRule="auto"/>
        <w:rPr>
          <w:rFonts w:eastAsiaTheme="minorHAnsi"/>
          <w:snapToGrid/>
          <w:szCs w:val="22"/>
        </w:rPr>
      </w:pPr>
    </w:p>
    <w:p w14:paraId="75B6E035" w14:textId="5B42B42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b/>
        </w:rPr>
        <w:t>2</w:t>
      </w:r>
      <w:r w:rsidR="008542DA">
        <w:rPr>
          <w:rFonts w:eastAsia="SimSun"/>
          <w:b/>
        </w:rPr>
        <w:t> </w:t>
      </w:r>
      <w:r w:rsidRPr="00CE7679">
        <w:rPr>
          <w:rFonts w:eastAsia="SimSun"/>
          <w:b/>
        </w:rPr>
        <w:t>lentelė.</w:t>
      </w:r>
      <w:r w:rsidRPr="00CE7679">
        <w:rPr>
          <w:rFonts w:eastAsia="SimSun"/>
          <w:snapToGrid/>
          <w:szCs w:val="22"/>
          <w:lang w:eastAsia="zh-CN"/>
        </w:rPr>
        <w:t xml:space="preserve"> </w:t>
      </w:r>
      <w:r w:rsidRPr="00CE7679">
        <w:rPr>
          <w:rFonts w:eastAsia="SimSun"/>
          <w:b/>
          <w:snapToGrid/>
          <w:szCs w:val="22"/>
          <w:lang w:eastAsia="zh-CN"/>
        </w:rPr>
        <w:t>Atsakas, gautas naujai diagnozuotos LML tyrimo metu (84</w:t>
      </w:r>
      <w:r w:rsidR="004C1A71" w:rsidRPr="00CE7679">
        <w:rPr>
          <w:rFonts w:eastAsia="SimSun"/>
          <w:b/>
          <w:snapToGrid/>
          <w:szCs w:val="22"/>
          <w:lang w:eastAsia="zh-CN"/>
        </w:rPr>
        <w:t> </w:t>
      </w:r>
      <w:r w:rsidRPr="00CE7679">
        <w:rPr>
          <w:rFonts w:eastAsia="SimSun"/>
          <w:b/>
          <w:snapToGrid/>
          <w:szCs w:val="22"/>
          <w:lang w:eastAsia="zh-CN"/>
        </w:rPr>
        <w:t>mėnesių duomenys)</w:t>
      </w:r>
    </w:p>
    <w:p w14:paraId="03C44147"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840"/>
        <w:gridCol w:w="2620"/>
        <w:gridCol w:w="2600"/>
      </w:tblGrid>
      <w:tr w:rsidR="00701D61" w:rsidRPr="00CE7679" w14:paraId="08DB2E4B" w14:textId="77777777" w:rsidTr="00A27597">
        <w:tc>
          <w:tcPr>
            <w:tcW w:w="3948" w:type="dxa"/>
            <w:tcBorders>
              <w:bottom w:val="single" w:sz="4" w:space="0" w:color="auto"/>
            </w:tcBorders>
            <w:vAlign w:val="bottom"/>
          </w:tcPr>
          <w:p w14:paraId="1B08E330" w14:textId="77777777" w:rsidR="00A27597" w:rsidRPr="00CE7679" w:rsidRDefault="00A27597" w:rsidP="00A27597">
            <w:pPr>
              <w:tabs>
                <w:tab w:val="clear" w:pos="567"/>
              </w:tabs>
              <w:spacing w:line="240" w:lineRule="auto"/>
              <w:rPr>
                <w:b/>
              </w:rPr>
            </w:pPr>
            <w:r w:rsidRPr="00CE7679">
              <w:rPr>
                <w:b/>
              </w:rPr>
              <w:t>(Geriausio atsako dažnis)</w:t>
            </w:r>
          </w:p>
        </w:tc>
        <w:tc>
          <w:tcPr>
            <w:tcW w:w="2664" w:type="dxa"/>
            <w:tcBorders>
              <w:bottom w:val="single" w:sz="4" w:space="0" w:color="auto"/>
            </w:tcBorders>
          </w:tcPr>
          <w:p w14:paraId="3F006A3A" w14:textId="77777777" w:rsidR="00A27597" w:rsidRPr="00CE7679" w:rsidRDefault="00A27597" w:rsidP="00A27597">
            <w:pPr>
              <w:tabs>
                <w:tab w:val="clear" w:pos="567"/>
                <w:tab w:val="center" w:pos="1438"/>
              </w:tabs>
              <w:spacing w:line="240" w:lineRule="auto"/>
              <w:jc w:val="center"/>
              <w:rPr>
                <w:b/>
              </w:rPr>
            </w:pPr>
            <w:proofErr w:type="spellStart"/>
            <w:r w:rsidRPr="00CE7679">
              <w:rPr>
                <w:b/>
              </w:rPr>
              <w:t>Imatinibas</w:t>
            </w:r>
            <w:proofErr w:type="spellEnd"/>
          </w:p>
          <w:p w14:paraId="0DF7F8FB" w14:textId="77777777" w:rsidR="00A27597" w:rsidRPr="00CE7679" w:rsidRDefault="00A27597" w:rsidP="00A27597">
            <w:pPr>
              <w:tabs>
                <w:tab w:val="clear" w:pos="567"/>
              </w:tabs>
              <w:spacing w:line="240" w:lineRule="auto"/>
              <w:jc w:val="center"/>
            </w:pPr>
            <w:r w:rsidRPr="00CE7679">
              <w:t>n=553</w:t>
            </w:r>
          </w:p>
        </w:tc>
        <w:tc>
          <w:tcPr>
            <w:tcW w:w="2664" w:type="dxa"/>
            <w:tcBorders>
              <w:bottom w:val="single" w:sz="4" w:space="0" w:color="auto"/>
            </w:tcBorders>
          </w:tcPr>
          <w:p w14:paraId="7D177AB7" w14:textId="77777777" w:rsidR="00A27597" w:rsidRPr="00CE7679" w:rsidRDefault="00A27597" w:rsidP="00A27597">
            <w:pPr>
              <w:tabs>
                <w:tab w:val="clear" w:pos="567"/>
              </w:tabs>
              <w:spacing w:line="240" w:lineRule="auto"/>
              <w:jc w:val="center"/>
              <w:rPr>
                <w:b/>
              </w:rPr>
            </w:pPr>
            <w:proofErr w:type="spellStart"/>
            <w:r w:rsidRPr="00CE7679">
              <w:rPr>
                <w:b/>
              </w:rPr>
              <w:t>IFN+Ara-C</w:t>
            </w:r>
            <w:proofErr w:type="spellEnd"/>
          </w:p>
          <w:p w14:paraId="08CBADE7" w14:textId="77777777" w:rsidR="00A27597" w:rsidRPr="00CE7679" w:rsidRDefault="00A27597" w:rsidP="00A27597">
            <w:pPr>
              <w:tabs>
                <w:tab w:val="clear" w:pos="567"/>
              </w:tabs>
              <w:spacing w:line="240" w:lineRule="auto"/>
              <w:jc w:val="center"/>
            </w:pPr>
            <w:r w:rsidRPr="00CE7679">
              <w:t>n=553</w:t>
            </w:r>
          </w:p>
        </w:tc>
      </w:tr>
      <w:tr w:rsidR="00701D61" w:rsidRPr="00CE7679" w14:paraId="1D2070CF" w14:textId="77777777" w:rsidTr="00A27597">
        <w:tc>
          <w:tcPr>
            <w:tcW w:w="3948" w:type="dxa"/>
            <w:tcBorders>
              <w:top w:val="single" w:sz="4" w:space="0" w:color="auto"/>
              <w:bottom w:val="nil"/>
            </w:tcBorders>
          </w:tcPr>
          <w:p w14:paraId="5B8BAFA3" w14:textId="77777777" w:rsidR="00A27597" w:rsidRPr="00CE7679" w:rsidRDefault="00A27597" w:rsidP="00A27597">
            <w:pPr>
              <w:tabs>
                <w:tab w:val="clear" w:pos="567"/>
              </w:tabs>
              <w:spacing w:line="240" w:lineRule="auto"/>
              <w:rPr>
                <w:b/>
              </w:rPr>
            </w:pPr>
            <w:r w:rsidRPr="00CE7679">
              <w:rPr>
                <w:b/>
              </w:rPr>
              <w:t>Hematologinis atsakas</w:t>
            </w:r>
          </w:p>
          <w:p w14:paraId="18DDE97E" w14:textId="77777777" w:rsidR="00A27597" w:rsidRPr="00CE7679" w:rsidRDefault="00A27597" w:rsidP="00A27597">
            <w:pPr>
              <w:tabs>
                <w:tab w:val="clear" w:pos="567"/>
              </w:tabs>
              <w:spacing w:line="240" w:lineRule="auto"/>
              <w:ind w:firstLine="120"/>
            </w:pPr>
            <w:r w:rsidRPr="00CE7679">
              <w:t xml:space="preserve">VHA dalis n (%) </w:t>
            </w:r>
          </w:p>
          <w:p w14:paraId="1453421F" w14:textId="77777777" w:rsidR="00A27597" w:rsidRPr="00CE7679" w:rsidRDefault="00A27597" w:rsidP="00A27597">
            <w:pPr>
              <w:tabs>
                <w:tab w:val="clear" w:pos="567"/>
              </w:tabs>
              <w:spacing w:line="240" w:lineRule="auto"/>
              <w:ind w:firstLine="120"/>
            </w:pPr>
            <w:r w:rsidRPr="00CE7679">
              <w:t>[95 % PI]</w:t>
            </w:r>
          </w:p>
          <w:p w14:paraId="591C4D57" w14:textId="77777777" w:rsidR="00A27597" w:rsidRPr="00CE7679" w:rsidRDefault="00A27597" w:rsidP="00A27597">
            <w:pPr>
              <w:tabs>
                <w:tab w:val="clear" w:pos="567"/>
              </w:tabs>
              <w:spacing w:line="240" w:lineRule="auto"/>
              <w:ind w:firstLine="120"/>
            </w:pPr>
          </w:p>
        </w:tc>
        <w:tc>
          <w:tcPr>
            <w:tcW w:w="2664" w:type="dxa"/>
            <w:tcBorders>
              <w:top w:val="single" w:sz="4" w:space="0" w:color="auto"/>
              <w:bottom w:val="nil"/>
            </w:tcBorders>
          </w:tcPr>
          <w:p w14:paraId="2DCFF7A5" w14:textId="77777777" w:rsidR="00A27597" w:rsidRPr="00CE7679" w:rsidRDefault="00A27597" w:rsidP="00A27597">
            <w:pPr>
              <w:tabs>
                <w:tab w:val="clear" w:pos="567"/>
              </w:tabs>
              <w:spacing w:line="240" w:lineRule="auto"/>
              <w:jc w:val="center"/>
            </w:pPr>
          </w:p>
          <w:p w14:paraId="1E5C4425" w14:textId="77777777" w:rsidR="00A27597" w:rsidRPr="00CE7679" w:rsidRDefault="00A27597" w:rsidP="00A27597">
            <w:pPr>
              <w:tabs>
                <w:tab w:val="clear" w:pos="567"/>
              </w:tabs>
              <w:spacing w:line="240" w:lineRule="auto"/>
              <w:jc w:val="center"/>
            </w:pPr>
            <w:r w:rsidRPr="00CE7679">
              <w:t>534 (96,6 %)*</w:t>
            </w:r>
          </w:p>
          <w:p w14:paraId="54AEF2B1" w14:textId="77777777" w:rsidR="00A27597" w:rsidRPr="00CE7679" w:rsidRDefault="00A27597" w:rsidP="00A27597">
            <w:pPr>
              <w:tabs>
                <w:tab w:val="clear" w:pos="567"/>
              </w:tabs>
              <w:autoSpaceDE w:val="0"/>
              <w:autoSpaceDN w:val="0"/>
              <w:adjustRightInd w:val="0"/>
              <w:spacing w:line="240" w:lineRule="auto"/>
              <w:jc w:val="center"/>
              <w:rPr>
                <w:sz w:val="24"/>
              </w:rPr>
            </w:pPr>
            <w:r w:rsidRPr="00CE7679">
              <w:t>[94,7 %, 97,9 %]</w:t>
            </w:r>
          </w:p>
          <w:p w14:paraId="56A1536E" w14:textId="77777777" w:rsidR="00A27597" w:rsidRPr="00CE7679" w:rsidRDefault="00A27597" w:rsidP="00A27597">
            <w:pPr>
              <w:tabs>
                <w:tab w:val="clear" w:pos="567"/>
              </w:tabs>
              <w:spacing w:line="240" w:lineRule="auto"/>
              <w:jc w:val="center"/>
            </w:pPr>
          </w:p>
        </w:tc>
        <w:tc>
          <w:tcPr>
            <w:tcW w:w="2664" w:type="dxa"/>
            <w:tcBorders>
              <w:top w:val="single" w:sz="4" w:space="0" w:color="auto"/>
              <w:bottom w:val="nil"/>
            </w:tcBorders>
          </w:tcPr>
          <w:p w14:paraId="060A88B8" w14:textId="77777777" w:rsidR="00A27597" w:rsidRPr="00CE7679" w:rsidRDefault="00A27597" w:rsidP="00A27597">
            <w:pPr>
              <w:tabs>
                <w:tab w:val="clear" w:pos="567"/>
              </w:tabs>
              <w:spacing w:line="240" w:lineRule="auto"/>
              <w:jc w:val="center"/>
            </w:pPr>
          </w:p>
          <w:p w14:paraId="5D2BA195" w14:textId="77777777" w:rsidR="00A27597" w:rsidRPr="00CE7679" w:rsidRDefault="00A27597" w:rsidP="00A27597">
            <w:pPr>
              <w:tabs>
                <w:tab w:val="clear" w:pos="567"/>
              </w:tabs>
              <w:spacing w:line="240" w:lineRule="auto"/>
              <w:jc w:val="center"/>
            </w:pPr>
            <w:r w:rsidRPr="00CE7679">
              <w:t>313 (56,6 %)*</w:t>
            </w:r>
          </w:p>
          <w:p w14:paraId="6DE2A772" w14:textId="77777777" w:rsidR="00A27597" w:rsidRPr="00CE7679" w:rsidRDefault="00A27597" w:rsidP="00A27597">
            <w:pPr>
              <w:tabs>
                <w:tab w:val="clear" w:pos="567"/>
              </w:tabs>
              <w:autoSpaceDE w:val="0"/>
              <w:autoSpaceDN w:val="0"/>
              <w:adjustRightInd w:val="0"/>
              <w:spacing w:line="240" w:lineRule="auto"/>
              <w:jc w:val="center"/>
              <w:rPr>
                <w:sz w:val="24"/>
              </w:rPr>
            </w:pPr>
            <w:r w:rsidRPr="00CE7679">
              <w:t>[52,4 %, 60,8 %]</w:t>
            </w:r>
          </w:p>
          <w:p w14:paraId="2B3EA3D8" w14:textId="77777777" w:rsidR="00A27597" w:rsidRPr="00CE7679" w:rsidRDefault="00A27597" w:rsidP="00A27597">
            <w:pPr>
              <w:tabs>
                <w:tab w:val="clear" w:pos="567"/>
              </w:tabs>
              <w:spacing w:line="240" w:lineRule="auto"/>
              <w:jc w:val="center"/>
            </w:pPr>
          </w:p>
        </w:tc>
      </w:tr>
      <w:tr w:rsidR="00701D61" w:rsidRPr="00CE7679" w14:paraId="7AFFE5BD" w14:textId="77777777" w:rsidTr="00A27597">
        <w:tc>
          <w:tcPr>
            <w:tcW w:w="3948" w:type="dxa"/>
            <w:tcBorders>
              <w:top w:val="nil"/>
              <w:bottom w:val="nil"/>
            </w:tcBorders>
          </w:tcPr>
          <w:p w14:paraId="009478CA" w14:textId="77777777" w:rsidR="00A27597" w:rsidRPr="00CE7679" w:rsidRDefault="00A27597" w:rsidP="00A27597">
            <w:pPr>
              <w:tabs>
                <w:tab w:val="clear" w:pos="567"/>
              </w:tabs>
              <w:autoSpaceDE w:val="0"/>
              <w:autoSpaceDN w:val="0"/>
              <w:adjustRightInd w:val="0"/>
              <w:spacing w:line="240" w:lineRule="auto"/>
              <w:rPr>
                <w:b/>
              </w:rPr>
            </w:pPr>
            <w:r w:rsidRPr="00CE7679">
              <w:rPr>
                <w:b/>
              </w:rPr>
              <w:t>Citogenetinis atsakas</w:t>
            </w:r>
          </w:p>
          <w:p w14:paraId="5AEA8AB7" w14:textId="77777777" w:rsidR="00A27597" w:rsidRPr="00CE7679" w:rsidRDefault="00A27597" w:rsidP="00A27597">
            <w:pPr>
              <w:tabs>
                <w:tab w:val="clear" w:pos="567"/>
              </w:tabs>
              <w:autoSpaceDE w:val="0"/>
              <w:autoSpaceDN w:val="0"/>
              <w:adjustRightInd w:val="0"/>
              <w:spacing w:line="240" w:lineRule="auto"/>
              <w:rPr>
                <w:sz w:val="24"/>
              </w:rPr>
            </w:pPr>
            <w:r w:rsidRPr="00CE7679">
              <w:t xml:space="preserve">Didysis atsakas n (%) </w:t>
            </w:r>
          </w:p>
          <w:p w14:paraId="72D86432" w14:textId="77777777" w:rsidR="00A27597" w:rsidRPr="00CE7679" w:rsidRDefault="00A27597" w:rsidP="00A27597">
            <w:pPr>
              <w:tabs>
                <w:tab w:val="clear" w:pos="567"/>
              </w:tabs>
              <w:spacing w:line="240" w:lineRule="auto"/>
              <w:ind w:firstLine="120"/>
            </w:pPr>
            <w:r w:rsidRPr="00CE7679">
              <w:t>[95</w:t>
            </w:r>
            <w:r w:rsidRPr="00CE7679">
              <w:rPr>
                <w:snapToGrid/>
                <w:szCs w:val="22"/>
              </w:rPr>
              <w:t> </w:t>
            </w:r>
            <w:r w:rsidRPr="00CE7679">
              <w:t>% PI]</w:t>
            </w:r>
          </w:p>
          <w:p w14:paraId="7288D609" w14:textId="77777777" w:rsidR="00A27597" w:rsidRPr="00CE7679" w:rsidRDefault="00A27597" w:rsidP="00A27597">
            <w:pPr>
              <w:tabs>
                <w:tab w:val="clear" w:pos="567"/>
              </w:tabs>
              <w:spacing w:line="240" w:lineRule="auto"/>
              <w:ind w:firstLine="120"/>
            </w:pPr>
            <w:r w:rsidRPr="00CE7679">
              <w:t xml:space="preserve">Visiškas </w:t>
            </w:r>
            <w:proofErr w:type="spellStart"/>
            <w:r w:rsidRPr="00CE7679">
              <w:t>CyR</w:t>
            </w:r>
            <w:proofErr w:type="spellEnd"/>
            <w:r w:rsidRPr="00CE7679">
              <w:t xml:space="preserve"> n (%)</w:t>
            </w:r>
          </w:p>
          <w:p w14:paraId="06880B7D" w14:textId="77777777" w:rsidR="00A27597" w:rsidRPr="00CE7679" w:rsidRDefault="00A27597" w:rsidP="00A27597">
            <w:pPr>
              <w:tabs>
                <w:tab w:val="clear" w:pos="567"/>
              </w:tabs>
              <w:spacing w:line="240" w:lineRule="auto"/>
              <w:ind w:firstLine="120"/>
            </w:pPr>
            <w:r w:rsidRPr="00CE7679">
              <w:t xml:space="preserve">Dalinis </w:t>
            </w:r>
            <w:proofErr w:type="spellStart"/>
            <w:r w:rsidRPr="00CE7679">
              <w:t>CyR</w:t>
            </w:r>
            <w:proofErr w:type="spellEnd"/>
            <w:r w:rsidRPr="00CE7679">
              <w:t xml:space="preserve"> n (%)</w:t>
            </w:r>
          </w:p>
          <w:p w14:paraId="2C2D6366" w14:textId="77777777" w:rsidR="00A27597" w:rsidRPr="00CE7679" w:rsidRDefault="00A27597" w:rsidP="00A27597">
            <w:pPr>
              <w:tabs>
                <w:tab w:val="clear" w:pos="567"/>
              </w:tabs>
              <w:spacing w:line="240" w:lineRule="auto"/>
              <w:ind w:firstLine="120"/>
            </w:pPr>
          </w:p>
        </w:tc>
        <w:tc>
          <w:tcPr>
            <w:tcW w:w="2664" w:type="dxa"/>
            <w:tcBorders>
              <w:top w:val="nil"/>
              <w:bottom w:val="nil"/>
            </w:tcBorders>
          </w:tcPr>
          <w:p w14:paraId="644B013E" w14:textId="77777777" w:rsidR="00A27597" w:rsidRPr="00CE7679" w:rsidRDefault="00A27597" w:rsidP="00A27597">
            <w:pPr>
              <w:tabs>
                <w:tab w:val="clear" w:pos="567"/>
              </w:tabs>
              <w:spacing w:line="240" w:lineRule="auto"/>
              <w:jc w:val="center"/>
            </w:pPr>
          </w:p>
          <w:p w14:paraId="2C7B826A" w14:textId="77777777" w:rsidR="00A27597" w:rsidRPr="00CE7679" w:rsidRDefault="00A27597" w:rsidP="00A27597">
            <w:pPr>
              <w:tabs>
                <w:tab w:val="clear" w:pos="567"/>
              </w:tabs>
              <w:spacing w:line="240" w:lineRule="auto"/>
              <w:jc w:val="center"/>
            </w:pPr>
            <w:r w:rsidRPr="00CE7679">
              <w:t>490 (88,6 %)*</w:t>
            </w:r>
          </w:p>
          <w:p w14:paraId="1946DCA6" w14:textId="77777777" w:rsidR="00A27597" w:rsidRPr="00CE7679" w:rsidRDefault="00A27597" w:rsidP="00A27597">
            <w:pPr>
              <w:tabs>
                <w:tab w:val="clear" w:pos="567"/>
              </w:tabs>
              <w:spacing w:line="240" w:lineRule="auto"/>
              <w:jc w:val="center"/>
            </w:pPr>
            <w:r w:rsidRPr="00CE7679">
              <w:t>[85,7 %, 91,1 %]</w:t>
            </w:r>
          </w:p>
          <w:p w14:paraId="4E8B925D" w14:textId="77777777" w:rsidR="00A27597" w:rsidRPr="00CE7679" w:rsidRDefault="00A27597" w:rsidP="00A27597">
            <w:pPr>
              <w:tabs>
                <w:tab w:val="clear" w:pos="567"/>
              </w:tabs>
              <w:spacing w:line="240" w:lineRule="auto"/>
              <w:jc w:val="center"/>
            </w:pPr>
            <w:r w:rsidRPr="00CE7679">
              <w:t>456 (82,5 %)*</w:t>
            </w:r>
          </w:p>
          <w:p w14:paraId="5B7ACD41" w14:textId="77777777" w:rsidR="00A27597" w:rsidRPr="00CE7679" w:rsidRDefault="00A27597" w:rsidP="00A27597">
            <w:pPr>
              <w:tabs>
                <w:tab w:val="clear" w:pos="567"/>
              </w:tabs>
              <w:spacing w:line="240" w:lineRule="auto"/>
              <w:jc w:val="center"/>
            </w:pPr>
            <w:r w:rsidRPr="00CE7679">
              <w:t>34 (6,1 %)</w:t>
            </w:r>
          </w:p>
        </w:tc>
        <w:tc>
          <w:tcPr>
            <w:tcW w:w="2664" w:type="dxa"/>
            <w:tcBorders>
              <w:top w:val="nil"/>
              <w:bottom w:val="nil"/>
            </w:tcBorders>
          </w:tcPr>
          <w:p w14:paraId="11211DCB" w14:textId="77777777" w:rsidR="00A27597" w:rsidRPr="00CE7679" w:rsidRDefault="00A27597" w:rsidP="00A27597">
            <w:pPr>
              <w:tabs>
                <w:tab w:val="clear" w:pos="567"/>
              </w:tabs>
              <w:spacing w:line="240" w:lineRule="auto"/>
              <w:jc w:val="center"/>
            </w:pPr>
          </w:p>
          <w:p w14:paraId="3E80ACCB" w14:textId="77777777" w:rsidR="00A27597" w:rsidRPr="00CE7679" w:rsidRDefault="00A27597" w:rsidP="00A27597">
            <w:pPr>
              <w:tabs>
                <w:tab w:val="clear" w:pos="567"/>
              </w:tabs>
              <w:spacing w:line="240" w:lineRule="auto"/>
              <w:jc w:val="center"/>
            </w:pPr>
            <w:r w:rsidRPr="00CE7679">
              <w:t>129 (23,3 %)*</w:t>
            </w:r>
          </w:p>
          <w:p w14:paraId="6971BC7D" w14:textId="77777777" w:rsidR="00A27597" w:rsidRPr="00CE7679" w:rsidRDefault="00A27597" w:rsidP="00A27597">
            <w:pPr>
              <w:tabs>
                <w:tab w:val="clear" w:pos="567"/>
              </w:tabs>
              <w:spacing w:line="240" w:lineRule="auto"/>
              <w:jc w:val="center"/>
            </w:pPr>
            <w:r w:rsidRPr="00CE7679">
              <w:t>[19,9 %, 27,1 %]</w:t>
            </w:r>
          </w:p>
          <w:p w14:paraId="4B58F1F5" w14:textId="77777777" w:rsidR="00A27597" w:rsidRPr="00CE7679" w:rsidRDefault="00A27597" w:rsidP="00A27597">
            <w:pPr>
              <w:tabs>
                <w:tab w:val="clear" w:pos="567"/>
              </w:tabs>
              <w:spacing w:line="240" w:lineRule="auto"/>
              <w:jc w:val="center"/>
            </w:pPr>
            <w:r w:rsidRPr="00CE7679">
              <w:t>64 (11,6 %)*</w:t>
            </w:r>
          </w:p>
          <w:p w14:paraId="2E472915" w14:textId="77777777" w:rsidR="00A27597" w:rsidRPr="00CE7679" w:rsidRDefault="00A27597" w:rsidP="00A27597">
            <w:pPr>
              <w:tabs>
                <w:tab w:val="clear" w:pos="567"/>
              </w:tabs>
              <w:spacing w:line="240" w:lineRule="auto"/>
              <w:jc w:val="center"/>
            </w:pPr>
            <w:r w:rsidRPr="00CE7679">
              <w:t>65 (11,8 %)</w:t>
            </w:r>
          </w:p>
        </w:tc>
      </w:tr>
      <w:tr w:rsidR="00701D61" w:rsidRPr="00CE7679" w14:paraId="729217EC" w14:textId="77777777" w:rsidTr="00A27597">
        <w:tc>
          <w:tcPr>
            <w:tcW w:w="3948" w:type="dxa"/>
            <w:tcBorders>
              <w:top w:val="nil"/>
              <w:bottom w:val="single" w:sz="4" w:space="0" w:color="auto"/>
            </w:tcBorders>
          </w:tcPr>
          <w:p w14:paraId="461D7F11" w14:textId="77777777" w:rsidR="00A27597" w:rsidRPr="00CE7679" w:rsidRDefault="00A27597" w:rsidP="00A27597">
            <w:pPr>
              <w:tabs>
                <w:tab w:val="clear" w:pos="567"/>
              </w:tabs>
              <w:spacing w:line="240" w:lineRule="auto"/>
              <w:rPr>
                <w:snapToGrid/>
                <w:szCs w:val="22"/>
              </w:rPr>
            </w:pPr>
            <w:r w:rsidRPr="00CE7679">
              <w:rPr>
                <w:b/>
                <w:snapToGrid/>
                <w:szCs w:val="22"/>
              </w:rPr>
              <w:t>Molekulinis atsakas</w:t>
            </w:r>
            <w:r w:rsidRPr="00CE7679">
              <w:rPr>
                <w:snapToGrid/>
                <w:szCs w:val="22"/>
              </w:rPr>
              <w:t>**</w:t>
            </w:r>
          </w:p>
          <w:p w14:paraId="74A08F4E" w14:textId="77777777" w:rsidR="00A27597" w:rsidRPr="00CE7679" w:rsidRDefault="00A27597" w:rsidP="00A27597">
            <w:pPr>
              <w:tabs>
                <w:tab w:val="clear" w:pos="567"/>
              </w:tabs>
              <w:spacing w:line="240" w:lineRule="auto"/>
              <w:rPr>
                <w:snapToGrid/>
                <w:szCs w:val="22"/>
              </w:rPr>
            </w:pPr>
            <w:r w:rsidRPr="00CE7679">
              <w:rPr>
                <w:snapToGrid/>
                <w:szCs w:val="22"/>
              </w:rPr>
              <w:t>Didysis atsakas po 12</w:t>
            </w:r>
            <w:r w:rsidR="004C1A71" w:rsidRPr="00CE7679">
              <w:rPr>
                <w:snapToGrid/>
                <w:szCs w:val="22"/>
              </w:rPr>
              <w:t> </w:t>
            </w:r>
            <w:r w:rsidRPr="00CE7679">
              <w:rPr>
                <w:snapToGrid/>
                <w:szCs w:val="22"/>
              </w:rPr>
              <w:t>mėnesių (%)</w:t>
            </w:r>
          </w:p>
          <w:p w14:paraId="4EA6A543" w14:textId="77777777" w:rsidR="00A27597" w:rsidRPr="00CE7679" w:rsidRDefault="00A27597" w:rsidP="00A27597">
            <w:pPr>
              <w:tabs>
                <w:tab w:val="clear" w:pos="567"/>
              </w:tabs>
              <w:spacing w:line="240" w:lineRule="auto"/>
              <w:rPr>
                <w:snapToGrid/>
                <w:szCs w:val="22"/>
              </w:rPr>
            </w:pPr>
            <w:r w:rsidRPr="00CE7679">
              <w:rPr>
                <w:snapToGrid/>
                <w:szCs w:val="22"/>
              </w:rPr>
              <w:t>Didysis atsakas po 24</w:t>
            </w:r>
            <w:r w:rsidR="004C1A71" w:rsidRPr="00CE7679">
              <w:rPr>
                <w:snapToGrid/>
                <w:szCs w:val="22"/>
              </w:rPr>
              <w:t> </w:t>
            </w:r>
            <w:r w:rsidRPr="00CE7679">
              <w:rPr>
                <w:snapToGrid/>
                <w:szCs w:val="22"/>
              </w:rPr>
              <w:t>mėnesių (%)</w:t>
            </w:r>
          </w:p>
          <w:p w14:paraId="6A1ED3FA" w14:textId="77777777" w:rsidR="00A27597" w:rsidRPr="00CE7679" w:rsidRDefault="00A27597" w:rsidP="004C1A71">
            <w:pPr>
              <w:tabs>
                <w:tab w:val="clear" w:pos="567"/>
              </w:tabs>
              <w:spacing w:line="240" w:lineRule="auto"/>
              <w:rPr>
                <w:snapToGrid/>
                <w:szCs w:val="22"/>
              </w:rPr>
            </w:pPr>
            <w:r w:rsidRPr="00CE7679">
              <w:rPr>
                <w:snapToGrid/>
                <w:szCs w:val="22"/>
              </w:rPr>
              <w:t>Didysis atsakas po 84</w:t>
            </w:r>
            <w:r w:rsidR="004C1A71" w:rsidRPr="00CE7679">
              <w:rPr>
                <w:snapToGrid/>
                <w:szCs w:val="22"/>
              </w:rPr>
              <w:t> </w:t>
            </w:r>
            <w:r w:rsidRPr="00CE7679">
              <w:rPr>
                <w:snapToGrid/>
                <w:szCs w:val="22"/>
              </w:rPr>
              <w:t>mėnesių (%)</w:t>
            </w:r>
          </w:p>
        </w:tc>
        <w:tc>
          <w:tcPr>
            <w:tcW w:w="2664" w:type="dxa"/>
            <w:tcBorders>
              <w:top w:val="nil"/>
              <w:bottom w:val="single" w:sz="4" w:space="0" w:color="auto"/>
            </w:tcBorders>
          </w:tcPr>
          <w:p w14:paraId="3BB71974" w14:textId="77777777" w:rsidR="00A27597" w:rsidRPr="00CE7679" w:rsidRDefault="00A27597" w:rsidP="00A27597">
            <w:pPr>
              <w:tabs>
                <w:tab w:val="clear" w:pos="567"/>
              </w:tabs>
              <w:spacing w:line="240" w:lineRule="auto"/>
              <w:jc w:val="center"/>
              <w:rPr>
                <w:snapToGrid/>
                <w:szCs w:val="22"/>
              </w:rPr>
            </w:pPr>
          </w:p>
          <w:p w14:paraId="7A5845BD" w14:textId="77777777" w:rsidR="00A27597" w:rsidRPr="00CE7679" w:rsidRDefault="00A27597" w:rsidP="00A27597">
            <w:pPr>
              <w:tabs>
                <w:tab w:val="clear" w:pos="567"/>
              </w:tabs>
              <w:spacing w:line="240" w:lineRule="auto"/>
              <w:jc w:val="center"/>
            </w:pPr>
            <w:r w:rsidRPr="00CE7679">
              <w:t>153/305=50,2 %</w:t>
            </w:r>
          </w:p>
          <w:p w14:paraId="27785242" w14:textId="77777777" w:rsidR="00A27597" w:rsidRPr="00CE7679" w:rsidRDefault="00A27597" w:rsidP="00A27597">
            <w:pPr>
              <w:tabs>
                <w:tab w:val="clear" w:pos="567"/>
              </w:tabs>
              <w:spacing w:line="240" w:lineRule="auto"/>
              <w:jc w:val="center"/>
            </w:pPr>
            <w:r w:rsidRPr="00CE7679">
              <w:t>73/104=70,2 %</w:t>
            </w:r>
          </w:p>
          <w:p w14:paraId="4DF86559" w14:textId="77777777" w:rsidR="00A27597" w:rsidRPr="00CE7679" w:rsidRDefault="00A27597" w:rsidP="00A27597">
            <w:pPr>
              <w:tabs>
                <w:tab w:val="clear" w:pos="567"/>
              </w:tabs>
              <w:autoSpaceDE w:val="0"/>
              <w:autoSpaceDN w:val="0"/>
              <w:adjustRightInd w:val="0"/>
              <w:spacing w:line="240" w:lineRule="auto"/>
              <w:jc w:val="center"/>
              <w:rPr>
                <w:sz w:val="24"/>
              </w:rPr>
            </w:pPr>
            <w:r w:rsidRPr="00CE7679">
              <w:t xml:space="preserve">102/116=87,9 % </w:t>
            </w:r>
          </w:p>
          <w:p w14:paraId="4D54EA16" w14:textId="77777777" w:rsidR="00A27597" w:rsidRPr="00CE7679" w:rsidRDefault="00A27597" w:rsidP="00A27597">
            <w:pPr>
              <w:tabs>
                <w:tab w:val="clear" w:pos="567"/>
              </w:tabs>
              <w:spacing w:line="240" w:lineRule="auto"/>
              <w:jc w:val="center"/>
            </w:pPr>
          </w:p>
        </w:tc>
        <w:tc>
          <w:tcPr>
            <w:tcW w:w="2664" w:type="dxa"/>
            <w:tcBorders>
              <w:top w:val="nil"/>
              <w:bottom w:val="single" w:sz="4" w:space="0" w:color="auto"/>
            </w:tcBorders>
          </w:tcPr>
          <w:p w14:paraId="4DA53744" w14:textId="77777777" w:rsidR="00A27597" w:rsidRPr="00CE7679" w:rsidRDefault="00A27597" w:rsidP="00A27597">
            <w:pPr>
              <w:tabs>
                <w:tab w:val="clear" w:pos="567"/>
              </w:tabs>
              <w:autoSpaceDE w:val="0"/>
              <w:autoSpaceDN w:val="0"/>
              <w:adjustRightInd w:val="0"/>
              <w:spacing w:line="240" w:lineRule="auto"/>
              <w:jc w:val="center"/>
            </w:pPr>
          </w:p>
          <w:p w14:paraId="56460D69" w14:textId="77777777" w:rsidR="00A27597" w:rsidRPr="00CE7679" w:rsidRDefault="00A27597" w:rsidP="00A27597">
            <w:pPr>
              <w:tabs>
                <w:tab w:val="clear" w:pos="567"/>
              </w:tabs>
              <w:autoSpaceDE w:val="0"/>
              <w:autoSpaceDN w:val="0"/>
              <w:adjustRightInd w:val="0"/>
              <w:spacing w:line="240" w:lineRule="auto"/>
              <w:jc w:val="center"/>
              <w:rPr>
                <w:sz w:val="24"/>
              </w:rPr>
            </w:pPr>
            <w:r w:rsidRPr="00CE7679">
              <w:t xml:space="preserve">8/83=9,6 % </w:t>
            </w:r>
          </w:p>
          <w:p w14:paraId="587D4996" w14:textId="77777777" w:rsidR="00A27597" w:rsidRPr="00CE7679" w:rsidRDefault="00A27597" w:rsidP="00A27597">
            <w:pPr>
              <w:tabs>
                <w:tab w:val="clear" w:pos="567"/>
              </w:tabs>
              <w:autoSpaceDE w:val="0"/>
              <w:autoSpaceDN w:val="0"/>
              <w:adjustRightInd w:val="0"/>
              <w:spacing w:line="240" w:lineRule="auto"/>
              <w:jc w:val="center"/>
              <w:rPr>
                <w:sz w:val="24"/>
              </w:rPr>
            </w:pPr>
            <w:r w:rsidRPr="00CE7679">
              <w:t xml:space="preserve">3/12=25 % </w:t>
            </w:r>
          </w:p>
          <w:p w14:paraId="597CF487" w14:textId="77777777" w:rsidR="00A27597" w:rsidRPr="00CE7679" w:rsidRDefault="00A27597" w:rsidP="00A27597">
            <w:pPr>
              <w:tabs>
                <w:tab w:val="clear" w:pos="567"/>
              </w:tabs>
              <w:autoSpaceDE w:val="0"/>
              <w:autoSpaceDN w:val="0"/>
              <w:adjustRightInd w:val="0"/>
              <w:spacing w:line="240" w:lineRule="auto"/>
              <w:jc w:val="center"/>
              <w:rPr>
                <w:sz w:val="24"/>
              </w:rPr>
            </w:pPr>
            <w:r w:rsidRPr="00CE7679">
              <w:t xml:space="preserve">3/4=75 % </w:t>
            </w:r>
          </w:p>
          <w:p w14:paraId="29BDD49B" w14:textId="77777777" w:rsidR="00A27597" w:rsidRPr="00CE7679" w:rsidRDefault="00A27597" w:rsidP="00A27597">
            <w:pPr>
              <w:tabs>
                <w:tab w:val="clear" w:pos="567"/>
              </w:tabs>
              <w:spacing w:line="240" w:lineRule="auto"/>
            </w:pPr>
          </w:p>
        </w:tc>
      </w:tr>
      <w:tr w:rsidR="00A27597" w:rsidRPr="00CE7679" w14:paraId="65971EBC" w14:textId="77777777" w:rsidTr="00A27597">
        <w:tc>
          <w:tcPr>
            <w:tcW w:w="9276" w:type="dxa"/>
            <w:gridSpan w:val="3"/>
            <w:tcBorders>
              <w:top w:val="single" w:sz="4" w:space="0" w:color="auto"/>
            </w:tcBorders>
          </w:tcPr>
          <w:p w14:paraId="69AC9BDD" w14:textId="77777777" w:rsidR="00A27597" w:rsidRPr="00CE7679" w:rsidRDefault="00A27597" w:rsidP="00A27597">
            <w:pPr>
              <w:tabs>
                <w:tab w:val="clear" w:pos="567"/>
              </w:tabs>
              <w:spacing w:line="240" w:lineRule="auto"/>
              <w:rPr>
                <w:snapToGrid/>
                <w:szCs w:val="22"/>
              </w:rPr>
            </w:pPr>
            <w:r w:rsidRPr="00CE7679">
              <w:rPr>
                <w:snapToGrid/>
                <w:szCs w:val="22"/>
              </w:rPr>
              <w:t>* p&lt;0</w:t>
            </w:r>
            <w:r w:rsidR="004C1A71" w:rsidRPr="00CE7679">
              <w:rPr>
                <w:snapToGrid/>
                <w:szCs w:val="22"/>
              </w:rPr>
              <w:t>,</w:t>
            </w:r>
            <w:r w:rsidRPr="00CE7679">
              <w:rPr>
                <w:snapToGrid/>
                <w:szCs w:val="22"/>
              </w:rPr>
              <w:t xml:space="preserve">001, </w:t>
            </w:r>
            <w:r w:rsidRPr="00CE7679">
              <w:rPr>
                <w:i/>
                <w:snapToGrid/>
                <w:szCs w:val="22"/>
              </w:rPr>
              <w:t>Fischer</w:t>
            </w:r>
            <w:r w:rsidRPr="00CE7679">
              <w:rPr>
                <w:snapToGrid/>
                <w:szCs w:val="22"/>
              </w:rPr>
              <w:t xml:space="preserve"> tikslus testas</w:t>
            </w:r>
          </w:p>
          <w:p w14:paraId="1DE4531D" w14:textId="77777777" w:rsidR="00A27597" w:rsidRPr="00CE7679" w:rsidRDefault="00A27597" w:rsidP="00A27597">
            <w:pPr>
              <w:tabs>
                <w:tab w:val="clear" w:pos="567"/>
              </w:tabs>
              <w:spacing w:line="240" w:lineRule="auto"/>
              <w:rPr>
                <w:snapToGrid/>
                <w:szCs w:val="22"/>
              </w:rPr>
            </w:pPr>
            <w:r w:rsidRPr="00CE7679">
              <w:rPr>
                <w:snapToGrid/>
                <w:szCs w:val="22"/>
              </w:rPr>
              <w:t>** procentinė molekulinio atsako dalis, pagrįsta turimomis imtimis</w:t>
            </w:r>
          </w:p>
          <w:p w14:paraId="5B55539A" w14:textId="77777777" w:rsidR="00A27597" w:rsidRPr="00CE7679" w:rsidRDefault="00A27597" w:rsidP="00A27597">
            <w:pPr>
              <w:tabs>
                <w:tab w:val="clear" w:pos="567"/>
              </w:tabs>
              <w:spacing w:line="240" w:lineRule="auto"/>
              <w:rPr>
                <w:snapToGrid/>
                <w:szCs w:val="22"/>
              </w:rPr>
            </w:pPr>
            <w:r w:rsidRPr="00CE7679">
              <w:rPr>
                <w:b/>
                <w:snapToGrid/>
                <w:szCs w:val="22"/>
              </w:rPr>
              <w:t>Hematologinio atsako kriterijai (bet koks atsakas turi būti patvirtintas po ≥</w:t>
            </w:r>
            <w:r w:rsidR="004C1A71" w:rsidRPr="00CE7679">
              <w:rPr>
                <w:b/>
                <w:snapToGrid/>
                <w:szCs w:val="22"/>
              </w:rPr>
              <w:t> </w:t>
            </w:r>
            <w:r w:rsidRPr="00CE7679">
              <w:rPr>
                <w:b/>
                <w:snapToGrid/>
                <w:szCs w:val="22"/>
              </w:rPr>
              <w:t>4</w:t>
            </w:r>
            <w:r w:rsidR="004C1A71" w:rsidRPr="00CE7679">
              <w:rPr>
                <w:b/>
                <w:snapToGrid/>
                <w:szCs w:val="22"/>
              </w:rPr>
              <w:t> </w:t>
            </w:r>
            <w:r w:rsidRPr="00CE7679">
              <w:rPr>
                <w:b/>
                <w:snapToGrid/>
                <w:szCs w:val="22"/>
              </w:rPr>
              <w:t>savaičių)</w:t>
            </w:r>
            <w:r w:rsidRPr="00CE7679">
              <w:rPr>
                <w:snapToGrid/>
                <w:szCs w:val="22"/>
              </w:rPr>
              <w:t>:</w:t>
            </w:r>
          </w:p>
          <w:p w14:paraId="73753381" w14:textId="77777777" w:rsidR="00A27597" w:rsidRPr="00CE7679" w:rsidRDefault="00A27597" w:rsidP="00A27597">
            <w:pPr>
              <w:tabs>
                <w:tab w:val="clear" w:pos="567"/>
              </w:tabs>
              <w:spacing w:line="240" w:lineRule="auto"/>
              <w:rPr>
                <w:snapToGrid/>
                <w:szCs w:val="22"/>
              </w:rPr>
            </w:pPr>
            <w:r w:rsidRPr="00CE7679">
              <w:rPr>
                <w:snapToGrid/>
                <w:szCs w:val="22"/>
              </w:rPr>
              <w:t>BKK&lt;</w:t>
            </w:r>
            <w:r w:rsidR="004C1A71" w:rsidRPr="00CE7679">
              <w:rPr>
                <w:snapToGrid/>
                <w:szCs w:val="22"/>
              </w:rPr>
              <w:t> </w:t>
            </w:r>
            <w:r w:rsidRPr="00CE7679">
              <w:rPr>
                <w:snapToGrid/>
                <w:szCs w:val="22"/>
              </w:rPr>
              <w:t>10</w:t>
            </w:r>
            <w:r w:rsidR="004C1A71" w:rsidRPr="00CE7679">
              <w:rPr>
                <w:snapToGrid/>
                <w:szCs w:val="22"/>
              </w:rPr>
              <w:t> </w:t>
            </w:r>
            <w:r w:rsidRPr="00CE7679">
              <w:rPr>
                <w:snapToGrid/>
                <w:szCs w:val="22"/>
              </w:rPr>
              <w:t>x</w:t>
            </w:r>
            <w:r w:rsidR="004C1A71" w:rsidRPr="00CE7679">
              <w:rPr>
                <w:snapToGrid/>
                <w:szCs w:val="22"/>
              </w:rPr>
              <w:t> </w:t>
            </w:r>
            <w:r w:rsidRPr="00CE7679">
              <w:rPr>
                <w:snapToGrid/>
                <w:szCs w:val="22"/>
              </w:rPr>
              <w:t>10</w:t>
            </w:r>
            <w:r w:rsidRPr="00CE7679">
              <w:rPr>
                <w:snapToGrid/>
                <w:szCs w:val="22"/>
                <w:vertAlign w:val="superscript"/>
              </w:rPr>
              <w:t>9</w:t>
            </w:r>
            <w:r w:rsidRPr="00CE7679">
              <w:rPr>
                <w:snapToGrid/>
                <w:szCs w:val="22"/>
              </w:rPr>
              <w:t>/l, trombocitų &lt;</w:t>
            </w:r>
            <w:r w:rsidR="004C1A71" w:rsidRPr="00CE7679">
              <w:rPr>
                <w:snapToGrid/>
                <w:szCs w:val="22"/>
              </w:rPr>
              <w:t> </w:t>
            </w:r>
            <w:r w:rsidRPr="00CE7679">
              <w:rPr>
                <w:snapToGrid/>
                <w:szCs w:val="22"/>
              </w:rPr>
              <w:t>450</w:t>
            </w:r>
            <w:r w:rsidR="004C1A71" w:rsidRPr="00CE7679">
              <w:rPr>
                <w:snapToGrid/>
                <w:szCs w:val="22"/>
              </w:rPr>
              <w:t> </w:t>
            </w:r>
            <w:r w:rsidRPr="00CE7679">
              <w:rPr>
                <w:snapToGrid/>
                <w:szCs w:val="22"/>
              </w:rPr>
              <w:t>x</w:t>
            </w:r>
            <w:r w:rsidR="004C1A71" w:rsidRPr="00CE7679">
              <w:rPr>
                <w:snapToGrid/>
                <w:szCs w:val="22"/>
              </w:rPr>
              <w:t> </w:t>
            </w:r>
            <w:r w:rsidRPr="00CE7679">
              <w:rPr>
                <w:snapToGrid/>
                <w:szCs w:val="22"/>
              </w:rPr>
              <w:t>10</w:t>
            </w:r>
            <w:r w:rsidRPr="00CE7679">
              <w:rPr>
                <w:snapToGrid/>
                <w:szCs w:val="22"/>
                <w:vertAlign w:val="superscript"/>
              </w:rPr>
              <w:t>9</w:t>
            </w:r>
            <w:r w:rsidRPr="00CE7679">
              <w:rPr>
                <w:snapToGrid/>
                <w:szCs w:val="22"/>
              </w:rPr>
              <w:t xml:space="preserve">/l, </w:t>
            </w:r>
            <w:proofErr w:type="spellStart"/>
            <w:r w:rsidRPr="00CE7679">
              <w:rPr>
                <w:snapToGrid/>
                <w:szCs w:val="22"/>
              </w:rPr>
              <w:t>mielocitų+metamielocitų</w:t>
            </w:r>
            <w:proofErr w:type="spellEnd"/>
            <w:r w:rsidRPr="00CE7679">
              <w:rPr>
                <w:snapToGrid/>
                <w:szCs w:val="22"/>
              </w:rPr>
              <w:t xml:space="preserve"> &lt;</w:t>
            </w:r>
            <w:r w:rsidR="004C1A71" w:rsidRPr="00CE7679">
              <w:rPr>
                <w:snapToGrid/>
                <w:szCs w:val="22"/>
              </w:rPr>
              <w:t> </w:t>
            </w:r>
            <w:r w:rsidRPr="00CE7679">
              <w:rPr>
                <w:snapToGrid/>
                <w:szCs w:val="22"/>
              </w:rPr>
              <w:t>5</w:t>
            </w:r>
            <w:r w:rsidR="004C1A71" w:rsidRPr="00CE7679">
              <w:rPr>
                <w:snapToGrid/>
                <w:szCs w:val="22"/>
              </w:rPr>
              <w:t> </w:t>
            </w:r>
            <w:r w:rsidRPr="00CE7679">
              <w:rPr>
                <w:snapToGrid/>
                <w:szCs w:val="22"/>
              </w:rPr>
              <w:t xml:space="preserve">% kraujyje, kraujyje nėra </w:t>
            </w:r>
            <w:proofErr w:type="spellStart"/>
            <w:r w:rsidRPr="00CE7679">
              <w:rPr>
                <w:snapToGrid/>
                <w:szCs w:val="22"/>
              </w:rPr>
              <w:t>blastų</w:t>
            </w:r>
            <w:proofErr w:type="spellEnd"/>
            <w:r w:rsidRPr="00CE7679">
              <w:rPr>
                <w:snapToGrid/>
                <w:szCs w:val="22"/>
              </w:rPr>
              <w:t xml:space="preserve"> ir </w:t>
            </w:r>
            <w:proofErr w:type="spellStart"/>
            <w:r w:rsidRPr="00CE7679">
              <w:rPr>
                <w:snapToGrid/>
                <w:szCs w:val="22"/>
              </w:rPr>
              <w:t>promielocitų</w:t>
            </w:r>
            <w:proofErr w:type="spellEnd"/>
            <w:r w:rsidRPr="00CE7679">
              <w:rPr>
                <w:snapToGrid/>
                <w:szCs w:val="22"/>
              </w:rPr>
              <w:t xml:space="preserve">, </w:t>
            </w:r>
            <w:proofErr w:type="spellStart"/>
            <w:r w:rsidRPr="00CE7679">
              <w:rPr>
                <w:snapToGrid/>
                <w:szCs w:val="22"/>
              </w:rPr>
              <w:t>bazofilų</w:t>
            </w:r>
            <w:proofErr w:type="spellEnd"/>
            <w:r w:rsidRPr="00CE7679">
              <w:rPr>
                <w:snapToGrid/>
                <w:szCs w:val="22"/>
              </w:rPr>
              <w:t xml:space="preserve"> &lt;</w:t>
            </w:r>
            <w:r w:rsidR="004C1A71" w:rsidRPr="00CE7679">
              <w:rPr>
                <w:snapToGrid/>
                <w:szCs w:val="22"/>
              </w:rPr>
              <w:t> </w:t>
            </w:r>
            <w:r w:rsidRPr="00CE7679">
              <w:rPr>
                <w:snapToGrid/>
                <w:szCs w:val="22"/>
              </w:rPr>
              <w:t>20</w:t>
            </w:r>
            <w:r w:rsidR="004C1A71" w:rsidRPr="00CE7679">
              <w:rPr>
                <w:snapToGrid/>
                <w:szCs w:val="22"/>
              </w:rPr>
              <w:t> </w:t>
            </w:r>
            <w:r w:rsidRPr="00CE7679">
              <w:rPr>
                <w:snapToGrid/>
                <w:szCs w:val="22"/>
              </w:rPr>
              <w:t xml:space="preserve">%, nėra </w:t>
            </w:r>
            <w:proofErr w:type="spellStart"/>
            <w:r w:rsidRPr="00CE7679">
              <w:rPr>
                <w:snapToGrid/>
                <w:szCs w:val="22"/>
              </w:rPr>
              <w:t>ekstramedulinių</w:t>
            </w:r>
            <w:proofErr w:type="spellEnd"/>
            <w:r w:rsidRPr="00CE7679">
              <w:rPr>
                <w:snapToGrid/>
                <w:szCs w:val="22"/>
              </w:rPr>
              <w:t xml:space="preserve"> židinių.</w:t>
            </w:r>
          </w:p>
          <w:p w14:paraId="7245BFAA" w14:textId="77777777" w:rsidR="00A27597" w:rsidRPr="00CE7679" w:rsidRDefault="00A27597" w:rsidP="00A27597">
            <w:pPr>
              <w:tabs>
                <w:tab w:val="clear" w:pos="567"/>
              </w:tabs>
              <w:spacing w:line="240" w:lineRule="auto"/>
              <w:rPr>
                <w:snapToGrid/>
                <w:szCs w:val="22"/>
              </w:rPr>
            </w:pPr>
            <w:r w:rsidRPr="00CE7679">
              <w:rPr>
                <w:b/>
                <w:snapToGrid/>
                <w:szCs w:val="22"/>
              </w:rPr>
              <w:t>Citogenetinio atsako kriterijai:</w:t>
            </w:r>
            <w:r w:rsidRPr="00CE7679">
              <w:rPr>
                <w:snapToGrid/>
                <w:szCs w:val="22"/>
              </w:rPr>
              <w:t xml:space="preserve"> visiškas (0</w:t>
            </w:r>
            <w:r w:rsidR="004C1A71" w:rsidRPr="00CE7679">
              <w:rPr>
                <w:snapToGrid/>
                <w:szCs w:val="22"/>
              </w:rPr>
              <w:t> </w:t>
            </w:r>
            <w:r w:rsidRPr="00CE7679">
              <w:rPr>
                <w:snapToGrid/>
                <w:szCs w:val="22"/>
              </w:rPr>
              <w:t xml:space="preserve">% </w:t>
            </w:r>
            <w:proofErr w:type="spellStart"/>
            <w:r w:rsidRPr="00CE7679">
              <w:rPr>
                <w:snapToGrid/>
                <w:szCs w:val="22"/>
              </w:rPr>
              <w:t>Ph</w:t>
            </w:r>
            <w:proofErr w:type="spellEnd"/>
            <w:r w:rsidRPr="00CE7679">
              <w:rPr>
                <w:snapToGrid/>
                <w:szCs w:val="22"/>
              </w:rPr>
              <w:t xml:space="preserve">+ </w:t>
            </w:r>
            <w:proofErr w:type="spellStart"/>
            <w:r w:rsidRPr="00CE7679">
              <w:rPr>
                <w:snapToGrid/>
                <w:szCs w:val="22"/>
              </w:rPr>
              <w:t>metafazės</w:t>
            </w:r>
            <w:proofErr w:type="spellEnd"/>
            <w:r w:rsidRPr="00CE7679">
              <w:rPr>
                <w:snapToGrid/>
                <w:szCs w:val="22"/>
              </w:rPr>
              <w:t>), dalinis (1–35</w:t>
            </w:r>
            <w:r w:rsidR="004C1A71" w:rsidRPr="00CE7679">
              <w:rPr>
                <w:snapToGrid/>
                <w:szCs w:val="22"/>
              </w:rPr>
              <w:t> </w:t>
            </w:r>
            <w:r w:rsidRPr="00CE7679">
              <w:rPr>
                <w:snapToGrid/>
                <w:szCs w:val="22"/>
              </w:rPr>
              <w:t>%), mažas (36–65</w:t>
            </w:r>
            <w:r w:rsidR="004C1A71" w:rsidRPr="00CE7679">
              <w:rPr>
                <w:snapToGrid/>
                <w:szCs w:val="22"/>
              </w:rPr>
              <w:t> </w:t>
            </w:r>
            <w:r w:rsidRPr="00CE7679">
              <w:rPr>
                <w:snapToGrid/>
                <w:szCs w:val="22"/>
              </w:rPr>
              <w:t>%) ar mažiausias (66–95</w:t>
            </w:r>
            <w:r w:rsidR="004C1A71" w:rsidRPr="00CE7679">
              <w:rPr>
                <w:snapToGrid/>
                <w:szCs w:val="22"/>
              </w:rPr>
              <w:t> </w:t>
            </w:r>
            <w:r w:rsidRPr="00CE7679">
              <w:rPr>
                <w:snapToGrid/>
                <w:szCs w:val="22"/>
              </w:rPr>
              <w:t>%). Didysis atsakas (0–35</w:t>
            </w:r>
            <w:r w:rsidR="004C1A71" w:rsidRPr="00CE7679">
              <w:rPr>
                <w:snapToGrid/>
                <w:szCs w:val="22"/>
              </w:rPr>
              <w:t> </w:t>
            </w:r>
            <w:r w:rsidRPr="00CE7679">
              <w:rPr>
                <w:snapToGrid/>
                <w:szCs w:val="22"/>
              </w:rPr>
              <w:t>%) apima visišką ir dalinį atsaką.</w:t>
            </w:r>
          </w:p>
          <w:p w14:paraId="78D6DADC" w14:textId="77777777" w:rsidR="00A27597" w:rsidRPr="00CE7679" w:rsidRDefault="00A27597" w:rsidP="004C1A71">
            <w:pPr>
              <w:tabs>
                <w:tab w:val="clear" w:pos="567"/>
              </w:tabs>
              <w:spacing w:line="240" w:lineRule="auto"/>
              <w:rPr>
                <w:snapToGrid/>
                <w:szCs w:val="22"/>
              </w:rPr>
            </w:pPr>
            <w:r w:rsidRPr="00CE7679">
              <w:rPr>
                <w:b/>
                <w:snapToGrid/>
                <w:szCs w:val="22"/>
              </w:rPr>
              <w:t>Didžiojo molekulinio atsako kriterijai:</w:t>
            </w:r>
            <w:r w:rsidRPr="00CE7679">
              <w:rPr>
                <w:snapToGrid/>
                <w:szCs w:val="22"/>
              </w:rPr>
              <w:t xml:space="preserve"> periferiniame kraujyje </w:t>
            </w:r>
            <w:proofErr w:type="spellStart"/>
            <w:r w:rsidRPr="00CE7679">
              <w:rPr>
                <w:snapToGrid/>
                <w:szCs w:val="22"/>
              </w:rPr>
              <w:t>Bcr-Abl</w:t>
            </w:r>
            <w:proofErr w:type="spellEnd"/>
            <w:r w:rsidRPr="00CE7679">
              <w:rPr>
                <w:snapToGrid/>
                <w:szCs w:val="22"/>
              </w:rPr>
              <w:t xml:space="preserve"> </w:t>
            </w:r>
            <w:proofErr w:type="spellStart"/>
            <w:r w:rsidRPr="00CE7679">
              <w:rPr>
                <w:snapToGrid/>
                <w:szCs w:val="22"/>
              </w:rPr>
              <w:t>transkriptų</w:t>
            </w:r>
            <w:proofErr w:type="spellEnd"/>
            <w:r w:rsidRPr="00CE7679">
              <w:rPr>
                <w:snapToGrid/>
                <w:szCs w:val="22"/>
              </w:rPr>
              <w:t xml:space="preserve"> kiekio sumažėjimas ≥</w:t>
            </w:r>
            <w:r w:rsidR="004C1A71" w:rsidRPr="00CE7679">
              <w:rPr>
                <w:snapToGrid/>
                <w:szCs w:val="22"/>
              </w:rPr>
              <w:t> </w:t>
            </w:r>
            <w:r w:rsidRPr="00CE7679">
              <w:rPr>
                <w:snapToGrid/>
                <w:szCs w:val="22"/>
              </w:rPr>
              <w:t>3</w:t>
            </w:r>
            <w:r w:rsidR="004C1A71" w:rsidRPr="00CE7679">
              <w:rPr>
                <w:snapToGrid/>
                <w:szCs w:val="22"/>
              </w:rPr>
              <w:t> </w:t>
            </w:r>
            <w:r w:rsidRPr="00CE7679">
              <w:rPr>
                <w:snapToGrid/>
                <w:szCs w:val="22"/>
              </w:rPr>
              <w:t xml:space="preserve">logaritmais (matuojama realaus laiko kiekybiniu atvirkštinės </w:t>
            </w:r>
            <w:proofErr w:type="spellStart"/>
            <w:r w:rsidRPr="00CE7679">
              <w:rPr>
                <w:snapToGrid/>
                <w:szCs w:val="22"/>
              </w:rPr>
              <w:t>transkriptazės</w:t>
            </w:r>
            <w:proofErr w:type="spellEnd"/>
            <w:r w:rsidRPr="00CE7679">
              <w:rPr>
                <w:snapToGrid/>
                <w:szCs w:val="22"/>
              </w:rPr>
              <w:t xml:space="preserve"> PGR tyrimu), lyginant su standartizuota pradine reikšme.</w:t>
            </w:r>
          </w:p>
        </w:tc>
      </w:tr>
    </w:tbl>
    <w:p w14:paraId="7182F307"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47B2407D"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Skyrus pirmaeilį gydymą, visiško hematologinio atsako, didžiojo citogenetinio atsako ir visiško citogenetinio atsako dalis nustatyta naudojant </w:t>
      </w:r>
      <w:proofErr w:type="spellStart"/>
      <w:r w:rsidRPr="00CE7679">
        <w:rPr>
          <w:rFonts w:eastAsia="SimSun"/>
          <w:snapToGrid/>
          <w:szCs w:val="22"/>
          <w:lang w:eastAsia="zh-CN"/>
        </w:rPr>
        <w:t>Kaplan-Meier</w:t>
      </w:r>
      <w:proofErr w:type="spellEnd"/>
      <w:r w:rsidRPr="00CE7679">
        <w:rPr>
          <w:rFonts w:eastAsia="SimSun"/>
          <w:snapToGrid/>
          <w:szCs w:val="22"/>
          <w:lang w:eastAsia="zh-CN"/>
        </w:rPr>
        <w:t xml:space="preserve"> metodą, atsako nebuvimo atvejus cenzūruojant pagal paskutinės apžiūros duomenis. Naudojant šį metodą nustatyti nuo 12 iki 84 </w:t>
      </w:r>
      <w:r w:rsidRPr="00CE7679">
        <w:rPr>
          <w:rFonts w:eastAsia="SimSun"/>
          <w:snapToGrid/>
          <w:szCs w:val="22"/>
          <w:lang w:eastAsia="zh-CN"/>
        </w:rPr>
        <w:lastRenderedPageBreak/>
        <w:t xml:space="preserve">gydymo mėnesiais suminiai atsako į pirmaeilį gydymą </w:t>
      </w:r>
      <w:proofErr w:type="spellStart"/>
      <w:r w:rsidRPr="00CE7679">
        <w:rPr>
          <w:rFonts w:eastAsia="SimSun"/>
          <w:snapToGrid/>
          <w:szCs w:val="22"/>
          <w:lang w:eastAsia="zh-CN"/>
        </w:rPr>
        <w:t>imatinibu</w:t>
      </w:r>
      <w:proofErr w:type="spellEnd"/>
      <w:r w:rsidRPr="00CE7679">
        <w:rPr>
          <w:rFonts w:eastAsia="SimSun"/>
          <w:snapToGrid/>
          <w:szCs w:val="22"/>
          <w:lang w:eastAsia="zh-CN"/>
        </w:rPr>
        <w:t xml:space="preserve"> dažniai: VHA nuo 96,4</w:t>
      </w:r>
      <w:r w:rsidR="00F41710" w:rsidRPr="00CE7679">
        <w:rPr>
          <w:rFonts w:eastAsia="SimSun"/>
          <w:snapToGrid/>
          <w:szCs w:val="22"/>
          <w:lang w:eastAsia="zh-CN"/>
        </w:rPr>
        <w:t> </w:t>
      </w:r>
      <w:r w:rsidRPr="00CE7679">
        <w:rPr>
          <w:rFonts w:eastAsia="SimSun"/>
          <w:snapToGrid/>
          <w:szCs w:val="22"/>
          <w:lang w:eastAsia="zh-CN"/>
        </w:rPr>
        <w:t>% iki 98,4</w:t>
      </w:r>
      <w:r w:rsidR="00F41710" w:rsidRPr="00CE7679">
        <w:rPr>
          <w:rFonts w:eastAsia="SimSun"/>
          <w:snapToGrid/>
          <w:szCs w:val="22"/>
          <w:lang w:eastAsia="zh-CN"/>
        </w:rPr>
        <w:t> </w:t>
      </w:r>
      <w:r w:rsidRPr="00CE7679">
        <w:rPr>
          <w:rFonts w:eastAsia="SimSun"/>
          <w:snapToGrid/>
          <w:szCs w:val="22"/>
          <w:lang w:eastAsia="zh-CN"/>
        </w:rPr>
        <w:t xml:space="preserve">% ir </w:t>
      </w:r>
      <w:proofErr w:type="spellStart"/>
      <w:r w:rsidRPr="00CE7679">
        <w:rPr>
          <w:rFonts w:eastAsia="SimSun"/>
          <w:snapToGrid/>
          <w:szCs w:val="22"/>
          <w:lang w:eastAsia="zh-CN"/>
        </w:rPr>
        <w:t>CCyR</w:t>
      </w:r>
      <w:proofErr w:type="spellEnd"/>
      <w:r w:rsidRPr="00CE7679">
        <w:rPr>
          <w:rFonts w:eastAsia="SimSun"/>
          <w:snapToGrid/>
          <w:szCs w:val="22"/>
          <w:lang w:eastAsia="zh-CN"/>
        </w:rPr>
        <w:t xml:space="preserve"> nuo 69,5</w:t>
      </w:r>
      <w:r w:rsidR="00F41710" w:rsidRPr="00CE7679">
        <w:rPr>
          <w:rFonts w:eastAsia="SimSun"/>
          <w:snapToGrid/>
          <w:szCs w:val="22"/>
          <w:lang w:eastAsia="zh-CN"/>
        </w:rPr>
        <w:t> </w:t>
      </w:r>
      <w:r w:rsidRPr="00CE7679">
        <w:rPr>
          <w:rFonts w:eastAsia="SimSun"/>
          <w:snapToGrid/>
          <w:szCs w:val="22"/>
          <w:lang w:eastAsia="zh-CN"/>
        </w:rPr>
        <w:t>% iki 87,2</w:t>
      </w:r>
      <w:r w:rsidR="00F41710" w:rsidRPr="00CE7679">
        <w:rPr>
          <w:rFonts w:eastAsia="SimSun"/>
          <w:snapToGrid/>
          <w:szCs w:val="22"/>
          <w:lang w:eastAsia="zh-CN"/>
        </w:rPr>
        <w:t> </w:t>
      </w:r>
      <w:r w:rsidRPr="00CE7679">
        <w:rPr>
          <w:rFonts w:eastAsia="SimSun"/>
          <w:snapToGrid/>
          <w:szCs w:val="22"/>
          <w:lang w:eastAsia="zh-CN"/>
        </w:rPr>
        <w:t>% atitinkamai.</w:t>
      </w:r>
    </w:p>
    <w:p w14:paraId="1C60D973"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4A82C2AE"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Per 7</w:t>
      </w:r>
      <w:r w:rsidR="00F41710" w:rsidRPr="00CE7679">
        <w:rPr>
          <w:rFonts w:eastAsia="SimSun"/>
          <w:snapToGrid/>
          <w:szCs w:val="22"/>
          <w:lang w:eastAsia="zh-CN"/>
        </w:rPr>
        <w:t> </w:t>
      </w:r>
      <w:r w:rsidRPr="00CE7679">
        <w:rPr>
          <w:rFonts w:eastAsia="SimSun"/>
          <w:snapToGrid/>
          <w:szCs w:val="22"/>
          <w:lang w:eastAsia="zh-CN"/>
        </w:rPr>
        <w:t xml:space="preserve">metų stebėjimo laikotarpį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grupėje nustatyti 93 (16,8</w:t>
      </w:r>
      <w:r w:rsidR="00F41710" w:rsidRPr="00CE7679">
        <w:rPr>
          <w:rFonts w:eastAsia="SimSun"/>
          <w:snapToGrid/>
          <w:szCs w:val="22"/>
          <w:lang w:eastAsia="zh-CN"/>
        </w:rPr>
        <w:t> </w:t>
      </w:r>
      <w:r w:rsidRPr="00CE7679">
        <w:rPr>
          <w:rFonts w:eastAsia="SimSun"/>
          <w:snapToGrid/>
          <w:szCs w:val="22"/>
          <w:lang w:eastAsia="zh-CN"/>
        </w:rPr>
        <w:t>%) ligos progresavimo reiškiniai: 37 (6,7</w:t>
      </w:r>
      <w:r w:rsidR="00F41710" w:rsidRPr="00CE7679">
        <w:rPr>
          <w:rFonts w:eastAsia="SimSun"/>
          <w:snapToGrid/>
          <w:szCs w:val="22"/>
          <w:lang w:eastAsia="zh-CN"/>
        </w:rPr>
        <w:t> </w:t>
      </w:r>
      <w:r w:rsidRPr="00CE7679">
        <w:rPr>
          <w:rFonts w:eastAsia="SimSun"/>
          <w:snapToGrid/>
          <w:szCs w:val="22"/>
          <w:lang w:eastAsia="zh-CN"/>
        </w:rPr>
        <w:t xml:space="preserve">%) ligos progresavimo iki akceleracijos fazės ar </w:t>
      </w:r>
      <w:proofErr w:type="spellStart"/>
      <w:r w:rsidRPr="00CE7679">
        <w:rPr>
          <w:rFonts w:eastAsia="SimSun"/>
          <w:snapToGrid/>
          <w:szCs w:val="22"/>
          <w:lang w:eastAsia="zh-CN"/>
        </w:rPr>
        <w:t>blastinės</w:t>
      </w:r>
      <w:proofErr w:type="spellEnd"/>
      <w:r w:rsidRPr="00CE7679">
        <w:rPr>
          <w:rFonts w:eastAsia="SimSun"/>
          <w:snapToGrid/>
          <w:szCs w:val="22"/>
          <w:lang w:eastAsia="zh-CN"/>
        </w:rPr>
        <w:t xml:space="preserve"> krizės atvejai, 31 (5,6</w:t>
      </w:r>
      <w:r w:rsidR="00F41710" w:rsidRPr="00CE7679">
        <w:rPr>
          <w:rFonts w:eastAsia="SimSun"/>
          <w:snapToGrid/>
          <w:szCs w:val="22"/>
          <w:lang w:eastAsia="zh-CN"/>
        </w:rPr>
        <w:t> </w:t>
      </w:r>
      <w:r w:rsidRPr="00CE7679">
        <w:rPr>
          <w:rFonts w:eastAsia="SimSun"/>
          <w:snapToGrid/>
          <w:szCs w:val="22"/>
          <w:lang w:eastAsia="zh-CN"/>
        </w:rPr>
        <w:t xml:space="preserve">%) </w:t>
      </w:r>
      <w:proofErr w:type="spellStart"/>
      <w:r w:rsidRPr="00CE7679">
        <w:rPr>
          <w:rFonts w:eastAsia="SimSun"/>
          <w:snapToGrid/>
          <w:szCs w:val="22"/>
          <w:lang w:eastAsia="zh-CN"/>
        </w:rPr>
        <w:t>MCyR</w:t>
      </w:r>
      <w:proofErr w:type="spellEnd"/>
      <w:r w:rsidRPr="00CE7679">
        <w:rPr>
          <w:rFonts w:eastAsia="SimSun"/>
          <w:snapToGrid/>
          <w:szCs w:val="22"/>
          <w:lang w:eastAsia="zh-CN"/>
        </w:rPr>
        <w:t xml:space="preserve"> išnykimo atvejai, 15 (2,7</w:t>
      </w:r>
      <w:r w:rsidR="00F41710" w:rsidRPr="00CE7679">
        <w:rPr>
          <w:rFonts w:eastAsia="SimSun"/>
          <w:snapToGrid/>
          <w:szCs w:val="22"/>
          <w:lang w:eastAsia="zh-CN"/>
        </w:rPr>
        <w:t> </w:t>
      </w:r>
      <w:r w:rsidRPr="00CE7679">
        <w:rPr>
          <w:rFonts w:eastAsia="SimSun"/>
          <w:snapToGrid/>
          <w:szCs w:val="22"/>
          <w:lang w:eastAsia="zh-CN"/>
        </w:rPr>
        <w:t>%) VHA išnykimo arba BKK skaičiaus padidėjimo atvejų ir 10 (1,8</w:t>
      </w:r>
      <w:r w:rsidR="00F41710" w:rsidRPr="00CE7679">
        <w:rPr>
          <w:rFonts w:eastAsia="SimSun"/>
          <w:snapToGrid/>
          <w:szCs w:val="22"/>
          <w:lang w:eastAsia="zh-CN"/>
        </w:rPr>
        <w:t> </w:t>
      </w:r>
      <w:r w:rsidRPr="00CE7679">
        <w:rPr>
          <w:rFonts w:eastAsia="SimSun"/>
          <w:snapToGrid/>
          <w:szCs w:val="22"/>
          <w:lang w:eastAsia="zh-CN"/>
        </w:rPr>
        <w:t xml:space="preserve">%) su LML nesusijusios mirties atvejų. Tuo tarpu </w:t>
      </w:r>
      <w:proofErr w:type="spellStart"/>
      <w:r w:rsidRPr="00CE7679">
        <w:rPr>
          <w:rFonts w:eastAsia="SimSun"/>
          <w:snapToGrid/>
          <w:szCs w:val="22"/>
          <w:lang w:eastAsia="zh-CN"/>
        </w:rPr>
        <w:t>IFN+Ara-C</w:t>
      </w:r>
      <w:proofErr w:type="spellEnd"/>
      <w:r w:rsidRPr="00CE7679">
        <w:rPr>
          <w:rFonts w:eastAsia="SimSun"/>
          <w:snapToGrid/>
          <w:szCs w:val="22"/>
          <w:lang w:eastAsia="zh-CN"/>
        </w:rPr>
        <w:t xml:space="preserve"> grupėje nustatyti 165 (29,8</w:t>
      </w:r>
      <w:r w:rsidR="00F41710" w:rsidRPr="00CE7679">
        <w:rPr>
          <w:rFonts w:eastAsia="SimSun"/>
          <w:snapToGrid/>
          <w:szCs w:val="22"/>
          <w:lang w:eastAsia="zh-CN"/>
        </w:rPr>
        <w:t> </w:t>
      </w:r>
      <w:r w:rsidRPr="00CE7679">
        <w:rPr>
          <w:rFonts w:eastAsia="SimSun"/>
          <w:snapToGrid/>
          <w:szCs w:val="22"/>
          <w:lang w:eastAsia="zh-CN"/>
        </w:rPr>
        <w:t xml:space="preserve">%) reiškiniai, iš kurių 130 pasireiškė pirmaeilio gydymo </w:t>
      </w:r>
      <w:proofErr w:type="spellStart"/>
      <w:r w:rsidRPr="00CE7679">
        <w:rPr>
          <w:rFonts w:eastAsia="SimSun"/>
          <w:snapToGrid/>
          <w:szCs w:val="22"/>
          <w:lang w:eastAsia="zh-CN"/>
        </w:rPr>
        <w:t>IFN+Ara-C</w:t>
      </w:r>
      <w:proofErr w:type="spellEnd"/>
      <w:r w:rsidRPr="00CE7679">
        <w:rPr>
          <w:rFonts w:eastAsia="SimSun"/>
          <w:snapToGrid/>
          <w:szCs w:val="22"/>
          <w:lang w:eastAsia="zh-CN"/>
        </w:rPr>
        <w:t xml:space="preserve"> metu.</w:t>
      </w:r>
    </w:p>
    <w:p w14:paraId="15736601"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071CF135"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Nustatyta pacientų dalis, kuriems liga neprogresavo iki akceleracijos fazės ar </w:t>
      </w:r>
      <w:proofErr w:type="spellStart"/>
      <w:r w:rsidRPr="00CE7679">
        <w:rPr>
          <w:rFonts w:eastAsia="SimSun"/>
          <w:snapToGrid/>
          <w:szCs w:val="22"/>
          <w:lang w:eastAsia="zh-CN"/>
        </w:rPr>
        <w:t>blastinės</w:t>
      </w:r>
      <w:proofErr w:type="spellEnd"/>
      <w:r w:rsidRPr="00CE7679">
        <w:rPr>
          <w:rFonts w:eastAsia="SimSun"/>
          <w:snapToGrid/>
          <w:szCs w:val="22"/>
          <w:lang w:eastAsia="zh-CN"/>
        </w:rPr>
        <w:t xml:space="preserve"> krizės praėjus 84</w:t>
      </w:r>
      <w:r w:rsidR="00F41710" w:rsidRPr="00CE7679">
        <w:rPr>
          <w:rFonts w:eastAsia="SimSun"/>
          <w:snapToGrid/>
          <w:szCs w:val="22"/>
          <w:lang w:eastAsia="zh-CN"/>
        </w:rPr>
        <w:t> </w:t>
      </w:r>
      <w:r w:rsidRPr="00CE7679">
        <w:rPr>
          <w:rFonts w:eastAsia="SimSun"/>
          <w:snapToGrid/>
          <w:szCs w:val="22"/>
          <w:lang w:eastAsia="zh-CN"/>
        </w:rPr>
        <w:t xml:space="preserve">mėnesiams, buvo reikšmingai didesnė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grupėje, lyginant su IFN grupe (92,5</w:t>
      </w:r>
      <w:r w:rsidR="00F41710" w:rsidRPr="00CE7679">
        <w:rPr>
          <w:rFonts w:eastAsia="SimSun"/>
          <w:snapToGrid/>
          <w:szCs w:val="22"/>
          <w:lang w:eastAsia="zh-CN"/>
        </w:rPr>
        <w:t> </w:t>
      </w:r>
      <w:r w:rsidRPr="00CE7679">
        <w:rPr>
          <w:rFonts w:eastAsia="SimSun"/>
          <w:snapToGrid/>
          <w:szCs w:val="22"/>
          <w:lang w:eastAsia="zh-CN"/>
        </w:rPr>
        <w:t>%, lyginant su 85,1</w:t>
      </w:r>
      <w:r w:rsidR="00F41710" w:rsidRPr="00CE7679">
        <w:rPr>
          <w:rFonts w:eastAsia="SimSun"/>
          <w:snapToGrid/>
          <w:szCs w:val="22"/>
          <w:lang w:eastAsia="zh-CN"/>
        </w:rPr>
        <w:t> </w:t>
      </w:r>
      <w:r w:rsidRPr="00CE7679">
        <w:rPr>
          <w:rFonts w:eastAsia="SimSun"/>
          <w:snapToGrid/>
          <w:szCs w:val="22"/>
          <w:lang w:eastAsia="zh-CN"/>
        </w:rPr>
        <w:t xml:space="preserve">%, p&lt;0,001). Gydymo laikui ilgėjant, kasmet nustatomas ligos progresavimo iki akceleracijos fazės arba </w:t>
      </w:r>
      <w:proofErr w:type="spellStart"/>
      <w:r w:rsidRPr="00CE7679">
        <w:rPr>
          <w:rFonts w:eastAsia="SimSun"/>
          <w:snapToGrid/>
          <w:szCs w:val="22"/>
          <w:lang w:eastAsia="zh-CN"/>
        </w:rPr>
        <w:t>blastų</w:t>
      </w:r>
      <w:proofErr w:type="spellEnd"/>
      <w:r w:rsidRPr="00CE7679">
        <w:rPr>
          <w:rFonts w:eastAsia="SimSun"/>
          <w:snapToGrid/>
          <w:szCs w:val="22"/>
          <w:lang w:eastAsia="zh-CN"/>
        </w:rPr>
        <w:t xml:space="preserve"> krizės dažnis mažėjo ir buvo mažesnis kaip 1</w:t>
      </w:r>
      <w:r w:rsidR="00F41710" w:rsidRPr="00CE7679">
        <w:rPr>
          <w:rFonts w:eastAsia="SimSun"/>
          <w:snapToGrid/>
          <w:szCs w:val="22"/>
          <w:lang w:eastAsia="zh-CN"/>
        </w:rPr>
        <w:t> </w:t>
      </w:r>
      <w:r w:rsidRPr="00CE7679">
        <w:rPr>
          <w:rFonts w:eastAsia="SimSun"/>
          <w:snapToGrid/>
          <w:szCs w:val="22"/>
          <w:lang w:eastAsia="zh-CN"/>
        </w:rPr>
        <w:t>% kasmet ketvirtaisiais ir penktaisiais metais. Praėjus 84</w:t>
      </w:r>
      <w:r w:rsidR="00F41710" w:rsidRPr="00CE7679">
        <w:rPr>
          <w:rFonts w:eastAsia="SimSun"/>
          <w:snapToGrid/>
          <w:szCs w:val="22"/>
          <w:lang w:eastAsia="zh-CN"/>
        </w:rPr>
        <w:t> </w:t>
      </w:r>
      <w:r w:rsidRPr="00CE7679">
        <w:rPr>
          <w:rFonts w:eastAsia="SimSun"/>
          <w:snapToGrid/>
          <w:szCs w:val="22"/>
          <w:lang w:eastAsia="zh-CN"/>
        </w:rPr>
        <w:t>mėnesiams, išgyvenusiųjų be ligos progresavimo dalis buvo tokia: 81,2</w:t>
      </w:r>
      <w:r w:rsidR="00F41710" w:rsidRPr="00CE7679">
        <w:rPr>
          <w:rFonts w:eastAsia="SimSun"/>
          <w:snapToGrid/>
          <w:szCs w:val="22"/>
          <w:lang w:eastAsia="zh-CN"/>
        </w:rPr>
        <w:t> </w:t>
      </w:r>
      <w:r w:rsidRPr="00CE7679">
        <w:rPr>
          <w:rFonts w:eastAsia="SimSun"/>
          <w:snapToGrid/>
          <w:szCs w:val="22"/>
          <w:lang w:eastAsia="zh-CN"/>
        </w:rPr>
        <w:t xml:space="preserve">%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grupėje ir 60,6</w:t>
      </w:r>
      <w:r w:rsidR="00F41710" w:rsidRPr="00CE7679">
        <w:rPr>
          <w:rFonts w:eastAsia="SimSun"/>
          <w:snapToGrid/>
          <w:szCs w:val="22"/>
          <w:lang w:eastAsia="zh-CN"/>
        </w:rPr>
        <w:t> </w:t>
      </w:r>
      <w:r w:rsidRPr="00CE7679">
        <w:rPr>
          <w:rFonts w:eastAsia="SimSun"/>
          <w:snapToGrid/>
          <w:szCs w:val="22"/>
          <w:lang w:eastAsia="zh-CN"/>
        </w:rPr>
        <w:t xml:space="preserve">% kontrolinėje grupėje (p&lt;0,001). Ligos bet kokio progresavimo dažnis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grupėje taip pat mažėjo visą laiką.</w:t>
      </w:r>
    </w:p>
    <w:p w14:paraId="7C5E449C"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477B0404"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Iš viso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ir IFN-</w:t>
      </w:r>
      <w:proofErr w:type="spellStart"/>
      <w:r w:rsidRPr="00CE7679">
        <w:rPr>
          <w:rFonts w:eastAsia="SimSun"/>
          <w:snapToGrid/>
          <w:szCs w:val="22"/>
          <w:lang w:eastAsia="zh-CN"/>
        </w:rPr>
        <w:t>Ara</w:t>
      </w:r>
      <w:proofErr w:type="spellEnd"/>
      <w:r w:rsidRPr="00CE7679">
        <w:rPr>
          <w:rFonts w:eastAsia="SimSun"/>
          <w:snapToGrid/>
          <w:szCs w:val="22"/>
          <w:lang w:eastAsia="zh-CN"/>
        </w:rPr>
        <w:t>-C grupėse mirė atitinkamai 71 (12,8</w:t>
      </w:r>
      <w:r w:rsidR="00F41710" w:rsidRPr="00CE7679">
        <w:rPr>
          <w:rFonts w:eastAsia="SimSun"/>
          <w:snapToGrid/>
          <w:szCs w:val="22"/>
          <w:lang w:eastAsia="zh-CN"/>
        </w:rPr>
        <w:t> </w:t>
      </w:r>
      <w:r w:rsidRPr="00CE7679">
        <w:rPr>
          <w:rFonts w:eastAsia="SimSun"/>
          <w:snapToGrid/>
          <w:szCs w:val="22"/>
          <w:lang w:eastAsia="zh-CN"/>
        </w:rPr>
        <w:t>%) ir 85 (15,4</w:t>
      </w:r>
      <w:r w:rsidR="00F41710" w:rsidRPr="00CE7679">
        <w:rPr>
          <w:rFonts w:eastAsia="SimSun"/>
          <w:snapToGrid/>
          <w:szCs w:val="22"/>
          <w:lang w:eastAsia="zh-CN"/>
        </w:rPr>
        <w:t> </w:t>
      </w:r>
      <w:r w:rsidRPr="00CE7679">
        <w:rPr>
          <w:rFonts w:eastAsia="SimSun"/>
          <w:snapToGrid/>
          <w:szCs w:val="22"/>
          <w:lang w:eastAsia="zh-CN"/>
        </w:rPr>
        <w:t>%) pacientai. Praėjus 84</w:t>
      </w:r>
      <w:r w:rsidR="00F41710" w:rsidRPr="00CE7679">
        <w:rPr>
          <w:rFonts w:eastAsia="SimSun"/>
          <w:snapToGrid/>
          <w:szCs w:val="22"/>
          <w:lang w:eastAsia="zh-CN"/>
        </w:rPr>
        <w:t> </w:t>
      </w:r>
      <w:r w:rsidRPr="00CE7679">
        <w:rPr>
          <w:rFonts w:eastAsia="SimSun"/>
          <w:snapToGrid/>
          <w:szCs w:val="22"/>
          <w:lang w:eastAsia="zh-CN"/>
        </w:rPr>
        <w:t>mėnesiams, nustatytas toks bendrasis išgyvenamumas: 86,4</w:t>
      </w:r>
      <w:r w:rsidR="00F41710" w:rsidRPr="00CE7679">
        <w:rPr>
          <w:rFonts w:eastAsia="SimSun"/>
          <w:snapToGrid/>
          <w:szCs w:val="22"/>
          <w:lang w:eastAsia="zh-CN"/>
        </w:rPr>
        <w:t> </w:t>
      </w:r>
      <w:r w:rsidRPr="00CE7679">
        <w:rPr>
          <w:rFonts w:eastAsia="SimSun"/>
          <w:snapToGrid/>
          <w:szCs w:val="22"/>
          <w:lang w:eastAsia="zh-CN"/>
        </w:rPr>
        <w:t xml:space="preserve">% (83, 90)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grupėje ir 83,3</w:t>
      </w:r>
      <w:r w:rsidR="00F41710" w:rsidRPr="00CE7679">
        <w:rPr>
          <w:rFonts w:eastAsia="SimSun"/>
          <w:snapToGrid/>
          <w:szCs w:val="22"/>
          <w:lang w:eastAsia="zh-CN"/>
        </w:rPr>
        <w:t> </w:t>
      </w:r>
      <w:r w:rsidRPr="00CE7679">
        <w:rPr>
          <w:rFonts w:eastAsia="SimSun"/>
          <w:snapToGrid/>
          <w:szCs w:val="22"/>
          <w:lang w:eastAsia="zh-CN"/>
        </w:rPr>
        <w:t xml:space="preserve">% (80, 87) </w:t>
      </w:r>
      <w:proofErr w:type="spellStart"/>
      <w:r w:rsidRPr="00CE7679">
        <w:rPr>
          <w:rFonts w:eastAsia="SimSun"/>
          <w:snapToGrid/>
          <w:szCs w:val="22"/>
          <w:lang w:eastAsia="zh-CN"/>
        </w:rPr>
        <w:t>IFN+Ara-C</w:t>
      </w:r>
      <w:proofErr w:type="spellEnd"/>
      <w:r w:rsidRPr="00CE7679">
        <w:rPr>
          <w:rFonts w:eastAsia="SimSun"/>
          <w:snapToGrid/>
          <w:szCs w:val="22"/>
          <w:lang w:eastAsia="zh-CN"/>
        </w:rPr>
        <w:t xml:space="preserve"> grupėje, (p=0,073, logaritminio rango kriterijus). Šią ,,laiko iki reiškinio” tyrimo vertinamąją baigtį smarkiai veikė didelis gydymo </w:t>
      </w:r>
      <w:proofErr w:type="spellStart"/>
      <w:r w:rsidRPr="00CE7679">
        <w:rPr>
          <w:rFonts w:eastAsia="SimSun"/>
          <w:snapToGrid/>
          <w:szCs w:val="22"/>
          <w:lang w:eastAsia="zh-CN"/>
        </w:rPr>
        <w:t>IFN+Ara-C</w:t>
      </w:r>
      <w:proofErr w:type="spellEnd"/>
      <w:r w:rsidRPr="00CE7679">
        <w:rPr>
          <w:rFonts w:eastAsia="SimSun"/>
          <w:snapToGrid/>
          <w:szCs w:val="22"/>
          <w:lang w:eastAsia="zh-CN"/>
        </w:rPr>
        <w:t xml:space="preserve"> keitimo gydymu </w:t>
      </w:r>
      <w:proofErr w:type="spellStart"/>
      <w:r w:rsidRPr="00CE7679">
        <w:rPr>
          <w:rFonts w:eastAsia="SimSun"/>
          <w:snapToGrid/>
          <w:szCs w:val="22"/>
          <w:lang w:eastAsia="zh-CN"/>
        </w:rPr>
        <w:t>imatinibu</w:t>
      </w:r>
      <w:proofErr w:type="spellEnd"/>
      <w:r w:rsidRPr="00CE7679">
        <w:rPr>
          <w:rFonts w:eastAsia="SimSun"/>
          <w:snapToGrid/>
          <w:szCs w:val="22"/>
          <w:lang w:eastAsia="zh-CN"/>
        </w:rPr>
        <w:t xml:space="preserve"> dažnis. Toliau tiriant naujai diagnozuotos lėtinės LML fazės gydymo </w:t>
      </w:r>
      <w:proofErr w:type="spellStart"/>
      <w:r w:rsidRPr="00CE7679">
        <w:rPr>
          <w:rFonts w:eastAsia="SimSun"/>
          <w:snapToGrid/>
          <w:szCs w:val="22"/>
          <w:lang w:eastAsia="zh-CN"/>
        </w:rPr>
        <w:t>imatinibu</w:t>
      </w:r>
      <w:proofErr w:type="spellEnd"/>
      <w:r w:rsidRPr="00CE7679">
        <w:rPr>
          <w:rFonts w:eastAsia="SimSun"/>
          <w:snapToGrid/>
          <w:szCs w:val="22"/>
          <w:lang w:eastAsia="zh-CN"/>
        </w:rPr>
        <w:t xml:space="preserve"> poveikį gyvenimo trukmei, atlikta aukščiau minėtų duomenų apie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vartojimą ir kito III fazės tyrimo, kuriame vartojamas tokia pat tvarka skiriamas IFN-</w:t>
      </w:r>
      <w:proofErr w:type="spellStart"/>
      <w:r w:rsidRPr="00CE7679">
        <w:rPr>
          <w:rFonts w:eastAsia="SimSun"/>
          <w:snapToGrid/>
          <w:szCs w:val="22"/>
          <w:lang w:eastAsia="zh-CN"/>
        </w:rPr>
        <w:t>Ara</w:t>
      </w:r>
      <w:proofErr w:type="spellEnd"/>
      <w:r w:rsidRPr="00CE7679">
        <w:rPr>
          <w:rFonts w:eastAsia="SimSun"/>
          <w:snapToGrid/>
          <w:szCs w:val="22"/>
          <w:lang w:eastAsia="zh-CN"/>
        </w:rPr>
        <w:t xml:space="preserve">-C (n=325), pagrindinių duomenų retrospektyvioji analizė. Atlikus šią retrospektyviąją analizę, įrodytas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pranašumas, lyginant su IFN-</w:t>
      </w:r>
      <w:proofErr w:type="spellStart"/>
      <w:r w:rsidRPr="00CE7679">
        <w:rPr>
          <w:rFonts w:eastAsia="SimSun"/>
          <w:snapToGrid/>
          <w:szCs w:val="22"/>
          <w:lang w:eastAsia="zh-CN"/>
        </w:rPr>
        <w:t>Ara</w:t>
      </w:r>
      <w:proofErr w:type="spellEnd"/>
      <w:r w:rsidRPr="00CE7679">
        <w:rPr>
          <w:rFonts w:eastAsia="SimSun"/>
          <w:snapToGrid/>
          <w:szCs w:val="22"/>
          <w:lang w:eastAsia="zh-CN"/>
        </w:rPr>
        <w:t>-C, bendrojo išgyvenamumo atžvilgiu (p&lt;0,001); per 42</w:t>
      </w:r>
      <w:r w:rsidR="00F41710" w:rsidRPr="00CE7679">
        <w:rPr>
          <w:rFonts w:eastAsia="SimSun"/>
          <w:snapToGrid/>
          <w:szCs w:val="22"/>
          <w:lang w:eastAsia="zh-CN"/>
        </w:rPr>
        <w:t> </w:t>
      </w:r>
      <w:r w:rsidRPr="00CE7679">
        <w:rPr>
          <w:rFonts w:eastAsia="SimSun"/>
          <w:snapToGrid/>
          <w:szCs w:val="22"/>
          <w:lang w:eastAsia="zh-CN"/>
        </w:rPr>
        <w:t>mėnesius mirė 47 (8,5</w:t>
      </w:r>
      <w:r w:rsidR="00F41710" w:rsidRPr="00CE7679">
        <w:rPr>
          <w:rFonts w:eastAsia="SimSun"/>
          <w:snapToGrid/>
          <w:szCs w:val="22"/>
          <w:lang w:eastAsia="zh-CN"/>
        </w:rPr>
        <w:t> </w:t>
      </w:r>
      <w:r w:rsidRPr="00CE7679">
        <w:rPr>
          <w:rFonts w:eastAsia="SimSun"/>
          <w:snapToGrid/>
          <w:szCs w:val="22"/>
          <w:lang w:eastAsia="zh-CN"/>
        </w:rPr>
        <w:t xml:space="preserve">%)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vartoję pacientai ir 63 (19,4</w:t>
      </w:r>
      <w:r w:rsidR="00F41710" w:rsidRPr="00CE7679">
        <w:rPr>
          <w:rFonts w:eastAsia="SimSun"/>
          <w:snapToGrid/>
          <w:szCs w:val="22"/>
          <w:lang w:eastAsia="zh-CN"/>
        </w:rPr>
        <w:t> </w:t>
      </w:r>
      <w:r w:rsidRPr="00CE7679">
        <w:rPr>
          <w:rFonts w:eastAsia="SimSun"/>
          <w:snapToGrid/>
          <w:szCs w:val="22"/>
          <w:lang w:eastAsia="zh-CN"/>
        </w:rPr>
        <w:t xml:space="preserve">%) </w:t>
      </w:r>
      <w:proofErr w:type="spellStart"/>
      <w:r w:rsidRPr="00CE7679">
        <w:rPr>
          <w:rFonts w:eastAsia="SimSun"/>
          <w:snapToGrid/>
          <w:szCs w:val="22"/>
          <w:lang w:eastAsia="zh-CN"/>
        </w:rPr>
        <w:t>IFN+Ara-C</w:t>
      </w:r>
      <w:proofErr w:type="spellEnd"/>
      <w:r w:rsidRPr="00CE7679">
        <w:rPr>
          <w:rFonts w:eastAsia="SimSun"/>
          <w:snapToGrid/>
          <w:szCs w:val="22"/>
          <w:lang w:eastAsia="zh-CN"/>
        </w:rPr>
        <w:t xml:space="preserve"> vartoję pacientai.</w:t>
      </w:r>
    </w:p>
    <w:p w14:paraId="5555E44B"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5B23FF17"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Nustatyta, kad citogenetinio ir molekulinio atsako laipsnis turi akivaizdų poveikį ilgalaikiams gydymo </w:t>
      </w:r>
      <w:proofErr w:type="spellStart"/>
      <w:r w:rsidRPr="00CE7679">
        <w:rPr>
          <w:rFonts w:eastAsia="SimSun"/>
          <w:snapToGrid/>
          <w:szCs w:val="22"/>
          <w:lang w:eastAsia="zh-CN"/>
        </w:rPr>
        <w:t>imatinibu</w:t>
      </w:r>
      <w:proofErr w:type="spellEnd"/>
      <w:r w:rsidRPr="00CE7679">
        <w:rPr>
          <w:rFonts w:eastAsia="SimSun"/>
          <w:snapToGrid/>
          <w:szCs w:val="22"/>
          <w:lang w:eastAsia="zh-CN"/>
        </w:rPr>
        <w:t xml:space="preserve"> rezultatams. Nors nustatyta, kad 96 % </w:t>
      </w:r>
      <w:r w:rsidRPr="00BE2E5B">
        <w:rPr>
          <w:rFonts w:eastAsia="SimSun"/>
          <w:snapToGrid/>
          <w:szCs w:val="22"/>
          <w:lang w:eastAsia="zh-CN"/>
        </w:rPr>
        <w:t>(93</w:t>
      </w:r>
      <w:r w:rsidR="00F41710" w:rsidRPr="00BE2E5B">
        <w:rPr>
          <w:rFonts w:eastAsia="SimSun"/>
          <w:snapToGrid/>
          <w:szCs w:val="22"/>
          <w:lang w:eastAsia="zh-CN"/>
        </w:rPr>
        <w:t> </w:t>
      </w:r>
      <w:r w:rsidRPr="00BE2E5B">
        <w:rPr>
          <w:rFonts w:eastAsia="SimSun"/>
          <w:snapToGrid/>
          <w:szCs w:val="22"/>
          <w:lang w:eastAsia="zh-CN"/>
        </w:rPr>
        <w:t>%)</w:t>
      </w:r>
      <w:r w:rsidRPr="00CE7679">
        <w:rPr>
          <w:rFonts w:eastAsia="SimSun"/>
          <w:snapToGrid/>
          <w:szCs w:val="22"/>
          <w:lang w:eastAsia="zh-CN"/>
        </w:rPr>
        <w:t xml:space="preserve"> pacientų, kuriems po 12</w:t>
      </w:r>
      <w:r w:rsidR="00F41710" w:rsidRPr="00CE7679">
        <w:rPr>
          <w:rFonts w:eastAsia="SimSun"/>
          <w:snapToGrid/>
          <w:szCs w:val="22"/>
          <w:lang w:eastAsia="zh-CN"/>
        </w:rPr>
        <w:t> </w:t>
      </w:r>
      <w:r w:rsidRPr="00CE7679">
        <w:rPr>
          <w:rFonts w:eastAsia="SimSun"/>
          <w:snapToGrid/>
          <w:szCs w:val="22"/>
          <w:lang w:eastAsia="zh-CN"/>
        </w:rPr>
        <w:t xml:space="preserve">mėnesių buvo stebimas </w:t>
      </w:r>
      <w:proofErr w:type="spellStart"/>
      <w:r w:rsidRPr="00CE7679">
        <w:rPr>
          <w:rFonts w:eastAsia="SimSun"/>
          <w:snapToGrid/>
          <w:szCs w:val="22"/>
          <w:lang w:eastAsia="zh-CN"/>
        </w:rPr>
        <w:t>CCyR</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PCyR</w:t>
      </w:r>
      <w:proofErr w:type="spellEnd"/>
      <w:r w:rsidRPr="00CE7679">
        <w:rPr>
          <w:rFonts w:eastAsia="SimSun"/>
          <w:snapToGrid/>
          <w:szCs w:val="22"/>
          <w:lang w:eastAsia="zh-CN"/>
        </w:rPr>
        <w:t xml:space="preserve">), liga neprogresavo iki akceleracijos fazės ar </w:t>
      </w:r>
      <w:proofErr w:type="spellStart"/>
      <w:r w:rsidRPr="00CE7679">
        <w:rPr>
          <w:rFonts w:eastAsia="SimSun"/>
          <w:snapToGrid/>
          <w:szCs w:val="22"/>
          <w:lang w:eastAsia="zh-CN"/>
        </w:rPr>
        <w:t>blastinės</w:t>
      </w:r>
      <w:proofErr w:type="spellEnd"/>
      <w:r w:rsidRPr="00CE7679">
        <w:rPr>
          <w:rFonts w:eastAsia="SimSun"/>
          <w:snapToGrid/>
          <w:szCs w:val="22"/>
          <w:lang w:eastAsia="zh-CN"/>
        </w:rPr>
        <w:t xml:space="preserve"> krizės praėjus 84</w:t>
      </w:r>
      <w:r w:rsidR="00F41710" w:rsidRPr="00CE7679">
        <w:rPr>
          <w:rFonts w:eastAsia="SimSun"/>
          <w:snapToGrid/>
          <w:szCs w:val="22"/>
          <w:lang w:eastAsia="zh-CN"/>
        </w:rPr>
        <w:t> </w:t>
      </w:r>
      <w:r w:rsidRPr="00CE7679">
        <w:rPr>
          <w:rFonts w:eastAsia="SimSun"/>
          <w:snapToGrid/>
          <w:szCs w:val="22"/>
          <w:lang w:eastAsia="zh-CN"/>
        </w:rPr>
        <w:t>mėnesiams, tik 81</w:t>
      </w:r>
      <w:r w:rsidR="00F41710" w:rsidRPr="00CE7679">
        <w:rPr>
          <w:rFonts w:eastAsia="SimSun"/>
          <w:snapToGrid/>
          <w:szCs w:val="22"/>
          <w:lang w:eastAsia="zh-CN"/>
        </w:rPr>
        <w:t> </w:t>
      </w:r>
      <w:r w:rsidRPr="00CE7679">
        <w:rPr>
          <w:rFonts w:eastAsia="SimSun"/>
          <w:snapToGrid/>
          <w:szCs w:val="22"/>
          <w:lang w:eastAsia="zh-CN"/>
        </w:rPr>
        <w:t>% pacientų, kuriems po 12</w:t>
      </w:r>
      <w:r w:rsidR="00F41710" w:rsidRPr="00CE7679">
        <w:rPr>
          <w:rFonts w:eastAsia="SimSun"/>
          <w:snapToGrid/>
          <w:szCs w:val="22"/>
          <w:lang w:eastAsia="zh-CN"/>
        </w:rPr>
        <w:t> </w:t>
      </w:r>
      <w:r w:rsidRPr="00CE7679">
        <w:rPr>
          <w:rFonts w:eastAsia="SimSun"/>
          <w:snapToGrid/>
          <w:szCs w:val="22"/>
          <w:lang w:eastAsia="zh-CN"/>
        </w:rPr>
        <w:t xml:space="preserve">mėnesių nebuvo stebima </w:t>
      </w:r>
      <w:proofErr w:type="spellStart"/>
      <w:r w:rsidRPr="00CE7679">
        <w:rPr>
          <w:rFonts w:eastAsia="SimSun"/>
          <w:snapToGrid/>
          <w:szCs w:val="22"/>
          <w:lang w:eastAsia="zh-CN"/>
        </w:rPr>
        <w:t>MCyR</w:t>
      </w:r>
      <w:proofErr w:type="spellEnd"/>
      <w:r w:rsidRPr="00CE7679">
        <w:rPr>
          <w:rFonts w:eastAsia="SimSun"/>
          <w:snapToGrid/>
          <w:szCs w:val="22"/>
          <w:lang w:eastAsia="zh-CN"/>
        </w:rPr>
        <w:t>, liga neprogresavo iki išplitusios LML praėjus 84</w:t>
      </w:r>
      <w:r w:rsidR="00F41710" w:rsidRPr="00CE7679">
        <w:rPr>
          <w:rFonts w:eastAsia="SimSun"/>
          <w:snapToGrid/>
          <w:szCs w:val="22"/>
          <w:lang w:eastAsia="zh-CN"/>
        </w:rPr>
        <w:t> </w:t>
      </w:r>
      <w:r w:rsidRPr="00CE7679">
        <w:rPr>
          <w:rFonts w:eastAsia="SimSun"/>
          <w:snapToGrid/>
          <w:szCs w:val="22"/>
          <w:lang w:eastAsia="zh-CN"/>
        </w:rPr>
        <w:t xml:space="preserve">mėnesiams (bendrasis p&lt;0,001, tarp </w:t>
      </w:r>
      <w:proofErr w:type="spellStart"/>
      <w:r w:rsidRPr="00CE7679">
        <w:rPr>
          <w:rFonts w:eastAsia="SimSun"/>
          <w:snapToGrid/>
          <w:szCs w:val="22"/>
          <w:lang w:eastAsia="zh-CN"/>
        </w:rPr>
        <w:t>CCyR</w:t>
      </w:r>
      <w:proofErr w:type="spellEnd"/>
      <w:r w:rsidRPr="00CE7679">
        <w:rPr>
          <w:rFonts w:eastAsia="SimSun"/>
          <w:snapToGrid/>
          <w:szCs w:val="22"/>
          <w:lang w:eastAsia="zh-CN"/>
        </w:rPr>
        <w:t xml:space="preserve"> ir </w:t>
      </w:r>
      <w:proofErr w:type="spellStart"/>
      <w:r w:rsidRPr="00CE7679">
        <w:rPr>
          <w:rFonts w:eastAsia="SimSun"/>
          <w:snapToGrid/>
          <w:szCs w:val="22"/>
          <w:lang w:eastAsia="zh-CN"/>
        </w:rPr>
        <w:t>PCyR</w:t>
      </w:r>
      <w:proofErr w:type="spellEnd"/>
      <w:r w:rsidRPr="00CE7679">
        <w:rPr>
          <w:rFonts w:eastAsia="SimSun"/>
          <w:snapToGrid/>
          <w:szCs w:val="22"/>
          <w:lang w:eastAsia="zh-CN"/>
        </w:rPr>
        <w:t xml:space="preserve"> p=0,25). Pacientams su </w:t>
      </w:r>
      <w:proofErr w:type="spellStart"/>
      <w:r w:rsidRPr="00CE7679">
        <w:rPr>
          <w:rFonts w:eastAsia="SimSun"/>
          <w:snapToGrid/>
          <w:szCs w:val="22"/>
          <w:lang w:eastAsia="zh-CN"/>
        </w:rPr>
        <w:t>Bcr-Abl</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transkriptų</w:t>
      </w:r>
      <w:proofErr w:type="spellEnd"/>
      <w:r w:rsidRPr="00CE7679">
        <w:rPr>
          <w:rFonts w:eastAsia="SimSun"/>
          <w:snapToGrid/>
          <w:szCs w:val="22"/>
          <w:lang w:eastAsia="zh-CN"/>
        </w:rPr>
        <w:t xml:space="preserve"> sumažėjimu mažiausiai 3</w:t>
      </w:r>
      <w:r w:rsidR="00F41710" w:rsidRPr="00CE7679">
        <w:rPr>
          <w:rFonts w:eastAsia="SimSun"/>
          <w:snapToGrid/>
          <w:szCs w:val="22"/>
          <w:lang w:eastAsia="zh-CN"/>
        </w:rPr>
        <w:t> </w:t>
      </w:r>
      <w:r w:rsidRPr="00CE7679">
        <w:rPr>
          <w:rFonts w:eastAsia="SimSun"/>
          <w:snapToGrid/>
          <w:szCs w:val="22"/>
          <w:lang w:eastAsia="zh-CN"/>
        </w:rPr>
        <w:t>logaritmais per 12</w:t>
      </w:r>
      <w:r w:rsidR="00F41710" w:rsidRPr="00CE7679">
        <w:rPr>
          <w:rFonts w:eastAsia="SimSun"/>
          <w:snapToGrid/>
          <w:szCs w:val="22"/>
          <w:lang w:eastAsia="zh-CN"/>
        </w:rPr>
        <w:t> </w:t>
      </w:r>
      <w:r w:rsidRPr="00CE7679">
        <w:rPr>
          <w:rFonts w:eastAsia="SimSun"/>
          <w:snapToGrid/>
          <w:szCs w:val="22"/>
          <w:lang w:eastAsia="zh-CN"/>
        </w:rPr>
        <w:t>mėnesių tikimybė išlikti be ligos progresijos iki akceleracijos fazės/</w:t>
      </w:r>
      <w:proofErr w:type="spellStart"/>
      <w:r w:rsidRPr="00CE7679">
        <w:rPr>
          <w:rFonts w:eastAsia="SimSun"/>
          <w:snapToGrid/>
          <w:szCs w:val="22"/>
          <w:lang w:eastAsia="zh-CN"/>
        </w:rPr>
        <w:t>blastinės</w:t>
      </w:r>
      <w:proofErr w:type="spellEnd"/>
      <w:r w:rsidRPr="00CE7679">
        <w:rPr>
          <w:rFonts w:eastAsia="SimSun"/>
          <w:snapToGrid/>
          <w:szCs w:val="22"/>
          <w:lang w:eastAsia="zh-CN"/>
        </w:rPr>
        <w:t xml:space="preserve"> krizės buvo 99 % per 84</w:t>
      </w:r>
      <w:r w:rsidR="00F41710" w:rsidRPr="00CE7679">
        <w:rPr>
          <w:rFonts w:eastAsia="SimSun"/>
          <w:snapToGrid/>
          <w:szCs w:val="22"/>
          <w:lang w:eastAsia="zh-CN"/>
        </w:rPr>
        <w:t> </w:t>
      </w:r>
      <w:r w:rsidRPr="00CE7679">
        <w:rPr>
          <w:rFonts w:eastAsia="SimSun"/>
          <w:snapToGrid/>
          <w:szCs w:val="22"/>
          <w:lang w:eastAsia="zh-CN"/>
        </w:rPr>
        <w:t>mėnesius. Panašūs rezultatai gauti, remiantis per 18</w:t>
      </w:r>
      <w:r w:rsidR="00F41710" w:rsidRPr="00CE7679">
        <w:rPr>
          <w:rFonts w:eastAsia="SimSun"/>
          <w:snapToGrid/>
          <w:szCs w:val="22"/>
          <w:lang w:eastAsia="zh-CN"/>
        </w:rPr>
        <w:t> </w:t>
      </w:r>
      <w:r w:rsidRPr="00CE7679">
        <w:rPr>
          <w:rFonts w:eastAsia="SimSun"/>
          <w:snapToGrid/>
          <w:szCs w:val="22"/>
          <w:lang w:eastAsia="zh-CN"/>
        </w:rPr>
        <w:t>mėnesių laikotarpį gautų duomenų analize.</w:t>
      </w:r>
    </w:p>
    <w:p w14:paraId="0EFDFA23"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Šio tyrimo metu dozę buvo galima didinti nuo 400</w:t>
      </w:r>
      <w:r w:rsidR="00F41710" w:rsidRPr="00CE7679">
        <w:rPr>
          <w:rFonts w:eastAsia="SimSun"/>
          <w:snapToGrid/>
          <w:szCs w:val="22"/>
          <w:lang w:eastAsia="zh-CN"/>
        </w:rPr>
        <w:t> </w:t>
      </w:r>
      <w:r w:rsidRPr="00CE7679">
        <w:rPr>
          <w:rFonts w:eastAsia="SimSun"/>
          <w:snapToGrid/>
          <w:szCs w:val="22"/>
          <w:lang w:eastAsia="zh-CN"/>
        </w:rPr>
        <w:t>mg per parą iki 600</w:t>
      </w:r>
      <w:r w:rsidR="00F41710" w:rsidRPr="00CE7679">
        <w:rPr>
          <w:rFonts w:eastAsia="SimSun"/>
          <w:snapToGrid/>
          <w:szCs w:val="22"/>
          <w:lang w:eastAsia="zh-CN"/>
        </w:rPr>
        <w:t> </w:t>
      </w:r>
      <w:r w:rsidRPr="00CE7679">
        <w:rPr>
          <w:rFonts w:eastAsia="SimSun"/>
          <w:snapToGrid/>
          <w:szCs w:val="22"/>
          <w:lang w:eastAsia="zh-CN"/>
        </w:rPr>
        <w:t>mg per parą, po to nuo 600</w:t>
      </w:r>
      <w:r w:rsidR="00F41710" w:rsidRPr="00CE7679">
        <w:rPr>
          <w:rFonts w:eastAsia="SimSun"/>
          <w:snapToGrid/>
          <w:szCs w:val="22"/>
          <w:lang w:eastAsia="zh-CN"/>
        </w:rPr>
        <w:t> </w:t>
      </w:r>
      <w:r w:rsidRPr="00CE7679">
        <w:rPr>
          <w:rFonts w:eastAsia="SimSun"/>
          <w:snapToGrid/>
          <w:szCs w:val="22"/>
          <w:lang w:eastAsia="zh-CN"/>
        </w:rPr>
        <w:t>mg per parą iki 800</w:t>
      </w:r>
      <w:r w:rsidR="00F41710" w:rsidRPr="00CE7679">
        <w:rPr>
          <w:rFonts w:eastAsia="SimSun"/>
          <w:snapToGrid/>
          <w:szCs w:val="22"/>
          <w:lang w:eastAsia="zh-CN"/>
        </w:rPr>
        <w:t> </w:t>
      </w:r>
      <w:r w:rsidRPr="00CE7679">
        <w:rPr>
          <w:rFonts w:eastAsia="SimSun"/>
          <w:snapToGrid/>
          <w:szCs w:val="22"/>
          <w:lang w:eastAsia="zh-CN"/>
        </w:rPr>
        <w:t>mg per parą. Per 42</w:t>
      </w:r>
      <w:r w:rsidR="00F41710" w:rsidRPr="00CE7679">
        <w:rPr>
          <w:rFonts w:eastAsia="SimSun"/>
          <w:snapToGrid/>
          <w:szCs w:val="22"/>
          <w:lang w:eastAsia="zh-CN"/>
        </w:rPr>
        <w:t> </w:t>
      </w:r>
      <w:r w:rsidRPr="00CE7679">
        <w:rPr>
          <w:rFonts w:eastAsia="SimSun"/>
          <w:snapToGrid/>
          <w:szCs w:val="22"/>
          <w:lang w:eastAsia="zh-CN"/>
        </w:rPr>
        <w:t>mėnesių stebėjimo laikotarpį 11</w:t>
      </w:r>
      <w:r w:rsidR="00F41710" w:rsidRPr="00CE7679">
        <w:rPr>
          <w:rFonts w:eastAsia="SimSun"/>
          <w:snapToGrid/>
          <w:szCs w:val="22"/>
          <w:lang w:eastAsia="zh-CN"/>
        </w:rPr>
        <w:t> </w:t>
      </w:r>
      <w:r w:rsidRPr="00CE7679">
        <w:rPr>
          <w:rFonts w:eastAsia="SimSun"/>
          <w:snapToGrid/>
          <w:szCs w:val="22"/>
          <w:lang w:eastAsia="zh-CN"/>
        </w:rPr>
        <w:t>pacientų buvo registruotas citogenetinio atsako netekimas (per 4</w:t>
      </w:r>
      <w:r w:rsidR="00F41710" w:rsidRPr="00CE7679">
        <w:rPr>
          <w:rFonts w:eastAsia="SimSun"/>
          <w:snapToGrid/>
          <w:szCs w:val="22"/>
          <w:lang w:eastAsia="zh-CN"/>
        </w:rPr>
        <w:t> </w:t>
      </w:r>
      <w:r w:rsidRPr="00CE7679">
        <w:rPr>
          <w:rFonts w:eastAsia="SimSun"/>
          <w:snapToGrid/>
          <w:szCs w:val="22"/>
          <w:lang w:eastAsia="zh-CN"/>
        </w:rPr>
        <w:t>savaites). Iš šių 11</w:t>
      </w:r>
      <w:r w:rsidR="00F41710" w:rsidRPr="00CE7679">
        <w:rPr>
          <w:rFonts w:eastAsia="SimSun"/>
          <w:snapToGrid/>
          <w:szCs w:val="22"/>
          <w:lang w:eastAsia="zh-CN"/>
        </w:rPr>
        <w:t> </w:t>
      </w:r>
      <w:r w:rsidRPr="00CE7679">
        <w:rPr>
          <w:rFonts w:eastAsia="SimSun"/>
          <w:snapToGrid/>
          <w:szCs w:val="22"/>
          <w:lang w:eastAsia="zh-CN"/>
        </w:rPr>
        <w:t>pacientų 4</w:t>
      </w:r>
      <w:r w:rsidR="00F41710" w:rsidRPr="00CE7679">
        <w:rPr>
          <w:rFonts w:eastAsia="SimSun"/>
          <w:snapToGrid/>
          <w:szCs w:val="22"/>
          <w:lang w:eastAsia="zh-CN"/>
        </w:rPr>
        <w:t> </w:t>
      </w:r>
      <w:r w:rsidRPr="00CE7679">
        <w:rPr>
          <w:rFonts w:eastAsia="SimSun"/>
          <w:snapToGrid/>
          <w:szCs w:val="22"/>
          <w:lang w:eastAsia="zh-CN"/>
        </w:rPr>
        <w:t>pacientams dozė buvo padidinta iki 800</w:t>
      </w:r>
      <w:r w:rsidR="00F41710" w:rsidRPr="00CE7679">
        <w:rPr>
          <w:rFonts w:eastAsia="SimSun"/>
          <w:snapToGrid/>
          <w:szCs w:val="22"/>
          <w:lang w:eastAsia="zh-CN"/>
        </w:rPr>
        <w:t> </w:t>
      </w:r>
      <w:r w:rsidRPr="00CE7679">
        <w:rPr>
          <w:rFonts w:eastAsia="SimSun"/>
          <w:snapToGrid/>
          <w:szCs w:val="22"/>
          <w:lang w:eastAsia="zh-CN"/>
        </w:rPr>
        <w:t>mg per parą, iš jų dviem buvo vėl gautas citogenetinis atsakas (vienam – dalinis ir kitam - visiškas, vėliau pastarajam buvo gautas ir molekulinis atsakas), tuo tarpu iš 7</w:t>
      </w:r>
      <w:r w:rsidR="00F41710" w:rsidRPr="00CE7679">
        <w:rPr>
          <w:rFonts w:eastAsia="SimSun"/>
          <w:snapToGrid/>
          <w:szCs w:val="22"/>
          <w:lang w:eastAsia="zh-CN"/>
        </w:rPr>
        <w:t> </w:t>
      </w:r>
      <w:r w:rsidRPr="00CE7679">
        <w:rPr>
          <w:rFonts w:eastAsia="SimSun"/>
          <w:snapToGrid/>
          <w:szCs w:val="22"/>
          <w:lang w:eastAsia="zh-CN"/>
        </w:rPr>
        <w:t>pacientų, kuriems dozė nebuvo didinta, tik vienam vėl buvo gautas visiškas citogenetinis atsakas. Kai kurių nepageidaujamų reakcijų procentas buvo didesnis tarp 40</w:t>
      </w:r>
      <w:r w:rsidR="00F41710" w:rsidRPr="00CE7679">
        <w:rPr>
          <w:rFonts w:eastAsia="SimSun"/>
          <w:snapToGrid/>
          <w:szCs w:val="22"/>
          <w:lang w:eastAsia="zh-CN"/>
        </w:rPr>
        <w:t> </w:t>
      </w:r>
      <w:r w:rsidRPr="00CE7679">
        <w:rPr>
          <w:rFonts w:eastAsia="SimSun"/>
          <w:snapToGrid/>
          <w:szCs w:val="22"/>
          <w:lang w:eastAsia="zh-CN"/>
        </w:rPr>
        <w:t>pacientų, kuriems dozė buvo padidinta iki 800</w:t>
      </w:r>
      <w:r w:rsidR="00F41710" w:rsidRPr="00CE7679">
        <w:rPr>
          <w:rFonts w:eastAsia="SimSun"/>
          <w:snapToGrid/>
          <w:szCs w:val="22"/>
          <w:lang w:eastAsia="zh-CN"/>
        </w:rPr>
        <w:t> </w:t>
      </w:r>
      <w:r w:rsidRPr="00CE7679">
        <w:rPr>
          <w:rFonts w:eastAsia="SimSun"/>
          <w:snapToGrid/>
          <w:szCs w:val="22"/>
          <w:lang w:eastAsia="zh-CN"/>
        </w:rPr>
        <w:t>mg per parą, lyginant su pacientų populiacija iki dozės didinimo (n</w:t>
      </w:r>
      <w:r w:rsidR="00F41710" w:rsidRPr="00CE7679">
        <w:rPr>
          <w:rFonts w:eastAsia="SimSun"/>
          <w:snapToGrid/>
          <w:szCs w:val="22"/>
          <w:lang w:eastAsia="zh-CN"/>
        </w:rPr>
        <w:t> </w:t>
      </w:r>
      <w:r w:rsidRPr="00CE7679">
        <w:rPr>
          <w:rFonts w:eastAsia="SimSun"/>
          <w:snapToGrid/>
          <w:szCs w:val="22"/>
          <w:lang w:eastAsia="zh-CN"/>
        </w:rPr>
        <w:t>=</w:t>
      </w:r>
      <w:r w:rsidR="00F41710" w:rsidRPr="00CE7679">
        <w:rPr>
          <w:rFonts w:eastAsia="SimSun"/>
          <w:snapToGrid/>
          <w:szCs w:val="22"/>
          <w:lang w:eastAsia="zh-CN"/>
        </w:rPr>
        <w:t> </w:t>
      </w:r>
      <w:r w:rsidRPr="00CE7679">
        <w:rPr>
          <w:rFonts w:eastAsia="SimSun"/>
          <w:snapToGrid/>
          <w:szCs w:val="22"/>
          <w:lang w:eastAsia="zh-CN"/>
        </w:rPr>
        <w:t xml:space="preserve">551). Dažnesnės buvo šios nepageidaujamos reakcijos: kraujavimas į virškinimo traktą, konjunktyvitas bei </w:t>
      </w:r>
      <w:proofErr w:type="spellStart"/>
      <w:r w:rsidRPr="00CE7679">
        <w:rPr>
          <w:rFonts w:eastAsia="SimSun"/>
          <w:snapToGrid/>
          <w:szCs w:val="22"/>
          <w:lang w:eastAsia="zh-CN"/>
        </w:rPr>
        <w:t>transaminazių</w:t>
      </w:r>
      <w:proofErr w:type="spellEnd"/>
      <w:r w:rsidRPr="00CE7679">
        <w:rPr>
          <w:rFonts w:eastAsia="SimSun"/>
          <w:snapToGrid/>
          <w:szCs w:val="22"/>
          <w:lang w:eastAsia="zh-CN"/>
        </w:rPr>
        <w:t xml:space="preserve"> aktyvumo</w:t>
      </w:r>
      <w:r w:rsidR="00315441" w:rsidRPr="00CE7679">
        <w:rPr>
          <w:rFonts w:eastAsia="SimSun"/>
          <w:snapToGrid/>
          <w:szCs w:val="22"/>
          <w:lang w:eastAsia="zh-CN"/>
        </w:rPr>
        <w:t xml:space="preserve"> </w:t>
      </w:r>
      <w:r w:rsidRPr="00CE7679">
        <w:rPr>
          <w:rFonts w:eastAsia="SimSun"/>
          <w:snapToGrid/>
          <w:szCs w:val="22"/>
          <w:lang w:eastAsia="zh-CN"/>
        </w:rPr>
        <w:t xml:space="preserve">ar </w:t>
      </w:r>
      <w:proofErr w:type="spellStart"/>
      <w:r w:rsidRPr="00CE7679">
        <w:rPr>
          <w:rFonts w:eastAsia="SimSun"/>
          <w:snapToGrid/>
          <w:szCs w:val="22"/>
          <w:lang w:eastAsia="zh-CN"/>
        </w:rPr>
        <w:t>bilirubino</w:t>
      </w:r>
      <w:proofErr w:type="spellEnd"/>
      <w:r w:rsidRPr="00CE7679">
        <w:rPr>
          <w:rFonts w:eastAsia="SimSun"/>
          <w:snapToGrid/>
          <w:szCs w:val="22"/>
          <w:lang w:eastAsia="zh-CN"/>
        </w:rPr>
        <w:t xml:space="preserve"> koncentracijos padidėjimas. Kitos nepageidaujamos reakcijos registruotos tuo pačiu dažniu ar rečiau.</w:t>
      </w:r>
    </w:p>
    <w:p w14:paraId="4071CFF4"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6943A92B"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i/>
          <w:snapToGrid/>
          <w:szCs w:val="22"/>
          <w:lang w:eastAsia="zh-CN"/>
        </w:rPr>
        <w:t>Lėtinė fazė, nesėkmingas gydymas interferonu.</w:t>
      </w:r>
      <w:r w:rsidRPr="00CE7679">
        <w:rPr>
          <w:rFonts w:eastAsia="SimSun"/>
          <w:snapToGrid/>
          <w:szCs w:val="22"/>
          <w:lang w:eastAsia="zh-CN"/>
        </w:rPr>
        <w:t xml:space="preserve"> 532</w:t>
      </w:r>
      <w:r w:rsidR="00F41710" w:rsidRPr="00CE7679">
        <w:rPr>
          <w:rFonts w:eastAsia="SimSun"/>
          <w:snapToGrid/>
          <w:szCs w:val="22"/>
          <w:lang w:eastAsia="zh-CN"/>
        </w:rPr>
        <w:t> </w:t>
      </w:r>
      <w:r w:rsidRPr="00CE7679">
        <w:rPr>
          <w:rFonts w:eastAsia="SimSun"/>
          <w:snapToGrid/>
          <w:szCs w:val="22"/>
          <w:lang w:eastAsia="zh-CN"/>
        </w:rPr>
        <w:t>suaugę pacientai buvo gydomi pradine 400</w:t>
      </w:r>
      <w:r w:rsidR="00F41710" w:rsidRPr="00CE7679">
        <w:rPr>
          <w:rFonts w:eastAsia="SimSun"/>
          <w:snapToGrid/>
          <w:szCs w:val="22"/>
          <w:lang w:eastAsia="zh-CN"/>
        </w:rPr>
        <w:t> </w:t>
      </w:r>
      <w:r w:rsidRPr="00CE7679">
        <w:rPr>
          <w:rFonts w:eastAsia="SimSun"/>
          <w:snapToGrid/>
          <w:szCs w:val="22"/>
          <w:lang w:eastAsia="zh-CN"/>
        </w:rPr>
        <w:t>mg doze. Jie buvo suskirstyti į tris pagrindines kategorijas: hematologinės nesėkmės (29</w:t>
      </w:r>
      <w:r w:rsidR="00F41710" w:rsidRPr="00CE7679">
        <w:rPr>
          <w:rFonts w:eastAsia="SimSun"/>
          <w:snapToGrid/>
          <w:szCs w:val="22"/>
          <w:lang w:eastAsia="zh-CN"/>
        </w:rPr>
        <w:t> </w:t>
      </w:r>
      <w:r w:rsidRPr="00CE7679">
        <w:rPr>
          <w:rFonts w:eastAsia="SimSun"/>
          <w:snapToGrid/>
          <w:szCs w:val="22"/>
          <w:lang w:eastAsia="zh-CN"/>
        </w:rPr>
        <w:t>%), citogenetinės nesėkmės (35</w:t>
      </w:r>
      <w:r w:rsidR="00F41710" w:rsidRPr="00CE7679">
        <w:rPr>
          <w:rFonts w:eastAsia="SimSun"/>
          <w:snapToGrid/>
          <w:szCs w:val="22"/>
          <w:lang w:eastAsia="zh-CN"/>
        </w:rPr>
        <w:t> </w:t>
      </w:r>
      <w:r w:rsidRPr="00CE7679">
        <w:rPr>
          <w:rFonts w:eastAsia="SimSun"/>
          <w:snapToGrid/>
          <w:szCs w:val="22"/>
          <w:lang w:eastAsia="zh-CN"/>
        </w:rPr>
        <w:t>%) ar interferono netoleravimo (36</w:t>
      </w:r>
      <w:r w:rsidR="00F41710" w:rsidRPr="00CE7679">
        <w:rPr>
          <w:rFonts w:eastAsia="SimSun"/>
          <w:snapToGrid/>
          <w:szCs w:val="22"/>
          <w:lang w:eastAsia="zh-CN"/>
        </w:rPr>
        <w:t> </w:t>
      </w:r>
      <w:r w:rsidRPr="00CE7679">
        <w:rPr>
          <w:rFonts w:eastAsia="SimSun"/>
          <w:snapToGrid/>
          <w:szCs w:val="22"/>
          <w:lang w:eastAsia="zh-CN"/>
        </w:rPr>
        <w:t xml:space="preserve">%). Prieš tai pacientai buvo gydyti interferono doze </w:t>
      </w:r>
      <w:r w:rsidRPr="00CE7679">
        <w:rPr>
          <w:rFonts w:eastAsia="SimSun" w:hint="eastAsia"/>
          <w:snapToGrid/>
          <w:szCs w:val="22"/>
          <w:lang w:eastAsia="zh-CN"/>
        </w:rPr>
        <w:t>≥</w:t>
      </w:r>
      <w:r w:rsidR="00F41710" w:rsidRPr="00CE7679">
        <w:rPr>
          <w:rFonts w:eastAsia="SimSun"/>
          <w:snapToGrid/>
          <w:szCs w:val="22"/>
          <w:lang w:eastAsia="zh-CN"/>
        </w:rPr>
        <w:t> </w:t>
      </w:r>
      <w:r w:rsidRPr="00CE7679">
        <w:rPr>
          <w:rFonts w:eastAsia="SimSun"/>
          <w:snapToGrid/>
          <w:szCs w:val="22"/>
          <w:lang w:eastAsia="zh-CN"/>
        </w:rPr>
        <w:t>25</w:t>
      </w:r>
      <w:r w:rsidR="00F41710" w:rsidRPr="00CE7679">
        <w:rPr>
          <w:rFonts w:eastAsia="SimSun"/>
          <w:snapToGrid/>
          <w:szCs w:val="22"/>
          <w:lang w:eastAsia="zh-CN"/>
        </w:rPr>
        <w:t> </w:t>
      </w:r>
      <w:r w:rsidRPr="00CE7679">
        <w:rPr>
          <w:rFonts w:eastAsia="SimSun"/>
          <w:snapToGrid/>
          <w:szCs w:val="22"/>
          <w:lang w:eastAsia="zh-CN"/>
        </w:rPr>
        <w:t>x</w:t>
      </w:r>
      <w:r w:rsidR="00F41710" w:rsidRPr="00CE7679">
        <w:rPr>
          <w:rFonts w:eastAsia="SimSun"/>
          <w:snapToGrid/>
          <w:szCs w:val="22"/>
          <w:lang w:eastAsia="zh-CN"/>
        </w:rPr>
        <w:t> </w:t>
      </w:r>
      <w:r w:rsidRPr="00CE7679">
        <w:rPr>
          <w:rFonts w:eastAsia="SimSun"/>
          <w:snapToGrid/>
          <w:szCs w:val="22"/>
          <w:lang w:eastAsia="zh-CN"/>
        </w:rPr>
        <w:t>10</w:t>
      </w:r>
      <w:r w:rsidRPr="00CE7679">
        <w:rPr>
          <w:rFonts w:eastAsia="SimSun"/>
          <w:snapToGrid/>
          <w:szCs w:val="22"/>
          <w:vertAlign w:val="superscript"/>
          <w:lang w:eastAsia="zh-CN"/>
        </w:rPr>
        <w:t>6</w:t>
      </w:r>
      <w:r w:rsidRPr="00CE7679">
        <w:rPr>
          <w:rFonts w:eastAsia="SimSun"/>
          <w:snapToGrid/>
          <w:szCs w:val="22"/>
          <w:lang w:eastAsia="zh-CN"/>
        </w:rPr>
        <w:t xml:space="preserve"> TV per savaitę (vidurinė gydymo trukmė 14</w:t>
      </w:r>
      <w:r w:rsidR="00F41710" w:rsidRPr="00CE7679">
        <w:rPr>
          <w:rFonts w:eastAsia="SimSun"/>
          <w:snapToGrid/>
          <w:szCs w:val="22"/>
          <w:lang w:eastAsia="zh-CN"/>
        </w:rPr>
        <w:t> </w:t>
      </w:r>
      <w:r w:rsidRPr="00CE7679">
        <w:rPr>
          <w:rFonts w:eastAsia="SimSun"/>
          <w:snapToGrid/>
          <w:szCs w:val="22"/>
          <w:lang w:eastAsia="zh-CN"/>
        </w:rPr>
        <w:t>mėnesių), visiems jiems buvo vėlyvoji lėtinė ligos fazė, vidutinė ligos trukmė nuo diagnozės patvirtinimo – 32</w:t>
      </w:r>
      <w:r w:rsidR="00F41710" w:rsidRPr="00CE7679">
        <w:rPr>
          <w:rFonts w:eastAsia="SimSun"/>
          <w:snapToGrid/>
          <w:szCs w:val="22"/>
          <w:lang w:eastAsia="zh-CN"/>
        </w:rPr>
        <w:t> </w:t>
      </w:r>
      <w:r w:rsidRPr="00CE7679">
        <w:rPr>
          <w:rFonts w:eastAsia="SimSun"/>
          <w:snapToGrid/>
          <w:szCs w:val="22"/>
          <w:lang w:eastAsia="zh-CN"/>
        </w:rPr>
        <w:t>mėnesiai. Svarbiausias tyrimo veiksmingumo kintamasis buvo didžiojo citogenetinio atsako (visiško ir dalinio atsako, 0–35</w:t>
      </w:r>
      <w:r w:rsidR="00F41710" w:rsidRPr="00CE7679">
        <w:rPr>
          <w:rFonts w:eastAsia="SimSun"/>
          <w:snapToGrid/>
          <w:szCs w:val="22"/>
          <w:lang w:eastAsia="zh-CN"/>
        </w:rPr>
        <w:t> </w:t>
      </w:r>
      <w:r w:rsidRPr="00CE7679">
        <w:rPr>
          <w:rFonts w:eastAsia="SimSun"/>
          <w:snapToGrid/>
          <w:szCs w:val="22"/>
          <w:lang w:eastAsia="zh-CN"/>
        </w:rPr>
        <w:t xml:space="preserve">% </w:t>
      </w:r>
      <w:proofErr w:type="spellStart"/>
      <w:r w:rsidRPr="00CE7679">
        <w:rPr>
          <w:rFonts w:eastAsia="SimSun"/>
          <w:snapToGrid/>
          <w:szCs w:val="22"/>
          <w:lang w:eastAsia="zh-CN"/>
        </w:rPr>
        <w:t>Ph</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metafazių</w:t>
      </w:r>
      <w:proofErr w:type="spellEnd"/>
      <w:r w:rsidRPr="00CE7679">
        <w:rPr>
          <w:rFonts w:eastAsia="SimSun"/>
          <w:snapToGrid/>
          <w:szCs w:val="22"/>
          <w:lang w:eastAsia="zh-CN"/>
        </w:rPr>
        <w:t xml:space="preserve"> kaulų čiulpuose) dažnis.</w:t>
      </w:r>
    </w:p>
    <w:p w14:paraId="63BDB52E"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7FDC8863" w14:textId="290620B9"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Šio tyrimo metu 65</w:t>
      </w:r>
      <w:r w:rsidR="00F41710" w:rsidRPr="00CE7679">
        <w:rPr>
          <w:rFonts w:eastAsia="SimSun"/>
          <w:snapToGrid/>
          <w:szCs w:val="22"/>
          <w:lang w:eastAsia="zh-CN"/>
        </w:rPr>
        <w:t> </w:t>
      </w:r>
      <w:r w:rsidRPr="00CE7679">
        <w:rPr>
          <w:rFonts w:eastAsia="SimSun"/>
          <w:snapToGrid/>
          <w:szCs w:val="22"/>
          <w:lang w:eastAsia="zh-CN"/>
        </w:rPr>
        <w:t>% pacientų gautas didysis citogenetinis atsakas: visiškas – 53</w:t>
      </w:r>
      <w:r w:rsidR="00F41710" w:rsidRPr="00CE7679">
        <w:rPr>
          <w:rFonts w:eastAsia="SimSun"/>
          <w:snapToGrid/>
          <w:szCs w:val="22"/>
          <w:lang w:eastAsia="zh-CN"/>
        </w:rPr>
        <w:t> </w:t>
      </w:r>
      <w:r w:rsidRPr="00CE7679">
        <w:rPr>
          <w:rFonts w:eastAsia="SimSun"/>
          <w:snapToGrid/>
          <w:szCs w:val="22"/>
          <w:lang w:eastAsia="zh-CN"/>
        </w:rPr>
        <w:t xml:space="preserve">% (patvirtintas </w:t>
      </w:r>
      <w:r w:rsidRPr="00CE7679">
        <w:rPr>
          <w:rFonts w:eastAsia="SimSun"/>
          <w:snapToGrid/>
          <w:szCs w:val="22"/>
          <w:lang w:eastAsia="zh-CN"/>
        </w:rPr>
        <w:lastRenderedPageBreak/>
        <w:t>43</w:t>
      </w:r>
      <w:r w:rsidR="00F41710" w:rsidRPr="00CE7679">
        <w:rPr>
          <w:rFonts w:eastAsia="SimSun"/>
          <w:snapToGrid/>
          <w:szCs w:val="22"/>
          <w:lang w:eastAsia="zh-CN"/>
        </w:rPr>
        <w:t> </w:t>
      </w:r>
      <w:r w:rsidRPr="00CE7679">
        <w:rPr>
          <w:rFonts w:eastAsia="SimSun"/>
          <w:snapToGrid/>
          <w:szCs w:val="22"/>
          <w:lang w:eastAsia="zh-CN"/>
        </w:rPr>
        <w:t>%) pacientų (3</w:t>
      </w:r>
      <w:r w:rsidR="00AF615C">
        <w:rPr>
          <w:rFonts w:eastAsia="SimSun"/>
          <w:snapToGrid/>
          <w:szCs w:val="22"/>
          <w:lang w:eastAsia="zh-CN"/>
        </w:rPr>
        <w:t> </w:t>
      </w:r>
      <w:r w:rsidRPr="00CE7679">
        <w:rPr>
          <w:rFonts w:eastAsia="SimSun"/>
          <w:snapToGrid/>
          <w:szCs w:val="22"/>
          <w:lang w:eastAsia="zh-CN"/>
        </w:rPr>
        <w:t>lentelė). Visiškas hematologinis atsakas gautas 95</w:t>
      </w:r>
      <w:r w:rsidR="00F41710" w:rsidRPr="00CE7679">
        <w:rPr>
          <w:rFonts w:eastAsia="SimSun"/>
          <w:snapToGrid/>
          <w:szCs w:val="22"/>
          <w:lang w:eastAsia="zh-CN"/>
        </w:rPr>
        <w:t> </w:t>
      </w:r>
      <w:r w:rsidRPr="00CE7679">
        <w:rPr>
          <w:rFonts w:eastAsia="SimSun"/>
          <w:snapToGrid/>
          <w:szCs w:val="22"/>
          <w:lang w:eastAsia="zh-CN"/>
        </w:rPr>
        <w:t>% pacientų.</w:t>
      </w:r>
    </w:p>
    <w:p w14:paraId="4A6946A2"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43C79AAE"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i/>
          <w:snapToGrid/>
          <w:szCs w:val="22"/>
          <w:lang w:eastAsia="zh-CN"/>
        </w:rPr>
        <w:t>Akceleracijos fazė</w:t>
      </w:r>
      <w:r w:rsidRPr="00CE7679">
        <w:rPr>
          <w:rFonts w:eastAsia="SimSun"/>
          <w:snapToGrid/>
          <w:szCs w:val="22"/>
          <w:lang w:eastAsia="zh-CN"/>
        </w:rPr>
        <w:t>. Tyrime dalyvavo 235</w:t>
      </w:r>
      <w:r w:rsidR="00F41710" w:rsidRPr="00CE7679">
        <w:rPr>
          <w:rFonts w:eastAsia="SimSun"/>
          <w:snapToGrid/>
          <w:szCs w:val="22"/>
          <w:lang w:eastAsia="zh-CN"/>
        </w:rPr>
        <w:t> </w:t>
      </w:r>
      <w:r w:rsidRPr="00CE7679">
        <w:rPr>
          <w:rFonts w:eastAsia="SimSun"/>
          <w:snapToGrid/>
          <w:szCs w:val="22"/>
          <w:lang w:eastAsia="zh-CN"/>
        </w:rPr>
        <w:t>suaugę pacientai, kuriems buvo ligos akceleracijos fazė. Pirmieji 77</w:t>
      </w:r>
      <w:r w:rsidR="00F41710" w:rsidRPr="00CE7679">
        <w:rPr>
          <w:rFonts w:eastAsia="SimSun"/>
          <w:snapToGrid/>
          <w:szCs w:val="22"/>
          <w:lang w:eastAsia="zh-CN"/>
        </w:rPr>
        <w:t> </w:t>
      </w:r>
      <w:r w:rsidRPr="00CE7679">
        <w:rPr>
          <w:rFonts w:eastAsia="SimSun"/>
          <w:snapToGrid/>
          <w:szCs w:val="22"/>
          <w:lang w:eastAsia="zh-CN"/>
        </w:rPr>
        <w:t>pacientai buvo pradėti gydyti 400</w:t>
      </w:r>
      <w:r w:rsidR="00F41710" w:rsidRPr="00CE7679">
        <w:rPr>
          <w:rFonts w:eastAsia="SimSun"/>
          <w:snapToGrid/>
          <w:szCs w:val="22"/>
          <w:lang w:eastAsia="zh-CN"/>
        </w:rPr>
        <w:t> </w:t>
      </w:r>
      <w:r w:rsidRPr="00CE7679">
        <w:rPr>
          <w:rFonts w:eastAsia="SimSun"/>
          <w:snapToGrid/>
          <w:szCs w:val="22"/>
          <w:lang w:eastAsia="zh-CN"/>
        </w:rPr>
        <w:t>mg doze, paskui protokolas buvo papildytas, ir kitiems 158</w:t>
      </w:r>
      <w:r w:rsidR="00F41710" w:rsidRPr="00CE7679">
        <w:rPr>
          <w:rFonts w:eastAsia="SimSun"/>
          <w:snapToGrid/>
          <w:szCs w:val="22"/>
          <w:lang w:eastAsia="zh-CN"/>
        </w:rPr>
        <w:t> </w:t>
      </w:r>
      <w:r w:rsidRPr="00CE7679">
        <w:rPr>
          <w:rFonts w:eastAsia="SimSun"/>
          <w:snapToGrid/>
          <w:szCs w:val="22"/>
          <w:lang w:eastAsia="zh-CN"/>
        </w:rPr>
        <w:t>pacientams leista vartoti pradinę 600</w:t>
      </w:r>
      <w:r w:rsidR="00F41710" w:rsidRPr="00CE7679">
        <w:rPr>
          <w:rFonts w:eastAsia="SimSun"/>
          <w:snapToGrid/>
          <w:szCs w:val="22"/>
          <w:lang w:eastAsia="zh-CN"/>
        </w:rPr>
        <w:t> </w:t>
      </w:r>
      <w:r w:rsidRPr="00CE7679">
        <w:rPr>
          <w:rFonts w:eastAsia="SimSun"/>
          <w:snapToGrid/>
          <w:szCs w:val="22"/>
          <w:lang w:eastAsia="zh-CN"/>
        </w:rPr>
        <w:t>mg dozę.</w:t>
      </w:r>
    </w:p>
    <w:p w14:paraId="5B85D947"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38ED715A"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Svarbiausias veiksmingumo kintamasis buvo hematologinio atsako, apibūdinamo visišku hematologiniu atsaku, išnykusiais leukemijos požymiais (</w:t>
      </w:r>
      <w:proofErr w:type="spellStart"/>
      <w:r w:rsidRPr="00CE7679">
        <w:rPr>
          <w:rFonts w:eastAsia="SimSun"/>
          <w:snapToGrid/>
          <w:szCs w:val="22"/>
          <w:lang w:eastAsia="zh-CN"/>
        </w:rPr>
        <w:t>t.y</w:t>
      </w:r>
      <w:proofErr w:type="spellEnd"/>
      <w:r w:rsidRPr="00CE7679">
        <w:rPr>
          <w:rFonts w:eastAsia="SimSun"/>
          <w:snapToGrid/>
          <w:szCs w:val="22"/>
          <w:lang w:eastAsia="zh-CN"/>
        </w:rPr>
        <w:t xml:space="preserve">. išnykusiais </w:t>
      </w:r>
      <w:proofErr w:type="spellStart"/>
      <w:r w:rsidRPr="00CE7679">
        <w:rPr>
          <w:rFonts w:eastAsia="SimSun"/>
          <w:snapToGrid/>
          <w:szCs w:val="22"/>
          <w:lang w:eastAsia="zh-CN"/>
        </w:rPr>
        <w:t>blastais</w:t>
      </w:r>
      <w:proofErr w:type="spellEnd"/>
      <w:r w:rsidRPr="00CE7679">
        <w:rPr>
          <w:rFonts w:eastAsia="SimSun"/>
          <w:snapToGrid/>
          <w:szCs w:val="22"/>
          <w:lang w:eastAsia="zh-CN"/>
        </w:rPr>
        <w:t xml:space="preserve"> iš kaulų čiulpų ir kraujo, bet nevisiškai atsigavusiam periferiniam kraujui kaip esant visiškam atsakui) ar grįžimu į lėtinę LML fazę, dažnis. Visiškas hematologinis atsakas patvirtintas 71,5</w:t>
      </w:r>
      <w:r w:rsidR="00F41710" w:rsidRPr="00CE7679">
        <w:rPr>
          <w:rFonts w:eastAsia="SimSun"/>
          <w:snapToGrid/>
          <w:szCs w:val="22"/>
          <w:lang w:eastAsia="zh-CN"/>
        </w:rPr>
        <w:t> </w:t>
      </w:r>
      <w:r w:rsidRPr="00CE7679">
        <w:rPr>
          <w:rFonts w:eastAsia="SimSun"/>
          <w:snapToGrid/>
          <w:szCs w:val="22"/>
          <w:lang w:eastAsia="zh-CN"/>
        </w:rPr>
        <w:t>% pacientų (3</w:t>
      </w:r>
      <w:r w:rsidR="00F41710" w:rsidRPr="00CE7679">
        <w:rPr>
          <w:rFonts w:eastAsia="SimSun"/>
          <w:snapToGrid/>
          <w:szCs w:val="22"/>
          <w:lang w:eastAsia="zh-CN"/>
        </w:rPr>
        <w:t> </w:t>
      </w:r>
      <w:r w:rsidRPr="00CE7679">
        <w:rPr>
          <w:rFonts w:eastAsia="SimSun"/>
          <w:snapToGrid/>
          <w:szCs w:val="22"/>
          <w:lang w:eastAsia="zh-CN"/>
        </w:rPr>
        <w:t>lentelė). Svarbu tai, kad 27,7</w:t>
      </w:r>
      <w:r w:rsidR="00F41710" w:rsidRPr="00CE7679">
        <w:rPr>
          <w:rFonts w:eastAsia="SimSun"/>
          <w:snapToGrid/>
          <w:szCs w:val="22"/>
          <w:lang w:eastAsia="zh-CN"/>
        </w:rPr>
        <w:t> </w:t>
      </w:r>
      <w:r w:rsidRPr="00CE7679">
        <w:rPr>
          <w:rFonts w:eastAsia="SimSun"/>
          <w:snapToGrid/>
          <w:szCs w:val="22"/>
          <w:lang w:eastAsia="zh-CN"/>
        </w:rPr>
        <w:t>% tiriamųjų gautas didysis citogenetinis atsakas, kuris visiškas buvo 20,4</w:t>
      </w:r>
      <w:r w:rsidR="00F41710" w:rsidRPr="00CE7679">
        <w:rPr>
          <w:rFonts w:eastAsia="SimSun"/>
          <w:snapToGrid/>
          <w:szCs w:val="22"/>
          <w:lang w:eastAsia="zh-CN"/>
        </w:rPr>
        <w:t> </w:t>
      </w:r>
      <w:r w:rsidRPr="00CE7679">
        <w:rPr>
          <w:rFonts w:eastAsia="SimSun"/>
          <w:snapToGrid/>
          <w:szCs w:val="22"/>
          <w:lang w:eastAsia="zh-CN"/>
        </w:rPr>
        <w:t>% (patvirtintas 16</w:t>
      </w:r>
      <w:r w:rsidR="00F41710" w:rsidRPr="00CE7679">
        <w:rPr>
          <w:rFonts w:eastAsia="SimSun"/>
          <w:snapToGrid/>
          <w:szCs w:val="22"/>
          <w:lang w:eastAsia="zh-CN"/>
        </w:rPr>
        <w:t> </w:t>
      </w:r>
      <w:r w:rsidRPr="00CE7679">
        <w:rPr>
          <w:rFonts w:eastAsia="SimSun"/>
          <w:snapToGrid/>
          <w:szCs w:val="22"/>
          <w:lang w:eastAsia="zh-CN"/>
        </w:rPr>
        <w:t>%). Pacientams, gydytiems 600</w:t>
      </w:r>
      <w:r w:rsidR="00F41710" w:rsidRPr="00CE7679">
        <w:rPr>
          <w:rFonts w:eastAsia="SimSun"/>
          <w:snapToGrid/>
          <w:szCs w:val="22"/>
          <w:lang w:eastAsia="zh-CN"/>
        </w:rPr>
        <w:t> </w:t>
      </w:r>
      <w:r w:rsidRPr="00CE7679">
        <w:rPr>
          <w:rFonts w:eastAsia="SimSun"/>
          <w:snapToGrid/>
          <w:szCs w:val="22"/>
          <w:lang w:eastAsia="zh-CN"/>
        </w:rPr>
        <w:t>mg doze, nustatyta išgyvenamumo be ligos progresavimo ir bendro išgyvenamumo mediana buvo atitinkamai 22,9 ir 42,5</w:t>
      </w:r>
      <w:r w:rsidR="00F41710" w:rsidRPr="00CE7679">
        <w:rPr>
          <w:rFonts w:eastAsia="SimSun"/>
          <w:snapToGrid/>
          <w:szCs w:val="22"/>
          <w:lang w:eastAsia="zh-CN"/>
        </w:rPr>
        <w:t> </w:t>
      </w:r>
      <w:r w:rsidRPr="00CE7679">
        <w:rPr>
          <w:rFonts w:eastAsia="SimSun"/>
          <w:snapToGrid/>
          <w:szCs w:val="22"/>
          <w:lang w:eastAsia="zh-CN"/>
        </w:rPr>
        <w:t>mėnesio.</w:t>
      </w:r>
    </w:p>
    <w:p w14:paraId="08226D81"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2BCF9F3E" w14:textId="77777777" w:rsidR="00A27597" w:rsidRPr="00CE7679" w:rsidRDefault="00A27597" w:rsidP="00A27597">
      <w:pPr>
        <w:widowControl w:val="0"/>
        <w:autoSpaceDE w:val="0"/>
        <w:autoSpaceDN w:val="0"/>
        <w:adjustRightInd w:val="0"/>
        <w:spacing w:line="240" w:lineRule="auto"/>
        <w:rPr>
          <w:rFonts w:eastAsia="Calibri"/>
          <w:i/>
          <w:snapToGrid/>
          <w:szCs w:val="22"/>
        </w:rPr>
      </w:pPr>
      <w:proofErr w:type="spellStart"/>
      <w:r w:rsidRPr="00CE7679">
        <w:rPr>
          <w:rFonts w:eastAsia="SimSun"/>
          <w:i/>
          <w:iCs/>
          <w:snapToGrid/>
          <w:szCs w:val="22"/>
          <w:lang w:eastAsia="zh-CN"/>
        </w:rPr>
        <w:t>Mieloblastinė</w:t>
      </w:r>
      <w:proofErr w:type="spellEnd"/>
      <w:r w:rsidRPr="00CE7679">
        <w:rPr>
          <w:rFonts w:eastAsia="SimSun"/>
          <w:i/>
          <w:iCs/>
          <w:snapToGrid/>
          <w:szCs w:val="22"/>
          <w:lang w:eastAsia="zh-CN"/>
        </w:rPr>
        <w:t xml:space="preserve"> krizė</w:t>
      </w:r>
      <w:r w:rsidRPr="00CE7679">
        <w:rPr>
          <w:rFonts w:eastAsia="SimSun"/>
          <w:snapToGrid/>
          <w:szCs w:val="22"/>
          <w:lang w:eastAsia="zh-CN"/>
        </w:rPr>
        <w:t>. Tyrime dalyvavo 260</w:t>
      </w:r>
      <w:r w:rsidR="00F41710" w:rsidRPr="00CE7679">
        <w:rPr>
          <w:rFonts w:eastAsia="SimSun"/>
          <w:snapToGrid/>
          <w:szCs w:val="22"/>
          <w:lang w:eastAsia="zh-CN"/>
        </w:rPr>
        <w:t> </w:t>
      </w:r>
      <w:r w:rsidRPr="00CE7679">
        <w:rPr>
          <w:rFonts w:eastAsia="SimSun"/>
          <w:snapToGrid/>
          <w:szCs w:val="22"/>
          <w:lang w:eastAsia="zh-CN"/>
        </w:rPr>
        <w:t xml:space="preserve">pacientų, kuriems buvo </w:t>
      </w:r>
      <w:proofErr w:type="spellStart"/>
      <w:r w:rsidRPr="00CE7679">
        <w:rPr>
          <w:rFonts w:eastAsia="SimSun"/>
          <w:snapToGrid/>
          <w:szCs w:val="22"/>
          <w:lang w:eastAsia="zh-CN"/>
        </w:rPr>
        <w:t>mieloblastinė</w:t>
      </w:r>
      <w:proofErr w:type="spellEnd"/>
      <w:r w:rsidRPr="00CE7679">
        <w:rPr>
          <w:rFonts w:eastAsia="SimSun"/>
          <w:snapToGrid/>
          <w:szCs w:val="22"/>
          <w:lang w:eastAsia="zh-CN"/>
        </w:rPr>
        <w:t xml:space="preserve"> krizė. 95 (37 %) pacientams anksčiau taikyta chemoterapija dėl akceleracijos fazės ar </w:t>
      </w:r>
      <w:proofErr w:type="spellStart"/>
      <w:r w:rsidRPr="00CE7679">
        <w:rPr>
          <w:rFonts w:eastAsia="SimSun"/>
          <w:snapToGrid/>
          <w:szCs w:val="22"/>
          <w:lang w:eastAsia="zh-CN"/>
        </w:rPr>
        <w:t>blastinės</w:t>
      </w:r>
      <w:proofErr w:type="spellEnd"/>
      <w:r w:rsidRPr="00CE7679">
        <w:rPr>
          <w:rFonts w:eastAsia="SimSun"/>
          <w:snapToGrid/>
          <w:szCs w:val="22"/>
          <w:lang w:eastAsia="zh-CN"/>
        </w:rPr>
        <w:t xml:space="preserve"> krizės („anksčiau gydyti pacientai“) ir 165 (63 %) negydyti („negydyti pacientai“). Pirmieji 37 pacientai pradėti gydyti 400 mg doze. Paskui protokolas buvo papildytas, kad galima būtų skirti didesnę dozę, taigi kiti 223</w:t>
      </w:r>
      <w:r w:rsidR="00F41710" w:rsidRPr="00CE7679">
        <w:rPr>
          <w:rFonts w:eastAsia="SimSun"/>
          <w:snapToGrid/>
          <w:szCs w:val="22"/>
          <w:lang w:eastAsia="zh-CN"/>
        </w:rPr>
        <w:t> </w:t>
      </w:r>
      <w:r w:rsidRPr="00CE7679">
        <w:rPr>
          <w:rFonts w:eastAsia="SimSun"/>
          <w:snapToGrid/>
          <w:szCs w:val="22"/>
          <w:lang w:eastAsia="zh-CN"/>
        </w:rPr>
        <w:t>pacientai buvo pradėti gydyti 600 mg doze.</w:t>
      </w:r>
    </w:p>
    <w:p w14:paraId="571CDBE6"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092CE03F"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Svarbiausias veiksmingumo kintamasis buvo hematologinio atsako, apibūdinamo visišku hematologiniu atsaku, išnykusia leukemija  ar grįžimu į lėtinę LML fazę</w:t>
      </w:r>
      <w:r w:rsidRPr="00CE7679">
        <w:rPr>
          <w:szCs w:val="22"/>
        </w:rPr>
        <w:t>, vertinant pagal tuos pačius kriterijus kaip ir akceleracijos fazės tyrimo metu, dažnis</w:t>
      </w:r>
      <w:r w:rsidRPr="00CE7679">
        <w:rPr>
          <w:rFonts w:eastAsia="SimSun"/>
          <w:snapToGrid/>
          <w:szCs w:val="22"/>
          <w:lang w:eastAsia="zh-CN"/>
        </w:rPr>
        <w:t>. Šio tyrimo metu hematologinis atsakas gautas 31 % pacientų (36 % – anksčiau negydytiems ir 22 % – anksčiau gydytiems). Atsako dažnis taip pat buvo didesnis pacientams, gydytiems 600 mg doze (33 %), lyginant su gydytais 400 mg doze (16 %, p=0,0220). Nustatyta vidutinė anksčiau negydytų ir anksčiau gydytų pacientų išgyvenamumo trukmės mediana buvo atitinkamai 7,7</w:t>
      </w:r>
      <w:r w:rsidR="00F41710" w:rsidRPr="00CE7679">
        <w:rPr>
          <w:rFonts w:eastAsia="SimSun"/>
          <w:snapToGrid/>
          <w:szCs w:val="22"/>
          <w:lang w:eastAsia="zh-CN"/>
        </w:rPr>
        <w:t> </w:t>
      </w:r>
      <w:r w:rsidRPr="00CE7679">
        <w:rPr>
          <w:rFonts w:eastAsia="SimSun"/>
          <w:snapToGrid/>
          <w:szCs w:val="22"/>
          <w:lang w:eastAsia="zh-CN"/>
        </w:rPr>
        <w:t>mėn. ir 4,7</w:t>
      </w:r>
      <w:r w:rsidR="00F41710" w:rsidRPr="00CE7679">
        <w:rPr>
          <w:rFonts w:eastAsia="SimSun"/>
          <w:snapToGrid/>
          <w:szCs w:val="22"/>
          <w:lang w:eastAsia="zh-CN"/>
        </w:rPr>
        <w:t> </w:t>
      </w:r>
      <w:r w:rsidRPr="00CE7679">
        <w:rPr>
          <w:rFonts w:eastAsia="SimSun"/>
          <w:snapToGrid/>
          <w:szCs w:val="22"/>
          <w:lang w:eastAsia="zh-CN"/>
        </w:rPr>
        <w:t>mėn.</w:t>
      </w:r>
    </w:p>
    <w:p w14:paraId="19A394A0"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33897965"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roofErr w:type="spellStart"/>
      <w:r w:rsidRPr="00CE7679">
        <w:rPr>
          <w:rFonts w:eastAsia="SimSun"/>
          <w:i/>
          <w:iCs/>
          <w:snapToGrid/>
          <w:szCs w:val="22"/>
          <w:lang w:eastAsia="zh-CN"/>
        </w:rPr>
        <w:t>Limfoblastinė</w:t>
      </w:r>
      <w:proofErr w:type="spellEnd"/>
      <w:r w:rsidRPr="00CE7679">
        <w:rPr>
          <w:rFonts w:eastAsia="SimSun"/>
          <w:i/>
          <w:iCs/>
          <w:snapToGrid/>
          <w:szCs w:val="22"/>
          <w:lang w:eastAsia="zh-CN"/>
        </w:rPr>
        <w:t xml:space="preserve"> krizė</w:t>
      </w:r>
      <w:r w:rsidRPr="00CE7679">
        <w:rPr>
          <w:rFonts w:eastAsia="SimSun"/>
          <w:snapToGrid/>
          <w:szCs w:val="22"/>
          <w:lang w:eastAsia="zh-CN"/>
        </w:rPr>
        <w:t>. Nedaug (n=10) pacientų buvo įtraukta į I fazės tyrimą. Hematologinio atsako dažnis buvo 70 %, jo trukmė – 2–3</w:t>
      </w:r>
      <w:r w:rsidR="00F41710" w:rsidRPr="00CE7679">
        <w:rPr>
          <w:rFonts w:eastAsia="SimSun"/>
          <w:snapToGrid/>
          <w:szCs w:val="22"/>
          <w:lang w:eastAsia="zh-CN"/>
        </w:rPr>
        <w:t> </w:t>
      </w:r>
      <w:r w:rsidRPr="00CE7679">
        <w:rPr>
          <w:rFonts w:eastAsia="SimSun"/>
          <w:snapToGrid/>
          <w:szCs w:val="22"/>
          <w:lang w:eastAsia="zh-CN"/>
        </w:rPr>
        <w:t>mėnesiai.</w:t>
      </w:r>
    </w:p>
    <w:p w14:paraId="3C02E52B"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561E756A" w14:textId="6B2229E7" w:rsidR="00A27597" w:rsidRPr="00CE7679" w:rsidRDefault="00A27597" w:rsidP="00A27597">
      <w:pPr>
        <w:widowControl w:val="0"/>
        <w:autoSpaceDE w:val="0"/>
        <w:autoSpaceDN w:val="0"/>
        <w:adjustRightInd w:val="0"/>
        <w:spacing w:line="240" w:lineRule="auto"/>
        <w:jc w:val="both"/>
        <w:rPr>
          <w:rFonts w:eastAsia="SimSun"/>
          <w:b/>
          <w:snapToGrid/>
          <w:szCs w:val="22"/>
          <w:lang w:eastAsia="zh-CN"/>
        </w:rPr>
      </w:pPr>
      <w:r w:rsidRPr="00CE7679">
        <w:rPr>
          <w:rFonts w:eastAsia="Calibri"/>
          <w:b/>
          <w:snapToGrid/>
          <w:szCs w:val="22"/>
        </w:rPr>
        <w:t>3</w:t>
      </w:r>
      <w:r w:rsidR="00EA4A73">
        <w:rPr>
          <w:rFonts w:eastAsia="Calibri"/>
          <w:b/>
          <w:snapToGrid/>
          <w:szCs w:val="22"/>
        </w:rPr>
        <w:t> </w:t>
      </w:r>
      <w:r w:rsidRPr="00CE7679">
        <w:rPr>
          <w:rFonts w:eastAsia="Calibri"/>
          <w:b/>
          <w:snapToGrid/>
          <w:szCs w:val="22"/>
        </w:rPr>
        <w:t>lentelė. Atsakas suaugusiųjų LML tyrimuose</w:t>
      </w:r>
    </w:p>
    <w:tbl>
      <w:tblPr>
        <w:tblW w:w="0" w:type="auto"/>
        <w:tblCellMar>
          <w:left w:w="0" w:type="dxa"/>
          <w:right w:w="0" w:type="dxa"/>
        </w:tblCellMar>
        <w:tblLook w:val="0000" w:firstRow="0" w:lastRow="0" w:firstColumn="0" w:lastColumn="0" w:noHBand="0" w:noVBand="0"/>
      </w:tblPr>
      <w:tblGrid>
        <w:gridCol w:w="3034"/>
        <w:gridCol w:w="2146"/>
        <w:gridCol w:w="2084"/>
        <w:gridCol w:w="1796"/>
      </w:tblGrid>
      <w:tr w:rsidR="00701D61" w:rsidRPr="00CE7679" w14:paraId="2E52395B" w14:textId="77777777" w:rsidTr="00A27597">
        <w:trPr>
          <w:trHeight w:hRule="exact" w:val="1304"/>
        </w:trPr>
        <w:tc>
          <w:tcPr>
            <w:tcW w:w="0" w:type="auto"/>
            <w:tcBorders>
              <w:top w:val="single" w:sz="4" w:space="0" w:color="000000"/>
              <w:left w:val="single" w:sz="4" w:space="0" w:color="000000"/>
              <w:bottom w:val="single" w:sz="4" w:space="0" w:color="000000"/>
              <w:right w:val="single" w:sz="4" w:space="0" w:color="000000"/>
            </w:tcBorders>
          </w:tcPr>
          <w:p w14:paraId="698B58B2" w14:textId="77777777" w:rsidR="00A27597" w:rsidRPr="00CE7679" w:rsidRDefault="00A27597" w:rsidP="00A27597">
            <w:pPr>
              <w:widowControl w:val="0"/>
              <w:autoSpaceDE w:val="0"/>
              <w:autoSpaceDN w:val="0"/>
              <w:adjustRightInd w:val="0"/>
              <w:spacing w:line="240" w:lineRule="auto"/>
              <w:jc w:val="center"/>
              <w:rPr>
                <w:rFonts w:eastAsia="SimSun"/>
                <w:snapToGrid/>
                <w:szCs w:val="22"/>
                <w:lang w:eastAsia="zh-CN"/>
              </w:rPr>
            </w:pPr>
          </w:p>
          <w:p w14:paraId="21D681CD" w14:textId="77777777" w:rsidR="00A27597" w:rsidRPr="00CE7679" w:rsidRDefault="00A27597" w:rsidP="00A27597">
            <w:pPr>
              <w:widowControl w:val="0"/>
              <w:autoSpaceDE w:val="0"/>
              <w:autoSpaceDN w:val="0"/>
              <w:adjustRightInd w:val="0"/>
              <w:spacing w:line="240" w:lineRule="auto"/>
              <w:jc w:val="center"/>
              <w:rPr>
                <w:rFonts w:eastAsia="SimSun"/>
                <w:snapToGrid/>
                <w:szCs w:val="22"/>
                <w:lang w:eastAsia="zh-CN"/>
              </w:rPr>
            </w:pPr>
          </w:p>
        </w:tc>
        <w:tc>
          <w:tcPr>
            <w:tcW w:w="2146" w:type="dxa"/>
            <w:tcBorders>
              <w:top w:val="single" w:sz="4" w:space="0" w:color="000000"/>
              <w:left w:val="single" w:sz="4" w:space="0" w:color="000000"/>
              <w:bottom w:val="single" w:sz="4" w:space="0" w:color="000000"/>
              <w:right w:val="single" w:sz="4" w:space="0" w:color="000000"/>
            </w:tcBorders>
          </w:tcPr>
          <w:p w14:paraId="3D3E66D8" w14:textId="77777777" w:rsidR="00A27597" w:rsidRPr="00CE7679" w:rsidRDefault="00A27597" w:rsidP="00A27597">
            <w:pPr>
              <w:widowControl w:val="0"/>
              <w:autoSpaceDE w:val="0"/>
              <w:autoSpaceDN w:val="0"/>
              <w:adjustRightInd w:val="0"/>
              <w:spacing w:line="240" w:lineRule="auto"/>
              <w:jc w:val="center"/>
              <w:rPr>
                <w:rFonts w:eastAsia="SimSun"/>
                <w:snapToGrid/>
                <w:szCs w:val="22"/>
                <w:lang w:eastAsia="zh-CN"/>
              </w:rPr>
            </w:pPr>
            <w:r w:rsidRPr="00CE7679">
              <w:rPr>
                <w:rFonts w:eastAsia="SimSun"/>
                <w:snapToGrid/>
                <w:szCs w:val="22"/>
                <w:lang w:eastAsia="zh-CN"/>
              </w:rPr>
              <w:t xml:space="preserve">Tyrimas 0110 </w:t>
            </w:r>
          </w:p>
          <w:p w14:paraId="1DFC505A" w14:textId="77777777" w:rsidR="00A27597" w:rsidRPr="00CE7679" w:rsidRDefault="00A27597" w:rsidP="00A27597">
            <w:pPr>
              <w:widowControl w:val="0"/>
              <w:autoSpaceDE w:val="0"/>
              <w:autoSpaceDN w:val="0"/>
              <w:adjustRightInd w:val="0"/>
              <w:spacing w:line="240" w:lineRule="auto"/>
              <w:jc w:val="center"/>
              <w:rPr>
                <w:rFonts w:eastAsia="SimSun"/>
                <w:snapToGrid/>
                <w:szCs w:val="22"/>
                <w:lang w:eastAsia="zh-CN"/>
              </w:rPr>
            </w:pPr>
            <w:r w:rsidRPr="00CE7679">
              <w:rPr>
                <w:rFonts w:eastAsia="SimSun"/>
                <w:snapToGrid/>
                <w:szCs w:val="22"/>
                <w:lang w:eastAsia="zh-CN"/>
              </w:rPr>
              <w:t>37</w:t>
            </w:r>
            <w:r w:rsidR="00F41710" w:rsidRPr="00CE7679">
              <w:rPr>
                <w:rFonts w:eastAsia="SimSun"/>
                <w:snapToGrid/>
                <w:szCs w:val="22"/>
                <w:lang w:eastAsia="zh-CN"/>
              </w:rPr>
              <w:t> </w:t>
            </w:r>
            <w:r w:rsidRPr="00CE7679">
              <w:rPr>
                <w:rFonts w:eastAsia="SimSun"/>
                <w:snapToGrid/>
                <w:szCs w:val="22"/>
                <w:lang w:eastAsia="zh-CN"/>
              </w:rPr>
              <w:t>mėnesių duomenys</w:t>
            </w:r>
          </w:p>
          <w:p w14:paraId="73A3450A" w14:textId="77777777" w:rsidR="00A27597" w:rsidRPr="00CE7679" w:rsidRDefault="00A27597" w:rsidP="00A27597">
            <w:pPr>
              <w:widowControl w:val="0"/>
              <w:autoSpaceDE w:val="0"/>
              <w:autoSpaceDN w:val="0"/>
              <w:adjustRightInd w:val="0"/>
              <w:spacing w:line="240" w:lineRule="auto"/>
              <w:jc w:val="center"/>
              <w:rPr>
                <w:rFonts w:eastAsia="SimSun"/>
                <w:snapToGrid/>
                <w:szCs w:val="22"/>
                <w:lang w:eastAsia="zh-CN"/>
              </w:rPr>
            </w:pPr>
            <w:r w:rsidRPr="00CE7679">
              <w:rPr>
                <w:rFonts w:eastAsia="SimSun"/>
                <w:snapToGrid/>
                <w:szCs w:val="22"/>
                <w:lang w:eastAsia="zh-CN"/>
              </w:rPr>
              <w:t>Lėtinė fazė, nesėkmingas gydymas IFN, (n=532)</w:t>
            </w:r>
          </w:p>
        </w:tc>
        <w:tc>
          <w:tcPr>
            <w:tcW w:w="2084" w:type="dxa"/>
            <w:tcBorders>
              <w:top w:val="single" w:sz="4" w:space="0" w:color="000000"/>
              <w:left w:val="single" w:sz="4" w:space="0" w:color="000000"/>
              <w:bottom w:val="single" w:sz="4" w:space="0" w:color="000000"/>
              <w:right w:val="single" w:sz="4" w:space="0" w:color="000000"/>
            </w:tcBorders>
          </w:tcPr>
          <w:p w14:paraId="599C8140" w14:textId="77777777" w:rsidR="00A27597" w:rsidRPr="00CE7679" w:rsidRDefault="00A27597" w:rsidP="00A27597">
            <w:pPr>
              <w:widowControl w:val="0"/>
              <w:autoSpaceDE w:val="0"/>
              <w:autoSpaceDN w:val="0"/>
              <w:adjustRightInd w:val="0"/>
              <w:spacing w:line="240" w:lineRule="auto"/>
              <w:jc w:val="center"/>
              <w:rPr>
                <w:rFonts w:eastAsia="SimSun"/>
                <w:snapToGrid/>
                <w:szCs w:val="22"/>
                <w:lang w:eastAsia="zh-CN"/>
              </w:rPr>
            </w:pPr>
            <w:r w:rsidRPr="00CE7679">
              <w:rPr>
                <w:rFonts w:eastAsia="SimSun"/>
                <w:snapToGrid/>
                <w:szCs w:val="22"/>
                <w:lang w:eastAsia="zh-CN"/>
              </w:rPr>
              <w:t>Tyrimas 0109</w:t>
            </w:r>
          </w:p>
          <w:p w14:paraId="64174E63" w14:textId="77777777" w:rsidR="00A27597" w:rsidRPr="00CE7679" w:rsidRDefault="00A27597" w:rsidP="00A27597">
            <w:pPr>
              <w:widowControl w:val="0"/>
              <w:autoSpaceDE w:val="0"/>
              <w:autoSpaceDN w:val="0"/>
              <w:adjustRightInd w:val="0"/>
              <w:spacing w:line="240" w:lineRule="auto"/>
              <w:jc w:val="center"/>
              <w:rPr>
                <w:rFonts w:eastAsia="SimSun"/>
                <w:snapToGrid/>
                <w:szCs w:val="22"/>
                <w:lang w:eastAsia="zh-CN"/>
              </w:rPr>
            </w:pPr>
            <w:r w:rsidRPr="00CE7679">
              <w:rPr>
                <w:rFonts w:eastAsia="SimSun"/>
                <w:snapToGrid/>
                <w:szCs w:val="22"/>
                <w:lang w:eastAsia="zh-CN"/>
              </w:rPr>
              <w:t>40,5</w:t>
            </w:r>
            <w:r w:rsidR="00F41710" w:rsidRPr="00CE7679">
              <w:rPr>
                <w:rFonts w:eastAsia="SimSun"/>
                <w:snapToGrid/>
                <w:szCs w:val="22"/>
                <w:lang w:eastAsia="zh-CN"/>
              </w:rPr>
              <w:t> </w:t>
            </w:r>
            <w:r w:rsidRPr="00CE7679">
              <w:rPr>
                <w:rFonts w:eastAsia="SimSun"/>
                <w:snapToGrid/>
                <w:szCs w:val="22"/>
                <w:lang w:eastAsia="zh-CN"/>
              </w:rPr>
              <w:t>mėnesių duomenys</w:t>
            </w:r>
          </w:p>
          <w:p w14:paraId="6D271982" w14:textId="77777777" w:rsidR="00A27597" w:rsidRPr="00CE7679" w:rsidRDefault="00A27597" w:rsidP="00A27597">
            <w:pPr>
              <w:widowControl w:val="0"/>
              <w:autoSpaceDE w:val="0"/>
              <w:autoSpaceDN w:val="0"/>
              <w:adjustRightInd w:val="0"/>
              <w:spacing w:line="240" w:lineRule="auto"/>
              <w:jc w:val="center"/>
              <w:rPr>
                <w:rFonts w:eastAsia="SimSun"/>
                <w:snapToGrid/>
                <w:szCs w:val="22"/>
                <w:lang w:eastAsia="zh-CN"/>
              </w:rPr>
            </w:pPr>
            <w:r w:rsidRPr="00CE7679">
              <w:rPr>
                <w:rFonts w:eastAsia="SimSun"/>
                <w:snapToGrid/>
                <w:szCs w:val="22"/>
                <w:lang w:eastAsia="zh-CN"/>
              </w:rPr>
              <w:t>Akceleracijos fazė</w:t>
            </w:r>
          </w:p>
          <w:p w14:paraId="100A7F80" w14:textId="77777777" w:rsidR="00A27597" w:rsidRPr="00CE7679" w:rsidRDefault="00A27597" w:rsidP="00A27597">
            <w:pPr>
              <w:widowControl w:val="0"/>
              <w:autoSpaceDE w:val="0"/>
              <w:autoSpaceDN w:val="0"/>
              <w:adjustRightInd w:val="0"/>
              <w:spacing w:line="240" w:lineRule="auto"/>
              <w:jc w:val="center"/>
              <w:rPr>
                <w:rFonts w:eastAsia="SimSun"/>
                <w:snapToGrid/>
                <w:szCs w:val="22"/>
                <w:lang w:eastAsia="zh-CN"/>
              </w:rPr>
            </w:pPr>
            <w:r w:rsidRPr="00CE7679">
              <w:rPr>
                <w:rFonts w:eastAsia="SimSun"/>
                <w:snapToGrid/>
                <w:szCs w:val="22"/>
                <w:lang w:eastAsia="zh-CN"/>
              </w:rPr>
              <w:t>(n=235)</w:t>
            </w:r>
          </w:p>
        </w:tc>
        <w:tc>
          <w:tcPr>
            <w:tcW w:w="1796" w:type="dxa"/>
            <w:tcBorders>
              <w:top w:val="single" w:sz="4" w:space="0" w:color="000000"/>
              <w:left w:val="single" w:sz="4" w:space="0" w:color="000000"/>
              <w:bottom w:val="single" w:sz="4" w:space="0" w:color="000000"/>
              <w:right w:val="single" w:sz="4" w:space="0" w:color="000000"/>
            </w:tcBorders>
          </w:tcPr>
          <w:p w14:paraId="7DC9FAEF" w14:textId="77777777" w:rsidR="00A27597" w:rsidRPr="00CE7679" w:rsidRDefault="00A27597" w:rsidP="00A27597">
            <w:pPr>
              <w:widowControl w:val="0"/>
              <w:autoSpaceDE w:val="0"/>
              <w:autoSpaceDN w:val="0"/>
              <w:adjustRightInd w:val="0"/>
              <w:spacing w:line="240" w:lineRule="auto"/>
              <w:jc w:val="center"/>
              <w:rPr>
                <w:rFonts w:eastAsia="SimSun"/>
                <w:snapToGrid/>
                <w:szCs w:val="22"/>
                <w:lang w:eastAsia="zh-CN"/>
              </w:rPr>
            </w:pPr>
            <w:r w:rsidRPr="00CE7679">
              <w:rPr>
                <w:rFonts w:eastAsia="SimSun"/>
                <w:snapToGrid/>
                <w:szCs w:val="22"/>
                <w:lang w:eastAsia="zh-CN"/>
              </w:rPr>
              <w:t>Tyrimas 0102</w:t>
            </w:r>
          </w:p>
          <w:p w14:paraId="48AC8DD2" w14:textId="77777777" w:rsidR="00A27597" w:rsidRPr="00CE7679" w:rsidRDefault="00A27597" w:rsidP="00A27597">
            <w:pPr>
              <w:widowControl w:val="0"/>
              <w:autoSpaceDE w:val="0"/>
              <w:autoSpaceDN w:val="0"/>
              <w:adjustRightInd w:val="0"/>
              <w:spacing w:line="240" w:lineRule="auto"/>
              <w:jc w:val="center"/>
              <w:rPr>
                <w:rFonts w:eastAsia="SimSun"/>
                <w:snapToGrid/>
                <w:szCs w:val="22"/>
                <w:lang w:eastAsia="zh-CN"/>
              </w:rPr>
            </w:pPr>
            <w:r w:rsidRPr="00CE7679">
              <w:rPr>
                <w:rFonts w:eastAsia="SimSun"/>
                <w:snapToGrid/>
                <w:szCs w:val="22"/>
                <w:lang w:eastAsia="zh-CN"/>
              </w:rPr>
              <w:t>38</w:t>
            </w:r>
            <w:r w:rsidR="00F41710" w:rsidRPr="00CE7679">
              <w:rPr>
                <w:rFonts w:eastAsia="SimSun"/>
                <w:snapToGrid/>
                <w:szCs w:val="22"/>
                <w:lang w:eastAsia="zh-CN"/>
              </w:rPr>
              <w:t> </w:t>
            </w:r>
            <w:r w:rsidRPr="00CE7679">
              <w:rPr>
                <w:rFonts w:eastAsia="SimSun"/>
                <w:snapToGrid/>
                <w:szCs w:val="22"/>
                <w:lang w:eastAsia="zh-CN"/>
              </w:rPr>
              <w:t xml:space="preserve">mėnesių duomenys </w:t>
            </w:r>
          </w:p>
          <w:p w14:paraId="1EC999D1" w14:textId="77777777" w:rsidR="00A27597" w:rsidRPr="00CE7679" w:rsidRDefault="00A27597" w:rsidP="00A27597">
            <w:pPr>
              <w:widowControl w:val="0"/>
              <w:autoSpaceDE w:val="0"/>
              <w:autoSpaceDN w:val="0"/>
              <w:adjustRightInd w:val="0"/>
              <w:spacing w:line="240" w:lineRule="auto"/>
              <w:jc w:val="center"/>
              <w:rPr>
                <w:rFonts w:eastAsia="SimSun"/>
                <w:snapToGrid/>
                <w:szCs w:val="22"/>
                <w:lang w:eastAsia="zh-CN"/>
              </w:rPr>
            </w:pPr>
            <w:proofErr w:type="spellStart"/>
            <w:r w:rsidRPr="00CE7679">
              <w:rPr>
                <w:rFonts w:eastAsia="SimSun"/>
                <w:snapToGrid/>
                <w:szCs w:val="22"/>
                <w:lang w:eastAsia="zh-CN"/>
              </w:rPr>
              <w:t>Mieloblastinė</w:t>
            </w:r>
            <w:proofErr w:type="spellEnd"/>
            <w:r w:rsidRPr="00CE7679">
              <w:rPr>
                <w:rFonts w:eastAsia="SimSun"/>
                <w:snapToGrid/>
                <w:szCs w:val="22"/>
                <w:lang w:eastAsia="zh-CN"/>
              </w:rPr>
              <w:t xml:space="preserve"> krizė </w:t>
            </w:r>
          </w:p>
          <w:p w14:paraId="371EA950" w14:textId="77777777" w:rsidR="00A27597" w:rsidRPr="00CE7679" w:rsidRDefault="00A27597" w:rsidP="00A27597">
            <w:pPr>
              <w:widowControl w:val="0"/>
              <w:autoSpaceDE w:val="0"/>
              <w:autoSpaceDN w:val="0"/>
              <w:adjustRightInd w:val="0"/>
              <w:spacing w:line="240" w:lineRule="auto"/>
              <w:jc w:val="center"/>
              <w:rPr>
                <w:rFonts w:eastAsia="SimSun"/>
                <w:snapToGrid/>
                <w:szCs w:val="22"/>
                <w:lang w:eastAsia="zh-CN"/>
              </w:rPr>
            </w:pPr>
            <w:r w:rsidRPr="00CE7679">
              <w:rPr>
                <w:rFonts w:eastAsia="SimSun"/>
                <w:snapToGrid/>
                <w:szCs w:val="22"/>
                <w:lang w:eastAsia="zh-CN"/>
              </w:rPr>
              <w:t>(n=260)</w:t>
            </w:r>
          </w:p>
        </w:tc>
      </w:tr>
      <w:tr w:rsidR="00701D61" w:rsidRPr="00CE7679" w14:paraId="799E0FF6" w14:textId="77777777" w:rsidTr="00A27597">
        <w:trPr>
          <w:trHeight w:hRule="exact" w:val="283"/>
        </w:trPr>
        <w:tc>
          <w:tcPr>
            <w:tcW w:w="0" w:type="auto"/>
            <w:gridSpan w:val="4"/>
            <w:tcBorders>
              <w:top w:val="single" w:sz="4" w:space="0" w:color="000000"/>
              <w:left w:val="single" w:sz="4" w:space="0" w:color="000000"/>
              <w:bottom w:val="single" w:sz="4" w:space="0" w:color="000000"/>
              <w:right w:val="single" w:sz="4" w:space="0" w:color="000000"/>
            </w:tcBorders>
          </w:tcPr>
          <w:p w14:paraId="236F22FD" w14:textId="77777777" w:rsidR="00A27597" w:rsidRPr="00CE7679" w:rsidRDefault="00A27597" w:rsidP="00A27597">
            <w:pPr>
              <w:widowControl w:val="0"/>
              <w:autoSpaceDE w:val="0"/>
              <w:autoSpaceDN w:val="0"/>
              <w:adjustRightInd w:val="0"/>
              <w:spacing w:line="240" w:lineRule="auto"/>
              <w:jc w:val="center"/>
              <w:rPr>
                <w:rFonts w:eastAsia="SimSun"/>
                <w:snapToGrid/>
                <w:szCs w:val="22"/>
                <w:lang w:eastAsia="zh-CN"/>
              </w:rPr>
            </w:pPr>
            <w:r w:rsidRPr="00CE7679">
              <w:rPr>
                <w:rFonts w:eastAsia="SimSun"/>
                <w:snapToGrid/>
                <w:szCs w:val="22"/>
                <w:lang w:eastAsia="zh-CN"/>
              </w:rPr>
              <w:t xml:space="preserve">Pacientų procentinė dalis (PI </w:t>
            </w:r>
            <w:r w:rsidRPr="00CE7679">
              <w:rPr>
                <w:rFonts w:eastAsia="SimSun"/>
                <w:snapToGrid/>
                <w:szCs w:val="22"/>
                <w:vertAlign w:val="subscript"/>
                <w:lang w:eastAsia="zh-CN"/>
              </w:rPr>
              <w:t>95%</w:t>
            </w:r>
            <w:r w:rsidRPr="00CE7679">
              <w:rPr>
                <w:rFonts w:eastAsia="SimSun"/>
                <w:snapToGrid/>
                <w:szCs w:val="22"/>
                <w:lang w:eastAsia="zh-CN"/>
              </w:rPr>
              <w:t>)</w:t>
            </w:r>
          </w:p>
        </w:tc>
      </w:tr>
      <w:tr w:rsidR="00701D61" w:rsidRPr="00CE7679" w14:paraId="115E4A40" w14:textId="77777777" w:rsidTr="00A27597">
        <w:trPr>
          <w:trHeight w:hRule="exact" w:val="1587"/>
        </w:trPr>
        <w:tc>
          <w:tcPr>
            <w:tcW w:w="0" w:type="auto"/>
            <w:tcBorders>
              <w:top w:val="single" w:sz="4" w:space="0" w:color="000000"/>
              <w:left w:val="single" w:sz="4" w:space="0" w:color="000000"/>
              <w:bottom w:val="single" w:sz="4" w:space="0" w:color="000000"/>
              <w:right w:val="single" w:sz="4" w:space="0" w:color="000000"/>
            </w:tcBorders>
          </w:tcPr>
          <w:p w14:paraId="3FD73838"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Hematologinis atsakas</w:t>
            </w:r>
            <w:r w:rsidRPr="00CE7679">
              <w:rPr>
                <w:rFonts w:eastAsia="SimSun"/>
                <w:snapToGrid/>
                <w:szCs w:val="22"/>
                <w:vertAlign w:val="superscript"/>
                <w:lang w:eastAsia="zh-CN"/>
              </w:rPr>
              <w:t>1</w:t>
            </w:r>
          </w:p>
          <w:p w14:paraId="3E948CE4" w14:textId="77777777" w:rsidR="00A27597" w:rsidRPr="00CE7679" w:rsidRDefault="00A27597" w:rsidP="00A27597">
            <w:pPr>
              <w:widowControl w:val="0"/>
              <w:autoSpaceDE w:val="0"/>
              <w:autoSpaceDN w:val="0"/>
              <w:adjustRightInd w:val="0"/>
              <w:spacing w:line="240" w:lineRule="auto"/>
              <w:ind w:left="572"/>
              <w:rPr>
                <w:rFonts w:eastAsia="SimSun"/>
                <w:snapToGrid/>
                <w:szCs w:val="22"/>
                <w:lang w:eastAsia="zh-CN"/>
              </w:rPr>
            </w:pPr>
            <w:r w:rsidRPr="00CE7679">
              <w:rPr>
                <w:rFonts w:eastAsia="SimSun"/>
                <w:snapToGrid/>
                <w:szCs w:val="22"/>
                <w:lang w:eastAsia="zh-CN"/>
              </w:rPr>
              <w:t>Visiškas hematologinis atsakas (VHA)</w:t>
            </w:r>
          </w:p>
          <w:p w14:paraId="63EDEAC8" w14:textId="77777777" w:rsidR="00A27597" w:rsidRPr="00CE7679" w:rsidRDefault="00A27597" w:rsidP="00A27597">
            <w:pPr>
              <w:widowControl w:val="0"/>
              <w:autoSpaceDE w:val="0"/>
              <w:autoSpaceDN w:val="0"/>
              <w:adjustRightInd w:val="0"/>
              <w:spacing w:line="240" w:lineRule="auto"/>
              <w:ind w:left="572"/>
              <w:rPr>
                <w:rFonts w:eastAsia="SimSun"/>
                <w:snapToGrid/>
                <w:szCs w:val="22"/>
                <w:lang w:eastAsia="zh-CN"/>
              </w:rPr>
            </w:pPr>
            <w:r w:rsidRPr="00CE7679">
              <w:rPr>
                <w:rFonts w:eastAsia="SimSun"/>
                <w:snapToGrid/>
                <w:szCs w:val="22"/>
                <w:lang w:eastAsia="zh-CN"/>
              </w:rPr>
              <w:t>Išnykusi leukemija (NEL)</w:t>
            </w:r>
          </w:p>
          <w:p w14:paraId="3954E056" w14:textId="77777777" w:rsidR="00A27597" w:rsidRPr="00CE7679" w:rsidRDefault="00A27597" w:rsidP="00A27597">
            <w:pPr>
              <w:widowControl w:val="0"/>
              <w:autoSpaceDE w:val="0"/>
              <w:autoSpaceDN w:val="0"/>
              <w:adjustRightInd w:val="0"/>
              <w:spacing w:line="240" w:lineRule="auto"/>
              <w:ind w:left="572"/>
              <w:rPr>
                <w:rFonts w:eastAsia="SimSun"/>
                <w:snapToGrid/>
                <w:szCs w:val="22"/>
                <w:lang w:eastAsia="zh-CN"/>
              </w:rPr>
            </w:pPr>
            <w:r w:rsidRPr="00CE7679">
              <w:rPr>
                <w:rFonts w:eastAsia="SimSun"/>
                <w:snapToGrid/>
                <w:szCs w:val="22"/>
                <w:lang w:eastAsia="zh-CN"/>
              </w:rPr>
              <w:t>Grįžimas į lėtinę fazę (GLF)</w:t>
            </w:r>
          </w:p>
        </w:tc>
        <w:tc>
          <w:tcPr>
            <w:tcW w:w="2146" w:type="dxa"/>
            <w:tcBorders>
              <w:top w:val="single" w:sz="4" w:space="0" w:color="000000"/>
              <w:left w:val="single" w:sz="4" w:space="0" w:color="000000"/>
              <w:bottom w:val="single" w:sz="4" w:space="0" w:color="000000"/>
              <w:right w:val="single" w:sz="4" w:space="0" w:color="000000"/>
            </w:tcBorders>
          </w:tcPr>
          <w:p w14:paraId="082F0961" w14:textId="77777777" w:rsidR="00A27597" w:rsidRPr="00CE7679" w:rsidRDefault="00A27597" w:rsidP="00A27597">
            <w:pPr>
              <w:widowControl w:val="0"/>
              <w:autoSpaceDE w:val="0"/>
              <w:autoSpaceDN w:val="0"/>
              <w:adjustRightInd w:val="0"/>
              <w:spacing w:line="240" w:lineRule="auto"/>
              <w:jc w:val="center"/>
              <w:rPr>
                <w:rFonts w:eastAsia="SimSun"/>
                <w:snapToGrid/>
                <w:szCs w:val="22"/>
                <w:lang w:eastAsia="zh-CN"/>
              </w:rPr>
            </w:pPr>
            <w:r w:rsidRPr="00CE7679">
              <w:rPr>
                <w:rFonts w:eastAsia="SimSun"/>
                <w:snapToGrid/>
                <w:szCs w:val="22"/>
                <w:lang w:eastAsia="zh-CN"/>
              </w:rPr>
              <w:t>95</w:t>
            </w:r>
            <w:r w:rsidR="00F41710" w:rsidRPr="00CE7679">
              <w:rPr>
                <w:rFonts w:eastAsia="SimSun"/>
                <w:snapToGrid/>
                <w:szCs w:val="22"/>
                <w:lang w:eastAsia="zh-CN"/>
              </w:rPr>
              <w:t> </w:t>
            </w:r>
            <w:r w:rsidRPr="00CE7679">
              <w:rPr>
                <w:rFonts w:eastAsia="SimSun"/>
                <w:snapToGrid/>
                <w:szCs w:val="22"/>
                <w:lang w:eastAsia="zh-CN"/>
              </w:rPr>
              <w:t>% (92,3–96,3)</w:t>
            </w:r>
          </w:p>
          <w:p w14:paraId="0F878251" w14:textId="77777777" w:rsidR="00A27597" w:rsidRPr="00CE7679" w:rsidRDefault="00A27597" w:rsidP="00A27597">
            <w:pPr>
              <w:widowControl w:val="0"/>
              <w:autoSpaceDE w:val="0"/>
              <w:autoSpaceDN w:val="0"/>
              <w:adjustRightInd w:val="0"/>
              <w:spacing w:line="240" w:lineRule="auto"/>
              <w:jc w:val="center"/>
              <w:rPr>
                <w:rFonts w:eastAsia="SimSun"/>
                <w:snapToGrid/>
                <w:szCs w:val="22"/>
                <w:lang w:eastAsia="zh-CN"/>
              </w:rPr>
            </w:pPr>
            <w:r w:rsidRPr="00CE7679">
              <w:rPr>
                <w:rFonts w:eastAsia="SimSun"/>
                <w:snapToGrid/>
                <w:szCs w:val="22"/>
                <w:lang w:eastAsia="zh-CN"/>
              </w:rPr>
              <w:t>95 %</w:t>
            </w:r>
          </w:p>
          <w:p w14:paraId="5C9F1A1E" w14:textId="77777777" w:rsidR="00A27597" w:rsidRPr="00CE7679" w:rsidRDefault="00A27597" w:rsidP="00A27597">
            <w:pPr>
              <w:widowControl w:val="0"/>
              <w:autoSpaceDE w:val="0"/>
              <w:autoSpaceDN w:val="0"/>
              <w:adjustRightInd w:val="0"/>
              <w:spacing w:line="240" w:lineRule="auto"/>
              <w:jc w:val="center"/>
              <w:rPr>
                <w:rFonts w:eastAsia="SimSun"/>
                <w:snapToGrid/>
                <w:szCs w:val="22"/>
                <w:lang w:eastAsia="zh-CN"/>
              </w:rPr>
            </w:pPr>
          </w:p>
          <w:p w14:paraId="5EB9CFAE" w14:textId="77777777" w:rsidR="00A27597" w:rsidRPr="00CE7679" w:rsidRDefault="00A27597" w:rsidP="00A27597">
            <w:pPr>
              <w:widowControl w:val="0"/>
              <w:autoSpaceDE w:val="0"/>
              <w:autoSpaceDN w:val="0"/>
              <w:adjustRightInd w:val="0"/>
              <w:spacing w:line="240" w:lineRule="auto"/>
              <w:jc w:val="center"/>
              <w:rPr>
                <w:rFonts w:eastAsia="SimSun"/>
                <w:snapToGrid/>
                <w:szCs w:val="22"/>
                <w:lang w:eastAsia="zh-CN"/>
              </w:rPr>
            </w:pPr>
            <w:r w:rsidRPr="00CE7679">
              <w:rPr>
                <w:rFonts w:eastAsia="SimSun"/>
                <w:snapToGrid/>
                <w:szCs w:val="22"/>
                <w:lang w:eastAsia="zh-CN"/>
              </w:rPr>
              <w:t>Duomenų nepateikta</w:t>
            </w:r>
          </w:p>
          <w:p w14:paraId="19613DCD" w14:textId="77777777" w:rsidR="00A27597" w:rsidRPr="00CE7679" w:rsidRDefault="00A27597" w:rsidP="00A27597">
            <w:pPr>
              <w:widowControl w:val="0"/>
              <w:autoSpaceDE w:val="0"/>
              <w:autoSpaceDN w:val="0"/>
              <w:adjustRightInd w:val="0"/>
              <w:spacing w:line="240" w:lineRule="auto"/>
              <w:jc w:val="center"/>
              <w:rPr>
                <w:rFonts w:eastAsia="SimSun"/>
                <w:snapToGrid/>
                <w:szCs w:val="22"/>
                <w:lang w:eastAsia="zh-CN"/>
              </w:rPr>
            </w:pPr>
          </w:p>
          <w:p w14:paraId="428C910D" w14:textId="77777777" w:rsidR="00A27597" w:rsidRPr="00CE7679" w:rsidRDefault="00A27597" w:rsidP="00A27597">
            <w:pPr>
              <w:widowControl w:val="0"/>
              <w:autoSpaceDE w:val="0"/>
              <w:autoSpaceDN w:val="0"/>
              <w:adjustRightInd w:val="0"/>
              <w:spacing w:line="240" w:lineRule="auto"/>
              <w:jc w:val="center"/>
              <w:rPr>
                <w:rFonts w:eastAsia="SimSun"/>
                <w:snapToGrid/>
                <w:szCs w:val="22"/>
                <w:lang w:eastAsia="zh-CN"/>
              </w:rPr>
            </w:pPr>
            <w:r w:rsidRPr="00CE7679">
              <w:rPr>
                <w:rFonts w:eastAsia="SimSun"/>
                <w:snapToGrid/>
                <w:szCs w:val="22"/>
                <w:lang w:eastAsia="zh-CN"/>
              </w:rPr>
              <w:t>Duomenų nepateikta</w:t>
            </w:r>
          </w:p>
        </w:tc>
        <w:tc>
          <w:tcPr>
            <w:tcW w:w="2084" w:type="dxa"/>
            <w:tcBorders>
              <w:top w:val="single" w:sz="4" w:space="0" w:color="000000"/>
              <w:left w:val="single" w:sz="4" w:space="0" w:color="000000"/>
              <w:bottom w:val="single" w:sz="4" w:space="0" w:color="000000"/>
              <w:right w:val="single" w:sz="4" w:space="0" w:color="000000"/>
            </w:tcBorders>
          </w:tcPr>
          <w:p w14:paraId="25A586AD" w14:textId="77777777" w:rsidR="00A27597" w:rsidRPr="00CE7679" w:rsidRDefault="00A27597" w:rsidP="00A27597">
            <w:pPr>
              <w:widowControl w:val="0"/>
              <w:autoSpaceDE w:val="0"/>
              <w:autoSpaceDN w:val="0"/>
              <w:adjustRightInd w:val="0"/>
              <w:spacing w:line="240" w:lineRule="auto"/>
              <w:jc w:val="center"/>
              <w:rPr>
                <w:rFonts w:eastAsia="SimSun"/>
                <w:snapToGrid/>
                <w:szCs w:val="22"/>
                <w:lang w:eastAsia="zh-CN"/>
              </w:rPr>
            </w:pPr>
            <w:r w:rsidRPr="00CE7679">
              <w:rPr>
                <w:rFonts w:eastAsia="SimSun"/>
                <w:snapToGrid/>
                <w:szCs w:val="22"/>
                <w:lang w:eastAsia="zh-CN"/>
              </w:rPr>
              <w:t>71</w:t>
            </w:r>
            <w:r w:rsidR="00F41710" w:rsidRPr="00CE7679">
              <w:rPr>
                <w:rFonts w:eastAsia="SimSun"/>
                <w:snapToGrid/>
                <w:szCs w:val="22"/>
                <w:lang w:eastAsia="zh-CN"/>
              </w:rPr>
              <w:t> </w:t>
            </w:r>
            <w:r w:rsidRPr="00CE7679">
              <w:rPr>
                <w:rFonts w:eastAsia="SimSun"/>
                <w:snapToGrid/>
                <w:szCs w:val="22"/>
                <w:lang w:eastAsia="zh-CN"/>
              </w:rPr>
              <w:t>% (65,3–77,2)</w:t>
            </w:r>
          </w:p>
          <w:p w14:paraId="5A2C645A" w14:textId="77777777" w:rsidR="00A27597" w:rsidRPr="00CE7679" w:rsidRDefault="00A27597" w:rsidP="00A27597">
            <w:pPr>
              <w:widowControl w:val="0"/>
              <w:autoSpaceDE w:val="0"/>
              <w:autoSpaceDN w:val="0"/>
              <w:adjustRightInd w:val="0"/>
              <w:spacing w:line="240" w:lineRule="auto"/>
              <w:jc w:val="center"/>
              <w:rPr>
                <w:rFonts w:eastAsia="SimSun"/>
                <w:snapToGrid/>
                <w:szCs w:val="22"/>
                <w:lang w:eastAsia="zh-CN"/>
              </w:rPr>
            </w:pPr>
            <w:r w:rsidRPr="00CE7679">
              <w:rPr>
                <w:rFonts w:eastAsia="SimSun"/>
                <w:snapToGrid/>
                <w:szCs w:val="22"/>
                <w:lang w:eastAsia="zh-CN"/>
              </w:rPr>
              <w:t>42 %</w:t>
            </w:r>
          </w:p>
          <w:p w14:paraId="7412B1CD" w14:textId="77777777" w:rsidR="00A27597" w:rsidRPr="00CE7679" w:rsidRDefault="00A27597" w:rsidP="00A27597">
            <w:pPr>
              <w:widowControl w:val="0"/>
              <w:autoSpaceDE w:val="0"/>
              <w:autoSpaceDN w:val="0"/>
              <w:adjustRightInd w:val="0"/>
              <w:spacing w:line="240" w:lineRule="auto"/>
              <w:jc w:val="center"/>
              <w:rPr>
                <w:rFonts w:eastAsia="SimSun"/>
                <w:snapToGrid/>
                <w:szCs w:val="22"/>
                <w:lang w:eastAsia="zh-CN"/>
              </w:rPr>
            </w:pPr>
          </w:p>
          <w:p w14:paraId="0C3BEEE6" w14:textId="77777777" w:rsidR="00A27597" w:rsidRPr="00CE7679" w:rsidRDefault="00A27597" w:rsidP="00A27597">
            <w:pPr>
              <w:widowControl w:val="0"/>
              <w:autoSpaceDE w:val="0"/>
              <w:autoSpaceDN w:val="0"/>
              <w:adjustRightInd w:val="0"/>
              <w:spacing w:line="240" w:lineRule="auto"/>
              <w:jc w:val="center"/>
              <w:rPr>
                <w:rFonts w:eastAsia="SimSun"/>
                <w:snapToGrid/>
                <w:szCs w:val="22"/>
                <w:lang w:eastAsia="zh-CN"/>
              </w:rPr>
            </w:pPr>
            <w:r w:rsidRPr="00CE7679">
              <w:rPr>
                <w:rFonts w:eastAsia="SimSun"/>
                <w:snapToGrid/>
                <w:szCs w:val="22"/>
                <w:lang w:eastAsia="zh-CN"/>
              </w:rPr>
              <w:t>12 %</w:t>
            </w:r>
          </w:p>
          <w:p w14:paraId="7248B6E8" w14:textId="77777777" w:rsidR="00A27597" w:rsidRPr="00CE7679" w:rsidRDefault="00A27597" w:rsidP="00A27597">
            <w:pPr>
              <w:widowControl w:val="0"/>
              <w:autoSpaceDE w:val="0"/>
              <w:autoSpaceDN w:val="0"/>
              <w:adjustRightInd w:val="0"/>
              <w:spacing w:line="240" w:lineRule="auto"/>
              <w:jc w:val="center"/>
              <w:rPr>
                <w:rFonts w:eastAsia="SimSun"/>
                <w:snapToGrid/>
                <w:szCs w:val="22"/>
                <w:lang w:eastAsia="zh-CN"/>
              </w:rPr>
            </w:pPr>
          </w:p>
          <w:p w14:paraId="6A9DDBD0" w14:textId="77777777" w:rsidR="00A27597" w:rsidRPr="00CE7679" w:rsidRDefault="00A27597" w:rsidP="00A27597">
            <w:pPr>
              <w:widowControl w:val="0"/>
              <w:autoSpaceDE w:val="0"/>
              <w:autoSpaceDN w:val="0"/>
              <w:adjustRightInd w:val="0"/>
              <w:spacing w:line="240" w:lineRule="auto"/>
              <w:jc w:val="center"/>
              <w:rPr>
                <w:rFonts w:eastAsia="SimSun"/>
                <w:snapToGrid/>
                <w:szCs w:val="22"/>
                <w:lang w:eastAsia="zh-CN"/>
              </w:rPr>
            </w:pPr>
            <w:r w:rsidRPr="00CE7679">
              <w:rPr>
                <w:rFonts w:eastAsia="SimSun"/>
                <w:snapToGrid/>
                <w:szCs w:val="22"/>
                <w:lang w:eastAsia="zh-CN"/>
              </w:rPr>
              <w:t>17 %</w:t>
            </w:r>
          </w:p>
          <w:p w14:paraId="4506AC61" w14:textId="77777777" w:rsidR="00A27597" w:rsidRPr="00CE7679" w:rsidRDefault="00A27597" w:rsidP="00A27597">
            <w:pPr>
              <w:widowControl w:val="0"/>
              <w:autoSpaceDE w:val="0"/>
              <w:autoSpaceDN w:val="0"/>
              <w:adjustRightInd w:val="0"/>
              <w:spacing w:line="240" w:lineRule="auto"/>
              <w:jc w:val="center"/>
              <w:rPr>
                <w:rFonts w:eastAsia="SimSun"/>
                <w:snapToGrid/>
                <w:szCs w:val="22"/>
                <w:lang w:eastAsia="zh-CN"/>
              </w:rPr>
            </w:pPr>
          </w:p>
        </w:tc>
        <w:tc>
          <w:tcPr>
            <w:tcW w:w="1796" w:type="dxa"/>
            <w:tcBorders>
              <w:top w:val="single" w:sz="4" w:space="0" w:color="000000"/>
              <w:left w:val="single" w:sz="4" w:space="0" w:color="000000"/>
              <w:bottom w:val="single" w:sz="4" w:space="0" w:color="000000"/>
              <w:right w:val="single" w:sz="4" w:space="0" w:color="000000"/>
            </w:tcBorders>
          </w:tcPr>
          <w:p w14:paraId="2C0FDBB5" w14:textId="77777777" w:rsidR="00A27597" w:rsidRPr="00CE7679" w:rsidRDefault="00A27597" w:rsidP="00A27597">
            <w:pPr>
              <w:widowControl w:val="0"/>
              <w:autoSpaceDE w:val="0"/>
              <w:autoSpaceDN w:val="0"/>
              <w:adjustRightInd w:val="0"/>
              <w:spacing w:line="240" w:lineRule="auto"/>
              <w:jc w:val="center"/>
              <w:rPr>
                <w:rFonts w:eastAsia="SimSun"/>
                <w:snapToGrid/>
                <w:szCs w:val="22"/>
                <w:lang w:eastAsia="zh-CN"/>
              </w:rPr>
            </w:pPr>
            <w:r w:rsidRPr="00CE7679">
              <w:rPr>
                <w:rFonts w:eastAsia="SimSun"/>
                <w:snapToGrid/>
                <w:szCs w:val="22"/>
                <w:lang w:eastAsia="zh-CN"/>
              </w:rPr>
              <w:t>31 % (25,2–36,8)</w:t>
            </w:r>
          </w:p>
          <w:p w14:paraId="776C79C1" w14:textId="77777777" w:rsidR="00A27597" w:rsidRPr="00CE7679" w:rsidRDefault="00A27597" w:rsidP="00A27597">
            <w:pPr>
              <w:widowControl w:val="0"/>
              <w:autoSpaceDE w:val="0"/>
              <w:autoSpaceDN w:val="0"/>
              <w:adjustRightInd w:val="0"/>
              <w:spacing w:line="240" w:lineRule="auto"/>
              <w:jc w:val="center"/>
              <w:rPr>
                <w:rFonts w:eastAsia="SimSun"/>
                <w:snapToGrid/>
                <w:szCs w:val="22"/>
                <w:lang w:eastAsia="zh-CN"/>
              </w:rPr>
            </w:pPr>
            <w:r w:rsidRPr="00CE7679">
              <w:rPr>
                <w:rFonts w:eastAsia="SimSun"/>
                <w:snapToGrid/>
                <w:szCs w:val="22"/>
                <w:lang w:eastAsia="zh-CN"/>
              </w:rPr>
              <w:t>8 %</w:t>
            </w:r>
          </w:p>
          <w:p w14:paraId="1787DA80" w14:textId="77777777" w:rsidR="00A27597" w:rsidRPr="00CE7679" w:rsidRDefault="00A27597" w:rsidP="00A27597">
            <w:pPr>
              <w:widowControl w:val="0"/>
              <w:autoSpaceDE w:val="0"/>
              <w:autoSpaceDN w:val="0"/>
              <w:adjustRightInd w:val="0"/>
              <w:spacing w:line="240" w:lineRule="auto"/>
              <w:jc w:val="center"/>
              <w:rPr>
                <w:rFonts w:eastAsia="SimSun"/>
                <w:snapToGrid/>
                <w:szCs w:val="22"/>
                <w:lang w:eastAsia="zh-CN"/>
              </w:rPr>
            </w:pPr>
          </w:p>
          <w:p w14:paraId="51D61DDE" w14:textId="77777777" w:rsidR="00A27597" w:rsidRPr="00CE7679" w:rsidRDefault="00A27597" w:rsidP="00A27597">
            <w:pPr>
              <w:widowControl w:val="0"/>
              <w:autoSpaceDE w:val="0"/>
              <w:autoSpaceDN w:val="0"/>
              <w:adjustRightInd w:val="0"/>
              <w:spacing w:line="240" w:lineRule="auto"/>
              <w:jc w:val="center"/>
              <w:rPr>
                <w:rFonts w:eastAsia="SimSun"/>
                <w:snapToGrid/>
                <w:szCs w:val="22"/>
                <w:lang w:eastAsia="zh-CN"/>
              </w:rPr>
            </w:pPr>
            <w:r w:rsidRPr="00CE7679">
              <w:rPr>
                <w:rFonts w:eastAsia="SimSun"/>
                <w:snapToGrid/>
                <w:szCs w:val="22"/>
                <w:lang w:eastAsia="zh-CN"/>
              </w:rPr>
              <w:t>5 %</w:t>
            </w:r>
          </w:p>
          <w:p w14:paraId="1E449E6C" w14:textId="77777777" w:rsidR="00A27597" w:rsidRPr="00CE7679" w:rsidRDefault="00A27597" w:rsidP="00A27597">
            <w:pPr>
              <w:widowControl w:val="0"/>
              <w:autoSpaceDE w:val="0"/>
              <w:autoSpaceDN w:val="0"/>
              <w:adjustRightInd w:val="0"/>
              <w:spacing w:line="240" w:lineRule="auto"/>
              <w:jc w:val="center"/>
              <w:rPr>
                <w:rFonts w:eastAsia="SimSun"/>
                <w:snapToGrid/>
                <w:szCs w:val="22"/>
                <w:lang w:eastAsia="zh-CN"/>
              </w:rPr>
            </w:pPr>
          </w:p>
          <w:p w14:paraId="497E67BB" w14:textId="77777777" w:rsidR="00A27597" w:rsidRPr="00CE7679" w:rsidRDefault="00A27597" w:rsidP="00A27597">
            <w:pPr>
              <w:widowControl w:val="0"/>
              <w:autoSpaceDE w:val="0"/>
              <w:autoSpaceDN w:val="0"/>
              <w:adjustRightInd w:val="0"/>
              <w:spacing w:line="240" w:lineRule="auto"/>
              <w:jc w:val="center"/>
              <w:rPr>
                <w:rFonts w:eastAsia="SimSun"/>
                <w:snapToGrid/>
                <w:szCs w:val="22"/>
                <w:lang w:eastAsia="zh-CN"/>
              </w:rPr>
            </w:pPr>
            <w:r w:rsidRPr="00CE7679">
              <w:rPr>
                <w:rFonts w:eastAsia="SimSun"/>
                <w:snapToGrid/>
                <w:szCs w:val="22"/>
                <w:lang w:eastAsia="zh-CN"/>
              </w:rPr>
              <w:t>18 %</w:t>
            </w:r>
          </w:p>
        </w:tc>
      </w:tr>
      <w:tr w:rsidR="00701D61" w:rsidRPr="00CE7679" w14:paraId="3EAF530E" w14:textId="77777777" w:rsidTr="00A27597">
        <w:trPr>
          <w:trHeight w:hRule="exact" w:val="1247"/>
        </w:trPr>
        <w:tc>
          <w:tcPr>
            <w:tcW w:w="0" w:type="auto"/>
            <w:tcBorders>
              <w:top w:val="single" w:sz="4" w:space="0" w:color="000000"/>
              <w:left w:val="single" w:sz="4" w:space="0" w:color="000000"/>
              <w:bottom w:val="single" w:sz="4" w:space="0" w:color="auto"/>
              <w:right w:val="single" w:sz="4" w:space="0" w:color="000000"/>
            </w:tcBorders>
          </w:tcPr>
          <w:p w14:paraId="69534081"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Didysis citogenetinis atsakas</w:t>
            </w:r>
            <w:r w:rsidRPr="00CE7679">
              <w:rPr>
                <w:rFonts w:eastAsia="SimSun"/>
                <w:snapToGrid/>
                <w:szCs w:val="22"/>
                <w:vertAlign w:val="superscript"/>
                <w:lang w:eastAsia="zh-CN"/>
              </w:rPr>
              <w:t>2</w:t>
            </w:r>
          </w:p>
          <w:p w14:paraId="39DE8B1A" w14:textId="77777777" w:rsidR="00A27597" w:rsidRPr="00CE7679" w:rsidRDefault="00A27597" w:rsidP="00A27597">
            <w:pPr>
              <w:widowControl w:val="0"/>
              <w:autoSpaceDE w:val="0"/>
              <w:autoSpaceDN w:val="0"/>
              <w:adjustRightInd w:val="0"/>
              <w:spacing w:line="240" w:lineRule="auto"/>
              <w:ind w:left="572"/>
              <w:rPr>
                <w:rFonts w:eastAsia="SimSun"/>
                <w:snapToGrid/>
                <w:szCs w:val="22"/>
                <w:lang w:eastAsia="zh-CN"/>
              </w:rPr>
            </w:pPr>
            <w:r w:rsidRPr="00CE7679">
              <w:rPr>
                <w:rFonts w:eastAsia="SimSun"/>
                <w:snapToGrid/>
                <w:szCs w:val="22"/>
                <w:lang w:eastAsia="zh-CN"/>
              </w:rPr>
              <w:t>Visiškas</w:t>
            </w:r>
          </w:p>
          <w:p w14:paraId="298B300D" w14:textId="77777777" w:rsidR="00A27597" w:rsidRPr="00CE7679" w:rsidRDefault="00A27597" w:rsidP="00A27597">
            <w:pPr>
              <w:widowControl w:val="0"/>
              <w:autoSpaceDE w:val="0"/>
              <w:autoSpaceDN w:val="0"/>
              <w:adjustRightInd w:val="0"/>
              <w:spacing w:line="240" w:lineRule="auto"/>
              <w:ind w:left="572"/>
              <w:rPr>
                <w:rFonts w:eastAsia="SimSun"/>
                <w:snapToGrid/>
                <w:szCs w:val="22"/>
                <w:lang w:eastAsia="zh-CN"/>
              </w:rPr>
            </w:pPr>
            <w:r w:rsidRPr="00CE7679">
              <w:rPr>
                <w:rFonts w:eastAsia="SimSun"/>
                <w:snapToGrid/>
                <w:szCs w:val="22"/>
                <w:lang w:eastAsia="zh-CN"/>
              </w:rPr>
              <w:t>(Patvirtintas</w:t>
            </w:r>
            <w:r w:rsidRPr="00CE7679">
              <w:rPr>
                <w:rFonts w:eastAsia="SimSun"/>
                <w:snapToGrid/>
                <w:szCs w:val="22"/>
                <w:vertAlign w:val="superscript"/>
                <w:lang w:eastAsia="zh-CN"/>
              </w:rPr>
              <w:t>3</w:t>
            </w:r>
            <w:r w:rsidRPr="00CE7679">
              <w:rPr>
                <w:rFonts w:eastAsia="SimSun"/>
                <w:snapToGrid/>
                <w:szCs w:val="22"/>
                <w:lang w:eastAsia="zh-CN"/>
              </w:rPr>
              <w:t>) [95 % PI]</w:t>
            </w:r>
          </w:p>
          <w:p w14:paraId="5BBF20C3" w14:textId="77777777" w:rsidR="00A27597" w:rsidRPr="00CE7679" w:rsidRDefault="00A27597" w:rsidP="00A27597">
            <w:pPr>
              <w:widowControl w:val="0"/>
              <w:autoSpaceDE w:val="0"/>
              <w:autoSpaceDN w:val="0"/>
              <w:adjustRightInd w:val="0"/>
              <w:spacing w:line="240" w:lineRule="auto"/>
              <w:ind w:left="572"/>
              <w:rPr>
                <w:rFonts w:eastAsia="SimSun"/>
                <w:snapToGrid/>
                <w:szCs w:val="22"/>
                <w:lang w:eastAsia="zh-CN"/>
              </w:rPr>
            </w:pPr>
            <w:r w:rsidRPr="00CE7679">
              <w:rPr>
                <w:rFonts w:eastAsia="SimSun"/>
                <w:snapToGrid/>
                <w:szCs w:val="22"/>
                <w:lang w:eastAsia="zh-CN"/>
              </w:rPr>
              <w:t>Dalinis</w:t>
            </w:r>
          </w:p>
          <w:p w14:paraId="4E58C1F7" w14:textId="77777777" w:rsidR="00A27597" w:rsidRPr="00CE7679" w:rsidRDefault="00A27597" w:rsidP="00A27597">
            <w:pPr>
              <w:widowControl w:val="0"/>
              <w:autoSpaceDE w:val="0"/>
              <w:autoSpaceDN w:val="0"/>
              <w:adjustRightInd w:val="0"/>
              <w:spacing w:line="240" w:lineRule="auto"/>
              <w:jc w:val="center"/>
              <w:rPr>
                <w:rFonts w:eastAsia="SimSun"/>
                <w:snapToGrid/>
                <w:szCs w:val="22"/>
                <w:lang w:eastAsia="zh-CN"/>
              </w:rPr>
            </w:pPr>
          </w:p>
        </w:tc>
        <w:tc>
          <w:tcPr>
            <w:tcW w:w="2146" w:type="dxa"/>
            <w:tcBorders>
              <w:top w:val="single" w:sz="4" w:space="0" w:color="000000"/>
              <w:left w:val="single" w:sz="4" w:space="0" w:color="000000"/>
              <w:bottom w:val="single" w:sz="4" w:space="0" w:color="auto"/>
              <w:right w:val="single" w:sz="4" w:space="0" w:color="000000"/>
            </w:tcBorders>
          </w:tcPr>
          <w:p w14:paraId="3E15F480" w14:textId="77777777" w:rsidR="00A27597" w:rsidRPr="00CE7679" w:rsidRDefault="00A27597" w:rsidP="00A27597">
            <w:pPr>
              <w:widowControl w:val="0"/>
              <w:autoSpaceDE w:val="0"/>
              <w:autoSpaceDN w:val="0"/>
              <w:adjustRightInd w:val="0"/>
              <w:spacing w:line="240" w:lineRule="auto"/>
              <w:jc w:val="center"/>
              <w:rPr>
                <w:rFonts w:eastAsia="SimSun"/>
                <w:snapToGrid/>
                <w:szCs w:val="22"/>
                <w:lang w:eastAsia="zh-CN"/>
              </w:rPr>
            </w:pPr>
            <w:r w:rsidRPr="00CE7679">
              <w:rPr>
                <w:rFonts w:eastAsia="SimSun"/>
                <w:snapToGrid/>
                <w:szCs w:val="22"/>
                <w:lang w:eastAsia="zh-CN"/>
              </w:rPr>
              <w:t>65 % (61,2–69,5)</w:t>
            </w:r>
          </w:p>
          <w:p w14:paraId="6B51AF2F" w14:textId="77777777" w:rsidR="00A27597" w:rsidRPr="00CE7679" w:rsidRDefault="00A27597" w:rsidP="00A27597">
            <w:pPr>
              <w:widowControl w:val="0"/>
              <w:autoSpaceDE w:val="0"/>
              <w:autoSpaceDN w:val="0"/>
              <w:adjustRightInd w:val="0"/>
              <w:spacing w:line="240" w:lineRule="auto"/>
              <w:jc w:val="center"/>
              <w:rPr>
                <w:rFonts w:eastAsia="SimSun"/>
                <w:snapToGrid/>
                <w:szCs w:val="22"/>
                <w:lang w:eastAsia="zh-CN"/>
              </w:rPr>
            </w:pPr>
            <w:r w:rsidRPr="00CE7679">
              <w:rPr>
                <w:rFonts w:eastAsia="SimSun"/>
                <w:snapToGrid/>
                <w:szCs w:val="22"/>
                <w:lang w:eastAsia="zh-CN"/>
              </w:rPr>
              <w:t>53 %</w:t>
            </w:r>
          </w:p>
          <w:p w14:paraId="37BA925D" w14:textId="77777777" w:rsidR="00A27597" w:rsidRPr="00CE7679" w:rsidRDefault="00A27597" w:rsidP="00A27597">
            <w:pPr>
              <w:widowControl w:val="0"/>
              <w:autoSpaceDE w:val="0"/>
              <w:autoSpaceDN w:val="0"/>
              <w:adjustRightInd w:val="0"/>
              <w:spacing w:line="240" w:lineRule="auto"/>
              <w:jc w:val="center"/>
              <w:rPr>
                <w:rFonts w:eastAsia="SimSun"/>
                <w:snapToGrid/>
                <w:szCs w:val="22"/>
                <w:lang w:eastAsia="zh-CN"/>
              </w:rPr>
            </w:pPr>
            <w:r w:rsidRPr="00CE7679">
              <w:rPr>
                <w:rFonts w:eastAsia="SimSun"/>
                <w:snapToGrid/>
                <w:szCs w:val="22"/>
                <w:lang w:eastAsia="zh-CN"/>
              </w:rPr>
              <w:t>(43 %) [38,6–47,2]</w:t>
            </w:r>
          </w:p>
          <w:p w14:paraId="0B8DD008" w14:textId="77777777" w:rsidR="00A27597" w:rsidRPr="00CE7679" w:rsidRDefault="00A27597" w:rsidP="00A27597">
            <w:pPr>
              <w:widowControl w:val="0"/>
              <w:autoSpaceDE w:val="0"/>
              <w:autoSpaceDN w:val="0"/>
              <w:adjustRightInd w:val="0"/>
              <w:spacing w:line="240" w:lineRule="auto"/>
              <w:jc w:val="center"/>
              <w:rPr>
                <w:rFonts w:eastAsia="SimSun"/>
                <w:snapToGrid/>
                <w:szCs w:val="22"/>
                <w:lang w:eastAsia="zh-CN"/>
              </w:rPr>
            </w:pPr>
            <w:r w:rsidRPr="00CE7679">
              <w:rPr>
                <w:rFonts w:eastAsia="SimSun"/>
                <w:snapToGrid/>
                <w:szCs w:val="22"/>
                <w:lang w:eastAsia="zh-CN"/>
              </w:rPr>
              <w:t>12 %</w:t>
            </w:r>
          </w:p>
        </w:tc>
        <w:tc>
          <w:tcPr>
            <w:tcW w:w="2084" w:type="dxa"/>
            <w:tcBorders>
              <w:top w:val="single" w:sz="4" w:space="0" w:color="000000"/>
              <w:left w:val="single" w:sz="4" w:space="0" w:color="000000"/>
              <w:bottom w:val="single" w:sz="4" w:space="0" w:color="auto"/>
              <w:right w:val="single" w:sz="4" w:space="0" w:color="000000"/>
            </w:tcBorders>
          </w:tcPr>
          <w:p w14:paraId="5A727901" w14:textId="77777777" w:rsidR="00A27597" w:rsidRPr="00CE7679" w:rsidRDefault="00A27597" w:rsidP="00A27597">
            <w:pPr>
              <w:widowControl w:val="0"/>
              <w:autoSpaceDE w:val="0"/>
              <w:autoSpaceDN w:val="0"/>
              <w:adjustRightInd w:val="0"/>
              <w:spacing w:line="240" w:lineRule="auto"/>
              <w:jc w:val="center"/>
              <w:rPr>
                <w:rFonts w:eastAsia="SimSun"/>
                <w:snapToGrid/>
                <w:szCs w:val="22"/>
                <w:lang w:eastAsia="zh-CN"/>
              </w:rPr>
            </w:pPr>
            <w:r w:rsidRPr="00CE7679">
              <w:rPr>
                <w:rFonts w:eastAsia="SimSun"/>
                <w:snapToGrid/>
                <w:szCs w:val="22"/>
                <w:lang w:eastAsia="zh-CN"/>
              </w:rPr>
              <w:t>28 % (22,0–33,9)</w:t>
            </w:r>
          </w:p>
          <w:p w14:paraId="7498FABE" w14:textId="77777777" w:rsidR="00A27597" w:rsidRPr="00CE7679" w:rsidRDefault="00A27597" w:rsidP="00A27597">
            <w:pPr>
              <w:widowControl w:val="0"/>
              <w:autoSpaceDE w:val="0"/>
              <w:autoSpaceDN w:val="0"/>
              <w:adjustRightInd w:val="0"/>
              <w:spacing w:line="240" w:lineRule="auto"/>
              <w:jc w:val="center"/>
              <w:rPr>
                <w:rFonts w:eastAsia="SimSun"/>
                <w:snapToGrid/>
                <w:szCs w:val="22"/>
                <w:lang w:eastAsia="zh-CN"/>
              </w:rPr>
            </w:pPr>
            <w:r w:rsidRPr="00CE7679">
              <w:rPr>
                <w:rFonts w:eastAsia="SimSun"/>
                <w:snapToGrid/>
                <w:szCs w:val="22"/>
                <w:lang w:eastAsia="zh-CN"/>
              </w:rPr>
              <w:t>20 %</w:t>
            </w:r>
          </w:p>
          <w:p w14:paraId="2BD853FE" w14:textId="77777777" w:rsidR="00A27597" w:rsidRPr="00CE7679" w:rsidRDefault="00A27597" w:rsidP="00A27597">
            <w:pPr>
              <w:widowControl w:val="0"/>
              <w:autoSpaceDE w:val="0"/>
              <w:autoSpaceDN w:val="0"/>
              <w:adjustRightInd w:val="0"/>
              <w:spacing w:line="240" w:lineRule="auto"/>
              <w:jc w:val="center"/>
              <w:rPr>
                <w:rFonts w:eastAsia="SimSun"/>
                <w:snapToGrid/>
                <w:szCs w:val="22"/>
                <w:lang w:eastAsia="zh-CN"/>
              </w:rPr>
            </w:pPr>
            <w:r w:rsidRPr="00CE7679">
              <w:rPr>
                <w:rFonts w:eastAsia="SimSun"/>
                <w:snapToGrid/>
                <w:szCs w:val="22"/>
                <w:lang w:eastAsia="zh-CN"/>
              </w:rPr>
              <w:t>(16 %) [11,3–21,0]</w:t>
            </w:r>
          </w:p>
          <w:p w14:paraId="251B129D" w14:textId="77777777" w:rsidR="00A27597" w:rsidRPr="00CE7679" w:rsidRDefault="00A27597" w:rsidP="00A27597">
            <w:pPr>
              <w:widowControl w:val="0"/>
              <w:autoSpaceDE w:val="0"/>
              <w:autoSpaceDN w:val="0"/>
              <w:adjustRightInd w:val="0"/>
              <w:spacing w:line="240" w:lineRule="auto"/>
              <w:jc w:val="center"/>
              <w:rPr>
                <w:rFonts w:eastAsia="SimSun"/>
                <w:snapToGrid/>
                <w:szCs w:val="22"/>
                <w:lang w:eastAsia="zh-CN"/>
              </w:rPr>
            </w:pPr>
            <w:r w:rsidRPr="00CE7679">
              <w:rPr>
                <w:rFonts w:eastAsia="SimSun"/>
                <w:snapToGrid/>
                <w:szCs w:val="22"/>
                <w:lang w:eastAsia="zh-CN"/>
              </w:rPr>
              <w:t>7 %</w:t>
            </w:r>
          </w:p>
        </w:tc>
        <w:tc>
          <w:tcPr>
            <w:tcW w:w="1796" w:type="dxa"/>
            <w:tcBorders>
              <w:top w:val="single" w:sz="4" w:space="0" w:color="000000"/>
              <w:left w:val="single" w:sz="4" w:space="0" w:color="000000"/>
              <w:bottom w:val="single" w:sz="4" w:space="0" w:color="auto"/>
              <w:right w:val="single" w:sz="4" w:space="0" w:color="000000"/>
            </w:tcBorders>
          </w:tcPr>
          <w:p w14:paraId="1AA5D4A0" w14:textId="77777777" w:rsidR="00A27597" w:rsidRPr="00CE7679" w:rsidRDefault="00A27597" w:rsidP="00A27597">
            <w:pPr>
              <w:widowControl w:val="0"/>
              <w:autoSpaceDE w:val="0"/>
              <w:autoSpaceDN w:val="0"/>
              <w:adjustRightInd w:val="0"/>
              <w:spacing w:line="240" w:lineRule="auto"/>
              <w:jc w:val="center"/>
              <w:rPr>
                <w:rFonts w:eastAsia="SimSun"/>
                <w:snapToGrid/>
                <w:szCs w:val="22"/>
                <w:lang w:eastAsia="zh-CN"/>
              </w:rPr>
            </w:pPr>
            <w:r w:rsidRPr="00CE7679">
              <w:rPr>
                <w:rFonts w:eastAsia="SimSun"/>
                <w:snapToGrid/>
                <w:szCs w:val="22"/>
                <w:lang w:eastAsia="zh-CN"/>
              </w:rPr>
              <w:t>15 % (11,2–20,4)</w:t>
            </w:r>
          </w:p>
          <w:p w14:paraId="66DAAB74" w14:textId="77777777" w:rsidR="00A27597" w:rsidRPr="00CE7679" w:rsidRDefault="00A27597" w:rsidP="00A27597">
            <w:pPr>
              <w:widowControl w:val="0"/>
              <w:autoSpaceDE w:val="0"/>
              <w:autoSpaceDN w:val="0"/>
              <w:adjustRightInd w:val="0"/>
              <w:spacing w:line="240" w:lineRule="auto"/>
              <w:jc w:val="center"/>
              <w:rPr>
                <w:rFonts w:eastAsia="SimSun"/>
                <w:snapToGrid/>
                <w:szCs w:val="22"/>
                <w:lang w:eastAsia="zh-CN"/>
              </w:rPr>
            </w:pPr>
            <w:r w:rsidRPr="00CE7679">
              <w:rPr>
                <w:rFonts w:eastAsia="SimSun"/>
                <w:snapToGrid/>
                <w:szCs w:val="22"/>
                <w:lang w:eastAsia="zh-CN"/>
              </w:rPr>
              <w:t>7 %</w:t>
            </w:r>
          </w:p>
          <w:p w14:paraId="6DF07D38" w14:textId="77777777" w:rsidR="00A27597" w:rsidRPr="00CE7679" w:rsidRDefault="00A27597" w:rsidP="00A27597">
            <w:pPr>
              <w:widowControl w:val="0"/>
              <w:autoSpaceDE w:val="0"/>
              <w:autoSpaceDN w:val="0"/>
              <w:adjustRightInd w:val="0"/>
              <w:spacing w:line="240" w:lineRule="auto"/>
              <w:jc w:val="center"/>
              <w:rPr>
                <w:rFonts w:eastAsia="SimSun"/>
                <w:snapToGrid/>
                <w:szCs w:val="22"/>
                <w:lang w:eastAsia="zh-CN"/>
              </w:rPr>
            </w:pPr>
            <w:r w:rsidRPr="00CE7679">
              <w:rPr>
                <w:rFonts w:eastAsia="SimSun"/>
                <w:snapToGrid/>
                <w:szCs w:val="22"/>
                <w:lang w:eastAsia="zh-CN"/>
              </w:rPr>
              <w:t>(2 %) [0,6–4,4]</w:t>
            </w:r>
          </w:p>
          <w:p w14:paraId="3E00C5C1" w14:textId="77777777" w:rsidR="00A27597" w:rsidRPr="00CE7679" w:rsidRDefault="00A27597" w:rsidP="00A27597">
            <w:pPr>
              <w:widowControl w:val="0"/>
              <w:autoSpaceDE w:val="0"/>
              <w:autoSpaceDN w:val="0"/>
              <w:adjustRightInd w:val="0"/>
              <w:spacing w:line="240" w:lineRule="auto"/>
              <w:jc w:val="center"/>
              <w:rPr>
                <w:rFonts w:eastAsia="SimSun"/>
                <w:snapToGrid/>
                <w:szCs w:val="22"/>
                <w:lang w:eastAsia="zh-CN"/>
              </w:rPr>
            </w:pPr>
            <w:r w:rsidRPr="00CE7679">
              <w:rPr>
                <w:rFonts w:eastAsia="SimSun"/>
                <w:snapToGrid/>
                <w:szCs w:val="22"/>
                <w:lang w:eastAsia="zh-CN"/>
              </w:rPr>
              <w:t>8 %</w:t>
            </w:r>
          </w:p>
        </w:tc>
      </w:tr>
      <w:tr w:rsidR="00A27597" w:rsidRPr="00CE7679" w14:paraId="6E4670C2" w14:textId="77777777" w:rsidTr="00A27597">
        <w:trPr>
          <w:trHeight w:hRule="exact" w:val="3458"/>
        </w:trPr>
        <w:tc>
          <w:tcPr>
            <w:tcW w:w="9080" w:type="dxa"/>
            <w:gridSpan w:val="4"/>
            <w:tcBorders>
              <w:top w:val="single" w:sz="4" w:space="0" w:color="auto"/>
              <w:left w:val="single" w:sz="4" w:space="0" w:color="000000"/>
              <w:bottom w:val="single" w:sz="4" w:space="0" w:color="000000"/>
              <w:right w:val="single" w:sz="4" w:space="0" w:color="000000"/>
            </w:tcBorders>
          </w:tcPr>
          <w:p w14:paraId="67122709"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bCs/>
                <w:snapToGrid/>
                <w:szCs w:val="22"/>
                <w:vertAlign w:val="superscript"/>
                <w:lang w:eastAsia="zh-CN"/>
              </w:rPr>
              <w:lastRenderedPageBreak/>
              <w:t xml:space="preserve">1 </w:t>
            </w:r>
            <w:r w:rsidRPr="00CE7679">
              <w:rPr>
                <w:rFonts w:eastAsia="SimSun"/>
                <w:b/>
                <w:bCs/>
                <w:snapToGrid/>
                <w:szCs w:val="22"/>
                <w:lang w:eastAsia="zh-CN"/>
              </w:rPr>
              <w:t xml:space="preserve">Hematologinio atsako kriterijai (visi atsakai turi būti patvirtinti po </w:t>
            </w:r>
            <w:r w:rsidRPr="00CE7679">
              <w:rPr>
                <w:rFonts w:eastAsia="Calibri"/>
                <w:snapToGrid/>
                <w:szCs w:val="22"/>
                <w:u w:val="single"/>
                <w:lang w:eastAsia="zh-CN"/>
              </w:rPr>
              <w:t>&gt; </w:t>
            </w:r>
            <w:r w:rsidRPr="00CE7679">
              <w:rPr>
                <w:rFonts w:eastAsia="SimSun"/>
                <w:b/>
                <w:bCs/>
                <w:snapToGrid/>
                <w:szCs w:val="22"/>
                <w:lang w:eastAsia="zh-CN"/>
              </w:rPr>
              <w:t>4 savaičių):</w:t>
            </w:r>
          </w:p>
          <w:p w14:paraId="3E707423" w14:textId="77777777" w:rsidR="00A27597" w:rsidRPr="00CE7679" w:rsidRDefault="00A27597" w:rsidP="00A27597">
            <w:pPr>
              <w:widowControl w:val="0"/>
              <w:autoSpaceDE w:val="0"/>
              <w:autoSpaceDN w:val="0"/>
              <w:adjustRightInd w:val="0"/>
              <w:spacing w:line="240" w:lineRule="auto"/>
              <w:ind w:left="567" w:hanging="567"/>
              <w:rPr>
                <w:rFonts w:eastAsia="SimSun"/>
                <w:snapToGrid/>
                <w:szCs w:val="22"/>
                <w:lang w:eastAsia="zh-CN"/>
              </w:rPr>
            </w:pPr>
            <w:r w:rsidRPr="00CE7679">
              <w:rPr>
                <w:rFonts w:eastAsia="SimSun"/>
                <w:snapToGrid/>
                <w:szCs w:val="22"/>
                <w:lang w:eastAsia="zh-CN"/>
              </w:rPr>
              <w:t>VHA:</w:t>
            </w:r>
            <w:r w:rsidRPr="00CE7679">
              <w:rPr>
                <w:rFonts w:eastAsia="SimSun"/>
                <w:snapToGrid/>
                <w:szCs w:val="22"/>
                <w:lang w:eastAsia="zh-CN"/>
              </w:rPr>
              <w:tab/>
              <w:t xml:space="preserve"> Tyrimas 0110 [BKK &lt;</w:t>
            </w:r>
            <w:r w:rsidR="00F41710" w:rsidRPr="00CE7679">
              <w:rPr>
                <w:rFonts w:eastAsia="SimSun"/>
                <w:snapToGrid/>
                <w:szCs w:val="22"/>
                <w:lang w:eastAsia="zh-CN"/>
              </w:rPr>
              <w:t> </w:t>
            </w:r>
            <w:r w:rsidRPr="00CE7679">
              <w:rPr>
                <w:rFonts w:eastAsia="SimSun"/>
                <w:snapToGrid/>
                <w:szCs w:val="22"/>
                <w:lang w:eastAsia="zh-CN"/>
              </w:rPr>
              <w:t>10</w:t>
            </w:r>
            <w:r w:rsidR="00F41710" w:rsidRPr="00CE7679">
              <w:rPr>
                <w:rFonts w:eastAsia="SimSun"/>
                <w:snapToGrid/>
                <w:szCs w:val="22"/>
                <w:lang w:eastAsia="zh-CN"/>
              </w:rPr>
              <w:t> </w:t>
            </w:r>
            <w:r w:rsidRPr="00CE7679">
              <w:rPr>
                <w:rFonts w:eastAsia="SimSun"/>
                <w:snapToGrid/>
                <w:szCs w:val="22"/>
                <w:lang w:eastAsia="zh-CN"/>
              </w:rPr>
              <w:t>x</w:t>
            </w:r>
            <w:r w:rsidR="00F41710" w:rsidRPr="00CE7679">
              <w:rPr>
                <w:rFonts w:eastAsia="SimSun"/>
                <w:snapToGrid/>
                <w:szCs w:val="22"/>
                <w:lang w:eastAsia="zh-CN"/>
              </w:rPr>
              <w:t> </w:t>
            </w:r>
            <w:r w:rsidRPr="00CE7679">
              <w:rPr>
                <w:rFonts w:eastAsia="SimSun"/>
                <w:snapToGrid/>
                <w:szCs w:val="22"/>
                <w:lang w:eastAsia="zh-CN"/>
              </w:rPr>
              <w:t>10</w:t>
            </w:r>
            <w:r w:rsidRPr="00CE7679">
              <w:rPr>
                <w:rFonts w:eastAsia="SimSun"/>
                <w:snapToGrid/>
                <w:szCs w:val="22"/>
                <w:vertAlign w:val="superscript"/>
                <w:lang w:eastAsia="zh-CN"/>
              </w:rPr>
              <w:t>9</w:t>
            </w:r>
            <w:r w:rsidRPr="00CE7679">
              <w:rPr>
                <w:rFonts w:eastAsia="SimSun"/>
                <w:snapToGrid/>
                <w:szCs w:val="22"/>
                <w:lang w:eastAsia="zh-CN"/>
              </w:rPr>
              <w:t>/l, trombocitų &lt;</w:t>
            </w:r>
            <w:r w:rsidR="00F41710" w:rsidRPr="00CE7679">
              <w:rPr>
                <w:rFonts w:eastAsia="SimSun"/>
                <w:snapToGrid/>
                <w:szCs w:val="22"/>
                <w:lang w:eastAsia="zh-CN"/>
              </w:rPr>
              <w:t> </w:t>
            </w:r>
            <w:r w:rsidRPr="00CE7679">
              <w:rPr>
                <w:rFonts w:eastAsia="SimSun"/>
                <w:snapToGrid/>
                <w:szCs w:val="22"/>
                <w:lang w:eastAsia="zh-CN"/>
              </w:rPr>
              <w:t>450</w:t>
            </w:r>
            <w:r w:rsidR="00F41710" w:rsidRPr="00CE7679">
              <w:rPr>
                <w:rFonts w:eastAsia="SimSun"/>
                <w:snapToGrid/>
                <w:szCs w:val="22"/>
                <w:lang w:eastAsia="zh-CN"/>
              </w:rPr>
              <w:t> </w:t>
            </w:r>
            <w:r w:rsidRPr="00CE7679">
              <w:rPr>
                <w:rFonts w:eastAsia="SimSun"/>
                <w:snapToGrid/>
                <w:szCs w:val="22"/>
                <w:lang w:eastAsia="zh-CN"/>
              </w:rPr>
              <w:t>x</w:t>
            </w:r>
            <w:r w:rsidR="00F41710" w:rsidRPr="00CE7679">
              <w:rPr>
                <w:rFonts w:eastAsia="SimSun"/>
                <w:snapToGrid/>
                <w:szCs w:val="22"/>
                <w:lang w:eastAsia="zh-CN"/>
              </w:rPr>
              <w:t> </w:t>
            </w:r>
            <w:r w:rsidRPr="00CE7679">
              <w:rPr>
                <w:rFonts w:eastAsia="SimSun"/>
                <w:snapToGrid/>
                <w:szCs w:val="22"/>
                <w:lang w:eastAsia="zh-CN"/>
              </w:rPr>
              <w:t>10</w:t>
            </w:r>
            <w:r w:rsidRPr="00CE7679">
              <w:rPr>
                <w:rFonts w:eastAsia="SimSun"/>
                <w:snapToGrid/>
                <w:szCs w:val="22"/>
                <w:vertAlign w:val="superscript"/>
                <w:lang w:eastAsia="zh-CN"/>
              </w:rPr>
              <w:t>9</w:t>
            </w:r>
            <w:r w:rsidRPr="00CE7679">
              <w:rPr>
                <w:rFonts w:eastAsia="SimSun"/>
                <w:snapToGrid/>
                <w:szCs w:val="22"/>
                <w:lang w:eastAsia="zh-CN"/>
              </w:rPr>
              <w:t xml:space="preserve">/l, </w:t>
            </w:r>
            <w:proofErr w:type="spellStart"/>
            <w:r w:rsidRPr="00CE7679">
              <w:rPr>
                <w:rFonts w:eastAsia="SimSun"/>
                <w:snapToGrid/>
                <w:szCs w:val="22"/>
                <w:lang w:eastAsia="zh-CN"/>
              </w:rPr>
              <w:t>mielocitų+metamielocitų</w:t>
            </w:r>
            <w:proofErr w:type="spellEnd"/>
            <w:r w:rsidRPr="00CE7679">
              <w:rPr>
                <w:rFonts w:eastAsia="SimSun"/>
                <w:snapToGrid/>
                <w:szCs w:val="22"/>
                <w:lang w:eastAsia="zh-CN"/>
              </w:rPr>
              <w:t xml:space="preserve"> &lt;</w:t>
            </w:r>
            <w:r w:rsidR="00F41710" w:rsidRPr="00CE7679">
              <w:rPr>
                <w:rFonts w:eastAsia="SimSun"/>
                <w:snapToGrid/>
                <w:szCs w:val="22"/>
                <w:lang w:eastAsia="zh-CN"/>
              </w:rPr>
              <w:t> </w:t>
            </w:r>
            <w:r w:rsidRPr="00CE7679">
              <w:rPr>
                <w:rFonts w:eastAsia="SimSun"/>
                <w:snapToGrid/>
                <w:szCs w:val="22"/>
                <w:lang w:eastAsia="zh-CN"/>
              </w:rPr>
              <w:t>5</w:t>
            </w:r>
            <w:r w:rsidR="00F41710" w:rsidRPr="00CE7679">
              <w:rPr>
                <w:rFonts w:eastAsia="SimSun"/>
                <w:snapToGrid/>
                <w:szCs w:val="22"/>
                <w:lang w:eastAsia="zh-CN"/>
              </w:rPr>
              <w:t> </w:t>
            </w:r>
            <w:r w:rsidRPr="00CE7679">
              <w:rPr>
                <w:rFonts w:eastAsia="SimSun"/>
                <w:snapToGrid/>
                <w:szCs w:val="22"/>
                <w:lang w:eastAsia="zh-CN"/>
              </w:rPr>
              <w:t xml:space="preserve">% kraujyje, nėra </w:t>
            </w:r>
            <w:proofErr w:type="spellStart"/>
            <w:r w:rsidRPr="00CE7679">
              <w:rPr>
                <w:rFonts w:eastAsia="SimSun"/>
                <w:snapToGrid/>
                <w:szCs w:val="22"/>
                <w:lang w:eastAsia="zh-CN"/>
              </w:rPr>
              <w:t>blastų</w:t>
            </w:r>
            <w:proofErr w:type="spellEnd"/>
            <w:r w:rsidRPr="00CE7679">
              <w:rPr>
                <w:rFonts w:eastAsia="SimSun"/>
                <w:snapToGrid/>
                <w:szCs w:val="22"/>
                <w:lang w:eastAsia="zh-CN"/>
              </w:rPr>
              <w:t xml:space="preserve"> ir </w:t>
            </w:r>
            <w:proofErr w:type="spellStart"/>
            <w:r w:rsidRPr="00CE7679">
              <w:rPr>
                <w:rFonts w:eastAsia="SimSun"/>
                <w:snapToGrid/>
                <w:szCs w:val="22"/>
                <w:lang w:eastAsia="zh-CN"/>
              </w:rPr>
              <w:t>promielocitų</w:t>
            </w:r>
            <w:proofErr w:type="spellEnd"/>
            <w:r w:rsidRPr="00CE7679">
              <w:rPr>
                <w:rFonts w:eastAsia="SimSun"/>
                <w:snapToGrid/>
                <w:szCs w:val="22"/>
                <w:lang w:eastAsia="zh-CN"/>
              </w:rPr>
              <w:t xml:space="preserve"> kraujyje, </w:t>
            </w:r>
            <w:proofErr w:type="spellStart"/>
            <w:r w:rsidRPr="00CE7679">
              <w:rPr>
                <w:rFonts w:eastAsia="SimSun"/>
                <w:snapToGrid/>
                <w:szCs w:val="22"/>
                <w:lang w:eastAsia="zh-CN"/>
              </w:rPr>
              <w:t>bazofilų</w:t>
            </w:r>
            <w:proofErr w:type="spellEnd"/>
            <w:r w:rsidRPr="00CE7679">
              <w:rPr>
                <w:rFonts w:eastAsia="SimSun"/>
                <w:snapToGrid/>
                <w:szCs w:val="22"/>
                <w:lang w:eastAsia="zh-CN"/>
              </w:rPr>
              <w:t xml:space="preserve"> &lt;</w:t>
            </w:r>
            <w:r w:rsidR="00F41710" w:rsidRPr="00CE7679">
              <w:rPr>
                <w:rFonts w:eastAsia="SimSun"/>
                <w:snapToGrid/>
                <w:szCs w:val="22"/>
                <w:lang w:eastAsia="zh-CN"/>
              </w:rPr>
              <w:t> </w:t>
            </w:r>
            <w:r w:rsidRPr="00CE7679">
              <w:rPr>
                <w:rFonts w:eastAsia="SimSun"/>
                <w:snapToGrid/>
                <w:szCs w:val="22"/>
                <w:lang w:eastAsia="zh-CN"/>
              </w:rPr>
              <w:t>20</w:t>
            </w:r>
            <w:r w:rsidR="00F41710" w:rsidRPr="00CE7679">
              <w:rPr>
                <w:rFonts w:eastAsia="SimSun"/>
                <w:snapToGrid/>
                <w:szCs w:val="22"/>
                <w:lang w:eastAsia="zh-CN"/>
              </w:rPr>
              <w:t> </w:t>
            </w:r>
            <w:r w:rsidRPr="00CE7679">
              <w:rPr>
                <w:rFonts w:eastAsia="SimSun"/>
                <w:snapToGrid/>
                <w:szCs w:val="22"/>
                <w:lang w:eastAsia="zh-CN"/>
              </w:rPr>
              <w:t xml:space="preserve">%, nėra </w:t>
            </w:r>
            <w:proofErr w:type="spellStart"/>
            <w:r w:rsidRPr="00CE7679">
              <w:rPr>
                <w:rFonts w:eastAsia="SimSun"/>
                <w:snapToGrid/>
                <w:szCs w:val="22"/>
                <w:lang w:eastAsia="zh-CN"/>
              </w:rPr>
              <w:t>ekstramedulinių</w:t>
            </w:r>
            <w:proofErr w:type="spellEnd"/>
            <w:r w:rsidRPr="00CE7679">
              <w:rPr>
                <w:rFonts w:eastAsia="SimSun"/>
                <w:snapToGrid/>
                <w:szCs w:val="22"/>
                <w:lang w:eastAsia="zh-CN"/>
              </w:rPr>
              <w:t xml:space="preserve"> židinių] ir tyrimuose 0102 bei 0109 [ANS </w:t>
            </w:r>
            <w:r w:rsidRPr="00CE7679">
              <w:rPr>
                <w:rFonts w:eastAsia="SimSun" w:hint="eastAsia"/>
                <w:snapToGrid/>
                <w:szCs w:val="22"/>
                <w:lang w:eastAsia="zh-CN"/>
              </w:rPr>
              <w:t>≥</w:t>
            </w:r>
            <w:r w:rsidR="00F41710" w:rsidRPr="00CE7679">
              <w:rPr>
                <w:rFonts w:eastAsia="SimSun"/>
                <w:snapToGrid/>
                <w:szCs w:val="22"/>
                <w:lang w:eastAsia="zh-CN"/>
              </w:rPr>
              <w:t> </w:t>
            </w:r>
            <w:r w:rsidRPr="00CE7679">
              <w:rPr>
                <w:rFonts w:eastAsia="SimSun"/>
                <w:snapToGrid/>
                <w:szCs w:val="22"/>
                <w:lang w:eastAsia="zh-CN"/>
              </w:rPr>
              <w:t>1,5</w:t>
            </w:r>
            <w:r w:rsidR="00F41710" w:rsidRPr="00CE7679">
              <w:rPr>
                <w:rFonts w:eastAsia="SimSun"/>
                <w:snapToGrid/>
                <w:szCs w:val="22"/>
                <w:lang w:eastAsia="zh-CN"/>
              </w:rPr>
              <w:t> </w:t>
            </w:r>
            <w:r w:rsidRPr="00CE7679">
              <w:rPr>
                <w:rFonts w:eastAsia="SimSun"/>
                <w:snapToGrid/>
                <w:szCs w:val="22"/>
                <w:lang w:eastAsia="zh-CN"/>
              </w:rPr>
              <w:t>x</w:t>
            </w:r>
            <w:r w:rsidR="00F41710" w:rsidRPr="00CE7679">
              <w:rPr>
                <w:rFonts w:eastAsia="SimSun"/>
                <w:snapToGrid/>
                <w:szCs w:val="22"/>
                <w:lang w:eastAsia="zh-CN"/>
              </w:rPr>
              <w:t> </w:t>
            </w:r>
            <w:r w:rsidRPr="00CE7679">
              <w:rPr>
                <w:rFonts w:eastAsia="SimSun"/>
                <w:snapToGrid/>
                <w:szCs w:val="22"/>
                <w:lang w:eastAsia="zh-CN"/>
              </w:rPr>
              <w:t>10</w:t>
            </w:r>
            <w:r w:rsidRPr="00CE7679">
              <w:rPr>
                <w:rFonts w:eastAsia="SimSun"/>
                <w:snapToGrid/>
                <w:szCs w:val="22"/>
                <w:vertAlign w:val="superscript"/>
                <w:lang w:eastAsia="zh-CN"/>
              </w:rPr>
              <w:t>9</w:t>
            </w:r>
            <w:r w:rsidRPr="00CE7679">
              <w:rPr>
                <w:rFonts w:eastAsia="SimSun"/>
                <w:snapToGrid/>
                <w:szCs w:val="22"/>
                <w:lang w:eastAsia="zh-CN"/>
              </w:rPr>
              <w:t xml:space="preserve">/l, trombocitų </w:t>
            </w:r>
            <w:r w:rsidRPr="00CE7679">
              <w:rPr>
                <w:rFonts w:eastAsia="SimSun" w:hint="eastAsia"/>
                <w:snapToGrid/>
                <w:szCs w:val="22"/>
                <w:lang w:eastAsia="zh-CN"/>
              </w:rPr>
              <w:t>≥</w:t>
            </w:r>
            <w:r w:rsidR="00F41710" w:rsidRPr="00CE7679">
              <w:rPr>
                <w:rFonts w:eastAsia="SimSun"/>
                <w:snapToGrid/>
                <w:szCs w:val="22"/>
                <w:lang w:eastAsia="zh-CN"/>
              </w:rPr>
              <w:t> </w:t>
            </w:r>
            <w:r w:rsidRPr="00CE7679">
              <w:rPr>
                <w:rFonts w:eastAsia="SimSun"/>
                <w:snapToGrid/>
                <w:szCs w:val="22"/>
                <w:lang w:eastAsia="zh-CN"/>
              </w:rPr>
              <w:t>100</w:t>
            </w:r>
            <w:r w:rsidR="00F41710" w:rsidRPr="00CE7679">
              <w:rPr>
                <w:rFonts w:eastAsia="SimSun"/>
                <w:snapToGrid/>
                <w:szCs w:val="22"/>
                <w:lang w:eastAsia="zh-CN"/>
              </w:rPr>
              <w:t> </w:t>
            </w:r>
            <w:r w:rsidRPr="00CE7679">
              <w:rPr>
                <w:rFonts w:eastAsia="SimSun"/>
                <w:snapToGrid/>
                <w:szCs w:val="22"/>
                <w:lang w:eastAsia="zh-CN"/>
              </w:rPr>
              <w:t>x</w:t>
            </w:r>
            <w:r w:rsidR="00F41710" w:rsidRPr="00CE7679">
              <w:rPr>
                <w:rFonts w:eastAsia="SimSun"/>
                <w:snapToGrid/>
                <w:szCs w:val="22"/>
                <w:lang w:eastAsia="zh-CN"/>
              </w:rPr>
              <w:t> </w:t>
            </w:r>
            <w:r w:rsidRPr="00CE7679">
              <w:rPr>
                <w:rFonts w:eastAsia="SimSun"/>
                <w:snapToGrid/>
                <w:szCs w:val="22"/>
                <w:lang w:eastAsia="zh-CN"/>
              </w:rPr>
              <w:t>10</w:t>
            </w:r>
            <w:r w:rsidRPr="00CE7679">
              <w:rPr>
                <w:rFonts w:eastAsia="SimSun"/>
                <w:snapToGrid/>
                <w:szCs w:val="22"/>
                <w:vertAlign w:val="superscript"/>
                <w:lang w:eastAsia="zh-CN"/>
              </w:rPr>
              <w:t>9</w:t>
            </w:r>
            <w:r w:rsidRPr="00CE7679">
              <w:rPr>
                <w:rFonts w:eastAsia="SimSun"/>
                <w:snapToGrid/>
                <w:szCs w:val="22"/>
                <w:lang w:eastAsia="zh-CN"/>
              </w:rPr>
              <w:t xml:space="preserve">/l, nėra </w:t>
            </w:r>
            <w:proofErr w:type="spellStart"/>
            <w:r w:rsidRPr="00CE7679">
              <w:rPr>
                <w:rFonts w:eastAsia="SimSun"/>
                <w:snapToGrid/>
                <w:szCs w:val="22"/>
                <w:lang w:eastAsia="zh-CN"/>
              </w:rPr>
              <w:t>blastų</w:t>
            </w:r>
            <w:proofErr w:type="spellEnd"/>
            <w:r w:rsidRPr="00CE7679">
              <w:rPr>
                <w:rFonts w:eastAsia="SimSun"/>
                <w:snapToGrid/>
                <w:szCs w:val="22"/>
                <w:lang w:eastAsia="zh-CN"/>
              </w:rPr>
              <w:t xml:space="preserve"> kraujyje, </w:t>
            </w:r>
            <w:proofErr w:type="spellStart"/>
            <w:r w:rsidRPr="00CE7679">
              <w:rPr>
                <w:rFonts w:eastAsia="SimSun"/>
                <w:snapToGrid/>
                <w:szCs w:val="22"/>
                <w:lang w:eastAsia="zh-CN"/>
              </w:rPr>
              <w:t>blastų</w:t>
            </w:r>
            <w:proofErr w:type="spellEnd"/>
            <w:r w:rsidRPr="00CE7679">
              <w:rPr>
                <w:rFonts w:eastAsia="SimSun"/>
                <w:snapToGrid/>
                <w:szCs w:val="22"/>
                <w:lang w:eastAsia="zh-CN"/>
              </w:rPr>
              <w:t xml:space="preserve"> &lt; 5 % kaulų čiulpuose, nėra </w:t>
            </w:r>
            <w:proofErr w:type="spellStart"/>
            <w:r w:rsidRPr="00CE7679">
              <w:rPr>
                <w:rFonts w:eastAsia="SimSun"/>
                <w:snapToGrid/>
                <w:szCs w:val="22"/>
                <w:lang w:eastAsia="zh-CN"/>
              </w:rPr>
              <w:t>ekstramedulinės</w:t>
            </w:r>
            <w:proofErr w:type="spellEnd"/>
            <w:r w:rsidRPr="00CE7679">
              <w:rPr>
                <w:rFonts w:eastAsia="SimSun"/>
                <w:snapToGrid/>
                <w:szCs w:val="22"/>
                <w:lang w:eastAsia="zh-CN"/>
              </w:rPr>
              <w:t xml:space="preserve"> ligos</w:t>
            </w:r>
            <w:r w:rsidR="000A21BA" w:rsidRPr="00CE7679">
              <w:rPr>
                <w:rFonts w:eastAsia="SimSun"/>
                <w:snapToGrid/>
                <w:szCs w:val="22"/>
                <w:lang w:eastAsia="zh-CN"/>
              </w:rPr>
              <w:t>.</w:t>
            </w:r>
          </w:p>
          <w:p w14:paraId="7B2443D2" w14:textId="77777777" w:rsidR="00A27597" w:rsidRPr="00CE7679" w:rsidRDefault="00A27597" w:rsidP="00A27597">
            <w:pPr>
              <w:widowControl w:val="0"/>
              <w:tabs>
                <w:tab w:val="left" w:pos="820"/>
              </w:tabs>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NEL: </w:t>
            </w:r>
            <w:r w:rsidRPr="00CE7679">
              <w:rPr>
                <w:rFonts w:eastAsia="SimSun"/>
                <w:snapToGrid/>
                <w:szCs w:val="22"/>
                <w:lang w:eastAsia="zh-CN"/>
              </w:rPr>
              <w:tab/>
              <w:t xml:space="preserve">Tokie pat kriterijai kaip VHA, bet ANS </w:t>
            </w:r>
            <w:r w:rsidRPr="00CE7679">
              <w:rPr>
                <w:rFonts w:eastAsia="Calibri"/>
                <w:snapToGrid/>
                <w:szCs w:val="22"/>
                <w:u w:val="single"/>
                <w:lang w:eastAsia="zh-CN"/>
              </w:rPr>
              <w:t>&gt;</w:t>
            </w:r>
            <w:r w:rsidRPr="00CE7679">
              <w:rPr>
                <w:rFonts w:eastAsia="SimSun"/>
                <w:snapToGrid/>
                <w:szCs w:val="22"/>
                <w:lang w:eastAsia="zh-CN"/>
              </w:rPr>
              <w:t> 1</w:t>
            </w:r>
            <w:r w:rsidR="00F41710" w:rsidRPr="00CE7679">
              <w:rPr>
                <w:rFonts w:eastAsia="SimSun"/>
                <w:snapToGrid/>
                <w:szCs w:val="22"/>
                <w:lang w:eastAsia="zh-CN"/>
              </w:rPr>
              <w:t> </w:t>
            </w:r>
            <w:r w:rsidRPr="00CE7679">
              <w:rPr>
                <w:rFonts w:eastAsia="SimSun"/>
                <w:snapToGrid/>
                <w:szCs w:val="22"/>
                <w:lang w:eastAsia="zh-CN"/>
              </w:rPr>
              <w:t>x</w:t>
            </w:r>
            <w:r w:rsidR="00F41710" w:rsidRPr="00CE7679">
              <w:rPr>
                <w:rFonts w:eastAsia="SimSun"/>
                <w:snapToGrid/>
                <w:szCs w:val="22"/>
                <w:lang w:eastAsia="zh-CN"/>
              </w:rPr>
              <w:t> </w:t>
            </w:r>
            <w:r w:rsidRPr="00CE7679">
              <w:rPr>
                <w:rFonts w:eastAsia="SimSun"/>
                <w:snapToGrid/>
                <w:szCs w:val="22"/>
                <w:lang w:eastAsia="zh-CN"/>
              </w:rPr>
              <w:t>10</w:t>
            </w:r>
            <w:r w:rsidRPr="00CE7679">
              <w:rPr>
                <w:rFonts w:eastAsia="SimSun"/>
                <w:snapToGrid/>
                <w:szCs w:val="22"/>
                <w:vertAlign w:val="superscript"/>
                <w:lang w:eastAsia="zh-CN"/>
              </w:rPr>
              <w:t>9</w:t>
            </w:r>
            <w:r w:rsidRPr="00CE7679">
              <w:rPr>
                <w:rFonts w:eastAsia="SimSun"/>
                <w:snapToGrid/>
                <w:szCs w:val="22"/>
                <w:lang w:eastAsia="zh-CN"/>
              </w:rPr>
              <w:t xml:space="preserve">/l ir trombocitų </w:t>
            </w:r>
            <w:r w:rsidRPr="00CE7679">
              <w:rPr>
                <w:rFonts w:eastAsia="Calibri"/>
                <w:snapToGrid/>
                <w:szCs w:val="22"/>
                <w:u w:val="single"/>
                <w:lang w:eastAsia="zh-CN"/>
              </w:rPr>
              <w:t>&gt; </w:t>
            </w:r>
            <w:r w:rsidRPr="00CE7679">
              <w:rPr>
                <w:rFonts w:eastAsia="SimSun"/>
                <w:snapToGrid/>
                <w:szCs w:val="22"/>
                <w:lang w:eastAsia="zh-CN"/>
              </w:rPr>
              <w:t>20</w:t>
            </w:r>
            <w:r w:rsidR="00F41710" w:rsidRPr="00CE7679">
              <w:rPr>
                <w:rFonts w:eastAsia="SimSun"/>
                <w:snapToGrid/>
                <w:szCs w:val="22"/>
                <w:lang w:eastAsia="zh-CN"/>
              </w:rPr>
              <w:t> </w:t>
            </w:r>
            <w:r w:rsidRPr="00CE7679">
              <w:rPr>
                <w:rFonts w:eastAsia="SimSun"/>
                <w:snapToGrid/>
                <w:szCs w:val="22"/>
                <w:lang w:eastAsia="zh-CN"/>
              </w:rPr>
              <w:t>x</w:t>
            </w:r>
            <w:r w:rsidR="00F41710" w:rsidRPr="00CE7679">
              <w:rPr>
                <w:rFonts w:eastAsia="SimSun"/>
                <w:snapToGrid/>
                <w:szCs w:val="22"/>
                <w:lang w:eastAsia="zh-CN"/>
              </w:rPr>
              <w:t> </w:t>
            </w:r>
            <w:r w:rsidRPr="00CE7679">
              <w:rPr>
                <w:rFonts w:eastAsia="SimSun"/>
                <w:snapToGrid/>
                <w:szCs w:val="22"/>
                <w:lang w:eastAsia="zh-CN"/>
              </w:rPr>
              <w:t>10</w:t>
            </w:r>
            <w:r w:rsidRPr="00CE7679">
              <w:rPr>
                <w:rFonts w:eastAsia="SimSun"/>
                <w:snapToGrid/>
                <w:szCs w:val="22"/>
                <w:vertAlign w:val="superscript"/>
                <w:lang w:eastAsia="zh-CN"/>
              </w:rPr>
              <w:t>9</w:t>
            </w:r>
            <w:r w:rsidRPr="00CE7679">
              <w:rPr>
                <w:rFonts w:eastAsia="SimSun"/>
                <w:snapToGrid/>
                <w:szCs w:val="22"/>
                <w:lang w:eastAsia="zh-CN"/>
              </w:rPr>
              <w:t>/l (tik 0102 ir 0109)</w:t>
            </w:r>
            <w:r w:rsidR="000A21BA" w:rsidRPr="00CE7679">
              <w:rPr>
                <w:rFonts w:eastAsia="SimSun"/>
                <w:snapToGrid/>
                <w:szCs w:val="22"/>
                <w:lang w:eastAsia="zh-CN"/>
              </w:rPr>
              <w:t>.</w:t>
            </w:r>
          </w:p>
          <w:p w14:paraId="394AB8B7" w14:textId="77777777" w:rsidR="00A27597" w:rsidRPr="00CE7679" w:rsidRDefault="00A27597" w:rsidP="00A27597">
            <w:pPr>
              <w:widowControl w:val="0"/>
              <w:tabs>
                <w:tab w:val="left" w:pos="820"/>
              </w:tabs>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GLF: </w:t>
            </w:r>
            <w:r w:rsidRPr="00CE7679">
              <w:rPr>
                <w:rFonts w:eastAsia="SimSun"/>
                <w:snapToGrid/>
                <w:szCs w:val="22"/>
                <w:lang w:eastAsia="zh-CN"/>
              </w:rPr>
              <w:tab/>
              <w:t xml:space="preserve">&lt; 15 % </w:t>
            </w:r>
            <w:proofErr w:type="spellStart"/>
            <w:r w:rsidRPr="00CE7679">
              <w:rPr>
                <w:rFonts w:eastAsia="SimSun"/>
                <w:snapToGrid/>
                <w:szCs w:val="22"/>
                <w:lang w:eastAsia="zh-CN"/>
              </w:rPr>
              <w:t>blastų</w:t>
            </w:r>
            <w:proofErr w:type="spellEnd"/>
            <w:r w:rsidRPr="00CE7679">
              <w:rPr>
                <w:rFonts w:eastAsia="SimSun"/>
                <w:snapToGrid/>
                <w:szCs w:val="22"/>
                <w:lang w:eastAsia="zh-CN"/>
              </w:rPr>
              <w:t xml:space="preserve"> KČ ir PK, &lt; 30 % </w:t>
            </w:r>
            <w:proofErr w:type="spellStart"/>
            <w:r w:rsidRPr="00CE7679">
              <w:rPr>
                <w:rFonts w:eastAsia="SimSun"/>
                <w:snapToGrid/>
                <w:szCs w:val="22"/>
                <w:lang w:eastAsia="zh-CN"/>
              </w:rPr>
              <w:t>blastų+promielocitų</w:t>
            </w:r>
            <w:proofErr w:type="spellEnd"/>
            <w:r w:rsidRPr="00CE7679">
              <w:rPr>
                <w:rFonts w:eastAsia="SimSun"/>
                <w:snapToGrid/>
                <w:szCs w:val="22"/>
                <w:lang w:eastAsia="zh-CN"/>
              </w:rPr>
              <w:t xml:space="preserve"> KČ ir PK, &lt; 20 % </w:t>
            </w:r>
            <w:proofErr w:type="spellStart"/>
            <w:r w:rsidRPr="00CE7679">
              <w:rPr>
                <w:rFonts w:eastAsia="SimSun"/>
                <w:snapToGrid/>
                <w:szCs w:val="22"/>
                <w:lang w:eastAsia="zh-CN"/>
              </w:rPr>
              <w:t>bazofilų</w:t>
            </w:r>
            <w:proofErr w:type="spellEnd"/>
            <w:r w:rsidRPr="00CE7679">
              <w:rPr>
                <w:rFonts w:eastAsia="SimSun"/>
                <w:snapToGrid/>
                <w:szCs w:val="22"/>
                <w:lang w:eastAsia="zh-CN"/>
              </w:rPr>
              <w:t xml:space="preserve"> PK, nėra kitos, išskyrus blužnies ir kepenų, </w:t>
            </w:r>
            <w:proofErr w:type="spellStart"/>
            <w:r w:rsidRPr="00CE7679">
              <w:rPr>
                <w:rFonts w:eastAsia="SimSun"/>
                <w:snapToGrid/>
                <w:szCs w:val="22"/>
                <w:lang w:eastAsia="zh-CN"/>
              </w:rPr>
              <w:t>ekstramedulinės</w:t>
            </w:r>
            <w:proofErr w:type="spellEnd"/>
            <w:r w:rsidRPr="00CE7679">
              <w:rPr>
                <w:rFonts w:eastAsia="SimSun"/>
                <w:snapToGrid/>
                <w:szCs w:val="22"/>
                <w:lang w:eastAsia="zh-CN"/>
              </w:rPr>
              <w:t xml:space="preserve"> ligos (tik 0102 ir 0109).</w:t>
            </w:r>
          </w:p>
          <w:p w14:paraId="029D0DD7" w14:textId="77777777" w:rsidR="00A27597" w:rsidRPr="00CE7679" w:rsidRDefault="00A27597" w:rsidP="00026610">
            <w:pPr>
              <w:widowControl w:val="0"/>
              <w:tabs>
                <w:tab w:val="left" w:pos="820"/>
              </w:tabs>
              <w:autoSpaceDE w:val="0"/>
              <w:autoSpaceDN w:val="0"/>
              <w:adjustRightInd w:val="0"/>
              <w:spacing w:line="240" w:lineRule="auto"/>
              <w:ind w:left="5"/>
              <w:rPr>
                <w:rFonts w:eastAsia="SimSun"/>
                <w:snapToGrid/>
                <w:szCs w:val="22"/>
                <w:lang w:eastAsia="zh-CN"/>
              </w:rPr>
            </w:pPr>
            <w:r w:rsidRPr="00CE7679">
              <w:rPr>
                <w:rFonts w:eastAsia="SimSun"/>
                <w:snapToGrid/>
                <w:szCs w:val="22"/>
                <w:lang w:eastAsia="zh-CN"/>
              </w:rPr>
              <w:t>KČ = kaulų čiulpai, PK = periferinis kraujas</w:t>
            </w:r>
            <w:r w:rsidR="000A21BA" w:rsidRPr="00CE7679">
              <w:rPr>
                <w:rFonts w:eastAsia="SimSun"/>
                <w:snapToGrid/>
                <w:szCs w:val="22"/>
                <w:lang w:eastAsia="zh-CN"/>
              </w:rPr>
              <w:t>.</w:t>
            </w:r>
            <w:r w:rsidRPr="00CE7679">
              <w:rPr>
                <w:rFonts w:eastAsia="SimSun"/>
                <w:snapToGrid/>
                <w:szCs w:val="22"/>
                <w:lang w:eastAsia="zh-CN"/>
              </w:rPr>
              <w:t xml:space="preserve"> </w:t>
            </w:r>
          </w:p>
          <w:p w14:paraId="5E289DE9" w14:textId="77777777" w:rsidR="00A27597" w:rsidRPr="00CE7679" w:rsidRDefault="00A27597" w:rsidP="00A27597">
            <w:pPr>
              <w:widowControl w:val="0"/>
              <w:autoSpaceDE w:val="0"/>
              <w:autoSpaceDN w:val="0"/>
              <w:adjustRightInd w:val="0"/>
              <w:spacing w:line="240" w:lineRule="auto"/>
              <w:ind w:left="57"/>
              <w:rPr>
                <w:rFonts w:eastAsia="SimSun"/>
                <w:snapToGrid/>
                <w:szCs w:val="22"/>
                <w:lang w:eastAsia="zh-CN"/>
              </w:rPr>
            </w:pPr>
            <w:r w:rsidRPr="00CE7679">
              <w:rPr>
                <w:rFonts w:eastAsia="SimSun"/>
                <w:bCs/>
                <w:snapToGrid/>
                <w:szCs w:val="22"/>
                <w:vertAlign w:val="superscript"/>
                <w:lang w:eastAsia="zh-CN"/>
              </w:rPr>
              <w:t xml:space="preserve">2 </w:t>
            </w:r>
            <w:r w:rsidRPr="00CE7679">
              <w:rPr>
                <w:rFonts w:eastAsia="SimSun"/>
                <w:b/>
                <w:bCs/>
                <w:snapToGrid/>
                <w:szCs w:val="22"/>
                <w:lang w:eastAsia="zh-CN"/>
              </w:rPr>
              <w:t>Citogenetinio atsako kriterijai:</w:t>
            </w:r>
          </w:p>
          <w:p w14:paraId="573EE550" w14:textId="77777777" w:rsidR="00A27597" w:rsidRPr="00CE7679" w:rsidRDefault="00A27597" w:rsidP="00A27597">
            <w:pPr>
              <w:widowControl w:val="0"/>
              <w:autoSpaceDE w:val="0"/>
              <w:autoSpaceDN w:val="0"/>
              <w:adjustRightInd w:val="0"/>
              <w:spacing w:line="240" w:lineRule="auto"/>
              <w:ind w:left="57"/>
              <w:rPr>
                <w:rFonts w:eastAsia="SimSun"/>
                <w:snapToGrid/>
                <w:szCs w:val="22"/>
                <w:lang w:eastAsia="zh-CN"/>
              </w:rPr>
            </w:pPr>
            <w:r w:rsidRPr="00CE7679">
              <w:rPr>
                <w:rFonts w:eastAsia="SimSun"/>
                <w:snapToGrid/>
                <w:szCs w:val="22"/>
                <w:lang w:eastAsia="zh-CN"/>
              </w:rPr>
              <w:t xml:space="preserve">Pagrindinį atsaką sudaro visiškas ir dalinis atsakas: visiškas (0 % </w:t>
            </w:r>
            <w:proofErr w:type="spellStart"/>
            <w:r w:rsidRPr="00CE7679">
              <w:rPr>
                <w:rFonts w:eastAsia="SimSun"/>
                <w:snapToGrid/>
                <w:szCs w:val="22"/>
                <w:lang w:eastAsia="zh-CN"/>
              </w:rPr>
              <w:t>Ph</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metafazių</w:t>
            </w:r>
            <w:proofErr w:type="spellEnd"/>
            <w:r w:rsidRPr="00CE7679">
              <w:rPr>
                <w:rFonts w:eastAsia="SimSun"/>
                <w:snapToGrid/>
                <w:szCs w:val="22"/>
                <w:lang w:eastAsia="zh-CN"/>
              </w:rPr>
              <w:t>), dalinis (1–35 %).</w:t>
            </w:r>
          </w:p>
          <w:p w14:paraId="22F00D99" w14:textId="77777777" w:rsidR="00A27597" w:rsidRPr="00CE7679" w:rsidRDefault="00A27597" w:rsidP="00A27597">
            <w:pPr>
              <w:widowControl w:val="0"/>
              <w:autoSpaceDE w:val="0"/>
              <w:autoSpaceDN w:val="0"/>
              <w:adjustRightInd w:val="0"/>
              <w:spacing w:line="240" w:lineRule="auto"/>
              <w:ind w:left="57"/>
              <w:rPr>
                <w:rFonts w:eastAsia="SimSun"/>
                <w:snapToGrid/>
                <w:szCs w:val="22"/>
                <w:lang w:eastAsia="zh-CN"/>
              </w:rPr>
            </w:pPr>
            <w:r w:rsidRPr="00CE7679">
              <w:rPr>
                <w:rFonts w:eastAsia="SimSun"/>
                <w:snapToGrid/>
                <w:szCs w:val="22"/>
                <w:vertAlign w:val="superscript"/>
                <w:lang w:eastAsia="zh-CN"/>
              </w:rPr>
              <w:t xml:space="preserve">3 </w:t>
            </w:r>
            <w:r w:rsidRPr="00CE7679">
              <w:rPr>
                <w:rFonts w:eastAsia="SimSun"/>
                <w:snapToGrid/>
                <w:szCs w:val="22"/>
                <w:lang w:eastAsia="zh-CN"/>
              </w:rPr>
              <w:t xml:space="preserve">Visiškas citogenetinis atsakas patvirtinamas antrą kartą </w:t>
            </w:r>
            <w:proofErr w:type="spellStart"/>
            <w:r w:rsidRPr="00CE7679">
              <w:rPr>
                <w:rFonts w:eastAsia="SimSun"/>
                <w:snapToGrid/>
                <w:szCs w:val="22"/>
                <w:lang w:eastAsia="zh-CN"/>
              </w:rPr>
              <w:t>citogenetiškai</w:t>
            </w:r>
            <w:proofErr w:type="spellEnd"/>
            <w:r w:rsidRPr="00CE7679">
              <w:rPr>
                <w:rFonts w:eastAsia="SimSun"/>
                <w:snapToGrid/>
                <w:szCs w:val="22"/>
                <w:lang w:eastAsia="zh-CN"/>
              </w:rPr>
              <w:t xml:space="preserve"> vertinant kaulų čiulpus praėjus mažiausiai vienam mėnesiui po pirminio kaulų čiulpų tyrimo.</w:t>
            </w:r>
          </w:p>
        </w:tc>
      </w:tr>
    </w:tbl>
    <w:p w14:paraId="1F60BBF0" w14:textId="77777777" w:rsidR="00A27597" w:rsidRPr="00CE7679" w:rsidRDefault="00A27597" w:rsidP="00A27597">
      <w:pPr>
        <w:widowControl w:val="0"/>
        <w:autoSpaceDE w:val="0"/>
        <w:autoSpaceDN w:val="0"/>
        <w:adjustRightInd w:val="0"/>
        <w:spacing w:line="240" w:lineRule="auto"/>
        <w:jc w:val="both"/>
        <w:rPr>
          <w:rFonts w:eastAsia="SimSun"/>
          <w:snapToGrid/>
          <w:szCs w:val="22"/>
          <w:lang w:eastAsia="zh-CN"/>
        </w:rPr>
      </w:pPr>
    </w:p>
    <w:p w14:paraId="5D16AA98"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i/>
          <w:iCs/>
          <w:snapToGrid/>
          <w:szCs w:val="22"/>
          <w:lang w:eastAsia="zh-CN"/>
        </w:rPr>
        <w:t>Vaikų populiacija</w:t>
      </w:r>
    </w:p>
    <w:p w14:paraId="499B8334" w14:textId="18AE74D0"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Iš viso 26 jaunesni kaip 18</w:t>
      </w:r>
      <w:r w:rsidR="002535E7">
        <w:rPr>
          <w:rFonts w:eastAsia="SimSun"/>
          <w:snapToGrid/>
          <w:szCs w:val="22"/>
          <w:lang w:eastAsia="zh-CN"/>
        </w:rPr>
        <w:t> </w:t>
      </w:r>
      <w:r w:rsidRPr="00CE7679">
        <w:rPr>
          <w:rFonts w:eastAsia="SimSun"/>
          <w:snapToGrid/>
          <w:szCs w:val="22"/>
          <w:lang w:eastAsia="zh-CN"/>
        </w:rPr>
        <w:t xml:space="preserve">metų vaikai, kuriems buvo lėtinė LML fazė (n=11) ar LML </w:t>
      </w:r>
      <w:proofErr w:type="spellStart"/>
      <w:r w:rsidRPr="00CE7679">
        <w:rPr>
          <w:rFonts w:eastAsia="SimSun"/>
          <w:snapToGrid/>
          <w:szCs w:val="22"/>
          <w:lang w:eastAsia="zh-CN"/>
        </w:rPr>
        <w:t>blastinė</w:t>
      </w:r>
      <w:proofErr w:type="spellEnd"/>
      <w:r w:rsidRPr="00CE7679">
        <w:rPr>
          <w:rFonts w:eastAsia="SimSun"/>
          <w:snapToGrid/>
          <w:szCs w:val="22"/>
          <w:lang w:eastAsia="zh-CN"/>
        </w:rPr>
        <w:t xml:space="preserve"> krizė, ar </w:t>
      </w:r>
      <w:proofErr w:type="spellStart"/>
      <w:r w:rsidRPr="00CE7679">
        <w:rPr>
          <w:rFonts w:eastAsia="SimSun"/>
          <w:snapToGrid/>
          <w:szCs w:val="22"/>
          <w:lang w:eastAsia="zh-CN"/>
        </w:rPr>
        <w:t>Ph</w:t>
      </w:r>
      <w:proofErr w:type="spellEnd"/>
      <w:r w:rsidRPr="00CE7679">
        <w:rPr>
          <w:rFonts w:eastAsia="SimSun"/>
          <w:snapToGrid/>
          <w:szCs w:val="22"/>
          <w:lang w:eastAsia="zh-CN"/>
        </w:rPr>
        <w:t xml:space="preserve">+ ūminė leukemija (n=15), buvo įtraukti į dozės didinimo I fazės tyrimą. Tai buvo intensyviai gydyti vaikai: 46 % – buvo transplantuoti kaulų čiulpai, 73 % – buvo taikyta chemoterapija keliais vaistiniais preparatais. Pacientams buvo skirta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po 260 mg/m</w:t>
      </w:r>
      <w:r w:rsidRPr="00CE7679">
        <w:rPr>
          <w:rFonts w:eastAsia="SimSun"/>
          <w:snapToGrid/>
          <w:szCs w:val="22"/>
          <w:vertAlign w:val="superscript"/>
          <w:lang w:eastAsia="zh-CN"/>
        </w:rPr>
        <w:t>2</w:t>
      </w:r>
      <w:r w:rsidRPr="00CE7679">
        <w:rPr>
          <w:rFonts w:eastAsia="SimSun"/>
          <w:snapToGrid/>
          <w:szCs w:val="22"/>
          <w:lang w:eastAsia="zh-CN"/>
        </w:rPr>
        <w:t xml:space="preserve"> per parą (n=5), 340 mg/m</w:t>
      </w:r>
      <w:r w:rsidRPr="00CE7679">
        <w:rPr>
          <w:rFonts w:eastAsia="SimSun"/>
          <w:snapToGrid/>
          <w:szCs w:val="22"/>
          <w:vertAlign w:val="superscript"/>
          <w:lang w:eastAsia="zh-CN"/>
        </w:rPr>
        <w:t>2</w:t>
      </w:r>
      <w:r w:rsidRPr="00CE7679">
        <w:rPr>
          <w:rFonts w:eastAsia="SimSun"/>
          <w:snapToGrid/>
          <w:szCs w:val="22"/>
          <w:lang w:eastAsia="zh-CN"/>
        </w:rPr>
        <w:t xml:space="preserve"> per parą (n=9), 440 mg/m</w:t>
      </w:r>
      <w:r w:rsidRPr="00CE7679">
        <w:rPr>
          <w:rFonts w:eastAsia="SimSun"/>
          <w:snapToGrid/>
          <w:szCs w:val="22"/>
          <w:vertAlign w:val="superscript"/>
          <w:lang w:eastAsia="zh-CN"/>
        </w:rPr>
        <w:t>2</w:t>
      </w:r>
      <w:r w:rsidRPr="00CE7679">
        <w:rPr>
          <w:rFonts w:eastAsia="SimSun"/>
          <w:snapToGrid/>
          <w:szCs w:val="22"/>
          <w:lang w:eastAsia="zh-CN"/>
        </w:rPr>
        <w:t xml:space="preserve"> per parą (n=7), 570 mg/m</w:t>
      </w:r>
      <w:r w:rsidRPr="00CE7679">
        <w:rPr>
          <w:rFonts w:eastAsia="SimSun"/>
          <w:snapToGrid/>
          <w:szCs w:val="22"/>
          <w:vertAlign w:val="superscript"/>
          <w:lang w:eastAsia="zh-CN"/>
        </w:rPr>
        <w:t>2</w:t>
      </w:r>
      <w:r w:rsidRPr="00CE7679">
        <w:rPr>
          <w:rFonts w:eastAsia="SimSun"/>
          <w:snapToGrid/>
          <w:szCs w:val="22"/>
          <w:lang w:eastAsia="zh-CN"/>
        </w:rPr>
        <w:t xml:space="preserve"> per parą (n=5). Iš 9</w:t>
      </w:r>
      <w:r w:rsidR="00F41710" w:rsidRPr="00CE7679">
        <w:rPr>
          <w:rFonts w:eastAsia="SimSun"/>
          <w:snapToGrid/>
          <w:szCs w:val="22"/>
          <w:lang w:eastAsia="zh-CN"/>
        </w:rPr>
        <w:t> </w:t>
      </w:r>
      <w:r w:rsidRPr="00CE7679">
        <w:rPr>
          <w:rFonts w:eastAsia="SimSun"/>
          <w:snapToGrid/>
          <w:szCs w:val="22"/>
          <w:lang w:eastAsia="zh-CN"/>
        </w:rPr>
        <w:t xml:space="preserve">pacientų, kuriems buvo lėtinė LML fazė ir prieinami citogenetiniai rodikliai, 4 (44 %) ir 3 (33 %) buvo gautas atitinkamai visiškas ir dalinis citogenetinis atsakas, </w:t>
      </w:r>
      <w:proofErr w:type="spellStart"/>
      <w:r w:rsidRPr="00CE7679">
        <w:rPr>
          <w:rFonts w:eastAsia="SimSun"/>
          <w:snapToGrid/>
          <w:szCs w:val="22"/>
          <w:lang w:eastAsia="zh-CN"/>
        </w:rPr>
        <w:t>MCyR</w:t>
      </w:r>
      <w:proofErr w:type="spellEnd"/>
      <w:r w:rsidRPr="00CE7679">
        <w:rPr>
          <w:rFonts w:eastAsia="SimSun"/>
          <w:snapToGrid/>
          <w:szCs w:val="22"/>
          <w:lang w:eastAsia="zh-CN"/>
        </w:rPr>
        <w:t xml:space="preserve"> dažnis – 77 %.</w:t>
      </w:r>
    </w:p>
    <w:p w14:paraId="6E0530A3"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5827D9BF"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II fazės atvirame, </w:t>
      </w:r>
      <w:proofErr w:type="spellStart"/>
      <w:r w:rsidRPr="00CE7679">
        <w:rPr>
          <w:rFonts w:eastAsia="SimSun"/>
          <w:snapToGrid/>
          <w:szCs w:val="22"/>
          <w:lang w:eastAsia="zh-CN"/>
        </w:rPr>
        <w:t>daugiacentriame</w:t>
      </w:r>
      <w:proofErr w:type="spellEnd"/>
      <w:r w:rsidRPr="00CE7679">
        <w:rPr>
          <w:rFonts w:eastAsia="SimSun"/>
          <w:snapToGrid/>
          <w:szCs w:val="22"/>
          <w:lang w:eastAsia="zh-CN"/>
        </w:rPr>
        <w:t>, vienos grupės tyrime dalyvavo 51</w:t>
      </w:r>
      <w:r w:rsidR="00F41710" w:rsidRPr="00CE7679">
        <w:rPr>
          <w:rFonts w:eastAsia="SimSun"/>
          <w:snapToGrid/>
          <w:szCs w:val="22"/>
          <w:lang w:eastAsia="zh-CN"/>
        </w:rPr>
        <w:t> </w:t>
      </w:r>
      <w:r w:rsidRPr="00CE7679">
        <w:rPr>
          <w:rFonts w:eastAsia="SimSun"/>
          <w:snapToGrid/>
          <w:szCs w:val="22"/>
          <w:lang w:eastAsia="zh-CN"/>
        </w:rPr>
        <w:t xml:space="preserve">vaikas, sergantis naujai diagnozuota ir negydyta lėtinės fazės LML. Pacientai buvo gydomi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340 mg/m</w:t>
      </w:r>
      <w:r w:rsidRPr="00CE7679">
        <w:rPr>
          <w:rFonts w:eastAsia="SimSun"/>
          <w:snapToGrid/>
          <w:szCs w:val="22"/>
          <w:vertAlign w:val="superscript"/>
          <w:lang w:eastAsia="zh-CN"/>
        </w:rPr>
        <w:t>2</w:t>
      </w:r>
      <w:r w:rsidRPr="00CE7679">
        <w:rPr>
          <w:rFonts w:eastAsia="SimSun"/>
          <w:snapToGrid/>
          <w:szCs w:val="22"/>
          <w:lang w:eastAsia="zh-CN"/>
        </w:rPr>
        <w:t xml:space="preserve"> doze per parą be pertraukų, nes nebuvo dozės ribojančio nepageidaujamo poveikio. Gydymas </w:t>
      </w:r>
      <w:proofErr w:type="spellStart"/>
      <w:r w:rsidRPr="00CE7679">
        <w:rPr>
          <w:rFonts w:eastAsia="SimSun"/>
          <w:snapToGrid/>
          <w:szCs w:val="22"/>
          <w:lang w:eastAsia="zh-CN"/>
        </w:rPr>
        <w:t>imatinibu</w:t>
      </w:r>
      <w:proofErr w:type="spellEnd"/>
      <w:r w:rsidRPr="00CE7679">
        <w:rPr>
          <w:rFonts w:eastAsia="SimSun"/>
          <w:snapToGrid/>
          <w:szCs w:val="22"/>
          <w:lang w:eastAsia="zh-CN"/>
        </w:rPr>
        <w:t xml:space="preserve"> sukėlė greitą atsaką vaikų, sergančių naujai diagnozuota LML su 78 % VHA tarpe, po 8</w:t>
      </w:r>
      <w:r w:rsidR="00F41710" w:rsidRPr="00CE7679">
        <w:rPr>
          <w:rFonts w:eastAsia="SimSun"/>
          <w:snapToGrid/>
          <w:szCs w:val="22"/>
          <w:lang w:eastAsia="zh-CN"/>
        </w:rPr>
        <w:t> </w:t>
      </w:r>
      <w:r w:rsidRPr="00CE7679">
        <w:rPr>
          <w:rFonts w:eastAsia="SimSun"/>
          <w:snapToGrid/>
          <w:szCs w:val="22"/>
          <w:lang w:eastAsia="zh-CN"/>
        </w:rPr>
        <w:t>gydymo savaičių. Aukštas VHA lygis yra susijęs su išsivysčiusiu 65 % visišku citogenetiniu atsaku (</w:t>
      </w:r>
      <w:proofErr w:type="spellStart"/>
      <w:r w:rsidRPr="00CE7679">
        <w:rPr>
          <w:rFonts w:eastAsia="SimSun"/>
          <w:snapToGrid/>
          <w:szCs w:val="22"/>
          <w:lang w:eastAsia="zh-CN"/>
        </w:rPr>
        <w:t>CCyR</w:t>
      </w:r>
      <w:proofErr w:type="spellEnd"/>
      <w:r w:rsidRPr="00CE7679">
        <w:rPr>
          <w:rFonts w:eastAsia="SimSun"/>
          <w:snapToGrid/>
          <w:szCs w:val="22"/>
          <w:lang w:eastAsia="zh-CN"/>
        </w:rPr>
        <w:t>), kuris lygintinas su duomenimis tarp suaugusiųjų. Be to, buvo stebimas 16 % dalinis citogenetinis atsakas (</w:t>
      </w:r>
      <w:proofErr w:type="spellStart"/>
      <w:r w:rsidRPr="00CE7679">
        <w:rPr>
          <w:rFonts w:eastAsia="SimSun"/>
          <w:snapToGrid/>
          <w:szCs w:val="22"/>
          <w:lang w:eastAsia="zh-CN"/>
        </w:rPr>
        <w:t>PCyR</w:t>
      </w:r>
      <w:proofErr w:type="spellEnd"/>
      <w:r w:rsidRPr="00CE7679">
        <w:rPr>
          <w:rFonts w:eastAsia="SimSun"/>
          <w:snapToGrid/>
          <w:szCs w:val="22"/>
          <w:lang w:eastAsia="zh-CN"/>
        </w:rPr>
        <w:t xml:space="preserve">), kai </w:t>
      </w:r>
      <w:proofErr w:type="spellStart"/>
      <w:r w:rsidRPr="00CE7679">
        <w:rPr>
          <w:rFonts w:eastAsia="SimSun"/>
          <w:snapToGrid/>
          <w:szCs w:val="22"/>
          <w:lang w:eastAsia="zh-CN"/>
        </w:rPr>
        <w:t>MCyR</w:t>
      </w:r>
      <w:proofErr w:type="spellEnd"/>
      <w:r w:rsidRPr="00CE7679">
        <w:rPr>
          <w:rFonts w:eastAsia="SimSun"/>
          <w:snapToGrid/>
          <w:szCs w:val="22"/>
          <w:lang w:eastAsia="zh-CN"/>
        </w:rPr>
        <w:t xml:space="preserve"> dažnis – 81 %. Daugumai pacientų, pasiekusių </w:t>
      </w:r>
      <w:proofErr w:type="spellStart"/>
      <w:r w:rsidRPr="00CE7679">
        <w:rPr>
          <w:rFonts w:eastAsia="SimSun"/>
          <w:snapToGrid/>
          <w:szCs w:val="22"/>
          <w:lang w:eastAsia="zh-CN"/>
        </w:rPr>
        <w:t>CCyR</w:t>
      </w:r>
      <w:proofErr w:type="spellEnd"/>
      <w:r w:rsidRPr="00CE7679">
        <w:rPr>
          <w:rFonts w:eastAsia="SimSun"/>
          <w:snapToGrid/>
          <w:szCs w:val="22"/>
          <w:lang w:eastAsia="zh-CN"/>
        </w:rPr>
        <w:t>, tarp 3 ir 10</w:t>
      </w:r>
      <w:r w:rsidR="00F41710" w:rsidRPr="00CE7679">
        <w:rPr>
          <w:rFonts w:eastAsia="SimSun"/>
          <w:snapToGrid/>
          <w:szCs w:val="22"/>
          <w:lang w:eastAsia="zh-CN"/>
        </w:rPr>
        <w:t> </w:t>
      </w:r>
      <w:r w:rsidRPr="00CE7679">
        <w:rPr>
          <w:rFonts w:eastAsia="SimSun"/>
          <w:snapToGrid/>
          <w:szCs w:val="22"/>
          <w:lang w:eastAsia="zh-CN"/>
        </w:rPr>
        <w:t xml:space="preserve">mėnesių išsivystė </w:t>
      </w:r>
      <w:proofErr w:type="spellStart"/>
      <w:r w:rsidRPr="00CE7679">
        <w:rPr>
          <w:rFonts w:eastAsia="SimSun"/>
          <w:snapToGrid/>
          <w:szCs w:val="22"/>
          <w:lang w:eastAsia="zh-CN"/>
        </w:rPr>
        <w:t>CCyR</w:t>
      </w:r>
      <w:proofErr w:type="spellEnd"/>
      <w:r w:rsidRPr="00CE7679">
        <w:rPr>
          <w:rFonts w:eastAsia="SimSun"/>
          <w:snapToGrid/>
          <w:szCs w:val="22"/>
          <w:lang w:eastAsia="zh-CN"/>
        </w:rPr>
        <w:t xml:space="preserve"> su 5,6</w:t>
      </w:r>
      <w:r w:rsidR="00F41710" w:rsidRPr="00CE7679">
        <w:rPr>
          <w:rFonts w:eastAsia="SimSun"/>
          <w:snapToGrid/>
          <w:szCs w:val="22"/>
          <w:lang w:eastAsia="zh-CN"/>
        </w:rPr>
        <w:t> </w:t>
      </w:r>
      <w:r w:rsidRPr="00CE7679">
        <w:rPr>
          <w:rFonts w:eastAsia="SimSun"/>
          <w:snapToGrid/>
          <w:szCs w:val="22"/>
          <w:lang w:eastAsia="zh-CN"/>
        </w:rPr>
        <w:t xml:space="preserve">mėnesio laiko iki atsako mediana, remiantis </w:t>
      </w:r>
      <w:proofErr w:type="spellStart"/>
      <w:r w:rsidRPr="00CE7679">
        <w:rPr>
          <w:rFonts w:eastAsia="SimSun"/>
          <w:i/>
          <w:snapToGrid/>
          <w:szCs w:val="22"/>
          <w:lang w:eastAsia="zh-CN"/>
        </w:rPr>
        <w:t>Kaplan-Meier</w:t>
      </w:r>
      <w:proofErr w:type="spellEnd"/>
      <w:r w:rsidRPr="00CE7679">
        <w:rPr>
          <w:rFonts w:eastAsia="SimSun"/>
          <w:snapToGrid/>
          <w:szCs w:val="22"/>
          <w:lang w:eastAsia="zh-CN"/>
        </w:rPr>
        <w:t xml:space="preserve"> įvertinimu.</w:t>
      </w:r>
    </w:p>
    <w:p w14:paraId="0BD94A09"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29F9DFFC" w14:textId="77C406A2"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Europos vaistų agentūra atleido nuo įsipareigojimo pateikti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tyrimų su visais vaikų populiacijos pogrupiais duomenis, sergantiesiems </w:t>
      </w:r>
      <w:proofErr w:type="spellStart"/>
      <w:r w:rsidRPr="00CE7679">
        <w:rPr>
          <w:rFonts w:eastAsia="SimSun"/>
          <w:i/>
          <w:iCs/>
          <w:snapToGrid/>
          <w:szCs w:val="22"/>
          <w:lang w:eastAsia="zh-CN"/>
        </w:rPr>
        <w:t>Philadelphia</w:t>
      </w:r>
      <w:proofErr w:type="spellEnd"/>
      <w:r w:rsidRPr="00CE7679">
        <w:rPr>
          <w:rFonts w:eastAsia="SimSun"/>
          <w:i/>
          <w:iCs/>
          <w:snapToGrid/>
          <w:szCs w:val="22"/>
          <w:lang w:eastAsia="zh-CN"/>
        </w:rPr>
        <w:t xml:space="preserve"> </w:t>
      </w:r>
      <w:r w:rsidRPr="00CE7679">
        <w:rPr>
          <w:rFonts w:eastAsia="SimSun"/>
          <w:snapToGrid/>
          <w:szCs w:val="22"/>
          <w:lang w:eastAsia="zh-CN"/>
        </w:rPr>
        <w:t>chromosomai (</w:t>
      </w:r>
      <w:proofErr w:type="spellStart"/>
      <w:r w:rsidRPr="00CE7679">
        <w:rPr>
          <w:rFonts w:eastAsia="SimSun"/>
          <w:snapToGrid/>
          <w:szCs w:val="22"/>
          <w:lang w:eastAsia="zh-CN"/>
        </w:rPr>
        <w:t>bcr-abl</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translokacija</w:t>
      </w:r>
      <w:proofErr w:type="spellEnd"/>
      <w:r w:rsidRPr="00CE7679">
        <w:rPr>
          <w:rFonts w:eastAsia="SimSun"/>
          <w:snapToGrid/>
          <w:szCs w:val="22"/>
          <w:lang w:eastAsia="zh-CN"/>
        </w:rPr>
        <w:t xml:space="preserve">) teigiama lėtine </w:t>
      </w:r>
      <w:proofErr w:type="spellStart"/>
      <w:r w:rsidRPr="00CE7679">
        <w:rPr>
          <w:rFonts w:eastAsia="SimSun"/>
          <w:snapToGrid/>
          <w:szCs w:val="22"/>
          <w:lang w:eastAsia="zh-CN"/>
        </w:rPr>
        <w:t>mieloleukemija</w:t>
      </w:r>
      <w:proofErr w:type="spellEnd"/>
      <w:r w:rsidRPr="00CE7679">
        <w:rPr>
          <w:rFonts w:eastAsia="SimSun"/>
          <w:snapToGrid/>
          <w:szCs w:val="22"/>
          <w:lang w:eastAsia="zh-CN"/>
        </w:rPr>
        <w:t xml:space="preserve"> (vartojimo vaikams informacija pateikiama 4.2</w:t>
      </w:r>
      <w:r w:rsidR="00EB35CE">
        <w:rPr>
          <w:rFonts w:eastAsia="SimSun"/>
          <w:snapToGrid/>
          <w:szCs w:val="22"/>
          <w:lang w:eastAsia="zh-CN"/>
        </w:rPr>
        <w:t> </w:t>
      </w:r>
      <w:r w:rsidRPr="00CE7679">
        <w:rPr>
          <w:rFonts w:eastAsia="SimSun"/>
          <w:snapToGrid/>
          <w:szCs w:val="22"/>
          <w:lang w:eastAsia="zh-CN"/>
        </w:rPr>
        <w:t>skyriuje).</w:t>
      </w:r>
    </w:p>
    <w:p w14:paraId="7212A088" w14:textId="77777777" w:rsidR="00A27597" w:rsidRPr="00CE7679" w:rsidRDefault="00A27597" w:rsidP="00A27597">
      <w:pPr>
        <w:spacing w:line="240" w:lineRule="auto"/>
        <w:rPr>
          <w:rFonts w:eastAsia="SimSun"/>
          <w:snapToGrid/>
          <w:szCs w:val="22"/>
          <w:lang w:eastAsia="zh-CN"/>
        </w:rPr>
      </w:pPr>
    </w:p>
    <w:p w14:paraId="4FA58761" w14:textId="77777777" w:rsidR="00A27597" w:rsidRPr="00CE7679" w:rsidRDefault="00A27597" w:rsidP="00A27597">
      <w:pPr>
        <w:spacing w:line="240" w:lineRule="auto"/>
        <w:rPr>
          <w:rFonts w:eastAsia="SimSun"/>
          <w:snapToGrid/>
          <w:szCs w:val="22"/>
          <w:u w:val="single"/>
          <w:lang w:eastAsia="zh-CN"/>
        </w:rPr>
      </w:pPr>
      <w:r w:rsidRPr="00CE7679">
        <w:rPr>
          <w:rFonts w:eastAsia="SimSun"/>
          <w:snapToGrid/>
          <w:szCs w:val="22"/>
          <w:u w:val="single"/>
          <w:lang w:eastAsia="zh-CN"/>
        </w:rPr>
        <w:t xml:space="preserve">Klinikiniai </w:t>
      </w:r>
      <w:proofErr w:type="spellStart"/>
      <w:r w:rsidRPr="00CE7679">
        <w:rPr>
          <w:rFonts w:eastAsia="SimSun"/>
          <w:snapToGrid/>
          <w:szCs w:val="22"/>
          <w:u w:val="single"/>
          <w:lang w:eastAsia="zh-CN"/>
        </w:rPr>
        <w:t>Ph</w:t>
      </w:r>
      <w:proofErr w:type="spellEnd"/>
      <w:r w:rsidRPr="00CE7679">
        <w:rPr>
          <w:rFonts w:eastAsia="SimSun"/>
          <w:snapToGrid/>
          <w:szCs w:val="22"/>
          <w:u w:val="single"/>
          <w:lang w:eastAsia="zh-CN"/>
        </w:rPr>
        <w:t>+ ŪLL tyrimai</w:t>
      </w:r>
    </w:p>
    <w:p w14:paraId="1C476563" w14:textId="77777777" w:rsidR="00A27597" w:rsidRPr="00CE7679" w:rsidRDefault="00A27597" w:rsidP="00A27597">
      <w:pPr>
        <w:spacing w:line="240" w:lineRule="auto"/>
        <w:rPr>
          <w:rFonts w:eastAsia="SimSun"/>
          <w:snapToGrid/>
          <w:szCs w:val="22"/>
          <w:lang w:eastAsia="zh-CN"/>
        </w:rPr>
      </w:pPr>
      <w:r w:rsidRPr="00CE7679">
        <w:rPr>
          <w:rFonts w:eastAsia="SimSun"/>
          <w:i/>
          <w:snapToGrid/>
          <w:szCs w:val="22"/>
          <w:lang w:eastAsia="zh-CN"/>
        </w:rPr>
        <w:t xml:space="preserve">Pirmą kartą diagnozuota </w:t>
      </w:r>
      <w:proofErr w:type="spellStart"/>
      <w:r w:rsidRPr="00CE7679">
        <w:rPr>
          <w:rFonts w:eastAsia="SimSun"/>
          <w:i/>
          <w:snapToGrid/>
          <w:szCs w:val="22"/>
          <w:lang w:eastAsia="zh-CN"/>
        </w:rPr>
        <w:t>Ph</w:t>
      </w:r>
      <w:proofErr w:type="spellEnd"/>
      <w:r w:rsidRPr="00CE7679">
        <w:rPr>
          <w:rFonts w:eastAsia="SimSun"/>
          <w:i/>
          <w:snapToGrid/>
          <w:szCs w:val="22"/>
          <w:lang w:eastAsia="zh-CN"/>
        </w:rPr>
        <w:t>+ ŪLL</w:t>
      </w:r>
      <w:r w:rsidRPr="00CE7679">
        <w:rPr>
          <w:rFonts w:eastAsia="SimSun"/>
          <w:snapToGrid/>
          <w:szCs w:val="22"/>
          <w:lang w:eastAsia="zh-CN"/>
        </w:rPr>
        <w:t xml:space="preserve">: Kontroliuojamo (ADE10) tyrimo metu, kuriame </w:t>
      </w:r>
      <w:proofErr w:type="spellStart"/>
      <w:r w:rsidRPr="00CE7679">
        <w:rPr>
          <w:rFonts w:eastAsia="SimSun"/>
          <w:snapToGrid/>
          <w:szCs w:val="22"/>
          <w:lang w:eastAsia="zh-CN"/>
        </w:rPr>
        <w:t>imatinibas</w:t>
      </w:r>
      <w:proofErr w:type="spellEnd"/>
      <w:r w:rsidRPr="00CE7679">
        <w:rPr>
          <w:rFonts w:eastAsia="SimSun"/>
          <w:snapToGrid/>
          <w:szCs w:val="22"/>
          <w:lang w:eastAsia="zh-CN"/>
        </w:rPr>
        <w:t xml:space="preserve"> buvo lygintas su pradine chemoterapija penkiasdešimt penkiems 55</w:t>
      </w:r>
      <w:r w:rsidR="00F41710" w:rsidRPr="00CE7679">
        <w:rPr>
          <w:rFonts w:eastAsia="SimSun"/>
          <w:snapToGrid/>
          <w:szCs w:val="22"/>
          <w:lang w:eastAsia="zh-CN"/>
        </w:rPr>
        <w:t> </w:t>
      </w:r>
      <w:r w:rsidRPr="00CE7679">
        <w:rPr>
          <w:rFonts w:eastAsia="SimSun"/>
          <w:snapToGrid/>
          <w:szCs w:val="22"/>
          <w:lang w:eastAsia="zh-CN"/>
        </w:rPr>
        <w:t xml:space="preserve">metų ir vyresniems pacientams, kuriems diagnozė nustatyta pirmą kartą, vartojant vieną </w:t>
      </w:r>
      <w:proofErr w:type="spellStart"/>
      <w:r w:rsidRPr="00CE7679">
        <w:rPr>
          <w:rFonts w:eastAsia="SimSun"/>
          <w:snapToGrid/>
          <w:szCs w:val="22"/>
          <w:lang w:eastAsia="zh-CN"/>
        </w:rPr>
        <w:t>imatinibą</w:t>
      </w:r>
      <w:proofErr w:type="spellEnd"/>
      <w:r w:rsidRPr="00CE7679">
        <w:rPr>
          <w:rFonts w:eastAsia="SimSun"/>
          <w:snapToGrid/>
          <w:szCs w:val="22"/>
          <w:lang w:eastAsia="zh-CN"/>
        </w:rPr>
        <w:t xml:space="preserve"> buvo gautas reikšmingai didesnis pilno hematologinio atsako dažnis lyginant su chemoterapiją gavusiaisiais (96,3 % lyginant su 50 %; p=0,0001). Kai pacientams, kuriems nebuvo gautas atsakas ar gautas silpnas atsakas, buvo paskirtas gelbstimasis gydymas </w:t>
      </w:r>
      <w:proofErr w:type="spellStart"/>
      <w:r w:rsidRPr="00CE7679">
        <w:rPr>
          <w:rFonts w:eastAsia="SimSun"/>
          <w:snapToGrid/>
          <w:szCs w:val="22"/>
          <w:lang w:eastAsia="zh-CN"/>
        </w:rPr>
        <w:t>imatinibu</w:t>
      </w:r>
      <w:proofErr w:type="spellEnd"/>
      <w:r w:rsidRPr="00CE7679">
        <w:rPr>
          <w:rFonts w:eastAsia="SimSun"/>
          <w:snapToGrid/>
          <w:szCs w:val="22"/>
          <w:lang w:eastAsia="zh-CN"/>
        </w:rPr>
        <w:t>, pilnas hematologinis atsakas buvo gautas 9</w:t>
      </w:r>
      <w:r w:rsidR="00F41710" w:rsidRPr="00CE7679">
        <w:rPr>
          <w:rFonts w:eastAsia="SimSun"/>
          <w:snapToGrid/>
          <w:szCs w:val="22"/>
          <w:lang w:eastAsia="zh-CN"/>
        </w:rPr>
        <w:t> </w:t>
      </w:r>
      <w:r w:rsidRPr="00CE7679">
        <w:rPr>
          <w:rFonts w:eastAsia="SimSun"/>
          <w:snapToGrid/>
          <w:szCs w:val="22"/>
          <w:lang w:eastAsia="zh-CN"/>
        </w:rPr>
        <w:t xml:space="preserve">pacientams (81,8 %) iš 11. Šis klinikinis efektas buvo susijęs su didesniu </w:t>
      </w:r>
      <w:proofErr w:type="spellStart"/>
      <w:r w:rsidRPr="00CE7679">
        <w:rPr>
          <w:rFonts w:eastAsia="SimSun"/>
          <w:snapToGrid/>
          <w:szCs w:val="22"/>
          <w:lang w:eastAsia="zh-CN"/>
        </w:rPr>
        <w:t>bcr-abl</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transkriptų</w:t>
      </w:r>
      <w:proofErr w:type="spellEnd"/>
      <w:r w:rsidRPr="00CE7679">
        <w:rPr>
          <w:rFonts w:eastAsia="SimSun"/>
          <w:snapToGrid/>
          <w:szCs w:val="22"/>
          <w:lang w:eastAsia="zh-CN"/>
        </w:rPr>
        <w:t xml:space="preserve"> sumažėjimu po 2</w:t>
      </w:r>
      <w:r w:rsidR="00F41710" w:rsidRPr="00CE7679">
        <w:rPr>
          <w:rFonts w:eastAsia="SimSun"/>
          <w:snapToGrid/>
          <w:szCs w:val="22"/>
          <w:lang w:eastAsia="zh-CN"/>
        </w:rPr>
        <w:t> </w:t>
      </w:r>
      <w:r w:rsidRPr="00CE7679">
        <w:rPr>
          <w:rFonts w:eastAsia="SimSun"/>
          <w:snapToGrid/>
          <w:szCs w:val="22"/>
          <w:lang w:eastAsia="zh-CN"/>
        </w:rPr>
        <w:t xml:space="preserve">gydymo savaičių </w:t>
      </w:r>
      <w:proofErr w:type="spellStart"/>
      <w:r w:rsidRPr="00CE7679">
        <w:rPr>
          <w:rFonts w:eastAsia="SimSun"/>
          <w:snapToGrid/>
          <w:szCs w:val="22"/>
          <w:lang w:eastAsia="zh-CN"/>
        </w:rPr>
        <w:t>imatinibą</w:t>
      </w:r>
      <w:proofErr w:type="spellEnd"/>
      <w:r w:rsidRPr="00CE7679">
        <w:rPr>
          <w:rFonts w:eastAsia="SimSun"/>
          <w:snapToGrid/>
          <w:szCs w:val="22"/>
          <w:lang w:eastAsia="zh-CN"/>
        </w:rPr>
        <w:t xml:space="preserve"> vartojusių pacientų grupėje (p=0,02) lyginant su chemoterapiją gavusiaisiais. Po pradinio gydymo visi pacientai gavo </w:t>
      </w:r>
      <w:proofErr w:type="spellStart"/>
      <w:r w:rsidRPr="00CE7679">
        <w:rPr>
          <w:rFonts w:eastAsia="SimSun"/>
          <w:snapToGrid/>
          <w:szCs w:val="22"/>
          <w:lang w:eastAsia="zh-CN"/>
        </w:rPr>
        <w:t>imatinibą</w:t>
      </w:r>
      <w:proofErr w:type="spellEnd"/>
      <w:r w:rsidRPr="00CE7679">
        <w:rPr>
          <w:rFonts w:eastAsia="SimSun"/>
          <w:snapToGrid/>
          <w:szCs w:val="22"/>
          <w:lang w:eastAsia="zh-CN"/>
        </w:rPr>
        <w:t xml:space="preserve"> bei papildomą chemoterapiją (žr. 4 lentelę), po 8</w:t>
      </w:r>
      <w:r w:rsidR="00F41710" w:rsidRPr="00CE7679">
        <w:rPr>
          <w:rFonts w:eastAsia="SimSun"/>
          <w:snapToGrid/>
          <w:szCs w:val="22"/>
          <w:lang w:eastAsia="zh-CN"/>
        </w:rPr>
        <w:t> </w:t>
      </w:r>
      <w:r w:rsidRPr="00CE7679">
        <w:rPr>
          <w:rFonts w:eastAsia="SimSun"/>
          <w:snapToGrid/>
          <w:szCs w:val="22"/>
          <w:lang w:eastAsia="zh-CN"/>
        </w:rPr>
        <w:t xml:space="preserve">savaičių </w:t>
      </w:r>
      <w:proofErr w:type="spellStart"/>
      <w:r w:rsidRPr="00CE7679">
        <w:rPr>
          <w:rFonts w:eastAsia="SimSun"/>
          <w:snapToGrid/>
          <w:szCs w:val="22"/>
          <w:lang w:eastAsia="zh-CN"/>
        </w:rPr>
        <w:t>bcr-abl</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transkriptų</w:t>
      </w:r>
      <w:proofErr w:type="spellEnd"/>
      <w:r w:rsidRPr="00CE7679">
        <w:rPr>
          <w:rFonts w:eastAsia="SimSun"/>
          <w:snapToGrid/>
          <w:szCs w:val="22"/>
          <w:lang w:eastAsia="zh-CN"/>
        </w:rPr>
        <w:t xml:space="preserve"> kiekis buvo vienodas abiejose grupėse. Kaip ir tikėtasi planuojant tyrimą, skirtumo tarp remisijos trukmės, laiko be ligos ir gyvenimo trukmės nebuvo, nors pacientų, kuriems buvo pasiektas pilnas molekulinis atsakas ir išliko minimali liekamoji liga, buvo geresni ir remisijos trukmės (p=0,01) ir išgyvenamumo be ligos (p=0,02) rezultatai.</w:t>
      </w:r>
    </w:p>
    <w:p w14:paraId="7A0955F0" w14:textId="77777777" w:rsidR="00A27597" w:rsidRPr="00CE7679" w:rsidRDefault="00A27597" w:rsidP="00A27597">
      <w:pPr>
        <w:spacing w:line="240" w:lineRule="auto"/>
        <w:rPr>
          <w:rFonts w:eastAsia="SimSun"/>
          <w:snapToGrid/>
          <w:szCs w:val="22"/>
          <w:lang w:eastAsia="zh-CN"/>
        </w:rPr>
      </w:pPr>
    </w:p>
    <w:p w14:paraId="5332C342" w14:textId="38A32CA1" w:rsidR="00A27597" w:rsidRPr="00CE7679" w:rsidRDefault="00A27597" w:rsidP="00A27597">
      <w:pPr>
        <w:spacing w:line="240" w:lineRule="auto"/>
        <w:rPr>
          <w:rFonts w:eastAsia="SimSun"/>
          <w:snapToGrid/>
          <w:szCs w:val="22"/>
          <w:lang w:eastAsia="zh-CN"/>
        </w:rPr>
      </w:pPr>
      <w:r w:rsidRPr="00CE7679">
        <w:rPr>
          <w:rFonts w:eastAsia="SimSun"/>
          <w:snapToGrid/>
          <w:szCs w:val="22"/>
          <w:lang w:eastAsia="zh-CN"/>
        </w:rPr>
        <w:t>Keturių nekontroliuojamų tyrimų (AAU02, ADE04, AJP01 ir AUS01), kuriuose dalyvavo 211</w:t>
      </w:r>
      <w:r w:rsidR="00F41710" w:rsidRPr="00CE7679">
        <w:rPr>
          <w:rFonts w:eastAsia="SimSun"/>
          <w:snapToGrid/>
          <w:szCs w:val="22"/>
          <w:lang w:eastAsia="zh-CN"/>
        </w:rPr>
        <w:t> </w:t>
      </w:r>
      <w:r w:rsidRPr="00CE7679">
        <w:rPr>
          <w:rFonts w:eastAsia="SimSun"/>
          <w:snapToGrid/>
          <w:szCs w:val="22"/>
          <w:lang w:eastAsia="zh-CN"/>
        </w:rPr>
        <w:t xml:space="preserve">pacientų, kuriems pirmą kartą diagnozuota </w:t>
      </w:r>
      <w:proofErr w:type="spellStart"/>
      <w:r w:rsidRPr="00CE7679">
        <w:rPr>
          <w:rFonts w:eastAsia="SimSun"/>
          <w:snapToGrid/>
          <w:szCs w:val="22"/>
          <w:lang w:eastAsia="zh-CN"/>
        </w:rPr>
        <w:t>Ph</w:t>
      </w:r>
      <w:proofErr w:type="spellEnd"/>
      <w:r w:rsidRPr="00CE7679">
        <w:rPr>
          <w:rFonts w:eastAsia="SimSun"/>
          <w:snapToGrid/>
          <w:szCs w:val="22"/>
          <w:lang w:eastAsia="zh-CN"/>
        </w:rPr>
        <w:t xml:space="preserve">+ ŪLL, rezultatai atitinka anksčiau minėto tyrimo rezultatus. Skiriant </w:t>
      </w:r>
      <w:proofErr w:type="spellStart"/>
      <w:r w:rsidRPr="00CE7679">
        <w:rPr>
          <w:rFonts w:eastAsia="SimSun"/>
          <w:snapToGrid/>
          <w:szCs w:val="22"/>
          <w:lang w:eastAsia="zh-CN"/>
        </w:rPr>
        <w:t>imatinibą</w:t>
      </w:r>
      <w:proofErr w:type="spellEnd"/>
      <w:r w:rsidRPr="00CE7679">
        <w:rPr>
          <w:rFonts w:eastAsia="SimSun"/>
          <w:snapToGrid/>
          <w:szCs w:val="22"/>
          <w:lang w:eastAsia="zh-CN"/>
        </w:rPr>
        <w:t xml:space="preserve"> kartu su pradine chemoterapija (žr.</w:t>
      </w:r>
      <w:r w:rsidR="00133AB0">
        <w:rPr>
          <w:rFonts w:eastAsia="SimSun"/>
          <w:snapToGrid/>
          <w:szCs w:val="22"/>
          <w:lang w:eastAsia="zh-CN"/>
        </w:rPr>
        <w:t> </w:t>
      </w:r>
      <w:r w:rsidRPr="00CE7679">
        <w:rPr>
          <w:rFonts w:eastAsia="SimSun"/>
          <w:snapToGrid/>
          <w:szCs w:val="22"/>
          <w:lang w:eastAsia="zh-CN"/>
        </w:rPr>
        <w:t>4</w:t>
      </w:r>
      <w:r w:rsidR="00133AB0">
        <w:rPr>
          <w:rFonts w:eastAsia="SimSun"/>
          <w:snapToGrid/>
          <w:szCs w:val="22"/>
          <w:lang w:eastAsia="zh-CN"/>
        </w:rPr>
        <w:t> </w:t>
      </w:r>
      <w:r w:rsidRPr="00CE7679">
        <w:rPr>
          <w:rFonts w:eastAsia="SimSun"/>
          <w:snapToGrid/>
          <w:szCs w:val="22"/>
          <w:lang w:eastAsia="zh-CN"/>
        </w:rPr>
        <w:t>lentelę) pilno hematologinio atsako dažnis buvo 93 % (147 iš 158</w:t>
      </w:r>
      <w:r w:rsidR="00F41710" w:rsidRPr="00CE7679">
        <w:rPr>
          <w:rFonts w:eastAsia="SimSun"/>
          <w:snapToGrid/>
          <w:szCs w:val="22"/>
          <w:lang w:eastAsia="zh-CN"/>
        </w:rPr>
        <w:t> </w:t>
      </w:r>
      <w:r w:rsidRPr="00CE7679">
        <w:rPr>
          <w:rFonts w:eastAsia="SimSun"/>
          <w:snapToGrid/>
          <w:szCs w:val="22"/>
          <w:lang w:eastAsia="zh-CN"/>
        </w:rPr>
        <w:t>pacientų, kuriuos buvo galima vertinti), o didžiojo citogenetinio atsako dažnis buvo 90 % (19 iš 21</w:t>
      </w:r>
      <w:r w:rsidR="00F41710" w:rsidRPr="00CE7679">
        <w:rPr>
          <w:rFonts w:eastAsia="SimSun"/>
          <w:snapToGrid/>
          <w:szCs w:val="22"/>
          <w:lang w:eastAsia="zh-CN"/>
        </w:rPr>
        <w:t> </w:t>
      </w:r>
      <w:r w:rsidRPr="00CE7679">
        <w:rPr>
          <w:rFonts w:eastAsia="SimSun"/>
          <w:snapToGrid/>
          <w:szCs w:val="22"/>
          <w:lang w:eastAsia="zh-CN"/>
        </w:rPr>
        <w:t xml:space="preserve">paciento, kuriuos buvo galima įvertinti). Pilno molekulinio atsako dažnis </w:t>
      </w:r>
      <w:r w:rsidRPr="00CE7679">
        <w:rPr>
          <w:rFonts w:eastAsia="SimSun"/>
          <w:snapToGrid/>
          <w:szCs w:val="22"/>
          <w:lang w:eastAsia="zh-CN"/>
        </w:rPr>
        <w:lastRenderedPageBreak/>
        <w:t>buvo 48 % (49 iš 102</w:t>
      </w:r>
      <w:r w:rsidR="00F41710" w:rsidRPr="00CE7679">
        <w:rPr>
          <w:rFonts w:eastAsia="SimSun"/>
          <w:snapToGrid/>
          <w:szCs w:val="22"/>
          <w:lang w:eastAsia="zh-CN"/>
        </w:rPr>
        <w:t> </w:t>
      </w:r>
      <w:r w:rsidRPr="00CE7679">
        <w:rPr>
          <w:rFonts w:eastAsia="SimSun"/>
          <w:snapToGrid/>
          <w:szCs w:val="22"/>
          <w:lang w:eastAsia="zh-CN"/>
        </w:rPr>
        <w:t>pacientų, kuriuos buvo galima vertinti). Išgyvenamumas be ligos (DSF) ir gyvenimo trukmė (OS) pastoviai viršijo 1 metus ir buvo aukštesni kaip anksčiau nustatyti (DFS p&lt;0,001; OS p&lt;0,0001) dviejuose tyrimuose (AJP01 ir AUS01).</w:t>
      </w:r>
    </w:p>
    <w:p w14:paraId="5D79AA8B" w14:textId="77777777" w:rsidR="00A27597" w:rsidRPr="00CE7679" w:rsidRDefault="00A27597" w:rsidP="00A27597">
      <w:pPr>
        <w:spacing w:line="240" w:lineRule="auto"/>
        <w:rPr>
          <w:rFonts w:eastAsia="SimSun"/>
          <w:snapToGrid/>
          <w:szCs w:val="22"/>
          <w:lang w:eastAsia="zh-CN"/>
        </w:rPr>
      </w:pPr>
    </w:p>
    <w:p w14:paraId="1F908218" w14:textId="66F3E444" w:rsidR="00A27597" w:rsidRPr="00CE7679" w:rsidRDefault="00A27597" w:rsidP="00A27597">
      <w:pPr>
        <w:spacing w:line="240" w:lineRule="auto"/>
        <w:rPr>
          <w:rFonts w:eastAsia="SimSun"/>
          <w:b/>
          <w:snapToGrid/>
          <w:szCs w:val="22"/>
          <w:lang w:eastAsia="zh-CN"/>
        </w:rPr>
      </w:pPr>
      <w:r w:rsidRPr="00CE7679">
        <w:rPr>
          <w:rFonts w:eastAsia="SimSun"/>
          <w:b/>
          <w:snapToGrid/>
          <w:szCs w:val="22"/>
          <w:lang w:eastAsia="zh-CN"/>
        </w:rPr>
        <w:t>4</w:t>
      </w:r>
      <w:r w:rsidR="00133AB0">
        <w:rPr>
          <w:rFonts w:eastAsia="SimSun"/>
          <w:b/>
          <w:snapToGrid/>
          <w:szCs w:val="22"/>
          <w:lang w:eastAsia="zh-CN"/>
        </w:rPr>
        <w:t> </w:t>
      </w:r>
      <w:r w:rsidRPr="00CE7679">
        <w:rPr>
          <w:rFonts w:eastAsia="SimSun"/>
          <w:b/>
          <w:snapToGrid/>
          <w:szCs w:val="22"/>
          <w:lang w:eastAsia="zh-CN"/>
        </w:rPr>
        <w:t xml:space="preserve">Lentelė. Chemoterapinis gydymas, taikomas kartu su </w:t>
      </w:r>
      <w:proofErr w:type="spellStart"/>
      <w:r w:rsidRPr="00CE7679">
        <w:rPr>
          <w:rFonts w:eastAsia="SimSun"/>
          <w:b/>
          <w:snapToGrid/>
          <w:szCs w:val="22"/>
          <w:lang w:eastAsia="zh-CN"/>
        </w:rPr>
        <w:t>imatinibu</w:t>
      </w:r>
      <w:proofErr w:type="spellEnd"/>
    </w:p>
    <w:tbl>
      <w:tblPr>
        <w:tblpPr w:leftFromText="180" w:rightFromText="180" w:vertAnchor="text" w:horzAnchor="margin" w:tblpXSpec="right" w:tblpY="368"/>
        <w:tblW w:w="0" w:type="auto"/>
        <w:tblBorders>
          <w:top w:val="nil"/>
          <w:left w:val="nil"/>
          <w:bottom w:val="nil"/>
          <w:right w:val="nil"/>
        </w:tblBorders>
        <w:tblLayout w:type="fixed"/>
        <w:tblLook w:val="0000" w:firstRow="0" w:lastRow="0" w:firstColumn="0" w:lastColumn="0" w:noHBand="0" w:noVBand="0"/>
      </w:tblPr>
      <w:tblGrid>
        <w:gridCol w:w="2636"/>
        <w:gridCol w:w="6651"/>
      </w:tblGrid>
      <w:tr w:rsidR="00701D61" w:rsidRPr="00CE7679" w14:paraId="5686467C" w14:textId="77777777" w:rsidTr="00A27597">
        <w:trPr>
          <w:trHeight w:val="98"/>
        </w:trPr>
        <w:tc>
          <w:tcPr>
            <w:tcW w:w="9287" w:type="dxa"/>
            <w:gridSpan w:val="2"/>
            <w:tcBorders>
              <w:top w:val="single" w:sz="4" w:space="0" w:color="auto"/>
              <w:left w:val="nil"/>
              <w:bottom w:val="single" w:sz="4" w:space="0" w:color="auto"/>
              <w:right w:val="nil"/>
            </w:tcBorders>
          </w:tcPr>
          <w:p w14:paraId="05DBA645" w14:textId="77777777" w:rsidR="00A27597" w:rsidRPr="00CE7679" w:rsidRDefault="00A27597" w:rsidP="00A27597">
            <w:pPr>
              <w:tabs>
                <w:tab w:val="clear" w:pos="567"/>
                <w:tab w:val="left" w:pos="426"/>
              </w:tabs>
              <w:autoSpaceDE w:val="0"/>
              <w:autoSpaceDN w:val="0"/>
              <w:adjustRightInd w:val="0"/>
              <w:spacing w:line="240" w:lineRule="auto"/>
              <w:ind w:left="426" w:hanging="426"/>
              <w:rPr>
                <w:rFonts w:eastAsia="Calibri"/>
                <w:snapToGrid/>
                <w:szCs w:val="22"/>
              </w:rPr>
            </w:pPr>
            <w:r w:rsidRPr="00CE7679">
              <w:rPr>
                <w:rFonts w:eastAsia="Calibri"/>
                <w:b/>
                <w:bCs/>
                <w:snapToGrid/>
                <w:szCs w:val="22"/>
              </w:rPr>
              <w:t>ADE10 tyrimas</w:t>
            </w:r>
          </w:p>
        </w:tc>
      </w:tr>
      <w:tr w:rsidR="00701D61" w:rsidRPr="00CE7679" w14:paraId="71F9E51B" w14:textId="77777777" w:rsidTr="00A27597">
        <w:trPr>
          <w:trHeight w:val="252"/>
        </w:trPr>
        <w:tc>
          <w:tcPr>
            <w:tcW w:w="2636" w:type="dxa"/>
            <w:tcBorders>
              <w:top w:val="single" w:sz="4" w:space="0" w:color="auto"/>
              <w:left w:val="nil"/>
              <w:bottom w:val="single" w:sz="4" w:space="0" w:color="auto"/>
            </w:tcBorders>
          </w:tcPr>
          <w:p w14:paraId="784ADD55" w14:textId="77777777" w:rsidR="00A27597" w:rsidRPr="00CE7679" w:rsidRDefault="00A27597" w:rsidP="00A27597">
            <w:pPr>
              <w:tabs>
                <w:tab w:val="clear" w:pos="567"/>
                <w:tab w:val="left" w:pos="426"/>
              </w:tabs>
              <w:autoSpaceDE w:val="0"/>
              <w:autoSpaceDN w:val="0"/>
              <w:adjustRightInd w:val="0"/>
              <w:spacing w:line="240" w:lineRule="auto"/>
              <w:ind w:left="426" w:hanging="426"/>
              <w:rPr>
                <w:rFonts w:eastAsia="Calibri"/>
                <w:snapToGrid/>
                <w:szCs w:val="22"/>
              </w:rPr>
            </w:pPr>
            <w:proofErr w:type="spellStart"/>
            <w:r w:rsidRPr="00CE7679">
              <w:rPr>
                <w:rFonts w:eastAsia="Calibri"/>
                <w:snapToGrid/>
                <w:szCs w:val="22"/>
              </w:rPr>
              <w:t>Prefazė</w:t>
            </w:r>
            <w:proofErr w:type="spellEnd"/>
          </w:p>
        </w:tc>
        <w:tc>
          <w:tcPr>
            <w:tcW w:w="6651" w:type="dxa"/>
            <w:tcBorders>
              <w:top w:val="single" w:sz="4" w:space="0" w:color="auto"/>
              <w:bottom w:val="single" w:sz="4" w:space="0" w:color="auto"/>
              <w:right w:val="nil"/>
            </w:tcBorders>
          </w:tcPr>
          <w:p w14:paraId="6B1A015C" w14:textId="77777777" w:rsidR="00A27597" w:rsidRPr="00CE7679" w:rsidRDefault="00A27597" w:rsidP="00A27597">
            <w:pPr>
              <w:tabs>
                <w:tab w:val="clear" w:pos="567"/>
                <w:tab w:val="left" w:pos="34"/>
              </w:tabs>
              <w:autoSpaceDE w:val="0"/>
              <w:autoSpaceDN w:val="0"/>
              <w:adjustRightInd w:val="0"/>
              <w:spacing w:line="240" w:lineRule="auto"/>
              <w:ind w:left="34" w:hanging="34"/>
              <w:rPr>
                <w:rFonts w:eastAsia="Calibri"/>
                <w:snapToGrid/>
                <w:szCs w:val="22"/>
              </w:rPr>
            </w:pPr>
            <w:r w:rsidRPr="00CE7679">
              <w:rPr>
                <w:rFonts w:eastAsia="Calibri"/>
                <w:snapToGrid/>
                <w:szCs w:val="22"/>
              </w:rPr>
              <w:t>Gerti DEX 10 mg/m</w:t>
            </w:r>
            <w:r w:rsidRPr="00CE7679">
              <w:rPr>
                <w:rFonts w:eastAsia="Calibri"/>
                <w:snapToGrid/>
                <w:szCs w:val="22"/>
                <w:vertAlign w:val="superscript"/>
              </w:rPr>
              <w:t>2</w:t>
            </w:r>
            <w:r w:rsidRPr="00CE7679">
              <w:rPr>
                <w:rFonts w:eastAsia="Calibri"/>
                <w:snapToGrid/>
                <w:szCs w:val="22"/>
              </w:rPr>
              <w:t xml:space="preserve">, 1-5 dienas; </w:t>
            </w:r>
          </w:p>
          <w:p w14:paraId="5FB30D72" w14:textId="77777777" w:rsidR="00A27597" w:rsidRPr="00CE7679" w:rsidRDefault="00A27597" w:rsidP="00A27597">
            <w:pPr>
              <w:tabs>
                <w:tab w:val="clear" w:pos="567"/>
                <w:tab w:val="left" w:pos="34"/>
              </w:tabs>
              <w:autoSpaceDE w:val="0"/>
              <w:autoSpaceDN w:val="0"/>
              <w:adjustRightInd w:val="0"/>
              <w:spacing w:line="240" w:lineRule="auto"/>
              <w:ind w:left="34" w:hanging="34"/>
              <w:rPr>
                <w:rFonts w:eastAsia="Calibri"/>
                <w:snapToGrid/>
                <w:szCs w:val="22"/>
              </w:rPr>
            </w:pPr>
            <w:r w:rsidRPr="00CE7679">
              <w:rPr>
                <w:rFonts w:eastAsia="Calibri"/>
                <w:snapToGrid/>
                <w:szCs w:val="22"/>
              </w:rPr>
              <w:t>CP 200 mg/m</w:t>
            </w:r>
            <w:r w:rsidRPr="00CE7679">
              <w:rPr>
                <w:rFonts w:eastAsia="Calibri"/>
                <w:snapToGrid/>
                <w:szCs w:val="22"/>
                <w:vertAlign w:val="superscript"/>
              </w:rPr>
              <w:t>2</w:t>
            </w:r>
            <w:r w:rsidRPr="00CE7679">
              <w:rPr>
                <w:rFonts w:eastAsia="Calibri"/>
                <w:snapToGrid/>
                <w:szCs w:val="22"/>
              </w:rPr>
              <w:t xml:space="preserve"> </w:t>
            </w:r>
            <w:proofErr w:type="spellStart"/>
            <w:r w:rsidRPr="00CE7679">
              <w:rPr>
                <w:rFonts w:eastAsia="Calibri"/>
                <w:snapToGrid/>
                <w:szCs w:val="22"/>
              </w:rPr>
              <w:t>i.v</w:t>
            </w:r>
            <w:proofErr w:type="spellEnd"/>
            <w:r w:rsidRPr="00CE7679">
              <w:rPr>
                <w:rFonts w:eastAsia="Calibri"/>
                <w:snapToGrid/>
                <w:szCs w:val="22"/>
              </w:rPr>
              <w:t xml:space="preserve">., 3, 4, 5 dieną; </w:t>
            </w:r>
          </w:p>
          <w:p w14:paraId="7317C553" w14:textId="77777777" w:rsidR="00A27597" w:rsidRPr="00CE7679" w:rsidRDefault="00A27597" w:rsidP="00A27597">
            <w:pPr>
              <w:tabs>
                <w:tab w:val="clear" w:pos="567"/>
                <w:tab w:val="left" w:pos="34"/>
              </w:tabs>
              <w:autoSpaceDE w:val="0"/>
              <w:autoSpaceDN w:val="0"/>
              <w:adjustRightInd w:val="0"/>
              <w:spacing w:line="240" w:lineRule="auto"/>
              <w:ind w:left="34" w:hanging="34"/>
              <w:rPr>
                <w:rFonts w:eastAsia="Calibri"/>
                <w:snapToGrid/>
                <w:szCs w:val="22"/>
              </w:rPr>
            </w:pPr>
            <w:r w:rsidRPr="00CE7679">
              <w:rPr>
                <w:rFonts w:eastAsia="Calibri"/>
                <w:snapToGrid/>
                <w:szCs w:val="22"/>
              </w:rPr>
              <w:t xml:space="preserve">MTX 12 mg </w:t>
            </w:r>
            <w:proofErr w:type="spellStart"/>
            <w:r w:rsidRPr="00CE7679">
              <w:rPr>
                <w:rFonts w:eastAsia="Calibri"/>
                <w:snapToGrid/>
                <w:szCs w:val="22"/>
              </w:rPr>
              <w:t>intratekaliai</w:t>
            </w:r>
            <w:proofErr w:type="spellEnd"/>
            <w:r w:rsidRPr="00CE7679">
              <w:rPr>
                <w:rFonts w:eastAsia="Calibri"/>
                <w:snapToGrid/>
                <w:szCs w:val="22"/>
              </w:rPr>
              <w:t>, 1 dieną.</w:t>
            </w:r>
          </w:p>
        </w:tc>
      </w:tr>
      <w:tr w:rsidR="00701D61" w:rsidRPr="00CE7679" w14:paraId="4ED77A27" w14:textId="77777777" w:rsidTr="00A27597">
        <w:trPr>
          <w:trHeight w:val="381"/>
        </w:trPr>
        <w:tc>
          <w:tcPr>
            <w:tcW w:w="2636" w:type="dxa"/>
            <w:tcBorders>
              <w:top w:val="single" w:sz="4" w:space="0" w:color="auto"/>
              <w:left w:val="nil"/>
              <w:bottom w:val="single" w:sz="4" w:space="0" w:color="auto"/>
            </w:tcBorders>
          </w:tcPr>
          <w:p w14:paraId="1AD722A4" w14:textId="77777777" w:rsidR="00A27597" w:rsidRPr="00CE7679" w:rsidRDefault="00A27597" w:rsidP="00A27597">
            <w:pPr>
              <w:tabs>
                <w:tab w:val="clear" w:pos="567"/>
                <w:tab w:val="left" w:pos="0"/>
              </w:tabs>
              <w:autoSpaceDE w:val="0"/>
              <w:autoSpaceDN w:val="0"/>
              <w:adjustRightInd w:val="0"/>
              <w:spacing w:line="240" w:lineRule="auto"/>
              <w:rPr>
                <w:rFonts w:eastAsia="Calibri"/>
                <w:snapToGrid/>
                <w:szCs w:val="22"/>
              </w:rPr>
            </w:pPr>
            <w:r w:rsidRPr="00CE7679">
              <w:rPr>
                <w:rFonts w:eastAsia="Calibri"/>
                <w:snapToGrid/>
                <w:szCs w:val="22"/>
              </w:rPr>
              <w:t>Remisijos sukėlimas</w:t>
            </w:r>
          </w:p>
        </w:tc>
        <w:tc>
          <w:tcPr>
            <w:tcW w:w="6651" w:type="dxa"/>
            <w:tcBorders>
              <w:top w:val="single" w:sz="4" w:space="0" w:color="auto"/>
              <w:bottom w:val="single" w:sz="4" w:space="0" w:color="auto"/>
              <w:right w:val="nil"/>
            </w:tcBorders>
          </w:tcPr>
          <w:p w14:paraId="4A589B5C" w14:textId="77777777" w:rsidR="00A27597" w:rsidRPr="00CE7679" w:rsidRDefault="00A27597" w:rsidP="00A27597">
            <w:pPr>
              <w:tabs>
                <w:tab w:val="clear" w:pos="567"/>
                <w:tab w:val="left" w:pos="34"/>
              </w:tabs>
              <w:autoSpaceDE w:val="0"/>
              <w:autoSpaceDN w:val="0"/>
              <w:adjustRightInd w:val="0"/>
              <w:spacing w:line="240" w:lineRule="auto"/>
              <w:ind w:left="34" w:hanging="34"/>
              <w:rPr>
                <w:rFonts w:eastAsia="Calibri"/>
                <w:snapToGrid/>
                <w:szCs w:val="22"/>
              </w:rPr>
            </w:pPr>
            <w:r w:rsidRPr="00CE7679">
              <w:rPr>
                <w:rFonts w:eastAsia="Calibri"/>
                <w:snapToGrid/>
                <w:szCs w:val="22"/>
              </w:rPr>
              <w:t>Gerti DEX 10 mg/m</w:t>
            </w:r>
            <w:r w:rsidRPr="00CE7679">
              <w:rPr>
                <w:rFonts w:eastAsia="Calibri"/>
                <w:snapToGrid/>
                <w:szCs w:val="22"/>
                <w:vertAlign w:val="superscript"/>
              </w:rPr>
              <w:t>2</w:t>
            </w:r>
            <w:r w:rsidRPr="00CE7679">
              <w:rPr>
                <w:rFonts w:eastAsia="Calibri"/>
                <w:snapToGrid/>
                <w:szCs w:val="22"/>
              </w:rPr>
              <w:t xml:space="preserve">, 6-7 dieną, 13-16 dieną; </w:t>
            </w:r>
          </w:p>
          <w:p w14:paraId="444CF196" w14:textId="77777777" w:rsidR="00A27597" w:rsidRPr="00CE7679" w:rsidRDefault="00A27597" w:rsidP="00A27597">
            <w:pPr>
              <w:tabs>
                <w:tab w:val="clear" w:pos="567"/>
                <w:tab w:val="left" w:pos="34"/>
              </w:tabs>
              <w:autoSpaceDE w:val="0"/>
              <w:autoSpaceDN w:val="0"/>
              <w:adjustRightInd w:val="0"/>
              <w:spacing w:line="240" w:lineRule="auto"/>
              <w:ind w:left="34" w:hanging="34"/>
              <w:rPr>
                <w:rFonts w:eastAsia="Calibri"/>
                <w:snapToGrid/>
                <w:szCs w:val="22"/>
              </w:rPr>
            </w:pPr>
            <w:r w:rsidRPr="00CE7679">
              <w:rPr>
                <w:rFonts w:eastAsia="Calibri"/>
                <w:snapToGrid/>
                <w:szCs w:val="22"/>
              </w:rPr>
              <w:t xml:space="preserve">VCR 1 mg </w:t>
            </w:r>
            <w:proofErr w:type="spellStart"/>
            <w:r w:rsidRPr="00CE7679">
              <w:rPr>
                <w:rFonts w:eastAsia="Calibri"/>
                <w:snapToGrid/>
                <w:szCs w:val="22"/>
              </w:rPr>
              <w:t>i.v</w:t>
            </w:r>
            <w:proofErr w:type="spellEnd"/>
            <w:r w:rsidRPr="00CE7679">
              <w:rPr>
                <w:rFonts w:eastAsia="Calibri"/>
                <w:snapToGrid/>
                <w:szCs w:val="22"/>
              </w:rPr>
              <w:t xml:space="preserve">., 7, 14 dieną; </w:t>
            </w:r>
          </w:p>
          <w:p w14:paraId="56DCE72D" w14:textId="77777777" w:rsidR="00A27597" w:rsidRPr="00CE7679" w:rsidRDefault="00A27597" w:rsidP="00A27597">
            <w:pPr>
              <w:tabs>
                <w:tab w:val="clear" w:pos="567"/>
                <w:tab w:val="left" w:pos="34"/>
              </w:tabs>
              <w:autoSpaceDE w:val="0"/>
              <w:autoSpaceDN w:val="0"/>
              <w:adjustRightInd w:val="0"/>
              <w:spacing w:line="240" w:lineRule="auto"/>
              <w:ind w:left="34" w:hanging="34"/>
              <w:rPr>
                <w:rFonts w:eastAsia="Calibri"/>
                <w:snapToGrid/>
                <w:szCs w:val="22"/>
              </w:rPr>
            </w:pPr>
            <w:r w:rsidRPr="00CE7679">
              <w:rPr>
                <w:rFonts w:eastAsia="Calibri"/>
                <w:snapToGrid/>
                <w:szCs w:val="22"/>
              </w:rPr>
              <w:t>IDA 8 mg/m</w:t>
            </w:r>
            <w:r w:rsidRPr="00CE7679">
              <w:rPr>
                <w:rFonts w:eastAsia="Calibri"/>
                <w:snapToGrid/>
                <w:szCs w:val="22"/>
                <w:vertAlign w:val="superscript"/>
              </w:rPr>
              <w:t>2</w:t>
            </w:r>
            <w:r w:rsidRPr="00CE7679">
              <w:rPr>
                <w:rFonts w:eastAsia="Calibri"/>
                <w:snapToGrid/>
                <w:szCs w:val="22"/>
              </w:rPr>
              <w:t xml:space="preserve"> </w:t>
            </w:r>
            <w:proofErr w:type="spellStart"/>
            <w:r w:rsidRPr="00CE7679">
              <w:rPr>
                <w:rFonts w:eastAsia="Calibri"/>
                <w:snapToGrid/>
                <w:szCs w:val="22"/>
              </w:rPr>
              <w:t>i.v</w:t>
            </w:r>
            <w:proofErr w:type="spellEnd"/>
            <w:r w:rsidRPr="00CE7679">
              <w:rPr>
                <w:rFonts w:eastAsia="Calibri"/>
                <w:snapToGrid/>
                <w:szCs w:val="22"/>
              </w:rPr>
              <w:t xml:space="preserve">. (0,5 valandos), 7, 8, 14, 15 dieną; </w:t>
            </w:r>
          </w:p>
          <w:p w14:paraId="739D8176" w14:textId="77777777" w:rsidR="00A27597" w:rsidRPr="00CE7679" w:rsidRDefault="00A27597" w:rsidP="00A27597">
            <w:pPr>
              <w:tabs>
                <w:tab w:val="clear" w:pos="567"/>
                <w:tab w:val="left" w:pos="34"/>
              </w:tabs>
              <w:autoSpaceDE w:val="0"/>
              <w:autoSpaceDN w:val="0"/>
              <w:adjustRightInd w:val="0"/>
              <w:spacing w:line="240" w:lineRule="auto"/>
              <w:ind w:left="34" w:hanging="34"/>
              <w:rPr>
                <w:rFonts w:eastAsia="Calibri"/>
                <w:snapToGrid/>
                <w:szCs w:val="22"/>
              </w:rPr>
            </w:pPr>
            <w:r w:rsidRPr="00CE7679">
              <w:rPr>
                <w:rFonts w:eastAsia="Calibri"/>
                <w:snapToGrid/>
                <w:szCs w:val="22"/>
              </w:rPr>
              <w:t>CP 500 mg/m</w:t>
            </w:r>
            <w:r w:rsidRPr="00CE7679">
              <w:rPr>
                <w:rFonts w:eastAsia="Calibri"/>
                <w:snapToGrid/>
                <w:szCs w:val="22"/>
                <w:vertAlign w:val="superscript"/>
              </w:rPr>
              <w:t>2</w:t>
            </w:r>
            <w:r w:rsidRPr="00CE7679">
              <w:rPr>
                <w:rFonts w:eastAsia="Calibri"/>
                <w:snapToGrid/>
                <w:szCs w:val="22"/>
              </w:rPr>
              <w:t xml:space="preserve"> </w:t>
            </w:r>
            <w:proofErr w:type="spellStart"/>
            <w:r w:rsidRPr="00CE7679">
              <w:rPr>
                <w:rFonts w:eastAsia="Calibri"/>
                <w:snapToGrid/>
                <w:szCs w:val="22"/>
              </w:rPr>
              <w:t>i.v</w:t>
            </w:r>
            <w:proofErr w:type="spellEnd"/>
            <w:r w:rsidRPr="00CE7679">
              <w:rPr>
                <w:rFonts w:eastAsia="Calibri"/>
                <w:snapToGrid/>
                <w:szCs w:val="22"/>
              </w:rPr>
              <w:t xml:space="preserve">.(1 valanda) 1 dieną; </w:t>
            </w:r>
          </w:p>
          <w:p w14:paraId="7C7C7D15" w14:textId="77777777" w:rsidR="00A27597" w:rsidRPr="00CE7679" w:rsidRDefault="00A27597" w:rsidP="00A27597">
            <w:pPr>
              <w:tabs>
                <w:tab w:val="clear" w:pos="567"/>
                <w:tab w:val="left" w:pos="34"/>
              </w:tabs>
              <w:autoSpaceDE w:val="0"/>
              <w:autoSpaceDN w:val="0"/>
              <w:adjustRightInd w:val="0"/>
              <w:spacing w:line="240" w:lineRule="auto"/>
              <w:ind w:left="34" w:hanging="34"/>
              <w:rPr>
                <w:rFonts w:eastAsia="Calibri"/>
                <w:snapToGrid/>
                <w:szCs w:val="22"/>
              </w:rPr>
            </w:pPr>
            <w:proofErr w:type="spellStart"/>
            <w:r w:rsidRPr="00CE7679">
              <w:rPr>
                <w:rFonts w:eastAsia="Calibri"/>
                <w:snapToGrid/>
                <w:szCs w:val="22"/>
              </w:rPr>
              <w:t>Ara</w:t>
            </w:r>
            <w:proofErr w:type="spellEnd"/>
            <w:r w:rsidRPr="00CE7679">
              <w:rPr>
                <w:rFonts w:eastAsia="Calibri"/>
                <w:snapToGrid/>
                <w:szCs w:val="22"/>
              </w:rPr>
              <w:t>-C 60 mg/m</w:t>
            </w:r>
            <w:r w:rsidRPr="00CE7679">
              <w:rPr>
                <w:rFonts w:eastAsia="Calibri"/>
                <w:snapToGrid/>
                <w:szCs w:val="22"/>
                <w:vertAlign w:val="superscript"/>
              </w:rPr>
              <w:t>2</w:t>
            </w:r>
            <w:r w:rsidRPr="00CE7679">
              <w:rPr>
                <w:rFonts w:eastAsia="Calibri"/>
                <w:snapToGrid/>
                <w:szCs w:val="22"/>
              </w:rPr>
              <w:t xml:space="preserve"> </w:t>
            </w:r>
            <w:proofErr w:type="spellStart"/>
            <w:r w:rsidRPr="00CE7679">
              <w:rPr>
                <w:rFonts w:eastAsia="Calibri"/>
                <w:snapToGrid/>
                <w:szCs w:val="22"/>
              </w:rPr>
              <w:t>i.v</w:t>
            </w:r>
            <w:proofErr w:type="spellEnd"/>
            <w:r w:rsidRPr="00CE7679">
              <w:rPr>
                <w:rFonts w:eastAsia="Calibri"/>
                <w:snapToGrid/>
                <w:szCs w:val="22"/>
              </w:rPr>
              <w:t>., 22-25, 29-32 dienas.</w:t>
            </w:r>
          </w:p>
        </w:tc>
      </w:tr>
      <w:tr w:rsidR="00701D61" w:rsidRPr="00CE7679" w14:paraId="53CBBBF4" w14:textId="77777777" w:rsidTr="00A27597">
        <w:trPr>
          <w:trHeight w:val="252"/>
        </w:trPr>
        <w:tc>
          <w:tcPr>
            <w:tcW w:w="2636" w:type="dxa"/>
            <w:tcBorders>
              <w:top w:val="single" w:sz="4" w:space="0" w:color="auto"/>
              <w:left w:val="nil"/>
              <w:bottom w:val="single" w:sz="4" w:space="0" w:color="auto"/>
            </w:tcBorders>
          </w:tcPr>
          <w:p w14:paraId="3B75F6D2" w14:textId="77777777" w:rsidR="00A27597" w:rsidRPr="00CE7679" w:rsidRDefault="00A27597" w:rsidP="00A27597">
            <w:pPr>
              <w:tabs>
                <w:tab w:val="clear" w:pos="567"/>
                <w:tab w:val="left" w:pos="0"/>
              </w:tabs>
              <w:autoSpaceDE w:val="0"/>
              <w:autoSpaceDN w:val="0"/>
              <w:adjustRightInd w:val="0"/>
              <w:spacing w:line="240" w:lineRule="auto"/>
              <w:rPr>
                <w:rFonts w:eastAsia="Calibri"/>
                <w:snapToGrid/>
                <w:szCs w:val="22"/>
              </w:rPr>
            </w:pPr>
            <w:r w:rsidRPr="00CE7679">
              <w:rPr>
                <w:rFonts w:eastAsia="Calibri"/>
                <w:snapToGrid/>
                <w:szCs w:val="22"/>
              </w:rPr>
              <w:t>Konsoliduojantis gydymas I, III, V</w:t>
            </w:r>
          </w:p>
        </w:tc>
        <w:tc>
          <w:tcPr>
            <w:tcW w:w="6651" w:type="dxa"/>
            <w:tcBorders>
              <w:top w:val="single" w:sz="4" w:space="0" w:color="auto"/>
              <w:bottom w:val="single" w:sz="4" w:space="0" w:color="auto"/>
              <w:right w:val="nil"/>
            </w:tcBorders>
          </w:tcPr>
          <w:p w14:paraId="378AA929" w14:textId="77777777" w:rsidR="00A27597" w:rsidRPr="00CE7679" w:rsidRDefault="00A27597" w:rsidP="00A27597">
            <w:pPr>
              <w:tabs>
                <w:tab w:val="clear" w:pos="567"/>
                <w:tab w:val="left" w:pos="34"/>
              </w:tabs>
              <w:autoSpaceDE w:val="0"/>
              <w:autoSpaceDN w:val="0"/>
              <w:adjustRightInd w:val="0"/>
              <w:spacing w:line="240" w:lineRule="auto"/>
              <w:ind w:left="34" w:hanging="34"/>
              <w:rPr>
                <w:rFonts w:eastAsia="Calibri"/>
                <w:snapToGrid/>
                <w:szCs w:val="22"/>
              </w:rPr>
            </w:pPr>
            <w:r w:rsidRPr="00CE7679">
              <w:rPr>
                <w:rFonts w:eastAsia="Calibri"/>
                <w:snapToGrid/>
                <w:szCs w:val="22"/>
              </w:rPr>
              <w:t>MTX 500 mg/m</w:t>
            </w:r>
            <w:r w:rsidRPr="00CE7679">
              <w:rPr>
                <w:rFonts w:eastAsia="Calibri"/>
                <w:snapToGrid/>
                <w:szCs w:val="22"/>
                <w:vertAlign w:val="superscript"/>
              </w:rPr>
              <w:t>2</w:t>
            </w:r>
            <w:r w:rsidRPr="00CE7679">
              <w:rPr>
                <w:rFonts w:eastAsia="Calibri"/>
                <w:snapToGrid/>
                <w:szCs w:val="22"/>
              </w:rPr>
              <w:t xml:space="preserve"> </w:t>
            </w:r>
            <w:proofErr w:type="spellStart"/>
            <w:r w:rsidRPr="00CE7679">
              <w:rPr>
                <w:rFonts w:eastAsia="Calibri"/>
                <w:snapToGrid/>
                <w:szCs w:val="22"/>
              </w:rPr>
              <w:t>i.v</w:t>
            </w:r>
            <w:proofErr w:type="spellEnd"/>
            <w:r w:rsidRPr="00CE7679">
              <w:rPr>
                <w:rFonts w:eastAsia="Calibri"/>
                <w:snapToGrid/>
                <w:szCs w:val="22"/>
              </w:rPr>
              <w:t xml:space="preserve">. (24 valandos), 1, 15 dieną; </w:t>
            </w:r>
          </w:p>
          <w:p w14:paraId="5D885FB0" w14:textId="77777777" w:rsidR="00A27597" w:rsidRPr="00CE7679" w:rsidRDefault="00A27597" w:rsidP="00A27597">
            <w:pPr>
              <w:tabs>
                <w:tab w:val="clear" w:pos="567"/>
                <w:tab w:val="left" w:pos="34"/>
              </w:tabs>
              <w:autoSpaceDE w:val="0"/>
              <w:autoSpaceDN w:val="0"/>
              <w:adjustRightInd w:val="0"/>
              <w:spacing w:line="240" w:lineRule="auto"/>
              <w:ind w:left="34" w:hanging="34"/>
              <w:rPr>
                <w:rFonts w:eastAsia="Calibri"/>
                <w:snapToGrid/>
                <w:szCs w:val="22"/>
              </w:rPr>
            </w:pPr>
            <w:r w:rsidRPr="00CE7679">
              <w:rPr>
                <w:rFonts w:eastAsia="Calibri"/>
                <w:snapToGrid/>
                <w:szCs w:val="22"/>
              </w:rPr>
              <w:t>gerti 6-MP 25 mg/m</w:t>
            </w:r>
            <w:r w:rsidRPr="00CE7679">
              <w:rPr>
                <w:rFonts w:eastAsia="Calibri"/>
                <w:snapToGrid/>
                <w:szCs w:val="22"/>
                <w:vertAlign w:val="superscript"/>
              </w:rPr>
              <w:t>2</w:t>
            </w:r>
            <w:r w:rsidRPr="00CE7679">
              <w:rPr>
                <w:rFonts w:eastAsia="Calibri"/>
                <w:snapToGrid/>
                <w:szCs w:val="22"/>
              </w:rPr>
              <w:t>, 1-20 dieną.</w:t>
            </w:r>
          </w:p>
        </w:tc>
      </w:tr>
      <w:tr w:rsidR="00701D61" w:rsidRPr="00CE7679" w14:paraId="5E143D1A" w14:textId="77777777" w:rsidTr="00A27597">
        <w:trPr>
          <w:trHeight w:val="252"/>
        </w:trPr>
        <w:tc>
          <w:tcPr>
            <w:tcW w:w="2636" w:type="dxa"/>
            <w:tcBorders>
              <w:top w:val="single" w:sz="4" w:space="0" w:color="auto"/>
              <w:left w:val="nil"/>
              <w:bottom w:val="single" w:sz="4" w:space="0" w:color="auto"/>
            </w:tcBorders>
          </w:tcPr>
          <w:p w14:paraId="49F65163" w14:textId="77777777" w:rsidR="00A27597" w:rsidRPr="00CE7679" w:rsidRDefault="00A27597" w:rsidP="00A27597">
            <w:pPr>
              <w:tabs>
                <w:tab w:val="clear" w:pos="567"/>
                <w:tab w:val="left" w:pos="0"/>
              </w:tabs>
              <w:autoSpaceDE w:val="0"/>
              <w:autoSpaceDN w:val="0"/>
              <w:adjustRightInd w:val="0"/>
              <w:spacing w:line="240" w:lineRule="auto"/>
              <w:rPr>
                <w:rFonts w:eastAsia="Calibri"/>
                <w:snapToGrid/>
                <w:szCs w:val="22"/>
              </w:rPr>
            </w:pPr>
            <w:r w:rsidRPr="00CE7679">
              <w:rPr>
                <w:rFonts w:eastAsia="Calibri"/>
                <w:snapToGrid/>
                <w:szCs w:val="22"/>
              </w:rPr>
              <w:t>Konsoliduojantis gydymas II, IV</w:t>
            </w:r>
          </w:p>
        </w:tc>
        <w:tc>
          <w:tcPr>
            <w:tcW w:w="6651" w:type="dxa"/>
            <w:tcBorders>
              <w:top w:val="single" w:sz="4" w:space="0" w:color="auto"/>
              <w:bottom w:val="single" w:sz="4" w:space="0" w:color="auto"/>
              <w:right w:val="nil"/>
            </w:tcBorders>
          </w:tcPr>
          <w:p w14:paraId="099D2354" w14:textId="77777777" w:rsidR="00A27597" w:rsidRPr="00CE7679" w:rsidRDefault="00A27597" w:rsidP="00A27597">
            <w:pPr>
              <w:tabs>
                <w:tab w:val="clear" w:pos="567"/>
                <w:tab w:val="left" w:pos="34"/>
              </w:tabs>
              <w:autoSpaceDE w:val="0"/>
              <w:autoSpaceDN w:val="0"/>
              <w:adjustRightInd w:val="0"/>
              <w:spacing w:line="240" w:lineRule="auto"/>
              <w:ind w:left="34" w:hanging="34"/>
              <w:rPr>
                <w:rFonts w:eastAsia="Calibri"/>
                <w:snapToGrid/>
                <w:szCs w:val="22"/>
              </w:rPr>
            </w:pPr>
            <w:proofErr w:type="spellStart"/>
            <w:r w:rsidRPr="00CE7679">
              <w:rPr>
                <w:rFonts w:eastAsia="Calibri"/>
                <w:snapToGrid/>
                <w:szCs w:val="22"/>
              </w:rPr>
              <w:t>Ara</w:t>
            </w:r>
            <w:proofErr w:type="spellEnd"/>
            <w:r w:rsidRPr="00CE7679">
              <w:rPr>
                <w:rFonts w:eastAsia="Calibri"/>
                <w:snapToGrid/>
                <w:szCs w:val="22"/>
              </w:rPr>
              <w:t>-C 75 mg/m</w:t>
            </w:r>
            <w:r w:rsidRPr="00CE7679">
              <w:rPr>
                <w:rFonts w:eastAsia="Calibri"/>
                <w:snapToGrid/>
                <w:szCs w:val="22"/>
                <w:vertAlign w:val="superscript"/>
              </w:rPr>
              <w:t>2</w:t>
            </w:r>
            <w:r w:rsidRPr="00CE7679">
              <w:rPr>
                <w:rFonts w:eastAsia="Calibri"/>
                <w:snapToGrid/>
                <w:szCs w:val="22"/>
              </w:rPr>
              <w:t xml:space="preserve"> </w:t>
            </w:r>
            <w:proofErr w:type="spellStart"/>
            <w:r w:rsidRPr="00CE7679">
              <w:rPr>
                <w:rFonts w:eastAsia="Calibri"/>
                <w:snapToGrid/>
                <w:szCs w:val="22"/>
              </w:rPr>
              <w:t>i.v</w:t>
            </w:r>
            <w:proofErr w:type="spellEnd"/>
            <w:r w:rsidRPr="00CE7679">
              <w:rPr>
                <w:rFonts w:eastAsia="Calibri"/>
                <w:snapToGrid/>
                <w:szCs w:val="22"/>
              </w:rPr>
              <w:t xml:space="preserve">. (1 valanda), 1-5 dienas; </w:t>
            </w:r>
          </w:p>
          <w:p w14:paraId="6C60F141" w14:textId="77777777" w:rsidR="00A27597" w:rsidRPr="00CE7679" w:rsidRDefault="00A27597" w:rsidP="00A27597">
            <w:pPr>
              <w:tabs>
                <w:tab w:val="clear" w:pos="567"/>
                <w:tab w:val="left" w:pos="34"/>
              </w:tabs>
              <w:autoSpaceDE w:val="0"/>
              <w:autoSpaceDN w:val="0"/>
              <w:adjustRightInd w:val="0"/>
              <w:spacing w:line="240" w:lineRule="auto"/>
              <w:ind w:left="34" w:hanging="34"/>
              <w:rPr>
                <w:rFonts w:eastAsia="Calibri"/>
                <w:snapToGrid/>
                <w:szCs w:val="22"/>
              </w:rPr>
            </w:pPr>
            <w:r w:rsidRPr="00CE7679">
              <w:rPr>
                <w:rFonts w:eastAsia="Calibri"/>
                <w:snapToGrid/>
                <w:szCs w:val="22"/>
              </w:rPr>
              <w:t>VM26 60 mg/m</w:t>
            </w:r>
            <w:r w:rsidRPr="00CE7679">
              <w:rPr>
                <w:rFonts w:eastAsia="Calibri"/>
                <w:snapToGrid/>
                <w:szCs w:val="22"/>
                <w:vertAlign w:val="superscript"/>
              </w:rPr>
              <w:t>2</w:t>
            </w:r>
            <w:r w:rsidRPr="00CE7679">
              <w:rPr>
                <w:rFonts w:eastAsia="Calibri"/>
                <w:snapToGrid/>
                <w:szCs w:val="22"/>
              </w:rPr>
              <w:t xml:space="preserve"> </w:t>
            </w:r>
            <w:proofErr w:type="spellStart"/>
            <w:r w:rsidRPr="00CE7679">
              <w:rPr>
                <w:rFonts w:eastAsia="Calibri"/>
                <w:snapToGrid/>
                <w:szCs w:val="22"/>
              </w:rPr>
              <w:t>i.v</w:t>
            </w:r>
            <w:proofErr w:type="spellEnd"/>
            <w:r w:rsidRPr="00CE7679">
              <w:rPr>
                <w:rFonts w:eastAsia="Calibri"/>
                <w:snapToGrid/>
                <w:szCs w:val="22"/>
              </w:rPr>
              <w:t>. (1 valanda), 1-5 dienas.</w:t>
            </w:r>
          </w:p>
        </w:tc>
      </w:tr>
      <w:tr w:rsidR="00701D61" w:rsidRPr="00CE7679" w14:paraId="4198E5FB" w14:textId="77777777" w:rsidTr="00A27597">
        <w:trPr>
          <w:trHeight w:val="98"/>
        </w:trPr>
        <w:tc>
          <w:tcPr>
            <w:tcW w:w="9287" w:type="dxa"/>
            <w:gridSpan w:val="2"/>
            <w:tcBorders>
              <w:top w:val="single" w:sz="4" w:space="0" w:color="auto"/>
              <w:left w:val="nil"/>
              <w:bottom w:val="single" w:sz="4" w:space="0" w:color="auto"/>
              <w:right w:val="nil"/>
            </w:tcBorders>
          </w:tcPr>
          <w:p w14:paraId="4978FD44" w14:textId="77777777" w:rsidR="00A27597" w:rsidRPr="00CE7679" w:rsidRDefault="00A27597" w:rsidP="00A27597">
            <w:pPr>
              <w:tabs>
                <w:tab w:val="clear" w:pos="567"/>
                <w:tab w:val="left" w:pos="426"/>
              </w:tabs>
              <w:autoSpaceDE w:val="0"/>
              <w:autoSpaceDN w:val="0"/>
              <w:adjustRightInd w:val="0"/>
              <w:spacing w:line="240" w:lineRule="auto"/>
              <w:ind w:left="426" w:hanging="426"/>
              <w:rPr>
                <w:rFonts w:eastAsia="Calibri"/>
                <w:snapToGrid/>
                <w:szCs w:val="22"/>
              </w:rPr>
            </w:pPr>
            <w:r w:rsidRPr="00CE7679">
              <w:rPr>
                <w:rFonts w:eastAsia="Calibri"/>
                <w:b/>
                <w:bCs/>
                <w:snapToGrid/>
                <w:szCs w:val="22"/>
              </w:rPr>
              <w:t>AAU02 tyrimas</w:t>
            </w:r>
          </w:p>
        </w:tc>
      </w:tr>
      <w:tr w:rsidR="00701D61" w:rsidRPr="00CE7679" w14:paraId="33C631BD" w14:textId="77777777" w:rsidTr="00A27597">
        <w:trPr>
          <w:trHeight w:val="640"/>
        </w:trPr>
        <w:tc>
          <w:tcPr>
            <w:tcW w:w="2636" w:type="dxa"/>
            <w:tcBorders>
              <w:top w:val="single" w:sz="4" w:space="0" w:color="auto"/>
              <w:left w:val="nil"/>
              <w:bottom w:val="single" w:sz="4" w:space="0" w:color="auto"/>
            </w:tcBorders>
          </w:tcPr>
          <w:p w14:paraId="21BBA494" w14:textId="77777777" w:rsidR="00A27597" w:rsidRPr="00CE7679" w:rsidRDefault="00A27597" w:rsidP="00A27597">
            <w:pPr>
              <w:tabs>
                <w:tab w:val="clear" w:pos="567"/>
                <w:tab w:val="left" w:pos="0"/>
              </w:tabs>
              <w:autoSpaceDE w:val="0"/>
              <w:autoSpaceDN w:val="0"/>
              <w:adjustRightInd w:val="0"/>
              <w:spacing w:line="240" w:lineRule="auto"/>
              <w:rPr>
                <w:rFonts w:eastAsia="Calibri"/>
                <w:snapToGrid/>
                <w:szCs w:val="22"/>
              </w:rPr>
            </w:pPr>
            <w:r w:rsidRPr="00CE7679">
              <w:rPr>
                <w:rFonts w:eastAsia="Calibri"/>
                <w:snapToGrid/>
                <w:szCs w:val="22"/>
              </w:rPr>
              <w:t>Pradinis gydymas (</w:t>
            </w:r>
            <w:r w:rsidRPr="00CE7679">
              <w:rPr>
                <w:rFonts w:eastAsia="Calibri"/>
                <w:i/>
                <w:snapToGrid/>
                <w:szCs w:val="22"/>
              </w:rPr>
              <w:t xml:space="preserve">de </w:t>
            </w:r>
            <w:proofErr w:type="spellStart"/>
            <w:r w:rsidRPr="00CE7679">
              <w:rPr>
                <w:rFonts w:eastAsia="Calibri"/>
                <w:i/>
                <w:snapToGrid/>
                <w:szCs w:val="22"/>
              </w:rPr>
              <w:t>novo</w:t>
            </w:r>
            <w:proofErr w:type="spellEnd"/>
            <w:r w:rsidRPr="00CE7679">
              <w:rPr>
                <w:rFonts w:eastAsia="Calibri"/>
                <w:snapToGrid/>
                <w:szCs w:val="22"/>
              </w:rPr>
              <w:t xml:space="preserve"> </w:t>
            </w:r>
            <w:proofErr w:type="spellStart"/>
            <w:r w:rsidRPr="00CE7679">
              <w:rPr>
                <w:rFonts w:eastAsia="Calibri"/>
                <w:snapToGrid/>
                <w:szCs w:val="22"/>
              </w:rPr>
              <w:t>Ph</w:t>
            </w:r>
            <w:proofErr w:type="spellEnd"/>
            <w:r w:rsidRPr="00CE7679">
              <w:rPr>
                <w:rFonts w:eastAsia="Calibri"/>
                <w:snapToGrid/>
                <w:szCs w:val="22"/>
              </w:rPr>
              <w:t>+ ŪLL)</w:t>
            </w:r>
          </w:p>
        </w:tc>
        <w:tc>
          <w:tcPr>
            <w:tcW w:w="6651" w:type="dxa"/>
            <w:tcBorders>
              <w:top w:val="single" w:sz="4" w:space="0" w:color="auto"/>
              <w:bottom w:val="single" w:sz="4" w:space="0" w:color="auto"/>
              <w:right w:val="nil"/>
            </w:tcBorders>
          </w:tcPr>
          <w:p w14:paraId="36A585CD" w14:textId="77777777" w:rsidR="00A27597" w:rsidRPr="00CE7679" w:rsidRDefault="00A27597" w:rsidP="00A27597">
            <w:pPr>
              <w:tabs>
                <w:tab w:val="clear" w:pos="567"/>
                <w:tab w:val="left" w:pos="34"/>
              </w:tabs>
              <w:autoSpaceDE w:val="0"/>
              <w:autoSpaceDN w:val="0"/>
              <w:adjustRightInd w:val="0"/>
              <w:spacing w:line="240" w:lineRule="auto"/>
              <w:ind w:left="34"/>
              <w:rPr>
                <w:rFonts w:eastAsia="Calibri"/>
                <w:snapToGrid/>
                <w:szCs w:val="22"/>
              </w:rPr>
            </w:pPr>
            <w:proofErr w:type="spellStart"/>
            <w:r w:rsidRPr="00CE7679">
              <w:rPr>
                <w:rFonts w:eastAsia="Calibri"/>
                <w:snapToGrid/>
                <w:szCs w:val="22"/>
              </w:rPr>
              <w:t>Daunorubicinas</w:t>
            </w:r>
            <w:proofErr w:type="spellEnd"/>
            <w:r w:rsidRPr="00CE7679">
              <w:rPr>
                <w:rFonts w:eastAsia="Calibri"/>
                <w:snapToGrid/>
                <w:szCs w:val="22"/>
              </w:rPr>
              <w:t xml:space="preserve"> 30 mg/m</w:t>
            </w:r>
            <w:r w:rsidRPr="00CE7679">
              <w:rPr>
                <w:rFonts w:eastAsia="Calibri"/>
                <w:snapToGrid/>
                <w:szCs w:val="22"/>
                <w:vertAlign w:val="superscript"/>
              </w:rPr>
              <w:t>2</w:t>
            </w:r>
            <w:r w:rsidRPr="00CE7679">
              <w:rPr>
                <w:rFonts w:eastAsia="Calibri"/>
                <w:snapToGrid/>
                <w:szCs w:val="22"/>
              </w:rPr>
              <w:t xml:space="preserve"> </w:t>
            </w:r>
            <w:proofErr w:type="spellStart"/>
            <w:r w:rsidRPr="00CE7679">
              <w:rPr>
                <w:rFonts w:eastAsia="Calibri"/>
                <w:snapToGrid/>
                <w:szCs w:val="22"/>
              </w:rPr>
              <w:t>i.v</w:t>
            </w:r>
            <w:proofErr w:type="spellEnd"/>
            <w:r w:rsidRPr="00CE7679">
              <w:rPr>
                <w:rFonts w:eastAsia="Calibri"/>
                <w:snapToGrid/>
                <w:szCs w:val="22"/>
              </w:rPr>
              <w:t xml:space="preserve">., 1-3 dienas, 15-16 dienas; </w:t>
            </w:r>
          </w:p>
          <w:p w14:paraId="070AE09E" w14:textId="77777777" w:rsidR="00A27597" w:rsidRPr="00CE7679" w:rsidRDefault="00A27597" w:rsidP="00A27597">
            <w:pPr>
              <w:tabs>
                <w:tab w:val="clear" w:pos="567"/>
                <w:tab w:val="left" w:pos="34"/>
              </w:tabs>
              <w:autoSpaceDE w:val="0"/>
              <w:autoSpaceDN w:val="0"/>
              <w:adjustRightInd w:val="0"/>
              <w:spacing w:line="240" w:lineRule="auto"/>
              <w:ind w:left="34"/>
              <w:rPr>
                <w:rFonts w:eastAsia="Calibri"/>
                <w:snapToGrid/>
                <w:szCs w:val="22"/>
              </w:rPr>
            </w:pPr>
            <w:r w:rsidRPr="00CE7679">
              <w:rPr>
                <w:rFonts w:eastAsia="Calibri"/>
                <w:snapToGrid/>
                <w:szCs w:val="22"/>
              </w:rPr>
              <w:t xml:space="preserve">VCR bendra dozė 2 mg </w:t>
            </w:r>
            <w:proofErr w:type="spellStart"/>
            <w:r w:rsidRPr="00CE7679">
              <w:rPr>
                <w:rFonts w:eastAsia="Calibri"/>
                <w:snapToGrid/>
                <w:szCs w:val="22"/>
              </w:rPr>
              <w:t>i.v</w:t>
            </w:r>
            <w:proofErr w:type="spellEnd"/>
            <w:r w:rsidRPr="00CE7679">
              <w:rPr>
                <w:rFonts w:eastAsia="Calibri"/>
                <w:snapToGrid/>
                <w:szCs w:val="22"/>
              </w:rPr>
              <w:t xml:space="preserve">., 1, 8, 15, 22 dieną; </w:t>
            </w:r>
          </w:p>
          <w:p w14:paraId="4757CA64" w14:textId="77777777" w:rsidR="00A27597" w:rsidRPr="00CE7679" w:rsidRDefault="00A27597" w:rsidP="00A27597">
            <w:pPr>
              <w:tabs>
                <w:tab w:val="clear" w:pos="567"/>
                <w:tab w:val="left" w:pos="34"/>
              </w:tabs>
              <w:autoSpaceDE w:val="0"/>
              <w:autoSpaceDN w:val="0"/>
              <w:adjustRightInd w:val="0"/>
              <w:spacing w:line="240" w:lineRule="auto"/>
              <w:ind w:left="34"/>
              <w:rPr>
                <w:rFonts w:eastAsia="Calibri"/>
                <w:snapToGrid/>
                <w:szCs w:val="22"/>
              </w:rPr>
            </w:pPr>
            <w:r w:rsidRPr="00CE7679">
              <w:rPr>
                <w:rFonts w:eastAsia="Calibri"/>
                <w:snapToGrid/>
                <w:szCs w:val="22"/>
              </w:rPr>
              <w:t>CP 750 mg/m</w:t>
            </w:r>
            <w:r w:rsidRPr="00CE7679">
              <w:rPr>
                <w:rFonts w:eastAsia="Calibri"/>
                <w:snapToGrid/>
                <w:szCs w:val="22"/>
                <w:vertAlign w:val="superscript"/>
              </w:rPr>
              <w:t>2</w:t>
            </w:r>
            <w:r w:rsidRPr="00CE7679">
              <w:rPr>
                <w:rFonts w:eastAsia="Calibri"/>
                <w:snapToGrid/>
                <w:szCs w:val="22"/>
              </w:rPr>
              <w:t xml:space="preserve"> </w:t>
            </w:r>
            <w:proofErr w:type="spellStart"/>
            <w:r w:rsidRPr="00CE7679">
              <w:rPr>
                <w:rFonts w:eastAsia="Calibri"/>
                <w:snapToGrid/>
                <w:szCs w:val="22"/>
              </w:rPr>
              <w:t>i.v</w:t>
            </w:r>
            <w:proofErr w:type="spellEnd"/>
            <w:r w:rsidRPr="00CE7679">
              <w:rPr>
                <w:rFonts w:eastAsia="Calibri"/>
                <w:snapToGrid/>
                <w:szCs w:val="22"/>
              </w:rPr>
              <w:t xml:space="preserve">., 1, 8 dieną; </w:t>
            </w:r>
          </w:p>
          <w:p w14:paraId="0DFC32A0" w14:textId="77777777" w:rsidR="00A27597" w:rsidRPr="00CE7679" w:rsidRDefault="00A27597" w:rsidP="00A27597">
            <w:pPr>
              <w:tabs>
                <w:tab w:val="clear" w:pos="567"/>
                <w:tab w:val="left" w:pos="34"/>
              </w:tabs>
              <w:autoSpaceDE w:val="0"/>
              <w:autoSpaceDN w:val="0"/>
              <w:adjustRightInd w:val="0"/>
              <w:spacing w:line="240" w:lineRule="auto"/>
              <w:ind w:left="34"/>
              <w:rPr>
                <w:rFonts w:eastAsia="Calibri"/>
                <w:snapToGrid/>
                <w:szCs w:val="22"/>
              </w:rPr>
            </w:pPr>
            <w:r w:rsidRPr="00CE7679">
              <w:rPr>
                <w:rFonts w:eastAsia="Calibri"/>
                <w:snapToGrid/>
                <w:szCs w:val="22"/>
              </w:rPr>
              <w:t>gerti prednizoloną 60 mg/m</w:t>
            </w:r>
            <w:r w:rsidRPr="00CE7679">
              <w:rPr>
                <w:rFonts w:eastAsia="Calibri"/>
                <w:snapToGrid/>
                <w:szCs w:val="22"/>
                <w:vertAlign w:val="superscript"/>
              </w:rPr>
              <w:t>2</w:t>
            </w:r>
            <w:r w:rsidRPr="00CE7679">
              <w:rPr>
                <w:rFonts w:eastAsia="Calibri"/>
                <w:snapToGrid/>
                <w:szCs w:val="22"/>
              </w:rPr>
              <w:t xml:space="preserve">, 1-7, 15-21 dienas; </w:t>
            </w:r>
          </w:p>
          <w:p w14:paraId="1F2EE4DE" w14:textId="77777777" w:rsidR="00A27597" w:rsidRPr="00CE7679" w:rsidRDefault="00A27597" w:rsidP="00A27597">
            <w:pPr>
              <w:tabs>
                <w:tab w:val="clear" w:pos="567"/>
                <w:tab w:val="left" w:pos="34"/>
              </w:tabs>
              <w:autoSpaceDE w:val="0"/>
              <w:autoSpaceDN w:val="0"/>
              <w:adjustRightInd w:val="0"/>
              <w:spacing w:line="240" w:lineRule="auto"/>
              <w:ind w:left="34"/>
              <w:rPr>
                <w:rFonts w:eastAsia="Calibri"/>
                <w:snapToGrid/>
                <w:szCs w:val="22"/>
              </w:rPr>
            </w:pPr>
            <w:r w:rsidRPr="00CE7679">
              <w:rPr>
                <w:rFonts w:eastAsia="Calibri"/>
                <w:snapToGrid/>
                <w:szCs w:val="22"/>
              </w:rPr>
              <w:t>gerti IDA 9 mg/m</w:t>
            </w:r>
            <w:r w:rsidRPr="00CE7679">
              <w:rPr>
                <w:rFonts w:eastAsia="Calibri"/>
                <w:snapToGrid/>
                <w:szCs w:val="22"/>
                <w:vertAlign w:val="superscript"/>
              </w:rPr>
              <w:t>2</w:t>
            </w:r>
            <w:r w:rsidRPr="00CE7679">
              <w:rPr>
                <w:rFonts w:eastAsia="Calibri"/>
                <w:snapToGrid/>
                <w:szCs w:val="22"/>
              </w:rPr>
              <w:t xml:space="preserve">, 1-28 dienas; </w:t>
            </w:r>
          </w:p>
          <w:p w14:paraId="650EC9B9" w14:textId="77777777" w:rsidR="00A27597" w:rsidRPr="00CE7679" w:rsidRDefault="00A27597" w:rsidP="00A27597">
            <w:pPr>
              <w:tabs>
                <w:tab w:val="clear" w:pos="567"/>
                <w:tab w:val="left" w:pos="34"/>
              </w:tabs>
              <w:autoSpaceDE w:val="0"/>
              <w:autoSpaceDN w:val="0"/>
              <w:adjustRightInd w:val="0"/>
              <w:spacing w:line="240" w:lineRule="auto"/>
              <w:ind w:left="34"/>
              <w:rPr>
                <w:rFonts w:eastAsia="Calibri"/>
                <w:snapToGrid/>
                <w:szCs w:val="22"/>
              </w:rPr>
            </w:pPr>
            <w:r w:rsidRPr="00CE7679">
              <w:rPr>
                <w:rFonts w:eastAsia="Calibri"/>
                <w:snapToGrid/>
                <w:szCs w:val="22"/>
              </w:rPr>
              <w:t xml:space="preserve">MTX 15 mg </w:t>
            </w:r>
            <w:proofErr w:type="spellStart"/>
            <w:r w:rsidRPr="00CE7679">
              <w:rPr>
                <w:rFonts w:eastAsia="Calibri"/>
                <w:snapToGrid/>
                <w:szCs w:val="22"/>
              </w:rPr>
              <w:t>intratekaliai</w:t>
            </w:r>
            <w:proofErr w:type="spellEnd"/>
            <w:r w:rsidRPr="00CE7679">
              <w:rPr>
                <w:rFonts w:eastAsia="Calibri"/>
                <w:snapToGrid/>
                <w:szCs w:val="22"/>
              </w:rPr>
              <w:t xml:space="preserve">, 1, 8, 15, 22 dieną; </w:t>
            </w:r>
          </w:p>
          <w:p w14:paraId="035DBD70" w14:textId="77777777" w:rsidR="00A27597" w:rsidRPr="00CE7679" w:rsidRDefault="00A27597" w:rsidP="00A27597">
            <w:pPr>
              <w:tabs>
                <w:tab w:val="clear" w:pos="567"/>
                <w:tab w:val="left" w:pos="34"/>
              </w:tabs>
              <w:autoSpaceDE w:val="0"/>
              <w:autoSpaceDN w:val="0"/>
              <w:adjustRightInd w:val="0"/>
              <w:spacing w:line="240" w:lineRule="auto"/>
              <w:ind w:left="34"/>
              <w:rPr>
                <w:rFonts w:eastAsia="Calibri"/>
                <w:snapToGrid/>
                <w:szCs w:val="22"/>
              </w:rPr>
            </w:pPr>
            <w:proofErr w:type="spellStart"/>
            <w:r w:rsidRPr="00CE7679">
              <w:rPr>
                <w:rFonts w:eastAsia="Calibri"/>
                <w:snapToGrid/>
                <w:szCs w:val="22"/>
              </w:rPr>
              <w:t>Ara</w:t>
            </w:r>
            <w:proofErr w:type="spellEnd"/>
            <w:r w:rsidRPr="00CE7679">
              <w:rPr>
                <w:rFonts w:eastAsia="Calibri"/>
                <w:snapToGrid/>
                <w:szCs w:val="22"/>
              </w:rPr>
              <w:t xml:space="preserve">-C 40 mg </w:t>
            </w:r>
            <w:proofErr w:type="spellStart"/>
            <w:r w:rsidRPr="00CE7679">
              <w:rPr>
                <w:rFonts w:eastAsia="Calibri"/>
                <w:snapToGrid/>
                <w:szCs w:val="22"/>
              </w:rPr>
              <w:t>intratekaliai</w:t>
            </w:r>
            <w:proofErr w:type="spellEnd"/>
            <w:r w:rsidRPr="00CE7679">
              <w:rPr>
                <w:rFonts w:eastAsia="Calibri"/>
                <w:snapToGrid/>
                <w:szCs w:val="22"/>
              </w:rPr>
              <w:t xml:space="preserve">, 1, 8, 15, 22 dieną; </w:t>
            </w:r>
          </w:p>
          <w:p w14:paraId="3E39357F" w14:textId="77777777" w:rsidR="00A27597" w:rsidRPr="00CE7679" w:rsidRDefault="00A27597" w:rsidP="00A27597">
            <w:pPr>
              <w:tabs>
                <w:tab w:val="clear" w:pos="567"/>
                <w:tab w:val="left" w:pos="34"/>
              </w:tabs>
              <w:autoSpaceDE w:val="0"/>
              <w:autoSpaceDN w:val="0"/>
              <w:adjustRightInd w:val="0"/>
              <w:spacing w:line="240" w:lineRule="auto"/>
              <w:ind w:left="34"/>
              <w:rPr>
                <w:rFonts w:eastAsia="Calibri"/>
                <w:snapToGrid/>
                <w:szCs w:val="22"/>
              </w:rPr>
            </w:pPr>
            <w:proofErr w:type="spellStart"/>
            <w:r w:rsidRPr="00CE7679">
              <w:rPr>
                <w:rFonts w:eastAsia="Calibri"/>
                <w:snapToGrid/>
                <w:szCs w:val="22"/>
              </w:rPr>
              <w:t>metilprednizolonas</w:t>
            </w:r>
            <w:proofErr w:type="spellEnd"/>
            <w:r w:rsidRPr="00CE7679">
              <w:rPr>
                <w:rFonts w:eastAsia="Calibri"/>
                <w:snapToGrid/>
                <w:szCs w:val="22"/>
              </w:rPr>
              <w:t xml:space="preserve"> 40 mg </w:t>
            </w:r>
            <w:proofErr w:type="spellStart"/>
            <w:r w:rsidRPr="00CE7679">
              <w:rPr>
                <w:rFonts w:eastAsia="Calibri"/>
                <w:snapToGrid/>
                <w:szCs w:val="22"/>
              </w:rPr>
              <w:t>intratekaliai</w:t>
            </w:r>
            <w:proofErr w:type="spellEnd"/>
            <w:r w:rsidRPr="00CE7679">
              <w:rPr>
                <w:rFonts w:eastAsia="Calibri"/>
                <w:snapToGrid/>
                <w:szCs w:val="22"/>
              </w:rPr>
              <w:t>, 1, 8, 15, 22 dieną.</w:t>
            </w:r>
          </w:p>
        </w:tc>
      </w:tr>
      <w:tr w:rsidR="00701D61" w:rsidRPr="00CE7679" w14:paraId="51717117" w14:textId="77777777" w:rsidTr="00A27597">
        <w:trPr>
          <w:trHeight w:val="381"/>
        </w:trPr>
        <w:tc>
          <w:tcPr>
            <w:tcW w:w="2636" w:type="dxa"/>
            <w:tcBorders>
              <w:top w:val="single" w:sz="4" w:space="0" w:color="auto"/>
              <w:left w:val="nil"/>
              <w:bottom w:val="single" w:sz="4" w:space="0" w:color="auto"/>
            </w:tcBorders>
          </w:tcPr>
          <w:p w14:paraId="556EE904" w14:textId="77777777" w:rsidR="00A27597" w:rsidRPr="00CE7679" w:rsidRDefault="00A27597" w:rsidP="00A27597">
            <w:pPr>
              <w:tabs>
                <w:tab w:val="clear" w:pos="567"/>
                <w:tab w:val="left" w:pos="0"/>
              </w:tabs>
              <w:autoSpaceDE w:val="0"/>
              <w:autoSpaceDN w:val="0"/>
              <w:adjustRightInd w:val="0"/>
              <w:spacing w:line="240" w:lineRule="auto"/>
              <w:rPr>
                <w:rFonts w:eastAsia="Calibri"/>
                <w:snapToGrid/>
                <w:szCs w:val="22"/>
              </w:rPr>
            </w:pPr>
            <w:r w:rsidRPr="00CE7679">
              <w:rPr>
                <w:rFonts w:eastAsia="Calibri"/>
                <w:snapToGrid/>
                <w:szCs w:val="22"/>
              </w:rPr>
              <w:t>Konsoliduojantis gydymas (</w:t>
            </w:r>
            <w:r w:rsidRPr="00CE7679">
              <w:rPr>
                <w:rFonts w:eastAsia="Calibri"/>
                <w:i/>
                <w:snapToGrid/>
                <w:szCs w:val="22"/>
              </w:rPr>
              <w:t xml:space="preserve">de </w:t>
            </w:r>
            <w:proofErr w:type="spellStart"/>
            <w:r w:rsidRPr="00CE7679">
              <w:rPr>
                <w:rFonts w:eastAsia="Calibri"/>
                <w:i/>
                <w:snapToGrid/>
                <w:szCs w:val="22"/>
              </w:rPr>
              <w:t>novo</w:t>
            </w:r>
            <w:proofErr w:type="spellEnd"/>
            <w:r w:rsidRPr="00CE7679">
              <w:rPr>
                <w:rFonts w:eastAsia="Calibri"/>
                <w:snapToGrid/>
                <w:szCs w:val="22"/>
              </w:rPr>
              <w:t xml:space="preserve"> </w:t>
            </w:r>
            <w:proofErr w:type="spellStart"/>
            <w:r w:rsidRPr="00CE7679">
              <w:rPr>
                <w:rFonts w:eastAsia="Calibri"/>
                <w:snapToGrid/>
                <w:szCs w:val="22"/>
              </w:rPr>
              <w:t>Ph</w:t>
            </w:r>
            <w:proofErr w:type="spellEnd"/>
            <w:r w:rsidRPr="00CE7679">
              <w:rPr>
                <w:rFonts w:eastAsia="Calibri"/>
                <w:snapToGrid/>
                <w:szCs w:val="22"/>
              </w:rPr>
              <w:t>+ ŪLL)</w:t>
            </w:r>
          </w:p>
        </w:tc>
        <w:tc>
          <w:tcPr>
            <w:tcW w:w="6651" w:type="dxa"/>
            <w:tcBorders>
              <w:top w:val="single" w:sz="4" w:space="0" w:color="auto"/>
              <w:bottom w:val="single" w:sz="4" w:space="0" w:color="auto"/>
              <w:right w:val="nil"/>
            </w:tcBorders>
          </w:tcPr>
          <w:p w14:paraId="1AEE11A0" w14:textId="77777777" w:rsidR="00A27597" w:rsidRPr="00CE7679" w:rsidRDefault="00A27597" w:rsidP="00A27597">
            <w:pPr>
              <w:tabs>
                <w:tab w:val="clear" w:pos="567"/>
                <w:tab w:val="left" w:pos="34"/>
              </w:tabs>
              <w:autoSpaceDE w:val="0"/>
              <w:autoSpaceDN w:val="0"/>
              <w:adjustRightInd w:val="0"/>
              <w:spacing w:line="240" w:lineRule="auto"/>
              <w:ind w:left="34"/>
              <w:rPr>
                <w:rFonts w:eastAsia="Calibri"/>
                <w:snapToGrid/>
                <w:szCs w:val="22"/>
              </w:rPr>
            </w:pPr>
            <w:proofErr w:type="spellStart"/>
            <w:r w:rsidRPr="00CE7679">
              <w:rPr>
                <w:rFonts w:eastAsia="Calibri"/>
                <w:snapToGrid/>
                <w:szCs w:val="22"/>
              </w:rPr>
              <w:t>Ara</w:t>
            </w:r>
            <w:proofErr w:type="spellEnd"/>
            <w:r w:rsidRPr="00CE7679">
              <w:rPr>
                <w:rFonts w:eastAsia="Calibri"/>
                <w:snapToGrid/>
                <w:szCs w:val="22"/>
              </w:rPr>
              <w:t>-C 1 000 mg/m</w:t>
            </w:r>
            <w:r w:rsidRPr="00CE7679">
              <w:rPr>
                <w:rFonts w:eastAsia="Calibri"/>
                <w:snapToGrid/>
                <w:szCs w:val="22"/>
                <w:vertAlign w:val="superscript"/>
              </w:rPr>
              <w:t>2</w:t>
            </w:r>
            <w:r w:rsidRPr="00CE7679">
              <w:rPr>
                <w:rFonts w:eastAsia="Calibri"/>
                <w:snapToGrid/>
                <w:szCs w:val="22"/>
              </w:rPr>
              <w:t xml:space="preserve"> /12 h </w:t>
            </w:r>
            <w:proofErr w:type="spellStart"/>
            <w:r w:rsidRPr="00CE7679">
              <w:rPr>
                <w:rFonts w:eastAsia="Calibri"/>
                <w:snapToGrid/>
                <w:szCs w:val="22"/>
              </w:rPr>
              <w:t>i.v</w:t>
            </w:r>
            <w:proofErr w:type="spellEnd"/>
            <w:r w:rsidRPr="00CE7679">
              <w:rPr>
                <w:rFonts w:eastAsia="Calibri"/>
                <w:snapToGrid/>
                <w:szCs w:val="22"/>
              </w:rPr>
              <w:t xml:space="preserve">.(3 valandos), 1-4 dienas; </w:t>
            </w:r>
          </w:p>
          <w:p w14:paraId="3A26F26E" w14:textId="77777777" w:rsidR="00A27597" w:rsidRPr="00CE7679" w:rsidRDefault="00A27597" w:rsidP="00A27597">
            <w:pPr>
              <w:tabs>
                <w:tab w:val="clear" w:pos="567"/>
                <w:tab w:val="left" w:pos="34"/>
              </w:tabs>
              <w:autoSpaceDE w:val="0"/>
              <w:autoSpaceDN w:val="0"/>
              <w:adjustRightInd w:val="0"/>
              <w:spacing w:line="240" w:lineRule="auto"/>
              <w:ind w:left="34"/>
              <w:rPr>
                <w:rFonts w:eastAsia="Calibri"/>
                <w:snapToGrid/>
                <w:szCs w:val="22"/>
              </w:rPr>
            </w:pPr>
            <w:proofErr w:type="spellStart"/>
            <w:r w:rsidRPr="00CE7679">
              <w:rPr>
                <w:rFonts w:eastAsia="Calibri"/>
                <w:snapToGrid/>
                <w:szCs w:val="22"/>
              </w:rPr>
              <w:t>mitoksantronas</w:t>
            </w:r>
            <w:proofErr w:type="spellEnd"/>
            <w:r w:rsidRPr="00CE7679">
              <w:rPr>
                <w:rFonts w:eastAsia="Calibri"/>
                <w:snapToGrid/>
                <w:szCs w:val="22"/>
              </w:rPr>
              <w:t xml:space="preserve"> 10 mg/m</w:t>
            </w:r>
            <w:r w:rsidRPr="00CE7679">
              <w:rPr>
                <w:rFonts w:eastAsia="Calibri"/>
                <w:snapToGrid/>
                <w:szCs w:val="22"/>
                <w:vertAlign w:val="superscript"/>
              </w:rPr>
              <w:t>2</w:t>
            </w:r>
            <w:r w:rsidRPr="00CE7679">
              <w:rPr>
                <w:rFonts w:eastAsia="Calibri"/>
                <w:snapToGrid/>
                <w:szCs w:val="22"/>
              </w:rPr>
              <w:t xml:space="preserve"> </w:t>
            </w:r>
            <w:proofErr w:type="spellStart"/>
            <w:r w:rsidRPr="00CE7679">
              <w:rPr>
                <w:rFonts w:eastAsia="Calibri"/>
                <w:snapToGrid/>
                <w:szCs w:val="22"/>
              </w:rPr>
              <w:t>i.v</w:t>
            </w:r>
            <w:proofErr w:type="spellEnd"/>
            <w:r w:rsidRPr="00CE7679">
              <w:rPr>
                <w:rFonts w:eastAsia="Calibri"/>
                <w:snapToGrid/>
                <w:szCs w:val="22"/>
              </w:rPr>
              <w:t xml:space="preserve">. 3-5 dienas; </w:t>
            </w:r>
          </w:p>
          <w:p w14:paraId="032F2E7F" w14:textId="77777777" w:rsidR="00A27597" w:rsidRPr="00CE7679" w:rsidRDefault="00A27597" w:rsidP="00A27597">
            <w:pPr>
              <w:tabs>
                <w:tab w:val="clear" w:pos="567"/>
                <w:tab w:val="left" w:pos="34"/>
              </w:tabs>
              <w:autoSpaceDE w:val="0"/>
              <w:autoSpaceDN w:val="0"/>
              <w:adjustRightInd w:val="0"/>
              <w:spacing w:line="240" w:lineRule="auto"/>
              <w:ind w:left="34"/>
              <w:rPr>
                <w:rFonts w:eastAsia="Calibri"/>
                <w:snapToGrid/>
                <w:szCs w:val="22"/>
              </w:rPr>
            </w:pPr>
            <w:r w:rsidRPr="00CE7679">
              <w:rPr>
                <w:rFonts w:eastAsia="Calibri"/>
                <w:snapToGrid/>
                <w:szCs w:val="22"/>
              </w:rPr>
              <w:t xml:space="preserve">MTX 15 mg </w:t>
            </w:r>
            <w:proofErr w:type="spellStart"/>
            <w:r w:rsidRPr="00CE7679">
              <w:rPr>
                <w:rFonts w:eastAsia="Calibri"/>
                <w:snapToGrid/>
                <w:szCs w:val="22"/>
              </w:rPr>
              <w:t>intratekaliai</w:t>
            </w:r>
            <w:proofErr w:type="spellEnd"/>
            <w:r w:rsidRPr="00CE7679">
              <w:rPr>
                <w:rFonts w:eastAsia="Calibri"/>
                <w:snapToGrid/>
                <w:szCs w:val="22"/>
              </w:rPr>
              <w:t xml:space="preserve">, 1 dieną; </w:t>
            </w:r>
          </w:p>
          <w:p w14:paraId="44176B05" w14:textId="77777777" w:rsidR="00A27597" w:rsidRPr="00CE7679" w:rsidRDefault="00A27597" w:rsidP="00A27597">
            <w:pPr>
              <w:tabs>
                <w:tab w:val="clear" w:pos="567"/>
                <w:tab w:val="left" w:pos="34"/>
              </w:tabs>
              <w:autoSpaceDE w:val="0"/>
              <w:autoSpaceDN w:val="0"/>
              <w:adjustRightInd w:val="0"/>
              <w:spacing w:line="240" w:lineRule="auto"/>
              <w:ind w:left="34"/>
              <w:rPr>
                <w:rFonts w:eastAsia="Calibri"/>
                <w:snapToGrid/>
                <w:szCs w:val="22"/>
              </w:rPr>
            </w:pPr>
            <w:proofErr w:type="spellStart"/>
            <w:r w:rsidRPr="00CE7679">
              <w:rPr>
                <w:rFonts w:eastAsia="Calibri"/>
                <w:snapToGrid/>
                <w:szCs w:val="22"/>
              </w:rPr>
              <w:t>metilprednizolonas</w:t>
            </w:r>
            <w:proofErr w:type="spellEnd"/>
            <w:r w:rsidRPr="00CE7679">
              <w:rPr>
                <w:rFonts w:eastAsia="Calibri"/>
                <w:snapToGrid/>
                <w:szCs w:val="22"/>
              </w:rPr>
              <w:t xml:space="preserve"> 40 mg </w:t>
            </w:r>
            <w:proofErr w:type="spellStart"/>
            <w:r w:rsidRPr="00CE7679">
              <w:rPr>
                <w:rFonts w:eastAsia="Calibri"/>
                <w:snapToGrid/>
                <w:szCs w:val="22"/>
              </w:rPr>
              <w:t>intratekaliai</w:t>
            </w:r>
            <w:proofErr w:type="spellEnd"/>
            <w:r w:rsidRPr="00CE7679">
              <w:rPr>
                <w:rFonts w:eastAsia="Calibri"/>
                <w:snapToGrid/>
                <w:szCs w:val="22"/>
              </w:rPr>
              <w:t>, 1 dieną.</w:t>
            </w:r>
          </w:p>
        </w:tc>
      </w:tr>
      <w:tr w:rsidR="00701D61" w:rsidRPr="00CE7679" w14:paraId="5D03021E" w14:textId="77777777" w:rsidTr="00A27597">
        <w:trPr>
          <w:trHeight w:val="98"/>
        </w:trPr>
        <w:tc>
          <w:tcPr>
            <w:tcW w:w="9287" w:type="dxa"/>
            <w:gridSpan w:val="2"/>
            <w:tcBorders>
              <w:top w:val="single" w:sz="4" w:space="0" w:color="auto"/>
              <w:left w:val="nil"/>
              <w:bottom w:val="single" w:sz="4" w:space="0" w:color="auto"/>
              <w:right w:val="nil"/>
            </w:tcBorders>
          </w:tcPr>
          <w:p w14:paraId="080C5AC6" w14:textId="77777777" w:rsidR="00A27597" w:rsidRPr="00CE7679" w:rsidRDefault="00A27597" w:rsidP="00A27597">
            <w:pPr>
              <w:tabs>
                <w:tab w:val="clear" w:pos="567"/>
                <w:tab w:val="left" w:pos="426"/>
              </w:tabs>
              <w:autoSpaceDE w:val="0"/>
              <w:autoSpaceDN w:val="0"/>
              <w:adjustRightInd w:val="0"/>
              <w:spacing w:line="240" w:lineRule="auto"/>
              <w:ind w:left="426" w:hanging="426"/>
              <w:rPr>
                <w:rFonts w:eastAsia="Calibri"/>
                <w:snapToGrid/>
                <w:szCs w:val="22"/>
              </w:rPr>
            </w:pPr>
            <w:r w:rsidRPr="00CE7679">
              <w:rPr>
                <w:rFonts w:eastAsia="Calibri"/>
                <w:b/>
                <w:bCs/>
                <w:snapToGrid/>
                <w:szCs w:val="22"/>
              </w:rPr>
              <w:t>ADE04 tyrimas</w:t>
            </w:r>
          </w:p>
        </w:tc>
      </w:tr>
      <w:tr w:rsidR="00701D61" w:rsidRPr="00CE7679" w14:paraId="452E215F" w14:textId="77777777" w:rsidTr="00A27597">
        <w:trPr>
          <w:trHeight w:val="252"/>
        </w:trPr>
        <w:tc>
          <w:tcPr>
            <w:tcW w:w="2636" w:type="dxa"/>
            <w:tcBorders>
              <w:top w:val="single" w:sz="4" w:space="0" w:color="auto"/>
              <w:left w:val="nil"/>
              <w:bottom w:val="single" w:sz="4" w:space="0" w:color="auto"/>
            </w:tcBorders>
          </w:tcPr>
          <w:p w14:paraId="57752ED6" w14:textId="77777777" w:rsidR="00A27597" w:rsidRPr="00CE7679" w:rsidRDefault="00A27597" w:rsidP="00A27597">
            <w:pPr>
              <w:tabs>
                <w:tab w:val="clear" w:pos="567"/>
                <w:tab w:val="left" w:pos="426"/>
              </w:tabs>
              <w:autoSpaceDE w:val="0"/>
              <w:autoSpaceDN w:val="0"/>
              <w:adjustRightInd w:val="0"/>
              <w:spacing w:line="240" w:lineRule="auto"/>
              <w:ind w:left="426" w:hanging="426"/>
              <w:rPr>
                <w:rFonts w:eastAsia="Calibri"/>
                <w:snapToGrid/>
                <w:szCs w:val="22"/>
              </w:rPr>
            </w:pPr>
            <w:proofErr w:type="spellStart"/>
            <w:r w:rsidRPr="00CE7679">
              <w:rPr>
                <w:rFonts w:eastAsia="Calibri"/>
                <w:snapToGrid/>
                <w:szCs w:val="22"/>
              </w:rPr>
              <w:t>Prefazė</w:t>
            </w:r>
            <w:proofErr w:type="spellEnd"/>
          </w:p>
        </w:tc>
        <w:tc>
          <w:tcPr>
            <w:tcW w:w="6651" w:type="dxa"/>
            <w:tcBorders>
              <w:top w:val="single" w:sz="4" w:space="0" w:color="auto"/>
              <w:bottom w:val="single" w:sz="4" w:space="0" w:color="auto"/>
              <w:right w:val="nil"/>
            </w:tcBorders>
          </w:tcPr>
          <w:p w14:paraId="45929DD6" w14:textId="77777777" w:rsidR="00A27597" w:rsidRPr="00CE7679" w:rsidRDefault="00A27597" w:rsidP="00A27597">
            <w:pPr>
              <w:tabs>
                <w:tab w:val="clear" w:pos="567"/>
                <w:tab w:val="left" w:pos="34"/>
              </w:tabs>
              <w:autoSpaceDE w:val="0"/>
              <w:autoSpaceDN w:val="0"/>
              <w:adjustRightInd w:val="0"/>
              <w:spacing w:line="240" w:lineRule="auto"/>
              <w:ind w:left="34" w:hanging="34"/>
              <w:rPr>
                <w:rFonts w:eastAsia="Calibri"/>
                <w:snapToGrid/>
                <w:szCs w:val="22"/>
              </w:rPr>
            </w:pPr>
            <w:r w:rsidRPr="00CE7679">
              <w:rPr>
                <w:rFonts w:eastAsia="Calibri"/>
                <w:snapToGrid/>
                <w:szCs w:val="22"/>
              </w:rPr>
              <w:t>Gerti DEX 10 mg/m</w:t>
            </w:r>
            <w:r w:rsidRPr="00CE7679">
              <w:rPr>
                <w:rFonts w:eastAsia="Calibri"/>
                <w:snapToGrid/>
                <w:szCs w:val="22"/>
                <w:vertAlign w:val="superscript"/>
              </w:rPr>
              <w:t>2</w:t>
            </w:r>
            <w:r w:rsidRPr="00CE7679">
              <w:rPr>
                <w:rFonts w:eastAsia="Calibri"/>
                <w:snapToGrid/>
                <w:szCs w:val="22"/>
              </w:rPr>
              <w:t xml:space="preserve">, 1-5 dienas; </w:t>
            </w:r>
          </w:p>
          <w:p w14:paraId="24BDE945" w14:textId="77777777" w:rsidR="00A27597" w:rsidRPr="00CE7679" w:rsidRDefault="00A27597" w:rsidP="00A27597">
            <w:pPr>
              <w:tabs>
                <w:tab w:val="clear" w:pos="567"/>
                <w:tab w:val="left" w:pos="34"/>
              </w:tabs>
              <w:autoSpaceDE w:val="0"/>
              <w:autoSpaceDN w:val="0"/>
              <w:adjustRightInd w:val="0"/>
              <w:spacing w:line="240" w:lineRule="auto"/>
              <w:ind w:left="34" w:hanging="34"/>
              <w:rPr>
                <w:rFonts w:eastAsia="Calibri"/>
                <w:snapToGrid/>
                <w:szCs w:val="22"/>
              </w:rPr>
            </w:pPr>
            <w:r w:rsidRPr="00CE7679">
              <w:rPr>
                <w:rFonts w:eastAsia="Calibri"/>
                <w:snapToGrid/>
                <w:szCs w:val="22"/>
              </w:rPr>
              <w:t>CP 200 mg/m</w:t>
            </w:r>
            <w:r w:rsidRPr="00CE7679">
              <w:rPr>
                <w:rFonts w:eastAsia="Calibri"/>
                <w:snapToGrid/>
                <w:szCs w:val="22"/>
                <w:vertAlign w:val="superscript"/>
              </w:rPr>
              <w:t>2</w:t>
            </w:r>
            <w:r w:rsidRPr="00CE7679">
              <w:rPr>
                <w:rFonts w:eastAsia="Calibri"/>
                <w:snapToGrid/>
                <w:szCs w:val="22"/>
              </w:rPr>
              <w:t xml:space="preserve"> </w:t>
            </w:r>
            <w:proofErr w:type="spellStart"/>
            <w:r w:rsidRPr="00CE7679">
              <w:rPr>
                <w:rFonts w:eastAsia="Calibri"/>
                <w:snapToGrid/>
                <w:szCs w:val="22"/>
              </w:rPr>
              <w:t>i.v</w:t>
            </w:r>
            <w:proofErr w:type="spellEnd"/>
            <w:r w:rsidRPr="00CE7679">
              <w:rPr>
                <w:rFonts w:eastAsia="Calibri"/>
                <w:snapToGrid/>
                <w:szCs w:val="22"/>
              </w:rPr>
              <w:t xml:space="preserve">., 3-5 dienas; </w:t>
            </w:r>
          </w:p>
          <w:p w14:paraId="24AABD55" w14:textId="77777777" w:rsidR="00A27597" w:rsidRPr="00CE7679" w:rsidRDefault="00A27597" w:rsidP="00A27597">
            <w:pPr>
              <w:tabs>
                <w:tab w:val="clear" w:pos="567"/>
                <w:tab w:val="left" w:pos="34"/>
              </w:tabs>
              <w:autoSpaceDE w:val="0"/>
              <w:autoSpaceDN w:val="0"/>
              <w:adjustRightInd w:val="0"/>
              <w:spacing w:line="240" w:lineRule="auto"/>
              <w:ind w:left="34" w:hanging="34"/>
              <w:rPr>
                <w:rFonts w:eastAsia="Calibri"/>
                <w:snapToGrid/>
                <w:szCs w:val="22"/>
              </w:rPr>
            </w:pPr>
            <w:r w:rsidRPr="00CE7679">
              <w:rPr>
                <w:rFonts w:eastAsia="Calibri"/>
                <w:snapToGrid/>
                <w:szCs w:val="22"/>
              </w:rPr>
              <w:t xml:space="preserve">MTX 15 mg </w:t>
            </w:r>
            <w:proofErr w:type="spellStart"/>
            <w:r w:rsidRPr="00CE7679">
              <w:rPr>
                <w:rFonts w:eastAsia="Calibri"/>
                <w:snapToGrid/>
                <w:szCs w:val="22"/>
              </w:rPr>
              <w:t>intratekaliai</w:t>
            </w:r>
            <w:proofErr w:type="spellEnd"/>
            <w:r w:rsidRPr="00CE7679">
              <w:rPr>
                <w:rFonts w:eastAsia="Calibri"/>
                <w:snapToGrid/>
                <w:szCs w:val="22"/>
              </w:rPr>
              <w:t>, 1 dieną.</w:t>
            </w:r>
          </w:p>
        </w:tc>
      </w:tr>
      <w:tr w:rsidR="00701D61" w:rsidRPr="00CE7679" w14:paraId="5D43191C" w14:textId="77777777" w:rsidTr="00A27597">
        <w:trPr>
          <w:trHeight w:val="252"/>
        </w:trPr>
        <w:tc>
          <w:tcPr>
            <w:tcW w:w="2636" w:type="dxa"/>
            <w:tcBorders>
              <w:top w:val="single" w:sz="4" w:space="0" w:color="auto"/>
              <w:left w:val="nil"/>
              <w:bottom w:val="single" w:sz="4" w:space="0" w:color="auto"/>
            </w:tcBorders>
          </w:tcPr>
          <w:p w14:paraId="15C31BE5" w14:textId="77777777" w:rsidR="00A27597" w:rsidRPr="00CE7679" w:rsidRDefault="00A27597" w:rsidP="00A27597">
            <w:pPr>
              <w:tabs>
                <w:tab w:val="clear" w:pos="567"/>
                <w:tab w:val="left" w:pos="426"/>
              </w:tabs>
              <w:autoSpaceDE w:val="0"/>
              <w:autoSpaceDN w:val="0"/>
              <w:adjustRightInd w:val="0"/>
              <w:spacing w:line="240" w:lineRule="auto"/>
              <w:ind w:left="426" w:hanging="426"/>
              <w:rPr>
                <w:rFonts w:eastAsia="Calibri"/>
                <w:snapToGrid/>
                <w:szCs w:val="22"/>
              </w:rPr>
            </w:pPr>
            <w:r w:rsidRPr="00CE7679">
              <w:rPr>
                <w:rFonts w:eastAsia="Calibri"/>
                <w:snapToGrid/>
                <w:szCs w:val="22"/>
              </w:rPr>
              <w:t>Pradinis gydymas I</w:t>
            </w:r>
          </w:p>
        </w:tc>
        <w:tc>
          <w:tcPr>
            <w:tcW w:w="6651" w:type="dxa"/>
            <w:tcBorders>
              <w:top w:val="single" w:sz="4" w:space="0" w:color="auto"/>
              <w:bottom w:val="single" w:sz="4" w:space="0" w:color="auto"/>
              <w:right w:val="nil"/>
            </w:tcBorders>
          </w:tcPr>
          <w:p w14:paraId="7911E69F" w14:textId="77777777" w:rsidR="00A27597" w:rsidRPr="00CE7679" w:rsidRDefault="00A27597" w:rsidP="00A27597">
            <w:pPr>
              <w:tabs>
                <w:tab w:val="clear" w:pos="567"/>
                <w:tab w:val="left" w:pos="34"/>
              </w:tabs>
              <w:autoSpaceDE w:val="0"/>
              <w:autoSpaceDN w:val="0"/>
              <w:adjustRightInd w:val="0"/>
              <w:spacing w:line="240" w:lineRule="auto"/>
              <w:ind w:left="34" w:hanging="34"/>
              <w:rPr>
                <w:rFonts w:eastAsia="Calibri"/>
                <w:snapToGrid/>
                <w:szCs w:val="22"/>
              </w:rPr>
            </w:pPr>
            <w:r w:rsidRPr="00CE7679">
              <w:rPr>
                <w:rFonts w:eastAsia="Calibri"/>
                <w:snapToGrid/>
                <w:szCs w:val="22"/>
              </w:rPr>
              <w:t>Gerti DEX 10 mg/m</w:t>
            </w:r>
            <w:r w:rsidRPr="00CE7679">
              <w:rPr>
                <w:rFonts w:eastAsia="Calibri"/>
                <w:snapToGrid/>
                <w:szCs w:val="22"/>
                <w:vertAlign w:val="superscript"/>
              </w:rPr>
              <w:t>2</w:t>
            </w:r>
            <w:r w:rsidRPr="00CE7679">
              <w:rPr>
                <w:rFonts w:eastAsia="Calibri"/>
                <w:snapToGrid/>
                <w:szCs w:val="22"/>
              </w:rPr>
              <w:t xml:space="preserve">, 1-5 dienas; </w:t>
            </w:r>
          </w:p>
          <w:p w14:paraId="3EC95813" w14:textId="77777777" w:rsidR="00A27597" w:rsidRPr="00CE7679" w:rsidRDefault="00A27597" w:rsidP="00A27597">
            <w:pPr>
              <w:tabs>
                <w:tab w:val="clear" w:pos="567"/>
                <w:tab w:val="left" w:pos="34"/>
              </w:tabs>
              <w:autoSpaceDE w:val="0"/>
              <w:autoSpaceDN w:val="0"/>
              <w:adjustRightInd w:val="0"/>
              <w:spacing w:line="240" w:lineRule="auto"/>
              <w:ind w:left="34" w:hanging="34"/>
              <w:rPr>
                <w:rFonts w:eastAsia="Calibri"/>
                <w:snapToGrid/>
                <w:szCs w:val="22"/>
              </w:rPr>
            </w:pPr>
            <w:r w:rsidRPr="00CE7679">
              <w:rPr>
                <w:rFonts w:eastAsia="Calibri"/>
                <w:snapToGrid/>
                <w:szCs w:val="22"/>
              </w:rPr>
              <w:t xml:space="preserve">VCR 2 mg </w:t>
            </w:r>
            <w:proofErr w:type="spellStart"/>
            <w:r w:rsidRPr="00CE7679">
              <w:rPr>
                <w:rFonts w:eastAsia="Calibri"/>
                <w:snapToGrid/>
                <w:szCs w:val="22"/>
              </w:rPr>
              <w:t>i.v</w:t>
            </w:r>
            <w:proofErr w:type="spellEnd"/>
            <w:r w:rsidRPr="00CE7679">
              <w:rPr>
                <w:rFonts w:eastAsia="Calibri"/>
                <w:snapToGrid/>
                <w:szCs w:val="22"/>
              </w:rPr>
              <w:t xml:space="preserve">., 6, 13, 20 dieną; </w:t>
            </w:r>
          </w:p>
          <w:p w14:paraId="4D44A38C" w14:textId="77777777" w:rsidR="00A27597" w:rsidRPr="00CE7679" w:rsidRDefault="00A27597" w:rsidP="00A27597">
            <w:pPr>
              <w:tabs>
                <w:tab w:val="clear" w:pos="567"/>
                <w:tab w:val="left" w:pos="34"/>
              </w:tabs>
              <w:autoSpaceDE w:val="0"/>
              <w:autoSpaceDN w:val="0"/>
              <w:adjustRightInd w:val="0"/>
              <w:spacing w:line="240" w:lineRule="auto"/>
              <w:ind w:left="34" w:hanging="34"/>
              <w:rPr>
                <w:rFonts w:eastAsia="Calibri"/>
                <w:snapToGrid/>
                <w:szCs w:val="22"/>
              </w:rPr>
            </w:pPr>
            <w:proofErr w:type="spellStart"/>
            <w:r w:rsidRPr="00CE7679">
              <w:rPr>
                <w:rFonts w:eastAsia="Calibri"/>
                <w:snapToGrid/>
                <w:szCs w:val="22"/>
              </w:rPr>
              <w:t>daunorubicinas</w:t>
            </w:r>
            <w:proofErr w:type="spellEnd"/>
            <w:r w:rsidRPr="00CE7679">
              <w:rPr>
                <w:rFonts w:eastAsia="Calibri"/>
                <w:snapToGrid/>
                <w:szCs w:val="22"/>
              </w:rPr>
              <w:t xml:space="preserve"> 45 mg/m</w:t>
            </w:r>
            <w:r w:rsidRPr="00CE7679">
              <w:rPr>
                <w:rFonts w:eastAsia="Calibri"/>
                <w:snapToGrid/>
                <w:szCs w:val="22"/>
                <w:vertAlign w:val="superscript"/>
              </w:rPr>
              <w:t>2</w:t>
            </w:r>
            <w:r w:rsidRPr="00CE7679">
              <w:rPr>
                <w:rFonts w:eastAsia="Calibri"/>
                <w:snapToGrid/>
                <w:szCs w:val="22"/>
              </w:rPr>
              <w:t xml:space="preserve"> </w:t>
            </w:r>
            <w:proofErr w:type="spellStart"/>
            <w:r w:rsidRPr="00CE7679">
              <w:rPr>
                <w:rFonts w:eastAsia="Calibri"/>
                <w:snapToGrid/>
                <w:szCs w:val="22"/>
              </w:rPr>
              <w:t>i.v</w:t>
            </w:r>
            <w:proofErr w:type="spellEnd"/>
            <w:r w:rsidRPr="00CE7679">
              <w:rPr>
                <w:rFonts w:eastAsia="Calibri"/>
                <w:snapToGrid/>
                <w:szCs w:val="22"/>
              </w:rPr>
              <w:t>., 6-7, 13-14 dieną.</w:t>
            </w:r>
          </w:p>
        </w:tc>
      </w:tr>
      <w:tr w:rsidR="00701D61" w:rsidRPr="00CE7679" w14:paraId="773005F8" w14:textId="77777777" w:rsidTr="00A27597">
        <w:trPr>
          <w:trHeight w:val="252"/>
        </w:trPr>
        <w:tc>
          <w:tcPr>
            <w:tcW w:w="2636" w:type="dxa"/>
            <w:tcBorders>
              <w:top w:val="single" w:sz="4" w:space="0" w:color="auto"/>
              <w:left w:val="nil"/>
              <w:bottom w:val="single" w:sz="4" w:space="0" w:color="auto"/>
            </w:tcBorders>
          </w:tcPr>
          <w:p w14:paraId="72272C8C" w14:textId="77777777" w:rsidR="00A27597" w:rsidRPr="00CE7679" w:rsidRDefault="00A27597" w:rsidP="00A27597">
            <w:pPr>
              <w:tabs>
                <w:tab w:val="clear" w:pos="567"/>
                <w:tab w:val="left" w:pos="426"/>
              </w:tabs>
              <w:autoSpaceDE w:val="0"/>
              <w:autoSpaceDN w:val="0"/>
              <w:adjustRightInd w:val="0"/>
              <w:spacing w:line="240" w:lineRule="auto"/>
              <w:ind w:left="426" w:hanging="426"/>
              <w:rPr>
                <w:rFonts w:eastAsia="Calibri"/>
                <w:snapToGrid/>
                <w:szCs w:val="22"/>
              </w:rPr>
            </w:pPr>
            <w:r w:rsidRPr="00CE7679">
              <w:rPr>
                <w:rFonts w:eastAsia="Calibri"/>
                <w:snapToGrid/>
                <w:szCs w:val="22"/>
              </w:rPr>
              <w:t>Pradinis gydymas II</w:t>
            </w:r>
          </w:p>
        </w:tc>
        <w:tc>
          <w:tcPr>
            <w:tcW w:w="6651" w:type="dxa"/>
            <w:tcBorders>
              <w:top w:val="single" w:sz="4" w:space="0" w:color="auto"/>
              <w:bottom w:val="single" w:sz="4" w:space="0" w:color="auto"/>
              <w:right w:val="nil"/>
            </w:tcBorders>
          </w:tcPr>
          <w:p w14:paraId="63E4EDD8" w14:textId="77777777" w:rsidR="00A27597" w:rsidRPr="00CE7679" w:rsidRDefault="00A27597" w:rsidP="00A27597">
            <w:pPr>
              <w:tabs>
                <w:tab w:val="clear" w:pos="567"/>
                <w:tab w:val="left" w:pos="34"/>
              </w:tabs>
              <w:autoSpaceDE w:val="0"/>
              <w:autoSpaceDN w:val="0"/>
              <w:adjustRightInd w:val="0"/>
              <w:spacing w:line="240" w:lineRule="auto"/>
              <w:ind w:left="34" w:hanging="34"/>
              <w:rPr>
                <w:rFonts w:eastAsia="Calibri"/>
                <w:snapToGrid/>
                <w:szCs w:val="22"/>
              </w:rPr>
            </w:pPr>
            <w:r w:rsidRPr="00CE7679">
              <w:rPr>
                <w:rFonts w:eastAsia="Calibri"/>
                <w:snapToGrid/>
                <w:szCs w:val="22"/>
              </w:rPr>
              <w:t>CP 1 g/m</w:t>
            </w:r>
            <w:r w:rsidRPr="00CE7679">
              <w:rPr>
                <w:rFonts w:eastAsia="Calibri"/>
                <w:snapToGrid/>
                <w:szCs w:val="22"/>
                <w:vertAlign w:val="superscript"/>
              </w:rPr>
              <w:t>2</w:t>
            </w:r>
            <w:r w:rsidRPr="00CE7679">
              <w:rPr>
                <w:rFonts w:eastAsia="Calibri"/>
                <w:snapToGrid/>
                <w:szCs w:val="22"/>
              </w:rPr>
              <w:t xml:space="preserve"> </w:t>
            </w:r>
            <w:proofErr w:type="spellStart"/>
            <w:r w:rsidRPr="00CE7679">
              <w:rPr>
                <w:rFonts w:eastAsia="Calibri"/>
                <w:snapToGrid/>
                <w:szCs w:val="22"/>
              </w:rPr>
              <w:t>i.v</w:t>
            </w:r>
            <w:proofErr w:type="spellEnd"/>
            <w:r w:rsidRPr="00CE7679">
              <w:rPr>
                <w:rFonts w:eastAsia="Calibri"/>
                <w:snapToGrid/>
                <w:szCs w:val="22"/>
              </w:rPr>
              <w:t xml:space="preserve">. (1 valanda), 26, 46 dieną; </w:t>
            </w:r>
          </w:p>
          <w:p w14:paraId="60856264" w14:textId="77777777" w:rsidR="00A27597" w:rsidRPr="00CE7679" w:rsidRDefault="00A27597" w:rsidP="00A27597">
            <w:pPr>
              <w:tabs>
                <w:tab w:val="clear" w:pos="567"/>
                <w:tab w:val="left" w:pos="34"/>
              </w:tabs>
              <w:autoSpaceDE w:val="0"/>
              <w:autoSpaceDN w:val="0"/>
              <w:adjustRightInd w:val="0"/>
              <w:spacing w:line="240" w:lineRule="auto"/>
              <w:ind w:left="34" w:hanging="34"/>
              <w:rPr>
                <w:rFonts w:eastAsia="Calibri"/>
                <w:snapToGrid/>
                <w:szCs w:val="22"/>
              </w:rPr>
            </w:pPr>
            <w:proofErr w:type="spellStart"/>
            <w:r w:rsidRPr="00CE7679">
              <w:rPr>
                <w:rFonts w:eastAsia="Calibri"/>
                <w:snapToGrid/>
                <w:szCs w:val="22"/>
              </w:rPr>
              <w:t>Ara</w:t>
            </w:r>
            <w:proofErr w:type="spellEnd"/>
            <w:r w:rsidRPr="00CE7679">
              <w:rPr>
                <w:rFonts w:eastAsia="Calibri"/>
                <w:snapToGrid/>
                <w:szCs w:val="22"/>
              </w:rPr>
              <w:t xml:space="preserve">-C 75 mg/m 2 </w:t>
            </w:r>
            <w:proofErr w:type="spellStart"/>
            <w:r w:rsidRPr="00CE7679">
              <w:rPr>
                <w:rFonts w:eastAsia="Calibri"/>
                <w:snapToGrid/>
                <w:szCs w:val="22"/>
              </w:rPr>
              <w:t>i.v</w:t>
            </w:r>
            <w:proofErr w:type="spellEnd"/>
            <w:r w:rsidRPr="00CE7679">
              <w:rPr>
                <w:rFonts w:eastAsia="Calibri"/>
                <w:snapToGrid/>
                <w:szCs w:val="22"/>
              </w:rPr>
              <w:t xml:space="preserve">. (1 valanda), 28-31, 35-38, 42-45 dienas; </w:t>
            </w:r>
          </w:p>
          <w:p w14:paraId="781C77E2" w14:textId="77777777" w:rsidR="00A27597" w:rsidRPr="00CE7679" w:rsidRDefault="00A27597" w:rsidP="00A27597">
            <w:pPr>
              <w:tabs>
                <w:tab w:val="clear" w:pos="567"/>
                <w:tab w:val="left" w:pos="34"/>
              </w:tabs>
              <w:autoSpaceDE w:val="0"/>
              <w:autoSpaceDN w:val="0"/>
              <w:adjustRightInd w:val="0"/>
              <w:spacing w:line="240" w:lineRule="auto"/>
              <w:ind w:left="34" w:hanging="34"/>
              <w:rPr>
                <w:rFonts w:eastAsia="Calibri"/>
                <w:snapToGrid/>
                <w:szCs w:val="22"/>
              </w:rPr>
            </w:pPr>
            <w:r w:rsidRPr="00CE7679">
              <w:rPr>
                <w:rFonts w:eastAsia="Calibri"/>
                <w:snapToGrid/>
                <w:szCs w:val="22"/>
              </w:rPr>
              <w:t>gerti 6-MP 60 mg/m</w:t>
            </w:r>
            <w:r w:rsidRPr="00CE7679">
              <w:rPr>
                <w:rFonts w:eastAsia="Calibri"/>
                <w:snapToGrid/>
                <w:szCs w:val="22"/>
                <w:vertAlign w:val="superscript"/>
              </w:rPr>
              <w:t>2</w:t>
            </w:r>
            <w:r w:rsidRPr="00CE7679">
              <w:rPr>
                <w:rFonts w:eastAsia="Calibri"/>
                <w:snapToGrid/>
                <w:szCs w:val="22"/>
              </w:rPr>
              <w:t>, 26-46 dienas.</w:t>
            </w:r>
          </w:p>
        </w:tc>
      </w:tr>
      <w:tr w:rsidR="00701D61" w:rsidRPr="00CE7679" w14:paraId="3B600FB5" w14:textId="77777777" w:rsidTr="00A27597">
        <w:trPr>
          <w:trHeight w:val="381"/>
        </w:trPr>
        <w:tc>
          <w:tcPr>
            <w:tcW w:w="2636" w:type="dxa"/>
            <w:tcBorders>
              <w:top w:val="single" w:sz="4" w:space="0" w:color="auto"/>
              <w:left w:val="nil"/>
              <w:bottom w:val="single" w:sz="4" w:space="0" w:color="auto"/>
            </w:tcBorders>
          </w:tcPr>
          <w:p w14:paraId="0861F874" w14:textId="77777777" w:rsidR="00A27597" w:rsidRPr="00CE7679" w:rsidRDefault="00A27597" w:rsidP="00A27597">
            <w:pPr>
              <w:tabs>
                <w:tab w:val="clear" w:pos="567"/>
                <w:tab w:val="left" w:pos="0"/>
              </w:tabs>
              <w:autoSpaceDE w:val="0"/>
              <w:autoSpaceDN w:val="0"/>
              <w:adjustRightInd w:val="0"/>
              <w:spacing w:line="240" w:lineRule="auto"/>
              <w:rPr>
                <w:rFonts w:eastAsia="Calibri"/>
                <w:snapToGrid/>
                <w:szCs w:val="22"/>
              </w:rPr>
            </w:pPr>
            <w:r w:rsidRPr="00CE7679">
              <w:rPr>
                <w:rFonts w:eastAsia="Calibri"/>
                <w:snapToGrid/>
                <w:szCs w:val="22"/>
              </w:rPr>
              <w:t>Konsoliduojantis gydymas</w:t>
            </w:r>
          </w:p>
        </w:tc>
        <w:tc>
          <w:tcPr>
            <w:tcW w:w="6651" w:type="dxa"/>
            <w:tcBorders>
              <w:top w:val="single" w:sz="4" w:space="0" w:color="auto"/>
              <w:bottom w:val="single" w:sz="4" w:space="0" w:color="auto"/>
              <w:right w:val="nil"/>
            </w:tcBorders>
          </w:tcPr>
          <w:p w14:paraId="31852946" w14:textId="77777777" w:rsidR="00A27597" w:rsidRPr="00CE7679" w:rsidRDefault="00A27597" w:rsidP="00A27597">
            <w:pPr>
              <w:tabs>
                <w:tab w:val="clear" w:pos="567"/>
                <w:tab w:val="left" w:pos="34"/>
              </w:tabs>
              <w:autoSpaceDE w:val="0"/>
              <w:autoSpaceDN w:val="0"/>
              <w:adjustRightInd w:val="0"/>
              <w:spacing w:line="240" w:lineRule="auto"/>
              <w:ind w:left="34" w:hanging="34"/>
              <w:rPr>
                <w:rFonts w:eastAsia="Calibri"/>
                <w:snapToGrid/>
                <w:szCs w:val="22"/>
              </w:rPr>
            </w:pPr>
            <w:r w:rsidRPr="00CE7679">
              <w:rPr>
                <w:rFonts w:eastAsia="Calibri"/>
                <w:snapToGrid/>
                <w:szCs w:val="22"/>
              </w:rPr>
              <w:t>Gerti DEX 10 mg/m</w:t>
            </w:r>
            <w:r w:rsidRPr="00CE7679">
              <w:rPr>
                <w:rFonts w:eastAsia="Calibri"/>
                <w:snapToGrid/>
                <w:szCs w:val="22"/>
                <w:vertAlign w:val="superscript"/>
              </w:rPr>
              <w:t>2</w:t>
            </w:r>
            <w:r w:rsidRPr="00CE7679">
              <w:rPr>
                <w:rFonts w:eastAsia="Calibri"/>
                <w:snapToGrid/>
                <w:szCs w:val="22"/>
              </w:rPr>
              <w:t xml:space="preserve">, 1-5 dienas; </w:t>
            </w:r>
          </w:p>
          <w:p w14:paraId="5C8D1F92" w14:textId="77777777" w:rsidR="00A27597" w:rsidRPr="00CE7679" w:rsidRDefault="00A27597" w:rsidP="00A27597">
            <w:pPr>
              <w:tabs>
                <w:tab w:val="clear" w:pos="567"/>
                <w:tab w:val="left" w:pos="34"/>
              </w:tabs>
              <w:autoSpaceDE w:val="0"/>
              <w:autoSpaceDN w:val="0"/>
              <w:adjustRightInd w:val="0"/>
              <w:spacing w:line="240" w:lineRule="auto"/>
              <w:ind w:left="34" w:hanging="34"/>
              <w:rPr>
                <w:rFonts w:eastAsia="Calibri"/>
                <w:snapToGrid/>
                <w:szCs w:val="22"/>
              </w:rPr>
            </w:pPr>
            <w:proofErr w:type="spellStart"/>
            <w:r w:rsidRPr="00CE7679">
              <w:rPr>
                <w:rFonts w:eastAsia="Calibri"/>
                <w:snapToGrid/>
                <w:szCs w:val="22"/>
              </w:rPr>
              <w:t>vindezinas</w:t>
            </w:r>
            <w:proofErr w:type="spellEnd"/>
            <w:r w:rsidRPr="00CE7679">
              <w:rPr>
                <w:rFonts w:eastAsia="Calibri"/>
                <w:snapToGrid/>
                <w:szCs w:val="22"/>
              </w:rPr>
              <w:t xml:space="preserve"> 3 mg/m</w:t>
            </w:r>
            <w:r w:rsidRPr="00CE7679">
              <w:rPr>
                <w:rFonts w:eastAsia="Calibri"/>
                <w:snapToGrid/>
                <w:szCs w:val="22"/>
                <w:vertAlign w:val="superscript"/>
              </w:rPr>
              <w:t>2</w:t>
            </w:r>
            <w:r w:rsidRPr="00CE7679">
              <w:rPr>
                <w:rFonts w:eastAsia="Calibri"/>
                <w:snapToGrid/>
                <w:szCs w:val="22"/>
              </w:rPr>
              <w:t xml:space="preserve"> </w:t>
            </w:r>
            <w:proofErr w:type="spellStart"/>
            <w:r w:rsidRPr="00CE7679">
              <w:rPr>
                <w:rFonts w:eastAsia="Calibri"/>
                <w:snapToGrid/>
                <w:szCs w:val="22"/>
              </w:rPr>
              <w:t>i.v</w:t>
            </w:r>
            <w:proofErr w:type="spellEnd"/>
            <w:r w:rsidRPr="00CE7679">
              <w:rPr>
                <w:rFonts w:eastAsia="Calibri"/>
                <w:snapToGrid/>
                <w:szCs w:val="22"/>
              </w:rPr>
              <w:t xml:space="preserve">., 1 dieną; </w:t>
            </w:r>
          </w:p>
          <w:p w14:paraId="2D010646" w14:textId="77777777" w:rsidR="00A27597" w:rsidRPr="00CE7679" w:rsidRDefault="00A27597" w:rsidP="00A27597">
            <w:pPr>
              <w:tabs>
                <w:tab w:val="clear" w:pos="567"/>
                <w:tab w:val="left" w:pos="34"/>
              </w:tabs>
              <w:autoSpaceDE w:val="0"/>
              <w:autoSpaceDN w:val="0"/>
              <w:adjustRightInd w:val="0"/>
              <w:spacing w:line="240" w:lineRule="auto"/>
              <w:ind w:left="34" w:hanging="34"/>
              <w:rPr>
                <w:rFonts w:eastAsia="Calibri"/>
                <w:snapToGrid/>
                <w:szCs w:val="22"/>
              </w:rPr>
            </w:pPr>
            <w:r w:rsidRPr="00CE7679">
              <w:rPr>
                <w:rFonts w:eastAsia="Calibri"/>
                <w:snapToGrid/>
                <w:szCs w:val="22"/>
              </w:rPr>
              <w:t>MTX 1,5 g/m</w:t>
            </w:r>
            <w:r w:rsidRPr="00CE7679">
              <w:rPr>
                <w:rFonts w:eastAsia="Calibri"/>
                <w:snapToGrid/>
                <w:szCs w:val="22"/>
                <w:vertAlign w:val="superscript"/>
              </w:rPr>
              <w:t>2</w:t>
            </w:r>
            <w:r w:rsidRPr="00CE7679">
              <w:rPr>
                <w:rFonts w:eastAsia="Calibri"/>
                <w:snapToGrid/>
                <w:szCs w:val="22"/>
              </w:rPr>
              <w:t xml:space="preserve"> </w:t>
            </w:r>
            <w:proofErr w:type="spellStart"/>
            <w:r w:rsidRPr="00CE7679">
              <w:rPr>
                <w:rFonts w:eastAsia="Calibri"/>
                <w:snapToGrid/>
                <w:szCs w:val="22"/>
              </w:rPr>
              <w:t>i.v</w:t>
            </w:r>
            <w:proofErr w:type="spellEnd"/>
            <w:r w:rsidRPr="00CE7679">
              <w:rPr>
                <w:rFonts w:eastAsia="Calibri"/>
                <w:snapToGrid/>
                <w:szCs w:val="22"/>
              </w:rPr>
              <w:t xml:space="preserve">. (24 valandos), 1 dieną; </w:t>
            </w:r>
          </w:p>
          <w:p w14:paraId="1B5A63EE" w14:textId="77777777" w:rsidR="00A27597" w:rsidRPr="00CE7679" w:rsidRDefault="00A27597" w:rsidP="00A27597">
            <w:pPr>
              <w:tabs>
                <w:tab w:val="clear" w:pos="567"/>
                <w:tab w:val="left" w:pos="34"/>
              </w:tabs>
              <w:autoSpaceDE w:val="0"/>
              <w:autoSpaceDN w:val="0"/>
              <w:adjustRightInd w:val="0"/>
              <w:spacing w:line="240" w:lineRule="auto"/>
              <w:ind w:left="34" w:hanging="34"/>
              <w:rPr>
                <w:rFonts w:eastAsia="Calibri"/>
                <w:snapToGrid/>
                <w:szCs w:val="22"/>
              </w:rPr>
            </w:pPr>
            <w:proofErr w:type="spellStart"/>
            <w:r w:rsidRPr="00CE7679">
              <w:rPr>
                <w:rFonts w:eastAsia="Calibri"/>
                <w:snapToGrid/>
                <w:szCs w:val="22"/>
              </w:rPr>
              <w:t>etopozidas</w:t>
            </w:r>
            <w:proofErr w:type="spellEnd"/>
            <w:r w:rsidRPr="00CE7679">
              <w:rPr>
                <w:rFonts w:eastAsia="Calibri"/>
                <w:snapToGrid/>
                <w:szCs w:val="22"/>
              </w:rPr>
              <w:t xml:space="preserve"> 250 mg/m</w:t>
            </w:r>
            <w:r w:rsidRPr="00CE7679">
              <w:rPr>
                <w:rFonts w:eastAsia="Calibri"/>
                <w:snapToGrid/>
                <w:szCs w:val="22"/>
                <w:vertAlign w:val="superscript"/>
              </w:rPr>
              <w:t>2</w:t>
            </w:r>
            <w:r w:rsidRPr="00CE7679">
              <w:rPr>
                <w:rFonts w:eastAsia="Calibri"/>
                <w:snapToGrid/>
                <w:szCs w:val="22"/>
              </w:rPr>
              <w:t xml:space="preserve"> </w:t>
            </w:r>
            <w:proofErr w:type="spellStart"/>
            <w:r w:rsidRPr="00CE7679">
              <w:rPr>
                <w:rFonts w:eastAsia="Calibri"/>
                <w:snapToGrid/>
                <w:szCs w:val="22"/>
              </w:rPr>
              <w:t>i.v</w:t>
            </w:r>
            <w:proofErr w:type="spellEnd"/>
            <w:r w:rsidRPr="00CE7679">
              <w:rPr>
                <w:rFonts w:eastAsia="Calibri"/>
                <w:snapToGrid/>
                <w:szCs w:val="22"/>
              </w:rPr>
              <w:t xml:space="preserve">. (1 valanda) 4-5 dienas; </w:t>
            </w:r>
          </w:p>
          <w:p w14:paraId="75B85349" w14:textId="77777777" w:rsidR="00A27597" w:rsidRPr="00CE7679" w:rsidRDefault="00A27597" w:rsidP="00A27597">
            <w:pPr>
              <w:tabs>
                <w:tab w:val="clear" w:pos="567"/>
                <w:tab w:val="left" w:pos="34"/>
              </w:tabs>
              <w:autoSpaceDE w:val="0"/>
              <w:autoSpaceDN w:val="0"/>
              <w:adjustRightInd w:val="0"/>
              <w:spacing w:line="240" w:lineRule="auto"/>
              <w:ind w:left="34" w:hanging="34"/>
              <w:rPr>
                <w:rFonts w:eastAsia="Calibri"/>
                <w:snapToGrid/>
                <w:szCs w:val="22"/>
              </w:rPr>
            </w:pPr>
            <w:proofErr w:type="spellStart"/>
            <w:r w:rsidRPr="00CE7679">
              <w:rPr>
                <w:rFonts w:eastAsia="Calibri"/>
                <w:snapToGrid/>
                <w:szCs w:val="22"/>
              </w:rPr>
              <w:t>Ara</w:t>
            </w:r>
            <w:proofErr w:type="spellEnd"/>
            <w:r w:rsidRPr="00CE7679">
              <w:rPr>
                <w:rFonts w:eastAsia="Calibri"/>
                <w:snapToGrid/>
                <w:szCs w:val="22"/>
              </w:rPr>
              <w:t>-C 2x 2 g/m</w:t>
            </w:r>
            <w:r w:rsidRPr="00CE7679">
              <w:rPr>
                <w:rFonts w:eastAsia="Calibri"/>
                <w:snapToGrid/>
                <w:szCs w:val="22"/>
                <w:vertAlign w:val="superscript"/>
              </w:rPr>
              <w:t>2</w:t>
            </w:r>
            <w:r w:rsidRPr="00CE7679">
              <w:rPr>
                <w:rFonts w:eastAsia="Calibri"/>
                <w:snapToGrid/>
                <w:szCs w:val="22"/>
              </w:rPr>
              <w:t xml:space="preserve"> </w:t>
            </w:r>
            <w:proofErr w:type="spellStart"/>
            <w:r w:rsidRPr="00CE7679">
              <w:rPr>
                <w:rFonts w:eastAsia="Calibri"/>
                <w:snapToGrid/>
                <w:szCs w:val="22"/>
              </w:rPr>
              <w:t>i.v</w:t>
            </w:r>
            <w:proofErr w:type="spellEnd"/>
            <w:r w:rsidRPr="00CE7679">
              <w:rPr>
                <w:rFonts w:eastAsia="Calibri"/>
                <w:snapToGrid/>
                <w:szCs w:val="22"/>
              </w:rPr>
              <w:t>. (3 valandos, 12 valandų), 5 dieną.</w:t>
            </w:r>
          </w:p>
        </w:tc>
      </w:tr>
      <w:tr w:rsidR="00701D61" w:rsidRPr="00CE7679" w14:paraId="1E637FD4" w14:textId="77777777" w:rsidTr="00A27597">
        <w:trPr>
          <w:trHeight w:val="98"/>
        </w:trPr>
        <w:tc>
          <w:tcPr>
            <w:tcW w:w="9287" w:type="dxa"/>
            <w:gridSpan w:val="2"/>
            <w:tcBorders>
              <w:top w:val="single" w:sz="4" w:space="0" w:color="auto"/>
              <w:left w:val="nil"/>
              <w:bottom w:val="single" w:sz="4" w:space="0" w:color="auto"/>
              <w:right w:val="nil"/>
            </w:tcBorders>
          </w:tcPr>
          <w:p w14:paraId="6F4753B7" w14:textId="77777777" w:rsidR="00A27597" w:rsidRPr="00CE7679" w:rsidRDefault="00A27597" w:rsidP="00A27597">
            <w:pPr>
              <w:tabs>
                <w:tab w:val="clear" w:pos="567"/>
                <w:tab w:val="left" w:pos="426"/>
              </w:tabs>
              <w:autoSpaceDE w:val="0"/>
              <w:autoSpaceDN w:val="0"/>
              <w:adjustRightInd w:val="0"/>
              <w:spacing w:line="240" w:lineRule="auto"/>
              <w:ind w:left="426" w:hanging="426"/>
              <w:rPr>
                <w:rFonts w:eastAsia="Calibri"/>
                <w:snapToGrid/>
                <w:szCs w:val="22"/>
              </w:rPr>
            </w:pPr>
            <w:r w:rsidRPr="00CE7679">
              <w:rPr>
                <w:rFonts w:eastAsia="Calibri"/>
                <w:b/>
                <w:bCs/>
                <w:snapToGrid/>
                <w:szCs w:val="22"/>
              </w:rPr>
              <w:t>AJP01 tyrimas</w:t>
            </w:r>
          </w:p>
        </w:tc>
      </w:tr>
      <w:tr w:rsidR="00701D61" w:rsidRPr="00CE7679" w14:paraId="61C74137" w14:textId="77777777" w:rsidTr="00A27597">
        <w:trPr>
          <w:trHeight w:val="381"/>
        </w:trPr>
        <w:tc>
          <w:tcPr>
            <w:tcW w:w="2636" w:type="dxa"/>
            <w:tcBorders>
              <w:top w:val="single" w:sz="4" w:space="0" w:color="auto"/>
              <w:left w:val="nil"/>
              <w:bottom w:val="single" w:sz="4" w:space="0" w:color="auto"/>
            </w:tcBorders>
          </w:tcPr>
          <w:p w14:paraId="6A2BB4AA" w14:textId="77777777" w:rsidR="00A27597" w:rsidRPr="00CE7679" w:rsidRDefault="00A27597" w:rsidP="00A27597">
            <w:pPr>
              <w:tabs>
                <w:tab w:val="clear" w:pos="567"/>
                <w:tab w:val="left" w:pos="426"/>
              </w:tabs>
              <w:autoSpaceDE w:val="0"/>
              <w:autoSpaceDN w:val="0"/>
              <w:adjustRightInd w:val="0"/>
              <w:spacing w:line="240" w:lineRule="auto"/>
              <w:ind w:left="426" w:hanging="426"/>
              <w:rPr>
                <w:rFonts w:eastAsia="Calibri"/>
                <w:snapToGrid/>
                <w:szCs w:val="22"/>
              </w:rPr>
            </w:pPr>
            <w:r w:rsidRPr="00CE7679">
              <w:rPr>
                <w:rFonts w:eastAsia="Calibri"/>
                <w:snapToGrid/>
                <w:szCs w:val="22"/>
              </w:rPr>
              <w:t>Pradinis gydymas</w:t>
            </w:r>
          </w:p>
        </w:tc>
        <w:tc>
          <w:tcPr>
            <w:tcW w:w="6651" w:type="dxa"/>
            <w:tcBorders>
              <w:top w:val="single" w:sz="4" w:space="0" w:color="auto"/>
              <w:bottom w:val="single" w:sz="4" w:space="0" w:color="auto"/>
              <w:right w:val="nil"/>
            </w:tcBorders>
          </w:tcPr>
          <w:p w14:paraId="29BED6FE" w14:textId="77777777" w:rsidR="00A27597" w:rsidRPr="00CE7679" w:rsidRDefault="00A27597" w:rsidP="00A27597">
            <w:pPr>
              <w:tabs>
                <w:tab w:val="clear" w:pos="567"/>
                <w:tab w:val="left" w:pos="34"/>
              </w:tabs>
              <w:autoSpaceDE w:val="0"/>
              <w:autoSpaceDN w:val="0"/>
              <w:adjustRightInd w:val="0"/>
              <w:spacing w:line="240" w:lineRule="auto"/>
              <w:ind w:left="34" w:hanging="34"/>
              <w:rPr>
                <w:rFonts w:eastAsia="Calibri"/>
                <w:snapToGrid/>
                <w:szCs w:val="22"/>
              </w:rPr>
            </w:pPr>
            <w:r w:rsidRPr="00CE7679">
              <w:rPr>
                <w:rFonts w:eastAsia="Calibri"/>
                <w:snapToGrid/>
                <w:szCs w:val="22"/>
              </w:rPr>
              <w:t>CP 1,2 g/m</w:t>
            </w:r>
            <w:r w:rsidRPr="00CE7679">
              <w:rPr>
                <w:rFonts w:eastAsia="Calibri"/>
                <w:snapToGrid/>
                <w:szCs w:val="22"/>
                <w:vertAlign w:val="superscript"/>
              </w:rPr>
              <w:t>2</w:t>
            </w:r>
            <w:r w:rsidRPr="00CE7679">
              <w:rPr>
                <w:rFonts w:eastAsia="Calibri"/>
                <w:snapToGrid/>
                <w:szCs w:val="22"/>
              </w:rPr>
              <w:t xml:space="preserve"> </w:t>
            </w:r>
            <w:proofErr w:type="spellStart"/>
            <w:r w:rsidRPr="00CE7679">
              <w:rPr>
                <w:rFonts w:eastAsia="Calibri"/>
                <w:snapToGrid/>
                <w:szCs w:val="22"/>
              </w:rPr>
              <w:t>i.v</w:t>
            </w:r>
            <w:proofErr w:type="spellEnd"/>
            <w:r w:rsidRPr="00CE7679">
              <w:rPr>
                <w:rFonts w:eastAsia="Calibri"/>
                <w:snapToGrid/>
                <w:szCs w:val="22"/>
              </w:rPr>
              <w:t xml:space="preserve">. (3 valandos), 1 dieną; </w:t>
            </w:r>
          </w:p>
          <w:p w14:paraId="194AA412" w14:textId="77777777" w:rsidR="00A27597" w:rsidRPr="00CE7679" w:rsidRDefault="00A27597" w:rsidP="00A27597">
            <w:pPr>
              <w:tabs>
                <w:tab w:val="clear" w:pos="567"/>
                <w:tab w:val="left" w:pos="34"/>
              </w:tabs>
              <w:autoSpaceDE w:val="0"/>
              <w:autoSpaceDN w:val="0"/>
              <w:adjustRightInd w:val="0"/>
              <w:spacing w:line="240" w:lineRule="auto"/>
              <w:ind w:left="34" w:hanging="34"/>
              <w:rPr>
                <w:rFonts w:eastAsia="Calibri"/>
                <w:snapToGrid/>
                <w:szCs w:val="22"/>
              </w:rPr>
            </w:pPr>
            <w:proofErr w:type="spellStart"/>
            <w:r w:rsidRPr="00CE7679">
              <w:rPr>
                <w:rFonts w:eastAsia="Calibri"/>
                <w:snapToGrid/>
                <w:szCs w:val="22"/>
              </w:rPr>
              <w:t>daunorubicinas</w:t>
            </w:r>
            <w:proofErr w:type="spellEnd"/>
            <w:r w:rsidRPr="00CE7679">
              <w:rPr>
                <w:rFonts w:eastAsia="Calibri"/>
                <w:snapToGrid/>
                <w:szCs w:val="22"/>
              </w:rPr>
              <w:t xml:space="preserve"> 60 mg/m</w:t>
            </w:r>
            <w:r w:rsidRPr="00CE7679">
              <w:rPr>
                <w:rFonts w:eastAsia="Calibri"/>
                <w:snapToGrid/>
                <w:szCs w:val="22"/>
                <w:vertAlign w:val="superscript"/>
              </w:rPr>
              <w:t>2</w:t>
            </w:r>
            <w:r w:rsidRPr="00CE7679">
              <w:rPr>
                <w:rFonts w:eastAsia="Calibri"/>
                <w:snapToGrid/>
                <w:szCs w:val="22"/>
              </w:rPr>
              <w:t xml:space="preserve"> </w:t>
            </w:r>
            <w:proofErr w:type="spellStart"/>
            <w:r w:rsidRPr="00CE7679">
              <w:rPr>
                <w:rFonts w:eastAsia="Calibri"/>
                <w:snapToGrid/>
                <w:szCs w:val="22"/>
              </w:rPr>
              <w:t>i.v</w:t>
            </w:r>
            <w:proofErr w:type="spellEnd"/>
            <w:r w:rsidRPr="00CE7679">
              <w:rPr>
                <w:rFonts w:eastAsia="Calibri"/>
                <w:snapToGrid/>
                <w:szCs w:val="22"/>
              </w:rPr>
              <w:t xml:space="preserve">. (1 valanda), 1-3 dienas; </w:t>
            </w:r>
          </w:p>
          <w:p w14:paraId="5F84F930" w14:textId="77777777" w:rsidR="00A27597" w:rsidRPr="00CE7679" w:rsidRDefault="00A27597" w:rsidP="00A27597">
            <w:pPr>
              <w:tabs>
                <w:tab w:val="clear" w:pos="567"/>
                <w:tab w:val="left" w:pos="34"/>
              </w:tabs>
              <w:autoSpaceDE w:val="0"/>
              <w:autoSpaceDN w:val="0"/>
              <w:adjustRightInd w:val="0"/>
              <w:spacing w:line="240" w:lineRule="auto"/>
              <w:ind w:left="34" w:hanging="34"/>
              <w:rPr>
                <w:rFonts w:eastAsia="Calibri"/>
                <w:snapToGrid/>
                <w:szCs w:val="22"/>
              </w:rPr>
            </w:pPr>
            <w:proofErr w:type="spellStart"/>
            <w:r w:rsidRPr="00CE7679">
              <w:rPr>
                <w:rFonts w:eastAsia="Calibri"/>
                <w:snapToGrid/>
                <w:szCs w:val="22"/>
              </w:rPr>
              <w:t>vinkristinas</w:t>
            </w:r>
            <w:proofErr w:type="spellEnd"/>
            <w:r w:rsidRPr="00CE7679">
              <w:rPr>
                <w:rFonts w:eastAsia="Calibri"/>
                <w:snapToGrid/>
                <w:szCs w:val="22"/>
              </w:rPr>
              <w:t xml:space="preserve"> 1,3 mg/m</w:t>
            </w:r>
            <w:r w:rsidRPr="00CE7679">
              <w:rPr>
                <w:rFonts w:eastAsia="Calibri"/>
                <w:snapToGrid/>
                <w:szCs w:val="22"/>
                <w:vertAlign w:val="superscript"/>
              </w:rPr>
              <w:t>2</w:t>
            </w:r>
            <w:r w:rsidRPr="00CE7679">
              <w:rPr>
                <w:rFonts w:eastAsia="Calibri"/>
                <w:snapToGrid/>
                <w:szCs w:val="22"/>
              </w:rPr>
              <w:t xml:space="preserve"> </w:t>
            </w:r>
            <w:proofErr w:type="spellStart"/>
            <w:r w:rsidRPr="00CE7679">
              <w:rPr>
                <w:rFonts w:eastAsia="Calibri"/>
                <w:snapToGrid/>
                <w:szCs w:val="22"/>
              </w:rPr>
              <w:t>i.v</w:t>
            </w:r>
            <w:proofErr w:type="spellEnd"/>
            <w:r w:rsidRPr="00CE7679">
              <w:rPr>
                <w:rFonts w:eastAsia="Calibri"/>
                <w:snapToGrid/>
                <w:szCs w:val="22"/>
              </w:rPr>
              <w:t xml:space="preserve">., 1, 8, 15, 21 dieną; </w:t>
            </w:r>
          </w:p>
          <w:p w14:paraId="0B589E8D" w14:textId="77777777" w:rsidR="00A27597" w:rsidRPr="00CE7679" w:rsidRDefault="00A27597" w:rsidP="00F41710">
            <w:pPr>
              <w:tabs>
                <w:tab w:val="clear" w:pos="567"/>
                <w:tab w:val="left" w:pos="34"/>
              </w:tabs>
              <w:autoSpaceDE w:val="0"/>
              <w:autoSpaceDN w:val="0"/>
              <w:adjustRightInd w:val="0"/>
              <w:spacing w:line="240" w:lineRule="auto"/>
              <w:ind w:left="34" w:hanging="34"/>
              <w:rPr>
                <w:rFonts w:eastAsia="Calibri"/>
                <w:snapToGrid/>
                <w:szCs w:val="22"/>
              </w:rPr>
            </w:pPr>
            <w:r w:rsidRPr="00CE7679">
              <w:rPr>
                <w:rFonts w:eastAsia="Calibri"/>
                <w:snapToGrid/>
                <w:szCs w:val="22"/>
              </w:rPr>
              <w:t>gerti prednizoloną 60 mg/m</w:t>
            </w:r>
            <w:r w:rsidRPr="00CE7679">
              <w:rPr>
                <w:rFonts w:eastAsia="Calibri"/>
                <w:snapToGrid/>
                <w:szCs w:val="22"/>
                <w:vertAlign w:val="superscript"/>
              </w:rPr>
              <w:t>2</w:t>
            </w:r>
            <w:r w:rsidRPr="00CE7679">
              <w:rPr>
                <w:rFonts w:eastAsia="Calibri"/>
                <w:snapToGrid/>
                <w:szCs w:val="22"/>
              </w:rPr>
              <w:t>/per parą.</w:t>
            </w:r>
          </w:p>
        </w:tc>
      </w:tr>
      <w:tr w:rsidR="00701D61" w:rsidRPr="00CE7679" w14:paraId="49657ABD" w14:textId="77777777" w:rsidTr="00A27597">
        <w:trPr>
          <w:trHeight w:val="359"/>
        </w:trPr>
        <w:tc>
          <w:tcPr>
            <w:tcW w:w="2636" w:type="dxa"/>
            <w:tcBorders>
              <w:top w:val="single" w:sz="4" w:space="0" w:color="auto"/>
              <w:left w:val="nil"/>
              <w:bottom w:val="single" w:sz="4" w:space="0" w:color="auto"/>
            </w:tcBorders>
          </w:tcPr>
          <w:p w14:paraId="341DCB73" w14:textId="77777777" w:rsidR="00A27597" w:rsidRPr="00CE7679" w:rsidRDefault="00A27597" w:rsidP="00A27597">
            <w:pPr>
              <w:tabs>
                <w:tab w:val="clear" w:pos="567"/>
                <w:tab w:val="left" w:pos="0"/>
              </w:tabs>
              <w:autoSpaceDE w:val="0"/>
              <w:autoSpaceDN w:val="0"/>
              <w:adjustRightInd w:val="0"/>
              <w:spacing w:line="240" w:lineRule="auto"/>
              <w:rPr>
                <w:rFonts w:eastAsia="Calibri"/>
                <w:snapToGrid/>
                <w:szCs w:val="22"/>
              </w:rPr>
            </w:pPr>
            <w:r w:rsidRPr="00CE7679">
              <w:rPr>
                <w:rFonts w:eastAsia="Calibri"/>
                <w:snapToGrid/>
                <w:szCs w:val="22"/>
              </w:rPr>
              <w:t>Konsoliduojantis gydymas</w:t>
            </w:r>
          </w:p>
        </w:tc>
        <w:tc>
          <w:tcPr>
            <w:tcW w:w="6651" w:type="dxa"/>
            <w:tcBorders>
              <w:top w:val="single" w:sz="4" w:space="0" w:color="auto"/>
              <w:bottom w:val="single" w:sz="4" w:space="0" w:color="auto"/>
              <w:right w:val="nil"/>
            </w:tcBorders>
          </w:tcPr>
          <w:p w14:paraId="7612C6E7" w14:textId="3589055B" w:rsidR="00A27597" w:rsidRPr="00CE7679" w:rsidRDefault="00A27597" w:rsidP="00A27597">
            <w:pPr>
              <w:tabs>
                <w:tab w:val="clear" w:pos="567"/>
                <w:tab w:val="left" w:pos="34"/>
              </w:tabs>
              <w:autoSpaceDE w:val="0"/>
              <w:autoSpaceDN w:val="0"/>
              <w:adjustRightInd w:val="0"/>
              <w:spacing w:line="240" w:lineRule="auto"/>
              <w:ind w:left="34" w:hanging="34"/>
              <w:rPr>
                <w:rFonts w:eastAsia="Calibri"/>
                <w:snapToGrid/>
                <w:szCs w:val="22"/>
              </w:rPr>
            </w:pPr>
            <w:r w:rsidRPr="00CE7679">
              <w:rPr>
                <w:rFonts w:eastAsia="Calibri"/>
                <w:snapToGrid/>
                <w:szCs w:val="22"/>
              </w:rPr>
              <w:t>Pakaitinis chemoterapijos kursas: aukštos dozės chemoterapija su MTX 1 g/m</w:t>
            </w:r>
            <w:r w:rsidRPr="00CE7679">
              <w:rPr>
                <w:rFonts w:eastAsia="Calibri"/>
                <w:snapToGrid/>
                <w:szCs w:val="22"/>
                <w:vertAlign w:val="superscript"/>
              </w:rPr>
              <w:t>2</w:t>
            </w:r>
            <w:r w:rsidRPr="00CE7679">
              <w:rPr>
                <w:rFonts w:eastAsia="Calibri"/>
                <w:snapToGrid/>
                <w:szCs w:val="22"/>
              </w:rPr>
              <w:t xml:space="preserve"> </w:t>
            </w:r>
            <w:proofErr w:type="spellStart"/>
            <w:r w:rsidRPr="00CE7679">
              <w:rPr>
                <w:rFonts w:eastAsia="Calibri"/>
                <w:snapToGrid/>
                <w:szCs w:val="22"/>
              </w:rPr>
              <w:t>i.v</w:t>
            </w:r>
            <w:proofErr w:type="spellEnd"/>
            <w:r w:rsidRPr="00CE7679">
              <w:rPr>
                <w:rFonts w:eastAsia="Calibri"/>
                <w:snapToGrid/>
                <w:szCs w:val="22"/>
              </w:rPr>
              <w:t xml:space="preserve">. (24 valandos), 1 dieną, ir </w:t>
            </w:r>
            <w:proofErr w:type="spellStart"/>
            <w:r w:rsidRPr="00CE7679">
              <w:rPr>
                <w:rFonts w:eastAsia="Calibri"/>
                <w:snapToGrid/>
                <w:szCs w:val="22"/>
              </w:rPr>
              <w:t>Ara</w:t>
            </w:r>
            <w:proofErr w:type="spellEnd"/>
            <w:r w:rsidRPr="00CE7679">
              <w:rPr>
                <w:rFonts w:eastAsia="Calibri"/>
                <w:snapToGrid/>
                <w:szCs w:val="22"/>
              </w:rPr>
              <w:t>-C 2 g/m</w:t>
            </w:r>
            <w:r w:rsidRPr="00CE7679">
              <w:rPr>
                <w:rFonts w:eastAsia="Calibri"/>
                <w:snapToGrid/>
                <w:szCs w:val="22"/>
                <w:vertAlign w:val="superscript"/>
              </w:rPr>
              <w:t>2</w:t>
            </w:r>
            <w:r w:rsidRPr="00CE7679">
              <w:rPr>
                <w:rFonts w:eastAsia="Calibri"/>
                <w:snapToGrid/>
                <w:szCs w:val="22"/>
              </w:rPr>
              <w:t xml:space="preserve"> </w:t>
            </w:r>
            <w:proofErr w:type="spellStart"/>
            <w:r w:rsidRPr="00CE7679">
              <w:rPr>
                <w:rFonts w:eastAsia="Calibri"/>
                <w:snapToGrid/>
                <w:szCs w:val="22"/>
              </w:rPr>
              <w:t>i.v</w:t>
            </w:r>
            <w:proofErr w:type="spellEnd"/>
            <w:r w:rsidRPr="00CE7679">
              <w:rPr>
                <w:rFonts w:eastAsia="Calibri"/>
                <w:snapToGrid/>
                <w:szCs w:val="22"/>
              </w:rPr>
              <w:t>. (12 valandų), 2-3</w:t>
            </w:r>
            <w:r w:rsidR="004C7578">
              <w:rPr>
                <w:rFonts w:eastAsia="Calibri"/>
                <w:snapToGrid/>
                <w:szCs w:val="22"/>
              </w:rPr>
              <w:t> </w:t>
            </w:r>
            <w:r w:rsidRPr="00CE7679">
              <w:rPr>
                <w:rFonts w:eastAsia="Calibri"/>
                <w:snapToGrid/>
                <w:szCs w:val="22"/>
              </w:rPr>
              <w:t>dieną, 4 kursus.</w:t>
            </w:r>
          </w:p>
        </w:tc>
      </w:tr>
      <w:tr w:rsidR="00701D61" w:rsidRPr="00CE7679" w14:paraId="64854F9A" w14:textId="77777777" w:rsidTr="00A27597">
        <w:trPr>
          <w:trHeight w:val="122"/>
        </w:trPr>
        <w:tc>
          <w:tcPr>
            <w:tcW w:w="2636" w:type="dxa"/>
            <w:tcBorders>
              <w:top w:val="single" w:sz="4" w:space="0" w:color="auto"/>
              <w:left w:val="nil"/>
              <w:bottom w:val="single" w:sz="4" w:space="0" w:color="auto"/>
            </w:tcBorders>
          </w:tcPr>
          <w:p w14:paraId="55227103" w14:textId="77777777" w:rsidR="00A27597" w:rsidRPr="00CE7679" w:rsidRDefault="00A27597" w:rsidP="00A27597">
            <w:pPr>
              <w:tabs>
                <w:tab w:val="clear" w:pos="567"/>
                <w:tab w:val="left" w:pos="426"/>
              </w:tabs>
              <w:autoSpaceDE w:val="0"/>
              <w:autoSpaceDN w:val="0"/>
              <w:adjustRightInd w:val="0"/>
              <w:spacing w:line="240" w:lineRule="auto"/>
              <w:ind w:left="426" w:hanging="426"/>
              <w:rPr>
                <w:rFonts w:eastAsia="Calibri"/>
                <w:snapToGrid/>
                <w:szCs w:val="22"/>
              </w:rPr>
            </w:pPr>
            <w:r w:rsidRPr="00CE7679">
              <w:rPr>
                <w:rFonts w:eastAsia="Calibri"/>
                <w:snapToGrid/>
                <w:szCs w:val="22"/>
              </w:rPr>
              <w:lastRenderedPageBreak/>
              <w:t>Palaikomasis gydymas</w:t>
            </w:r>
          </w:p>
        </w:tc>
        <w:tc>
          <w:tcPr>
            <w:tcW w:w="6651" w:type="dxa"/>
            <w:tcBorders>
              <w:top w:val="single" w:sz="4" w:space="0" w:color="auto"/>
              <w:bottom w:val="single" w:sz="4" w:space="0" w:color="auto"/>
              <w:right w:val="nil"/>
            </w:tcBorders>
          </w:tcPr>
          <w:p w14:paraId="25565D74" w14:textId="77777777" w:rsidR="00A27597" w:rsidRPr="00CE7679" w:rsidRDefault="00A27597" w:rsidP="00A27597">
            <w:pPr>
              <w:tabs>
                <w:tab w:val="clear" w:pos="567"/>
                <w:tab w:val="left" w:pos="34"/>
              </w:tabs>
              <w:autoSpaceDE w:val="0"/>
              <w:autoSpaceDN w:val="0"/>
              <w:adjustRightInd w:val="0"/>
              <w:spacing w:line="240" w:lineRule="auto"/>
              <w:ind w:left="34" w:hanging="34"/>
              <w:rPr>
                <w:rFonts w:eastAsia="Calibri"/>
                <w:snapToGrid/>
                <w:szCs w:val="22"/>
              </w:rPr>
            </w:pPr>
            <w:r w:rsidRPr="00CE7679">
              <w:rPr>
                <w:rFonts w:eastAsia="Calibri"/>
                <w:snapToGrid/>
                <w:szCs w:val="22"/>
              </w:rPr>
              <w:t>VCR 1,3 g/m</w:t>
            </w:r>
            <w:r w:rsidRPr="00CE7679">
              <w:rPr>
                <w:rFonts w:eastAsia="Calibri"/>
                <w:snapToGrid/>
                <w:szCs w:val="22"/>
                <w:vertAlign w:val="superscript"/>
              </w:rPr>
              <w:t>2</w:t>
            </w:r>
            <w:r w:rsidRPr="00CE7679">
              <w:rPr>
                <w:rFonts w:eastAsia="Calibri"/>
                <w:snapToGrid/>
                <w:szCs w:val="22"/>
              </w:rPr>
              <w:t xml:space="preserve">  </w:t>
            </w:r>
            <w:proofErr w:type="spellStart"/>
            <w:r w:rsidRPr="00CE7679">
              <w:rPr>
                <w:rFonts w:eastAsia="Calibri"/>
                <w:snapToGrid/>
                <w:szCs w:val="22"/>
              </w:rPr>
              <w:t>i.v</w:t>
            </w:r>
            <w:proofErr w:type="spellEnd"/>
            <w:r w:rsidRPr="00CE7679">
              <w:rPr>
                <w:rFonts w:eastAsia="Calibri"/>
                <w:snapToGrid/>
                <w:szCs w:val="22"/>
              </w:rPr>
              <w:t xml:space="preserve">., 1 dieną; </w:t>
            </w:r>
          </w:p>
          <w:p w14:paraId="7D4BEB0D" w14:textId="77777777" w:rsidR="00A27597" w:rsidRPr="00CE7679" w:rsidRDefault="00A27597" w:rsidP="00A27597">
            <w:pPr>
              <w:tabs>
                <w:tab w:val="clear" w:pos="567"/>
                <w:tab w:val="left" w:pos="34"/>
              </w:tabs>
              <w:autoSpaceDE w:val="0"/>
              <w:autoSpaceDN w:val="0"/>
              <w:adjustRightInd w:val="0"/>
              <w:spacing w:line="240" w:lineRule="auto"/>
              <w:ind w:left="34" w:hanging="34"/>
              <w:rPr>
                <w:rFonts w:eastAsia="Calibri"/>
                <w:snapToGrid/>
                <w:szCs w:val="22"/>
              </w:rPr>
            </w:pPr>
            <w:r w:rsidRPr="00CE7679">
              <w:rPr>
                <w:rFonts w:eastAsia="Calibri"/>
                <w:snapToGrid/>
                <w:szCs w:val="22"/>
              </w:rPr>
              <w:t>gerti prednizoloną 60 mg/m</w:t>
            </w:r>
            <w:r w:rsidRPr="00CE7679">
              <w:rPr>
                <w:rFonts w:eastAsia="Calibri"/>
                <w:snapToGrid/>
                <w:szCs w:val="22"/>
                <w:vertAlign w:val="superscript"/>
              </w:rPr>
              <w:t>2</w:t>
            </w:r>
            <w:r w:rsidRPr="00CE7679">
              <w:rPr>
                <w:rFonts w:eastAsia="Calibri"/>
                <w:snapToGrid/>
                <w:szCs w:val="22"/>
              </w:rPr>
              <w:t>, 1-5 dienas.</w:t>
            </w:r>
          </w:p>
        </w:tc>
      </w:tr>
      <w:tr w:rsidR="00701D61" w:rsidRPr="00CE7679" w14:paraId="164A0659" w14:textId="77777777" w:rsidTr="00A27597">
        <w:trPr>
          <w:trHeight w:val="98"/>
        </w:trPr>
        <w:tc>
          <w:tcPr>
            <w:tcW w:w="9287" w:type="dxa"/>
            <w:gridSpan w:val="2"/>
            <w:tcBorders>
              <w:top w:val="single" w:sz="4" w:space="0" w:color="auto"/>
              <w:left w:val="nil"/>
              <w:bottom w:val="single" w:sz="4" w:space="0" w:color="auto"/>
              <w:right w:val="nil"/>
            </w:tcBorders>
          </w:tcPr>
          <w:p w14:paraId="694BA6C7" w14:textId="77777777" w:rsidR="00A27597" w:rsidRPr="00CE7679" w:rsidRDefault="00A27597" w:rsidP="00A27597">
            <w:pPr>
              <w:tabs>
                <w:tab w:val="clear" w:pos="567"/>
                <w:tab w:val="left" w:pos="426"/>
              </w:tabs>
              <w:autoSpaceDE w:val="0"/>
              <w:autoSpaceDN w:val="0"/>
              <w:adjustRightInd w:val="0"/>
              <w:spacing w:line="240" w:lineRule="auto"/>
              <w:ind w:left="426" w:hanging="426"/>
              <w:rPr>
                <w:rFonts w:eastAsia="Calibri"/>
                <w:snapToGrid/>
                <w:szCs w:val="22"/>
              </w:rPr>
            </w:pPr>
            <w:r w:rsidRPr="00CE7679">
              <w:rPr>
                <w:rFonts w:eastAsia="Calibri"/>
                <w:b/>
                <w:bCs/>
                <w:snapToGrid/>
                <w:szCs w:val="22"/>
              </w:rPr>
              <w:t>AUS01 tyrimas</w:t>
            </w:r>
          </w:p>
        </w:tc>
      </w:tr>
      <w:tr w:rsidR="00701D61" w:rsidRPr="00CE7679" w14:paraId="4C71B881" w14:textId="77777777" w:rsidTr="00A27597">
        <w:trPr>
          <w:trHeight w:val="640"/>
        </w:trPr>
        <w:tc>
          <w:tcPr>
            <w:tcW w:w="2636" w:type="dxa"/>
            <w:tcBorders>
              <w:top w:val="single" w:sz="4" w:space="0" w:color="auto"/>
              <w:left w:val="nil"/>
              <w:bottom w:val="single" w:sz="4" w:space="0" w:color="auto"/>
            </w:tcBorders>
          </w:tcPr>
          <w:p w14:paraId="30E246F2" w14:textId="77777777" w:rsidR="00A27597" w:rsidRPr="00CE7679" w:rsidRDefault="00A27597" w:rsidP="00A27597">
            <w:pPr>
              <w:tabs>
                <w:tab w:val="clear" w:pos="567"/>
                <w:tab w:val="left" w:pos="0"/>
              </w:tabs>
              <w:autoSpaceDE w:val="0"/>
              <w:autoSpaceDN w:val="0"/>
              <w:adjustRightInd w:val="0"/>
              <w:spacing w:line="240" w:lineRule="auto"/>
              <w:rPr>
                <w:rFonts w:eastAsia="Calibri"/>
                <w:snapToGrid/>
                <w:szCs w:val="22"/>
              </w:rPr>
            </w:pPr>
            <w:r w:rsidRPr="00CE7679">
              <w:rPr>
                <w:rFonts w:eastAsia="Calibri"/>
                <w:snapToGrid/>
                <w:szCs w:val="22"/>
              </w:rPr>
              <w:t>Pradinis – konsoliduojantis gydymas</w:t>
            </w:r>
          </w:p>
        </w:tc>
        <w:tc>
          <w:tcPr>
            <w:tcW w:w="6651" w:type="dxa"/>
            <w:tcBorders>
              <w:top w:val="single" w:sz="4" w:space="0" w:color="auto"/>
              <w:bottom w:val="single" w:sz="4" w:space="0" w:color="auto"/>
              <w:right w:val="nil"/>
            </w:tcBorders>
          </w:tcPr>
          <w:p w14:paraId="73C877BF" w14:textId="77777777" w:rsidR="00A27597" w:rsidRPr="00CE7679" w:rsidRDefault="00A27597" w:rsidP="00A27597">
            <w:pPr>
              <w:tabs>
                <w:tab w:val="clear" w:pos="567"/>
                <w:tab w:val="left" w:pos="34"/>
              </w:tabs>
              <w:autoSpaceDE w:val="0"/>
              <w:autoSpaceDN w:val="0"/>
              <w:adjustRightInd w:val="0"/>
              <w:spacing w:line="240" w:lineRule="auto"/>
              <w:ind w:left="34"/>
              <w:rPr>
                <w:rFonts w:eastAsia="Calibri"/>
                <w:snapToGrid/>
                <w:szCs w:val="22"/>
              </w:rPr>
            </w:pPr>
            <w:proofErr w:type="spellStart"/>
            <w:r w:rsidRPr="00CE7679">
              <w:rPr>
                <w:rFonts w:eastAsia="Calibri"/>
                <w:snapToGrid/>
                <w:szCs w:val="22"/>
              </w:rPr>
              <w:t>Hiper</w:t>
            </w:r>
            <w:proofErr w:type="spellEnd"/>
            <w:r w:rsidRPr="00CE7679">
              <w:rPr>
                <w:rFonts w:eastAsia="Calibri"/>
                <w:snapToGrid/>
                <w:szCs w:val="22"/>
              </w:rPr>
              <w:t>-CVAD gydymas: CP 300 mg/m</w:t>
            </w:r>
            <w:r w:rsidRPr="00CE7679">
              <w:rPr>
                <w:rFonts w:eastAsia="Calibri"/>
                <w:snapToGrid/>
                <w:szCs w:val="22"/>
                <w:vertAlign w:val="superscript"/>
              </w:rPr>
              <w:t>2</w:t>
            </w:r>
            <w:r w:rsidRPr="00CE7679">
              <w:rPr>
                <w:rFonts w:eastAsia="Calibri"/>
                <w:snapToGrid/>
                <w:szCs w:val="22"/>
              </w:rPr>
              <w:t xml:space="preserve"> </w:t>
            </w:r>
            <w:proofErr w:type="spellStart"/>
            <w:r w:rsidRPr="00CE7679">
              <w:rPr>
                <w:rFonts w:eastAsia="Calibri"/>
                <w:snapToGrid/>
                <w:szCs w:val="22"/>
              </w:rPr>
              <w:t>i.v</w:t>
            </w:r>
            <w:proofErr w:type="spellEnd"/>
            <w:r w:rsidRPr="00CE7679">
              <w:rPr>
                <w:rFonts w:eastAsia="Calibri"/>
                <w:snapToGrid/>
                <w:szCs w:val="22"/>
              </w:rPr>
              <w:t xml:space="preserve">. (3 valandos, 12 valandų), 1-3 dienas; </w:t>
            </w:r>
          </w:p>
          <w:p w14:paraId="6CA6BF50" w14:textId="77777777" w:rsidR="00A27597" w:rsidRPr="00CE7679" w:rsidRDefault="00A27597" w:rsidP="00A27597">
            <w:pPr>
              <w:tabs>
                <w:tab w:val="clear" w:pos="567"/>
                <w:tab w:val="left" w:pos="34"/>
              </w:tabs>
              <w:autoSpaceDE w:val="0"/>
              <w:autoSpaceDN w:val="0"/>
              <w:adjustRightInd w:val="0"/>
              <w:spacing w:line="240" w:lineRule="auto"/>
              <w:ind w:left="34"/>
              <w:rPr>
                <w:rFonts w:eastAsia="Calibri"/>
                <w:snapToGrid/>
                <w:szCs w:val="22"/>
              </w:rPr>
            </w:pPr>
            <w:proofErr w:type="spellStart"/>
            <w:r w:rsidRPr="00CE7679">
              <w:rPr>
                <w:rFonts w:eastAsia="Calibri"/>
                <w:snapToGrid/>
                <w:szCs w:val="22"/>
              </w:rPr>
              <w:t>vinkristinas</w:t>
            </w:r>
            <w:proofErr w:type="spellEnd"/>
            <w:r w:rsidRPr="00CE7679">
              <w:rPr>
                <w:rFonts w:eastAsia="Calibri"/>
                <w:snapToGrid/>
                <w:szCs w:val="22"/>
              </w:rPr>
              <w:t xml:space="preserve"> 2 mg </w:t>
            </w:r>
            <w:proofErr w:type="spellStart"/>
            <w:r w:rsidRPr="00CE7679">
              <w:rPr>
                <w:rFonts w:eastAsia="Calibri"/>
                <w:snapToGrid/>
                <w:szCs w:val="22"/>
              </w:rPr>
              <w:t>i.v</w:t>
            </w:r>
            <w:proofErr w:type="spellEnd"/>
            <w:r w:rsidRPr="00CE7679">
              <w:rPr>
                <w:rFonts w:eastAsia="Calibri"/>
                <w:snapToGrid/>
                <w:szCs w:val="22"/>
              </w:rPr>
              <w:t xml:space="preserve">., 4, 11 dieną; </w:t>
            </w:r>
          </w:p>
          <w:p w14:paraId="540653AD" w14:textId="77777777" w:rsidR="00A27597" w:rsidRPr="00CE7679" w:rsidRDefault="00A27597" w:rsidP="00A27597">
            <w:pPr>
              <w:tabs>
                <w:tab w:val="clear" w:pos="567"/>
                <w:tab w:val="left" w:pos="34"/>
              </w:tabs>
              <w:autoSpaceDE w:val="0"/>
              <w:autoSpaceDN w:val="0"/>
              <w:adjustRightInd w:val="0"/>
              <w:spacing w:line="240" w:lineRule="auto"/>
              <w:ind w:left="34"/>
              <w:rPr>
                <w:rFonts w:eastAsia="Calibri"/>
                <w:snapToGrid/>
                <w:szCs w:val="22"/>
              </w:rPr>
            </w:pPr>
            <w:proofErr w:type="spellStart"/>
            <w:r w:rsidRPr="00CE7679">
              <w:rPr>
                <w:rFonts w:eastAsia="Calibri"/>
                <w:snapToGrid/>
                <w:szCs w:val="22"/>
              </w:rPr>
              <w:t>doksorubicinas</w:t>
            </w:r>
            <w:proofErr w:type="spellEnd"/>
            <w:r w:rsidRPr="00CE7679">
              <w:rPr>
                <w:rFonts w:eastAsia="Calibri"/>
                <w:snapToGrid/>
                <w:szCs w:val="22"/>
              </w:rPr>
              <w:t xml:space="preserve"> 50 mg/m</w:t>
            </w:r>
            <w:r w:rsidRPr="00CE7679">
              <w:rPr>
                <w:rFonts w:eastAsia="Calibri"/>
                <w:snapToGrid/>
                <w:szCs w:val="22"/>
                <w:vertAlign w:val="superscript"/>
              </w:rPr>
              <w:t>2</w:t>
            </w:r>
            <w:r w:rsidRPr="00CE7679">
              <w:rPr>
                <w:rFonts w:eastAsia="Calibri"/>
                <w:snapToGrid/>
                <w:szCs w:val="22"/>
              </w:rPr>
              <w:t xml:space="preserve"> </w:t>
            </w:r>
            <w:proofErr w:type="spellStart"/>
            <w:r w:rsidRPr="00CE7679">
              <w:rPr>
                <w:rFonts w:eastAsia="Calibri"/>
                <w:snapToGrid/>
                <w:szCs w:val="22"/>
              </w:rPr>
              <w:t>i.v</w:t>
            </w:r>
            <w:proofErr w:type="spellEnd"/>
            <w:r w:rsidRPr="00CE7679">
              <w:rPr>
                <w:rFonts w:eastAsia="Calibri"/>
                <w:snapToGrid/>
                <w:szCs w:val="22"/>
              </w:rPr>
              <w:t xml:space="preserve">. (24 valandos), 4 dieną; </w:t>
            </w:r>
          </w:p>
          <w:p w14:paraId="11C4F82E" w14:textId="77777777" w:rsidR="00A27597" w:rsidRPr="00CE7679" w:rsidRDefault="00A27597" w:rsidP="00A27597">
            <w:pPr>
              <w:tabs>
                <w:tab w:val="clear" w:pos="567"/>
                <w:tab w:val="left" w:pos="34"/>
              </w:tabs>
              <w:autoSpaceDE w:val="0"/>
              <w:autoSpaceDN w:val="0"/>
              <w:adjustRightInd w:val="0"/>
              <w:spacing w:line="240" w:lineRule="auto"/>
              <w:ind w:left="34"/>
              <w:rPr>
                <w:rFonts w:eastAsia="Calibri"/>
                <w:snapToGrid/>
                <w:szCs w:val="22"/>
              </w:rPr>
            </w:pPr>
            <w:r w:rsidRPr="00CE7679">
              <w:rPr>
                <w:rFonts w:eastAsia="Calibri"/>
                <w:snapToGrid/>
                <w:szCs w:val="22"/>
              </w:rPr>
              <w:t>DEX 40 mg/per parą 1-4 dienas ir 11-14 dienas, keičiamas MTX 1 g/m</w:t>
            </w:r>
            <w:r w:rsidRPr="00CE7679">
              <w:rPr>
                <w:rFonts w:eastAsia="Calibri"/>
                <w:snapToGrid/>
                <w:szCs w:val="22"/>
                <w:vertAlign w:val="superscript"/>
              </w:rPr>
              <w:t>2</w:t>
            </w:r>
            <w:r w:rsidRPr="00CE7679">
              <w:rPr>
                <w:rFonts w:eastAsia="Calibri"/>
                <w:snapToGrid/>
                <w:szCs w:val="22"/>
              </w:rPr>
              <w:t xml:space="preserve"> </w:t>
            </w:r>
            <w:proofErr w:type="spellStart"/>
            <w:r w:rsidRPr="00CE7679">
              <w:rPr>
                <w:rFonts w:eastAsia="Calibri"/>
                <w:snapToGrid/>
                <w:szCs w:val="22"/>
              </w:rPr>
              <w:t>i.v</w:t>
            </w:r>
            <w:proofErr w:type="spellEnd"/>
            <w:r w:rsidRPr="00CE7679">
              <w:rPr>
                <w:rFonts w:eastAsia="Calibri"/>
                <w:snapToGrid/>
                <w:szCs w:val="22"/>
              </w:rPr>
              <w:t xml:space="preserve">. (24 valandos), 1 dieną, </w:t>
            </w:r>
            <w:proofErr w:type="spellStart"/>
            <w:r w:rsidRPr="00CE7679">
              <w:rPr>
                <w:rFonts w:eastAsia="Calibri"/>
                <w:snapToGrid/>
                <w:szCs w:val="22"/>
              </w:rPr>
              <w:t>Ara</w:t>
            </w:r>
            <w:proofErr w:type="spellEnd"/>
            <w:r w:rsidRPr="00CE7679">
              <w:rPr>
                <w:rFonts w:eastAsia="Calibri"/>
                <w:snapToGrid/>
                <w:szCs w:val="22"/>
              </w:rPr>
              <w:t>-C 1 g/m</w:t>
            </w:r>
            <w:r w:rsidRPr="00CE7679">
              <w:rPr>
                <w:rFonts w:eastAsia="Calibri"/>
                <w:snapToGrid/>
                <w:szCs w:val="22"/>
                <w:vertAlign w:val="superscript"/>
              </w:rPr>
              <w:t>2</w:t>
            </w:r>
            <w:r w:rsidRPr="00CE7679">
              <w:rPr>
                <w:rFonts w:eastAsia="Calibri"/>
                <w:snapToGrid/>
                <w:szCs w:val="22"/>
              </w:rPr>
              <w:t xml:space="preserve"> </w:t>
            </w:r>
            <w:proofErr w:type="spellStart"/>
            <w:r w:rsidRPr="00CE7679">
              <w:rPr>
                <w:rFonts w:eastAsia="Calibri"/>
                <w:snapToGrid/>
                <w:szCs w:val="22"/>
              </w:rPr>
              <w:t>i.v</w:t>
            </w:r>
            <w:proofErr w:type="spellEnd"/>
            <w:r w:rsidRPr="00CE7679">
              <w:rPr>
                <w:rFonts w:eastAsia="Calibri"/>
                <w:snapToGrid/>
                <w:szCs w:val="22"/>
              </w:rPr>
              <w:t>. (2 valandos, 12 valandų), 2-3 dieną (iš viso 8 kursai).</w:t>
            </w:r>
          </w:p>
        </w:tc>
      </w:tr>
      <w:tr w:rsidR="00701D61" w:rsidRPr="00CE7679" w14:paraId="0BB1F30C" w14:textId="77777777" w:rsidTr="00A27597">
        <w:trPr>
          <w:trHeight w:val="229"/>
        </w:trPr>
        <w:tc>
          <w:tcPr>
            <w:tcW w:w="2636" w:type="dxa"/>
            <w:tcBorders>
              <w:top w:val="single" w:sz="4" w:space="0" w:color="auto"/>
              <w:left w:val="nil"/>
              <w:bottom w:val="single" w:sz="4" w:space="0" w:color="auto"/>
            </w:tcBorders>
          </w:tcPr>
          <w:p w14:paraId="41C004C1" w14:textId="77777777" w:rsidR="00A27597" w:rsidRPr="00CE7679" w:rsidRDefault="00A27597" w:rsidP="00A27597">
            <w:pPr>
              <w:tabs>
                <w:tab w:val="clear" w:pos="567"/>
                <w:tab w:val="left" w:pos="426"/>
              </w:tabs>
              <w:autoSpaceDE w:val="0"/>
              <w:autoSpaceDN w:val="0"/>
              <w:adjustRightInd w:val="0"/>
              <w:spacing w:line="240" w:lineRule="auto"/>
              <w:ind w:left="426" w:hanging="426"/>
              <w:rPr>
                <w:rFonts w:eastAsia="Calibri"/>
                <w:snapToGrid/>
                <w:szCs w:val="22"/>
              </w:rPr>
            </w:pPr>
            <w:r w:rsidRPr="00CE7679">
              <w:rPr>
                <w:rFonts w:eastAsia="Calibri"/>
                <w:snapToGrid/>
                <w:szCs w:val="22"/>
              </w:rPr>
              <w:t>Palaikomasis gydymas</w:t>
            </w:r>
          </w:p>
        </w:tc>
        <w:tc>
          <w:tcPr>
            <w:tcW w:w="6651" w:type="dxa"/>
            <w:tcBorders>
              <w:top w:val="single" w:sz="4" w:space="0" w:color="auto"/>
              <w:bottom w:val="single" w:sz="4" w:space="0" w:color="auto"/>
              <w:right w:val="nil"/>
            </w:tcBorders>
          </w:tcPr>
          <w:p w14:paraId="7E833C6C" w14:textId="649F492D" w:rsidR="00A27597" w:rsidRPr="00CE7679" w:rsidRDefault="00A27597" w:rsidP="00A27597">
            <w:pPr>
              <w:tabs>
                <w:tab w:val="clear" w:pos="567"/>
                <w:tab w:val="left" w:pos="34"/>
              </w:tabs>
              <w:autoSpaceDE w:val="0"/>
              <w:autoSpaceDN w:val="0"/>
              <w:adjustRightInd w:val="0"/>
              <w:spacing w:line="240" w:lineRule="auto"/>
              <w:ind w:left="34"/>
              <w:rPr>
                <w:rFonts w:eastAsia="Calibri"/>
                <w:snapToGrid/>
                <w:szCs w:val="22"/>
              </w:rPr>
            </w:pPr>
            <w:r w:rsidRPr="00CE7679">
              <w:rPr>
                <w:rFonts w:eastAsia="Calibri"/>
                <w:snapToGrid/>
                <w:szCs w:val="22"/>
              </w:rPr>
              <w:t xml:space="preserve">VCR 2 mg </w:t>
            </w:r>
            <w:proofErr w:type="spellStart"/>
            <w:r w:rsidRPr="00CE7679">
              <w:rPr>
                <w:rFonts w:eastAsia="Calibri"/>
                <w:snapToGrid/>
                <w:szCs w:val="22"/>
              </w:rPr>
              <w:t>i.v</w:t>
            </w:r>
            <w:proofErr w:type="spellEnd"/>
            <w:r w:rsidRPr="00CE7679">
              <w:rPr>
                <w:rFonts w:eastAsia="Calibri"/>
                <w:snapToGrid/>
                <w:szCs w:val="22"/>
              </w:rPr>
              <w:t>. kas mėnesį 13 mėnesių; gerti prednizoloną po 200 mg, 5</w:t>
            </w:r>
            <w:r w:rsidR="00C4050B">
              <w:rPr>
                <w:rFonts w:eastAsia="Calibri"/>
              </w:rPr>
              <w:t> </w:t>
            </w:r>
            <w:r w:rsidRPr="00CE7679">
              <w:rPr>
                <w:rFonts w:eastAsia="Calibri"/>
                <w:snapToGrid/>
                <w:szCs w:val="22"/>
              </w:rPr>
              <w:t>dienas per mėnesį 13 mėnesių.</w:t>
            </w:r>
          </w:p>
        </w:tc>
      </w:tr>
      <w:tr w:rsidR="00701D61" w:rsidRPr="00CE7679" w14:paraId="74F933ED" w14:textId="77777777" w:rsidTr="00A27597">
        <w:trPr>
          <w:trHeight w:val="100"/>
        </w:trPr>
        <w:tc>
          <w:tcPr>
            <w:tcW w:w="9287" w:type="dxa"/>
            <w:gridSpan w:val="2"/>
            <w:tcBorders>
              <w:top w:val="single" w:sz="4" w:space="0" w:color="auto"/>
              <w:left w:val="nil"/>
              <w:bottom w:val="single" w:sz="4" w:space="0" w:color="auto"/>
              <w:right w:val="nil"/>
            </w:tcBorders>
          </w:tcPr>
          <w:p w14:paraId="44C5D7EB" w14:textId="77777777" w:rsidR="00A27597" w:rsidRPr="00CE7679" w:rsidRDefault="00A27597" w:rsidP="00A27597">
            <w:pPr>
              <w:tabs>
                <w:tab w:val="clear" w:pos="567"/>
                <w:tab w:val="left" w:pos="426"/>
              </w:tabs>
              <w:autoSpaceDE w:val="0"/>
              <w:autoSpaceDN w:val="0"/>
              <w:adjustRightInd w:val="0"/>
              <w:spacing w:line="240" w:lineRule="auto"/>
              <w:ind w:left="426" w:hanging="426"/>
              <w:rPr>
                <w:rFonts w:eastAsia="Calibri"/>
                <w:snapToGrid/>
                <w:szCs w:val="22"/>
              </w:rPr>
            </w:pPr>
            <w:r w:rsidRPr="00CE7679">
              <w:rPr>
                <w:rFonts w:eastAsia="Calibri"/>
                <w:snapToGrid/>
                <w:szCs w:val="22"/>
              </w:rPr>
              <w:t>Visi gydymo režimai taikomi vartojant steroidų CNS ligų profilaktikai.</w:t>
            </w:r>
          </w:p>
        </w:tc>
      </w:tr>
      <w:tr w:rsidR="00701D61" w:rsidRPr="00CE7679" w14:paraId="0BBABC17" w14:textId="77777777" w:rsidTr="00A27597">
        <w:trPr>
          <w:trHeight w:val="359"/>
        </w:trPr>
        <w:tc>
          <w:tcPr>
            <w:tcW w:w="9287" w:type="dxa"/>
            <w:gridSpan w:val="2"/>
            <w:tcBorders>
              <w:top w:val="single" w:sz="4" w:space="0" w:color="auto"/>
              <w:left w:val="nil"/>
              <w:bottom w:val="single" w:sz="4" w:space="0" w:color="auto"/>
              <w:right w:val="nil"/>
            </w:tcBorders>
          </w:tcPr>
          <w:p w14:paraId="1749F7F9" w14:textId="77777777" w:rsidR="00A27597" w:rsidRPr="00CE7679" w:rsidRDefault="00A27597" w:rsidP="00A27597">
            <w:pPr>
              <w:tabs>
                <w:tab w:val="clear" w:pos="567"/>
                <w:tab w:val="left" w:pos="0"/>
              </w:tabs>
              <w:autoSpaceDE w:val="0"/>
              <w:autoSpaceDN w:val="0"/>
              <w:adjustRightInd w:val="0"/>
              <w:spacing w:line="240" w:lineRule="auto"/>
              <w:rPr>
                <w:rFonts w:eastAsia="Calibri"/>
                <w:snapToGrid/>
                <w:szCs w:val="22"/>
              </w:rPr>
            </w:pPr>
            <w:proofErr w:type="spellStart"/>
            <w:r w:rsidRPr="00CE7679">
              <w:rPr>
                <w:rFonts w:eastAsia="Calibri"/>
                <w:snapToGrid/>
                <w:szCs w:val="22"/>
              </w:rPr>
              <w:t>Ara</w:t>
            </w:r>
            <w:proofErr w:type="spellEnd"/>
            <w:r w:rsidRPr="00CE7679">
              <w:rPr>
                <w:rFonts w:eastAsia="Calibri"/>
                <w:snapToGrid/>
                <w:szCs w:val="22"/>
              </w:rPr>
              <w:t xml:space="preserve">-C: </w:t>
            </w:r>
            <w:proofErr w:type="spellStart"/>
            <w:r w:rsidRPr="00CE7679">
              <w:rPr>
                <w:rFonts w:eastAsia="Calibri"/>
                <w:snapToGrid/>
                <w:szCs w:val="22"/>
              </w:rPr>
              <w:t>citozino</w:t>
            </w:r>
            <w:proofErr w:type="spellEnd"/>
            <w:r w:rsidRPr="00CE7679">
              <w:rPr>
                <w:rFonts w:eastAsia="Calibri"/>
                <w:snapToGrid/>
                <w:szCs w:val="22"/>
              </w:rPr>
              <w:t xml:space="preserve"> </w:t>
            </w:r>
            <w:proofErr w:type="spellStart"/>
            <w:r w:rsidRPr="00CE7679">
              <w:rPr>
                <w:rFonts w:eastAsia="Calibri"/>
                <w:snapToGrid/>
                <w:szCs w:val="22"/>
              </w:rPr>
              <w:t>arabinozidas</w:t>
            </w:r>
            <w:proofErr w:type="spellEnd"/>
            <w:r w:rsidRPr="00CE7679">
              <w:rPr>
                <w:rFonts w:eastAsia="Calibri"/>
                <w:snapToGrid/>
                <w:szCs w:val="22"/>
              </w:rPr>
              <w:t xml:space="preserve">; CP: </w:t>
            </w:r>
            <w:proofErr w:type="spellStart"/>
            <w:r w:rsidRPr="00CE7679">
              <w:rPr>
                <w:rFonts w:eastAsia="Calibri"/>
                <w:snapToGrid/>
                <w:szCs w:val="22"/>
              </w:rPr>
              <w:t>ciklofosfamidas</w:t>
            </w:r>
            <w:proofErr w:type="spellEnd"/>
            <w:r w:rsidRPr="00CE7679">
              <w:rPr>
                <w:rFonts w:eastAsia="Calibri"/>
                <w:snapToGrid/>
                <w:szCs w:val="22"/>
              </w:rPr>
              <w:t xml:space="preserve">; DEX: </w:t>
            </w:r>
            <w:proofErr w:type="spellStart"/>
            <w:r w:rsidRPr="00CE7679">
              <w:rPr>
                <w:rFonts w:eastAsia="Calibri"/>
                <w:snapToGrid/>
                <w:szCs w:val="22"/>
              </w:rPr>
              <w:t>deksametazonas</w:t>
            </w:r>
            <w:proofErr w:type="spellEnd"/>
            <w:r w:rsidRPr="00CE7679">
              <w:rPr>
                <w:rFonts w:eastAsia="Calibri"/>
                <w:snapToGrid/>
                <w:szCs w:val="22"/>
              </w:rPr>
              <w:t xml:space="preserve">; MTX: </w:t>
            </w:r>
            <w:proofErr w:type="spellStart"/>
            <w:r w:rsidRPr="00CE7679">
              <w:rPr>
                <w:rFonts w:eastAsia="Calibri"/>
                <w:snapToGrid/>
                <w:szCs w:val="22"/>
              </w:rPr>
              <w:t>metotreksatas</w:t>
            </w:r>
            <w:proofErr w:type="spellEnd"/>
            <w:r w:rsidRPr="00CE7679">
              <w:rPr>
                <w:rFonts w:eastAsia="Calibri"/>
                <w:snapToGrid/>
                <w:szCs w:val="22"/>
              </w:rPr>
              <w:t xml:space="preserve">; 6-MP: 6-merkaptopurinas; VM26: </w:t>
            </w:r>
            <w:proofErr w:type="spellStart"/>
            <w:r w:rsidRPr="00CE7679">
              <w:rPr>
                <w:rFonts w:eastAsia="Calibri"/>
                <w:snapToGrid/>
                <w:szCs w:val="22"/>
              </w:rPr>
              <w:t>tenipozidas</w:t>
            </w:r>
            <w:proofErr w:type="spellEnd"/>
            <w:r w:rsidRPr="00CE7679">
              <w:rPr>
                <w:rFonts w:eastAsia="Calibri"/>
                <w:snapToGrid/>
                <w:szCs w:val="22"/>
              </w:rPr>
              <w:t xml:space="preserve">; VCR: </w:t>
            </w:r>
            <w:proofErr w:type="spellStart"/>
            <w:r w:rsidRPr="00CE7679">
              <w:rPr>
                <w:rFonts w:eastAsia="Calibri"/>
                <w:snapToGrid/>
                <w:szCs w:val="22"/>
              </w:rPr>
              <w:t>vinkristinas</w:t>
            </w:r>
            <w:proofErr w:type="spellEnd"/>
            <w:r w:rsidRPr="00CE7679">
              <w:rPr>
                <w:rFonts w:eastAsia="Calibri"/>
                <w:snapToGrid/>
                <w:szCs w:val="22"/>
              </w:rPr>
              <w:t xml:space="preserve">; IDA: </w:t>
            </w:r>
            <w:proofErr w:type="spellStart"/>
            <w:r w:rsidRPr="00CE7679">
              <w:rPr>
                <w:rFonts w:eastAsia="Calibri"/>
                <w:snapToGrid/>
                <w:szCs w:val="22"/>
              </w:rPr>
              <w:t>idarubicinas</w:t>
            </w:r>
            <w:proofErr w:type="spellEnd"/>
            <w:r w:rsidRPr="00CE7679">
              <w:rPr>
                <w:rFonts w:eastAsia="Calibri"/>
                <w:snapToGrid/>
                <w:szCs w:val="22"/>
              </w:rPr>
              <w:t xml:space="preserve">; </w:t>
            </w:r>
            <w:proofErr w:type="spellStart"/>
            <w:r w:rsidRPr="00CE7679">
              <w:rPr>
                <w:rFonts w:eastAsia="Calibri"/>
                <w:snapToGrid/>
                <w:szCs w:val="22"/>
              </w:rPr>
              <w:t>i.v</w:t>
            </w:r>
            <w:proofErr w:type="spellEnd"/>
            <w:r w:rsidRPr="00CE7679">
              <w:rPr>
                <w:rFonts w:eastAsia="Calibri"/>
                <w:snapToGrid/>
                <w:szCs w:val="22"/>
              </w:rPr>
              <w:t>.: vartoti į veną.</w:t>
            </w:r>
          </w:p>
        </w:tc>
      </w:tr>
    </w:tbl>
    <w:p w14:paraId="15CE6D6A" w14:textId="77777777" w:rsidR="00A27597" w:rsidRPr="00CE7679" w:rsidRDefault="00A27597" w:rsidP="00A27597">
      <w:pPr>
        <w:tabs>
          <w:tab w:val="clear" w:pos="567"/>
        </w:tabs>
        <w:spacing w:line="240" w:lineRule="auto"/>
        <w:jc w:val="both"/>
        <w:rPr>
          <w:iCs/>
          <w:snapToGrid/>
          <w:szCs w:val="22"/>
        </w:rPr>
      </w:pPr>
    </w:p>
    <w:p w14:paraId="2B4831AF" w14:textId="77777777" w:rsidR="00A27597" w:rsidRPr="00CE7679" w:rsidRDefault="00A27597" w:rsidP="00A27597">
      <w:pPr>
        <w:spacing w:line="240" w:lineRule="auto"/>
        <w:rPr>
          <w:rFonts w:eastAsia="SimSun"/>
          <w:snapToGrid/>
          <w:szCs w:val="22"/>
          <w:lang w:eastAsia="zh-CN"/>
        </w:rPr>
      </w:pPr>
      <w:r w:rsidRPr="00CE7679">
        <w:rPr>
          <w:rFonts w:eastAsia="SimSun"/>
          <w:i/>
          <w:snapToGrid/>
          <w:szCs w:val="22"/>
          <w:lang w:eastAsia="zh-CN"/>
        </w:rPr>
        <w:t>Vaikų populiacija:</w:t>
      </w:r>
      <w:r w:rsidRPr="00CE7679">
        <w:rPr>
          <w:rFonts w:eastAsia="SimSun"/>
          <w:snapToGrid/>
          <w:szCs w:val="22"/>
          <w:lang w:eastAsia="zh-CN"/>
        </w:rPr>
        <w:t xml:space="preserve"> Į atvirąjį, </w:t>
      </w:r>
      <w:proofErr w:type="spellStart"/>
      <w:r w:rsidRPr="00CE7679">
        <w:rPr>
          <w:rFonts w:eastAsia="SimSun"/>
          <w:snapToGrid/>
          <w:szCs w:val="22"/>
          <w:lang w:eastAsia="zh-CN"/>
        </w:rPr>
        <w:t>daugiacentrį</w:t>
      </w:r>
      <w:proofErr w:type="spellEnd"/>
      <w:r w:rsidRPr="00CE7679">
        <w:rPr>
          <w:rFonts w:eastAsia="SimSun"/>
          <w:snapToGrid/>
          <w:szCs w:val="22"/>
          <w:lang w:eastAsia="zh-CN"/>
        </w:rPr>
        <w:t>, nuoseklių kohortų, ne atsitiktinių imčių, III fazės klinikinį tyrimą I2301 buvo įtraukta iš viso 93</w:t>
      </w:r>
      <w:r w:rsidR="001258C1" w:rsidRPr="00CE7679">
        <w:rPr>
          <w:rFonts w:eastAsia="SimSun"/>
          <w:snapToGrid/>
          <w:szCs w:val="22"/>
          <w:lang w:eastAsia="zh-CN"/>
        </w:rPr>
        <w:t> </w:t>
      </w:r>
      <w:r w:rsidRPr="00CE7679">
        <w:rPr>
          <w:rFonts w:eastAsia="SimSun"/>
          <w:snapToGrid/>
          <w:szCs w:val="22"/>
          <w:lang w:eastAsia="zh-CN"/>
        </w:rPr>
        <w:t>vaikai, paaugliai ir jauni suaugę pacientai (nuo 1 iki 22</w:t>
      </w:r>
      <w:r w:rsidR="001258C1" w:rsidRPr="00CE7679">
        <w:rPr>
          <w:rFonts w:eastAsia="SimSun"/>
          <w:snapToGrid/>
          <w:szCs w:val="22"/>
          <w:lang w:eastAsia="zh-CN"/>
        </w:rPr>
        <w:t> </w:t>
      </w:r>
      <w:r w:rsidRPr="00CE7679">
        <w:rPr>
          <w:rFonts w:eastAsia="SimSun"/>
          <w:snapToGrid/>
          <w:szCs w:val="22"/>
          <w:lang w:eastAsia="zh-CN"/>
        </w:rPr>
        <w:t xml:space="preserve">metų), kurie sirgo </w:t>
      </w:r>
      <w:proofErr w:type="spellStart"/>
      <w:r w:rsidRPr="00CE7679">
        <w:rPr>
          <w:rFonts w:eastAsia="SimSun"/>
          <w:snapToGrid/>
          <w:szCs w:val="22"/>
          <w:lang w:eastAsia="zh-CN"/>
        </w:rPr>
        <w:t>Ph</w:t>
      </w:r>
      <w:proofErr w:type="spellEnd"/>
      <w:r w:rsidRPr="00CE7679">
        <w:rPr>
          <w:rFonts w:eastAsia="SimSun"/>
          <w:snapToGrid/>
          <w:szCs w:val="22"/>
          <w:lang w:eastAsia="zh-CN"/>
        </w:rPr>
        <w:t xml:space="preserve">+ ŪLL. Šio tyrimo metu pacientams po indukcinio gydymo buvo skiriamas </w:t>
      </w:r>
      <w:proofErr w:type="spellStart"/>
      <w:r w:rsidRPr="00CE7679">
        <w:rPr>
          <w:rFonts w:eastAsia="SimSun"/>
          <w:snapToGrid/>
          <w:szCs w:val="22"/>
          <w:lang w:eastAsia="zh-CN"/>
        </w:rPr>
        <w:t>imatinibas</w:t>
      </w:r>
      <w:proofErr w:type="spellEnd"/>
      <w:r w:rsidRPr="00CE7679">
        <w:rPr>
          <w:rFonts w:eastAsia="SimSun"/>
          <w:snapToGrid/>
          <w:szCs w:val="22"/>
          <w:lang w:eastAsia="zh-CN"/>
        </w:rPr>
        <w:t xml:space="preserve"> (po 340 mg/m</w:t>
      </w:r>
      <w:r w:rsidRPr="00CE7679">
        <w:rPr>
          <w:rFonts w:eastAsia="SimSun"/>
          <w:snapToGrid/>
          <w:szCs w:val="22"/>
          <w:vertAlign w:val="superscript"/>
          <w:lang w:eastAsia="zh-CN"/>
        </w:rPr>
        <w:t>2</w:t>
      </w:r>
      <w:r w:rsidRPr="00CE7679">
        <w:rPr>
          <w:rFonts w:eastAsia="SimSun"/>
          <w:snapToGrid/>
          <w:szCs w:val="22"/>
          <w:lang w:eastAsia="zh-CN"/>
        </w:rPr>
        <w:t xml:space="preserve"> per parą) kartu su intensyvia chemoterapija. 1-5</w:t>
      </w:r>
      <w:r w:rsidR="001258C1" w:rsidRPr="00CE7679">
        <w:rPr>
          <w:rFonts w:eastAsia="SimSun"/>
          <w:snapToGrid/>
          <w:szCs w:val="22"/>
          <w:lang w:eastAsia="zh-CN"/>
        </w:rPr>
        <w:t> </w:t>
      </w:r>
      <w:r w:rsidRPr="00CE7679">
        <w:rPr>
          <w:rFonts w:eastAsia="SimSun"/>
          <w:snapToGrid/>
          <w:szCs w:val="22"/>
          <w:lang w:eastAsia="zh-CN"/>
        </w:rPr>
        <w:t xml:space="preserve">kohortų pacientams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buvo skiriama netolygiai, skirtingose kohortose vaistinio preparato buvo skiriama didėjančia trukme ir gydymas buvo pradedamas anksčiau arba vėliau; 1-osios kohortos pacientams buvo skiriamas mažiausio intensyvumo gydymas, o 5-osios kohortos pacientams buvo skiriamas intensyviausias gydymas </w:t>
      </w:r>
      <w:proofErr w:type="spellStart"/>
      <w:r w:rsidRPr="00CE7679">
        <w:rPr>
          <w:rFonts w:eastAsia="SimSun"/>
          <w:snapToGrid/>
          <w:szCs w:val="22"/>
          <w:lang w:eastAsia="zh-CN"/>
        </w:rPr>
        <w:t>imatinibu</w:t>
      </w:r>
      <w:proofErr w:type="spellEnd"/>
      <w:r w:rsidRPr="00CE7679">
        <w:rPr>
          <w:rFonts w:eastAsia="SimSun"/>
          <w:snapToGrid/>
          <w:szCs w:val="22"/>
          <w:lang w:eastAsia="zh-CN"/>
        </w:rPr>
        <w:t xml:space="preserve"> (ilgiausia vartojimo trukmė dienomis ir tęstinis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dozavimas kasdien pirmųjų chemoterapijos kursų metu). Skiriant tęstinį gydymą </w:t>
      </w:r>
      <w:proofErr w:type="spellStart"/>
      <w:r w:rsidRPr="00CE7679">
        <w:rPr>
          <w:rFonts w:eastAsia="SimSun"/>
          <w:snapToGrid/>
          <w:szCs w:val="22"/>
          <w:lang w:eastAsia="zh-CN"/>
        </w:rPr>
        <w:t>imatinibu</w:t>
      </w:r>
      <w:proofErr w:type="spellEnd"/>
      <w:r w:rsidRPr="00CE7679">
        <w:rPr>
          <w:rFonts w:eastAsia="SimSun"/>
          <w:snapToGrid/>
          <w:szCs w:val="22"/>
          <w:lang w:eastAsia="zh-CN"/>
        </w:rPr>
        <w:t xml:space="preserve"> kasdien nuo pat chemoterapijos kursų pradžios, 5-osios kohortos pacientų (n=50) 4</w:t>
      </w:r>
      <w:r w:rsidR="001258C1" w:rsidRPr="00CE7679">
        <w:rPr>
          <w:rFonts w:eastAsia="SimSun"/>
          <w:snapToGrid/>
          <w:szCs w:val="22"/>
          <w:lang w:eastAsia="zh-CN"/>
        </w:rPr>
        <w:t> </w:t>
      </w:r>
      <w:r w:rsidRPr="00CE7679">
        <w:rPr>
          <w:rFonts w:eastAsia="SimSun"/>
          <w:snapToGrid/>
          <w:szCs w:val="22"/>
          <w:lang w:eastAsia="zh-CN"/>
        </w:rPr>
        <w:t xml:space="preserve">metų trukmės išgyvenamumo be recidyvų (angl. </w:t>
      </w:r>
      <w:proofErr w:type="spellStart"/>
      <w:r w:rsidRPr="00CE7679">
        <w:rPr>
          <w:rFonts w:eastAsia="SimSun"/>
          <w:snapToGrid/>
          <w:szCs w:val="22"/>
          <w:lang w:eastAsia="zh-CN"/>
        </w:rPr>
        <w:t>event-free</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survival</w:t>
      </w:r>
      <w:proofErr w:type="spellEnd"/>
      <w:r w:rsidRPr="00CE7679">
        <w:rPr>
          <w:rFonts w:eastAsia="SimSun"/>
          <w:snapToGrid/>
          <w:szCs w:val="22"/>
          <w:lang w:eastAsia="zh-CN"/>
        </w:rPr>
        <w:t xml:space="preserve"> – EFS) rodiklis pagerėjo, lyginant su istoriniais duomenimis (n=120), kai pastaruoju atveju pacientams buvo skiriama standartinė chemoterapija be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(atitinkamai 69,6 %, lyginant su 31,6 %). Tikėtinas 4 metų trukmės bendrojo išgyvenamumo rodiklis 5-osios kohortos pacientams buvo 83,6 %, lyginant su 44,8 % istoriniais duomenimis. 20 iš 50 (40 %) 5-osios kohortos pacientų buvo atlikta </w:t>
      </w:r>
      <w:proofErr w:type="spellStart"/>
      <w:r w:rsidRPr="00CE7679">
        <w:rPr>
          <w:rFonts w:eastAsia="SimSun"/>
          <w:snapToGrid/>
          <w:szCs w:val="22"/>
          <w:lang w:eastAsia="zh-CN"/>
        </w:rPr>
        <w:t>hematopoetinių</w:t>
      </w:r>
      <w:proofErr w:type="spellEnd"/>
      <w:r w:rsidRPr="00CE7679">
        <w:rPr>
          <w:rFonts w:eastAsia="SimSun"/>
          <w:snapToGrid/>
          <w:szCs w:val="22"/>
          <w:lang w:eastAsia="zh-CN"/>
        </w:rPr>
        <w:t xml:space="preserve"> kamieninių ląstelių transplantacija.</w:t>
      </w:r>
    </w:p>
    <w:p w14:paraId="0BA6C691" w14:textId="77777777" w:rsidR="00A27597" w:rsidRPr="00CE7679" w:rsidRDefault="00A27597" w:rsidP="00A27597">
      <w:pPr>
        <w:spacing w:line="240" w:lineRule="auto"/>
        <w:rPr>
          <w:rFonts w:eastAsia="SimSun"/>
          <w:snapToGrid/>
          <w:szCs w:val="22"/>
          <w:lang w:eastAsia="zh-CN"/>
        </w:rPr>
      </w:pPr>
    </w:p>
    <w:p w14:paraId="181C60CD" w14:textId="4DC72A60" w:rsidR="00A27597" w:rsidRPr="00CE7679" w:rsidRDefault="00A27597" w:rsidP="00A27597">
      <w:pPr>
        <w:spacing w:line="240" w:lineRule="auto"/>
        <w:rPr>
          <w:rFonts w:eastAsia="SimSun"/>
          <w:b/>
          <w:snapToGrid/>
          <w:szCs w:val="22"/>
          <w:lang w:eastAsia="zh-CN"/>
        </w:rPr>
      </w:pPr>
      <w:r w:rsidRPr="00CE7679">
        <w:rPr>
          <w:rFonts w:eastAsia="SimSun"/>
          <w:b/>
          <w:snapToGrid/>
          <w:szCs w:val="22"/>
          <w:lang w:eastAsia="zh-CN"/>
        </w:rPr>
        <w:t>5</w:t>
      </w:r>
      <w:r w:rsidR="009B11B1">
        <w:rPr>
          <w:rFonts w:eastAsia="SimSun"/>
          <w:b/>
          <w:snapToGrid/>
          <w:szCs w:val="22"/>
          <w:lang w:eastAsia="zh-CN"/>
        </w:rPr>
        <w:t> </w:t>
      </w:r>
      <w:r w:rsidRPr="00CE7679">
        <w:rPr>
          <w:rFonts w:eastAsia="SimSun"/>
          <w:b/>
          <w:snapToGrid/>
          <w:szCs w:val="22"/>
          <w:lang w:eastAsia="zh-CN"/>
        </w:rPr>
        <w:t xml:space="preserve">lentelė. Chemoterapijos gydymas, skirtas kartu su </w:t>
      </w:r>
      <w:proofErr w:type="spellStart"/>
      <w:r w:rsidRPr="00CE7679">
        <w:rPr>
          <w:rFonts w:eastAsia="SimSun"/>
          <w:b/>
          <w:snapToGrid/>
          <w:szCs w:val="22"/>
          <w:lang w:eastAsia="zh-CN"/>
        </w:rPr>
        <w:t>imatinibu</w:t>
      </w:r>
      <w:proofErr w:type="spellEnd"/>
      <w:r w:rsidRPr="00CE7679">
        <w:rPr>
          <w:rFonts w:eastAsia="SimSun"/>
          <w:b/>
          <w:snapToGrid/>
          <w:szCs w:val="22"/>
          <w:lang w:eastAsia="zh-CN"/>
        </w:rPr>
        <w:t xml:space="preserve"> I2301 tyrimo metu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127"/>
      </w:tblGrid>
      <w:tr w:rsidR="00701D61" w:rsidRPr="00CE7679" w14:paraId="3BF1F728" w14:textId="77777777" w:rsidTr="00A27597">
        <w:trPr>
          <w:trHeight w:val="770"/>
        </w:trPr>
        <w:tc>
          <w:tcPr>
            <w:tcW w:w="2943" w:type="dxa"/>
          </w:tcPr>
          <w:p w14:paraId="13BA4DD3" w14:textId="77777777" w:rsidR="00A27597" w:rsidRPr="00CE7679" w:rsidRDefault="00A27597" w:rsidP="00A27597">
            <w:pPr>
              <w:tabs>
                <w:tab w:val="clear" w:pos="567"/>
              </w:tabs>
              <w:autoSpaceDE w:val="0"/>
              <w:autoSpaceDN w:val="0"/>
              <w:adjustRightInd w:val="0"/>
              <w:spacing w:line="240" w:lineRule="auto"/>
              <w:rPr>
                <w:rFonts w:eastAsia="Calibri"/>
                <w:snapToGrid/>
                <w:szCs w:val="22"/>
              </w:rPr>
            </w:pPr>
            <w:r w:rsidRPr="00CE7679">
              <w:rPr>
                <w:rFonts w:eastAsia="Calibri"/>
                <w:snapToGrid/>
                <w:szCs w:val="22"/>
              </w:rPr>
              <w:t>Konsoliduojančio gydymo blokas 1 (3 savaitės)</w:t>
            </w:r>
          </w:p>
        </w:tc>
        <w:tc>
          <w:tcPr>
            <w:tcW w:w="6127" w:type="dxa"/>
          </w:tcPr>
          <w:p w14:paraId="6D4857B7" w14:textId="77777777" w:rsidR="00A27597" w:rsidRPr="00CE7679" w:rsidRDefault="00A27597" w:rsidP="00A27597">
            <w:pPr>
              <w:tabs>
                <w:tab w:val="clear" w:pos="567"/>
              </w:tabs>
              <w:autoSpaceDE w:val="0"/>
              <w:autoSpaceDN w:val="0"/>
              <w:adjustRightInd w:val="0"/>
              <w:spacing w:line="240" w:lineRule="auto"/>
              <w:rPr>
                <w:rFonts w:eastAsia="Calibri"/>
                <w:snapToGrid/>
                <w:szCs w:val="22"/>
              </w:rPr>
            </w:pPr>
            <w:r w:rsidRPr="00CE7679">
              <w:rPr>
                <w:rFonts w:eastAsia="Calibri"/>
                <w:snapToGrid/>
                <w:szCs w:val="22"/>
              </w:rPr>
              <w:t>VP-16 (100 mg/m</w:t>
            </w:r>
            <w:r w:rsidRPr="00CE7679">
              <w:rPr>
                <w:rFonts w:eastAsia="Calibri"/>
                <w:snapToGrid/>
                <w:szCs w:val="22"/>
                <w:vertAlign w:val="superscript"/>
              </w:rPr>
              <w:t>2</w:t>
            </w:r>
            <w:r w:rsidRPr="00CE7679">
              <w:rPr>
                <w:rFonts w:eastAsia="Calibri"/>
                <w:snapToGrid/>
                <w:szCs w:val="22"/>
              </w:rPr>
              <w:t xml:space="preserve"> per parą, IV): 1-5 dienos</w:t>
            </w:r>
          </w:p>
          <w:p w14:paraId="0B59ECF0" w14:textId="77777777" w:rsidR="00A27597" w:rsidRPr="00CE7679" w:rsidRDefault="00A27597" w:rsidP="00A27597">
            <w:pPr>
              <w:tabs>
                <w:tab w:val="clear" w:pos="567"/>
              </w:tabs>
              <w:autoSpaceDE w:val="0"/>
              <w:autoSpaceDN w:val="0"/>
              <w:adjustRightInd w:val="0"/>
              <w:spacing w:line="240" w:lineRule="auto"/>
              <w:rPr>
                <w:rFonts w:eastAsia="Calibri"/>
                <w:snapToGrid/>
                <w:szCs w:val="22"/>
              </w:rPr>
            </w:pPr>
            <w:proofErr w:type="spellStart"/>
            <w:r w:rsidRPr="00CE7679">
              <w:rPr>
                <w:rFonts w:eastAsia="Calibri"/>
                <w:snapToGrid/>
                <w:szCs w:val="22"/>
              </w:rPr>
              <w:t>Ifosfamidas</w:t>
            </w:r>
            <w:proofErr w:type="spellEnd"/>
            <w:r w:rsidRPr="00CE7679">
              <w:rPr>
                <w:rFonts w:eastAsia="Calibri"/>
                <w:snapToGrid/>
                <w:szCs w:val="22"/>
              </w:rPr>
              <w:t xml:space="preserve"> (1,8 g/m</w:t>
            </w:r>
            <w:r w:rsidRPr="00CE7679">
              <w:rPr>
                <w:rFonts w:eastAsia="Calibri"/>
                <w:snapToGrid/>
                <w:szCs w:val="22"/>
                <w:vertAlign w:val="superscript"/>
              </w:rPr>
              <w:t>2</w:t>
            </w:r>
            <w:r w:rsidRPr="00CE7679">
              <w:rPr>
                <w:rFonts w:eastAsia="Calibri"/>
                <w:snapToGrid/>
                <w:szCs w:val="22"/>
              </w:rPr>
              <w:t xml:space="preserve"> per parą, IV): 1-5 dienos</w:t>
            </w:r>
          </w:p>
          <w:p w14:paraId="13E36491" w14:textId="6CB17558" w:rsidR="00A27597" w:rsidRPr="00CE7679" w:rsidRDefault="00A27597" w:rsidP="00A27597">
            <w:pPr>
              <w:tabs>
                <w:tab w:val="clear" w:pos="567"/>
              </w:tabs>
              <w:autoSpaceDE w:val="0"/>
              <w:autoSpaceDN w:val="0"/>
              <w:adjustRightInd w:val="0"/>
              <w:spacing w:line="240" w:lineRule="auto"/>
              <w:rPr>
                <w:rFonts w:eastAsia="Calibri"/>
                <w:snapToGrid/>
                <w:szCs w:val="22"/>
              </w:rPr>
            </w:pPr>
            <w:r w:rsidRPr="00CE7679">
              <w:rPr>
                <w:rFonts w:eastAsia="Calibri"/>
                <w:snapToGrid/>
                <w:szCs w:val="22"/>
              </w:rPr>
              <w:t>MESNA (po 360 mg/m</w:t>
            </w:r>
            <w:r w:rsidRPr="00CE7679">
              <w:rPr>
                <w:rFonts w:eastAsia="Calibri"/>
                <w:snapToGrid/>
                <w:szCs w:val="22"/>
                <w:vertAlign w:val="superscript"/>
              </w:rPr>
              <w:t>2</w:t>
            </w:r>
            <w:r w:rsidRPr="00CE7679">
              <w:rPr>
                <w:rFonts w:eastAsia="Calibri"/>
                <w:snapToGrid/>
                <w:szCs w:val="22"/>
              </w:rPr>
              <w:t xml:space="preserve"> dozę q3h, 8 dozės per parą, IV): 1-5</w:t>
            </w:r>
            <w:r w:rsidR="00431A95">
              <w:rPr>
                <w:rFonts w:eastAsia="Calibri"/>
                <w:snapToGrid/>
                <w:szCs w:val="22"/>
              </w:rPr>
              <w:t> </w:t>
            </w:r>
            <w:r w:rsidRPr="00CE7679">
              <w:rPr>
                <w:rFonts w:eastAsia="Calibri"/>
                <w:snapToGrid/>
                <w:szCs w:val="22"/>
              </w:rPr>
              <w:t>dienos</w:t>
            </w:r>
          </w:p>
          <w:p w14:paraId="1595DD0E" w14:textId="77777777" w:rsidR="00A27597" w:rsidRPr="00CE7679" w:rsidRDefault="00A27597" w:rsidP="00A27597">
            <w:pPr>
              <w:tabs>
                <w:tab w:val="clear" w:pos="567"/>
              </w:tabs>
              <w:autoSpaceDE w:val="0"/>
              <w:autoSpaceDN w:val="0"/>
              <w:adjustRightInd w:val="0"/>
              <w:spacing w:line="240" w:lineRule="auto"/>
              <w:rPr>
                <w:rFonts w:eastAsia="Calibri"/>
                <w:snapToGrid/>
                <w:szCs w:val="22"/>
              </w:rPr>
            </w:pPr>
            <w:r w:rsidRPr="00CE7679">
              <w:rPr>
                <w:rFonts w:eastAsia="Calibri"/>
                <w:snapToGrid/>
                <w:szCs w:val="22"/>
              </w:rPr>
              <w:t>G-CSF (5 </w:t>
            </w:r>
            <w:proofErr w:type="spellStart"/>
            <w:r w:rsidRPr="00CE7679">
              <w:rPr>
                <w:rFonts w:eastAsia="Calibri"/>
                <w:snapToGrid/>
                <w:szCs w:val="22"/>
              </w:rPr>
              <w:t>μg</w:t>
            </w:r>
            <w:proofErr w:type="spellEnd"/>
            <w:r w:rsidRPr="00CE7679">
              <w:rPr>
                <w:rFonts w:eastAsia="Calibri"/>
                <w:snapToGrid/>
                <w:szCs w:val="22"/>
              </w:rPr>
              <w:t>/kg, SC): 6-15 dienos arba kol ANS bus &gt;</w:t>
            </w:r>
            <w:r w:rsidR="001258C1" w:rsidRPr="00CE7679">
              <w:rPr>
                <w:rFonts w:eastAsia="Calibri"/>
                <w:snapToGrid/>
                <w:szCs w:val="22"/>
              </w:rPr>
              <w:t> </w:t>
            </w:r>
            <w:r w:rsidRPr="00CE7679">
              <w:rPr>
                <w:rFonts w:eastAsia="Calibri"/>
                <w:snapToGrid/>
                <w:szCs w:val="22"/>
              </w:rPr>
              <w:t>1500 nuo žemiausios reikšmės</w:t>
            </w:r>
          </w:p>
          <w:p w14:paraId="314E156A" w14:textId="77777777" w:rsidR="00A27597" w:rsidRPr="00CE7679" w:rsidRDefault="00A27597" w:rsidP="00A27597">
            <w:pPr>
              <w:tabs>
                <w:tab w:val="clear" w:pos="567"/>
              </w:tabs>
              <w:autoSpaceDE w:val="0"/>
              <w:autoSpaceDN w:val="0"/>
              <w:adjustRightInd w:val="0"/>
              <w:spacing w:line="240" w:lineRule="auto"/>
              <w:rPr>
                <w:rFonts w:eastAsia="Calibri"/>
                <w:snapToGrid/>
                <w:szCs w:val="22"/>
              </w:rPr>
            </w:pPr>
            <w:r w:rsidRPr="00CE7679">
              <w:rPr>
                <w:rFonts w:eastAsia="Calibri"/>
                <w:snapToGrid/>
                <w:szCs w:val="22"/>
              </w:rPr>
              <w:t xml:space="preserve">IT </w:t>
            </w:r>
            <w:proofErr w:type="spellStart"/>
            <w:r w:rsidRPr="00CE7679">
              <w:rPr>
                <w:rFonts w:eastAsia="Calibri"/>
                <w:snapToGrid/>
                <w:szCs w:val="22"/>
              </w:rPr>
              <w:t>Metotreksatas</w:t>
            </w:r>
            <w:proofErr w:type="spellEnd"/>
            <w:r w:rsidRPr="00CE7679">
              <w:rPr>
                <w:rFonts w:eastAsia="Calibri"/>
                <w:snapToGrid/>
                <w:szCs w:val="22"/>
              </w:rPr>
              <w:t xml:space="preserve"> (dozė priklausomai nuo amžiaus): TIK 1-ąją dieną</w:t>
            </w:r>
          </w:p>
          <w:p w14:paraId="1B98473F" w14:textId="6EEFB451" w:rsidR="00A27597" w:rsidRPr="00CE7679" w:rsidRDefault="00A27597" w:rsidP="00A27597">
            <w:pPr>
              <w:tabs>
                <w:tab w:val="clear" w:pos="567"/>
              </w:tabs>
              <w:autoSpaceDE w:val="0"/>
              <w:autoSpaceDN w:val="0"/>
              <w:adjustRightInd w:val="0"/>
              <w:spacing w:line="240" w:lineRule="auto"/>
              <w:rPr>
                <w:rFonts w:eastAsia="Calibri"/>
                <w:snapToGrid/>
                <w:szCs w:val="22"/>
              </w:rPr>
            </w:pPr>
            <w:r w:rsidRPr="00CE7679">
              <w:rPr>
                <w:rFonts w:eastAsia="Calibri"/>
                <w:snapToGrid/>
                <w:szCs w:val="22"/>
              </w:rPr>
              <w:t>Trigubas IT gydymas (dozė priklausomai nuo amžiaus): 8, 15</w:t>
            </w:r>
            <w:r w:rsidR="00431A95">
              <w:rPr>
                <w:rFonts w:eastAsia="Calibri"/>
                <w:snapToGrid/>
                <w:szCs w:val="22"/>
              </w:rPr>
              <w:t> </w:t>
            </w:r>
            <w:r w:rsidRPr="00CE7679">
              <w:rPr>
                <w:rFonts w:eastAsia="Calibri"/>
                <w:snapToGrid/>
                <w:szCs w:val="22"/>
              </w:rPr>
              <w:t>dienos</w:t>
            </w:r>
          </w:p>
        </w:tc>
      </w:tr>
      <w:tr w:rsidR="00701D61" w:rsidRPr="00CE7679" w14:paraId="013F6F20" w14:textId="77777777" w:rsidTr="00A27597">
        <w:trPr>
          <w:trHeight w:val="770"/>
        </w:trPr>
        <w:tc>
          <w:tcPr>
            <w:tcW w:w="2943" w:type="dxa"/>
          </w:tcPr>
          <w:p w14:paraId="4CA38702" w14:textId="77777777" w:rsidR="00A27597" w:rsidRPr="00CE7679" w:rsidRDefault="00A27597" w:rsidP="00A27597">
            <w:pPr>
              <w:tabs>
                <w:tab w:val="clear" w:pos="567"/>
              </w:tabs>
              <w:autoSpaceDE w:val="0"/>
              <w:autoSpaceDN w:val="0"/>
              <w:adjustRightInd w:val="0"/>
              <w:spacing w:line="240" w:lineRule="auto"/>
              <w:rPr>
                <w:rFonts w:eastAsia="Calibri"/>
                <w:snapToGrid/>
                <w:szCs w:val="22"/>
              </w:rPr>
            </w:pPr>
            <w:r w:rsidRPr="00CE7679">
              <w:rPr>
                <w:rFonts w:eastAsia="Calibri"/>
                <w:snapToGrid/>
                <w:szCs w:val="22"/>
              </w:rPr>
              <w:t>Konsoliduojančio gydymo blokas 2 (3 savaitės)</w:t>
            </w:r>
          </w:p>
        </w:tc>
        <w:tc>
          <w:tcPr>
            <w:tcW w:w="6127" w:type="dxa"/>
          </w:tcPr>
          <w:p w14:paraId="387F2A86" w14:textId="77777777" w:rsidR="00A27597" w:rsidRPr="00CE7679" w:rsidRDefault="00A27597" w:rsidP="00A27597">
            <w:pPr>
              <w:tabs>
                <w:tab w:val="clear" w:pos="567"/>
              </w:tabs>
              <w:autoSpaceDE w:val="0"/>
              <w:autoSpaceDN w:val="0"/>
              <w:adjustRightInd w:val="0"/>
              <w:spacing w:line="240" w:lineRule="auto"/>
              <w:rPr>
                <w:rFonts w:eastAsia="Calibri"/>
                <w:snapToGrid/>
                <w:szCs w:val="22"/>
              </w:rPr>
            </w:pPr>
            <w:proofErr w:type="spellStart"/>
            <w:r w:rsidRPr="00CE7679">
              <w:rPr>
                <w:rFonts w:eastAsia="Calibri"/>
                <w:snapToGrid/>
                <w:szCs w:val="22"/>
              </w:rPr>
              <w:t>Metotreksatas</w:t>
            </w:r>
            <w:proofErr w:type="spellEnd"/>
            <w:r w:rsidRPr="00CE7679">
              <w:rPr>
                <w:rFonts w:eastAsia="Calibri"/>
                <w:snapToGrid/>
                <w:szCs w:val="22"/>
              </w:rPr>
              <w:t xml:space="preserve"> (5 g/m</w:t>
            </w:r>
            <w:r w:rsidRPr="00CE7679">
              <w:rPr>
                <w:rFonts w:eastAsia="Calibri"/>
                <w:snapToGrid/>
                <w:szCs w:val="22"/>
                <w:vertAlign w:val="superscript"/>
              </w:rPr>
              <w:t>2</w:t>
            </w:r>
            <w:r w:rsidRPr="00CE7679">
              <w:rPr>
                <w:rFonts w:eastAsia="Calibri"/>
                <w:snapToGrid/>
                <w:szCs w:val="22"/>
              </w:rPr>
              <w:t xml:space="preserve"> per 24 valandas, IV): 1-ąją dieną </w:t>
            </w:r>
          </w:p>
          <w:p w14:paraId="018F2582" w14:textId="77777777" w:rsidR="00A27597" w:rsidRPr="00CE7679" w:rsidRDefault="00A27597" w:rsidP="00A27597">
            <w:pPr>
              <w:tabs>
                <w:tab w:val="clear" w:pos="567"/>
              </w:tabs>
              <w:autoSpaceDE w:val="0"/>
              <w:autoSpaceDN w:val="0"/>
              <w:adjustRightInd w:val="0"/>
              <w:spacing w:line="240" w:lineRule="auto"/>
              <w:rPr>
                <w:rFonts w:eastAsia="Calibri"/>
                <w:snapToGrid/>
                <w:szCs w:val="22"/>
              </w:rPr>
            </w:pPr>
            <w:proofErr w:type="spellStart"/>
            <w:r w:rsidRPr="00CE7679">
              <w:rPr>
                <w:rFonts w:eastAsia="Calibri"/>
                <w:snapToGrid/>
                <w:szCs w:val="22"/>
              </w:rPr>
              <w:t>Leukovorinas</w:t>
            </w:r>
            <w:proofErr w:type="spellEnd"/>
            <w:r w:rsidRPr="00CE7679">
              <w:rPr>
                <w:rFonts w:eastAsia="Calibri"/>
                <w:snapToGrid/>
                <w:szCs w:val="22"/>
              </w:rPr>
              <w:t xml:space="preserve"> (75 mg/m</w:t>
            </w:r>
            <w:r w:rsidRPr="00CE7679">
              <w:rPr>
                <w:rFonts w:eastAsia="Calibri"/>
                <w:snapToGrid/>
                <w:szCs w:val="22"/>
                <w:vertAlign w:val="superscript"/>
              </w:rPr>
              <w:t>2</w:t>
            </w:r>
            <w:r w:rsidRPr="00CE7679">
              <w:rPr>
                <w:rFonts w:eastAsia="Calibri"/>
                <w:snapToGrid/>
                <w:szCs w:val="22"/>
              </w:rPr>
              <w:t xml:space="preserve"> po 36 valandų, IV; 15 mg/m</w:t>
            </w:r>
            <w:r w:rsidRPr="00CE7679">
              <w:rPr>
                <w:rFonts w:eastAsia="Calibri"/>
                <w:snapToGrid/>
                <w:szCs w:val="22"/>
                <w:vertAlign w:val="superscript"/>
              </w:rPr>
              <w:t>2</w:t>
            </w:r>
            <w:r w:rsidRPr="00CE7679">
              <w:rPr>
                <w:rFonts w:eastAsia="Calibri"/>
                <w:snapToGrid/>
                <w:szCs w:val="22"/>
              </w:rPr>
              <w:t xml:space="preserve"> IV ar PO q6h x 6 dozės) iii: 2-ąją ir 3-iąją dienomis </w:t>
            </w:r>
          </w:p>
          <w:p w14:paraId="6B9EA2FF" w14:textId="77777777" w:rsidR="00A27597" w:rsidRPr="00CE7679" w:rsidRDefault="00A27597" w:rsidP="00A27597">
            <w:pPr>
              <w:tabs>
                <w:tab w:val="clear" w:pos="567"/>
              </w:tabs>
              <w:autoSpaceDE w:val="0"/>
              <w:autoSpaceDN w:val="0"/>
              <w:adjustRightInd w:val="0"/>
              <w:spacing w:line="240" w:lineRule="auto"/>
              <w:rPr>
                <w:rFonts w:eastAsia="Calibri"/>
                <w:snapToGrid/>
                <w:szCs w:val="22"/>
              </w:rPr>
            </w:pPr>
            <w:r w:rsidRPr="00CE7679">
              <w:rPr>
                <w:rFonts w:eastAsia="Calibri"/>
                <w:snapToGrid/>
                <w:szCs w:val="22"/>
              </w:rPr>
              <w:t xml:space="preserve">Trigubas IT gydymas (dozė priklausomai nuo amžiaus): 1-ąją dieną </w:t>
            </w:r>
          </w:p>
          <w:p w14:paraId="3FE00860" w14:textId="77777777" w:rsidR="00A27597" w:rsidRPr="00CE7679" w:rsidRDefault="00A27597" w:rsidP="00A27597">
            <w:pPr>
              <w:tabs>
                <w:tab w:val="clear" w:pos="567"/>
              </w:tabs>
              <w:autoSpaceDE w:val="0"/>
              <w:autoSpaceDN w:val="0"/>
              <w:adjustRightInd w:val="0"/>
              <w:spacing w:line="240" w:lineRule="auto"/>
              <w:rPr>
                <w:rFonts w:eastAsia="Calibri"/>
                <w:snapToGrid/>
                <w:szCs w:val="22"/>
              </w:rPr>
            </w:pPr>
            <w:r w:rsidRPr="00CE7679">
              <w:rPr>
                <w:rFonts w:eastAsia="Calibri"/>
                <w:snapToGrid/>
                <w:szCs w:val="22"/>
              </w:rPr>
              <w:t>ARA-C (3 g/m</w:t>
            </w:r>
            <w:r w:rsidRPr="00CE7679">
              <w:rPr>
                <w:rFonts w:eastAsia="Calibri"/>
                <w:snapToGrid/>
                <w:szCs w:val="22"/>
                <w:vertAlign w:val="superscript"/>
              </w:rPr>
              <w:t>2</w:t>
            </w:r>
            <w:r w:rsidRPr="00CE7679">
              <w:rPr>
                <w:rFonts w:eastAsia="Calibri"/>
                <w:snapToGrid/>
                <w:szCs w:val="22"/>
              </w:rPr>
              <w:t xml:space="preserve"> dozė q12h x 4, IV): 2-ąją ir 3-iąją dienomis </w:t>
            </w:r>
          </w:p>
          <w:p w14:paraId="10AE13EF" w14:textId="77777777" w:rsidR="00A27597" w:rsidRPr="00CE7679" w:rsidRDefault="00A27597" w:rsidP="001258C1">
            <w:pPr>
              <w:tabs>
                <w:tab w:val="clear" w:pos="567"/>
              </w:tabs>
              <w:autoSpaceDE w:val="0"/>
              <w:autoSpaceDN w:val="0"/>
              <w:adjustRightInd w:val="0"/>
              <w:spacing w:line="240" w:lineRule="auto"/>
              <w:rPr>
                <w:rFonts w:eastAsia="Calibri"/>
                <w:snapToGrid/>
                <w:szCs w:val="22"/>
              </w:rPr>
            </w:pPr>
            <w:r w:rsidRPr="00CE7679">
              <w:rPr>
                <w:rFonts w:eastAsia="Calibri"/>
                <w:snapToGrid/>
                <w:szCs w:val="22"/>
              </w:rPr>
              <w:t xml:space="preserve">G-CSF (5 </w:t>
            </w:r>
            <w:proofErr w:type="spellStart"/>
            <w:r w:rsidRPr="00CE7679">
              <w:rPr>
                <w:rFonts w:eastAsia="Calibri"/>
                <w:snapToGrid/>
                <w:szCs w:val="22"/>
              </w:rPr>
              <w:t>μg</w:t>
            </w:r>
            <w:proofErr w:type="spellEnd"/>
            <w:r w:rsidRPr="00CE7679">
              <w:rPr>
                <w:rFonts w:eastAsia="Calibri"/>
                <w:snapToGrid/>
                <w:szCs w:val="22"/>
              </w:rPr>
              <w:t>/kg, SC): 4-13 dienos arba kol ANS bus &gt;</w:t>
            </w:r>
            <w:r w:rsidR="001258C1" w:rsidRPr="00CE7679">
              <w:rPr>
                <w:rFonts w:eastAsia="Calibri"/>
                <w:snapToGrid/>
                <w:szCs w:val="22"/>
              </w:rPr>
              <w:t> </w:t>
            </w:r>
            <w:r w:rsidRPr="00CE7679">
              <w:rPr>
                <w:rFonts w:eastAsia="Calibri"/>
                <w:snapToGrid/>
                <w:szCs w:val="22"/>
              </w:rPr>
              <w:t>1500 nuo žemiausios reikšmės</w:t>
            </w:r>
          </w:p>
        </w:tc>
      </w:tr>
      <w:tr w:rsidR="00701D61" w:rsidRPr="00CE7679" w14:paraId="5C22A540" w14:textId="77777777" w:rsidTr="00A27597">
        <w:trPr>
          <w:trHeight w:val="900"/>
        </w:trPr>
        <w:tc>
          <w:tcPr>
            <w:tcW w:w="2943" w:type="dxa"/>
          </w:tcPr>
          <w:p w14:paraId="7996D40C" w14:textId="77777777" w:rsidR="00A27597" w:rsidRPr="00CE7679" w:rsidRDefault="00A27597" w:rsidP="00A27597">
            <w:pPr>
              <w:tabs>
                <w:tab w:val="clear" w:pos="567"/>
              </w:tabs>
              <w:autoSpaceDE w:val="0"/>
              <w:autoSpaceDN w:val="0"/>
              <w:adjustRightInd w:val="0"/>
              <w:spacing w:line="240" w:lineRule="auto"/>
              <w:rPr>
                <w:rFonts w:eastAsia="Calibri"/>
                <w:snapToGrid/>
                <w:szCs w:val="22"/>
              </w:rPr>
            </w:pPr>
            <w:proofErr w:type="spellStart"/>
            <w:r w:rsidRPr="00CE7679">
              <w:rPr>
                <w:rFonts w:eastAsia="Calibri"/>
                <w:snapToGrid/>
                <w:szCs w:val="22"/>
              </w:rPr>
              <w:t>Reindukcinio</w:t>
            </w:r>
            <w:proofErr w:type="spellEnd"/>
            <w:r w:rsidRPr="00CE7679">
              <w:rPr>
                <w:rFonts w:eastAsia="Calibri"/>
                <w:snapToGrid/>
                <w:szCs w:val="22"/>
              </w:rPr>
              <w:t xml:space="preserve"> gydymo blokas 1 (3 savaitės)</w:t>
            </w:r>
          </w:p>
        </w:tc>
        <w:tc>
          <w:tcPr>
            <w:tcW w:w="6127" w:type="dxa"/>
          </w:tcPr>
          <w:p w14:paraId="2A51BDC2" w14:textId="77777777" w:rsidR="00A27597" w:rsidRPr="00CE7679" w:rsidRDefault="00A27597" w:rsidP="00A27597">
            <w:pPr>
              <w:tabs>
                <w:tab w:val="clear" w:pos="567"/>
              </w:tabs>
              <w:autoSpaceDE w:val="0"/>
              <w:autoSpaceDN w:val="0"/>
              <w:adjustRightInd w:val="0"/>
              <w:spacing w:line="240" w:lineRule="auto"/>
              <w:rPr>
                <w:rFonts w:eastAsia="Calibri"/>
                <w:snapToGrid/>
                <w:szCs w:val="22"/>
              </w:rPr>
            </w:pPr>
            <w:r w:rsidRPr="00CE7679">
              <w:rPr>
                <w:rFonts w:eastAsia="Calibri"/>
                <w:snapToGrid/>
                <w:szCs w:val="22"/>
              </w:rPr>
              <w:t>VCR (1,5 mg/m</w:t>
            </w:r>
            <w:r w:rsidRPr="00CE7679">
              <w:rPr>
                <w:rFonts w:eastAsia="Calibri"/>
                <w:snapToGrid/>
                <w:szCs w:val="22"/>
                <w:vertAlign w:val="superscript"/>
              </w:rPr>
              <w:t>2</w:t>
            </w:r>
            <w:r w:rsidRPr="00CE7679">
              <w:rPr>
                <w:rFonts w:eastAsia="Calibri"/>
                <w:snapToGrid/>
                <w:szCs w:val="22"/>
              </w:rPr>
              <w:t xml:space="preserve"> per parą, IV): 1, 8 ir 15 dienos </w:t>
            </w:r>
          </w:p>
          <w:p w14:paraId="1CE981FD" w14:textId="77777777" w:rsidR="00A27597" w:rsidRPr="00CE7679" w:rsidRDefault="00A27597" w:rsidP="00A27597">
            <w:pPr>
              <w:tabs>
                <w:tab w:val="clear" w:pos="567"/>
              </w:tabs>
              <w:autoSpaceDE w:val="0"/>
              <w:autoSpaceDN w:val="0"/>
              <w:adjustRightInd w:val="0"/>
              <w:spacing w:line="240" w:lineRule="auto"/>
              <w:rPr>
                <w:rFonts w:eastAsia="Calibri"/>
                <w:snapToGrid/>
                <w:szCs w:val="22"/>
              </w:rPr>
            </w:pPr>
            <w:r w:rsidRPr="00CE7679">
              <w:rPr>
                <w:rFonts w:eastAsia="Calibri"/>
                <w:snapToGrid/>
                <w:szCs w:val="22"/>
              </w:rPr>
              <w:t>DAUN (45 mg/m</w:t>
            </w:r>
            <w:r w:rsidRPr="00CE7679">
              <w:rPr>
                <w:rFonts w:eastAsia="Calibri"/>
                <w:snapToGrid/>
                <w:szCs w:val="22"/>
                <w:vertAlign w:val="superscript"/>
              </w:rPr>
              <w:t>2</w:t>
            </w:r>
            <w:r w:rsidRPr="00CE7679">
              <w:rPr>
                <w:rFonts w:eastAsia="Calibri"/>
                <w:snapToGrid/>
                <w:szCs w:val="22"/>
              </w:rPr>
              <w:t xml:space="preserve"> per parą </w:t>
            </w:r>
            <w:proofErr w:type="spellStart"/>
            <w:r w:rsidRPr="00CE7679">
              <w:rPr>
                <w:rFonts w:eastAsia="Calibri"/>
                <w:snapToGrid/>
                <w:szCs w:val="22"/>
              </w:rPr>
              <w:t>boliusu</w:t>
            </w:r>
            <w:proofErr w:type="spellEnd"/>
            <w:r w:rsidRPr="00CE7679">
              <w:rPr>
                <w:rFonts w:eastAsia="Calibri"/>
                <w:snapToGrid/>
                <w:szCs w:val="22"/>
              </w:rPr>
              <w:t xml:space="preserve">, IV): 1-ąją ir 2-ąją dienomis </w:t>
            </w:r>
          </w:p>
          <w:p w14:paraId="452C7777" w14:textId="77777777" w:rsidR="00A27597" w:rsidRPr="00CE7679" w:rsidRDefault="00A27597" w:rsidP="00A27597">
            <w:pPr>
              <w:tabs>
                <w:tab w:val="clear" w:pos="567"/>
              </w:tabs>
              <w:autoSpaceDE w:val="0"/>
              <w:autoSpaceDN w:val="0"/>
              <w:adjustRightInd w:val="0"/>
              <w:spacing w:line="240" w:lineRule="auto"/>
              <w:rPr>
                <w:rFonts w:eastAsia="Calibri"/>
                <w:snapToGrid/>
                <w:szCs w:val="22"/>
              </w:rPr>
            </w:pPr>
            <w:r w:rsidRPr="00CE7679">
              <w:rPr>
                <w:rFonts w:eastAsia="Calibri"/>
                <w:snapToGrid/>
                <w:szCs w:val="22"/>
              </w:rPr>
              <w:t>CPM (250 mg/m</w:t>
            </w:r>
            <w:r w:rsidRPr="00CE7679">
              <w:rPr>
                <w:rFonts w:eastAsia="Calibri"/>
                <w:snapToGrid/>
                <w:szCs w:val="22"/>
                <w:vertAlign w:val="superscript"/>
              </w:rPr>
              <w:t>2</w:t>
            </w:r>
            <w:r w:rsidRPr="00CE7679">
              <w:rPr>
                <w:rFonts w:eastAsia="Calibri"/>
                <w:snapToGrid/>
                <w:szCs w:val="22"/>
              </w:rPr>
              <w:t xml:space="preserve"> dozė q12h x 4 dozės, IV): 3-iąją ir 4-ąją dienomis </w:t>
            </w:r>
          </w:p>
          <w:p w14:paraId="55EFDEAE" w14:textId="77777777" w:rsidR="00A27597" w:rsidRPr="00CE7679" w:rsidRDefault="00A27597" w:rsidP="00A27597">
            <w:pPr>
              <w:tabs>
                <w:tab w:val="clear" w:pos="567"/>
              </w:tabs>
              <w:autoSpaceDE w:val="0"/>
              <w:autoSpaceDN w:val="0"/>
              <w:adjustRightInd w:val="0"/>
              <w:spacing w:line="240" w:lineRule="auto"/>
              <w:rPr>
                <w:rFonts w:eastAsia="Calibri"/>
                <w:snapToGrid/>
                <w:szCs w:val="22"/>
              </w:rPr>
            </w:pPr>
            <w:r w:rsidRPr="00CE7679">
              <w:rPr>
                <w:rFonts w:eastAsia="Calibri"/>
                <w:snapToGrid/>
                <w:szCs w:val="22"/>
              </w:rPr>
              <w:t>PEG-ASP (2500</w:t>
            </w:r>
            <w:r w:rsidR="001258C1" w:rsidRPr="00CE7679">
              <w:rPr>
                <w:rFonts w:eastAsia="Calibri"/>
                <w:snapToGrid/>
                <w:szCs w:val="22"/>
              </w:rPr>
              <w:t> </w:t>
            </w:r>
            <w:r w:rsidRPr="00CE7679">
              <w:rPr>
                <w:rFonts w:eastAsia="Calibri"/>
                <w:snapToGrid/>
                <w:szCs w:val="22"/>
              </w:rPr>
              <w:t>TV/m</w:t>
            </w:r>
            <w:r w:rsidRPr="00CE7679">
              <w:rPr>
                <w:rFonts w:eastAsia="Calibri"/>
                <w:snapToGrid/>
                <w:szCs w:val="22"/>
                <w:vertAlign w:val="superscript"/>
              </w:rPr>
              <w:t>2</w:t>
            </w:r>
            <w:r w:rsidRPr="00CE7679">
              <w:rPr>
                <w:rFonts w:eastAsia="Calibri"/>
                <w:snapToGrid/>
                <w:szCs w:val="22"/>
              </w:rPr>
              <w:t xml:space="preserve">, IM): 4-ąją dieną </w:t>
            </w:r>
          </w:p>
          <w:p w14:paraId="6E3E99DE" w14:textId="77777777" w:rsidR="00A27597" w:rsidRPr="00CE7679" w:rsidRDefault="00A27597" w:rsidP="00A27597">
            <w:pPr>
              <w:tabs>
                <w:tab w:val="clear" w:pos="567"/>
              </w:tabs>
              <w:autoSpaceDE w:val="0"/>
              <w:autoSpaceDN w:val="0"/>
              <w:adjustRightInd w:val="0"/>
              <w:spacing w:line="240" w:lineRule="auto"/>
              <w:rPr>
                <w:rFonts w:eastAsia="Calibri"/>
                <w:snapToGrid/>
                <w:szCs w:val="22"/>
              </w:rPr>
            </w:pPr>
            <w:r w:rsidRPr="00CE7679">
              <w:rPr>
                <w:rFonts w:eastAsia="Calibri"/>
                <w:snapToGrid/>
                <w:szCs w:val="22"/>
              </w:rPr>
              <w:lastRenderedPageBreak/>
              <w:t>G-CSF (5</w:t>
            </w:r>
            <w:r w:rsidR="001258C1" w:rsidRPr="00CE7679">
              <w:rPr>
                <w:rFonts w:eastAsia="Calibri"/>
                <w:snapToGrid/>
                <w:szCs w:val="22"/>
              </w:rPr>
              <w:t> </w:t>
            </w:r>
            <w:proofErr w:type="spellStart"/>
            <w:r w:rsidRPr="00CE7679">
              <w:rPr>
                <w:rFonts w:eastAsia="Calibri"/>
                <w:snapToGrid/>
                <w:szCs w:val="22"/>
              </w:rPr>
              <w:t>μg</w:t>
            </w:r>
            <w:proofErr w:type="spellEnd"/>
            <w:r w:rsidRPr="00CE7679">
              <w:rPr>
                <w:rFonts w:eastAsia="Calibri"/>
                <w:snapToGrid/>
                <w:szCs w:val="22"/>
              </w:rPr>
              <w:t>/kg, SC): 5-14 dienos arba kol ANS bus &gt;</w:t>
            </w:r>
            <w:r w:rsidR="001258C1" w:rsidRPr="00CE7679">
              <w:rPr>
                <w:rFonts w:eastAsia="Calibri"/>
                <w:snapToGrid/>
                <w:szCs w:val="22"/>
              </w:rPr>
              <w:t> </w:t>
            </w:r>
            <w:r w:rsidRPr="00CE7679">
              <w:rPr>
                <w:rFonts w:eastAsia="Calibri"/>
                <w:snapToGrid/>
                <w:szCs w:val="22"/>
              </w:rPr>
              <w:t xml:space="preserve">1500 nuo žemiausios reikšmės </w:t>
            </w:r>
          </w:p>
          <w:p w14:paraId="72A1BFA0" w14:textId="77777777" w:rsidR="00A27597" w:rsidRPr="00CE7679" w:rsidRDefault="00A27597" w:rsidP="00A27597">
            <w:pPr>
              <w:tabs>
                <w:tab w:val="clear" w:pos="567"/>
              </w:tabs>
              <w:autoSpaceDE w:val="0"/>
              <w:autoSpaceDN w:val="0"/>
              <w:adjustRightInd w:val="0"/>
              <w:spacing w:line="240" w:lineRule="auto"/>
              <w:rPr>
                <w:rFonts w:eastAsia="Calibri"/>
                <w:snapToGrid/>
                <w:szCs w:val="22"/>
              </w:rPr>
            </w:pPr>
            <w:r w:rsidRPr="00CE7679">
              <w:rPr>
                <w:rFonts w:eastAsia="Calibri"/>
                <w:snapToGrid/>
                <w:szCs w:val="22"/>
              </w:rPr>
              <w:t xml:space="preserve">Trigubas IT gydymas (dozė priklausomai nuo amžiaus): 1-ąją ir 15-ąją dienomis </w:t>
            </w:r>
          </w:p>
          <w:p w14:paraId="42413F35" w14:textId="77777777" w:rsidR="00A27597" w:rsidRPr="00CE7679" w:rsidRDefault="00A27597" w:rsidP="00A27597">
            <w:pPr>
              <w:tabs>
                <w:tab w:val="clear" w:pos="567"/>
              </w:tabs>
              <w:autoSpaceDE w:val="0"/>
              <w:autoSpaceDN w:val="0"/>
              <w:adjustRightInd w:val="0"/>
              <w:spacing w:line="240" w:lineRule="auto"/>
              <w:rPr>
                <w:rFonts w:eastAsia="Calibri"/>
                <w:snapToGrid/>
                <w:szCs w:val="22"/>
              </w:rPr>
            </w:pPr>
            <w:r w:rsidRPr="00CE7679">
              <w:rPr>
                <w:rFonts w:eastAsia="Calibri"/>
                <w:snapToGrid/>
                <w:szCs w:val="22"/>
              </w:rPr>
              <w:t>DEX (6 mg/m</w:t>
            </w:r>
            <w:r w:rsidRPr="00CE7679">
              <w:rPr>
                <w:rFonts w:eastAsia="Calibri"/>
                <w:snapToGrid/>
                <w:szCs w:val="22"/>
                <w:vertAlign w:val="superscript"/>
              </w:rPr>
              <w:t>2</w:t>
            </w:r>
            <w:r w:rsidRPr="00CE7679">
              <w:rPr>
                <w:rFonts w:eastAsia="Calibri"/>
                <w:snapToGrid/>
                <w:szCs w:val="22"/>
              </w:rPr>
              <w:t xml:space="preserve"> per parą, PO): 1-7 dienos ir 15-21 dienos</w:t>
            </w:r>
          </w:p>
        </w:tc>
      </w:tr>
      <w:tr w:rsidR="00701D61" w:rsidRPr="00CE7679" w14:paraId="07174963" w14:textId="77777777" w:rsidTr="00A27597">
        <w:trPr>
          <w:trHeight w:val="900"/>
        </w:trPr>
        <w:tc>
          <w:tcPr>
            <w:tcW w:w="2943" w:type="dxa"/>
          </w:tcPr>
          <w:p w14:paraId="382A6FA7" w14:textId="7CE5714C" w:rsidR="00A27597" w:rsidRPr="00CE7679" w:rsidRDefault="00A27597" w:rsidP="00A27597">
            <w:pPr>
              <w:tabs>
                <w:tab w:val="clear" w:pos="567"/>
              </w:tabs>
              <w:autoSpaceDE w:val="0"/>
              <w:autoSpaceDN w:val="0"/>
              <w:adjustRightInd w:val="0"/>
              <w:spacing w:line="240" w:lineRule="auto"/>
              <w:rPr>
                <w:rFonts w:eastAsia="Calibri"/>
                <w:snapToGrid/>
                <w:szCs w:val="22"/>
              </w:rPr>
            </w:pPr>
            <w:r w:rsidRPr="00CE7679">
              <w:rPr>
                <w:rFonts w:eastAsia="Calibri"/>
                <w:snapToGrid/>
                <w:szCs w:val="22"/>
              </w:rPr>
              <w:lastRenderedPageBreak/>
              <w:t>Intensyvinimo blokas 1 (9</w:t>
            </w:r>
            <w:r w:rsidR="00431A95">
              <w:rPr>
                <w:rFonts w:eastAsia="Calibri"/>
                <w:snapToGrid/>
                <w:szCs w:val="22"/>
              </w:rPr>
              <w:t> </w:t>
            </w:r>
            <w:r w:rsidRPr="00CE7679">
              <w:rPr>
                <w:rFonts w:eastAsia="Calibri"/>
                <w:snapToGrid/>
                <w:szCs w:val="22"/>
              </w:rPr>
              <w:t>savaitės)</w:t>
            </w:r>
          </w:p>
        </w:tc>
        <w:tc>
          <w:tcPr>
            <w:tcW w:w="6127" w:type="dxa"/>
          </w:tcPr>
          <w:p w14:paraId="4F0A269E" w14:textId="77777777" w:rsidR="00A27597" w:rsidRPr="00CE7679" w:rsidRDefault="00A27597" w:rsidP="00A27597">
            <w:pPr>
              <w:tabs>
                <w:tab w:val="clear" w:pos="567"/>
              </w:tabs>
              <w:autoSpaceDE w:val="0"/>
              <w:autoSpaceDN w:val="0"/>
              <w:adjustRightInd w:val="0"/>
              <w:spacing w:line="240" w:lineRule="auto"/>
              <w:rPr>
                <w:rFonts w:eastAsia="Calibri"/>
                <w:snapToGrid/>
                <w:szCs w:val="22"/>
              </w:rPr>
            </w:pPr>
            <w:proofErr w:type="spellStart"/>
            <w:r w:rsidRPr="00CE7679">
              <w:rPr>
                <w:rFonts w:eastAsia="Calibri"/>
                <w:snapToGrid/>
                <w:szCs w:val="22"/>
              </w:rPr>
              <w:t>Metotreksatas</w:t>
            </w:r>
            <w:proofErr w:type="spellEnd"/>
            <w:r w:rsidRPr="00CE7679">
              <w:rPr>
                <w:rFonts w:eastAsia="Calibri"/>
                <w:snapToGrid/>
                <w:szCs w:val="22"/>
              </w:rPr>
              <w:t xml:space="preserve"> (5 g/m</w:t>
            </w:r>
            <w:r w:rsidRPr="00CE7679">
              <w:rPr>
                <w:rFonts w:eastAsia="Calibri"/>
                <w:snapToGrid/>
                <w:szCs w:val="22"/>
                <w:vertAlign w:val="superscript"/>
              </w:rPr>
              <w:t>2</w:t>
            </w:r>
            <w:r w:rsidRPr="00CE7679">
              <w:rPr>
                <w:rFonts w:eastAsia="Calibri"/>
                <w:snapToGrid/>
                <w:szCs w:val="22"/>
              </w:rPr>
              <w:t xml:space="preserve"> per 24 valandas, IV): 1-ąją ir 15-ąją dienomis </w:t>
            </w:r>
          </w:p>
          <w:p w14:paraId="53786A24" w14:textId="77777777" w:rsidR="00A27597" w:rsidRPr="00CE7679" w:rsidRDefault="00A27597" w:rsidP="00A27597">
            <w:pPr>
              <w:tabs>
                <w:tab w:val="clear" w:pos="567"/>
              </w:tabs>
              <w:autoSpaceDE w:val="0"/>
              <w:autoSpaceDN w:val="0"/>
              <w:adjustRightInd w:val="0"/>
              <w:spacing w:line="240" w:lineRule="auto"/>
              <w:rPr>
                <w:rFonts w:eastAsia="Calibri"/>
                <w:snapToGrid/>
                <w:szCs w:val="22"/>
              </w:rPr>
            </w:pPr>
            <w:proofErr w:type="spellStart"/>
            <w:r w:rsidRPr="00CE7679">
              <w:rPr>
                <w:rFonts w:eastAsia="Calibri"/>
                <w:snapToGrid/>
                <w:szCs w:val="22"/>
              </w:rPr>
              <w:t>Leukovorinas</w:t>
            </w:r>
            <w:proofErr w:type="spellEnd"/>
            <w:r w:rsidRPr="00CE7679">
              <w:rPr>
                <w:rFonts w:eastAsia="Calibri"/>
                <w:snapToGrid/>
                <w:szCs w:val="22"/>
              </w:rPr>
              <w:t xml:space="preserve"> (75 mg/m</w:t>
            </w:r>
            <w:r w:rsidRPr="00CE7679">
              <w:rPr>
                <w:rFonts w:eastAsia="Calibri"/>
                <w:snapToGrid/>
                <w:szCs w:val="22"/>
                <w:vertAlign w:val="superscript"/>
              </w:rPr>
              <w:t>2</w:t>
            </w:r>
            <w:r w:rsidRPr="00CE7679">
              <w:rPr>
                <w:rFonts w:eastAsia="Calibri"/>
                <w:snapToGrid/>
                <w:szCs w:val="22"/>
              </w:rPr>
              <w:t xml:space="preserve"> po 36 valandų, IV; 15 mg/m</w:t>
            </w:r>
            <w:r w:rsidRPr="00CE7679">
              <w:rPr>
                <w:rFonts w:eastAsia="Calibri"/>
                <w:snapToGrid/>
                <w:szCs w:val="22"/>
                <w:vertAlign w:val="superscript"/>
              </w:rPr>
              <w:t>2</w:t>
            </w:r>
            <w:r w:rsidRPr="00CE7679">
              <w:rPr>
                <w:rFonts w:eastAsia="Calibri"/>
                <w:snapToGrid/>
                <w:szCs w:val="22"/>
              </w:rPr>
              <w:t xml:space="preserve"> IV ar PO q6h x 6 dozės) iii: 2, 3, 16 ir 17 dienomis </w:t>
            </w:r>
          </w:p>
          <w:p w14:paraId="4D8CD2C0" w14:textId="77777777" w:rsidR="00A27597" w:rsidRPr="00CE7679" w:rsidRDefault="00A27597" w:rsidP="00A27597">
            <w:pPr>
              <w:tabs>
                <w:tab w:val="clear" w:pos="567"/>
              </w:tabs>
              <w:autoSpaceDE w:val="0"/>
              <w:autoSpaceDN w:val="0"/>
              <w:adjustRightInd w:val="0"/>
              <w:spacing w:line="240" w:lineRule="auto"/>
              <w:rPr>
                <w:rFonts w:eastAsia="Calibri"/>
                <w:snapToGrid/>
                <w:szCs w:val="22"/>
              </w:rPr>
            </w:pPr>
            <w:r w:rsidRPr="00CE7679">
              <w:rPr>
                <w:rFonts w:eastAsia="Calibri"/>
                <w:snapToGrid/>
                <w:szCs w:val="22"/>
              </w:rPr>
              <w:t xml:space="preserve">Trigubas IT gydymas (dozė priklausomai nuo amžiaus): 1-ąją ir 22-ąją dienomis </w:t>
            </w:r>
          </w:p>
          <w:p w14:paraId="2E7DEA44" w14:textId="77777777" w:rsidR="00A27597" w:rsidRPr="00CE7679" w:rsidRDefault="00A27597" w:rsidP="00A27597">
            <w:pPr>
              <w:tabs>
                <w:tab w:val="clear" w:pos="567"/>
              </w:tabs>
              <w:autoSpaceDE w:val="0"/>
              <w:autoSpaceDN w:val="0"/>
              <w:adjustRightInd w:val="0"/>
              <w:spacing w:line="240" w:lineRule="auto"/>
              <w:rPr>
                <w:rFonts w:eastAsia="Calibri"/>
                <w:snapToGrid/>
                <w:szCs w:val="22"/>
              </w:rPr>
            </w:pPr>
            <w:r w:rsidRPr="00CE7679">
              <w:rPr>
                <w:rFonts w:eastAsia="Calibri"/>
                <w:snapToGrid/>
                <w:szCs w:val="22"/>
              </w:rPr>
              <w:t>VP-16 (100 mg/m</w:t>
            </w:r>
            <w:r w:rsidRPr="00CE7679">
              <w:rPr>
                <w:rFonts w:eastAsia="Calibri"/>
                <w:snapToGrid/>
                <w:szCs w:val="22"/>
                <w:vertAlign w:val="superscript"/>
              </w:rPr>
              <w:t>2</w:t>
            </w:r>
            <w:r w:rsidRPr="00CE7679">
              <w:rPr>
                <w:rFonts w:eastAsia="Calibri"/>
                <w:snapToGrid/>
                <w:szCs w:val="22"/>
              </w:rPr>
              <w:t xml:space="preserve"> per parą, IV): 22-26 dienos </w:t>
            </w:r>
          </w:p>
          <w:p w14:paraId="2F90F65D" w14:textId="77777777" w:rsidR="00A27597" w:rsidRPr="00CE7679" w:rsidRDefault="00A27597" w:rsidP="00A27597">
            <w:pPr>
              <w:tabs>
                <w:tab w:val="clear" w:pos="567"/>
              </w:tabs>
              <w:autoSpaceDE w:val="0"/>
              <w:autoSpaceDN w:val="0"/>
              <w:adjustRightInd w:val="0"/>
              <w:spacing w:line="240" w:lineRule="auto"/>
              <w:rPr>
                <w:rFonts w:eastAsia="Calibri"/>
                <w:snapToGrid/>
                <w:szCs w:val="22"/>
              </w:rPr>
            </w:pPr>
            <w:r w:rsidRPr="00CE7679">
              <w:rPr>
                <w:rFonts w:eastAsia="Calibri"/>
                <w:snapToGrid/>
                <w:szCs w:val="22"/>
              </w:rPr>
              <w:t>CPM (300 mg/m</w:t>
            </w:r>
            <w:r w:rsidRPr="00CE7679">
              <w:rPr>
                <w:rFonts w:eastAsia="Calibri"/>
                <w:snapToGrid/>
                <w:szCs w:val="22"/>
                <w:vertAlign w:val="superscript"/>
              </w:rPr>
              <w:t>2</w:t>
            </w:r>
            <w:r w:rsidRPr="00CE7679">
              <w:rPr>
                <w:rFonts w:eastAsia="Calibri"/>
                <w:snapToGrid/>
                <w:szCs w:val="22"/>
              </w:rPr>
              <w:t xml:space="preserve"> per parą, IV): 22-26 dienos </w:t>
            </w:r>
          </w:p>
          <w:p w14:paraId="67482872" w14:textId="77777777" w:rsidR="00A27597" w:rsidRPr="00CE7679" w:rsidRDefault="00A27597" w:rsidP="00A27597">
            <w:pPr>
              <w:tabs>
                <w:tab w:val="clear" w:pos="567"/>
              </w:tabs>
              <w:autoSpaceDE w:val="0"/>
              <w:autoSpaceDN w:val="0"/>
              <w:adjustRightInd w:val="0"/>
              <w:spacing w:line="240" w:lineRule="auto"/>
              <w:rPr>
                <w:rFonts w:eastAsia="Calibri"/>
                <w:snapToGrid/>
                <w:szCs w:val="22"/>
              </w:rPr>
            </w:pPr>
            <w:r w:rsidRPr="00CE7679">
              <w:rPr>
                <w:rFonts w:eastAsia="Calibri"/>
                <w:snapToGrid/>
                <w:szCs w:val="22"/>
              </w:rPr>
              <w:t>MESNA (150 mg/m</w:t>
            </w:r>
            <w:r w:rsidRPr="00CE7679">
              <w:rPr>
                <w:rFonts w:eastAsia="Calibri"/>
                <w:snapToGrid/>
                <w:szCs w:val="22"/>
                <w:vertAlign w:val="superscript"/>
              </w:rPr>
              <w:t>2</w:t>
            </w:r>
            <w:r w:rsidRPr="00CE7679">
              <w:rPr>
                <w:rFonts w:eastAsia="Calibri"/>
                <w:snapToGrid/>
                <w:szCs w:val="22"/>
              </w:rPr>
              <w:t xml:space="preserve"> per parą, IV): 22-26 dienos </w:t>
            </w:r>
          </w:p>
          <w:p w14:paraId="56449560" w14:textId="77777777" w:rsidR="00A27597" w:rsidRPr="00CE7679" w:rsidRDefault="00A27597" w:rsidP="00A27597">
            <w:pPr>
              <w:tabs>
                <w:tab w:val="clear" w:pos="567"/>
              </w:tabs>
              <w:autoSpaceDE w:val="0"/>
              <w:autoSpaceDN w:val="0"/>
              <w:adjustRightInd w:val="0"/>
              <w:spacing w:line="240" w:lineRule="auto"/>
              <w:rPr>
                <w:rFonts w:eastAsia="Calibri"/>
                <w:snapToGrid/>
                <w:szCs w:val="22"/>
              </w:rPr>
            </w:pPr>
            <w:r w:rsidRPr="00CE7679">
              <w:rPr>
                <w:rFonts w:eastAsia="Calibri"/>
                <w:snapToGrid/>
                <w:szCs w:val="22"/>
              </w:rPr>
              <w:t xml:space="preserve">G-CSF (5 </w:t>
            </w:r>
            <w:proofErr w:type="spellStart"/>
            <w:r w:rsidRPr="00CE7679">
              <w:rPr>
                <w:rFonts w:eastAsia="Calibri"/>
                <w:snapToGrid/>
                <w:szCs w:val="22"/>
              </w:rPr>
              <w:t>μg</w:t>
            </w:r>
            <w:proofErr w:type="spellEnd"/>
            <w:r w:rsidRPr="00CE7679">
              <w:rPr>
                <w:rFonts w:eastAsia="Calibri"/>
                <w:snapToGrid/>
                <w:szCs w:val="22"/>
              </w:rPr>
              <w:t>/kg, SC): 27-36 dienos arba kol ANS bus &gt;</w:t>
            </w:r>
            <w:r w:rsidR="001258C1" w:rsidRPr="00CE7679">
              <w:rPr>
                <w:rFonts w:eastAsia="Calibri"/>
                <w:snapToGrid/>
                <w:szCs w:val="22"/>
              </w:rPr>
              <w:t> </w:t>
            </w:r>
            <w:r w:rsidRPr="00CE7679">
              <w:rPr>
                <w:rFonts w:eastAsia="Calibri"/>
                <w:snapToGrid/>
                <w:szCs w:val="22"/>
              </w:rPr>
              <w:t xml:space="preserve">1500 nuo žemiausios reikšmės </w:t>
            </w:r>
          </w:p>
          <w:p w14:paraId="2023564C" w14:textId="77777777" w:rsidR="00A27597" w:rsidRPr="00CE7679" w:rsidRDefault="00A27597" w:rsidP="00A27597">
            <w:pPr>
              <w:tabs>
                <w:tab w:val="clear" w:pos="567"/>
              </w:tabs>
              <w:autoSpaceDE w:val="0"/>
              <w:autoSpaceDN w:val="0"/>
              <w:adjustRightInd w:val="0"/>
              <w:spacing w:line="240" w:lineRule="auto"/>
              <w:rPr>
                <w:rFonts w:eastAsia="Calibri"/>
                <w:snapToGrid/>
                <w:szCs w:val="22"/>
              </w:rPr>
            </w:pPr>
            <w:r w:rsidRPr="00CE7679">
              <w:rPr>
                <w:rFonts w:eastAsia="Calibri"/>
                <w:snapToGrid/>
                <w:szCs w:val="22"/>
              </w:rPr>
              <w:t>ARA-C (3 g/m</w:t>
            </w:r>
            <w:r w:rsidRPr="00CE7679">
              <w:rPr>
                <w:rFonts w:eastAsia="Calibri"/>
                <w:snapToGrid/>
                <w:szCs w:val="22"/>
                <w:vertAlign w:val="superscript"/>
              </w:rPr>
              <w:t>2</w:t>
            </w:r>
            <w:r w:rsidRPr="00CE7679">
              <w:rPr>
                <w:rFonts w:eastAsia="Calibri"/>
                <w:snapToGrid/>
                <w:szCs w:val="22"/>
              </w:rPr>
              <w:t xml:space="preserve">, q12h, IV): 43, 44 dienomis </w:t>
            </w:r>
          </w:p>
          <w:p w14:paraId="06B273F6" w14:textId="77777777" w:rsidR="00A27597" w:rsidRPr="00CE7679" w:rsidRDefault="00A27597" w:rsidP="001258C1">
            <w:pPr>
              <w:tabs>
                <w:tab w:val="clear" w:pos="567"/>
              </w:tabs>
              <w:autoSpaceDE w:val="0"/>
              <w:autoSpaceDN w:val="0"/>
              <w:adjustRightInd w:val="0"/>
              <w:spacing w:line="240" w:lineRule="auto"/>
              <w:rPr>
                <w:rFonts w:eastAsia="Calibri"/>
                <w:snapToGrid/>
                <w:szCs w:val="22"/>
              </w:rPr>
            </w:pPr>
            <w:r w:rsidRPr="00CE7679">
              <w:rPr>
                <w:rFonts w:eastAsia="Calibri"/>
                <w:snapToGrid/>
                <w:szCs w:val="22"/>
              </w:rPr>
              <w:t>L-ASP (6000</w:t>
            </w:r>
            <w:r w:rsidR="001258C1" w:rsidRPr="00CE7679">
              <w:rPr>
                <w:rFonts w:eastAsia="Calibri"/>
                <w:snapToGrid/>
                <w:szCs w:val="22"/>
              </w:rPr>
              <w:t> </w:t>
            </w:r>
            <w:r w:rsidRPr="00CE7679">
              <w:rPr>
                <w:rFonts w:eastAsia="Calibri"/>
                <w:snapToGrid/>
                <w:szCs w:val="22"/>
              </w:rPr>
              <w:t>TV/m</w:t>
            </w:r>
            <w:r w:rsidRPr="00CE7679">
              <w:rPr>
                <w:rFonts w:eastAsia="Calibri"/>
                <w:snapToGrid/>
                <w:szCs w:val="22"/>
                <w:vertAlign w:val="superscript"/>
              </w:rPr>
              <w:t>2</w:t>
            </w:r>
            <w:r w:rsidRPr="00CE7679">
              <w:rPr>
                <w:rFonts w:eastAsia="Calibri"/>
                <w:snapToGrid/>
                <w:szCs w:val="22"/>
              </w:rPr>
              <w:t>, IM): 44-ąją dieną</w:t>
            </w:r>
          </w:p>
        </w:tc>
      </w:tr>
      <w:tr w:rsidR="00701D61" w:rsidRPr="00CE7679" w14:paraId="3B8BA198" w14:textId="77777777" w:rsidTr="00A27597">
        <w:trPr>
          <w:trHeight w:val="900"/>
        </w:trPr>
        <w:tc>
          <w:tcPr>
            <w:tcW w:w="2943" w:type="dxa"/>
          </w:tcPr>
          <w:p w14:paraId="2367041A" w14:textId="77777777" w:rsidR="00A27597" w:rsidRPr="00CE7679" w:rsidRDefault="00A27597" w:rsidP="00A27597">
            <w:pPr>
              <w:tabs>
                <w:tab w:val="clear" w:pos="567"/>
              </w:tabs>
              <w:autoSpaceDE w:val="0"/>
              <w:autoSpaceDN w:val="0"/>
              <w:adjustRightInd w:val="0"/>
              <w:spacing w:line="240" w:lineRule="auto"/>
              <w:rPr>
                <w:rFonts w:eastAsia="Calibri"/>
                <w:snapToGrid/>
                <w:szCs w:val="22"/>
              </w:rPr>
            </w:pPr>
            <w:proofErr w:type="spellStart"/>
            <w:r w:rsidRPr="00CE7679">
              <w:rPr>
                <w:rFonts w:eastAsia="Calibri"/>
                <w:snapToGrid/>
                <w:szCs w:val="22"/>
              </w:rPr>
              <w:t>Reindukcinio</w:t>
            </w:r>
            <w:proofErr w:type="spellEnd"/>
            <w:r w:rsidRPr="00CE7679">
              <w:rPr>
                <w:rFonts w:eastAsia="Calibri"/>
                <w:snapToGrid/>
                <w:szCs w:val="22"/>
              </w:rPr>
              <w:t xml:space="preserve"> gydymo blokas 2 (3 savaitės)</w:t>
            </w:r>
          </w:p>
        </w:tc>
        <w:tc>
          <w:tcPr>
            <w:tcW w:w="6127" w:type="dxa"/>
          </w:tcPr>
          <w:p w14:paraId="42152892" w14:textId="77777777" w:rsidR="00A27597" w:rsidRPr="00CE7679" w:rsidRDefault="00A27597" w:rsidP="00A27597">
            <w:pPr>
              <w:tabs>
                <w:tab w:val="clear" w:pos="567"/>
              </w:tabs>
              <w:autoSpaceDE w:val="0"/>
              <w:autoSpaceDN w:val="0"/>
              <w:adjustRightInd w:val="0"/>
              <w:spacing w:line="240" w:lineRule="auto"/>
              <w:rPr>
                <w:rFonts w:eastAsia="Calibri"/>
                <w:snapToGrid/>
                <w:szCs w:val="22"/>
              </w:rPr>
            </w:pPr>
            <w:r w:rsidRPr="00CE7679">
              <w:rPr>
                <w:rFonts w:eastAsia="Calibri"/>
                <w:snapToGrid/>
                <w:szCs w:val="22"/>
              </w:rPr>
              <w:t>VCR (1,5 mg/m</w:t>
            </w:r>
            <w:r w:rsidRPr="00CE7679">
              <w:rPr>
                <w:rFonts w:eastAsia="Calibri"/>
                <w:snapToGrid/>
                <w:szCs w:val="22"/>
                <w:vertAlign w:val="superscript"/>
              </w:rPr>
              <w:t>2</w:t>
            </w:r>
            <w:r w:rsidRPr="00CE7679">
              <w:rPr>
                <w:rFonts w:eastAsia="Calibri"/>
                <w:snapToGrid/>
                <w:szCs w:val="22"/>
              </w:rPr>
              <w:t xml:space="preserve"> per parą, IV): 1, 8 ir 15 dienomis </w:t>
            </w:r>
          </w:p>
          <w:p w14:paraId="40C23BAF" w14:textId="77777777" w:rsidR="00A27597" w:rsidRPr="00CE7679" w:rsidRDefault="00A27597" w:rsidP="00A27597">
            <w:pPr>
              <w:tabs>
                <w:tab w:val="clear" w:pos="567"/>
              </w:tabs>
              <w:autoSpaceDE w:val="0"/>
              <w:autoSpaceDN w:val="0"/>
              <w:adjustRightInd w:val="0"/>
              <w:spacing w:line="240" w:lineRule="auto"/>
              <w:rPr>
                <w:rFonts w:eastAsia="Calibri"/>
                <w:snapToGrid/>
                <w:szCs w:val="22"/>
              </w:rPr>
            </w:pPr>
            <w:r w:rsidRPr="00CE7679">
              <w:rPr>
                <w:rFonts w:eastAsia="Calibri"/>
                <w:snapToGrid/>
                <w:szCs w:val="22"/>
              </w:rPr>
              <w:t>DAUN (45 mg/m</w:t>
            </w:r>
            <w:r w:rsidRPr="00CE7679">
              <w:rPr>
                <w:rFonts w:eastAsia="Calibri"/>
                <w:snapToGrid/>
                <w:szCs w:val="22"/>
                <w:vertAlign w:val="superscript"/>
              </w:rPr>
              <w:t>2</w:t>
            </w:r>
            <w:r w:rsidRPr="00CE7679">
              <w:rPr>
                <w:rFonts w:eastAsia="Calibri"/>
                <w:snapToGrid/>
                <w:szCs w:val="22"/>
              </w:rPr>
              <w:t xml:space="preserve"> per parą </w:t>
            </w:r>
            <w:proofErr w:type="spellStart"/>
            <w:r w:rsidRPr="00CE7679">
              <w:rPr>
                <w:rFonts w:eastAsia="Calibri"/>
                <w:snapToGrid/>
                <w:szCs w:val="22"/>
              </w:rPr>
              <w:t>boliusu</w:t>
            </w:r>
            <w:proofErr w:type="spellEnd"/>
            <w:r w:rsidRPr="00CE7679">
              <w:rPr>
                <w:rFonts w:eastAsia="Calibri"/>
                <w:snapToGrid/>
                <w:szCs w:val="22"/>
              </w:rPr>
              <w:t xml:space="preserve">, IV): 1-ąją ir 2-ąją dienomis </w:t>
            </w:r>
          </w:p>
          <w:p w14:paraId="76788FD3" w14:textId="77777777" w:rsidR="00A27597" w:rsidRPr="00CE7679" w:rsidRDefault="00A27597" w:rsidP="00A27597">
            <w:pPr>
              <w:tabs>
                <w:tab w:val="clear" w:pos="567"/>
              </w:tabs>
              <w:autoSpaceDE w:val="0"/>
              <w:autoSpaceDN w:val="0"/>
              <w:adjustRightInd w:val="0"/>
              <w:spacing w:line="240" w:lineRule="auto"/>
              <w:rPr>
                <w:rFonts w:eastAsia="Calibri"/>
                <w:snapToGrid/>
                <w:szCs w:val="22"/>
              </w:rPr>
            </w:pPr>
            <w:r w:rsidRPr="00CE7679">
              <w:rPr>
                <w:rFonts w:eastAsia="Calibri"/>
                <w:snapToGrid/>
                <w:szCs w:val="22"/>
              </w:rPr>
              <w:t>CPM (250 mg/m</w:t>
            </w:r>
            <w:r w:rsidRPr="00CE7679">
              <w:rPr>
                <w:rFonts w:eastAsia="Calibri"/>
                <w:snapToGrid/>
                <w:szCs w:val="22"/>
                <w:vertAlign w:val="superscript"/>
              </w:rPr>
              <w:t>2</w:t>
            </w:r>
            <w:r w:rsidRPr="00CE7679">
              <w:rPr>
                <w:rFonts w:eastAsia="Calibri"/>
                <w:snapToGrid/>
                <w:szCs w:val="22"/>
              </w:rPr>
              <w:t xml:space="preserve"> dozė q12h x 4 dozės, IV): 3-iąją ir 4-ąją dienomis </w:t>
            </w:r>
          </w:p>
          <w:p w14:paraId="0A327709" w14:textId="77777777" w:rsidR="00A27597" w:rsidRPr="00CE7679" w:rsidRDefault="00A27597" w:rsidP="00A27597">
            <w:pPr>
              <w:tabs>
                <w:tab w:val="clear" w:pos="567"/>
              </w:tabs>
              <w:autoSpaceDE w:val="0"/>
              <w:autoSpaceDN w:val="0"/>
              <w:adjustRightInd w:val="0"/>
              <w:spacing w:line="240" w:lineRule="auto"/>
              <w:rPr>
                <w:rFonts w:eastAsia="Calibri"/>
                <w:snapToGrid/>
                <w:szCs w:val="22"/>
              </w:rPr>
            </w:pPr>
            <w:r w:rsidRPr="00CE7679">
              <w:rPr>
                <w:rFonts w:eastAsia="Calibri"/>
                <w:snapToGrid/>
                <w:szCs w:val="22"/>
              </w:rPr>
              <w:t>PEG-ASP (2500</w:t>
            </w:r>
            <w:r w:rsidR="001258C1" w:rsidRPr="00CE7679">
              <w:rPr>
                <w:rFonts w:eastAsia="Calibri"/>
                <w:snapToGrid/>
                <w:szCs w:val="22"/>
              </w:rPr>
              <w:t> </w:t>
            </w:r>
            <w:r w:rsidRPr="00CE7679">
              <w:rPr>
                <w:rFonts w:eastAsia="Calibri"/>
                <w:snapToGrid/>
                <w:szCs w:val="22"/>
              </w:rPr>
              <w:t>TV/m</w:t>
            </w:r>
            <w:r w:rsidRPr="00CE7679">
              <w:rPr>
                <w:rFonts w:eastAsia="Calibri"/>
                <w:snapToGrid/>
                <w:szCs w:val="22"/>
                <w:vertAlign w:val="superscript"/>
              </w:rPr>
              <w:t>2</w:t>
            </w:r>
            <w:r w:rsidRPr="00CE7679">
              <w:rPr>
                <w:rFonts w:eastAsia="Calibri"/>
                <w:snapToGrid/>
                <w:szCs w:val="22"/>
              </w:rPr>
              <w:t xml:space="preserve">, IM): 4-ąją dieną </w:t>
            </w:r>
          </w:p>
          <w:p w14:paraId="4D0D3E9B" w14:textId="77777777" w:rsidR="00A27597" w:rsidRPr="00CE7679" w:rsidRDefault="00A27597" w:rsidP="00A27597">
            <w:pPr>
              <w:tabs>
                <w:tab w:val="clear" w:pos="567"/>
              </w:tabs>
              <w:autoSpaceDE w:val="0"/>
              <w:autoSpaceDN w:val="0"/>
              <w:adjustRightInd w:val="0"/>
              <w:spacing w:line="240" w:lineRule="auto"/>
              <w:rPr>
                <w:rFonts w:eastAsia="Calibri"/>
                <w:snapToGrid/>
                <w:szCs w:val="22"/>
              </w:rPr>
            </w:pPr>
            <w:r w:rsidRPr="00CE7679">
              <w:rPr>
                <w:rFonts w:eastAsia="Calibri"/>
                <w:snapToGrid/>
                <w:szCs w:val="22"/>
              </w:rPr>
              <w:t>G-CSF (5</w:t>
            </w:r>
            <w:r w:rsidR="001258C1" w:rsidRPr="00CE7679">
              <w:rPr>
                <w:rFonts w:eastAsia="Calibri"/>
                <w:snapToGrid/>
                <w:szCs w:val="22"/>
              </w:rPr>
              <w:t> </w:t>
            </w:r>
            <w:proofErr w:type="spellStart"/>
            <w:r w:rsidRPr="00CE7679">
              <w:rPr>
                <w:rFonts w:eastAsia="Calibri"/>
                <w:snapToGrid/>
                <w:szCs w:val="22"/>
              </w:rPr>
              <w:t>μg</w:t>
            </w:r>
            <w:proofErr w:type="spellEnd"/>
            <w:r w:rsidRPr="00CE7679">
              <w:rPr>
                <w:rFonts w:eastAsia="Calibri"/>
                <w:snapToGrid/>
                <w:szCs w:val="22"/>
              </w:rPr>
              <w:t>/kg, SC): 5-14 dienos arba kol ANS bus &gt;</w:t>
            </w:r>
            <w:r w:rsidR="001258C1" w:rsidRPr="00CE7679">
              <w:rPr>
                <w:rFonts w:eastAsia="Calibri"/>
                <w:snapToGrid/>
                <w:szCs w:val="22"/>
              </w:rPr>
              <w:t> </w:t>
            </w:r>
            <w:r w:rsidRPr="00CE7679">
              <w:rPr>
                <w:rFonts w:eastAsia="Calibri"/>
                <w:snapToGrid/>
                <w:szCs w:val="22"/>
              </w:rPr>
              <w:t xml:space="preserve">1500 nuo žemiausios reikšmės </w:t>
            </w:r>
          </w:p>
          <w:p w14:paraId="10278BD7" w14:textId="77777777" w:rsidR="00A27597" w:rsidRPr="00CE7679" w:rsidRDefault="00A27597" w:rsidP="00A27597">
            <w:pPr>
              <w:tabs>
                <w:tab w:val="clear" w:pos="567"/>
              </w:tabs>
              <w:autoSpaceDE w:val="0"/>
              <w:autoSpaceDN w:val="0"/>
              <w:adjustRightInd w:val="0"/>
              <w:spacing w:line="240" w:lineRule="auto"/>
              <w:rPr>
                <w:rFonts w:eastAsia="Calibri"/>
                <w:snapToGrid/>
                <w:szCs w:val="22"/>
              </w:rPr>
            </w:pPr>
            <w:r w:rsidRPr="00CE7679">
              <w:rPr>
                <w:rFonts w:eastAsia="Calibri"/>
                <w:snapToGrid/>
                <w:szCs w:val="22"/>
              </w:rPr>
              <w:t xml:space="preserve">Trigubas IT gydymas (dozė priklausomai nuo amžiaus): 1-ąją ir 15-ąją dienomis </w:t>
            </w:r>
          </w:p>
          <w:p w14:paraId="582C6E2D" w14:textId="77777777" w:rsidR="00A27597" w:rsidRPr="00CE7679" w:rsidRDefault="00A27597" w:rsidP="00A27597">
            <w:pPr>
              <w:tabs>
                <w:tab w:val="clear" w:pos="567"/>
              </w:tabs>
              <w:autoSpaceDE w:val="0"/>
              <w:autoSpaceDN w:val="0"/>
              <w:adjustRightInd w:val="0"/>
              <w:spacing w:line="240" w:lineRule="auto"/>
              <w:rPr>
                <w:rFonts w:eastAsia="Calibri"/>
                <w:snapToGrid/>
                <w:szCs w:val="22"/>
              </w:rPr>
            </w:pPr>
            <w:r w:rsidRPr="00CE7679">
              <w:rPr>
                <w:rFonts w:eastAsia="Calibri"/>
                <w:snapToGrid/>
                <w:szCs w:val="22"/>
              </w:rPr>
              <w:t>DEX (6 mg/m</w:t>
            </w:r>
            <w:r w:rsidRPr="00CE7679">
              <w:rPr>
                <w:rFonts w:eastAsia="Calibri"/>
                <w:snapToGrid/>
                <w:szCs w:val="22"/>
                <w:vertAlign w:val="superscript"/>
              </w:rPr>
              <w:t>2</w:t>
            </w:r>
            <w:r w:rsidRPr="00CE7679">
              <w:rPr>
                <w:rFonts w:eastAsia="Calibri"/>
                <w:snapToGrid/>
                <w:szCs w:val="22"/>
              </w:rPr>
              <w:t xml:space="preserve"> per parą, PO): 1-7 dienos ir 15-21 dienos</w:t>
            </w:r>
          </w:p>
        </w:tc>
      </w:tr>
      <w:tr w:rsidR="00701D61" w:rsidRPr="00CE7679" w14:paraId="7746F81B" w14:textId="77777777" w:rsidTr="00A27597">
        <w:trPr>
          <w:trHeight w:val="900"/>
        </w:trPr>
        <w:tc>
          <w:tcPr>
            <w:tcW w:w="2943" w:type="dxa"/>
          </w:tcPr>
          <w:p w14:paraId="76C3179C" w14:textId="093863C7" w:rsidR="00A27597" w:rsidRPr="00CE7679" w:rsidRDefault="00A27597" w:rsidP="00A27597">
            <w:pPr>
              <w:tabs>
                <w:tab w:val="clear" w:pos="567"/>
              </w:tabs>
              <w:autoSpaceDE w:val="0"/>
              <w:autoSpaceDN w:val="0"/>
              <w:adjustRightInd w:val="0"/>
              <w:spacing w:line="240" w:lineRule="auto"/>
              <w:rPr>
                <w:rFonts w:eastAsia="Calibri"/>
                <w:snapToGrid/>
                <w:szCs w:val="22"/>
              </w:rPr>
            </w:pPr>
            <w:r w:rsidRPr="00CE7679">
              <w:rPr>
                <w:rFonts w:eastAsia="Calibri"/>
                <w:snapToGrid/>
                <w:szCs w:val="22"/>
              </w:rPr>
              <w:t>Intensyvinimo blokas 2 (9</w:t>
            </w:r>
            <w:r w:rsidR="00431A95">
              <w:rPr>
                <w:rFonts w:eastAsia="Calibri"/>
                <w:snapToGrid/>
                <w:szCs w:val="22"/>
              </w:rPr>
              <w:t> </w:t>
            </w:r>
            <w:r w:rsidRPr="00CE7679">
              <w:rPr>
                <w:rFonts w:eastAsia="Calibri"/>
                <w:snapToGrid/>
                <w:szCs w:val="22"/>
              </w:rPr>
              <w:t>savaitės)</w:t>
            </w:r>
          </w:p>
        </w:tc>
        <w:tc>
          <w:tcPr>
            <w:tcW w:w="6127" w:type="dxa"/>
          </w:tcPr>
          <w:p w14:paraId="356DC23E" w14:textId="77777777" w:rsidR="00A27597" w:rsidRPr="00CE7679" w:rsidRDefault="00A27597" w:rsidP="00A27597">
            <w:pPr>
              <w:tabs>
                <w:tab w:val="clear" w:pos="567"/>
              </w:tabs>
              <w:autoSpaceDE w:val="0"/>
              <w:autoSpaceDN w:val="0"/>
              <w:adjustRightInd w:val="0"/>
              <w:spacing w:line="240" w:lineRule="auto"/>
              <w:rPr>
                <w:rFonts w:eastAsia="Calibri"/>
                <w:snapToGrid/>
                <w:szCs w:val="22"/>
              </w:rPr>
            </w:pPr>
            <w:proofErr w:type="spellStart"/>
            <w:r w:rsidRPr="00CE7679">
              <w:rPr>
                <w:rFonts w:eastAsia="Calibri"/>
                <w:snapToGrid/>
                <w:szCs w:val="22"/>
              </w:rPr>
              <w:t>Metotreksatas</w:t>
            </w:r>
            <w:proofErr w:type="spellEnd"/>
            <w:r w:rsidRPr="00CE7679">
              <w:rPr>
                <w:rFonts w:eastAsia="Calibri"/>
                <w:snapToGrid/>
                <w:szCs w:val="22"/>
              </w:rPr>
              <w:t xml:space="preserve"> (5 g/m</w:t>
            </w:r>
            <w:r w:rsidRPr="00CE7679">
              <w:rPr>
                <w:rFonts w:eastAsia="Calibri"/>
                <w:snapToGrid/>
                <w:szCs w:val="22"/>
                <w:vertAlign w:val="superscript"/>
              </w:rPr>
              <w:t>2</w:t>
            </w:r>
            <w:r w:rsidRPr="00CE7679">
              <w:rPr>
                <w:rFonts w:eastAsia="Calibri"/>
                <w:snapToGrid/>
                <w:szCs w:val="22"/>
              </w:rPr>
              <w:t xml:space="preserve"> per 24 valandas, IV): 1-ąją ir 15-ąją dienomis </w:t>
            </w:r>
          </w:p>
          <w:p w14:paraId="4EC1A70E" w14:textId="77777777" w:rsidR="00A27597" w:rsidRPr="00CE7679" w:rsidRDefault="00A27597" w:rsidP="00A27597">
            <w:pPr>
              <w:tabs>
                <w:tab w:val="clear" w:pos="567"/>
              </w:tabs>
              <w:autoSpaceDE w:val="0"/>
              <w:autoSpaceDN w:val="0"/>
              <w:adjustRightInd w:val="0"/>
              <w:spacing w:line="240" w:lineRule="auto"/>
              <w:rPr>
                <w:rFonts w:eastAsia="Calibri"/>
                <w:snapToGrid/>
                <w:szCs w:val="22"/>
              </w:rPr>
            </w:pPr>
            <w:proofErr w:type="spellStart"/>
            <w:r w:rsidRPr="00CE7679">
              <w:rPr>
                <w:rFonts w:eastAsia="Calibri"/>
                <w:snapToGrid/>
                <w:szCs w:val="22"/>
              </w:rPr>
              <w:t>Leukovorinas</w:t>
            </w:r>
            <w:proofErr w:type="spellEnd"/>
            <w:r w:rsidRPr="00CE7679">
              <w:rPr>
                <w:rFonts w:eastAsia="Calibri"/>
                <w:snapToGrid/>
                <w:szCs w:val="22"/>
              </w:rPr>
              <w:t xml:space="preserve"> (75 mg/m</w:t>
            </w:r>
            <w:r w:rsidRPr="00CE7679">
              <w:rPr>
                <w:rFonts w:eastAsia="Calibri"/>
                <w:snapToGrid/>
                <w:szCs w:val="22"/>
                <w:vertAlign w:val="superscript"/>
              </w:rPr>
              <w:t>2</w:t>
            </w:r>
            <w:r w:rsidRPr="00CE7679">
              <w:rPr>
                <w:rFonts w:eastAsia="Calibri"/>
                <w:snapToGrid/>
                <w:szCs w:val="22"/>
              </w:rPr>
              <w:t xml:space="preserve"> po 36 valandų, IV; 15 mg/m</w:t>
            </w:r>
            <w:r w:rsidRPr="00CE7679">
              <w:rPr>
                <w:rFonts w:eastAsia="Calibri"/>
                <w:snapToGrid/>
                <w:szCs w:val="22"/>
                <w:vertAlign w:val="superscript"/>
              </w:rPr>
              <w:t>2</w:t>
            </w:r>
            <w:r w:rsidRPr="00CE7679">
              <w:rPr>
                <w:rFonts w:eastAsia="Calibri"/>
                <w:snapToGrid/>
                <w:szCs w:val="22"/>
              </w:rPr>
              <w:t xml:space="preserve"> IV ar PO q6h x 6 dozės) iii: 2, 3, 16 ir 17 dienomis </w:t>
            </w:r>
          </w:p>
          <w:p w14:paraId="76329874" w14:textId="77777777" w:rsidR="00A27597" w:rsidRPr="00CE7679" w:rsidRDefault="00A27597" w:rsidP="00A27597">
            <w:pPr>
              <w:tabs>
                <w:tab w:val="clear" w:pos="567"/>
              </w:tabs>
              <w:autoSpaceDE w:val="0"/>
              <w:autoSpaceDN w:val="0"/>
              <w:adjustRightInd w:val="0"/>
              <w:spacing w:line="240" w:lineRule="auto"/>
              <w:rPr>
                <w:rFonts w:eastAsia="Calibri"/>
                <w:snapToGrid/>
                <w:szCs w:val="22"/>
              </w:rPr>
            </w:pPr>
            <w:r w:rsidRPr="00CE7679">
              <w:rPr>
                <w:rFonts w:eastAsia="Calibri"/>
                <w:snapToGrid/>
                <w:szCs w:val="22"/>
              </w:rPr>
              <w:t xml:space="preserve">Trigubas IT gydymas (dozė priklausomai nuo amžiaus): 1-ąją ir 22-ąją dienomis </w:t>
            </w:r>
          </w:p>
          <w:p w14:paraId="0E0F8837" w14:textId="77777777" w:rsidR="00A27597" w:rsidRPr="00CE7679" w:rsidRDefault="00A27597" w:rsidP="00A27597">
            <w:pPr>
              <w:tabs>
                <w:tab w:val="clear" w:pos="567"/>
              </w:tabs>
              <w:autoSpaceDE w:val="0"/>
              <w:autoSpaceDN w:val="0"/>
              <w:adjustRightInd w:val="0"/>
              <w:spacing w:line="240" w:lineRule="auto"/>
              <w:rPr>
                <w:rFonts w:eastAsia="Calibri"/>
                <w:snapToGrid/>
                <w:szCs w:val="22"/>
              </w:rPr>
            </w:pPr>
            <w:r w:rsidRPr="00CE7679">
              <w:rPr>
                <w:rFonts w:eastAsia="Calibri"/>
                <w:snapToGrid/>
                <w:szCs w:val="22"/>
              </w:rPr>
              <w:t>VP-16 (100 mg/m</w:t>
            </w:r>
            <w:r w:rsidRPr="00CE7679">
              <w:rPr>
                <w:rFonts w:eastAsia="Calibri"/>
                <w:snapToGrid/>
                <w:szCs w:val="22"/>
                <w:vertAlign w:val="superscript"/>
              </w:rPr>
              <w:t>2</w:t>
            </w:r>
            <w:r w:rsidRPr="00CE7679">
              <w:rPr>
                <w:rFonts w:eastAsia="Calibri"/>
                <w:snapToGrid/>
                <w:szCs w:val="22"/>
              </w:rPr>
              <w:t xml:space="preserve"> per parą, IV): 22-26 dienos </w:t>
            </w:r>
          </w:p>
          <w:p w14:paraId="04E95304" w14:textId="77777777" w:rsidR="00A27597" w:rsidRPr="00CE7679" w:rsidRDefault="00A27597" w:rsidP="00A27597">
            <w:pPr>
              <w:tabs>
                <w:tab w:val="clear" w:pos="567"/>
              </w:tabs>
              <w:autoSpaceDE w:val="0"/>
              <w:autoSpaceDN w:val="0"/>
              <w:adjustRightInd w:val="0"/>
              <w:spacing w:line="240" w:lineRule="auto"/>
              <w:rPr>
                <w:rFonts w:eastAsia="Calibri"/>
                <w:snapToGrid/>
                <w:szCs w:val="22"/>
              </w:rPr>
            </w:pPr>
            <w:r w:rsidRPr="00CE7679">
              <w:rPr>
                <w:rFonts w:eastAsia="Calibri"/>
                <w:snapToGrid/>
                <w:szCs w:val="22"/>
              </w:rPr>
              <w:t>CPM (300 mg/m</w:t>
            </w:r>
            <w:r w:rsidRPr="00CE7679">
              <w:rPr>
                <w:rFonts w:eastAsia="Calibri"/>
                <w:snapToGrid/>
                <w:szCs w:val="22"/>
                <w:vertAlign w:val="superscript"/>
              </w:rPr>
              <w:t>2</w:t>
            </w:r>
            <w:r w:rsidRPr="00CE7679">
              <w:rPr>
                <w:rFonts w:eastAsia="Calibri"/>
                <w:snapToGrid/>
                <w:szCs w:val="22"/>
              </w:rPr>
              <w:t xml:space="preserve"> per parą, IV): 22-26 dienos </w:t>
            </w:r>
          </w:p>
          <w:p w14:paraId="06227A4D" w14:textId="77777777" w:rsidR="00A27597" w:rsidRPr="00CE7679" w:rsidRDefault="00A27597" w:rsidP="00A27597">
            <w:pPr>
              <w:tabs>
                <w:tab w:val="clear" w:pos="567"/>
              </w:tabs>
              <w:autoSpaceDE w:val="0"/>
              <w:autoSpaceDN w:val="0"/>
              <w:adjustRightInd w:val="0"/>
              <w:spacing w:line="240" w:lineRule="auto"/>
              <w:rPr>
                <w:rFonts w:eastAsia="Calibri"/>
                <w:snapToGrid/>
                <w:szCs w:val="22"/>
              </w:rPr>
            </w:pPr>
            <w:r w:rsidRPr="00CE7679">
              <w:rPr>
                <w:rFonts w:eastAsia="Calibri"/>
                <w:snapToGrid/>
                <w:szCs w:val="22"/>
              </w:rPr>
              <w:t>MESNA (150 mg/m</w:t>
            </w:r>
            <w:r w:rsidRPr="00CE7679">
              <w:rPr>
                <w:rFonts w:eastAsia="Calibri"/>
                <w:snapToGrid/>
                <w:szCs w:val="22"/>
                <w:vertAlign w:val="superscript"/>
              </w:rPr>
              <w:t>2</w:t>
            </w:r>
            <w:r w:rsidRPr="00CE7679">
              <w:rPr>
                <w:rFonts w:eastAsia="Calibri"/>
                <w:snapToGrid/>
                <w:szCs w:val="22"/>
              </w:rPr>
              <w:t xml:space="preserve"> per parą, IV): 22-26 dienos </w:t>
            </w:r>
          </w:p>
          <w:p w14:paraId="73BA9823" w14:textId="77777777" w:rsidR="00A27597" w:rsidRPr="00CE7679" w:rsidRDefault="00A27597" w:rsidP="00A27597">
            <w:pPr>
              <w:tabs>
                <w:tab w:val="clear" w:pos="567"/>
              </w:tabs>
              <w:autoSpaceDE w:val="0"/>
              <w:autoSpaceDN w:val="0"/>
              <w:adjustRightInd w:val="0"/>
              <w:spacing w:line="240" w:lineRule="auto"/>
              <w:rPr>
                <w:rFonts w:eastAsia="Calibri"/>
                <w:snapToGrid/>
                <w:szCs w:val="22"/>
              </w:rPr>
            </w:pPr>
            <w:r w:rsidRPr="00CE7679">
              <w:rPr>
                <w:rFonts w:eastAsia="Calibri"/>
                <w:snapToGrid/>
                <w:szCs w:val="22"/>
              </w:rPr>
              <w:t>G-CSF (5</w:t>
            </w:r>
            <w:r w:rsidR="001258C1" w:rsidRPr="00CE7679">
              <w:rPr>
                <w:rFonts w:eastAsia="Calibri"/>
                <w:snapToGrid/>
                <w:szCs w:val="22"/>
              </w:rPr>
              <w:t> </w:t>
            </w:r>
            <w:proofErr w:type="spellStart"/>
            <w:r w:rsidRPr="00CE7679">
              <w:rPr>
                <w:rFonts w:eastAsia="Calibri"/>
                <w:snapToGrid/>
                <w:szCs w:val="22"/>
              </w:rPr>
              <w:t>μg</w:t>
            </w:r>
            <w:proofErr w:type="spellEnd"/>
            <w:r w:rsidRPr="00CE7679">
              <w:rPr>
                <w:rFonts w:eastAsia="Calibri"/>
                <w:snapToGrid/>
                <w:szCs w:val="22"/>
              </w:rPr>
              <w:t>/kg, SC): 27-36 dienos arba kol ANS bus &gt;</w:t>
            </w:r>
            <w:r w:rsidR="001258C1" w:rsidRPr="00CE7679">
              <w:rPr>
                <w:rFonts w:eastAsia="Calibri"/>
                <w:snapToGrid/>
                <w:szCs w:val="22"/>
              </w:rPr>
              <w:t> </w:t>
            </w:r>
            <w:r w:rsidRPr="00CE7679">
              <w:rPr>
                <w:rFonts w:eastAsia="Calibri"/>
                <w:snapToGrid/>
                <w:szCs w:val="22"/>
              </w:rPr>
              <w:t xml:space="preserve">1500 nuo žemiausios reikšmės </w:t>
            </w:r>
          </w:p>
          <w:p w14:paraId="586B7172" w14:textId="77777777" w:rsidR="00A27597" w:rsidRPr="00CE7679" w:rsidRDefault="00A27597" w:rsidP="00A27597">
            <w:pPr>
              <w:tabs>
                <w:tab w:val="clear" w:pos="567"/>
              </w:tabs>
              <w:autoSpaceDE w:val="0"/>
              <w:autoSpaceDN w:val="0"/>
              <w:adjustRightInd w:val="0"/>
              <w:spacing w:line="240" w:lineRule="auto"/>
              <w:rPr>
                <w:rFonts w:eastAsia="Calibri"/>
                <w:snapToGrid/>
                <w:szCs w:val="22"/>
              </w:rPr>
            </w:pPr>
            <w:r w:rsidRPr="00CE7679">
              <w:rPr>
                <w:rFonts w:eastAsia="Calibri"/>
                <w:snapToGrid/>
                <w:szCs w:val="22"/>
              </w:rPr>
              <w:t>ARA-C (3 g/m</w:t>
            </w:r>
            <w:r w:rsidRPr="00CE7679">
              <w:rPr>
                <w:rFonts w:eastAsia="Calibri"/>
                <w:snapToGrid/>
                <w:szCs w:val="22"/>
                <w:vertAlign w:val="superscript"/>
              </w:rPr>
              <w:t>2</w:t>
            </w:r>
            <w:r w:rsidRPr="00CE7679">
              <w:rPr>
                <w:rFonts w:eastAsia="Calibri"/>
                <w:snapToGrid/>
                <w:szCs w:val="22"/>
              </w:rPr>
              <w:t xml:space="preserve">, q12h, IV): 43, 44 dienomis </w:t>
            </w:r>
          </w:p>
          <w:p w14:paraId="2CEC10A3" w14:textId="77777777" w:rsidR="00A27597" w:rsidRPr="00CE7679" w:rsidRDefault="00A27597" w:rsidP="001258C1">
            <w:pPr>
              <w:tabs>
                <w:tab w:val="clear" w:pos="567"/>
              </w:tabs>
              <w:autoSpaceDE w:val="0"/>
              <w:autoSpaceDN w:val="0"/>
              <w:adjustRightInd w:val="0"/>
              <w:spacing w:line="240" w:lineRule="auto"/>
              <w:rPr>
                <w:rFonts w:eastAsia="Calibri"/>
                <w:snapToGrid/>
                <w:szCs w:val="22"/>
              </w:rPr>
            </w:pPr>
            <w:r w:rsidRPr="00CE7679">
              <w:rPr>
                <w:rFonts w:eastAsia="Calibri"/>
                <w:snapToGrid/>
                <w:szCs w:val="22"/>
              </w:rPr>
              <w:t>L-ASP (6000</w:t>
            </w:r>
            <w:r w:rsidR="001258C1" w:rsidRPr="00CE7679">
              <w:rPr>
                <w:rFonts w:eastAsia="Calibri"/>
                <w:snapToGrid/>
                <w:szCs w:val="22"/>
              </w:rPr>
              <w:t> </w:t>
            </w:r>
            <w:r w:rsidRPr="00CE7679">
              <w:rPr>
                <w:rFonts w:eastAsia="Calibri"/>
                <w:snapToGrid/>
                <w:szCs w:val="22"/>
              </w:rPr>
              <w:t>TV/m</w:t>
            </w:r>
            <w:r w:rsidRPr="00CE7679">
              <w:rPr>
                <w:rFonts w:eastAsia="Calibri"/>
                <w:snapToGrid/>
                <w:szCs w:val="22"/>
                <w:vertAlign w:val="superscript"/>
              </w:rPr>
              <w:t>2</w:t>
            </w:r>
            <w:r w:rsidRPr="00CE7679">
              <w:rPr>
                <w:rFonts w:eastAsia="Calibri"/>
                <w:snapToGrid/>
                <w:szCs w:val="22"/>
              </w:rPr>
              <w:t>, IM): 44-ąją dieną</w:t>
            </w:r>
          </w:p>
        </w:tc>
      </w:tr>
      <w:tr w:rsidR="00701D61" w:rsidRPr="00CE7679" w14:paraId="043384F1" w14:textId="77777777" w:rsidTr="00A27597">
        <w:trPr>
          <w:trHeight w:val="900"/>
        </w:trPr>
        <w:tc>
          <w:tcPr>
            <w:tcW w:w="2943" w:type="dxa"/>
          </w:tcPr>
          <w:p w14:paraId="78A91B2B" w14:textId="535883D0" w:rsidR="00A27597" w:rsidRPr="00CE7679" w:rsidRDefault="00A27597" w:rsidP="00A27597">
            <w:pPr>
              <w:tabs>
                <w:tab w:val="clear" w:pos="567"/>
              </w:tabs>
              <w:autoSpaceDE w:val="0"/>
              <w:autoSpaceDN w:val="0"/>
              <w:adjustRightInd w:val="0"/>
              <w:spacing w:line="240" w:lineRule="auto"/>
              <w:rPr>
                <w:rFonts w:eastAsia="Calibri"/>
                <w:snapToGrid/>
                <w:szCs w:val="22"/>
              </w:rPr>
            </w:pPr>
            <w:r w:rsidRPr="00CE7679">
              <w:rPr>
                <w:rFonts w:eastAsia="Calibri"/>
                <w:snapToGrid/>
                <w:szCs w:val="22"/>
              </w:rPr>
              <w:t>Palaikomasis gydymas (8</w:t>
            </w:r>
            <w:r w:rsidR="00431A95">
              <w:rPr>
                <w:rFonts w:eastAsia="Calibri"/>
                <w:snapToGrid/>
                <w:szCs w:val="22"/>
              </w:rPr>
              <w:t> </w:t>
            </w:r>
            <w:r w:rsidRPr="00CE7679">
              <w:rPr>
                <w:rFonts w:eastAsia="Calibri"/>
                <w:snapToGrid/>
                <w:szCs w:val="22"/>
              </w:rPr>
              <w:t>savaičių trukmės ciklai) 1–4 ciklai</w:t>
            </w:r>
          </w:p>
        </w:tc>
        <w:tc>
          <w:tcPr>
            <w:tcW w:w="6127" w:type="dxa"/>
          </w:tcPr>
          <w:p w14:paraId="0A84281A" w14:textId="77777777" w:rsidR="00A27597" w:rsidRPr="00CE7679" w:rsidRDefault="00A27597" w:rsidP="00A27597">
            <w:pPr>
              <w:tabs>
                <w:tab w:val="clear" w:pos="567"/>
              </w:tabs>
              <w:autoSpaceDE w:val="0"/>
              <w:autoSpaceDN w:val="0"/>
              <w:adjustRightInd w:val="0"/>
              <w:spacing w:line="240" w:lineRule="auto"/>
              <w:rPr>
                <w:rFonts w:eastAsia="Calibri"/>
                <w:snapToGrid/>
                <w:szCs w:val="22"/>
              </w:rPr>
            </w:pPr>
            <w:r w:rsidRPr="00CE7679">
              <w:rPr>
                <w:rFonts w:eastAsia="Calibri"/>
                <w:snapToGrid/>
                <w:szCs w:val="22"/>
              </w:rPr>
              <w:t>MTX (5 g/m</w:t>
            </w:r>
            <w:r w:rsidRPr="00CE7679">
              <w:rPr>
                <w:rFonts w:eastAsia="Calibri"/>
                <w:snapToGrid/>
                <w:szCs w:val="22"/>
                <w:vertAlign w:val="superscript"/>
              </w:rPr>
              <w:t>2</w:t>
            </w:r>
            <w:r w:rsidRPr="00CE7679">
              <w:rPr>
                <w:rFonts w:eastAsia="Calibri"/>
                <w:snapToGrid/>
                <w:szCs w:val="22"/>
              </w:rPr>
              <w:t xml:space="preserve"> per 24 valandas, IV): 1-ąją dieną </w:t>
            </w:r>
          </w:p>
          <w:p w14:paraId="0B031B15" w14:textId="77777777" w:rsidR="00A27597" w:rsidRPr="00CE7679" w:rsidRDefault="00A27597" w:rsidP="00A27597">
            <w:pPr>
              <w:tabs>
                <w:tab w:val="clear" w:pos="567"/>
              </w:tabs>
              <w:autoSpaceDE w:val="0"/>
              <w:autoSpaceDN w:val="0"/>
              <w:adjustRightInd w:val="0"/>
              <w:spacing w:line="240" w:lineRule="auto"/>
              <w:rPr>
                <w:rFonts w:eastAsia="Calibri"/>
                <w:snapToGrid/>
                <w:szCs w:val="22"/>
              </w:rPr>
            </w:pPr>
            <w:proofErr w:type="spellStart"/>
            <w:r w:rsidRPr="00CE7679">
              <w:rPr>
                <w:rFonts w:eastAsia="Calibri"/>
                <w:snapToGrid/>
                <w:szCs w:val="22"/>
              </w:rPr>
              <w:t>Leukovorinas</w:t>
            </w:r>
            <w:proofErr w:type="spellEnd"/>
            <w:r w:rsidRPr="00CE7679">
              <w:rPr>
                <w:rFonts w:eastAsia="Calibri"/>
                <w:snapToGrid/>
                <w:szCs w:val="22"/>
              </w:rPr>
              <w:t xml:space="preserve"> (75 mg/m</w:t>
            </w:r>
            <w:r w:rsidRPr="00CE7679">
              <w:rPr>
                <w:rFonts w:eastAsia="Calibri"/>
                <w:snapToGrid/>
                <w:szCs w:val="22"/>
                <w:vertAlign w:val="superscript"/>
              </w:rPr>
              <w:t>2</w:t>
            </w:r>
            <w:r w:rsidRPr="00CE7679">
              <w:rPr>
                <w:rFonts w:eastAsia="Calibri"/>
                <w:snapToGrid/>
                <w:szCs w:val="22"/>
              </w:rPr>
              <w:t xml:space="preserve"> po 36 valandų, IV; 15 mg/m</w:t>
            </w:r>
            <w:r w:rsidRPr="00CE7679">
              <w:rPr>
                <w:rFonts w:eastAsia="Calibri"/>
                <w:snapToGrid/>
                <w:szCs w:val="22"/>
                <w:vertAlign w:val="superscript"/>
              </w:rPr>
              <w:t>2</w:t>
            </w:r>
            <w:r w:rsidRPr="00CE7679">
              <w:rPr>
                <w:rFonts w:eastAsia="Calibri"/>
                <w:snapToGrid/>
                <w:szCs w:val="22"/>
              </w:rPr>
              <w:t xml:space="preserve"> IV ar PO q6h x 6 dozės) iii: 2-ąją ir 3-iąją dienomis </w:t>
            </w:r>
          </w:p>
          <w:p w14:paraId="1132997F" w14:textId="77777777" w:rsidR="00A27597" w:rsidRPr="00CE7679" w:rsidRDefault="00A27597" w:rsidP="00A27597">
            <w:pPr>
              <w:tabs>
                <w:tab w:val="clear" w:pos="567"/>
              </w:tabs>
              <w:autoSpaceDE w:val="0"/>
              <w:autoSpaceDN w:val="0"/>
              <w:adjustRightInd w:val="0"/>
              <w:spacing w:line="240" w:lineRule="auto"/>
              <w:rPr>
                <w:rFonts w:eastAsia="Calibri"/>
                <w:snapToGrid/>
                <w:szCs w:val="22"/>
              </w:rPr>
            </w:pPr>
            <w:r w:rsidRPr="00CE7679">
              <w:rPr>
                <w:rFonts w:eastAsia="Calibri"/>
                <w:snapToGrid/>
                <w:szCs w:val="22"/>
              </w:rPr>
              <w:t xml:space="preserve">Trigubas IT gydymas (dozė priklausomai nuo amžiaus): 1, 29 dienomis </w:t>
            </w:r>
          </w:p>
          <w:p w14:paraId="5D375EB3" w14:textId="77777777" w:rsidR="00A27597" w:rsidRPr="00CE7679" w:rsidRDefault="00A27597" w:rsidP="00A27597">
            <w:pPr>
              <w:tabs>
                <w:tab w:val="clear" w:pos="567"/>
              </w:tabs>
              <w:autoSpaceDE w:val="0"/>
              <w:autoSpaceDN w:val="0"/>
              <w:adjustRightInd w:val="0"/>
              <w:spacing w:line="240" w:lineRule="auto"/>
              <w:rPr>
                <w:rFonts w:eastAsia="Calibri"/>
                <w:snapToGrid/>
                <w:szCs w:val="22"/>
              </w:rPr>
            </w:pPr>
            <w:r w:rsidRPr="00CE7679">
              <w:rPr>
                <w:rFonts w:eastAsia="Calibri"/>
                <w:snapToGrid/>
                <w:szCs w:val="22"/>
              </w:rPr>
              <w:t>VCR (1,5 mg/m</w:t>
            </w:r>
            <w:r w:rsidRPr="00CE7679">
              <w:rPr>
                <w:rFonts w:eastAsia="Calibri"/>
                <w:snapToGrid/>
                <w:szCs w:val="22"/>
                <w:vertAlign w:val="superscript"/>
              </w:rPr>
              <w:t>2</w:t>
            </w:r>
            <w:r w:rsidRPr="00CE7679">
              <w:rPr>
                <w:rFonts w:eastAsia="Calibri"/>
                <w:snapToGrid/>
                <w:szCs w:val="22"/>
              </w:rPr>
              <w:t xml:space="preserve">, IV): 1, 29 dienomis </w:t>
            </w:r>
          </w:p>
          <w:p w14:paraId="3038D065" w14:textId="77777777" w:rsidR="00A27597" w:rsidRPr="00CE7679" w:rsidRDefault="00A27597" w:rsidP="00A27597">
            <w:pPr>
              <w:tabs>
                <w:tab w:val="clear" w:pos="567"/>
              </w:tabs>
              <w:autoSpaceDE w:val="0"/>
              <w:autoSpaceDN w:val="0"/>
              <w:adjustRightInd w:val="0"/>
              <w:spacing w:line="240" w:lineRule="auto"/>
              <w:rPr>
                <w:rFonts w:eastAsia="Calibri"/>
                <w:snapToGrid/>
                <w:szCs w:val="22"/>
              </w:rPr>
            </w:pPr>
            <w:r w:rsidRPr="00CE7679">
              <w:rPr>
                <w:rFonts w:eastAsia="Calibri"/>
                <w:snapToGrid/>
                <w:szCs w:val="22"/>
              </w:rPr>
              <w:t>DEX (6 mg/m</w:t>
            </w:r>
            <w:r w:rsidRPr="00CE7679">
              <w:rPr>
                <w:rFonts w:eastAsia="Calibri"/>
                <w:snapToGrid/>
                <w:szCs w:val="22"/>
                <w:vertAlign w:val="superscript"/>
              </w:rPr>
              <w:t>2</w:t>
            </w:r>
            <w:r w:rsidRPr="00CE7679">
              <w:rPr>
                <w:rFonts w:eastAsia="Calibri"/>
                <w:snapToGrid/>
                <w:szCs w:val="22"/>
              </w:rPr>
              <w:t xml:space="preserve"> per parą, PO): 1-5 dienos; 29-33 dienos </w:t>
            </w:r>
          </w:p>
          <w:p w14:paraId="0E9F8497" w14:textId="77777777" w:rsidR="00A27597" w:rsidRPr="00CE7679" w:rsidRDefault="00A27597" w:rsidP="00A27597">
            <w:pPr>
              <w:tabs>
                <w:tab w:val="clear" w:pos="567"/>
              </w:tabs>
              <w:autoSpaceDE w:val="0"/>
              <w:autoSpaceDN w:val="0"/>
              <w:adjustRightInd w:val="0"/>
              <w:spacing w:line="240" w:lineRule="auto"/>
              <w:rPr>
                <w:rFonts w:eastAsia="Calibri"/>
                <w:snapToGrid/>
                <w:szCs w:val="22"/>
              </w:rPr>
            </w:pPr>
            <w:r w:rsidRPr="00CE7679">
              <w:rPr>
                <w:rFonts w:eastAsia="Calibri"/>
                <w:snapToGrid/>
                <w:szCs w:val="22"/>
              </w:rPr>
              <w:t>6-MP (75 mg/m</w:t>
            </w:r>
            <w:r w:rsidRPr="00CE7679">
              <w:rPr>
                <w:rFonts w:eastAsia="Calibri"/>
                <w:snapToGrid/>
                <w:szCs w:val="22"/>
                <w:vertAlign w:val="superscript"/>
              </w:rPr>
              <w:t>2</w:t>
            </w:r>
            <w:r w:rsidRPr="00CE7679">
              <w:rPr>
                <w:rFonts w:eastAsia="Calibri"/>
                <w:snapToGrid/>
                <w:szCs w:val="22"/>
              </w:rPr>
              <w:t xml:space="preserve"> per parą, PO): 8-28 dienos </w:t>
            </w:r>
          </w:p>
          <w:p w14:paraId="18AE5CCA" w14:textId="77777777" w:rsidR="00A27597" w:rsidRPr="00CE7679" w:rsidRDefault="00A27597" w:rsidP="00A27597">
            <w:pPr>
              <w:tabs>
                <w:tab w:val="clear" w:pos="567"/>
              </w:tabs>
              <w:autoSpaceDE w:val="0"/>
              <w:autoSpaceDN w:val="0"/>
              <w:adjustRightInd w:val="0"/>
              <w:spacing w:line="240" w:lineRule="auto"/>
              <w:rPr>
                <w:rFonts w:eastAsia="Calibri"/>
                <w:snapToGrid/>
                <w:szCs w:val="22"/>
              </w:rPr>
            </w:pPr>
            <w:proofErr w:type="spellStart"/>
            <w:r w:rsidRPr="00CE7679">
              <w:rPr>
                <w:rFonts w:eastAsia="Calibri"/>
                <w:snapToGrid/>
                <w:szCs w:val="22"/>
              </w:rPr>
              <w:t>Metotreksatas</w:t>
            </w:r>
            <w:proofErr w:type="spellEnd"/>
            <w:r w:rsidRPr="00CE7679">
              <w:rPr>
                <w:rFonts w:eastAsia="Calibri"/>
                <w:snapToGrid/>
                <w:szCs w:val="22"/>
              </w:rPr>
              <w:t xml:space="preserve"> (20 mg/m</w:t>
            </w:r>
            <w:r w:rsidRPr="00CE7679">
              <w:rPr>
                <w:rFonts w:eastAsia="Calibri"/>
                <w:snapToGrid/>
                <w:szCs w:val="22"/>
                <w:vertAlign w:val="superscript"/>
              </w:rPr>
              <w:t>2</w:t>
            </w:r>
            <w:r w:rsidRPr="00CE7679">
              <w:rPr>
                <w:rFonts w:eastAsia="Calibri"/>
                <w:snapToGrid/>
                <w:szCs w:val="22"/>
              </w:rPr>
              <w:t xml:space="preserve"> per savaitę, PO): 8, 15, 22 dienomis </w:t>
            </w:r>
          </w:p>
          <w:p w14:paraId="742A733E" w14:textId="77777777" w:rsidR="00A27597" w:rsidRPr="00CE7679" w:rsidRDefault="00A27597" w:rsidP="00A27597">
            <w:pPr>
              <w:tabs>
                <w:tab w:val="clear" w:pos="567"/>
              </w:tabs>
              <w:autoSpaceDE w:val="0"/>
              <w:autoSpaceDN w:val="0"/>
              <w:adjustRightInd w:val="0"/>
              <w:spacing w:line="240" w:lineRule="auto"/>
              <w:rPr>
                <w:rFonts w:eastAsia="Calibri"/>
                <w:snapToGrid/>
                <w:szCs w:val="22"/>
              </w:rPr>
            </w:pPr>
            <w:r w:rsidRPr="00CE7679">
              <w:rPr>
                <w:rFonts w:eastAsia="Calibri"/>
                <w:snapToGrid/>
                <w:szCs w:val="22"/>
              </w:rPr>
              <w:t>VP-16 (100 mg/m</w:t>
            </w:r>
            <w:r w:rsidRPr="00CE7679">
              <w:rPr>
                <w:rFonts w:eastAsia="Calibri"/>
                <w:snapToGrid/>
                <w:szCs w:val="22"/>
                <w:vertAlign w:val="superscript"/>
              </w:rPr>
              <w:t>2</w:t>
            </w:r>
            <w:r w:rsidRPr="00CE7679">
              <w:rPr>
                <w:rFonts w:eastAsia="Calibri"/>
                <w:snapToGrid/>
                <w:szCs w:val="22"/>
              </w:rPr>
              <w:t xml:space="preserve">, IV): 29-33 dienos </w:t>
            </w:r>
          </w:p>
          <w:p w14:paraId="1B9404C4" w14:textId="77777777" w:rsidR="00A27597" w:rsidRPr="00CE7679" w:rsidRDefault="00A27597" w:rsidP="00A27597">
            <w:pPr>
              <w:tabs>
                <w:tab w:val="clear" w:pos="567"/>
              </w:tabs>
              <w:autoSpaceDE w:val="0"/>
              <w:autoSpaceDN w:val="0"/>
              <w:adjustRightInd w:val="0"/>
              <w:spacing w:line="240" w:lineRule="auto"/>
              <w:rPr>
                <w:rFonts w:eastAsia="Calibri"/>
                <w:snapToGrid/>
                <w:szCs w:val="22"/>
              </w:rPr>
            </w:pPr>
            <w:r w:rsidRPr="00CE7679">
              <w:rPr>
                <w:rFonts w:eastAsia="Calibri"/>
                <w:snapToGrid/>
                <w:szCs w:val="22"/>
              </w:rPr>
              <w:t>CPM (300 mg/m</w:t>
            </w:r>
            <w:r w:rsidRPr="00CE7679">
              <w:rPr>
                <w:rFonts w:eastAsia="Calibri"/>
                <w:snapToGrid/>
                <w:szCs w:val="22"/>
                <w:vertAlign w:val="superscript"/>
              </w:rPr>
              <w:t>2</w:t>
            </w:r>
            <w:r w:rsidRPr="00CE7679">
              <w:rPr>
                <w:rFonts w:eastAsia="Calibri"/>
                <w:snapToGrid/>
                <w:szCs w:val="22"/>
              </w:rPr>
              <w:t xml:space="preserve">, IV): 29-33 dienos </w:t>
            </w:r>
          </w:p>
          <w:p w14:paraId="188794C5" w14:textId="77777777" w:rsidR="00A27597" w:rsidRPr="00CE7679" w:rsidRDefault="00A27597" w:rsidP="00A27597">
            <w:pPr>
              <w:tabs>
                <w:tab w:val="clear" w:pos="567"/>
              </w:tabs>
              <w:autoSpaceDE w:val="0"/>
              <w:autoSpaceDN w:val="0"/>
              <w:adjustRightInd w:val="0"/>
              <w:spacing w:line="240" w:lineRule="auto"/>
              <w:rPr>
                <w:rFonts w:eastAsia="Calibri"/>
                <w:snapToGrid/>
                <w:szCs w:val="22"/>
              </w:rPr>
            </w:pPr>
            <w:r w:rsidRPr="00CE7679">
              <w:rPr>
                <w:rFonts w:eastAsia="Calibri"/>
                <w:snapToGrid/>
                <w:szCs w:val="22"/>
              </w:rPr>
              <w:t xml:space="preserve">MESNA IV 29-33 dienos </w:t>
            </w:r>
          </w:p>
          <w:p w14:paraId="2462FA92" w14:textId="77777777" w:rsidR="00A27597" w:rsidRPr="00CE7679" w:rsidRDefault="00A27597" w:rsidP="00A27597">
            <w:pPr>
              <w:tabs>
                <w:tab w:val="clear" w:pos="567"/>
              </w:tabs>
              <w:autoSpaceDE w:val="0"/>
              <w:autoSpaceDN w:val="0"/>
              <w:adjustRightInd w:val="0"/>
              <w:spacing w:line="240" w:lineRule="auto"/>
              <w:rPr>
                <w:rFonts w:eastAsia="Calibri"/>
                <w:snapToGrid/>
                <w:szCs w:val="22"/>
              </w:rPr>
            </w:pPr>
            <w:r w:rsidRPr="00CE7679">
              <w:rPr>
                <w:rFonts w:eastAsia="Calibri"/>
                <w:snapToGrid/>
                <w:szCs w:val="22"/>
              </w:rPr>
              <w:t xml:space="preserve">G-CSF (5 </w:t>
            </w:r>
            <w:proofErr w:type="spellStart"/>
            <w:r w:rsidRPr="00CE7679">
              <w:rPr>
                <w:rFonts w:eastAsia="Calibri"/>
                <w:snapToGrid/>
                <w:szCs w:val="22"/>
              </w:rPr>
              <w:t>μg</w:t>
            </w:r>
            <w:proofErr w:type="spellEnd"/>
            <w:r w:rsidRPr="00CE7679">
              <w:rPr>
                <w:rFonts w:eastAsia="Calibri"/>
                <w:snapToGrid/>
                <w:szCs w:val="22"/>
              </w:rPr>
              <w:t>/kg, SC): 34-43 dienos</w:t>
            </w:r>
          </w:p>
        </w:tc>
      </w:tr>
      <w:tr w:rsidR="00701D61" w:rsidRPr="00CE7679" w14:paraId="53FBC376" w14:textId="77777777" w:rsidTr="00A27597">
        <w:trPr>
          <w:trHeight w:val="900"/>
        </w:trPr>
        <w:tc>
          <w:tcPr>
            <w:tcW w:w="2943" w:type="dxa"/>
          </w:tcPr>
          <w:p w14:paraId="477FB31E" w14:textId="77777777" w:rsidR="00A27597" w:rsidRPr="00CE7679" w:rsidRDefault="00A27597" w:rsidP="00A27597">
            <w:pPr>
              <w:tabs>
                <w:tab w:val="clear" w:pos="567"/>
              </w:tabs>
              <w:autoSpaceDE w:val="0"/>
              <w:autoSpaceDN w:val="0"/>
              <w:adjustRightInd w:val="0"/>
              <w:spacing w:line="240" w:lineRule="auto"/>
              <w:rPr>
                <w:rFonts w:eastAsia="Calibri"/>
                <w:snapToGrid/>
                <w:szCs w:val="22"/>
              </w:rPr>
            </w:pPr>
            <w:r w:rsidRPr="00CE7679">
              <w:rPr>
                <w:rFonts w:eastAsia="Calibri"/>
                <w:snapToGrid/>
                <w:szCs w:val="22"/>
              </w:rPr>
              <w:lastRenderedPageBreak/>
              <w:t>Palaikomasis gydymas (8 savaičių trukmės ciklai) 5-asis ciklas</w:t>
            </w:r>
          </w:p>
        </w:tc>
        <w:tc>
          <w:tcPr>
            <w:tcW w:w="6127" w:type="dxa"/>
          </w:tcPr>
          <w:p w14:paraId="09076E21" w14:textId="77777777" w:rsidR="00A27597" w:rsidRPr="00CE7679" w:rsidRDefault="00A27597" w:rsidP="00A27597">
            <w:pPr>
              <w:tabs>
                <w:tab w:val="clear" w:pos="567"/>
              </w:tabs>
              <w:autoSpaceDE w:val="0"/>
              <w:autoSpaceDN w:val="0"/>
              <w:adjustRightInd w:val="0"/>
              <w:spacing w:line="240" w:lineRule="auto"/>
              <w:rPr>
                <w:rFonts w:eastAsia="Calibri"/>
                <w:snapToGrid/>
                <w:szCs w:val="22"/>
              </w:rPr>
            </w:pPr>
            <w:r w:rsidRPr="00CE7679">
              <w:rPr>
                <w:rFonts w:eastAsia="Calibri"/>
                <w:snapToGrid/>
                <w:szCs w:val="22"/>
              </w:rPr>
              <w:t xml:space="preserve">Kaukolės švitinimas (tik 5-asis blokas) </w:t>
            </w:r>
          </w:p>
          <w:p w14:paraId="7D188E7F" w14:textId="77777777" w:rsidR="00A27597" w:rsidRPr="00CE7679" w:rsidRDefault="00A27597" w:rsidP="00A27597">
            <w:pPr>
              <w:tabs>
                <w:tab w:val="clear" w:pos="567"/>
              </w:tabs>
              <w:autoSpaceDE w:val="0"/>
              <w:autoSpaceDN w:val="0"/>
              <w:adjustRightInd w:val="0"/>
              <w:spacing w:line="240" w:lineRule="auto"/>
              <w:rPr>
                <w:rFonts w:eastAsia="Calibri"/>
                <w:snapToGrid/>
                <w:szCs w:val="22"/>
              </w:rPr>
            </w:pPr>
            <w:r w:rsidRPr="00CE7679">
              <w:rPr>
                <w:rFonts w:eastAsia="Calibri"/>
                <w:snapToGrid/>
                <w:szCs w:val="22"/>
              </w:rPr>
              <w:t xml:space="preserve">12 </w:t>
            </w:r>
            <w:proofErr w:type="spellStart"/>
            <w:r w:rsidRPr="00CE7679">
              <w:rPr>
                <w:rFonts w:eastAsia="Calibri"/>
                <w:snapToGrid/>
                <w:szCs w:val="22"/>
              </w:rPr>
              <w:t>Gy</w:t>
            </w:r>
            <w:proofErr w:type="spellEnd"/>
            <w:r w:rsidRPr="00CE7679">
              <w:rPr>
                <w:rFonts w:eastAsia="Calibri"/>
                <w:snapToGrid/>
                <w:szCs w:val="22"/>
              </w:rPr>
              <w:t xml:space="preserve"> per 8 frakcijas visiems pacientams, kuriems nustatyta CNS1 ir CNS2 diagnozė </w:t>
            </w:r>
          </w:p>
          <w:p w14:paraId="321FAC47" w14:textId="77777777" w:rsidR="00A27597" w:rsidRPr="00CE7679" w:rsidRDefault="00A27597" w:rsidP="00A27597">
            <w:pPr>
              <w:tabs>
                <w:tab w:val="clear" w:pos="567"/>
              </w:tabs>
              <w:autoSpaceDE w:val="0"/>
              <w:autoSpaceDN w:val="0"/>
              <w:adjustRightInd w:val="0"/>
              <w:spacing w:line="240" w:lineRule="auto"/>
              <w:rPr>
                <w:rFonts w:eastAsia="Calibri"/>
                <w:snapToGrid/>
                <w:szCs w:val="22"/>
              </w:rPr>
            </w:pPr>
            <w:r w:rsidRPr="00CE7679">
              <w:rPr>
                <w:rFonts w:eastAsia="Calibri"/>
                <w:snapToGrid/>
                <w:szCs w:val="22"/>
              </w:rPr>
              <w:t xml:space="preserve">18 </w:t>
            </w:r>
            <w:proofErr w:type="spellStart"/>
            <w:r w:rsidRPr="00CE7679">
              <w:rPr>
                <w:rFonts w:eastAsia="Calibri"/>
                <w:snapToGrid/>
                <w:szCs w:val="22"/>
              </w:rPr>
              <w:t>Gy</w:t>
            </w:r>
            <w:proofErr w:type="spellEnd"/>
            <w:r w:rsidRPr="00CE7679">
              <w:rPr>
                <w:rFonts w:eastAsia="Calibri"/>
                <w:snapToGrid/>
                <w:szCs w:val="22"/>
              </w:rPr>
              <w:t xml:space="preserve"> per 10 frakcijų pacientams, kuriems nustatyta CNS3 diagnozė </w:t>
            </w:r>
          </w:p>
          <w:p w14:paraId="0420E94D" w14:textId="77777777" w:rsidR="00A27597" w:rsidRPr="00CE7679" w:rsidRDefault="00A27597" w:rsidP="00A27597">
            <w:pPr>
              <w:tabs>
                <w:tab w:val="clear" w:pos="567"/>
              </w:tabs>
              <w:autoSpaceDE w:val="0"/>
              <w:autoSpaceDN w:val="0"/>
              <w:adjustRightInd w:val="0"/>
              <w:spacing w:line="240" w:lineRule="auto"/>
              <w:rPr>
                <w:rFonts w:eastAsia="Calibri"/>
                <w:snapToGrid/>
                <w:szCs w:val="22"/>
              </w:rPr>
            </w:pPr>
            <w:r w:rsidRPr="00CE7679">
              <w:rPr>
                <w:rFonts w:eastAsia="Calibri"/>
                <w:snapToGrid/>
                <w:szCs w:val="22"/>
              </w:rPr>
              <w:t>VCR (1,5 mg/m</w:t>
            </w:r>
            <w:r w:rsidRPr="00CE7679">
              <w:rPr>
                <w:rFonts w:eastAsia="Calibri"/>
                <w:snapToGrid/>
                <w:szCs w:val="22"/>
                <w:vertAlign w:val="superscript"/>
              </w:rPr>
              <w:t>2</w:t>
            </w:r>
            <w:r w:rsidRPr="00CE7679">
              <w:rPr>
                <w:rFonts w:eastAsia="Calibri"/>
                <w:snapToGrid/>
                <w:szCs w:val="22"/>
              </w:rPr>
              <w:t xml:space="preserve"> per parą, IV): 1, 29 dienomis </w:t>
            </w:r>
          </w:p>
          <w:p w14:paraId="7DA2E9B7" w14:textId="77777777" w:rsidR="00A27597" w:rsidRPr="00CE7679" w:rsidRDefault="00A27597" w:rsidP="00A27597">
            <w:pPr>
              <w:tabs>
                <w:tab w:val="clear" w:pos="567"/>
              </w:tabs>
              <w:autoSpaceDE w:val="0"/>
              <w:autoSpaceDN w:val="0"/>
              <w:adjustRightInd w:val="0"/>
              <w:spacing w:line="240" w:lineRule="auto"/>
              <w:rPr>
                <w:rFonts w:eastAsia="Calibri"/>
                <w:snapToGrid/>
                <w:szCs w:val="22"/>
              </w:rPr>
            </w:pPr>
            <w:r w:rsidRPr="00CE7679">
              <w:rPr>
                <w:rFonts w:eastAsia="Calibri"/>
                <w:snapToGrid/>
                <w:szCs w:val="22"/>
              </w:rPr>
              <w:t>DEX (6 mg/m</w:t>
            </w:r>
            <w:r w:rsidRPr="00CE7679">
              <w:rPr>
                <w:rFonts w:eastAsia="Calibri"/>
                <w:snapToGrid/>
                <w:szCs w:val="22"/>
                <w:vertAlign w:val="superscript"/>
              </w:rPr>
              <w:t>2</w:t>
            </w:r>
            <w:r w:rsidRPr="00CE7679">
              <w:rPr>
                <w:rFonts w:eastAsia="Calibri"/>
                <w:snapToGrid/>
                <w:szCs w:val="22"/>
              </w:rPr>
              <w:t xml:space="preserve"> per parą, PO): 1-5 dienos; 29-33 dienos </w:t>
            </w:r>
          </w:p>
          <w:p w14:paraId="6DECFAE7" w14:textId="77777777" w:rsidR="00A27597" w:rsidRPr="00CE7679" w:rsidRDefault="00A27597" w:rsidP="00A27597">
            <w:pPr>
              <w:tabs>
                <w:tab w:val="clear" w:pos="567"/>
              </w:tabs>
              <w:autoSpaceDE w:val="0"/>
              <w:autoSpaceDN w:val="0"/>
              <w:adjustRightInd w:val="0"/>
              <w:spacing w:line="240" w:lineRule="auto"/>
              <w:rPr>
                <w:rFonts w:eastAsia="Calibri"/>
                <w:snapToGrid/>
                <w:szCs w:val="22"/>
              </w:rPr>
            </w:pPr>
            <w:r w:rsidRPr="00CE7679">
              <w:rPr>
                <w:rFonts w:eastAsia="Calibri"/>
                <w:snapToGrid/>
                <w:szCs w:val="22"/>
              </w:rPr>
              <w:t>6-MP (75 mg/m</w:t>
            </w:r>
            <w:r w:rsidRPr="00CE7679">
              <w:rPr>
                <w:rFonts w:eastAsia="Calibri"/>
                <w:snapToGrid/>
                <w:szCs w:val="22"/>
                <w:vertAlign w:val="superscript"/>
              </w:rPr>
              <w:t>2</w:t>
            </w:r>
            <w:r w:rsidRPr="00CE7679">
              <w:rPr>
                <w:rFonts w:eastAsia="Calibri"/>
                <w:snapToGrid/>
                <w:szCs w:val="22"/>
              </w:rPr>
              <w:t xml:space="preserve"> per parą, PO): 11-56 dienos (neskirti 6-MP 6-10-ąją dienomis, kai taikomas kaukolės švitinimas, pradedant nuo pirmosios 5-ojo ciklo dienos. Pradėti skirti 6-MP pirmąją dieną po kaukolės švitinimo pabaigos.) </w:t>
            </w:r>
          </w:p>
          <w:p w14:paraId="37625FA3" w14:textId="77777777" w:rsidR="00A27597" w:rsidRPr="00CE7679" w:rsidRDefault="00A27597" w:rsidP="00A27597">
            <w:pPr>
              <w:tabs>
                <w:tab w:val="clear" w:pos="567"/>
              </w:tabs>
              <w:autoSpaceDE w:val="0"/>
              <w:autoSpaceDN w:val="0"/>
              <w:adjustRightInd w:val="0"/>
              <w:spacing w:line="240" w:lineRule="auto"/>
              <w:rPr>
                <w:rFonts w:eastAsia="Calibri"/>
                <w:snapToGrid/>
                <w:szCs w:val="22"/>
              </w:rPr>
            </w:pPr>
            <w:proofErr w:type="spellStart"/>
            <w:r w:rsidRPr="00CE7679">
              <w:rPr>
                <w:rFonts w:eastAsia="Calibri"/>
                <w:snapToGrid/>
                <w:szCs w:val="22"/>
              </w:rPr>
              <w:t>Metotreksatas</w:t>
            </w:r>
            <w:proofErr w:type="spellEnd"/>
            <w:r w:rsidRPr="00CE7679">
              <w:rPr>
                <w:rFonts w:eastAsia="Calibri"/>
                <w:snapToGrid/>
                <w:szCs w:val="22"/>
              </w:rPr>
              <w:t xml:space="preserve"> (20 mg/m</w:t>
            </w:r>
            <w:r w:rsidRPr="00CE7679">
              <w:rPr>
                <w:rFonts w:eastAsia="Calibri"/>
                <w:snapToGrid/>
                <w:szCs w:val="22"/>
                <w:vertAlign w:val="superscript"/>
              </w:rPr>
              <w:t>2</w:t>
            </w:r>
            <w:r w:rsidRPr="00CE7679">
              <w:rPr>
                <w:rFonts w:eastAsia="Calibri"/>
                <w:snapToGrid/>
                <w:szCs w:val="22"/>
              </w:rPr>
              <w:t xml:space="preserve"> per savaitę, PO): 8, 15, 22, 29, 36, 43, 50 dienomis</w:t>
            </w:r>
          </w:p>
        </w:tc>
      </w:tr>
      <w:tr w:rsidR="00701D61" w:rsidRPr="00CE7679" w14:paraId="49056639" w14:textId="77777777" w:rsidTr="00A27597">
        <w:trPr>
          <w:trHeight w:val="900"/>
        </w:trPr>
        <w:tc>
          <w:tcPr>
            <w:tcW w:w="2943" w:type="dxa"/>
          </w:tcPr>
          <w:p w14:paraId="7C865823" w14:textId="77777777" w:rsidR="00A27597" w:rsidRPr="00CE7679" w:rsidRDefault="00A27597" w:rsidP="00A27597">
            <w:pPr>
              <w:tabs>
                <w:tab w:val="clear" w:pos="567"/>
              </w:tabs>
              <w:autoSpaceDE w:val="0"/>
              <w:autoSpaceDN w:val="0"/>
              <w:adjustRightInd w:val="0"/>
              <w:spacing w:line="240" w:lineRule="auto"/>
              <w:rPr>
                <w:rFonts w:eastAsia="Calibri"/>
                <w:snapToGrid/>
                <w:szCs w:val="22"/>
              </w:rPr>
            </w:pPr>
            <w:r w:rsidRPr="00CE7679">
              <w:rPr>
                <w:rFonts w:eastAsia="Calibri"/>
                <w:snapToGrid/>
                <w:szCs w:val="22"/>
              </w:rPr>
              <w:t>Palaikomasis gydymas (8 savaičių trukmės ciklai) 6-12 ciklai</w:t>
            </w:r>
          </w:p>
        </w:tc>
        <w:tc>
          <w:tcPr>
            <w:tcW w:w="6127" w:type="dxa"/>
          </w:tcPr>
          <w:p w14:paraId="48F0217D" w14:textId="77777777" w:rsidR="00A27597" w:rsidRPr="00CE7679" w:rsidRDefault="00A27597" w:rsidP="00A27597">
            <w:pPr>
              <w:tabs>
                <w:tab w:val="clear" w:pos="567"/>
              </w:tabs>
              <w:autoSpaceDE w:val="0"/>
              <w:autoSpaceDN w:val="0"/>
              <w:adjustRightInd w:val="0"/>
              <w:spacing w:line="240" w:lineRule="auto"/>
              <w:rPr>
                <w:rFonts w:eastAsia="Calibri"/>
                <w:snapToGrid/>
                <w:szCs w:val="22"/>
              </w:rPr>
            </w:pPr>
            <w:r w:rsidRPr="00CE7679">
              <w:rPr>
                <w:rFonts w:eastAsia="Calibri"/>
                <w:snapToGrid/>
                <w:szCs w:val="22"/>
              </w:rPr>
              <w:t>VCR (1,5 mg/m</w:t>
            </w:r>
            <w:r w:rsidRPr="00CE7679">
              <w:rPr>
                <w:rFonts w:eastAsia="Calibri"/>
                <w:snapToGrid/>
                <w:szCs w:val="22"/>
                <w:vertAlign w:val="superscript"/>
              </w:rPr>
              <w:t>2</w:t>
            </w:r>
            <w:r w:rsidRPr="00CE7679">
              <w:rPr>
                <w:rFonts w:eastAsia="Calibri"/>
                <w:snapToGrid/>
                <w:szCs w:val="22"/>
              </w:rPr>
              <w:t xml:space="preserve"> per parą, IV): 1, 29 dienomis </w:t>
            </w:r>
          </w:p>
          <w:p w14:paraId="3F418C1B" w14:textId="77777777" w:rsidR="00A27597" w:rsidRPr="00CE7679" w:rsidRDefault="00A27597" w:rsidP="00A27597">
            <w:pPr>
              <w:tabs>
                <w:tab w:val="clear" w:pos="567"/>
              </w:tabs>
              <w:autoSpaceDE w:val="0"/>
              <w:autoSpaceDN w:val="0"/>
              <w:adjustRightInd w:val="0"/>
              <w:spacing w:line="240" w:lineRule="auto"/>
              <w:rPr>
                <w:rFonts w:eastAsia="Calibri"/>
                <w:snapToGrid/>
                <w:szCs w:val="22"/>
              </w:rPr>
            </w:pPr>
            <w:r w:rsidRPr="00CE7679">
              <w:rPr>
                <w:rFonts w:eastAsia="Calibri"/>
                <w:snapToGrid/>
                <w:szCs w:val="22"/>
              </w:rPr>
              <w:t>DEX (6 mg/m</w:t>
            </w:r>
            <w:r w:rsidRPr="00CE7679">
              <w:rPr>
                <w:rFonts w:eastAsia="Calibri"/>
                <w:snapToGrid/>
                <w:szCs w:val="22"/>
                <w:vertAlign w:val="superscript"/>
              </w:rPr>
              <w:t>2</w:t>
            </w:r>
            <w:r w:rsidRPr="00CE7679">
              <w:rPr>
                <w:rFonts w:eastAsia="Calibri"/>
                <w:snapToGrid/>
                <w:szCs w:val="22"/>
              </w:rPr>
              <w:t xml:space="preserve"> per parą, PO): 1-5 dienos; 29-33 dienos</w:t>
            </w:r>
          </w:p>
          <w:p w14:paraId="50A8BD87" w14:textId="77777777" w:rsidR="00A27597" w:rsidRPr="00CE7679" w:rsidRDefault="00A27597" w:rsidP="00A27597">
            <w:pPr>
              <w:tabs>
                <w:tab w:val="clear" w:pos="567"/>
              </w:tabs>
              <w:autoSpaceDE w:val="0"/>
              <w:autoSpaceDN w:val="0"/>
              <w:adjustRightInd w:val="0"/>
              <w:spacing w:line="240" w:lineRule="auto"/>
              <w:rPr>
                <w:rFonts w:eastAsia="Calibri"/>
                <w:snapToGrid/>
                <w:szCs w:val="22"/>
              </w:rPr>
            </w:pPr>
            <w:r w:rsidRPr="00CE7679">
              <w:rPr>
                <w:rFonts w:eastAsia="Calibri"/>
                <w:snapToGrid/>
                <w:szCs w:val="22"/>
              </w:rPr>
              <w:t>6-MP (75 mg/m</w:t>
            </w:r>
            <w:r w:rsidRPr="00CE7679">
              <w:rPr>
                <w:rFonts w:eastAsia="Calibri"/>
                <w:snapToGrid/>
                <w:szCs w:val="22"/>
                <w:vertAlign w:val="superscript"/>
              </w:rPr>
              <w:t>2</w:t>
            </w:r>
            <w:r w:rsidRPr="00CE7679">
              <w:rPr>
                <w:rFonts w:eastAsia="Calibri"/>
                <w:snapToGrid/>
                <w:szCs w:val="22"/>
              </w:rPr>
              <w:t xml:space="preserve"> per parą, PO): 1-56 dienos </w:t>
            </w:r>
          </w:p>
          <w:p w14:paraId="747BB616" w14:textId="77777777" w:rsidR="00A27597" w:rsidRPr="00CE7679" w:rsidRDefault="00A27597" w:rsidP="00A27597">
            <w:pPr>
              <w:tabs>
                <w:tab w:val="clear" w:pos="567"/>
              </w:tabs>
              <w:autoSpaceDE w:val="0"/>
              <w:autoSpaceDN w:val="0"/>
              <w:adjustRightInd w:val="0"/>
              <w:spacing w:line="240" w:lineRule="auto"/>
              <w:rPr>
                <w:rFonts w:eastAsia="Calibri"/>
                <w:snapToGrid/>
                <w:szCs w:val="22"/>
              </w:rPr>
            </w:pPr>
            <w:proofErr w:type="spellStart"/>
            <w:r w:rsidRPr="00CE7679">
              <w:rPr>
                <w:rFonts w:eastAsia="Calibri"/>
                <w:snapToGrid/>
                <w:szCs w:val="22"/>
              </w:rPr>
              <w:t>Metotreksatas</w:t>
            </w:r>
            <w:proofErr w:type="spellEnd"/>
            <w:r w:rsidRPr="00CE7679">
              <w:rPr>
                <w:rFonts w:eastAsia="Calibri"/>
                <w:snapToGrid/>
                <w:szCs w:val="22"/>
              </w:rPr>
              <w:t xml:space="preserve"> (20 mg/m</w:t>
            </w:r>
            <w:r w:rsidRPr="00CE7679">
              <w:rPr>
                <w:rFonts w:eastAsia="Calibri"/>
                <w:snapToGrid/>
                <w:szCs w:val="22"/>
                <w:vertAlign w:val="superscript"/>
              </w:rPr>
              <w:t>2</w:t>
            </w:r>
            <w:r w:rsidRPr="00CE7679">
              <w:rPr>
                <w:rFonts w:eastAsia="Calibri"/>
                <w:snapToGrid/>
                <w:szCs w:val="22"/>
              </w:rPr>
              <w:t xml:space="preserve"> per savaitę, PO): 1, 8, 15, 22, 29, 36, 43, 50 dienomis</w:t>
            </w:r>
          </w:p>
        </w:tc>
      </w:tr>
    </w:tbl>
    <w:p w14:paraId="6F2F78D6" w14:textId="05C59716" w:rsidR="00A27597" w:rsidRPr="00CE7679" w:rsidRDefault="00A27597" w:rsidP="00A27597">
      <w:pPr>
        <w:spacing w:line="240" w:lineRule="auto"/>
        <w:rPr>
          <w:rFonts w:eastAsia="SimSun"/>
          <w:snapToGrid/>
          <w:szCs w:val="22"/>
          <w:lang w:eastAsia="zh-CN"/>
        </w:rPr>
      </w:pPr>
      <w:r w:rsidRPr="00CE7679">
        <w:rPr>
          <w:rFonts w:eastAsia="SimSun"/>
          <w:snapToGrid/>
          <w:szCs w:val="22"/>
          <w:lang w:eastAsia="zh-CN"/>
        </w:rPr>
        <w:t xml:space="preserve">G-CSF = </w:t>
      </w:r>
      <w:proofErr w:type="spellStart"/>
      <w:r w:rsidRPr="00CE7679">
        <w:rPr>
          <w:rFonts w:eastAsia="SimSun"/>
          <w:snapToGrid/>
          <w:szCs w:val="22"/>
          <w:lang w:eastAsia="zh-CN"/>
        </w:rPr>
        <w:t>granuliocitų</w:t>
      </w:r>
      <w:proofErr w:type="spellEnd"/>
      <w:r w:rsidRPr="00CE7679">
        <w:rPr>
          <w:rFonts w:eastAsia="SimSun"/>
          <w:snapToGrid/>
          <w:szCs w:val="22"/>
          <w:lang w:eastAsia="zh-CN"/>
        </w:rPr>
        <w:t xml:space="preserve"> kolonijas stimuliuojantis faktorius, VP-16 = </w:t>
      </w:r>
      <w:proofErr w:type="spellStart"/>
      <w:r w:rsidRPr="00CE7679">
        <w:rPr>
          <w:rFonts w:eastAsia="SimSun"/>
          <w:snapToGrid/>
          <w:szCs w:val="22"/>
          <w:lang w:eastAsia="zh-CN"/>
        </w:rPr>
        <w:t>etoposidas</w:t>
      </w:r>
      <w:proofErr w:type="spellEnd"/>
      <w:r w:rsidRPr="00CE7679">
        <w:rPr>
          <w:rFonts w:eastAsia="SimSun"/>
          <w:snapToGrid/>
          <w:szCs w:val="22"/>
          <w:lang w:eastAsia="zh-CN"/>
        </w:rPr>
        <w:t xml:space="preserve">, MTX = </w:t>
      </w:r>
      <w:proofErr w:type="spellStart"/>
      <w:r w:rsidRPr="00CE7679">
        <w:rPr>
          <w:rFonts w:eastAsia="SimSun"/>
          <w:snapToGrid/>
          <w:szCs w:val="22"/>
          <w:lang w:eastAsia="zh-CN"/>
        </w:rPr>
        <w:t>metotreksatas</w:t>
      </w:r>
      <w:proofErr w:type="spellEnd"/>
      <w:r w:rsidRPr="00CE7679">
        <w:rPr>
          <w:rFonts w:eastAsia="SimSun"/>
          <w:snapToGrid/>
          <w:szCs w:val="22"/>
          <w:lang w:eastAsia="zh-CN"/>
        </w:rPr>
        <w:t xml:space="preserve">, IV = į veną, SC = po oda, IT = </w:t>
      </w:r>
      <w:proofErr w:type="spellStart"/>
      <w:r w:rsidRPr="00CE7679">
        <w:rPr>
          <w:rFonts w:eastAsia="SimSun"/>
          <w:snapToGrid/>
          <w:szCs w:val="22"/>
          <w:lang w:eastAsia="zh-CN"/>
        </w:rPr>
        <w:t>intratekaliai</w:t>
      </w:r>
      <w:proofErr w:type="spellEnd"/>
      <w:r w:rsidRPr="00CE7679">
        <w:rPr>
          <w:rFonts w:eastAsia="SimSun"/>
          <w:snapToGrid/>
          <w:szCs w:val="22"/>
          <w:lang w:eastAsia="zh-CN"/>
        </w:rPr>
        <w:t xml:space="preserve"> (į </w:t>
      </w:r>
      <w:proofErr w:type="spellStart"/>
      <w:r w:rsidRPr="00CE7679">
        <w:rPr>
          <w:rFonts w:eastAsia="SimSun"/>
          <w:snapToGrid/>
          <w:szCs w:val="22"/>
          <w:lang w:eastAsia="zh-CN"/>
        </w:rPr>
        <w:t>povoratinklinę</w:t>
      </w:r>
      <w:proofErr w:type="spellEnd"/>
      <w:r w:rsidRPr="00CE7679">
        <w:rPr>
          <w:rFonts w:eastAsia="SimSun"/>
          <w:snapToGrid/>
          <w:szCs w:val="22"/>
          <w:lang w:eastAsia="zh-CN"/>
        </w:rPr>
        <w:t xml:space="preserve"> ertmę), PO = per burną, IM = į raumenis, ARA-C = </w:t>
      </w:r>
      <w:proofErr w:type="spellStart"/>
      <w:r w:rsidRPr="00CE7679">
        <w:rPr>
          <w:rFonts w:eastAsia="SimSun"/>
          <w:snapToGrid/>
          <w:szCs w:val="22"/>
          <w:lang w:eastAsia="zh-CN"/>
        </w:rPr>
        <w:t>citarabinas</w:t>
      </w:r>
      <w:proofErr w:type="spellEnd"/>
      <w:r w:rsidRPr="00CE7679">
        <w:rPr>
          <w:rFonts w:eastAsia="SimSun"/>
          <w:snapToGrid/>
          <w:szCs w:val="22"/>
          <w:lang w:eastAsia="zh-CN"/>
        </w:rPr>
        <w:t xml:space="preserve">, CPM = </w:t>
      </w:r>
      <w:proofErr w:type="spellStart"/>
      <w:r w:rsidRPr="00CE7679">
        <w:rPr>
          <w:rFonts w:eastAsia="SimSun"/>
          <w:snapToGrid/>
          <w:szCs w:val="22"/>
          <w:lang w:eastAsia="zh-CN"/>
        </w:rPr>
        <w:t>ciklofosfamidas</w:t>
      </w:r>
      <w:proofErr w:type="spellEnd"/>
      <w:r w:rsidRPr="00CE7679">
        <w:rPr>
          <w:rFonts w:eastAsia="SimSun"/>
          <w:snapToGrid/>
          <w:szCs w:val="22"/>
          <w:lang w:eastAsia="zh-CN"/>
        </w:rPr>
        <w:t xml:space="preserve">, VCR = </w:t>
      </w:r>
      <w:proofErr w:type="spellStart"/>
      <w:r w:rsidRPr="00CE7679">
        <w:rPr>
          <w:rFonts w:eastAsia="SimSun"/>
          <w:snapToGrid/>
          <w:szCs w:val="22"/>
          <w:lang w:eastAsia="zh-CN"/>
        </w:rPr>
        <w:t>vinkristinas</w:t>
      </w:r>
      <w:proofErr w:type="spellEnd"/>
      <w:r w:rsidRPr="00CE7679">
        <w:rPr>
          <w:rFonts w:eastAsia="SimSun"/>
          <w:snapToGrid/>
          <w:szCs w:val="22"/>
          <w:lang w:eastAsia="zh-CN"/>
        </w:rPr>
        <w:t xml:space="preserve">, DEX = </w:t>
      </w:r>
      <w:proofErr w:type="spellStart"/>
      <w:r w:rsidRPr="00CE7679">
        <w:rPr>
          <w:rFonts w:eastAsia="SimSun"/>
          <w:snapToGrid/>
          <w:szCs w:val="22"/>
          <w:lang w:eastAsia="zh-CN"/>
        </w:rPr>
        <w:t>deksametazonas</w:t>
      </w:r>
      <w:proofErr w:type="spellEnd"/>
      <w:r w:rsidRPr="00CE7679">
        <w:rPr>
          <w:rFonts w:eastAsia="SimSun"/>
          <w:snapToGrid/>
          <w:szCs w:val="22"/>
          <w:lang w:eastAsia="zh-CN"/>
        </w:rPr>
        <w:t xml:space="preserve">, DAUN = </w:t>
      </w:r>
      <w:proofErr w:type="spellStart"/>
      <w:r w:rsidRPr="00CE7679">
        <w:rPr>
          <w:rFonts w:eastAsia="SimSun"/>
          <w:snapToGrid/>
          <w:szCs w:val="22"/>
          <w:lang w:eastAsia="zh-CN"/>
        </w:rPr>
        <w:t>daunorubicinas</w:t>
      </w:r>
      <w:proofErr w:type="spellEnd"/>
      <w:r w:rsidRPr="00CE7679">
        <w:rPr>
          <w:rFonts w:eastAsia="SimSun"/>
          <w:snapToGrid/>
          <w:szCs w:val="22"/>
          <w:lang w:eastAsia="zh-CN"/>
        </w:rPr>
        <w:t xml:space="preserve">, 6-MP = 6-merkaptopurinas, </w:t>
      </w:r>
      <w:proofErr w:type="spellStart"/>
      <w:r w:rsidRPr="00CE7679">
        <w:rPr>
          <w:rFonts w:eastAsia="SimSun"/>
          <w:snapToGrid/>
          <w:szCs w:val="22"/>
          <w:lang w:eastAsia="zh-CN"/>
        </w:rPr>
        <w:t>E.Coli</w:t>
      </w:r>
      <w:proofErr w:type="spellEnd"/>
      <w:r w:rsidRPr="00CE7679">
        <w:rPr>
          <w:rFonts w:eastAsia="SimSun"/>
          <w:snapToGrid/>
          <w:szCs w:val="22"/>
          <w:lang w:eastAsia="zh-CN"/>
        </w:rPr>
        <w:t xml:space="preserve"> L-ASP = L-</w:t>
      </w:r>
      <w:proofErr w:type="spellStart"/>
      <w:r w:rsidRPr="00CE7679">
        <w:rPr>
          <w:rFonts w:eastAsia="SimSun"/>
          <w:snapToGrid/>
          <w:szCs w:val="22"/>
          <w:lang w:eastAsia="zh-CN"/>
        </w:rPr>
        <w:t>asparaginazė</w:t>
      </w:r>
      <w:proofErr w:type="spellEnd"/>
      <w:r w:rsidRPr="00CE7679">
        <w:rPr>
          <w:rFonts w:eastAsia="SimSun"/>
          <w:snapToGrid/>
          <w:szCs w:val="22"/>
          <w:lang w:eastAsia="zh-CN"/>
        </w:rPr>
        <w:t xml:space="preserve">, PEG-ASP = PEG </w:t>
      </w:r>
      <w:proofErr w:type="spellStart"/>
      <w:r w:rsidRPr="00CE7679">
        <w:rPr>
          <w:rFonts w:eastAsia="SimSun"/>
          <w:snapToGrid/>
          <w:szCs w:val="22"/>
          <w:lang w:eastAsia="zh-CN"/>
        </w:rPr>
        <w:t>asparaginazė</w:t>
      </w:r>
      <w:proofErr w:type="spellEnd"/>
      <w:r w:rsidRPr="00CE7679">
        <w:rPr>
          <w:rFonts w:eastAsia="SimSun"/>
          <w:snapToGrid/>
          <w:szCs w:val="22"/>
          <w:lang w:eastAsia="zh-CN"/>
        </w:rPr>
        <w:t xml:space="preserve">, MESNA= 2-merkaptoetano natrio </w:t>
      </w:r>
      <w:proofErr w:type="spellStart"/>
      <w:r w:rsidRPr="00CE7679">
        <w:rPr>
          <w:rFonts w:eastAsia="SimSun"/>
          <w:snapToGrid/>
          <w:szCs w:val="22"/>
          <w:lang w:eastAsia="zh-CN"/>
        </w:rPr>
        <w:t>sulfonatas</w:t>
      </w:r>
      <w:proofErr w:type="spellEnd"/>
      <w:r w:rsidRPr="00CE7679">
        <w:rPr>
          <w:rFonts w:eastAsia="SimSun"/>
          <w:snapToGrid/>
          <w:szCs w:val="22"/>
          <w:lang w:eastAsia="zh-CN"/>
        </w:rPr>
        <w:t>, iii= arba kol MTX koncentracija bus &lt; 0,1</w:t>
      </w:r>
      <w:r w:rsidR="00053EF6">
        <w:rPr>
          <w:rFonts w:eastAsia="SimSun"/>
          <w:snapToGrid/>
          <w:szCs w:val="22"/>
          <w:lang w:eastAsia="zh-CN"/>
        </w:rPr>
        <w:t> </w:t>
      </w:r>
      <w:r w:rsidRPr="00CE7679">
        <w:rPr>
          <w:rFonts w:eastAsia="SimSun"/>
          <w:snapToGrid/>
          <w:szCs w:val="22"/>
          <w:lang w:eastAsia="zh-CN"/>
        </w:rPr>
        <w:t xml:space="preserve">µM, q6h = kas 6 valandas, </w:t>
      </w:r>
      <w:proofErr w:type="spellStart"/>
      <w:r w:rsidRPr="00CE7679">
        <w:rPr>
          <w:rFonts w:eastAsia="SimSun"/>
          <w:snapToGrid/>
          <w:szCs w:val="22"/>
          <w:lang w:eastAsia="zh-CN"/>
        </w:rPr>
        <w:t>Gy</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Grėjus</w:t>
      </w:r>
      <w:proofErr w:type="spellEnd"/>
      <w:r w:rsidRPr="00CE7679">
        <w:rPr>
          <w:rFonts w:eastAsia="SimSun"/>
          <w:snapToGrid/>
          <w:szCs w:val="22"/>
          <w:lang w:eastAsia="zh-CN"/>
        </w:rPr>
        <w:t>.</w:t>
      </w:r>
    </w:p>
    <w:p w14:paraId="0B3BABAC" w14:textId="77777777" w:rsidR="00A27597" w:rsidRPr="00CE7679" w:rsidRDefault="00A27597" w:rsidP="00A27597">
      <w:pPr>
        <w:spacing w:line="240" w:lineRule="auto"/>
        <w:rPr>
          <w:rFonts w:eastAsia="SimSun"/>
          <w:snapToGrid/>
          <w:szCs w:val="22"/>
          <w:lang w:eastAsia="zh-CN"/>
        </w:rPr>
      </w:pPr>
    </w:p>
    <w:p w14:paraId="0B3597C4" w14:textId="77777777" w:rsidR="00A27597" w:rsidRPr="00CE7679" w:rsidRDefault="00A27597" w:rsidP="00A27597">
      <w:pPr>
        <w:spacing w:line="240" w:lineRule="auto"/>
        <w:rPr>
          <w:rFonts w:eastAsia="SimSun"/>
          <w:snapToGrid/>
          <w:szCs w:val="22"/>
          <w:lang w:eastAsia="zh-CN"/>
        </w:rPr>
      </w:pPr>
      <w:r w:rsidRPr="00CE7679">
        <w:rPr>
          <w:rFonts w:eastAsia="SimSun"/>
          <w:snapToGrid/>
          <w:szCs w:val="22"/>
          <w:lang w:eastAsia="zh-CN"/>
        </w:rPr>
        <w:t xml:space="preserve">Atliktas AIT07 tyrimas – </w:t>
      </w:r>
      <w:proofErr w:type="spellStart"/>
      <w:r w:rsidRPr="00CE7679">
        <w:rPr>
          <w:rFonts w:eastAsia="SimSun"/>
          <w:snapToGrid/>
          <w:szCs w:val="22"/>
          <w:lang w:eastAsia="zh-CN"/>
        </w:rPr>
        <w:t>daugiacentris</w:t>
      </w:r>
      <w:proofErr w:type="spellEnd"/>
      <w:r w:rsidRPr="00CE7679">
        <w:rPr>
          <w:rFonts w:eastAsia="SimSun"/>
          <w:snapToGrid/>
          <w:szCs w:val="22"/>
          <w:lang w:eastAsia="zh-CN"/>
        </w:rPr>
        <w:t>, atviras, atsitiktinių imčių, II/III fazės tyrimas, į kurį buvo įtraukti 128</w:t>
      </w:r>
      <w:r w:rsidR="001258C1" w:rsidRPr="00CE7679">
        <w:rPr>
          <w:rFonts w:eastAsia="SimSun"/>
          <w:snapToGrid/>
          <w:szCs w:val="22"/>
          <w:lang w:eastAsia="zh-CN"/>
        </w:rPr>
        <w:t> </w:t>
      </w:r>
      <w:r w:rsidRPr="00CE7679">
        <w:rPr>
          <w:rFonts w:eastAsia="SimSun"/>
          <w:snapToGrid/>
          <w:szCs w:val="22"/>
          <w:lang w:eastAsia="zh-CN"/>
        </w:rPr>
        <w:t>pacientai (nuo 1 iki &lt;</w:t>
      </w:r>
      <w:r w:rsidR="001258C1" w:rsidRPr="00CE7679">
        <w:rPr>
          <w:rFonts w:eastAsia="SimSun"/>
          <w:snapToGrid/>
          <w:szCs w:val="22"/>
          <w:lang w:eastAsia="zh-CN"/>
        </w:rPr>
        <w:t> </w:t>
      </w:r>
      <w:r w:rsidRPr="00CE7679">
        <w:rPr>
          <w:rFonts w:eastAsia="SimSun"/>
          <w:snapToGrid/>
          <w:szCs w:val="22"/>
          <w:lang w:eastAsia="zh-CN"/>
        </w:rPr>
        <w:t>18</w:t>
      </w:r>
      <w:r w:rsidR="001258C1" w:rsidRPr="00CE7679">
        <w:rPr>
          <w:rFonts w:eastAsia="SimSun"/>
          <w:snapToGrid/>
          <w:szCs w:val="22"/>
          <w:lang w:eastAsia="zh-CN"/>
        </w:rPr>
        <w:t> </w:t>
      </w:r>
      <w:r w:rsidRPr="00CE7679">
        <w:rPr>
          <w:rFonts w:eastAsia="SimSun"/>
          <w:snapToGrid/>
          <w:szCs w:val="22"/>
          <w:lang w:eastAsia="zh-CN"/>
        </w:rPr>
        <w:t xml:space="preserve">metų); pacientams buvo skiriamas gydymas </w:t>
      </w:r>
      <w:proofErr w:type="spellStart"/>
      <w:r w:rsidRPr="00CE7679">
        <w:rPr>
          <w:rFonts w:eastAsia="SimSun"/>
          <w:snapToGrid/>
          <w:szCs w:val="22"/>
          <w:lang w:eastAsia="zh-CN"/>
        </w:rPr>
        <w:t>imatinibu</w:t>
      </w:r>
      <w:proofErr w:type="spellEnd"/>
      <w:r w:rsidRPr="00CE7679">
        <w:rPr>
          <w:rFonts w:eastAsia="SimSun"/>
          <w:snapToGrid/>
          <w:szCs w:val="22"/>
          <w:lang w:eastAsia="zh-CN"/>
        </w:rPr>
        <w:t xml:space="preserve"> kartu su chemoterapija. Šio tyrimo metu gauti saugumo duomenys, atrodo, atitinka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saugumo savybes skiriant </w:t>
      </w:r>
      <w:proofErr w:type="spellStart"/>
      <w:r w:rsidRPr="00CE7679">
        <w:rPr>
          <w:rFonts w:eastAsia="SimSun"/>
          <w:snapToGrid/>
          <w:szCs w:val="22"/>
          <w:lang w:eastAsia="zh-CN"/>
        </w:rPr>
        <w:t>Ph</w:t>
      </w:r>
      <w:proofErr w:type="spellEnd"/>
      <w:r w:rsidRPr="00CE7679">
        <w:rPr>
          <w:rFonts w:eastAsia="SimSun"/>
          <w:snapToGrid/>
          <w:szCs w:val="22"/>
          <w:lang w:eastAsia="zh-CN"/>
        </w:rPr>
        <w:t xml:space="preserve">+ ŪLL sergantiems pacientams. </w:t>
      </w:r>
    </w:p>
    <w:p w14:paraId="220BE91C" w14:textId="77777777" w:rsidR="00A27597" w:rsidRPr="00CE7679" w:rsidRDefault="00A27597" w:rsidP="00A27597">
      <w:pPr>
        <w:spacing w:line="240" w:lineRule="auto"/>
        <w:rPr>
          <w:rFonts w:eastAsia="SimSun"/>
          <w:snapToGrid/>
          <w:szCs w:val="22"/>
          <w:lang w:eastAsia="zh-CN"/>
        </w:rPr>
      </w:pPr>
    </w:p>
    <w:p w14:paraId="3DFAA5C6" w14:textId="77777777" w:rsidR="00A27597" w:rsidRPr="00CE7679" w:rsidRDefault="00A27597" w:rsidP="00A27597">
      <w:pPr>
        <w:spacing w:line="240" w:lineRule="auto"/>
        <w:rPr>
          <w:rFonts w:eastAsia="SimSun"/>
          <w:snapToGrid/>
          <w:szCs w:val="22"/>
          <w:lang w:eastAsia="zh-CN"/>
        </w:rPr>
      </w:pPr>
      <w:proofErr w:type="spellStart"/>
      <w:r w:rsidRPr="00CE7679">
        <w:rPr>
          <w:rFonts w:eastAsia="SimSun"/>
          <w:i/>
          <w:snapToGrid/>
          <w:szCs w:val="22"/>
          <w:lang w:eastAsia="zh-CN"/>
        </w:rPr>
        <w:t>Recidyvavusi</w:t>
      </w:r>
      <w:proofErr w:type="spellEnd"/>
      <w:r w:rsidRPr="00CE7679">
        <w:rPr>
          <w:rFonts w:eastAsia="SimSun"/>
          <w:i/>
          <w:snapToGrid/>
          <w:szCs w:val="22"/>
          <w:lang w:eastAsia="zh-CN"/>
        </w:rPr>
        <w:t xml:space="preserve"> ar </w:t>
      </w:r>
      <w:proofErr w:type="spellStart"/>
      <w:r w:rsidRPr="00CE7679">
        <w:rPr>
          <w:rFonts w:eastAsia="SimSun"/>
          <w:i/>
          <w:snapToGrid/>
          <w:szCs w:val="22"/>
          <w:lang w:eastAsia="zh-CN"/>
        </w:rPr>
        <w:t>refrakterinė</w:t>
      </w:r>
      <w:proofErr w:type="spellEnd"/>
      <w:r w:rsidRPr="00CE7679">
        <w:rPr>
          <w:rFonts w:eastAsia="SimSun"/>
          <w:i/>
          <w:snapToGrid/>
          <w:szCs w:val="22"/>
          <w:lang w:eastAsia="zh-CN"/>
        </w:rPr>
        <w:t xml:space="preserve"> </w:t>
      </w:r>
      <w:proofErr w:type="spellStart"/>
      <w:r w:rsidRPr="00CE7679">
        <w:rPr>
          <w:rFonts w:eastAsia="SimSun"/>
          <w:i/>
          <w:snapToGrid/>
          <w:szCs w:val="22"/>
          <w:lang w:eastAsia="zh-CN"/>
        </w:rPr>
        <w:t>Ph</w:t>
      </w:r>
      <w:proofErr w:type="spellEnd"/>
      <w:r w:rsidRPr="00CE7679">
        <w:rPr>
          <w:rFonts w:eastAsia="SimSun"/>
          <w:i/>
          <w:snapToGrid/>
          <w:szCs w:val="22"/>
          <w:lang w:eastAsia="zh-CN"/>
        </w:rPr>
        <w:t>+ ŪLL</w:t>
      </w:r>
      <w:r w:rsidRPr="00CE7679">
        <w:rPr>
          <w:rFonts w:eastAsia="SimSun"/>
          <w:snapToGrid/>
          <w:szCs w:val="22"/>
          <w:lang w:eastAsia="zh-CN"/>
        </w:rPr>
        <w:t xml:space="preserve">: 53 pacientams iš 411, kuriuos buvo galima vertinti dėl atsako, sergantiems </w:t>
      </w:r>
      <w:proofErr w:type="spellStart"/>
      <w:r w:rsidRPr="00CE7679">
        <w:rPr>
          <w:rFonts w:eastAsia="SimSun"/>
          <w:snapToGrid/>
          <w:szCs w:val="22"/>
          <w:lang w:eastAsia="zh-CN"/>
        </w:rPr>
        <w:t>recidyvuojančia</w:t>
      </w:r>
      <w:proofErr w:type="spellEnd"/>
      <w:r w:rsidRPr="00CE7679">
        <w:rPr>
          <w:rFonts w:eastAsia="SimSun"/>
          <w:snapToGrid/>
          <w:szCs w:val="22"/>
          <w:lang w:eastAsia="zh-CN"/>
        </w:rPr>
        <w:t xml:space="preserve"> ar </w:t>
      </w:r>
      <w:proofErr w:type="spellStart"/>
      <w:r w:rsidRPr="00CE7679">
        <w:rPr>
          <w:rFonts w:eastAsia="SimSun"/>
          <w:snapToGrid/>
          <w:szCs w:val="22"/>
          <w:lang w:eastAsia="zh-CN"/>
        </w:rPr>
        <w:t>refrakterine</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Ph</w:t>
      </w:r>
      <w:proofErr w:type="spellEnd"/>
      <w:r w:rsidRPr="00CE7679">
        <w:rPr>
          <w:rFonts w:eastAsia="SimSun"/>
          <w:snapToGrid/>
          <w:szCs w:val="22"/>
          <w:lang w:eastAsia="zh-CN"/>
        </w:rPr>
        <w:t xml:space="preserve">+ ŪLL, vartojusiems vien tik </w:t>
      </w:r>
      <w:proofErr w:type="spellStart"/>
      <w:r w:rsidRPr="00CE7679">
        <w:rPr>
          <w:rFonts w:eastAsia="SimSun"/>
          <w:snapToGrid/>
          <w:szCs w:val="22"/>
          <w:lang w:eastAsia="zh-CN"/>
        </w:rPr>
        <w:t>imatinibą</w:t>
      </w:r>
      <w:proofErr w:type="spellEnd"/>
      <w:r w:rsidRPr="00CE7679">
        <w:rPr>
          <w:rFonts w:eastAsia="SimSun"/>
          <w:snapToGrid/>
          <w:szCs w:val="22"/>
          <w:lang w:eastAsia="zh-CN"/>
        </w:rPr>
        <w:t>, hematologinio atsako dažnis buvo 30 % (pilno – 9 %), o didžiojo citogenetinio atsako dažnis buvo 23 %. (Reikia pažymėti, kad 353</w:t>
      </w:r>
      <w:r w:rsidR="001258C1" w:rsidRPr="00CE7679">
        <w:rPr>
          <w:rFonts w:eastAsia="SimSun"/>
          <w:snapToGrid/>
          <w:szCs w:val="22"/>
          <w:lang w:eastAsia="zh-CN"/>
        </w:rPr>
        <w:t> </w:t>
      </w:r>
      <w:r w:rsidRPr="00CE7679">
        <w:rPr>
          <w:rFonts w:eastAsia="SimSun"/>
          <w:snapToGrid/>
          <w:szCs w:val="22"/>
          <w:lang w:eastAsia="zh-CN"/>
        </w:rPr>
        <w:t xml:space="preserve"> pacientai iš 411, dalyvavo išplėstinėje gydymo programoje ir nebuvo renkami pirminiai jų atsako duomenys.) Laiko iki progresavimo mediana </w:t>
      </w:r>
      <w:r w:rsidRPr="00BE2E5B">
        <w:rPr>
          <w:rFonts w:eastAsia="SimSun"/>
          <w:snapToGrid/>
          <w:szCs w:val="22"/>
          <w:lang w:eastAsia="zh-CN"/>
        </w:rPr>
        <w:t>bendrojoje</w:t>
      </w:r>
      <w:r w:rsidRPr="00CE7679">
        <w:rPr>
          <w:rFonts w:eastAsia="SimSun"/>
          <w:snapToGrid/>
          <w:szCs w:val="22"/>
          <w:lang w:eastAsia="zh-CN"/>
        </w:rPr>
        <w:t xml:space="preserve"> 411</w:t>
      </w:r>
      <w:r w:rsidR="001258C1" w:rsidRPr="00CE7679">
        <w:rPr>
          <w:rFonts w:eastAsia="SimSun"/>
          <w:snapToGrid/>
          <w:szCs w:val="22"/>
          <w:lang w:eastAsia="zh-CN"/>
        </w:rPr>
        <w:t> </w:t>
      </w:r>
      <w:r w:rsidRPr="00CE7679">
        <w:rPr>
          <w:rFonts w:eastAsia="SimSun"/>
          <w:snapToGrid/>
          <w:szCs w:val="22"/>
          <w:lang w:eastAsia="zh-CN"/>
        </w:rPr>
        <w:t xml:space="preserve">pacientų, kuriems buvo </w:t>
      </w:r>
      <w:proofErr w:type="spellStart"/>
      <w:r w:rsidRPr="00CE7679">
        <w:rPr>
          <w:rFonts w:eastAsia="SimSun"/>
          <w:snapToGrid/>
          <w:szCs w:val="22"/>
          <w:lang w:eastAsia="zh-CN"/>
        </w:rPr>
        <w:t>recidyvavusi</w:t>
      </w:r>
      <w:proofErr w:type="spellEnd"/>
      <w:r w:rsidRPr="00CE7679">
        <w:rPr>
          <w:rFonts w:eastAsia="SimSun"/>
          <w:snapToGrid/>
          <w:szCs w:val="22"/>
          <w:lang w:eastAsia="zh-CN"/>
        </w:rPr>
        <w:t xml:space="preserve"> ar </w:t>
      </w:r>
      <w:proofErr w:type="spellStart"/>
      <w:r w:rsidRPr="00CE7679">
        <w:rPr>
          <w:rFonts w:eastAsia="SimSun"/>
          <w:snapToGrid/>
          <w:szCs w:val="22"/>
          <w:lang w:eastAsia="zh-CN"/>
        </w:rPr>
        <w:t>refrakterinė</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Ph</w:t>
      </w:r>
      <w:proofErr w:type="spellEnd"/>
      <w:r w:rsidRPr="00CE7679">
        <w:rPr>
          <w:rFonts w:eastAsia="SimSun"/>
          <w:snapToGrid/>
          <w:szCs w:val="22"/>
          <w:lang w:eastAsia="zh-CN"/>
        </w:rPr>
        <w:t>+ ŪLL, populiacijoje buvo nuo 2,6 iki 3,1</w:t>
      </w:r>
      <w:r w:rsidR="001258C1" w:rsidRPr="00CE7679">
        <w:rPr>
          <w:rFonts w:eastAsia="SimSun"/>
          <w:snapToGrid/>
          <w:szCs w:val="22"/>
          <w:lang w:eastAsia="zh-CN"/>
        </w:rPr>
        <w:t> </w:t>
      </w:r>
      <w:r w:rsidRPr="00CE7679">
        <w:rPr>
          <w:rFonts w:eastAsia="SimSun"/>
          <w:snapToGrid/>
          <w:szCs w:val="22"/>
          <w:lang w:eastAsia="zh-CN"/>
        </w:rPr>
        <w:t>mėnesių, o 401</w:t>
      </w:r>
      <w:r w:rsidR="001258C1" w:rsidRPr="00CE7679">
        <w:rPr>
          <w:rFonts w:eastAsia="SimSun"/>
          <w:snapToGrid/>
          <w:szCs w:val="22"/>
          <w:lang w:eastAsia="zh-CN"/>
        </w:rPr>
        <w:t> </w:t>
      </w:r>
      <w:r w:rsidRPr="00CE7679">
        <w:rPr>
          <w:rFonts w:eastAsia="SimSun"/>
          <w:snapToGrid/>
          <w:szCs w:val="22"/>
          <w:lang w:eastAsia="zh-CN"/>
        </w:rPr>
        <w:t>paciento, kuriuos buvo galima įvertinti, gyvenimo trukmės mediana buvo nuo 4,9 iki 9</w:t>
      </w:r>
      <w:r w:rsidR="001258C1" w:rsidRPr="00CE7679">
        <w:rPr>
          <w:rFonts w:eastAsia="SimSun"/>
          <w:snapToGrid/>
          <w:szCs w:val="22"/>
          <w:lang w:eastAsia="zh-CN"/>
        </w:rPr>
        <w:t> </w:t>
      </w:r>
      <w:r w:rsidRPr="00CE7679">
        <w:rPr>
          <w:rFonts w:eastAsia="SimSun"/>
          <w:snapToGrid/>
          <w:szCs w:val="22"/>
          <w:lang w:eastAsia="zh-CN"/>
        </w:rPr>
        <w:t>mėnesių. Duomenys buvo panašūs, kai analizė buvo pakartota įtraukiant tik 55</w:t>
      </w:r>
      <w:r w:rsidR="001258C1" w:rsidRPr="00CE7679">
        <w:rPr>
          <w:rFonts w:eastAsia="SimSun"/>
          <w:snapToGrid/>
          <w:szCs w:val="22"/>
          <w:lang w:eastAsia="zh-CN"/>
        </w:rPr>
        <w:t> </w:t>
      </w:r>
      <w:r w:rsidRPr="00CE7679">
        <w:rPr>
          <w:rFonts w:eastAsia="SimSun"/>
          <w:snapToGrid/>
          <w:szCs w:val="22"/>
          <w:lang w:eastAsia="zh-CN"/>
        </w:rPr>
        <w:t>metų amžiaus ar vyresnius pacientus.</w:t>
      </w:r>
    </w:p>
    <w:p w14:paraId="53B66529" w14:textId="77777777" w:rsidR="00A27597" w:rsidRPr="00CE7679" w:rsidRDefault="00A27597" w:rsidP="00A27597">
      <w:pPr>
        <w:spacing w:line="240" w:lineRule="auto"/>
        <w:rPr>
          <w:rFonts w:eastAsia="SimSun"/>
          <w:snapToGrid/>
          <w:szCs w:val="22"/>
          <w:lang w:eastAsia="zh-CN"/>
        </w:rPr>
      </w:pPr>
    </w:p>
    <w:p w14:paraId="1753B3A2" w14:textId="77777777" w:rsidR="00A27597" w:rsidRPr="00CE7679" w:rsidRDefault="00A27597" w:rsidP="00A27597">
      <w:pPr>
        <w:spacing w:line="240" w:lineRule="auto"/>
        <w:rPr>
          <w:rFonts w:eastAsia="SimSun"/>
          <w:snapToGrid/>
          <w:szCs w:val="22"/>
          <w:u w:val="single"/>
          <w:lang w:eastAsia="zh-CN"/>
        </w:rPr>
      </w:pPr>
      <w:r w:rsidRPr="00CE7679">
        <w:rPr>
          <w:rFonts w:eastAsia="SimSun"/>
          <w:snapToGrid/>
          <w:szCs w:val="22"/>
          <w:u w:val="single"/>
          <w:lang w:eastAsia="zh-CN"/>
        </w:rPr>
        <w:t>Klinikiniai MDS ir MPL tyrimai</w:t>
      </w:r>
    </w:p>
    <w:p w14:paraId="011F0A3F" w14:textId="0841D647" w:rsidR="00A27597" w:rsidRPr="00CE7679" w:rsidRDefault="00A27597" w:rsidP="00A27597">
      <w:pPr>
        <w:spacing w:line="240" w:lineRule="auto"/>
        <w:rPr>
          <w:rFonts w:eastAsia="SimSun"/>
          <w:snapToGrid/>
          <w:szCs w:val="22"/>
          <w:lang w:eastAsia="zh-CN"/>
        </w:rPr>
      </w:pPr>
      <w:r w:rsidRPr="00CE7679">
        <w:rPr>
          <w:rFonts w:eastAsia="SimSun"/>
          <w:snapToGrid/>
          <w:szCs w:val="22"/>
          <w:lang w:eastAsia="zh-CN"/>
        </w:rPr>
        <w:t xml:space="preserve">Šių ligų gydymo </w:t>
      </w:r>
      <w:proofErr w:type="spellStart"/>
      <w:r w:rsidRPr="00CE7679">
        <w:rPr>
          <w:rFonts w:eastAsia="SimSun"/>
          <w:snapToGrid/>
          <w:szCs w:val="22"/>
          <w:lang w:eastAsia="zh-CN"/>
        </w:rPr>
        <w:t>imatinibu</w:t>
      </w:r>
      <w:proofErr w:type="spellEnd"/>
      <w:r w:rsidRPr="00CE7679">
        <w:rPr>
          <w:rFonts w:eastAsia="SimSun"/>
          <w:snapToGrid/>
          <w:szCs w:val="22"/>
          <w:lang w:eastAsia="zh-CN"/>
        </w:rPr>
        <w:t xml:space="preserve"> patirtis yra labai ribota ir remiasi hematologinio ir citogenetinio atsako dažniais. Kontroliuotų klinikinių tyrimų, rodančių klinikinį pranašumą arba padidėjusį išgyvenamumą, neatlikta. Viename atvirame, </w:t>
      </w:r>
      <w:proofErr w:type="spellStart"/>
      <w:r w:rsidRPr="00CE7679">
        <w:rPr>
          <w:rFonts w:eastAsia="SimSun"/>
          <w:snapToGrid/>
          <w:szCs w:val="22"/>
          <w:lang w:eastAsia="zh-CN"/>
        </w:rPr>
        <w:t>daugiacentriame</w:t>
      </w:r>
      <w:proofErr w:type="spellEnd"/>
      <w:r w:rsidRPr="00CE7679">
        <w:rPr>
          <w:rFonts w:eastAsia="SimSun"/>
          <w:snapToGrid/>
          <w:szCs w:val="22"/>
          <w:lang w:eastAsia="zh-CN"/>
        </w:rPr>
        <w:t xml:space="preserve">, II fazės klinikiniame tyrime (tyrimas B2225) buvo tiriamas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veiksmingumas įvairioms pacientų, sergančių gyvybei pavojingomis ligomis, susijusiomis su </w:t>
      </w:r>
      <w:proofErr w:type="spellStart"/>
      <w:r w:rsidRPr="00CE7679">
        <w:rPr>
          <w:rFonts w:eastAsia="SimSun"/>
          <w:snapToGrid/>
          <w:szCs w:val="22"/>
          <w:lang w:eastAsia="zh-CN"/>
        </w:rPr>
        <w:t>Abl</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Kit</w:t>
      </w:r>
      <w:proofErr w:type="spellEnd"/>
      <w:r w:rsidRPr="00CE7679">
        <w:rPr>
          <w:rFonts w:eastAsia="SimSun"/>
          <w:snapToGrid/>
          <w:szCs w:val="22"/>
          <w:lang w:eastAsia="zh-CN"/>
        </w:rPr>
        <w:t xml:space="preserve"> ar PDGFR baltymo </w:t>
      </w:r>
      <w:proofErr w:type="spellStart"/>
      <w:r w:rsidRPr="00CE7679">
        <w:rPr>
          <w:rFonts w:eastAsia="SimSun"/>
          <w:snapToGrid/>
          <w:szCs w:val="22"/>
          <w:lang w:eastAsia="zh-CN"/>
        </w:rPr>
        <w:t>tirozino</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kinazėmis</w:t>
      </w:r>
      <w:proofErr w:type="spellEnd"/>
      <w:r w:rsidRPr="00CE7679">
        <w:rPr>
          <w:rFonts w:eastAsia="SimSun"/>
          <w:snapToGrid/>
          <w:szCs w:val="22"/>
          <w:lang w:eastAsia="zh-CN"/>
        </w:rPr>
        <w:t>, grupėms. Tyrime dalyvavo 7</w:t>
      </w:r>
      <w:r w:rsidR="00846173">
        <w:rPr>
          <w:rFonts w:eastAsia="SimSun"/>
          <w:snapToGrid/>
          <w:szCs w:val="22"/>
          <w:lang w:eastAsia="zh-CN"/>
        </w:rPr>
        <w:t> </w:t>
      </w:r>
      <w:r w:rsidRPr="00CE7679">
        <w:rPr>
          <w:rFonts w:eastAsia="SimSun"/>
          <w:snapToGrid/>
          <w:szCs w:val="22"/>
          <w:lang w:eastAsia="zh-CN"/>
        </w:rPr>
        <w:t xml:space="preserve">pacientai, sergantys MDS/MPL, kurie buvo gydomi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400 mg paros doze. Trys pacientai pasiekė visišką hematologinį atsaką (VHA) ir vienas – dalinį hematologinį atsaką (DHA). Pradinio tyrimo metu trims iš keturių pacientų su nustatytais PDGFR genų pakitimais pasireiškė hematologinis atsakas (2 VHA ir 1 DHA). Šių pacientų amžius svyravo nuo 20 iki 72</w:t>
      </w:r>
      <w:r w:rsidR="001258C1" w:rsidRPr="00CE7679">
        <w:rPr>
          <w:rFonts w:eastAsia="SimSun"/>
          <w:snapToGrid/>
          <w:szCs w:val="22"/>
          <w:lang w:eastAsia="zh-CN"/>
        </w:rPr>
        <w:t> </w:t>
      </w:r>
      <w:r w:rsidRPr="00CE7679">
        <w:rPr>
          <w:rFonts w:eastAsia="SimSun"/>
          <w:snapToGrid/>
          <w:szCs w:val="22"/>
          <w:lang w:eastAsia="zh-CN"/>
        </w:rPr>
        <w:t xml:space="preserve">metų. </w:t>
      </w:r>
    </w:p>
    <w:p w14:paraId="1ED8D5CD" w14:textId="77777777" w:rsidR="00A27597" w:rsidRPr="00CE7679" w:rsidRDefault="00A27597" w:rsidP="00A27597">
      <w:pPr>
        <w:tabs>
          <w:tab w:val="clear" w:pos="567"/>
        </w:tabs>
        <w:autoSpaceDE w:val="0"/>
        <w:autoSpaceDN w:val="0"/>
        <w:adjustRightInd w:val="0"/>
        <w:spacing w:line="240" w:lineRule="auto"/>
        <w:rPr>
          <w:rFonts w:ascii="TimesNewRoman" w:eastAsiaTheme="minorHAnsi" w:hAnsi="TimesNewRoman" w:cs="TimesNewRoman"/>
          <w:snapToGrid/>
          <w:szCs w:val="22"/>
        </w:rPr>
      </w:pPr>
    </w:p>
    <w:p w14:paraId="7F8ED4D0" w14:textId="77777777" w:rsidR="00A27597" w:rsidRPr="00CE7679" w:rsidRDefault="00A27597" w:rsidP="00855A3A">
      <w:pPr>
        <w:spacing w:line="240" w:lineRule="auto"/>
        <w:rPr>
          <w:rFonts w:eastAsia="SimSun"/>
          <w:snapToGrid/>
          <w:szCs w:val="22"/>
          <w:lang w:eastAsia="zh-CN"/>
        </w:rPr>
      </w:pPr>
      <w:r w:rsidRPr="00CE7679">
        <w:rPr>
          <w:rFonts w:eastAsia="SimSun"/>
          <w:snapToGrid/>
          <w:szCs w:val="22"/>
          <w:lang w:eastAsia="zh-CN"/>
        </w:rPr>
        <w:t xml:space="preserve">Duomenų stebėjimo registro (L2401 tyrimo) pildymo metu buvo renkami ilgalaikio saugumo ir veiksmingumo duomenys pacientams, kuriems nustatyta </w:t>
      </w:r>
      <w:proofErr w:type="spellStart"/>
      <w:r w:rsidRPr="00CE7679">
        <w:rPr>
          <w:rFonts w:eastAsia="SimSun"/>
          <w:snapToGrid/>
          <w:szCs w:val="22"/>
          <w:lang w:eastAsia="zh-CN"/>
        </w:rPr>
        <w:t>mieloproliferacinių</w:t>
      </w:r>
      <w:proofErr w:type="spellEnd"/>
      <w:r w:rsidRPr="00CE7679">
        <w:rPr>
          <w:rFonts w:eastAsia="SimSun"/>
          <w:snapToGrid/>
          <w:szCs w:val="22"/>
          <w:lang w:eastAsia="zh-CN"/>
        </w:rPr>
        <w:t xml:space="preserve"> navikų ir PDGFR- β geno pakitimų bei </w:t>
      </w:r>
      <w:r w:rsidRPr="00F10CF3">
        <w:rPr>
          <w:rFonts w:eastAsia="SimSun"/>
          <w:snapToGrid/>
          <w:szCs w:val="22"/>
          <w:lang w:eastAsia="zh-CN"/>
        </w:rPr>
        <w:t>kurie</w:t>
      </w:r>
      <w:r w:rsidRPr="00CE7679">
        <w:rPr>
          <w:rFonts w:eastAsia="SimSun"/>
          <w:snapToGrid/>
          <w:szCs w:val="22"/>
          <w:lang w:eastAsia="zh-CN"/>
        </w:rPr>
        <w:t xml:space="preserve"> buvo gydomi </w:t>
      </w:r>
      <w:proofErr w:type="spellStart"/>
      <w:r w:rsidRPr="00CE7679">
        <w:rPr>
          <w:rFonts w:eastAsia="SimSun"/>
          <w:snapToGrid/>
          <w:szCs w:val="22"/>
          <w:lang w:eastAsia="zh-CN"/>
        </w:rPr>
        <w:t>imatinibu</w:t>
      </w:r>
      <w:proofErr w:type="spellEnd"/>
      <w:r w:rsidRPr="00CE7679">
        <w:rPr>
          <w:rFonts w:eastAsia="SimSun"/>
          <w:snapToGrid/>
          <w:szCs w:val="22"/>
          <w:lang w:eastAsia="zh-CN"/>
        </w:rPr>
        <w:t>. Į šį registrą buvo įtraukti 23</w:t>
      </w:r>
      <w:r w:rsidR="001258C1" w:rsidRPr="00CE7679">
        <w:rPr>
          <w:rFonts w:eastAsia="SimSun"/>
          <w:snapToGrid/>
          <w:szCs w:val="22"/>
          <w:lang w:eastAsia="zh-CN"/>
        </w:rPr>
        <w:t> </w:t>
      </w:r>
      <w:r w:rsidRPr="00CE7679">
        <w:rPr>
          <w:rFonts w:eastAsia="SimSun"/>
          <w:snapToGrid/>
          <w:szCs w:val="22"/>
          <w:lang w:eastAsia="zh-CN"/>
        </w:rPr>
        <w:t xml:space="preserve">pacientai, ir jiems skirtos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paros dozės mediana buvo 264</w:t>
      </w:r>
      <w:r w:rsidR="001258C1" w:rsidRPr="00CE7679">
        <w:rPr>
          <w:rFonts w:eastAsia="SimSun"/>
          <w:snapToGrid/>
          <w:szCs w:val="22"/>
          <w:lang w:eastAsia="zh-CN"/>
        </w:rPr>
        <w:t> </w:t>
      </w:r>
      <w:r w:rsidRPr="00CE7679">
        <w:rPr>
          <w:rFonts w:eastAsia="SimSun"/>
          <w:snapToGrid/>
          <w:szCs w:val="22"/>
          <w:lang w:eastAsia="zh-CN"/>
        </w:rPr>
        <w:t>mg (</w:t>
      </w:r>
      <w:r w:rsidR="000C1203" w:rsidRPr="00CE7679">
        <w:rPr>
          <w:rFonts w:eastAsia="SimSun"/>
          <w:snapToGrid/>
          <w:szCs w:val="22"/>
          <w:lang w:eastAsia="zh-CN"/>
        </w:rPr>
        <w:t>diapazonas:</w:t>
      </w:r>
      <w:r w:rsidRPr="00CE7679">
        <w:rPr>
          <w:rFonts w:eastAsia="SimSun"/>
          <w:snapToGrid/>
          <w:szCs w:val="22"/>
          <w:lang w:eastAsia="zh-CN"/>
        </w:rPr>
        <w:t xml:space="preserve"> nuo 100</w:t>
      </w:r>
      <w:r w:rsidR="001258C1" w:rsidRPr="00CE7679">
        <w:rPr>
          <w:rFonts w:eastAsia="SimSun"/>
          <w:snapToGrid/>
          <w:szCs w:val="22"/>
          <w:lang w:eastAsia="zh-CN"/>
        </w:rPr>
        <w:t> </w:t>
      </w:r>
      <w:r w:rsidRPr="00CE7679">
        <w:rPr>
          <w:rFonts w:eastAsia="SimSun"/>
          <w:snapToGrid/>
          <w:szCs w:val="22"/>
          <w:lang w:eastAsia="zh-CN"/>
        </w:rPr>
        <w:t>mg iki 400</w:t>
      </w:r>
      <w:r w:rsidR="001258C1" w:rsidRPr="00CE7679">
        <w:rPr>
          <w:rFonts w:eastAsia="SimSun"/>
          <w:snapToGrid/>
          <w:szCs w:val="22"/>
          <w:lang w:eastAsia="zh-CN"/>
        </w:rPr>
        <w:t> </w:t>
      </w:r>
      <w:r w:rsidRPr="00CE7679">
        <w:rPr>
          <w:rFonts w:eastAsia="SimSun"/>
          <w:snapToGrid/>
          <w:szCs w:val="22"/>
          <w:lang w:eastAsia="zh-CN"/>
        </w:rPr>
        <w:t>mg), o gydymo</w:t>
      </w:r>
      <w:r w:rsidR="000C1203" w:rsidRPr="00CE7679">
        <w:rPr>
          <w:rFonts w:eastAsia="SimSun"/>
          <w:snapToGrid/>
          <w:szCs w:val="22"/>
          <w:lang w:eastAsia="zh-CN"/>
        </w:rPr>
        <w:t xml:space="preserve"> </w:t>
      </w:r>
      <w:r w:rsidRPr="00CE7679">
        <w:rPr>
          <w:rFonts w:eastAsia="SimSun"/>
          <w:snapToGrid/>
          <w:szCs w:val="22"/>
          <w:lang w:eastAsia="zh-CN"/>
        </w:rPr>
        <w:t>trukmės mediana buvo 7,2</w:t>
      </w:r>
      <w:r w:rsidR="001258C1" w:rsidRPr="00CE7679">
        <w:rPr>
          <w:rFonts w:eastAsia="SimSun"/>
          <w:snapToGrid/>
          <w:szCs w:val="22"/>
          <w:lang w:eastAsia="zh-CN"/>
        </w:rPr>
        <w:t> </w:t>
      </w:r>
      <w:r w:rsidRPr="00CE7679">
        <w:rPr>
          <w:rFonts w:eastAsia="SimSun"/>
          <w:snapToGrid/>
          <w:szCs w:val="22"/>
          <w:lang w:eastAsia="zh-CN"/>
        </w:rPr>
        <w:t>metų (</w:t>
      </w:r>
      <w:r w:rsidR="000C1203" w:rsidRPr="00CE7679">
        <w:rPr>
          <w:rFonts w:eastAsia="SimSun"/>
          <w:snapToGrid/>
          <w:szCs w:val="22"/>
          <w:lang w:eastAsia="zh-CN"/>
        </w:rPr>
        <w:t>diapazonas:</w:t>
      </w:r>
      <w:r w:rsidRPr="00CE7679">
        <w:rPr>
          <w:rFonts w:eastAsia="SimSun"/>
          <w:snapToGrid/>
          <w:szCs w:val="22"/>
          <w:lang w:eastAsia="zh-CN"/>
        </w:rPr>
        <w:t xml:space="preserve"> nuo 0,1</w:t>
      </w:r>
      <w:r w:rsidR="001258C1" w:rsidRPr="00CE7679">
        <w:rPr>
          <w:rFonts w:eastAsia="SimSun"/>
          <w:snapToGrid/>
          <w:szCs w:val="22"/>
          <w:lang w:eastAsia="zh-CN"/>
        </w:rPr>
        <w:t> </w:t>
      </w:r>
      <w:r w:rsidRPr="00CE7679">
        <w:rPr>
          <w:rFonts w:eastAsia="SimSun"/>
          <w:snapToGrid/>
          <w:szCs w:val="22"/>
          <w:lang w:eastAsia="zh-CN"/>
        </w:rPr>
        <w:t>metų iki 12,7</w:t>
      </w:r>
      <w:r w:rsidR="001258C1" w:rsidRPr="00CE7679">
        <w:rPr>
          <w:rFonts w:eastAsia="SimSun"/>
          <w:snapToGrid/>
          <w:szCs w:val="22"/>
          <w:lang w:eastAsia="zh-CN"/>
        </w:rPr>
        <w:t> </w:t>
      </w:r>
      <w:r w:rsidRPr="00CE7679">
        <w:rPr>
          <w:rFonts w:eastAsia="SimSun"/>
          <w:snapToGrid/>
          <w:szCs w:val="22"/>
          <w:lang w:eastAsia="zh-CN"/>
        </w:rPr>
        <w:t>metų). Kadangi tai buvo duomenų</w:t>
      </w:r>
      <w:r w:rsidR="000C1203" w:rsidRPr="00CE7679">
        <w:rPr>
          <w:rFonts w:eastAsia="SimSun"/>
          <w:snapToGrid/>
          <w:szCs w:val="22"/>
          <w:lang w:eastAsia="zh-CN"/>
        </w:rPr>
        <w:t xml:space="preserve"> </w:t>
      </w:r>
      <w:r w:rsidRPr="00CE7679">
        <w:rPr>
          <w:rFonts w:eastAsia="SimSun"/>
          <w:snapToGrid/>
          <w:szCs w:val="22"/>
          <w:lang w:eastAsia="zh-CN"/>
        </w:rPr>
        <w:lastRenderedPageBreak/>
        <w:t>stebėjimo pobūdžio registras, hematologinio, citogenetinio ir molekulinio vertinimo duomenys buvo</w:t>
      </w:r>
      <w:r w:rsidR="000C1203" w:rsidRPr="00CE7679">
        <w:rPr>
          <w:rFonts w:eastAsia="SimSun"/>
          <w:snapToGrid/>
          <w:szCs w:val="22"/>
          <w:lang w:eastAsia="zh-CN"/>
        </w:rPr>
        <w:t xml:space="preserve"> </w:t>
      </w:r>
      <w:r w:rsidRPr="00CE7679">
        <w:rPr>
          <w:rFonts w:eastAsia="SimSun"/>
          <w:snapToGrid/>
          <w:szCs w:val="22"/>
          <w:lang w:eastAsia="zh-CN"/>
        </w:rPr>
        <w:t>žinomi, atitinkamai, 22, 9 ir 17 iš 23 įtrauktų pacientų. Atsargiai tariant, kad tiems pacientams, kurių</w:t>
      </w:r>
      <w:r w:rsidR="000C1203" w:rsidRPr="00CE7679">
        <w:rPr>
          <w:rFonts w:eastAsia="SimSun"/>
          <w:snapToGrid/>
          <w:szCs w:val="22"/>
          <w:lang w:eastAsia="zh-CN"/>
        </w:rPr>
        <w:t xml:space="preserve"> </w:t>
      </w:r>
      <w:r w:rsidRPr="00CE7679">
        <w:rPr>
          <w:rFonts w:eastAsia="SimSun"/>
          <w:snapToGrid/>
          <w:szCs w:val="22"/>
          <w:lang w:eastAsia="zh-CN"/>
        </w:rPr>
        <w:t xml:space="preserve">duomenų </w:t>
      </w:r>
      <w:r w:rsidR="000C1203" w:rsidRPr="00CE7679">
        <w:rPr>
          <w:rFonts w:eastAsia="SimSun"/>
          <w:snapToGrid/>
          <w:szCs w:val="22"/>
          <w:lang w:eastAsia="zh-CN"/>
        </w:rPr>
        <w:t>trūksta</w:t>
      </w:r>
      <w:r w:rsidRPr="00CE7679">
        <w:rPr>
          <w:rFonts w:eastAsia="SimSun"/>
          <w:snapToGrid/>
          <w:szCs w:val="22"/>
          <w:lang w:eastAsia="zh-CN"/>
        </w:rPr>
        <w:t>, gydymo atsako negauta, atitinkamai, VHA buvo pasiektas 20 iš 23 (87</w:t>
      </w:r>
      <w:r w:rsidR="001258C1" w:rsidRPr="00CE7679">
        <w:rPr>
          <w:rFonts w:eastAsia="SimSun"/>
          <w:snapToGrid/>
          <w:szCs w:val="22"/>
          <w:lang w:eastAsia="zh-CN"/>
        </w:rPr>
        <w:t> </w:t>
      </w:r>
      <w:r w:rsidRPr="00CE7679">
        <w:rPr>
          <w:rFonts w:eastAsia="SimSun"/>
          <w:snapToGrid/>
          <w:szCs w:val="22"/>
          <w:lang w:eastAsia="zh-CN"/>
        </w:rPr>
        <w:t>%)</w:t>
      </w:r>
      <w:r w:rsidR="000C1203" w:rsidRPr="00CE7679">
        <w:rPr>
          <w:rFonts w:eastAsia="SimSun"/>
          <w:snapToGrid/>
          <w:szCs w:val="22"/>
          <w:lang w:eastAsia="zh-CN"/>
        </w:rPr>
        <w:t xml:space="preserve"> </w:t>
      </w:r>
      <w:r w:rsidRPr="00CE7679">
        <w:rPr>
          <w:rFonts w:eastAsia="SimSun"/>
          <w:snapToGrid/>
          <w:szCs w:val="22"/>
          <w:lang w:eastAsia="zh-CN"/>
        </w:rPr>
        <w:t xml:space="preserve">pacientų, </w:t>
      </w:r>
      <w:proofErr w:type="spellStart"/>
      <w:r w:rsidRPr="00CE7679">
        <w:rPr>
          <w:rFonts w:eastAsia="SimSun"/>
          <w:snapToGrid/>
          <w:szCs w:val="22"/>
          <w:lang w:eastAsia="zh-CN"/>
        </w:rPr>
        <w:t>CCyR</w:t>
      </w:r>
      <w:proofErr w:type="spellEnd"/>
      <w:r w:rsidRPr="00CE7679">
        <w:rPr>
          <w:rFonts w:eastAsia="SimSun"/>
          <w:snapToGrid/>
          <w:szCs w:val="22"/>
          <w:lang w:eastAsia="zh-CN"/>
        </w:rPr>
        <w:t xml:space="preserve"> atsakas pasiektas 9 iš 23 (39,1</w:t>
      </w:r>
      <w:r w:rsidR="001258C1" w:rsidRPr="00CE7679">
        <w:rPr>
          <w:rFonts w:eastAsia="SimSun"/>
          <w:snapToGrid/>
          <w:szCs w:val="22"/>
          <w:lang w:eastAsia="zh-CN"/>
        </w:rPr>
        <w:t> </w:t>
      </w:r>
      <w:r w:rsidRPr="00CE7679">
        <w:rPr>
          <w:rFonts w:eastAsia="SimSun"/>
          <w:snapToGrid/>
          <w:szCs w:val="22"/>
          <w:lang w:eastAsia="zh-CN"/>
        </w:rPr>
        <w:t>%) pacientų</w:t>
      </w:r>
      <w:r w:rsidR="000C1203" w:rsidRPr="00CE7679">
        <w:rPr>
          <w:rFonts w:eastAsia="SimSun"/>
          <w:snapToGrid/>
          <w:szCs w:val="22"/>
          <w:lang w:eastAsia="zh-CN"/>
        </w:rPr>
        <w:t xml:space="preserve"> ir</w:t>
      </w:r>
      <w:r w:rsidRPr="00CE7679">
        <w:rPr>
          <w:rFonts w:eastAsia="SimSun"/>
          <w:snapToGrid/>
          <w:szCs w:val="22"/>
          <w:lang w:eastAsia="zh-CN"/>
        </w:rPr>
        <w:t xml:space="preserve"> molekulinis atsakas – 11 iš 23 (47,8</w:t>
      </w:r>
      <w:r w:rsidR="001258C1" w:rsidRPr="00CE7679">
        <w:rPr>
          <w:rFonts w:eastAsia="SimSun"/>
          <w:snapToGrid/>
          <w:szCs w:val="22"/>
          <w:lang w:eastAsia="zh-CN"/>
        </w:rPr>
        <w:t> </w:t>
      </w:r>
      <w:r w:rsidRPr="00CE7679">
        <w:rPr>
          <w:rFonts w:eastAsia="SimSun"/>
          <w:snapToGrid/>
          <w:szCs w:val="22"/>
          <w:lang w:eastAsia="zh-CN"/>
        </w:rPr>
        <w:t>%)</w:t>
      </w:r>
      <w:r w:rsidR="000C1203" w:rsidRPr="00CE7679">
        <w:rPr>
          <w:rFonts w:eastAsia="SimSun"/>
          <w:snapToGrid/>
          <w:szCs w:val="22"/>
          <w:lang w:eastAsia="zh-CN"/>
        </w:rPr>
        <w:t xml:space="preserve"> </w:t>
      </w:r>
      <w:r w:rsidRPr="00CE7679">
        <w:rPr>
          <w:rFonts w:eastAsia="SimSun"/>
          <w:snapToGrid/>
          <w:szCs w:val="22"/>
          <w:lang w:eastAsia="zh-CN"/>
        </w:rPr>
        <w:t>pacientų. Kai atsako dažnis buvo apskaičiuotas tiems pacientams, kuriems buvo žinomas bent vienas</w:t>
      </w:r>
      <w:r w:rsidR="000C1203" w:rsidRPr="00CE7679">
        <w:rPr>
          <w:rFonts w:eastAsia="SimSun"/>
          <w:snapToGrid/>
          <w:szCs w:val="22"/>
          <w:lang w:eastAsia="zh-CN"/>
        </w:rPr>
        <w:t xml:space="preserve"> įteisintas</w:t>
      </w:r>
      <w:r w:rsidRPr="00CE7679">
        <w:rPr>
          <w:rFonts w:eastAsia="SimSun"/>
          <w:snapToGrid/>
          <w:szCs w:val="22"/>
          <w:lang w:eastAsia="zh-CN"/>
        </w:rPr>
        <w:t xml:space="preserve"> įvertinimas, VHA, </w:t>
      </w:r>
      <w:proofErr w:type="spellStart"/>
      <w:r w:rsidRPr="00CE7679">
        <w:rPr>
          <w:rFonts w:eastAsia="SimSun"/>
          <w:snapToGrid/>
          <w:szCs w:val="22"/>
          <w:lang w:eastAsia="zh-CN"/>
        </w:rPr>
        <w:t>CCyR</w:t>
      </w:r>
      <w:proofErr w:type="spellEnd"/>
      <w:r w:rsidRPr="00CE7679">
        <w:rPr>
          <w:rFonts w:eastAsia="SimSun"/>
          <w:snapToGrid/>
          <w:szCs w:val="22"/>
          <w:lang w:eastAsia="zh-CN"/>
        </w:rPr>
        <w:t xml:space="preserve"> ir molekulinio atsakų dažniai, atitinkamai, buvo 20 iš 22 (90,9</w:t>
      </w:r>
      <w:r w:rsidR="001258C1" w:rsidRPr="00CE7679">
        <w:rPr>
          <w:rFonts w:eastAsia="SimSun"/>
          <w:snapToGrid/>
          <w:szCs w:val="22"/>
          <w:lang w:eastAsia="zh-CN"/>
        </w:rPr>
        <w:t> </w:t>
      </w:r>
      <w:r w:rsidRPr="00CE7679">
        <w:rPr>
          <w:rFonts w:eastAsia="SimSun"/>
          <w:snapToGrid/>
          <w:szCs w:val="22"/>
          <w:lang w:eastAsia="zh-CN"/>
        </w:rPr>
        <w:t>%), 9 iš</w:t>
      </w:r>
      <w:r w:rsidR="000C1203" w:rsidRPr="00CE7679">
        <w:rPr>
          <w:rFonts w:eastAsia="SimSun"/>
          <w:snapToGrid/>
          <w:szCs w:val="22"/>
          <w:lang w:eastAsia="zh-CN"/>
        </w:rPr>
        <w:t xml:space="preserve"> </w:t>
      </w:r>
      <w:r w:rsidRPr="00CE7679">
        <w:rPr>
          <w:rFonts w:eastAsia="SimSun"/>
          <w:snapToGrid/>
          <w:szCs w:val="22"/>
          <w:lang w:eastAsia="zh-CN"/>
        </w:rPr>
        <w:t>9 (100</w:t>
      </w:r>
      <w:r w:rsidR="001258C1" w:rsidRPr="00CE7679">
        <w:rPr>
          <w:rFonts w:eastAsia="SimSun"/>
          <w:snapToGrid/>
          <w:szCs w:val="22"/>
          <w:lang w:eastAsia="zh-CN"/>
        </w:rPr>
        <w:t> </w:t>
      </w:r>
      <w:r w:rsidRPr="00CE7679">
        <w:rPr>
          <w:rFonts w:eastAsia="SimSun"/>
          <w:snapToGrid/>
          <w:szCs w:val="22"/>
          <w:lang w:eastAsia="zh-CN"/>
        </w:rPr>
        <w:t>%) ir 11 iš 17 (64,7</w:t>
      </w:r>
      <w:r w:rsidR="001258C1" w:rsidRPr="00CE7679">
        <w:rPr>
          <w:rFonts w:eastAsia="SimSun"/>
          <w:snapToGrid/>
          <w:szCs w:val="22"/>
          <w:lang w:eastAsia="zh-CN"/>
        </w:rPr>
        <w:t> </w:t>
      </w:r>
      <w:r w:rsidRPr="00CE7679">
        <w:rPr>
          <w:rFonts w:eastAsia="SimSun"/>
          <w:snapToGrid/>
          <w:szCs w:val="22"/>
          <w:lang w:eastAsia="zh-CN"/>
        </w:rPr>
        <w:t>%).</w:t>
      </w:r>
    </w:p>
    <w:p w14:paraId="258735E0" w14:textId="77777777" w:rsidR="00A27597" w:rsidRPr="00CE7679" w:rsidRDefault="00A27597" w:rsidP="00A27597">
      <w:pPr>
        <w:spacing w:line="240" w:lineRule="auto"/>
        <w:rPr>
          <w:rFonts w:eastAsia="SimSun"/>
          <w:snapToGrid/>
          <w:szCs w:val="22"/>
          <w:lang w:eastAsia="zh-CN"/>
        </w:rPr>
      </w:pPr>
    </w:p>
    <w:p w14:paraId="4F2A8972" w14:textId="77777777" w:rsidR="00A27597" w:rsidRPr="00CE7679" w:rsidRDefault="00A27597" w:rsidP="00A27597">
      <w:pPr>
        <w:spacing w:line="240" w:lineRule="auto"/>
        <w:rPr>
          <w:rFonts w:eastAsia="SimSun"/>
          <w:snapToGrid/>
          <w:szCs w:val="22"/>
          <w:lang w:eastAsia="zh-CN"/>
        </w:rPr>
      </w:pPr>
      <w:r w:rsidRPr="00CE7679">
        <w:rPr>
          <w:rFonts w:eastAsia="SimSun"/>
          <w:snapToGrid/>
          <w:szCs w:val="22"/>
          <w:lang w:eastAsia="zh-CN"/>
        </w:rPr>
        <w:t>Be to, apie kitus 24</w:t>
      </w:r>
      <w:r w:rsidR="001258C1" w:rsidRPr="00CE7679">
        <w:rPr>
          <w:rFonts w:eastAsia="SimSun"/>
          <w:snapToGrid/>
          <w:szCs w:val="22"/>
          <w:lang w:eastAsia="zh-CN"/>
        </w:rPr>
        <w:t> </w:t>
      </w:r>
      <w:r w:rsidRPr="00CE7679">
        <w:rPr>
          <w:rFonts w:eastAsia="SimSun"/>
          <w:snapToGrid/>
          <w:szCs w:val="22"/>
          <w:lang w:eastAsia="zh-CN"/>
        </w:rPr>
        <w:t>pacientus, sergančius MDS/MPL, buvo paskelbta 13</w:t>
      </w:r>
      <w:r w:rsidR="001258C1" w:rsidRPr="00CE7679">
        <w:rPr>
          <w:rFonts w:eastAsia="SimSun"/>
          <w:snapToGrid/>
          <w:szCs w:val="22"/>
          <w:lang w:eastAsia="zh-CN"/>
        </w:rPr>
        <w:t> </w:t>
      </w:r>
      <w:r w:rsidRPr="00CE7679">
        <w:rPr>
          <w:rFonts w:eastAsia="SimSun"/>
          <w:snapToGrid/>
          <w:szCs w:val="22"/>
          <w:lang w:eastAsia="zh-CN"/>
        </w:rPr>
        <w:t>straipsnių. 21</w:t>
      </w:r>
      <w:r w:rsidR="001258C1" w:rsidRPr="00CE7679">
        <w:rPr>
          <w:rFonts w:eastAsia="SimSun"/>
          <w:snapToGrid/>
          <w:szCs w:val="22"/>
          <w:lang w:eastAsia="zh-CN"/>
        </w:rPr>
        <w:t> </w:t>
      </w:r>
      <w:r w:rsidRPr="00CE7679">
        <w:rPr>
          <w:rFonts w:eastAsia="SimSun"/>
          <w:snapToGrid/>
          <w:szCs w:val="22"/>
          <w:lang w:eastAsia="zh-CN"/>
        </w:rPr>
        <w:t xml:space="preserve">pacientas buvo gydomas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400 mg doze, kiti 3</w:t>
      </w:r>
      <w:r w:rsidR="001258C1" w:rsidRPr="00CE7679">
        <w:rPr>
          <w:rFonts w:eastAsia="SimSun"/>
          <w:snapToGrid/>
          <w:szCs w:val="22"/>
          <w:lang w:eastAsia="zh-CN"/>
        </w:rPr>
        <w:t> </w:t>
      </w:r>
      <w:r w:rsidRPr="00CE7679">
        <w:rPr>
          <w:rFonts w:eastAsia="SimSun"/>
          <w:snapToGrid/>
          <w:szCs w:val="22"/>
          <w:lang w:eastAsia="zh-CN"/>
        </w:rPr>
        <w:t>pacientai gavo mažesnes dozes. Vienuolikai pacientų buvo nustatyti PDGF genų pakitimai, 9 iš jų pasiekė VHA ir 1 DHA. Šių pacientų amžius svyravo nuo 2 iki 79</w:t>
      </w:r>
      <w:r w:rsidR="001258C1" w:rsidRPr="00CE7679">
        <w:rPr>
          <w:rFonts w:eastAsia="SimSun"/>
          <w:snapToGrid/>
          <w:szCs w:val="22"/>
          <w:lang w:eastAsia="zh-CN"/>
        </w:rPr>
        <w:t> </w:t>
      </w:r>
      <w:r w:rsidRPr="00CE7679">
        <w:rPr>
          <w:rFonts w:eastAsia="SimSun"/>
          <w:snapToGrid/>
          <w:szCs w:val="22"/>
          <w:lang w:eastAsia="zh-CN"/>
        </w:rPr>
        <w:t>metų. Remiantis papildyta informacija naujame straipsnyje apie 6 iš šių 11</w:t>
      </w:r>
      <w:r w:rsidR="001258C1" w:rsidRPr="00CE7679">
        <w:rPr>
          <w:rFonts w:eastAsia="SimSun"/>
          <w:snapToGrid/>
          <w:szCs w:val="22"/>
          <w:lang w:eastAsia="zh-CN"/>
        </w:rPr>
        <w:t> </w:t>
      </w:r>
      <w:r w:rsidRPr="00CE7679">
        <w:rPr>
          <w:rFonts w:eastAsia="SimSun"/>
          <w:snapToGrid/>
          <w:szCs w:val="22"/>
          <w:lang w:eastAsia="zh-CN"/>
        </w:rPr>
        <w:t>pacientų, paaiškėjo, jog jiems visiems citogenetinė remisija išliko (trukmė 32-38</w:t>
      </w:r>
      <w:r w:rsidR="001258C1" w:rsidRPr="00CE7679">
        <w:rPr>
          <w:rFonts w:eastAsia="SimSun"/>
          <w:snapToGrid/>
          <w:szCs w:val="22"/>
          <w:lang w:eastAsia="zh-CN"/>
        </w:rPr>
        <w:t> </w:t>
      </w:r>
      <w:r w:rsidRPr="00CE7679">
        <w:rPr>
          <w:rFonts w:eastAsia="SimSun"/>
          <w:snapToGrid/>
          <w:szCs w:val="22"/>
          <w:lang w:eastAsia="zh-CN"/>
        </w:rPr>
        <w:t>mėnesiai). Tame pačiame straipsnyje aprašomi 12</w:t>
      </w:r>
      <w:r w:rsidR="001258C1" w:rsidRPr="00CE7679">
        <w:rPr>
          <w:rFonts w:eastAsia="SimSun"/>
          <w:snapToGrid/>
          <w:szCs w:val="22"/>
          <w:lang w:eastAsia="zh-CN"/>
        </w:rPr>
        <w:t> </w:t>
      </w:r>
      <w:r w:rsidRPr="00CE7679">
        <w:rPr>
          <w:rFonts w:eastAsia="SimSun"/>
          <w:snapToGrid/>
          <w:szCs w:val="22"/>
          <w:lang w:eastAsia="zh-CN"/>
        </w:rPr>
        <w:t>pacientų, sergančių MDS/MPL su PDGFR genų pakitimais (5</w:t>
      </w:r>
      <w:r w:rsidR="001258C1" w:rsidRPr="00CE7679">
        <w:rPr>
          <w:rFonts w:eastAsia="SimSun"/>
          <w:snapToGrid/>
          <w:szCs w:val="22"/>
          <w:lang w:eastAsia="zh-CN"/>
        </w:rPr>
        <w:t> </w:t>
      </w:r>
      <w:r w:rsidRPr="00CE7679">
        <w:rPr>
          <w:rFonts w:eastAsia="SimSun"/>
          <w:snapToGrid/>
          <w:szCs w:val="22"/>
          <w:lang w:eastAsia="zh-CN"/>
        </w:rPr>
        <w:t>pacientai iš B2225 tyrimo)</w:t>
      </w:r>
      <w:r w:rsidR="00CE17D8">
        <w:rPr>
          <w:rFonts w:eastAsia="SimSun"/>
          <w:snapToGrid/>
          <w:szCs w:val="22"/>
          <w:lang w:eastAsia="zh-CN"/>
        </w:rPr>
        <w:t>,</w:t>
      </w:r>
      <w:r w:rsidRPr="00CE7679">
        <w:rPr>
          <w:rFonts w:eastAsia="SimSun"/>
          <w:snapToGrid/>
          <w:szCs w:val="22"/>
          <w:lang w:eastAsia="zh-CN"/>
        </w:rPr>
        <w:t xml:space="preserve"> ilgalaikio stebėjimo duomenys. Šių pacientų gydymo trukmės mediana buvo 47</w:t>
      </w:r>
      <w:r w:rsidR="001258C1" w:rsidRPr="00CE7679">
        <w:rPr>
          <w:rFonts w:eastAsia="SimSun"/>
          <w:snapToGrid/>
          <w:szCs w:val="22"/>
          <w:lang w:eastAsia="zh-CN"/>
        </w:rPr>
        <w:t> </w:t>
      </w:r>
      <w:r w:rsidRPr="00CE7679">
        <w:rPr>
          <w:rFonts w:eastAsia="SimSun"/>
          <w:snapToGrid/>
          <w:szCs w:val="22"/>
          <w:lang w:eastAsia="zh-CN"/>
        </w:rPr>
        <w:t>mėnesiai (ribos 24</w:t>
      </w:r>
      <w:r w:rsidR="001258C1" w:rsidRPr="00CE7679">
        <w:rPr>
          <w:rFonts w:eastAsia="SimSun"/>
          <w:snapToGrid/>
          <w:szCs w:val="22"/>
          <w:lang w:eastAsia="zh-CN"/>
        </w:rPr>
        <w:t> </w:t>
      </w:r>
      <w:r w:rsidRPr="00CE7679">
        <w:rPr>
          <w:rFonts w:eastAsia="SimSun"/>
          <w:snapToGrid/>
          <w:szCs w:val="22"/>
          <w:lang w:eastAsia="zh-CN"/>
        </w:rPr>
        <w:t>dienos – 60</w:t>
      </w:r>
      <w:r w:rsidR="001258C1" w:rsidRPr="00CE7679">
        <w:rPr>
          <w:rFonts w:eastAsia="SimSun"/>
          <w:snapToGrid/>
          <w:szCs w:val="22"/>
          <w:lang w:eastAsia="zh-CN"/>
        </w:rPr>
        <w:t> </w:t>
      </w:r>
      <w:r w:rsidRPr="00CE7679">
        <w:rPr>
          <w:rFonts w:eastAsia="SimSun"/>
          <w:snapToGrid/>
          <w:szCs w:val="22"/>
          <w:lang w:eastAsia="zh-CN"/>
        </w:rPr>
        <w:t>mėnesių). 6 iš šių pacientų dabar stebimi ilgiau kaip 4</w:t>
      </w:r>
      <w:r w:rsidR="001258C1" w:rsidRPr="00CE7679">
        <w:rPr>
          <w:rFonts w:eastAsia="SimSun"/>
          <w:snapToGrid/>
          <w:szCs w:val="22"/>
          <w:lang w:eastAsia="zh-CN"/>
        </w:rPr>
        <w:t> </w:t>
      </w:r>
      <w:r w:rsidRPr="00CE7679">
        <w:rPr>
          <w:rFonts w:eastAsia="SimSun"/>
          <w:snapToGrid/>
          <w:szCs w:val="22"/>
          <w:lang w:eastAsia="zh-CN"/>
        </w:rPr>
        <w:t xml:space="preserve">metus. Vienuolika pacientų pasiekė greitą VHA; dešimčiai visiškai išnyko citogenetiniai pokyčiai ir patikrinus RT-PGR, sumažėjo arba išnyko susijungusių </w:t>
      </w:r>
      <w:proofErr w:type="spellStart"/>
      <w:r w:rsidRPr="00CE7679">
        <w:rPr>
          <w:rFonts w:eastAsia="SimSun"/>
          <w:snapToGrid/>
          <w:szCs w:val="22"/>
          <w:lang w:eastAsia="zh-CN"/>
        </w:rPr>
        <w:t>transkriptų</w:t>
      </w:r>
      <w:proofErr w:type="spellEnd"/>
      <w:r w:rsidRPr="00CE7679">
        <w:rPr>
          <w:rFonts w:eastAsia="SimSun"/>
          <w:snapToGrid/>
          <w:szCs w:val="22"/>
          <w:lang w:eastAsia="zh-CN"/>
        </w:rPr>
        <w:t>. Pastovaus hematologinio ir citogenetinio atsako  trukmės mediana buvo atitinkamai 49</w:t>
      </w:r>
      <w:r w:rsidR="001258C1" w:rsidRPr="00CE7679">
        <w:rPr>
          <w:rFonts w:eastAsia="SimSun"/>
          <w:snapToGrid/>
          <w:szCs w:val="22"/>
          <w:lang w:eastAsia="zh-CN"/>
        </w:rPr>
        <w:t> </w:t>
      </w:r>
      <w:r w:rsidRPr="00CE7679">
        <w:rPr>
          <w:rFonts w:eastAsia="SimSun"/>
          <w:snapToGrid/>
          <w:szCs w:val="22"/>
          <w:lang w:eastAsia="zh-CN"/>
        </w:rPr>
        <w:t>mėnesiai (ribos 19-60) ir 47</w:t>
      </w:r>
      <w:r w:rsidR="001258C1" w:rsidRPr="00CE7679">
        <w:rPr>
          <w:rFonts w:eastAsia="SimSun"/>
          <w:snapToGrid/>
          <w:szCs w:val="22"/>
          <w:lang w:eastAsia="zh-CN"/>
        </w:rPr>
        <w:t> </w:t>
      </w:r>
      <w:r w:rsidRPr="00CE7679">
        <w:rPr>
          <w:rFonts w:eastAsia="SimSun"/>
          <w:snapToGrid/>
          <w:szCs w:val="22"/>
          <w:lang w:eastAsia="zh-CN"/>
        </w:rPr>
        <w:t>mėnesiai (ribos 16-59). Patvirtinus diagnozę, bendras išgyvenamumas yra 65</w:t>
      </w:r>
      <w:r w:rsidR="001258C1" w:rsidRPr="00CE7679">
        <w:rPr>
          <w:rFonts w:eastAsia="SimSun"/>
          <w:snapToGrid/>
          <w:szCs w:val="22"/>
          <w:lang w:eastAsia="zh-CN"/>
        </w:rPr>
        <w:t> </w:t>
      </w:r>
      <w:r w:rsidRPr="00CE7679">
        <w:rPr>
          <w:rFonts w:eastAsia="SimSun"/>
          <w:snapToGrid/>
          <w:szCs w:val="22"/>
          <w:lang w:eastAsia="zh-CN"/>
        </w:rPr>
        <w:t xml:space="preserve">mėnesiai (ribos 25-234).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vartojimas pacientams be genetinės </w:t>
      </w:r>
      <w:proofErr w:type="spellStart"/>
      <w:r w:rsidRPr="00CE7679">
        <w:rPr>
          <w:rFonts w:eastAsia="SimSun"/>
          <w:snapToGrid/>
          <w:szCs w:val="22"/>
          <w:lang w:eastAsia="zh-CN"/>
        </w:rPr>
        <w:t>translokacijos</w:t>
      </w:r>
      <w:proofErr w:type="spellEnd"/>
      <w:r w:rsidRPr="00CE7679">
        <w:rPr>
          <w:rFonts w:eastAsia="SimSun"/>
          <w:snapToGrid/>
          <w:szCs w:val="22"/>
          <w:lang w:eastAsia="zh-CN"/>
        </w:rPr>
        <w:t xml:space="preserve"> dažniausiai pagerėjimo nesukėlė. </w:t>
      </w:r>
    </w:p>
    <w:p w14:paraId="2DE7C7A9" w14:textId="77777777" w:rsidR="00A27597" w:rsidRPr="00CE7679" w:rsidRDefault="00A27597" w:rsidP="00A27597">
      <w:pPr>
        <w:spacing w:line="240" w:lineRule="auto"/>
        <w:rPr>
          <w:rFonts w:eastAsia="SimSun"/>
          <w:snapToGrid/>
          <w:szCs w:val="22"/>
          <w:lang w:eastAsia="zh-CN"/>
        </w:rPr>
      </w:pPr>
    </w:p>
    <w:p w14:paraId="2FE371CB" w14:textId="77777777" w:rsidR="00A27597" w:rsidRPr="00CE7679" w:rsidRDefault="00A27597" w:rsidP="00A27597">
      <w:pPr>
        <w:spacing w:line="240" w:lineRule="auto"/>
        <w:rPr>
          <w:rFonts w:eastAsia="SimSun"/>
          <w:snapToGrid/>
          <w:szCs w:val="22"/>
          <w:lang w:eastAsia="zh-CN"/>
        </w:rPr>
      </w:pPr>
      <w:r w:rsidRPr="00CE7679">
        <w:rPr>
          <w:rFonts w:eastAsia="SimSun"/>
          <w:snapToGrid/>
          <w:szCs w:val="22"/>
          <w:lang w:eastAsia="zh-CN"/>
        </w:rPr>
        <w:t>Kontroliuojamųjų klinikinių tyrimų su MDS/MPL sergančiais vaikais neatlikta. 4</w:t>
      </w:r>
      <w:r w:rsidR="001258C1" w:rsidRPr="00CE7679">
        <w:rPr>
          <w:rFonts w:eastAsia="SimSun"/>
          <w:snapToGrid/>
          <w:szCs w:val="22"/>
          <w:lang w:eastAsia="zh-CN"/>
        </w:rPr>
        <w:t> </w:t>
      </w:r>
      <w:r w:rsidRPr="00CE7679">
        <w:rPr>
          <w:rFonts w:eastAsia="SimSun"/>
          <w:snapToGrid/>
          <w:szCs w:val="22"/>
          <w:lang w:eastAsia="zh-CN"/>
        </w:rPr>
        <w:t>literatūros šaltiniuose aprašyti 5</w:t>
      </w:r>
      <w:r w:rsidR="001258C1" w:rsidRPr="00CE7679">
        <w:rPr>
          <w:rFonts w:eastAsia="SimSun"/>
          <w:snapToGrid/>
          <w:szCs w:val="22"/>
          <w:lang w:eastAsia="zh-CN"/>
        </w:rPr>
        <w:t> </w:t>
      </w:r>
      <w:r w:rsidRPr="00CE7679">
        <w:rPr>
          <w:rFonts w:eastAsia="SimSun"/>
          <w:snapToGrid/>
          <w:szCs w:val="22"/>
          <w:lang w:eastAsia="zh-CN"/>
        </w:rPr>
        <w:t>pacientai, sirgę su PDGFR geno persitvarkymais susijusiomis MDS/MPL. Šių pacientų amžius svyravo nuo 3</w:t>
      </w:r>
      <w:r w:rsidR="001258C1" w:rsidRPr="00CE7679">
        <w:rPr>
          <w:rFonts w:eastAsia="SimSun"/>
          <w:snapToGrid/>
          <w:szCs w:val="22"/>
          <w:lang w:eastAsia="zh-CN"/>
        </w:rPr>
        <w:t> </w:t>
      </w:r>
      <w:r w:rsidRPr="00CE7679">
        <w:rPr>
          <w:rFonts w:eastAsia="SimSun"/>
          <w:snapToGrid/>
          <w:szCs w:val="22"/>
          <w:lang w:eastAsia="zh-CN"/>
        </w:rPr>
        <w:t>mėnesių iki 4</w:t>
      </w:r>
      <w:r w:rsidR="001258C1" w:rsidRPr="00CE7679">
        <w:rPr>
          <w:rFonts w:eastAsia="SimSun"/>
          <w:snapToGrid/>
          <w:szCs w:val="22"/>
          <w:lang w:eastAsia="zh-CN"/>
        </w:rPr>
        <w:t> </w:t>
      </w:r>
      <w:r w:rsidRPr="00CE7679">
        <w:rPr>
          <w:rFonts w:eastAsia="SimSun"/>
          <w:snapToGrid/>
          <w:szCs w:val="22"/>
          <w:lang w:eastAsia="zh-CN"/>
        </w:rPr>
        <w:t xml:space="preserve">metų, jiems buvo skiriama 50 mg per parą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dozė arba nuo 92,5 mg/m</w:t>
      </w:r>
      <w:r w:rsidRPr="00CE7679">
        <w:rPr>
          <w:rFonts w:eastAsia="SimSun"/>
          <w:snapToGrid/>
          <w:szCs w:val="22"/>
          <w:vertAlign w:val="superscript"/>
          <w:lang w:eastAsia="zh-CN"/>
        </w:rPr>
        <w:t>2</w:t>
      </w:r>
      <w:r w:rsidRPr="00CE7679">
        <w:rPr>
          <w:rFonts w:eastAsia="SimSun"/>
          <w:snapToGrid/>
          <w:szCs w:val="22"/>
          <w:lang w:eastAsia="zh-CN"/>
        </w:rPr>
        <w:t xml:space="preserve"> iki 340 mg/m</w:t>
      </w:r>
      <w:r w:rsidRPr="00CE7679">
        <w:rPr>
          <w:rFonts w:eastAsia="SimSun"/>
          <w:snapToGrid/>
          <w:szCs w:val="22"/>
          <w:vertAlign w:val="superscript"/>
          <w:lang w:eastAsia="zh-CN"/>
        </w:rPr>
        <w:t>2</w:t>
      </w:r>
      <w:r w:rsidRPr="00CE7679">
        <w:rPr>
          <w:rFonts w:eastAsia="SimSun"/>
          <w:snapToGrid/>
          <w:szCs w:val="22"/>
          <w:lang w:eastAsia="zh-CN"/>
        </w:rPr>
        <w:t xml:space="preserve"> kūno paviršiaus ploto paros dozė. Visiems pacientams pasiektas visiškas hematologinis atsakas, citogenetinis atsakas ir (arba) klinikinis atsakas. </w:t>
      </w:r>
    </w:p>
    <w:p w14:paraId="43913297" w14:textId="77777777" w:rsidR="00A27597" w:rsidRPr="00CE7679" w:rsidRDefault="00A27597" w:rsidP="00A27597">
      <w:pPr>
        <w:spacing w:line="240" w:lineRule="auto"/>
        <w:rPr>
          <w:rFonts w:eastAsia="SimSun"/>
          <w:snapToGrid/>
          <w:szCs w:val="22"/>
          <w:lang w:eastAsia="zh-CN"/>
        </w:rPr>
      </w:pPr>
    </w:p>
    <w:p w14:paraId="344EAD63" w14:textId="77777777" w:rsidR="00A27597" w:rsidRPr="00CE7679" w:rsidRDefault="00A27597" w:rsidP="00A27597">
      <w:pPr>
        <w:spacing w:line="240" w:lineRule="auto"/>
        <w:rPr>
          <w:rFonts w:eastAsia="SimSun"/>
          <w:snapToGrid/>
          <w:szCs w:val="22"/>
          <w:u w:val="single"/>
          <w:lang w:eastAsia="zh-CN"/>
        </w:rPr>
      </w:pPr>
      <w:r w:rsidRPr="00CE7679">
        <w:rPr>
          <w:rFonts w:eastAsia="SimSun"/>
          <w:snapToGrid/>
          <w:szCs w:val="22"/>
          <w:u w:val="single"/>
          <w:lang w:eastAsia="zh-CN"/>
        </w:rPr>
        <w:t xml:space="preserve">Klinikiniai HES/LEL tyrimai </w:t>
      </w:r>
    </w:p>
    <w:p w14:paraId="495E8355" w14:textId="51D1D615" w:rsidR="00A27597" w:rsidRPr="00CE7679" w:rsidRDefault="00A27597" w:rsidP="00A27597">
      <w:pPr>
        <w:spacing w:line="240" w:lineRule="auto"/>
        <w:rPr>
          <w:rFonts w:eastAsia="SimSun"/>
          <w:snapToGrid/>
          <w:szCs w:val="22"/>
          <w:lang w:eastAsia="zh-CN"/>
        </w:rPr>
      </w:pPr>
      <w:r w:rsidRPr="00CE7679">
        <w:rPr>
          <w:rFonts w:eastAsia="SimSun"/>
          <w:snapToGrid/>
          <w:szCs w:val="22"/>
          <w:lang w:eastAsia="zh-CN"/>
        </w:rPr>
        <w:t xml:space="preserve">Viename atvirame, </w:t>
      </w:r>
      <w:proofErr w:type="spellStart"/>
      <w:r w:rsidRPr="00CE7679">
        <w:rPr>
          <w:rFonts w:eastAsia="SimSun"/>
          <w:snapToGrid/>
          <w:szCs w:val="22"/>
          <w:lang w:eastAsia="zh-CN"/>
        </w:rPr>
        <w:t>daugiacentriame</w:t>
      </w:r>
      <w:proofErr w:type="spellEnd"/>
      <w:r w:rsidRPr="00CE7679">
        <w:rPr>
          <w:rFonts w:eastAsia="SimSun"/>
          <w:snapToGrid/>
          <w:szCs w:val="22"/>
          <w:lang w:eastAsia="zh-CN"/>
        </w:rPr>
        <w:t xml:space="preserve">, II fazės klinikiniame tyrime (tyrimas B2225) buvo tiriamas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veiksmingumas įvairioms pacientų, sergančių gyvybei pavojingomis ligomis, susijusiomis su </w:t>
      </w:r>
      <w:proofErr w:type="spellStart"/>
      <w:r w:rsidRPr="00CE7679">
        <w:rPr>
          <w:rFonts w:eastAsia="SimSun"/>
          <w:snapToGrid/>
          <w:szCs w:val="22"/>
          <w:lang w:eastAsia="zh-CN"/>
        </w:rPr>
        <w:t>Abl</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Kit</w:t>
      </w:r>
      <w:proofErr w:type="spellEnd"/>
      <w:r w:rsidRPr="00CE7679">
        <w:rPr>
          <w:rFonts w:eastAsia="SimSun"/>
          <w:snapToGrid/>
          <w:szCs w:val="22"/>
          <w:lang w:eastAsia="zh-CN"/>
        </w:rPr>
        <w:t xml:space="preserve"> ar PDGFR baltymo </w:t>
      </w:r>
      <w:proofErr w:type="spellStart"/>
      <w:r w:rsidRPr="00CE7679">
        <w:rPr>
          <w:rFonts w:eastAsia="SimSun"/>
          <w:snapToGrid/>
          <w:szCs w:val="22"/>
          <w:lang w:eastAsia="zh-CN"/>
        </w:rPr>
        <w:t>tirozino</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kinazėmis</w:t>
      </w:r>
      <w:proofErr w:type="spellEnd"/>
      <w:r w:rsidRPr="00CE7679">
        <w:rPr>
          <w:rFonts w:eastAsia="SimSun"/>
          <w:snapToGrid/>
          <w:szCs w:val="22"/>
          <w:lang w:eastAsia="zh-CN"/>
        </w:rPr>
        <w:t>, grupėms. Šio tyrimo metu 14</w:t>
      </w:r>
      <w:r w:rsidR="001258C1" w:rsidRPr="00CE7679">
        <w:rPr>
          <w:rFonts w:eastAsia="SimSun"/>
          <w:snapToGrid/>
          <w:szCs w:val="22"/>
          <w:lang w:eastAsia="zh-CN"/>
        </w:rPr>
        <w:t> </w:t>
      </w:r>
      <w:r w:rsidRPr="00CE7679">
        <w:rPr>
          <w:rFonts w:eastAsia="SimSun"/>
          <w:snapToGrid/>
          <w:szCs w:val="22"/>
          <w:lang w:eastAsia="zh-CN"/>
        </w:rPr>
        <w:t>pacientų, sergantys HES/LEL, buvo gydomi 100</w:t>
      </w:r>
      <w:r w:rsidR="001258C1" w:rsidRPr="00CE7679">
        <w:rPr>
          <w:rFonts w:eastAsia="SimSun"/>
          <w:snapToGrid/>
          <w:szCs w:val="22"/>
          <w:lang w:eastAsia="zh-CN"/>
        </w:rPr>
        <w:t> </w:t>
      </w:r>
      <w:r w:rsidRPr="00CE7679">
        <w:rPr>
          <w:rFonts w:eastAsia="SimSun"/>
          <w:snapToGrid/>
          <w:szCs w:val="22"/>
          <w:lang w:eastAsia="zh-CN"/>
        </w:rPr>
        <w:t>–</w:t>
      </w:r>
      <w:r w:rsidR="001258C1" w:rsidRPr="00CE7679">
        <w:rPr>
          <w:rFonts w:eastAsia="SimSun"/>
          <w:snapToGrid/>
          <w:szCs w:val="22"/>
          <w:lang w:eastAsia="zh-CN"/>
        </w:rPr>
        <w:t> </w:t>
      </w:r>
      <w:r w:rsidRPr="00CE7679">
        <w:rPr>
          <w:rFonts w:eastAsia="SimSun"/>
          <w:snapToGrid/>
          <w:szCs w:val="22"/>
          <w:lang w:eastAsia="zh-CN"/>
        </w:rPr>
        <w:t>1</w:t>
      </w:r>
      <w:r w:rsidR="001E28ED">
        <w:rPr>
          <w:rFonts w:eastAsia="SimSun"/>
          <w:snapToGrid/>
          <w:szCs w:val="22"/>
          <w:lang w:eastAsia="zh-CN"/>
        </w:rPr>
        <w:t xml:space="preserve"> </w:t>
      </w:r>
      <w:r w:rsidRPr="00CE7679">
        <w:rPr>
          <w:rFonts w:eastAsia="SimSun"/>
          <w:snapToGrid/>
          <w:szCs w:val="22"/>
          <w:lang w:eastAsia="zh-CN"/>
        </w:rPr>
        <w:t xml:space="preserve">000 mg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paros dozėmis. Kiti 162</w:t>
      </w:r>
      <w:r w:rsidR="001258C1" w:rsidRPr="00CE7679">
        <w:rPr>
          <w:rFonts w:eastAsia="SimSun"/>
          <w:snapToGrid/>
          <w:szCs w:val="22"/>
          <w:lang w:eastAsia="zh-CN"/>
        </w:rPr>
        <w:t> </w:t>
      </w:r>
      <w:r w:rsidRPr="00CE7679">
        <w:rPr>
          <w:rFonts w:eastAsia="SimSun"/>
          <w:snapToGrid/>
          <w:szCs w:val="22"/>
          <w:lang w:eastAsia="zh-CN"/>
        </w:rPr>
        <w:t>pacientai, sergantys HES/LEL, apie kuriuos paskelbta 35</w:t>
      </w:r>
      <w:r w:rsidR="001258C1" w:rsidRPr="00CE7679">
        <w:rPr>
          <w:rFonts w:eastAsia="SimSun"/>
          <w:snapToGrid/>
          <w:szCs w:val="22"/>
          <w:lang w:eastAsia="zh-CN"/>
        </w:rPr>
        <w:t> </w:t>
      </w:r>
      <w:r w:rsidRPr="00CE7679">
        <w:rPr>
          <w:rFonts w:eastAsia="SimSun"/>
          <w:snapToGrid/>
          <w:szCs w:val="22"/>
          <w:lang w:eastAsia="zh-CN"/>
        </w:rPr>
        <w:t>atvejų pranešimuose ir atvejų serijose, vartojo 75</w:t>
      </w:r>
      <w:r w:rsidR="001258C1" w:rsidRPr="00CE7679">
        <w:rPr>
          <w:rFonts w:eastAsia="SimSun"/>
          <w:snapToGrid/>
          <w:szCs w:val="22"/>
          <w:lang w:eastAsia="zh-CN"/>
        </w:rPr>
        <w:t> </w:t>
      </w:r>
      <w:r w:rsidRPr="00CE7679">
        <w:rPr>
          <w:rFonts w:eastAsia="SimSun"/>
          <w:snapToGrid/>
          <w:szCs w:val="22"/>
          <w:lang w:eastAsia="zh-CN"/>
        </w:rPr>
        <w:t>–</w:t>
      </w:r>
      <w:r w:rsidR="001258C1" w:rsidRPr="00CE7679">
        <w:rPr>
          <w:rFonts w:eastAsia="SimSun"/>
          <w:snapToGrid/>
          <w:szCs w:val="22"/>
          <w:lang w:eastAsia="zh-CN"/>
        </w:rPr>
        <w:t> </w:t>
      </w:r>
      <w:r w:rsidRPr="00CE7679">
        <w:rPr>
          <w:rFonts w:eastAsia="SimSun"/>
          <w:snapToGrid/>
          <w:szCs w:val="22"/>
          <w:lang w:eastAsia="zh-CN"/>
        </w:rPr>
        <w:t xml:space="preserve">800 mg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per parą. 117 iš bendros 176</w:t>
      </w:r>
      <w:r w:rsidR="001258C1" w:rsidRPr="00CE7679">
        <w:rPr>
          <w:rFonts w:eastAsia="SimSun"/>
          <w:snapToGrid/>
          <w:szCs w:val="22"/>
          <w:lang w:eastAsia="zh-CN"/>
        </w:rPr>
        <w:t> </w:t>
      </w:r>
      <w:r w:rsidRPr="00CE7679">
        <w:rPr>
          <w:rFonts w:eastAsia="SimSun"/>
          <w:snapToGrid/>
          <w:szCs w:val="22"/>
          <w:lang w:eastAsia="zh-CN"/>
        </w:rPr>
        <w:t xml:space="preserve">pacientų populiacijos buvo nustatyti citogenetiniai pokyčiai. 61 iš 117 šių pacientų nustatyta FIP1L1-PDGFRα </w:t>
      </w:r>
      <w:proofErr w:type="spellStart"/>
      <w:r w:rsidRPr="00CE7679">
        <w:rPr>
          <w:rFonts w:eastAsia="SimSun"/>
          <w:snapToGrid/>
          <w:szCs w:val="22"/>
          <w:lang w:eastAsia="zh-CN"/>
        </w:rPr>
        <w:t>kinazės</w:t>
      </w:r>
      <w:proofErr w:type="spellEnd"/>
      <w:r w:rsidRPr="00CE7679">
        <w:rPr>
          <w:rFonts w:eastAsia="SimSun"/>
          <w:snapToGrid/>
          <w:szCs w:val="22"/>
          <w:lang w:eastAsia="zh-CN"/>
        </w:rPr>
        <w:t xml:space="preserve"> susijungimas. Be to, aptikta, kad keturi HES sergantys pacientai buvo teigiami FIP1L1-PDGFRα </w:t>
      </w:r>
      <w:proofErr w:type="spellStart"/>
      <w:r w:rsidRPr="00CE7679">
        <w:rPr>
          <w:rFonts w:eastAsia="SimSun"/>
          <w:snapToGrid/>
          <w:szCs w:val="22"/>
          <w:lang w:eastAsia="zh-CN"/>
        </w:rPr>
        <w:t>kinazės</w:t>
      </w:r>
      <w:proofErr w:type="spellEnd"/>
      <w:r w:rsidRPr="00CE7679">
        <w:rPr>
          <w:rFonts w:eastAsia="SimSun"/>
          <w:snapToGrid/>
          <w:szCs w:val="22"/>
          <w:lang w:eastAsia="zh-CN"/>
        </w:rPr>
        <w:t xml:space="preserve"> atžvilgiu kituose 3 paskelbtuose atvejuose. Visi 65</w:t>
      </w:r>
      <w:r w:rsidR="001258C1" w:rsidRPr="00CE7679">
        <w:rPr>
          <w:rFonts w:eastAsia="SimSun"/>
          <w:snapToGrid/>
          <w:szCs w:val="22"/>
          <w:lang w:eastAsia="zh-CN"/>
        </w:rPr>
        <w:t> </w:t>
      </w:r>
      <w:r w:rsidRPr="00CE7679">
        <w:rPr>
          <w:rFonts w:eastAsia="SimSun"/>
          <w:snapToGrid/>
          <w:szCs w:val="22"/>
          <w:lang w:eastAsia="zh-CN"/>
        </w:rPr>
        <w:t xml:space="preserve">pacientai teigiami FIP1L1-PDGFRα </w:t>
      </w:r>
      <w:proofErr w:type="spellStart"/>
      <w:r w:rsidRPr="00CE7679">
        <w:rPr>
          <w:rFonts w:eastAsia="SimSun"/>
          <w:snapToGrid/>
          <w:szCs w:val="22"/>
          <w:lang w:eastAsia="zh-CN"/>
        </w:rPr>
        <w:t>kinazės</w:t>
      </w:r>
      <w:proofErr w:type="spellEnd"/>
      <w:r w:rsidRPr="00CE7679">
        <w:rPr>
          <w:rFonts w:eastAsia="SimSun"/>
          <w:snapToGrid/>
          <w:szCs w:val="22"/>
          <w:lang w:eastAsia="zh-CN"/>
        </w:rPr>
        <w:t xml:space="preserve"> atžvilgiu pasiekė mėnesiais trunkantį VHA (nuo 1+ iki 44+ mėnesių, tikrinta pranešimo metu). Kaip pranešama naujame straipsnyje, 21 iš šių 65</w:t>
      </w:r>
      <w:r w:rsidR="001258C1" w:rsidRPr="00CE7679">
        <w:rPr>
          <w:rFonts w:eastAsia="SimSun"/>
          <w:snapToGrid/>
          <w:szCs w:val="22"/>
          <w:lang w:eastAsia="zh-CN"/>
        </w:rPr>
        <w:t> </w:t>
      </w:r>
      <w:r w:rsidRPr="00CE7679">
        <w:rPr>
          <w:rFonts w:eastAsia="SimSun"/>
          <w:snapToGrid/>
          <w:szCs w:val="22"/>
          <w:lang w:eastAsia="zh-CN"/>
        </w:rPr>
        <w:t>pacientų taip pat pasiekė pilną molekulinę remisiją, kurios stebėjimo trukmės mediana 28</w:t>
      </w:r>
      <w:r w:rsidR="001258C1" w:rsidRPr="00CE7679">
        <w:rPr>
          <w:rFonts w:eastAsia="SimSun"/>
          <w:snapToGrid/>
          <w:szCs w:val="22"/>
          <w:lang w:eastAsia="zh-CN"/>
        </w:rPr>
        <w:t> </w:t>
      </w:r>
      <w:r w:rsidRPr="00CE7679">
        <w:rPr>
          <w:rFonts w:eastAsia="SimSun"/>
          <w:snapToGrid/>
          <w:szCs w:val="22"/>
          <w:lang w:eastAsia="zh-CN"/>
        </w:rPr>
        <w:t>mėnesiai (13-67</w:t>
      </w:r>
      <w:r w:rsidR="001258C1" w:rsidRPr="00CE7679">
        <w:rPr>
          <w:rFonts w:eastAsia="SimSun"/>
          <w:snapToGrid/>
          <w:szCs w:val="22"/>
          <w:lang w:eastAsia="zh-CN"/>
        </w:rPr>
        <w:t> </w:t>
      </w:r>
      <w:r w:rsidRPr="00CE7679">
        <w:rPr>
          <w:rFonts w:eastAsia="SimSun"/>
          <w:snapToGrid/>
          <w:szCs w:val="22"/>
          <w:lang w:eastAsia="zh-CN"/>
        </w:rPr>
        <w:t>mėnesiai). Šių pacientų amžius svyravo nuo 25 iki 72</w:t>
      </w:r>
      <w:r w:rsidR="001258C1" w:rsidRPr="00CE7679">
        <w:rPr>
          <w:rFonts w:eastAsia="SimSun"/>
          <w:snapToGrid/>
          <w:szCs w:val="22"/>
          <w:lang w:eastAsia="zh-CN"/>
        </w:rPr>
        <w:t> </w:t>
      </w:r>
      <w:r w:rsidRPr="00CE7679">
        <w:rPr>
          <w:rFonts w:eastAsia="SimSun"/>
          <w:snapToGrid/>
          <w:szCs w:val="22"/>
          <w:lang w:eastAsia="zh-CN"/>
        </w:rPr>
        <w:t xml:space="preserve">metų. Tyrėjų atvejų pranešimuose papildomai buvo pranešta apie simptomų ir kitų organų funkcijų sutrikimų pagerėjimą. Pagerėjimai buvo nustatyti širdies, nervų, odos ir poodinio audinio, kvėpavimo, krūtinės ląstos ir tarpuplaučio, skeleto, raumenų ir jungiamojo audinio, kraujagyslių ir virškinimo trakto organų sistemose. </w:t>
      </w:r>
    </w:p>
    <w:p w14:paraId="49E141F3" w14:textId="77777777" w:rsidR="00A27597" w:rsidRPr="00CE7679" w:rsidRDefault="00A27597" w:rsidP="00A27597">
      <w:pPr>
        <w:spacing w:line="240" w:lineRule="auto"/>
        <w:rPr>
          <w:rFonts w:eastAsia="SimSun"/>
          <w:snapToGrid/>
          <w:szCs w:val="22"/>
          <w:lang w:eastAsia="zh-CN"/>
        </w:rPr>
      </w:pPr>
    </w:p>
    <w:p w14:paraId="61ABDA99" w14:textId="77777777" w:rsidR="00A27597" w:rsidRPr="00CE7679" w:rsidRDefault="00A27597" w:rsidP="00A27597">
      <w:pPr>
        <w:spacing w:line="240" w:lineRule="auto"/>
        <w:rPr>
          <w:rFonts w:eastAsia="SimSun"/>
          <w:snapToGrid/>
          <w:szCs w:val="22"/>
          <w:lang w:eastAsia="zh-CN"/>
        </w:rPr>
      </w:pPr>
      <w:r w:rsidRPr="00CE7679">
        <w:rPr>
          <w:rFonts w:eastAsia="SimSun"/>
          <w:snapToGrid/>
          <w:szCs w:val="22"/>
          <w:lang w:eastAsia="zh-CN"/>
        </w:rPr>
        <w:t>Kontroliuojamųjų klinikinių tyrimų su HES/LEL sergančiais vaikais neatlikta. 3</w:t>
      </w:r>
      <w:r w:rsidR="001258C1" w:rsidRPr="00CE7679">
        <w:rPr>
          <w:rFonts w:eastAsia="SimSun"/>
          <w:snapToGrid/>
          <w:szCs w:val="22"/>
          <w:lang w:eastAsia="zh-CN"/>
        </w:rPr>
        <w:t> </w:t>
      </w:r>
      <w:r w:rsidRPr="00CE7679">
        <w:rPr>
          <w:rFonts w:eastAsia="SimSun"/>
          <w:snapToGrid/>
          <w:szCs w:val="22"/>
          <w:lang w:eastAsia="zh-CN"/>
        </w:rPr>
        <w:t>literatūros šaltiniuose aprašyti 3</w:t>
      </w:r>
      <w:r w:rsidR="001258C1" w:rsidRPr="00CE7679">
        <w:rPr>
          <w:rFonts w:eastAsia="SimSun"/>
          <w:snapToGrid/>
          <w:szCs w:val="22"/>
          <w:lang w:eastAsia="zh-CN"/>
        </w:rPr>
        <w:t> </w:t>
      </w:r>
      <w:r w:rsidRPr="00CE7679">
        <w:rPr>
          <w:rFonts w:eastAsia="SimSun"/>
          <w:snapToGrid/>
          <w:szCs w:val="22"/>
          <w:lang w:eastAsia="zh-CN"/>
        </w:rPr>
        <w:t>pacientai, sirgę su PDGFR geno persitvarkymais susijusia HES ir LEL. Šių pacientų amžius svyravo nuo 2</w:t>
      </w:r>
      <w:r w:rsidR="001258C1" w:rsidRPr="00CE7679">
        <w:rPr>
          <w:rFonts w:eastAsia="SimSun"/>
          <w:snapToGrid/>
          <w:szCs w:val="22"/>
          <w:lang w:eastAsia="zh-CN"/>
        </w:rPr>
        <w:t> </w:t>
      </w:r>
      <w:r w:rsidRPr="00CE7679">
        <w:rPr>
          <w:rFonts w:eastAsia="SimSun"/>
          <w:snapToGrid/>
          <w:szCs w:val="22"/>
          <w:lang w:eastAsia="zh-CN"/>
        </w:rPr>
        <w:t>metų iki 16</w:t>
      </w:r>
      <w:r w:rsidR="001258C1" w:rsidRPr="00CE7679">
        <w:rPr>
          <w:rFonts w:eastAsia="SimSun"/>
          <w:snapToGrid/>
          <w:szCs w:val="22"/>
          <w:lang w:eastAsia="zh-CN"/>
        </w:rPr>
        <w:t> </w:t>
      </w:r>
      <w:r w:rsidRPr="00CE7679">
        <w:rPr>
          <w:rFonts w:eastAsia="SimSun"/>
          <w:snapToGrid/>
          <w:szCs w:val="22"/>
          <w:lang w:eastAsia="zh-CN"/>
        </w:rPr>
        <w:t>metų, jiems buvo skiriama 300 mg/m</w:t>
      </w:r>
      <w:r w:rsidRPr="00CE7679">
        <w:rPr>
          <w:rFonts w:eastAsia="SimSun"/>
          <w:snapToGrid/>
          <w:szCs w:val="22"/>
          <w:vertAlign w:val="superscript"/>
          <w:lang w:eastAsia="zh-CN"/>
        </w:rPr>
        <w:t>2</w:t>
      </w:r>
      <w:r w:rsidRPr="00CE7679">
        <w:rPr>
          <w:rFonts w:eastAsia="SimSun"/>
          <w:snapToGrid/>
          <w:szCs w:val="22"/>
          <w:lang w:eastAsia="zh-CN"/>
        </w:rPr>
        <w:t xml:space="preserve"> kūno paviršiaus ploto per parą arba nuo 200 mg iki 400 mg per parą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dozė. Visiems pacientams pasiektas visiškas hematologinis atsakas, visiškas citogenetinis atsakas ir (arba) visiškas molekulinis atsakas. </w:t>
      </w:r>
    </w:p>
    <w:p w14:paraId="18EDF8D3" w14:textId="77777777" w:rsidR="00A27597" w:rsidRDefault="00A27597" w:rsidP="00A27597">
      <w:pPr>
        <w:spacing w:line="240" w:lineRule="auto"/>
        <w:rPr>
          <w:rFonts w:eastAsia="SimSun"/>
          <w:snapToGrid/>
          <w:szCs w:val="22"/>
          <w:lang w:eastAsia="zh-CN"/>
        </w:rPr>
      </w:pPr>
    </w:p>
    <w:p w14:paraId="7C6F76F0" w14:textId="77777777" w:rsidR="00D52FB2" w:rsidRPr="007541DA" w:rsidRDefault="00D52FB2" w:rsidP="00D52FB2">
      <w:pPr>
        <w:spacing w:line="240" w:lineRule="auto"/>
        <w:rPr>
          <w:rFonts w:eastAsia="SimSun"/>
          <w:snapToGrid/>
          <w:szCs w:val="22"/>
          <w:u w:val="single"/>
          <w:lang w:eastAsia="zh-CN"/>
        </w:rPr>
      </w:pPr>
      <w:r w:rsidRPr="007541DA">
        <w:rPr>
          <w:rFonts w:eastAsia="SimSun"/>
          <w:snapToGrid/>
          <w:szCs w:val="22"/>
          <w:u w:val="single"/>
          <w:lang w:eastAsia="zh-CN"/>
        </w:rPr>
        <w:t xml:space="preserve">Klinikiniai </w:t>
      </w:r>
      <w:proofErr w:type="spellStart"/>
      <w:r w:rsidRPr="007541DA">
        <w:rPr>
          <w:rFonts w:eastAsia="SimSun"/>
          <w:snapToGrid/>
          <w:szCs w:val="22"/>
          <w:u w:val="single"/>
          <w:lang w:eastAsia="zh-CN"/>
        </w:rPr>
        <w:t>nerezekuotin</w:t>
      </w:r>
      <w:r w:rsidR="00B66791" w:rsidRPr="007541DA">
        <w:rPr>
          <w:rFonts w:eastAsia="SimSun"/>
          <w:snapToGrid/>
          <w:szCs w:val="22"/>
          <w:u w:val="single"/>
          <w:lang w:eastAsia="zh-CN"/>
        </w:rPr>
        <w:t>o</w:t>
      </w:r>
      <w:proofErr w:type="spellEnd"/>
      <w:r w:rsidRPr="007541DA">
        <w:rPr>
          <w:rFonts w:eastAsia="SimSun"/>
          <w:snapToGrid/>
          <w:szCs w:val="22"/>
          <w:u w:val="single"/>
          <w:lang w:eastAsia="zh-CN"/>
        </w:rPr>
        <w:t xml:space="preserve"> ir (ar) </w:t>
      </w:r>
      <w:proofErr w:type="spellStart"/>
      <w:r w:rsidRPr="007541DA">
        <w:rPr>
          <w:rFonts w:eastAsia="SimSun"/>
          <w:snapToGrid/>
          <w:szCs w:val="22"/>
          <w:u w:val="single"/>
          <w:lang w:eastAsia="zh-CN"/>
        </w:rPr>
        <w:t>metastazav</w:t>
      </w:r>
      <w:r w:rsidR="00B66791" w:rsidRPr="007541DA">
        <w:rPr>
          <w:rFonts w:eastAsia="SimSun"/>
          <w:snapToGrid/>
          <w:szCs w:val="22"/>
          <w:u w:val="single"/>
          <w:lang w:eastAsia="zh-CN"/>
        </w:rPr>
        <w:t>usio</w:t>
      </w:r>
      <w:proofErr w:type="spellEnd"/>
      <w:r w:rsidRPr="007541DA">
        <w:rPr>
          <w:rFonts w:eastAsia="SimSun"/>
          <w:snapToGrid/>
          <w:szCs w:val="22"/>
          <w:u w:val="single"/>
          <w:lang w:eastAsia="zh-CN"/>
        </w:rPr>
        <w:t xml:space="preserve"> VTSN tyrimai</w:t>
      </w:r>
    </w:p>
    <w:p w14:paraId="5B32CF8B" w14:textId="77777777" w:rsidR="00D52FB2" w:rsidRPr="00D52FB2" w:rsidRDefault="00493239" w:rsidP="00D52FB2">
      <w:pPr>
        <w:spacing w:line="240" w:lineRule="auto"/>
        <w:rPr>
          <w:rFonts w:eastAsia="SimSun"/>
          <w:snapToGrid/>
          <w:szCs w:val="22"/>
          <w:lang w:eastAsia="zh-CN"/>
        </w:rPr>
      </w:pPr>
      <w:r>
        <w:rPr>
          <w:rFonts w:eastAsia="SimSun"/>
          <w:snapToGrid/>
          <w:szCs w:val="22"/>
          <w:lang w:eastAsia="zh-CN"/>
        </w:rPr>
        <w:t>Buvo atliktas v</w:t>
      </w:r>
      <w:r w:rsidR="00D52FB2" w:rsidRPr="00D52FB2">
        <w:rPr>
          <w:rFonts w:eastAsia="SimSun"/>
          <w:snapToGrid/>
          <w:szCs w:val="22"/>
          <w:lang w:eastAsia="zh-CN"/>
        </w:rPr>
        <w:t xml:space="preserve">ienas II fazės atviras, </w:t>
      </w:r>
      <w:proofErr w:type="spellStart"/>
      <w:r w:rsidR="00D52FB2" w:rsidRPr="00D52FB2">
        <w:rPr>
          <w:rFonts w:eastAsia="SimSun"/>
          <w:snapToGrid/>
          <w:szCs w:val="22"/>
          <w:lang w:eastAsia="zh-CN"/>
        </w:rPr>
        <w:t>randomizuotas</w:t>
      </w:r>
      <w:proofErr w:type="spellEnd"/>
      <w:r w:rsidR="00D52FB2" w:rsidRPr="00D52FB2">
        <w:rPr>
          <w:rFonts w:eastAsia="SimSun"/>
          <w:snapToGrid/>
          <w:szCs w:val="22"/>
          <w:lang w:eastAsia="zh-CN"/>
        </w:rPr>
        <w:t>, nekontroliuojamas tarptautinis tyrimas</w:t>
      </w:r>
      <w:r w:rsidR="003A704D">
        <w:rPr>
          <w:rFonts w:eastAsia="SimSun"/>
          <w:snapToGrid/>
          <w:szCs w:val="22"/>
          <w:lang w:eastAsia="zh-CN"/>
        </w:rPr>
        <w:t xml:space="preserve">, </w:t>
      </w:r>
      <w:r>
        <w:rPr>
          <w:rFonts w:eastAsia="SimSun"/>
          <w:snapToGrid/>
          <w:szCs w:val="22"/>
          <w:lang w:eastAsia="zh-CN"/>
        </w:rPr>
        <w:t>kuriame dalyvavusiems pacientams</w:t>
      </w:r>
      <w:r w:rsidR="00D52FB2" w:rsidRPr="00D52FB2">
        <w:rPr>
          <w:rFonts w:eastAsia="SimSun"/>
          <w:snapToGrid/>
          <w:szCs w:val="22"/>
          <w:lang w:eastAsia="zh-CN"/>
        </w:rPr>
        <w:t xml:space="preserve"> buvo </w:t>
      </w:r>
      <w:proofErr w:type="spellStart"/>
      <w:r w:rsidR="00D52FB2" w:rsidRPr="00D52FB2">
        <w:rPr>
          <w:rFonts w:eastAsia="SimSun"/>
          <w:snapToGrid/>
          <w:szCs w:val="22"/>
          <w:lang w:eastAsia="zh-CN"/>
        </w:rPr>
        <w:t>nerezekuotinas</w:t>
      </w:r>
      <w:proofErr w:type="spellEnd"/>
      <w:r w:rsidR="00D52FB2" w:rsidRPr="00D52FB2">
        <w:rPr>
          <w:rFonts w:eastAsia="SimSun"/>
          <w:snapToGrid/>
          <w:szCs w:val="22"/>
          <w:lang w:eastAsia="zh-CN"/>
        </w:rPr>
        <w:t xml:space="preserve"> ar </w:t>
      </w:r>
      <w:proofErr w:type="spellStart"/>
      <w:r w:rsidR="00D52FB2" w:rsidRPr="00D52FB2">
        <w:rPr>
          <w:rFonts w:eastAsia="SimSun"/>
          <w:snapToGrid/>
          <w:szCs w:val="22"/>
          <w:lang w:eastAsia="zh-CN"/>
        </w:rPr>
        <w:t>metastazavęs</w:t>
      </w:r>
      <w:proofErr w:type="spellEnd"/>
      <w:r w:rsidR="00D52FB2" w:rsidRPr="00D52FB2">
        <w:rPr>
          <w:rFonts w:eastAsia="SimSun"/>
          <w:snapToGrid/>
          <w:szCs w:val="22"/>
          <w:lang w:eastAsia="zh-CN"/>
        </w:rPr>
        <w:t xml:space="preserve"> piktybinis virškinimo trakto </w:t>
      </w:r>
      <w:proofErr w:type="spellStart"/>
      <w:r w:rsidR="00D52FB2" w:rsidRPr="00D52FB2">
        <w:rPr>
          <w:rFonts w:eastAsia="SimSun"/>
          <w:snapToGrid/>
          <w:szCs w:val="22"/>
          <w:lang w:eastAsia="zh-CN"/>
        </w:rPr>
        <w:t>stromos</w:t>
      </w:r>
      <w:proofErr w:type="spellEnd"/>
      <w:r w:rsidR="00D52FB2" w:rsidRPr="00D52FB2">
        <w:rPr>
          <w:rFonts w:eastAsia="SimSun"/>
          <w:snapToGrid/>
          <w:szCs w:val="22"/>
          <w:lang w:eastAsia="zh-CN"/>
        </w:rPr>
        <w:t xml:space="preserve"> navikas</w:t>
      </w:r>
      <w:r>
        <w:rPr>
          <w:rFonts w:eastAsia="SimSun"/>
          <w:snapToGrid/>
          <w:szCs w:val="22"/>
          <w:lang w:eastAsia="zh-CN"/>
        </w:rPr>
        <w:t xml:space="preserve"> </w:t>
      </w:r>
      <w:r w:rsidR="00D52FB2" w:rsidRPr="00D52FB2">
        <w:rPr>
          <w:rFonts w:eastAsia="SimSun"/>
          <w:snapToGrid/>
          <w:szCs w:val="22"/>
          <w:lang w:eastAsia="zh-CN"/>
        </w:rPr>
        <w:t>(VTSN). Šiame tyrime dalyva</w:t>
      </w:r>
      <w:r w:rsidR="003A704D">
        <w:rPr>
          <w:rFonts w:eastAsia="SimSun"/>
          <w:snapToGrid/>
          <w:szCs w:val="22"/>
          <w:lang w:eastAsia="zh-CN"/>
        </w:rPr>
        <w:t>v</w:t>
      </w:r>
      <w:r>
        <w:rPr>
          <w:rFonts w:eastAsia="SimSun"/>
          <w:snapToGrid/>
          <w:szCs w:val="22"/>
          <w:lang w:eastAsia="zh-CN"/>
        </w:rPr>
        <w:t>usiems</w:t>
      </w:r>
      <w:r w:rsidR="00D52FB2" w:rsidRPr="00D52FB2">
        <w:rPr>
          <w:rFonts w:eastAsia="SimSun"/>
          <w:snapToGrid/>
          <w:szCs w:val="22"/>
          <w:lang w:eastAsia="zh-CN"/>
        </w:rPr>
        <w:t xml:space="preserve"> 147 pacienta</w:t>
      </w:r>
      <w:r>
        <w:rPr>
          <w:rFonts w:eastAsia="SimSun"/>
          <w:snapToGrid/>
          <w:szCs w:val="22"/>
          <w:lang w:eastAsia="zh-CN"/>
        </w:rPr>
        <w:t>ms</w:t>
      </w:r>
      <w:r w:rsidR="00D52FB2" w:rsidRPr="00D52FB2">
        <w:rPr>
          <w:rFonts w:eastAsia="SimSun"/>
          <w:snapToGrid/>
          <w:szCs w:val="22"/>
          <w:lang w:eastAsia="zh-CN"/>
        </w:rPr>
        <w:t xml:space="preserve"> </w:t>
      </w:r>
      <w:r>
        <w:rPr>
          <w:rFonts w:eastAsia="SimSun"/>
          <w:snapToGrid/>
          <w:szCs w:val="22"/>
          <w:lang w:eastAsia="zh-CN"/>
        </w:rPr>
        <w:t xml:space="preserve">atsitiktinės atrankos būdu </w:t>
      </w:r>
      <w:r w:rsidR="00D52FB2" w:rsidRPr="00D52FB2">
        <w:rPr>
          <w:rFonts w:eastAsia="SimSun"/>
          <w:snapToGrid/>
          <w:szCs w:val="22"/>
          <w:lang w:eastAsia="zh-CN"/>
        </w:rPr>
        <w:t xml:space="preserve">buvo </w:t>
      </w:r>
      <w:r>
        <w:rPr>
          <w:rFonts w:eastAsia="SimSun"/>
          <w:snapToGrid/>
          <w:szCs w:val="22"/>
          <w:lang w:eastAsia="zh-CN"/>
        </w:rPr>
        <w:t>paskirta</w:t>
      </w:r>
      <w:r w:rsidR="00D52FB2" w:rsidRPr="00D52FB2">
        <w:rPr>
          <w:rFonts w:eastAsia="SimSun"/>
          <w:snapToGrid/>
          <w:szCs w:val="22"/>
          <w:lang w:eastAsia="zh-CN"/>
        </w:rPr>
        <w:t xml:space="preserve"> gerti po 400</w:t>
      </w:r>
      <w:r>
        <w:rPr>
          <w:rFonts w:eastAsia="SimSun"/>
          <w:snapToGrid/>
          <w:szCs w:val="22"/>
          <w:lang w:eastAsia="zh-CN"/>
        </w:rPr>
        <w:t> </w:t>
      </w:r>
      <w:r w:rsidR="00D52FB2" w:rsidRPr="00D52FB2">
        <w:rPr>
          <w:rFonts w:eastAsia="SimSun"/>
          <w:snapToGrid/>
          <w:szCs w:val="22"/>
          <w:lang w:eastAsia="zh-CN"/>
        </w:rPr>
        <w:t>mg arba</w:t>
      </w:r>
      <w:r>
        <w:rPr>
          <w:rFonts w:eastAsia="SimSun"/>
          <w:snapToGrid/>
          <w:szCs w:val="22"/>
          <w:lang w:eastAsia="zh-CN"/>
        </w:rPr>
        <w:t xml:space="preserve"> </w:t>
      </w:r>
      <w:r w:rsidR="00D52FB2" w:rsidRPr="00D52FB2">
        <w:rPr>
          <w:rFonts w:eastAsia="SimSun"/>
          <w:snapToGrid/>
          <w:szCs w:val="22"/>
          <w:lang w:eastAsia="zh-CN"/>
        </w:rPr>
        <w:t>po 600</w:t>
      </w:r>
      <w:r>
        <w:rPr>
          <w:rFonts w:eastAsia="SimSun"/>
          <w:snapToGrid/>
          <w:szCs w:val="22"/>
          <w:lang w:eastAsia="zh-CN"/>
        </w:rPr>
        <w:t> </w:t>
      </w:r>
      <w:r w:rsidR="00D52FB2" w:rsidRPr="00D52FB2">
        <w:rPr>
          <w:rFonts w:eastAsia="SimSun"/>
          <w:snapToGrid/>
          <w:szCs w:val="22"/>
          <w:lang w:eastAsia="zh-CN"/>
        </w:rPr>
        <w:t xml:space="preserve">mg vieną kartą per parą iki 36 mėn. </w:t>
      </w:r>
      <w:r>
        <w:rPr>
          <w:rFonts w:eastAsia="SimSun"/>
          <w:snapToGrid/>
          <w:szCs w:val="22"/>
          <w:lang w:eastAsia="zh-CN"/>
        </w:rPr>
        <w:t>Tyrime dalyvavusių</w:t>
      </w:r>
      <w:r w:rsidR="00D52FB2" w:rsidRPr="00D52FB2">
        <w:rPr>
          <w:rFonts w:eastAsia="SimSun"/>
          <w:snapToGrid/>
          <w:szCs w:val="22"/>
          <w:lang w:eastAsia="zh-CN"/>
        </w:rPr>
        <w:t xml:space="preserve"> pacientų </w:t>
      </w:r>
      <w:r w:rsidR="00D52FB2" w:rsidRPr="00D52FB2">
        <w:rPr>
          <w:rFonts w:eastAsia="SimSun"/>
          <w:snapToGrid/>
          <w:szCs w:val="22"/>
          <w:lang w:eastAsia="zh-CN"/>
        </w:rPr>
        <w:lastRenderedPageBreak/>
        <w:t>amžius buvo nuo 18 iki 83 metų, jiems buvo</w:t>
      </w:r>
      <w:r>
        <w:rPr>
          <w:rFonts w:eastAsia="SimSun"/>
          <w:snapToGrid/>
          <w:szCs w:val="22"/>
          <w:lang w:eastAsia="zh-CN"/>
        </w:rPr>
        <w:t xml:space="preserve"> </w:t>
      </w:r>
      <w:r w:rsidR="00D52FB2" w:rsidRPr="00D52FB2">
        <w:rPr>
          <w:rFonts w:eastAsia="SimSun"/>
          <w:snapToGrid/>
          <w:szCs w:val="22"/>
          <w:lang w:eastAsia="zh-CN"/>
        </w:rPr>
        <w:t xml:space="preserve">nustatyta patologinė </w:t>
      </w:r>
      <w:proofErr w:type="spellStart"/>
      <w:r w:rsidR="00D52FB2" w:rsidRPr="00D52FB2">
        <w:rPr>
          <w:rFonts w:eastAsia="SimSun"/>
          <w:snapToGrid/>
          <w:szCs w:val="22"/>
          <w:lang w:eastAsia="zh-CN"/>
        </w:rPr>
        <w:t>Kit</w:t>
      </w:r>
      <w:proofErr w:type="spellEnd"/>
      <w:r w:rsidR="00D52FB2" w:rsidRPr="00D52FB2">
        <w:rPr>
          <w:rFonts w:eastAsia="SimSun"/>
          <w:snapToGrid/>
          <w:szCs w:val="22"/>
          <w:lang w:eastAsia="zh-CN"/>
        </w:rPr>
        <w:t xml:space="preserve">+ piktybinio VTSN, kuris buvo </w:t>
      </w:r>
      <w:proofErr w:type="spellStart"/>
      <w:r w:rsidR="00D52FB2" w:rsidRPr="00D52FB2">
        <w:rPr>
          <w:rFonts w:eastAsia="SimSun"/>
          <w:snapToGrid/>
          <w:szCs w:val="22"/>
          <w:lang w:eastAsia="zh-CN"/>
        </w:rPr>
        <w:t>nerezekuotinas</w:t>
      </w:r>
      <w:proofErr w:type="spellEnd"/>
      <w:r w:rsidR="00D52FB2" w:rsidRPr="00D52FB2">
        <w:rPr>
          <w:rFonts w:eastAsia="SimSun"/>
          <w:snapToGrid/>
          <w:szCs w:val="22"/>
          <w:lang w:eastAsia="zh-CN"/>
        </w:rPr>
        <w:t xml:space="preserve"> ir (ar) </w:t>
      </w:r>
      <w:proofErr w:type="spellStart"/>
      <w:r w:rsidR="00D52FB2" w:rsidRPr="00D52FB2">
        <w:rPr>
          <w:rFonts w:eastAsia="SimSun"/>
          <w:snapToGrid/>
          <w:szCs w:val="22"/>
          <w:lang w:eastAsia="zh-CN"/>
        </w:rPr>
        <w:t>metastazavęs</w:t>
      </w:r>
      <w:proofErr w:type="spellEnd"/>
      <w:r w:rsidR="00D52FB2" w:rsidRPr="00D52FB2">
        <w:rPr>
          <w:rFonts w:eastAsia="SimSun"/>
          <w:snapToGrid/>
          <w:szCs w:val="22"/>
          <w:lang w:eastAsia="zh-CN"/>
        </w:rPr>
        <w:t>, diagnozė.</w:t>
      </w:r>
      <w:r>
        <w:rPr>
          <w:rFonts w:eastAsia="SimSun"/>
          <w:snapToGrid/>
          <w:szCs w:val="22"/>
          <w:lang w:eastAsia="zh-CN"/>
        </w:rPr>
        <w:t xml:space="preserve"> </w:t>
      </w:r>
      <w:proofErr w:type="spellStart"/>
      <w:r w:rsidR="00D52FB2" w:rsidRPr="00D52FB2">
        <w:rPr>
          <w:rFonts w:eastAsia="SimSun"/>
          <w:snapToGrid/>
          <w:szCs w:val="22"/>
          <w:lang w:eastAsia="zh-CN"/>
        </w:rPr>
        <w:t>Rutiniškai</w:t>
      </w:r>
      <w:proofErr w:type="spellEnd"/>
      <w:r w:rsidR="00D52FB2" w:rsidRPr="00D52FB2">
        <w:rPr>
          <w:rFonts w:eastAsia="SimSun"/>
          <w:snapToGrid/>
          <w:szCs w:val="22"/>
          <w:lang w:eastAsia="zh-CN"/>
        </w:rPr>
        <w:t xml:space="preserve"> buvo atliktas </w:t>
      </w:r>
      <w:proofErr w:type="spellStart"/>
      <w:r w:rsidR="00D52FB2" w:rsidRPr="00D52FB2">
        <w:rPr>
          <w:rFonts w:eastAsia="SimSun"/>
          <w:snapToGrid/>
          <w:szCs w:val="22"/>
          <w:lang w:eastAsia="zh-CN"/>
        </w:rPr>
        <w:t>imunohistocheminis</w:t>
      </w:r>
      <w:proofErr w:type="spellEnd"/>
      <w:r w:rsidR="00D52FB2" w:rsidRPr="00D52FB2">
        <w:rPr>
          <w:rFonts w:eastAsia="SimSun"/>
          <w:snapToGrid/>
          <w:szCs w:val="22"/>
          <w:lang w:eastAsia="zh-CN"/>
        </w:rPr>
        <w:t xml:space="preserve"> tyrimas su </w:t>
      </w:r>
      <w:proofErr w:type="spellStart"/>
      <w:r w:rsidR="00D52FB2" w:rsidRPr="00D52FB2">
        <w:rPr>
          <w:rFonts w:eastAsia="SimSun"/>
          <w:snapToGrid/>
          <w:szCs w:val="22"/>
          <w:lang w:eastAsia="zh-CN"/>
        </w:rPr>
        <w:t>Kit</w:t>
      </w:r>
      <w:proofErr w:type="spellEnd"/>
      <w:r w:rsidR="00D52FB2" w:rsidRPr="00D52FB2">
        <w:rPr>
          <w:rFonts w:eastAsia="SimSun"/>
          <w:snapToGrid/>
          <w:szCs w:val="22"/>
          <w:lang w:eastAsia="zh-CN"/>
        </w:rPr>
        <w:t xml:space="preserve"> antikūnais (A-4502, triušių </w:t>
      </w:r>
      <w:proofErr w:type="spellStart"/>
      <w:r w:rsidR="00D52FB2" w:rsidRPr="00D52FB2">
        <w:rPr>
          <w:rFonts w:eastAsia="SimSun"/>
          <w:snapToGrid/>
          <w:szCs w:val="22"/>
          <w:lang w:eastAsia="zh-CN"/>
        </w:rPr>
        <w:t>polikloninis</w:t>
      </w:r>
      <w:proofErr w:type="spellEnd"/>
      <w:r>
        <w:rPr>
          <w:rFonts w:eastAsia="SimSun"/>
          <w:snapToGrid/>
          <w:szCs w:val="22"/>
          <w:lang w:eastAsia="zh-CN"/>
        </w:rPr>
        <w:t xml:space="preserve"> </w:t>
      </w:r>
      <w:proofErr w:type="spellStart"/>
      <w:r w:rsidR="00D52FB2" w:rsidRPr="00D52FB2">
        <w:rPr>
          <w:rFonts w:eastAsia="SimSun"/>
          <w:snapToGrid/>
          <w:szCs w:val="22"/>
          <w:lang w:eastAsia="zh-CN"/>
        </w:rPr>
        <w:t>antiserumas</w:t>
      </w:r>
      <w:proofErr w:type="spellEnd"/>
      <w:r w:rsidR="00D52FB2" w:rsidRPr="00D52FB2">
        <w:rPr>
          <w:rFonts w:eastAsia="SimSun"/>
          <w:snapToGrid/>
          <w:szCs w:val="22"/>
          <w:lang w:eastAsia="zh-CN"/>
        </w:rPr>
        <w:t xml:space="preserve">, 1:100; </w:t>
      </w:r>
      <w:r w:rsidR="00D52FB2" w:rsidRPr="007541DA">
        <w:rPr>
          <w:rFonts w:eastAsia="SimSun"/>
          <w:i/>
          <w:iCs/>
          <w:snapToGrid/>
          <w:szCs w:val="22"/>
          <w:lang w:eastAsia="zh-CN"/>
        </w:rPr>
        <w:t xml:space="preserve">DAKO </w:t>
      </w:r>
      <w:proofErr w:type="spellStart"/>
      <w:r w:rsidR="00D52FB2" w:rsidRPr="007541DA">
        <w:rPr>
          <w:rFonts w:eastAsia="SimSun"/>
          <w:i/>
          <w:iCs/>
          <w:snapToGrid/>
          <w:szCs w:val="22"/>
          <w:lang w:eastAsia="zh-CN"/>
        </w:rPr>
        <w:t>Corporation</w:t>
      </w:r>
      <w:proofErr w:type="spellEnd"/>
      <w:r w:rsidR="00D52FB2" w:rsidRPr="007541DA">
        <w:rPr>
          <w:rFonts w:eastAsia="SimSun"/>
          <w:i/>
          <w:iCs/>
          <w:snapToGrid/>
          <w:szCs w:val="22"/>
          <w:lang w:eastAsia="zh-CN"/>
        </w:rPr>
        <w:t xml:space="preserve">, </w:t>
      </w:r>
      <w:proofErr w:type="spellStart"/>
      <w:r w:rsidR="00D52FB2" w:rsidRPr="007541DA">
        <w:rPr>
          <w:rFonts w:eastAsia="SimSun"/>
          <w:i/>
          <w:iCs/>
          <w:snapToGrid/>
          <w:szCs w:val="22"/>
          <w:lang w:eastAsia="zh-CN"/>
        </w:rPr>
        <w:t>Carpinteria</w:t>
      </w:r>
      <w:proofErr w:type="spellEnd"/>
      <w:r w:rsidR="00D52FB2" w:rsidRPr="007541DA">
        <w:rPr>
          <w:rFonts w:eastAsia="SimSun"/>
          <w:i/>
          <w:iCs/>
          <w:snapToGrid/>
          <w:szCs w:val="22"/>
          <w:lang w:eastAsia="zh-CN"/>
        </w:rPr>
        <w:t>, CA</w:t>
      </w:r>
      <w:r w:rsidR="00D52FB2" w:rsidRPr="00D52FB2">
        <w:rPr>
          <w:rFonts w:eastAsia="SimSun"/>
          <w:snapToGrid/>
          <w:szCs w:val="22"/>
          <w:lang w:eastAsia="zh-CN"/>
        </w:rPr>
        <w:t xml:space="preserve">) pagal </w:t>
      </w:r>
      <w:proofErr w:type="spellStart"/>
      <w:r w:rsidR="00D52FB2" w:rsidRPr="00D52FB2">
        <w:rPr>
          <w:rFonts w:eastAsia="SimSun"/>
          <w:snapToGrid/>
          <w:szCs w:val="22"/>
          <w:lang w:eastAsia="zh-CN"/>
        </w:rPr>
        <w:t>avidino-biotino-peroksidazės</w:t>
      </w:r>
      <w:proofErr w:type="spellEnd"/>
      <w:r>
        <w:rPr>
          <w:rFonts w:eastAsia="SimSun"/>
          <w:snapToGrid/>
          <w:szCs w:val="22"/>
          <w:lang w:eastAsia="zh-CN"/>
        </w:rPr>
        <w:t xml:space="preserve"> </w:t>
      </w:r>
      <w:r w:rsidR="00D52FB2" w:rsidRPr="00D52FB2">
        <w:rPr>
          <w:rFonts w:eastAsia="SimSun"/>
          <w:snapToGrid/>
          <w:szCs w:val="22"/>
          <w:lang w:eastAsia="zh-CN"/>
        </w:rPr>
        <w:t>komplekso metodo analizę po antigeno sugrąžinimo.</w:t>
      </w:r>
    </w:p>
    <w:p w14:paraId="4750F92A" w14:textId="77777777" w:rsidR="00493239" w:rsidRDefault="00493239" w:rsidP="00D52FB2">
      <w:pPr>
        <w:spacing w:line="240" w:lineRule="auto"/>
        <w:rPr>
          <w:rFonts w:eastAsia="SimSun"/>
          <w:snapToGrid/>
          <w:szCs w:val="22"/>
          <w:lang w:eastAsia="zh-CN"/>
        </w:rPr>
      </w:pPr>
    </w:p>
    <w:p w14:paraId="087388CB" w14:textId="60C60682" w:rsidR="00D52FB2" w:rsidRPr="00D52FB2" w:rsidRDefault="00D52FB2" w:rsidP="00D52FB2">
      <w:pPr>
        <w:spacing w:line="240" w:lineRule="auto"/>
        <w:rPr>
          <w:rFonts w:eastAsia="SimSun"/>
          <w:snapToGrid/>
          <w:szCs w:val="22"/>
          <w:lang w:eastAsia="zh-CN"/>
        </w:rPr>
      </w:pPr>
      <w:bookmarkStart w:id="0" w:name="_Hlk67995489"/>
      <w:r w:rsidRPr="00D52FB2">
        <w:rPr>
          <w:rFonts w:eastAsia="SimSun"/>
          <w:snapToGrid/>
          <w:szCs w:val="22"/>
          <w:lang w:eastAsia="zh-CN"/>
        </w:rPr>
        <w:t>Svarbiausias</w:t>
      </w:r>
      <w:bookmarkEnd w:id="0"/>
      <w:r w:rsidRPr="00D52FB2">
        <w:rPr>
          <w:rFonts w:eastAsia="SimSun"/>
          <w:snapToGrid/>
          <w:szCs w:val="22"/>
          <w:lang w:eastAsia="zh-CN"/>
        </w:rPr>
        <w:t xml:space="preserve"> veiksmingumo įrodymas </w:t>
      </w:r>
      <w:r w:rsidR="00493239">
        <w:rPr>
          <w:rFonts w:eastAsia="SimSun"/>
          <w:snapToGrid/>
          <w:szCs w:val="22"/>
          <w:lang w:eastAsia="zh-CN"/>
        </w:rPr>
        <w:t>buvo pagr</w:t>
      </w:r>
      <w:r w:rsidR="00146F3D">
        <w:rPr>
          <w:rFonts w:eastAsia="SimSun"/>
          <w:snapToGrid/>
          <w:szCs w:val="22"/>
          <w:lang w:eastAsia="zh-CN"/>
        </w:rPr>
        <w:t>įstas</w:t>
      </w:r>
      <w:r w:rsidRPr="00D52FB2">
        <w:rPr>
          <w:rFonts w:eastAsia="SimSun"/>
          <w:snapToGrid/>
          <w:szCs w:val="22"/>
          <w:lang w:eastAsia="zh-CN"/>
        </w:rPr>
        <w:t xml:space="preserve"> objektyv</w:t>
      </w:r>
      <w:r w:rsidR="00325431">
        <w:rPr>
          <w:rFonts w:eastAsia="SimSun"/>
          <w:snapToGrid/>
          <w:szCs w:val="22"/>
          <w:lang w:eastAsia="zh-CN"/>
        </w:rPr>
        <w:t>iu</w:t>
      </w:r>
      <w:r w:rsidRPr="00D52FB2">
        <w:rPr>
          <w:rFonts w:eastAsia="SimSun"/>
          <w:snapToGrid/>
          <w:szCs w:val="22"/>
          <w:lang w:eastAsia="zh-CN"/>
        </w:rPr>
        <w:t xml:space="preserve"> atsako dažni</w:t>
      </w:r>
      <w:r w:rsidR="00146F3D">
        <w:rPr>
          <w:rFonts w:eastAsia="SimSun"/>
          <w:snapToGrid/>
          <w:szCs w:val="22"/>
          <w:lang w:eastAsia="zh-CN"/>
        </w:rPr>
        <w:t>u</w:t>
      </w:r>
      <w:r w:rsidRPr="00D52FB2">
        <w:rPr>
          <w:rFonts w:eastAsia="SimSun"/>
          <w:snapToGrid/>
          <w:szCs w:val="22"/>
          <w:lang w:eastAsia="zh-CN"/>
        </w:rPr>
        <w:t>. Buvo reikalaujama naviką išmatuoti</w:t>
      </w:r>
      <w:r w:rsidR="00146F3D">
        <w:rPr>
          <w:rFonts w:eastAsia="SimSun"/>
          <w:snapToGrid/>
          <w:szCs w:val="22"/>
          <w:lang w:eastAsia="zh-CN"/>
        </w:rPr>
        <w:t xml:space="preserve"> </w:t>
      </w:r>
      <w:r w:rsidRPr="00D52FB2">
        <w:rPr>
          <w:rFonts w:eastAsia="SimSun"/>
          <w:snapToGrid/>
          <w:szCs w:val="22"/>
          <w:lang w:eastAsia="zh-CN"/>
        </w:rPr>
        <w:t xml:space="preserve">bent vienoje </w:t>
      </w:r>
      <w:r w:rsidR="00146F3D">
        <w:rPr>
          <w:rFonts w:eastAsia="SimSun"/>
          <w:snapToGrid/>
          <w:szCs w:val="22"/>
          <w:lang w:eastAsia="zh-CN"/>
        </w:rPr>
        <w:t xml:space="preserve">ligos </w:t>
      </w:r>
      <w:r w:rsidRPr="00D52FB2">
        <w:rPr>
          <w:rFonts w:eastAsia="SimSun"/>
          <w:snapToGrid/>
          <w:szCs w:val="22"/>
          <w:lang w:eastAsia="zh-CN"/>
        </w:rPr>
        <w:t xml:space="preserve">vietoje. Atsakas apibūdintas pagal </w:t>
      </w:r>
      <w:proofErr w:type="spellStart"/>
      <w:r w:rsidRPr="007541DA">
        <w:rPr>
          <w:rFonts w:eastAsia="SimSun"/>
          <w:i/>
          <w:iCs/>
          <w:snapToGrid/>
          <w:szCs w:val="22"/>
          <w:lang w:eastAsia="zh-CN"/>
        </w:rPr>
        <w:t>Southwestern</w:t>
      </w:r>
      <w:proofErr w:type="spellEnd"/>
      <w:r w:rsidRPr="007541DA">
        <w:rPr>
          <w:rFonts w:eastAsia="SimSun"/>
          <w:i/>
          <w:iCs/>
          <w:snapToGrid/>
          <w:szCs w:val="22"/>
          <w:lang w:eastAsia="zh-CN"/>
        </w:rPr>
        <w:t xml:space="preserve"> </w:t>
      </w:r>
      <w:proofErr w:type="spellStart"/>
      <w:r w:rsidRPr="007541DA">
        <w:rPr>
          <w:rFonts w:eastAsia="SimSun"/>
          <w:i/>
          <w:iCs/>
          <w:snapToGrid/>
          <w:szCs w:val="22"/>
          <w:lang w:eastAsia="zh-CN"/>
        </w:rPr>
        <w:t>Oncology</w:t>
      </w:r>
      <w:proofErr w:type="spellEnd"/>
      <w:r w:rsidRPr="007541DA">
        <w:rPr>
          <w:rFonts w:eastAsia="SimSun"/>
          <w:i/>
          <w:iCs/>
          <w:snapToGrid/>
          <w:szCs w:val="22"/>
          <w:lang w:eastAsia="zh-CN"/>
        </w:rPr>
        <w:t xml:space="preserve"> Group</w:t>
      </w:r>
      <w:r w:rsidRPr="00D52FB2">
        <w:rPr>
          <w:rFonts w:eastAsia="SimSun"/>
          <w:snapToGrid/>
          <w:szCs w:val="22"/>
          <w:lang w:eastAsia="zh-CN"/>
        </w:rPr>
        <w:t xml:space="preserve"> (SWOG) kriterijus.</w:t>
      </w:r>
      <w:r w:rsidR="00146F3D">
        <w:rPr>
          <w:rFonts w:eastAsia="SimSun"/>
          <w:snapToGrid/>
          <w:szCs w:val="22"/>
          <w:lang w:eastAsia="zh-CN"/>
        </w:rPr>
        <w:t xml:space="preserve"> </w:t>
      </w:r>
      <w:r w:rsidRPr="00D52FB2">
        <w:rPr>
          <w:rFonts w:eastAsia="SimSun"/>
          <w:snapToGrid/>
          <w:szCs w:val="22"/>
          <w:lang w:eastAsia="zh-CN"/>
        </w:rPr>
        <w:t>Duomenys pateikti 6</w:t>
      </w:r>
      <w:r w:rsidR="003727CE">
        <w:rPr>
          <w:rFonts w:eastAsia="SimSun"/>
          <w:snapToGrid/>
          <w:szCs w:val="22"/>
          <w:lang w:eastAsia="zh-CN"/>
        </w:rPr>
        <w:t> </w:t>
      </w:r>
      <w:r w:rsidRPr="00D52FB2">
        <w:rPr>
          <w:rFonts w:eastAsia="SimSun"/>
          <w:snapToGrid/>
          <w:szCs w:val="22"/>
          <w:lang w:eastAsia="zh-CN"/>
        </w:rPr>
        <w:t>lentelėje.</w:t>
      </w:r>
    </w:p>
    <w:p w14:paraId="535380A1" w14:textId="77777777" w:rsidR="00146F3D" w:rsidRDefault="00146F3D" w:rsidP="00D52FB2">
      <w:pPr>
        <w:spacing w:line="240" w:lineRule="auto"/>
        <w:rPr>
          <w:rFonts w:eastAsia="SimSun"/>
          <w:snapToGrid/>
          <w:szCs w:val="22"/>
          <w:lang w:eastAsia="zh-CN"/>
        </w:rPr>
      </w:pPr>
    </w:p>
    <w:p w14:paraId="457A72C2" w14:textId="27F48338" w:rsidR="00D52FB2" w:rsidRPr="007541DA" w:rsidRDefault="00D52FB2" w:rsidP="00D52FB2">
      <w:pPr>
        <w:spacing w:line="240" w:lineRule="auto"/>
        <w:rPr>
          <w:rFonts w:eastAsia="SimSun"/>
          <w:b/>
          <w:bCs/>
          <w:snapToGrid/>
          <w:szCs w:val="22"/>
          <w:lang w:eastAsia="zh-CN"/>
        </w:rPr>
      </w:pPr>
      <w:r w:rsidRPr="007541DA">
        <w:rPr>
          <w:rFonts w:eastAsia="SimSun"/>
          <w:b/>
          <w:bCs/>
          <w:snapToGrid/>
          <w:szCs w:val="22"/>
          <w:lang w:eastAsia="zh-CN"/>
        </w:rPr>
        <w:t>6</w:t>
      </w:r>
      <w:r w:rsidR="003727CE">
        <w:rPr>
          <w:rFonts w:eastAsia="SimSun"/>
          <w:b/>
          <w:bCs/>
          <w:snapToGrid/>
          <w:szCs w:val="22"/>
          <w:lang w:eastAsia="zh-CN"/>
        </w:rPr>
        <w:t> </w:t>
      </w:r>
      <w:r w:rsidRPr="007541DA">
        <w:rPr>
          <w:rFonts w:eastAsia="SimSun"/>
          <w:b/>
          <w:bCs/>
          <w:snapToGrid/>
          <w:szCs w:val="22"/>
          <w:lang w:eastAsia="zh-CN"/>
        </w:rPr>
        <w:t>lentelė Geriausias naviko atsakas STIB2222 (VTSN) tyrimo metu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6706"/>
      </w:tblGrid>
      <w:tr w:rsidR="00146F3D" w:rsidRPr="00F27211" w14:paraId="627243AC" w14:textId="77777777" w:rsidTr="007541DA">
        <w:tc>
          <w:tcPr>
            <w:tcW w:w="2355" w:type="dxa"/>
          </w:tcPr>
          <w:p w14:paraId="05916741" w14:textId="77777777" w:rsidR="00146F3D" w:rsidRPr="00F27211" w:rsidRDefault="00146F3D" w:rsidP="00DC2054">
            <w:pPr>
              <w:rPr>
                <w:szCs w:val="22"/>
              </w:rPr>
            </w:pPr>
          </w:p>
          <w:p w14:paraId="3632D5DF" w14:textId="77777777" w:rsidR="00146F3D" w:rsidRPr="00F27211" w:rsidRDefault="00146F3D" w:rsidP="00DC2054">
            <w:pPr>
              <w:rPr>
                <w:szCs w:val="22"/>
              </w:rPr>
            </w:pPr>
          </w:p>
          <w:p w14:paraId="57439AC3" w14:textId="77777777" w:rsidR="00146F3D" w:rsidRPr="00F27211" w:rsidRDefault="00146F3D" w:rsidP="00DC2054">
            <w:pPr>
              <w:rPr>
                <w:szCs w:val="22"/>
              </w:rPr>
            </w:pPr>
          </w:p>
          <w:p w14:paraId="57950102" w14:textId="77777777" w:rsidR="00146F3D" w:rsidRPr="00F27211" w:rsidRDefault="00146F3D" w:rsidP="00DC2054">
            <w:pPr>
              <w:rPr>
                <w:szCs w:val="22"/>
              </w:rPr>
            </w:pPr>
            <w:r>
              <w:rPr>
                <w:szCs w:val="22"/>
              </w:rPr>
              <w:t>Geriausias atsakas</w:t>
            </w:r>
          </w:p>
        </w:tc>
        <w:tc>
          <w:tcPr>
            <w:tcW w:w="6715" w:type="dxa"/>
          </w:tcPr>
          <w:p w14:paraId="0A547F39" w14:textId="77777777" w:rsidR="00146F3D" w:rsidRPr="00F27211" w:rsidRDefault="00146F3D" w:rsidP="00DC2054">
            <w:pPr>
              <w:jc w:val="center"/>
              <w:rPr>
                <w:szCs w:val="22"/>
              </w:rPr>
            </w:pPr>
            <w:r>
              <w:rPr>
                <w:szCs w:val="22"/>
              </w:rPr>
              <w:t>Visos dozės</w:t>
            </w:r>
            <w:r w:rsidRPr="00F27211">
              <w:rPr>
                <w:szCs w:val="22"/>
              </w:rPr>
              <w:t xml:space="preserve"> (n=147)</w:t>
            </w:r>
          </w:p>
          <w:p w14:paraId="66A16AD9" w14:textId="77777777" w:rsidR="00146F3D" w:rsidRPr="00F27211" w:rsidRDefault="00146F3D" w:rsidP="00DC2054">
            <w:pPr>
              <w:jc w:val="center"/>
              <w:rPr>
                <w:szCs w:val="22"/>
              </w:rPr>
            </w:pPr>
            <w:r w:rsidRPr="00F27211">
              <w:rPr>
                <w:szCs w:val="22"/>
              </w:rPr>
              <w:t>400</w:t>
            </w:r>
            <w:r>
              <w:rPr>
                <w:szCs w:val="22"/>
              </w:rPr>
              <w:t> </w:t>
            </w:r>
            <w:r w:rsidRPr="00F27211">
              <w:rPr>
                <w:szCs w:val="22"/>
              </w:rPr>
              <w:t>mg (n=73)</w:t>
            </w:r>
          </w:p>
          <w:p w14:paraId="598CE910" w14:textId="77777777" w:rsidR="00146F3D" w:rsidRPr="00F27211" w:rsidRDefault="00146F3D" w:rsidP="00DC2054">
            <w:pPr>
              <w:jc w:val="center"/>
              <w:rPr>
                <w:szCs w:val="22"/>
              </w:rPr>
            </w:pPr>
            <w:r w:rsidRPr="00F27211">
              <w:rPr>
                <w:szCs w:val="22"/>
              </w:rPr>
              <w:t>600</w:t>
            </w:r>
            <w:r>
              <w:rPr>
                <w:szCs w:val="22"/>
              </w:rPr>
              <w:t> </w:t>
            </w:r>
            <w:r w:rsidRPr="00F27211">
              <w:rPr>
                <w:szCs w:val="22"/>
              </w:rPr>
              <w:t>mg (n=74)</w:t>
            </w:r>
          </w:p>
          <w:p w14:paraId="0DD5E9AD" w14:textId="77777777" w:rsidR="00146F3D" w:rsidRPr="00F27211" w:rsidRDefault="00146F3D" w:rsidP="00DC2054">
            <w:pPr>
              <w:jc w:val="center"/>
              <w:rPr>
                <w:szCs w:val="22"/>
              </w:rPr>
            </w:pPr>
            <w:r w:rsidRPr="00F27211">
              <w:rPr>
                <w:szCs w:val="22"/>
              </w:rPr>
              <w:t>n (%)</w:t>
            </w:r>
          </w:p>
        </w:tc>
      </w:tr>
      <w:tr w:rsidR="00146F3D" w:rsidRPr="00F27211" w14:paraId="476B89C3" w14:textId="77777777" w:rsidTr="007541DA">
        <w:tc>
          <w:tcPr>
            <w:tcW w:w="2355" w:type="dxa"/>
          </w:tcPr>
          <w:p w14:paraId="549B15AB" w14:textId="77777777" w:rsidR="00146F3D" w:rsidRPr="00F27211" w:rsidRDefault="00146F3D" w:rsidP="00DC2054">
            <w:pPr>
              <w:rPr>
                <w:szCs w:val="22"/>
              </w:rPr>
            </w:pPr>
            <w:proofErr w:type="spellStart"/>
            <w:r w:rsidRPr="00146F3D">
              <w:rPr>
                <w:szCs w:val="22"/>
                <w:lang w:val="de-DE" w:eastAsia="de-DE"/>
              </w:rPr>
              <w:t>Visiškas</w:t>
            </w:r>
            <w:proofErr w:type="spellEnd"/>
            <w:r w:rsidRPr="00146F3D">
              <w:rPr>
                <w:szCs w:val="22"/>
                <w:lang w:val="de-DE" w:eastAsia="de-DE"/>
              </w:rPr>
              <w:t xml:space="preserve"> </w:t>
            </w:r>
            <w:proofErr w:type="spellStart"/>
            <w:r w:rsidRPr="00146F3D">
              <w:rPr>
                <w:szCs w:val="22"/>
                <w:lang w:val="de-DE" w:eastAsia="de-DE"/>
              </w:rPr>
              <w:t>atsakas</w:t>
            </w:r>
            <w:proofErr w:type="spellEnd"/>
          </w:p>
        </w:tc>
        <w:tc>
          <w:tcPr>
            <w:tcW w:w="6715" w:type="dxa"/>
          </w:tcPr>
          <w:p w14:paraId="5C9B2872" w14:textId="77777777" w:rsidR="00146F3D" w:rsidRPr="00F27211" w:rsidRDefault="00146F3D" w:rsidP="00DC2054">
            <w:pPr>
              <w:jc w:val="center"/>
              <w:rPr>
                <w:szCs w:val="22"/>
              </w:rPr>
            </w:pPr>
            <w:r w:rsidRPr="00F27211">
              <w:rPr>
                <w:szCs w:val="22"/>
                <w:lang w:val="de-DE" w:eastAsia="de-DE"/>
              </w:rPr>
              <w:t>1(0.7)</w:t>
            </w:r>
          </w:p>
        </w:tc>
      </w:tr>
      <w:tr w:rsidR="00146F3D" w:rsidRPr="00F27211" w14:paraId="35A5B9F4" w14:textId="77777777" w:rsidTr="007541DA">
        <w:tc>
          <w:tcPr>
            <w:tcW w:w="2355" w:type="dxa"/>
          </w:tcPr>
          <w:p w14:paraId="0390CA58" w14:textId="77777777" w:rsidR="00146F3D" w:rsidRPr="00F27211" w:rsidRDefault="00146F3D" w:rsidP="00DC2054">
            <w:pPr>
              <w:rPr>
                <w:szCs w:val="22"/>
              </w:rPr>
            </w:pPr>
            <w:r>
              <w:rPr>
                <w:szCs w:val="22"/>
                <w:lang w:val="de-DE" w:eastAsia="de-DE"/>
              </w:rPr>
              <w:t xml:space="preserve">Dalinis </w:t>
            </w:r>
            <w:proofErr w:type="spellStart"/>
            <w:r>
              <w:rPr>
                <w:szCs w:val="22"/>
                <w:lang w:val="de-DE" w:eastAsia="de-DE"/>
              </w:rPr>
              <w:t>atsakas</w:t>
            </w:r>
            <w:proofErr w:type="spellEnd"/>
          </w:p>
        </w:tc>
        <w:tc>
          <w:tcPr>
            <w:tcW w:w="6715" w:type="dxa"/>
          </w:tcPr>
          <w:p w14:paraId="64AF56E7" w14:textId="77777777" w:rsidR="00146F3D" w:rsidRPr="00F27211" w:rsidRDefault="00146F3D" w:rsidP="00DC2054">
            <w:pPr>
              <w:jc w:val="center"/>
              <w:rPr>
                <w:szCs w:val="22"/>
              </w:rPr>
            </w:pPr>
            <w:r w:rsidRPr="00F27211">
              <w:rPr>
                <w:szCs w:val="22"/>
                <w:lang w:val="de-DE" w:eastAsia="de-DE"/>
              </w:rPr>
              <w:t>98 (66.7)</w:t>
            </w:r>
          </w:p>
        </w:tc>
      </w:tr>
      <w:tr w:rsidR="00146F3D" w:rsidRPr="00F27211" w14:paraId="7800E3BE" w14:textId="77777777" w:rsidTr="007541DA">
        <w:tc>
          <w:tcPr>
            <w:tcW w:w="2355" w:type="dxa"/>
          </w:tcPr>
          <w:p w14:paraId="31DB9DE8" w14:textId="77777777" w:rsidR="00146F3D" w:rsidRPr="00F27211" w:rsidRDefault="00146F3D" w:rsidP="00DC2054">
            <w:pPr>
              <w:rPr>
                <w:szCs w:val="22"/>
              </w:rPr>
            </w:pPr>
            <w:r>
              <w:rPr>
                <w:szCs w:val="22"/>
                <w:lang w:val="de-DE" w:eastAsia="de-DE"/>
              </w:rPr>
              <w:t xml:space="preserve">Stabili </w:t>
            </w:r>
            <w:proofErr w:type="spellStart"/>
            <w:r>
              <w:rPr>
                <w:szCs w:val="22"/>
                <w:lang w:val="de-DE" w:eastAsia="de-DE"/>
              </w:rPr>
              <w:t>liga</w:t>
            </w:r>
            <w:proofErr w:type="spellEnd"/>
          </w:p>
        </w:tc>
        <w:tc>
          <w:tcPr>
            <w:tcW w:w="6715" w:type="dxa"/>
          </w:tcPr>
          <w:p w14:paraId="5145A612" w14:textId="77777777" w:rsidR="00146F3D" w:rsidRPr="00F27211" w:rsidRDefault="00146F3D" w:rsidP="00DC2054">
            <w:pPr>
              <w:jc w:val="center"/>
              <w:rPr>
                <w:szCs w:val="22"/>
              </w:rPr>
            </w:pPr>
            <w:r w:rsidRPr="00F27211">
              <w:rPr>
                <w:szCs w:val="22"/>
                <w:lang w:val="de-DE" w:eastAsia="de-DE"/>
              </w:rPr>
              <w:t>23 (15.6)</w:t>
            </w:r>
          </w:p>
        </w:tc>
      </w:tr>
      <w:tr w:rsidR="00146F3D" w:rsidRPr="00F27211" w14:paraId="7F0650B5" w14:textId="77777777" w:rsidTr="007541DA">
        <w:tc>
          <w:tcPr>
            <w:tcW w:w="2355" w:type="dxa"/>
          </w:tcPr>
          <w:p w14:paraId="552DDCBE" w14:textId="77777777" w:rsidR="00146F3D" w:rsidRPr="00F27211" w:rsidRDefault="00146F3D" w:rsidP="00DC2054">
            <w:pPr>
              <w:rPr>
                <w:szCs w:val="22"/>
              </w:rPr>
            </w:pPr>
            <w:proofErr w:type="spellStart"/>
            <w:r>
              <w:rPr>
                <w:szCs w:val="22"/>
                <w:lang w:val="de-DE" w:eastAsia="de-DE"/>
              </w:rPr>
              <w:t>Progresuojanti</w:t>
            </w:r>
            <w:proofErr w:type="spellEnd"/>
            <w:r>
              <w:rPr>
                <w:szCs w:val="22"/>
                <w:lang w:val="de-DE" w:eastAsia="de-DE"/>
              </w:rPr>
              <w:t xml:space="preserve"> </w:t>
            </w:r>
            <w:proofErr w:type="spellStart"/>
            <w:r>
              <w:rPr>
                <w:szCs w:val="22"/>
                <w:lang w:val="de-DE" w:eastAsia="de-DE"/>
              </w:rPr>
              <w:t>liga</w:t>
            </w:r>
            <w:proofErr w:type="spellEnd"/>
          </w:p>
        </w:tc>
        <w:tc>
          <w:tcPr>
            <w:tcW w:w="6715" w:type="dxa"/>
          </w:tcPr>
          <w:p w14:paraId="5B7A5471" w14:textId="77777777" w:rsidR="00146F3D" w:rsidRPr="00F27211" w:rsidRDefault="00146F3D" w:rsidP="00DC2054">
            <w:pPr>
              <w:jc w:val="center"/>
              <w:rPr>
                <w:szCs w:val="22"/>
              </w:rPr>
            </w:pPr>
            <w:r w:rsidRPr="00F27211">
              <w:rPr>
                <w:szCs w:val="22"/>
                <w:lang w:val="de-DE" w:eastAsia="de-DE"/>
              </w:rPr>
              <w:t>18 (12.2)</w:t>
            </w:r>
          </w:p>
        </w:tc>
      </w:tr>
      <w:tr w:rsidR="00146F3D" w:rsidRPr="00F27211" w14:paraId="7581B643" w14:textId="77777777" w:rsidTr="007541DA">
        <w:tc>
          <w:tcPr>
            <w:tcW w:w="2355" w:type="dxa"/>
          </w:tcPr>
          <w:p w14:paraId="305331E8" w14:textId="77777777" w:rsidR="00146F3D" w:rsidRPr="00F27211" w:rsidRDefault="00146F3D" w:rsidP="00DC2054">
            <w:pPr>
              <w:rPr>
                <w:szCs w:val="22"/>
              </w:rPr>
            </w:pPr>
            <w:proofErr w:type="spellStart"/>
            <w:r w:rsidRPr="00F27211">
              <w:rPr>
                <w:szCs w:val="22"/>
                <w:lang w:val="de-DE" w:eastAsia="de-DE"/>
              </w:rPr>
              <w:t>N</w:t>
            </w:r>
            <w:r>
              <w:rPr>
                <w:szCs w:val="22"/>
                <w:lang w:val="de-DE" w:eastAsia="de-DE"/>
              </w:rPr>
              <w:t>eįvertinama</w:t>
            </w:r>
            <w:proofErr w:type="spellEnd"/>
          </w:p>
        </w:tc>
        <w:tc>
          <w:tcPr>
            <w:tcW w:w="6715" w:type="dxa"/>
          </w:tcPr>
          <w:p w14:paraId="02AE5864" w14:textId="77777777" w:rsidR="00146F3D" w:rsidRPr="00F27211" w:rsidRDefault="00146F3D" w:rsidP="00DC2054">
            <w:pPr>
              <w:jc w:val="center"/>
              <w:rPr>
                <w:szCs w:val="22"/>
              </w:rPr>
            </w:pPr>
            <w:r w:rsidRPr="00F27211">
              <w:rPr>
                <w:szCs w:val="22"/>
                <w:lang w:val="de-DE" w:eastAsia="de-DE"/>
              </w:rPr>
              <w:t>5 (3.4)</w:t>
            </w:r>
          </w:p>
        </w:tc>
      </w:tr>
      <w:tr w:rsidR="00146F3D" w:rsidRPr="00F27211" w14:paraId="6393620D" w14:textId="77777777" w:rsidTr="007541DA">
        <w:tc>
          <w:tcPr>
            <w:tcW w:w="2355" w:type="dxa"/>
          </w:tcPr>
          <w:p w14:paraId="0C3A228E" w14:textId="77777777" w:rsidR="00146F3D" w:rsidRPr="00F27211" w:rsidRDefault="00146F3D" w:rsidP="00DC2054">
            <w:pPr>
              <w:rPr>
                <w:szCs w:val="22"/>
              </w:rPr>
            </w:pPr>
            <w:proofErr w:type="spellStart"/>
            <w:r>
              <w:rPr>
                <w:szCs w:val="22"/>
                <w:lang w:val="de-DE" w:eastAsia="de-DE"/>
              </w:rPr>
              <w:t>nežinoma</w:t>
            </w:r>
            <w:proofErr w:type="spellEnd"/>
          </w:p>
        </w:tc>
        <w:tc>
          <w:tcPr>
            <w:tcW w:w="6715" w:type="dxa"/>
          </w:tcPr>
          <w:p w14:paraId="2D4C4F85" w14:textId="77777777" w:rsidR="00146F3D" w:rsidRPr="00F27211" w:rsidRDefault="00146F3D" w:rsidP="00DC2054">
            <w:pPr>
              <w:jc w:val="center"/>
              <w:rPr>
                <w:szCs w:val="22"/>
              </w:rPr>
            </w:pPr>
            <w:r w:rsidRPr="00F27211">
              <w:rPr>
                <w:szCs w:val="22"/>
                <w:lang w:val="de-DE" w:eastAsia="de-DE"/>
              </w:rPr>
              <w:t>2 (1.4)</w:t>
            </w:r>
          </w:p>
        </w:tc>
      </w:tr>
    </w:tbl>
    <w:p w14:paraId="28258A87" w14:textId="77777777" w:rsidR="00146F3D" w:rsidRDefault="00146F3D" w:rsidP="00D52FB2">
      <w:pPr>
        <w:spacing w:line="240" w:lineRule="auto"/>
        <w:rPr>
          <w:rFonts w:eastAsia="SimSun"/>
          <w:snapToGrid/>
          <w:szCs w:val="22"/>
          <w:lang w:eastAsia="zh-CN"/>
        </w:rPr>
      </w:pPr>
    </w:p>
    <w:p w14:paraId="434035E8" w14:textId="2F90D551" w:rsidR="00D52FB2" w:rsidRPr="00D52FB2" w:rsidRDefault="00146F3D" w:rsidP="00D52FB2">
      <w:pPr>
        <w:spacing w:line="240" w:lineRule="auto"/>
        <w:rPr>
          <w:rFonts w:eastAsia="SimSun"/>
          <w:snapToGrid/>
          <w:szCs w:val="22"/>
          <w:lang w:eastAsia="zh-CN"/>
        </w:rPr>
      </w:pPr>
      <w:r>
        <w:rPr>
          <w:rFonts w:eastAsia="SimSun"/>
          <w:snapToGrid/>
          <w:szCs w:val="22"/>
          <w:lang w:eastAsia="zh-CN"/>
        </w:rPr>
        <w:t>Tarp d</w:t>
      </w:r>
      <w:r w:rsidR="00D52FB2" w:rsidRPr="00D52FB2">
        <w:rPr>
          <w:rFonts w:eastAsia="SimSun"/>
          <w:snapToGrid/>
          <w:szCs w:val="22"/>
          <w:lang w:eastAsia="zh-CN"/>
        </w:rPr>
        <w:t>viejų doz</w:t>
      </w:r>
      <w:r>
        <w:rPr>
          <w:rFonts w:eastAsia="SimSun"/>
          <w:snapToGrid/>
          <w:szCs w:val="22"/>
          <w:lang w:eastAsia="zh-CN"/>
        </w:rPr>
        <w:t>ės</w:t>
      </w:r>
      <w:r w:rsidR="00D52FB2" w:rsidRPr="00D52FB2">
        <w:rPr>
          <w:rFonts w:eastAsia="SimSun"/>
          <w:snapToGrid/>
          <w:szCs w:val="22"/>
          <w:lang w:eastAsia="zh-CN"/>
        </w:rPr>
        <w:t xml:space="preserve"> grupių atsako dažnis nesiskyrė. </w:t>
      </w:r>
      <w:r w:rsidR="003B0C3F">
        <w:rPr>
          <w:rFonts w:eastAsia="SimSun"/>
          <w:snapToGrid/>
          <w:szCs w:val="22"/>
          <w:lang w:eastAsia="zh-CN"/>
        </w:rPr>
        <w:t>R</w:t>
      </w:r>
      <w:r w:rsidR="00D52FB2" w:rsidRPr="00D52FB2">
        <w:rPr>
          <w:rFonts w:eastAsia="SimSun"/>
          <w:snapToGrid/>
          <w:szCs w:val="22"/>
          <w:lang w:eastAsia="zh-CN"/>
        </w:rPr>
        <w:t>eikšmingam skaičiui</w:t>
      </w:r>
      <w:r>
        <w:rPr>
          <w:rFonts w:eastAsia="SimSun"/>
          <w:snapToGrid/>
          <w:szCs w:val="22"/>
          <w:lang w:eastAsia="zh-CN"/>
        </w:rPr>
        <w:t xml:space="preserve"> </w:t>
      </w:r>
      <w:r w:rsidR="00D52FB2" w:rsidRPr="00D52FB2">
        <w:rPr>
          <w:rFonts w:eastAsia="SimSun"/>
          <w:snapToGrid/>
          <w:szCs w:val="22"/>
          <w:lang w:eastAsia="zh-CN"/>
        </w:rPr>
        <w:t xml:space="preserve">pacientų, kurių liga </w:t>
      </w:r>
      <w:r w:rsidR="003B0C3F">
        <w:rPr>
          <w:rFonts w:eastAsia="SimSun"/>
          <w:snapToGrid/>
          <w:szCs w:val="22"/>
          <w:lang w:eastAsia="zh-CN"/>
        </w:rPr>
        <w:t>tarpinės analizės metu</w:t>
      </w:r>
      <w:r w:rsidR="003A704D">
        <w:rPr>
          <w:rFonts w:eastAsia="SimSun"/>
          <w:snapToGrid/>
          <w:szCs w:val="22"/>
          <w:lang w:eastAsia="zh-CN"/>
        </w:rPr>
        <w:t xml:space="preserve"> </w:t>
      </w:r>
      <w:r w:rsidR="00D52FB2" w:rsidRPr="00D52FB2">
        <w:rPr>
          <w:rFonts w:eastAsia="SimSun"/>
          <w:snapToGrid/>
          <w:szCs w:val="22"/>
          <w:lang w:eastAsia="zh-CN"/>
        </w:rPr>
        <w:t xml:space="preserve">buvo stabili, ilgiau gydant buvo </w:t>
      </w:r>
      <w:r w:rsidR="003B0C3F">
        <w:rPr>
          <w:rFonts w:eastAsia="SimSun"/>
          <w:snapToGrid/>
          <w:szCs w:val="22"/>
          <w:lang w:eastAsia="zh-CN"/>
        </w:rPr>
        <w:t>pasiektas</w:t>
      </w:r>
      <w:r w:rsidR="00D52FB2" w:rsidRPr="00D52FB2">
        <w:rPr>
          <w:rFonts w:eastAsia="SimSun"/>
          <w:snapToGrid/>
          <w:szCs w:val="22"/>
          <w:lang w:eastAsia="zh-CN"/>
        </w:rPr>
        <w:t xml:space="preserve"> dalinis atsakas (stebėjimo periodo mediana</w:t>
      </w:r>
      <w:r>
        <w:rPr>
          <w:rFonts w:eastAsia="SimSun"/>
          <w:snapToGrid/>
          <w:szCs w:val="22"/>
          <w:lang w:eastAsia="zh-CN"/>
        </w:rPr>
        <w:t xml:space="preserve"> </w:t>
      </w:r>
      <w:r w:rsidR="00D52FB2" w:rsidRPr="00D52FB2">
        <w:rPr>
          <w:rFonts w:eastAsia="SimSun"/>
          <w:snapToGrid/>
          <w:szCs w:val="22"/>
          <w:lang w:eastAsia="zh-CN"/>
        </w:rPr>
        <w:t>31</w:t>
      </w:r>
      <w:r w:rsidR="0012313E">
        <w:rPr>
          <w:rFonts w:eastAsia="SimSun"/>
          <w:snapToGrid/>
          <w:szCs w:val="22"/>
          <w:lang w:eastAsia="zh-CN"/>
        </w:rPr>
        <w:t> </w:t>
      </w:r>
      <w:r w:rsidR="00D52FB2" w:rsidRPr="00D52FB2">
        <w:rPr>
          <w:rFonts w:eastAsia="SimSun"/>
          <w:snapToGrid/>
          <w:szCs w:val="22"/>
          <w:lang w:eastAsia="zh-CN"/>
        </w:rPr>
        <w:t>mėn</w:t>
      </w:r>
      <w:r w:rsidR="003B0C3F">
        <w:rPr>
          <w:rFonts w:eastAsia="SimSun"/>
          <w:snapToGrid/>
          <w:szCs w:val="22"/>
          <w:lang w:eastAsia="zh-CN"/>
        </w:rPr>
        <w:t>uo</w:t>
      </w:r>
      <w:r w:rsidR="00D52FB2" w:rsidRPr="00D52FB2">
        <w:rPr>
          <w:rFonts w:eastAsia="SimSun"/>
          <w:snapToGrid/>
          <w:szCs w:val="22"/>
          <w:lang w:eastAsia="zh-CN"/>
        </w:rPr>
        <w:t xml:space="preserve">). </w:t>
      </w:r>
      <w:r w:rsidR="003B0C3F">
        <w:rPr>
          <w:rFonts w:eastAsia="SimSun"/>
          <w:snapToGrid/>
          <w:szCs w:val="22"/>
          <w:lang w:eastAsia="zh-CN"/>
        </w:rPr>
        <w:t xml:space="preserve">Laiko iki atsako mediana </w:t>
      </w:r>
      <w:r w:rsidR="00D52FB2" w:rsidRPr="00D52FB2">
        <w:rPr>
          <w:rFonts w:eastAsia="SimSun"/>
          <w:snapToGrid/>
          <w:szCs w:val="22"/>
          <w:lang w:eastAsia="zh-CN"/>
        </w:rPr>
        <w:t>buvo 13</w:t>
      </w:r>
      <w:r w:rsidR="0012313E">
        <w:rPr>
          <w:rFonts w:eastAsia="SimSun"/>
          <w:snapToGrid/>
          <w:szCs w:val="22"/>
          <w:lang w:eastAsia="zh-CN"/>
        </w:rPr>
        <w:t> </w:t>
      </w:r>
      <w:r w:rsidR="00D52FB2" w:rsidRPr="00D52FB2">
        <w:rPr>
          <w:rFonts w:eastAsia="SimSun"/>
          <w:snapToGrid/>
          <w:szCs w:val="22"/>
          <w:lang w:eastAsia="zh-CN"/>
        </w:rPr>
        <w:t>savaičių (95</w:t>
      </w:r>
      <w:r w:rsidR="003B0C3F">
        <w:rPr>
          <w:rFonts w:eastAsia="SimSun"/>
          <w:snapToGrid/>
          <w:szCs w:val="22"/>
          <w:lang w:eastAsia="zh-CN"/>
        </w:rPr>
        <w:t> </w:t>
      </w:r>
      <w:r w:rsidR="00D52FB2" w:rsidRPr="00D52FB2">
        <w:rPr>
          <w:rFonts w:eastAsia="SimSun"/>
          <w:snapToGrid/>
          <w:szCs w:val="22"/>
          <w:lang w:eastAsia="zh-CN"/>
        </w:rPr>
        <w:t xml:space="preserve">% PI 12–23). </w:t>
      </w:r>
      <w:r w:rsidR="003B0C3F">
        <w:rPr>
          <w:rFonts w:eastAsia="SimSun"/>
          <w:snapToGrid/>
          <w:szCs w:val="22"/>
          <w:lang w:eastAsia="zh-CN"/>
        </w:rPr>
        <w:t>Laiko</w:t>
      </w:r>
      <w:r w:rsidR="00D52FB2" w:rsidRPr="00D52FB2">
        <w:rPr>
          <w:rFonts w:eastAsia="SimSun"/>
          <w:snapToGrid/>
          <w:szCs w:val="22"/>
          <w:lang w:eastAsia="zh-CN"/>
        </w:rPr>
        <w:t xml:space="preserve"> iki gydymo</w:t>
      </w:r>
      <w:r w:rsidR="003B0C3F">
        <w:rPr>
          <w:rFonts w:eastAsia="SimSun"/>
          <w:snapToGrid/>
          <w:szCs w:val="22"/>
          <w:lang w:eastAsia="zh-CN"/>
        </w:rPr>
        <w:t xml:space="preserve"> </w:t>
      </w:r>
      <w:r w:rsidR="00D52FB2" w:rsidRPr="00D52FB2">
        <w:rPr>
          <w:rFonts w:eastAsia="SimSun"/>
          <w:snapToGrid/>
          <w:szCs w:val="22"/>
          <w:lang w:eastAsia="zh-CN"/>
        </w:rPr>
        <w:t>nes</w:t>
      </w:r>
      <w:r w:rsidR="003A704D">
        <w:rPr>
          <w:rFonts w:eastAsia="SimSun"/>
          <w:snapToGrid/>
          <w:szCs w:val="22"/>
          <w:lang w:eastAsia="zh-CN"/>
        </w:rPr>
        <w:t>ė</w:t>
      </w:r>
      <w:r w:rsidR="00D52FB2" w:rsidRPr="00D52FB2">
        <w:rPr>
          <w:rFonts w:eastAsia="SimSun"/>
          <w:snapToGrid/>
          <w:szCs w:val="22"/>
          <w:lang w:eastAsia="zh-CN"/>
        </w:rPr>
        <w:t>kmės pacientams, kuriems buvo gautas atsakas, mediana buvo 122 savaitės (95</w:t>
      </w:r>
      <w:r w:rsidR="003B0C3F">
        <w:rPr>
          <w:rFonts w:eastAsia="SimSun"/>
          <w:snapToGrid/>
          <w:szCs w:val="22"/>
          <w:lang w:eastAsia="zh-CN"/>
        </w:rPr>
        <w:t> </w:t>
      </w:r>
      <w:r w:rsidR="00D52FB2" w:rsidRPr="00D52FB2">
        <w:rPr>
          <w:rFonts w:eastAsia="SimSun"/>
          <w:snapToGrid/>
          <w:szCs w:val="22"/>
          <w:lang w:eastAsia="zh-CN"/>
        </w:rPr>
        <w:t>% PI 106–147), o</w:t>
      </w:r>
      <w:r w:rsidR="003B0C3F">
        <w:rPr>
          <w:rFonts w:eastAsia="SimSun"/>
          <w:snapToGrid/>
          <w:szCs w:val="22"/>
          <w:lang w:eastAsia="zh-CN"/>
        </w:rPr>
        <w:t xml:space="preserve"> </w:t>
      </w:r>
      <w:r w:rsidR="00D52FB2" w:rsidRPr="00D52FB2">
        <w:rPr>
          <w:rFonts w:eastAsia="SimSun"/>
          <w:snapToGrid/>
          <w:szCs w:val="22"/>
          <w:lang w:eastAsia="zh-CN"/>
        </w:rPr>
        <w:t>bendroje tyrimo populiacijoje ji buvo 84 savaitės (95</w:t>
      </w:r>
      <w:r w:rsidR="003B0C3F">
        <w:rPr>
          <w:rFonts w:eastAsia="SimSun"/>
          <w:snapToGrid/>
          <w:szCs w:val="22"/>
          <w:lang w:eastAsia="zh-CN"/>
        </w:rPr>
        <w:t> </w:t>
      </w:r>
      <w:r w:rsidR="00D52FB2" w:rsidRPr="00D52FB2">
        <w:rPr>
          <w:rFonts w:eastAsia="SimSun"/>
          <w:snapToGrid/>
          <w:szCs w:val="22"/>
          <w:lang w:eastAsia="zh-CN"/>
        </w:rPr>
        <w:t>% PI 71–109). Bendrojo išgyvenamumo mediana</w:t>
      </w:r>
      <w:r w:rsidR="003B0C3F">
        <w:rPr>
          <w:rFonts w:eastAsia="SimSun"/>
          <w:snapToGrid/>
          <w:szCs w:val="22"/>
          <w:lang w:eastAsia="zh-CN"/>
        </w:rPr>
        <w:t xml:space="preserve"> </w:t>
      </w:r>
      <w:r w:rsidR="00D52FB2" w:rsidRPr="00D52FB2">
        <w:rPr>
          <w:rFonts w:eastAsia="SimSun"/>
          <w:snapToGrid/>
          <w:szCs w:val="22"/>
          <w:lang w:eastAsia="zh-CN"/>
        </w:rPr>
        <w:t xml:space="preserve">nebuvo </w:t>
      </w:r>
      <w:r w:rsidR="003B0C3F">
        <w:rPr>
          <w:rFonts w:eastAsia="SimSun"/>
          <w:snapToGrid/>
          <w:szCs w:val="22"/>
          <w:lang w:eastAsia="zh-CN"/>
        </w:rPr>
        <w:t>pasiekta</w:t>
      </w:r>
      <w:r w:rsidR="00D52FB2" w:rsidRPr="00D52FB2">
        <w:rPr>
          <w:rFonts w:eastAsia="SimSun"/>
          <w:snapToGrid/>
          <w:szCs w:val="22"/>
          <w:lang w:eastAsia="zh-CN"/>
        </w:rPr>
        <w:t xml:space="preserve">. </w:t>
      </w:r>
      <w:proofErr w:type="spellStart"/>
      <w:r w:rsidR="00D52FB2" w:rsidRPr="00D52FB2">
        <w:rPr>
          <w:rFonts w:eastAsia="SimSun"/>
          <w:snapToGrid/>
          <w:szCs w:val="22"/>
          <w:lang w:eastAsia="zh-CN"/>
        </w:rPr>
        <w:t>Kaplan-Meier</w:t>
      </w:r>
      <w:proofErr w:type="spellEnd"/>
      <w:r w:rsidR="00D52FB2" w:rsidRPr="00D52FB2">
        <w:rPr>
          <w:rFonts w:eastAsia="SimSun"/>
          <w:snapToGrid/>
          <w:szCs w:val="22"/>
          <w:lang w:eastAsia="zh-CN"/>
        </w:rPr>
        <w:t xml:space="preserve"> išgyvenamumo po 36</w:t>
      </w:r>
      <w:r w:rsidR="0012313E">
        <w:rPr>
          <w:rFonts w:eastAsia="SimSun"/>
          <w:snapToGrid/>
          <w:szCs w:val="22"/>
          <w:lang w:eastAsia="zh-CN"/>
        </w:rPr>
        <w:t> </w:t>
      </w:r>
      <w:r w:rsidR="00D52FB2" w:rsidRPr="00D52FB2">
        <w:rPr>
          <w:rFonts w:eastAsia="SimSun"/>
          <w:snapToGrid/>
          <w:szCs w:val="22"/>
          <w:lang w:eastAsia="zh-CN"/>
        </w:rPr>
        <w:t>mėnesių stebėjimo periodo rodiklis buvo 68</w:t>
      </w:r>
      <w:r w:rsidR="0012313E">
        <w:rPr>
          <w:rFonts w:eastAsia="SimSun"/>
          <w:snapToGrid/>
          <w:szCs w:val="22"/>
          <w:lang w:eastAsia="zh-CN"/>
        </w:rPr>
        <w:t> </w:t>
      </w:r>
      <w:r w:rsidR="00D52FB2" w:rsidRPr="00D52FB2">
        <w:rPr>
          <w:rFonts w:eastAsia="SimSun"/>
          <w:snapToGrid/>
          <w:szCs w:val="22"/>
          <w:lang w:eastAsia="zh-CN"/>
        </w:rPr>
        <w:t>%.</w:t>
      </w:r>
    </w:p>
    <w:p w14:paraId="1160EF75" w14:textId="77777777" w:rsidR="003B0C3F" w:rsidRDefault="003B0C3F" w:rsidP="00D52FB2">
      <w:pPr>
        <w:spacing w:line="240" w:lineRule="auto"/>
        <w:rPr>
          <w:rFonts w:eastAsia="SimSun"/>
          <w:snapToGrid/>
          <w:szCs w:val="22"/>
          <w:lang w:eastAsia="zh-CN"/>
        </w:rPr>
      </w:pPr>
    </w:p>
    <w:p w14:paraId="4ECF1DBD" w14:textId="62544DA1" w:rsidR="00D52FB2" w:rsidRPr="00D52FB2" w:rsidRDefault="00D52FB2" w:rsidP="00D52FB2">
      <w:pPr>
        <w:spacing w:line="240" w:lineRule="auto"/>
        <w:rPr>
          <w:rFonts w:eastAsia="SimSun"/>
          <w:snapToGrid/>
          <w:szCs w:val="22"/>
          <w:lang w:eastAsia="zh-CN"/>
        </w:rPr>
      </w:pPr>
      <w:r w:rsidRPr="00D52FB2">
        <w:rPr>
          <w:rFonts w:eastAsia="SimSun"/>
          <w:snapToGrid/>
          <w:szCs w:val="22"/>
          <w:lang w:eastAsia="zh-CN"/>
        </w:rPr>
        <w:t xml:space="preserve">Dviejų klinikinių tyrimų metu (tyrimas B2222 ir tarpgrupinis tyrimas S0033) </w:t>
      </w:r>
      <w:proofErr w:type="spellStart"/>
      <w:r w:rsidR="003B0C3F">
        <w:rPr>
          <w:rFonts w:eastAsia="SimSun"/>
          <w:snapToGrid/>
          <w:szCs w:val="22"/>
          <w:lang w:eastAsia="zh-CN"/>
        </w:rPr>
        <w:t>imatinibo</w:t>
      </w:r>
      <w:proofErr w:type="spellEnd"/>
      <w:r w:rsidRPr="00D52FB2">
        <w:rPr>
          <w:rFonts w:eastAsia="SimSun"/>
          <w:snapToGrid/>
          <w:szCs w:val="22"/>
          <w:lang w:eastAsia="zh-CN"/>
        </w:rPr>
        <w:t xml:space="preserve"> paros dozė puvo</w:t>
      </w:r>
      <w:r w:rsidR="003B0C3F">
        <w:rPr>
          <w:rFonts w:eastAsia="SimSun"/>
          <w:snapToGrid/>
          <w:szCs w:val="22"/>
          <w:lang w:eastAsia="zh-CN"/>
        </w:rPr>
        <w:t xml:space="preserve"> </w:t>
      </w:r>
      <w:r w:rsidRPr="00D52FB2">
        <w:rPr>
          <w:rFonts w:eastAsia="SimSun"/>
          <w:snapToGrid/>
          <w:szCs w:val="22"/>
          <w:lang w:eastAsia="zh-CN"/>
        </w:rPr>
        <w:t>padidinta iki 800</w:t>
      </w:r>
      <w:r w:rsidR="003B0C3F">
        <w:rPr>
          <w:rFonts w:eastAsia="SimSun"/>
          <w:snapToGrid/>
          <w:szCs w:val="22"/>
          <w:lang w:eastAsia="zh-CN"/>
        </w:rPr>
        <w:t> </w:t>
      </w:r>
      <w:r w:rsidRPr="00D52FB2">
        <w:rPr>
          <w:rFonts w:eastAsia="SimSun"/>
          <w:snapToGrid/>
          <w:szCs w:val="22"/>
          <w:lang w:eastAsia="zh-CN"/>
        </w:rPr>
        <w:t>mg pacientams, kurių liga progresavo vartojant mažesnes 400</w:t>
      </w:r>
      <w:r w:rsidR="003B0C3F">
        <w:rPr>
          <w:rFonts w:eastAsia="SimSun"/>
          <w:snapToGrid/>
          <w:szCs w:val="22"/>
          <w:lang w:eastAsia="zh-CN"/>
        </w:rPr>
        <w:t> </w:t>
      </w:r>
      <w:r w:rsidRPr="00D52FB2">
        <w:rPr>
          <w:rFonts w:eastAsia="SimSun"/>
          <w:snapToGrid/>
          <w:szCs w:val="22"/>
          <w:lang w:eastAsia="zh-CN"/>
        </w:rPr>
        <w:t>mg ar 600</w:t>
      </w:r>
      <w:r w:rsidR="003B0C3F">
        <w:rPr>
          <w:rFonts w:eastAsia="SimSun"/>
        </w:rPr>
        <w:t> </w:t>
      </w:r>
      <w:r w:rsidRPr="00D52FB2">
        <w:rPr>
          <w:rFonts w:eastAsia="SimSun"/>
          <w:snapToGrid/>
          <w:szCs w:val="22"/>
          <w:lang w:eastAsia="zh-CN"/>
        </w:rPr>
        <w:t>mg paros</w:t>
      </w:r>
      <w:r w:rsidR="003B0C3F">
        <w:rPr>
          <w:rFonts w:eastAsia="SimSun"/>
          <w:snapToGrid/>
          <w:szCs w:val="22"/>
          <w:lang w:eastAsia="zh-CN"/>
        </w:rPr>
        <w:t xml:space="preserve"> </w:t>
      </w:r>
      <w:r w:rsidRPr="00D52FB2">
        <w:rPr>
          <w:rFonts w:eastAsia="SimSun"/>
          <w:snapToGrid/>
          <w:szCs w:val="22"/>
          <w:lang w:eastAsia="zh-CN"/>
        </w:rPr>
        <w:t>dozes. Iki 800</w:t>
      </w:r>
      <w:r w:rsidR="003B0C3F">
        <w:rPr>
          <w:rFonts w:eastAsia="SimSun"/>
          <w:snapToGrid/>
          <w:szCs w:val="22"/>
          <w:lang w:eastAsia="zh-CN"/>
        </w:rPr>
        <w:t> </w:t>
      </w:r>
      <w:r w:rsidRPr="00D52FB2">
        <w:rPr>
          <w:rFonts w:eastAsia="SimSun"/>
          <w:snapToGrid/>
          <w:szCs w:val="22"/>
          <w:lang w:eastAsia="zh-CN"/>
        </w:rPr>
        <w:t>mg paros dozė buvo padidinta iš viso 103 pacientams; 6 pacienta</w:t>
      </w:r>
      <w:r w:rsidR="00722E5E">
        <w:rPr>
          <w:rFonts w:eastAsia="SimSun"/>
          <w:snapToGrid/>
          <w:szCs w:val="22"/>
          <w:lang w:eastAsia="zh-CN"/>
        </w:rPr>
        <w:t>i pasiekė</w:t>
      </w:r>
      <w:r w:rsidRPr="00D52FB2">
        <w:rPr>
          <w:rFonts w:eastAsia="SimSun"/>
          <w:snapToGrid/>
          <w:szCs w:val="22"/>
          <w:lang w:eastAsia="zh-CN"/>
        </w:rPr>
        <w:t xml:space="preserve"> dalin</w:t>
      </w:r>
      <w:r w:rsidR="00722E5E">
        <w:rPr>
          <w:rFonts w:eastAsia="SimSun"/>
          <w:snapToGrid/>
          <w:szCs w:val="22"/>
          <w:lang w:eastAsia="zh-CN"/>
        </w:rPr>
        <w:t xml:space="preserve">į </w:t>
      </w:r>
      <w:r w:rsidRPr="00D52FB2">
        <w:rPr>
          <w:rFonts w:eastAsia="SimSun"/>
          <w:snapToGrid/>
          <w:szCs w:val="22"/>
          <w:lang w:eastAsia="zh-CN"/>
        </w:rPr>
        <w:t>atsak</w:t>
      </w:r>
      <w:r w:rsidR="00722E5E">
        <w:rPr>
          <w:rFonts w:eastAsia="SimSun"/>
          <w:snapToGrid/>
          <w:szCs w:val="22"/>
          <w:lang w:eastAsia="zh-CN"/>
        </w:rPr>
        <w:t>ą</w:t>
      </w:r>
      <w:r w:rsidRPr="00D52FB2">
        <w:rPr>
          <w:rFonts w:eastAsia="SimSun"/>
          <w:snapToGrid/>
          <w:szCs w:val="22"/>
          <w:lang w:eastAsia="zh-CN"/>
        </w:rPr>
        <w:t>, 21 pacientui po dozės padidinimo liga stabilizavosi, bendroji klinikinė nauda buvo 26</w:t>
      </w:r>
      <w:r w:rsidR="00722E5E">
        <w:rPr>
          <w:rFonts w:eastAsia="SimSun"/>
          <w:snapToGrid/>
          <w:szCs w:val="22"/>
          <w:lang w:eastAsia="zh-CN"/>
        </w:rPr>
        <w:t> </w:t>
      </w:r>
      <w:r w:rsidRPr="00D52FB2">
        <w:rPr>
          <w:rFonts w:eastAsia="SimSun"/>
          <w:snapToGrid/>
          <w:szCs w:val="22"/>
          <w:lang w:eastAsia="zh-CN"/>
        </w:rPr>
        <w:t>%.</w:t>
      </w:r>
      <w:r w:rsidR="00722E5E">
        <w:rPr>
          <w:rFonts w:eastAsia="SimSun"/>
          <w:snapToGrid/>
          <w:szCs w:val="22"/>
          <w:lang w:eastAsia="zh-CN"/>
        </w:rPr>
        <w:t xml:space="preserve"> </w:t>
      </w:r>
      <w:r w:rsidRPr="00D52FB2">
        <w:rPr>
          <w:rFonts w:eastAsia="SimSun"/>
          <w:snapToGrid/>
          <w:szCs w:val="22"/>
          <w:lang w:eastAsia="zh-CN"/>
        </w:rPr>
        <w:t>Remiantis turimais saugumo duomenimis, dozės didinimas nuo mažesnių 400</w:t>
      </w:r>
      <w:r w:rsidR="00722E5E">
        <w:rPr>
          <w:rFonts w:eastAsia="SimSun"/>
          <w:snapToGrid/>
          <w:szCs w:val="22"/>
          <w:lang w:eastAsia="zh-CN"/>
        </w:rPr>
        <w:t> </w:t>
      </w:r>
      <w:r w:rsidRPr="00D52FB2">
        <w:rPr>
          <w:rFonts w:eastAsia="SimSun"/>
          <w:snapToGrid/>
          <w:szCs w:val="22"/>
          <w:lang w:eastAsia="zh-CN"/>
        </w:rPr>
        <w:t>mg ar 600</w:t>
      </w:r>
      <w:r w:rsidR="00722E5E">
        <w:rPr>
          <w:rFonts w:eastAsia="SimSun"/>
        </w:rPr>
        <w:t> </w:t>
      </w:r>
      <w:r w:rsidRPr="00D52FB2">
        <w:rPr>
          <w:rFonts w:eastAsia="SimSun"/>
          <w:snapToGrid/>
          <w:szCs w:val="22"/>
          <w:lang w:eastAsia="zh-CN"/>
        </w:rPr>
        <w:t>mg dozių per</w:t>
      </w:r>
      <w:r w:rsidR="00722E5E">
        <w:rPr>
          <w:rFonts w:eastAsia="SimSun"/>
          <w:snapToGrid/>
          <w:szCs w:val="22"/>
          <w:lang w:eastAsia="zh-CN"/>
        </w:rPr>
        <w:t xml:space="preserve"> </w:t>
      </w:r>
      <w:r w:rsidRPr="00D52FB2">
        <w:rPr>
          <w:rFonts w:eastAsia="SimSun"/>
          <w:snapToGrid/>
          <w:szCs w:val="22"/>
          <w:lang w:eastAsia="zh-CN"/>
        </w:rPr>
        <w:t>parą iki 800</w:t>
      </w:r>
      <w:r w:rsidR="009A63A0">
        <w:rPr>
          <w:rFonts w:eastAsia="SimSun"/>
          <w:snapToGrid/>
          <w:szCs w:val="22"/>
          <w:lang w:eastAsia="zh-CN"/>
        </w:rPr>
        <w:t> </w:t>
      </w:r>
      <w:r w:rsidRPr="00D52FB2">
        <w:rPr>
          <w:rFonts w:eastAsia="SimSun"/>
          <w:snapToGrid/>
          <w:szCs w:val="22"/>
          <w:lang w:eastAsia="zh-CN"/>
        </w:rPr>
        <w:t xml:space="preserve">mg per parą </w:t>
      </w:r>
      <w:proofErr w:type="spellStart"/>
      <w:r w:rsidR="00722E5E">
        <w:rPr>
          <w:rFonts w:eastAsia="SimSun"/>
          <w:snapToGrid/>
          <w:szCs w:val="22"/>
          <w:lang w:eastAsia="zh-CN"/>
        </w:rPr>
        <w:t>imatini</w:t>
      </w:r>
      <w:r w:rsidR="003A704D">
        <w:rPr>
          <w:rFonts w:eastAsia="SimSun"/>
          <w:snapToGrid/>
          <w:szCs w:val="22"/>
          <w:lang w:eastAsia="zh-CN"/>
        </w:rPr>
        <w:t>b</w:t>
      </w:r>
      <w:r w:rsidR="00722E5E">
        <w:rPr>
          <w:rFonts w:eastAsia="SimSun"/>
          <w:snapToGrid/>
          <w:szCs w:val="22"/>
          <w:lang w:eastAsia="zh-CN"/>
        </w:rPr>
        <w:t>o</w:t>
      </w:r>
      <w:proofErr w:type="spellEnd"/>
      <w:r w:rsidRPr="00D52FB2">
        <w:rPr>
          <w:rFonts w:eastAsia="SimSun"/>
          <w:snapToGrid/>
          <w:szCs w:val="22"/>
          <w:lang w:eastAsia="zh-CN"/>
        </w:rPr>
        <w:t xml:space="preserve"> saugumo rodiklių, atrodo nepaveikė.</w:t>
      </w:r>
    </w:p>
    <w:p w14:paraId="7AB4CB60" w14:textId="77777777" w:rsidR="00722E5E" w:rsidRDefault="00722E5E" w:rsidP="00D52FB2">
      <w:pPr>
        <w:spacing w:line="240" w:lineRule="auto"/>
        <w:rPr>
          <w:rFonts w:eastAsia="SimSun"/>
          <w:snapToGrid/>
          <w:szCs w:val="22"/>
          <w:lang w:eastAsia="zh-CN"/>
        </w:rPr>
      </w:pPr>
    </w:p>
    <w:p w14:paraId="04EB1B6A" w14:textId="77777777" w:rsidR="00722E5E" w:rsidRPr="007541DA" w:rsidRDefault="00722E5E" w:rsidP="00722E5E">
      <w:pPr>
        <w:spacing w:line="240" w:lineRule="auto"/>
        <w:rPr>
          <w:rFonts w:eastAsia="SimSun"/>
          <w:snapToGrid/>
          <w:szCs w:val="22"/>
          <w:u w:val="single"/>
          <w:lang w:eastAsia="zh-CN"/>
        </w:rPr>
      </w:pPr>
      <w:r w:rsidRPr="007541DA">
        <w:rPr>
          <w:rFonts w:eastAsia="SimSun"/>
          <w:snapToGrid/>
          <w:szCs w:val="22"/>
          <w:u w:val="single"/>
          <w:lang w:eastAsia="zh-CN"/>
        </w:rPr>
        <w:t xml:space="preserve">Klinikiniai VTSN </w:t>
      </w:r>
      <w:proofErr w:type="spellStart"/>
      <w:r w:rsidRPr="007541DA">
        <w:rPr>
          <w:rFonts w:eastAsia="SimSun"/>
          <w:snapToGrid/>
          <w:szCs w:val="22"/>
          <w:u w:val="single"/>
          <w:lang w:eastAsia="zh-CN"/>
        </w:rPr>
        <w:t>adjuvantinio</w:t>
      </w:r>
      <w:proofErr w:type="spellEnd"/>
      <w:r w:rsidRPr="007541DA">
        <w:rPr>
          <w:rFonts w:eastAsia="SimSun"/>
          <w:snapToGrid/>
          <w:szCs w:val="22"/>
          <w:u w:val="single"/>
          <w:lang w:eastAsia="zh-CN"/>
        </w:rPr>
        <w:t xml:space="preserve"> gydymo tyrimai</w:t>
      </w:r>
    </w:p>
    <w:p w14:paraId="4A875699" w14:textId="77777777" w:rsidR="00722E5E" w:rsidRPr="00722E5E" w:rsidRDefault="00722E5E" w:rsidP="00722E5E">
      <w:pPr>
        <w:spacing w:line="240" w:lineRule="auto"/>
        <w:rPr>
          <w:rFonts w:eastAsia="SimSun"/>
          <w:snapToGrid/>
          <w:szCs w:val="22"/>
          <w:lang w:eastAsia="zh-CN"/>
        </w:rPr>
      </w:pPr>
      <w:proofErr w:type="spellStart"/>
      <w:r>
        <w:rPr>
          <w:rFonts w:eastAsia="SimSun"/>
          <w:snapToGrid/>
          <w:szCs w:val="22"/>
          <w:lang w:eastAsia="zh-CN"/>
        </w:rPr>
        <w:t>Imatinibo</w:t>
      </w:r>
      <w:proofErr w:type="spellEnd"/>
      <w:r>
        <w:rPr>
          <w:rFonts w:eastAsia="SimSun"/>
          <w:snapToGrid/>
          <w:szCs w:val="22"/>
          <w:lang w:eastAsia="zh-CN"/>
        </w:rPr>
        <w:t xml:space="preserve"> taikymas </w:t>
      </w:r>
      <w:proofErr w:type="spellStart"/>
      <w:r>
        <w:rPr>
          <w:rFonts w:eastAsia="SimSun"/>
          <w:snapToGrid/>
          <w:szCs w:val="22"/>
          <w:lang w:eastAsia="zh-CN"/>
        </w:rPr>
        <w:t>adjuvantiniam</w:t>
      </w:r>
      <w:proofErr w:type="spellEnd"/>
      <w:r>
        <w:rPr>
          <w:rFonts w:eastAsia="SimSun"/>
          <w:snapToGrid/>
          <w:szCs w:val="22"/>
          <w:lang w:eastAsia="zh-CN"/>
        </w:rPr>
        <w:t xml:space="preserve"> gydymui </w:t>
      </w:r>
      <w:r w:rsidRPr="00722E5E">
        <w:rPr>
          <w:rFonts w:eastAsia="SimSun"/>
          <w:snapToGrid/>
          <w:szCs w:val="22"/>
          <w:lang w:eastAsia="zh-CN"/>
        </w:rPr>
        <w:t xml:space="preserve">buvo tirtas </w:t>
      </w:r>
      <w:proofErr w:type="spellStart"/>
      <w:r w:rsidRPr="00722E5E">
        <w:rPr>
          <w:rFonts w:eastAsia="SimSun"/>
          <w:snapToGrid/>
          <w:szCs w:val="22"/>
          <w:lang w:eastAsia="zh-CN"/>
        </w:rPr>
        <w:t>daugiacentrio</w:t>
      </w:r>
      <w:proofErr w:type="spellEnd"/>
      <w:r w:rsidRPr="00722E5E">
        <w:rPr>
          <w:rFonts w:eastAsia="SimSun"/>
          <w:snapToGrid/>
          <w:szCs w:val="22"/>
          <w:lang w:eastAsia="zh-CN"/>
        </w:rPr>
        <w:t>, dvigubai aklo, ilgalaikio</w:t>
      </w:r>
      <w:r>
        <w:rPr>
          <w:rFonts w:eastAsia="SimSun"/>
          <w:snapToGrid/>
          <w:szCs w:val="22"/>
          <w:lang w:eastAsia="zh-CN"/>
        </w:rPr>
        <w:t xml:space="preserve"> </w:t>
      </w:r>
      <w:r w:rsidRPr="00722E5E">
        <w:rPr>
          <w:rFonts w:eastAsia="SimSun"/>
          <w:snapToGrid/>
          <w:szCs w:val="22"/>
          <w:lang w:eastAsia="zh-CN"/>
        </w:rPr>
        <w:t>gydymo, placebu kontroliuojamo III fazės klinikinio tyrimo (Z9001), kuriame dalyvavo 773 pacientai,</w:t>
      </w:r>
      <w:r>
        <w:rPr>
          <w:rFonts w:eastAsia="SimSun"/>
          <w:snapToGrid/>
          <w:szCs w:val="22"/>
          <w:lang w:eastAsia="zh-CN"/>
        </w:rPr>
        <w:t xml:space="preserve"> </w:t>
      </w:r>
      <w:r w:rsidRPr="00722E5E">
        <w:rPr>
          <w:rFonts w:eastAsia="SimSun"/>
          <w:snapToGrid/>
          <w:szCs w:val="22"/>
          <w:lang w:eastAsia="zh-CN"/>
        </w:rPr>
        <w:t xml:space="preserve">metu. Šie pacientai buvo 18–91 metų amžiaus. Į tyrimą buvo įtraukti pacientai, kuriems </w:t>
      </w:r>
      <w:proofErr w:type="spellStart"/>
      <w:r w:rsidRPr="00722E5E">
        <w:rPr>
          <w:rFonts w:eastAsia="SimSun"/>
          <w:snapToGrid/>
          <w:szCs w:val="22"/>
          <w:lang w:eastAsia="zh-CN"/>
        </w:rPr>
        <w:t>histologiškai</w:t>
      </w:r>
      <w:proofErr w:type="spellEnd"/>
      <w:r>
        <w:rPr>
          <w:rFonts w:eastAsia="SimSun"/>
          <w:snapToGrid/>
          <w:szCs w:val="22"/>
          <w:lang w:eastAsia="zh-CN"/>
        </w:rPr>
        <w:t xml:space="preserve"> </w:t>
      </w:r>
      <w:r w:rsidRPr="00722E5E">
        <w:rPr>
          <w:rFonts w:eastAsia="SimSun"/>
          <w:snapToGrid/>
          <w:szCs w:val="22"/>
          <w:lang w:eastAsia="zh-CN"/>
        </w:rPr>
        <w:t xml:space="preserve">buvo patvirtinta pirminio VTSN su </w:t>
      </w:r>
      <w:proofErr w:type="spellStart"/>
      <w:r w:rsidRPr="00722E5E">
        <w:rPr>
          <w:rFonts w:eastAsia="SimSun"/>
          <w:snapToGrid/>
          <w:szCs w:val="22"/>
          <w:lang w:eastAsia="zh-CN"/>
        </w:rPr>
        <w:t>imunocheminiu</w:t>
      </w:r>
      <w:proofErr w:type="spellEnd"/>
      <w:r w:rsidRPr="00722E5E">
        <w:rPr>
          <w:rFonts w:eastAsia="SimSun"/>
          <w:snapToGrid/>
          <w:szCs w:val="22"/>
          <w:lang w:eastAsia="zh-CN"/>
        </w:rPr>
        <w:t xml:space="preserve"> būdu nustatyta </w:t>
      </w:r>
      <w:proofErr w:type="spellStart"/>
      <w:r w:rsidRPr="00722E5E">
        <w:rPr>
          <w:rFonts w:eastAsia="SimSun"/>
          <w:snapToGrid/>
          <w:szCs w:val="22"/>
          <w:lang w:eastAsia="zh-CN"/>
        </w:rPr>
        <w:t>Kit</w:t>
      </w:r>
      <w:proofErr w:type="spellEnd"/>
      <w:r w:rsidRPr="00722E5E">
        <w:rPr>
          <w:rFonts w:eastAsia="SimSun"/>
          <w:snapToGrid/>
          <w:szCs w:val="22"/>
          <w:lang w:eastAsia="zh-CN"/>
        </w:rPr>
        <w:t xml:space="preserve"> baltymo ekspresija diagnozė ir</w:t>
      </w:r>
      <w:r>
        <w:rPr>
          <w:rFonts w:eastAsia="SimSun"/>
          <w:snapToGrid/>
          <w:szCs w:val="22"/>
          <w:lang w:eastAsia="zh-CN"/>
        </w:rPr>
        <w:t xml:space="preserve"> </w:t>
      </w:r>
      <w:r w:rsidRPr="00722E5E">
        <w:rPr>
          <w:rFonts w:eastAsia="SimSun"/>
          <w:snapToGrid/>
          <w:szCs w:val="22"/>
          <w:lang w:eastAsia="zh-CN"/>
        </w:rPr>
        <w:t>kurių naviko didžiausias matmuo buvo ≥ 3</w:t>
      </w:r>
      <w:r>
        <w:rPr>
          <w:rFonts w:eastAsia="SimSun"/>
          <w:snapToGrid/>
          <w:szCs w:val="22"/>
          <w:lang w:eastAsia="zh-CN"/>
        </w:rPr>
        <w:t> </w:t>
      </w:r>
      <w:r w:rsidRPr="00722E5E">
        <w:rPr>
          <w:rFonts w:eastAsia="SimSun"/>
          <w:snapToGrid/>
          <w:szCs w:val="22"/>
          <w:lang w:eastAsia="zh-CN"/>
        </w:rPr>
        <w:t xml:space="preserve">cm bei kuriems prieš 14-70 </w:t>
      </w:r>
      <w:r>
        <w:rPr>
          <w:rFonts w:eastAsia="SimSun"/>
          <w:snapToGrid/>
          <w:szCs w:val="22"/>
          <w:lang w:eastAsia="zh-CN"/>
        </w:rPr>
        <w:t>parų</w:t>
      </w:r>
      <w:r w:rsidRPr="00722E5E">
        <w:rPr>
          <w:rFonts w:eastAsia="SimSun"/>
          <w:snapToGrid/>
          <w:szCs w:val="22"/>
          <w:lang w:eastAsia="zh-CN"/>
        </w:rPr>
        <w:t xml:space="preserve"> iki įtraukimo į tyrimą</w:t>
      </w:r>
      <w:r>
        <w:rPr>
          <w:rFonts w:eastAsia="SimSun"/>
          <w:snapToGrid/>
          <w:szCs w:val="22"/>
          <w:lang w:eastAsia="zh-CN"/>
        </w:rPr>
        <w:t xml:space="preserve"> </w:t>
      </w:r>
      <w:r w:rsidRPr="00722E5E">
        <w:rPr>
          <w:rFonts w:eastAsia="SimSun"/>
          <w:snapToGrid/>
          <w:szCs w:val="22"/>
          <w:lang w:eastAsia="zh-CN"/>
        </w:rPr>
        <w:t xml:space="preserve">buvo atlikta radikali pirminio VTSN </w:t>
      </w:r>
      <w:proofErr w:type="spellStart"/>
      <w:r w:rsidRPr="00722E5E">
        <w:rPr>
          <w:rFonts w:eastAsia="SimSun"/>
          <w:snapToGrid/>
          <w:szCs w:val="22"/>
          <w:lang w:eastAsia="zh-CN"/>
        </w:rPr>
        <w:t>rezekcija</w:t>
      </w:r>
      <w:proofErr w:type="spellEnd"/>
      <w:r w:rsidRPr="00722E5E">
        <w:rPr>
          <w:rFonts w:eastAsia="SimSun"/>
          <w:snapToGrid/>
          <w:szCs w:val="22"/>
          <w:lang w:eastAsia="zh-CN"/>
        </w:rPr>
        <w:t xml:space="preserve">. Po pirminio VTSN </w:t>
      </w:r>
      <w:proofErr w:type="spellStart"/>
      <w:r w:rsidRPr="00722E5E">
        <w:rPr>
          <w:rFonts w:eastAsia="SimSun"/>
          <w:snapToGrid/>
          <w:szCs w:val="22"/>
          <w:lang w:eastAsia="zh-CN"/>
        </w:rPr>
        <w:t>rezekcijos</w:t>
      </w:r>
      <w:proofErr w:type="spellEnd"/>
      <w:r w:rsidRPr="00722E5E">
        <w:rPr>
          <w:rFonts w:eastAsia="SimSun"/>
          <w:snapToGrid/>
          <w:szCs w:val="22"/>
          <w:lang w:eastAsia="zh-CN"/>
        </w:rPr>
        <w:t xml:space="preserve"> pacientai atsitiktin</w:t>
      </w:r>
      <w:r>
        <w:rPr>
          <w:rFonts w:eastAsia="SimSun"/>
          <w:snapToGrid/>
          <w:szCs w:val="22"/>
          <w:lang w:eastAsia="zh-CN"/>
        </w:rPr>
        <w:t>ės atrankos būdu</w:t>
      </w:r>
      <w:r w:rsidRPr="00722E5E">
        <w:rPr>
          <w:rFonts w:eastAsia="SimSun"/>
          <w:snapToGrid/>
          <w:szCs w:val="22"/>
          <w:lang w:eastAsia="zh-CN"/>
        </w:rPr>
        <w:t xml:space="preserve"> buvo </w:t>
      </w:r>
      <w:r w:rsidR="00F252E0">
        <w:rPr>
          <w:rFonts w:eastAsia="SimSun"/>
          <w:snapToGrid/>
          <w:szCs w:val="22"/>
          <w:lang w:eastAsia="zh-CN"/>
        </w:rPr>
        <w:t xml:space="preserve">priskirti į vieną iš dviejų grupių: vartoti </w:t>
      </w:r>
      <w:r w:rsidRPr="00722E5E">
        <w:rPr>
          <w:rFonts w:eastAsia="SimSun"/>
          <w:snapToGrid/>
          <w:szCs w:val="22"/>
          <w:lang w:eastAsia="zh-CN"/>
        </w:rPr>
        <w:t>400</w:t>
      </w:r>
      <w:r w:rsidR="00F252E0">
        <w:rPr>
          <w:rFonts w:eastAsia="SimSun"/>
          <w:snapToGrid/>
          <w:szCs w:val="22"/>
          <w:lang w:eastAsia="zh-CN"/>
        </w:rPr>
        <w:t> </w:t>
      </w:r>
      <w:r w:rsidRPr="00722E5E">
        <w:rPr>
          <w:rFonts w:eastAsia="SimSun"/>
          <w:snapToGrid/>
          <w:szCs w:val="22"/>
          <w:lang w:eastAsia="zh-CN"/>
        </w:rPr>
        <w:t xml:space="preserve">mg </w:t>
      </w:r>
      <w:proofErr w:type="spellStart"/>
      <w:r w:rsidR="00F252E0">
        <w:rPr>
          <w:rFonts w:eastAsia="SimSun"/>
          <w:snapToGrid/>
          <w:szCs w:val="22"/>
          <w:lang w:eastAsia="zh-CN"/>
        </w:rPr>
        <w:t>imatinibo</w:t>
      </w:r>
      <w:proofErr w:type="spellEnd"/>
      <w:r w:rsidR="00F252E0">
        <w:rPr>
          <w:rFonts w:eastAsia="SimSun"/>
          <w:snapToGrid/>
          <w:szCs w:val="22"/>
          <w:lang w:eastAsia="zh-CN"/>
        </w:rPr>
        <w:t xml:space="preserve"> </w:t>
      </w:r>
      <w:r w:rsidRPr="00722E5E">
        <w:rPr>
          <w:rFonts w:eastAsia="SimSun"/>
          <w:snapToGrid/>
          <w:szCs w:val="22"/>
          <w:lang w:eastAsia="zh-CN"/>
        </w:rPr>
        <w:t xml:space="preserve">per parą arba placebo </w:t>
      </w:r>
      <w:r w:rsidR="00F252E0">
        <w:rPr>
          <w:rFonts w:eastAsia="SimSun"/>
          <w:snapToGrid/>
          <w:szCs w:val="22"/>
          <w:lang w:eastAsia="zh-CN"/>
        </w:rPr>
        <w:t xml:space="preserve">grupę </w:t>
      </w:r>
      <w:r w:rsidRPr="00722E5E">
        <w:rPr>
          <w:rFonts w:eastAsia="SimSun"/>
          <w:snapToGrid/>
          <w:szCs w:val="22"/>
          <w:lang w:eastAsia="zh-CN"/>
        </w:rPr>
        <w:t>(gydymas</w:t>
      </w:r>
      <w:r w:rsidR="00F252E0">
        <w:rPr>
          <w:rFonts w:eastAsia="SimSun"/>
          <w:snapToGrid/>
          <w:szCs w:val="22"/>
          <w:lang w:eastAsia="zh-CN"/>
        </w:rPr>
        <w:t xml:space="preserve"> </w:t>
      </w:r>
      <w:r w:rsidRPr="00722E5E">
        <w:rPr>
          <w:rFonts w:eastAsia="SimSun"/>
          <w:snapToGrid/>
          <w:szCs w:val="22"/>
          <w:lang w:eastAsia="zh-CN"/>
        </w:rPr>
        <w:t xml:space="preserve">buvo </w:t>
      </w:r>
      <w:r w:rsidR="00F252E0">
        <w:rPr>
          <w:rFonts w:eastAsia="SimSun"/>
          <w:snapToGrid/>
          <w:szCs w:val="22"/>
          <w:lang w:eastAsia="zh-CN"/>
        </w:rPr>
        <w:t>taikomas</w:t>
      </w:r>
      <w:r w:rsidRPr="00722E5E">
        <w:rPr>
          <w:rFonts w:eastAsia="SimSun"/>
          <w:snapToGrid/>
          <w:szCs w:val="22"/>
          <w:lang w:eastAsia="zh-CN"/>
        </w:rPr>
        <w:t xml:space="preserve"> vienerius metus).</w:t>
      </w:r>
    </w:p>
    <w:p w14:paraId="4512020D" w14:textId="77777777" w:rsidR="00F252E0" w:rsidRDefault="00F252E0" w:rsidP="00722E5E">
      <w:pPr>
        <w:spacing w:line="240" w:lineRule="auto"/>
        <w:rPr>
          <w:rFonts w:eastAsia="SimSun"/>
          <w:snapToGrid/>
          <w:szCs w:val="22"/>
          <w:lang w:eastAsia="zh-CN"/>
        </w:rPr>
      </w:pPr>
    </w:p>
    <w:p w14:paraId="5EE577B9" w14:textId="77777777" w:rsidR="00722E5E" w:rsidRDefault="00F252E0" w:rsidP="00722E5E">
      <w:pPr>
        <w:spacing w:line="240" w:lineRule="auto"/>
        <w:rPr>
          <w:rFonts w:eastAsia="SimSun"/>
          <w:snapToGrid/>
          <w:szCs w:val="22"/>
          <w:lang w:eastAsia="zh-CN"/>
        </w:rPr>
      </w:pPr>
      <w:r w:rsidRPr="00F252E0">
        <w:rPr>
          <w:rFonts w:eastAsia="SimSun"/>
          <w:snapToGrid/>
          <w:szCs w:val="22"/>
          <w:lang w:eastAsia="zh-CN"/>
        </w:rPr>
        <w:t>Svarbiausias</w:t>
      </w:r>
      <w:r w:rsidR="00722E5E" w:rsidRPr="00722E5E">
        <w:rPr>
          <w:rFonts w:eastAsia="SimSun"/>
          <w:snapToGrid/>
          <w:szCs w:val="22"/>
          <w:lang w:eastAsia="zh-CN"/>
        </w:rPr>
        <w:t xml:space="preserve"> vertinamoji klinikinio tyrimo baigtis buvo išgyvenamumas be ligos recidyvo (angl.</w:t>
      </w:r>
      <w:r>
        <w:rPr>
          <w:rFonts w:eastAsia="SimSun"/>
          <w:snapToGrid/>
          <w:szCs w:val="22"/>
          <w:lang w:eastAsia="zh-CN"/>
        </w:rPr>
        <w:t xml:space="preserve"> </w:t>
      </w:r>
      <w:proofErr w:type="spellStart"/>
      <w:r w:rsidR="00722E5E" w:rsidRPr="007541DA">
        <w:rPr>
          <w:rFonts w:eastAsia="SimSun"/>
          <w:i/>
          <w:iCs/>
          <w:snapToGrid/>
          <w:szCs w:val="22"/>
          <w:lang w:eastAsia="zh-CN"/>
        </w:rPr>
        <w:t>recurrence-free</w:t>
      </w:r>
      <w:proofErr w:type="spellEnd"/>
      <w:r w:rsidR="00722E5E" w:rsidRPr="007541DA">
        <w:rPr>
          <w:rFonts w:eastAsia="SimSun"/>
          <w:i/>
          <w:iCs/>
          <w:snapToGrid/>
          <w:szCs w:val="22"/>
          <w:lang w:eastAsia="zh-CN"/>
        </w:rPr>
        <w:t xml:space="preserve"> </w:t>
      </w:r>
      <w:proofErr w:type="spellStart"/>
      <w:r w:rsidR="00722E5E" w:rsidRPr="007541DA">
        <w:rPr>
          <w:rFonts w:eastAsia="SimSun"/>
          <w:i/>
          <w:iCs/>
          <w:snapToGrid/>
          <w:szCs w:val="22"/>
          <w:lang w:eastAsia="zh-CN"/>
        </w:rPr>
        <w:t>survival</w:t>
      </w:r>
      <w:proofErr w:type="spellEnd"/>
      <w:r w:rsidR="00722E5E" w:rsidRPr="007541DA">
        <w:rPr>
          <w:rFonts w:eastAsia="SimSun"/>
          <w:i/>
          <w:iCs/>
          <w:snapToGrid/>
          <w:szCs w:val="22"/>
          <w:lang w:eastAsia="zh-CN"/>
        </w:rPr>
        <w:t xml:space="preserve"> – RFS</w:t>
      </w:r>
      <w:r w:rsidR="00722E5E" w:rsidRPr="00722E5E">
        <w:rPr>
          <w:rFonts w:eastAsia="SimSun"/>
          <w:snapToGrid/>
          <w:szCs w:val="22"/>
          <w:lang w:eastAsia="zh-CN"/>
        </w:rPr>
        <w:t xml:space="preserve">), nustatomas kaip laikas nuo </w:t>
      </w:r>
      <w:r>
        <w:rPr>
          <w:rFonts w:eastAsia="SimSun"/>
          <w:snapToGrid/>
          <w:szCs w:val="22"/>
          <w:lang w:eastAsia="zh-CN"/>
        </w:rPr>
        <w:t>suskirstymo atsitiktinės atrankos būdu</w:t>
      </w:r>
      <w:r w:rsidR="00722E5E" w:rsidRPr="00722E5E">
        <w:rPr>
          <w:rFonts w:eastAsia="SimSun"/>
          <w:snapToGrid/>
          <w:szCs w:val="22"/>
          <w:lang w:eastAsia="zh-CN"/>
        </w:rPr>
        <w:t xml:space="preserve"> dienos iki recidyvo</w:t>
      </w:r>
      <w:r>
        <w:rPr>
          <w:rFonts w:eastAsia="SimSun"/>
          <w:snapToGrid/>
          <w:szCs w:val="22"/>
          <w:lang w:eastAsia="zh-CN"/>
        </w:rPr>
        <w:t xml:space="preserve"> </w:t>
      </w:r>
      <w:r w:rsidR="00722E5E" w:rsidRPr="00722E5E">
        <w:rPr>
          <w:rFonts w:eastAsia="SimSun"/>
          <w:snapToGrid/>
          <w:szCs w:val="22"/>
          <w:lang w:eastAsia="zh-CN"/>
        </w:rPr>
        <w:t>pasireiškimo dienos arba mirties dėl bet kokios priežasties.</w:t>
      </w:r>
    </w:p>
    <w:p w14:paraId="242EED98" w14:textId="77777777" w:rsidR="00F252E0" w:rsidRPr="00722E5E" w:rsidRDefault="00F252E0" w:rsidP="00722E5E">
      <w:pPr>
        <w:spacing w:line="240" w:lineRule="auto"/>
        <w:rPr>
          <w:rFonts w:eastAsia="SimSun"/>
          <w:snapToGrid/>
          <w:szCs w:val="22"/>
          <w:lang w:eastAsia="zh-CN"/>
        </w:rPr>
      </w:pPr>
    </w:p>
    <w:p w14:paraId="375D9D96" w14:textId="77777777" w:rsidR="00722E5E" w:rsidRPr="00722E5E" w:rsidRDefault="00F252E0" w:rsidP="00722E5E">
      <w:pPr>
        <w:spacing w:line="240" w:lineRule="auto"/>
        <w:rPr>
          <w:rFonts w:eastAsia="SimSun"/>
          <w:snapToGrid/>
          <w:szCs w:val="22"/>
          <w:lang w:eastAsia="zh-CN"/>
        </w:rPr>
      </w:pPr>
      <w:proofErr w:type="spellStart"/>
      <w:r>
        <w:rPr>
          <w:rFonts w:eastAsia="SimSun"/>
          <w:snapToGrid/>
          <w:szCs w:val="22"/>
          <w:lang w:eastAsia="zh-CN"/>
        </w:rPr>
        <w:t>Imatinibas</w:t>
      </w:r>
      <w:proofErr w:type="spellEnd"/>
      <w:r w:rsidR="00722E5E" w:rsidRPr="00722E5E">
        <w:rPr>
          <w:rFonts w:eastAsia="SimSun"/>
          <w:snapToGrid/>
          <w:szCs w:val="22"/>
          <w:lang w:eastAsia="zh-CN"/>
        </w:rPr>
        <w:t xml:space="preserve"> reikšmingai pailgino RFS rodiklį; 75</w:t>
      </w:r>
      <w:r>
        <w:rPr>
          <w:rFonts w:eastAsia="SimSun"/>
          <w:snapToGrid/>
          <w:szCs w:val="22"/>
          <w:lang w:eastAsia="zh-CN"/>
        </w:rPr>
        <w:t> </w:t>
      </w:r>
      <w:r w:rsidR="00722E5E" w:rsidRPr="00722E5E">
        <w:rPr>
          <w:rFonts w:eastAsia="SimSun"/>
          <w:snapToGrid/>
          <w:szCs w:val="22"/>
          <w:lang w:eastAsia="zh-CN"/>
        </w:rPr>
        <w:t>% pacientų, kuriems nepasireiškė ligos recidyvas</w:t>
      </w:r>
      <w:r>
        <w:rPr>
          <w:rFonts w:eastAsia="SimSun"/>
          <w:snapToGrid/>
          <w:szCs w:val="22"/>
          <w:lang w:eastAsia="zh-CN"/>
        </w:rPr>
        <w:t xml:space="preserve"> </w:t>
      </w:r>
      <w:r w:rsidR="00722E5E" w:rsidRPr="00722E5E">
        <w:rPr>
          <w:rFonts w:eastAsia="SimSun"/>
          <w:snapToGrid/>
          <w:szCs w:val="22"/>
          <w:lang w:eastAsia="zh-CN"/>
        </w:rPr>
        <w:t>38 mėnesius, lyginant su 20 mėnesių laikotarpiu placebo grupėje (95</w:t>
      </w:r>
      <w:r>
        <w:rPr>
          <w:rFonts w:eastAsia="SimSun"/>
          <w:snapToGrid/>
          <w:szCs w:val="22"/>
          <w:lang w:eastAsia="zh-CN"/>
        </w:rPr>
        <w:t> </w:t>
      </w:r>
      <w:r w:rsidR="00722E5E" w:rsidRPr="00722E5E">
        <w:rPr>
          <w:rFonts w:eastAsia="SimSun"/>
          <w:snapToGrid/>
          <w:szCs w:val="22"/>
          <w:lang w:eastAsia="zh-CN"/>
        </w:rPr>
        <w:t>% PI, [30 - nevertintinas]; [14 -</w:t>
      </w:r>
      <w:r>
        <w:rPr>
          <w:rFonts w:eastAsia="SimSun"/>
          <w:snapToGrid/>
          <w:szCs w:val="22"/>
          <w:lang w:eastAsia="zh-CN"/>
        </w:rPr>
        <w:t xml:space="preserve"> </w:t>
      </w:r>
      <w:r w:rsidR="00722E5E" w:rsidRPr="00722E5E">
        <w:rPr>
          <w:rFonts w:eastAsia="SimSun"/>
          <w:snapToGrid/>
          <w:szCs w:val="22"/>
          <w:lang w:eastAsia="zh-CN"/>
        </w:rPr>
        <w:t>nevertintinas], atitinkamai); (rizikos santykis = 0,398 [0,259-0,610], p&lt;0,0001). Vertinant po vienerių</w:t>
      </w:r>
      <w:r>
        <w:rPr>
          <w:rFonts w:eastAsia="SimSun"/>
          <w:snapToGrid/>
          <w:szCs w:val="22"/>
          <w:lang w:eastAsia="zh-CN"/>
        </w:rPr>
        <w:t xml:space="preserve"> </w:t>
      </w:r>
      <w:r w:rsidR="00722E5E" w:rsidRPr="00722E5E">
        <w:rPr>
          <w:rFonts w:eastAsia="SimSun"/>
          <w:snapToGrid/>
          <w:szCs w:val="22"/>
          <w:lang w:eastAsia="zh-CN"/>
        </w:rPr>
        <w:t xml:space="preserve">gydymo metų, bendrojo RFS rodiklis </w:t>
      </w:r>
      <w:proofErr w:type="spellStart"/>
      <w:r>
        <w:rPr>
          <w:rFonts w:eastAsia="SimSun"/>
          <w:snapToGrid/>
          <w:szCs w:val="22"/>
          <w:lang w:eastAsia="zh-CN"/>
        </w:rPr>
        <w:t>imatinibo</w:t>
      </w:r>
      <w:proofErr w:type="spellEnd"/>
      <w:r w:rsidR="00722E5E" w:rsidRPr="00722E5E">
        <w:rPr>
          <w:rFonts w:eastAsia="SimSun"/>
          <w:snapToGrid/>
          <w:szCs w:val="22"/>
          <w:lang w:eastAsia="zh-CN"/>
        </w:rPr>
        <w:t xml:space="preserve"> grupėje buvo reikšmingai geresnis lyginant su placebo</w:t>
      </w:r>
      <w:r>
        <w:rPr>
          <w:rFonts w:eastAsia="SimSun"/>
          <w:snapToGrid/>
          <w:szCs w:val="22"/>
          <w:lang w:eastAsia="zh-CN"/>
        </w:rPr>
        <w:t xml:space="preserve"> </w:t>
      </w:r>
      <w:r w:rsidR="00722E5E" w:rsidRPr="00722E5E">
        <w:rPr>
          <w:rFonts w:eastAsia="SimSun"/>
          <w:snapToGrid/>
          <w:szCs w:val="22"/>
          <w:lang w:eastAsia="zh-CN"/>
        </w:rPr>
        <w:t>grupe (atitinkamai 97,7</w:t>
      </w:r>
      <w:r>
        <w:rPr>
          <w:rFonts w:eastAsia="SimSun"/>
          <w:snapToGrid/>
          <w:szCs w:val="22"/>
          <w:lang w:eastAsia="zh-CN"/>
        </w:rPr>
        <w:t> </w:t>
      </w:r>
      <w:r w:rsidR="00722E5E" w:rsidRPr="00722E5E">
        <w:rPr>
          <w:rFonts w:eastAsia="SimSun"/>
          <w:snapToGrid/>
          <w:szCs w:val="22"/>
          <w:lang w:eastAsia="zh-CN"/>
        </w:rPr>
        <w:t>% ir 82,3</w:t>
      </w:r>
      <w:r>
        <w:rPr>
          <w:rFonts w:eastAsia="SimSun"/>
          <w:snapToGrid/>
          <w:szCs w:val="22"/>
          <w:lang w:eastAsia="zh-CN"/>
        </w:rPr>
        <w:t> </w:t>
      </w:r>
      <w:r w:rsidR="00722E5E" w:rsidRPr="00722E5E">
        <w:rPr>
          <w:rFonts w:eastAsia="SimSun"/>
          <w:snapToGrid/>
          <w:szCs w:val="22"/>
          <w:lang w:eastAsia="zh-CN"/>
        </w:rPr>
        <w:t>%; p&lt;0,0001). Taigi, ligos recidyvo rizika buvo</w:t>
      </w:r>
      <w:r>
        <w:rPr>
          <w:rFonts w:eastAsia="SimSun"/>
          <w:snapToGrid/>
          <w:szCs w:val="22"/>
          <w:lang w:eastAsia="zh-CN"/>
        </w:rPr>
        <w:t xml:space="preserve"> mažesnė</w:t>
      </w:r>
      <w:r w:rsidR="00722E5E" w:rsidRPr="00722E5E">
        <w:rPr>
          <w:rFonts w:eastAsia="SimSun"/>
          <w:snapToGrid/>
          <w:szCs w:val="22"/>
          <w:lang w:eastAsia="zh-CN"/>
        </w:rPr>
        <w:t xml:space="preserve"> apytiksliai 89 %, </w:t>
      </w:r>
      <w:r>
        <w:rPr>
          <w:rFonts w:eastAsia="SimSun"/>
          <w:snapToGrid/>
          <w:szCs w:val="22"/>
          <w:lang w:eastAsia="zh-CN"/>
        </w:rPr>
        <w:t>palyginti</w:t>
      </w:r>
      <w:r w:rsidR="00722E5E" w:rsidRPr="00722E5E">
        <w:rPr>
          <w:rFonts w:eastAsia="SimSun"/>
          <w:snapToGrid/>
          <w:szCs w:val="22"/>
          <w:lang w:eastAsia="zh-CN"/>
        </w:rPr>
        <w:t xml:space="preserve"> su placebu (rizikos santykis = 0,113 [0,049-0,264]).</w:t>
      </w:r>
    </w:p>
    <w:p w14:paraId="1D735444" w14:textId="77777777" w:rsidR="00722E5E" w:rsidRPr="00722E5E" w:rsidRDefault="00722E5E" w:rsidP="00722E5E">
      <w:pPr>
        <w:spacing w:line="240" w:lineRule="auto"/>
        <w:rPr>
          <w:rFonts w:eastAsia="SimSun"/>
          <w:snapToGrid/>
          <w:szCs w:val="22"/>
          <w:lang w:eastAsia="zh-CN"/>
        </w:rPr>
      </w:pPr>
    </w:p>
    <w:p w14:paraId="6C748732" w14:textId="57330516" w:rsidR="00722E5E" w:rsidRPr="00722E5E" w:rsidRDefault="00722E5E" w:rsidP="00722E5E">
      <w:pPr>
        <w:spacing w:line="240" w:lineRule="auto"/>
        <w:rPr>
          <w:rFonts w:eastAsia="SimSun"/>
          <w:snapToGrid/>
          <w:szCs w:val="22"/>
          <w:lang w:eastAsia="zh-CN"/>
        </w:rPr>
      </w:pPr>
      <w:r w:rsidRPr="00722E5E">
        <w:rPr>
          <w:rFonts w:eastAsia="SimSun"/>
          <w:snapToGrid/>
          <w:szCs w:val="22"/>
          <w:lang w:eastAsia="zh-CN"/>
        </w:rPr>
        <w:lastRenderedPageBreak/>
        <w:t>Pacientams po pirminio VTSN operacinio gydymo ligos recidyvo rizika buvo įvertinta retrospektyviai,</w:t>
      </w:r>
      <w:r w:rsidR="00F252E0">
        <w:rPr>
          <w:rFonts w:eastAsia="SimSun"/>
          <w:snapToGrid/>
          <w:szCs w:val="22"/>
          <w:lang w:eastAsia="zh-CN"/>
        </w:rPr>
        <w:t xml:space="preserve"> </w:t>
      </w:r>
      <w:r w:rsidRPr="00722E5E">
        <w:rPr>
          <w:rFonts w:eastAsia="SimSun"/>
          <w:snapToGrid/>
          <w:szCs w:val="22"/>
          <w:lang w:eastAsia="zh-CN"/>
        </w:rPr>
        <w:t>remiantis toliau nurodytais prognostiniais veiksniais: naviko dydžiu, mitozės indeksu ir naviko</w:t>
      </w:r>
      <w:r w:rsidR="00F252E0">
        <w:rPr>
          <w:rFonts w:eastAsia="SimSun"/>
          <w:snapToGrid/>
          <w:szCs w:val="22"/>
          <w:lang w:eastAsia="zh-CN"/>
        </w:rPr>
        <w:t xml:space="preserve"> </w:t>
      </w:r>
      <w:r w:rsidRPr="00722E5E">
        <w:rPr>
          <w:rFonts w:eastAsia="SimSun"/>
          <w:snapToGrid/>
          <w:szCs w:val="22"/>
          <w:lang w:eastAsia="zh-CN"/>
        </w:rPr>
        <w:t>lokalizacija. Mitozės indekso duomenys surinkti 556 pacientams iš 713 atrinktos gydymui (angl.</w:t>
      </w:r>
      <w:r w:rsidR="00F252E0">
        <w:rPr>
          <w:rFonts w:eastAsia="SimSun"/>
          <w:snapToGrid/>
          <w:szCs w:val="22"/>
          <w:lang w:eastAsia="zh-CN"/>
        </w:rPr>
        <w:t xml:space="preserve"> </w:t>
      </w:r>
      <w:proofErr w:type="spellStart"/>
      <w:r w:rsidRPr="007541DA">
        <w:rPr>
          <w:rFonts w:eastAsia="SimSun"/>
          <w:i/>
          <w:iCs/>
          <w:snapToGrid/>
          <w:szCs w:val="22"/>
          <w:lang w:eastAsia="zh-CN"/>
        </w:rPr>
        <w:t>intention</w:t>
      </w:r>
      <w:proofErr w:type="spellEnd"/>
      <w:r w:rsidRPr="007541DA">
        <w:rPr>
          <w:rFonts w:eastAsia="SimSun"/>
          <w:i/>
          <w:iCs/>
          <w:snapToGrid/>
          <w:szCs w:val="22"/>
          <w:lang w:eastAsia="zh-CN"/>
        </w:rPr>
        <w:t>-to-</w:t>
      </w:r>
      <w:proofErr w:type="spellStart"/>
      <w:r w:rsidRPr="007541DA">
        <w:rPr>
          <w:rFonts w:eastAsia="SimSun"/>
          <w:i/>
          <w:iCs/>
          <w:snapToGrid/>
          <w:szCs w:val="22"/>
          <w:lang w:eastAsia="zh-CN"/>
        </w:rPr>
        <w:t>treat</w:t>
      </w:r>
      <w:proofErr w:type="spellEnd"/>
      <w:r w:rsidRPr="007541DA">
        <w:rPr>
          <w:rFonts w:eastAsia="SimSun"/>
          <w:i/>
          <w:iCs/>
          <w:snapToGrid/>
          <w:szCs w:val="22"/>
          <w:lang w:eastAsia="zh-CN"/>
        </w:rPr>
        <w:t xml:space="preserve"> – ITT</w:t>
      </w:r>
      <w:r w:rsidRPr="00722E5E">
        <w:rPr>
          <w:rFonts w:eastAsia="SimSun"/>
          <w:snapToGrid/>
          <w:szCs w:val="22"/>
          <w:lang w:eastAsia="zh-CN"/>
        </w:rPr>
        <w:t>) populiacijos asmenų. Remiantis Jungtinių valstijų sveikatos nacionalinio</w:t>
      </w:r>
      <w:r w:rsidR="000B2297">
        <w:rPr>
          <w:rFonts w:eastAsia="SimSun"/>
          <w:snapToGrid/>
          <w:szCs w:val="22"/>
          <w:lang w:eastAsia="zh-CN"/>
        </w:rPr>
        <w:t xml:space="preserve"> </w:t>
      </w:r>
      <w:r w:rsidRPr="00722E5E">
        <w:rPr>
          <w:rFonts w:eastAsia="SimSun"/>
          <w:snapToGrid/>
          <w:szCs w:val="22"/>
          <w:lang w:eastAsia="zh-CN"/>
        </w:rPr>
        <w:t>instituto (</w:t>
      </w:r>
      <w:r w:rsidRPr="007541DA">
        <w:rPr>
          <w:rFonts w:eastAsia="SimSun"/>
          <w:i/>
          <w:iCs/>
          <w:snapToGrid/>
          <w:szCs w:val="22"/>
          <w:lang w:eastAsia="zh-CN"/>
        </w:rPr>
        <w:t xml:space="preserve">United </w:t>
      </w:r>
      <w:proofErr w:type="spellStart"/>
      <w:r w:rsidRPr="007541DA">
        <w:rPr>
          <w:rFonts w:eastAsia="SimSun"/>
          <w:i/>
          <w:iCs/>
          <w:snapToGrid/>
          <w:szCs w:val="22"/>
          <w:lang w:eastAsia="zh-CN"/>
        </w:rPr>
        <w:t>States</w:t>
      </w:r>
      <w:proofErr w:type="spellEnd"/>
      <w:r w:rsidRPr="007541DA">
        <w:rPr>
          <w:rFonts w:eastAsia="SimSun"/>
          <w:i/>
          <w:iCs/>
          <w:snapToGrid/>
          <w:szCs w:val="22"/>
          <w:lang w:eastAsia="zh-CN"/>
        </w:rPr>
        <w:t xml:space="preserve"> </w:t>
      </w:r>
      <w:proofErr w:type="spellStart"/>
      <w:r w:rsidRPr="007541DA">
        <w:rPr>
          <w:rFonts w:eastAsia="SimSun"/>
          <w:i/>
          <w:iCs/>
          <w:snapToGrid/>
          <w:szCs w:val="22"/>
          <w:lang w:eastAsia="zh-CN"/>
        </w:rPr>
        <w:t>National</w:t>
      </w:r>
      <w:proofErr w:type="spellEnd"/>
      <w:r w:rsidRPr="007541DA">
        <w:rPr>
          <w:rFonts w:eastAsia="SimSun"/>
          <w:i/>
          <w:iCs/>
          <w:snapToGrid/>
          <w:szCs w:val="22"/>
          <w:lang w:eastAsia="zh-CN"/>
        </w:rPr>
        <w:t xml:space="preserve"> </w:t>
      </w:r>
      <w:proofErr w:type="spellStart"/>
      <w:r w:rsidRPr="007541DA">
        <w:rPr>
          <w:rFonts w:eastAsia="SimSun"/>
          <w:i/>
          <w:iCs/>
          <w:snapToGrid/>
          <w:szCs w:val="22"/>
          <w:lang w:eastAsia="zh-CN"/>
        </w:rPr>
        <w:t>Institutes</w:t>
      </w:r>
      <w:proofErr w:type="spellEnd"/>
      <w:r w:rsidRPr="007541DA">
        <w:rPr>
          <w:rFonts w:eastAsia="SimSun"/>
          <w:i/>
          <w:iCs/>
          <w:snapToGrid/>
          <w:szCs w:val="22"/>
          <w:lang w:eastAsia="zh-CN"/>
        </w:rPr>
        <w:t xml:space="preserve"> </w:t>
      </w:r>
      <w:proofErr w:type="spellStart"/>
      <w:r w:rsidRPr="007541DA">
        <w:rPr>
          <w:rFonts w:eastAsia="SimSun"/>
          <w:i/>
          <w:iCs/>
          <w:snapToGrid/>
          <w:szCs w:val="22"/>
          <w:lang w:eastAsia="zh-CN"/>
        </w:rPr>
        <w:t>of</w:t>
      </w:r>
      <w:proofErr w:type="spellEnd"/>
      <w:r w:rsidRPr="007541DA">
        <w:rPr>
          <w:rFonts w:eastAsia="SimSun"/>
          <w:i/>
          <w:iCs/>
          <w:snapToGrid/>
          <w:szCs w:val="22"/>
          <w:lang w:eastAsia="zh-CN"/>
        </w:rPr>
        <w:t xml:space="preserve"> </w:t>
      </w:r>
      <w:proofErr w:type="spellStart"/>
      <w:r w:rsidRPr="007541DA">
        <w:rPr>
          <w:rFonts w:eastAsia="SimSun"/>
          <w:i/>
          <w:iCs/>
          <w:snapToGrid/>
          <w:szCs w:val="22"/>
          <w:lang w:eastAsia="zh-CN"/>
        </w:rPr>
        <w:t>Health</w:t>
      </w:r>
      <w:proofErr w:type="spellEnd"/>
      <w:r w:rsidRPr="007541DA">
        <w:rPr>
          <w:rFonts w:eastAsia="SimSun"/>
          <w:i/>
          <w:iCs/>
          <w:snapToGrid/>
          <w:szCs w:val="22"/>
          <w:lang w:eastAsia="zh-CN"/>
        </w:rPr>
        <w:t xml:space="preserve"> - NIH</w:t>
      </w:r>
      <w:r w:rsidRPr="00722E5E">
        <w:rPr>
          <w:rFonts w:eastAsia="SimSun"/>
          <w:snapToGrid/>
          <w:szCs w:val="22"/>
          <w:lang w:eastAsia="zh-CN"/>
        </w:rPr>
        <w:t>) ir Ginkluotųjų pajėgų patologijos instituto</w:t>
      </w:r>
      <w:r w:rsidR="000B2297">
        <w:rPr>
          <w:rFonts w:eastAsia="SimSun"/>
          <w:snapToGrid/>
          <w:szCs w:val="22"/>
          <w:lang w:eastAsia="zh-CN"/>
        </w:rPr>
        <w:t xml:space="preserve"> </w:t>
      </w:r>
      <w:r w:rsidRPr="00722E5E">
        <w:rPr>
          <w:rFonts w:eastAsia="SimSun"/>
          <w:snapToGrid/>
          <w:szCs w:val="22"/>
          <w:lang w:eastAsia="zh-CN"/>
        </w:rPr>
        <w:t>(</w:t>
      </w:r>
      <w:proofErr w:type="spellStart"/>
      <w:r w:rsidRPr="007541DA">
        <w:rPr>
          <w:rFonts w:eastAsia="SimSun"/>
          <w:i/>
          <w:iCs/>
          <w:snapToGrid/>
          <w:szCs w:val="22"/>
          <w:lang w:eastAsia="zh-CN"/>
        </w:rPr>
        <w:t>Armed</w:t>
      </w:r>
      <w:proofErr w:type="spellEnd"/>
      <w:r w:rsidRPr="007541DA">
        <w:rPr>
          <w:rFonts w:eastAsia="SimSun"/>
          <w:i/>
          <w:iCs/>
          <w:snapToGrid/>
          <w:szCs w:val="22"/>
          <w:lang w:eastAsia="zh-CN"/>
        </w:rPr>
        <w:t xml:space="preserve"> </w:t>
      </w:r>
      <w:proofErr w:type="spellStart"/>
      <w:r w:rsidRPr="007541DA">
        <w:rPr>
          <w:rFonts w:eastAsia="SimSun"/>
          <w:i/>
          <w:iCs/>
          <w:snapToGrid/>
          <w:szCs w:val="22"/>
          <w:lang w:eastAsia="zh-CN"/>
        </w:rPr>
        <w:t>Forces</w:t>
      </w:r>
      <w:proofErr w:type="spellEnd"/>
      <w:r w:rsidRPr="007541DA">
        <w:rPr>
          <w:rFonts w:eastAsia="SimSun"/>
          <w:i/>
          <w:iCs/>
          <w:snapToGrid/>
          <w:szCs w:val="22"/>
          <w:lang w:eastAsia="zh-CN"/>
        </w:rPr>
        <w:t xml:space="preserve"> Institute </w:t>
      </w:r>
      <w:proofErr w:type="spellStart"/>
      <w:r w:rsidRPr="007541DA">
        <w:rPr>
          <w:rFonts w:eastAsia="SimSun"/>
          <w:i/>
          <w:iCs/>
          <w:snapToGrid/>
          <w:szCs w:val="22"/>
          <w:lang w:eastAsia="zh-CN"/>
        </w:rPr>
        <w:t>of</w:t>
      </w:r>
      <w:proofErr w:type="spellEnd"/>
      <w:r w:rsidRPr="007541DA">
        <w:rPr>
          <w:rFonts w:eastAsia="SimSun"/>
          <w:i/>
          <w:iCs/>
          <w:snapToGrid/>
          <w:szCs w:val="22"/>
          <w:lang w:eastAsia="zh-CN"/>
        </w:rPr>
        <w:t xml:space="preserve"> </w:t>
      </w:r>
      <w:proofErr w:type="spellStart"/>
      <w:r w:rsidRPr="007541DA">
        <w:rPr>
          <w:rFonts w:eastAsia="SimSun"/>
          <w:i/>
          <w:iCs/>
          <w:snapToGrid/>
          <w:szCs w:val="22"/>
          <w:lang w:eastAsia="zh-CN"/>
        </w:rPr>
        <w:t>Pathology</w:t>
      </w:r>
      <w:proofErr w:type="spellEnd"/>
      <w:r w:rsidRPr="007541DA">
        <w:rPr>
          <w:rFonts w:eastAsia="SimSun"/>
          <w:i/>
          <w:iCs/>
          <w:snapToGrid/>
          <w:szCs w:val="22"/>
          <w:lang w:eastAsia="zh-CN"/>
        </w:rPr>
        <w:t xml:space="preserve"> – AFIP</w:t>
      </w:r>
      <w:r w:rsidRPr="00722E5E">
        <w:rPr>
          <w:rFonts w:eastAsia="SimSun"/>
          <w:snapToGrid/>
          <w:szCs w:val="22"/>
          <w:lang w:eastAsia="zh-CN"/>
        </w:rPr>
        <w:t>) sudaryta rizikos klasifikacija, pacientų pogrupių</w:t>
      </w:r>
      <w:r w:rsidR="000B2297">
        <w:rPr>
          <w:rFonts w:eastAsia="SimSun"/>
          <w:snapToGrid/>
          <w:szCs w:val="22"/>
          <w:lang w:eastAsia="zh-CN"/>
        </w:rPr>
        <w:t xml:space="preserve"> </w:t>
      </w:r>
      <w:r w:rsidRPr="00722E5E">
        <w:rPr>
          <w:rFonts w:eastAsia="SimSun"/>
          <w:snapToGrid/>
          <w:szCs w:val="22"/>
          <w:lang w:eastAsia="zh-CN"/>
        </w:rPr>
        <w:t>analizės rezultatai pateikti 7</w:t>
      </w:r>
      <w:r w:rsidR="00673686">
        <w:rPr>
          <w:rFonts w:eastAsia="SimSun"/>
          <w:snapToGrid/>
          <w:szCs w:val="22"/>
          <w:lang w:eastAsia="zh-CN"/>
        </w:rPr>
        <w:t> </w:t>
      </w:r>
      <w:r w:rsidRPr="00722E5E">
        <w:rPr>
          <w:rFonts w:eastAsia="SimSun"/>
          <w:snapToGrid/>
          <w:szCs w:val="22"/>
          <w:lang w:eastAsia="zh-CN"/>
        </w:rPr>
        <w:t>lentelėje. Žemos ir labai žemos rizikos grupėje vaistinio preparato naudos</w:t>
      </w:r>
      <w:r w:rsidR="000B2297">
        <w:rPr>
          <w:rFonts w:eastAsia="SimSun"/>
          <w:snapToGrid/>
          <w:szCs w:val="22"/>
          <w:lang w:eastAsia="zh-CN"/>
        </w:rPr>
        <w:t xml:space="preserve"> </w:t>
      </w:r>
      <w:r w:rsidRPr="00722E5E">
        <w:rPr>
          <w:rFonts w:eastAsia="SimSun"/>
          <w:snapToGrid/>
          <w:szCs w:val="22"/>
          <w:lang w:eastAsia="zh-CN"/>
        </w:rPr>
        <w:t>ne</w:t>
      </w:r>
      <w:r w:rsidR="000B2297">
        <w:rPr>
          <w:rFonts w:eastAsia="SimSun"/>
          <w:snapToGrid/>
          <w:szCs w:val="22"/>
          <w:lang w:eastAsia="zh-CN"/>
        </w:rPr>
        <w:t>nustatyta</w:t>
      </w:r>
      <w:r w:rsidRPr="00722E5E">
        <w:rPr>
          <w:rFonts w:eastAsia="SimSun"/>
          <w:snapToGrid/>
          <w:szCs w:val="22"/>
          <w:lang w:eastAsia="zh-CN"/>
        </w:rPr>
        <w:t xml:space="preserve">. Bendram išgyvenamumui naudos </w:t>
      </w:r>
      <w:r w:rsidR="000B2297">
        <w:rPr>
          <w:rFonts w:eastAsia="SimSun"/>
          <w:snapToGrid/>
          <w:szCs w:val="22"/>
          <w:lang w:eastAsia="zh-CN"/>
        </w:rPr>
        <w:t>nenustatyta</w:t>
      </w:r>
      <w:r w:rsidRPr="00722E5E">
        <w:rPr>
          <w:rFonts w:eastAsia="SimSun"/>
          <w:snapToGrid/>
          <w:szCs w:val="22"/>
          <w:lang w:eastAsia="zh-CN"/>
        </w:rPr>
        <w:t>.</w:t>
      </w:r>
    </w:p>
    <w:p w14:paraId="4D7388D7" w14:textId="77777777" w:rsidR="000B2297" w:rsidRDefault="000B2297" w:rsidP="00722E5E">
      <w:pPr>
        <w:spacing w:line="240" w:lineRule="auto"/>
        <w:rPr>
          <w:rFonts w:eastAsia="SimSun"/>
          <w:snapToGrid/>
          <w:szCs w:val="22"/>
          <w:lang w:eastAsia="zh-CN"/>
        </w:rPr>
      </w:pPr>
    </w:p>
    <w:p w14:paraId="64558DB9" w14:textId="5B56F089" w:rsidR="00722E5E" w:rsidRPr="007541DA" w:rsidRDefault="00722E5E" w:rsidP="007541DA">
      <w:pPr>
        <w:spacing w:line="240" w:lineRule="auto"/>
        <w:ind w:left="851" w:hanging="851"/>
        <w:rPr>
          <w:rFonts w:eastAsia="SimSun"/>
          <w:b/>
          <w:bCs/>
          <w:snapToGrid/>
          <w:szCs w:val="22"/>
          <w:lang w:eastAsia="zh-CN"/>
        </w:rPr>
      </w:pPr>
      <w:r w:rsidRPr="007541DA">
        <w:rPr>
          <w:rFonts w:eastAsia="SimSun"/>
          <w:b/>
          <w:bCs/>
          <w:snapToGrid/>
          <w:szCs w:val="22"/>
          <w:lang w:eastAsia="zh-CN"/>
        </w:rPr>
        <w:t>7</w:t>
      </w:r>
      <w:r w:rsidR="00673686">
        <w:rPr>
          <w:rFonts w:eastAsia="SimSun"/>
          <w:b/>
          <w:bCs/>
          <w:snapToGrid/>
          <w:szCs w:val="22"/>
          <w:lang w:eastAsia="zh-CN"/>
        </w:rPr>
        <w:t> </w:t>
      </w:r>
      <w:r w:rsidRPr="007541DA">
        <w:rPr>
          <w:rFonts w:eastAsia="SimSun"/>
          <w:b/>
          <w:bCs/>
          <w:snapToGrid/>
          <w:szCs w:val="22"/>
          <w:lang w:eastAsia="zh-CN"/>
        </w:rPr>
        <w:t>lentelė</w:t>
      </w:r>
      <w:r w:rsidR="000B2297">
        <w:rPr>
          <w:rFonts w:eastAsia="SimSun"/>
          <w:b/>
          <w:bCs/>
          <w:snapToGrid/>
          <w:szCs w:val="22"/>
          <w:lang w:eastAsia="zh-CN"/>
        </w:rPr>
        <w:t>.</w:t>
      </w:r>
      <w:r w:rsidRPr="007541DA">
        <w:rPr>
          <w:rFonts w:eastAsia="SimSun"/>
          <w:b/>
          <w:bCs/>
          <w:snapToGrid/>
          <w:szCs w:val="22"/>
          <w:lang w:eastAsia="zh-CN"/>
        </w:rPr>
        <w:t xml:space="preserve"> Z9001 klinikinio tyrimo RFS analizės pagal NIH ir AFIP rizikos klasifikacijas</w:t>
      </w:r>
      <w:r w:rsidR="000B2297">
        <w:rPr>
          <w:rFonts w:eastAsia="SimSun"/>
          <w:b/>
          <w:bCs/>
          <w:snapToGrid/>
          <w:szCs w:val="22"/>
          <w:lang w:eastAsia="zh-CN"/>
        </w:rPr>
        <w:t xml:space="preserve"> </w:t>
      </w:r>
      <w:r w:rsidRPr="007541DA">
        <w:rPr>
          <w:rFonts w:eastAsia="SimSun"/>
          <w:b/>
          <w:bCs/>
          <w:snapToGrid/>
          <w:szCs w:val="22"/>
          <w:lang w:eastAsia="zh-CN"/>
        </w:rPr>
        <w:t>santrauka</w:t>
      </w:r>
    </w:p>
    <w:p w14:paraId="412AE872" w14:textId="77777777" w:rsidR="000B2297" w:rsidRDefault="000B2297" w:rsidP="00722E5E">
      <w:pPr>
        <w:spacing w:line="240" w:lineRule="auto"/>
        <w:rPr>
          <w:rFonts w:eastAsia="SimSun"/>
          <w:snapToGrid/>
          <w:szCs w:val="22"/>
          <w:lang w:eastAsia="zh-C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274"/>
        <w:gridCol w:w="1133"/>
        <w:gridCol w:w="1732"/>
        <w:gridCol w:w="1638"/>
        <w:gridCol w:w="1363"/>
        <w:gridCol w:w="1394"/>
      </w:tblGrid>
      <w:tr w:rsidR="000B2297" w:rsidRPr="00F27211" w14:paraId="799FA03E" w14:textId="77777777" w:rsidTr="00705378">
        <w:tc>
          <w:tcPr>
            <w:tcW w:w="1072" w:type="dxa"/>
            <w:vMerge w:val="restart"/>
          </w:tcPr>
          <w:p w14:paraId="26242905" w14:textId="77777777" w:rsidR="000B2297" w:rsidRPr="00F27211" w:rsidRDefault="000B2297" w:rsidP="00DC2054">
            <w:pPr>
              <w:rPr>
                <w:b/>
                <w:bCs/>
                <w:szCs w:val="22"/>
              </w:rPr>
            </w:pPr>
            <w:r w:rsidRPr="00F27211">
              <w:rPr>
                <w:b/>
                <w:bCs/>
                <w:szCs w:val="22"/>
              </w:rPr>
              <w:t>R</w:t>
            </w:r>
            <w:r>
              <w:rPr>
                <w:b/>
                <w:bCs/>
                <w:szCs w:val="22"/>
              </w:rPr>
              <w:t>izikos kriterijai</w:t>
            </w:r>
          </w:p>
        </w:tc>
        <w:tc>
          <w:tcPr>
            <w:tcW w:w="1274" w:type="dxa"/>
            <w:vMerge w:val="restart"/>
          </w:tcPr>
          <w:p w14:paraId="544662DB" w14:textId="77777777" w:rsidR="000B2297" w:rsidRPr="00F27211" w:rsidRDefault="000B2297" w:rsidP="00DC2054">
            <w:pPr>
              <w:rPr>
                <w:b/>
                <w:bCs/>
                <w:szCs w:val="22"/>
              </w:rPr>
            </w:pPr>
            <w:r w:rsidRPr="00F27211">
              <w:rPr>
                <w:b/>
                <w:bCs/>
                <w:szCs w:val="22"/>
              </w:rPr>
              <w:t>Ri</w:t>
            </w:r>
            <w:r>
              <w:rPr>
                <w:b/>
                <w:bCs/>
                <w:szCs w:val="22"/>
              </w:rPr>
              <w:t>zikos lygis</w:t>
            </w:r>
          </w:p>
        </w:tc>
        <w:tc>
          <w:tcPr>
            <w:tcW w:w="1133" w:type="dxa"/>
            <w:vMerge w:val="restart"/>
          </w:tcPr>
          <w:p w14:paraId="2B4B54AF" w14:textId="77777777" w:rsidR="000B2297" w:rsidRPr="00F27211" w:rsidRDefault="000B2297" w:rsidP="00DC2054">
            <w:pPr>
              <w:rPr>
                <w:b/>
                <w:bCs/>
                <w:szCs w:val="22"/>
              </w:rPr>
            </w:pPr>
            <w:r>
              <w:rPr>
                <w:b/>
                <w:bCs/>
                <w:szCs w:val="22"/>
              </w:rPr>
              <w:t>Pacientų procentas</w:t>
            </w:r>
          </w:p>
        </w:tc>
        <w:tc>
          <w:tcPr>
            <w:tcW w:w="1732" w:type="dxa"/>
            <w:vMerge w:val="restart"/>
          </w:tcPr>
          <w:p w14:paraId="03FC9159" w14:textId="77777777" w:rsidR="000B2297" w:rsidRPr="00F27211" w:rsidRDefault="000B2297" w:rsidP="00DC2054">
            <w:pPr>
              <w:rPr>
                <w:b/>
                <w:bCs/>
                <w:szCs w:val="22"/>
              </w:rPr>
            </w:pPr>
            <w:r>
              <w:rPr>
                <w:b/>
                <w:bCs/>
                <w:szCs w:val="22"/>
              </w:rPr>
              <w:t>Atvejų skaičius</w:t>
            </w:r>
            <w:r w:rsidRPr="00F27211">
              <w:rPr>
                <w:b/>
                <w:bCs/>
                <w:szCs w:val="22"/>
              </w:rPr>
              <w:t xml:space="preserve"> / </w:t>
            </w:r>
            <w:r>
              <w:rPr>
                <w:b/>
                <w:bCs/>
                <w:szCs w:val="22"/>
              </w:rPr>
              <w:t>Pacientų skaičius</w:t>
            </w:r>
          </w:p>
        </w:tc>
        <w:tc>
          <w:tcPr>
            <w:tcW w:w="1638" w:type="dxa"/>
            <w:vMerge w:val="restart"/>
          </w:tcPr>
          <w:p w14:paraId="0B60B9A9" w14:textId="77777777" w:rsidR="000B2297" w:rsidRPr="00F27211" w:rsidRDefault="000B2297" w:rsidP="00DC2054">
            <w:pPr>
              <w:rPr>
                <w:b/>
                <w:bCs/>
                <w:szCs w:val="22"/>
              </w:rPr>
            </w:pPr>
            <w:r>
              <w:rPr>
                <w:b/>
                <w:bCs/>
                <w:szCs w:val="22"/>
              </w:rPr>
              <w:t>Bendras</w:t>
            </w:r>
            <w:r w:rsidR="00705378">
              <w:rPr>
                <w:b/>
                <w:bCs/>
                <w:szCs w:val="22"/>
              </w:rPr>
              <w:t>i</w:t>
            </w:r>
            <w:r>
              <w:rPr>
                <w:b/>
                <w:bCs/>
                <w:szCs w:val="22"/>
              </w:rPr>
              <w:t>s rizikos santykis</w:t>
            </w:r>
            <w:r w:rsidRPr="00F27211">
              <w:rPr>
                <w:b/>
                <w:bCs/>
                <w:szCs w:val="22"/>
              </w:rPr>
              <w:t xml:space="preserve"> (95%</w:t>
            </w:r>
            <w:r>
              <w:rPr>
                <w:b/>
                <w:bCs/>
                <w:szCs w:val="22"/>
              </w:rPr>
              <w:t>P</w:t>
            </w:r>
            <w:r w:rsidRPr="00F27211">
              <w:rPr>
                <w:b/>
                <w:bCs/>
                <w:szCs w:val="22"/>
              </w:rPr>
              <w:t>I)</w:t>
            </w:r>
            <w:r w:rsidRPr="00F27211">
              <w:rPr>
                <w:b/>
                <w:bCs/>
                <w:szCs w:val="22"/>
                <w:vertAlign w:val="superscript"/>
              </w:rPr>
              <w:t>*</w:t>
            </w:r>
          </w:p>
        </w:tc>
        <w:tc>
          <w:tcPr>
            <w:tcW w:w="2757" w:type="dxa"/>
            <w:gridSpan w:val="2"/>
          </w:tcPr>
          <w:p w14:paraId="18BF2FF6" w14:textId="77777777" w:rsidR="000B2297" w:rsidRPr="00F27211" w:rsidRDefault="000B2297" w:rsidP="00DC2054">
            <w:pPr>
              <w:jc w:val="center"/>
              <w:rPr>
                <w:b/>
                <w:bCs/>
                <w:szCs w:val="22"/>
              </w:rPr>
            </w:pPr>
            <w:r w:rsidRPr="00F27211">
              <w:rPr>
                <w:b/>
                <w:bCs/>
                <w:szCs w:val="22"/>
              </w:rPr>
              <w:t xml:space="preserve">RFS </w:t>
            </w:r>
            <w:r>
              <w:rPr>
                <w:b/>
                <w:bCs/>
                <w:szCs w:val="22"/>
              </w:rPr>
              <w:t>dažnis</w:t>
            </w:r>
            <w:r w:rsidRPr="00F27211">
              <w:rPr>
                <w:b/>
                <w:bCs/>
                <w:szCs w:val="22"/>
              </w:rPr>
              <w:t xml:space="preserve"> (%)</w:t>
            </w:r>
          </w:p>
        </w:tc>
      </w:tr>
      <w:tr w:rsidR="000B2297" w:rsidRPr="00F27211" w14:paraId="611F4DCC" w14:textId="77777777" w:rsidTr="00705378">
        <w:tc>
          <w:tcPr>
            <w:tcW w:w="1072" w:type="dxa"/>
            <w:vMerge/>
          </w:tcPr>
          <w:p w14:paraId="7BD36D58" w14:textId="77777777" w:rsidR="000B2297" w:rsidRPr="00F27211" w:rsidRDefault="000B2297" w:rsidP="00DC2054">
            <w:pPr>
              <w:rPr>
                <w:b/>
                <w:bCs/>
                <w:szCs w:val="22"/>
              </w:rPr>
            </w:pPr>
          </w:p>
        </w:tc>
        <w:tc>
          <w:tcPr>
            <w:tcW w:w="1274" w:type="dxa"/>
            <w:vMerge/>
          </w:tcPr>
          <w:p w14:paraId="7916CEDD" w14:textId="77777777" w:rsidR="000B2297" w:rsidRPr="00F27211" w:rsidRDefault="000B2297" w:rsidP="00DC2054">
            <w:pPr>
              <w:rPr>
                <w:b/>
                <w:bCs/>
                <w:szCs w:val="22"/>
              </w:rPr>
            </w:pPr>
          </w:p>
        </w:tc>
        <w:tc>
          <w:tcPr>
            <w:tcW w:w="1133" w:type="dxa"/>
            <w:vMerge/>
          </w:tcPr>
          <w:p w14:paraId="7B0AE4E6" w14:textId="77777777" w:rsidR="000B2297" w:rsidRPr="00F27211" w:rsidRDefault="000B2297" w:rsidP="00DC2054">
            <w:pPr>
              <w:rPr>
                <w:b/>
                <w:bCs/>
                <w:szCs w:val="22"/>
              </w:rPr>
            </w:pPr>
          </w:p>
        </w:tc>
        <w:tc>
          <w:tcPr>
            <w:tcW w:w="1732" w:type="dxa"/>
            <w:vMerge/>
          </w:tcPr>
          <w:p w14:paraId="6BFC4C0E" w14:textId="77777777" w:rsidR="000B2297" w:rsidRPr="00F27211" w:rsidRDefault="000B2297" w:rsidP="00DC2054">
            <w:pPr>
              <w:rPr>
                <w:b/>
                <w:bCs/>
                <w:szCs w:val="22"/>
              </w:rPr>
            </w:pPr>
          </w:p>
        </w:tc>
        <w:tc>
          <w:tcPr>
            <w:tcW w:w="1638" w:type="dxa"/>
            <w:vMerge/>
          </w:tcPr>
          <w:p w14:paraId="48FEA2B5" w14:textId="77777777" w:rsidR="000B2297" w:rsidRPr="00F27211" w:rsidRDefault="000B2297" w:rsidP="00DC2054">
            <w:pPr>
              <w:rPr>
                <w:b/>
                <w:bCs/>
                <w:szCs w:val="22"/>
              </w:rPr>
            </w:pPr>
          </w:p>
        </w:tc>
        <w:tc>
          <w:tcPr>
            <w:tcW w:w="1363" w:type="dxa"/>
          </w:tcPr>
          <w:p w14:paraId="6BB4C9B3" w14:textId="77777777" w:rsidR="000B2297" w:rsidRPr="00F27211" w:rsidRDefault="000B2297" w:rsidP="00DC2054">
            <w:pPr>
              <w:rPr>
                <w:b/>
                <w:bCs/>
                <w:szCs w:val="22"/>
              </w:rPr>
            </w:pPr>
            <w:r w:rsidRPr="00F27211">
              <w:rPr>
                <w:b/>
                <w:bCs/>
                <w:szCs w:val="22"/>
              </w:rPr>
              <w:t xml:space="preserve">12 </w:t>
            </w:r>
            <w:r>
              <w:rPr>
                <w:b/>
                <w:bCs/>
                <w:szCs w:val="22"/>
              </w:rPr>
              <w:t>mėn.</w:t>
            </w:r>
          </w:p>
        </w:tc>
        <w:tc>
          <w:tcPr>
            <w:tcW w:w="1394" w:type="dxa"/>
          </w:tcPr>
          <w:p w14:paraId="11AAD0F7" w14:textId="77777777" w:rsidR="000B2297" w:rsidRPr="00F27211" w:rsidRDefault="000B2297" w:rsidP="00DC2054">
            <w:pPr>
              <w:rPr>
                <w:b/>
                <w:bCs/>
                <w:szCs w:val="22"/>
              </w:rPr>
            </w:pPr>
            <w:r w:rsidRPr="00F27211">
              <w:rPr>
                <w:b/>
                <w:bCs/>
                <w:szCs w:val="22"/>
              </w:rPr>
              <w:t xml:space="preserve">24 </w:t>
            </w:r>
            <w:r>
              <w:rPr>
                <w:b/>
                <w:bCs/>
                <w:szCs w:val="22"/>
              </w:rPr>
              <w:t>mėn.</w:t>
            </w:r>
          </w:p>
        </w:tc>
      </w:tr>
      <w:tr w:rsidR="000B2297" w:rsidRPr="00F27211" w14:paraId="767952E8" w14:textId="77777777" w:rsidTr="00705378">
        <w:tc>
          <w:tcPr>
            <w:tcW w:w="1072" w:type="dxa"/>
            <w:vMerge/>
          </w:tcPr>
          <w:p w14:paraId="08F8828C" w14:textId="77777777" w:rsidR="000B2297" w:rsidRPr="00F27211" w:rsidRDefault="000B2297" w:rsidP="00DC2054">
            <w:pPr>
              <w:rPr>
                <w:b/>
                <w:bCs/>
                <w:szCs w:val="22"/>
              </w:rPr>
            </w:pPr>
          </w:p>
        </w:tc>
        <w:tc>
          <w:tcPr>
            <w:tcW w:w="1274" w:type="dxa"/>
            <w:vMerge/>
            <w:tcBorders>
              <w:bottom w:val="single" w:sz="4" w:space="0" w:color="auto"/>
            </w:tcBorders>
          </w:tcPr>
          <w:p w14:paraId="40B4FCDE" w14:textId="77777777" w:rsidR="000B2297" w:rsidRPr="00F27211" w:rsidRDefault="000B2297" w:rsidP="00DC2054">
            <w:pPr>
              <w:rPr>
                <w:b/>
                <w:bCs/>
                <w:szCs w:val="22"/>
              </w:rPr>
            </w:pPr>
          </w:p>
        </w:tc>
        <w:tc>
          <w:tcPr>
            <w:tcW w:w="1133" w:type="dxa"/>
            <w:vMerge/>
            <w:tcBorders>
              <w:bottom w:val="single" w:sz="4" w:space="0" w:color="auto"/>
            </w:tcBorders>
          </w:tcPr>
          <w:p w14:paraId="7A55997A" w14:textId="77777777" w:rsidR="000B2297" w:rsidRPr="00F27211" w:rsidRDefault="000B2297" w:rsidP="00DC2054">
            <w:pPr>
              <w:rPr>
                <w:b/>
                <w:bCs/>
                <w:szCs w:val="22"/>
              </w:rPr>
            </w:pPr>
          </w:p>
        </w:tc>
        <w:tc>
          <w:tcPr>
            <w:tcW w:w="1732" w:type="dxa"/>
            <w:tcBorders>
              <w:bottom w:val="single" w:sz="4" w:space="0" w:color="auto"/>
            </w:tcBorders>
          </w:tcPr>
          <w:p w14:paraId="40EDCC70" w14:textId="77777777" w:rsidR="000B2297" w:rsidRPr="00F27211" w:rsidRDefault="00FC3A91" w:rsidP="00DC2054">
            <w:pPr>
              <w:rPr>
                <w:b/>
                <w:bCs/>
                <w:szCs w:val="22"/>
              </w:rPr>
            </w:pPr>
            <w:proofErr w:type="spellStart"/>
            <w:r>
              <w:rPr>
                <w:b/>
                <w:bCs/>
                <w:szCs w:val="22"/>
              </w:rPr>
              <w:t>Imatinibas</w:t>
            </w:r>
            <w:proofErr w:type="spellEnd"/>
            <w:r>
              <w:rPr>
                <w:b/>
                <w:bCs/>
                <w:szCs w:val="22"/>
              </w:rPr>
              <w:t>, palyginti su placebu</w:t>
            </w:r>
          </w:p>
        </w:tc>
        <w:tc>
          <w:tcPr>
            <w:tcW w:w="1638" w:type="dxa"/>
            <w:vMerge/>
            <w:tcBorders>
              <w:bottom w:val="single" w:sz="4" w:space="0" w:color="auto"/>
            </w:tcBorders>
          </w:tcPr>
          <w:p w14:paraId="7DC8CCE9" w14:textId="77777777" w:rsidR="000B2297" w:rsidRPr="00F27211" w:rsidRDefault="000B2297" w:rsidP="00DC2054">
            <w:pPr>
              <w:rPr>
                <w:b/>
                <w:bCs/>
                <w:szCs w:val="22"/>
              </w:rPr>
            </w:pPr>
          </w:p>
        </w:tc>
        <w:tc>
          <w:tcPr>
            <w:tcW w:w="1363" w:type="dxa"/>
            <w:tcBorders>
              <w:bottom w:val="single" w:sz="4" w:space="0" w:color="auto"/>
            </w:tcBorders>
          </w:tcPr>
          <w:p w14:paraId="1B69F9E3" w14:textId="77777777" w:rsidR="000B2297" w:rsidRPr="00F27211" w:rsidRDefault="000B2297" w:rsidP="00DC2054">
            <w:pPr>
              <w:rPr>
                <w:b/>
                <w:bCs/>
                <w:szCs w:val="22"/>
              </w:rPr>
            </w:pPr>
            <w:proofErr w:type="spellStart"/>
            <w:r>
              <w:rPr>
                <w:b/>
                <w:bCs/>
                <w:szCs w:val="22"/>
              </w:rPr>
              <w:t>Imatinibas</w:t>
            </w:r>
            <w:proofErr w:type="spellEnd"/>
            <w:r>
              <w:rPr>
                <w:b/>
                <w:bCs/>
                <w:szCs w:val="22"/>
              </w:rPr>
              <w:t>, palyginti su placebu</w:t>
            </w:r>
          </w:p>
        </w:tc>
        <w:tc>
          <w:tcPr>
            <w:tcW w:w="1394" w:type="dxa"/>
            <w:tcBorders>
              <w:bottom w:val="single" w:sz="4" w:space="0" w:color="auto"/>
            </w:tcBorders>
          </w:tcPr>
          <w:p w14:paraId="4BA43B07" w14:textId="77777777" w:rsidR="000B2297" w:rsidRPr="00F27211" w:rsidRDefault="000B2297" w:rsidP="00DC2054">
            <w:pPr>
              <w:rPr>
                <w:b/>
                <w:bCs/>
                <w:szCs w:val="22"/>
              </w:rPr>
            </w:pPr>
            <w:proofErr w:type="spellStart"/>
            <w:r>
              <w:rPr>
                <w:b/>
                <w:bCs/>
                <w:szCs w:val="22"/>
              </w:rPr>
              <w:t>Imatinibas</w:t>
            </w:r>
            <w:proofErr w:type="spellEnd"/>
            <w:r>
              <w:rPr>
                <w:b/>
                <w:bCs/>
                <w:szCs w:val="22"/>
              </w:rPr>
              <w:t>, palyginti su placebu</w:t>
            </w:r>
          </w:p>
        </w:tc>
      </w:tr>
      <w:tr w:rsidR="000B2297" w:rsidRPr="00F27211" w14:paraId="37DD9829" w14:textId="77777777" w:rsidTr="00705378">
        <w:tc>
          <w:tcPr>
            <w:tcW w:w="1072" w:type="dxa"/>
            <w:vMerge w:val="restart"/>
            <w:tcBorders>
              <w:right w:val="single" w:sz="4" w:space="0" w:color="auto"/>
            </w:tcBorders>
          </w:tcPr>
          <w:p w14:paraId="276E868B" w14:textId="77777777" w:rsidR="000B2297" w:rsidRPr="00F27211" w:rsidRDefault="000B2297" w:rsidP="00DC2054">
            <w:pPr>
              <w:rPr>
                <w:szCs w:val="22"/>
              </w:rPr>
            </w:pPr>
            <w:r w:rsidRPr="00F27211">
              <w:rPr>
                <w:szCs w:val="22"/>
              </w:rPr>
              <w:t>NIH</w:t>
            </w:r>
          </w:p>
        </w:tc>
        <w:tc>
          <w:tcPr>
            <w:tcW w:w="1274" w:type="dxa"/>
            <w:tcBorders>
              <w:top w:val="single" w:sz="4" w:space="0" w:color="auto"/>
              <w:left w:val="single" w:sz="4" w:space="0" w:color="auto"/>
              <w:bottom w:val="nil"/>
              <w:right w:val="single" w:sz="4" w:space="0" w:color="auto"/>
            </w:tcBorders>
          </w:tcPr>
          <w:p w14:paraId="562C4A80" w14:textId="77777777" w:rsidR="000B2297" w:rsidRPr="00F27211" w:rsidRDefault="00FC3A91" w:rsidP="00DC2054">
            <w:pPr>
              <w:rPr>
                <w:szCs w:val="22"/>
              </w:rPr>
            </w:pPr>
            <w:r>
              <w:rPr>
                <w:szCs w:val="22"/>
              </w:rPr>
              <w:t>Žemas</w:t>
            </w:r>
          </w:p>
        </w:tc>
        <w:tc>
          <w:tcPr>
            <w:tcW w:w="1133" w:type="dxa"/>
            <w:tcBorders>
              <w:top w:val="single" w:sz="4" w:space="0" w:color="auto"/>
              <w:left w:val="single" w:sz="4" w:space="0" w:color="auto"/>
              <w:bottom w:val="nil"/>
              <w:right w:val="single" w:sz="4" w:space="0" w:color="auto"/>
            </w:tcBorders>
          </w:tcPr>
          <w:p w14:paraId="7C32FFB1" w14:textId="77777777" w:rsidR="000B2297" w:rsidRPr="00F27211" w:rsidRDefault="000B2297" w:rsidP="00DC2054">
            <w:pPr>
              <w:rPr>
                <w:szCs w:val="22"/>
              </w:rPr>
            </w:pPr>
            <w:r w:rsidRPr="00F27211">
              <w:rPr>
                <w:szCs w:val="22"/>
              </w:rPr>
              <w:t>29</w:t>
            </w:r>
            <w:r w:rsidR="00FC3A91">
              <w:rPr>
                <w:szCs w:val="22"/>
              </w:rPr>
              <w:t>,</w:t>
            </w:r>
            <w:r w:rsidRPr="00F27211">
              <w:rPr>
                <w:szCs w:val="22"/>
              </w:rPr>
              <w:t>5</w:t>
            </w:r>
          </w:p>
        </w:tc>
        <w:tc>
          <w:tcPr>
            <w:tcW w:w="1732" w:type="dxa"/>
            <w:tcBorders>
              <w:top w:val="single" w:sz="4" w:space="0" w:color="auto"/>
              <w:left w:val="single" w:sz="4" w:space="0" w:color="auto"/>
              <w:bottom w:val="nil"/>
              <w:right w:val="single" w:sz="4" w:space="0" w:color="auto"/>
            </w:tcBorders>
          </w:tcPr>
          <w:p w14:paraId="4B88186B" w14:textId="77777777" w:rsidR="000B2297" w:rsidRPr="00F27211" w:rsidRDefault="000B2297" w:rsidP="00DC2054">
            <w:pPr>
              <w:rPr>
                <w:szCs w:val="22"/>
              </w:rPr>
            </w:pPr>
            <w:r w:rsidRPr="00F27211">
              <w:rPr>
                <w:szCs w:val="22"/>
              </w:rPr>
              <w:t>0/86</w:t>
            </w:r>
            <w:r w:rsidR="00FC3A91">
              <w:rPr>
                <w:szCs w:val="22"/>
              </w:rPr>
              <w:t>,</w:t>
            </w:r>
            <w:r w:rsidRPr="00F27211">
              <w:rPr>
                <w:szCs w:val="22"/>
              </w:rPr>
              <w:t xml:space="preserve"> </w:t>
            </w:r>
            <w:r w:rsidR="00FC3A91">
              <w:rPr>
                <w:szCs w:val="22"/>
              </w:rPr>
              <w:t>palyginti su</w:t>
            </w:r>
            <w:r w:rsidRPr="00F27211">
              <w:rPr>
                <w:szCs w:val="22"/>
              </w:rPr>
              <w:t xml:space="preserve"> 2/90</w:t>
            </w:r>
          </w:p>
        </w:tc>
        <w:tc>
          <w:tcPr>
            <w:tcW w:w="1638" w:type="dxa"/>
            <w:tcBorders>
              <w:top w:val="single" w:sz="4" w:space="0" w:color="auto"/>
              <w:left w:val="single" w:sz="4" w:space="0" w:color="auto"/>
              <w:bottom w:val="nil"/>
              <w:right w:val="single" w:sz="4" w:space="0" w:color="auto"/>
            </w:tcBorders>
          </w:tcPr>
          <w:p w14:paraId="3F1DA919" w14:textId="77777777" w:rsidR="000B2297" w:rsidRPr="00F27211" w:rsidRDefault="000B2297" w:rsidP="00DC2054">
            <w:pPr>
              <w:rPr>
                <w:szCs w:val="22"/>
              </w:rPr>
            </w:pPr>
            <w:r w:rsidRPr="00F27211">
              <w:rPr>
                <w:szCs w:val="22"/>
              </w:rPr>
              <w:t>N.E.</w:t>
            </w:r>
          </w:p>
        </w:tc>
        <w:tc>
          <w:tcPr>
            <w:tcW w:w="1363" w:type="dxa"/>
            <w:tcBorders>
              <w:top w:val="single" w:sz="4" w:space="0" w:color="auto"/>
              <w:left w:val="single" w:sz="4" w:space="0" w:color="auto"/>
              <w:bottom w:val="nil"/>
              <w:right w:val="single" w:sz="4" w:space="0" w:color="auto"/>
            </w:tcBorders>
          </w:tcPr>
          <w:p w14:paraId="6FECF0F5" w14:textId="77777777" w:rsidR="000B2297" w:rsidRPr="00F27211" w:rsidRDefault="000B2297" w:rsidP="00DC2054">
            <w:pPr>
              <w:rPr>
                <w:szCs w:val="22"/>
              </w:rPr>
            </w:pPr>
            <w:r w:rsidRPr="00F27211">
              <w:rPr>
                <w:szCs w:val="22"/>
              </w:rPr>
              <w:t>100</w:t>
            </w:r>
            <w:r w:rsidR="00FC3A91">
              <w:rPr>
                <w:szCs w:val="22"/>
              </w:rPr>
              <w:t>,</w:t>
            </w:r>
            <w:r w:rsidR="00FC3A91" w:rsidRPr="00F27211">
              <w:rPr>
                <w:szCs w:val="22"/>
              </w:rPr>
              <w:t xml:space="preserve"> </w:t>
            </w:r>
            <w:r w:rsidR="00FC3A91">
              <w:rPr>
                <w:szCs w:val="22"/>
              </w:rPr>
              <w:t>palyginti su</w:t>
            </w:r>
            <w:r w:rsidRPr="00F27211">
              <w:rPr>
                <w:szCs w:val="22"/>
              </w:rPr>
              <w:t xml:space="preserve"> 98</w:t>
            </w:r>
            <w:r w:rsidR="00FC3A91">
              <w:rPr>
                <w:szCs w:val="22"/>
              </w:rPr>
              <w:t>,</w:t>
            </w:r>
            <w:r w:rsidRPr="00F27211">
              <w:rPr>
                <w:szCs w:val="22"/>
              </w:rPr>
              <w:t>7</w:t>
            </w:r>
          </w:p>
        </w:tc>
        <w:tc>
          <w:tcPr>
            <w:tcW w:w="1394" w:type="dxa"/>
            <w:tcBorders>
              <w:top w:val="single" w:sz="4" w:space="0" w:color="auto"/>
              <w:left w:val="single" w:sz="4" w:space="0" w:color="auto"/>
              <w:bottom w:val="nil"/>
              <w:right w:val="single" w:sz="4" w:space="0" w:color="auto"/>
            </w:tcBorders>
          </w:tcPr>
          <w:p w14:paraId="6FE4CEC7" w14:textId="77777777" w:rsidR="000B2297" w:rsidRPr="00F27211" w:rsidRDefault="000B2297" w:rsidP="00DC2054">
            <w:pPr>
              <w:rPr>
                <w:szCs w:val="22"/>
              </w:rPr>
            </w:pPr>
            <w:r w:rsidRPr="00F27211">
              <w:rPr>
                <w:szCs w:val="22"/>
              </w:rPr>
              <w:t>100</w:t>
            </w:r>
            <w:r w:rsidR="00705378">
              <w:rPr>
                <w:szCs w:val="22"/>
              </w:rPr>
              <w:t>,</w:t>
            </w:r>
            <w:r w:rsidR="00705378" w:rsidRPr="00F27211">
              <w:rPr>
                <w:szCs w:val="22"/>
              </w:rPr>
              <w:t xml:space="preserve"> </w:t>
            </w:r>
            <w:r w:rsidR="00705378">
              <w:rPr>
                <w:szCs w:val="22"/>
              </w:rPr>
              <w:t>palyginti su</w:t>
            </w:r>
            <w:r w:rsidR="00705378" w:rsidRPr="00F27211">
              <w:rPr>
                <w:szCs w:val="22"/>
              </w:rPr>
              <w:t xml:space="preserve"> </w:t>
            </w:r>
            <w:r w:rsidRPr="00F27211">
              <w:rPr>
                <w:szCs w:val="22"/>
              </w:rPr>
              <w:t>95</w:t>
            </w:r>
            <w:r w:rsidR="00705378">
              <w:rPr>
                <w:szCs w:val="22"/>
              </w:rPr>
              <w:t>,</w:t>
            </w:r>
            <w:r w:rsidRPr="00F27211">
              <w:rPr>
                <w:szCs w:val="22"/>
              </w:rPr>
              <w:t>5</w:t>
            </w:r>
          </w:p>
        </w:tc>
      </w:tr>
      <w:tr w:rsidR="000B2297" w:rsidRPr="00F27211" w14:paraId="1971067A" w14:textId="77777777" w:rsidTr="00705378">
        <w:tc>
          <w:tcPr>
            <w:tcW w:w="1072" w:type="dxa"/>
            <w:vMerge/>
            <w:tcBorders>
              <w:right w:val="single" w:sz="4" w:space="0" w:color="auto"/>
            </w:tcBorders>
          </w:tcPr>
          <w:p w14:paraId="4B233E13" w14:textId="77777777" w:rsidR="000B2297" w:rsidRPr="00F27211" w:rsidRDefault="000B2297" w:rsidP="00DC2054">
            <w:pPr>
              <w:rPr>
                <w:szCs w:val="22"/>
              </w:rPr>
            </w:pPr>
          </w:p>
        </w:tc>
        <w:tc>
          <w:tcPr>
            <w:tcW w:w="1274" w:type="dxa"/>
            <w:tcBorders>
              <w:top w:val="nil"/>
              <w:left w:val="single" w:sz="4" w:space="0" w:color="auto"/>
              <w:bottom w:val="nil"/>
              <w:right w:val="single" w:sz="4" w:space="0" w:color="auto"/>
            </w:tcBorders>
          </w:tcPr>
          <w:p w14:paraId="22114F4C" w14:textId="77777777" w:rsidR="000B2297" w:rsidRPr="00F27211" w:rsidRDefault="00FC3A91" w:rsidP="00DC2054">
            <w:pPr>
              <w:rPr>
                <w:szCs w:val="22"/>
              </w:rPr>
            </w:pPr>
            <w:r>
              <w:rPr>
                <w:szCs w:val="22"/>
              </w:rPr>
              <w:t>Vidutinis</w:t>
            </w:r>
          </w:p>
        </w:tc>
        <w:tc>
          <w:tcPr>
            <w:tcW w:w="1133" w:type="dxa"/>
            <w:tcBorders>
              <w:top w:val="nil"/>
              <w:left w:val="single" w:sz="4" w:space="0" w:color="auto"/>
              <w:bottom w:val="nil"/>
              <w:right w:val="single" w:sz="4" w:space="0" w:color="auto"/>
            </w:tcBorders>
          </w:tcPr>
          <w:p w14:paraId="0D1BDBC6" w14:textId="77777777" w:rsidR="000B2297" w:rsidRPr="00F27211" w:rsidRDefault="000B2297" w:rsidP="00DC2054">
            <w:pPr>
              <w:rPr>
                <w:szCs w:val="22"/>
              </w:rPr>
            </w:pPr>
            <w:r w:rsidRPr="00F27211">
              <w:rPr>
                <w:szCs w:val="22"/>
              </w:rPr>
              <w:t>25</w:t>
            </w:r>
            <w:r w:rsidR="00FC3A91">
              <w:rPr>
                <w:szCs w:val="22"/>
              </w:rPr>
              <w:t>,</w:t>
            </w:r>
            <w:r w:rsidRPr="00F27211">
              <w:rPr>
                <w:szCs w:val="22"/>
              </w:rPr>
              <w:t>7</w:t>
            </w:r>
          </w:p>
        </w:tc>
        <w:tc>
          <w:tcPr>
            <w:tcW w:w="1732" w:type="dxa"/>
            <w:tcBorders>
              <w:top w:val="nil"/>
              <w:left w:val="single" w:sz="4" w:space="0" w:color="auto"/>
              <w:bottom w:val="nil"/>
              <w:right w:val="single" w:sz="4" w:space="0" w:color="auto"/>
            </w:tcBorders>
          </w:tcPr>
          <w:p w14:paraId="00CAE126" w14:textId="77777777" w:rsidR="000B2297" w:rsidRPr="00F27211" w:rsidRDefault="000B2297" w:rsidP="00DC2054">
            <w:pPr>
              <w:rPr>
                <w:szCs w:val="22"/>
              </w:rPr>
            </w:pPr>
            <w:r w:rsidRPr="00F27211">
              <w:rPr>
                <w:szCs w:val="22"/>
              </w:rPr>
              <w:t>4/75</w:t>
            </w:r>
            <w:r w:rsidR="00FC3A91">
              <w:rPr>
                <w:szCs w:val="22"/>
              </w:rPr>
              <w:t>,</w:t>
            </w:r>
            <w:r w:rsidRPr="00F27211">
              <w:rPr>
                <w:szCs w:val="22"/>
              </w:rPr>
              <w:t xml:space="preserve"> </w:t>
            </w:r>
            <w:r w:rsidR="00FC3A91">
              <w:rPr>
                <w:szCs w:val="22"/>
              </w:rPr>
              <w:t>palyginti su</w:t>
            </w:r>
            <w:r w:rsidRPr="00F27211">
              <w:rPr>
                <w:szCs w:val="22"/>
              </w:rPr>
              <w:t xml:space="preserve"> 6/78</w:t>
            </w:r>
          </w:p>
        </w:tc>
        <w:tc>
          <w:tcPr>
            <w:tcW w:w="1638" w:type="dxa"/>
            <w:tcBorders>
              <w:top w:val="nil"/>
              <w:left w:val="single" w:sz="4" w:space="0" w:color="auto"/>
              <w:bottom w:val="nil"/>
              <w:right w:val="single" w:sz="4" w:space="0" w:color="auto"/>
            </w:tcBorders>
          </w:tcPr>
          <w:p w14:paraId="022C1459" w14:textId="77777777" w:rsidR="000B2297" w:rsidRPr="00F27211" w:rsidRDefault="000B2297" w:rsidP="00DC2054">
            <w:pPr>
              <w:rPr>
                <w:szCs w:val="22"/>
              </w:rPr>
            </w:pPr>
            <w:r w:rsidRPr="00F27211">
              <w:rPr>
                <w:szCs w:val="22"/>
              </w:rPr>
              <w:t>0</w:t>
            </w:r>
            <w:r w:rsidR="00FC3A91">
              <w:rPr>
                <w:szCs w:val="22"/>
              </w:rPr>
              <w:t>,</w:t>
            </w:r>
            <w:r w:rsidRPr="00F27211">
              <w:rPr>
                <w:szCs w:val="22"/>
              </w:rPr>
              <w:t>59 (0</w:t>
            </w:r>
            <w:r w:rsidR="00FC3A91">
              <w:rPr>
                <w:szCs w:val="22"/>
              </w:rPr>
              <w:t>,</w:t>
            </w:r>
            <w:r w:rsidRPr="00F27211">
              <w:rPr>
                <w:szCs w:val="22"/>
              </w:rPr>
              <w:t>17; 2</w:t>
            </w:r>
            <w:r w:rsidR="00FC3A91">
              <w:rPr>
                <w:szCs w:val="22"/>
              </w:rPr>
              <w:t>,</w:t>
            </w:r>
            <w:r w:rsidRPr="00F27211">
              <w:rPr>
                <w:szCs w:val="22"/>
              </w:rPr>
              <w:t>10)</w:t>
            </w:r>
          </w:p>
        </w:tc>
        <w:tc>
          <w:tcPr>
            <w:tcW w:w="1363" w:type="dxa"/>
            <w:tcBorders>
              <w:top w:val="nil"/>
              <w:left w:val="single" w:sz="4" w:space="0" w:color="auto"/>
              <w:bottom w:val="nil"/>
              <w:right w:val="single" w:sz="4" w:space="0" w:color="auto"/>
            </w:tcBorders>
          </w:tcPr>
          <w:p w14:paraId="70154DE2" w14:textId="77777777" w:rsidR="000B2297" w:rsidRPr="00F27211" w:rsidRDefault="000B2297" w:rsidP="00DC2054">
            <w:pPr>
              <w:rPr>
                <w:szCs w:val="22"/>
              </w:rPr>
            </w:pPr>
            <w:r w:rsidRPr="00F27211">
              <w:rPr>
                <w:szCs w:val="22"/>
              </w:rPr>
              <w:t>100</w:t>
            </w:r>
            <w:r w:rsidR="00FC3A91">
              <w:rPr>
                <w:szCs w:val="22"/>
              </w:rPr>
              <w:t>,</w:t>
            </w:r>
            <w:r w:rsidR="00FC3A91" w:rsidRPr="00F27211">
              <w:rPr>
                <w:szCs w:val="22"/>
              </w:rPr>
              <w:t xml:space="preserve"> </w:t>
            </w:r>
            <w:r w:rsidR="00FC3A91">
              <w:rPr>
                <w:szCs w:val="22"/>
              </w:rPr>
              <w:t>palyginti su</w:t>
            </w:r>
            <w:r w:rsidR="00FC3A91" w:rsidRPr="00F27211">
              <w:rPr>
                <w:szCs w:val="22"/>
              </w:rPr>
              <w:t xml:space="preserve"> </w:t>
            </w:r>
            <w:r w:rsidRPr="00F27211">
              <w:rPr>
                <w:szCs w:val="22"/>
              </w:rPr>
              <w:t>94</w:t>
            </w:r>
            <w:r w:rsidR="00FC3A91">
              <w:rPr>
                <w:szCs w:val="22"/>
              </w:rPr>
              <w:t>,</w:t>
            </w:r>
            <w:r w:rsidRPr="00F27211">
              <w:rPr>
                <w:szCs w:val="22"/>
              </w:rPr>
              <w:t>8</w:t>
            </w:r>
          </w:p>
        </w:tc>
        <w:tc>
          <w:tcPr>
            <w:tcW w:w="1394" w:type="dxa"/>
            <w:tcBorders>
              <w:top w:val="nil"/>
              <w:left w:val="single" w:sz="4" w:space="0" w:color="auto"/>
              <w:bottom w:val="nil"/>
              <w:right w:val="single" w:sz="4" w:space="0" w:color="auto"/>
            </w:tcBorders>
          </w:tcPr>
          <w:p w14:paraId="7C59BB3D" w14:textId="77777777" w:rsidR="000B2297" w:rsidRPr="00F27211" w:rsidRDefault="000B2297" w:rsidP="00DC2054">
            <w:pPr>
              <w:rPr>
                <w:szCs w:val="22"/>
              </w:rPr>
            </w:pPr>
            <w:r w:rsidRPr="00F27211">
              <w:rPr>
                <w:szCs w:val="22"/>
              </w:rPr>
              <w:t>97</w:t>
            </w:r>
            <w:r w:rsidR="00705378">
              <w:rPr>
                <w:szCs w:val="22"/>
              </w:rPr>
              <w:t>,</w:t>
            </w:r>
            <w:r w:rsidRPr="00F27211">
              <w:rPr>
                <w:szCs w:val="22"/>
              </w:rPr>
              <w:t>8</w:t>
            </w:r>
            <w:r w:rsidR="00705378">
              <w:rPr>
                <w:szCs w:val="22"/>
              </w:rPr>
              <w:t>,</w:t>
            </w:r>
            <w:r w:rsidR="00705378" w:rsidRPr="00F27211">
              <w:rPr>
                <w:szCs w:val="22"/>
              </w:rPr>
              <w:t xml:space="preserve"> </w:t>
            </w:r>
            <w:r w:rsidR="00705378">
              <w:rPr>
                <w:szCs w:val="22"/>
              </w:rPr>
              <w:t>palyginti su</w:t>
            </w:r>
            <w:r w:rsidR="00705378" w:rsidRPr="00F27211">
              <w:rPr>
                <w:szCs w:val="22"/>
              </w:rPr>
              <w:t xml:space="preserve"> </w:t>
            </w:r>
            <w:r w:rsidRPr="00F27211">
              <w:rPr>
                <w:szCs w:val="22"/>
              </w:rPr>
              <w:t>89</w:t>
            </w:r>
            <w:r w:rsidR="00705378">
              <w:rPr>
                <w:szCs w:val="22"/>
              </w:rPr>
              <w:t>,</w:t>
            </w:r>
            <w:r w:rsidRPr="00F27211">
              <w:rPr>
                <w:szCs w:val="22"/>
              </w:rPr>
              <w:t>5</w:t>
            </w:r>
          </w:p>
        </w:tc>
      </w:tr>
      <w:tr w:rsidR="000B2297" w:rsidRPr="00F27211" w14:paraId="481988FA" w14:textId="77777777" w:rsidTr="00705378">
        <w:tc>
          <w:tcPr>
            <w:tcW w:w="1072" w:type="dxa"/>
            <w:vMerge/>
            <w:tcBorders>
              <w:right w:val="single" w:sz="4" w:space="0" w:color="auto"/>
            </w:tcBorders>
          </w:tcPr>
          <w:p w14:paraId="20123EC7" w14:textId="77777777" w:rsidR="000B2297" w:rsidRPr="00F27211" w:rsidRDefault="000B2297" w:rsidP="00DC2054">
            <w:pPr>
              <w:rPr>
                <w:szCs w:val="22"/>
              </w:rPr>
            </w:pPr>
          </w:p>
        </w:tc>
        <w:tc>
          <w:tcPr>
            <w:tcW w:w="1274" w:type="dxa"/>
            <w:tcBorders>
              <w:top w:val="nil"/>
              <w:left w:val="single" w:sz="4" w:space="0" w:color="auto"/>
              <w:bottom w:val="single" w:sz="4" w:space="0" w:color="auto"/>
              <w:right w:val="single" w:sz="4" w:space="0" w:color="auto"/>
            </w:tcBorders>
          </w:tcPr>
          <w:p w14:paraId="76FF2491" w14:textId="77777777" w:rsidR="000B2297" w:rsidRPr="00F27211" w:rsidRDefault="00FC3A91" w:rsidP="00DC2054">
            <w:pPr>
              <w:rPr>
                <w:szCs w:val="22"/>
              </w:rPr>
            </w:pPr>
            <w:r>
              <w:rPr>
                <w:szCs w:val="22"/>
              </w:rPr>
              <w:t>Aukštas</w:t>
            </w:r>
          </w:p>
        </w:tc>
        <w:tc>
          <w:tcPr>
            <w:tcW w:w="1133" w:type="dxa"/>
            <w:tcBorders>
              <w:top w:val="nil"/>
              <w:left w:val="single" w:sz="4" w:space="0" w:color="auto"/>
              <w:bottom w:val="single" w:sz="4" w:space="0" w:color="auto"/>
              <w:right w:val="single" w:sz="4" w:space="0" w:color="auto"/>
            </w:tcBorders>
          </w:tcPr>
          <w:p w14:paraId="352ACB6F" w14:textId="77777777" w:rsidR="000B2297" w:rsidRPr="00F27211" w:rsidRDefault="000B2297" w:rsidP="00DC2054">
            <w:pPr>
              <w:rPr>
                <w:szCs w:val="22"/>
              </w:rPr>
            </w:pPr>
            <w:r w:rsidRPr="00F27211">
              <w:rPr>
                <w:szCs w:val="22"/>
              </w:rPr>
              <w:t>44</w:t>
            </w:r>
            <w:r w:rsidR="00FC3A91">
              <w:rPr>
                <w:szCs w:val="22"/>
              </w:rPr>
              <w:t>,</w:t>
            </w:r>
            <w:r w:rsidRPr="00F27211">
              <w:rPr>
                <w:szCs w:val="22"/>
              </w:rPr>
              <w:t>8</w:t>
            </w:r>
          </w:p>
        </w:tc>
        <w:tc>
          <w:tcPr>
            <w:tcW w:w="1732" w:type="dxa"/>
            <w:tcBorders>
              <w:top w:val="nil"/>
              <w:left w:val="single" w:sz="4" w:space="0" w:color="auto"/>
              <w:bottom w:val="single" w:sz="4" w:space="0" w:color="auto"/>
              <w:right w:val="single" w:sz="4" w:space="0" w:color="auto"/>
            </w:tcBorders>
          </w:tcPr>
          <w:p w14:paraId="45CB256F" w14:textId="77777777" w:rsidR="000B2297" w:rsidRPr="00F27211" w:rsidRDefault="000B2297" w:rsidP="00DC2054">
            <w:pPr>
              <w:rPr>
                <w:szCs w:val="22"/>
              </w:rPr>
            </w:pPr>
            <w:r w:rsidRPr="00F27211">
              <w:rPr>
                <w:szCs w:val="22"/>
              </w:rPr>
              <w:t>21/140</w:t>
            </w:r>
            <w:r w:rsidR="00FC3A91">
              <w:rPr>
                <w:szCs w:val="22"/>
              </w:rPr>
              <w:t>, palyginti su</w:t>
            </w:r>
            <w:r w:rsidRPr="00F27211">
              <w:rPr>
                <w:szCs w:val="22"/>
              </w:rPr>
              <w:t xml:space="preserve"> 51/127</w:t>
            </w:r>
          </w:p>
        </w:tc>
        <w:tc>
          <w:tcPr>
            <w:tcW w:w="1638" w:type="dxa"/>
            <w:tcBorders>
              <w:top w:val="nil"/>
              <w:left w:val="single" w:sz="4" w:space="0" w:color="auto"/>
              <w:bottom w:val="single" w:sz="4" w:space="0" w:color="auto"/>
              <w:right w:val="single" w:sz="4" w:space="0" w:color="auto"/>
            </w:tcBorders>
          </w:tcPr>
          <w:p w14:paraId="1D67F170" w14:textId="77777777" w:rsidR="000B2297" w:rsidRPr="00F27211" w:rsidRDefault="000B2297" w:rsidP="00DC2054">
            <w:pPr>
              <w:rPr>
                <w:szCs w:val="22"/>
              </w:rPr>
            </w:pPr>
            <w:r w:rsidRPr="00F27211">
              <w:rPr>
                <w:szCs w:val="22"/>
              </w:rPr>
              <w:t>0</w:t>
            </w:r>
            <w:r w:rsidR="00FC3A91">
              <w:rPr>
                <w:szCs w:val="22"/>
              </w:rPr>
              <w:t>,</w:t>
            </w:r>
            <w:r w:rsidRPr="00F27211">
              <w:rPr>
                <w:szCs w:val="22"/>
              </w:rPr>
              <w:t>29 (0</w:t>
            </w:r>
            <w:r w:rsidR="00FC3A91">
              <w:rPr>
                <w:szCs w:val="22"/>
              </w:rPr>
              <w:t>,</w:t>
            </w:r>
            <w:r w:rsidRPr="00F27211">
              <w:rPr>
                <w:szCs w:val="22"/>
              </w:rPr>
              <w:t>18; 0</w:t>
            </w:r>
            <w:r w:rsidR="00FC3A91">
              <w:rPr>
                <w:szCs w:val="22"/>
              </w:rPr>
              <w:t>,</w:t>
            </w:r>
            <w:r w:rsidRPr="00F27211">
              <w:rPr>
                <w:szCs w:val="22"/>
              </w:rPr>
              <w:t>49)</w:t>
            </w:r>
          </w:p>
        </w:tc>
        <w:tc>
          <w:tcPr>
            <w:tcW w:w="1363" w:type="dxa"/>
            <w:tcBorders>
              <w:top w:val="nil"/>
              <w:left w:val="single" w:sz="4" w:space="0" w:color="auto"/>
              <w:bottom w:val="single" w:sz="4" w:space="0" w:color="auto"/>
              <w:right w:val="single" w:sz="4" w:space="0" w:color="auto"/>
            </w:tcBorders>
          </w:tcPr>
          <w:p w14:paraId="37A60E8F" w14:textId="77777777" w:rsidR="000B2297" w:rsidRPr="00F27211" w:rsidRDefault="000B2297" w:rsidP="00DC2054">
            <w:pPr>
              <w:rPr>
                <w:szCs w:val="22"/>
              </w:rPr>
            </w:pPr>
            <w:r w:rsidRPr="00F27211">
              <w:rPr>
                <w:szCs w:val="22"/>
              </w:rPr>
              <w:t>94</w:t>
            </w:r>
            <w:r w:rsidR="00FC3A91">
              <w:rPr>
                <w:szCs w:val="22"/>
              </w:rPr>
              <w:t>,</w:t>
            </w:r>
            <w:r w:rsidRPr="00F27211">
              <w:rPr>
                <w:szCs w:val="22"/>
              </w:rPr>
              <w:t>8</w:t>
            </w:r>
            <w:r w:rsidR="00FC3A91">
              <w:rPr>
                <w:szCs w:val="22"/>
              </w:rPr>
              <w:t>,</w:t>
            </w:r>
            <w:r w:rsidR="00FC3A91" w:rsidRPr="00F27211">
              <w:rPr>
                <w:szCs w:val="22"/>
              </w:rPr>
              <w:t xml:space="preserve"> </w:t>
            </w:r>
            <w:r w:rsidR="00FC3A91">
              <w:rPr>
                <w:szCs w:val="22"/>
              </w:rPr>
              <w:t>palyginti su</w:t>
            </w:r>
            <w:r w:rsidRPr="00F27211">
              <w:rPr>
                <w:szCs w:val="22"/>
              </w:rPr>
              <w:t xml:space="preserve"> 64</w:t>
            </w:r>
            <w:r w:rsidR="00FC3A91">
              <w:rPr>
                <w:szCs w:val="22"/>
              </w:rPr>
              <w:t>,</w:t>
            </w:r>
            <w:r w:rsidRPr="00F27211">
              <w:rPr>
                <w:szCs w:val="22"/>
              </w:rPr>
              <w:t>0</w:t>
            </w:r>
          </w:p>
        </w:tc>
        <w:tc>
          <w:tcPr>
            <w:tcW w:w="1394" w:type="dxa"/>
            <w:tcBorders>
              <w:top w:val="nil"/>
              <w:left w:val="single" w:sz="4" w:space="0" w:color="auto"/>
              <w:bottom w:val="single" w:sz="4" w:space="0" w:color="auto"/>
              <w:right w:val="single" w:sz="4" w:space="0" w:color="auto"/>
            </w:tcBorders>
          </w:tcPr>
          <w:p w14:paraId="7889589D" w14:textId="77777777" w:rsidR="000B2297" w:rsidRPr="00F27211" w:rsidRDefault="000B2297" w:rsidP="00DC2054">
            <w:pPr>
              <w:rPr>
                <w:szCs w:val="22"/>
              </w:rPr>
            </w:pPr>
            <w:r w:rsidRPr="00F27211">
              <w:rPr>
                <w:szCs w:val="22"/>
              </w:rPr>
              <w:t>80</w:t>
            </w:r>
            <w:r w:rsidR="00705378">
              <w:rPr>
                <w:szCs w:val="22"/>
              </w:rPr>
              <w:t>,</w:t>
            </w:r>
            <w:r w:rsidRPr="00F27211">
              <w:rPr>
                <w:szCs w:val="22"/>
              </w:rPr>
              <w:t>7</w:t>
            </w:r>
            <w:r w:rsidR="00705378">
              <w:rPr>
                <w:szCs w:val="22"/>
              </w:rPr>
              <w:t>,</w:t>
            </w:r>
            <w:r w:rsidR="00705378" w:rsidRPr="00F27211">
              <w:rPr>
                <w:szCs w:val="22"/>
              </w:rPr>
              <w:t xml:space="preserve"> </w:t>
            </w:r>
            <w:r w:rsidR="00705378">
              <w:rPr>
                <w:szCs w:val="22"/>
              </w:rPr>
              <w:t>palyginti su</w:t>
            </w:r>
            <w:r w:rsidRPr="00F27211">
              <w:rPr>
                <w:szCs w:val="22"/>
              </w:rPr>
              <w:t xml:space="preserve"> 46</w:t>
            </w:r>
            <w:r w:rsidR="00705378">
              <w:rPr>
                <w:szCs w:val="22"/>
              </w:rPr>
              <w:t>,</w:t>
            </w:r>
            <w:r w:rsidRPr="00F27211">
              <w:rPr>
                <w:szCs w:val="22"/>
              </w:rPr>
              <w:t>6</w:t>
            </w:r>
          </w:p>
        </w:tc>
      </w:tr>
      <w:tr w:rsidR="000B2297" w:rsidRPr="00F27211" w14:paraId="47B00B83" w14:textId="77777777" w:rsidTr="00705378">
        <w:tc>
          <w:tcPr>
            <w:tcW w:w="1072" w:type="dxa"/>
            <w:vMerge w:val="restart"/>
            <w:tcBorders>
              <w:right w:val="single" w:sz="4" w:space="0" w:color="auto"/>
            </w:tcBorders>
          </w:tcPr>
          <w:p w14:paraId="16A8C819" w14:textId="77777777" w:rsidR="000B2297" w:rsidRPr="00F27211" w:rsidRDefault="000B2297" w:rsidP="00DC2054">
            <w:pPr>
              <w:rPr>
                <w:szCs w:val="22"/>
              </w:rPr>
            </w:pPr>
            <w:r w:rsidRPr="00F27211">
              <w:rPr>
                <w:szCs w:val="22"/>
              </w:rPr>
              <w:t>AFIP</w:t>
            </w:r>
          </w:p>
        </w:tc>
        <w:tc>
          <w:tcPr>
            <w:tcW w:w="1274" w:type="dxa"/>
            <w:tcBorders>
              <w:top w:val="single" w:sz="4" w:space="0" w:color="auto"/>
              <w:left w:val="single" w:sz="4" w:space="0" w:color="auto"/>
              <w:bottom w:val="nil"/>
              <w:right w:val="single" w:sz="4" w:space="0" w:color="auto"/>
            </w:tcBorders>
          </w:tcPr>
          <w:p w14:paraId="6411226C" w14:textId="77777777" w:rsidR="000B2297" w:rsidRPr="00F27211" w:rsidRDefault="00FC3A91" w:rsidP="00DC2054">
            <w:pPr>
              <w:rPr>
                <w:szCs w:val="22"/>
              </w:rPr>
            </w:pPr>
            <w:r>
              <w:rPr>
                <w:szCs w:val="22"/>
              </w:rPr>
              <w:t>Labai žemas</w:t>
            </w:r>
          </w:p>
        </w:tc>
        <w:tc>
          <w:tcPr>
            <w:tcW w:w="1133" w:type="dxa"/>
            <w:tcBorders>
              <w:top w:val="single" w:sz="4" w:space="0" w:color="auto"/>
              <w:left w:val="single" w:sz="4" w:space="0" w:color="auto"/>
              <w:bottom w:val="nil"/>
              <w:right w:val="single" w:sz="4" w:space="0" w:color="auto"/>
            </w:tcBorders>
          </w:tcPr>
          <w:p w14:paraId="0062840C" w14:textId="77777777" w:rsidR="000B2297" w:rsidRPr="00F27211" w:rsidRDefault="000B2297" w:rsidP="00DC2054">
            <w:pPr>
              <w:rPr>
                <w:szCs w:val="22"/>
              </w:rPr>
            </w:pPr>
            <w:r w:rsidRPr="00F27211">
              <w:rPr>
                <w:szCs w:val="22"/>
                <w:lang w:val="de-DE" w:eastAsia="de-DE"/>
              </w:rPr>
              <w:t>20</w:t>
            </w:r>
            <w:r w:rsidR="00FC3A91">
              <w:rPr>
                <w:szCs w:val="22"/>
                <w:lang w:val="de-DE" w:eastAsia="de-DE"/>
              </w:rPr>
              <w:t>,</w:t>
            </w:r>
            <w:r w:rsidRPr="00F27211">
              <w:rPr>
                <w:szCs w:val="22"/>
                <w:lang w:val="de-DE" w:eastAsia="de-DE"/>
              </w:rPr>
              <w:t>7</w:t>
            </w:r>
          </w:p>
        </w:tc>
        <w:tc>
          <w:tcPr>
            <w:tcW w:w="1732" w:type="dxa"/>
            <w:tcBorders>
              <w:top w:val="single" w:sz="4" w:space="0" w:color="auto"/>
              <w:left w:val="single" w:sz="4" w:space="0" w:color="auto"/>
              <w:bottom w:val="nil"/>
              <w:right w:val="single" w:sz="4" w:space="0" w:color="auto"/>
            </w:tcBorders>
          </w:tcPr>
          <w:p w14:paraId="5E7068AB" w14:textId="77777777" w:rsidR="000B2297" w:rsidRPr="00F27211" w:rsidRDefault="000B2297" w:rsidP="00DC2054">
            <w:pPr>
              <w:rPr>
                <w:szCs w:val="22"/>
              </w:rPr>
            </w:pPr>
            <w:r w:rsidRPr="00F27211">
              <w:rPr>
                <w:szCs w:val="22"/>
                <w:lang w:val="de-DE" w:eastAsia="de-DE"/>
              </w:rPr>
              <w:t>0/52</w:t>
            </w:r>
            <w:r w:rsidR="00FC3A91">
              <w:rPr>
                <w:szCs w:val="22"/>
                <w:lang w:val="de-DE" w:eastAsia="de-DE"/>
              </w:rPr>
              <w:t>,</w:t>
            </w:r>
            <w:r w:rsidRPr="00F27211">
              <w:rPr>
                <w:szCs w:val="22"/>
                <w:lang w:val="de-DE" w:eastAsia="de-DE"/>
              </w:rPr>
              <w:t xml:space="preserve"> </w:t>
            </w:r>
            <w:r w:rsidR="00FC3A91">
              <w:rPr>
                <w:szCs w:val="22"/>
              </w:rPr>
              <w:t>palyginti su</w:t>
            </w:r>
            <w:r w:rsidRPr="00F27211">
              <w:rPr>
                <w:szCs w:val="22"/>
                <w:lang w:val="de-DE" w:eastAsia="de-DE"/>
              </w:rPr>
              <w:t xml:space="preserve"> 2/63</w:t>
            </w:r>
          </w:p>
        </w:tc>
        <w:tc>
          <w:tcPr>
            <w:tcW w:w="1638" w:type="dxa"/>
            <w:tcBorders>
              <w:top w:val="single" w:sz="4" w:space="0" w:color="auto"/>
              <w:left w:val="single" w:sz="4" w:space="0" w:color="auto"/>
              <w:bottom w:val="nil"/>
              <w:right w:val="single" w:sz="4" w:space="0" w:color="auto"/>
            </w:tcBorders>
          </w:tcPr>
          <w:p w14:paraId="196C5DB0" w14:textId="77777777" w:rsidR="000B2297" w:rsidRPr="00F27211" w:rsidRDefault="000B2297" w:rsidP="00DC2054">
            <w:pPr>
              <w:rPr>
                <w:szCs w:val="22"/>
              </w:rPr>
            </w:pPr>
            <w:r w:rsidRPr="00F27211">
              <w:rPr>
                <w:szCs w:val="22"/>
                <w:lang w:val="de-DE" w:eastAsia="de-DE"/>
              </w:rPr>
              <w:t>N.E.</w:t>
            </w:r>
          </w:p>
        </w:tc>
        <w:tc>
          <w:tcPr>
            <w:tcW w:w="1363" w:type="dxa"/>
            <w:tcBorders>
              <w:top w:val="single" w:sz="4" w:space="0" w:color="auto"/>
              <w:left w:val="single" w:sz="4" w:space="0" w:color="auto"/>
              <w:bottom w:val="nil"/>
              <w:right w:val="single" w:sz="4" w:space="0" w:color="auto"/>
            </w:tcBorders>
          </w:tcPr>
          <w:p w14:paraId="6D52EA92" w14:textId="77777777" w:rsidR="000B2297" w:rsidRPr="00F27211" w:rsidRDefault="000B2297" w:rsidP="00DC2054">
            <w:pPr>
              <w:rPr>
                <w:szCs w:val="22"/>
              </w:rPr>
            </w:pPr>
            <w:r w:rsidRPr="00F27211">
              <w:rPr>
                <w:szCs w:val="22"/>
                <w:lang w:val="de-DE" w:eastAsia="de-DE"/>
              </w:rPr>
              <w:t>100</w:t>
            </w:r>
            <w:r w:rsidR="00FC3A91">
              <w:rPr>
                <w:szCs w:val="22"/>
              </w:rPr>
              <w:t>,</w:t>
            </w:r>
            <w:r w:rsidR="00FC3A91" w:rsidRPr="00F27211">
              <w:rPr>
                <w:szCs w:val="22"/>
              </w:rPr>
              <w:t xml:space="preserve"> </w:t>
            </w:r>
            <w:r w:rsidR="00FC3A91">
              <w:rPr>
                <w:szCs w:val="22"/>
              </w:rPr>
              <w:t>palyginti su</w:t>
            </w:r>
            <w:r w:rsidRPr="00F27211">
              <w:rPr>
                <w:szCs w:val="22"/>
                <w:lang w:val="de-DE" w:eastAsia="de-DE"/>
              </w:rPr>
              <w:t xml:space="preserve"> 98</w:t>
            </w:r>
            <w:r w:rsidR="00FC3A91">
              <w:rPr>
                <w:szCs w:val="22"/>
                <w:lang w:val="de-DE" w:eastAsia="de-DE"/>
              </w:rPr>
              <w:t>,</w:t>
            </w:r>
            <w:r w:rsidRPr="00F27211">
              <w:rPr>
                <w:szCs w:val="22"/>
                <w:lang w:val="de-DE" w:eastAsia="de-DE"/>
              </w:rPr>
              <w:t>1</w:t>
            </w:r>
          </w:p>
        </w:tc>
        <w:tc>
          <w:tcPr>
            <w:tcW w:w="1394" w:type="dxa"/>
            <w:tcBorders>
              <w:top w:val="single" w:sz="4" w:space="0" w:color="auto"/>
              <w:left w:val="single" w:sz="4" w:space="0" w:color="auto"/>
              <w:bottom w:val="nil"/>
              <w:right w:val="single" w:sz="4" w:space="0" w:color="auto"/>
            </w:tcBorders>
          </w:tcPr>
          <w:p w14:paraId="20FDE7BD" w14:textId="77777777" w:rsidR="000B2297" w:rsidRPr="00F27211" w:rsidRDefault="000B2297" w:rsidP="00DC2054">
            <w:pPr>
              <w:rPr>
                <w:szCs w:val="22"/>
              </w:rPr>
            </w:pPr>
            <w:r w:rsidRPr="00F27211">
              <w:rPr>
                <w:szCs w:val="22"/>
                <w:lang w:val="de-DE" w:eastAsia="de-DE"/>
              </w:rPr>
              <w:t>100</w:t>
            </w:r>
            <w:r w:rsidR="00705378">
              <w:rPr>
                <w:szCs w:val="22"/>
              </w:rPr>
              <w:t>,</w:t>
            </w:r>
            <w:r w:rsidR="00705378" w:rsidRPr="00F27211">
              <w:rPr>
                <w:szCs w:val="22"/>
              </w:rPr>
              <w:t xml:space="preserve"> </w:t>
            </w:r>
            <w:r w:rsidR="00705378">
              <w:rPr>
                <w:szCs w:val="22"/>
              </w:rPr>
              <w:t>palyginti su</w:t>
            </w:r>
            <w:r w:rsidR="00705378" w:rsidRPr="00F27211">
              <w:rPr>
                <w:szCs w:val="22"/>
              </w:rPr>
              <w:t xml:space="preserve"> </w:t>
            </w:r>
            <w:r w:rsidRPr="00F27211">
              <w:rPr>
                <w:szCs w:val="22"/>
                <w:lang w:val="de-DE" w:eastAsia="de-DE"/>
              </w:rPr>
              <w:t>93</w:t>
            </w:r>
            <w:r w:rsidR="00705378">
              <w:rPr>
                <w:szCs w:val="22"/>
                <w:lang w:val="de-DE" w:eastAsia="de-DE"/>
              </w:rPr>
              <w:t>,</w:t>
            </w:r>
            <w:r w:rsidRPr="00F27211">
              <w:rPr>
                <w:szCs w:val="22"/>
                <w:lang w:val="de-DE" w:eastAsia="de-DE"/>
              </w:rPr>
              <w:t>0</w:t>
            </w:r>
          </w:p>
        </w:tc>
      </w:tr>
      <w:tr w:rsidR="000B2297" w:rsidRPr="00F27211" w14:paraId="090DEC46" w14:textId="77777777" w:rsidTr="00705378">
        <w:tc>
          <w:tcPr>
            <w:tcW w:w="1072" w:type="dxa"/>
            <w:vMerge/>
            <w:tcBorders>
              <w:right w:val="single" w:sz="4" w:space="0" w:color="auto"/>
            </w:tcBorders>
          </w:tcPr>
          <w:p w14:paraId="47B66FDD" w14:textId="77777777" w:rsidR="000B2297" w:rsidRPr="00F27211" w:rsidRDefault="000B2297" w:rsidP="00DC2054">
            <w:pPr>
              <w:rPr>
                <w:szCs w:val="22"/>
              </w:rPr>
            </w:pPr>
          </w:p>
        </w:tc>
        <w:tc>
          <w:tcPr>
            <w:tcW w:w="1274" w:type="dxa"/>
            <w:tcBorders>
              <w:top w:val="nil"/>
              <w:left w:val="single" w:sz="4" w:space="0" w:color="auto"/>
              <w:bottom w:val="nil"/>
              <w:right w:val="single" w:sz="4" w:space="0" w:color="auto"/>
            </w:tcBorders>
          </w:tcPr>
          <w:p w14:paraId="3CEE51DE" w14:textId="77777777" w:rsidR="000B2297" w:rsidRPr="00F27211" w:rsidRDefault="00FC3A91" w:rsidP="00DC2054">
            <w:pPr>
              <w:rPr>
                <w:szCs w:val="22"/>
              </w:rPr>
            </w:pPr>
            <w:proofErr w:type="spellStart"/>
            <w:r>
              <w:rPr>
                <w:szCs w:val="22"/>
                <w:lang w:val="de-DE" w:eastAsia="de-DE"/>
              </w:rPr>
              <w:t>Žemas</w:t>
            </w:r>
            <w:proofErr w:type="spellEnd"/>
          </w:p>
        </w:tc>
        <w:tc>
          <w:tcPr>
            <w:tcW w:w="1133" w:type="dxa"/>
            <w:tcBorders>
              <w:top w:val="nil"/>
              <w:left w:val="single" w:sz="4" w:space="0" w:color="auto"/>
              <w:bottom w:val="nil"/>
              <w:right w:val="single" w:sz="4" w:space="0" w:color="auto"/>
            </w:tcBorders>
          </w:tcPr>
          <w:p w14:paraId="1DC790A9" w14:textId="77777777" w:rsidR="000B2297" w:rsidRPr="00F27211" w:rsidRDefault="000B2297" w:rsidP="00DC2054">
            <w:pPr>
              <w:rPr>
                <w:szCs w:val="22"/>
              </w:rPr>
            </w:pPr>
            <w:r w:rsidRPr="00F27211">
              <w:rPr>
                <w:szCs w:val="22"/>
                <w:lang w:val="de-DE" w:eastAsia="de-DE"/>
              </w:rPr>
              <w:t>25</w:t>
            </w:r>
            <w:r w:rsidR="00FC3A91">
              <w:rPr>
                <w:szCs w:val="22"/>
                <w:lang w:val="de-DE" w:eastAsia="de-DE"/>
              </w:rPr>
              <w:t>,</w:t>
            </w:r>
            <w:r w:rsidRPr="00F27211">
              <w:rPr>
                <w:szCs w:val="22"/>
                <w:lang w:val="de-DE" w:eastAsia="de-DE"/>
              </w:rPr>
              <w:t>0</w:t>
            </w:r>
          </w:p>
        </w:tc>
        <w:tc>
          <w:tcPr>
            <w:tcW w:w="1732" w:type="dxa"/>
            <w:tcBorders>
              <w:top w:val="nil"/>
              <w:left w:val="single" w:sz="4" w:space="0" w:color="auto"/>
              <w:bottom w:val="nil"/>
              <w:right w:val="single" w:sz="4" w:space="0" w:color="auto"/>
            </w:tcBorders>
          </w:tcPr>
          <w:p w14:paraId="0C056329" w14:textId="77777777" w:rsidR="000B2297" w:rsidRPr="00F27211" w:rsidRDefault="000B2297" w:rsidP="00DC2054">
            <w:pPr>
              <w:rPr>
                <w:szCs w:val="22"/>
              </w:rPr>
            </w:pPr>
            <w:r w:rsidRPr="00F27211">
              <w:rPr>
                <w:szCs w:val="22"/>
                <w:lang w:val="de-DE" w:eastAsia="de-DE"/>
              </w:rPr>
              <w:t>2/70</w:t>
            </w:r>
            <w:r w:rsidR="00FC3A91">
              <w:rPr>
                <w:szCs w:val="22"/>
                <w:lang w:val="de-DE" w:eastAsia="de-DE"/>
              </w:rPr>
              <w:t>,</w:t>
            </w:r>
            <w:r w:rsidRPr="00F27211">
              <w:rPr>
                <w:szCs w:val="22"/>
                <w:lang w:val="de-DE" w:eastAsia="de-DE"/>
              </w:rPr>
              <w:t xml:space="preserve"> </w:t>
            </w:r>
            <w:r w:rsidR="00FC3A91">
              <w:rPr>
                <w:szCs w:val="22"/>
              </w:rPr>
              <w:t>palyginti su</w:t>
            </w:r>
            <w:r w:rsidRPr="00F27211">
              <w:rPr>
                <w:szCs w:val="22"/>
                <w:lang w:val="de-DE" w:eastAsia="de-DE"/>
              </w:rPr>
              <w:t xml:space="preserve"> 0/69</w:t>
            </w:r>
          </w:p>
        </w:tc>
        <w:tc>
          <w:tcPr>
            <w:tcW w:w="1638" w:type="dxa"/>
            <w:tcBorders>
              <w:top w:val="nil"/>
              <w:left w:val="single" w:sz="4" w:space="0" w:color="auto"/>
              <w:bottom w:val="nil"/>
              <w:right w:val="single" w:sz="4" w:space="0" w:color="auto"/>
            </w:tcBorders>
          </w:tcPr>
          <w:p w14:paraId="45B9E579" w14:textId="77777777" w:rsidR="000B2297" w:rsidRPr="00F27211" w:rsidRDefault="000B2297" w:rsidP="00DC2054">
            <w:pPr>
              <w:rPr>
                <w:szCs w:val="22"/>
              </w:rPr>
            </w:pPr>
            <w:r w:rsidRPr="00F27211">
              <w:rPr>
                <w:szCs w:val="22"/>
                <w:lang w:val="de-DE" w:eastAsia="de-DE"/>
              </w:rPr>
              <w:t>N.E.</w:t>
            </w:r>
          </w:p>
        </w:tc>
        <w:tc>
          <w:tcPr>
            <w:tcW w:w="1363" w:type="dxa"/>
            <w:tcBorders>
              <w:top w:val="nil"/>
              <w:left w:val="single" w:sz="4" w:space="0" w:color="auto"/>
              <w:bottom w:val="nil"/>
              <w:right w:val="single" w:sz="4" w:space="0" w:color="auto"/>
            </w:tcBorders>
          </w:tcPr>
          <w:p w14:paraId="07A53B09" w14:textId="77777777" w:rsidR="000B2297" w:rsidRPr="00F27211" w:rsidRDefault="000B2297" w:rsidP="00DC2054">
            <w:pPr>
              <w:rPr>
                <w:szCs w:val="22"/>
              </w:rPr>
            </w:pPr>
            <w:r w:rsidRPr="00F27211">
              <w:rPr>
                <w:szCs w:val="22"/>
                <w:lang w:val="de-DE" w:eastAsia="de-DE"/>
              </w:rPr>
              <w:t>100</w:t>
            </w:r>
            <w:r w:rsidR="00FC3A91">
              <w:rPr>
                <w:szCs w:val="22"/>
              </w:rPr>
              <w:t>,</w:t>
            </w:r>
            <w:r w:rsidR="00FC3A91" w:rsidRPr="00F27211">
              <w:rPr>
                <w:szCs w:val="22"/>
              </w:rPr>
              <w:t xml:space="preserve"> </w:t>
            </w:r>
            <w:r w:rsidR="00FC3A91">
              <w:rPr>
                <w:szCs w:val="22"/>
              </w:rPr>
              <w:t>palyginti su</w:t>
            </w:r>
            <w:r w:rsidRPr="00F27211">
              <w:rPr>
                <w:szCs w:val="22"/>
                <w:lang w:val="de-DE" w:eastAsia="de-DE"/>
              </w:rPr>
              <w:t xml:space="preserve"> 100</w:t>
            </w:r>
          </w:p>
        </w:tc>
        <w:tc>
          <w:tcPr>
            <w:tcW w:w="1394" w:type="dxa"/>
            <w:tcBorders>
              <w:top w:val="nil"/>
              <w:left w:val="single" w:sz="4" w:space="0" w:color="auto"/>
              <w:bottom w:val="nil"/>
              <w:right w:val="single" w:sz="4" w:space="0" w:color="auto"/>
            </w:tcBorders>
          </w:tcPr>
          <w:p w14:paraId="68D68735" w14:textId="77777777" w:rsidR="000B2297" w:rsidRPr="00F27211" w:rsidRDefault="000B2297" w:rsidP="00DC2054">
            <w:pPr>
              <w:rPr>
                <w:szCs w:val="22"/>
              </w:rPr>
            </w:pPr>
            <w:r w:rsidRPr="00F27211">
              <w:rPr>
                <w:szCs w:val="22"/>
                <w:lang w:val="de-DE" w:eastAsia="de-DE"/>
              </w:rPr>
              <w:t>97</w:t>
            </w:r>
            <w:r w:rsidR="00705378">
              <w:rPr>
                <w:szCs w:val="22"/>
                <w:lang w:val="de-DE" w:eastAsia="de-DE"/>
              </w:rPr>
              <w:t>,</w:t>
            </w:r>
            <w:r w:rsidRPr="00F27211">
              <w:rPr>
                <w:szCs w:val="22"/>
                <w:lang w:val="de-DE" w:eastAsia="de-DE"/>
              </w:rPr>
              <w:t>8</w:t>
            </w:r>
            <w:r w:rsidR="00705378">
              <w:rPr>
                <w:szCs w:val="22"/>
              </w:rPr>
              <w:t>,</w:t>
            </w:r>
            <w:r w:rsidR="00705378" w:rsidRPr="00F27211">
              <w:rPr>
                <w:szCs w:val="22"/>
              </w:rPr>
              <w:t xml:space="preserve"> </w:t>
            </w:r>
            <w:r w:rsidR="00705378">
              <w:rPr>
                <w:szCs w:val="22"/>
              </w:rPr>
              <w:t>palyginti su</w:t>
            </w:r>
            <w:r w:rsidRPr="00F27211">
              <w:rPr>
                <w:szCs w:val="22"/>
                <w:lang w:val="de-DE" w:eastAsia="de-DE"/>
              </w:rPr>
              <w:t xml:space="preserve"> 100</w:t>
            </w:r>
          </w:p>
        </w:tc>
      </w:tr>
      <w:tr w:rsidR="000B2297" w:rsidRPr="00F27211" w14:paraId="168AA0A9" w14:textId="77777777" w:rsidTr="00705378">
        <w:tc>
          <w:tcPr>
            <w:tcW w:w="1072" w:type="dxa"/>
            <w:vMerge/>
            <w:tcBorders>
              <w:right w:val="single" w:sz="4" w:space="0" w:color="auto"/>
            </w:tcBorders>
          </w:tcPr>
          <w:p w14:paraId="762E021B" w14:textId="77777777" w:rsidR="000B2297" w:rsidRPr="00F27211" w:rsidRDefault="000B2297" w:rsidP="00DC2054">
            <w:pPr>
              <w:rPr>
                <w:szCs w:val="22"/>
              </w:rPr>
            </w:pPr>
          </w:p>
        </w:tc>
        <w:tc>
          <w:tcPr>
            <w:tcW w:w="1274" w:type="dxa"/>
            <w:tcBorders>
              <w:top w:val="nil"/>
              <w:left w:val="single" w:sz="4" w:space="0" w:color="auto"/>
              <w:bottom w:val="nil"/>
              <w:right w:val="single" w:sz="4" w:space="0" w:color="auto"/>
            </w:tcBorders>
          </w:tcPr>
          <w:p w14:paraId="5E13CD5A" w14:textId="77777777" w:rsidR="000B2297" w:rsidRPr="00F27211" w:rsidRDefault="00FC3A91" w:rsidP="00DC2054">
            <w:pPr>
              <w:rPr>
                <w:szCs w:val="22"/>
              </w:rPr>
            </w:pPr>
            <w:proofErr w:type="spellStart"/>
            <w:r>
              <w:rPr>
                <w:szCs w:val="22"/>
                <w:lang w:val="de-DE" w:eastAsia="de-DE"/>
              </w:rPr>
              <w:t>Vidutinis</w:t>
            </w:r>
            <w:proofErr w:type="spellEnd"/>
          </w:p>
        </w:tc>
        <w:tc>
          <w:tcPr>
            <w:tcW w:w="1133" w:type="dxa"/>
            <w:tcBorders>
              <w:top w:val="nil"/>
              <w:left w:val="single" w:sz="4" w:space="0" w:color="auto"/>
              <w:bottom w:val="nil"/>
              <w:right w:val="single" w:sz="4" w:space="0" w:color="auto"/>
            </w:tcBorders>
          </w:tcPr>
          <w:p w14:paraId="38B9E62A" w14:textId="77777777" w:rsidR="000B2297" w:rsidRPr="00F27211" w:rsidRDefault="000B2297" w:rsidP="00DC2054">
            <w:pPr>
              <w:rPr>
                <w:szCs w:val="22"/>
              </w:rPr>
            </w:pPr>
            <w:r w:rsidRPr="00F27211">
              <w:rPr>
                <w:szCs w:val="22"/>
                <w:lang w:val="de-DE" w:eastAsia="de-DE"/>
              </w:rPr>
              <w:t>24</w:t>
            </w:r>
            <w:r w:rsidR="00FC3A91">
              <w:rPr>
                <w:szCs w:val="22"/>
                <w:lang w:val="de-DE" w:eastAsia="de-DE"/>
              </w:rPr>
              <w:t>,</w:t>
            </w:r>
            <w:r w:rsidRPr="00F27211">
              <w:rPr>
                <w:szCs w:val="22"/>
                <w:lang w:val="de-DE" w:eastAsia="de-DE"/>
              </w:rPr>
              <w:t>6</w:t>
            </w:r>
          </w:p>
        </w:tc>
        <w:tc>
          <w:tcPr>
            <w:tcW w:w="1732" w:type="dxa"/>
            <w:tcBorders>
              <w:top w:val="nil"/>
              <w:left w:val="single" w:sz="4" w:space="0" w:color="auto"/>
              <w:bottom w:val="nil"/>
              <w:right w:val="single" w:sz="4" w:space="0" w:color="auto"/>
            </w:tcBorders>
          </w:tcPr>
          <w:p w14:paraId="4EBFA562" w14:textId="77777777" w:rsidR="000B2297" w:rsidRPr="00F27211" w:rsidRDefault="000B2297" w:rsidP="00DC2054">
            <w:pPr>
              <w:rPr>
                <w:szCs w:val="22"/>
              </w:rPr>
            </w:pPr>
            <w:r w:rsidRPr="00F27211">
              <w:rPr>
                <w:szCs w:val="22"/>
                <w:lang w:val="de-DE" w:eastAsia="de-DE"/>
              </w:rPr>
              <w:t>2/70</w:t>
            </w:r>
            <w:r w:rsidR="00FC3A91">
              <w:rPr>
                <w:szCs w:val="22"/>
                <w:lang w:val="de-DE" w:eastAsia="de-DE"/>
              </w:rPr>
              <w:t>,</w:t>
            </w:r>
            <w:r w:rsidRPr="00F27211">
              <w:rPr>
                <w:szCs w:val="22"/>
                <w:lang w:val="de-DE" w:eastAsia="de-DE"/>
              </w:rPr>
              <w:t xml:space="preserve"> </w:t>
            </w:r>
            <w:r w:rsidR="00FC3A91">
              <w:rPr>
                <w:szCs w:val="22"/>
              </w:rPr>
              <w:t>palyginti su</w:t>
            </w:r>
            <w:r w:rsidRPr="00F27211">
              <w:rPr>
                <w:szCs w:val="22"/>
                <w:lang w:val="de-DE" w:eastAsia="de-DE"/>
              </w:rPr>
              <w:t xml:space="preserve"> 11/67</w:t>
            </w:r>
          </w:p>
        </w:tc>
        <w:tc>
          <w:tcPr>
            <w:tcW w:w="1638" w:type="dxa"/>
            <w:tcBorders>
              <w:top w:val="nil"/>
              <w:left w:val="single" w:sz="4" w:space="0" w:color="auto"/>
              <w:bottom w:val="nil"/>
              <w:right w:val="single" w:sz="4" w:space="0" w:color="auto"/>
            </w:tcBorders>
          </w:tcPr>
          <w:p w14:paraId="29388F6C" w14:textId="77777777" w:rsidR="000B2297" w:rsidRPr="00F27211" w:rsidRDefault="000B2297" w:rsidP="00DC2054">
            <w:pPr>
              <w:rPr>
                <w:szCs w:val="22"/>
              </w:rPr>
            </w:pPr>
            <w:r w:rsidRPr="00F27211">
              <w:rPr>
                <w:szCs w:val="22"/>
                <w:lang w:val="de-DE" w:eastAsia="de-DE"/>
              </w:rPr>
              <w:t>0</w:t>
            </w:r>
            <w:r w:rsidR="00FC3A91">
              <w:rPr>
                <w:szCs w:val="22"/>
                <w:lang w:val="de-DE" w:eastAsia="de-DE"/>
              </w:rPr>
              <w:t>,</w:t>
            </w:r>
            <w:r w:rsidRPr="00F27211">
              <w:rPr>
                <w:szCs w:val="22"/>
                <w:lang w:val="de-DE" w:eastAsia="de-DE"/>
              </w:rPr>
              <w:t>16 (0</w:t>
            </w:r>
            <w:r w:rsidR="00FC3A91">
              <w:rPr>
                <w:szCs w:val="22"/>
                <w:lang w:val="de-DE" w:eastAsia="de-DE"/>
              </w:rPr>
              <w:t>,</w:t>
            </w:r>
            <w:r w:rsidRPr="00F27211">
              <w:rPr>
                <w:szCs w:val="22"/>
                <w:lang w:val="de-DE" w:eastAsia="de-DE"/>
              </w:rPr>
              <w:t>03; 0</w:t>
            </w:r>
            <w:r w:rsidR="00FC3A91">
              <w:rPr>
                <w:szCs w:val="22"/>
                <w:lang w:val="de-DE" w:eastAsia="de-DE"/>
              </w:rPr>
              <w:t>,</w:t>
            </w:r>
            <w:r w:rsidRPr="00F27211">
              <w:rPr>
                <w:szCs w:val="22"/>
                <w:lang w:val="de-DE" w:eastAsia="de-DE"/>
              </w:rPr>
              <w:t>70)</w:t>
            </w:r>
          </w:p>
        </w:tc>
        <w:tc>
          <w:tcPr>
            <w:tcW w:w="1363" w:type="dxa"/>
            <w:tcBorders>
              <w:top w:val="nil"/>
              <w:left w:val="single" w:sz="4" w:space="0" w:color="auto"/>
              <w:bottom w:val="nil"/>
              <w:right w:val="single" w:sz="4" w:space="0" w:color="auto"/>
            </w:tcBorders>
          </w:tcPr>
          <w:p w14:paraId="79E2EE82" w14:textId="77777777" w:rsidR="000B2297" w:rsidRPr="00F27211" w:rsidRDefault="000B2297" w:rsidP="00DC2054">
            <w:pPr>
              <w:rPr>
                <w:szCs w:val="22"/>
              </w:rPr>
            </w:pPr>
            <w:r w:rsidRPr="00F27211">
              <w:rPr>
                <w:szCs w:val="22"/>
                <w:lang w:val="de-DE" w:eastAsia="de-DE"/>
              </w:rPr>
              <w:t>97</w:t>
            </w:r>
            <w:r w:rsidR="00FC3A91">
              <w:rPr>
                <w:szCs w:val="22"/>
                <w:lang w:val="de-DE" w:eastAsia="de-DE"/>
              </w:rPr>
              <w:t>,</w:t>
            </w:r>
            <w:r w:rsidRPr="00F27211">
              <w:rPr>
                <w:szCs w:val="22"/>
                <w:lang w:val="de-DE" w:eastAsia="de-DE"/>
              </w:rPr>
              <w:t>9</w:t>
            </w:r>
            <w:r w:rsidR="00FC3A91">
              <w:rPr>
                <w:szCs w:val="22"/>
              </w:rPr>
              <w:t>,</w:t>
            </w:r>
            <w:r w:rsidR="00FC3A91" w:rsidRPr="00F27211">
              <w:rPr>
                <w:szCs w:val="22"/>
              </w:rPr>
              <w:t xml:space="preserve"> </w:t>
            </w:r>
            <w:r w:rsidR="00FC3A91">
              <w:rPr>
                <w:szCs w:val="22"/>
              </w:rPr>
              <w:t>palyginti su</w:t>
            </w:r>
            <w:r w:rsidR="00FC3A91" w:rsidRPr="00F27211">
              <w:rPr>
                <w:szCs w:val="22"/>
              </w:rPr>
              <w:t xml:space="preserve"> </w:t>
            </w:r>
            <w:r w:rsidRPr="00F27211">
              <w:rPr>
                <w:szCs w:val="22"/>
                <w:lang w:val="de-DE" w:eastAsia="de-DE"/>
              </w:rPr>
              <w:t>90</w:t>
            </w:r>
            <w:r w:rsidR="00FC3A91">
              <w:rPr>
                <w:szCs w:val="22"/>
                <w:lang w:val="de-DE" w:eastAsia="de-DE"/>
              </w:rPr>
              <w:t>,</w:t>
            </w:r>
            <w:r w:rsidRPr="00F27211">
              <w:rPr>
                <w:szCs w:val="22"/>
                <w:lang w:val="de-DE" w:eastAsia="de-DE"/>
              </w:rPr>
              <w:t>8</w:t>
            </w:r>
          </w:p>
        </w:tc>
        <w:tc>
          <w:tcPr>
            <w:tcW w:w="1394" w:type="dxa"/>
            <w:tcBorders>
              <w:top w:val="nil"/>
              <w:left w:val="single" w:sz="4" w:space="0" w:color="auto"/>
              <w:bottom w:val="nil"/>
              <w:right w:val="single" w:sz="4" w:space="0" w:color="auto"/>
            </w:tcBorders>
          </w:tcPr>
          <w:p w14:paraId="11E4EDFC" w14:textId="77777777" w:rsidR="000B2297" w:rsidRPr="00F27211" w:rsidRDefault="000B2297" w:rsidP="00DC2054">
            <w:pPr>
              <w:rPr>
                <w:szCs w:val="22"/>
              </w:rPr>
            </w:pPr>
            <w:r w:rsidRPr="00F27211">
              <w:rPr>
                <w:szCs w:val="22"/>
                <w:lang w:val="de-DE" w:eastAsia="de-DE"/>
              </w:rPr>
              <w:t>97</w:t>
            </w:r>
            <w:r w:rsidR="00705378">
              <w:rPr>
                <w:szCs w:val="22"/>
                <w:lang w:val="de-DE" w:eastAsia="de-DE"/>
              </w:rPr>
              <w:t>,</w:t>
            </w:r>
            <w:r w:rsidRPr="00F27211">
              <w:rPr>
                <w:szCs w:val="22"/>
                <w:lang w:val="de-DE" w:eastAsia="de-DE"/>
              </w:rPr>
              <w:t>9</w:t>
            </w:r>
            <w:r w:rsidR="00705378">
              <w:rPr>
                <w:szCs w:val="22"/>
              </w:rPr>
              <w:t>,</w:t>
            </w:r>
            <w:r w:rsidR="00705378" w:rsidRPr="00F27211">
              <w:rPr>
                <w:szCs w:val="22"/>
              </w:rPr>
              <w:t xml:space="preserve"> </w:t>
            </w:r>
            <w:r w:rsidR="00705378">
              <w:rPr>
                <w:szCs w:val="22"/>
              </w:rPr>
              <w:t>palyginti su</w:t>
            </w:r>
            <w:r w:rsidR="00705378" w:rsidRPr="00F27211">
              <w:rPr>
                <w:szCs w:val="22"/>
              </w:rPr>
              <w:t xml:space="preserve"> </w:t>
            </w:r>
            <w:r w:rsidRPr="00F27211">
              <w:rPr>
                <w:szCs w:val="22"/>
                <w:lang w:val="de-DE" w:eastAsia="de-DE"/>
              </w:rPr>
              <w:t>73</w:t>
            </w:r>
            <w:r w:rsidR="00705378">
              <w:rPr>
                <w:szCs w:val="22"/>
                <w:lang w:val="de-DE" w:eastAsia="de-DE"/>
              </w:rPr>
              <w:t>,</w:t>
            </w:r>
            <w:r w:rsidRPr="00F27211">
              <w:rPr>
                <w:szCs w:val="22"/>
                <w:lang w:val="de-DE" w:eastAsia="de-DE"/>
              </w:rPr>
              <w:t>3</w:t>
            </w:r>
          </w:p>
        </w:tc>
      </w:tr>
      <w:tr w:rsidR="000B2297" w:rsidRPr="00F27211" w14:paraId="7159AF50" w14:textId="77777777" w:rsidTr="00705378">
        <w:tc>
          <w:tcPr>
            <w:tcW w:w="1072" w:type="dxa"/>
            <w:vMerge/>
            <w:tcBorders>
              <w:right w:val="single" w:sz="4" w:space="0" w:color="auto"/>
            </w:tcBorders>
          </w:tcPr>
          <w:p w14:paraId="5F422B24" w14:textId="77777777" w:rsidR="000B2297" w:rsidRPr="00F27211" w:rsidRDefault="000B2297" w:rsidP="00DC2054">
            <w:pPr>
              <w:rPr>
                <w:szCs w:val="22"/>
              </w:rPr>
            </w:pPr>
          </w:p>
        </w:tc>
        <w:tc>
          <w:tcPr>
            <w:tcW w:w="1274" w:type="dxa"/>
            <w:tcBorders>
              <w:top w:val="nil"/>
              <w:left w:val="single" w:sz="4" w:space="0" w:color="auto"/>
              <w:bottom w:val="single" w:sz="4" w:space="0" w:color="auto"/>
              <w:right w:val="single" w:sz="4" w:space="0" w:color="auto"/>
            </w:tcBorders>
          </w:tcPr>
          <w:p w14:paraId="087DE351" w14:textId="77777777" w:rsidR="000B2297" w:rsidRPr="00F27211" w:rsidRDefault="00FC3A91" w:rsidP="00DC2054">
            <w:pPr>
              <w:rPr>
                <w:szCs w:val="22"/>
              </w:rPr>
            </w:pPr>
            <w:proofErr w:type="spellStart"/>
            <w:r>
              <w:rPr>
                <w:szCs w:val="22"/>
                <w:lang w:val="de-DE" w:eastAsia="de-DE"/>
              </w:rPr>
              <w:t>Aukštas</w:t>
            </w:r>
            <w:proofErr w:type="spellEnd"/>
          </w:p>
        </w:tc>
        <w:tc>
          <w:tcPr>
            <w:tcW w:w="1133" w:type="dxa"/>
            <w:tcBorders>
              <w:top w:val="nil"/>
              <w:left w:val="single" w:sz="4" w:space="0" w:color="auto"/>
              <w:bottom w:val="single" w:sz="4" w:space="0" w:color="auto"/>
              <w:right w:val="single" w:sz="4" w:space="0" w:color="auto"/>
            </w:tcBorders>
          </w:tcPr>
          <w:p w14:paraId="608648BB" w14:textId="77777777" w:rsidR="000B2297" w:rsidRPr="00F27211" w:rsidRDefault="000B2297" w:rsidP="00DC2054">
            <w:pPr>
              <w:rPr>
                <w:szCs w:val="22"/>
              </w:rPr>
            </w:pPr>
            <w:r w:rsidRPr="00F27211">
              <w:rPr>
                <w:szCs w:val="22"/>
                <w:lang w:val="de-DE" w:eastAsia="de-DE"/>
              </w:rPr>
              <w:t>29</w:t>
            </w:r>
            <w:r w:rsidR="00FC3A91">
              <w:rPr>
                <w:szCs w:val="22"/>
                <w:lang w:val="de-DE" w:eastAsia="de-DE"/>
              </w:rPr>
              <w:t>,</w:t>
            </w:r>
            <w:r w:rsidRPr="00F27211">
              <w:rPr>
                <w:szCs w:val="22"/>
                <w:lang w:val="de-DE" w:eastAsia="de-DE"/>
              </w:rPr>
              <w:t>7</w:t>
            </w:r>
          </w:p>
        </w:tc>
        <w:tc>
          <w:tcPr>
            <w:tcW w:w="1732" w:type="dxa"/>
            <w:tcBorders>
              <w:top w:val="nil"/>
              <w:left w:val="single" w:sz="4" w:space="0" w:color="auto"/>
              <w:bottom w:val="single" w:sz="4" w:space="0" w:color="auto"/>
              <w:right w:val="single" w:sz="4" w:space="0" w:color="auto"/>
            </w:tcBorders>
          </w:tcPr>
          <w:p w14:paraId="1AA11184" w14:textId="77777777" w:rsidR="000B2297" w:rsidRPr="00F27211" w:rsidRDefault="000B2297" w:rsidP="00DC2054">
            <w:pPr>
              <w:rPr>
                <w:szCs w:val="22"/>
              </w:rPr>
            </w:pPr>
            <w:r w:rsidRPr="00F27211">
              <w:rPr>
                <w:szCs w:val="22"/>
                <w:lang w:val="de-DE" w:eastAsia="de-DE"/>
              </w:rPr>
              <w:t xml:space="preserve">16/84 </w:t>
            </w:r>
            <w:r w:rsidR="00FC3A91">
              <w:rPr>
                <w:szCs w:val="22"/>
              </w:rPr>
              <w:t>palyginti su</w:t>
            </w:r>
            <w:r w:rsidRPr="00F27211">
              <w:rPr>
                <w:szCs w:val="22"/>
                <w:lang w:val="de-DE" w:eastAsia="de-DE"/>
              </w:rPr>
              <w:t xml:space="preserve"> 39/81</w:t>
            </w:r>
          </w:p>
        </w:tc>
        <w:tc>
          <w:tcPr>
            <w:tcW w:w="1638" w:type="dxa"/>
            <w:tcBorders>
              <w:top w:val="nil"/>
              <w:left w:val="single" w:sz="4" w:space="0" w:color="auto"/>
              <w:bottom w:val="single" w:sz="4" w:space="0" w:color="auto"/>
              <w:right w:val="single" w:sz="4" w:space="0" w:color="auto"/>
            </w:tcBorders>
          </w:tcPr>
          <w:p w14:paraId="3029B7CA" w14:textId="77777777" w:rsidR="000B2297" w:rsidRPr="00F27211" w:rsidRDefault="000B2297" w:rsidP="00DC2054">
            <w:pPr>
              <w:rPr>
                <w:szCs w:val="22"/>
              </w:rPr>
            </w:pPr>
            <w:r w:rsidRPr="00F27211">
              <w:rPr>
                <w:szCs w:val="22"/>
                <w:lang w:val="de-DE" w:eastAsia="de-DE"/>
              </w:rPr>
              <w:t>0</w:t>
            </w:r>
            <w:r w:rsidR="00FC3A91">
              <w:rPr>
                <w:szCs w:val="22"/>
                <w:lang w:val="de-DE" w:eastAsia="de-DE"/>
              </w:rPr>
              <w:t>,</w:t>
            </w:r>
            <w:r w:rsidRPr="00F27211">
              <w:rPr>
                <w:szCs w:val="22"/>
                <w:lang w:val="de-DE" w:eastAsia="de-DE"/>
              </w:rPr>
              <w:t>27 (0</w:t>
            </w:r>
            <w:r w:rsidR="00FC3A91">
              <w:rPr>
                <w:szCs w:val="22"/>
                <w:lang w:val="de-DE" w:eastAsia="de-DE"/>
              </w:rPr>
              <w:t>,</w:t>
            </w:r>
            <w:r w:rsidRPr="00F27211">
              <w:rPr>
                <w:szCs w:val="22"/>
                <w:lang w:val="de-DE" w:eastAsia="de-DE"/>
              </w:rPr>
              <w:t>15; 0</w:t>
            </w:r>
            <w:r w:rsidR="00FC3A91">
              <w:rPr>
                <w:szCs w:val="22"/>
                <w:lang w:val="de-DE" w:eastAsia="de-DE"/>
              </w:rPr>
              <w:t>,</w:t>
            </w:r>
            <w:r w:rsidRPr="00F27211">
              <w:rPr>
                <w:szCs w:val="22"/>
                <w:lang w:val="de-DE" w:eastAsia="de-DE"/>
              </w:rPr>
              <w:t>48)</w:t>
            </w:r>
          </w:p>
        </w:tc>
        <w:tc>
          <w:tcPr>
            <w:tcW w:w="1363" w:type="dxa"/>
            <w:tcBorders>
              <w:top w:val="nil"/>
              <w:left w:val="single" w:sz="4" w:space="0" w:color="auto"/>
              <w:bottom w:val="single" w:sz="4" w:space="0" w:color="auto"/>
              <w:right w:val="single" w:sz="4" w:space="0" w:color="auto"/>
            </w:tcBorders>
          </w:tcPr>
          <w:p w14:paraId="4B7C9B1F" w14:textId="77777777" w:rsidR="000B2297" w:rsidRPr="00F27211" w:rsidRDefault="000B2297" w:rsidP="00DC2054">
            <w:pPr>
              <w:rPr>
                <w:szCs w:val="22"/>
              </w:rPr>
            </w:pPr>
            <w:r w:rsidRPr="00F27211">
              <w:rPr>
                <w:szCs w:val="22"/>
                <w:lang w:val="de-DE" w:eastAsia="de-DE"/>
              </w:rPr>
              <w:t>98</w:t>
            </w:r>
            <w:r w:rsidR="00FC3A91">
              <w:rPr>
                <w:szCs w:val="22"/>
                <w:lang w:val="de-DE" w:eastAsia="de-DE"/>
              </w:rPr>
              <w:t>,</w:t>
            </w:r>
            <w:r w:rsidRPr="00F27211">
              <w:rPr>
                <w:szCs w:val="22"/>
                <w:lang w:val="de-DE" w:eastAsia="de-DE"/>
              </w:rPr>
              <w:t>7</w:t>
            </w:r>
            <w:r w:rsidR="00FC3A91">
              <w:rPr>
                <w:szCs w:val="22"/>
              </w:rPr>
              <w:t>,</w:t>
            </w:r>
            <w:r w:rsidR="00FC3A91" w:rsidRPr="00F27211">
              <w:rPr>
                <w:szCs w:val="22"/>
              </w:rPr>
              <w:t xml:space="preserve"> </w:t>
            </w:r>
            <w:r w:rsidR="00FC3A91">
              <w:rPr>
                <w:szCs w:val="22"/>
              </w:rPr>
              <w:t>palyginti su</w:t>
            </w:r>
            <w:r w:rsidR="00FC3A91" w:rsidRPr="00F27211">
              <w:rPr>
                <w:szCs w:val="22"/>
              </w:rPr>
              <w:t xml:space="preserve"> </w:t>
            </w:r>
            <w:r w:rsidRPr="00F27211">
              <w:rPr>
                <w:szCs w:val="22"/>
                <w:lang w:val="de-DE" w:eastAsia="de-DE"/>
              </w:rPr>
              <w:t>56</w:t>
            </w:r>
            <w:r w:rsidR="00705378">
              <w:rPr>
                <w:szCs w:val="22"/>
                <w:lang w:val="de-DE" w:eastAsia="de-DE"/>
              </w:rPr>
              <w:t>,</w:t>
            </w:r>
            <w:r w:rsidRPr="00F27211">
              <w:rPr>
                <w:szCs w:val="22"/>
                <w:lang w:val="de-DE" w:eastAsia="de-DE"/>
              </w:rPr>
              <w:t>1</w:t>
            </w:r>
          </w:p>
        </w:tc>
        <w:tc>
          <w:tcPr>
            <w:tcW w:w="1394" w:type="dxa"/>
            <w:tcBorders>
              <w:top w:val="nil"/>
              <w:left w:val="single" w:sz="4" w:space="0" w:color="auto"/>
              <w:bottom w:val="single" w:sz="4" w:space="0" w:color="auto"/>
              <w:right w:val="single" w:sz="4" w:space="0" w:color="auto"/>
            </w:tcBorders>
          </w:tcPr>
          <w:p w14:paraId="0657CCD5" w14:textId="77777777" w:rsidR="000B2297" w:rsidRPr="00F27211" w:rsidRDefault="000B2297" w:rsidP="00DC2054">
            <w:pPr>
              <w:rPr>
                <w:szCs w:val="22"/>
              </w:rPr>
            </w:pPr>
            <w:r w:rsidRPr="00F27211">
              <w:rPr>
                <w:szCs w:val="22"/>
                <w:lang w:val="de-DE" w:eastAsia="de-DE"/>
              </w:rPr>
              <w:t>79</w:t>
            </w:r>
            <w:r w:rsidR="00705378">
              <w:rPr>
                <w:szCs w:val="22"/>
                <w:lang w:val="de-DE" w:eastAsia="de-DE"/>
              </w:rPr>
              <w:t>,</w:t>
            </w:r>
            <w:r w:rsidRPr="00F27211">
              <w:rPr>
                <w:szCs w:val="22"/>
                <w:lang w:val="de-DE" w:eastAsia="de-DE"/>
              </w:rPr>
              <w:t>9</w:t>
            </w:r>
            <w:r w:rsidR="00705378">
              <w:rPr>
                <w:szCs w:val="22"/>
              </w:rPr>
              <w:t>,</w:t>
            </w:r>
            <w:r w:rsidR="00705378" w:rsidRPr="00F27211">
              <w:rPr>
                <w:szCs w:val="22"/>
              </w:rPr>
              <w:t xml:space="preserve"> </w:t>
            </w:r>
            <w:r w:rsidR="00705378">
              <w:rPr>
                <w:szCs w:val="22"/>
              </w:rPr>
              <w:t>palyginti su</w:t>
            </w:r>
            <w:r w:rsidR="00705378" w:rsidRPr="00F27211">
              <w:rPr>
                <w:szCs w:val="22"/>
              </w:rPr>
              <w:t xml:space="preserve"> </w:t>
            </w:r>
            <w:r w:rsidRPr="00F27211">
              <w:rPr>
                <w:szCs w:val="22"/>
                <w:lang w:val="de-DE" w:eastAsia="de-DE"/>
              </w:rPr>
              <w:t>41</w:t>
            </w:r>
            <w:r w:rsidR="00705378">
              <w:rPr>
                <w:szCs w:val="22"/>
                <w:lang w:val="de-DE" w:eastAsia="de-DE"/>
              </w:rPr>
              <w:t>,</w:t>
            </w:r>
            <w:r w:rsidRPr="00F27211">
              <w:rPr>
                <w:szCs w:val="22"/>
                <w:lang w:val="de-DE" w:eastAsia="de-DE"/>
              </w:rPr>
              <w:t>5</w:t>
            </w:r>
          </w:p>
        </w:tc>
      </w:tr>
    </w:tbl>
    <w:p w14:paraId="18A78926" w14:textId="77777777" w:rsidR="000B2297" w:rsidRDefault="00705378" w:rsidP="00722E5E">
      <w:pPr>
        <w:spacing w:line="240" w:lineRule="auto"/>
        <w:rPr>
          <w:rFonts w:eastAsia="SimSun"/>
          <w:snapToGrid/>
          <w:szCs w:val="22"/>
          <w:lang w:eastAsia="zh-CN"/>
        </w:rPr>
      </w:pPr>
      <w:r w:rsidRPr="00705378">
        <w:rPr>
          <w:rFonts w:eastAsia="SimSun"/>
          <w:snapToGrid/>
          <w:szCs w:val="22"/>
          <w:lang w:eastAsia="zh-CN"/>
        </w:rPr>
        <w:t>*Visas stebėjimo laikotarpis; NR – Nenustatytas</w:t>
      </w:r>
    </w:p>
    <w:p w14:paraId="6E453EA9" w14:textId="77777777" w:rsidR="000B2297" w:rsidRDefault="000B2297" w:rsidP="00722E5E">
      <w:pPr>
        <w:spacing w:line="240" w:lineRule="auto"/>
        <w:rPr>
          <w:rFonts w:eastAsia="SimSun"/>
          <w:snapToGrid/>
          <w:szCs w:val="22"/>
          <w:lang w:eastAsia="zh-CN"/>
        </w:rPr>
      </w:pPr>
    </w:p>
    <w:p w14:paraId="7181BAA6" w14:textId="3FFCDA99" w:rsidR="00722E5E" w:rsidRPr="00722E5E" w:rsidRDefault="00722E5E" w:rsidP="00722E5E">
      <w:pPr>
        <w:spacing w:line="240" w:lineRule="auto"/>
        <w:rPr>
          <w:rFonts w:eastAsia="SimSun"/>
          <w:snapToGrid/>
          <w:szCs w:val="22"/>
          <w:lang w:eastAsia="zh-CN"/>
        </w:rPr>
      </w:pPr>
      <w:r w:rsidRPr="00722E5E">
        <w:rPr>
          <w:rFonts w:eastAsia="SimSun"/>
          <w:snapToGrid/>
          <w:szCs w:val="22"/>
          <w:lang w:eastAsia="zh-CN"/>
        </w:rPr>
        <w:t xml:space="preserve">Atlikto antrojo </w:t>
      </w:r>
      <w:proofErr w:type="spellStart"/>
      <w:r w:rsidRPr="00722E5E">
        <w:rPr>
          <w:rFonts w:eastAsia="SimSun"/>
          <w:snapToGrid/>
          <w:szCs w:val="22"/>
          <w:lang w:eastAsia="zh-CN"/>
        </w:rPr>
        <w:t>daugiacentrio</w:t>
      </w:r>
      <w:proofErr w:type="spellEnd"/>
      <w:r w:rsidRPr="00722E5E">
        <w:rPr>
          <w:rFonts w:eastAsia="SimSun"/>
          <w:snapToGrid/>
          <w:szCs w:val="22"/>
          <w:lang w:eastAsia="zh-CN"/>
        </w:rPr>
        <w:t xml:space="preserve"> atvirojo III fazės tyrimo (SSG XVIII/AIO) metu buvo lyginamas VTSN</w:t>
      </w:r>
      <w:r w:rsidR="00705378">
        <w:rPr>
          <w:rFonts w:eastAsia="SimSun"/>
          <w:snapToGrid/>
          <w:szCs w:val="22"/>
          <w:lang w:eastAsia="zh-CN"/>
        </w:rPr>
        <w:t xml:space="preserve"> </w:t>
      </w:r>
      <w:r w:rsidRPr="00722E5E">
        <w:rPr>
          <w:rFonts w:eastAsia="SimSun"/>
          <w:snapToGrid/>
          <w:szCs w:val="22"/>
          <w:lang w:eastAsia="zh-CN"/>
        </w:rPr>
        <w:t xml:space="preserve">sergančių pacientų po chirurginės naviko </w:t>
      </w:r>
      <w:proofErr w:type="spellStart"/>
      <w:r w:rsidRPr="00722E5E">
        <w:rPr>
          <w:rFonts w:eastAsia="SimSun"/>
          <w:snapToGrid/>
          <w:szCs w:val="22"/>
          <w:lang w:eastAsia="zh-CN"/>
        </w:rPr>
        <w:t>rezekcijos</w:t>
      </w:r>
      <w:proofErr w:type="spellEnd"/>
      <w:r w:rsidRPr="00722E5E">
        <w:rPr>
          <w:rFonts w:eastAsia="SimSun"/>
          <w:snapToGrid/>
          <w:szCs w:val="22"/>
          <w:lang w:eastAsia="zh-CN"/>
        </w:rPr>
        <w:t xml:space="preserve"> 12 mėnesių trukmės gydymas su 36 mėnesių</w:t>
      </w:r>
      <w:r w:rsidR="00705378">
        <w:rPr>
          <w:rFonts w:eastAsia="SimSun"/>
          <w:snapToGrid/>
          <w:szCs w:val="22"/>
          <w:lang w:eastAsia="zh-CN"/>
        </w:rPr>
        <w:t xml:space="preserve"> </w:t>
      </w:r>
      <w:r w:rsidRPr="00722E5E">
        <w:rPr>
          <w:rFonts w:eastAsia="SimSun"/>
          <w:snapToGrid/>
          <w:szCs w:val="22"/>
          <w:lang w:eastAsia="zh-CN"/>
        </w:rPr>
        <w:t>trukmės gydymu 400</w:t>
      </w:r>
      <w:r w:rsidR="00705378">
        <w:rPr>
          <w:rFonts w:eastAsia="SimSun"/>
          <w:snapToGrid/>
          <w:szCs w:val="22"/>
          <w:lang w:eastAsia="zh-CN"/>
        </w:rPr>
        <w:t> </w:t>
      </w:r>
      <w:r w:rsidRPr="00722E5E">
        <w:rPr>
          <w:rFonts w:eastAsia="SimSun"/>
          <w:snapToGrid/>
          <w:szCs w:val="22"/>
          <w:lang w:eastAsia="zh-CN"/>
        </w:rPr>
        <w:t xml:space="preserve">mg </w:t>
      </w:r>
      <w:proofErr w:type="spellStart"/>
      <w:r w:rsidR="00705378">
        <w:rPr>
          <w:rFonts w:eastAsia="SimSun"/>
          <w:snapToGrid/>
          <w:szCs w:val="22"/>
          <w:lang w:eastAsia="zh-CN"/>
        </w:rPr>
        <w:t>imatinibo</w:t>
      </w:r>
      <w:proofErr w:type="spellEnd"/>
      <w:r w:rsidRPr="00722E5E">
        <w:rPr>
          <w:rFonts w:eastAsia="SimSun"/>
          <w:snapToGrid/>
          <w:szCs w:val="22"/>
          <w:lang w:eastAsia="zh-CN"/>
        </w:rPr>
        <w:t xml:space="preserve"> paros doze, kai buvo viena iš toliau nurodytų sąlygų: naviko</w:t>
      </w:r>
      <w:r w:rsidR="00705378">
        <w:rPr>
          <w:rFonts w:eastAsia="SimSun"/>
          <w:snapToGrid/>
          <w:szCs w:val="22"/>
          <w:lang w:eastAsia="zh-CN"/>
        </w:rPr>
        <w:t xml:space="preserve"> </w:t>
      </w:r>
      <w:r w:rsidRPr="00722E5E">
        <w:rPr>
          <w:rFonts w:eastAsia="SimSun"/>
          <w:snapToGrid/>
          <w:szCs w:val="22"/>
          <w:lang w:eastAsia="zh-CN"/>
        </w:rPr>
        <w:t>skersmuo &gt;</w:t>
      </w:r>
      <w:r w:rsidR="00705378">
        <w:rPr>
          <w:rFonts w:eastAsia="SimSun"/>
          <w:snapToGrid/>
          <w:szCs w:val="22"/>
          <w:lang w:eastAsia="zh-CN"/>
        </w:rPr>
        <w:t> </w:t>
      </w:r>
      <w:r w:rsidRPr="00722E5E">
        <w:rPr>
          <w:rFonts w:eastAsia="SimSun"/>
          <w:snapToGrid/>
          <w:szCs w:val="22"/>
          <w:lang w:eastAsia="zh-CN"/>
        </w:rPr>
        <w:t>5</w:t>
      </w:r>
      <w:r w:rsidR="00705378">
        <w:rPr>
          <w:rFonts w:eastAsia="SimSun"/>
          <w:snapToGrid/>
          <w:szCs w:val="22"/>
          <w:lang w:eastAsia="zh-CN"/>
        </w:rPr>
        <w:t> </w:t>
      </w:r>
      <w:r w:rsidRPr="00722E5E">
        <w:rPr>
          <w:rFonts w:eastAsia="SimSun"/>
          <w:snapToGrid/>
          <w:szCs w:val="22"/>
          <w:lang w:eastAsia="zh-CN"/>
        </w:rPr>
        <w:t>cm ir mitozių skaičius &gt;</w:t>
      </w:r>
      <w:r w:rsidR="003E18A8">
        <w:rPr>
          <w:rFonts w:eastAsia="SimSun"/>
        </w:rPr>
        <w:t> </w:t>
      </w:r>
      <w:r w:rsidRPr="00722E5E">
        <w:rPr>
          <w:rFonts w:eastAsia="SimSun"/>
          <w:snapToGrid/>
          <w:szCs w:val="22"/>
          <w:lang w:eastAsia="zh-CN"/>
        </w:rPr>
        <w:t>5/50 didelės didinamosios galios laukų (DDGL); arba naviko</w:t>
      </w:r>
      <w:r w:rsidR="00705378">
        <w:rPr>
          <w:rFonts w:eastAsia="SimSun"/>
          <w:snapToGrid/>
          <w:szCs w:val="22"/>
          <w:lang w:eastAsia="zh-CN"/>
        </w:rPr>
        <w:t xml:space="preserve"> </w:t>
      </w:r>
      <w:r w:rsidRPr="00722E5E">
        <w:rPr>
          <w:rFonts w:eastAsia="SimSun"/>
          <w:snapToGrid/>
          <w:szCs w:val="22"/>
          <w:lang w:eastAsia="zh-CN"/>
        </w:rPr>
        <w:t>skersmuo &gt;</w:t>
      </w:r>
      <w:r w:rsidR="003E18A8">
        <w:rPr>
          <w:rFonts w:eastAsia="SimSun"/>
          <w:snapToGrid/>
          <w:szCs w:val="22"/>
          <w:lang w:eastAsia="zh-CN"/>
        </w:rPr>
        <w:t> </w:t>
      </w:r>
      <w:r w:rsidRPr="00722E5E">
        <w:rPr>
          <w:rFonts w:eastAsia="SimSun"/>
          <w:snapToGrid/>
          <w:szCs w:val="22"/>
          <w:lang w:eastAsia="zh-CN"/>
        </w:rPr>
        <w:t>10</w:t>
      </w:r>
      <w:r w:rsidR="00705378">
        <w:rPr>
          <w:rFonts w:eastAsia="SimSun"/>
          <w:snapToGrid/>
          <w:szCs w:val="22"/>
          <w:lang w:eastAsia="zh-CN"/>
        </w:rPr>
        <w:t> </w:t>
      </w:r>
      <w:r w:rsidRPr="00722E5E">
        <w:rPr>
          <w:rFonts w:eastAsia="SimSun"/>
          <w:snapToGrid/>
          <w:szCs w:val="22"/>
          <w:lang w:eastAsia="zh-CN"/>
        </w:rPr>
        <w:t>cm ir bet koks mitozių skaičius; arba bet kokio skersmens navikas ir mitozių skaičius</w:t>
      </w:r>
      <w:r w:rsidR="00705378">
        <w:rPr>
          <w:rFonts w:eastAsia="SimSun"/>
          <w:snapToGrid/>
          <w:szCs w:val="22"/>
          <w:lang w:eastAsia="zh-CN"/>
        </w:rPr>
        <w:t xml:space="preserve"> </w:t>
      </w:r>
      <w:r w:rsidRPr="00722E5E">
        <w:rPr>
          <w:rFonts w:eastAsia="SimSun"/>
          <w:snapToGrid/>
          <w:szCs w:val="22"/>
          <w:lang w:eastAsia="zh-CN"/>
        </w:rPr>
        <w:t>&gt;</w:t>
      </w:r>
      <w:r w:rsidR="00705378">
        <w:rPr>
          <w:rFonts w:eastAsia="SimSun"/>
          <w:snapToGrid/>
          <w:szCs w:val="22"/>
          <w:lang w:eastAsia="zh-CN"/>
        </w:rPr>
        <w:t> </w:t>
      </w:r>
      <w:r w:rsidRPr="00722E5E">
        <w:rPr>
          <w:rFonts w:eastAsia="SimSun"/>
          <w:snapToGrid/>
          <w:szCs w:val="22"/>
          <w:lang w:eastAsia="zh-CN"/>
        </w:rPr>
        <w:t>10/50 DDGL; arba navikas plyšęs į pilvaplėvės ertmę. Tyrime sutiko dalyvauti ir buvo atrinkti iš</w:t>
      </w:r>
      <w:r w:rsidR="00705378">
        <w:rPr>
          <w:rFonts w:eastAsia="SimSun"/>
          <w:snapToGrid/>
          <w:szCs w:val="22"/>
          <w:lang w:eastAsia="zh-CN"/>
        </w:rPr>
        <w:t xml:space="preserve"> </w:t>
      </w:r>
      <w:r w:rsidRPr="00722E5E">
        <w:rPr>
          <w:rFonts w:eastAsia="SimSun"/>
          <w:snapToGrid/>
          <w:szCs w:val="22"/>
          <w:lang w:eastAsia="zh-CN"/>
        </w:rPr>
        <w:t>viso 397 pacientai (199 pacientams skirtas 12</w:t>
      </w:r>
      <w:r w:rsidR="008575FC">
        <w:rPr>
          <w:rFonts w:eastAsia="SimSun"/>
          <w:snapToGrid/>
          <w:szCs w:val="22"/>
          <w:lang w:eastAsia="zh-CN"/>
        </w:rPr>
        <w:t> </w:t>
      </w:r>
      <w:r w:rsidRPr="00722E5E">
        <w:rPr>
          <w:rFonts w:eastAsia="SimSun"/>
          <w:snapToGrid/>
          <w:szCs w:val="22"/>
          <w:lang w:eastAsia="zh-CN"/>
        </w:rPr>
        <w:t>mėnesių trukmės gydymas, o 198 pacientams skirtas</w:t>
      </w:r>
      <w:r w:rsidR="00705378">
        <w:rPr>
          <w:rFonts w:eastAsia="SimSun"/>
          <w:snapToGrid/>
          <w:szCs w:val="22"/>
          <w:lang w:eastAsia="zh-CN"/>
        </w:rPr>
        <w:t xml:space="preserve"> </w:t>
      </w:r>
      <w:r w:rsidRPr="00722E5E">
        <w:rPr>
          <w:rFonts w:eastAsia="SimSun"/>
          <w:snapToGrid/>
          <w:szCs w:val="22"/>
          <w:lang w:eastAsia="zh-CN"/>
        </w:rPr>
        <w:t>36 mėnesių trukmės gydymas), jų amžiaus mediana buvo 61 metai (svyravo nuo 22 iki 84</w:t>
      </w:r>
      <w:r w:rsidR="003E18A8">
        <w:rPr>
          <w:rFonts w:eastAsia="SimSun"/>
          <w:snapToGrid/>
          <w:szCs w:val="22"/>
          <w:lang w:eastAsia="zh-CN"/>
        </w:rPr>
        <w:t> </w:t>
      </w:r>
      <w:r w:rsidRPr="00722E5E">
        <w:rPr>
          <w:rFonts w:eastAsia="SimSun"/>
          <w:snapToGrid/>
          <w:szCs w:val="22"/>
          <w:lang w:eastAsia="zh-CN"/>
        </w:rPr>
        <w:t>metų).</w:t>
      </w:r>
    </w:p>
    <w:p w14:paraId="18E269D1" w14:textId="55B82612" w:rsidR="00722E5E" w:rsidRDefault="00722E5E" w:rsidP="00722E5E">
      <w:pPr>
        <w:spacing w:line="240" w:lineRule="auto"/>
        <w:rPr>
          <w:rFonts w:eastAsia="SimSun"/>
          <w:snapToGrid/>
          <w:szCs w:val="22"/>
          <w:lang w:eastAsia="zh-CN"/>
        </w:rPr>
      </w:pPr>
      <w:r w:rsidRPr="00722E5E">
        <w:rPr>
          <w:rFonts w:eastAsia="SimSun"/>
          <w:snapToGrid/>
          <w:szCs w:val="22"/>
          <w:lang w:eastAsia="zh-CN"/>
        </w:rPr>
        <w:t>Vidutinė stebėjimo laikotarpio mediana buvo 54</w:t>
      </w:r>
      <w:r w:rsidR="008575FC">
        <w:rPr>
          <w:rFonts w:eastAsia="SimSun"/>
          <w:snapToGrid/>
          <w:szCs w:val="22"/>
          <w:lang w:eastAsia="zh-CN"/>
        </w:rPr>
        <w:t> </w:t>
      </w:r>
      <w:r w:rsidRPr="00722E5E">
        <w:rPr>
          <w:rFonts w:eastAsia="SimSun"/>
          <w:snapToGrid/>
          <w:szCs w:val="22"/>
          <w:lang w:eastAsia="zh-CN"/>
        </w:rPr>
        <w:t xml:space="preserve">mėnesiai (nuo </w:t>
      </w:r>
      <w:r w:rsidR="00705378">
        <w:rPr>
          <w:rFonts w:eastAsia="SimSun"/>
          <w:snapToGrid/>
          <w:szCs w:val="22"/>
          <w:lang w:eastAsia="zh-CN"/>
        </w:rPr>
        <w:t>suskirstymo atsitiktinės atrankos būdu</w:t>
      </w:r>
      <w:r w:rsidRPr="00722E5E">
        <w:rPr>
          <w:rFonts w:eastAsia="SimSun"/>
          <w:snapToGrid/>
          <w:szCs w:val="22"/>
          <w:lang w:eastAsia="zh-CN"/>
        </w:rPr>
        <w:t xml:space="preserve"> </w:t>
      </w:r>
      <w:r w:rsidR="00705378">
        <w:rPr>
          <w:rFonts w:eastAsia="SimSun"/>
          <w:snapToGrid/>
          <w:szCs w:val="22"/>
          <w:lang w:eastAsia="zh-CN"/>
        </w:rPr>
        <w:t xml:space="preserve"> į grupes </w:t>
      </w:r>
      <w:r w:rsidRPr="00722E5E">
        <w:rPr>
          <w:rFonts w:eastAsia="SimSun"/>
          <w:snapToGrid/>
          <w:szCs w:val="22"/>
          <w:lang w:eastAsia="zh-CN"/>
        </w:rPr>
        <w:t>dienos iki tyrimo</w:t>
      </w:r>
      <w:r w:rsidR="00705378">
        <w:rPr>
          <w:rFonts w:eastAsia="SimSun"/>
          <w:snapToGrid/>
          <w:szCs w:val="22"/>
          <w:lang w:eastAsia="zh-CN"/>
        </w:rPr>
        <w:t xml:space="preserve"> </w:t>
      </w:r>
      <w:r w:rsidRPr="00722E5E">
        <w:rPr>
          <w:rFonts w:eastAsia="SimSun"/>
          <w:snapToGrid/>
          <w:szCs w:val="22"/>
          <w:lang w:eastAsia="zh-CN"/>
        </w:rPr>
        <w:t>pabaigos), nuo pirmojo paciento atrankos iki tyrimo pabaigos dienos praėjo iš viso 83</w:t>
      </w:r>
      <w:r w:rsidR="003E18A8">
        <w:rPr>
          <w:rFonts w:eastAsia="SimSun"/>
          <w:snapToGrid/>
          <w:szCs w:val="22"/>
          <w:lang w:eastAsia="zh-CN"/>
        </w:rPr>
        <w:t> </w:t>
      </w:r>
      <w:r w:rsidRPr="00722E5E">
        <w:rPr>
          <w:rFonts w:eastAsia="SimSun"/>
          <w:snapToGrid/>
          <w:szCs w:val="22"/>
          <w:lang w:eastAsia="zh-CN"/>
        </w:rPr>
        <w:t>mėnesiai.</w:t>
      </w:r>
    </w:p>
    <w:p w14:paraId="410245FA" w14:textId="77777777" w:rsidR="00705378" w:rsidRPr="00722E5E" w:rsidRDefault="00705378" w:rsidP="00722E5E">
      <w:pPr>
        <w:spacing w:line="240" w:lineRule="auto"/>
        <w:rPr>
          <w:rFonts w:eastAsia="SimSun"/>
          <w:snapToGrid/>
          <w:szCs w:val="22"/>
          <w:lang w:eastAsia="zh-CN"/>
        </w:rPr>
      </w:pPr>
    </w:p>
    <w:p w14:paraId="0F435380" w14:textId="77777777" w:rsidR="00722E5E" w:rsidRPr="00722E5E" w:rsidRDefault="00705378" w:rsidP="00722E5E">
      <w:pPr>
        <w:spacing w:line="240" w:lineRule="auto"/>
        <w:rPr>
          <w:rFonts w:eastAsia="SimSun"/>
          <w:snapToGrid/>
          <w:szCs w:val="22"/>
          <w:lang w:eastAsia="zh-CN"/>
        </w:rPr>
      </w:pPr>
      <w:r>
        <w:rPr>
          <w:rFonts w:eastAsia="SimSun"/>
          <w:snapToGrid/>
          <w:szCs w:val="22"/>
          <w:lang w:eastAsia="zh-CN"/>
        </w:rPr>
        <w:lastRenderedPageBreak/>
        <w:t>Svarbiausioji</w:t>
      </w:r>
      <w:r w:rsidR="00722E5E" w:rsidRPr="00722E5E">
        <w:rPr>
          <w:rFonts w:eastAsia="SimSun"/>
          <w:snapToGrid/>
          <w:szCs w:val="22"/>
          <w:lang w:eastAsia="zh-CN"/>
        </w:rPr>
        <w:t xml:space="preserve"> tyrimo vertinamoji baigtis buvo išgyvenamumas be ligos recidyvo (angl</w:t>
      </w:r>
      <w:r w:rsidR="00722E5E" w:rsidRPr="007541DA">
        <w:rPr>
          <w:rFonts w:eastAsia="SimSun"/>
          <w:i/>
          <w:iCs/>
          <w:snapToGrid/>
          <w:szCs w:val="22"/>
          <w:lang w:eastAsia="zh-CN"/>
        </w:rPr>
        <w:t xml:space="preserve">. </w:t>
      </w:r>
      <w:proofErr w:type="spellStart"/>
      <w:r w:rsidR="00722E5E" w:rsidRPr="007541DA">
        <w:rPr>
          <w:rFonts w:eastAsia="SimSun"/>
          <w:i/>
          <w:iCs/>
          <w:snapToGrid/>
          <w:szCs w:val="22"/>
          <w:lang w:eastAsia="zh-CN"/>
        </w:rPr>
        <w:t>recurrence-free</w:t>
      </w:r>
      <w:proofErr w:type="spellEnd"/>
      <w:r w:rsidRPr="007541DA">
        <w:rPr>
          <w:rFonts w:eastAsia="SimSun"/>
          <w:i/>
          <w:iCs/>
          <w:snapToGrid/>
          <w:szCs w:val="22"/>
          <w:lang w:eastAsia="zh-CN"/>
        </w:rPr>
        <w:t xml:space="preserve"> </w:t>
      </w:r>
      <w:proofErr w:type="spellStart"/>
      <w:r w:rsidR="00722E5E" w:rsidRPr="007541DA">
        <w:rPr>
          <w:rFonts w:eastAsia="SimSun"/>
          <w:i/>
          <w:iCs/>
          <w:snapToGrid/>
          <w:szCs w:val="22"/>
          <w:lang w:eastAsia="zh-CN"/>
        </w:rPr>
        <w:t>survival</w:t>
      </w:r>
      <w:proofErr w:type="spellEnd"/>
      <w:r w:rsidR="00722E5E" w:rsidRPr="007541DA">
        <w:rPr>
          <w:rFonts w:eastAsia="SimSun"/>
          <w:i/>
          <w:iCs/>
          <w:snapToGrid/>
          <w:szCs w:val="22"/>
          <w:lang w:eastAsia="zh-CN"/>
        </w:rPr>
        <w:t xml:space="preserve"> – RFS</w:t>
      </w:r>
      <w:r w:rsidR="00722E5E" w:rsidRPr="00722E5E">
        <w:rPr>
          <w:rFonts w:eastAsia="SimSun"/>
          <w:snapToGrid/>
          <w:szCs w:val="22"/>
          <w:lang w:eastAsia="zh-CN"/>
        </w:rPr>
        <w:t xml:space="preserve">), nustatomas kaip laikas nuo </w:t>
      </w:r>
      <w:r>
        <w:rPr>
          <w:rFonts w:eastAsia="SimSun"/>
          <w:snapToGrid/>
          <w:szCs w:val="22"/>
          <w:lang w:eastAsia="zh-CN"/>
        </w:rPr>
        <w:t>suskirstymo atsitiktinės atrankos būdu</w:t>
      </w:r>
      <w:r w:rsidRPr="00722E5E">
        <w:rPr>
          <w:rFonts w:eastAsia="SimSun"/>
          <w:snapToGrid/>
          <w:szCs w:val="22"/>
          <w:lang w:eastAsia="zh-CN"/>
        </w:rPr>
        <w:t xml:space="preserve"> </w:t>
      </w:r>
      <w:r>
        <w:rPr>
          <w:rFonts w:eastAsia="SimSun"/>
          <w:snapToGrid/>
          <w:szCs w:val="22"/>
          <w:lang w:eastAsia="zh-CN"/>
        </w:rPr>
        <w:t xml:space="preserve">į grupes </w:t>
      </w:r>
      <w:r w:rsidRPr="00722E5E">
        <w:rPr>
          <w:rFonts w:eastAsia="SimSun"/>
          <w:snapToGrid/>
          <w:szCs w:val="22"/>
          <w:lang w:eastAsia="zh-CN"/>
        </w:rPr>
        <w:t>dienos</w:t>
      </w:r>
      <w:r w:rsidR="00722E5E" w:rsidRPr="00722E5E">
        <w:rPr>
          <w:rFonts w:eastAsia="SimSun"/>
          <w:snapToGrid/>
          <w:szCs w:val="22"/>
          <w:lang w:eastAsia="zh-CN"/>
        </w:rPr>
        <w:t xml:space="preserve"> iki recidyvo pasireiškimo dienos</w:t>
      </w:r>
      <w:r>
        <w:rPr>
          <w:rFonts w:eastAsia="SimSun"/>
          <w:snapToGrid/>
          <w:szCs w:val="22"/>
          <w:lang w:eastAsia="zh-CN"/>
        </w:rPr>
        <w:t xml:space="preserve"> </w:t>
      </w:r>
      <w:r w:rsidR="00722E5E" w:rsidRPr="00722E5E">
        <w:rPr>
          <w:rFonts w:eastAsia="SimSun"/>
          <w:snapToGrid/>
          <w:szCs w:val="22"/>
          <w:lang w:eastAsia="zh-CN"/>
        </w:rPr>
        <w:t>arba mirties dėl bet kokios priežasties.</w:t>
      </w:r>
    </w:p>
    <w:p w14:paraId="24E71A83" w14:textId="77777777" w:rsidR="00705378" w:rsidRDefault="00705378" w:rsidP="00722E5E">
      <w:pPr>
        <w:spacing w:line="240" w:lineRule="auto"/>
        <w:rPr>
          <w:rFonts w:eastAsia="SimSun"/>
          <w:snapToGrid/>
          <w:szCs w:val="22"/>
          <w:lang w:eastAsia="zh-CN"/>
        </w:rPr>
      </w:pPr>
    </w:p>
    <w:p w14:paraId="50F0D23B" w14:textId="4DEB3ABF" w:rsidR="00722E5E" w:rsidRPr="00722E5E" w:rsidRDefault="00722E5E" w:rsidP="00722E5E">
      <w:pPr>
        <w:spacing w:line="240" w:lineRule="auto"/>
        <w:rPr>
          <w:rFonts w:eastAsia="SimSun"/>
          <w:snapToGrid/>
          <w:szCs w:val="22"/>
          <w:lang w:eastAsia="zh-CN"/>
        </w:rPr>
      </w:pPr>
      <w:r w:rsidRPr="00722E5E">
        <w:rPr>
          <w:rFonts w:eastAsia="SimSun"/>
          <w:snapToGrid/>
          <w:szCs w:val="22"/>
          <w:lang w:eastAsia="zh-CN"/>
        </w:rPr>
        <w:t xml:space="preserve">Trisdešimt šešių (36) mėnesių trukmės gydymas </w:t>
      </w:r>
      <w:proofErr w:type="spellStart"/>
      <w:r w:rsidR="00705378">
        <w:rPr>
          <w:rFonts w:eastAsia="SimSun"/>
          <w:snapToGrid/>
          <w:szCs w:val="22"/>
          <w:lang w:eastAsia="zh-CN"/>
        </w:rPr>
        <w:t>imatinibu</w:t>
      </w:r>
      <w:proofErr w:type="spellEnd"/>
      <w:r w:rsidRPr="00722E5E">
        <w:rPr>
          <w:rFonts w:eastAsia="SimSun"/>
          <w:snapToGrid/>
          <w:szCs w:val="22"/>
          <w:lang w:eastAsia="zh-CN"/>
        </w:rPr>
        <w:t xml:space="preserve"> reikšmingai pailgino RFS rodiklį, lyginant su</w:t>
      </w:r>
      <w:r w:rsidR="00705378">
        <w:rPr>
          <w:rFonts w:eastAsia="SimSun"/>
          <w:snapToGrid/>
          <w:szCs w:val="22"/>
          <w:lang w:eastAsia="zh-CN"/>
        </w:rPr>
        <w:t xml:space="preserve"> </w:t>
      </w:r>
      <w:r w:rsidRPr="00722E5E">
        <w:rPr>
          <w:rFonts w:eastAsia="SimSun"/>
          <w:snapToGrid/>
          <w:szCs w:val="22"/>
          <w:lang w:eastAsia="zh-CN"/>
        </w:rPr>
        <w:t xml:space="preserve">12 mėnesių trukmės gydymu </w:t>
      </w:r>
      <w:proofErr w:type="spellStart"/>
      <w:r w:rsidR="00705378">
        <w:rPr>
          <w:rFonts w:eastAsia="SimSun"/>
          <w:snapToGrid/>
          <w:szCs w:val="22"/>
          <w:lang w:eastAsia="zh-CN"/>
        </w:rPr>
        <w:t>imatinibu</w:t>
      </w:r>
      <w:proofErr w:type="spellEnd"/>
      <w:r w:rsidRPr="00722E5E">
        <w:rPr>
          <w:rFonts w:eastAsia="SimSun"/>
          <w:snapToGrid/>
          <w:szCs w:val="22"/>
          <w:lang w:eastAsia="zh-CN"/>
        </w:rPr>
        <w:t xml:space="preserve"> (bendrasis rizikos santykis (RS) lygus 0,46 [0,32, 0,65],</w:t>
      </w:r>
      <w:r w:rsidR="00705378">
        <w:rPr>
          <w:rFonts w:eastAsia="SimSun"/>
          <w:snapToGrid/>
          <w:szCs w:val="22"/>
          <w:lang w:eastAsia="zh-CN"/>
        </w:rPr>
        <w:t xml:space="preserve"> </w:t>
      </w:r>
      <w:r w:rsidRPr="00722E5E">
        <w:rPr>
          <w:rFonts w:eastAsia="SimSun"/>
          <w:snapToGrid/>
          <w:szCs w:val="22"/>
          <w:lang w:eastAsia="zh-CN"/>
        </w:rPr>
        <w:t>p</w:t>
      </w:r>
      <w:r w:rsidR="00705378">
        <w:rPr>
          <w:rFonts w:eastAsia="SimSun"/>
          <w:snapToGrid/>
          <w:szCs w:val="22"/>
          <w:lang w:eastAsia="zh-CN"/>
        </w:rPr>
        <w:t> </w:t>
      </w:r>
      <w:r w:rsidRPr="00722E5E">
        <w:rPr>
          <w:rFonts w:eastAsia="SimSun"/>
          <w:snapToGrid/>
          <w:szCs w:val="22"/>
          <w:lang w:eastAsia="zh-CN"/>
        </w:rPr>
        <w:t>&lt;0,0001) (žr.</w:t>
      </w:r>
      <w:r w:rsidR="008575FC">
        <w:rPr>
          <w:rFonts w:eastAsia="SimSun"/>
          <w:snapToGrid/>
          <w:szCs w:val="22"/>
          <w:lang w:eastAsia="zh-CN"/>
        </w:rPr>
        <w:t> </w:t>
      </w:r>
      <w:r w:rsidRPr="00722E5E">
        <w:rPr>
          <w:rFonts w:eastAsia="SimSun"/>
          <w:snapToGrid/>
          <w:szCs w:val="22"/>
          <w:lang w:eastAsia="zh-CN"/>
        </w:rPr>
        <w:t>8</w:t>
      </w:r>
      <w:r w:rsidR="008575FC">
        <w:rPr>
          <w:rFonts w:eastAsia="SimSun"/>
          <w:snapToGrid/>
          <w:szCs w:val="22"/>
          <w:lang w:eastAsia="zh-CN"/>
        </w:rPr>
        <w:t> </w:t>
      </w:r>
      <w:r w:rsidRPr="00722E5E">
        <w:rPr>
          <w:rFonts w:eastAsia="SimSun"/>
          <w:snapToGrid/>
          <w:szCs w:val="22"/>
          <w:lang w:eastAsia="zh-CN"/>
        </w:rPr>
        <w:t>lentelę, 1</w:t>
      </w:r>
      <w:r w:rsidR="008575FC">
        <w:rPr>
          <w:rFonts w:eastAsia="SimSun"/>
          <w:snapToGrid/>
          <w:szCs w:val="22"/>
          <w:lang w:eastAsia="zh-CN"/>
        </w:rPr>
        <w:t> </w:t>
      </w:r>
      <w:r w:rsidRPr="00722E5E">
        <w:rPr>
          <w:rFonts w:eastAsia="SimSun"/>
          <w:snapToGrid/>
          <w:szCs w:val="22"/>
          <w:lang w:eastAsia="zh-CN"/>
        </w:rPr>
        <w:t>pav.).</w:t>
      </w:r>
    </w:p>
    <w:p w14:paraId="41BDF594" w14:textId="77777777" w:rsidR="001566D5" w:rsidRDefault="001566D5" w:rsidP="00722E5E">
      <w:pPr>
        <w:spacing w:line="240" w:lineRule="auto"/>
        <w:rPr>
          <w:rFonts w:eastAsia="SimSun"/>
          <w:snapToGrid/>
          <w:szCs w:val="22"/>
          <w:lang w:eastAsia="zh-CN"/>
        </w:rPr>
      </w:pPr>
    </w:p>
    <w:p w14:paraId="2F8307EE" w14:textId="59B787E0" w:rsidR="00722E5E" w:rsidRPr="00722E5E" w:rsidRDefault="00722E5E" w:rsidP="00722E5E">
      <w:pPr>
        <w:spacing w:line="240" w:lineRule="auto"/>
        <w:rPr>
          <w:rFonts w:eastAsia="SimSun"/>
          <w:snapToGrid/>
          <w:szCs w:val="22"/>
          <w:lang w:eastAsia="zh-CN"/>
        </w:rPr>
      </w:pPr>
      <w:r w:rsidRPr="00722E5E">
        <w:rPr>
          <w:rFonts w:eastAsia="SimSun"/>
          <w:snapToGrid/>
          <w:szCs w:val="22"/>
          <w:lang w:eastAsia="zh-CN"/>
        </w:rPr>
        <w:t xml:space="preserve">Be to, trisdešimt šešių (36) mėnesių trukmės gydymas </w:t>
      </w:r>
      <w:proofErr w:type="spellStart"/>
      <w:r w:rsidR="00705378">
        <w:rPr>
          <w:rFonts w:eastAsia="SimSun"/>
          <w:snapToGrid/>
          <w:szCs w:val="22"/>
          <w:lang w:eastAsia="zh-CN"/>
        </w:rPr>
        <w:t>imatinibu</w:t>
      </w:r>
      <w:proofErr w:type="spellEnd"/>
      <w:r w:rsidR="00705378">
        <w:rPr>
          <w:rFonts w:eastAsia="SimSun"/>
          <w:snapToGrid/>
          <w:szCs w:val="22"/>
          <w:lang w:eastAsia="zh-CN"/>
        </w:rPr>
        <w:t xml:space="preserve"> </w:t>
      </w:r>
      <w:r w:rsidRPr="00722E5E">
        <w:rPr>
          <w:rFonts w:eastAsia="SimSun"/>
          <w:snapToGrid/>
          <w:szCs w:val="22"/>
          <w:lang w:eastAsia="zh-CN"/>
        </w:rPr>
        <w:t xml:space="preserve"> reikšmingai pailgino bendrojo</w:t>
      </w:r>
      <w:r w:rsidR="00705378">
        <w:rPr>
          <w:rFonts w:eastAsia="SimSun"/>
          <w:snapToGrid/>
          <w:szCs w:val="22"/>
          <w:lang w:eastAsia="zh-CN"/>
        </w:rPr>
        <w:t xml:space="preserve"> </w:t>
      </w:r>
      <w:r w:rsidRPr="00722E5E">
        <w:rPr>
          <w:rFonts w:eastAsia="SimSun"/>
          <w:snapToGrid/>
          <w:szCs w:val="22"/>
          <w:lang w:eastAsia="zh-CN"/>
        </w:rPr>
        <w:t xml:space="preserve">išgyvenamumo rodiklį, lyginant su 12 mėnesių trukmės gydymu </w:t>
      </w:r>
      <w:proofErr w:type="spellStart"/>
      <w:r w:rsidR="00705378">
        <w:rPr>
          <w:rFonts w:eastAsia="SimSun"/>
          <w:snapToGrid/>
          <w:szCs w:val="22"/>
          <w:lang w:eastAsia="zh-CN"/>
        </w:rPr>
        <w:t>imatinibu</w:t>
      </w:r>
      <w:proofErr w:type="spellEnd"/>
      <w:r w:rsidRPr="00722E5E">
        <w:rPr>
          <w:rFonts w:eastAsia="SimSun"/>
          <w:snapToGrid/>
          <w:szCs w:val="22"/>
          <w:lang w:eastAsia="zh-CN"/>
        </w:rPr>
        <w:t xml:space="preserve"> (RS = 0,45 [0,22, 0,89],</w:t>
      </w:r>
      <w:r w:rsidR="00705378">
        <w:rPr>
          <w:rFonts w:eastAsia="SimSun"/>
          <w:snapToGrid/>
          <w:szCs w:val="22"/>
          <w:lang w:eastAsia="zh-CN"/>
        </w:rPr>
        <w:t xml:space="preserve"> </w:t>
      </w:r>
      <w:r w:rsidRPr="00722E5E">
        <w:rPr>
          <w:rFonts w:eastAsia="SimSun"/>
          <w:snapToGrid/>
          <w:szCs w:val="22"/>
          <w:lang w:eastAsia="zh-CN"/>
        </w:rPr>
        <w:t>p=0,0187) (žr.</w:t>
      </w:r>
      <w:r w:rsidR="008575FC">
        <w:rPr>
          <w:rFonts w:eastAsia="SimSun"/>
          <w:snapToGrid/>
          <w:szCs w:val="22"/>
          <w:lang w:eastAsia="zh-CN"/>
        </w:rPr>
        <w:t> </w:t>
      </w:r>
      <w:r w:rsidRPr="00722E5E">
        <w:rPr>
          <w:rFonts w:eastAsia="SimSun"/>
          <w:snapToGrid/>
          <w:szCs w:val="22"/>
          <w:lang w:eastAsia="zh-CN"/>
        </w:rPr>
        <w:t>8</w:t>
      </w:r>
      <w:r w:rsidR="008575FC">
        <w:rPr>
          <w:rFonts w:eastAsia="SimSun"/>
          <w:snapToGrid/>
          <w:szCs w:val="22"/>
          <w:lang w:eastAsia="zh-CN"/>
        </w:rPr>
        <w:t> </w:t>
      </w:r>
      <w:r w:rsidRPr="00722E5E">
        <w:rPr>
          <w:rFonts w:eastAsia="SimSun"/>
          <w:snapToGrid/>
          <w:szCs w:val="22"/>
          <w:lang w:eastAsia="zh-CN"/>
        </w:rPr>
        <w:t>lentelę, 2</w:t>
      </w:r>
      <w:r w:rsidR="008575FC">
        <w:rPr>
          <w:rFonts w:eastAsia="SimSun"/>
          <w:snapToGrid/>
          <w:szCs w:val="22"/>
          <w:lang w:eastAsia="zh-CN"/>
        </w:rPr>
        <w:t> </w:t>
      </w:r>
      <w:r w:rsidRPr="00722E5E">
        <w:rPr>
          <w:rFonts w:eastAsia="SimSun"/>
          <w:snapToGrid/>
          <w:szCs w:val="22"/>
          <w:lang w:eastAsia="zh-CN"/>
        </w:rPr>
        <w:t>pav.).</w:t>
      </w:r>
    </w:p>
    <w:p w14:paraId="50D41525" w14:textId="77777777" w:rsidR="001566D5" w:rsidRDefault="001566D5" w:rsidP="00722E5E">
      <w:pPr>
        <w:spacing w:line="240" w:lineRule="auto"/>
        <w:rPr>
          <w:rFonts w:eastAsia="SimSun"/>
          <w:snapToGrid/>
          <w:szCs w:val="22"/>
          <w:lang w:eastAsia="zh-CN"/>
        </w:rPr>
      </w:pPr>
    </w:p>
    <w:p w14:paraId="733C048E" w14:textId="70E48C9D" w:rsidR="00722E5E" w:rsidRPr="00722E5E" w:rsidRDefault="00722E5E" w:rsidP="00722E5E">
      <w:pPr>
        <w:spacing w:line="240" w:lineRule="auto"/>
        <w:rPr>
          <w:rFonts w:eastAsia="SimSun"/>
          <w:snapToGrid/>
          <w:szCs w:val="22"/>
          <w:lang w:eastAsia="zh-CN"/>
        </w:rPr>
      </w:pPr>
      <w:r w:rsidRPr="00722E5E">
        <w:rPr>
          <w:rFonts w:eastAsia="SimSun"/>
          <w:snapToGrid/>
          <w:szCs w:val="22"/>
          <w:lang w:eastAsia="zh-CN"/>
        </w:rPr>
        <w:t>Ilgesnė gydymo trukmė (&gt;</w:t>
      </w:r>
      <w:r w:rsidR="001D1679">
        <w:rPr>
          <w:rFonts w:eastAsia="SimSun"/>
          <w:snapToGrid/>
          <w:szCs w:val="22"/>
          <w:lang w:eastAsia="zh-CN"/>
        </w:rPr>
        <w:t> </w:t>
      </w:r>
      <w:r w:rsidRPr="00722E5E">
        <w:rPr>
          <w:rFonts w:eastAsia="SimSun"/>
          <w:snapToGrid/>
          <w:szCs w:val="22"/>
          <w:lang w:eastAsia="zh-CN"/>
        </w:rPr>
        <w:t>36 mėnesių) gali atitolinti kitų recidyvų pasireiškimo pradžią; tačiau šių</w:t>
      </w:r>
      <w:r w:rsidR="001566D5">
        <w:rPr>
          <w:rFonts w:eastAsia="SimSun"/>
          <w:snapToGrid/>
          <w:szCs w:val="22"/>
          <w:lang w:eastAsia="zh-CN"/>
        </w:rPr>
        <w:t xml:space="preserve"> </w:t>
      </w:r>
      <w:r w:rsidRPr="00722E5E">
        <w:rPr>
          <w:rFonts w:eastAsia="SimSun"/>
          <w:snapToGrid/>
          <w:szCs w:val="22"/>
          <w:lang w:eastAsia="zh-CN"/>
        </w:rPr>
        <w:t>duomenų reikšmė bendrajam išgyvenamumui iki šiol nežinoma.</w:t>
      </w:r>
    </w:p>
    <w:p w14:paraId="6087ACCD" w14:textId="36C2A671" w:rsidR="00722E5E" w:rsidRPr="00722E5E" w:rsidRDefault="00722E5E" w:rsidP="00722E5E">
      <w:pPr>
        <w:spacing w:line="240" w:lineRule="auto"/>
        <w:rPr>
          <w:rFonts w:eastAsia="SimSun"/>
          <w:snapToGrid/>
          <w:szCs w:val="22"/>
          <w:lang w:eastAsia="zh-CN"/>
        </w:rPr>
      </w:pPr>
      <w:r w:rsidRPr="00722E5E">
        <w:rPr>
          <w:rFonts w:eastAsia="SimSun"/>
          <w:snapToGrid/>
          <w:szCs w:val="22"/>
          <w:lang w:eastAsia="zh-CN"/>
        </w:rPr>
        <w:t>12</w:t>
      </w:r>
      <w:r w:rsidR="001D1679">
        <w:rPr>
          <w:rFonts w:eastAsia="SimSun"/>
          <w:snapToGrid/>
          <w:szCs w:val="22"/>
          <w:lang w:eastAsia="zh-CN"/>
        </w:rPr>
        <w:t> </w:t>
      </w:r>
      <w:r w:rsidRPr="00722E5E">
        <w:rPr>
          <w:rFonts w:eastAsia="SimSun"/>
          <w:snapToGrid/>
          <w:szCs w:val="22"/>
          <w:lang w:eastAsia="zh-CN"/>
        </w:rPr>
        <w:t>mėnesių trukmės ir 36</w:t>
      </w:r>
      <w:r w:rsidR="001D1679">
        <w:rPr>
          <w:rFonts w:eastAsia="SimSun"/>
          <w:snapToGrid/>
          <w:szCs w:val="22"/>
          <w:lang w:eastAsia="zh-CN"/>
        </w:rPr>
        <w:t> </w:t>
      </w:r>
      <w:r w:rsidRPr="00722E5E">
        <w:rPr>
          <w:rFonts w:eastAsia="SimSun"/>
          <w:snapToGrid/>
          <w:szCs w:val="22"/>
          <w:lang w:eastAsia="zh-CN"/>
        </w:rPr>
        <w:t>mėnesių trukmės gydymo grupėse bendrasis mirčių atvejų skaičius buvo,</w:t>
      </w:r>
      <w:r w:rsidR="001566D5">
        <w:rPr>
          <w:rFonts w:eastAsia="SimSun"/>
          <w:snapToGrid/>
          <w:szCs w:val="22"/>
          <w:lang w:eastAsia="zh-CN"/>
        </w:rPr>
        <w:t xml:space="preserve"> </w:t>
      </w:r>
      <w:r w:rsidRPr="00722E5E">
        <w:rPr>
          <w:rFonts w:eastAsia="SimSun"/>
          <w:snapToGrid/>
          <w:szCs w:val="22"/>
          <w:lang w:eastAsia="zh-CN"/>
        </w:rPr>
        <w:t>atitinkamai, 25 ir 12.</w:t>
      </w:r>
    </w:p>
    <w:p w14:paraId="4FFD1FFE" w14:textId="77777777" w:rsidR="001566D5" w:rsidRDefault="001566D5" w:rsidP="00722E5E">
      <w:pPr>
        <w:spacing w:line="240" w:lineRule="auto"/>
        <w:rPr>
          <w:rFonts w:eastAsia="SimSun"/>
          <w:snapToGrid/>
          <w:szCs w:val="22"/>
          <w:lang w:eastAsia="zh-CN"/>
        </w:rPr>
      </w:pPr>
    </w:p>
    <w:p w14:paraId="3CC14637" w14:textId="77777777" w:rsidR="00722E5E" w:rsidRPr="00722E5E" w:rsidRDefault="00722E5E" w:rsidP="00722E5E">
      <w:pPr>
        <w:spacing w:line="240" w:lineRule="auto"/>
        <w:rPr>
          <w:rFonts w:eastAsia="SimSun"/>
          <w:snapToGrid/>
          <w:szCs w:val="22"/>
          <w:lang w:eastAsia="zh-CN"/>
        </w:rPr>
      </w:pPr>
      <w:r w:rsidRPr="00722E5E">
        <w:rPr>
          <w:rFonts w:eastAsia="SimSun"/>
          <w:snapToGrid/>
          <w:szCs w:val="22"/>
          <w:lang w:eastAsia="zh-CN"/>
        </w:rPr>
        <w:t>Atlikus gydymui atrinktos populiacijos analizę (t. y., įtraukiant visos tyrimo populiacijos duomenis)</w:t>
      </w:r>
      <w:r w:rsidR="001566D5">
        <w:rPr>
          <w:rFonts w:eastAsia="SimSun"/>
          <w:snapToGrid/>
          <w:szCs w:val="22"/>
          <w:lang w:eastAsia="zh-CN"/>
        </w:rPr>
        <w:t xml:space="preserve"> </w:t>
      </w:r>
      <w:r w:rsidRPr="00722E5E">
        <w:rPr>
          <w:rFonts w:eastAsia="SimSun"/>
          <w:snapToGrid/>
          <w:szCs w:val="22"/>
          <w:lang w:eastAsia="zh-CN"/>
        </w:rPr>
        <w:t xml:space="preserve">nustatyta, kad 36 mėnesių trukmės gydymas </w:t>
      </w:r>
      <w:proofErr w:type="spellStart"/>
      <w:r w:rsidRPr="00722E5E">
        <w:rPr>
          <w:rFonts w:eastAsia="SimSun"/>
          <w:snapToGrid/>
          <w:szCs w:val="22"/>
          <w:lang w:eastAsia="zh-CN"/>
        </w:rPr>
        <w:t>imatinibu</w:t>
      </w:r>
      <w:proofErr w:type="spellEnd"/>
      <w:r w:rsidRPr="00722E5E">
        <w:rPr>
          <w:rFonts w:eastAsia="SimSun"/>
          <w:snapToGrid/>
          <w:szCs w:val="22"/>
          <w:lang w:eastAsia="zh-CN"/>
        </w:rPr>
        <w:t xml:space="preserve"> buvo veiksmingesnis nei 12 mėnesių trukmės</w:t>
      </w:r>
      <w:r w:rsidR="001566D5">
        <w:rPr>
          <w:rFonts w:eastAsia="SimSun"/>
          <w:snapToGrid/>
          <w:szCs w:val="22"/>
          <w:lang w:eastAsia="zh-CN"/>
        </w:rPr>
        <w:t xml:space="preserve"> </w:t>
      </w:r>
      <w:r w:rsidRPr="00722E5E">
        <w:rPr>
          <w:rFonts w:eastAsia="SimSun"/>
          <w:snapToGrid/>
          <w:szCs w:val="22"/>
          <w:lang w:eastAsia="zh-CN"/>
        </w:rPr>
        <w:t>gydymas. Atlikus planuotą pogrupių analizę pagal mutacijos tipą nustatyta, kad 36 mėnesius gydant</w:t>
      </w:r>
      <w:r w:rsidR="001566D5">
        <w:rPr>
          <w:rFonts w:eastAsia="SimSun"/>
          <w:snapToGrid/>
          <w:szCs w:val="22"/>
          <w:lang w:eastAsia="zh-CN"/>
        </w:rPr>
        <w:t xml:space="preserve"> </w:t>
      </w:r>
      <w:r w:rsidRPr="00722E5E">
        <w:rPr>
          <w:rFonts w:eastAsia="SimSun"/>
          <w:snapToGrid/>
          <w:szCs w:val="22"/>
          <w:lang w:eastAsia="zh-CN"/>
        </w:rPr>
        <w:t xml:space="preserve">pacientus, kuriems nustatytos 11 </w:t>
      </w:r>
      <w:proofErr w:type="spellStart"/>
      <w:r w:rsidRPr="00722E5E">
        <w:rPr>
          <w:rFonts w:eastAsia="SimSun"/>
          <w:snapToGrid/>
          <w:szCs w:val="22"/>
          <w:lang w:eastAsia="zh-CN"/>
        </w:rPr>
        <w:t>egzono</w:t>
      </w:r>
      <w:proofErr w:type="spellEnd"/>
      <w:r w:rsidRPr="00722E5E">
        <w:rPr>
          <w:rFonts w:eastAsia="SimSun"/>
          <w:snapToGrid/>
          <w:szCs w:val="22"/>
          <w:lang w:eastAsia="zh-CN"/>
        </w:rPr>
        <w:t xml:space="preserve"> mutacijos, RFS rodiklio rizikos santykis buvo 0,35 [95</w:t>
      </w:r>
      <w:r w:rsidR="001566D5">
        <w:rPr>
          <w:rFonts w:eastAsia="SimSun"/>
          <w:snapToGrid/>
          <w:szCs w:val="22"/>
          <w:lang w:eastAsia="zh-CN"/>
        </w:rPr>
        <w:t> </w:t>
      </w:r>
      <w:r w:rsidRPr="00722E5E">
        <w:rPr>
          <w:rFonts w:eastAsia="SimSun"/>
          <w:snapToGrid/>
          <w:szCs w:val="22"/>
          <w:lang w:eastAsia="zh-CN"/>
        </w:rPr>
        <w:t>% PI:</w:t>
      </w:r>
    </w:p>
    <w:p w14:paraId="5DAF77E2" w14:textId="77777777" w:rsidR="00722E5E" w:rsidRPr="00722E5E" w:rsidRDefault="00722E5E" w:rsidP="00722E5E">
      <w:pPr>
        <w:spacing w:line="240" w:lineRule="auto"/>
        <w:rPr>
          <w:rFonts w:eastAsia="SimSun"/>
          <w:snapToGrid/>
          <w:szCs w:val="22"/>
          <w:lang w:eastAsia="zh-CN"/>
        </w:rPr>
      </w:pPr>
      <w:r w:rsidRPr="00722E5E">
        <w:rPr>
          <w:rFonts w:eastAsia="SimSun"/>
          <w:snapToGrid/>
          <w:szCs w:val="22"/>
          <w:lang w:eastAsia="zh-CN"/>
        </w:rPr>
        <w:t>0,22, 0,56]. Kadangi pasireiškusių recidyvų skaičius buvo nedidelis, negalima pateikti jokių išvadų</w:t>
      </w:r>
      <w:r w:rsidR="001566D5">
        <w:rPr>
          <w:rFonts w:eastAsia="SimSun"/>
          <w:snapToGrid/>
          <w:szCs w:val="22"/>
          <w:lang w:eastAsia="zh-CN"/>
        </w:rPr>
        <w:t xml:space="preserve"> </w:t>
      </w:r>
      <w:r w:rsidRPr="00722E5E">
        <w:rPr>
          <w:rFonts w:eastAsia="SimSun"/>
          <w:snapToGrid/>
          <w:szCs w:val="22"/>
          <w:lang w:eastAsia="zh-CN"/>
        </w:rPr>
        <w:t>apie vaistinio preparato poveikį pacientų, kuriems nustatytos kitos retesnės mutacijos, pogrupiams.</w:t>
      </w:r>
    </w:p>
    <w:p w14:paraId="2F96F304" w14:textId="77777777" w:rsidR="001566D5" w:rsidRDefault="001566D5" w:rsidP="00722E5E">
      <w:pPr>
        <w:spacing w:line="240" w:lineRule="auto"/>
        <w:rPr>
          <w:rFonts w:eastAsia="SimSun"/>
          <w:snapToGrid/>
          <w:szCs w:val="22"/>
          <w:lang w:eastAsia="zh-CN"/>
        </w:rPr>
      </w:pPr>
    </w:p>
    <w:p w14:paraId="4CF5B918" w14:textId="64780F2C" w:rsidR="00722E5E" w:rsidRPr="007541DA" w:rsidRDefault="00722E5E" w:rsidP="007541DA">
      <w:pPr>
        <w:spacing w:line="240" w:lineRule="auto"/>
        <w:ind w:left="851" w:hanging="851"/>
        <w:rPr>
          <w:rFonts w:eastAsia="SimSun"/>
          <w:b/>
          <w:bCs/>
          <w:snapToGrid/>
          <w:szCs w:val="22"/>
          <w:lang w:eastAsia="zh-CN"/>
        </w:rPr>
      </w:pPr>
      <w:r w:rsidRPr="007541DA">
        <w:rPr>
          <w:rFonts w:eastAsia="SimSun"/>
          <w:b/>
          <w:bCs/>
          <w:snapToGrid/>
          <w:szCs w:val="22"/>
          <w:lang w:eastAsia="zh-CN"/>
        </w:rPr>
        <w:t>8</w:t>
      </w:r>
      <w:r w:rsidR="001D1679">
        <w:rPr>
          <w:rFonts w:eastAsia="SimSun"/>
          <w:b/>
          <w:bCs/>
          <w:snapToGrid/>
          <w:szCs w:val="22"/>
          <w:lang w:eastAsia="zh-CN"/>
        </w:rPr>
        <w:t> </w:t>
      </w:r>
      <w:r w:rsidRPr="007541DA">
        <w:rPr>
          <w:rFonts w:eastAsia="SimSun"/>
          <w:b/>
          <w:bCs/>
          <w:snapToGrid/>
          <w:szCs w:val="22"/>
          <w:lang w:eastAsia="zh-CN"/>
        </w:rPr>
        <w:t>lentelė</w:t>
      </w:r>
      <w:r w:rsidR="001566D5" w:rsidRPr="007541DA">
        <w:rPr>
          <w:rFonts w:eastAsia="SimSun"/>
          <w:b/>
          <w:bCs/>
          <w:snapToGrid/>
          <w:szCs w:val="22"/>
          <w:lang w:eastAsia="zh-CN"/>
        </w:rPr>
        <w:t>.</w:t>
      </w:r>
      <w:r w:rsidRPr="007541DA">
        <w:rPr>
          <w:rFonts w:eastAsia="SimSun"/>
          <w:b/>
          <w:bCs/>
          <w:snapToGrid/>
          <w:szCs w:val="22"/>
          <w:lang w:eastAsia="zh-CN"/>
        </w:rPr>
        <w:t xml:space="preserve"> 12 mėnesių ir 36 mėnesių trukmės gydymas </w:t>
      </w:r>
      <w:proofErr w:type="spellStart"/>
      <w:r w:rsidR="001566D5" w:rsidRPr="007541DA">
        <w:rPr>
          <w:rFonts w:eastAsia="SimSun"/>
          <w:b/>
          <w:bCs/>
          <w:snapToGrid/>
          <w:szCs w:val="22"/>
          <w:lang w:eastAsia="zh-CN"/>
        </w:rPr>
        <w:t>imatinibu</w:t>
      </w:r>
      <w:proofErr w:type="spellEnd"/>
      <w:r w:rsidRPr="007541DA">
        <w:rPr>
          <w:rFonts w:eastAsia="SimSun"/>
          <w:b/>
          <w:bCs/>
          <w:snapToGrid/>
          <w:szCs w:val="22"/>
          <w:lang w:eastAsia="zh-CN"/>
        </w:rPr>
        <w:t xml:space="preserve"> (SSGXVIII/AIO klinikinis</w:t>
      </w:r>
      <w:r w:rsidR="001566D5" w:rsidRPr="007541DA">
        <w:rPr>
          <w:rFonts w:eastAsia="SimSun"/>
          <w:b/>
          <w:bCs/>
          <w:snapToGrid/>
          <w:szCs w:val="22"/>
          <w:lang w:eastAsia="zh-CN"/>
        </w:rPr>
        <w:t xml:space="preserve"> </w:t>
      </w:r>
      <w:r w:rsidRPr="007541DA">
        <w:rPr>
          <w:rFonts w:eastAsia="SimSun"/>
          <w:b/>
          <w:bCs/>
          <w:snapToGrid/>
          <w:szCs w:val="22"/>
          <w:lang w:eastAsia="zh-CN"/>
        </w:rPr>
        <w:t>tyrimas)</w:t>
      </w:r>
    </w:p>
    <w:tbl>
      <w:tblPr>
        <w:tblW w:w="0" w:type="auto"/>
        <w:tblBorders>
          <w:top w:val="single" w:sz="4" w:space="0" w:color="auto"/>
          <w:bottom w:val="single" w:sz="4" w:space="0" w:color="auto"/>
        </w:tblBorders>
        <w:tblLook w:val="04A0" w:firstRow="1" w:lastRow="0" w:firstColumn="1" w:lastColumn="0" w:noHBand="0" w:noVBand="1"/>
      </w:tblPr>
      <w:tblGrid>
        <w:gridCol w:w="3034"/>
        <w:gridCol w:w="3018"/>
        <w:gridCol w:w="3018"/>
      </w:tblGrid>
      <w:tr w:rsidR="001566D5" w:rsidRPr="00F27211" w14:paraId="32DA2719" w14:textId="77777777" w:rsidTr="00DC2054">
        <w:tc>
          <w:tcPr>
            <w:tcW w:w="3066" w:type="dxa"/>
          </w:tcPr>
          <w:p w14:paraId="09CAA2FE" w14:textId="77777777" w:rsidR="001566D5" w:rsidRPr="00F27211" w:rsidRDefault="001566D5" w:rsidP="00DC2054">
            <w:pPr>
              <w:rPr>
                <w:szCs w:val="22"/>
              </w:rPr>
            </w:pPr>
          </w:p>
        </w:tc>
        <w:tc>
          <w:tcPr>
            <w:tcW w:w="3067" w:type="dxa"/>
            <w:vMerge w:val="restart"/>
          </w:tcPr>
          <w:p w14:paraId="3DDB9283" w14:textId="77777777" w:rsidR="001566D5" w:rsidRPr="00F27211" w:rsidRDefault="001566D5" w:rsidP="001566D5">
            <w:pPr>
              <w:rPr>
                <w:b/>
                <w:bCs/>
                <w:szCs w:val="22"/>
              </w:rPr>
            </w:pPr>
            <w:r w:rsidRPr="00F27211">
              <w:rPr>
                <w:b/>
                <w:bCs/>
                <w:szCs w:val="22"/>
              </w:rPr>
              <w:t>12-</w:t>
            </w:r>
            <w:r w:rsidRPr="001566D5">
              <w:rPr>
                <w:b/>
                <w:bCs/>
                <w:szCs w:val="22"/>
              </w:rPr>
              <w:t>mėnesių trukmės gydymo</w:t>
            </w:r>
            <w:r>
              <w:rPr>
                <w:b/>
                <w:bCs/>
                <w:szCs w:val="22"/>
              </w:rPr>
              <w:t xml:space="preserve"> </w:t>
            </w:r>
            <w:r w:rsidRPr="001566D5">
              <w:rPr>
                <w:b/>
                <w:bCs/>
                <w:szCs w:val="22"/>
              </w:rPr>
              <w:t>grupė</w:t>
            </w:r>
          </w:p>
          <w:p w14:paraId="2B9073D3" w14:textId="77777777" w:rsidR="001566D5" w:rsidRPr="00F27211" w:rsidRDefault="001566D5" w:rsidP="00DC2054">
            <w:pPr>
              <w:rPr>
                <w:b/>
                <w:bCs/>
                <w:szCs w:val="22"/>
              </w:rPr>
            </w:pPr>
            <w:r w:rsidRPr="00F27211">
              <w:rPr>
                <w:b/>
                <w:bCs/>
                <w:szCs w:val="22"/>
              </w:rPr>
              <w:t>%</w:t>
            </w:r>
            <w:r>
              <w:rPr>
                <w:b/>
                <w:bCs/>
                <w:szCs w:val="22"/>
              </w:rPr>
              <w:t> </w:t>
            </w:r>
            <w:r w:rsidRPr="00F27211">
              <w:rPr>
                <w:b/>
                <w:bCs/>
                <w:szCs w:val="22"/>
              </w:rPr>
              <w:t>(</w:t>
            </w:r>
            <w:r>
              <w:rPr>
                <w:b/>
                <w:bCs/>
                <w:szCs w:val="22"/>
              </w:rPr>
              <w:t>P</w:t>
            </w:r>
            <w:r w:rsidRPr="00F27211">
              <w:rPr>
                <w:b/>
                <w:bCs/>
                <w:szCs w:val="22"/>
              </w:rPr>
              <w:t>I)</w:t>
            </w:r>
          </w:p>
        </w:tc>
        <w:tc>
          <w:tcPr>
            <w:tcW w:w="3067" w:type="dxa"/>
            <w:vMerge w:val="restart"/>
          </w:tcPr>
          <w:p w14:paraId="5FB81D06" w14:textId="77777777" w:rsidR="001566D5" w:rsidRPr="00F27211" w:rsidRDefault="001566D5" w:rsidP="001566D5">
            <w:pPr>
              <w:rPr>
                <w:b/>
                <w:bCs/>
                <w:szCs w:val="22"/>
              </w:rPr>
            </w:pPr>
            <w:r w:rsidRPr="00F27211">
              <w:rPr>
                <w:b/>
                <w:bCs/>
                <w:szCs w:val="22"/>
              </w:rPr>
              <w:t>36-</w:t>
            </w:r>
            <w:r w:rsidRPr="001566D5">
              <w:rPr>
                <w:b/>
                <w:bCs/>
                <w:szCs w:val="22"/>
              </w:rPr>
              <w:t>mėnesių trukmės gydymo</w:t>
            </w:r>
            <w:r>
              <w:rPr>
                <w:b/>
                <w:bCs/>
                <w:szCs w:val="22"/>
              </w:rPr>
              <w:t xml:space="preserve"> </w:t>
            </w:r>
            <w:r w:rsidRPr="001566D5">
              <w:rPr>
                <w:b/>
                <w:bCs/>
                <w:szCs w:val="22"/>
              </w:rPr>
              <w:t>grupė</w:t>
            </w:r>
          </w:p>
          <w:p w14:paraId="353E51F0" w14:textId="77777777" w:rsidR="001566D5" w:rsidRPr="00F27211" w:rsidRDefault="001566D5" w:rsidP="00DC2054">
            <w:pPr>
              <w:rPr>
                <w:b/>
                <w:bCs/>
                <w:szCs w:val="22"/>
              </w:rPr>
            </w:pPr>
            <w:r w:rsidRPr="00F27211">
              <w:rPr>
                <w:b/>
                <w:bCs/>
                <w:szCs w:val="22"/>
              </w:rPr>
              <w:t>%</w:t>
            </w:r>
            <w:r w:rsidRPr="007541DA">
              <w:t xml:space="preserve"> </w:t>
            </w:r>
            <w:r w:rsidRPr="00F27211">
              <w:rPr>
                <w:b/>
                <w:bCs/>
                <w:szCs w:val="22"/>
              </w:rPr>
              <w:t>(</w:t>
            </w:r>
            <w:r>
              <w:rPr>
                <w:b/>
                <w:bCs/>
                <w:szCs w:val="22"/>
              </w:rPr>
              <w:t>P</w:t>
            </w:r>
            <w:r w:rsidRPr="00F27211">
              <w:rPr>
                <w:b/>
                <w:bCs/>
                <w:szCs w:val="22"/>
              </w:rPr>
              <w:t>I)</w:t>
            </w:r>
          </w:p>
        </w:tc>
      </w:tr>
      <w:tr w:rsidR="001566D5" w:rsidRPr="00F27211" w14:paraId="73973471" w14:textId="77777777" w:rsidTr="00DC2054">
        <w:tc>
          <w:tcPr>
            <w:tcW w:w="3066" w:type="dxa"/>
          </w:tcPr>
          <w:p w14:paraId="761ACBC9" w14:textId="77777777" w:rsidR="001566D5" w:rsidRPr="00F27211" w:rsidRDefault="001566D5" w:rsidP="00DC2054">
            <w:pPr>
              <w:rPr>
                <w:b/>
                <w:bCs/>
                <w:szCs w:val="22"/>
              </w:rPr>
            </w:pPr>
            <w:r w:rsidRPr="00F27211">
              <w:rPr>
                <w:b/>
                <w:bCs/>
                <w:szCs w:val="22"/>
              </w:rPr>
              <w:t>RFS</w:t>
            </w:r>
          </w:p>
        </w:tc>
        <w:tc>
          <w:tcPr>
            <w:tcW w:w="3067" w:type="dxa"/>
            <w:vMerge/>
          </w:tcPr>
          <w:p w14:paraId="7D08D8D3" w14:textId="77777777" w:rsidR="001566D5" w:rsidRPr="00F27211" w:rsidRDefault="001566D5" w:rsidP="00DC2054">
            <w:pPr>
              <w:rPr>
                <w:szCs w:val="22"/>
              </w:rPr>
            </w:pPr>
          </w:p>
        </w:tc>
        <w:tc>
          <w:tcPr>
            <w:tcW w:w="3067" w:type="dxa"/>
            <w:vMerge/>
          </w:tcPr>
          <w:p w14:paraId="57730BC4" w14:textId="77777777" w:rsidR="001566D5" w:rsidRPr="00F27211" w:rsidRDefault="001566D5" w:rsidP="00DC2054">
            <w:pPr>
              <w:rPr>
                <w:szCs w:val="22"/>
              </w:rPr>
            </w:pPr>
          </w:p>
        </w:tc>
      </w:tr>
      <w:tr w:rsidR="001566D5" w:rsidRPr="00F27211" w14:paraId="0399EEC0" w14:textId="77777777" w:rsidTr="00DC2054">
        <w:tc>
          <w:tcPr>
            <w:tcW w:w="3066" w:type="dxa"/>
          </w:tcPr>
          <w:p w14:paraId="0AC3D5E1" w14:textId="77777777" w:rsidR="001566D5" w:rsidRPr="00F27211" w:rsidRDefault="001566D5" w:rsidP="00DC2054">
            <w:pPr>
              <w:ind w:firstLine="426"/>
              <w:rPr>
                <w:szCs w:val="22"/>
              </w:rPr>
            </w:pPr>
            <w:r w:rsidRPr="00F27211">
              <w:rPr>
                <w:szCs w:val="22"/>
                <w:lang w:val="de-DE" w:eastAsia="de-DE"/>
              </w:rPr>
              <w:t xml:space="preserve">12 </w:t>
            </w:r>
            <w:proofErr w:type="spellStart"/>
            <w:r>
              <w:rPr>
                <w:szCs w:val="22"/>
                <w:lang w:val="de-DE" w:eastAsia="de-DE"/>
              </w:rPr>
              <w:t>mėnesių</w:t>
            </w:r>
            <w:proofErr w:type="spellEnd"/>
          </w:p>
        </w:tc>
        <w:tc>
          <w:tcPr>
            <w:tcW w:w="3067" w:type="dxa"/>
          </w:tcPr>
          <w:p w14:paraId="15F0D1E9" w14:textId="77777777" w:rsidR="001566D5" w:rsidRPr="00F27211" w:rsidRDefault="001566D5" w:rsidP="00DC2054">
            <w:pPr>
              <w:rPr>
                <w:szCs w:val="22"/>
              </w:rPr>
            </w:pPr>
            <w:r w:rsidRPr="00F27211">
              <w:rPr>
                <w:szCs w:val="22"/>
              </w:rPr>
              <w:t>93</w:t>
            </w:r>
            <w:r>
              <w:rPr>
                <w:szCs w:val="22"/>
              </w:rPr>
              <w:t>,</w:t>
            </w:r>
            <w:r w:rsidRPr="00F27211">
              <w:rPr>
                <w:szCs w:val="22"/>
              </w:rPr>
              <w:t>7 (89</w:t>
            </w:r>
            <w:r>
              <w:rPr>
                <w:szCs w:val="22"/>
              </w:rPr>
              <w:t>,</w:t>
            </w:r>
            <w:r w:rsidRPr="00F27211">
              <w:rPr>
                <w:szCs w:val="22"/>
              </w:rPr>
              <w:t>2-96</w:t>
            </w:r>
            <w:r>
              <w:rPr>
                <w:szCs w:val="22"/>
              </w:rPr>
              <w:t>,</w:t>
            </w:r>
            <w:r w:rsidRPr="00F27211">
              <w:rPr>
                <w:szCs w:val="22"/>
              </w:rPr>
              <w:t>4)</w:t>
            </w:r>
          </w:p>
        </w:tc>
        <w:tc>
          <w:tcPr>
            <w:tcW w:w="3067" w:type="dxa"/>
          </w:tcPr>
          <w:p w14:paraId="52B1A1D3" w14:textId="77777777" w:rsidR="001566D5" w:rsidRPr="00F27211" w:rsidRDefault="001566D5" w:rsidP="00DC2054">
            <w:pPr>
              <w:rPr>
                <w:szCs w:val="22"/>
              </w:rPr>
            </w:pPr>
            <w:r w:rsidRPr="00F27211">
              <w:rPr>
                <w:szCs w:val="22"/>
              </w:rPr>
              <w:t>95</w:t>
            </w:r>
            <w:r>
              <w:rPr>
                <w:szCs w:val="22"/>
              </w:rPr>
              <w:t>,</w:t>
            </w:r>
            <w:r w:rsidRPr="00F27211">
              <w:rPr>
                <w:szCs w:val="22"/>
              </w:rPr>
              <w:t>9 (91</w:t>
            </w:r>
            <w:r>
              <w:rPr>
                <w:szCs w:val="22"/>
              </w:rPr>
              <w:t>,</w:t>
            </w:r>
            <w:r w:rsidRPr="00F27211">
              <w:rPr>
                <w:szCs w:val="22"/>
              </w:rPr>
              <w:t>9-97</w:t>
            </w:r>
            <w:r>
              <w:rPr>
                <w:szCs w:val="22"/>
              </w:rPr>
              <w:t>,</w:t>
            </w:r>
            <w:r w:rsidRPr="00F27211">
              <w:rPr>
                <w:szCs w:val="22"/>
              </w:rPr>
              <w:t>9)</w:t>
            </w:r>
          </w:p>
        </w:tc>
      </w:tr>
      <w:tr w:rsidR="001566D5" w:rsidRPr="00F27211" w14:paraId="6CFFB55A" w14:textId="77777777" w:rsidTr="00DC2054">
        <w:tc>
          <w:tcPr>
            <w:tcW w:w="3066" w:type="dxa"/>
          </w:tcPr>
          <w:p w14:paraId="43690016" w14:textId="77777777" w:rsidR="001566D5" w:rsidRPr="00F27211" w:rsidRDefault="001566D5" w:rsidP="00DC2054">
            <w:pPr>
              <w:ind w:firstLine="426"/>
              <w:rPr>
                <w:szCs w:val="22"/>
              </w:rPr>
            </w:pPr>
            <w:r w:rsidRPr="00F27211">
              <w:rPr>
                <w:szCs w:val="22"/>
                <w:lang w:val="de-DE" w:eastAsia="de-DE"/>
              </w:rPr>
              <w:t xml:space="preserve">24 </w:t>
            </w:r>
            <w:proofErr w:type="spellStart"/>
            <w:r>
              <w:rPr>
                <w:szCs w:val="22"/>
                <w:lang w:val="de-DE" w:eastAsia="de-DE"/>
              </w:rPr>
              <w:t>mėnesiai</w:t>
            </w:r>
            <w:proofErr w:type="spellEnd"/>
          </w:p>
        </w:tc>
        <w:tc>
          <w:tcPr>
            <w:tcW w:w="3067" w:type="dxa"/>
          </w:tcPr>
          <w:p w14:paraId="2E3518A5" w14:textId="77777777" w:rsidR="001566D5" w:rsidRPr="00F27211" w:rsidRDefault="001566D5" w:rsidP="00DC2054">
            <w:pPr>
              <w:rPr>
                <w:szCs w:val="22"/>
              </w:rPr>
            </w:pPr>
            <w:r w:rsidRPr="00F27211">
              <w:rPr>
                <w:szCs w:val="22"/>
              </w:rPr>
              <w:t>75</w:t>
            </w:r>
            <w:r>
              <w:rPr>
                <w:szCs w:val="22"/>
              </w:rPr>
              <w:t>,</w:t>
            </w:r>
            <w:r w:rsidRPr="00F27211">
              <w:rPr>
                <w:szCs w:val="22"/>
              </w:rPr>
              <w:t>4 (68</w:t>
            </w:r>
            <w:r>
              <w:rPr>
                <w:szCs w:val="22"/>
              </w:rPr>
              <w:t>,</w:t>
            </w:r>
            <w:r w:rsidRPr="00F27211">
              <w:rPr>
                <w:szCs w:val="22"/>
              </w:rPr>
              <w:t>6-81</w:t>
            </w:r>
            <w:r>
              <w:rPr>
                <w:szCs w:val="22"/>
              </w:rPr>
              <w:t>,</w:t>
            </w:r>
            <w:r w:rsidRPr="00F27211">
              <w:rPr>
                <w:szCs w:val="22"/>
              </w:rPr>
              <w:t>0)</w:t>
            </w:r>
          </w:p>
        </w:tc>
        <w:tc>
          <w:tcPr>
            <w:tcW w:w="3067" w:type="dxa"/>
          </w:tcPr>
          <w:p w14:paraId="45FF44D0" w14:textId="77777777" w:rsidR="001566D5" w:rsidRPr="00F27211" w:rsidRDefault="001566D5" w:rsidP="00DC2054">
            <w:pPr>
              <w:rPr>
                <w:szCs w:val="22"/>
              </w:rPr>
            </w:pPr>
            <w:r w:rsidRPr="00F27211">
              <w:rPr>
                <w:szCs w:val="22"/>
                <w:lang w:val="de-DE" w:eastAsia="de-DE"/>
              </w:rPr>
              <w:t>90</w:t>
            </w:r>
            <w:r>
              <w:rPr>
                <w:szCs w:val="22"/>
                <w:lang w:val="de-DE" w:eastAsia="de-DE"/>
              </w:rPr>
              <w:t>,</w:t>
            </w:r>
            <w:r w:rsidRPr="00F27211">
              <w:rPr>
                <w:szCs w:val="22"/>
                <w:lang w:val="de-DE" w:eastAsia="de-DE"/>
              </w:rPr>
              <w:t>7 (85</w:t>
            </w:r>
            <w:r>
              <w:rPr>
                <w:szCs w:val="22"/>
                <w:lang w:val="de-DE" w:eastAsia="de-DE"/>
              </w:rPr>
              <w:t>,</w:t>
            </w:r>
            <w:r w:rsidRPr="00F27211">
              <w:rPr>
                <w:szCs w:val="22"/>
                <w:lang w:val="de-DE" w:eastAsia="de-DE"/>
              </w:rPr>
              <w:t>6-94</w:t>
            </w:r>
            <w:r>
              <w:rPr>
                <w:szCs w:val="22"/>
                <w:lang w:val="de-DE" w:eastAsia="de-DE"/>
              </w:rPr>
              <w:t>,</w:t>
            </w:r>
            <w:r w:rsidRPr="00F27211">
              <w:rPr>
                <w:szCs w:val="22"/>
                <w:lang w:val="de-DE" w:eastAsia="de-DE"/>
              </w:rPr>
              <w:t>0)</w:t>
            </w:r>
          </w:p>
        </w:tc>
      </w:tr>
      <w:tr w:rsidR="001566D5" w:rsidRPr="00F27211" w14:paraId="2325AEDD" w14:textId="77777777" w:rsidTr="00DC2054">
        <w:tc>
          <w:tcPr>
            <w:tcW w:w="3066" w:type="dxa"/>
          </w:tcPr>
          <w:p w14:paraId="28DD3D13" w14:textId="77777777" w:rsidR="001566D5" w:rsidRPr="00F27211" w:rsidRDefault="001566D5" w:rsidP="00DC2054">
            <w:pPr>
              <w:ind w:firstLine="426"/>
              <w:rPr>
                <w:szCs w:val="22"/>
              </w:rPr>
            </w:pPr>
            <w:r w:rsidRPr="00F27211">
              <w:rPr>
                <w:szCs w:val="22"/>
                <w:lang w:val="de-DE" w:eastAsia="de-DE"/>
              </w:rPr>
              <w:t xml:space="preserve">36 </w:t>
            </w:r>
            <w:proofErr w:type="spellStart"/>
            <w:r>
              <w:rPr>
                <w:szCs w:val="22"/>
                <w:lang w:val="de-DE" w:eastAsia="de-DE"/>
              </w:rPr>
              <w:t>mėnesiai</w:t>
            </w:r>
            <w:proofErr w:type="spellEnd"/>
          </w:p>
        </w:tc>
        <w:tc>
          <w:tcPr>
            <w:tcW w:w="3067" w:type="dxa"/>
          </w:tcPr>
          <w:p w14:paraId="4A7CD3A6" w14:textId="77777777" w:rsidR="001566D5" w:rsidRPr="00F27211" w:rsidRDefault="001566D5" w:rsidP="00DC2054">
            <w:pPr>
              <w:rPr>
                <w:szCs w:val="22"/>
              </w:rPr>
            </w:pPr>
            <w:r w:rsidRPr="00F27211">
              <w:rPr>
                <w:szCs w:val="22"/>
                <w:lang w:val="de-DE" w:eastAsia="de-DE"/>
              </w:rPr>
              <w:t>60</w:t>
            </w:r>
            <w:r>
              <w:rPr>
                <w:szCs w:val="22"/>
                <w:lang w:val="de-DE" w:eastAsia="de-DE"/>
              </w:rPr>
              <w:t>,</w:t>
            </w:r>
            <w:r w:rsidRPr="00F27211">
              <w:rPr>
                <w:szCs w:val="22"/>
                <w:lang w:val="de-DE" w:eastAsia="de-DE"/>
              </w:rPr>
              <w:t>1 (52</w:t>
            </w:r>
            <w:r>
              <w:rPr>
                <w:szCs w:val="22"/>
                <w:lang w:val="de-DE" w:eastAsia="de-DE"/>
              </w:rPr>
              <w:t>,</w:t>
            </w:r>
            <w:r w:rsidRPr="00F27211">
              <w:rPr>
                <w:szCs w:val="22"/>
                <w:lang w:val="de-DE" w:eastAsia="de-DE"/>
              </w:rPr>
              <w:t>5-66</w:t>
            </w:r>
            <w:r>
              <w:rPr>
                <w:szCs w:val="22"/>
                <w:lang w:val="de-DE" w:eastAsia="de-DE"/>
              </w:rPr>
              <w:t>,</w:t>
            </w:r>
            <w:r w:rsidRPr="00F27211">
              <w:rPr>
                <w:szCs w:val="22"/>
                <w:lang w:val="de-DE" w:eastAsia="de-DE"/>
              </w:rPr>
              <w:t>9)</w:t>
            </w:r>
          </w:p>
        </w:tc>
        <w:tc>
          <w:tcPr>
            <w:tcW w:w="3067" w:type="dxa"/>
          </w:tcPr>
          <w:p w14:paraId="31D067AA" w14:textId="77777777" w:rsidR="001566D5" w:rsidRPr="00F27211" w:rsidRDefault="001566D5" w:rsidP="00DC2054">
            <w:pPr>
              <w:rPr>
                <w:szCs w:val="22"/>
              </w:rPr>
            </w:pPr>
            <w:r w:rsidRPr="00F27211">
              <w:rPr>
                <w:szCs w:val="22"/>
                <w:lang w:val="de-DE" w:eastAsia="de-DE"/>
              </w:rPr>
              <w:t>86</w:t>
            </w:r>
            <w:r>
              <w:rPr>
                <w:szCs w:val="22"/>
                <w:lang w:val="de-DE" w:eastAsia="de-DE"/>
              </w:rPr>
              <w:t>,</w:t>
            </w:r>
            <w:r w:rsidRPr="00F27211">
              <w:rPr>
                <w:szCs w:val="22"/>
                <w:lang w:val="de-DE" w:eastAsia="de-DE"/>
              </w:rPr>
              <w:t>6 (80</w:t>
            </w:r>
            <w:r>
              <w:rPr>
                <w:szCs w:val="22"/>
                <w:lang w:val="de-DE" w:eastAsia="de-DE"/>
              </w:rPr>
              <w:t>,</w:t>
            </w:r>
            <w:r w:rsidRPr="00F27211">
              <w:rPr>
                <w:szCs w:val="22"/>
                <w:lang w:val="de-DE" w:eastAsia="de-DE"/>
              </w:rPr>
              <w:t>8-90</w:t>
            </w:r>
            <w:r>
              <w:rPr>
                <w:szCs w:val="22"/>
                <w:lang w:val="de-DE" w:eastAsia="de-DE"/>
              </w:rPr>
              <w:t>,</w:t>
            </w:r>
            <w:r w:rsidRPr="00F27211">
              <w:rPr>
                <w:szCs w:val="22"/>
                <w:lang w:val="de-DE" w:eastAsia="de-DE"/>
              </w:rPr>
              <w:t>8)</w:t>
            </w:r>
          </w:p>
        </w:tc>
      </w:tr>
      <w:tr w:rsidR="001566D5" w:rsidRPr="00F27211" w14:paraId="0986ACFE" w14:textId="77777777" w:rsidTr="00DC2054">
        <w:tc>
          <w:tcPr>
            <w:tcW w:w="3066" w:type="dxa"/>
          </w:tcPr>
          <w:p w14:paraId="77B22069" w14:textId="77777777" w:rsidR="001566D5" w:rsidRPr="00F27211" w:rsidRDefault="001566D5" w:rsidP="00DC2054">
            <w:pPr>
              <w:ind w:firstLine="426"/>
              <w:rPr>
                <w:szCs w:val="22"/>
              </w:rPr>
            </w:pPr>
            <w:r w:rsidRPr="00F27211">
              <w:rPr>
                <w:szCs w:val="22"/>
                <w:lang w:val="de-DE" w:eastAsia="de-DE"/>
              </w:rPr>
              <w:t xml:space="preserve">48 </w:t>
            </w:r>
            <w:proofErr w:type="spellStart"/>
            <w:r>
              <w:rPr>
                <w:szCs w:val="22"/>
                <w:lang w:val="de-DE" w:eastAsia="de-DE"/>
              </w:rPr>
              <w:t>mėnesiai</w:t>
            </w:r>
            <w:proofErr w:type="spellEnd"/>
          </w:p>
        </w:tc>
        <w:tc>
          <w:tcPr>
            <w:tcW w:w="3067" w:type="dxa"/>
          </w:tcPr>
          <w:p w14:paraId="07924AF8" w14:textId="77777777" w:rsidR="001566D5" w:rsidRPr="00F27211" w:rsidRDefault="001566D5" w:rsidP="00DC2054">
            <w:pPr>
              <w:rPr>
                <w:szCs w:val="22"/>
              </w:rPr>
            </w:pPr>
            <w:r w:rsidRPr="00F27211">
              <w:rPr>
                <w:szCs w:val="22"/>
                <w:lang w:val="de-DE" w:eastAsia="de-DE"/>
              </w:rPr>
              <w:t>52</w:t>
            </w:r>
            <w:r>
              <w:rPr>
                <w:szCs w:val="22"/>
                <w:lang w:val="de-DE" w:eastAsia="de-DE"/>
              </w:rPr>
              <w:t>,</w:t>
            </w:r>
            <w:r w:rsidRPr="00F27211">
              <w:rPr>
                <w:szCs w:val="22"/>
                <w:lang w:val="de-DE" w:eastAsia="de-DE"/>
              </w:rPr>
              <w:t>3 (44</w:t>
            </w:r>
            <w:r>
              <w:rPr>
                <w:szCs w:val="22"/>
                <w:lang w:val="de-DE" w:eastAsia="de-DE"/>
              </w:rPr>
              <w:t>,</w:t>
            </w:r>
            <w:r w:rsidRPr="00F27211">
              <w:rPr>
                <w:szCs w:val="22"/>
                <w:lang w:val="de-DE" w:eastAsia="de-DE"/>
              </w:rPr>
              <w:t>0-59</w:t>
            </w:r>
            <w:r>
              <w:rPr>
                <w:szCs w:val="22"/>
                <w:lang w:val="de-DE" w:eastAsia="de-DE"/>
              </w:rPr>
              <w:t>,</w:t>
            </w:r>
            <w:r w:rsidRPr="00F27211">
              <w:rPr>
                <w:szCs w:val="22"/>
                <w:lang w:val="de-DE" w:eastAsia="de-DE"/>
              </w:rPr>
              <w:t>8)</w:t>
            </w:r>
          </w:p>
        </w:tc>
        <w:tc>
          <w:tcPr>
            <w:tcW w:w="3067" w:type="dxa"/>
          </w:tcPr>
          <w:p w14:paraId="1252B216" w14:textId="77777777" w:rsidR="001566D5" w:rsidRPr="00F27211" w:rsidRDefault="001566D5" w:rsidP="00DC2054">
            <w:pPr>
              <w:rPr>
                <w:szCs w:val="22"/>
              </w:rPr>
            </w:pPr>
            <w:r w:rsidRPr="00F27211">
              <w:rPr>
                <w:szCs w:val="22"/>
                <w:lang w:val="de-DE" w:eastAsia="de-DE"/>
              </w:rPr>
              <w:t>78</w:t>
            </w:r>
            <w:r>
              <w:rPr>
                <w:szCs w:val="22"/>
                <w:lang w:val="de-DE" w:eastAsia="de-DE"/>
              </w:rPr>
              <w:t>,</w:t>
            </w:r>
            <w:r w:rsidRPr="00F27211">
              <w:rPr>
                <w:szCs w:val="22"/>
                <w:lang w:val="de-DE" w:eastAsia="de-DE"/>
              </w:rPr>
              <w:t>3 (70</w:t>
            </w:r>
            <w:r>
              <w:rPr>
                <w:szCs w:val="22"/>
                <w:lang w:val="de-DE" w:eastAsia="de-DE"/>
              </w:rPr>
              <w:t>,</w:t>
            </w:r>
            <w:r w:rsidRPr="00F27211">
              <w:rPr>
                <w:szCs w:val="22"/>
                <w:lang w:val="de-DE" w:eastAsia="de-DE"/>
              </w:rPr>
              <w:t>8-84</w:t>
            </w:r>
            <w:r>
              <w:rPr>
                <w:szCs w:val="22"/>
                <w:lang w:val="de-DE" w:eastAsia="de-DE"/>
              </w:rPr>
              <w:t>,</w:t>
            </w:r>
            <w:r w:rsidRPr="00F27211">
              <w:rPr>
                <w:szCs w:val="22"/>
                <w:lang w:val="de-DE" w:eastAsia="de-DE"/>
              </w:rPr>
              <w:t>1)</w:t>
            </w:r>
          </w:p>
        </w:tc>
      </w:tr>
      <w:tr w:rsidR="001566D5" w:rsidRPr="00F27211" w14:paraId="77FB7C02" w14:textId="77777777" w:rsidTr="00DC2054">
        <w:tc>
          <w:tcPr>
            <w:tcW w:w="3066" w:type="dxa"/>
          </w:tcPr>
          <w:p w14:paraId="0EA74C31" w14:textId="77777777" w:rsidR="001566D5" w:rsidRPr="00F27211" w:rsidRDefault="001566D5" w:rsidP="00DC2054">
            <w:pPr>
              <w:ind w:firstLine="426"/>
              <w:rPr>
                <w:szCs w:val="22"/>
              </w:rPr>
            </w:pPr>
            <w:r w:rsidRPr="00F27211">
              <w:rPr>
                <w:szCs w:val="22"/>
                <w:lang w:val="de-DE" w:eastAsia="de-DE"/>
              </w:rPr>
              <w:t xml:space="preserve">60 </w:t>
            </w:r>
            <w:proofErr w:type="spellStart"/>
            <w:r>
              <w:rPr>
                <w:szCs w:val="22"/>
                <w:lang w:val="de-DE" w:eastAsia="de-DE"/>
              </w:rPr>
              <w:t>mėnesių</w:t>
            </w:r>
            <w:proofErr w:type="spellEnd"/>
          </w:p>
        </w:tc>
        <w:tc>
          <w:tcPr>
            <w:tcW w:w="3067" w:type="dxa"/>
          </w:tcPr>
          <w:p w14:paraId="4322A4F4" w14:textId="77777777" w:rsidR="001566D5" w:rsidRPr="00F27211" w:rsidRDefault="001566D5" w:rsidP="00DC2054">
            <w:pPr>
              <w:rPr>
                <w:szCs w:val="22"/>
              </w:rPr>
            </w:pPr>
            <w:r w:rsidRPr="00F27211">
              <w:rPr>
                <w:szCs w:val="22"/>
                <w:lang w:val="de-DE" w:eastAsia="de-DE"/>
              </w:rPr>
              <w:t>47</w:t>
            </w:r>
            <w:r>
              <w:rPr>
                <w:szCs w:val="22"/>
                <w:lang w:val="de-DE" w:eastAsia="de-DE"/>
              </w:rPr>
              <w:t>,</w:t>
            </w:r>
            <w:r w:rsidRPr="00F27211">
              <w:rPr>
                <w:szCs w:val="22"/>
                <w:lang w:val="de-DE" w:eastAsia="de-DE"/>
              </w:rPr>
              <w:t>9 (39</w:t>
            </w:r>
            <w:r>
              <w:rPr>
                <w:szCs w:val="22"/>
                <w:lang w:val="de-DE" w:eastAsia="de-DE"/>
              </w:rPr>
              <w:t>,</w:t>
            </w:r>
            <w:r w:rsidRPr="00F27211">
              <w:rPr>
                <w:szCs w:val="22"/>
                <w:lang w:val="de-DE" w:eastAsia="de-DE"/>
              </w:rPr>
              <w:t>0-56</w:t>
            </w:r>
            <w:r>
              <w:rPr>
                <w:szCs w:val="22"/>
                <w:lang w:val="de-DE" w:eastAsia="de-DE"/>
              </w:rPr>
              <w:t>,</w:t>
            </w:r>
            <w:r w:rsidRPr="00F27211">
              <w:rPr>
                <w:szCs w:val="22"/>
                <w:lang w:val="de-DE" w:eastAsia="de-DE"/>
              </w:rPr>
              <w:t>3)</w:t>
            </w:r>
          </w:p>
        </w:tc>
        <w:tc>
          <w:tcPr>
            <w:tcW w:w="3067" w:type="dxa"/>
          </w:tcPr>
          <w:p w14:paraId="231F047A" w14:textId="77777777" w:rsidR="001566D5" w:rsidRPr="00F27211" w:rsidRDefault="001566D5" w:rsidP="00DC2054">
            <w:pPr>
              <w:rPr>
                <w:szCs w:val="22"/>
              </w:rPr>
            </w:pPr>
            <w:r w:rsidRPr="00F27211">
              <w:rPr>
                <w:szCs w:val="22"/>
                <w:lang w:val="de-DE" w:eastAsia="de-DE"/>
              </w:rPr>
              <w:t>65</w:t>
            </w:r>
            <w:r>
              <w:rPr>
                <w:szCs w:val="22"/>
                <w:lang w:val="de-DE" w:eastAsia="de-DE"/>
              </w:rPr>
              <w:t>,</w:t>
            </w:r>
            <w:r w:rsidRPr="00F27211">
              <w:rPr>
                <w:szCs w:val="22"/>
                <w:lang w:val="de-DE" w:eastAsia="de-DE"/>
              </w:rPr>
              <w:t>6 (56</w:t>
            </w:r>
            <w:r>
              <w:rPr>
                <w:szCs w:val="22"/>
                <w:lang w:val="de-DE" w:eastAsia="de-DE"/>
              </w:rPr>
              <w:t>,</w:t>
            </w:r>
            <w:r w:rsidRPr="00F27211">
              <w:rPr>
                <w:szCs w:val="22"/>
                <w:lang w:val="de-DE" w:eastAsia="de-DE"/>
              </w:rPr>
              <w:t>1-73</w:t>
            </w:r>
            <w:r>
              <w:rPr>
                <w:szCs w:val="22"/>
                <w:lang w:val="de-DE" w:eastAsia="de-DE"/>
              </w:rPr>
              <w:t>,</w:t>
            </w:r>
            <w:r w:rsidRPr="00F27211">
              <w:rPr>
                <w:szCs w:val="22"/>
                <w:lang w:val="de-DE" w:eastAsia="de-DE"/>
              </w:rPr>
              <w:t>4)</w:t>
            </w:r>
          </w:p>
        </w:tc>
      </w:tr>
      <w:tr w:rsidR="001566D5" w:rsidRPr="00F27211" w14:paraId="64C53348" w14:textId="77777777" w:rsidTr="00DC2054">
        <w:tc>
          <w:tcPr>
            <w:tcW w:w="3066" w:type="dxa"/>
          </w:tcPr>
          <w:p w14:paraId="05D141B4" w14:textId="77777777" w:rsidR="001566D5" w:rsidRPr="00F27211" w:rsidRDefault="001566D5" w:rsidP="00DC2054">
            <w:pPr>
              <w:rPr>
                <w:b/>
                <w:bCs/>
                <w:szCs w:val="22"/>
              </w:rPr>
            </w:pPr>
            <w:r>
              <w:rPr>
                <w:b/>
                <w:bCs/>
                <w:szCs w:val="22"/>
              </w:rPr>
              <w:t>Išgyvenamumas</w:t>
            </w:r>
          </w:p>
        </w:tc>
        <w:tc>
          <w:tcPr>
            <w:tcW w:w="3067" w:type="dxa"/>
          </w:tcPr>
          <w:p w14:paraId="47D25C4C" w14:textId="77777777" w:rsidR="001566D5" w:rsidRPr="00F27211" w:rsidRDefault="001566D5" w:rsidP="00DC2054">
            <w:pPr>
              <w:rPr>
                <w:szCs w:val="22"/>
              </w:rPr>
            </w:pPr>
          </w:p>
        </w:tc>
        <w:tc>
          <w:tcPr>
            <w:tcW w:w="3067" w:type="dxa"/>
          </w:tcPr>
          <w:p w14:paraId="6C2BBB81" w14:textId="77777777" w:rsidR="001566D5" w:rsidRPr="00F27211" w:rsidRDefault="001566D5" w:rsidP="00DC2054">
            <w:pPr>
              <w:rPr>
                <w:szCs w:val="22"/>
              </w:rPr>
            </w:pPr>
          </w:p>
        </w:tc>
      </w:tr>
      <w:tr w:rsidR="001566D5" w:rsidRPr="00F27211" w14:paraId="1CF954DE" w14:textId="77777777" w:rsidTr="00DC2054">
        <w:tc>
          <w:tcPr>
            <w:tcW w:w="3066" w:type="dxa"/>
          </w:tcPr>
          <w:p w14:paraId="7C4D2EE3" w14:textId="77777777" w:rsidR="001566D5" w:rsidRPr="00F27211" w:rsidRDefault="001566D5" w:rsidP="00DC2054">
            <w:pPr>
              <w:ind w:firstLine="426"/>
              <w:rPr>
                <w:szCs w:val="22"/>
              </w:rPr>
            </w:pPr>
            <w:r w:rsidRPr="00F27211">
              <w:rPr>
                <w:szCs w:val="22"/>
                <w:lang w:val="de-DE" w:eastAsia="de-DE"/>
              </w:rPr>
              <w:t xml:space="preserve">36 </w:t>
            </w:r>
            <w:proofErr w:type="spellStart"/>
            <w:r>
              <w:rPr>
                <w:szCs w:val="22"/>
                <w:lang w:val="de-DE" w:eastAsia="de-DE"/>
              </w:rPr>
              <w:t>mėnesiai</w:t>
            </w:r>
            <w:proofErr w:type="spellEnd"/>
          </w:p>
        </w:tc>
        <w:tc>
          <w:tcPr>
            <w:tcW w:w="3067" w:type="dxa"/>
          </w:tcPr>
          <w:p w14:paraId="380CC396" w14:textId="77777777" w:rsidR="001566D5" w:rsidRPr="00F27211" w:rsidRDefault="001566D5" w:rsidP="00DC2054">
            <w:pPr>
              <w:rPr>
                <w:szCs w:val="22"/>
              </w:rPr>
            </w:pPr>
            <w:r w:rsidRPr="00F27211">
              <w:rPr>
                <w:szCs w:val="22"/>
                <w:lang w:val="de-DE" w:eastAsia="de-DE"/>
              </w:rPr>
              <w:t>94</w:t>
            </w:r>
            <w:r>
              <w:rPr>
                <w:szCs w:val="22"/>
                <w:lang w:val="de-DE" w:eastAsia="de-DE"/>
              </w:rPr>
              <w:t>,</w:t>
            </w:r>
            <w:r w:rsidRPr="00F27211">
              <w:rPr>
                <w:szCs w:val="22"/>
                <w:lang w:val="de-DE" w:eastAsia="de-DE"/>
              </w:rPr>
              <w:t>0 (89</w:t>
            </w:r>
            <w:r>
              <w:rPr>
                <w:szCs w:val="22"/>
                <w:lang w:val="de-DE" w:eastAsia="de-DE"/>
              </w:rPr>
              <w:t>,</w:t>
            </w:r>
            <w:r w:rsidRPr="00F27211">
              <w:rPr>
                <w:szCs w:val="22"/>
                <w:lang w:val="de-DE" w:eastAsia="de-DE"/>
              </w:rPr>
              <w:t>5-96</w:t>
            </w:r>
            <w:r>
              <w:rPr>
                <w:szCs w:val="22"/>
                <w:lang w:val="de-DE" w:eastAsia="de-DE"/>
              </w:rPr>
              <w:t>,</w:t>
            </w:r>
            <w:r w:rsidRPr="00F27211">
              <w:rPr>
                <w:szCs w:val="22"/>
                <w:lang w:val="de-DE" w:eastAsia="de-DE"/>
              </w:rPr>
              <w:t>7)</w:t>
            </w:r>
          </w:p>
        </w:tc>
        <w:tc>
          <w:tcPr>
            <w:tcW w:w="3067" w:type="dxa"/>
          </w:tcPr>
          <w:p w14:paraId="5CB8148D" w14:textId="77777777" w:rsidR="001566D5" w:rsidRPr="00F27211" w:rsidRDefault="001566D5" w:rsidP="00DC2054">
            <w:pPr>
              <w:rPr>
                <w:szCs w:val="22"/>
              </w:rPr>
            </w:pPr>
            <w:r w:rsidRPr="00F27211">
              <w:rPr>
                <w:szCs w:val="22"/>
                <w:lang w:val="de-DE" w:eastAsia="de-DE"/>
              </w:rPr>
              <w:t>96</w:t>
            </w:r>
            <w:r>
              <w:rPr>
                <w:szCs w:val="22"/>
                <w:lang w:val="de-DE" w:eastAsia="de-DE"/>
              </w:rPr>
              <w:t>,</w:t>
            </w:r>
            <w:r w:rsidRPr="00F27211">
              <w:rPr>
                <w:szCs w:val="22"/>
                <w:lang w:val="de-DE" w:eastAsia="de-DE"/>
              </w:rPr>
              <w:t>3 (92</w:t>
            </w:r>
            <w:r>
              <w:rPr>
                <w:szCs w:val="22"/>
                <w:lang w:val="de-DE" w:eastAsia="de-DE"/>
              </w:rPr>
              <w:t>,</w:t>
            </w:r>
            <w:r w:rsidRPr="00F27211">
              <w:rPr>
                <w:szCs w:val="22"/>
                <w:lang w:val="de-DE" w:eastAsia="de-DE"/>
              </w:rPr>
              <w:t>4-98</w:t>
            </w:r>
            <w:r>
              <w:rPr>
                <w:szCs w:val="22"/>
                <w:lang w:val="de-DE" w:eastAsia="de-DE"/>
              </w:rPr>
              <w:t>,</w:t>
            </w:r>
            <w:r w:rsidRPr="00F27211">
              <w:rPr>
                <w:szCs w:val="22"/>
                <w:lang w:val="de-DE" w:eastAsia="de-DE"/>
              </w:rPr>
              <w:t>2)</w:t>
            </w:r>
          </w:p>
        </w:tc>
      </w:tr>
      <w:tr w:rsidR="001566D5" w:rsidRPr="00F27211" w14:paraId="03050B24" w14:textId="77777777" w:rsidTr="00DC2054">
        <w:tc>
          <w:tcPr>
            <w:tcW w:w="3066" w:type="dxa"/>
          </w:tcPr>
          <w:p w14:paraId="243994DA" w14:textId="77777777" w:rsidR="001566D5" w:rsidRPr="00F27211" w:rsidRDefault="001566D5" w:rsidP="00DC2054">
            <w:pPr>
              <w:ind w:firstLine="426"/>
              <w:rPr>
                <w:szCs w:val="22"/>
              </w:rPr>
            </w:pPr>
            <w:r w:rsidRPr="00F27211">
              <w:rPr>
                <w:szCs w:val="22"/>
                <w:lang w:val="de-DE" w:eastAsia="de-DE"/>
              </w:rPr>
              <w:t xml:space="preserve">48 </w:t>
            </w:r>
            <w:proofErr w:type="spellStart"/>
            <w:r>
              <w:rPr>
                <w:szCs w:val="22"/>
                <w:lang w:val="de-DE" w:eastAsia="de-DE"/>
              </w:rPr>
              <w:t>mėnesiai</w:t>
            </w:r>
            <w:proofErr w:type="spellEnd"/>
          </w:p>
        </w:tc>
        <w:tc>
          <w:tcPr>
            <w:tcW w:w="3067" w:type="dxa"/>
          </w:tcPr>
          <w:p w14:paraId="50103E9E" w14:textId="77777777" w:rsidR="001566D5" w:rsidRPr="00F27211" w:rsidRDefault="001566D5" w:rsidP="00DC2054">
            <w:pPr>
              <w:rPr>
                <w:szCs w:val="22"/>
              </w:rPr>
            </w:pPr>
            <w:r w:rsidRPr="00F27211">
              <w:rPr>
                <w:szCs w:val="22"/>
                <w:lang w:val="de-DE" w:eastAsia="de-DE"/>
              </w:rPr>
              <w:t>87</w:t>
            </w:r>
            <w:r>
              <w:rPr>
                <w:szCs w:val="22"/>
                <w:lang w:val="de-DE" w:eastAsia="de-DE"/>
              </w:rPr>
              <w:t>,</w:t>
            </w:r>
            <w:r w:rsidRPr="00F27211">
              <w:rPr>
                <w:szCs w:val="22"/>
                <w:lang w:val="de-DE" w:eastAsia="de-DE"/>
              </w:rPr>
              <w:t>9 (81</w:t>
            </w:r>
            <w:r>
              <w:rPr>
                <w:szCs w:val="22"/>
                <w:lang w:val="de-DE" w:eastAsia="de-DE"/>
              </w:rPr>
              <w:t>,</w:t>
            </w:r>
            <w:r w:rsidRPr="00F27211">
              <w:rPr>
                <w:szCs w:val="22"/>
                <w:lang w:val="de-DE" w:eastAsia="de-DE"/>
              </w:rPr>
              <w:t>1-92</w:t>
            </w:r>
            <w:r>
              <w:rPr>
                <w:szCs w:val="22"/>
                <w:lang w:val="de-DE" w:eastAsia="de-DE"/>
              </w:rPr>
              <w:t>,</w:t>
            </w:r>
            <w:r w:rsidRPr="00F27211">
              <w:rPr>
                <w:szCs w:val="22"/>
                <w:lang w:val="de-DE" w:eastAsia="de-DE"/>
              </w:rPr>
              <w:t>3)</w:t>
            </w:r>
          </w:p>
        </w:tc>
        <w:tc>
          <w:tcPr>
            <w:tcW w:w="3067" w:type="dxa"/>
          </w:tcPr>
          <w:p w14:paraId="1A3F21EC" w14:textId="77777777" w:rsidR="001566D5" w:rsidRPr="00F27211" w:rsidRDefault="001566D5" w:rsidP="00DC2054">
            <w:pPr>
              <w:rPr>
                <w:szCs w:val="22"/>
              </w:rPr>
            </w:pPr>
            <w:r w:rsidRPr="00F27211">
              <w:rPr>
                <w:szCs w:val="22"/>
                <w:lang w:val="de-DE" w:eastAsia="de-DE"/>
              </w:rPr>
              <w:t>95</w:t>
            </w:r>
            <w:r>
              <w:rPr>
                <w:szCs w:val="22"/>
                <w:lang w:val="de-DE" w:eastAsia="de-DE"/>
              </w:rPr>
              <w:t>,</w:t>
            </w:r>
            <w:r w:rsidRPr="00F27211">
              <w:rPr>
                <w:szCs w:val="22"/>
                <w:lang w:val="de-DE" w:eastAsia="de-DE"/>
              </w:rPr>
              <w:t>6 (91</w:t>
            </w:r>
            <w:r>
              <w:rPr>
                <w:szCs w:val="22"/>
                <w:lang w:val="de-DE" w:eastAsia="de-DE"/>
              </w:rPr>
              <w:t>,</w:t>
            </w:r>
            <w:r w:rsidRPr="00F27211">
              <w:rPr>
                <w:szCs w:val="22"/>
                <w:lang w:val="de-DE" w:eastAsia="de-DE"/>
              </w:rPr>
              <w:t>2-97</w:t>
            </w:r>
            <w:r>
              <w:rPr>
                <w:szCs w:val="22"/>
                <w:lang w:val="de-DE" w:eastAsia="de-DE"/>
              </w:rPr>
              <w:t>,</w:t>
            </w:r>
            <w:r w:rsidRPr="00F27211">
              <w:rPr>
                <w:szCs w:val="22"/>
                <w:lang w:val="de-DE" w:eastAsia="de-DE"/>
              </w:rPr>
              <w:t>8)</w:t>
            </w:r>
          </w:p>
        </w:tc>
      </w:tr>
      <w:tr w:rsidR="001566D5" w:rsidRPr="00F27211" w14:paraId="059F7CE7" w14:textId="77777777" w:rsidTr="007541DA">
        <w:trPr>
          <w:trHeight w:val="190"/>
        </w:trPr>
        <w:tc>
          <w:tcPr>
            <w:tcW w:w="3066" w:type="dxa"/>
          </w:tcPr>
          <w:p w14:paraId="73892497" w14:textId="77777777" w:rsidR="001566D5" w:rsidRPr="00F27211" w:rsidRDefault="001566D5" w:rsidP="00DC2054">
            <w:pPr>
              <w:ind w:firstLine="426"/>
              <w:rPr>
                <w:szCs w:val="22"/>
              </w:rPr>
            </w:pPr>
            <w:r w:rsidRPr="00F27211">
              <w:rPr>
                <w:szCs w:val="22"/>
                <w:lang w:val="de-DE" w:eastAsia="de-DE"/>
              </w:rPr>
              <w:t xml:space="preserve">60 </w:t>
            </w:r>
            <w:proofErr w:type="spellStart"/>
            <w:r>
              <w:rPr>
                <w:szCs w:val="22"/>
                <w:lang w:val="de-DE" w:eastAsia="de-DE"/>
              </w:rPr>
              <w:t>mėnesių</w:t>
            </w:r>
            <w:proofErr w:type="spellEnd"/>
          </w:p>
        </w:tc>
        <w:tc>
          <w:tcPr>
            <w:tcW w:w="3067" w:type="dxa"/>
          </w:tcPr>
          <w:p w14:paraId="6F4D9DC1" w14:textId="77777777" w:rsidR="001566D5" w:rsidRPr="00F27211" w:rsidRDefault="001566D5" w:rsidP="00DC2054">
            <w:pPr>
              <w:rPr>
                <w:szCs w:val="22"/>
              </w:rPr>
            </w:pPr>
            <w:r w:rsidRPr="00F27211">
              <w:rPr>
                <w:szCs w:val="22"/>
                <w:lang w:val="de-DE" w:eastAsia="de-DE"/>
              </w:rPr>
              <w:t>81</w:t>
            </w:r>
            <w:r>
              <w:rPr>
                <w:szCs w:val="22"/>
                <w:lang w:val="de-DE" w:eastAsia="de-DE"/>
              </w:rPr>
              <w:t>,</w:t>
            </w:r>
            <w:r w:rsidRPr="00F27211">
              <w:rPr>
                <w:szCs w:val="22"/>
                <w:lang w:val="de-DE" w:eastAsia="de-DE"/>
              </w:rPr>
              <w:t>7 (73</w:t>
            </w:r>
            <w:r>
              <w:rPr>
                <w:szCs w:val="22"/>
                <w:lang w:val="de-DE" w:eastAsia="de-DE"/>
              </w:rPr>
              <w:t>,</w:t>
            </w:r>
            <w:r w:rsidRPr="00F27211">
              <w:rPr>
                <w:szCs w:val="22"/>
                <w:lang w:val="de-DE" w:eastAsia="de-DE"/>
              </w:rPr>
              <w:t>0-87</w:t>
            </w:r>
            <w:r>
              <w:rPr>
                <w:szCs w:val="22"/>
                <w:lang w:val="de-DE" w:eastAsia="de-DE"/>
              </w:rPr>
              <w:t>,</w:t>
            </w:r>
            <w:r w:rsidRPr="00F27211">
              <w:rPr>
                <w:szCs w:val="22"/>
                <w:lang w:val="de-DE" w:eastAsia="de-DE"/>
              </w:rPr>
              <w:t>8)</w:t>
            </w:r>
          </w:p>
        </w:tc>
        <w:tc>
          <w:tcPr>
            <w:tcW w:w="3067" w:type="dxa"/>
          </w:tcPr>
          <w:p w14:paraId="0FA9F16C" w14:textId="77777777" w:rsidR="001566D5" w:rsidRPr="00F27211" w:rsidRDefault="001566D5" w:rsidP="00DC2054">
            <w:pPr>
              <w:rPr>
                <w:szCs w:val="22"/>
              </w:rPr>
            </w:pPr>
            <w:r w:rsidRPr="00F27211">
              <w:rPr>
                <w:szCs w:val="22"/>
              </w:rPr>
              <w:t>92</w:t>
            </w:r>
            <w:r>
              <w:rPr>
                <w:szCs w:val="22"/>
              </w:rPr>
              <w:t>,</w:t>
            </w:r>
            <w:r w:rsidRPr="00F27211">
              <w:rPr>
                <w:szCs w:val="22"/>
              </w:rPr>
              <w:t>0 (85</w:t>
            </w:r>
            <w:r>
              <w:rPr>
                <w:szCs w:val="22"/>
              </w:rPr>
              <w:t>,</w:t>
            </w:r>
            <w:r w:rsidRPr="00F27211">
              <w:rPr>
                <w:szCs w:val="22"/>
              </w:rPr>
              <w:t>3-95</w:t>
            </w:r>
            <w:r>
              <w:rPr>
                <w:szCs w:val="22"/>
              </w:rPr>
              <w:t>,</w:t>
            </w:r>
            <w:r w:rsidRPr="00F27211">
              <w:rPr>
                <w:szCs w:val="22"/>
              </w:rPr>
              <w:t>7)</w:t>
            </w:r>
          </w:p>
        </w:tc>
      </w:tr>
    </w:tbl>
    <w:p w14:paraId="52875407" w14:textId="77777777" w:rsidR="000C02AC" w:rsidRDefault="000C02AC" w:rsidP="00722E5E">
      <w:pPr>
        <w:spacing w:line="240" w:lineRule="auto"/>
        <w:rPr>
          <w:rFonts w:eastAsia="SimSun"/>
          <w:snapToGrid/>
          <w:szCs w:val="22"/>
          <w:lang w:eastAsia="zh-CN"/>
        </w:rPr>
      </w:pPr>
    </w:p>
    <w:p w14:paraId="2CAF6D88" w14:textId="77777777" w:rsidR="000C02AC" w:rsidRDefault="000C02AC">
      <w:pPr>
        <w:tabs>
          <w:tab w:val="clear" w:pos="567"/>
        </w:tabs>
        <w:spacing w:after="200" w:line="276" w:lineRule="auto"/>
        <w:rPr>
          <w:rFonts w:eastAsia="SimSun"/>
          <w:snapToGrid/>
          <w:szCs w:val="22"/>
          <w:lang w:eastAsia="zh-CN"/>
        </w:rPr>
      </w:pPr>
      <w:r>
        <w:rPr>
          <w:rFonts w:eastAsia="SimSun"/>
          <w:snapToGrid/>
          <w:szCs w:val="22"/>
          <w:lang w:eastAsia="zh-CN"/>
        </w:rPr>
        <w:br w:type="page"/>
      </w:r>
    </w:p>
    <w:p w14:paraId="6109BDD7" w14:textId="6CEAE7D1" w:rsidR="00722E5E" w:rsidRPr="007541DA" w:rsidRDefault="00722E5E" w:rsidP="000C02AC">
      <w:pPr>
        <w:spacing w:line="240" w:lineRule="auto"/>
        <w:ind w:left="567" w:hanging="567"/>
        <w:rPr>
          <w:rFonts w:eastAsia="SimSun"/>
          <w:b/>
          <w:bCs/>
          <w:snapToGrid/>
          <w:szCs w:val="22"/>
          <w:lang w:eastAsia="zh-CN"/>
        </w:rPr>
      </w:pPr>
      <w:r w:rsidRPr="007541DA">
        <w:rPr>
          <w:rFonts w:eastAsia="SimSun"/>
          <w:b/>
          <w:bCs/>
          <w:snapToGrid/>
          <w:szCs w:val="22"/>
          <w:lang w:eastAsia="zh-CN"/>
        </w:rPr>
        <w:lastRenderedPageBreak/>
        <w:t>1</w:t>
      </w:r>
      <w:r w:rsidR="00E95372">
        <w:rPr>
          <w:rFonts w:eastAsia="SimSun"/>
          <w:b/>
          <w:bCs/>
          <w:snapToGrid/>
          <w:szCs w:val="22"/>
          <w:lang w:eastAsia="zh-CN"/>
        </w:rPr>
        <w:t> </w:t>
      </w:r>
      <w:r w:rsidRPr="007541DA">
        <w:rPr>
          <w:rFonts w:eastAsia="SimSun"/>
          <w:b/>
          <w:bCs/>
          <w:snapToGrid/>
          <w:szCs w:val="22"/>
          <w:lang w:eastAsia="zh-CN"/>
        </w:rPr>
        <w:t xml:space="preserve">pav. </w:t>
      </w:r>
      <w:r w:rsidR="001566D5" w:rsidRPr="007541DA">
        <w:rPr>
          <w:rFonts w:eastAsia="SimSun"/>
          <w:b/>
          <w:bCs/>
          <w:snapToGrid/>
          <w:szCs w:val="22"/>
          <w:lang w:eastAsia="zh-CN"/>
        </w:rPr>
        <w:t>Svarbiausios</w:t>
      </w:r>
      <w:r w:rsidRPr="007541DA">
        <w:rPr>
          <w:rFonts w:eastAsia="SimSun"/>
          <w:b/>
          <w:bCs/>
          <w:snapToGrid/>
          <w:szCs w:val="22"/>
          <w:lang w:eastAsia="zh-CN"/>
        </w:rPr>
        <w:t xml:space="preserve"> vertinamosios baigties išgyvenamumo be ligos recidyvo duomenys,</w:t>
      </w:r>
      <w:r w:rsidR="000C02AC" w:rsidRPr="007541DA">
        <w:rPr>
          <w:rFonts w:eastAsia="SimSun"/>
          <w:b/>
          <w:bCs/>
          <w:snapToGrid/>
          <w:szCs w:val="22"/>
          <w:lang w:eastAsia="zh-CN"/>
        </w:rPr>
        <w:t xml:space="preserve"> </w:t>
      </w:r>
      <w:proofErr w:type="spellStart"/>
      <w:r w:rsidRPr="007541DA">
        <w:rPr>
          <w:rFonts w:eastAsia="SimSun"/>
          <w:b/>
          <w:bCs/>
          <w:snapToGrid/>
          <w:szCs w:val="22"/>
          <w:lang w:eastAsia="zh-CN"/>
        </w:rPr>
        <w:t>Kaplan</w:t>
      </w:r>
      <w:proofErr w:type="spellEnd"/>
      <w:r w:rsidRPr="007541DA">
        <w:rPr>
          <w:rFonts w:eastAsia="SimSun"/>
          <w:b/>
          <w:bCs/>
          <w:snapToGrid/>
          <w:szCs w:val="22"/>
          <w:lang w:eastAsia="zh-CN"/>
        </w:rPr>
        <w:t>-</w:t>
      </w:r>
      <w:r w:rsidR="000C02AC">
        <w:rPr>
          <w:rFonts w:eastAsia="SimSun"/>
          <w:b/>
          <w:bCs/>
          <w:snapToGrid/>
          <w:szCs w:val="22"/>
          <w:lang w:eastAsia="zh-CN"/>
        </w:rPr>
        <w:t> </w:t>
      </w:r>
      <w:proofErr w:type="spellStart"/>
      <w:r w:rsidRPr="007541DA">
        <w:rPr>
          <w:rFonts w:eastAsia="SimSun"/>
          <w:b/>
          <w:bCs/>
          <w:snapToGrid/>
          <w:szCs w:val="22"/>
          <w:lang w:eastAsia="zh-CN"/>
        </w:rPr>
        <w:t>Meier</w:t>
      </w:r>
      <w:proofErr w:type="spellEnd"/>
      <w:r w:rsidRPr="007541DA">
        <w:rPr>
          <w:rFonts w:eastAsia="SimSun"/>
          <w:b/>
          <w:bCs/>
          <w:snapToGrid/>
          <w:szCs w:val="22"/>
          <w:lang w:eastAsia="zh-CN"/>
        </w:rPr>
        <w:t xml:space="preserve"> kreivė (ITT populiacija)</w:t>
      </w:r>
    </w:p>
    <w:p w14:paraId="4DC4CD3A" w14:textId="77777777" w:rsidR="000C02AC" w:rsidRDefault="000C02AC" w:rsidP="00722E5E">
      <w:pPr>
        <w:spacing w:line="240" w:lineRule="auto"/>
        <w:rPr>
          <w:rFonts w:eastAsia="SimSun"/>
          <w:snapToGrid/>
          <w:szCs w:val="22"/>
          <w:lang w:eastAsia="zh-CN"/>
        </w:rPr>
      </w:pPr>
    </w:p>
    <w:p w14:paraId="12020809" w14:textId="77777777" w:rsidR="000C02AC" w:rsidRDefault="000C02AC" w:rsidP="00722E5E">
      <w:pPr>
        <w:spacing w:line="240" w:lineRule="auto"/>
        <w:rPr>
          <w:rFonts w:eastAsia="SimSun"/>
          <w:snapToGrid/>
          <w:szCs w:val="22"/>
          <w:lang w:eastAsia="zh-CN"/>
        </w:rPr>
      </w:pPr>
      <w:r w:rsidRPr="000C02AC">
        <w:rPr>
          <w:rFonts w:eastAsia="SimSun"/>
          <w:noProof/>
          <w:snapToGrid/>
          <w:szCs w:val="22"/>
          <w:lang w:eastAsia="lt-LT"/>
        </w:rPr>
        <w:drawing>
          <wp:inline distT="0" distB="0" distL="0" distR="0" wp14:anchorId="081C389A" wp14:editId="3DB410A9">
            <wp:extent cx="5759450" cy="26346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2634615"/>
                    </a:xfrm>
                    <a:prstGeom prst="rect">
                      <a:avLst/>
                    </a:prstGeom>
                    <a:noFill/>
                    <a:ln>
                      <a:noFill/>
                    </a:ln>
                  </pic:spPr>
                </pic:pic>
              </a:graphicData>
            </a:graphic>
          </wp:inline>
        </w:drawing>
      </w:r>
    </w:p>
    <w:p w14:paraId="72FAEC33" w14:textId="77777777" w:rsidR="000C02AC" w:rsidRDefault="000C02AC" w:rsidP="00722E5E">
      <w:pPr>
        <w:spacing w:line="240" w:lineRule="auto"/>
        <w:rPr>
          <w:rFonts w:eastAsia="SimSun"/>
          <w:snapToGrid/>
          <w:szCs w:val="22"/>
          <w:lang w:eastAsia="zh-CN"/>
        </w:rPr>
      </w:pPr>
    </w:p>
    <w:p w14:paraId="1F4463CE" w14:textId="77777777" w:rsidR="00722E5E" w:rsidRPr="007541DA" w:rsidRDefault="00722E5E" w:rsidP="00722E5E">
      <w:pPr>
        <w:spacing w:line="240" w:lineRule="auto"/>
        <w:rPr>
          <w:rFonts w:eastAsia="SimSun"/>
          <w:snapToGrid/>
          <w:sz w:val="20"/>
          <w:lang w:eastAsia="zh-CN"/>
        </w:rPr>
      </w:pPr>
      <w:r w:rsidRPr="007541DA">
        <w:rPr>
          <w:rFonts w:eastAsia="SimSun"/>
          <w:snapToGrid/>
          <w:sz w:val="20"/>
          <w:lang w:eastAsia="zh-CN"/>
        </w:rPr>
        <w:t>Rizikos grupė: Atvejai</w:t>
      </w:r>
    </w:p>
    <w:p w14:paraId="1DB5924E" w14:textId="77777777" w:rsidR="00722E5E" w:rsidRPr="007541DA" w:rsidRDefault="00722E5E" w:rsidP="00722E5E">
      <w:pPr>
        <w:spacing w:line="240" w:lineRule="auto"/>
        <w:rPr>
          <w:rFonts w:eastAsia="SimSun"/>
          <w:snapToGrid/>
          <w:sz w:val="20"/>
          <w:lang w:eastAsia="zh-CN"/>
        </w:rPr>
      </w:pPr>
      <w:r w:rsidRPr="007541DA">
        <w:rPr>
          <w:rFonts w:eastAsia="SimSun"/>
          <w:snapToGrid/>
          <w:sz w:val="20"/>
          <w:lang w:eastAsia="zh-CN"/>
        </w:rPr>
        <w:t>(1) 199:0 182:8 177:12 163:25 137:46 105:65 88:72 61:77 49:81 36:83 27:84 14:84 10:84 2:84 0:84</w:t>
      </w:r>
    </w:p>
    <w:p w14:paraId="59BA8437" w14:textId="77777777" w:rsidR="00722E5E" w:rsidRPr="007541DA" w:rsidRDefault="00722E5E" w:rsidP="00722E5E">
      <w:pPr>
        <w:spacing w:line="240" w:lineRule="auto"/>
        <w:rPr>
          <w:rFonts w:eastAsia="SimSun"/>
          <w:snapToGrid/>
          <w:sz w:val="20"/>
          <w:lang w:eastAsia="zh-CN"/>
        </w:rPr>
      </w:pPr>
      <w:r w:rsidRPr="007541DA">
        <w:rPr>
          <w:rFonts w:eastAsia="SimSun"/>
          <w:snapToGrid/>
          <w:sz w:val="20"/>
          <w:lang w:eastAsia="zh-CN"/>
        </w:rPr>
        <w:t>(2) 198:0 189:5 184:8 181:11 173:18 152:22 133:25 102:29 82:35 54:46 39:47 21:49 8:50 0:50</w:t>
      </w:r>
    </w:p>
    <w:p w14:paraId="636F0F90" w14:textId="77777777" w:rsidR="000C02AC" w:rsidRPr="007541DA" w:rsidRDefault="000C02AC" w:rsidP="00722E5E">
      <w:pPr>
        <w:spacing w:line="240" w:lineRule="auto"/>
        <w:rPr>
          <w:rFonts w:eastAsia="SimSun"/>
          <w:snapToGrid/>
          <w:sz w:val="20"/>
          <w:lang w:eastAsia="zh-CN"/>
        </w:rPr>
      </w:pPr>
    </w:p>
    <w:p w14:paraId="36B5027F" w14:textId="77777777" w:rsidR="000C02AC" w:rsidRDefault="000C02AC" w:rsidP="00722E5E">
      <w:pPr>
        <w:spacing w:line="240" w:lineRule="auto"/>
        <w:rPr>
          <w:rFonts w:eastAsia="SimSun"/>
          <w:snapToGrid/>
          <w:szCs w:val="22"/>
          <w:lang w:eastAsia="zh-CN"/>
        </w:rPr>
      </w:pPr>
    </w:p>
    <w:p w14:paraId="592D8D4A" w14:textId="0ACC3F28" w:rsidR="00722E5E" w:rsidRPr="007541DA" w:rsidRDefault="00722E5E" w:rsidP="00722E5E">
      <w:pPr>
        <w:spacing w:line="240" w:lineRule="auto"/>
        <w:rPr>
          <w:rFonts w:eastAsia="SimSun"/>
          <w:b/>
          <w:bCs/>
          <w:snapToGrid/>
          <w:szCs w:val="22"/>
          <w:lang w:eastAsia="zh-CN"/>
        </w:rPr>
      </w:pPr>
      <w:r w:rsidRPr="007541DA">
        <w:rPr>
          <w:rFonts w:eastAsia="SimSun"/>
          <w:b/>
          <w:bCs/>
          <w:snapToGrid/>
          <w:szCs w:val="22"/>
          <w:lang w:eastAsia="zh-CN"/>
        </w:rPr>
        <w:t>2</w:t>
      </w:r>
      <w:r w:rsidR="00E95372">
        <w:rPr>
          <w:rFonts w:eastAsia="SimSun"/>
          <w:b/>
          <w:bCs/>
          <w:snapToGrid/>
          <w:szCs w:val="22"/>
          <w:lang w:eastAsia="zh-CN"/>
        </w:rPr>
        <w:t> </w:t>
      </w:r>
      <w:r w:rsidRPr="007541DA">
        <w:rPr>
          <w:rFonts w:eastAsia="SimSun"/>
          <w:b/>
          <w:bCs/>
          <w:snapToGrid/>
          <w:szCs w:val="22"/>
          <w:lang w:eastAsia="zh-CN"/>
        </w:rPr>
        <w:t xml:space="preserve">pav. Bendrojo išgyvenamumo duomenys, </w:t>
      </w:r>
      <w:proofErr w:type="spellStart"/>
      <w:r w:rsidRPr="007541DA">
        <w:rPr>
          <w:rFonts w:eastAsia="SimSun"/>
          <w:b/>
          <w:bCs/>
          <w:snapToGrid/>
          <w:szCs w:val="22"/>
          <w:lang w:eastAsia="zh-CN"/>
        </w:rPr>
        <w:t>Kaplan-Meier</w:t>
      </w:r>
      <w:proofErr w:type="spellEnd"/>
      <w:r w:rsidRPr="007541DA">
        <w:rPr>
          <w:rFonts w:eastAsia="SimSun"/>
          <w:b/>
          <w:bCs/>
          <w:snapToGrid/>
          <w:szCs w:val="22"/>
          <w:lang w:eastAsia="zh-CN"/>
        </w:rPr>
        <w:t xml:space="preserve"> kreivė (ITT populiacija)</w:t>
      </w:r>
    </w:p>
    <w:p w14:paraId="439230D7" w14:textId="77777777" w:rsidR="000C02AC" w:rsidRDefault="000C02AC" w:rsidP="00722E5E">
      <w:pPr>
        <w:spacing w:line="240" w:lineRule="auto"/>
        <w:rPr>
          <w:rFonts w:eastAsia="SimSun"/>
          <w:snapToGrid/>
          <w:szCs w:val="22"/>
          <w:lang w:eastAsia="zh-CN"/>
        </w:rPr>
      </w:pPr>
    </w:p>
    <w:p w14:paraId="5A688397" w14:textId="77777777" w:rsidR="000C02AC" w:rsidRDefault="000C02AC" w:rsidP="00722E5E">
      <w:pPr>
        <w:spacing w:line="240" w:lineRule="auto"/>
        <w:rPr>
          <w:rFonts w:eastAsia="SimSun"/>
          <w:snapToGrid/>
          <w:szCs w:val="22"/>
          <w:lang w:eastAsia="zh-CN"/>
        </w:rPr>
      </w:pPr>
      <w:r w:rsidRPr="000C02AC">
        <w:rPr>
          <w:rFonts w:eastAsia="SimSun"/>
          <w:noProof/>
          <w:snapToGrid/>
          <w:szCs w:val="22"/>
          <w:lang w:eastAsia="lt-LT"/>
        </w:rPr>
        <w:drawing>
          <wp:inline distT="0" distB="0" distL="0" distR="0" wp14:anchorId="3FEFFD62" wp14:editId="74D87835">
            <wp:extent cx="5759450" cy="29870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2987040"/>
                    </a:xfrm>
                    <a:prstGeom prst="rect">
                      <a:avLst/>
                    </a:prstGeom>
                    <a:noFill/>
                    <a:ln>
                      <a:noFill/>
                    </a:ln>
                  </pic:spPr>
                </pic:pic>
              </a:graphicData>
            </a:graphic>
          </wp:inline>
        </w:drawing>
      </w:r>
    </w:p>
    <w:p w14:paraId="768D2FBD" w14:textId="77777777" w:rsidR="000C02AC" w:rsidRDefault="000C02AC" w:rsidP="00722E5E">
      <w:pPr>
        <w:spacing w:line="240" w:lineRule="auto"/>
        <w:rPr>
          <w:rFonts w:eastAsia="SimSun"/>
          <w:snapToGrid/>
          <w:szCs w:val="22"/>
          <w:lang w:eastAsia="zh-CN"/>
        </w:rPr>
      </w:pPr>
    </w:p>
    <w:p w14:paraId="216D577A" w14:textId="77777777" w:rsidR="00722E5E" w:rsidRPr="007541DA" w:rsidRDefault="00722E5E" w:rsidP="00722E5E">
      <w:pPr>
        <w:spacing w:line="240" w:lineRule="auto"/>
        <w:rPr>
          <w:rFonts w:eastAsia="SimSun"/>
          <w:snapToGrid/>
          <w:sz w:val="20"/>
          <w:lang w:eastAsia="zh-CN"/>
        </w:rPr>
      </w:pPr>
      <w:r w:rsidRPr="007541DA">
        <w:rPr>
          <w:rFonts w:eastAsia="SimSun"/>
          <w:snapToGrid/>
          <w:sz w:val="20"/>
          <w:lang w:eastAsia="zh-CN"/>
        </w:rPr>
        <w:t>Rizikos grupė: Atvejai</w:t>
      </w:r>
    </w:p>
    <w:p w14:paraId="7AC1B9DC" w14:textId="77777777" w:rsidR="00722E5E" w:rsidRPr="007541DA" w:rsidRDefault="00722E5E" w:rsidP="00722E5E">
      <w:pPr>
        <w:spacing w:line="240" w:lineRule="auto"/>
        <w:rPr>
          <w:rFonts w:eastAsia="SimSun"/>
          <w:snapToGrid/>
          <w:sz w:val="20"/>
          <w:lang w:eastAsia="zh-CN"/>
        </w:rPr>
      </w:pPr>
      <w:r w:rsidRPr="007541DA">
        <w:rPr>
          <w:rFonts w:eastAsia="SimSun"/>
          <w:snapToGrid/>
          <w:sz w:val="20"/>
          <w:lang w:eastAsia="zh-CN"/>
        </w:rPr>
        <w:t>(1) 199:0 190:2 188:2 183:6 176:8 156:10 140:11 105:14 87:18 64:22 46:23 27:25 20:25 2:25 0:25</w:t>
      </w:r>
    </w:p>
    <w:p w14:paraId="75042541" w14:textId="77777777" w:rsidR="00722E5E" w:rsidRPr="007541DA" w:rsidRDefault="00722E5E" w:rsidP="00722E5E">
      <w:pPr>
        <w:spacing w:line="240" w:lineRule="auto"/>
        <w:rPr>
          <w:rFonts w:eastAsia="SimSun"/>
          <w:snapToGrid/>
          <w:sz w:val="20"/>
          <w:lang w:eastAsia="zh-CN"/>
        </w:rPr>
      </w:pPr>
      <w:r w:rsidRPr="007541DA">
        <w:rPr>
          <w:rFonts w:eastAsia="SimSun"/>
          <w:snapToGrid/>
          <w:sz w:val="20"/>
          <w:lang w:eastAsia="zh-CN"/>
        </w:rPr>
        <w:t>(2) 198:0 196:0 192:0 187:4 184:5 164:7 152:7 119:8 100:8 76:10 56:11 31:11 13:12 0:12</w:t>
      </w:r>
    </w:p>
    <w:p w14:paraId="3B162407" w14:textId="77777777" w:rsidR="000C02AC" w:rsidRDefault="000C02AC" w:rsidP="00722E5E">
      <w:pPr>
        <w:spacing w:line="240" w:lineRule="auto"/>
        <w:rPr>
          <w:rFonts w:eastAsia="SimSun"/>
          <w:snapToGrid/>
          <w:szCs w:val="22"/>
          <w:lang w:eastAsia="zh-CN"/>
        </w:rPr>
      </w:pPr>
    </w:p>
    <w:p w14:paraId="5B70EC4B" w14:textId="77777777" w:rsidR="00722E5E" w:rsidRPr="00722E5E" w:rsidRDefault="00722E5E" w:rsidP="00722E5E">
      <w:pPr>
        <w:spacing w:line="240" w:lineRule="auto"/>
        <w:rPr>
          <w:rFonts w:eastAsia="SimSun"/>
          <w:snapToGrid/>
          <w:szCs w:val="22"/>
          <w:lang w:eastAsia="zh-CN"/>
        </w:rPr>
      </w:pPr>
      <w:r w:rsidRPr="00722E5E">
        <w:rPr>
          <w:rFonts w:eastAsia="SimSun"/>
          <w:snapToGrid/>
          <w:szCs w:val="22"/>
          <w:lang w:eastAsia="zh-CN"/>
        </w:rPr>
        <w:t xml:space="preserve">Kontroliuojamųjų klinikinių tyrimų </w:t>
      </w:r>
      <w:r w:rsidR="000C02AC">
        <w:rPr>
          <w:rFonts w:eastAsia="SimSun"/>
          <w:snapToGrid/>
          <w:szCs w:val="22"/>
          <w:lang w:eastAsia="zh-CN"/>
        </w:rPr>
        <w:t xml:space="preserve">pediatriniams pacientams, kuriems yra </w:t>
      </w:r>
      <w:r w:rsidRPr="00722E5E">
        <w:rPr>
          <w:rFonts w:eastAsia="SimSun"/>
          <w:snapToGrid/>
          <w:szCs w:val="22"/>
          <w:lang w:eastAsia="zh-CN"/>
        </w:rPr>
        <w:t>su c-</w:t>
      </w:r>
      <w:proofErr w:type="spellStart"/>
      <w:r w:rsidRPr="00722E5E">
        <w:rPr>
          <w:rFonts w:eastAsia="SimSun"/>
          <w:snapToGrid/>
          <w:szCs w:val="22"/>
          <w:lang w:eastAsia="zh-CN"/>
        </w:rPr>
        <w:t>Kit</w:t>
      </w:r>
      <w:proofErr w:type="spellEnd"/>
      <w:r w:rsidRPr="00722E5E">
        <w:rPr>
          <w:rFonts w:eastAsia="SimSun"/>
          <w:snapToGrid/>
          <w:szCs w:val="22"/>
          <w:lang w:eastAsia="zh-CN"/>
        </w:rPr>
        <w:t xml:space="preserve"> teigiamas VTSN</w:t>
      </w:r>
      <w:r w:rsidR="000C02AC">
        <w:rPr>
          <w:rFonts w:eastAsia="SimSun"/>
          <w:snapToGrid/>
          <w:szCs w:val="22"/>
          <w:lang w:eastAsia="zh-CN"/>
        </w:rPr>
        <w:t>,</w:t>
      </w:r>
      <w:r w:rsidRPr="00722E5E">
        <w:rPr>
          <w:rFonts w:eastAsia="SimSun"/>
          <w:snapToGrid/>
          <w:szCs w:val="22"/>
          <w:lang w:eastAsia="zh-CN"/>
        </w:rPr>
        <w:t xml:space="preserve"> neatlikta.7 literatūros šaltiniuose aprašyta 17 pacientų, sirgusių VTSN (su nustatytomis </w:t>
      </w:r>
      <w:proofErr w:type="spellStart"/>
      <w:r w:rsidRPr="00722E5E">
        <w:rPr>
          <w:rFonts w:eastAsia="SimSun"/>
          <w:snapToGrid/>
          <w:szCs w:val="22"/>
          <w:lang w:eastAsia="zh-CN"/>
        </w:rPr>
        <w:t>Kit</w:t>
      </w:r>
      <w:proofErr w:type="spellEnd"/>
      <w:r w:rsidRPr="00722E5E">
        <w:rPr>
          <w:rFonts w:eastAsia="SimSun"/>
          <w:snapToGrid/>
          <w:szCs w:val="22"/>
          <w:lang w:eastAsia="zh-CN"/>
        </w:rPr>
        <w:t xml:space="preserve"> ir PDGFR genų</w:t>
      </w:r>
      <w:r w:rsidR="000C02AC">
        <w:rPr>
          <w:rFonts w:eastAsia="SimSun"/>
          <w:snapToGrid/>
          <w:szCs w:val="22"/>
          <w:lang w:eastAsia="zh-CN"/>
        </w:rPr>
        <w:t xml:space="preserve"> </w:t>
      </w:r>
      <w:r w:rsidRPr="00722E5E">
        <w:rPr>
          <w:rFonts w:eastAsia="SimSun"/>
          <w:snapToGrid/>
          <w:szCs w:val="22"/>
          <w:lang w:eastAsia="zh-CN"/>
        </w:rPr>
        <w:t>mutacijomis arba be jų). Šių pacientų amžius svyravo nuo 8 metų iki 18 metų, jiems buvo skiriamos</w:t>
      </w:r>
      <w:r w:rsidR="000C02AC">
        <w:rPr>
          <w:rFonts w:eastAsia="SimSun"/>
          <w:snapToGrid/>
          <w:szCs w:val="22"/>
          <w:lang w:eastAsia="zh-CN"/>
        </w:rPr>
        <w:t xml:space="preserve"> </w:t>
      </w:r>
      <w:proofErr w:type="spellStart"/>
      <w:r w:rsidRPr="00722E5E">
        <w:rPr>
          <w:rFonts w:eastAsia="SimSun"/>
          <w:snapToGrid/>
          <w:szCs w:val="22"/>
          <w:lang w:eastAsia="zh-CN"/>
        </w:rPr>
        <w:t>imatinibo</w:t>
      </w:r>
      <w:proofErr w:type="spellEnd"/>
      <w:r w:rsidRPr="00722E5E">
        <w:rPr>
          <w:rFonts w:eastAsia="SimSun"/>
          <w:snapToGrid/>
          <w:szCs w:val="22"/>
          <w:lang w:eastAsia="zh-CN"/>
        </w:rPr>
        <w:t xml:space="preserve"> (kaip </w:t>
      </w:r>
      <w:proofErr w:type="spellStart"/>
      <w:r w:rsidRPr="00722E5E">
        <w:rPr>
          <w:rFonts w:eastAsia="SimSun"/>
          <w:snapToGrid/>
          <w:szCs w:val="22"/>
          <w:lang w:eastAsia="zh-CN"/>
        </w:rPr>
        <w:t>adjuvanto</w:t>
      </w:r>
      <w:proofErr w:type="spellEnd"/>
      <w:r w:rsidRPr="00722E5E">
        <w:rPr>
          <w:rFonts w:eastAsia="SimSun"/>
          <w:snapToGrid/>
          <w:szCs w:val="22"/>
          <w:lang w:eastAsia="zh-CN"/>
        </w:rPr>
        <w:t xml:space="preserve"> arba </w:t>
      </w:r>
      <w:proofErr w:type="spellStart"/>
      <w:r w:rsidRPr="00722E5E">
        <w:rPr>
          <w:rFonts w:eastAsia="SimSun"/>
          <w:snapToGrid/>
          <w:szCs w:val="22"/>
          <w:lang w:eastAsia="zh-CN"/>
        </w:rPr>
        <w:t>metastazinės</w:t>
      </w:r>
      <w:proofErr w:type="spellEnd"/>
      <w:r w:rsidRPr="00722E5E">
        <w:rPr>
          <w:rFonts w:eastAsia="SimSun"/>
          <w:snapToGrid/>
          <w:szCs w:val="22"/>
          <w:lang w:eastAsia="zh-CN"/>
        </w:rPr>
        <w:t xml:space="preserve"> ligos gydymo sudėtinė dalis) dozės nuo 300</w:t>
      </w:r>
      <w:r w:rsidR="000C02AC">
        <w:rPr>
          <w:rFonts w:eastAsia="SimSun"/>
          <w:snapToGrid/>
          <w:szCs w:val="22"/>
          <w:lang w:eastAsia="zh-CN"/>
        </w:rPr>
        <w:t> </w:t>
      </w:r>
      <w:r w:rsidRPr="00722E5E">
        <w:rPr>
          <w:rFonts w:eastAsia="SimSun"/>
          <w:snapToGrid/>
          <w:szCs w:val="22"/>
          <w:lang w:eastAsia="zh-CN"/>
        </w:rPr>
        <w:t>mg iki</w:t>
      </w:r>
      <w:r w:rsidR="000C02AC">
        <w:rPr>
          <w:rFonts w:eastAsia="SimSun"/>
          <w:snapToGrid/>
          <w:szCs w:val="22"/>
          <w:lang w:eastAsia="zh-CN"/>
        </w:rPr>
        <w:t xml:space="preserve"> </w:t>
      </w:r>
      <w:r w:rsidRPr="00722E5E">
        <w:rPr>
          <w:rFonts w:eastAsia="SimSun"/>
          <w:snapToGrid/>
          <w:szCs w:val="22"/>
          <w:lang w:eastAsia="zh-CN"/>
        </w:rPr>
        <w:t>800 mg per parą. Daug</w:t>
      </w:r>
      <w:r w:rsidR="000C02AC">
        <w:rPr>
          <w:rFonts w:eastAsia="SimSun"/>
          <w:snapToGrid/>
          <w:szCs w:val="22"/>
          <w:lang w:eastAsia="zh-CN"/>
        </w:rPr>
        <w:t>umai pediatrinių pacientų</w:t>
      </w:r>
      <w:r w:rsidRPr="00722E5E">
        <w:rPr>
          <w:rFonts w:eastAsia="SimSun"/>
          <w:snapToGrid/>
          <w:szCs w:val="22"/>
          <w:lang w:eastAsia="zh-CN"/>
        </w:rPr>
        <w:t>, kurie buvo gydomi nuo VTSN, trūko duomenų</w:t>
      </w:r>
      <w:r w:rsidR="00A5672C">
        <w:rPr>
          <w:rFonts w:eastAsia="SimSun"/>
          <w:snapToGrid/>
          <w:szCs w:val="22"/>
          <w:lang w:eastAsia="zh-CN"/>
        </w:rPr>
        <w:t>, patvirtinančių</w:t>
      </w:r>
      <w:r w:rsidRPr="00722E5E">
        <w:rPr>
          <w:rFonts w:eastAsia="SimSun"/>
          <w:snapToGrid/>
          <w:szCs w:val="22"/>
          <w:lang w:eastAsia="zh-CN"/>
        </w:rPr>
        <w:t xml:space="preserve"> c-</w:t>
      </w:r>
      <w:proofErr w:type="spellStart"/>
      <w:r w:rsidR="00A5672C">
        <w:rPr>
          <w:rFonts w:eastAsia="SimSun"/>
          <w:snapToGrid/>
          <w:szCs w:val="22"/>
          <w:lang w:eastAsia="zh-CN"/>
        </w:rPr>
        <w:t>k</w:t>
      </w:r>
      <w:r w:rsidRPr="00722E5E">
        <w:rPr>
          <w:rFonts w:eastAsia="SimSun"/>
          <w:snapToGrid/>
          <w:szCs w:val="22"/>
          <w:lang w:eastAsia="zh-CN"/>
        </w:rPr>
        <w:t>it</w:t>
      </w:r>
      <w:proofErr w:type="spellEnd"/>
      <w:r w:rsidR="00A5672C">
        <w:rPr>
          <w:rFonts w:eastAsia="SimSun"/>
          <w:snapToGrid/>
          <w:szCs w:val="22"/>
          <w:lang w:eastAsia="zh-CN"/>
        </w:rPr>
        <w:t xml:space="preserve"> </w:t>
      </w:r>
      <w:r w:rsidRPr="00722E5E">
        <w:rPr>
          <w:rFonts w:eastAsia="SimSun"/>
          <w:snapToGrid/>
          <w:szCs w:val="22"/>
          <w:lang w:eastAsia="zh-CN"/>
        </w:rPr>
        <w:t xml:space="preserve">arba PDGFR genų mutacijas, todėl tai galėjo lemti </w:t>
      </w:r>
      <w:r w:rsidR="00A5672C">
        <w:rPr>
          <w:rFonts w:eastAsia="SimSun"/>
          <w:snapToGrid/>
          <w:szCs w:val="22"/>
          <w:lang w:eastAsia="zh-CN"/>
        </w:rPr>
        <w:t>įvairius klinikinius rezultatus.</w:t>
      </w:r>
    </w:p>
    <w:p w14:paraId="1625EB97" w14:textId="77777777" w:rsidR="00D52FB2" w:rsidRPr="00CE7679" w:rsidRDefault="00D52FB2" w:rsidP="00A27597">
      <w:pPr>
        <w:spacing w:line="240" w:lineRule="auto"/>
        <w:rPr>
          <w:rFonts w:eastAsia="SimSun"/>
          <w:snapToGrid/>
          <w:szCs w:val="22"/>
          <w:lang w:eastAsia="zh-CN"/>
        </w:rPr>
      </w:pPr>
    </w:p>
    <w:p w14:paraId="47CBBA60" w14:textId="77777777" w:rsidR="00A27597" w:rsidRPr="00CE7679" w:rsidRDefault="00A27597" w:rsidP="00A27597">
      <w:pPr>
        <w:spacing w:line="240" w:lineRule="auto"/>
        <w:rPr>
          <w:rFonts w:eastAsia="SimSun"/>
          <w:snapToGrid/>
          <w:szCs w:val="22"/>
          <w:u w:val="single"/>
          <w:lang w:eastAsia="zh-CN"/>
        </w:rPr>
      </w:pPr>
      <w:r w:rsidRPr="00CE7679">
        <w:rPr>
          <w:rFonts w:eastAsia="SimSun"/>
          <w:snapToGrid/>
          <w:szCs w:val="22"/>
          <w:u w:val="single"/>
          <w:lang w:eastAsia="zh-CN"/>
        </w:rPr>
        <w:t xml:space="preserve">DFSP klinikiniai tyrimai </w:t>
      </w:r>
    </w:p>
    <w:p w14:paraId="6DB9C964" w14:textId="77777777" w:rsidR="00A27597" w:rsidRPr="00CE7679" w:rsidRDefault="00A27597" w:rsidP="00A27597">
      <w:pPr>
        <w:spacing w:line="240" w:lineRule="auto"/>
        <w:rPr>
          <w:rFonts w:eastAsia="SimSun"/>
          <w:snapToGrid/>
          <w:szCs w:val="22"/>
          <w:lang w:eastAsia="zh-CN"/>
        </w:rPr>
      </w:pPr>
      <w:r w:rsidRPr="00CE7679">
        <w:rPr>
          <w:rFonts w:eastAsia="SimSun"/>
          <w:snapToGrid/>
          <w:szCs w:val="22"/>
          <w:lang w:eastAsia="zh-CN"/>
        </w:rPr>
        <w:t xml:space="preserve">Viename II fazės, atvirame, </w:t>
      </w:r>
      <w:proofErr w:type="spellStart"/>
      <w:r w:rsidRPr="00CE7679">
        <w:rPr>
          <w:rFonts w:eastAsia="SimSun"/>
          <w:snapToGrid/>
          <w:szCs w:val="22"/>
          <w:lang w:eastAsia="zh-CN"/>
        </w:rPr>
        <w:t>daugiacentriniame</w:t>
      </w:r>
      <w:proofErr w:type="spellEnd"/>
      <w:r w:rsidRPr="00CE7679">
        <w:rPr>
          <w:rFonts w:eastAsia="SimSun"/>
          <w:snapToGrid/>
          <w:szCs w:val="22"/>
          <w:lang w:eastAsia="zh-CN"/>
        </w:rPr>
        <w:t>, klinikiniame tyrime (tyrimas B2225) dalyvavo 12</w:t>
      </w:r>
      <w:r w:rsidR="001258C1" w:rsidRPr="00CE7679">
        <w:rPr>
          <w:rFonts w:eastAsia="SimSun"/>
          <w:snapToGrid/>
          <w:szCs w:val="22"/>
          <w:lang w:eastAsia="zh-CN"/>
        </w:rPr>
        <w:t> </w:t>
      </w:r>
      <w:r w:rsidRPr="00CE7679">
        <w:rPr>
          <w:rFonts w:eastAsia="SimSun"/>
          <w:snapToGrid/>
          <w:szCs w:val="22"/>
          <w:lang w:eastAsia="zh-CN"/>
        </w:rPr>
        <w:t xml:space="preserve">DFSP sergančių pacientų, vartojusių 800 mg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paros dozę. DFSP sirgusių pacientų amžius buvo nuo 23 iki 75</w:t>
      </w:r>
      <w:r w:rsidR="001258C1" w:rsidRPr="00CE7679">
        <w:rPr>
          <w:rFonts w:eastAsia="SimSun"/>
          <w:snapToGrid/>
          <w:szCs w:val="22"/>
          <w:lang w:eastAsia="zh-CN"/>
        </w:rPr>
        <w:t> </w:t>
      </w:r>
      <w:r w:rsidRPr="00CE7679">
        <w:rPr>
          <w:rFonts w:eastAsia="SimSun"/>
          <w:snapToGrid/>
          <w:szCs w:val="22"/>
          <w:lang w:eastAsia="zh-CN"/>
        </w:rPr>
        <w:t xml:space="preserve">metų; įtraukimo į tyrimą metu pacientai sirgo </w:t>
      </w:r>
      <w:proofErr w:type="spellStart"/>
      <w:r w:rsidRPr="00CE7679">
        <w:rPr>
          <w:rFonts w:eastAsia="SimSun"/>
          <w:snapToGrid/>
          <w:szCs w:val="22"/>
          <w:lang w:eastAsia="zh-CN"/>
        </w:rPr>
        <w:t>metastazavusia</w:t>
      </w:r>
      <w:proofErr w:type="spellEnd"/>
      <w:r w:rsidRPr="00CE7679">
        <w:rPr>
          <w:rFonts w:eastAsia="SimSun"/>
          <w:snapToGrid/>
          <w:szCs w:val="22"/>
          <w:lang w:eastAsia="zh-CN"/>
        </w:rPr>
        <w:t xml:space="preserve"> DFSP, vietiškai </w:t>
      </w:r>
      <w:proofErr w:type="spellStart"/>
      <w:r w:rsidRPr="00CE7679">
        <w:rPr>
          <w:rFonts w:eastAsia="SimSun"/>
          <w:snapToGrid/>
          <w:szCs w:val="22"/>
          <w:lang w:eastAsia="zh-CN"/>
        </w:rPr>
        <w:t>recidyvavusia</w:t>
      </w:r>
      <w:proofErr w:type="spellEnd"/>
      <w:r w:rsidRPr="00CE7679">
        <w:rPr>
          <w:rFonts w:eastAsia="SimSun"/>
          <w:snapToGrid/>
          <w:szCs w:val="22"/>
          <w:lang w:eastAsia="zh-CN"/>
        </w:rPr>
        <w:t xml:space="preserve"> po pirminės </w:t>
      </w:r>
      <w:proofErr w:type="spellStart"/>
      <w:r w:rsidRPr="00CE7679">
        <w:rPr>
          <w:rFonts w:eastAsia="SimSun"/>
          <w:snapToGrid/>
          <w:szCs w:val="22"/>
          <w:lang w:eastAsia="zh-CN"/>
        </w:rPr>
        <w:t>rezekcijos</w:t>
      </w:r>
      <w:proofErr w:type="spellEnd"/>
      <w:r w:rsidRPr="00CE7679">
        <w:rPr>
          <w:rFonts w:eastAsia="SimSun"/>
          <w:snapToGrid/>
          <w:szCs w:val="22"/>
          <w:lang w:eastAsia="zh-CN"/>
        </w:rPr>
        <w:t xml:space="preserve"> ir, kai nebuvo tikimasi, kad kartotinė </w:t>
      </w:r>
      <w:proofErr w:type="spellStart"/>
      <w:r w:rsidRPr="00CE7679">
        <w:rPr>
          <w:rFonts w:eastAsia="SimSun"/>
          <w:snapToGrid/>
          <w:szCs w:val="22"/>
          <w:lang w:eastAsia="zh-CN"/>
        </w:rPr>
        <w:t>rezekcija</w:t>
      </w:r>
      <w:proofErr w:type="spellEnd"/>
      <w:r w:rsidRPr="00CE7679">
        <w:rPr>
          <w:rFonts w:eastAsia="SimSun"/>
          <w:snapToGrid/>
          <w:szCs w:val="22"/>
          <w:lang w:eastAsia="zh-CN"/>
        </w:rPr>
        <w:t xml:space="preserve"> bus naudinga. Pagrindiniai veiksmingumo duomenys buvo pagrįsti objektyvaus atsako dažniu. Iš 12 tirtų pacientų 9 buvo gautas atsakas, vienam – pilnas, o 8 - dalinis. Trims pacientams iš tų, kuriems buvo gautas dalinis atsakas, navikas pašalintas operacijos metu. Gydymo trukmės mediana B2225 tyrimo metu buvo 6,2</w:t>
      </w:r>
      <w:r w:rsidR="001258C1" w:rsidRPr="00CE7679">
        <w:rPr>
          <w:rFonts w:eastAsia="SimSun"/>
          <w:snapToGrid/>
          <w:szCs w:val="22"/>
          <w:lang w:eastAsia="zh-CN"/>
        </w:rPr>
        <w:t> </w:t>
      </w:r>
      <w:r w:rsidRPr="00CE7679">
        <w:rPr>
          <w:rFonts w:eastAsia="SimSun"/>
          <w:snapToGrid/>
          <w:szCs w:val="22"/>
          <w:lang w:eastAsia="zh-CN"/>
        </w:rPr>
        <w:t>mėnesio, o didžiausia trukmė - 24,3</w:t>
      </w:r>
      <w:r w:rsidR="001258C1" w:rsidRPr="00CE7679">
        <w:rPr>
          <w:rFonts w:eastAsia="SimSun"/>
          <w:snapToGrid/>
          <w:szCs w:val="22"/>
          <w:lang w:eastAsia="zh-CN"/>
        </w:rPr>
        <w:t> </w:t>
      </w:r>
      <w:r w:rsidRPr="00CE7679">
        <w:rPr>
          <w:rFonts w:eastAsia="SimSun"/>
          <w:snapToGrid/>
          <w:szCs w:val="22"/>
          <w:lang w:eastAsia="zh-CN"/>
        </w:rPr>
        <w:t xml:space="preserve">mėnesio. Dar 6 DFSP sirgusių ir </w:t>
      </w:r>
      <w:proofErr w:type="spellStart"/>
      <w:r w:rsidRPr="00CE7679">
        <w:rPr>
          <w:rFonts w:eastAsia="SimSun"/>
          <w:snapToGrid/>
          <w:szCs w:val="22"/>
          <w:lang w:eastAsia="zh-CN"/>
        </w:rPr>
        <w:t>imatinibu</w:t>
      </w:r>
      <w:proofErr w:type="spellEnd"/>
      <w:r w:rsidRPr="00CE7679">
        <w:rPr>
          <w:rFonts w:eastAsia="SimSun"/>
          <w:snapToGrid/>
          <w:szCs w:val="22"/>
          <w:lang w:eastAsia="zh-CN"/>
        </w:rPr>
        <w:t xml:space="preserve"> gydytų pacientų ligos istorijos nagrinėtos 5 paskelbtuose klinikinių atvejų aprašymuose, jų amžius svyravo nuo 18</w:t>
      </w:r>
      <w:r w:rsidR="001258C1" w:rsidRPr="00CE7679">
        <w:rPr>
          <w:rFonts w:eastAsia="SimSun"/>
          <w:snapToGrid/>
          <w:szCs w:val="22"/>
          <w:lang w:eastAsia="zh-CN"/>
        </w:rPr>
        <w:t> </w:t>
      </w:r>
      <w:r w:rsidRPr="00CE7679">
        <w:rPr>
          <w:rFonts w:eastAsia="SimSun"/>
          <w:snapToGrid/>
          <w:szCs w:val="22"/>
          <w:lang w:eastAsia="zh-CN"/>
        </w:rPr>
        <w:t>mėnesių iki 49</w:t>
      </w:r>
      <w:r w:rsidR="001258C1" w:rsidRPr="00CE7679">
        <w:rPr>
          <w:rFonts w:eastAsia="SimSun"/>
          <w:snapToGrid/>
          <w:szCs w:val="22"/>
          <w:lang w:eastAsia="zh-CN"/>
        </w:rPr>
        <w:t> </w:t>
      </w:r>
      <w:r w:rsidRPr="00CE7679">
        <w:rPr>
          <w:rFonts w:eastAsia="SimSun"/>
          <w:snapToGrid/>
          <w:szCs w:val="22"/>
          <w:lang w:eastAsia="zh-CN"/>
        </w:rPr>
        <w:t>metų. Iš viso dėl DFSP buvo gydyta 18</w:t>
      </w:r>
      <w:r w:rsidR="001258C1" w:rsidRPr="00CE7679">
        <w:rPr>
          <w:rFonts w:eastAsia="SimSun"/>
          <w:snapToGrid/>
          <w:szCs w:val="22"/>
          <w:lang w:eastAsia="zh-CN"/>
        </w:rPr>
        <w:t> </w:t>
      </w:r>
      <w:r w:rsidRPr="00CE7679">
        <w:rPr>
          <w:rFonts w:eastAsia="SimSun"/>
          <w:snapToGrid/>
          <w:szCs w:val="22"/>
          <w:lang w:eastAsia="zh-CN"/>
        </w:rPr>
        <w:t>pacientų, aštuoniems iš jų buvo metastazių. Literatūroje aprašyti suaugę pacientai vartojo arba 400 mg (4</w:t>
      </w:r>
      <w:r w:rsidR="001258C1" w:rsidRPr="00CE7679">
        <w:rPr>
          <w:rFonts w:eastAsia="SimSun"/>
          <w:snapToGrid/>
          <w:szCs w:val="22"/>
          <w:lang w:eastAsia="zh-CN"/>
        </w:rPr>
        <w:t> </w:t>
      </w:r>
      <w:r w:rsidRPr="00CE7679">
        <w:rPr>
          <w:rFonts w:eastAsia="SimSun"/>
          <w:snapToGrid/>
          <w:szCs w:val="22"/>
          <w:lang w:eastAsia="zh-CN"/>
        </w:rPr>
        <w:t>atvejai), arba 800 mg (1</w:t>
      </w:r>
      <w:r w:rsidR="001258C1" w:rsidRPr="00CE7679">
        <w:rPr>
          <w:rFonts w:eastAsia="SimSun"/>
        </w:rPr>
        <w:t> </w:t>
      </w:r>
      <w:r w:rsidRPr="00CE7679">
        <w:rPr>
          <w:rFonts w:eastAsia="SimSun"/>
          <w:snapToGrid/>
          <w:szCs w:val="22"/>
          <w:lang w:eastAsia="zh-CN"/>
        </w:rPr>
        <w:t xml:space="preserve">atvejis)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paros dozę. Penkiems (5) pacientams buvo gautas atsakas, 3 – pilnas, o 2 - dalinis. Literatūroje skelbtų atvejų gydymo trukmės mediana buvo nuo 4</w:t>
      </w:r>
      <w:r w:rsidR="001258C1" w:rsidRPr="00CE7679">
        <w:rPr>
          <w:rFonts w:eastAsia="SimSun"/>
          <w:snapToGrid/>
          <w:szCs w:val="22"/>
          <w:lang w:eastAsia="zh-CN"/>
        </w:rPr>
        <w:t> </w:t>
      </w:r>
      <w:r w:rsidRPr="00CE7679">
        <w:rPr>
          <w:rFonts w:eastAsia="SimSun"/>
          <w:snapToGrid/>
          <w:szCs w:val="22"/>
          <w:lang w:eastAsia="zh-CN"/>
        </w:rPr>
        <w:t>savaičių iki daugiau kaip 20</w:t>
      </w:r>
      <w:r w:rsidR="001258C1" w:rsidRPr="00CE7679">
        <w:rPr>
          <w:rFonts w:eastAsia="SimSun"/>
          <w:snapToGrid/>
          <w:szCs w:val="22"/>
          <w:lang w:eastAsia="zh-CN"/>
        </w:rPr>
        <w:t> </w:t>
      </w:r>
      <w:r w:rsidRPr="00CE7679">
        <w:rPr>
          <w:rFonts w:eastAsia="SimSun"/>
          <w:snapToGrid/>
          <w:szCs w:val="22"/>
          <w:lang w:eastAsia="zh-CN"/>
        </w:rPr>
        <w:t xml:space="preserve">mėnesių. </w:t>
      </w:r>
      <w:proofErr w:type="spellStart"/>
      <w:r w:rsidRPr="00BE2E5B">
        <w:rPr>
          <w:rFonts w:eastAsia="SimSun"/>
          <w:snapToGrid/>
          <w:szCs w:val="22"/>
          <w:lang w:eastAsia="zh-CN"/>
        </w:rPr>
        <w:t>Translokacija</w:t>
      </w:r>
      <w:proofErr w:type="spellEnd"/>
      <w:r w:rsidRPr="00BE2E5B">
        <w:rPr>
          <w:rFonts w:eastAsia="SimSun"/>
          <w:snapToGrid/>
          <w:szCs w:val="22"/>
          <w:lang w:eastAsia="zh-CN"/>
        </w:rPr>
        <w:t xml:space="preserve"> t(17:22)[(q22:q13)] arba jos geno produktas buvo beveik visiems į gydymą </w:t>
      </w:r>
      <w:proofErr w:type="spellStart"/>
      <w:r w:rsidRPr="00BE2E5B">
        <w:rPr>
          <w:rFonts w:eastAsia="SimSun"/>
          <w:snapToGrid/>
          <w:szCs w:val="22"/>
          <w:lang w:eastAsia="zh-CN"/>
        </w:rPr>
        <w:t>imatinibu</w:t>
      </w:r>
      <w:proofErr w:type="spellEnd"/>
      <w:r w:rsidRPr="00BE2E5B">
        <w:rPr>
          <w:rFonts w:eastAsia="SimSun"/>
          <w:snapToGrid/>
          <w:szCs w:val="22"/>
          <w:lang w:eastAsia="zh-CN"/>
        </w:rPr>
        <w:t xml:space="preserve"> reagavusiems pacientams</w:t>
      </w:r>
      <w:r w:rsidRPr="00CE7679">
        <w:rPr>
          <w:rFonts w:eastAsia="SimSun"/>
          <w:snapToGrid/>
          <w:szCs w:val="22"/>
          <w:lang w:eastAsia="zh-CN"/>
        </w:rPr>
        <w:t xml:space="preserve">. </w:t>
      </w:r>
    </w:p>
    <w:p w14:paraId="0B6FFD57" w14:textId="77777777" w:rsidR="00A27597" w:rsidRPr="00CE7679" w:rsidRDefault="00A27597" w:rsidP="00A27597">
      <w:pPr>
        <w:spacing w:line="240" w:lineRule="auto"/>
        <w:rPr>
          <w:rFonts w:eastAsia="SimSun"/>
          <w:snapToGrid/>
          <w:szCs w:val="22"/>
          <w:lang w:eastAsia="zh-CN"/>
        </w:rPr>
      </w:pPr>
    </w:p>
    <w:p w14:paraId="62569765" w14:textId="77777777" w:rsidR="00A27597" w:rsidRPr="00CE7679" w:rsidRDefault="00A27597" w:rsidP="00A27597">
      <w:pPr>
        <w:spacing w:line="240" w:lineRule="auto"/>
        <w:rPr>
          <w:rFonts w:eastAsia="SimSun"/>
          <w:snapToGrid/>
          <w:szCs w:val="22"/>
          <w:lang w:eastAsia="zh-CN"/>
        </w:rPr>
      </w:pPr>
      <w:r w:rsidRPr="00CE7679">
        <w:rPr>
          <w:rFonts w:eastAsia="SimSun"/>
          <w:snapToGrid/>
          <w:szCs w:val="22"/>
          <w:lang w:eastAsia="zh-CN"/>
        </w:rPr>
        <w:t>Kontroliuojamųjų klinikinių tyrimų su DFSP sergančiais vaikais neatlikta. 3</w:t>
      </w:r>
      <w:r w:rsidR="001258C1" w:rsidRPr="00CE7679">
        <w:rPr>
          <w:rFonts w:eastAsia="SimSun"/>
          <w:snapToGrid/>
          <w:szCs w:val="22"/>
          <w:lang w:eastAsia="zh-CN"/>
        </w:rPr>
        <w:t> </w:t>
      </w:r>
      <w:r w:rsidRPr="00CE7679">
        <w:rPr>
          <w:rFonts w:eastAsia="SimSun"/>
          <w:snapToGrid/>
          <w:szCs w:val="22"/>
          <w:lang w:eastAsia="zh-CN"/>
        </w:rPr>
        <w:t>literatūros šaltiniuose aprašyti 5</w:t>
      </w:r>
      <w:r w:rsidR="001258C1" w:rsidRPr="00CE7679">
        <w:rPr>
          <w:rFonts w:eastAsia="SimSun"/>
          <w:snapToGrid/>
          <w:szCs w:val="22"/>
          <w:lang w:eastAsia="zh-CN"/>
        </w:rPr>
        <w:t> </w:t>
      </w:r>
      <w:r w:rsidRPr="00CE7679">
        <w:rPr>
          <w:rFonts w:eastAsia="SimSun"/>
          <w:snapToGrid/>
          <w:szCs w:val="22"/>
          <w:lang w:eastAsia="zh-CN"/>
        </w:rPr>
        <w:t>pacientai, kurie sirgo DFSP ir kuriems buvo nustatyta PDGFR geno persitvarkymų. Šių pacientų amžius svyravo nuo naujagimio iki 14</w:t>
      </w:r>
      <w:r w:rsidR="00EF69C8" w:rsidRPr="00CE7679">
        <w:rPr>
          <w:rFonts w:eastAsia="SimSun"/>
          <w:snapToGrid/>
          <w:szCs w:val="22"/>
          <w:lang w:eastAsia="zh-CN"/>
        </w:rPr>
        <w:t> </w:t>
      </w:r>
      <w:r w:rsidRPr="00CE7679">
        <w:rPr>
          <w:rFonts w:eastAsia="SimSun"/>
          <w:snapToGrid/>
          <w:szCs w:val="22"/>
          <w:lang w:eastAsia="zh-CN"/>
        </w:rPr>
        <w:t xml:space="preserve">metų, jiems buvo skiriama 50 mg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paros dozė arba nuo 400 mg/m</w:t>
      </w:r>
      <w:r w:rsidRPr="00CE7679">
        <w:rPr>
          <w:rFonts w:eastAsia="SimSun"/>
          <w:snapToGrid/>
          <w:szCs w:val="22"/>
          <w:vertAlign w:val="superscript"/>
          <w:lang w:eastAsia="zh-CN"/>
        </w:rPr>
        <w:t>2</w:t>
      </w:r>
      <w:r w:rsidRPr="00CE7679">
        <w:rPr>
          <w:rFonts w:eastAsia="SimSun"/>
          <w:snapToGrid/>
          <w:szCs w:val="22"/>
          <w:lang w:eastAsia="zh-CN"/>
        </w:rPr>
        <w:t xml:space="preserve"> iki 520 mg/m</w:t>
      </w:r>
      <w:r w:rsidRPr="00CE7679">
        <w:rPr>
          <w:rFonts w:eastAsia="SimSun"/>
          <w:snapToGrid/>
          <w:szCs w:val="22"/>
          <w:vertAlign w:val="superscript"/>
          <w:lang w:eastAsia="zh-CN"/>
        </w:rPr>
        <w:t>2</w:t>
      </w:r>
      <w:r w:rsidRPr="00CE7679">
        <w:rPr>
          <w:rFonts w:eastAsia="SimSun"/>
          <w:snapToGrid/>
          <w:szCs w:val="22"/>
          <w:lang w:eastAsia="zh-CN"/>
        </w:rPr>
        <w:t xml:space="preserve"> kūno paviršiaus ploto paros dozė. Visiems pacientams pasiektas dalinis ir (arba) visiškas atsakas.</w:t>
      </w:r>
    </w:p>
    <w:p w14:paraId="2EFADEA6" w14:textId="77777777" w:rsidR="00A27597" w:rsidRPr="00CE7679" w:rsidRDefault="00A27597" w:rsidP="00A27597">
      <w:pPr>
        <w:spacing w:line="240" w:lineRule="auto"/>
        <w:rPr>
          <w:rFonts w:eastAsia="SimSun"/>
          <w:snapToGrid/>
          <w:szCs w:val="22"/>
          <w:lang w:eastAsia="zh-CN"/>
        </w:rPr>
      </w:pPr>
    </w:p>
    <w:p w14:paraId="693C61CA" w14:textId="77777777" w:rsidR="00A27597" w:rsidRPr="00CE7679" w:rsidRDefault="00A27597" w:rsidP="00A27597">
      <w:pPr>
        <w:keepNext/>
        <w:spacing w:line="240" w:lineRule="auto"/>
        <w:jc w:val="both"/>
        <w:outlineLvl w:val="3"/>
        <w:rPr>
          <w:rFonts w:eastAsia="SimSun"/>
          <w:b/>
          <w:snapToGrid/>
          <w:szCs w:val="22"/>
        </w:rPr>
      </w:pPr>
      <w:r w:rsidRPr="00CE7679">
        <w:rPr>
          <w:rFonts w:eastAsia="SimSun"/>
          <w:b/>
          <w:snapToGrid/>
          <w:szCs w:val="22"/>
        </w:rPr>
        <w:t>5.2</w:t>
      </w:r>
      <w:r w:rsidRPr="00CE7679">
        <w:rPr>
          <w:rFonts w:eastAsia="SimSun"/>
          <w:b/>
          <w:snapToGrid/>
          <w:szCs w:val="22"/>
        </w:rPr>
        <w:tab/>
      </w:r>
      <w:proofErr w:type="spellStart"/>
      <w:r w:rsidRPr="00CE7679">
        <w:rPr>
          <w:rFonts w:eastAsia="SimSun"/>
          <w:b/>
          <w:snapToGrid/>
          <w:szCs w:val="22"/>
        </w:rPr>
        <w:t>Farmakokinetinės</w:t>
      </w:r>
      <w:proofErr w:type="spellEnd"/>
      <w:r w:rsidRPr="00CE7679">
        <w:rPr>
          <w:rFonts w:eastAsia="SimSun"/>
          <w:b/>
          <w:snapToGrid/>
          <w:szCs w:val="22"/>
        </w:rPr>
        <w:t xml:space="preserve"> savybės</w:t>
      </w:r>
    </w:p>
    <w:p w14:paraId="4C807A45" w14:textId="77777777" w:rsidR="00A27597" w:rsidRPr="00CE7679" w:rsidRDefault="00A27597" w:rsidP="00A27597">
      <w:pPr>
        <w:spacing w:line="240" w:lineRule="auto"/>
        <w:rPr>
          <w:rFonts w:eastAsia="SimSun"/>
          <w:snapToGrid/>
          <w:szCs w:val="22"/>
          <w:lang w:eastAsia="zh-CN"/>
        </w:rPr>
      </w:pPr>
    </w:p>
    <w:p w14:paraId="77DF7484"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roofErr w:type="spellStart"/>
      <w:r w:rsidRPr="00CE7679">
        <w:rPr>
          <w:rFonts w:eastAsia="SimSun"/>
          <w:snapToGrid/>
          <w:szCs w:val="22"/>
          <w:u w:val="single"/>
          <w:lang w:eastAsia="zh-CN"/>
        </w:rPr>
        <w:t>Imatinibo</w:t>
      </w:r>
      <w:proofErr w:type="spellEnd"/>
      <w:r w:rsidRPr="00CE7679">
        <w:rPr>
          <w:rFonts w:eastAsia="SimSun"/>
          <w:snapToGrid/>
          <w:szCs w:val="22"/>
          <w:u w:val="single"/>
          <w:lang w:eastAsia="zh-CN"/>
        </w:rPr>
        <w:t xml:space="preserve"> farmakokinetika</w:t>
      </w:r>
    </w:p>
    <w:p w14:paraId="5285E8C8" w14:textId="45B34681" w:rsidR="00A27597" w:rsidRPr="00CE7679" w:rsidRDefault="00A27597" w:rsidP="00A27597">
      <w:pPr>
        <w:widowControl w:val="0"/>
        <w:autoSpaceDE w:val="0"/>
        <w:autoSpaceDN w:val="0"/>
        <w:adjustRightInd w:val="0"/>
        <w:spacing w:line="240" w:lineRule="auto"/>
        <w:rPr>
          <w:rFonts w:eastAsia="SimSun"/>
          <w:snapToGrid/>
          <w:szCs w:val="22"/>
          <w:lang w:eastAsia="zh-CN"/>
        </w:rPr>
      </w:pP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farmakokinetika įvertinta nuo 25 mg iki 1</w:t>
      </w:r>
      <w:r w:rsidR="001E28ED">
        <w:rPr>
          <w:rFonts w:eastAsia="SimSun"/>
          <w:snapToGrid/>
          <w:szCs w:val="22"/>
          <w:lang w:eastAsia="zh-CN"/>
        </w:rPr>
        <w:t xml:space="preserve"> </w:t>
      </w:r>
      <w:r w:rsidRPr="00CE7679">
        <w:rPr>
          <w:rFonts w:eastAsia="SimSun"/>
          <w:snapToGrid/>
          <w:szCs w:val="22"/>
          <w:lang w:eastAsia="zh-CN"/>
        </w:rPr>
        <w:t xml:space="preserve">000 mg dozavimo intervale. Farmakokinetikos plazmoje pobūdis buvo analizuojamas 1-ąją dieną ir arba 7-ąją, arba 28-ąją dieną, kai plazmoje nusistovi </w:t>
      </w:r>
      <w:proofErr w:type="spellStart"/>
      <w:r w:rsidRPr="00CE7679">
        <w:rPr>
          <w:rFonts w:eastAsia="SimSun"/>
          <w:snapToGrid/>
          <w:szCs w:val="22"/>
          <w:lang w:eastAsia="zh-CN"/>
        </w:rPr>
        <w:t>pusiausvyrinė</w:t>
      </w:r>
      <w:proofErr w:type="spellEnd"/>
      <w:r w:rsidRPr="00CE7679">
        <w:rPr>
          <w:rFonts w:eastAsia="SimSun"/>
          <w:snapToGrid/>
          <w:szCs w:val="22"/>
          <w:lang w:eastAsia="zh-CN"/>
        </w:rPr>
        <w:t xml:space="preserve"> apykaita.</w:t>
      </w:r>
    </w:p>
    <w:p w14:paraId="7640322B"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17D1A2F2"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u w:val="single"/>
          <w:lang w:eastAsia="zh-CN"/>
        </w:rPr>
        <w:t>Absorbcija</w:t>
      </w:r>
    </w:p>
    <w:p w14:paraId="6064D330"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Vidutinis absoliutus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biologinis prieinamumas yra 98 %. Nustatyta didelis skirtingų pacientų plazmos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AUC reikšmės svyravimas po išgertos dozės. Vartojamo su riebiu maistu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absorbcijos greitis sumažėjo labai nedaug (</w:t>
      </w:r>
      <w:proofErr w:type="spellStart"/>
      <w:r w:rsidRPr="00CE7679">
        <w:rPr>
          <w:rFonts w:eastAsia="SimSun"/>
          <w:snapToGrid/>
          <w:szCs w:val="22"/>
          <w:lang w:eastAsia="zh-CN"/>
        </w:rPr>
        <w:t>C</w:t>
      </w:r>
      <w:r w:rsidRPr="00CE7679">
        <w:rPr>
          <w:rFonts w:eastAsia="SimSun"/>
          <w:snapToGrid/>
          <w:szCs w:val="22"/>
          <w:vertAlign w:val="subscript"/>
          <w:lang w:eastAsia="zh-CN"/>
        </w:rPr>
        <w:t>max</w:t>
      </w:r>
      <w:proofErr w:type="spellEnd"/>
      <w:r w:rsidRPr="00CE7679">
        <w:rPr>
          <w:rFonts w:eastAsia="SimSun"/>
          <w:snapToGrid/>
          <w:szCs w:val="22"/>
          <w:lang w:eastAsia="zh-CN"/>
        </w:rPr>
        <w:t xml:space="preserve"> sumažėjo 11 % ir </w:t>
      </w:r>
      <w:proofErr w:type="spellStart"/>
      <w:r w:rsidRPr="00CE7679">
        <w:rPr>
          <w:rFonts w:eastAsia="SimSun"/>
          <w:snapToGrid/>
          <w:szCs w:val="22"/>
          <w:lang w:eastAsia="zh-CN"/>
        </w:rPr>
        <w:t>t</w:t>
      </w:r>
      <w:r w:rsidRPr="00CE7679">
        <w:rPr>
          <w:rFonts w:eastAsia="SimSun"/>
          <w:snapToGrid/>
          <w:szCs w:val="22"/>
          <w:vertAlign w:val="subscript"/>
          <w:lang w:eastAsia="zh-CN"/>
        </w:rPr>
        <w:t>max</w:t>
      </w:r>
      <w:proofErr w:type="spellEnd"/>
      <w:r w:rsidRPr="00CE7679">
        <w:rPr>
          <w:rFonts w:eastAsia="SimSun"/>
          <w:snapToGrid/>
          <w:szCs w:val="22"/>
          <w:lang w:eastAsia="zh-CN"/>
        </w:rPr>
        <w:t xml:space="preserve"> pailgėjo 1,5</w:t>
      </w:r>
      <w:r w:rsidR="00EF69C8" w:rsidRPr="00CE7679">
        <w:rPr>
          <w:rFonts w:eastAsia="SimSun"/>
          <w:snapToGrid/>
          <w:szCs w:val="22"/>
          <w:lang w:eastAsia="zh-CN"/>
        </w:rPr>
        <w:t> </w:t>
      </w:r>
      <w:r w:rsidRPr="00CE7679">
        <w:rPr>
          <w:rFonts w:eastAsia="SimSun"/>
          <w:snapToGrid/>
          <w:szCs w:val="22"/>
          <w:lang w:eastAsia="zh-CN"/>
        </w:rPr>
        <w:t>val.), taip pat šiek tiek sumažėjo AUC (7,4 %), lyginant su vaistinio preparato vartojimu nevalgius. Anksčiau atliktos virškinimo trakto operacijos įtaka vaistinio preparato absorbcijai netirta.</w:t>
      </w:r>
    </w:p>
    <w:p w14:paraId="1706B7E6"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77C9B5C3"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u w:val="single"/>
          <w:lang w:eastAsia="zh-CN"/>
        </w:rPr>
        <w:t>Pasiskirstymas</w:t>
      </w:r>
    </w:p>
    <w:p w14:paraId="104EF76C"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Esant kliniškai reikšmingai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koncentracijai, apie 95 % vaistinio preparato būna junginiuose su plazmos baltymais (remiantis tyrimų </w:t>
      </w:r>
      <w:proofErr w:type="spellStart"/>
      <w:r w:rsidRPr="00CE7679">
        <w:rPr>
          <w:rFonts w:eastAsia="SimSun"/>
          <w:i/>
          <w:iCs/>
          <w:snapToGrid/>
          <w:szCs w:val="22"/>
          <w:lang w:eastAsia="zh-CN"/>
        </w:rPr>
        <w:t>in</w:t>
      </w:r>
      <w:proofErr w:type="spellEnd"/>
      <w:r w:rsidRPr="00CE7679">
        <w:rPr>
          <w:rFonts w:eastAsia="SimSun"/>
          <w:i/>
          <w:iCs/>
          <w:snapToGrid/>
          <w:szCs w:val="22"/>
          <w:lang w:eastAsia="zh-CN"/>
        </w:rPr>
        <w:t xml:space="preserve"> </w:t>
      </w:r>
      <w:proofErr w:type="spellStart"/>
      <w:r w:rsidRPr="00CE7679">
        <w:rPr>
          <w:rFonts w:eastAsia="SimSun"/>
          <w:i/>
          <w:iCs/>
          <w:snapToGrid/>
          <w:szCs w:val="22"/>
          <w:lang w:eastAsia="zh-CN"/>
        </w:rPr>
        <w:t>vitro</w:t>
      </w:r>
      <w:proofErr w:type="spellEnd"/>
      <w:r w:rsidRPr="00CE7679">
        <w:rPr>
          <w:rFonts w:eastAsia="SimSun"/>
          <w:i/>
          <w:iCs/>
          <w:snapToGrid/>
          <w:szCs w:val="22"/>
          <w:lang w:eastAsia="zh-CN"/>
        </w:rPr>
        <w:t xml:space="preserve"> </w:t>
      </w:r>
      <w:r w:rsidRPr="00CE7679">
        <w:rPr>
          <w:rFonts w:eastAsia="SimSun"/>
          <w:iCs/>
          <w:snapToGrid/>
          <w:szCs w:val="22"/>
          <w:lang w:eastAsia="zh-CN"/>
        </w:rPr>
        <w:t>duomenimis</w:t>
      </w:r>
      <w:r w:rsidRPr="00CE7679">
        <w:rPr>
          <w:rFonts w:eastAsia="SimSun"/>
          <w:snapToGrid/>
          <w:szCs w:val="22"/>
          <w:lang w:eastAsia="zh-CN"/>
        </w:rPr>
        <w:t xml:space="preserve">), daugiausia su </w:t>
      </w:r>
      <w:proofErr w:type="spellStart"/>
      <w:r w:rsidRPr="00CE7679">
        <w:rPr>
          <w:rFonts w:eastAsia="SimSun"/>
          <w:snapToGrid/>
          <w:szCs w:val="22"/>
          <w:lang w:eastAsia="zh-CN"/>
        </w:rPr>
        <w:t>albuminu</w:t>
      </w:r>
      <w:proofErr w:type="spellEnd"/>
      <w:r w:rsidRPr="00CE7679">
        <w:rPr>
          <w:rFonts w:eastAsia="SimSun"/>
          <w:snapToGrid/>
          <w:szCs w:val="22"/>
          <w:lang w:eastAsia="zh-CN"/>
        </w:rPr>
        <w:t xml:space="preserve"> ir alfa rūgščiuoju </w:t>
      </w:r>
      <w:proofErr w:type="spellStart"/>
      <w:r w:rsidRPr="00CE7679">
        <w:rPr>
          <w:rFonts w:eastAsia="SimSun"/>
          <w:snapToGrid/>
          <w:szCs w:val="22"/>
          <w:lang w:eastAsia="zh-CN"/>
        </w:rPr>
        <w:t>glikoproteinu</w:t>
      </w:r>
      <w:proofErr w:type="spellEnd"/>
      <w:r w:rsidRPr="00CE7679">
        <w:rPr>
          <w:rFonts w:eastAsia="SimSun"/>
          <w:snapToGrid/>
          <w:szCs w:val="22"/>
          <w:lang w:eastAsia="zh-CN"/>
        </w:rPr>
        <w:t xml:space="preserve"> ir labai mažai su lipoproteinu.</w:t>
      </w:r>
    </w:p>
    <w:p w14:paraId="4076AE32"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24058457"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roofErr w:type="spellStart"/>
      <w:r w:rsidRPr="00CE7679">
        <w:rPr>
          <w:rFonts w:eastAsia="SimSun"/>
          <w:snapToGrid/>
          <w:szCs w:val="22"/>
          <w:u w:val="single"/>
          <w:lang w:eastAsia="zh-CN"/>
        </w:rPr>
        <w:t>Biotransformacija</w:t>
      </w:r>
      <w:proofErr w:type="spellEnd"/>
    </w:p>
    <w:p w14:paraId="02B2BEB9"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Pagrindinis cirkuliuojantis metabolitas žmogaus organizme yra N-</w:t>
      </w:r>
      <w:proofErr w:type="spellStart"/>
      <w:r w:rsidRPr="00CE7679">
        <w:rPr>
          <w:rFonts w:eastAsia="SimSun"/>
          <w:snapToGrid/>
          <w:szCs w:val="22"/>
          <w:lang w:eastAsia="zh-CN"/>
        </w:rPr>
        <w:t>demetilintas</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piperazino</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derivatas</w:t>
      </w:r>
      <w:proofErr w:type="spellEnd"/>
      <w:r w:rsidRPr="00CE7679">
        <w:rPr>
          <w:rFonts w:eastAsia="SimSun"/>
          <w:snapToGrid/>
          <w:szCs w:val="22"/>
          <w:lang w:eastAsia="zh-CN"/>
        </w:rPr>
        <w:t xml:space="preserve">, kuris </w:t>
      </w:r>
      <w:proofErr w:type="spellStart"/>
      <w:r w:rsidRPr="00CE7679">
        <w:rPr>
          <w:rFonts w:eastAsia="SimSun"/>
          <w:i/>
          <w:iCs/>
          <w:snapToGrid/>
          <w:szCs w:val="22"/>
          <w:lang w:eastAsia="zh-CN"/>
        </w:rPr>
        <w:t>in</w:t>
      </w:r>
      <w:proofErr w:type="spellEnd"/>
      <w:r w:rsidRPr="00CE7679">
        <w:rPr>
          <w:rFonts w:eastAsia="SimSun"/>
          <w:i/>
          <w:iCs/>
          <w:snapToGrid/>
          <w:szCs w:val="22"/>
          <w:lang w:eastAsia="zh-CN"/>
        </w:rPr>
        <w:t xml:space="preserve"> </w:t>
      </w:r>
      <w:proofErr w:type="spellStart"/>
      <w:r w:rsidRPr="00CE7679">
        <w:rPr>
          <w:rFonts w:eastAsia="SimSun"/>
          <w:i/>
          <w:iCs/>
          <w:snapToGrid/>
          <w:szCs w:val="22"/>
          <w:lang w:eastAsia="zh-CN"/>
        </w:rPr>
        <w:t>vitro</w:t>
      </w:r>
      <w:proofErr w:type="spellEnd"/>
      <w:r w:rsidRPr="00CE7679">
        <w:rPr>
          <w:rFonts w:eastAsia="SimSun"/>
          <w:i/>
          <w:iCs/>
          <w:snapToGrid/>
          <w:szCs w:val="22"/>
          <w:lang w:eastAsia="zh-CN"/>
        </w:rPr>
        <w:t xml:space="preserve"> </w:t>
      </w:r>
      <w:r w:rsidRPr="00CE7679">
        <w:rPr>
          <w:rFonts w:eastAsia="SimSun"/>
          <w:snapToGrid/>
          <w:szCs w:val="22"/>
          <w:lang w:eastAsia="zh-CN"/>
        </w:rPr>
        <w:t xml:space="preserve">veikia taip pat stipriai, kaip ir jo pirmtakas. Šio metabolito plazmos AUC sudaro tik 16 %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AUC. N-</w:t>
      </w:r>
      <w:proofErr w:type="spellStart"/>
      <w:r w:rsidRPr="00CE7679">
        <w:rPr>
          <w:rFonts w:eastAsia="SimSun"/>
          <w:snapToGrid/>
          <w:szCs w:val="22"/>
          <w:lang w:eastAsia="zh-CN"/>
        </w:rPr>
        <w:t>demetilintas</w:t>
      </w:r>
      <w:proofErr w:type="spellEnd"/>
      <w:r w:rsidRPr="00CE7679">
        <w:rPr>
          <w:rFonts w:eastAsia="SimSun"/>
          <w:snapToGrid/>
          <w:szCs w:val="22"/>
          <w:lang w:eastAsia="zh-CN"/>
        </w:rPr>
        <w:t xml:space="preserve"> metabolitas jungiasi su plazmos baltymais panašiai kaip pirminis junginys.</w:t>
      </w:r>
    </w:p>
    <w:p w14:paraId="1E4B6CC4"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4E985F77" w14:textId="589F8951" w:rsidR="00A27597" w:rsidRPr="00CE7679" w:rsidRDefault="00A27597" w:rsidP="00A27597">
      <w:pPr>
        <w:widowControl w:val="0"/>
        <w:autoSpaceDE w:val="0"/>
        <w:autoSpaceDN w:val="0"/>
        <w:adjustRightInd w:val="0"/>
        <w:spacing w:line="240" w:lineRule="auto"/>
        <w:rPr>
          <w:rFonts w:eastAsia="SimSun"/>
          <w:snapToGrid/>
          <w:szCs w:val="22"/>
          <w:lang w:eastAsia="zh-CN"/>
        </w:rPr>
      </w:pPr>
      <w:proofErr w:type="spellStart"/>
      <w:r w:rsidRPr="00CE7679">
        <w:rPr>
          <w:rFonts w:eastAsia="SimSun"/>
          <w:snapToGrid/>
          <w:szCs w:val="22"/>
          <w:lang w:eastAsia="zh-CN"/>
        </w:rPr>
        <w:t>Imatinibas</w:t>
      </w:r>
      <w:proofErr w:type="spellEnd"/>
      <w:r w:rsidRPr="00CE7679">
        <w:rPr>
          <w:rFonts w:eastAsia="SimSun"/>
          <w:snapToGrid/>
          <w:szCs w:val="22"/>
          <w:lang w:eastAsia="zh-CN"/>
        </w:rPr>
        <w:t xml:space="preserve"> ir N-</w:t>
      </w:r>
      <w:proofErr w:type="spellStart"/>
      <w:r w:rsidRPr="00CE7679">
        <w:rPr>
          <w:rFonts w:eastAsia="SimSun"/>
          <w:snapToGrid/>
          <w:szCs w:val="22"/>
          <w:lang w:eastAsia="zh-CN"/>
        </w:rPr>
        <w:t>demetilintas</w:t>
      </w:r>
      <w:proofErr w:type="spellEnd"/>
      <w:r w:rsidRPr="00CE7679">
        <w:rPr>
          <w:rFonts w:eastAsia="SimSun"/>
          <w:snapToGrid/>
          <w:szCs w:val="22"/>
          <w:lang w:eastAsia="zh-CN"/>
        </w:rPr>
        <w:t xml:space="preserve"> metabolitas kartu atitinka 65 % cirkuliuojančio radioaktyvumo (AUC</w:t>
      </w:r>
      <w:r w:rsidRPr="00CE7679">
        <w:rPr>
          <w:rFonts w:eastAsia="SimSun"/>
          <w:snapToGrid/>
          <w:szCs w:val="22"/>
          <w:vertAlign w:val="subscript"/>
          <w:lang w:eastAsia="zh-CN"/>
        </w:rPr>
        <w:t>(0</w:t>
      </w:r>
      <w:r w:rsidR="00AD0C0F">
        <w:rPr>
          <w:rFonts w:eastAsia="SimSun"/>
          <w:snapToGrid/>
          <w:szCs w:val="22"/>
          <w:vertAlign w:val="subscript"/>
          <w:lang w:eastAsia="zh-CN"/>
        </w:rPr>
        <w:noBreakHyphen/>
      </w:r>
      <w:r w:rsidRPr="00CE7679">
        <w:rPr>
          <w:rFonts w:eastAsia="SimSun"/>
          <w:snapToGrid/>
          <w:szCs w:val="22"/>
          <w:vertAlign w:val="subscript"/>
          <w:lang w:eastAsia="zh-CN"/>
        </w:rPr>
        <w:t>48h)</w:t>
      </w:r>
      <w:r w:rsidRPr="00CE7679">
        <w:rPr>
          <w:rFonts w:eastAsia="SimSun"/>
          <w:snapToGrid/>
          <w:szCs w:val="22"/>
          <w:lang w:eastAsia="zh-CN"/>
        </w:rPr>
        <w:t>). Kitas cirkuliuojantis radioaktyvumas priklauso nuo kelių mažesnių metabolitų.</w:t>
      </w:r>
    </w:p>
    <w:p w14:paraId="469334EB"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1861E94D" w14:textId="3FB87E80"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Tyrimai </w:t>
      </w:r>
      <w:proofErr w:type="spellStart"/>
      <w:r w:rsidRPr="00CE7679">
        <w:rPr>
          <w:rFonts w:eastAsia="SimSun"/>
          <w:i/>
          <w:iCs/>
          <w:snapToGrid/>
          <w:szCs w:val="22"/>
          <w:lang w:eastAsia="zh-CN"/>
        </w:rPr>
        <w:t>in</w:t>
      </w:r>
      <w:proofErr w:type="spellEnd"/>
      <w:r w:rsidRPr="00CE7679">
        <w:rPr>
          <w:rFonts w:eastAsia="SimSun"/>
          <w:i/>
          <w:iCs/>
          <w:snapToGrid/>
          <w:szCs w:val="22"/>
          <w:lang w:eastAsia="zh-CN"/>
        </w:rPr>
        <w:t xml:space="preserve"> </w:t>
      </w:r>
      <w:proofErr w:type="spellStart"/>
      <w:r w:rsidRPr="00CE7679">
        <w:rPr>
          <w:rFonts w:eastAsia="SimSun"/>
          <w:i/>
          <w:iCs/>
          <w:snapToGrid/>
          <w:szCs w:val="22"/>
          <w:lang w:eastAsia="zh-CN"/>
        </w:rPr>
        <w:t>vitro</w:t>
      </w:r>
      <w:proofErr w:type="spellEnd"/>
      <w:r w:rsidRPr="00CE7679">
        <w:rPr>
          <w:rFonts w:eastAsia="SimSun"/>
          <w:i/>
          <w:iCs/>
          <w:snapToGrid/>
          <w:szCs w:val="22"/>
          <w:lang w:eastAsia="zh-CN"/>
        </w:rPr>
        <w:t xml:space="preserve"> </w:t>
      </w:r>
      <w:r w:rsidRPr="00CE7679">
        <w:rPr>
          <w:rFonts w:eastAsia="SimSun"/>
          <w:snapToGrid/>
          <w:szCs w:val="22"/>
          <w:lang w:eastAsia="zh-CN"/>
        </w:rPr>
        <w:t xml:space="preserve">parodė, kad CYP3A4 yra pagrindinis žmogaus P450 fermentas, </w:t>
      </w:r>
      <w:proofErr w:type="spellStart"/>
      <w:r w:rsidRPr="00CE7679">
        <w:rPr>
          <w:rFonts w:eastAsia="SimSun"/>
          <w:snapToGrid/>
          <w:szCs w:val="22"/>
          <w:lang w:eastAsia="zh-CN"/>
        </w:rPr>
        <w:t>katalizuojantis</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biotransformaciją</w:t>
      </w:r>
      <w:proofErr w:type="spellEnd"/>
      <w:r w:rsidRPr="00CE7679">
        <w:rPr>
          <w:rFonts w:eastAsia="SimSun"/>
          <w:snapToGrid/>
          <w:szCs w:val="22"/>
          <w:lang w:eastAsia="zh-CN"/>
        </w:rPr>
        <w:t>. Iš daugelio kartu vartotų vaistinių preparatų (</w:t>
      </w:r>
      <w:proofErr w:type="spellStart"/>
      <w:r w:rsidRPr="00CE7679">
        <w:rPr>
          <w:rFonts w:eastAsia="SimSun"/>
          <w:snapToGrid/>
          <w:szCs w:val="22"/>
          <w:lang w:eastAsia="zh-CN"/>
        </w:rPr>
        <w:t>acetaminofeno</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acikloviro</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alopurinolio</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amfotericino</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citarabino</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eritromicino</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flukonazolo</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hidroksikarbamido</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norfloksacino</w:t>
      </w:r>
      <w:proofErr w:type="spellEnd"/>
      <w:r w:rsidRPr="00CE7679">
        <w:rPr>
          <w:rFonts w:eastAsia="SimSun"/>
          <w:snapToGrid/>
          <w:szCs w:val="22"/>
          <w:lang w:eastAsia="zh-CN"/>
        </w:rPr>
        <w:t xml:space="preserve">, penicilino V) tik </w:t>
      </w:r>
      <w:proofErr w:type="spellStart"/>
      <w:r w:rsidRPr="00CE7679">
        <w:rPr>
          <w:rFonts w:eastAsia="SimSun"/>
          <w:snapToGrid/>
          <w:szCs w:val="22"/>
          <w:lang w:eastAsia="zh-CN"/>
        </w:rPr>
        <w:t>eritromicino</w:t>
      </w:r>
      <w:proofErr w:type="spellEnd"/>
      <w:r w:rsidRPr="00CE7679">
        <w:rPr>
          <w:rFonts w:eastAsia="SimSun"/>
          <w:snapToGrid/>
          <w:szCs w:val="22"/>
          <w:lang w:eastAsia="zh-CN"/>
        </w:rPr>
        <w:t xml:space="preserve"> (IC</w:t>
      </w:r>
      <w:r w:rsidRPr="00CE7679">
        <w:rPr>
          <w:rFonts w:eastAsia="SimSun"/>
          <w:snapToGrid/>
          <w:szCs w:val="22"/>
          <w:vertAlign w:val="subscript"/>
          <w:lang w:eastAsia="zh-CN"/>
        </w:rPr>
        <w:t>50</w:t>
      </w:r>
      <w:r w:rsidRPr="00CE7679">
        <w:rPr>
          <w:rFonts w:eastAsia="SimSun"/>
          <w:snapToGrid/>
          <w:szCs w:val="22"/>
          <w:lang w:eastAsia="zh-CN"/>
        </w:rPr>
        <w:t xml:space="preserve"> 50</w:t>
      </w:r>
      <w:r w:rsidR="00AD0C0F">
        <w:rPr>
          <w:rFonts w:eastAsia="SimSun"/>
          <w:snapToGrid/>
          <w:szCs w:val="22"/>
          <w:lang w:eastAsia="zh-CN"/>
        </w:rPr>
        <w:t> </w:t>
      </w:r>
      <w:r w:rsidRPr="00CE7679">
        <w:rPr>
          <w:rFonts w:eastAsia="SimSun"/>
          <w:snapToGrid/>
          <w:szCs w:val="22"/>
          <w:lang w:eastAsia="zh-CN"/>
        </w:rPr>
        <w:t xml:space="preserve">µM) ir </w:t>
      </w:r>
      <w:proofErr w:type="spellStart"/>
      <w:r w:rsidRPr="00CE7679">
        <w:rPr>
          <w:rFonts w:eastAsia="SimSun"/>
          <w:snapToGrid/>
          <w:szCs w:val="22"/>
          <w:lang w:eastAsia="zh-CN"/>
        </w:rPr>
        <w:t>flukonazolo</w:t>
      </w:r>
      <w:proofErr w:type="spellEnd"/>
      <w:r w:rsidRPr="00CE7679">
        <w:rPr>
          <w:rFonts w:eastAsia="SimSun"/>
          <w:snapToGrid/>
          <w:szCs w:val="22"/>
          <w:lang w:eastAsia="zh-CN"/>
        </w:rPr>
        <w:t xml:space="preserve"> (IC</w:t>
      </w:r>
      <w:r w:rsidRPr="00CE7679">
        <w:rPr>
          <w:rFonts w:eastAsia="SimSun"/>
          <w:snapToGrid/>
          <w:szCs w:val="22"/>
          <w:vertAlign w:val="subscript"/>
          <w:lang w:eastAsia="zh-CN"/>
        </w:rPr>
        <w:t>50</w:t>
      </w:r>
      <w:r w:rsidRPr="00CE7679">
        <w:rPr>
          <w:rFonts w:eastAsia="SimSun"/>
          <w:snapToGrid/>
          <w:szCs w:val="22"/>
          <w:lang w:eastAsia="zh-CN"/>
        </w:rPr>
        <w:t xml:space="preserve"> 118</w:t>
      </w:r>
      <w:r w:rsidR="00AD0C0F">
        <w:rPr>
          <w:rFonts w:eastAsia="SimSun"/>
          <w:snapToGrid/>
          <w:szCs w:val="22"/>
          <w:lang w:eastAsia="zh-CN"/>
        </w:rPr>
        <w:t> </w:t>
      </w:r>
      <w:r w:rsidRPr="00CE7679">
        <w:rPr>
          <w:rFonts w:eastAsia="SimSun"/>
          <w:snapToGrid/>
          <w:szCs w:val="22"/>
          <w:lang w:eastAsia="zh-CN"/>
        </w:rPr>
        <w:t xml:space="preserve">µM) slopinamas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metabolizmas gali būti kliniškai reikšmingas.</w:t>
      </w:r>
    </w:p>
    <w:p w14:paraId="7F3FDED9"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50552DA8"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roofErr w:type="spellStart"/>
      <w:r w:rsidRPr="00CE7679">
        <w:rPr>
          <w:rFonts w:eastAsia="SimSun"/>
          <w:i/>
          <w:iCs/>
          <w:snapToGrid/>
          <w:szCs w:val="22"/>
          <w:lang w:eastAsia="zh-CN"/>
        </w:rPr>
        <w:t>In</w:t>
      </w:r>
      <w:proofErr w:type="spellEnd"/>
      <w:r w:rsidRPr="00CE7679">
        <w:rPr>
          <w:rFonts w:eastAsia="SimSun"/>
          <w:i/>
          <w:iCs/>
          <w:snapToGrid/>
          <w:szCs w:val="22"/>
          <w:lang w:eastAsia="zh-CN"/>
        </w:rPr>
        <w:t xml:space="preserve"> </w:t>
      </w:r>
      <w:proofErr w:type="spellStart"/>
      <w:r w:rsidRPr="00CE7679">
        <w:rPr>
          <w:rFonts w:eastAsia="SimSun"/>
          <w:i/>
          <w:iCs/>
          <w:snapToGrid/>
          <w:szCs w:val="22"/>
          <w:lang w:eastAsia="zh-CN"/>
        </w:rPr>
        <w:t>vitro</w:t>
      </w:r>
      <w:proofErr w:type="spellEnd"/>
      <w:r w:rsidRPr="00CE7679">
        <w:rPr>
          <w:rFonts w:eastAsia="SimSun"/>
          <w:i/>
          <w:iCs/>
          <w:snapToGrid/>
          <w:szCs w:val="22"/>
          <w:lang w:eastAsia="zh-CN"/>
        </w:rPr>
        <w:t xml:space="preserve"> </w:t>
      </w:r>
      <w:r w:rsidRPr="00CE7679">
        <w:rPr>
          <w:rFonts w:eastAsia="SimSun"/>
          <w:snapToGrid/>
          <w:szCs w:val="22"/>
          <w:lang w:eastAsia="zh-CN"/>
        </w:rPr>
        <w:t xml:space="preserve">nustatyta, kad </w:t>
      </w:r>
      <w:proofErr w:type="spellStart"/>
      <w:r w:rsidRPr="00CE7679">
        <w:rPr>
          <w:rFonts w:eastAsia="SimSun"/>
          <w:snapToGrid/>
          <w:szCs w:val="22"/>
          <w:lang w:eastAsia="zh-CN"/>
        </w:rPr>
        <w:t>imatinibas</w:t>
      </w:r>
      <w:proofErr w:type="spellEnd"/>
      <w:r w:rsidRPr="00CE7679">
        <w:rPr>
          <w:rFonts w:eastAsia="SimSun"/>
          <w:snapToGrid/>
          <w:szCs w:val="22"/>
          <w:lang w:eastAsia="zh-CN"/>
        </w:rPr>
        <w:t xml:space="preserve"> yra konkurencinis CYP2C9, CYP2D6 ir CYP3A4/5 substratų inhibitorius. Žmogaus kepenų </w:t>
      </w:r>
      <w:proofErr w:type="spellStart"/>
      <w:r w:rsidRPr="00CE7679">
        <w:rPr>
          <w:rFonts w:eastAsia="SimSun"/>
          <w:snapToGrid/>
          <w:szCs w:val="22"/>
          <w:lang w:eastAsia="zh-CN"/>
        </w:rPr>
        <w:t>mikrosomų</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K</w:t>
      </w:r>
      <w:r w:rsidRPr="00CE7679">
        <w:rPr>
          <w:rFonts w:eastAsia="SimSun"/>
          <w:snapToGrid/>
          <w:szCs w:val="22"/>
          <w:vertAlign w:val="subscript"/>
          <w:lang w:eastAsia="zh-CN"/>
        </w:rPr>
        <w:t>i</w:t>
      </w:r>
      <w:proofErr w:type="spellEnd"/>
      <w:r w:rsidRPr="00CE7679">
        <w:rPr>
          <w:rFonts w:eastAsia="SimSun"/>
          <w:snapToGrid/>
          <w:szCs w:val="22"/>
          <w:lang w:eastAsia="zh-CN"/>
        </w:rPr>
        <w:t xml:space="preserve"> rodmuo buvo atitinkamai 27, 7,5 ir 7,9</w:t>
      </w:r>
      <w:r w:rsidR="00EF69C8" w:rsidRPr="00CE7679">
        <w:rPr>
          <w:rFonts w:eastAsia="SimSun"/>
          <w:snapToGrid/>
          <w:szCs w:val="22"/>
          <w:lang w:eastAsia="zh-CN"/>
        </w:rPr>
        <w:t> </w:t>
      </w:r>
      <w:r w:rsidRPr="00CE7679">
        <w:rPr>
          <w:rFonts w:eastAsia="SimSun"/>
          <w:snapToGrid/>
          <w:szCs w:val="22"/>
          <w:lang w:eastAsia="zh-CN"/>
        </w:rPr>
        <w:t>µ</w:t>
      </w:r>
      <w:proofErr w:type="spellStart"/>
      <w:r w:rsidRPr="00CE7679">
        <w:rPr>
          <w:rFonts w:eastAsia="SimSun"/>
          <w:snapToGrid/>
          <w:szCs w:val="22"/>
          <w:lang w:eastAsia="zh-CN"/>
        </w:rPr>
        <w:t>mol</w:t>
      </w:r>
      <w:proofErr w:type="spellEnd"/>
      <w:r w:rsidRPr="00CE7679">
        <w:rPr>
          <w:rFonts w:eastAsia="SimSun"/>
          <w:snapToGrid/>
          <w:szCs w:val="22"/>
          <w:lang w:eastAsia="zh-CN"/>
        </w:rPr>
        <w:t xml:space="preserve"> /l. Didžiausia pacientų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koncentracija plazmoje yra 2–4</w:t>
      </w:r>
      <w:r w:rsidR="00EF69C8" w:rsidRPr="00CE7679">
        <w:rPr>
          <w:rFonts w:eastAsia="SimSun"/>
          <w:snapToGrid/>
          <w:szCs w:val="22"/>
          <w:lang w:eastAsia="zh-CN"/>
        </w:rPr>
        <w:t> </w:t>
      </w:r>
      <w:r w:rsidRPr="00CE7679">
        <w:rPr>
          <w:rFonts w:eastAsia="SimSun"/>
          <w:snapToGrid/>
          <w:szCs w:val="22"/>
          <w:lang w:eastAsia="zh-CN"/>
        </w:rPr>
        <w:t>µ</w:t>
      </w:r>
      <w:proofErr w:type="spellStart"/>
      <w:r w:rsidRPr="00CE7679">
        <w:rPr>
          <w:rFonts w:eastAsia="SimSun"/>
          <w:snapToGrid/>
          <w:szCs w:val="22"/>
          <w:lang w:eastAsia="zh-CN"/>
        </w:rPr>
        <w:t>mol</w:t>
      </w:r>
      <w:proofErr w:type="spellEnd"/>
      <w:r w:rsidRPr="00CE7679">
        <w:rPr>
          <w:rFonts w:eastAsia="SimSun"/>
          <w:snapToGrid/>
          <w:szCs w:val="22"/>
          <w:lang w:eastAsia="zh-CN"/>
        </w:rPr>
        <w:t xml:space="preserve"> /l, taigi galimas CYP2D6 ir (arba) CYP3A4/5 </w:t>
      </w:r>
      <w:proofErr w:type="spellStart"/>
      <w:r w:rsidRPr="00CE7679">
        <w:rPr>
          <w:rFonts w:eastAsia="SimSun"/>
          <w:snapToGrid/>
          <w:szCs w:val="22"/>
          <w:lang w:eastAsia="zh-CN"/>
        </w:rPr>
        <w:t>medijuojamo</w:t>
      </w:r>
      <w:proofErr w:type="spellEnd"/>
      <w:r w:rsidRPr="00CE7679">
        <w:rPr>
          <w:rFonts w:eastAsia="SimSun"/>
          <w:snapToGrid/>
          <w:szCs w:val="22"/>
          <w:lang w:eastAsia="zh-CN"/>
        </w:rPr>
        <w:t xml:space="preserve"> kartu vartojamų vaistinių preparatų metabolizmo slopinimas. </w:t>
      </w:r>
      <w:proofErr w:type="spellStart"/>
      <w:r w:rsidRPr="00CE7679">
        <w:rPr>
          <w:rFonts w:eastAsia="SimSun"/>
          <w:snapToGrid/>
          <w:szCs w:val="22"/>
          <w:lang w:eastAsia="zh-CN"/>
        </w:rPr>
        <w:t>Imatinibas</w:t>
      </w:r>
      <w:proofErr w:type="spellEnd"/>
      <w:r w:rsidRPr="00CE7679">
        <w:rPr>
          <w:rFonts w:eastAsia="SimSun"/>
          <w:snapToGrid/>
          <w:szCs w:val="22"/>
          <w:lang w:eastAsia="zh-CN"/>
        </w:rPr>
        <w:t xml:space="preserve"> neturi įtakos 5-fluorouracilo </w:t>
      </w:r>
      <w:proofErr w:type="spellStart"/>
      <w:r w:rsidRPr="00CE7679">
        <w:rPr>
          <w:rFonts w:eastAsia="SimSun"/>
          <w:snapToGrid/>
          <w:szCs w:val="22"/>
          <w:lang w:eastAsia="zh-CN"/>
        </w:rPr>
        <w:t>biotransformacijai</w:t>
      </w:r>
      <w:proofErr w:type="spellEnd"/>
      <w:r w:rsidRPr="00CE7679">
        <w:rPr>
          <w:rFonts w:eastAsia="SimSun"/>
          <w:snapToGrid/>
          <w:szCs w:val="22"/>
          <w:lang w:eastAsia="zh-CN"/>
        </w:rPr>
        <w:t xml:space="preserve">, tačiau slopina </w:t>
      </w:r>
      <w:proofErr w:type="spellStart"/>
      <w:r w:rsidRPr="00CE7679">
        <w:rPr>
          <w:rFonts w:eastAsia="SimSun"/>
          <w:snapToGrid/>
          <w:szCs w:val="22"/>
          <w:lang w:eastAsia="zh-CN"/>
        </w:rPr>
        <w:t>paklitakselio</w:t>
      </w:r>
      <w:proofErr w:type="spellEnd"/>
      <w:r w:rsidRPr="00CE7679">
        <w:rPr>
          <w:rFonts w:eastAsia="SimSun"/>
          <w:snapToGrid/>
          <w:szCs w:val="22"/>
          <w:lang w:eastAsia="zh-CN"/>
        </w:rPr>
        <w:t xml:space="preserve"> metabolizmą dėl konkurencinio CYP2C8 slopinimo (</w:t>
      </w:r>
      <w:proofErr w:type="spellStart"/>
      <w:r w:rsidRPr="00CE7679">
        <w:rPr>
          <w:rFonts w:eastAsia="SimSun"/>
          <w:snapToGrid/>
          <w:szCs w:val="22"/>
          <w:lang w:eastAsia="zh-CN"/>
        </w:rPr>
        <w:t>K</w:t>
      </w:r>
      <w:r w:rsidRPr="00CE7679">
        <w:rPr>
          <w:rFonts w:eastAsia="SimSun"/>
          <w:snapToGrid/>
          <w:szCs w:val="22"/>
          <w:vertAlign w:val="subscript"/>
          <w:lang w:eastAsia="zh-CN"/>
        </w:rPr>
        <w:t>i</w:t>
      </w:r>
      <w:proofErr w:type="spellEnd"/>
      <w:r w:rsidR="00EF69C8" w:rsidRPr="00CE7679">
        <w:rPr>
          <w:rFonts w:eastAsia="SimSun"/>
          <w:snapToGrid/>
          <w:szCs w:val="22"/>
          <w:lang w:eastAsia="zh-CN"/>
        </w:rPr>
        <w:t> </w:t>
      </w:r>
      <w:r w:rsidRPr="00CE7679">
        <w:rPr>
          <w:rFonts w:eastAsia="SimSun"/>
          <w:snapToGrid/>
          <w:szCs w:val="22"/>
          <w:lang w:eastAsia="zh-CN"/>
        </w:rPr>
        <w:t>=</w:t>
      </w:r>
      <w:r w:rsidR="00EF69C8" w:rsidRPr="00CE7679">
        <w:rPr>
          <w:rFonts w:eastAsia="SimSun"/>
          <w:snapToGrid/>
          <w:szCs w:val="22"/>
          <w:lang w:eastAsia="zh-CN"/>
        </w:rPr>
        <w:t> </w:t>
      </w:r>
      <w:r w:rsidRPr="00CE7679">
        <w:rPr>
          <w:rFonts w:eastAsia="SimSun"/>
          <w:snapToGrid/>
          <w:szCs w:val="22"/>
          <w:lang w:eastAsia="zh-CN"/>
        </w:rPr>
        <w:t>34,7</w:t>
      </w:r>
      <w:r w:rsidR="00EF69C8" w:rsidRPr="00CE7679">
        <w:rPr>
          <w:rFonts w:eastAsia="SimSun"/>
          <w:snapToGrid/>
          <w:szCs w:val="22"/>
          <w:lang w:eastAsia="zh-CN"/>
        </w:rPr>
        <w:t> </w:t>
      </w:r>
      <w:r w:rsidRPr="00CE7679">
        <w:rPr>
          <w:rFonts w:eastAsia="SimSun"/>
          <w:snapToGrid/>
          <w:szCs w:val="22"/>
          <w:lang w:eastAsia="zh-CN"/>
        </w:rPr>
        <w:t xml:space="preserve">µM). Šis </w:t>
      </w:r>
      <w:proofErr w:type="spellStart"/>
      <w:r w:rsidRPr="00CE7679">
        <w:rPr>
          <w:rFonts w:eastAsia="SimSun"/>
          <w:snapToGrid/>
          <w:szCs w:val="22"/>
          <w:lang w:eastAsia="zh-CN"/>
        </w:rPr>
        <w:t>K</w:t>
      </w:r>
      <w:r w:rsidRPr="00CE7679">
        <w:rPr>
          <w:rFonts w:eastAsia="SimSun"/>
          <w:snapToGrid/>
          <w:szCs w:val="22"/>
          <w:vertAlign w:val="subscript"/>
          <w:lang w:eastAsia="zh-CN"/>
        </w:rPr>
        <w:t>i</w:t>
      </w:r>
      <w:proofErr w:type="spellEnd"/>
      <w:r w:rsidRPr="00CE7679">
        <w:rPr>
          <w:rFonts w:eastAsia="SimSun"/>
          <w:snapToGrid/>
          <w:szCs w:val="22"/>
          <w:lang w:eastAsia="zh-CN"/>
        </w:rPr>
        <w:t xml:space="preserve"> rodmuo yra daug didesnis, negu tikėtina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koncentracija pacientų plazmoje, todėl, </w:t>
      </w:r>
      <w:proofErr w:type="spellStart"/>
      <w:r w:rsidRPr="00CE7679">
        <w:rPr>
          <w:rFonts w:eastAsia="SimSun"/>
          <w:snapToGrid/>
          <w:szCs w:val="22"/>
          <w:lang w:eastAsia="zh-CN"/>
        </w:rPr>
        <w:t>imatinibą</w:t>
      </w:r>
      <w:proofErr w:type="spellEnd"/>
      <w:r w:rsidRPr="00CE7679">
        <w:rPr>
          <w:rFonts w:eastAsia="SimSun"/>
          <w:snapToGrid/>
          <w:szCs w:val="22"/>
          <w:lang w:eastAsia="zh-CN"/>
        </w:rPr>
        <w:t xml:space="preserve"> vartojant kartu su 5-fluorouracilu ar </w:t>
      </w:r>
      <w:proofErr w:type="spellStart"/>
      <w:r w:rsidRPr="00CE7679">
        <w:rPr>
          <w:rFonts w:eastAsia="SimSun"/>
          <w:snapToGrid/>
          <w:szCs w:val="22"/>
          <w:lang w:eastAsia="zh-CN"/>
        </w:rPr>
        <w:t>paklitakseliu</w:t>
      </w:r>
      <w:proofErr w:type="spellEnd"/>
      <w:r w:rsidRPr="00CE7679">
        <w:rPr>
          <w:rFonts w:eastAsia="SimSun"/>
          <w:snapToGrid/>
          <w:szCs w:val="22"/>
          <w:lang w:eastAsia="zh-CN"/>
        </w:rPr>
        <w:t>, sąveikos nesitikima.</w:t>
      </w:r>
    </w:p>
    <w:p w14:paraId="6EC56590"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25D635DB"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u w:val="single"/>
          <w:lang w:eastAsia="zh-CN"/>
        </w:rPr>
        <w:t>Eliminacija</w:t>
      </w:r>
    </w:p>
    <w:p w14:paraId="25DCE5CE"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Pagal junginio(-ų) išsiskyrimą po išgertos </w:t>
      </w:r>
      <w:r w:rsidRPr="00CE7679">
        <w:rPr>
          <w:rFonts w:eastAsia="SimSun"/>
          <w:snapToGrid/>
          <w:szCs w:val="22"/>
          <w:vertAlign w:val="superscript"/>
          <w:lang w:eastAsia="zh-CN"/>
        </w:rPr>
        <w:t>14</w:t>
      </w:r>
      <w:r w:rsidRPr="00CE7679">
        <w:rPr>
          <w:rFonts w:eastAsia="SimSun"/>
          <w:snapToGrid/>
          <w:szCs w:val="22"/>
          <w:lang w:eastAsia="zh-CN"/>
        </w:rPr>
        <w:t xml:space="preserve">C-žymėtojo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dozės, maždaug 81 % dozės per 7</w:t>
      </w:r>
      <w:r w:rsidR="00EF69C8" w:rsidRPr="00CE7679">
        <w:rPr>
          <w:rFonts w:eastAsia="SimSun"/>
          <w:snapToGrid/>
          <w:szCs w:val="22"/>
          <w:lang w:eastAsia="zh-CN"/>
        </w:rPr>
        <w:t> </w:t>
      </w:r>
      <w:r w:rsidRPr="00CE7679">
        <w:rPr>
          <w:rFonts w:eastAsia="SimSun"/>
          <w:snapToGrid/>
          <w:szCs w:val="22"/>
          <w:lang w:eastAsia="zh-CN"/>
        </w:rPr>
        <w:t xml:space="preserve">paras išskiriama su išmatomis (68 % dozės) ir šlapimu (13 % dozės). Nepakitęs </w:t>
      </w:r>
      <w:proofErr w:type="spellStart"/>
      <w:r w:rsidRPr="00CE7679">
        <w:rPr>
          <w:rFonts w:eastAsia="SimSun"/>
          <w:snapToGrid/>
          <w:szCs w:val="22"/>
          <w:lang w:eastAsia="zh-CN"/>
        </w:rPr>
        <w:t>imatinibas</w:t>
      </w:r>
      <w:proofErr w:type="spellEnd"/>
      <w:r w:rsidRPr="00CE7679">
        <w:rPr>
          <w:rFonts w:eastAsia="SimSun"/>
          <w:snapToGrid/>
          <w:szCs w:val="22"/>
          <w:lang w:eastAsia="zh-CN"/>
        </w:rPr>
        <w:t xml:space="preserve"> atitinka 25 % dozės (5 % šlapime, 20 % išmatose), kita dalis yra metabolitų pavidalu.</w:t>
      </w:r>
    </w:p>
    <w:p w14:paraId="2668E21C"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20B71095"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u w:val="single"/>
          <w:lang w:eastAsia="zh-CN"/>
        </w:rPr>
        <w:t>Farmakokinetika plazmoje</w:t>
      </w:r>
    </w:p>
    <w:p w14:paraId="2A03F7C0"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Sveikų savanorių išgerto vaistinio preparato t</w:t>
      </w:r>
      <w:r w:rsidRPr="00CE7679">
        <w:rPr>
          <w:rFonts w:eastAsia="SimSun"/>
          <w:snapToGrid/>
          <w:szCs w:val="22"/>
          <w:vertAlign w:val="subscript"/>
          <w:lang w:eastAsia="zh-CN"/>
        </w:rPr>
        <w:t>½</w:t>
      </w:r>
      <w:r w:rsidRPr="00CE7679">
        <w:rPr>
          <w:rFonts w:eastAsia="SimSun"/>
          <w:snapToGrid/>
          <w:szCs w:val="22"/>
          <w:lang w:eastAsia="zh-CN"/>
        </w:rPr>
        <w:t xml:space="preserve"> buvo maždaug 18</w:t>
      </w:r>
      <w:r w:rsidR="00EF69C8" w:rsidRPr="00CE7679">
        <w:rPr>
          <w:rFonts w:eastAsia="SimSun"/>
          <w:snapToGrid/>
          <w:szCs w:val="22"/>
          <w:lang w:eastAsia="zh-CN"/>
        </w:rPr>
        <w:t> </w:t>
      </w:r>
      <w:r w:rsidRPr="00CE7679">
        <w:rPr>
          <w:rFonts w:eastAsia="SimSun"/>
          <w:snapToGrid/>
          <w:szCs w:val="22"/>
          <w:lang w:eastAsia="zh-CN"/>
        </w:rPr>
        <w:t xml:space="preserve">val., tai rodo, kad vaistinį preparatą galima vartoti vieną kartą per parą. Geriant 25–1 000 mg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vidutinio AUC didėjimas, didėjant dozei, buvo tiesinis ir proporcingas dozei. Kartotinai vartojamo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kinetika nepakito, o kumuliacija buvo 1,5–2,5</w:t>
      </w:r>
      <w:r w:rsidR="00EF69C8" w:rsidRPr="00CE7679">
        <w:rPr>
          <w:rFonts w:eastAsia="SimSun"/>
          <w:snapToGrid/>
          <w:szCs w:val="22"/>
          <w:lang w:eastAsia="zh-CN"/>
        </w:rPr>
        <w:t> </w:t>
      </w:r>
      <w:r w:rsidRPr="00CE7679">
        <w:rPr>
          <w:rFonts w:eastAsia="SimSun"/>
          <w:snapToGrid/>
          <w:szCs w:val="22"/>
          <w:lang w:eastAsia="zh-CN"/>
        </w:rPr>
        <w:t xml:space="preserve">karto didesnė, kai, vaistinį preparatą vartojant vieną kartą per parą, nusistovėjo </w:t>
      </w:r>
      <w:proofErr w:type="spellStart"/>
      <w:r w:rsidRPr="00CE7679">
        <w:rPr>
          <w:rFonts w:eastAsia="SimSun"/>
          <w:snapToGrid/>
          <w:szCs w:val="22"/>
          <w:lang w:eastAsia="zh-CN"/>
        </w:rPr>
        <w:t>pusiausvyrinė</w:t>
      </w:r>
      <w:proofErr w:type="spellEnd"/>
      <w:r w:rsidRPr="00CE7679">
        <w:rPr>
          <w:rFonts w:eastAsia="SimSun"/>
          <w:snapToGrid/>
          <w:szCs w:val="22"/>
          <w:lang w:eastAsia="zh-CN"/>
        </w:rPr>
        <w:t xml:space="preserve"> apykaita.</w:t>
      </w:r>
    </w:p>
    <w:p w14:paraId="75444F7F" w14:textId="77777777" w:rsidR="00A27597" w:rsidRDefault="00A27597" w:rsidP="00A27597">
      <w:pPr>
        <w:widowControl w:val="0"/>
        <w:autoSpaceDE w:val="0"/>
        <w:autoSpaceDN w:val="0"/>
        <w:adjustRightInd w:val="0"/>
        <w:spacing w:line="240" w:lineRule="auto"/>
        <w:rPr>
          <w:rFonts w:eastAsia="SimSun"/>
          <w:snapToGrid/>
          <w:szCs w:val="22"/>
          <w:lang w:eastAsia="zh-CN"/>
        </w:rPr>
      </w:pPr>
    </w:p>
    <w:p w14:paraId="58AAB7AB" w14:textId="77777777" w:rsidR="00997436" w:rsidRPr="007541DA" w:rsidRDefault="00997436" w:rsidP="00997436">
      <w:pPr>
        <w:widowControl w:val="0"/>
        <w:autoSpaceDE w:val="0"/>
        <w:autoSpaceDN w:val="0"/>
        <w:adjustRightInd w:val="0"/>
        <w:spacing w:line="240" w:lineRule="auto"/>
        <w:rPr>
          <w:rFonts w:eastAsia="SimSun"/>
          <w:snapToGrid/>
          <w:szCs w:val="22"/>
          <w:u w:val="single"/>
          <w:lang w:eastAsia="zh-CN"/>
        </w:rPr>
      </w:pPr>
      <w:r w:rsidRPr="007541DA">
        <w:rPr>
          <w:rFonts w:eastAsia="SimSun"/>
          <w:snapToGrid/>
          <w:szCs w:val="22"/>
          <w:u w:val="single"/>
          <w:lang w:eastAsia="zh-CN"/>
        </w:rPr>
        <w:t>Farmakokinetika VTSN pacientams</w:t>
      </w:r>
    </w:p>
    <w:p w14:paraId="2854F0C4" w14:textId="23D9D516" w:rsidR="00A5672C" w:rsidRDefault="00997436" w:rsidP="00997436">
      <w:pPr>
        <w:widowControl w:val="0"/>
        <w:autoSpaceDE w:val="0"/>
        <w:autoSpaceDN w:val="0"/>
        <w:adjustRightInd w:val="0"/>
        <w:spacing w:line="240" w:lineRule="auto"/>
        <w:rPr>
          <w:rFonts w:eastAsia="SimSun"/>
          <w:snapToGrid/>
          <w:szCs w:val="22"/>
          <w:lang w:eastAsia="zh-CN"/>
        </w:rPr>
      </w:pPr>
      <w:r w:rsidRPr="00997436">
        <w:rPr>
          <w:rFonts w:eastAsia="SimSun"/>
          <w:snapToGrid/>
          <w:szCs w:val="22"/>
          <w:lang w:eastAsia="zh-CN"/>
        </w:rPr>
        <w:t>VTSN sergan</w:t>
      </w:r>
      <w:r w:rsidR="00DC2054">
        <w:rPr>
          <w:rFonts w:eastAsia="SimSun"/>
          <w:snapToGrid/>
          <w:szCs w:val="22"/>
          <w:lang w:eastAsia="zh-CN"/>
        </w:rPr>
        <w:t>tiems pacientams</w:t>
      </w:r>
      <w:r w:rsidRPr="00997436">
        <w:rPr>
          <w:rFonts w:eastAsia="SimSun"/>
          <w:snapToGrid/>
          <w:szCs w:val="22"/>
          <w:lang w:eastAsia="zh-CN"/>
        </w:rPr>
        <w:t xml:space="preserve"> ekspozicija</w:t>
      </w:r>
      <w:r w:rsidR="00DC2054">
        <w:rPr>
          <w:rFonts w:eastAsia="SimSun"/>
          <w:snapToGrid/>
          <w:szCs w:val="22"/>
          <w:lang w:eastAsia="zh-CN"/>
        </w:rPr>
        <w:t xml:space="preserve"> nusistovėjus </w:t>
      </w:r>
      <w:proofErr w:type="spellStart"/>
      <w:r w:rsidR="00DC2054">
        <w:rPr>
          <w:rFonts w:eastAsia="SimSun"/>
          <w:snapToGrid/>
          <w:szCs w:val="22"/>
          <w:lang w:eastAsia="zh-CN"/>
        </w:rPr>
        <w:t>pusiausvyrinei</w:t>
      </w:r>
      <w:proofErr w:type="spellEnd"/>
      <w:r w:rsidR="00DC2054">
        <w:rPr>
          <w:rFonts w:eastAsia="SimSun"/>
          <w:snapToGrid/>
          <w:szCs w:val="22"/>
          <w:lang w:eastAsia="zh-CN"/>
        </w:rPr>
        <w:t xml:space="preserve"> apykaitai</w:t>
      </w:r>
      <w:r w:rsidRPr="00997436">
        <w:rPr>
          <w:rFonts w:eastAsia="SimSun"/>
          <w:snapToGrid/>
          <w:szCs w:val="22"/>
          <w:lang w:eastAsia="zh-CN"/>
        </w:rPr>
        <w:t xml:space="preserve"> buvo 1,5</w:t>
      </w:r>
      <w:r w:rsidR="00667942">
        <w:rPr>
          <w:rFonts w:eastAsia="SimSun"/>
          <w:snapToGrid/>
          <w:szCs w:val="22"/>
          <w:lang w:eastAsia="zh-CN"/>
        </w:rPr>
        <w:t> </w:t>
      </w:r>
      <w:r w:rsidRPr="00997436">
        <w:rPr>
          <w:rFonts w:eastAsia="SimSun"/>
          <w:snapToGrid/>
          <w:szCs w:val="22"/>
          <w:lang w:eastAsia="zh-CN"/>
        </w:rPr>
        <w:t>karto didesnė negu LML</w:t>
      </w:r>
      <w:r w:rsidR="00DC2054">
        <w:rPr>
          <w:rFonts w:eastAsia="SimSun"/>
          <w:snapToGrid/>
          <w:szCs w:val="22"/>
          <w:lang w:eastAsia="zh-CN"/>
        </w:rPr>
        <w:t xml:space="preserve"> </w:t>
      </w:r>
      <w:r w:rsidRPr="00997436">
        <w:rPr>
          <w:rFonts w:eastAsia="SimSun"/>
          <w:snapToGrid/>
          <w:szCs w:val="22"/>
          <w:lang w:eastAsia="zh-CN"/>
        </w:rPr>
        <w:t>sergan</w:t>
      </w:r>
      <w:r w:rsidR="00DC2054">
        <w:rPr>
          <w:rFonts w:eastAsia="SimSun"/>
          <w:snapToGrid/>
          <w:szCs w:val="22"/>
          <w:lang w:eastAsia="zh-CN"/>
        </w:rPr>
        <w:t>tiems pacientams</w:t>
      </w:r>
      <w:r w:rsidRPr="00997436">
        <w:rPr>
          <w:rFonts w:eastAsia="SimSun"/>
          <w:snapToGrid/>
          <w:szCs w:val="22"/>
          <w:lang w:eastAsia="zh-CN"/>
        </w:rPr>
        <w:t>, vartojan</w:t>
      </w:r>
      <w:r w:rsidR="00DC2054">
        <w:rPr>
          <w:rFonts w:eastAsia="SimSun"/>
          <w:snapToGrid/>
          <w:szCs w:val="22"/>
          <w:lang w:eastAsia="zh-CN"/>
        </w:rPr>
        <w:t>tiems tokią</w:t>
      </w:r>
      <w:r w:rsidRPr="00997436">
        <w:rPr>
          <w:rFonts w:eastAsia="SimSun"/>
          <w:snapToGrid/>
          <w:szCs w:val="22"/>
          <w:lang w:eastAsia="zh-CN"/>
        </w:rPr>
        <w:t xml:space="preserve"> pačią dozę (400</w:t>
      </w:r>
      <w:r w:rsidR="00DC2054">
        <w:rPr>
          <w:rFonts w:eastAsia="SimSun"/>
          <w:snapToGrid/>
          <w:szCs w:val="22"/>
          <w:lang w:eastAsia="zh-CN"/>
        </w:rPr>
        <w:t> </w:t>
      </w:r>
      <w:r w:rsidRPr="00997436">
        <w:rPr>
          <w:rFonts w:eastAsia="SimSun"/>
          <w:snapToGrid/>
          <w:szCs w:val="22"/>
          <w:lang w:eastAsia="zh-CN"/>
        </w:rPr>
        <w:t>mg per parą). Preliminari VTSN sergančių pacientų</w:t>
      </w:r>
      <w:r w:rsidR="00DC2054">
        <w:rPr>
          <w:rFonts w:eastAsia="SimSun"/>
          <w:snapToGrid/>
          <w:szCs w:val="22"/>
          <w:lang w:eastAsia="zh-CN"/>
        </w:rPr>
        <w:t xml:space="preserve"> </w:t>
      </w:r>
      <w:r w:rsidRPr="00997436">
        <w:rPr>
          <w:rFonts w:eastAsia="SimSun"/>
          <w:snapToGrid/>
          <w:szCs w:val="22"/>
          <w:lang w:eastAsia="zh-CN"/>
        </w:rPr>
        <w:t>populiacijos farmakokinetikos analizė parodė, kad trys kintamieji (</w:t>
      </w:r>
      <w:proofErr w:type="spellStart"/>
      <w:r w:rsidRPr="00997436">
        <w:rPr>
          <w:rFonts w:eastAsia="SimSun"/>
          <w:snapToGrid/>
          <w:szCs w:val="22"/>
          <w:lang w:eastAsia="zh-CN"/>
        </w:rPr>
        <w:t>albuminas</w:t>
      </w:r>
      <w:proofErr w:type="spellEnd"/>
      <w:r w:rsidRPr="00997436">
        <w:rPr>
          <w:rFonts w:eastAsia="SimSun"/>
          <w:snapToGrid/>
          <w:szCs w:val="22"/>
          <w:lang w:eastAsia="zh-CN"/>
        </w:rPr>
        <w:t xml:space="preserve">, BKK ir </w:t>
      </w:r>
      <w:proofErr w:type="spellStart"/>
      <w:r w:rsidRPr="00997436">
        <w:rPr>
          <w:rFonts w:eastAsia="SimSun"/>
          <w:snapToGrid/>
          <w:szCs w:val="22"/>
          <w:lang w:eastAsia="zh-CN"/>
        </w:rPr>
        <w:t>bilirubinas</w:t>
      </w:r>
      <w:proofErr w:type="spellEnd"/>
      <w:r w:rsidRPr="00997436">
        <w:rPr>
          <w:rFonts w:eastAsia="SimSun"/>
          <w:snapToGrid/>
          <w:szCs w:val="22"/>
          <w:lang w:eastAsia="zh-CN"/>
        </w:rPr>
        <w:t>) turi</w:t>
      </w:r>
      <w:r w:rsidR="00DC2054">
        <w:rPr>
          <w:rFonts w:eastAsia="SimSun"/>
          <w:snapToGrid/>
          <w:szCs w:val="22"/>
          <w:lang w:eastAsia="zh-CN"/>
        </w:rPr>
        <w:t xml:space="preserve"> </w:t>
      </w:r>
      <w:r w:rsidRPr="00997436">
        <w:rPr>
          <w:rFonts w:eastAsia="SimSun"/>
          <w:snapToGrid/>
          <w:szCs w:val="22"/>
          <w:lang w:eastAsia="zh-CN"/>
        </w:rPr>
        <w:t xml:space="preserve">statistiškai patikimą ryšį su </w:t>
      </w:r>
      <w:proofErr w:type="spellStart"/>
      <w:r w:rsidRPr="00997436">
        <w:rPr>
          <w:rFonts w:eastAsia="SimSun"/>
          <w:snapToGrid/>
          <w:szCs w:val="22"/>
          <w:lang w:eastAsia="zh-CN"/>
        </w:rPr>
        <w:t>imatinibo</w:t>
      </w:r>
      <w:proofErr w:type="spellEnd"/>
      <w:r w:rsidRPr="00997436">
        <w:rPr>
          <w:rFonts w:eastAsia="SimSun"/>
          <w:snapToGrid/>
          <w:szCs w:val="22"/>
          <w:lang w:eastAsia="zh-CN"/>
        </w:rPr>
        <w:t xml:space="preserve"> farmakokinetika. Sumažėjęs </w:t>
      </w:r>
      <w:proofErr w:type="spellStart"/>
      <w:r w:rsidRPr="00997436">
        <w:rPr>
          <w:rFonts w:eastAsia="SimSun"/>
          <w:snapToGrid/>
          <w:szCs w:val="22"/>
          <w:lang w:eastAsia="zh-CN"/>
        </w:rPr>
        <w:t>albumino</w:t>
      </w:r>
      <w:proofErr w:type="spellEnd"/>
      <w:r w:rsidRPr="00997436">
        <w:rPr>
          <w:rFonts w:eastAsia="SimSun"/>
          <w:snapToGrid/>
          <w:szCs w:val="22"/>
          <w:lang w:eastAsia="zh-CN"/>
        </w:rPr>
        <w:t xml:space="preserve"> kiekis sąlygoja mažesnį</w:t>
      </w:r>
      <w:r w:rsidR="00DC2054">
        <w:rPr>
          <w:rFonts w:eastAsia="SimSun"/>
          <w:snapToGrid/>
          <w:szCs w:val="22"/>
          <w:lang w:eastAsia="zh-CN"/>
        </w:rPr>
        <w:t xml:space="preserve"> </w:t>
      </w:r>
      <w:r w:rsidRPr="00997436">
        <w:rPr>
          <w:rFonts w:eastAsia="SimSun"/>
          <w:snapToGrid/>
          <w:szCs w:val="22"/>
          <w:lang w:eastAsia="zh-CN"/>
        </w:rPr>
        <w:t>klirensą (Cl/f); didesnis BKK skaičius mažina CL/f. Tačiau šie ryšiai nėra pakankamai ryškūs, kad</w:t>
      </w:r>
      <w:r w:rsidR="00DC2054">
        <w:rPr>
          <w:rFonts w:eastAsia="SimSun"/>
          <w:snapToGrid/>
          <w:szCs w:val="22"/>
          <w:lang w:eastAsia="zh-CN"/>
        </w:rPr>
        <w:t xml:space="preserve"> </w:t>
      </w:r>
      <w:r w:rsidRPr="00997436">
        <w:rPr>
          <w:rFonts w:eastAsia="SimSun"/>
          <w:snapToGrid/>
          <w:szCs w:val="22"/>
          <w:lang w:eastAsia="zh-CN"/>
        </w:rPr>
        <w:t>tektų koreguoti dozę. Ši</w:t>
      </w:r>
      <w:r w:rsidR="00DC2054">
        <w:rPr>
          <w:rFonts w:eastAsia="SimSun"/>
          <w:snapToGrid/>
          <w:szCs w:val="22"/>
          <w:lang w:eastAsia="zh-CN"/>
        </w:rPr>
        <w:t>oje pacientų populiacijoje</w:t>
      </w:r>
      <w:r w:rsidRPr="00997436">
        <w:rPr>
          <w:rFonts w:eastAsia="SimSun"/>
          <w:snapToGrid/>
          <w:szCs w:val="22"/>
          <w:lang w:eastAsia="zh-CN"/>
        </w:rPr>
        <w:t xml:space="preserve"> kepenų metastazės gali sąlygoti kepenų nepakankamumą ir</w:t>
      </w:r>
      <w:r w:rsidR="00DC2054">
        <w:rPr>
          <w:rFonts w:eastAsia="SimSun"/>
          <w:snapToGrid/>
          <w:szCs w:val="22"/>
          <w:lang w:eastAsia="zh-CN"/>
        </w:rPr>
        <w:t xml:space="preserve"> </w:t>
      </w:r>
      <w:r w:rsidRPr="00997436">
        <w:rPr>
          <w:rFonts w:eastAsia="SimSun"/>
          <w:snapToGrid/>
          <w:szCs w:val="22"/>
          <w:lang w:eastAsia="zh-CN"/>
        </w:rPr>
        <w:t>susilpnėjusį metabolizmą.</w:t>
      </w:r>
    </w:p>
    <w:p w14:paraId="5DA55A48" w14:textId="77777777" w:rsidR="00A5672C" w:rsidRPr="00CE7679" w:rsidRDefault="00A5672C" w:rsidP="00A27597">
      <w:pPr>
        <w:widowControl w:val="0"/>
        <w:autoSpaceDE w:val="0"/>
        <w:autoSpaceDN w:val="0"/>
        <w:adjustRightInd w:val="0"/>
        <w:spacing w:line="240" w:lineRule="auto"/>
        <w:rPr>
          <w:rFonts w:eastAsia="SimSun"/>
          <w:snapToGrid/>
          <w:szCs w:val="22"/>
          <w:lang w:eastAsia="zh-CN"/>
        </w:rPr>
      </w:pPr>
    </w:p>
    <w:p w14:paraId="2B855626"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roofErr w:type="spellStart"/>
      <w:r w:rsidRPr="00CE7679">
        <w:rPr>
          <w:rFonts w:eastAsia="SimSun"/>
          <w:snapToGrid/>
          <w:szCs w:val="22"/>
          <w:u w:val="single"/>
          <w:lang w:eastAsia="zh-CN"/>
        </w:rPr>
        <w:t>Populiacinė</w:t>
      </w:r>
      <w:proofErr w:type="spellEnd"/>
      <w:r w:rsidRPr="00CE7679">
        <w:rPr>
          <w:rFonts w:eastAsia="SimSun"/>
          <w:snapToGrid/>
          <w:szCs w:val="22"/>
          <w:u w:val="single"/>
          <w:lang w:eastAsia="zh-CN"/>
        </w:rPr>
        <w:t xml:space="preserve"> farmakokinetika</w:t>
      </w:r>
    </w:p>
    <w:p w14:paraId="3546A90D"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LML pacientų </w:t>
      </w:r>
      <w:proofErr w:type="spellStart"/>
      <w:r w:rsidRPr="00CE7679">
        <w:rPr>
          <w:rFonts w:eastAsia="SimSun"/>
          <w:snapToGrid/>
          <w:szCs w:val="22"/>
          <w:lang w:eastAsia="zh-CN"/>
        </w:rPr>
        <w:t>populiacinės</w:t>
      </w:r>
      <w:proofErr w:type="spellEnd"/>
      <w:r w:rsidRPr="00CE7679">
        <w:rPr>
          <w:rFonts w:eastAsia="SimSun"/>
          <w:snapToGrid/>
          <w:szCs w:val="22"/>
          <w:lang w:eastAsia="zh-CN"/>
        </w:rPr>
        <w:t xml:space="preserve"> farmakokinetikos analizė rodo, kad amžius turi mažą įtaką pasiskirstymo tūriui (12 % padidėja vyresniems kaip 65</w:t>
      </w:r>
      <w:r w:rsidR="00EF69C8" w:rsidRPr="00CE7679">
        <w:rPr>
          <w:rFonts w:eastAsia="SimSun"/>
          <w:snapToGrid/>
          <w:szCs w:val="22"/>
          <w:lang w:eastAsia="zh-CN"/>
        </w:rPr>
        <w:t> </w:t>
      </w:r>
      <w:r w:rsidRPr="00CE7679">
        <w:rPr>
          <w:rFonts w:eastAsia="SimSun"/>
          <w:snapToGrid/>
          <w:szCs w:val="22"/>
          <w:lang w:eastAsia="zh-CN"/>
        </w:rPr>
        <w:t xml:space="preserve">metų pacientams). Manoma, kad šis pokytis yra kliniškai nereikšmingas. Nustatyta kūno svorio įtaka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klirensui: pacientų, sveriančių 50</w:t>
      </w:r>
      <w:r w:rsidR="00EF69C8" w:rsidRPr="00CE7679">
        <w:rPr>
          <w:rFonts w:eastAsia="SimSun"/>
          <w:snapToGrid/>
          <w:szCs w:val="22"/>
          <w:lang w:eastAsia="zh-CN"/>
        </w:rPr>
        <w:t> </w:t>
      </w:r>
      <w:r w:rsidRPr="00CE7679">
        <w:rPr>
          <w:rFonts w:eastAsia="SimSun"/>
          <w:snapToGrid/>
          <w:szCs w:val="22"/>
          <w:lang w:eastAsia="zh-CN"/>
        </w:rPr>
        <w:t>kg, vidutinis klirensas gali būti 8,5</w:t>
      </w:r>
      <w:r w:rsidR="00EF69C8" w:rsidRPr="00CE7679">
        <w:rPr>
          <w:rFonts w:eastAsia="SimSun"/>
          <w:snapToGrid/>
          <w:szCs w:val="22"/>
          <w:lang w:eastAsia="zh-CN"/>
        </w:rPr>
        <w:t> </w:t>
      </w:r>
      <w:r w:rsidRPr="00CE7679">
        <w:rPr>
          <w:rFonts w:eastAsia="SimSun"/>
          <w:snapToGrid/>
          <w:szCs w:val="22"/>
          <w:lang w:eastAsia="zh-CN"/>
        </w:rPr>
        <w:t>l/val., o, sveriančių 100</w:t>
      </w:r>
      <w:r w:rsidR="00EF69C8" w:rsidRPr="00CE7679">
        <w:rPr>
          <w:rFonts w:eastAsia="SimSun"/>
          <w:snapToGrid/>
          <w:szCs w:val="22"/>
          <w:lang w:eastAsia="zh-CN"/>
        </w:rPr>
        <w:t> </w:t>
      </w:r>
      <w:r w:rsidRPr="00CE7679">
        <w:rPr>
          <w:rFonts w:eastAsia="SimSun"/>
          <w:snapToGrid/>
          <w:szCs w:val="22"/>
          <w:lang w:eastAsia="zh-CN"/>
        </w:rPr>
        <w:t>kg – padidėja iki 11,8</w:t>
      </w:r>
      <w:r w:rsidR="00EF69C8" w:rsidRPr="00CE7679">
        <w:rPr>
          <w:rFonts w:eastAsia="SimSun"/>
          <w:snapToGrid/>
          <w:szCs w:val="22"/>
          <w:lang w:eastAsia="zh-CN"/>
        </w:rPr>
        <w:t> </w:t>
      </w:r>
      <w:r w:rsidRPr="00CE7679">
        <w:rPr>
          <w:rFonts w:eastAsia="SimSun"/>
          <w:snapToGrid/>
          <w:szCs w:val="22"/>
          <w:lang w:eastAsia="zh-CN"/>
        </w:rPr>
        <w:t xml:space="preserve">l/val.. Tačiau dėl šių pokyčių dozės pagal kūno svorį koreguoti nereikia.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kinetikai lytis reikšmės neturi.</w:t>
      </w:r>
    </w:p>
    <w:p w14:paraId="72D028DE"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36BCC1FD"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u w:val="single"/>
          <w:lang w:eastAsia="zh-CN"/>
        </w:rPr>
        <w:t>Farmakokinetika vaikams</w:t>
      </w:r>
    </w:p>
    <w:p w14:paraId="026ACBC6"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Abiejų I ir II fazės tyrimų metu nustatyta, kad vaikų, kaip ir suaugusiųjų, organizme išgertas </w:t>
      </w:r>
      <w:proofErr w:type="spellStart"/>
      <w:r w:rsidRPr="00CE7679">
        <w:rPr>
          <w:rFonts w:eastAsia="SimSun"/>
          <w:snapToGrid/>
          <w:szCs w:val="22"/>
          <w:lang w:eastAsia="zh-CN"/>
        </w:rPr>
        <w:t>imatinibas</w:t>
      </w:r>
      <w:proofErr w:type="spellEnd"/>
      <w:r w:rsidRPr="00CE7679">
        <w:rPr>
          <w:rFonts w:eastAsia="SimSun"/>
          <w:snapToGrid/>
          <w:szCs w:val="22"/>
          <w:lang w:eastAsia="zh-CN"/>
        </w:rPr>
        <w:t xml:space="preserve"> greitai absorbuojamas. Skiriant vaikams po 260 mg/m</w:t>
      </w:r>
      <w:r w:rsidRPr="00CE7679">
        <w:rPr>
          <w:rFonts w:eastAsia="SimSun"/>
          <w:snapToGrid/>
          <w:szCs w:val="22"/>
          <w:vertAlign w:val="superscript"/>
          <w:lang w:eastAsia="zh-CN"/>
        </w:rPr>
        <w:t>2</w:t>
      </w:r>
      <w:r w:rsidRPr="00CE7679">
        <w:rPr>
          <w:rFonts w:eastAsia="SimSun"/>
          <w:snapToGrid/>
          <w:szCs w:val="22"/>
          <w:lang w:eastAsia="zh-CN"/>
        </w:rPr>
        <w:t xml:space="preserve"> ir po 340 mg/m</w:t>
      </w:r>
      <w:r w:rsidRPr="00CE7679">
        <w:rPr>
          <w:rFonts w:eastAsia="SimSun"/>
          <w:snapToGrid/>
          <w:szCs w:val="22"/>
          <w:vertAlign w:val="superscript"/>
          <w:lang w:eastAsia="zh-CN"/>
        </w:rPr>
        <w:t>2</w:t>
      </w:r>
      <w:r w:rsidRPr="00CE7679">
        <w:rPr>
          <w:rFonts w:eastAsia="SimSun"/>
          <w:snapToGrid/>
          <w:szCs w:val="22"/>
          <w:lang w:eastAsia="zh-CN"/>
        </w:rPr>
        <w:t xml:space="preserve"> per parą, pasiekta tokia pat ekspozicija kaip ir suaugusiesiems skiriant atitinkamai po 400 mg ir 600 mg per parą. Lyginant AUC</w:t>
      </w:r>
      <w:r w:rsidRPr="00CE7679">
        <w:rPr>
          <w:rFonts w:eastAsia="SimSun"/>
          <w:snapToGrid/>
          <w:szCs w:val="22"/>
          <w:vertAlign w:val="subscript"/>
          <w:lang w:eastAsia="zh-CN"/>
        </w:rPr>
        <w:t>(0-24)</w:t>
      </w:r>
      <w:r w:rsidRPr="00CE7679">
        <w:rPr>
          <w:rFonts w:eastAsia="SimSun"/>
          <w:snapToGrid/>
          <w:szCs w:val="22"/>
          <w:lang w:eastAsia="zh-CN"/>
        </w:rPr>
        <w:t xml:space="preserve"> 8-ąją ir 1-ąją dienomis, nustatyta, kad vartojant 340 mg/m</w:t>
      </w:r>
      <w:r w:rsidRPr="00CE7679">
        <w:rPr>
          <w:rFonts w:eastAsia="SimSun"/>
          <w:snapToGrid/>
          <w:szCs w:val="22"/>
          <w:vertAlign w:val="superscript"/>
          <w:lang w:eastAsia="zh-CN"/>
        </w:rPr>
        <w:t>2</w:t>
      </w:r>
      <w:r w:rsidRPr="00CE7679">
        <w:rPr>
          <w:rFonts w:eastAsia="SimSun"/>
          <w:snapToGrid/>
          <w:szCs w:val="22"/>
          <w:lang w:eastAsia="zh-CN"/>
        </w:rPr>
        <w:t xml:space="preserve"> per parą dozę būna 1,7</w:t>
      </w:r>
      <w:r w:rsidR="00EF69C8" w:rsidRPr="00CE7679">
        <w:rPr>
          <w:rFonts w:eastAsia="SimSun"/>
          <w:snapToGrid/>
          <w:szCs w:val="22"/>
          <w:lang w:eastAsia="zh-CN"/>
        </w:rPr>
        <w:t> </w:t>
      </w:r>
      <w:r w:rsidRPr="00CE7679">
        <w:rPr>
          <w:rFonts w:eastAsia="SimSun"/>
          <w:snapToGrid/>
          <w:szCs w:val="22"/>
          <w:lang w:eastAsia="zh-CN"/>
        </w:rPr>
        <w:t>karto didesnė vaistinio preparato kumuliacija po kartotinio vieną kartą per parą dozavimo.</w:t>
      </w:r>
    </w:p>
    <w:p w14:paraId="56181BA2"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75E8F23D"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Remiantis apibendrinta hematologinėmis ligomis (LML, </w:t>
      </w:r>
      <w:proofErr w:type="spellStart"/>
      <w:r w:rsidRPr="00CE7679">
        <w:rPr>
          <w:rFonts w:eastAsia="SimSun"/>
          <w:snapToGrid/>
          <w:szCs w:val="22"/>
          <w:lang w:eastAsia="zh-CN"/>
        </w:rPr>
        <w:t>Ph+ŪLL</w:t>
      </w:r>
      <w:proofErr w:type="spellEnd"/>
      <w:r w:rsidRPr="00CE7679">
        <w:rPr>
          <w:rFonts w:eastAsia="SimSun"/>
          <w:snapToGrid/>
          <w:szCs w:val="22"/>
          <w:lang w:eastAsia="zh-CN"/>
        </w:rPr>
        <w:t xml:space="preserve"> ar kitomis </w:t>
      </w:r>
      <w:proofErr w:type="spellStart"/>
      <w:r w:rsidRPr="00CE7679">
        <w:rPr>
          <w:rFonts w:eastAsia="SimSun"/>
          <w:snapToGrid/>
          <w:szCs w:val="22"/>
          <w:lang w:eastAsia="zh-CN"/>
        </w:rPr>
        <w:t>imatinibu</w:t>
      </w:r>
      <w:proofErr w:type="spellEnd"/>
      <w:r w:rsidRPr="00CE7679">
        <w:rPr>
          <w:rFonts w:eastAsia="SimSun"/>
          <w:snapToGrid/>
          <w:szCs w:val="22"/>
          <w:lang w:eastAsia="zh-CN"/>
        </w:rPr>
        <w:t xml:space="preserve"> gydomomis hematologinėmis ligomis) sergančių vaikų populiacijos farmakokinetikos duomenų analize,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klirensas didėja priklausomai nuo didėjančio kūno paviršiaus ploto (KPP). Pakoregavus dėl KPP poveikio, kiti demografiniai rodikliai (pvz., amžius, kūno svoris ir kūno masės indeksas) neturi kliniškai reikšmingos įtakos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ekspozicijai. Duomenų analizė patvirtino, kad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ekspozicija vaikų populiacijos pacientams, kurie vartojo 260 mg/m</w:t>
      </w:r>
      <w:r w:rsidRPr="00CE7679">
        <w:rPr>
          <w:rFonts w:eastAsia="SimSun"/>
          <w:snapToGrid/>
          <w:szCs w:val="22"/>
          <w:vertAlign w:val="superscript"/>
          <w:lang w:eastAsia="zh-CN"/>
        </w:rPr>
        <w:t>2</w:t>
      </w:r>
      <w:r w:rsidRPr="00CE7679">
        <w:rPr>
          <w:rFonts w:eastAsia="SimSun"/>
          <w:snapToGrid/>
          <w:szCs w:val="22"/>
          <w:lang w:eastAsia="zh-CN"/>
        </w:rPr>
        <w:t xml:space="preserve"> paros dozę (neviršijant 400 mg paros dozės) arba po 340 mg/m</w:t>
      </w:r>
      <w:r w:rsidRPr="00CE7679">
        <w:rPr>
          <w:rFonts w:eastAsia="SimSun"/>
          <w:snapToGrid/>
          <w:szCs w:val="22"/>
          <w:vertAlign w:val="superscript"/>
          <w:lang w:eastAsia="zh-CN"/>
        </w:rPr>
        <w:t>2</w:t>
      </w:r>
      <w:r w:rsidRPr="00CE7679">
        <w:rPr>
          <w:rFonts w:eastAsia="SimSun"/>
          <w:snapToGrid/>
          <w:szCs w:val="22"/>
          <w:lang w:eastAsia="zh-CN"/>
        </w:rPr>
        <w:t xml:space="preserve"> paros dozę (neviršijant 600 mg kartą per parą), buvo panaši į ekspoziciją suaugusiems pacientams, kurie vartojo 400 mg arba 600 mg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kartą per parą.</w:t>
      </w:r>
    </w:p>
    <w:p w14:paraId="04A1FD95"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5589F480"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u w:val="single"/>
          <w:lang w:eastAsia="zh-CN"/>
        </w:rPr>
        <w:t>Organų funkcijos sutrikimas</w:t>
      </w:r>
    </w:p>
    <w:p w14:paraId="2875B542" w14:textId="33D80458"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Pro inkstus išsiskiria nedaug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ir jo metabolitų. Manoma, kad pacientams, kuriems yra lengvas ir vidutinio sunkumo inkstų funkcijos sutrikimas, būdinga apytikriai 1,5-2</w:t>
      </w:r>
      <w:r w:rsidR="00EF69C8" w:rsidRPr="00CE7679">
        <w:rPr>
          <w:rFonts w:eastAsia="SimSun"/>
          <w:snapToGrid/>
          <w:szCs w:val="22"/>
          <w:lang w:eastAsia="zh-CN"/>
        </w:rPr>
        <w:t> </w:t>
      </w:r>
      <w:r w:rsidRPr="00CE7679">
        <w:rPr>
          <w:rFonts w:eastAsia="SimSun"/>
          <w:snapToGrid/>
          <w:szCs w:val="22"/>
          <w:lang w:eastAsia="zh-CN"/>
        </w:rPr>
        <w:t xml:space="preserve">kartus didesnė ekspozicija </w:t>
      </w:r>
      <w:r w:rsidRPr="00CE7679">
        <w:rPr>
          <w:rFonts w:eastAsia="SimSun"/>
          <w:snapToGrid/>
          <w:szCs w:val="22"/>
          <w:lang w:eastAsia="zh-CN"/>
        </w:rPr>
        <w:lastRenderedPageBreak/>
        <w:t>plazmoje nei pacientams, kurių inkstų funkcija normali. Toks padidėjimas atitinka 1,5</w:t>
      </w:r>
      <w:r w:rsidR="00EF69C8" w:rsidRPr="00CE7679">
        <w:rPr>
          <w:rFonts w:eastAsia="SimSun"/>
          <w:snapToGrid/>
          <w:szCs w:val="22"/>
          <w:lang w:eastAsia="zh-CN"/>
        </w:rPr>
        <w:t> </w:t>
      </w:r>
      <w:r w:rsidRPr="00CE7679">
        <w:rPr>
          <w:rFonts w:eastAsia="SimSun"/>
          <w:snapToGrid/>
          <w:szCs w:val="22"/>
          <w:lang w:eastAsia="zh-CN"/>
        </w:rPr>
        <w:t xml:space="preserve">karto didesnį stipriai </w:t>
      </w:r>
      <w:proofErr w:type="spellStart"/>
      <w:r w:rsidRPr="00CE7679">
        <w:rPr>
          <w:rFonts w:eastAsia="SimSun"/>
          <w:snapToGrid/>
          <w:szCs w:val="22"/>
          <w:lang w:eastAsia="zh-CN"/>
        </w:rPr>
        <w:t>imatinibą</w:t>
      </w:r>
      <w:proofErr w:type="spellEnd"/>
      <w:r w:rsidRPr="00CE7679">
        <w:rPr>
          <w:rFonts w:eastAsia="SimSun"/>
          <w:snapToGrid/>
          <w:szCs w:val="22"/>
          <w:lang w:eastAsia="zh-CN"/>
        </w:rPr>
        <w:t xml:space="preserve"> surišančio AGP kiekį plazmoje. Tikriausiai laisvo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klirensas yra panašus ir vaistinį preparatą vartojant pacientams, kurių inkstų funkcija sutrikusi, ir tiems, kurių inkstų funkcija normali, nes pro inkstus išsiskiria tik nedidelė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dalis (žr.</w:t>
      </w:r>
      <w:r w:rsidR="00F914DE">
        <w:rPr>
          <w:rFonts w:eastAsia="SimSun"/>
          <w:snapToGrid/>
          <w:szCs w:val="22"/>
          <w:lang w:eastAsia="zh-CN"/>
        </w:rPr>
        <w:t> </w:t>
      </w:r>
      <w:r w:rsidRPr="00CE7679">
        <w:rPr>
          <w:rFonts w:eastAsia="SimSun"/>
          <w:snapToGrid/>
          <w:szCs w:val="22"/>
          <w:lang w:eastAsia="zh-CN"/>
        </w:rPr>
        <w:t>4.2 ir 4.4</w:t>
      </w:r>
      <w:r w:rsidR="00F914DE">
        <w:rPr>
          <w:rFonts w:eastAsia="SimSun"/>
          <w:snapToGrid/>
          <w:szCs w:val="22"/>
          <w:lang w:eastAsia="zh-CN"/>
        </w:rPr>
        <w:t> </w:t>
      </w:r>
      <w:r w:rsidRPr="00CE7679">
        <w:rPr>
          <w:rFonts w:eastAsia="SimSun"/>
          <w:snapToGrid/>
          <w:szCs w:val="22"/>
          <w:lang w:eastAsia="zh-CN"/>
        </w:rPr>
        <w:t>skyrius).</w:t>
      </w:r>
    </w:p>
    <w:p w14:paraId="46B767E3"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0519512D" w14:textId="7A195BCD"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Nors </w:t>
      </w:r>
      <w:proofErr w:type="spellStart"/>
      <w:r w:rsidRPr="00CE7679">
        <w:rPr>
          <w:rFonts w:eastAsia="SimSun"/>
          <w:snapToGrid/>
          <w:szCs w:val="22"/>
          <w:lang w:eastAsia="zh-CN"/>
        </w:rPr>
        <w:t>farmakokinetinės</w:t>
      </w:r>
      <w:proofErr w:type="spellEnd"/>
      <w:r w:rsidRPr="00CE7679">
        <w:rPr>
          <w:rFonts w:eastAsia="SimSun"/>
          <w:snapToGrid/>
          <w:szCs w:val="22"/>
          <w:lang w:eastAsia="zh-CN"/>
        </w:rPr>
        <w:t xml:space="preserve"> analizės duomenys parodė, kad galimi ryškūs svyravimai tarp asmenų,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ekspozicija nedidėja pacientams, kuriems yra įvairaus laipsnio kepenų funkcijos sutrikimas, lyginant su pacientais, kurių kepenų funkcija normali (žr.</w:t>
      </w:r>
      <w:r w:rsidR="00F914DE">
        <w:rPr>
          <w:rFonts w:eastAsia="SimSun"/>
          <w:snapToGrid/>
          <w:szCs w:val="22"/>
          <w:lang w:eastAsia="zh-CN"/>
        </w:rPr>
        <w:t> </w:t>
      </w:r>
      <w:r w:rsidRPr="00CE7679">
        <w:rPr>
          <w:rFonts w:eastAsia="SimSun"/>
          <w:snapToGrid/>
          <w:szCs w:val="22"/>
          <w:lang w:eastAsia="zh-CN"/>
        </w:rPr>
        <w:t>4.2, 4.4 ir 4.8</w:t>
      </w:r>
      <w:r w:rsidR="00F914DE">
        <w:rPr>
          <w:rFonts w:eastAsia="SimSun"/>
          <w:snapToGrid/>
          <w:szCs w:val="22"/>
          <w:lang w:eastAsia="zh-CN"/>
        </w:rPr>
        <w:t> </w:t>
      </w:r>
      <w:r w:rsidRPr="00CE7679">
        <w:rPr>
          <w:rFonts w:eastAsia="SimSun"/>
          <w:snapToGrid/>
          <w:szCs w:val="22"/>
          <w:lang w:eastAsia="zh-CN"/>
        </w:rPr>
        <w:t>skyrius).</w:t>
      </w:r>
    </w:p>
    <w:p w14:paraId="374BD96E"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73E11FA2" w14:textId="77777777" w:rsidR="00A27597" w:rsidRPr="00CE7679" w:rsidRDefault="00A27597" w:rsidP="00A27597">
      <w:pPr>
        <w:widowControl w:val="0"/>
        <w:autoSpaceDE w:val="0"/>
        <w:autoSpaceDN w:val="0"/>
        <w:adjustRightInd w:val="0"/>
        <w:spacing w:line="240" w:lineRule="auto"/>
        <w:rPr>
          <w:rFonts w:eastAsia="SimSun"/>
          <w:b/>
          <w:snapToGrid/>
          <w:szCs w:val="22"/>
          <w:lang w:eastAsia="zh-CN"/>
        </w:rPr>
      </w:pPr>
      <w:r w:rsidRPr="00CE7679">
        <w:rPr>
          <w:rFonts w:eastAsia="SimSun"/>
          <w:b/>
          <w:snapToGrid/>
          <w:szCs w:val="22"/>
          <w:lang w:eastAsia="zh-CN"/>
        </w:rPr>
        <w:t>5.3</w:t>
      </w:r>
      <w:r w:rsidRPr="00CE7679">
        <w:rPr>
          <w:rFonts w:eastAsia="SimSun"/>
          <w:b/>
          <w:snapToGrid/>
          <w:szCs w:val="22"/>
          <w:lang w:eastAsia="zh-CN"/>
        </w:rPr>
        <w:tab/>
        <w:t>Ikiklinikinių saugumo tyrimų duomenys</w:t>
      </w:r>
    </w:p>
    <w:p w14:paraId="1E877F6B" w14:textId="77777777" w:rsidR="00A27597" w:rsidRPr="00CE7679" w:rsidRDefault="00A27597" w:rsidP="00A27597">
      <w:pPr>
        <w:spacing w:line="240" w:lineRule="auto"/>
        <w:rPr>
          <w:rFonts w:eastAsia="SimSun"/>
          <w:snapToGrid/>
          <w:szCs w:val="22"/>
          <w:lang w:eastAsia="zh-CN"/>
        </w:rPr>
      </w:pPr>
    </w:p>
    <w:p w14:paraId="4F2FDF32"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roofErr w:type="spellStart"/>
      <w:r w:rsidRPr="00CE7679">
        <w:rPr>
          <w:rFonts w:eastAsia="SimSun"/>
          <w:snapToGrid/>
          <w:szCs w:val="22"/>
          <w:lang w:eastAsia="zh-CN"/>
        </w:rPr>
        <w:t>Ikiklinikinis</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saugumo pobūdis įvertintas žiurkėms, šunims, beždžionėms ir triušiams. </w:t>
      </w:r>
    </w:p>
    <w:p w14:paraId="7A926B42"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5E29CAF8"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Kartotinių dozių toksiškumo tyrimai atskleidė nesunkių ar vidutinio sunkumo hematologinių pokyčių žiurkėms, šunims ir beždžionėms, lydimų kaulų čiulpų pokyčių žiurkėms ir šunims.</w:t>
      </w:r>
    </w:p>
    <w:p w14:paraId="045C8003"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6BA7A67D"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Kepenys buvo organas taikinys žiurkėse ir šunyse. Abiejų rūšių gyvūnams nustatytas neryškiai ar vidutiniškai padidėjęs </w:t>
      </w:r>
      <w:proofErr w:type="spellStart"/>
      <w:r w:rsidRPr="00CE7679">
        <w:rPr>
          <w:rFonts w:eastAsia="SimSun"/>
          <w:snapToGrid/>
          <w:szCs w:val="22"/>
          <w:lang w:eastAsia="zh-CN"/>
        </w:rPr>
        <w:t>transaminazių</w:t>
      </w:r>
      <w:proofErr w:type="spellEnd"/>
      <w:r w:rsidRPr="00CE7679">
        <w:rPr>
          <w:rFonts w:eastAsia="SimSun"/>
          <w:snapToGrid/>
          <w:szCs w:val="22"/>
          <w:lang w:eastAsia="zh-CN"/>
        </w:rPr>
        <w:t xml:space="preserve"> aktyvumas ir šiek tiek sumažėjusi cholesterolio, trigliceridų, bendrojo baltymo ir </w:t>
      </w:r>
      <w:proofErr w:type="spellStart"/>
      <w:r w:rsidRPr="00CE7679">
        <w:rPr>
          <w:rFonts w:eastAsia="SimSun"/>
          <w:snapToGrid/>
          <w:szCs w:val="22"/>
          <w:lang w:eastAsia="zh-CN"/>
        </w:rPr>
        <w:t>albumino</w:t>
      </w:r>
      <w:proofErr w:type="spellEnd"/>
      <w:r w:rsidRPr="00CE7679">
        <w:rPr>
          <w:rFonts w:eastAsia="SimSun"/>
          <w:snapToGrid/>
          <w:szCs w:val="22"/>
          <w:lang w:eastAsia="zh-CN"/>
        </w:rPr>
        <w:t xml:space="preserve"> koncentracija. Jokių </w:t>
      </w:r>
      <w:proofErr w:type="spellStart"/>
      <w:r w:rsidRPr="00CE7679">
        <w:rPr>
          <w:rFonts w:eastAsia="SimSun"/>
          <w:snapToGrid/>
          <w:szCs w:val="22"/>
          <w:lang w:eastAsia="zh-CN"/>
        </w:rPr>
        <w:t>histopatologinių</w:t>
      </w:r>
      <w:proofErr w:type="spellEnd"/>
      <w:r w:rsidRPr="00CE7679">
        <w:rPr>
          <w:rFonts w:eastAsia="SimSun"/>
          <w:snapToGrid/>
          <w:szCs w:val="22"/>
          <w:lang w:eastAsia="zh-CN"/>
        </w:rPr>
        <w:t xml:space="preserve"> žiurkių kepenų pokyčių nenustatyta. Šunims, gydytiems 2</w:t>
      </w:r>
      <w:r w:rsidR="00EF69C8" w:rsidRPr="00CE7679">
        <w:rPr>
          <w:rFonts w:eastAsia="SimSun"/>
          <w:snapToGrid/>
          <w:szCs w:val="22"/>
          <w:lang w:eastAsia="zh-CN"/>
        </w:rPr>
        <w:t> </w:t>
      </w:r>
      <w:r w:rsidRPr="00CE7679">
        <w:rPr>
          <w:rFonts w:eastAsia="SimSun"/>
          <w:snapToGrid/>
          <w:szCs w:val="22"/>
          <w:lang w:eastAsia="zh-CN"/>
        </w:rPr>
        <w:t xml:space="preserve">savaites, nustatytas sunkus toksinis poveikis kepenims, pasireiškęs padidėjusiu kepenų fermentų aktyvumu, kepenų ląstelių ir tulžies latakų nekroze bei tulžies latakų </w:t>
      </w:r>
      <w:proofErr w:type="spellStart"/>
      <w:r w:rsidRPr="00CE7679">
        <w:rPr>
          <w:rFonts w:eastAsia="SimSun"/>
          <w:snapToGrid/>
          <w:szCs w:val="22"/>
          <w:lang w:eastAsia="zh-CN"/>
        </w:rPr>
        <w:t>hiperplazija</w:t>
      </w:r>
      <w:proofErr w:type="spellEnd"/>
      <w:r w:rsidRPr="00CE7679">
        <w:rPr>
          <w:rFonts w:eastAsia="SimSun"/>
          <w:snapToGrid/>
          <w:szCs w:val="22"/>
          <w:lang w:eastAsia="zh-CN"/>
        </w:rPr>
        <w:t>.</w:t>
      </w:r>
    </w:p>
    <w:p w14:paraId="19AAFA7B"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4F57F7E8"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Beždžionėms, gydytoms 2</w:t>
      </w:r>
      <w:r w:rsidR="00EF69C8" w:rsidRPr="00CE7679">
        <w:rPr>
          <w:rFonts w:eastAsia="SimSun"/>
          <w:snapToGrid/>
          <w:szCs w:val="22"/>
          <w:lang w:eastAsia="zh-CN"/>
        </w:rPr>
        <w:t> </w:t>
      </w:r>
      <w:r w:rsidRPr="00CE7679">
        <w:rPr>
          <w:rFonts w:eastAsia="SimSun"/>
          <w:snapToGrid/>
          <w:szCs w:val="22"/>
          <w:lang w:eastAsia="zh-CN"/>
        </w:rPr>
        <w:t xml:space="preserve">savaites, nustatytas toksinis poveikis inkstams su </w:t>
      </w:r>
      <w:proofErr w:type="spellStart"/>
      <w:r w:rsidRPr="00CE7679">
        <w:rPr>
          <w:rFonts w:eastAsia="SimSun"/>
          <w:snapToGrid/>
          <w:szCs w:val="22"/>
          <w:lang w:eastAsia="zh-CN"/>
        </w:rPr>
        <w:t>židinine</w:t>
      </w:r>
      <w:proofErr w:type="spellEnd"/>
      <w:r w:rsidRPr="00CE7679">
        <w:rPr>
          <w:rFonts w:eastAsia="SimSun"/>
          <w:snapToGrid/>
          <w:szCs w:val="22"/>
          <w:lang w:eastAsia="zh-CN"/>
        </w:rPr>
        <w:t xml:space="preserve"> mineralizacija ir inkstų kanalėlių </w:t>
      </w:r>
      <w:proofErr w:type="spellStart"/>
      <w:r w:rsidRPr="00CE7679">
        <w:rPr>
          <w:rFonts w:eastAsia="SimSun"/>
          <w:snapToGrid/>
          <w:szCs w:val="22"/>
          <w:lang w:eastAsia="zh-CN"/>
        </w:rPr>
        <w:t>dilatacija</w:t>
      </w:r>
      <w:proofErr w:type="spellEnd"/>
      <w:r w:rsidRPr="00CE7679">
        <w:rPr>
          <w:rFonts w:eastAsia="SimSun"/>
          <w:snapToGrid/>
          <w:szCs w:val="22"/>
          <w:lang w:eastAsia="zh-CN"/>
        </w:rPr>
        <w:t xml:space="preserve"> bei kanalėlių </w:t>
      </w:r>
      <w:proofErr w:type="spellStart"/>
      <w:r w:rsidRPr="00CE7679">
        <w:rPr>
          <w:rFonts w:eastAsia="SimSun"/>
          <w:snapToGrid/>
          <w:szCs w:val="22"/>
          <w:lang w:eastAsia="zh-CN"/>
        </w:rPr>
        <w:t>nefroze</w:t>
      </w:r>
      <w:proofErr w:type="spellEnd"/>
      <w:r w:rsidRPr="00CE7679">
        <w:rPr>
          <w:rFonts w:eastAsia="SimSun"/>
          <w:snapToGrid/>
          <w:szCs w:val="22"/>
          <w:lang w:eastAsia="zh-CN"/>
        </w:rPr>
        <w:t xml:space="preserve">. Kelioms beždžionėms nustatyta padidėjusi </w:t>
      </w:r>
      <w:proofErr w:type="spellStart"/>
      <w:r w:rsidRPr="00CE7679">
        <w:rPr>
          <w:rFonts w:eastAsia="SimSun"/>
          <w:snapToGrid/>
          <w:szCs w:val="22"/>
          <w:lang w:eastAsia="zh-CN"/>
        </w:rPr>
        <w:t>urėjos</w:t>
      </w:r>
      <w:proofErr w:type="spellEnd"/>
      <w:r w:rsidRPr="00CE7679">
        <w:rPr>
          <w:rFonts w:eastAsia="SimSun"/>
          <w:snapToGrid/>
          <w:szCs w:val="22"/>
          <w:lang w:eastAsia="zh-CN"/>
        </w:rPr>
        <w:t xml:space="preserve"> ir kreatinino koncentracija kraujyje. 13</w:t>
      </w:r>
      <w:r w:rsidR="00EF69C8" w:rsidRPr="00CE7679">
        <w:rPr>
          <w:rFonts w:eastAsia="SimSun"/>
          <w:snapToGrid/>
          <w:szCs w:val="22"/>
          <w:lang w:eastAsia="zh-CN"/>
        </w:rPr>
        <w:t> </w:t>
      </w:r>
      <w:r w:rsidRPr="00CE7679">
        <w:rPr>
          <w:rFonts w:eastAsia="SimSun"/>
          <w:snapToGrid/>
          <w:szCs w:val="22"/>
          <w:lang w:eastAsia="zh-CN"/>
        </w:rPr>
        <w:t xml:space="preserve">savaičių tyrimų metu, žiurkėms, gavusioms </w:t>
      </w:r>
      <w:r w:rsidRPr="00CE7679">
        <w:rPr>
          <w:rFonts w:eastAsia="Calibri"/>
          <w:snapToGrid/>
          <w:szCs w:val="22"/>
          <w:u w:val="single"/>
          <w:lang w:eastAsia="zh-CN"/>
        </w:rPr>
        <w:t>&gt; </w:t>
      </w:r>
      <w:r w:rsidRPr="00CE7679">
        <w:rPr>
          <w:rFonts w:eastAsia="SimSun"/>
          <w:snapToGrid/>
          <w:szCs w:val="22"/>
          <w:lang w:eastAsia="zh-CN"/>
        </w:rPr>
        <w:t xml:space="preserve">6 mg/kg dozę, pastebėta inkstų spenelių ir šlapimo pūslės pereinamojo epitelio </w:t>
      </w:r>
      <w:proofErr w:type="spellStart"/>
      <w:r w:rsidRPr="00CE7679">
        <w:rPr>
          <w:rFonts w:eastAsia="SimSun"/>
          <w:snapToGrid/>
          <w:szCs w:val="22"/>
          <w:lang w:eastAsia="zh-CN"/>
        </w:rPr>
        <w:t>hiperplazija</w:t>
      </w:r>
      <w:proofErr w:type="spellEnd"/>
      <w:r w:rsidRPr="00CE7679">
        <w:rPr>
          <w:rFonts w:eastAsia="SimSun"/>
          <w:snapToGrid/>
          <w:szCs w:val="22"/>
          <w:lang w:eastAsia="zh-CN"/>
        </w:rPr>
        <w:t xml:space="preserve"> be serumo ar šlapimo rodiklių pokyčių. Ilgai gydomiems </w:t>
      </w:r>
      <w:proofErr w:type="spellStart"/>
      <w:r w:rsidRPr="00CE7679">
        <w:rPr>
          <w:rFonts w:eastAsia="SimSun"/>
          <w:snapToGrid/>
          <w:szCs w:val="22"/>
          <w:lang w:eastAsia="zh-CN"/>
        </w:rPr>
        <w:t>imatinibu</w:t>
      </w:r>
      <w:proofErr w:type="spellEnd"/>
      <w:r w:rsidRPr="00CE7679">
        <w:rPr>
          <w:rFonts w:eastAsia="SimSun"/>
          <w:snapToGrid/>
          <w:szCs w:val="22"/>
          <w:lang w:eastAsia="zh-CN"/>
        </w:rPr>
        <w:t xml:space="preserve"> gyvūnams pastebėtas oportunistinių infekcijų padažnėjimas.</w:t>
      </w:r>
    </w:p>
    <w:p w14:paraId="7CCE5419"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127D349A"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39</w:t>
      </w:r>
      <w:r w:rsidR="00EF69C8" w:rsidRPr="00CE7679">
        <w:rPr>
          <w:rFonts w:eastAsia="SimSun"/>
          <w:snapToGrid/>
          <w:szCs w:val="22"/>
          <w:lang w:eastAsia="zh-CN"/>
        </w:rPr>
        <w:t> </w:t>
      </w:r>
      <w:r w:rsidRPr="00CE7679">
        <w:rPr>
          <w:rFonts w:eastAsia="SimSun"/>
          <w:snapToGrid/>
          <w:szCs w:val="22"/>
          <w:lang w:eastAsia="zh-CN"/>
        </w:rPr>
        <w:t xml:space="preserve">savaičių tyrimo metu beždžionėms, gavusioms mažiausią 15 mg/kg dozę, vidutiniškai trečdalį didžiausios 800 mg žmogaus dozės pagal kūno paviršiaus plotą, dozių lygmuo, kuriam esant nepastebimas nepageidaujamas poveikis (angl. </w:t>
      </w:r>
      <w:proofErr w:type="spellStart"/>
      <w:r w:rsidRPr="00CE7679">
        <w:rPr>
          <w:i/>
          <w:szCs w:val="22"/>
        </w:rPr>
        <w:t>No</w:t>
      </w:r>
      <w:proofErr w:type="spellEnd"/>
      <w:r w:rsidRPr="00CE7679">
        <w:rPr>
          <w:i/>
          <w:szCs w:val="22"/>
        </w:rPr>
        <w:t xml:space="preserve"> </w:t>
      </w:r>
      <w:proofErr w:type="spellStart"/>
      <w:r w:rsidRPr="00CE7679">
        <w:rPr>
          <w:i/>
          <w:szCs w:val="22"/>
        </w:rPr>
        <w:t>observed</w:t>
      </w:r>
      <w:proofErr w:type="spellEnd"/>
      <w:r w:rsidRPr="00CE7679">
        <w:rPr>
          <w:i/>
          <w:szCs w:val="22"/>
        </w:rPr>
        <w:t xml:space="preserve"> </w:t>
      </w:r>
      <w:proofErr w:type="spellStart"/>
      <w:r w:rsidRPr="00CE7679">
        <w:rPr>
          <w:i/>
          <w:szCs w:val="22"/>
        </w:rPr>
        <w:t>adverse</w:t>
      </w:r>
      <w:proofErr w:type="spellEnd"/>
      <w:r w:rsidRPr="00CE7679">
        <w:rPr>
          <w:i/>
          <w:szCs w:val="22"/>
        </w:rPr>
        <w:t xml:space="preserve"> </w:t>
      </w:r>
      <w:proofErr w:type="spellStart"/>
      <w:r w:rsidRPr="00CE7679">
        <w:rPr>
          <w:i/>
          <w:szCs w:val="22"/>
        </w:rPr>
        <w:t>effect</w:t>
      </w:r>
      <w:proofErr w:type="spellEnd"/>
      <w:r w:rsidRPr="00CE7679">
        <w:rPr>
          <w:i/>
          <w:szCs w:val="22"/>
        </w:rPr>
        <w:t xml:space="preserve"> </w:t>
      </w:r>
      <w:proofErr w:type="spellStart"/>
      <w:r w:rsidRPr="00CE7679">
        <w:rPr>
          <w:i/>
          <w:szCs w:val="22"/>
        </w:rPr>
        <w:t>level</w:t>
      </w:r>
      <w:proofErr w:type="spellEnd"/>
      <w:r w:rsidRPr="00CE7679">
        <w:rPr>
          <w:i/>
          <w:szCs w:val="22"/>
        </w:rPr>
        <w:t xml:space="preserve">, </w:t>
      </w:r>
      <w:r w:rsidRPr="00CE7679">
        <w:rPr>
          <w:szCs w:val="22"/>
        </w:rPr>
        <w:t>NOAEL)</w:t>
      </w:r>
      <w:r w:rsidRPr="00CE7679">
        <w:rPr>
          <w:rFonts w:eastAsia="SimSun"/>
          <w:snapToGrid/>
          <w:szCs w:val="22"/>
          <w:lang w:eastAsia="zh-CN"/>
        </w:rPr>
        <w:t xml:space="preserve"> nenustatytas. Gydymas pablogino šių gyvūnų normaliai nuslopintą maliarijos infekciją.</w:t>
      </w:r>
    </w:p>
    <w:p w14:paraId="6857B29D"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076C137F"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roofErr w:type="spellStart"/>
      <w:r w:rsidRPr="00CE7679">
        <w:rPr>
          <w:rFonts w:eastAsia="SimSun"/>
          <w:snapToGrid/>
          <w:szCs w:val="22"/>
          <w:lang w:eastAsia="zh-CN"/>
        </w:rPr>
        <w:t>Imatinibas</w:t>
      </w:r>
      <w:proofErr w:type="spellEnd"/>
      <w:r w:rsidRPr="00CE7679">
        <w:rPr>
          <w:rFonts w:eastAsia="SimSun"/>
          <w:snapToGrid/>
          <w:szCs w:val="22"/>
          <w:lang w:eastAsia="zh-CN"/>
        </w:rPr>
        <w:t xml:space="preserve"> nebuvo </w:t>
      </w:r>
      <w:proofErr w:type="spellStart"/>
      <w:r w:rsidRPr="00CE7679">
        <w:rPr>
          <w:rFonts w:eastAsia="SimSun"/>
          <w:snapToGrid/>
          <w:szCs w:val="22"/>
          <w:lang w:eastAsia="zh-CN"/>
        </w:rPr>
        <w:t>genotoksiškas</w:t>
      </w:r>
      <w:proofErr w:type="spellEnd"/>
      <w:r w:rsidRPr="00CE7679">
        <w:rPr>
          <w:rFonts w:eastAsia="SimSun"/>
          <w:snapToGrid/>
          <w:szCs w:val="22"/>
          <w:lang w:eastAsia="zh-CN"/>
        </w:rPr>
        <w:t xml:space="preserve"> </w:t>
      </w:r>
      <w:proofErr w:type="spellStart"/>
      <w:r w:rsidRPr="00CE7679">
        <w:rPr>
          <w:rFonts w:eastAsia="SimSun"/>
          <w:i/>
          <w:iCs/>
          <w:snapToGrid/>
          <w:szCs w:val="22"/>
          <w:lang w:eastAsia="zh-CN"/>
        </w:rPr>
        <w:t>in</w:t>
      </w:r>
      <w:proofErr w:type="spellEnd"/>
      <w:r w:rsidRPr="00CE7679">
        <w:rPr>
          <w:rFonts w:eastAsia="SimSun"/>
          <w:i/>
          <w:iCs/>
          <w:snapToGrid/>
          <w:szCs w:val="22"/>
          <w:lang w:eastAsia="zh-CN"/>
        </w:rPr>
        <w:t xml:space="preserve"> </w:t>
      </w:r>
      <w:proofErr w:type="spellStart"/>
      <w:r w:rsidRPr="00CE7679">
        <w:rPr>
          <w:rFonts w:eastAsia="SimSun"/>
          <w:i/>
          <w:iCs/>
          <w:snapToGrid/>
          <w:szCs w:val="22"/>
          <w:lang w:eastAsia="zh-CN"/>
        </w:rPr>
        <w:t>vitro</w:t>
      </w:r>
      <w:proofErr w:type="spellEnd"/>
      <w:r w:rsidRPr="00CE7679">
        <w:rPr>
          <w:rFonts w:eastAsia="SimSun"/>
          <w:i/>
          <w:iCs/>
          <w:snapToGrid/>
          <w:szCs w:val="22"/>
          <w:lang w:eastAsia="zh-CN"/>
        </w:rPr>
        <w:t xml:space="preserve"> </w:t>
      </w:r>
      <w:r w:rsidRPr="00CE7679">
        <w:rPr>
          <w:rFonts w:eastAsia="SimSun"/>
          <w:snapToGrid/>
          <w:szCs w:val="22"/>
          <w:lang w:eastAsia="zh-CN"/>
        </w:rPr>
        <w:t>atliekant bakterijų ląstelių tyrimą (</w:t>
      </w:r>
      <w:proofErr w:type="spellStart"/>
      <w:r w:rsidRPr="00CE7679">
        <w:rPr>
          <w:rFonts w:eastAsia="SimSun"/>
          <w:i/>
          <w:snapToGrid/>
          <w:szCs w:val="22"/>
          <w:lang w:eastAsia="zh-CN"/>
        </w:rPr>
        <w:t>Ames</w:t>
      </w:r>
      <w:proofErr w:type="spellEnd"/>
      <w:r w:rsidRPr="00CE7679">
        <w:rPr>
          <w:rFonts w:eastAsia="SimSun"/>
          <w:snapToGrid/>
          <w:szCs w:val="22"/>
          <w:lang w:eastAsia="zh-CN"/>
        </w:rPr>
        <w:t xml:space="preserve"> testą), </w:t>
      </w:r>
      <w:proofErr w:type="spellStart"/>
      <w:r w:rsidRPr="00CE7679">
        <w:rPr>
          <w:rFonts w:eastAsia="SimSun"/>
          <w:i/>
          <w:iCs/>
          <w:snapToGrid/>
          <w:szCs w:val="22"/>
          <w:lang w:eastAsia="zh-CN"/>
        </w:rPr>
        <w:t>in</w:t>
      </w:r>
      <w:proofErr w:type="spellEnd"/>
      <w:r w:rsidRPr="00CE7679">
        <w:rPr>
          <w:rFonts w:eastAsia="SimSun"/>
          <w:i/>
          <w:iCs/>
          <w:snapToGrid/>
          <w:szCs w:val="22"/>
          <w:lang w:eastAsia="zh-CN"/>
        </w:rPr>
        <w:t xml:space="preserve"> </w:t>
      </w:r>
      <w:proofErr w:type="spellStart"/>
      <w:r w:rsidRPr="00CE7679">
        <w:rPr>
          <w:rFonts w:eastAsia="SimSun"/>
          <w:i/>
          <w:iCs/>
          <w:snapToGrid/>
          <w:szCs w:val="22"/>
          <w:lang w:eastAsia="zh-CN"/>
        </w:rPr>
        <w:t>vitro</w:t>
      </w:r>
      <w:proofErr w:type="spellEnd"/>
      <w:r w:rsidRPr="00CE7679">
        <w:rPr>
          <w:rFonts w:eastAsia="SimSun"/>
          <w:i/>
          <w:iCs/>
          <w:snapToGrid/>
          <w:szCs w:val="22"/>
          <w:lang w:eastAsia="zh-CN"/>
        </w:rPr>
        <w:t xml:space="preserve"> </w:t>
      </w:r>
      <w:r w:rsidRPr="00CE7679">
        <w:rPr>
          <w:rFonts w:eastAsia="SimSun"/>
          <w:iCs/>
          <w:snapToGrid/>
          <w:szCs w:val="22"/>
          <w:lang w:eastAsia="zh-CN"/>
        </w:rPr>
        <w:t>ž</w:t>
      </w:r>
      <w:r w:rsidRPr="00CE7679">
        <w:rPr>
          <w:rFonts w:eastAsia="SimSun"/>
          <w:snapToGrid/>
          <w:szCs w:val="22"/>
          <w:lang w:eastAsia="zh-CN"/>
        </w:rPr>
        <w:t xml:space="preserve">induolių ląstelių (pelių limfomos) tyrimą ir </w:t>
      </w:r>
      <w:proofErr w:type="spellStart"/>
      <w:r w:rsidRPr="00CE7679">
        <w:rPr>
          <w:rFonts w:eastAsia="SimSun"/>
          <w:i/>
          <w:iCs/>
          <w:snapToGrid/>
          <w:szCs w:val="22"/>
          <w:lang w:eastAsia="zh-CN"/>
        </w:rPr>
        <w:t>in</w:t>
      </w:r>
      <w:proofErr w:type="spellEnd"/>
      <w:r w:rsidRPr="00CE7679">
        <w:rPr>
          <w:rFonts w:eastAsia="SimSun"/>
          <w:i/>
          <w:iCs/>
          <w:snapToGrid/>
          <w:szCs w:val="22"/>
          <w:lang w:eastAsia="zh-CN"/>
        </w:rPr>
        <w:t xml:space="preserve"> </w:t>
      </w:r>
      <w:proofErr w:type="spellStart"/>
      <w:r w:rsidRPr="00CE7679">
        <w:rPr>
          <w:rFonts w:eastAsia="SimSun"/>
          <w:i/>
          <w:iCs/>
          <w:snapToGrid/>
          <w:szCs w:val="22"/>
          <w:lang w:eastAsia="zh-CN"/>
        </w:rPr>
        <w:t>vivo</w:t>
      </w:r>
      <w:proofErr w:type="spellEnd"/>
      <w:r w:rsidRPr="00CE7679">
        <w:rPr>
          <w:rFonts w:eastAsia="SimSun"/>
          <w:i/>
          <w:iCs/>
          <w:snapToGrid/>
          <w:szCs w:val="22"/>
          <w:lang w:eastAsia="zh-CN"/>
        </w:rPr>
        <w:t xml:space="preserve"> </w:t>
      </w:r>
      <w:r w:rsidRPr="00CE7679">
        <w:rPr>
          <w:rFonts w:eastAsia="SimSun"/>
          <w:iCs/>
          <w:snapToGrid/>
          <w:szCs w:val="22"/>
          <w:lang w:eastAsia="zh-CN"/>
        </w:rPr>
        <w:t>ž</w:t>
      </w:r>
      <w:r w:rsidRPr="00CE7679">
        <w:rPr>
          <w:rFonts w:eastAsia="SimSun"/>
          <w:snapToGrid/>
          <w:szCs w:val="22"/>
          <w:lang w:eastAsia="zh-CN"/>
        </w:rPr>
        <w:t xml:space="preserve">iurkių </w:t>
      </w:r>
      <w:proofErr w:type="spellStart"/>
      <w:r w:rsidRPr="00CE7679">
        <w:rPr>
          <w:rFonts w:eastAsia="SimSun"/>
          <w:snapToGrid/>
          <w:szCs w:val="22"/>
          <w:lang w:eastAsia="zh-CN"/>
        </w:rPr>
        <w:t>mikrobranduolių</w:t>
      </w:r>
      <w:proofErr w:type="spellEnd"/>
      <w:r w:rsidRPr="00CE7679">
        <w:rPr>
          <w:rFonts w:eastAsia="SimSun"/>
          <w:snapToGrid/>
          <w:szCs w:val="22"/>
          <w:lang w:eastAsia="zh-CN"/>
        </w:rPr>
        <w:t xml:space="preserve"> testą. Teigiamas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genotoksinis</w:t>
      </w:r>
      <w:proofErr w:type="spellEnd"/>
      <w:r w:rsidRPr="00CE7679">
        <w:rPr>
          <w:rFonts w:eastAsia="SimSun"/>
          <w:snapToGrid/>
          <w:szCs w:val="22"/>
          <w:lang w:eastAsia="zh-CN"/>
        </w:rPr>
        <w:t xml:space="preserve"> poveikis pastebėtas atliekant </w:t>
      </w:r>
      <w:proofErr w:type="spellStart"/>
      <w:r w:rsidRPr="00CE7679">
        <w:rPr>
          <w:rFonts w:eastAsia="SimSun"/>
          <w:i/>
          <w:iCs/>
          <w:snapToGrid/>
          <w:szCs w:val="22"/>
          <w:lang w:eastAsia="zh-CN"/>
        </w:rPr>
        <w:t>in</w:t>
      </w:r>
      <w:proofErr w:type="spellEnd"/>
      <w:r w:rsidRPr="00CE7679">
        <w:rPr>
          <w:rFonts w:eastAsia="SimSun"/>
          <w:i/>
          <w:iCs/>
          <w:snapToGrid/>
          <w:szCs w:val="22"/>
          <w:lang w:eastAsia="zh-CN"/>
        </w:rPr>
        <w:t xml:space="preserve"> </w:t>
      </w:r>
      <w:proofErr w:type="spellStart"/>
      <w:r w:rsidRPr="00CE7679">
        <w:rPr>
          <w:rFonts w:eastAsia="SimSun"/>
          <w:i/>
          <w:iCs/>
          <w:snapToGrid/>
          <w:szCs w:val="22"/>
          <w:lang w:eastAsia="zh-CN"/>
        </w:rPr>
        <w:t>vitro</w:t>
      </w:r>
      <w:proofErr w:type="spellEnd"/>
      <w:r w:rsidRPr="00CE7679">
        <w:rPr>
          <w:rFonts w:eastAsia="SimSun"/>
          <w:i/>
          <w:iCs/>
          <w:snapToGrid/>
          <w:szCs w:val="22"/>
          <w:lang w:eastAsia="zh-CN"/>
        </w:rPr>
        <w:t xml:space="preserve"> </w:t>
      </w:r>
      <w:r w:rsidRPr="00CE7679">
        <w:rPr>
          <w:rFonts w:eastAsia="SimSun"/>
          <w:iCs/>
          <w:snapToGrid/>
          <w:szCs w:val="22"/>
          <w:lang w:eastAsia="zh-CN"/>
        </w:rPr>
        <w:t>ž</w:t>
      </w:r>
      <w:r w:rsidRPr="00CE7679">
        <w:rPr>
          <w:rFonts w:eastAsia="SimSun"/>
          <w:snapToGrid/>
          <w:szCs w:val="22"/>
          <w:lang w:eastAsia="zh-CN"/>
        </w:rPr>
        <w:t xml:space="preserve">induolių ląstelių (kininio žiurkėno kiaušidžių) tyrimą </w:t>
      </w:r>
      <w:proofErr w:type="spellStart"/>
      <w:r w:rsidRPr="00CE7679">
        <w:rPr>
          <w:rFonts w:eastAsia="SimSun"/>
          <w:snapToGrid/>
          <w:szCs w:val="22"/>
          <w:lang w:eastAsia="zh-CN"/>
        </w:rPr>
        <w:t>klastogeniškumui</w:t>
      </w:r>
      <w:proofErr w:type="spellEnd"/>
      <w:r w:rsidRPr="00CE7679">
        <w:rPr>
          <w:rFonts w:eastAsia="SimSun"/>
          <w:snapToGrid/>
          <w:szCs w:val="22"/>
          <w:lang w:eastAsia="zh-CN"/>
        </w:rPr>
        <w:t xml:space="preserve"> (chromosomų </w:t>
      </w:r>
      <w:proofErr w:type="spellStart"/>
      <w:r w:rsidRPr="00CE7679">
        <w:rPr>
          <w:rFonts w:eastAsia="SimSun"/>
          <w:snapToGrid/>
          <w:szCs w:val="22"/>
          <w:lang w:eastAsia="zh-CN"/>
        </w:rPr>
        <w:t>aberacijoms</w:t>
      </w:r>
      <w:proofErr w:type="spellEnd"/>
      <w:r w:rsidRPr="00CE7679">
        <w:rPr>
          <w:rFonts w:eastAsia="SimSun"/>
          <w:snapToGrid/>
          <w:szCs w:val="22"/>
          <w:lang w:eastAsia="zh-CN"/>
        </w:rPr>
        <w:t xml:space="preserve">) nustatyti, esant </w:t>
      </w:r>
      <w:proofErr w:type="spellStart"/>
      <w:r w:rsidRPr="00CE7679">
        <w:rPr>
          <w:rFonts w:eastAsia="SimSun"/>
          <w:snapToGrid/>
          <w:szCs w:val="22"/>
          <w:lang w:eastAsia="zh-CN"/>
        </w:rPr>
        <w:t>metabolinei</w:t>
      </w:r>
      <w:proofErr w:type="spellEnd"/>
      <w:r w:rsidRPr="00CE7679">
        <w:rPr>
          <w:rFonts w:eastAsia="SimSun"/>
          <w:snapToGrid/>
          <w:szCs w:val="22"/>
          <w:lang w:eastAsia="zh-CN"/>
        </w:rPr>
        <w:t xml:space="preserve"> aktyvacijai. Du gamybos proceso tarpiniai produktai, kurių yra ir galutiniame produkte, buvo teigiami </w:t>
      </w:r>
      <w:proofErr w:type="spellStart"/>
      <w:r w:rsidRPr="00CE7679">
        <w:rPr>
          <w:rFonts w:eastAsia="SimSun"/>
          <w:snapToGrid/>
          <w:szCs w:val="22"/>
          <w:lang w:eastAsia="zh-CN"/>
        </w:rPr>
        <w:t>mutageniškumo</w:t>
      </w:r>
      <w:proofErr w:type="spellEnd"/>
      <w:r w:rsidRPr="00CE7679">
        <w:rPr>
          <w:rFonts w:eastAsia="SimSun"/>
          <w:snapToGrid/>
          <w:szCs w:val="22"/>
          <w:lang w:eastAsia="zh-CN"/>
        </w:rPr>
        <w:t xml:space="preserve"> atžvilgiu </w:t>
      </w:r>
      <w:proofErr w:type="spellStart"/>
      <w:r w:rsidRPr="00CE7679">
        <w:rPr>
          <w:rFonts w:eastAsia="SimSun"/>
          <w:i/>
          <w:snapToGrid/>
          <w:szCs w:val="22"/>
          <w:lang w:eastAsia="zh-CN"/>
        </w:rPr>
        <w:t>Ames</w:t>
      </w:r>
      <w:proofErr w:type="spellEnd"/>
      <w:r w:rsidRPr="00CE7679">
        <w:rPr>
          <w:rFonts w:eastAsia="SimSun"/>
          <w:snapToGrid/>
          <w:szCs w:val="22"/>
          <w:lang w:eastAsia="zh-CN"/>
        </w:rPr>
        <w:t xml:space="preserve"> testo metu. Vienas šių tarpinių produktų buvo teigiamas pelių limfomos tyrimo metu.</w:t>
      </w:r>
    </w:p>
    <w:p w14:paraId="5834962C"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7472082C"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Tiriant vaisingumą nustatyta, kad žiurkių patinų, prieš poravimąsi 70</w:t>
      </w:r>
      <w:r w:rsidR="00EF69C8" w:rsidRPr="00CE7679">
        <w:rPr>
          <w:rFonts w:eastAsia="SimSun"/>
          <w:snapToGrid/>
          <w:szCs w:val="22"/>
          <w:lang w:eastAsia="zh-CN"/>
        </w:rPr>
        <w:t> </w:t>
      </w:r>
      <w:r w:rsidRPr="00CE7679">
        <w:rPr>
          <w:rFonts w:eastAsia="SimSun"/>
          <w:snapToGrid/>
          <w:szCs w:val="22"/>
          <w:lang w:eastAsia="zh-CN"/>
        </w:rPr>
        <w:t xml:space="preserve">parų gavusių vaistinio preparato, sėklidžių ir sėklidžių prielipo svoris bei judrių </w:t>
      </w:r>
      <w:proofErr w:type="spellStart"/>
      <w:r w:rsidRPr="00CE7679">
        <w:rPr>
          <w:rFonts w:eastAsia="SimSun"/>
          <w:snapToGrid/>
          <w:szCs w:val="22"/>
          <w:lang w:eastAsia="zh-CN"/>
        </w:rPr>
        <w:t>spermijų</w:t>
      </w:r>
      <w:proofErr w:type="spellEnd"/>
      <w:r w:rsidRPr="00CE7679">
        <w:rPr>
          <w:rFonts w:eastAsia="SimSun"/>
          <w:snapToGrid/>
          <w:szCs w:val="22"/>
          <w:lang w:eastAsia="zh-CN"/>
        </w:rPr>
        <w:t xml:space="preserve"> procentas sumažėjo po 60 mg/kg dozės, kuri atitinka didžiausią klinikinę 800 mg paros dozę, apskaičiuotą pagal kūno paviršiaus plotą. Šito nestebėta vartojant </w:t>
      </w:r>
      <w:r w:rsidRPr="00CE7679">
        <w:rPr>
          <w:rFonts w:eastAsia="SimSun" w:hint="eastAsia"/>
          <w:snapToGrid/>
          <w:szCs w:val="22"/>
          <w:lang w:eastAsia="zh-CN"/>
        </w:rPr>
        <w:t>≤</w:t>
      </w:r>
      <w:r w:rsidR="00EF69C8" w:rsidRPr="00CE7679">
        <w:rPr>
          <w:rFonts w:eastAsia="SimSun"/>
          <w:snapToGrid/>
          <w:szCs w:val="22"/>
          <w:lang w:eastAsia="zh-CN"/>
        </w:rPr>
        <w:t> </w:t>
      </w:r>
      <w:r w:rsidRPr="00CE7679">
        <w:rPr>
          <w:rFonts w:eastAsia="SimSun"/>
          <w:snapToGrid/>
          <w:szCs w:val="22"/>
          <w:lang w:eastAsia="zh-CN"/>
        </w:rPr>
        <w:t xml:space="preserve">20 mg/kg dozę. Neryškiai ir vidutiniškai sumažėjusi </w:t>
      </w:r>
      <w:proofErr w:type="spellStart"/>
      <w:r w:rsidRPr="00CE7679">
        <w:rPr>
          <w:rFonts w:eastAsia="SimSun"/>
          <w:snapToGrid/>
          <w:szCs w:val="22"/>
          <w:lang w:eastAsia="zh-CN"/>
        </w:rPr>
        <w:t>spermatogenezė</w:t>
      </w:r>
      <w:proofErr w:type="spellEnd"/>
      <w:r w:rsidRPr="00CE7679">
        <w:rPr>
          <w:rFonts w:eastAsia="SimSun"/>
          <w:snapToGrid/>
          <w:szCs w:val="22"/>
          <w:lang w:eastAsia="zh-CN"/>
        </w:rPr>
        <w:t xml:space="preserve"> taip pat nustatyta šunims, gavusiems </w:t>
      </w:r>
      <w:r w:rsidRPr="00CE7679">
        <w:rPr>
          <w:rFonts w:eastAsia="Calibri"/>
          <w:snapToGrid/>
          <w:szCs w:val="22"/>
          <w:u w:val="single"/>
          <w:lang w:eastAsia="zh-CN"/>
        </w:rPr>
        <w:t>&gt; </w:t>
      </w:r>
      <w:r w:rsidRPr="00CE7679">
        <w:rPr>
          <w:rFonts w:eastAsia="SimSun"/>
          <w:snapToGrid/>
          <w:szCs w:val="22"/>
          <w:lang w:eastAsia="zh-CN"/>
        </w:rPr>
        <w:t>30 mg/kg geriamąją dozę. 14</w:t>
      </w:r>
      <w:r w:rsidR="00EF69C8" w:rsidRPr="00CE7679">
        <w:rPr>
          <w:rFonts w:eastAsia="SimSun"/>
          <w:snapToGrid/>
          <w:szCs w:val="22"/>
          <w:lang w:eastAsia="zh-CN"/>
        </w:rPr>
        <w:t> </w:t>
      </w:r>
      <w:r w:rsidRPr="00CE7679">
        <w:rPr>
          <w:rFonts w:eastAsia="SimSun"/>
          <w:snapToGrid/>
          <w:szCs w:val="22"/>
          <w:lang w:eastAsia="zh-CN"/>
        </w:rPr>
        <w:t xml:space="preserve">parų prieš poravimąsi ir iki 6-osios vaikingumo paros žiurkių patelėms duodant vaistinio preparato, poveikio poravimuisi ir vaikingų patelių skaičiui nenustatyta, o duodant 60 mg/kg dozę, reikšmingai padaugėjo vaisiaus netekimo po implantacijos atvejų ir sumažėjo gyvų vaisių skaičius. Šių reiškinių nestebėta skiriant </w:t>
      </w:r>
      <w:r w:rsidRPr="00CE7679">
        <w:rPr>
          <w:rFonts w:eastAsia="SimSun" w:hint="eastAsia"/>
          <w:snapToGrid/>
          <w:szCs w:val="22"/>
          <w:lang w:eastAsia="zh-CN"/>
        </w:rPr>
        <w:t>≤</w:t>
      </w:r>
      <w:r w:rsidR="00EF69C8" w:rsidRPr="00CE7679">
        <w:rPr>
          <w:rFonts w:eastAsia="SimSun"/>
          <w:snapToGrid/>
          <w:szCs w:val="22"/>
          <w:lang w:eastAsia="zh-CN"/>
        </w:rPr>
        <w:t> </w:t>
      </w:r>
      <w:r w:rsidRPr="00CE7679">
        <w:rPr>
          <w:rFonts w:eastAsia="SimSun"/>
          <w:snapToGrid/>
          <w:szCs w:val="22"/>
          <w:lang w:eastAsia="zh-CN"/>
        </w:rPr>
        <w:t>20 mg/kg dozę.</w:t>
      </w:r>
    </w:p>
    <w:p w14:paraId="55B0794B"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6E2A0F14"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Geriamojo vaistinio preparato įtakos </w:t>
      </w:r>
      <w:proofErr w:type="spellStart"/>
      <w:r w:rsidRPr="00CE7679">
        <w:rPr>
          <w:rFonts w:eastAsia="SimSun"/>
          <w:snapToGrid/>
          <w:szCs w:val="22"/>
          <w:lang w:eastAsia="zh-CN"/>
        </w:rPr>
        <w:t>prenatalinei</w:t>
      </w:r>
      <w:proofErr w:type="spellEnd"/>
      <w:r w:rsidRPr="00CE7679">
        <w:rPr>
          <w:rFonts w:eastAsia="SimSun"/>
          <w:snapToGrid/>
          <w:szCs w:val="22"/>
          <w:lang w:eastAsia="zh-CN"/>
        </w:rPr>
        <w:t xml:space="preserve"> ir </w:t>
      </w:r>
      <w:proofErr w:type="spellStart"/>
      <w:r w:rsidRPr="00CE7679">
        <w:rPr>
          <w:rFonts w:eastAsia="SimSun"/>
          <w:snapToGrid/>
          <w:szCs w:val="22"/>
          <w:lang w:eastAsia="zh-CN"/>
        </w:rPr>
        <w:t>postnatalinei</w:t>
      </w:r>
      <w:proofErr w:type="spellEnd"/>
      <w:r w:rsidRPr="00CE7679">
        <w:rPr>
          <w:rFonts w:eastAsia="SimSun"/>
          <w:snapToGrid/>
          <w:szCs w:val="22"/>
          <w:lang w:eastAsia="zh-CN"/>
        </w:rPr>
        <w:t xml:space="preserve"> raidai tyrimų metu žiurkėms, gaunančioms 45 mg/kg per parą, 14-ąją ar 15-ąją vaikingumo parą pastebėta raudonų išskyrų iš makšties. Duodant tą pačią dozę, nustatyta, kad padidėja </w:t>
      </w:r>
      <w:proofErr w:type="spellStart"/>
      <w:r w:rsidRPr="00CE7679">
        <w:rPr>
          <w:rFonts w:eastAsia="SimSun"/>
          <w:snapToGrid/>
          <w:szCs w:val="22"/>
          <w:lang w:eastAsia="zh-CN"/>
        </w:rPr>
        <w:t>negyvagimių</w:t>
      </w:r>
      <w:proofErr w:type="spellEnd"/>
      <w:r w:rsidRPr="00CE7679">
        <w:rPr>
          <w:rFonts w:eastAsia="SimSun"/>
          <w:snapToGrid/>
          <w:szCs w:val="22"/>
          <w:lang w:eastAsia="zh-CN"/>
        </w:rPr>
        <w:t xml:space="preserve"> ir 0–4 dienomis po atsivedimo </w:t>
      </w:r>
      <w:r w:rsidRPr="00CE7679">
        <w:rPr>
          <w:rFonts w:eastAsia="SimSun"/>
          <w:snapToGrid/>
          <w:szCs w:val="22"/>
          <w:lang w:eastAsia="zh-CN"/>
        </w:rPr>
        <w:lastRenderedPageBreak/>
        <w:t xml:space="preserve">kritusių jauniklių skaičius. F1 kartos </w:t>
      </w:r>
      <w:proofErr w:type="spellStart"/>
      <w:r w:rsidRPr="00CE7679">
        <w:rPr>
          <w:rFonts w:eastAsia="SimSun"/>
          <w:snapToGrid/>
          <w:szCs w:val="22"/>
          <w:lang w:eastAsia="zh-CN"/>
        </w:rPr>
        <w:t>palikuonims</w:t>
      </w:r>
      <w:proofErr w:type="spellEnd"/>
      <w:r w:rsidRPr="00CE7679">
        <w:rPr>
          <w:rFonts w:eastAsia="SimSun"/>
          <w:snapToGrid/>
          <w:szCs w:val="22"/>
          <w:lang w:eastAsia="zh-CN"/>
        </w:rPr>
        <w:t xml:space="preserve"> duodant tą pačią dozę, vidutinis kūno svoris buvo mažesnis nuo atsivedimo iki galutinio gyvavimo laiko ir šiek tiek mažesnis buvo jauniklių, pasiekusių apyvarpės atsiskyrimo kriterijus, skaičius. Kai buvo duodama 45 mg/kg per parą dozė, F1 vaisingumas buvo nepakitęs, tačiau buvo didesnis </w:t>
      </w:r>
      <w:proofErr w:type="spellStart"/>
      <w:r w:rsidRPr="00CE7679">
        <w:rPr>
          <w:rFonts w:eastAsia="SimSun"/>
          <w:snapToGrid/>
          <w:szCs w:val="22"/>
          <w:lang w:eastAsia="zh-CN"/>
        </w:rPr>
        <w:t>rezorbcijų</w:t>
      </w:r>
      <w:proofErr w:type="spellEnd"/>
      <w:r w:rsidRPr="00CE7679">
        <w:rPr>
          <w:rFonts w:eastAsia="SimSun"/>
          <w:snapToGrid/>
          <w:szCs w:val="22"/>
          <w:lang w:eastAsia="zh-CN"/>
        </w:rPr>
        <w:t xml:space="preserve"> skaičius ir mažesnis gyvybingų vaisių skaičius. Dozė, kurią vartojant nepastebimas nepageidaujamas poveikis (angl. </w:t>
      </w:r>
      <w:proofErr w:type="spellStart"/>
      <w:r w:rsidRPr="00CE7679">
        <w:rPr>
          <w:i/>
          <w:szCs w:val="22"/>
        </w:rPr>
        <w:t>No</w:t>
      </w:r>
      <w:proofErr w:type="spellEnd"/>
      <w:r w:rsidRPr="00CE7679">
        <w:rPr>
          <w:i/>
          <w:szCs w:val="22"/>
        </w:rPr>
        <w:t xml:space="preserve"> </w:t>
      </w:r>
      <w:proofErr w:type="spellStart"/>
      <w:r w:rsidRPr="00CE7679">
        <w:rPr>
          <w:i/>
          <w:szCs w:val="22"/>
        </w:rPr>
        <w:t>observed</w:t>
      </w:r>
      <w:proofErr w:type="spellEnd"/>
      <w:r w:rsidRPr="00CE7679">
        <w:rPr>
          <w:i/>
          <w:szCs w:val="22"/>
        </w:rPr>
        <w:t xml:space="preserve"> </w:t>
      </w:r>
      <w:proofErr w:type="spellStart"/>
      <w:r w:rsidRPr="00CE7679">
        <w:rPr>
          <w:i/>
          <w:szCs w:val="22"/>
        </w:rPr>
        <w:t>adverse</w:t>
      </w:r>
      <w:proofErr w:type="spellEnd"/>
      <w:r w:rsidRPr="00CE7679">
        <w:rPr>
          <w:i/>
          <w:szCs w:val="22"/>
        </w:rPr>
        <w:t xml:space="preserve"> </w:t>
      </w:r>
      <w:proofErr w:type="spellStart"/>
      <w:r w:rsidRPr="00CE7679">
        <w:rPr>
          <w:i/>
          <w:szCs w:val="22"/>
        </w:rPr>
        <w:t>effect</w:t>
      </w:r>
      <w:proofErr w:type="spellEnd"/>
      <w:r w:rsidRPr="00CE7679">
        <w:rPr>
          <w:i/>
          <w:szCs w:val="22"/>
        </w:rPr>
        <w:t xml:space="preserve"> </w:t>
      </w:r>
      <w:proofErr w:type="spellStart"/>
      <w:r w:rsidRPr="00CE7679">
        <w:rPr>
          <w:i/>
          <w:szCs w:val="22"/>
        </w:rPr>
        <w:t>level</w:t>
      </w:r>
      <w:proofErr w:type="spellEnd"/>
      <w:r w:rsidRPr="00CE7679">
        <w:rPr>
          <w:i/>
          <w:szCs w:val="22"/>
        </w:rPr>
        <w:t xml:space="preserve">, </w:t>
      </w:r>
      <w:r w:rsidRPr="00CE7679">
        <w:rPr>
          <w:szCs w:val="22"/>
        </w:rPr>
        <w:t>NOAEL)</w:t>
      </w:r>
      <w:r w:rsidRPr="00CE7679">
        <w:rPr>
          <w:rFonts w:eastAsia="SimSun"/>
          <w:snapToGrid/>
          <w:szCs w:val="22"/>
          <w:lang w:eastAsia="zh-CN"/>
        </w:rPr>
        <w:t>, motininiams gyvūnams ir F1 generacijai buvo 15 mg/kg per parą (ketvirtis didžiausios žmogaus 800 mg dozės).</w:t>
      </w:r>
    </w:p>
    <w:p w14:paraId="5E91747D"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0D2ED3ED"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roofErr w:type="spellStart"/>
      <w:r w:rsidRPr="00CE7679">
        <w:rPr>
          <w:rFonts w:eastAsia="SimSun"/>
          <w:snapToGrid/>
          <w:szCs w:val="22"/>
          <w:lang w:eastAsia="zh-CN"/>
        </w:rPr>
        <w:t>Imatinibas</w:t>
      </w:r>
      <w:proofErr w:type="spellEnd"/>
      <w:r w:rsidRPr="00CE7679">
        <w:rPr>
          <w:rFonts w:eastAsia="SimSun"/>
          <w:snapToGrid/>
          <w:szCs w:val="22"/>
          <w:lang w:eastAsia="zh-CN"/>
        </w:rPr>
        <w:t xml:space="preserve">, kurio </w:t>
      </w:r>
      <w:proofErr w:type="spellStart"/>
      <w:r w:rsidRPr="00CE7679">
        <w:rPr>
          <w:rFonts w:eastAsia="SimSun"/>
          <w:snapToGrid/>
          <w:szCs w:val="22"/>
          <w:lang w:eastAsia="zh-CN"/>
        </w:rPr>
        <w:t>organogenezės</w:t>
      </w:r>
      <w:proofErr w:type="spellEnd"/>
      <w:r w:rsidRPr="00CE7679">
        <w:rPr>
          <w:rFonts w:eastAsia="SimSun"/>
          <w:snapToGrid/>
          <w:szCs w:val="22"/>
          <w:lang w:eastAsia="zh-CN"/>
        </w:rPr>
        <w:t xml:space="preserve"> laikotarpiu buvo skiriama </w:t>
      </w:r>
      <w:r w:rsidRPr="00CE7679">
        <w:rPr>
          <w:rFonts w:eastAsia="SimSun" w:hint="eastAsia"/>
          <w:snapToGrid/>
          <w:szCs w:val="22"/>
          <w:lang w:eastAsia="zh-CN"/>
        </w:rPr>
        <w:t>≥</w:t>
      </w:r>
      <w:r w:rsidR="00EF69C8" w:rsidRPr="00CE7679">
        <w:rPr>
          <w:rFonts w:eastAsia="SimSun"/>
          <w:snapToGrid/>
          <w:szCs w:val="22"/>
          <w:lang w:eastAsia="zh-CN"/>
        </w:rPr>
        <w:t> </w:t>
      </w:r>
      <w:r w:rsidRPr="00CE7679">
        <w:rPr>
          <w:rFonts w:eastAsia="SimSun"/>
          <w:snapToGrid/>
          <w:szCs w:val="22"/>
          <w:lang w:eastAsia="zh-CN"/>
        </w:rPr>
        <w:t xml:space="preserve">100 mg/kg (maždaug atitinka pagal kūno paviršiaus plotą apskaičiuotą didžiausią klinikinę 800 mg per parą dozę), buvo </w:t>
      </w:r>
      <w:proofErr w:type="spellStart"/>
      <w:r w:rsidRPr="00CE7679">
        <w:rPr>
          <w:rFonts w:eastAsia="SimSun"/>
          <w:snapToGrid/>
          <w:szCs w:val="22"/>
          <w:lang w:eastAsia="zh-CN"/>
        </w:rPr>
        <w:t>teratogeniškas</w:t>
      </w:r>
      <w:proofErr w:type="spellEnd"/>
      <w:r w:rsidRPr="00CE7679">
        <w:rPr>
          <w:rFonts w:eastAsia="SimSun"/>
          <w:snapToGrid/>
          <w:szCs w:val="22"/>
          <w:lang w:eastAsia="zh-CN"/>
        </w:rPr>
        <w:t xml:space="preserve"> žiurkėms. </w:t>
      </w:r>
      <w:proofErr w:type="spellStart"/>
      <w:r w:rsidRPr="00CE7679">
        <w:rPr>
          <w:rFonts w:eastAsia="SimSun"/>
          <w:snapToGrid/>
          <w:szCs w:val="22"/>
          <w:lang w:eastAsia="zh-CN"/>
        </w:rPr>
        <w:t>Teratogeninis</w:t>
      </w:r>
      <w:proofErr w:type="spellEnd"/>
      <w:r w:rsidRPr="00CE7679">
        <w:rPr>
          <w:rFonts w:eastAsia="SimSun"/>
          <w:snapToGrid/>
          <w:szCs w:val="22"/>
          <w:lang w:eastAsia="zh-CN"/>
        </w:rPr>
        <w:t xml:space="preserve"> poveikis pasireiškė </w:t>
      </w:r>
      <w:proofErr w:type="spellStart"/>
      <w:r w:rsidRPr="00CE7679">
        <w:rPr>
          <w:rFonts w:eastAsia="SimSun"/>
          <w:snapToGrid/>
          <w:szCs w:val="22"/>
          <w:lang w:eastAsia="zh-CN"/>
        </w:rPr>
        <w:t>eksencefalija</w:t>
      </w:r>
      <w:proofErr w:type="spellEnd"/>
      <w:r w:rsidRPr="00CE7679">
        <w:rPr>
          <w:rFonts w:eastAsia="SimSun"/>
          <w:snapToGrid/>
          <w:szCs w:val="22"/>
          <w:lang w:eastAsia="zh-CN"/>
        </w:rPr>
        <w:t xml:space="preserve"> ar </w:t>
      </w:r>
      <w:proofErr w:type="spellStart"/>
      <w:r w:rsidRPr="00CE7679">
        <w:rPr>
          <w:rFonts w:eastAsia="SimSun"/>
          <w:snapToGrid/>
          <w:szCs w:val="22"/>
          <w:lang w:eastAsia="zh-CN"/>
        </w:rPr>
        <w:t>encefalocele</w:t>
      </w:r>
      <w:proofErr w:type="spellEnd"/>
      <w:r w:rsidRPr="00CE7679">
        <w:rPr>
          <w:rFonts w:eastAsia="SimSun"/>
          <w:snapToGrid/>
          <w:szCs w:val="22"/>
          <w:lang w:eastAsia="zh-CN"/>
        </w:rPr>
        <w:t xml:space="preserve">, kaktikaulio nebuvimu ar sumažėjimu ir </w:t>
      </w:r>
      <w:proofErr w:type="spellStart"/>
      <w:r w:rsidRPr="00CE7679">
        <w:rPr>
          <w:rFonts w:eastAsia="SimSun"/>
          <w:snapToGrid/>
          <w:szCs w:val="22"/>
          <w:lang w:eastAsia="zh-CN"/>
        </w:rPr>
        <w:t>momenkaulio</w:t>
      </w:r>
      <w:proofErr w:type="spellEnd"/>
      <w:r w:rsidRPr="00CE7679">
        <w:rPr>
          <w:rFonts w:eastAsia="SimSun"/>
          <w:snapToGrid/>
          <w:szCs w:val="22"/>
          <w:lang w:eastAsia="zh-CN"/>
        </w:rPr>
        <w:t xml:space="preserve"> nebuvimu. Šių reiškinių nestebėta, vartojant </w:t>
      </w:r>
      <w:r w:rsidRPr="00CE7679">
        <w:rPr>
          <w:rFonts w:eastAsia="SimSun" w:hint="eastAsia"/>
          <w:snapToGrid/>
          <w:szCs w:val="22"/>
          <w:lang w:eastAsia="zh-CN"/>
        </w:rPr>
        <w:t>≤</w:t>
      </w:r>
      <w:r w:rsidR="00EF69C8" w:rsidRPr="00CE7679">
        <w:rPr>
          <w:rFonts w:eastAsia="SimSun"/>
          <w:snapToGrid/>
          <w:szCs w:val="22"/>
          <w:lang w:eastAsia="zh-CN"/>
        </w:rPr>
        <w:t> </w:t>
      </w:r>
      <w:r w:rsidRPr="00CE7679">
        <w:rPr>
          <w:rFonts w:eastAsia="SimSun"/>
          <w:snapToGrid/>
          <w:szCs w:val="22"/>
          <w:lang w:eastAsia="zh-CN"/>
        </w:rPr>
        <w:t>30 mg/kg dozes.</w:t>
      </w:r>
    </w:p>
    <w:p w14:paraId="5884EFE1"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7EF38132"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szCs w:val="22"/>
        </w:rPr>
        <w:t>Toksinio poveikio vystymuisi tyrimo, atlikto su žiurkių jaunikliais, metu (</w:t>
      </w:r>
      <w:r w:rsidR="00317800">
        <w:rPr>
          <w:szCs w:val="22"/>
        </w:rPr>
        <w:t xml:space="preserve">vaistinio </w:t>
      </w:r>
      <w:r w:rsidRPr="00CE7679">
        <w:rPr>
          <w:szCs w:val="22"/>
        </w:rPr>
        <w:t>preparato skiriant nuo 10-osios iki 70-osios paros po atsivedimo) naujų organų taikinių nenustatyta, lyginant su žinomais organais taikiniais suaugusioms žiurkėms. Toksinio poveikio jauniklių vystymuisi tyrimo metu poveikis augimui, uždelstam makšties angos atsivėrimui ir apyvarpės atsiskyrimui pastebėtas esant tokiai vaistinio preparato ekspozicijai, kuri maždaug 0,3-2 kartus viršija vidutinę ekspoziciją vaikų populiacijoje skiriant didžiausią rekomenduojamą 340</w:t>
      </w:r>
      <w:r w:rsidR="00EF69C8" w:rsidRPr="00CE7679">
        <w:rPr>
          <w:szCs w:val="22"/>
        </w:rPr>
        <w:t> </w:t>
      </w:r>
      <w:r w:rsidRPr="00CE7679">
        <w:rPr>
          <w:szCs w:val="22"/>
        </w:rPr>
        <w:t>mg/m</w:t>
      </w:r>
      <w:r w:rsidRPr="00CE7679">
        <w:rPr>
          <w:szCs w:val="22"/>
          <w:vertAlign w:val="superscript"/>
        </w:rPr>
        <w:t xml:space="preserve">2 </w:t>
      </w:r>
      <w:r w:rsidRPr="00CE7679">
        <w:rPr>
          <w:szCs w:val="22"/>
        </w:rPr>
        <w:t>kūno paviršiaus dozę. Be to, pastebėta gyvūnų jauniklių kritimo atvejų (maždaug nujunkymo fazėje) esant tokiai vaistinio preparato ekspozicijai, kuri maždaug 2 kartus viršija vidutinę ekspoziciją vaikų populiacijoje skiriant didžiausią rekomenduojamą 340</w:t>
      </w:r>
      <w:r w:rsidR="00EF69C8" w:rsidRPr="00CE7679">
        <w:rPr>
          <w:szCs w:val="22"/>
        </w:rPr>
        <w:t> </w:t>
      </w:r>
      <w:r w:rsidRPr="00CE7679">
        <w:rPr>
          <w:szCs w:val="22"/>
        </w:rPr>
        <w:t>mg/m</w:t>
      </w:r>
      <w:r w:rsidRPr="00CE7679">
        <w:rPr>
          <w:szCs w:val="22"/>
          <w:vertAlign w:val="superscript"/>
        </w:rPr>
        <w:t>2</w:t>
      </w:r>
      <w:r w:rsidRPr="00CE7679">
        <w:rPr>
          <w:sz w:val="14"/>
          <w:szCs w:val="14"/>
        </w:rPr>
        <w:t xml:space="preserve"> </w:t>
      </w:r>
      <w:r w:rsidRPr="00CE7679">
        <w:rPr>
          <w:szCs w:val="22"/>
        </w:rPr>
        <w:t>kūno paviršiaus dozę.</w:t>
      </w:r>
    </w:p>
    <w:p w14:paraId="5EB06209"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2FADCB50"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Dvejų metų </w:t>
      </w:r>
      <w:proofErr w:type="spellStart"/>
      <w:r w:rsidRPr="00CE7679">
        <w:rPr>
          <w:rFonts w:eastAsia="SimSun"/>
          <w:snapToGrid/>
          <w:szCs w:val="22"/>
          <w:lang w:eastAsia="zh-CN"/>
        </w:rPr>
        <w:t>kancerogeniškumo</w:t>
      </w:r>
      <w:proofErr w:type="spellEnd"/>
      <w:r w:rsidRPr="00CE7679">
        <w:rPr>
          <w:rFonts w:eastAsia="SimSun"/>
          <w:snapToGrid/>
          <w:szCs w:val="22"/>
          <w:lang w:eastAsia="zh-CN"/>
        </w:rPr>
        <w:t xml:space="preserve"> tyrimų su žiurkėmis, gavusiomis 15 mg/kg, 30 mg/kg ir 60 mg/kg per parą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dozę, metu statistiškai reikšmingai sumažėjo patinų, gavusių 60 mg/kg per parą, ir patelių, gavusių </w:t>
      </w:r>
      <w:r w:rsidRPr="00CE7679">
        <w:rPr>
          <w:rFonts w:eastAsia="SimSun" w:hint="eastAsia"/>
          <w:snapToGrid/>
          <w:szCs w:val="22"/>
          <w:lang w:eastAsia="zh-CN"/>
        </w:rPr>
        <w:t>≥</w:t>
      </w:r>
      <w:r w:rsidR="00EF69C8" w:rsidRPr="00CE7679">
        <w:rPr>
          <w:rFonts w:eastAsia="SimSun"/>
          <w:snapToGrid/>
          <w:szCs w:val="22"/>
          <w:lang w:eastAsia="zh-CN"/>
        </w:rPr>
        <w:t> </w:t>
      </w:r>
      <w:r w:rsidRPr="00CE7679">
        <w:rPr>
          <w:rFonts w:eastAsia="SimSun"/>
          <w:snapToGrid/>
          <w:szCs w:val="22"/>
          <w:lang w:eastAsia="zh-CN"/>
        </w:rPr>
        <w:t xml:space="preserve">30 mg/kg per parą, gyvenimo trukmė. Kritusių gyvūnų </w:t>
      </w:r>
      <w:proofErr w:type="spellStart"/>
      <w:r w:rsidRPr="00CE7679">
        <w:rPr>
          <w:rFonts w:eastAsia="SimSun"/>
          <w:snapToGrid/>
          <w:szCs w:val="22"/>
          <w:lang w:eastAsia="zh-CN"/>
        </w:rPr>
        <w:t>histopatologinių</w:t>
      </w:r>
      <w:proofErr w:type="spellEnd"/>
      <w:r w:rsidRPr="00CE7679">
        <w:rPr>
          <w:rFonts w:eastAsia="SimSun"/>
          <w:snapToGrid/>
          <w:szCs w:val="22"/>
          <w:lang w:eastAsia="zh-CN"/>
        </w:rPr>
        <w:t xml:space="preserve"> tyrimų metu nustatytos pagrindinės gyvūnėlių kritimo ar jų užmigdymo priežastys buvo: kardiomiopatija (</w:t>
      </w:r>
      <w:proofErr w:type="spellStart"/>
      <w:r w:rsidRPr="00CE7679">
        <w:rPr>
          <w:rFonts w:eastAsia="SimSun"/>
          <w:snapToGrid/>
          <w:szCs w:val="22"/>
          <w:lang w:eastAsia="zh-CN"/>
        </w:rPr>
        <w:t>abiems</w:t>
      </w:r>
      <w:proofErr w:type="spellEnd"/>
      <w:r w:rsidRPr="00CE7679">
        <w:rPr>
          <w:rFonts w:eastAsia="SimSun"/>
          <w:snapToGrid/>
          <w:szCs w:val="22"/>
          <w:lang w:eastAsia="zh-CN"/>
        </w:rPr>
        <w:t xml:space="preserve"> lytims), lėtinė progresuojanti </w:t>
      </w:r>
      <w:proofErr w:type="spellStart"/>
      <w:r w:rsidRPr="00CE7679">
        <w:rPr>
          <w:rFonts w:eastAsia="SimSun"/>
          <w:snapToGrid/>
          <w:szCs w:val="22"/>
          <w:lang w:eastAsia="zh-CN"/>
        </w:rPr>
        <w:t>nefropatija</w:t>
      </w:r>
      <w:proofErr w:type="spellEnd"/>
      <w:r w:rsidRPr="00CE7679">
        <w:rPr>
          <w:rFonts w:eastAsia="SimSun"/>
          <w:snapToGrid/>
          <w:szCs w:val="22"/>
          <w:lang w:eastAsia="zh-CN"/>
        </w:rPr>
        <w:t xml:space="preserve"> (patelėms) ir apyvarpės liaukų papiloma. Navikinių pokyčių organai taikiniai buvo inkstai, šlapimo pūslė, šlaplė, apyvarpės ir varputės liaukos, plonosios žarnos, </w:t>
      </w:r>
      <w:proofErr w:type="spellStart"/>
      <w:r w:rsidRPr="00CE7679">
        <w:rPr>
          <w:rFonts w:eastAsia="SimSun"/>
          <w:snapToGrid/>
          <w:szCs w:val="22"/>
          <w:lang w:eastAsia="zh-CN"/>
        </w:rPr>
        <w:t>prieskydinės</w:t>
      </w:r>
      <w:proofErr w:type="spellEnd"/>
      <w:r w:rsidRPr="00CE7679">
        <w:rPr>
          <w:rFonts w:eastAsia="SimSun"/>
          <w:snapToGrid/>
          <w:szCs w:val="22"/>
          <w:lang w:eastAsia="zh-CN"/>
        </w:rPr>
        <w:t xml:space="preserve"> liaukos, antinksčiai ir ne liaukinė skrandžio dalis.</w:t>
      </w:r>
    </w:p>
    <w:p w14:paraId="395D7FF3"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5302567B"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Apyvarpės ar varputės liaukų papilomos ar karcinomos pastebėtos žiurkėms, kurios gavo 30 mg/kg per parą arba didesnę dozę, atitinkančią maždaug 0,5 ar 0,3 kartus didesnę ekspoziciją (pagal AUC), negu žmonėms vartojant 400 mg arba 800 mg per parą atitinkamai ir 0,4</w:t>
      </w:r>
      <w:r w:rsidR="00EF69C8" w:rsidRPr="00CE7679">
        <w:rPr>
          <w:rFonts w:eastAsia="SimSun"/>
          <w:snapToGrid/>
          <w:szCs w:val="22"/>
          <w:lang w:eastAsia="zh-CN"/>
        </w:rPr>
        <w:t> </w:t>
      </w:r>
      <w:r w:rsidRPr="00CE7679">
        <w:rPr>
          <w:rFonts w:eastAsia="SimSun"/>
          <w:snapToGrid/>
          <w:szCs w:val="22"/>
          <w:lang w:eastAsia="zh-CN"/>
        </w:rPr>
        <w:t xml:space="preserve">karto didesnę ekspoziciją vaikams (pagal AUC) vartojant 340 mg/m² per parą. Dozė, kurią vartojant nepastebimas nepageidaujamas poveikis (angl. </w:t>
      </w:r>
      <w:proofErr w:type="spellStart"/>
      <w:r w:rsidRPr="00CE7679">
        <w:rPr>
          <w:i/>
          <w:szCs w:val="22"/>
        </w:rPr>
        <w:t>No</w:t>
      </w:r>
      <w:proofErr w:type="spellEnd"/>
      <w:r w:rsidRPr="00CE7679">
        <w:rPr>
          <w:i/>
          <w:szCs w:val="22"/>
        </w:rPr>
        <w:t xml:space="preserve"> </w:t>
      </w:r>
      <w:proofErr w:type="spellStart"/>
      <w:r w:rsidRPr="00CE7679">
        <w:rPr>
          <w:i/>
          <w:szCs w:val="22"/>
        </w:rPr>
        <w:t>observed</w:t>
      </w:r>
      <w:proofErr w:type="spellEnd"/>
      <w:r w:rsidRPr="00CE7679">
        <w:rPr>
          <w:i/>
          <w:szCs w:val="22"/>
        </w:rPr>
        <w:t xml:space="preserve"> </w:t>
      </w:r>
      <w:proofErr w:type="spellStart"/>
      <w:r w:rsidRPr="00CE7679">
        <w:rPr>
          <w:i/>
          <w:szCs w:val="22"/>
        </w:rPr>
        <w:t>adverse</w:t>
      </w:r>
      <w:proofErr w:type="spellEnd"/>
      <w:r w:rsidRPr="00CE7679">
        <w:rPr>
          <w:i/>
          <w:szCs w:val="22"/>
        </w:rPr>
        <w:t xml:space="preserve"> </w:t>
      </w:r>
      <w:proofErr w:type="spellStart"/>
      <w:r w:rsidRPr="00CE7679">
        <w:rPr>
          <w:i/>
          <w:szCs w:val="22"/>
        </w:rPr>
        <w:t>effect</w:t>
      </w:r>
      <w:proofErr w:type="spellEnd"/>
      <w:r w:rsidRPr="00CE7679">
        <w:rPr>
          <w:i/>
          <w:szCs w:val="22"/>
        </w:rPr>
        <w:t xml:space="preserve"> </w:t>
      </w:r>
      <w:proofErr w:type="spellStart"/>
      <w:r w:rsidRPr="00CE7679">
        <w:rPr>
          <w:i/>
          <w:szCs w:val="22"/>
        </w:rPr>
        <w:t>level</w:t>
      </w:r>
      <w:proofErr w:type="spellEnd"/>
      <w:r w:rsidRPr="00CE7679">
        <w:rPr>
          <w:i/>
          <w:szCs w:val="22"/>
        </w:rPr>
        <w:t xml:space="preserve">, </w:t>
      </w:r>
      <w:r w:rsidRPr="00CE7679">
        <w:rPr>
          <w:szCs w:val="22"/>
        </w:rPr>
        <w:t>NOAEL)</w:t>
      </w:r>
      <w:r w:rsidRPr="00CE7679">
        <w:rPr>
          <w:rFonts w:eastAsia="SimSun"/>
          <w:snapToGrid/>
          <w:szCs w:val="22"/>
          <w:lang w:eastAsia="zh-CN"/>
        </w:rPr>
        <w:t xml:space="preserve">, buvo 15 mg/kg per parą. Inkstų adenoma ar karcinoma, šlapimo pūslės ir šlaplės papiloma, plonojo žarnyno </w:t>
      </w:r>
      <w:proofErr w:type="spellStart"/>
      <w:r w:rsidRPr="00CE7679">
        <w:rPr>
          <w:rFonts w:eastAsia="SimSun"/>
          <w:snapToGrid/>
          <w:szCs w:val="22"/>
          <w:lang w:eastAsia="zh-CN"/>
        </w:rPr>
        <w:t>adenokarcinoma</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prieskydinių</w:t>
      </w:r>
      <w:proofErr w:type="spellEnd"/>
      <w:r w:rsidRPr="00CE7679">
        <w:rPr>
          <w:rFonts w:eastAsia="SimSun"/>
          <w:snapToGrid/>
          <w:szCs w:val="22"/>
          <w:lang w:eastAsia="zh-CN"/>
        </w:rPr>
        <w:t xml:space="preserve"> liaukų adenoma, gerybiniai ir piktybiniai antinksčių šerdinės dalies navikai bei neliaukinės skrandžio dalies papiloma ar karcinoma stebėtos duodant 60 mg/kg per parą dozę, atitinkančią maždaug 1,7 arba 1 kartą didesnę ekspoziciją (pagal AUC), negu žmonėms vartojant 400 mg arba 800 mg per parą atitinkamai, ir 1,2 karto didesnę ekspoziciją vaikams (pagal AUC) vartojant 340 mg/m² per parą. Dozė, kurią vartojant nepastebimas nepageidaujamas poveikis (angl. </w:t>
      </w:r>
      <w:proofErr w:type="spellStart"/>
      <w:r w:rsidRPr="00CE7679">
        <w:rPr>
          <w:i/>
          <w:szCs w:val="22"/>
        </w:rPr>
        <w:t>No</w:t>
      </w:r>
      <w:proofErr w:type="spellEnd"/>
      <w:r w:rsidRPr="00CE7679">
        <w:rPr>
          <w:i/>
          <w:szCs w:val="22"/>
        </w:rPr>
        <w:t xml:space="preserve"> </w:t>
      </w:r>
      <w:proofErr w:type="spellStart"/>
      <w:r w:rsidRPr="00CE7679">
        <w:rPr>
          <w:i/>
          <w:szCs w:val="22"/>
        </w:rPr>
        <w:t>observed</w:t>
      </w:r>
      <w:proofErr w:type="spellEnd"/>
      <w:r w:rsidRPr="00CE7679">
        <w:rPr>
          <w:i/>
          <w:szCs w:val="22"/>
        </w:rPr>
        <w:t xml:space="preserve"> </w:t>
      </w:r>
      <w:proofErr w:type="spellStart"/>
      <w:r w:rsidRPr="00CE7679">
        <w:rPr>
          <w:i/>
          <w:szCs w:val="22"/>
        </w:rPr>
        <w:t>adverse</w:t>
      </w:r>
      <w:proofErr w:type="spellEnd"/>
      <w:r w:rsidRPr="00CE7679">
        <w:rPr>
          <w:i/>
          <w:szCs w:val="22"/>
        </w:rPr>
        <w:t xml:space="preserve"> </w:t>
      </w:r>
      <w:proofErr w:type="spellStart"/>
      <w:r w:rsidRPr="00CE7679">
        <w:rPr>
          <w:i/>
          <w:szCs w:val="22"/>
        </w:rPr>
        <w:t>effect</w:t>
      </w:r>
      <w:proofErr w:type="spellEnd"/>
      <w:r w:rsidRPr="00CE7679">
        <w:rPr>
          <w:i/>
          <w:szCs w:val="22"/>
        </w:rPr>
        <w:t xml:space="preserve"> </w:t>
      </w:r>
      <w:proofErr w:type="spellStart"/>
      <w:r w:rsidRPr="00CE7679">
        <w:rPr>
          <w:i/>
          <w:szCs w:val="22"/>
        </w:rPr>
        <w:t>level</w:t>
      </w:r>
      <w:proofErr w:type="spellEnd"/>
      <w:r w:rsidRPr="00CE7679">
        <w:rPr>
          <w:i/>
          <w:szCs w:val="22"/>
        </w:rPr>
        <w:t xml:space="preserve">, </w:t>
      </w:r>
      <w:r w:rsidRPr="00CE7679">
        <w:rPr>
          <w:szCs w:val="22"/>
        </w:rPr>
        <w:t>NOAEL)</w:t>
      </w:r>
      <w:r w:rsidRPr="00CE7679">
        <w:rPr>
          <w:rFonts w:eastAsia="SimSun"/>
          <w:snapToGrid/>
          <w:szCs w:val="22"/>
          <w:lang w:eastAsia="zh-CN"/>
        </w:rPr>
        <w:t>, buvo 30 mg/kg per parą.</w:t>
      </w:r>
    </w:p>
    <w:p w14:paraId="1BBC9848"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2D2AD5B4"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Šių </w:t>
      </w:r>
      <w:proofErr w:type="spellStart"/>
      <w:r w:rsidRPr="00CE7679">
        <w:rPr>
          <w:rFonts w:eastAsia="SimSun"/>
          <w:snapToGrid/>
          <w:szCs w:val="22"/>
          <w:lang w:eastAsia="zh-CN"/>
        </w:rPr>
        <w:t>kancerogeniškumo</w:t>
      </w:r>
      <w:proofErr w:type="spellEnd"/>
      <w:r w:rsidRPr="00CE7679">
        <w:rPr>
          <w:rFonts w:eastAsia="SimSun"/>
          <w:snapToGrid/>
          <w:szCs w:val="22"/>
          <w:lang w:eastAsia="zh-CN"/>
        </w:rPr>
        <w:t xml:space="preserve"> tyrimų su žiurkėmis duomenų reikšmė ir mechanizmas žmonėms iki šiol neaiškus. </w:t>
      </w:r>
    </w:p>
    <w:p w14:paraId="5F55222C"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600CCC45"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Ankstesnių </w:t>
      </w:r>
      <w:proofErr w:type="spellStart"/>
      <w:r w:rsidRPr="00CE7679">
        <w:rPr>
          <w:rFonts w:eastAsia="SimSun"/>
          <w:snapToGrid/>
          <w:szCs w:val="22"/>
          <w:lang w:eastAsia="zh-CN"/>
        </w:rPr>
        <w:t>ikilinikinių</w:t>
      </w:r>
      <w:proofErr w:type="spellEnd"/>
      <w:r w:rsidRPr="00CE7679">
        <w:rPr>
          <w:rFonts w:eastAsia="SimSun"/>
          <w:snapToGrid/>
          <w:szCs w:val="22"/>
          <w:lang w:eastAsia="zh-CN"/>
        </w:rPr>
        <w:t xml:space="preserve"> tyrimų metu nenustatyti ne navikiniai pokyčiai buvo širdies ir kraujagyslių sistemos, kasos, endokrininių liaukų ir dantų pažeidimai. Svarbiausi pakitimai buvo širdies hipertrofija ir išsiplėtimas, dėl kurių kai kuriems gyvūnams pasireiškė širdies nepakankamumo požymiai.</w:t>
      </w:r>
    </w:p>
    <w:p w14:paraId="66056E8C" w14:textId="77777777" w:rsidR="00A27597" w:rsidRPr="00CE7679" w:rsidRDefault="00A27597" w:rsidP="00A27597">
      <w:pPr>
        <w:spacing w:line="240" w:lineRule="auto"/>
        <w:rPr>
          <w:rFonts w:eastAsia="SimSun"/>
          <w:snapToGrid/>
          <w:szCs w:val="22"/>
          <w:lang w:eastAsia="zh-CN"/>
        </w:rPr>
      </w:pPr>
    </w:p>
    <w:p w14:paraId="796ED7E2" w14:textId="77777777" w:rsidR="00A27597" w:rsidRPr="00CE7679" w:rsidRDefault="00A27597" w:rsidP="00A27597">
      <w:pPr>
        <w:spacing w:line="240" w:lineRule="auto"/>
        <w:rPr>
          <w:rFonts w:eastAsia="SimSun"/>
          <w:snapToGrid/>
          <w:szCs w:val="22"/>
          <w:lang w:eastAsia="zh-CN"/>
        </w:rPr>
      </w:pPr>
      <w:r w:rsidRPr="00CE7679">
        <w:rPr>
          <w:rFonts w:eastAsia="SimSun"/>
          <w:snapToGrid/>
          <w:szCs w:val="22"/>
          <w:lang w:eastAsia="zh-CN"/>
        </w:rPr>
        <w:t xml:space="preserve">Nustatyta, kad veiklioji medžiaga </w:t>
      </w:r>
      <w:proofErr w:type="spellStart"/>
      <w:r w:rsidRPr="00CE7679">
        <w:rPr>
          <w:rFonts w:eastAsia="SimSun"/>
          <w:snapToGrid/>
          <w:szCs w:val="22"/>
          <w:lang w:eastAsia="zh-CN"/>
        </w:rPr>
        <w:t>imatinibas</w:t>
      </w:r>
      <w:proofErr w:type="spellEnd"/>
      <w:r w:rsidRPr="00CE7679">
        <w:rPr>
          <w:rFonts w:eastAsia="SimSun"/>
          <w:snapToGrid/>
          <w:szCs w:val="22"/>
          <w:lang w:eastAsia="zh-CN"/>
        </w:rPr>
        <w:t xml:space="preserve"> kelia pavojų nuosėdose aptinkamiems organizmams.</w:t>
      </w:r>
    </w:p>
    <w:p w14:paraId="2C5CEFF0" w14:textId="77777777" w:rsidR="00A27597" w:rsidRPr="00CE7679" w:rsidRDefault="00A27597" w:rsidP="00A27597">
      <w:pPr>
        <w:spacing w:line="240" w:lineRule="auto"/>
        <w:rPr>
          <w:rFonts w:eastAsia="SimSun"/>
          <w:snapToGrid/>
          <w:szCs w:val="22"/>
          <w:lang w:eastAsia="zh-CN"/>
        </w:rPr>
      </w:pPr>
    </w:p>
    <w:p w14:paraId="046DA754" w14:textId="77777777" w:rsidR="00A27597" w:rsidRPr="00CE7679" w:rsidRDefault="00A27597" w:rsidP="00A27597">
      <w:pPr>
        <w:spacing w:line="240" w:lineRule="auto"/>
        <w:rPr>
          <w:rFonts w:eastAsia="SimSun"/>
          <w:snapToGrid/>
          <w:szCs w:val="22"/>
          <w:lang w:eastAsia="zh-CN"/>
        </w:rPr>
      </w:pPr>
    </w:p>
    <w:p w14:paraId="7DB8EC85" w14:textId="77777777" w:rsidR="00A27597" w:rsidRPr="00CE7679" w:rsidRDefault="00A27597" w:rsidP="00A27597">
      <w:pPr>
        <w:keepNext/>
        <w:keepLines/>
        <w:spacing w:line="240" w:lineRule="auto"/>
        <w:outlineLvl w:val="2"/>
        <w:rPr>
          <w:rFonts w:eastAsia="SimSun"/>
          <w:b/>
          <w:bCs/>
          <w:snapToGrid/>
          <w:szCs w:val="22"/>
          <w:lang w:eastAsia="zh-CN"/>
        </w:rPr>
      </w:pPr>
      <w:r w:rsidRPr="00CE7679">
        <w:rPr>
          <w:rFonts w:eastAsia="SimSun"/>
          <w:b/>
          <w:bCs/>
          <w:snapToGrid/>
          <w:szCs w:val="22"/>
          <w:lang w:eastAsia="zh-CN"/>
        </w:rPr>
        <w:t>6.</w:t>
      </w:r>
      <w:r w:rsidRPr="00CE7679">
        <w:rPr>
          <w:rFonts w:eastAsia="SimSun"/>
          <w:b/>
          <w:bCs/>
          <w:snapToGrid/>
          <w:szCs w:val="22"/>
          <w:lang w:eastAsia="zh-CN"/>
        </w:rPr>
        <w:tab/>
        <w:t>FARMACINĖ INFORMACIJA</w:t>
      </w:r>
    </w:p>
    <w:p w14:paraId="3A56B48F" w14:textId="77777777" w:rsidR="00A27597" w:rsidRPr="00CE7679" w:rsidRDefault="00A27597" w:rsidP="00A27597">
      <w:pPr>
        <w:spacing w:line="240" w:lineRule="auto"/>
        <w:rPr>
          <w:rFonts w:eastAsia="SimSun"/>
          <w:snapToGrid/>
          <w:szCs w:val="22"/>
          <w:lang w:eastAsia="zh-CN"/>
        </w:rPr>
      </w:pPr>
    </w:p>
    <w:p w14:paraId="2B59B0BC" w14:textId="77777777" w:rsidR="00A27597" w:rsidRPr="00CE7679" w:rsidRDefault="00A27597" w:rsidP="00A27597">
      <w:pPr>
        <w:keepNext/>
        <w:spacing w:line="240" w:lineRule="auto"/>
        <w:jc w:val="both"/>
        <w:outlineLvl w:val="3"/>
        <w:rPr>
          <w:rFonts w:eastAsia="SimSun"/>
          <w:b/>
          <w:snapToGrid/>
          <w:szCs w:val="22"/>
        </w:rPr>
      </w:pPr>
      <w:r w:rsidRPr="00CE7679">
        <w:rPr>
          <w:rFonts w:eastAsia="SimSun"/>
          <w:b/>
          <w:snapToGrid/>
          <w:szCs w:val="22"/>
        </w:rPr>
        <w:lastRenderedPageBreak/>
        <w:t>6.1</w:t>
      </w:r>
      <w:r w:rsidRPr="00CE7679">
        <w:rPr>
          <w:rFonts w:eastAsia="SimSun"/>
          <w:b/>
          <w:snapToGrid/>
          <w:szCs w:val="22"/>
        </w:rPr>
        <w:tab/>
        <w:t>Pagalbinių medžiagų sąrašas</w:t>
      </w:r>
    </w:p>
    <w:p w14:paraId="2ADDED85" w14:textId="77777777" w:rsidR="00A27597" w:rsidRPr="00CE7679" w:rsidRDefault="00A27597" w:rsidP="00A27597">
      <w:pPr>
        <w:spacing w:line="240" w:lineRule="auto"/>
        <w:rPr>
          <w:rFonts w:eastAsia="SimSun"/>
          <w:snapToGrid/>
          <w:szCs w:val="22"/>
          <w:lang w:eastAsia="zh-CN"/>
        </w:rPr>
      </w:pPr>
    </w:p>
    <w:p w14:paraId="1EEDDD43" w14:textId="77777777" w:rsidR="00A27597" w:rsidRPr="00CE7679" w:rsidRDefault="00A27597" w:rsidP="00A27597">
      <w:pPr>
        <w:widowControl w:val="0"/>
        <w:autoSpaceDE w:val="0"/>
        <w:autoSpaceDN w:val="0"/>
        <w:adjustRightInd w:val="0"/>
        <w:spacing w:line="240" w:lineRule="auto"/>
        <w:rPr>
          <w:rFonts w:eastAsia="SimSun"/>
          <w:i/>
          <w:snapToGrid/>
          <w:szCs w:val="22"/>
          <w:lang w:eastAsia="zh-CN"/>
        </w:rPr>
      </w:pPr>
      <w:r w:rsidRPr="00CE7679">
        <w:rPr>
          <w:rFonts w:eastAsia="SimSun"/>
          <w:i/>
          <w:snapToGrid/>
          <w:szCs w:val="22"/>
          <w:lang w:eastAsia="zh-CN"/>
        </w:rPr>
        <w:t xml:space="preserve">Tabletės šerdis </w:t>
      </w:r>
    </w:p>
    <w:p w14:paraId="264E13EE"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roofErr w:type="spellStart"/>
      <w:r w:rsidRPr="00CE7679">
        <w:rPr>
          <w:rFonts w:eastAsia="SimSun"/>
          <w:snapToGrid/>
          <w:szCs w:val="22"/>
          <w:lang w:eastAsia="zh-CN"/>
        </w:rPr>
        <w:t>Mikrokristalinė</w:t>
      </w:r>
      <w:proofErr w:type="spellEnd"/>
      <w:r w:rsidRPr="00CE7679">
        <w:rPr>
          <w:rFonts w:eastAsia="SimSun"/>
          <w:snapToGrid/>
          <w:szCs w:val="22"/>
          <w:lang w:eastAsia="zh-CN"/>
        </w:rPr>
        <w:t xml:space="preserve"> celiuliozė</w:t>
      </w:r>
    </w:p>
    <w:p w14:paraId="1C5F5AF8" w14:textId="39E3CF05" w:rsidR="00A27597" w:rsidRPr="00CE7679" w:rsidRDefault="00A27597" w:rsidP="00A27597">
      <w:pPr>
        <w:widowControl w:val="0"/>
        <w:autoSpaceDE w:val="0"/>
        <w:autoSpaceDN w:val="0"/>
        <w:adjustRightInd w:val="0"/>
        <w:spacing w:line="240" w:lineRule="auto"/>
        <w:rPr>
          <w:rFonts w:eastAsia="SimSun"/>
          <w:snapToGrid/>
          <w:szCs w:val="22"/>
          <w:lang w:eastAsia="zh-CN"/>
        </w:rPr>
      </w:pPr>
      <w:proofErr w:type="spellStart"/>
      <w:r w:rsidRPr="00CE7679">
        <w:rPr>
          <w:rFonts w:eastAsia="SimSun"/>
          <w:snapToGrid/>
          <w:szCs w:val="22"/>
          <w:lang w:eastAsia="zh-CN"/>
        </w:rPr>
        <w:t>Krospovidonas</w:t>
      </w:r>
      <w:proofErr w:type="spellEnd"/>
      <w:r w:rsidRPr="00CE7679">
        <w:rPr>
          <w:rFonts w:eastAsia="SimSun"/>
          <w:snapToGrid/>
          <w:szCs w:val="22"/>
          <w:lang w:eastAsia="zh-CN"/>
        </w:rPr>
        <w:t xml:space="preserve"> (A</w:t>
      </w:r>
      <w:r w:rsidR="00374162">
        <w:rPr>
          <w:rFonts w:eastAsia="SimSun"/>
          <w:snapToGrid/>
          <w:szCs w:val="22"/>
          <w:lang w:eastAsia="zh-CN"/>
        </w:rPr>
        <w:t> </w:t>
      </w:r>
      <w:r w:rsidRPr="00CE7679">
        <w:rPr>
          <w:rFonts w:eastAsia="SimSun"/>
          <w:snapToGrid/>
          <w:szCs w:val="22"/>
          <w:lang w:eastAsia="zh-CN"/>
        </w:rPr>
        <w:t>tipo)</w:t>
      </w:r>
    </w:p>
    <w:p w14:paraId="113196D7"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roofErr w:type="spellStart"/>
      <w:r w:rsidRPr="00CE7679">
        <w:rPr>
          <w:rFonts w:eastAsia="SimSun"/>
          <w:snapToGrid/>
          <w:szCs w:val="22"/>
          <w:lang w:eastAsia="zh-CN"/>
        </w:rPr>
        <w:t>Hipromeliozė</w:t>
      </w:r>
      <w:proofErr w:type="spellEnd"/>
    </w:p>
    <w:p w14:paraId="3674792B"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 xml:space="preserve">Magnio </w:t>
      </w:r>
      <w:proofErr w:type="spellStart"/>
      <w:r w:rsidRPr="00CE7679">
        <w:rPr>
          <w:rFonts w:eastAsia="SimSun"/>
          <w:snapToGrid/>
          <w:szCs w:val="22"/>
          <w:lang w:eastAsia="zh-CN"/>
        </w:rPr>
        <w:t>stearatas</w:t>
      </w:r>
      <w:proofErr w:type="spellEnd"/>
      <w:r w:rsidRPr="00CE7679">
        <w:rPr>
          <w:rFonts w:eastAsia="SimSun"/>
          <w:snapToGrid/>
          <w:szCs w:val="22"/>
          <w:lang w:eastAsia="zh-CN"/>
        </w:rPr>
        <w:t xml:space="preserve"> </w:t>
      </w:r>
    </w:p>
    <w:p w14:paraId="2D592FE7"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Koloidinis bevandenis silicio dioksidas</w:t>
      </w:r>
    </w:p>
    <w:p w14:paraId="518F7D1F"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
    <w:p w14:paraId="08BFDDB0" w14:textId="77777777" w:rsidR="00A27597" w:rsidRPr="00CE7679" w:rsidRDefault="00A27597" w:rsidP="00A27597">
      <w:pPr>
        <w:widowControl w:val="0"/>
        <w:autoSpaceDE w:val="0"/>
        <w:autoSpaceDN w:val="0"/>
        <w:adjustRightInd w:val="0"/>
        <w:spacing w:line="240" w:lineRule="auto"/>
        <w:rPr>
          <w:rFonts w:eastAsia="SimSun"/>
          <w:i/>
          <w:snapToGrid/>
          <w:szCs w:val="22"/>
          <w:lang w:eastAsia="zh-CN"/>
        </w:rPr>
      </w:pPr>
      <w:r w:rsidRPr="00CE7679">
        <w:rPr>
          <w:rFonts w:eastAsia="SimSun"/>
          <w:i/>
          <w:snapToGrid/>
          <w:szCs w:val="22"/>
          <w:lang w:eastAsia="zh-CN"/>
        </w:rPr>
        <w:t>Tabletės plėvelė</w:t>
      </w:r>
    </w:p>
    <w:p w14:paraId="43A87118" w14:textId="7389C875" w:rsidR="00A27597" w:rsidRPr="00CE7679" w:rsidRDefault="00A27597" w:rsidP="00A27597">
      <w:pPr>
        <w:widowControl w:val="0"/>
        <w:autoSpaceDE w:val="0"/>
        <w:autoSpaceDN w:val="0"/>
        <w:adjustRightInd w:val="0"/>
        <w:spacing w:line="240" w:lineRule="auto"/>
        <w:jc w:val="both"/>
        <w:rPr>
          <w:rFonts w:eastAsia="SimSun"/>
          <w:snapToGrid/>
          <w:szCs w:val="22"/>
          <w:lang w:eastAsia="zh-CN"/>
        </w:rPr>
      </w:pPr>
      <w:r w:rsidRPr="00CE7679">
        <w:rPr>
          <w:rFonts w:eastAsia="SimSun"/>
          <w:snapToGrid/>
          <w:szCs w:val="22"/>
          <w:lang w:eastAsia="zh-CN"/>
        </w:rPr>
        <w:t>Raudonasis geležies oksidas (E172)</w:t>
      </w:r>
    </w:p>
    <w:p w14:paraId="30077C7D" w14:textId="07DC21F3"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Geltonasis geležies oksidas (E172)</w:t>
      </w:r>
    </w:p>
    <w:p w14:paraId="2A3F87ED" w14:textId="230F1B0E" w:rsidR="00A27597" w:rsidRPr="00CE7679" w:rsidRDefault="00A27597" w:rsidP="00A27597">
      <w:pPr>
        <w:widowControl w:val="0"/>
        <w:autoSpaceDE w:val="0"/>
        <w:autoSpaceDN w:val="0"/>
        <w:adjustRightInd w:val="0"/>
        <w:spacing w:line="240" w:lineRule="auto"/>
        <w:rPr>
          <w:rFonts w:eastAsia="SimSun"/>
          <w:snapToGrid/>
          <w:szCs w:val="22"/>
          <w:lang w:eastAsia="zh-CN"/>
        </w:rPr>
      </w:pPr>
      <w:proofErr w:type="spellStart"/>
      <w:r w:rsidRPr="00CE7679">
        <w:rPr>
          <w:rFonts w:eastAsia="SimSun"/>
          <w:snapToGrid/>
          <w:szCs w:val="22"/>
          <w:lang w:eastAsia="zh-CN"/>
        </w:rPr>
        <w:t>Makrogolis</w:t>
      </w:r>
      <w:proofErr w:type="spellEnd"/>
      <w:r w:rsidR="00374162">
        <w:rPr>
          <w:rFonts w:eastAsia="SimSun"/>
          <w:snapToGrid/>
          <w:szCs w:val="22"/>
          <w:lang w:eastAsia="zh-CN"/>
        </w:rPr>
        <w:t> </w:t>
      </w:r>
      <w:r w:rsidRPr="00CE7679">
        <w:rPr>
          <w:rFonts w:eastAsia="SimSun"/>
          <w:snapToGrid/>
          <w:szCs w:val="22"/>
          <w:lang w:eastAsia="zh-CN"/>
        </w:rPr>
        <w:t>4000</w:t>
      </w:r>
    </w:p>
    <w:p w14:paraId="624E51A2"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r w:rsidRPr="00CE7679">
        <w:rPr>
          <w:rFonts w:eastAsia="SimSun"/>
          <w:snapToGrid/>
          <w:szCs w:val="22"/>
          <w:lang w:eastAsia="zh-CN"/>
        </w:rPr>
        <w:t>Talkas</w:t>
      </w:r>
    </w:p>
    <w:p w14:paraId="719E9914" w14:textId="77777777" w:rsidR="00A27597" w:rsidRPr="00CE7679" w:rsidRDefault="00A27597" w:rsidP="00A27597">
      <w:pPr>
        <w:widowControl w:val="0"/>
        <w:autoSpaceDE w:val="0"/>
        <w:autoSpaceDN w:val="0"/>
        <w:adjustRightInd w:val="0"/>
        <w:spacing w:line="240" w:lineRule="auto"/>
        <w:rPr>
          <w:rFonts w:eastAsia="SimSun"/>
          <w:snapToGrid/>
          <w:szCs w:val="22"/>
          <w:lang w:eastAsia="zh-CN"/>
        </w:rPr>
      </w:pPr>
      <w:proofErr w:type="spellStart"/>
      <w:r w:rsidRPr="00CE7679">
        <w:rPr>
          <w:rFonts w:eastAsia="SimSun"/>
          <w:snapToGrid/>
          <w:szCs w:val="22"/>
          <w:lang w:eastAsia="zh-CN"/>
        </w:rPr>
        <w:t>Hipromeliozė</w:t>
      </w:r>
      <w:proofErr w:type="spellEnd"/>
    </w:p>
    <w:p w14:paraId="6C637D50" w14:textId="77777777" w:rsidR="00A27597" w:rsidRPr="00CE7679" w:rsidRDefault="00A27597" w:rsidP="00A27597">
      <w:pPr>
        <w:spacing w:line="240" w:lineRule="auto"/>
        <w:rPr>
          <w:rFonts w:eastAsia="SimSun"/>
          <w:snapToGrid/>
          <w:szCs w:val="22"/>
          <w:lang w:eastAsia="zh-CN"/>
        </w:rPr>
      </w:pPr>
    </w:p>
    <w:p w14:paraId="3FCB5961" w14:textId="77777777" w:rsidR="00A27597" w:rsidRPr="00CE7679" w:rsidRDefault="00A27597" w:rsidP="00A27597">
      <w:pPr>
        <w:keepNext/>
        <w:spacing w:line="240" w:lineRule="auto"/>
        <w:jc w:val="both"/>
        <w:outlineLvl w:val="3"/>
        <w:rPr>
          <w:rFonts w:eastAsia="SimSun"/>
          <w:b/>
          <w:snapToGrid/>
          <w:szCs w:val="22"/>
        </w:rPr>
      </w:pPr>
      <w:r w:rsidRPr="00CE7679">
        <w:rPr>
          <w:rFonts w:eastAsia="SimSun"/>
          <w:b/>
          <w:snapToGrid/>
          <w:szCs w:val="22"/>
        </w:rPr>
        <w:t>6.2</w:t>
      </w:r>
      <w:r w:rsidRPr="00CE7679">
        <w:rPr>
          <w:rFonts w:eastAsia="SimSun"/>
          <w:b/>
          <w:snapToGrid/>
          <w:szCs w:val="22"/>
        </w:rPr>
        <w:tab/>
        <w:t>Nesuderinamumas</w:t>
      </w:r>
    </w:p>
    <w:p w14:paraId="7730A6B1" w14:textId="77777777" w:rsidR="00A27597" w:rsidRPr="00CE7679" w:rsidRDefault="00A27597" w:rsidP="00A27597">
      <w:pPr>
        <w:spacing w:line="240" w:lineRule="auto"/>
        <w:rPr>
          <w:rFonts w:eastAsia="SimSun"/>
          <w:snapToGrid/>
          <w:szCs w:val="22"/>
          <w:lang w:eastAsia="zh-CN"/>
        </w:rPr>
      </w:pPr>
    </w:p>
    <w:p w14:paraId="2077C6F1" w14:textId="77777777" w:rsidR="00A27597" w:rsidRPr="00CE7679" w:rsidRDefault="00A27597" w:rsidP="00A27597">
      <w:pPr>
        <w:spacing w:line="240" w:lineRule="auto"/>
        <w:rPr>
          <w:rFonts w:eastAsia="SimSun"/>
          <w:snapToGrid/>
          <w:szCs w:val="22"/>
          <w:lang w:eastAsia="zh-CN"/>
        </w:rPr>
      </w:pPr>
      <w:r w:rsidRPr="00CE7679">
        <w:rPr>
          <w:rFonts w:eastAsia="SimSun"/>
          <w:snapToGrid/>
          <w:szCs w:val="22"/>
          <w:lang w:eastAsia="zh-CN"/>
        </w:rPr>
        <w:t xml:space="preserve">Duomenys nebūtini. </w:t>
      </w:r>
    </w:p>
    <w:p w14:paraId="2E17E218" w14:textId="77777777" w:rsidR="00A27597" w:rsidRPr="00CE7679" w:rsidRDefault="00A27597" w:rsidP="00A27597">
      <w:pPr>
        <w:spacing w:line="240" w:lineRule="auto"/>
        <w:rPr>
          <w:rFonts w:eastAsia="SimSun"/>
          <w:snapToGrid/>
          <w:szCs w:val="22"/>
          <w:lang w:eastAsia="zh-CN"/>
        </w:rPr>
      </w:pPr>
    </w:p>
    <w:p w14:paraId="654984B0" w14:textId="77777777" w:rsidR="00A27597" w:rsidRPr="00CE7679" w:rsidRDefault="00A27597" w:rsidP="00A27597">
      <w:pPr>
        <w:keepNext/>
        <w:spacing w:line="240" w:lineRule="auto"/>
        <w:jc w:val="both"/>
        <w:outlineLvl w:val="3"/>
        <w:rPr>
          <w:rFonts w:eastAsia="SimSun"/>
          <w:b/>
          <w:snapToGrid/>
          <w:szCs w:val="22"/>
        </w:rPr>
      </w:pPr>
      <w:r w:rsidRPr="00CE7679">
        <w:rPr>
          <w:rFonts w:eastAsia="SimSun"/>
          <w:b/>
          <w:snapToGrid/>
          <w:szCs w:val="22"/>
        </w:rPr>
        <w:t>6.3</w:t>
      </w:r>
      <w:r w:rsidRPr="00CE7679">
        <w:rPr>
          <w:rFonts w:eastAsia="SimSun"/>
          <w:b/>
          <w:snapToGrid/>
          <w:szCs w:val="22"/>
        </w:rPr>
        <w:tab/>
        <w:t>Tinkamumo laikas</w:t>
      </w:r>
    </w:p>
    <w:p w14:paraId="50744933" w14:textId="77777777" w:rsidR="00A27597" w:rsidRPr="00CE7679" w:rsidRDefault="00A27597" w:rsidP="00A27597">
      <w:pPr>
        <w:spacing w:line="240" w:lineRule="auto"/>
        <w:rPr>
          <w:rFonts w:eastAsia="SimSun"/>
          <w:snapToGrid/>
          <w:szCs w:val="22"/>
          <w:lang w:eastAsia="zh-CN"/>
        </w:rPr>
      </w:pPr>
    </w:p>
    <w:p w14:paraId="18290DA2" w14:textId="158DAF45" w:rsidR="00A27597" w:rsidRPr="00CE7679" w:rsidRDefault="00A27597" w:rsidP="00A27597">
      <w:pPr>
        <w:spacing w:line="240" w:lineRule="auto"/>
        <w:rPr>
          <w:rFonts w:eastAsia="SimSun"/>
          <w:snapToGrid/>
          <w:szCs w:val="22"/>
          <w:lang w:eastAsia="zh-CN"/>
        </w:rPr>
      </w:pPr>
      <w:r w:rsidRPr="00CE7679">
        <w:rPr>
          <w:rFonts w:eastAsia="SimSun"/>
          <w:snapToGrid/>
          <w:szCs w:val="22"/>
          <w:lang w:eastAsia="zh-CN"/>
        </w:rPr>
        <w:t>3</w:t>
      </w:r>
      <w:r w:rsidR="00374162">
        <w:rPr>
          <w:rFonts w:eastAsia="SimSun"/>
          <w:snapToGrid/>
          <w:szCs w:val="22"/>
          <w:lang w:eastAsia="zh-CN"/>
        </w:rPr>
        <w:t> </w:t>
      </w:r>
      <w:r w:rsidRPr="00CE7679">
        <w:rPr>
          <w:rFonts w:eastAsia="SimSun"/>
          <w:snapToGrid/>
          <w:szCs w:val="22"/>
          <w:lang w:eastAsia="zh-CN"/>
        </w:rPr>
        <w:t>metai</w:t>
      </w:r>
      <w:r w:rsidRPr="00CE7679" w:rsidDel="00B4048C">
        <w:rPr>
          <w:rFonts w:eastAsia="SimSun"/>
          <w:snapToGrid/>
          <w:szCs w:val="22"/>
          <w:lang w:eastAsia="zh-CN"/>
        </w:rPr>
        <w:t xml:space="preserve"> </w:t>
      </w:r>
    </w:p>
    <w:p w14:paraId="79FCCD19" w14:textId="77777777" w:rsidR="00A27597" w:rsidRPr="00CE7679" w:rsidRDefault="00A27597" w:rsidP="00A27597">
      <w:pPr>
        <w:spacing w:line="240" w:lineRule="auto"/>
        <w:rPr>
          <w:rFonts w:eastAsia="SimSun"/>
          <w:snapToGrid/>
          <w:szCs w:val="22"/>
          <w:lang w:eastAsia="zh-CN"/>
        </w:rPr>
      </w:pPr>
    </w:p>
    <w:p w14:paraId="725542B2" w14:textId="77777777" w:rsidR="00A27597" w:rsidRPr="00CE7679" w:rsidRDefault="00A27597" w:rsidP="00A27597">
      <w:pPr>
        <w:numPr>
          <w:ilvl w:val="1"/>
          <w:numId w:val="31"/>
        </w:numPr>
        <w:autoSpaceDE w:val="0"/>
        <w:autoSpaceDN w:val="0"/>
        <w:adjustRightInd w:val="0"/>
        <w:spacing w:line="240" w:lineRule="auto"/>
        <w:rPr>
          <w:b/>
          <w:bCs/>
          <w:snapToGrid/>
          <w:szCs w:val="22"/>
          <w:lang w:eastAsia="lt-LT"/>
        </w:rPr>
      </w:pPr>
      <w:r w:rsidRPr="00CE7679">
        <w:rPr>
          <w:b/>
          <w:bCs/>
          <w:snapToGrid/>
          <w:szCs w:val="22"/>
          <w:lang w:eastAsia="lt-LT"/>
        </w:rPr>
        <w:t xml:space="preserve">Specialios laikymo sąlygos </w:t>
      </w:r>
    </w:p>
    <w:p w14:paraId="4BECA85D" w14:textId="77777777" w:rsidR="00A27597" w:rsidRPr="00CE7679" w:rsidRDefault="00A27597" w:rsidP="00A27597">
      <w:pPr>
        <w:tabs>
          <w:tab w:val="clear" w:pos="567"/>
        </w:tabs>
        <w:autoSpaceDE w:val="0"/>
        <w:autoSpaceDN w:val="0"/>
        <w:adjustRightInd w:val="0"/>
        <w:spacing w:line="240" w:lineRule="auto"/>
        <w:rPr>
          <w:snapToGrid/>
          <w:szCs w:val="22"/>
          <w:lang w:eastAsia="lt-LT"/>
        </w:rPr>
      </w:pPr>
    </w:p>
    <w:p w14:paraId="5103E1CF" w14:textId="1BB94914" w:rsidR="00A27597" w:rsidRDefault="00A27597" w:rsidP="00A27597">
      <w:pPr>
        <w:tabs>
          <w:tab w:val="clear" w:pos="567"/>
        </w:tabs>
        <w:autoSpaceDE w:val="0"/>
        <w:autoSpaceDN w:val="0"/>
        <w:adjustRightInd w:val="0"/>
        <w:spacing w:line="240" w:lineRule="auto"/>
        <w:rPr>
          <w:snapToGrid/>
          <w:szCs w:val="22"/>
          <w:lang w:eastAsia="lt-LT"/>
        </w:rPr>
      </w:pPr>
      <w:r w:rsidRPr="00CE7679">
        <w:rPr>
          <w:snapToGrid/>
          <w:szCs w:val="22"/>
          <w:lang w:eastAsia="lt-LT"/>
        </w:rPr>
        <w:t>Laikyti ne aukštesnėje kaip 30</w:t>
      </w:r>
      <w:r w:rsidR="00EF69C8" w:rsidRPr="00CE7679">
        <w:rPr>
          <w:snapToGrid/>
          <w:szCs w:val="22"/>
          <w:lang w:eastAsia="lt-LT"/>
        </w:rPr>
        <w:t> </w:t>
      </w:r>
      <w:r w:rsidRPr="00CE7679">
        <w:t>°</w:t>
      </w:r>
      <w:r w:rsidRPr="00CE7679">
        <w:rPr>
          <w:snapToGrid/>
          <w:szCs w:val="22"/>
          <w:lang w:eastAsia="lt-LT"/>
        </w:rPr>
        <w:t xml:space="preserve">C temperatūroje. </w:t>
      </w:r>
    </w:p>
    <w:p w14:paraId="2E3550C5" w14:textId="4E685A80" w:rsidR="00507407" w:rsidRDefault="00507407" w:rsidP="00A27597">
      <w:pPr>
        <w:tabs>
          <w:tab w:val="clear" w:pos="567"/>
        </w:tabs>
        <w:autoSpaceDE w:val="0"/>
        <w:autoSpaceDN w:val="0"/>
        <w:adjustRightInd w:val="0"/>
        <w:spacing w:line="240" w:lineRule="auto"/>
        <w:rPr>
          <w:snapToGrid/>
          <w:szCs w:val="22"/>
          <w:lang w:eastAsia="lt-LT"/>
        </w:rPr>
      </w:pPr>
      <w:bookmarkStart w:id="1" w:name="_Hlk113310024"/>
    </w:p>
    <w:p w14:paraId="52CB1D3E" w14:textId="77777777" w:rsidR="00507407" w:rsidRPr="00F30108" w:rsidRDefault="00507407" w:rsidP="00A27597">
      <w:pPr>
        <w:tabs>
          <w:tab w:val="clear" w:pos="567"/>
        </w:tabs>
        <w:autoSpaceDE w:val="0"/>
        <w:autoSpaceDN w:val="0"/>
        <w:adjustRightInd w:val="0"/>
        <w:spacing w:line="240" w:lineRule="auto"/>
        <w:rPr>
          <w:i/>
          <w:iCs/>
          <w:snapToGrid/>
          <w:szCs w:val="22"/>
          <w:highlight w:val="lightGray"/>
          <w:lang w:eastAsia="lt-LT"/>
        </w:rPr>
      </w:pPr>
      <w:r w:rsidRPr="00F30108">
        <w:rPr>
          <w:i/>
          <w:iCs/>
          <w:snapToGrid/>
          <w:szCs w:val="22"/>
          <w:highlight w:val="lightGray"/>
          <w:lang w:eastAsia="lt-LT"/>
        </w:rPr>
        <w:t xml:space="preserve">PVC/PE/PVDC/Al lizdinės plokštelės </w:t>
      </w:r>
    </w:p>
    <w:p w14:paraId="1464BE8A" w14:textId="1CC0FEEB" w:rsidR="00507407" w:rsidRPr="00F30108" w:rsidRDefault="00507407" w:rsidP="00A27597">
      <w:pPr>
        <w:tabs>
          <w:tab w:val="clear" w:pos="567"/>
        </w:tabs>
        <w:autoSpaceDE w:val="0"/>
        <w:autoSpaceDN w:val="0"/>
        <w:adjustRightInd w:val="0"/>
        <w:spacing w:line="240" w:lineRule="auto"/>
        <w:rPr>
          <w:snapToGrid/>
          <w:szCs w:val="22"/>
          <w:lang w:eastAsia="lt-LT"/>
        </w:rPr>
      </w:pPr>
      <w:r w:rsidRPr="00F30108">
        <w:rPr>
          <w:snapToGrid/>
          <w:szCs w:val="22"/>
          <w:highlight w:val="lightGray"/>
          <w:lang w:eastAsia="lt-LT"/>
        </w:rPr>
        <w:t>Laikyti žemesnėje kaip 25°C temperatūroje.</w:t>
      </w:r>
    </w:p>
    <w:bookmarkEnd w:id="1"/>
    <w:p w14:paraId="09C772CA" w14:textId="77777777" w:rsidR="00507407" w:rsidRPr="00CE7679" w:rsidRDefault="00507407" w:rsidP="00A27597">
      <w:pPr>
        <w:tabs>
          <w:tab w:val="clear" w:pos="567"/>
        </w:tabs>
        <w:autoSpaceDE w:val="0"/>
        <w:autoSpaceDN w:val="0"/>
        <w:adjustRightInd w:val="0"/>
        <w:spacing w:line="240" w:lineRule="auto"/>
        <w:rPr>
          <w:snapToGrid/>
          <w:szCs w:val="22"/>
          <w:lang w:eastAsia="lt-LT"/>
        </w:rPr>
      </w:pPr>
    </w:p>
    <w:p w14:paraId="1CFA9CDD" w14:textId="77777777" w:rsidR="00A27597" w:rsidRPr="00CE7679" w:rsidRDefault="00A27597" w:rsidP="00A27597">
      <w:pPr>
        <w:spacing w:line="240" w:lineRule="auto"/>
        <w:rPr>
          <w:rFonts w:eastAsia="SimSun"/>
          <w:snapToGrid/>
          <w:szCs w:val="22"/>
          <w:lang w:eastAsia="zh-CN"/>
        </w:rPr>
      </w:pPr>
      <w:r w:rsidRPr="00CE7679">
        <w:rPr>
          <w:snapToGrid/>
          <w:szCs w:val="22"/>
          <w:lang w:eastAsia="lt-LT"/>
        </w:rPr>
        <w:t xml:space="preserve">Laikyti gamintojo pakuotėje, kad </w:t>
      </w:r>
      <w:r w:rsidR="00397E6E">
        <w:rPr>
          <w:snapToGrid/>
          <w:szCs w:val="22"/>
          <w:lang w:eastAsia="lt-LT"/>
        </w:rPr>
        <w:t xml:space="preserve">vaistinis </w:t>
      </w:r>
      <w:r w:rsidRPr="00CE7679">
        <w:rPr>
          <w:snapToGrid/>
          <w:szCs w:val="22"/>
          <w:lang w:eastAsia="lt-LT"/>
        </w:rPr>
        <w:t xml:space="preserve">preparatas būtų apsaugotas nuo drėgmės. </w:t>
      </w:r>
    </w:p>
    <w:p w14:paraId="55609BE2" w14:textId="77777777" w:rsidR="00A27597" w:rsidRPr="00CE7679" w:rsidRDefault="00A27597" w:rsidP="00A27597">
      <w:pPr>
        <w:tabs>
          <w:tab w:val="clear" w:pos="567"/>
        </w:tabs>
        <w:spacing w:line="240" w:lineRule="auto"/>
        <w:jc w:val="both"/>
        <w:rPr>
          <w:rFonts w:eastAsia="Calibri"/>
          <w:snapToGrid/>
          <w:szCs w:val="22"/>
          <w:lang w:eastAsia="en-GB"/>
        </w:rPr>
      </w:pPr>
    </w:p>
    <w:p w14:paraId="7648FF85" w14:textId="77777777" w:rsidR="00A27597" w:rsidRPr="00CE7679" w:rsidRDefault="00A27597" w:rsidP="00A27597">
      <w:pPr>
        <w:tabs>
          <w:tab w:val="clear" w:pos="567"/>
        </w:tabs>
        <w:autoSpaceDE w:val="0"/>
        <w:autoSpaceDN w:val="0"/>
        <w:adjustRightInd w:val="0"/>
        <w:spacing w:line="240" w:lineRule="auto"/>
        <w:rPr>
          <w:b/>
          <w:bCs/>
          <w:snapToGrid/>
          <w:szCs w:val="22"/>
          <w:lang w:eastAsia="lt-LT"/>
        </w:rPr>
      </w:pPr>
      <w:r w:rsidRPr="00CE7679">
        <w:rPr>
          <w:b/>
          <w:bCs/>
          <w:snapToGrid/>
          <w:szCs w:val="22"/>
          <w:lang w:eastAsia="lt-LT"/>
        </w:rPr>
        <w:t>6.</w:t>
      </w:r>
      <w:r w:rsidR="00397E6E">
        <w:rPr>
          <w:b/>
          <w:bCs/>
          <w:snapToGrid/>
          <w:szCs w:val="22"/>
          <w:lang w:eastAsia="lt-LT"/>
        </w:rPr>
        <w:t>5</w:t>
      </w:r>
      <w:r w:rsidRPr="00CE7679">
        <w:rPr>
          <w:b/>
          <w:bCs/>
          <w:snapToGrid/>
          <w:szCs w:val="22"/>
          <w:lang w:eastAsia="lt-LT"/>
        </w:rPr>
        <w:tab/>
      </w:r>
      <w:proofErr w:type="spellStart"/>
      <w:r w:rsidRPr="00CE7679">
        <w:rPr>
          <w:b/>
          <w:bCs/>
          <w:snapToGrid/>
          <w:szCs w:val="22"/>
          <w:lang w:eastAsia="lt-LT"/>
        </w:rPr>
        <w:t>Talpyklės</w:t>
      </w:r>
      <w:proofErr w:type="spellEnd"/>
      <w:r w:rsidRPr="00CE7679">
        <w:rPr>
          <w:b/>
          <w:bCs/>
          <w:snapToGrid/>
          <w:szCs w:val="22"/>
          <w:lang w:eastAsia="lt-LT"/>
        </w:rPr>
        <w:t xml:space="preserve"> pobūdis ir jos turinys</w:t>
      </w:r>
    </w:p>
    <w:p w14:paraId="697F8A06" w14:textId="77777777" w:rsidR="00A27597" w:rsidRPr="00CE7679" w:rsidRDefault="00A27597" w:rsidP="00A27597">
      <w:pPr>
        <w:tabs>
          <w:tab w:val="clear" w:pos="567"/>
        </w:tabs>
        <w:spacing w:line="240" w:lineRule="auto"/>
        <w:jc w:val="both"/>
        <w:rPr>
          <w:rFonts w:eastAsia="Calibri"/>
          <w:snapToGrid/>
          <w:szCs w:val="22"/>
          <w:lang w:eastAsia="en-GB"/>
        </w:rPr>
      </w:pPr>
    </w:p>
    <w:p w14:paraId="5CDEF9FF" w14:textId="77777777" w:rsidR="00A27597" w:rsidRPr="00CE7679" w:rsidRDefault="00FE3C95" w:rsidP="00A27597">
      <w:pPr>
        <w:tabs>
          <w:tab w:val="clear" w:pos="567"/>
        </w:tabs>
        <w:spacing w:line="240" w:lineRule="auto"/>
        <w:jc w:val="both"/>
        <w:rPr>
          <w:rFonts w:eastAsia="Calibri"/>
          <w:snapToGrid/>
          <w:szCs w:val="22"/>
          <w:lang w:eastAsia="en-GB"/>
        </w:rPr>
      </w:pPr>
      <w:r>
        <w:rPr>
          <w:rFonts w:eastAsia="Calibri"/>
          <w:snapToGrid/>
          <w:szCs w:val="22"/>
          <w:lang w:eastAsia="en-GB"/>
        </w:rPr>
        <w:t xml:space="preserve">Plėvele dengtos tabletės supakuotos į </w:t>
      </w:r>
      <w:r w:rsidR="00A27597" w:rsidRPr="00CE7679">
        <w:rPr>
          <w:rFonts w:eastAsia="Calibri"/>
          <w:snapToGrid/>
          <w:szCs w:val="22"/>
          <w:lang w:eastAsia="en-GB"/>
        </w:rPr>
        <w:t>PVC/Al lizdin</w:t>
      </w:r>
      <w:r>
        <w:rPr>
          <w:rFonts w:eastAsia="Calibri"/>
          <w:snapToGrid/>
          <w:szCs w:val="22"/>
          <w:lang w:eastAsia="en-GB"/>
        </w:rPr>
        <w:t>e</w:t>
      </w:r>
      <w:r w:rsidR="00A27597" w:rsidRPr="00CE7679">
        <w:rPr>
          <w:rFonts w:eastAsia="Calibri"/>
          <w:snapToGrid/>
          <w:szCs w:val="22"/>
          <w:lang w:eastAsia="en-GB"/>
        </w:rPr>
        <w:t>s plokštel</w:t>
      </w:r>
      <w:r>
        <w:rPr>
          <w:rFonts w:eastAsia="Calibri"/>
          <w:snapToGrid/>
          <w:szCs w:val="22"/>
          <w:lang w:eastAsia="en-GB"/>
        </w:rPr>
        <w:t>e</w:t>
      </w:r>
      <w:r w:rsidR="00A27597" w:rsidRPr="00CE7679">
        <w:rPr>
          <w:rFonts w:eastAsia="Calibri"/>
          <w:snapToGrid/>
          <w:szCs w:val="22"/>
          <w:lang w:eastAsia="en-GB"/>
        </w:rPr>
        <w:t>s</w:t>
      </w:r>
      <w:r>
        <w:rPr>
          <w:rFonts w:eastAsia="Calibri"/>
          <w:snapToGrid/>
          <w:szCs w:val="22"/>
          <w:lang w:eastAsia="en-GB"/>
        </w:rPr>
        <w:t xml:space="preserve"> ar į </w:t>
      </w:r>
    </w:p>
    <w:p w14:paraId="7129821A" w14:textId="77777777" w:rsidR="00A27597" w:rsidRPr="00CE7679" w:rsidRDefault="00A27597" w:rsidP="00A27597">
      <w:pPr>
        <w:tabs>
          <w:tab w:val="clear" w:pos="567"/>
        </w:tabs>
        <w:spacing w:line="240" w:lineRule="auto"/>
        <w:jc w:val="both"/>
        <w:rPr>
          <w:rFonts w:eastAsia="Calibri"/>
          <w:snapToGrid/>
          <w:szCs w:val="22"/>
          <w:lang w:eastAsia="en-GB"/>
        </w:rPr>
      </w:pPr>
      <w:r w:rsidRPr="00961430">
        <w:rPr>
          <w:rFonts w:eastAsia="Calibri"/>
          <w:snapToGrid/>
          <w:szCs w:val="22"/>
          <w:highlight w:val="lightGray"/>
          <w:lang w:eastAsia="en-GB"/>
        </w:rPr>
        <w:t>PVC/PE/PVDC/Al</w:t>
      </w:r>
      <w:r w:rsidRPr="00CE7679">
        <w:rPr>
          <w:rFonts w:eastAsia="Calibri"/>
          <w:snapToGrid/>
          <w:szCs w:val="22"/>
          <w:lang w:eastAsia="en-GB"/>
        </w:rPr>
        <w:t xml:space="preserve"> lizdin</w:t>
      </w:r>
      <w:r w:rsidR="00FE3C95">
        <w:rPr>
          <w:rFonts w:eastAsia="Calibri"/>
          <w:snapToGrid/>
          <w:szCs w:val="22"/>
          <w:lang w:eastAsia="en-GB"/>
        </w:rPr>
        <w:t>e</w:t>
      </w:r>
      <w:r w:rsidRPr="00CE7679">
        <w:rPr>
          <w:rFonts w:eastAsia="Calibri"/>
          <w:snapToGrid/>
          <w:szCs w:val="22"/>
          <w:lang w:eastAsia="en-GB"/>
        </w:rPr>
        <w:t>s plokštel</w:t>
      </w:r>
      <w:r w:rsidR="00FE3C95">
        <w:rPr>
          <w:rFonts w:eastAsia="Calibri"/>
          <w:snapToGrid/>
          <w:szCs w:val="22"/>
          <w:lang w:eastAsia="en-GB"/>
        </w:rPr>
        <w:t>e</w:t>
      </w:r>
      <w:r w:rsidRPr="00CE7679">
        <w:rPr>
          <w:rFonts w:eastAsia="Calibri"/>
          <w:snapToGrid/>
          <w:szCs w:val="22"/>
          <w:lang w:eastAsia="en-GB"/>
        </w:rPr>
        <w:t>s</w:t>
      </w:r>
      <w:r w:rsidR="002B0C3D">
        <w:rPr>
          <w:rFonts w:eastAsia="Calibri"/>
          <w:snapToGrid/>
          <w:szCs w:val="22"/>
          <w:lang w:eastAsia="en-GB"/>
        </w:rPr>
        <w:t xml:space="preserve"> ir įdėtos į kartono dėžutę.</w:t>
      </w:r>
    </w:p>
    <w:p w14:paraId="607110CF" w14:textId="77777777" w:rsidR="00A27597" w:rsidRPr="00CE7679" w:rsidRDefault="00A27597" w:rsidP="00A27597">
      <w:pPr>
        <w:tabs>
          <w:tab w:val="clear" w:pos="567"/>
        </w:tabs>
        <w:spacing w:line="240" w:lineRule="auto"/>
        <w:jc w:val="both"/>
        <w:rPr>
          <w:rFonts w:eastAsia="Calibri"/>
          <w:snapToGrid/>
          <w:szCs w:val="22"/>
          <w:lang w:eastAsia="en-GB"/>
        </w:rPr>
      </w:pPr>
      <w:proofErr w:type="spellStart"/>
      <w:r w:rsidRPr="00CE7679">
        <w:rPr>
          <w:rFonts w:eastAsia="Calibri"/>
          <w:snapToGrid/>
          <w:szCs w:val="22"/>
          <w:lang w:eastAsia="en-GB"/>
        </w:rPr>
        <w:t>Imatinib</w:t>
      </w:r>
      <w:proofErr w:type="spellEnd"/>
      <w:r w:rsidRPr="00CE7679">
        <w:rPr>
          <w:rFonts w:eastAsia="Calibri"/>
          <w:snapToGrid/>
          <w:szCs w:val="22"/>
          <w:lang w:eastAsia="en-GB"/>
        </w:rPr>
        <w:t xml:space="preserve"> </w:t>
      </w:r>
      <w:proofErr w:type="spellStart"/>
      <w:r w:rsidRPr="00CE7679">
        <w:rPr>
          <w:rFonts w:eastAsia="Calibri"/>
          <w:snapToGrid/>
          <w:szCs w:val="22"/>
          <w:lang w:eastAsia="en-GB"/>
        </w:rPr>
        <w:t>Sandoz</w:t>
      </w:r>
      <w:proofErr w:type="spellEnd"/>
      <w:r w:rsidRPr="00CE7679">
        <w:rPr>
          <w:rFonts w:eastAsia="Calibri"/>
          <w:snapToGrid/>
          <w:szCs w:val="22"/>
          <w:lang w:eastAsia="en-GB"/>
        </w:rPr>
        <w:t xml:space="preserve"> 100</w:t>
      </w:r>
      <w:r w:rsidR="00EF69C8" w:rsidRPr="00CE7679">
        <w:rPr>
          <w:rFonts w:eastAsia="Calibri"/>
          <w:snapToGrid/>
          <w:szCs w:val="22"/>
          <w:lang w:eastAsia="en-GB"/>
        </w:rPr>
        <w:t> </w:t>
      </w:r>
      <w:r w:rsidRPr="00CE7679">
        <w:rPr>
          <w:rFonts w:eastAsia="Calibri"/>
          <w:snapToGrid/>
          <w:szCs w:val="22"/>
          <w:lang w:eastAsia="en-GB"/>
        </w:rPr>
        <w:t xml:space="preserve">mg </w:t>
      </w:r>
    </w:p>
    <w:p w14:paraId="6C9ECEA8" w14:textId="77777777" w:rsidR="00A27597" w:rsidRPr="00CE7679" w:rsidRDefault="00A27597" w:rsidP="00A27597">
      <w:pPr>
        <w:tabs>
          <w:tab w:val="clear" w:pos="567"/>
        </w:tabs>
        <w:spacing w:line="240" w:lineRule="auto"/>
        <w:jc w:val="both"/>
        <w:rPr>
          <w:rFonts w:eastAsia="Calibri"/>
          <w:snapToGrid/>
          <w:szCs w:val="22"/>
          <w:lang w:eastAsia="en-GB"/>
        </w:rPr>
      </w:pPr>
      <w:r w:rsidRPr="00CE7679">
        <w:rPr>
          <w:rFonts w:eastAsia="Calibri"/>
          <w:snapToGrid/>
          <w:szCs w:val="22"/>
          <w:lang w:eastAsia="en-GB"/>
        </w:rPr>
        <w:t xml:space="preserve">Pakuotės dydžiai: 20, 30, 50, 60, 80, 90 </w:t>
      </w:r>
      <w:r w:rsidR="004E6E85">
        <w:rPr>
          <w:rFonts w:eastAsia="Calibri"/>
          <w:snapToGrid/>
          <w:szCs w:val="22"/>
          <w:lang w:eastAsia="en-GB"/>
        </w:rPr>
        <w:t>arba</w:t>
      </w:r>
      <w:r w:rsidRPr="00CE7679">
        <w:rPr>
          <w:rFonts w:eastAsia="Calibri"/>
          <w:snapToGrid/>
          <w:szCs w:val="22"/>
          <w:lang w:eastAsia="en-GB"/>
        </w:rPr>
        <w:t xml:space="preserve"> 120 </w:t>
      </w:r>
      <w:r w:rsidR="00E71239">
        <w:rPr>
          <w:rFonts w:eastAsia="Calibri"/>
          <w:snapToGrid/>
          <w:szCs w:val="22"/>
          <w:lang w:eastAsia="en-GB"/>
        </w:rPr>
        <w:t xml:space="preserve">plėvele dengtų </w:t>
      </w:r>
      <w:r w:rsidRPr="00CE7679">
        <w:rPr>
          <w:rFonts w:eastAsia="Calibri"/>
          <w:snapToGrid/>
          <w:szCs w:val="22"/>
          <w:lang w:eastAsia="en-GB"/>
        </w:rPr>
        <w:t xml:space="preserve">tablečių. </w:t>
      </w:r>
    </w:p>
    <w:p w14:paraId="236AEDBB" w14:textId="77777777" w:rsidR="00A27597" w:rsidRPr="00CE7679" w:rsidRDefault="00A27597" w:rsidP="00A27597">
      <w:pPr>
        <w:tabs>
          <w:tab w:val="clear" w:pos="567"/>
        </w:tabs>
        <w:spacing w:line="240" w:lineRule="auto"/>
        <w:jc w:val="both"/>
        <w:rPr>
          <w:rFonts w:eastAsia="Calibri"/>
          <w:snapToGrid/>
          <w:szCs w:val="22"/>
          <w:lang w:eastAsia="en-GB"/>
        </w:rPr>
      </w:pPr>
    </w:p>
    <w:p w14:paraId="582EEB96" w14:textId="77777777" w:rsidR="00A27597" w:rsidRPr="00CE7679" w:rsidRDefault="00A27597" w:rsidP="00A27597">
      <w:pPr>
        <w:tabs>
          <w:tab w:val="clear" w:pos="567"/>
        </w:tabs>
        <w:spacing w:line="240" w:lineRule="auto"/>
        <w:jc w:val="both"/>
        <w:rPr>
          <w:rFonts w:eastAsia="Calibri"/>
          <w:snapToGrid/>
          <w:szCs w:val="22"/>
          <w:highlight w:val="lightGray"/>
          <w:lang w:eastAsia="en-GB"/>
        </w:rPr>
      </w:pPr>
      <w:r w:rsidRPr="00CE7679">
        <w:rPr>
          <w:rFonts w:eastAsia="Calibri"/>
          <w:snapToGrid/>
          <w:szCs w:val="22"/>
          <w:highlight w:val="lightGray"/>
          <w:lang w:eastAsia="en-GB"/>
        </w:rPr>
        <w:t>PVC/PE/PVDC/Al lizdinės plokštelės</w:t>
      </w:r>
    </w:p>
    <w:p w14:paraId="1B10AC5E" w14:textId="77777777" w:rsidR="00A27597" w:rsidRPr="00CE7679" w:rsidRDefault="00A27597" w:rsidP="00A27597">
      <w:pPr>
        <w:tabs>
          <w:tab w:val="clear" w:pos="567"/>
        </w:tabs>
        <w:spacing w:line="240" w:lineRule="auto"/>
        <w:jc w:val="both"/>
        <w:rPr>
          <w:rFonts w:eastAsia="Calibri"/>
          <w:snapToGrid/>
          <w:szCs w:val="22"/>
          <w:lang w:eastAsia="en-GB"/>
        </w:rPr>
      </w:pPr>
      <w:proofErr w:type="spellStart"/>
      <w:r w:rsidRPr="00CE7679">
        <w:rPr>
          <w:rFonts w:eastAsia="Calibri"/>
          <w:snapToGrid/>
          <w:szCs w:val="22"/>
          <w:highlight w:val="lightGray"/>
          <w:lang w:eastAsia="en-GB"/>
        </w:rPr>
        <w:t>Imatinib</w:t>
      </w:r>
      <w:proofErr w:type="spellEnd"/>
      <w:r w:rsidRPr="00CE7679">
        <w:rPr>
          <w:rFonts w:eastAsia="Calibri"/>
          <w:snapToGrid/>
          <w:szCs w:val="22"/>
          <w:highlight w:val="lightGray"/>
          <w:lang w:eastAsia="en-GB"/>
        </w:rPr>
        <w:t xml:space="preserve"> </w:t>
      </w:r>
      <w:proofErr w:type="spellStart"/>
      <w:r w:rsidRPr="00CE7679">
        <w:rPr>
          <w:rFonts w:eastAsia="Calibri"/>
          <w:snapToGrid/>
          <w:szCs w:val="22"/>
          <w:highlight w:val="lightGray"/>
          <w:lang w:eastAsia="en-GB"/>
        </w:rPr>
        <w:t>Sandoz</w:t>
      </w:r>
      <w:proofErr w:type="spellEnd"/>
      <w:r w:rsidRPr="00CE7679">
        <w:rPr>
          <w:rFonts w:eastAsia="Calibri"/>
          <w:snapToGrid/>
          <w:szCs w:val="22"/>
          <w:highlight w:val="lightGray"/>
          <w:lang w:eastAsia="en-GB"/>
        </w:rPr>
        <w:t xml:space="preserve"> 400</w:t>
      </w:r>
      <w:r w:rsidR="00EF69C8" w:rsidRPr="00CE7679">
        <w:rPr>
          <w:rFonts w:eastAsia="Calibri"/>
          <w:snapToGrid/>
          <w:szCs w:val="22"/>
          <w:highlight w:val="lightGray"/>
          <w:lang w:eastAsia="en-GB"/>
        </w:rPr>
        <w:t> </w:t>
      </w:r>
      <w:r w:rsidRPr="00CE7679">
        <w:rPr>
          <w:rFonts w:eastAsia="Calibri"/>
          <w:snapToGrid/>
          <w:szCs w:val="22"/>
          <w:highlight w:val="lightGray"/>
          <w:lang w:eastAsia="en-GB"/>
        </w:rPr>
        <w:t>mg</w:t>
      </w:r>
      <w:r w:rsidRPr="00CE7679">
        <w:rPr>
          <w:rFonts w:eastAsia="Calibri"/>
          <w:snapToGrid/>
          <w:szCs w:val="22"/>
          <w:lang w:eastAsia="en-GB"/>
        </w:rPr>
        <w:t xml:space="preserve"> </w:t>
      </w:r>
    </w:p>
    <w:p w14:paraId="69B14193" w14:textId="77777777" w:rsidR="00A27597" w:rsidRPr="00CE7679" w:rsidRDefault="00A27597" w:rsidP="00A27597">
      <w:pPr>
        <w:tabs>
          <w:tab w:val="clear" w:pos="567"/>
        </w:tabs>
        <w:spacing w:line="240" w:lineRule="auto"/>
        <w:jc w:val="both"/>
        <w:rPr>
          <w:rFonts w:eastAsia="Calibri"/>
          <w:snapToGrid/>
          <w:szCs w:val="22"/>
          <w:lang w:eastAsia="en-GB"/>
        </w:rPr>
      </w:pPr>
      <w:r w:rsidRPr="00CE7679">
        <w:rPr>
          <w:rFonts w:eastAsia="Calibri"/>
          <w:snapToGrid/>
          <w:szCs w:val="22"/>
          <w:highlight w:val="lightGray"/>
          <w:lang w:eastAsia="en-GB"/>
        </w:rPr>
        <w:t xml:space="preserve">Pakuotės dydžiai: 10, 30, 50, 60, 80 </w:t>
      </w:r>
      <w:r w:rsidR="004E6E85">
        <w:rPr>
          <w:rFonts w:eastAsia="Calibri"/>
          <w:snapToGrid/>
          <w:szCs w:val="22"/>
          <w:highlight w:val="lightGray"/>
          <w:lang w:eastAsia="en-GB"/>
        </w:rPr>
        <w:t>arba</w:t>
      </w:r>
      <w:r w:rsidRPr="00CE7679">
        <w:rPr>
          <w:rFonts w:eastAsia="Calibri"/>
          <w:snapToGrid/>
          <w:szCs w:val="22"/>
          <w:highlight w:val="lightGray"/>
          <w:lang w:eastAsia="en-GB"/>
        </w:rPr>
        <w:t xml:space="preserve"> 90</w:t>
      </w:r>
      <w:r w:rsidR="00E71239" w:rsidRPr="00E71239">
        <w:rPr>
          <w:rFonts w:eastAsia="Calibri"/>
          <w:snapToGrid/>
          <w:szCs w:val="22"/>
          <w:lang w:eastAsia="en-GB"/>
        </w:rPr>
        <w:t xml:space="preserve"> </w:t>
      </w:r>
      <w:r w:rsidR="00E71239">
        <w:rPr>
          <w:rFonts w:eastAsia="Calibri"/>
          <w:snapToGrid/>
          <w:szCs w:val="22"/>
          <w:lang w:eastAsia="en-GB"/>
        </w:rPr>
        <w:t>plėvele dengtų</w:t>
      </w:r>
      <w:r w:rsidRPr="00CE7679">
        <w:rPr>
          <w:rFonts w:eastAsia="Calibri"/>
          <w:snapToGrid/>
          <w:szCs w:val="22"/>
          <w:highlight w:val="lightGray"/>
          <w:lang w:eastAsia="en-GB"/>
        </w:rPr>
        <w:t xml:space="preserve"> tablečių.</w:t>
      </w:r>
      <w:r w:rsidRPr="00CE7679">
        <w:rPr>
          <w:rFonts w:eastAsia="Calibri"/>
          <w:snapToGrid/>
          <w:szCs w:val="22"/>
          <w:lang w:eastAsia="en-GB"/>
        </w:rPr>
        <w:t xml:space="preserve"> </w:t>
      </w:r>
    </w:p>
    <w:p w14:paraId="502DA3C8" w14:textId="77777777" w:rsidR="00A27597" w:rsidRPr="00CE7679" w:rsidRDefault="00A27597" w:rsidP="00A27597">
      <w:pPr>
        <w:tabs>
          <w:tab w:val="clear" w:pos="567"/>
        </w:tabs>
        <w:spacing w:line="240" w:lineRule="auto"/>
        <w:jc w:val="both"/>
        <w:rPr>
          <w:rFonts w:eastAsia="Calibri"/>
          <w:snapToGrid/>
          <w:szCs w:val="22"/>
          <w:lang w:eastAsia="en-GB"/>
        </w:rPr>
      </w:pPr>
    </w:p>
    <w:p w14:paraId="01F10168" w14:textId="77777777" w:rsidR="00A27597" w:rsidRPr="00CE7679" w:rsidRDefault="00A27597" w:rsidP="00A27597">
      <w:pPr>
        <w:spacing w:line="240" w:lineRule="auto"/>
        <w:rPr>
          <w:rFonts w:eastAsia="SimSun"/>
          <w:snapToGrid/>
          <w:szCs w:val="22"/>
          <w:lang w:eastAsia="zh-CN"/>
        </w:rPr>
      </w:pPr>
      <w:r w:rsidRPr="00CE7679">
        <w:rPr>
          <w:rFonts w:eastAsia="SimSun"/>
          <w:snapToGrid/>
          <w:szCs w:val="22"/>
          <w:lang w:eastAsia="zh-CN"/>
        </w:rPr>
        <w:t>Gali būti tiekiamos ne visų dydžių pakuotės.</w:t>
      </w:r>
    </w:p>
    <w:p w14:paraId="15CFACC7" w14:textId="77777777" w:rsidR="00A27597" w:rsidRPr="00CE7679" w:rsidRDefault="00A27597" w:rsidP="00A27597">
      <w:pPr>
        <w:spacing w:line="240" w:lineRule="auto"/>
        <w:rPr>
          <w:rFonts w:eastAsia="SimSun"/>
          <w:snapToGrid/>
          <w:szCs w:val="22"/>
          <w:lang w:eastAsia="zh-CN"/>
        </w:rPr>
      </w:pPr>
    </w:p>
    <w:p w14:paraId="5B241866" w14:textId="77777777" w:rsidR="00A27597" w:rsidRPr="00CE7679" w:rsidRDefault="00A27597" w:rsidP="00A27597">
      <w:pPr>
        <w:keepNext/>
        <w:spacing w:line="240" w:lineRule="auto"/>
        <w:jc w:val="both"/>
        <w:outlineLvl w:val="3"/>
        <w:rPr>
          <w:rFonts w:eastAsia="SimSun"/>
          <w:b/>
          <w:snapToGrid/>
          <w:szCs w:val="22"/>
        </w:rPr>
      </w:pPr>
      <w:r w:rsidRPr="00CE7679">
        <w:rPr>
          <w:rFonts w:eastAsia="SimSun"/>
          <w:b/>
          <w:snapToGrid/>
          <w:szCs w:val="22"/>
        </w:rPr>
        <w:t>6.6</w:t>
      </w:r>
      <w:r w:rsidRPr="00CE7679">
        <w:rPr>
          <w:rFonts w:eastAsia="SimSun"/>
          <w:b/>
          <w:snapToGrid/>
          <w:szCs w:val="22"/>
        </w:rPr>
        <w:tab/>
        <w:t>Specialūs reikalavimai atliekoms tvarkyti</w:t>
      </w:r>
    </w:p>
    <w:p w14:paraId="12C8E430" w14:textId="77777777" w:rsidR="00A27597" w:rsidRPr="00CE7679" w:rsidRDefault="00A27597" w:rsidP="00A27597">
      <w:pPr>
        <w:tabs>
          <w:tab w:val="clear" w:pos="567"/>
        </w:tabs>
        <w:spacing w:line="240" w:lineRule="auto"/>
        <w:rPr>
          <w:rFonts w:eastAsia="SimSun"/>
          <w:snapToGrid/>
          <w:szCs w:val="22"/>
          <w:lang w:eastAsia="zh-CN"/>
        </w:rPr>
      </w:pPr>
    </w:p>
    <w:p w14:paraId="3FE6C4D4" w14:textId="77777777" w:rsidR="00A27597" w:rsidRPr="00CE7679" w:rsidRDefault="00A27597" w:rsidP="00A27597">
      <w:pPr>
        <w:tabs>
          <w:tab w:val="clear" w:pos="567"/>
        </w:tabs>
        <w:spacing w:line="240" w:lineRule="auto"/>
        <w:rPr>
          <w:rFonts w:eastAsia="SimSun"/>
          <w:snapToGrid/>
          <w:szCs w:val="22"/>
          <w:lang w:eastAsia="zh-CN"/>
        </w:rPr>
      </w:pPr>
      <w:r w:rsidRPr="00CE7679">
        <w:rPr>
          <w:szCs w:val="22"/>
        </w:rPr>
        <w:t>Nesuvartotą vaistinį preparatą ar atliekas reikia tvarkyti laikantis vietinių reikalavimų</w:t>
      </w:r>
      <w:r w:rsidRPr="00CE7679">
        <w:rPr>
          <w:rFonts w:eastAsia="SimSun"/>
          <w:snapToGrid/>
          <w:szCs w:val="22"/>
          <w:lang w:eastAsia="zh-CN"/>
        </w:rPr>
        <w:t>.</w:t>
      </w:r>
    </w:p>
    <w:p w14:paraId="1319C61F" w14:textId="77777777" w:rsidR="00A27597" w:rsidRPr="00CE7679" w:rsidRDefault="00A27597" w:rsidP="00A27597">
      <w:pPr>
        <w:tabs>
          <w:tab w:val="clear" w:pos="567"/>
        </w:tabs>
        <w:spacing w:line="240" w:lineRule="auto"/>
        <w:rPr>
          <w:rFonts w:eastAsia="SimSun"/>
          <w:snapToGrid/>
          <w:szCs w:val="22"/>
          <w:lang w:eastAsia="zh-CN"/>
        </w:rPr>
      </w:pPr>
    </w:p>
    <w:p w14:paraId="5ED24337" w14:textId="77777777" w:rsidR="00A27597" w:rsidRPr="00CE7679" w:rsidRDefault="00A27597" w:rsidP="00A27597">
      <w:pPr>
        <w:spacing w:line="240" w:lineRule="auto"/>
        <w:rPr>
          <w:rFonts w:eastAsia="SimSun"/>
          <w:snapToGrid/>
          <w:szCs w:val="22"/>
          <w:lang w:eastAsia="zh-CN"/>
        </w:rPr>
      </w:pPr>
    </w:p>
    <w:p w14:paraId="43697869" w14:textId="77777777" w:rsidR="00A27597" w:rsidRPr="00CE7679" w:rsidRDefault="00A27597" w:rsidP="00A27597">
      <w:pPr>
        <w:keepNext/>
        <w:keepLines/>
        <w:spacing w:line="240" w:lineRule="auto"/>
        <w:outlineLvl w:val="2"/>
        <w:rPr>
          <w:rFonts w:eastAsia="SimSun"/>
          <w:b/>
          <w:bCs/>
          <w:snapToGrid/>
          <w:szCs w:val="22"/>
          <w:lang w:eastAsia="zh-CN"/>
        </w:rPr>
      </w:pPr>
      <w:r w:rsidRPr="00CE7679">
        <w:rPr>
          <w:rFonts w:eastAsia="SimSun"/>
          <w:b/>
          <w:bCs/>
          <w:snapToGrid/>
          <w:szCs w:val="22"/>
          <w:lang w:eastAsia="zh-CN"/>
        </w:rPr>
        <w:t>7.</w:t>
      </w:r>
      <w:r w:rsidRPr="00CE7679">
        <w:rPr>
          <w:rFonts w:eastAsia="SimSun"/>
          <w:b/>
          <w:bCs/>
          <w:snapToGrid/>
          <w:szCs w:val="22"/>
          <w:lang w:eastAsia="zh-CN"/>
        </w:rPr>
        <w:tab/>
        <w:t>REGISTRUOTOJAS</w:t>
      </w:r>
    </w:p>
    <w:p w14:paraId="403D2F68" w14:textId="77777777" w:rsidR="00A27597" w:rsidRPr="00CE7679" w:rsidRDefault="00A27597" w:rsidP="00A27597">
      <w:pPr>
        <w:spacing w:line="240" w:lineRule="auto"/>
        <w:rPr>
          <w:rFonts w:eastAsia="SimSun"/>
          <w:snapToGrid/>
          <w:szCs w:val="22"/>
          <w:lang w:eastAsia="zh-CN"/>
        </w:rPr>
      </w:pPr>
    </w:p>
    <w:p w14:paraId="06508BC4" w14:textId="77777777" w:rsidR="00A27597" w:rsidRPr="00CE7679" w:rsidRDefault="00A27597" w:rsidP="00A27597">
      <w:pPr>
        <w:pStyle w:val="NormaLT"/>
        <w:tabs>
          <w:tab w:val="left" w:pos="567"/>
        </w:tabs>
        <w:jc w:val="left"/>
        <w:rPr>
          <w:rFonts w:ascii="Times New Roman" w:hAnsi="Times New Roman"/>
          <w:sz w:val="22"/>
          <w:szCs w:val="22"/>
        </w:rPr>
      </w:pPr>
      <w:proofErr w:type="spellStart"/>
      <w:r w:rsidRPr="00CE7679">
        <w:rPr>
          <w:rFonts w:ascii="Times New Roman" w:hAnsi="Times New Roman"/>
          <w:sz w:val="22"/>
          <w:szCs w:val="22"/>
        </w:rPr>
        <w:t>Sandoz</w:t>
      </w:r>
      <w:proofErr w:type="spellEnd"/>
      <w:r w:rsidRPr="00CE7679">
        <w:rPr>
          <w:rFonts w:ascii="Times New Roman" w:hAnsi="Times New Roman"/>
          <w:sz w:val="22"/>
          <w:szCs w:val="22"/>
        </w:rPr>
        <w:t xml:space="preserve"> </w:t>
      </w:r>
      <w:proofErr w:type="spellStart"/>
      <w:r w:rsidRPr="00CE7679">
        <w:rPr>
          <w:rFonts w:ascii="Times New Roman" w:hAnsi="Times New Roman"/>
          <w:sz w:val="22"/>
          <w:szCs w:val="22"/>
        </w:rPr>
        <w:t>d.d</w:t>
      </w:r>
      <w:proofErr w:type="spellEnd"/>
      <w:r w:rsidRPr="00CE7679">
        <w:rPr>
          <w:rFonts w:ascii="Times New Roman" w:hAnsi="Times New Roman"/>
          <w:sz w:val="22"/>
          <w:szCs w:val="22"/>
        </w:rPr>
        <w:t>.</w:t>
      </w:r>
    </w:p>
    <w:p w14:paraId="5B0E8FA8" w14:textId="77777777" w:rsidR="00A27597" w:rsidRPr="00CE7679" w:rsidRDefault="00A27597" w:rsidP="00A27597">
      <w:pPr>
        <w:pStyle w:val="NormaLT"/>
        <w:tabs>
          <w:tab w:val="left" w:pos="567"/>
        </w:tabs>
        <w:jc w:val="left"/>
        <w:rPr>
          <w:rFonts w:ascii="Times New Roman" w:hAnsi="Times New Roman"/>
          <w:sz w:val="22"/>
          <w:szCs w:val="22"/>
        </w:rPr>
      </w:pPr>
      <w:proofErr w:type="spellStart"/>
      <w:r w:rsidRPr="00CE7679">
        <w:rPr>
          <w:rFonts w:ascii="Times New Roman" w:hAnsi="Times New Roman"/>
          <w:sz w:val="22"/>
          <w:szCs w:val="22"/>
        </w:rPr>
        <w:t>Verovškova</w:t>
      </w:r>
      <w:proofErr w:type="spellEnd"/>
      <w:r w:rsidRPr="00CE7679">
        <w:rPr>
          <w:rFonts w:ascii="Times New Roman" w:hAnsi="Times New Roman"/>
          <w:sz w:val="22"/>
          <w:szCs w:val="22"/>
        </w:rPr>
        <w:t xml:space="preserve"> 57</w:t>
      </w:r>
    </w:p>
    <w:p w14:paraId="58A9F560" w14:textId="77777777" w:rsidR="00A27597" w:rsidRPr="00CE7679" w:rsidRDefault="00A27597" w:rsidP="00A27597">
      <w:pPr>
        <w:pStyle w:val="NormaLT"/>
        <w:tabs>
          <w:tab w:val="left" w:pos="567"/>
        </w:tabs>
        <w:jc w:val="left"/>
        <w:rPr>
          <w:rFonts w:ascii="Times New Roman" w:hAnsi="Times New Roman"/>
          <w:sz w:val="22"/>
          <w:szCs w:val="22"/>
        </w:rPr>
      </w:pPr>
      <w:r w:rsidRPr="00CE7679">
        <w:rPr>
          <w:rFonts w:ascii="Times New Roman" w:hAnsi="Times New Roman"/>
          <w:sz w:val="22"/>
          <w:szCs w:val="22"/>
        </w:rPr>
        <w:t xml:space="preserve">SI-1000 </w:t>
      </w:r>
      <w:proofErr w:type="spellStart"/>
      <w:r w:rsidRPr="00CE7679">
        <w:rPr>
          <w:rFonts w:ascii="Times New Roman" w:hAnsi="Times New Roman"/>
          <w:sz w:val="22"/>
          <w:szCs w:val="22"/>
        </w:rPr>
        <w:t>Ljubljana</w:t>
      </w:r>
      <w:proofErr w:type="spellEnd"/>
    </w:p>
    <w:p w14:paraId="0B373972" w14:textId="77777777" w:rsidR="00A27597" w:rsidRPr="00CE7679" w:rsidRDefault="00A27597" w:rsidP="00A27597">
      <w:pPr>
        <w:pStyle w:val="NormaLT"/>
        <w:tabs>
          <w:tab w:val="left" w:pos="567"/>
        </w:tabs>
        <w:jc w:val="left"/>
        <w:rPr>
          <w:rFonts w:ascii="Times New Roman" w:hAnsi="Times New Roman"/>
          <w:sz w:val="22"/>
          <w:szCs w:val="22"/>
        </w:rPr>
      </w:pPr>
      <w:r w:rsidRPr="00CE7679">
        <w:rPr>
          <w:rFonts w:ascii="Times New Roman" w:hAnsi="Times New Roman"/>
          <w:sz w:val="22"/>
          <w:szCs w:val="22"/>
        </w:rPr>
        <w:t>Slovėnija</w:t>
      </w:r>
    </w:p>
    <w:p w14:paraId="60A38E86" w14:textId="77777777" w:rsidR="00A27597" w:rsidRPr="00CE7679" w:rsidRDefault="00A27597" w:rsidP="00A27597">
      <w:pPr>
        <w:spacing w:line="240" w:lineRule="auto"/>
        <w:rPr>
          <w:rFonts w:eastAsia="SimSun"/>
          <w:snapToGrid/>
          <w:szCs w:val="22"/>
          <w:lang w:eastAsia="zh-CN"/>
        </w:rPr>
      </w:pPr>
    </w:p>
    <w:p w14:paraId="7D9F88C9" w14:textId="77777777" w:rsidR="00A27597" w:rsidRPr="00CE7679" w:rsidRDefault="00A27597" w:rsidP="00A27597">
      <w:pPr>
        <w:spacing w:line="240" w:lineRule="auto"/>
        <w:rPr>
          <w:rFonts w:eastAsia="SimSun"/>
          <w:snapToGrid/>
          <w:szCs w:val="22"/>
          <w:lang w:eastAsia="zh-CN"/>
        </w:rPr>
      </w:pPr>
    </w:p>
    <w:p w14:paraId="6C4F8C9D" w14:textId="77777777" w:rsidR="00A27597" w:rsidRPr="00CE7679" w:rsidRDefault="00A27597" w:rsidP="00A27597">
      <w:pPr>
        <w:keepNext/>
        <w:keepLines/>
        <w:spacing w:line="240" w:lineRule="auto"/>
        <w:outlineLvl w:val="2"/>
        <w:rPr>
          <w:rFonts w:eastAsia="SimSun"/>
          <w:b/>
          <w:bCs/>
          <w:snapToGrid/>
          <w:szCs w:val="22"/>
          <w:lang w:eastAsia="zh-CN"/>
        </w:rPr>
      </w:pPr>
      <w:r w:rsidRPr="00CE7679">
        <w:rPr>
          <w:rFonts w:eastAsia="SimSun"/>
          <w:b/>
          <w:bCs/>
          <w:snapToGrid/>
          <w:szCs w:val="22"/>
          <w:lang w:eastAsia="zh-CN"/>
        </w:rPr>
        <w:t>8.</w:t>
      </w:r>
      <w:r w:rsidRPr="00CE7679">
        <w:rPr>
          <w:rFonts w:eastAsia="SimSun"/>
          <w:b/>
          <w:bCs/>
          <w:snapToGrid/>
          <w:szCs w:val="22"/>
          <w:lang w:eastAsia="zh-CN"/>
        </w:rPr>
        <w:tab/>
        <w:t xml:space="preserve">REGISTRACIJOS PAŽYMĖJIMO NUMERIS (-IAI) </w:t>
      </w:r>
    </w:p>
    <w:p w14:paraId="42D25E24" w14:textId="77777777" w:rsidR="00A27597" w:rsidRPr="00CE7679" w:rsidRDefault="00A27597" w:rsidP="00A27597">
      <w:pPr>
        <w:spacing w:line="240" w:lineRule="auto"/>
        <w:rPr>
          <w:rFonts w:eastAsia="SimSun"/>
          <w:snapToGrid/>
          <w:szCs w:val="22"/>
          <w:lang w:eastAsia="zh-C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A27597" w:rsidRPr="00CE7679" w14:paraId="0602CCF5" w14:textId="77777777" w:rsidTr="00A27597">
        <w:tc>
          <w:tcPr>
            <w:tcW w:w="4530" w:type="dxa"/>
          </w:tcPr>
          <w:p w14:paraId="1B7275B4" w14:textId="77777777" w:rsidR="00A27597" w:rsidRPr="00D40C1A" w:rsidRDefault="00A27597" w:rsidP="00A27597">
            <w:pPr>
              <w:spacing w:line="240" w:lineRule="auto"/>
              <w:rPr>
                <w:rFonts w:eastAsia="SimSun"/>
                <w:snapToGrid/>
                <w:sz w:val="22"/>
                <w:szCs w:val="22"/>
                <w:u w:val="single"/>
                <w:lang w:eastAsia="zh-CN"/>
              </w:rPr>
            </w:pPr>
            <w:r w:rsidRPr="00D40C1A">
              <w:rPr>
                <w:rFonts w:eastAsia="SimSun"/>
                <w:snapToGrid/>
                <w:sz w:val="22"/>
                <w:szCs w:val="22"/>
                <w:u w:val="single"/>
                <w:lang w:eastAsia="zh-CN"/>
              </w:rPr>
              <w:t>100 mg</w:t>
            </w:r>
          </w:p>
          <w:p w14:paraId="111A4014" w14:textId="77777777" w:rsidR="00D40C1A" w:rsidRPr="003677FF" w:rsidRDefault="00D40C1A" w:rsidP="00D40C1A">
            <w:pPr>
              <w:rPr>
                <w:bCs/>
                <w:sz w:val="22"/>
              </w:rPr>
            </w:pPr>
            <w:r>
              <w:rPr>
                <w:bCs/>
                <w:sz w:val="22"/>
              </w:rPr>
              <w:t>LT/1/15</w:t>
            </w:r>
            <w:r w:rsidRPr="003677FF">
              <w:rPr>
                <w:bCs/>
                <w:sz w:val="22"/>
              </w:rPr>
              <w:t>/</w:t>
            </w:r>
            <w:r>
              <w:rPr>
                <w:bCs/>
                <w:sz w:val="22"/>
              </w:rPr>
              <w:t>3851/001 – N60</w:t>
            </w:r>
          </w:p>
          <w:p w14:paraId="3718EFE5" w14:textId="77777777" w:rsidR="00D40C1A" w:rsidRDefault="00D40C1A" w:rsidP="00D40C1A">
            <w:pPr>
              <w:rPr>
                <w:bCs/>
                <w:sz w:val="22"/>
              </w:rPr>
            </w:pPr>
            <w:r>
              <w:rPr>
                <w:bCs/>
                <w:sz w:val="22"/>
              </w:rPr>
              <w:t>LT/1/15</w:t>
            </w:r>
            <w:r w:rsidRPr="003677FF">
              <w:rPr>
                <w:bCs/>
                <w:sz w:val="22"/>
              </w:rPr>
              <w:t>/</w:t>
            </w:r>
            <w:r>
              <w:rPr>
                <w:bCs/>
                <w:sz w:val="22"/>
              </w:rPr>
              <w:t>3851/002 – N120</w:t>
            </w:r>
          </w:p>
          <w:p w14:paraId="52B7F99C" w14:textId="77777777" w:rsidR="00D40C1A" w:rsidRPr="003677FF" w:rsidRDefault="00D40C1A" w:rsidP="00D40C1A">
            <w:pPr>
              <w:rPr>
                <w:bCs/>
                <w:sz w:val="22"/>
              </w:rPr>
            </w:pPr>
            <w:r>
              <w:rPr>
                <w:bCs/>
                <w:sz w:val="22"/>
              </w:rPr>
              <w:t>LT/1/15</w:t>
            </w:r>
            <w:r w:rsidRPr="003677FF">
              <w:rPr>
                <w:bCs/>
                <w:sz w:val="22"/>
              </w:rPr>
              <w:t>/</w:t>
            </w:r>
            <w:r>
              <w:rPr>
                <w:bCs/>
                <w:sz w:val="22"/>
              </w:rPr>
              <w:t>3851/006 – N20</w:t>
            </w:r>
          </w:p>
          <w:p w14:paraId="76EFB235" w14:textId="77777777" w:rsidR="00D40C1A" w:rsidRPr="003677FF" w:rsidRDefault="00D40C1A" w:rsidP="00D40C1A">
            <w:pPr>
              <w:rPr>
                <w:bCs/>
                <w:sz w:val="22"/>
              </w:rPr>
            </w:pPr>
            <w:r>
              <w:rPr>
                <w:bCs/>
                <w:sz w:val="22"/>
              </w:rPr>
              <w:t>LT/1/15</w:t>
            </w:r>
            <w:r w:rsidRPr="003677FF">
              <w:rPr>
                <w:bCs/>
                <w:sz w:val="22"/>
              </w:rPr>
              <w:t>/</w:t>
            </w:r>
            <w:r>
              <w:rPr>
                <w:bCs/>
                <w:sz w:val="22"/>
              </w:rPr>
              <w:t>3851/007 – N30</w:t>
            </w:r>
          </w:p>
          <w:p w14:paraId="6494819B" w14:textId="77777777" w:rsidR="00D40C1A" w:rsidRPr="003677FF" w:rsidRDefault="00D40C1A" w:rsidP="00D40C1A">
            <w:pPr>
              <w:rPr>
                <w:bCs/>
                <w:sz w:val="22"/>
              </w:rPr>
            </w:pPr>
            <w:r>
              <w:rPr>
                <w:bCs/>
                <w:sz w:val="22"/>
              </w:rPr>
              <w:t>LT/1/15</w:t>
            </w:r>
            <w:r w:rsidRPr="003677FF">
              <w:rPr>
                <w:bCs/>
                <w:sz w:val="22"/>
              </w:rPr>
              <w:t>/</w:t>
            </w:r>
            <w:r>
              <w:rPr>
                <w:bCs/>
                <w:sz w:val="22"/>
              </w:rPr>
              <w:t>3851/008 – N50</w:t>
            </w:r>
          </w:p>
          <w:p w14:paraId="303CF5F2" w14:textId="77777777" w:rsidR="00D40C1A" w:rsidRPr="003677FF" w:rsidRDefault="00D40C1A" w:rsidP="00D40C1A">
            <w:pPr>
              <w:rPr>
                <w:bCs/>
                <w:sz w:val="22"/>
              </w:rPr>
            </w:pPr>
            <w:r>
              <w:rPr>
                <w:bCs/>
                <w:sz w:val="22"/>
              </w:rPr>
              <w:t>LT/1/15</w:t>
            </w:r>
            <w:r w:rsidRPr="003677FF">
              <w:rPr>
                <w:bCs/>
                <w:sz w:val="22"/>
              </w:rPr>
              <w:t>/</w:t>
            </w:r>
            <w:r>
              <w:rPr>
                <w:bCs/>
                <w:sz w:val="22"/>
              </w:rPr>
              <w:t>3851/009 – N80</w:t>
            </w:r>
          </w:p>
          <w:p w14:paraId="2DB40833" w14:textId="77777777" w:rsidR="00A27597" w:rsidRPr="00CE7679" w:rsidRDefault="00D40C1A" w:rsidP="00D40C1A">
            <w:pPr>
              <w:spacing w:line="240" w:lineRule="auto"/>
              <w:rPr>
                <w:rFonts w:eastAsia="SimSun"/>
                <w:snapToGrid/>
                <w:sz w:val="22"/>
                <w:szCs w:val="22"/>
                <w:lang w:eastAsia="zh-CN"/>
              </w:rPr>
            </w:pPr>
            <w:r>
              <w:rPr>
                <w:bCs/>
                <w:sz w:val="22"/>
              </w:rPr>
              <w:t>LT/1/15</w:t>
            </w:r>
            <w:r w:rsidRPr="003677FF">
              <w:rPr>
                <w:bCs/>
                <w:sz w:val="22"/>
              </w:rPr>
              <w:t>/</w:t>
            </w:r>
            <w:r>
              <w:rPr>
                <w:bCs/>
                <w:sz w:val="22"/>
              </w:rPr>
              <w:t>3851/010 – N90</w:t>
            </w:r>
          </w:p>
        </w:tc>
        <w:tc>
          <w:tcPr>
            <w:tcW w:w="4530" w:type="dxa"/>
          </w:tcPr>
          <w:p w14:paraId="6EAB6AB6" w14:textId="77777777" w:rsidR="00A27597" w:rsidRPr="00D40C1A" w:rsidRDefault="00A27597" w:rsidP="00A27597">
            <w:pPr>
              <w:spacing w:line="240" w:lineRule="auto"/>
              <w:rPr>
                <w:rFonts w:eastAsia="SimSun"/>
                <w:snapToGrid/>
                <w:sz w:val="22"/>
                <w:szCs w:val="22"/>
                <w:u w:val="single"/>
                <w:lang w:eastAsia="zh-CN"/>
              </w:rPr>
            </w:pPr>
            <w:r w:rsidRPr="00D40C1A">
              <w:rPr>
                <w:rFonts w:eastAsia="SimSun"/>
                <w:snapToGrid/>
                <w:sz w:val="22"/>
                <w:szCs w:val="22"/>
                <w:u w:val="single"/>
                <w:lang w:eastAsia="zh-CN"/>
              </w:rPr>
              <w:t>400 mg</w:t>
            </w:r>
          </w:p>
          <w:p w14:paraId="4129AE52" w14:textId="77777777" w:rsidR="00D40C1A" w:rsidRPr="003677FF" w:rsidRDefault="00D40C1A" w:rsidP="00D40C1A">
            <w:pPr>
              <w:rPr>
                <w:bCs/>
                <w:sz w:val="22"/>
              </w:rPr>
            </w:pPr>
            <w:r>
              <w:rPr>
                <w:bCs/>
                <w:sz w:val="22"/>
              </w:rPr>
              <w:t>LT/1/15</w:t>
            </w:r>
            <w:r w:rsidRPr="003677FF">
              <w:rPr>
                <w:bCs/>
                <w:sz w:val="22"/>
              </w:rPr>
              <w:t>/</w:t>
            </w:r>
            <w:r>
              <w:rPr>
                <w:bCs/>
                <w:sz w:val="22"/>
              </w:rPr>
              <w:t>3851/003 – N10</w:t>
            </w:r>
          </w:p>
          <w:p w14:paraId="77115055" w14:textId="77777777" w:rsidR="00D40C1A" w:rsidRDefault="00D40C1A" w:rsidP="00D40C1A">
            <w:pPr>
              <w:rPr>
                <w:bCs/>
                <w:sz w:val="22"/>
              </w:rPr>
            </w:pPr>
            <w:r>
              <w:rPr>
                <w:bCs/>
                <w:sz w:val="22"/>
              </w:rPr>
              <w:t>LT/1/15</w:t>
            </w:r>
            <w:r w:rsidRPr="003677FF">
              <w:rPr>
                <w:bCs/>
                <w:sz w:val="22"/>
              </w:rPr>
              <w:t>/</w:t>
            </w:r>
            <w:r>
              <w:rPr>
                <w:bCs/>
                <w:sz w:val="22"/>
              </w:rPr>
              <w:t>3851/004 – N30</w:t>
            </w:r>
          </w:p>
          <w:p w14:paraId="6E43D732" w14:textId="77777777" w:rsidR="00D40C1A" w:rsidRDefault="00D40C1A" w:rsidP="00D40C1A">
            <w:pPr>
              <w:rPr>
                <w:bCs/>
                <w:sz w:val="22"/>
              </w:rPr>
            </w:pPr>
            <w:r>
              <w:rPr>
                <w:bCs/>
                <w:sz w:val="22"/>
              </w:rPr>
              <w:t>LT/1/15</w:t>
            </w:r>
            <w:r w:rsidRPr="003677FF">
              <w:rPr>
                <w:bCs/>
                <w:sz w:val="22"/>
              </w:rPr>
              <w:t>/</w:t>
            </w:r>
            <w:r>
              <w:rPr>
                <w:bCs/>
                <w:sz w:val="22"/>
              </w:rPr>
              <w:t>3851/005 – N90</w:t>
            </w:r>
          </w:p>
          <w:p w14:paraId="3BA37EFE" w14:textId="77777777" w:rsidR="00D40C1A" w:rsidRPr="003677FF" w:rsidRDefault="00D40C1A" w:rsidP="00D40C1A">
            <w:pPr>
              <w:rPr>
                <w:bCs/>
                <w:sz w:val="22"/>
              </w:rPr>
            </w:pPr>
            <w:r>
              <w:rPr>
                <w:bCs/>
                <w:sz w:val="22"/>
              </w:rPr>
              <w:t>LT/1/15</w:t>
            </w:r>
            <w:r w:rsidRPr="003677FF">
              <w:rPr>
                <w:bCs/>
                <w:sz w:val="22"/>
              </w:rPr>
              <w:t>/</w:t>
            </w:r>
            <w:r>
              <w:rPr>
                <w:bCs/>
                <w:sz w:val="22"/>
              </w:rPr>
              <w:t>3851/011 – N50</w:t>
            </w:r>
          </w:p>
          <w:p w14:paraId="0A4BAA6C" w14:textId="77777777" w:rsidR="00D40C1A" w:rsidRDefault="00D40C1A" w:rsidP="00D40C1A">
            <w:pPr>
              <w:rPr>
                <w:bCs/>
                <w:sz w:val="22"/>
              </w:rPr>
            </w:pPr>
            <w:r>
              <w:rPr>
                <w:bCs/>
                <w:sz w:val="22"/>
              </w:rPr>
              <w:t>LT/1/15</w:t>
            </w:r>
            <w:r w:rsidRPr="003677FF">
              <w:rPr>
                <w:bCs/>
                <w:sz w:val="22"/>
              </w:rPr>
              <w:t>/</w:t>
            </w:r>
            <w:r>
              <w:rPr>
                <w:bCs/>
                <w:sz w:val="22"/>
              </w:rPr>
              <w:t>3851/012 – N60</w:t>
            </w:r>
          </w:p>
          <w:p w14:paraId="13D5A40A" w14:textId="77777777" w:rsidR="00A27597" w:rsidRPr="00CE7679" w:rsidRDefault="00D40C1A" w:rsidP="00D40C1A">
            <w:pPr>
              <w:spacing w:line="240" w:lineRule="auto"/>
              <w:rPr>
                <w:rFonts w:eastAsia="SimSun"/>
                <w:snapToGrid/>
                <w:sz w:val="22"/>
                <w:szCs w:val="22"/>
                <w:lang w:eastAsia="zh-CN"/>
              </w:rPr>
            </w:pPr>
            <w:r>
              <w:rPr>
                <w:bCs/>
                <w:sz w:val="22"/>
              </w:rPr>
              <w:t>LT/1/15</w:t>
            </w:r>
            <w:r w:rsidRPr="003677FF">
              <w:rPr>
                <w:bCs/>
                <w:sz w:val="22"/>
              </w:rPr>
              <w:t>/</w:t>
            </w:r>
            <w:r>
              <w:rPr>
                <w:bCs/>
                <w:sz w:val="22"/>
              </w:rPr>
              <w:t>3851/013 – N80</w:t>
            </w:r>
          </w:p>
        </w:tc>
      </w:tr>
    </w:tbl>
    <w:p w14:paraId="347D84C2" w14:textId="77777777" w:rsidR="00A27597" w:rsidRPr="00CE7679" w:rsidRDefault="00A27597" w:rsidP="00A27597">
      <w:pPr>
        <w:spacing w:line="240" w:lineRule="auto"/>
        <w:rPr>
          <w:rFonts w:eastAsia="SimSun"/>
          <w:snapToGrid/>
          <w:szCs w:val="22"/>
          <w:lang w:eastAsia="zh-CN"/>
        </w:rPr>
      </w:pPr>
    </w:p>
    <w:p w14:paraId="4E5AD154" w14:textId="77777777" w:rsidR="00A27597" w:rsidRPr="00CE7679" w:rsidRDefault="00A27597" w:rsidP="00A27597">
      <w:pPr>
        <w:spacing w:line="240" w:lineRule="auto"/>
        <w:rPr>
          <w:rFonts w:eastAsia="SimSun"/>
          <w:snapToGrid/>
          <w:szCs w:val="22"/>
          <w:lang w:eastAsia="zh-CN"/>
        </w:rPr>
      </w:pPr>
    </w:p>
    <w:p w14:paraId="0D1D6EF7" w14:textId="77777777" w:rsidR="00A27597" w:rsidRPr="00CE7679" w:rsidRDefault="00A27597" w:rsidP="00A27597">
      <w:pPr>
        <w:pStyle w:val="Antrat3"/>
        <w:spacing w:before="0" w:after="0" w:line="240" w:lineRule="auto"/>
        <w:rPr>
          <w:rFonts w:ascii="Times New Roman" w:hAnsi="Times New Roman"/>
          <w:sz w:val="22"/>
          <w:szCs w:val="22"/>
        </w:rPr>
      </w:pPr>
      <w:r w:rsidRPr="00CE7679">
        <w:rPr>
          <w:rFonts w:ascii="Times New Roman" w:eastAsia="SimSun" w:hAnsi="Times New Roman"/>
          <w:bCs w:val="0"/>
          <w:snapToGrid/>
          <w:sz w:val="22"/>
          <w:szCs w:val="22"/>
          <w:lang w:eastAsia="zh-CN"/>
        </w:rPr>
        <w:t>9.</w:t>
      </w:r>
      <w:r w:rsidRPr="00CE7679">
        <w:rPr>
          <w:rFonts w:ascii="Times New Roman" w:eastAsia="SimSun" w:hAnsi="Times New Roman"/>
          <w:bCs w:val="0"/>
          <w:snapToGrid/>
          <w:sz w:val="22"/>
          <w:szCs w:val="22"/>
          <w:lang w:eastAsia="zh-CN"/>
        </w:rPr>
        <w:tab/>
      </w:r>
      <w:r w:rsidRPr="00CE7679">
        <w:rPr>
          <w:rFonts w:ascii="Times New Roman" w:hAnsi="Times New Roman"/>
          <w:sz w:val="22"/>
          <w:szCs w:val="22"/>
        </w:rPr>
        <w:t>REGISTRAVIMO / PERREGISTRAVIMO DATA</w:t>
      </w:r>
    </w:p>
    <w:p w14:paraId="3D36BF57" w14:textId="77777777" w:rsidR="00A27597" w:rsidRPr="00CE7679" w:rsidRDefault="00A27597" w:rsidP="00A27597">
      <w:pPr>
        <w:spacing w:line="240" w:lineRule="auto"/>
        <w:rPr>
          <w:szCs w:val="22"/>
        </w:rPr>
      </w:pPr>
    </w:p>
    <w:p w14:paraId="78573CA0" w14:textId="78A3CA2D" w:rsidR="00A27597" w:rsidRPr="00CE7679" w:rsidRDefault="00A27597" w:rsidP="00A27597">
      <w:pPr>
        <w:tabs>
          <w:tab w:val="clear" w:pos="567"/>
        </w:tabs>
        <w:spacing w:line="240" w:lineRule="auto"/>
        <w:rPr>
          <w:snapToGrid/>
          <w:szCs w:val="22"/>
        </w:rPr>
      </w:pPr>
      <w:r w:rsidRPr="00CE7679">
        <w:rPr>
          <w:szCs w:val="22"/>
        </w:rPr>
        <w:t>Registravimo data 2015</w:t>
      </w:r>
      <w:r w:rsidR="00374162">
        <w:rPr>
          <w:szCs w:val="22"/>
        </w:rPr>
        <w:t> </w:t>
      </w:r>
      <w:r w:rsidRPr="00CE7679">
        <w:rPr>
          <w:szCs w:val="22"/>
        </w:rPr>
        <w:t>m. gruodžio 10</w:t>
      </w:r>
      <w:r w:rsidR="00374162">
        <w:rPr>
          <w:szCs w:val="22"/>
        </w:rPr>
        <w:t> </w:t>
      </w:r>
      <w:r w:rsidRPr="00CE7679">
        <w:rPr>
          <w:szCs w:val="22"/>
        </w:rPr>
        <w:t>d.</w:t>
      </w:r>
    </w:p>
    <w:p w14:paraId="45BDC607" w14:textId="3BC48162" w:rsidR="00A27597" w:rsidRDefault="00280677" w:rsidP="00A27597">
      <w:pPr>
        <w:spacing w:line="240" w:lineRule="auto"/>
        <w:rPr>
          <w:rFonts w:eastAsia="SimSun"/>
          <w:snapToGrid/>
          <w:szCs w:val="22"/>
          <w:lang w:eastAsia="zh-CN"/>
        </w:rPr>
      </w:pPr>
      <w:r>
        <w:rPr>
          <w:rFonts w:eastAsia="SimSun"/>
          <w:snapToGrid/>
          <w:szCs w:val="22"/>
          <w:lang w:eastAsia="zh-CN"/>
        </w:rPr>
        <w:t>P</w:t>
      </w:r>
      <w:r w:rsidR="004E6E85">
        <w:rPr>
          <w:rFonts w:eastAsia="SimSun"/>
          <w:snapToGrid/>
          <w:szCs w:val="22"/>
          <w:lang w:eastAsia="zh-CN"/>
        </w:rPr>
        <w:t>askutinio p</w:t>
      </w:r>
      <w:r>
        <w:rPr>
          <w:rFonts w:eastAsia="SimSun"/>
          <w:snapToGrid/>
          <w:szCs w:val="22"/>
          <w:lang w:eastAsia="zh-CN"/>
        </w:rPr>
        <w:t>er</w:t>
      </w:r>
      <w:r w:rsidR="00397E6E">
        <w:rPr>
          <w:rFonts w:eastAsia="SimSun"/>
          <w:snapToGrid/>
          <w:szCs w:val="22"/>
          <w:lang w:eastAsia="zh-CN"/>
        </w:rPr>
        <w:t>r</w:t>
      </w:r>
      <w:r>
        <w:rPr>
          <w:rFonts w:eastAsia="SimSun"/>
          <w:snapToGrid/>
          <w:szCs w:val="22"/>
          <w:lang w:eastAsia="zh-CN"/>
        </w:rPr>
        <w:t xml:space="preserve">egistravimo data </w:t>
      </w:r>
      <w:r w:rsidR="00D40C1A">
        <w:rPr>
          <w:rFonts w:eastAsia="SimSun"/>
          <w:snapToGrid/>
          <w:szCs w:val="22"/>
          <w:lang w:eastAsia="zh-CN"/>
        </w:rPr>
        <w:t>2020</w:t>
      </w:r>
      <w:r w:rsidR="00374162">
        <w:rPr>
          <w:rFonts w:eastAsia="SimSun"/>
          <w:snapToGrid/>
          <w:szCs w:val="22"/>
          <w:lang w:eastAsia="zh-CN"/>
        </w:rPr>
        <w:t> </w:t>
      </w:r>
      <w:r w:rsidR="00D40C1A">
        <w:rPr>
          <w:rFonts w:eastAsia="SimSun"/>
          <w:snapToGrid/>
          <w:szCs w:val="22"/>
          <w:lang w:eastAsia="zh-CN"/>
        </w:rPr>
        <w:t>m. rugpjūčio 6</w:t>
      </w:r>
      <w:r w:rsidR="00374162">
        <w:rPr>
          <w:rFonts w:eastAsia="SimSun"/>
          <w:snapToGrid/>
          <w:szCs w:val="22"/>
          <w:lang w:eastAsia="zh-CN"/>
        </w:rPr>
        <w:t> </w:t>
      </w:r>
      <w:r w:rsidR="00D40C1A">
        <w:rPr>
          <w:rFonts w:eastAsia="SimSun"/>
          <w:snapToGrid/>
          <w:szCs w:val="22"/>
          <w:lang w:eastAsia="zh-CN"/>
        </w:rPr>
        <w:t>d.</w:t>
      </w:r>
    </w:p>
    <w:p w14:paraId="1C62D6C8" w14:textId="77777777" w:rsidR="004E6E85" w:rsidRPr="00CE7679" w:rsidRDefault="004E6E85" w:rsidP="00A27597">
      <w:pPr>
        <w:spacing w:line="240" w:lineRule="auto"/>
        <w:rPr>
          <w:rFonts w:eastAsia="SimSun"/>
          <w:snapToGrid/>
          <w:szCs w:val="22"/>
          <w:lang w:eastAsia="zh-CN"/>
        </w:rPr>
      </w:pPr>
    </w:p>
    <w:p w14:paraId="16D68123" w14:textId="77777777" w:rsidR="00A27597" w:rsidRPr="00CE7679" w:rsidRDefault="00A27597" w:rsidP="00A27597">
      <w:pPr>
        <w:spacing w:line="240" w:lineRule="auto"/>
        <w:rPr>
          <w:rFonts w:eastAsia="SimSun"/>
          <w:snapToGrid/>
          <w:szCs w:val="22"/>
          <w:lang w:eastAsia="zh-CN"/>
        </w:rPr>
      </w:pPr>
    </w:p>
    <w:p w14:paraId="3E24E452" w14:textId="77777777" w:rsidR="00A27597" w:rsidRPr="00CE7679" w:rsidRDefault="00A27597" w:rsidP="00A27597">
      <w:pPr>
        <w:keepNext/>
        <w:keepLines/>
        <w:spacing w:line="240" w:lineRule="auto"/>
        <w:outlineLvl w:val="2"/>
        <w:rPr>
          <w:rFonts w:eastAsia="SimSun"/>
          <w:b/>
          <w:bCs/>
          <w:snapToGrid/>
          <w:szCs w:val="22"/>
          <w:lang w:eastAsia="zh-CN"/>
        </w:rPr>
      </w:pPr>
      <w:r w:rsidRPr="00CE7679">
        <w:rPr>
          <w:rFonts w:eastAsia="SimSun"/>
          <w:b/>
          <w:bCs/>
          <w:snapToGrid/>
          <w:szCs w:val="22"/>
          <w:lang w:eastAsia="zh-CN"/>
        </w:rPr>
        <w:t>10.</w:t>
      </w:r>
      <w:r w:rsidRPr="00CE7679">
        <w:rPr>
          <w:rFonts w:eastAsia="SimSun"/>
          <w:b/>
          <w:bCs/>
          <w:snapToGrid/>
          <w:szCs w:val="22"/>
          <w:lang w:eastAsia="zh-CN"/>
        </w:rPr>
        <w:tab/>
        <w:t>TEKSTO PERŽIŪROS DATA</w:t>
      </w:r>
    </w:p>
    <w:p w14:paraId="2857F801" w14:textId="77777777" w:rsidR="00A27597" w:rsidRPr="00CE7679" w:rsidRDefault="00A27597" w:rsidP="00A27597">
      <w:pPr>
        <w:spacing w:line="240" w:lineRule="auto"/>
        <w:rPr>
          <w:rFonts w:eastAsia="SimSun"/>
          <w:snapToGrid/>
          <w:szCs w:val="22"/>
          <w:lang w:eastAsia="zh-CN"/>
        </w:rPr>
      </w:pPr>
    </w:p>
    <w:p w14:paraId="51DDF77D" w14:textId="6FFAFBF2" w:rsidR="00F30108" w:rsidRDefault="003C6EAA" w:rsidP="00A27597">
      <w:pPr>
        <w:spacing w:line="240" w:lineRule="auto"/>
        <w:rPr>
          <w:rFonts w:eastAsia="SimSun"/>
          <w:snapToGrid/>
          <w:szCs w:val="22"/>
          <w:lang w:eastAsia="zh-CN"/>
        </w:rPr>
      </w:pPr>
      <w:r>
        <w:rPr>
          <w:rFonts w:eastAsia="SimSun"/>
          <w:snapToGrid/>
          <w:szCs w:val="22"/>
          <w:lang w:eastAsia="zh-CN"/>
        </w:rPr>
        <w:t>2026</w:t>
      </w:r>
      <w:r w:rsidR="002C4CCB">
        <w:rPr>
          <w:rFonts w:eastAsia="SimSun"/>
          <w:snapToGrid/>
          <w:szCs w:val="22"/>
          <w:lang w:eastAsia="zh-CN"/>
        </w:rPr>
        <w:t xml:space="preserve"> m. </w:t>
      </w:r>
      <w:r>
        <w:rPr>
          <w:rFonts w:eastAsia="SimSun"/>
          <w:snapToGrid/>
          <w:szCs w:val="22"/>
          <w:lang w:eastAsia="zh-CN"/>
        </w:rPr>
        <w:t>sausio</w:t>
      </w:r>
      <w:r w:rsidR="00693741" w:rsidRPr="00693741">
        <w:rPr>
          <w:rFonts w:eastAsia="SimSun"/>
          <w:snapToGrid/>
          <w:szCs w:val="22"/>
          <w:lang w:eastAsia="zh-CN"/>
        </w:rPr>
        <w:t xml:space="preserve"> </w:t>
      </w:r>
      <w:r>
        <w:rPr>
          <w:rFonts w:eastAsia="SimSun"/>
          <w:snapToGrid/>
          <w:szCs w:val="22"/>
          <w:lang w:eastAsia="zh-CN"/>
        </w:rPr>
        <w:t>21</w:t>
      </w:r>
      <w:r w:rsidR="002C4CCB">
        <w:rPr>
          <w:rFonts w:eastAsia="SimSun"/>
          <w:snapToGrid/>
          <w:szCs w:val="22"/>
          <w:lang w:eastAsia="zh-CN"/>
        </w:rPr>
        <w:t> d.</w:t>
      </w:r>
    </w:p>
    <w:p w14:paraId="0236E8BE" w14:textId="77777777" w:rsidR="00B37401" w:rsidRDefault="00B37401" w:rsidP="00A27597">
      <w:pPr>
        <w:spacing w:line="240" w:lineRule="auto"/>
        <w:rPr>
          <w:rFonts w:eastAsia="SimSun"/>
          <w:snapToGrid/>
          <w:szCs w:val="22"/>
          <w:lang w:eastAsia="zh-CN"/>
        </w:rPr>
      </w:pPr>
    </w:p>
    <w:p w14:paraId="0F8B6AC3" w14:textId="77777777" w:rsidR="00A27597" w:rsidRPr="00CE7679" w:rsidRDefault="00A27597" w:rsidP="00A27597">
      <w:pPr>
        <w:spacing w:line="240" w:lineRule="auto"/>
        <w:rPr>
          <w:rFonts w:eastAsia="SimSun"/>
          <w:snapToGrid/>
          <w:szCs w:val="22"/>
          <w:lang w:eastAsia="zh-CN"/>
        </w:rPr>
      </w:pPr>
      <w:r w:rsidRPr="00CE7679">
        <w:rPr>
          <w:rFonts w:eastAsia="SimSun"/>
          <w:snapToGrid/>
          <w:szCs w:val="22"/>
          <w:lang w:eastAsia="zh-CN"/>
        </w:rPr>
        <w:t xml:space="preserve">Išsami informacija apie šį vaistinį preparatą pateikiama Valstybinės vaistų kontrolės tarnybos prie Lietuvos Respublikos sveikatos apsaugos ministerijos tinklalapyje </w:t>
      </w:r>
      <w:hyperlink r:id="rId13" w:history="1">
        <w:r w:rsidRPr="00CE7679">
          <w:rPr>
            <w:rStyle w:val="Hipersaitas"/>
            <w:color w:val="auto"/>
            <w:szCs w:val="22"/>
          </w:rPr>
          <w:t>http://www.vvkt.lt</w:t>
        </w:r>
      </w:hyperlink>
    </w:p>
    <w:p w14:paraId="728B74FC" w14:textId="77777777" w:rsidR="00A27597" w:rsidRPr="00CE7679" w:rsidRDefault="00A27597" w:rsidP="00A27597">
      <w:pPr>
        <w:tabs>
          <w:tab w:val="clear" w:pos="567"/>
        </w:tabs>
        <w:spacing w:line="240" w:lineRule="auto"/>
        <w:rPr>
          <w:rFonts w:eastAsia="Calibri"/>
          <w:snapToGrid/>
          <w:szCs w:val="22"/>
        </w:rPr>
      </w:pPr>
      <w:r w:rsidRPr="00CE7679">
        <w:rPr>
          <w:rFonts w:eastAsia="SimSun"/>
          <w:b/>
          <w:snapToGrid/>
          <w:szCs w:val="22"/>
        </w:rPr>
        <w:br w:type="page"/>
      </w:r>
    </w:p>
    <w:p w14:paraId="6B13D697" w14:textId="77777777" w:rsidR="00A27597" w:rsidRPr="00CE7679" w:rsidRDefault="00A27597" w:rsidP="00A27597">
      <w:pPr>
        <w:spacing w:line="240" w:lineRule="auto"/>
        <w:rPr>
          <w:rFonts w:eastAsia="SimSun"/>
          <w:snapToGrid/>
          <w:szCs w:val="22"/>
          <w:lang w:eastAsia="zh-CN"/>
        </w:rPr>
      </w:pPr>
    </w:p>
    <w:p w14:paraId="731C402F" w14:textId="77777777" w:rsidR="00A27597" w:rsidRPr="00CE7679" w:rsidRDefault="00A27597" w:rsidP="00A27597">
      <w:pPr>
        <w:spacing w:line="240" w:lineRule="auto"/>
        <w:rPr>
          <w:rFonts w:eastAsia="SimSun"/>
          <w:snapToGrid/>
          <w:szCs w:val="22"/>
          <w:lang w:eastAsia="zh-CN"/>
        </w:rPr>
      </w:pPr>
    </w:p>
    <w:p w14:paraId="1DD7497B" w14:textId="77777777" w:rsidR="00A27597" w:rsidRPr="00CE7679" w:rsidRDefault="00A27597" w:rsidP="00A27597">
      <w:pPr>
        <w:spacing w:line="240" w:lineRule="auto"/>
        <w:rPr>
          <w:rFonts w:eastAsia="SimSun"/>
          <w:snapToGrid/>
          <w:szCs w:val="22"/>
          <w:lang w:eastAsia="zh-CN"/>
        </w:rPr>
      </w:pPr>
    </w:p>
    <w:p w14:paraId="672AB7A4" w14:textId="77777777" w:rsidR="00A27597" w:rsidRPr="00CE7679" w:rsidRDefault="00A27597" w:rsidP="00A27597">
      <w:pPr>
        <w:spacing w:line="240" w:lineRule="auto"/>
        <w:rPr>
          <w:rFonts w:eastAsia="SimSun"/>
          <w:snapToGrid/>
          <w:szCs w:val="22"/>
          <w:lang w:eastAsia="zh-CN"/>
        </w:rPr>
      </w:pPr>
    </w:p>
    <w:p w14:paraId="6CD4051D" w14:textId="77777777" w:rsidR="00A27597" w:rsidRPr="00CE7679" w:rsidRDefault="00A27597" w:rsidP="00A27597">
      <w:pPr>
        <w:spacing w:line="240" w:lineRule="auto"/>
        <w:rPr>
          <w:rFonts w:eastAsia="SimSun"/>
          <w:snapToGrid/>
          <w:szCs w:val="22"/>
          <w:lang w:eastAsia="zh-CN"/>
        </w:rPr>
      </w:pPr>
    </w:p>
    <w:p w14:paraId="1CD51103" w14:textId="77777777" w:rsidR="00A27597" w:rsidRPr="00CE7679" w:rsidRDefault="00A27597" w:rsidP="00A27597">
      <w:pPr>
        <w:spacing w:line="240" w:lineRule="auto"/>
        <w:rPr>
          <w:rFonts w:eastAsia="SimSun"/>
          <w:snapToGrid/>
          <w:szCs w:val="22"/>
          <w:lang w:eastAsia="zh-CN"/>
        </w:rPr>
      </w:pPr>
    </w:p>
    <w:p w14:paraId="34FA7416" w14:textId="77777777" w:rsidR="00A27597" w:rsidRPr="00CE7679" w:rsidRDefault="00A27597" w:rsidP="00A27597">
      <w:pPr>
        <w:spacing w:line="240" w:lineRule="auto"/>
        <w:rPr>
          <w:rFonts w:eastAsia="SimSun"/>
          <w:snapToGrid/>
          <w:szCs w:val="22"/>
          <w:lang w:eastAsia="zh-CN"/>
        </w:rPr>
      </w:pPr>
    </w:p>
    <w:p w14:paraId="07443B39" w14:textId="77777777" w:rsidR="00A27597" w:rsidRPr="00CE7679" w:rsidRDefault="00A27597" w:rsidP="00A27597">
      <w:pPr>
        <w:spacing w:line="240" w:lineRule="auto"/>
        <w:rPr>
          <w:rFonts w:eastAsia="SimSun"/>
          <w:snapToGrid/>
          <w:szCs w:val="22"/>
          <w:lang w:eastAsia="zh-CN"/>
        </w:rPr>
      </w:pPr>
    </w:p>
    <w:p w14:paraId="5FA0BB45" w14:textId="77777777" w:rsidR="00A27597" w:rsidRPr="00CE7679" w:rsidRDefault="00A27597" w:rsidP="00A27597">
      <w:pPr>
        <w:spacing w:line="240" w:lineRule="auto"/>
        <w:rPr>
          <w:rFonts w:eastAsia="SimSun"/>
          <w:snapToGrid/>
          <w:szCs w:val="22"/>
          <w:lang w:eastAsia="zh-CN"/>
        </w:rPr>
      </w:pPr>
    </w:p>
    <w:p w14:paraId="343D1D6F" w14:textId="77777777" w:rsidR="00A27597" w:rsidRPr="00CE7679" w:rsidRDefault="00A27597" w:rsidP="00A27597">
      <w:pPr>
        <w:spacing w:line="240" w:lineRule="auto"/>
        <w:rPr>
          <w:rFonts w:eastAsia="SimSun"/>
          <w:snapToGrid/>
          <w:szCs w:val="22"/>
          <w:lang w:eastAsia="zh-CN"/>
        </w:rPr>
      </w:pPr>
    </w:p>
    <w:p w14:paraId="279EFD39" w14:textId="77777777" w:rsidR="00A27597" w:rsidRPr="00CE7679" w:rsidRDefault="00A27597" w:rsidP="00A27597">
      <w:pPr>
        <w:spacing w:line="240" w:lineRule="auto"/>
        <w:rPr>
          <w:rFonts w:eastAsia="SimSun"/>
          <w:snapToGrid/>
          <w:szCs w:val="22"/>
          <w:lang w:eastAsia="zh-CN"/>
        </w:rPr>
      </w:pPr>
    </w:p>
    <w:p w14:paraId="19653BA4" w14:textId="77777777" w:rsidR="00A27597" w:rsidRPr="00CE7679" w:rsidRDefault="00A27597" w:rsidP="00A27597">
      <w:pPr>
        <w:spacing w:line="240" w:lineRule="auto"/>
        <w:rPr>
          <w:rFonts w:eastAsia="SimSun"/>
          <w:snapToGrid/>
          <w:szCs w:val="22"/>
          <w:lang w:eastAsia="zh-CN"/>
        </w:rPr>
      </w:pPr>
    </w:p>
    <w:p w14:paraId="5BADC470" w14:textId="77777777" w:rsidR="00A27597" w:rsidRPr="00CE7679" w:rsidRDefault="00A27597" w:rsidP="00A27597">
      <w:pPr>
        <w:spacing w:line="240" w:lineRule="auto"/>
        <w:rPr>
          <w:rFonts w:eastAsia="SimSun"/>
          <w:snapToGrid/>
          <w:szCs w:val="22"/>
          <w:lang w:eastAsia="zh-CN"/>
        </w:rPr>
      </w:pPr>
    </w:p>
    <w:p w14:paraId="3455EFEE" w14:textId="77777777" w:rsidR="00A27597" w:rsidRPr="00CE7679" w:rsidRDefault="00A27597" w:rsidP="00A27597">
      <w:pPr>
        <w:spacing w:line="240" w:lineRule="auto"/>
        <w:rPr>
          <w:rFonts w:eastAsia="SimSun"/>
          <w:snapToGrid/>
          <w:szCs w:val="22"/>
          <w:lang w:eastAsia="zh-CN"/>
        </w:rPr>
      </w:pPr>
    </w:p>
    <w:p w14:paraId="5FE23EDF" w14:textId="77777777" w:rsidR="00A27597" w:rsidRPr="00CE7679" w:rsidRDefault="00A27597" w:rsidP="00A27597">
      <w:pPr>
        <w:spacing w:line="240" w:lineRule="auto"/>
        <w:rPr>
          <w:rFonts w:eastAsia="SimSun"/>
          <w:snapToGrid/>
          <w:szCs w:val="22"/>
          <w:lang w:eastAsia="zh-CN"/>
        </w:rPr>
      </w:pPr>
    </w:p>
    <w:p w14:paraId="0592E0CF" w14:textId="77777777" w:rsidR="00A27597" w:rsidRPr="00CE7679" w:rsidRDefault="00A27597" w:rsidP="00A27597">
      <w:pPr>
        <w:spacing w:line="240" w:lineRule="auto"/>
        <w:rPr>
          <w:rFonts w:eastAsia="SimSun"/>
          <w:snapToGrid/>
          <w:szCs w:val="22"/>
          <w:lang w:eastAsia="zh-CN"/>
        </w:rPr>
      </w:pPr>
    </w:p>
    <w:p w14:paraId="6EC718F9" w14:textId="77777777" w:rsidR="00A27597" w:rsidRPr="00CE7679" w:rsidRDefault="00A27597" w:rsidP="00A27597">
      <w:pPr>
        <w:keepNext/>
        <w:spacing w:line="240" w:lineRule="auto"/>
        <w:jc w:val="center"/>
        <w:outlineLvl w:val="1"/>
        <w:rPr>
          <w:rFonts w:eastAsia="Calibri"/>
          <w:b/>
          <w:snapToGrid/>
          <w:szCs w:val="22"/>
        </w:rPr>
      </w:pPr>
    </w:p>
    <w:p w14:paraId="6715F600" w14:textId="77777777" w:rsidR="00A27597" w:rsidRPr="00CE7679" w:rsidRDefault="00A27597" w:rsidP="00A27597">
      <w:pPr>
        <w:keepNext/>
        <w:spacing w:line="240" w:lineRule="auto"/>
        <w:jc w:val="center"/>
        <w:outlineLvl w:val="1"/>
        <w:rPr>
          <w:rFonts w:eastAsia="SimSun"/>
          <w:b/>
          <w:iCs/>
          <w:snapToGrid/>
          <w:szCs w:val="22"/>
        </w:rPr>
      </w:pPr>
    </w:p>
    <w:p w14:paraId="508B4D6B" w14:textId="77777777" w:rsidR="00A27597" w:rsidRPr="00CE7679" w:rsidRDefault="00A27597" w:rsidP="00A27597">
      <w:pPr>
        <w:keepNext/>
        <w:spacing w:line="240" w:lineRule="auto"/>
        <w:jc w:val="center"/>
        <w:outlineLvl w:val="1"/>
        <w:rPr>
          <w:rFonts w:eastAsia="SimSun"/>
          <w:b/>
          <w:iCs/>
          <w:snapToGrid/>
          <w:szCs w:val="22"/>
        </w:rPr>
      </w:pPr>
    </w:p>
    <w:p w14:paraId="0B25DF89" w14:textId="77777777" w:rsidR="00A27597" w:rsidRPr="00CE7679" w:rsidRDefault="00A27597" w:rsidP="00A27597">
      <w:pPr>
        <w:keepNext/>
        <w:spacing w:line="240" w:lineRule="auto"/>
        <w:jc w:val="center"/>
        <w:outlineLvl w:val="1"/>
        <w:rPr>
          <w:rFonts w:eastAsia="SimSun"/>
          <w:b/>
          <w:iCs/>
          <w:snapToGrid/>
          <w:szCs w:val="22"/>
        </w:rPr>
      </w:pPr>
    </w:p>
    <w:p w14:paraId="46FD4031" w14:textId="77777777" w:rsidR="00A27597" w:rsidRPr="00CE7679" w:rsidRDefault="00A27597" w:rsidP="00A27597">
      <w:pPr>
        <w:keepNext/>
        <w:spacing w:line="240" w:lineRule="auto"/>
        <w:jc w:val="center"/>
        <w:outlineLvl w:val="1"/>
        <w:rPr>
          <w:rFonts w:eastAsia="SimSun"/>
          <w:b/>
          <w:iCs/>
          <w:snapToGrid/>
          <w:szCs w:val="22"/>
        </w:rPr>
      </w:pPr>
    </w:p>
    <w:p w14:paraId="7C948531" w14:textId="77777777" w:rsidR="00A27597" w:rsidRPr="00CE7679" w:rsidRDefault="00A27597" w:rsidP="00A27597">
      <w:pPr>
        <w:keepNext/>
        <w:spacing w:line="240" w:lineRule="auto"/>
        <w:jc w:val="center"/>
        <w:outlineLvl w:val="1"/>
        <w:rPr>
          <w:rFonts w:eastAsia="SimSun"/>
          <w:b/>
          <w:iCs/>
          <w:snapToGrid/>
          <w:szCs w:val="22"/>
        </w:rPr>
      </w:pPr>
    </w:p>
    <w:p w14:paraId="68C6B07E" w14:textId="77777777" w:rsidR="00A27597" w:rsidRPr="00CE7679" w:rsidRDefault="00A27597" w:rsidP="00A27597">
      <w:pPr>
        <w:keepNext/>
        <w:spacing w:line="240" w:lineRule="auto"/>
        <w:jc w:val="center"/>
        <w:outlineLvl w:val="1"/>
        <w:rPr>
          <w:rFonts w:eastAsia="SimSun"/>
          <w:b/>
          <w:iCs/>
          <w:snapToGrid/>
          <w:szCs w:val="22"/>
        </w:rPr>
      </w:pPr>
    </w:p>
    <w:p w14:paraId="296DD02E" w14:textId="77777777" w:rsidR="00A27597" w:rsidRPr="00CE7679" w:rsidRDefault="00A27597" w:rsidP="00A27597">
      <w:pPr>
        <w:keepNext/>
        <w:spacing w:line="240" w:lineRule="auto"/>
        <w:jc w:val="center"/>
        <w:outlineLvl w:val="1"/>
        <w:rPr>
          <w:rFonts w:eastAsia="SimSun"/>
          <w:b/>
          <w:iCs/>
          <w:snapToGrid/>
          <w:szCs w:val="22"/>
        </w:rPr>
      </w:pPr>
      <w:r w:rsidRPr="00CE7679">
        <w:rPr>
          <w:rFonts w:eastAsia="SimSun"/>
          <w:b/>
          <w:iCs/>
          <w:snapToGrid/>
          <w:szCs w:val="22"/>
        </w:rPr>
        <w:t>II PRIEDAS</w:t>
      </w:r>
    </w:p>
    <w:p w14:paraId="74D83898" w14:textId="77777777" w:rsidR="00A27597" w:rsidRPr="00CE7679" w:rsidRDefault="00A27597" w:rsidP="00A27597">
      <w:pPr>
        <w:spacing w:line="240" w:lineRule="auto"/>
        <w:rPr>
          <w:rFonts w:eastAsia="SimSun"/>
          <w:b/>
          <w:i/>
          <w:snapToGrid/>
          <w:szCs w:val="22"/>
          <w:lang w:eastAsia="zh-CN"/>
        </w:rPr>
      </w:pPr>
    </w:p>
    <w:p w14:paraId="26000ECA" w14:textId="77777777" w:rsidR="00A27597" w:rsidRPr="00CE7679" w:rsidRDefault="00A27597" w:rsidP="00A27597">
      <w:pPr>
        <w:spacing w:line="240" w:lineRule="auto"/>
        <w:jc w:val="center"/>
        <w:rPr>
          <w:rFonts w:eastAsia="SimSun"/>
          <w:i/>
          <w:snapToGrid/>
          <w:szCs w:val="22"/>
          <w:lang w:eastAsia="zh-CN"/>
        </w:rPr>
      </w:pPr>
      <w:r w:rsidRPr="00CE7679">
        <w:rPr>
          <w:rFonts w:eastAsia="SimSun"/>
          <w:b/>
          <w:snapToGrid/>
          <w:szCs w:val="22"/>
        </w:rPr>
        <w:t>REGISTRACIJOS SĄLYGOS</w:t>
      </w:r>
    </w:p>
    <w:p w14:paraId="6B4420B0" w14:textId="77777777" w:rsidR="00A27597" w:rsidRPr="00CE7679" w:rsidRDefault="00A27597" w:rsidP="00A27597">
      <w:pPr>
        <w:spacing w:line="240" w:lineRule="auto"/>
        <w:rPr>
          <w:rFonts w:eastAsia="SimSun"/>
          <w:snapToGrid/>
          <w:szCs w:val="22"/>
          <w:lang w:eastAsia="zh-CN"/>
        </w:rPr>
      </w:pPr>
    </w:p>
    <w:p w14:paraId="2FA700D1" w14:textId="77777777" w:rsidR="00A27597" w:rsidRPr="00CE7679" w:rsidRDefault="00A27597" w:rsidP="00A27597">
      <w:pPr>
        <w:suppressLineNumbers/>
        <w:spacing w:line="240" w:lineRule="auto"/>
        <w:ind w:left="1980" w:hanging="562"/>
        <w:rPr>
          <w:rFonts w:eastAsia="SimSun"/>
          <w:b/>
          <w:snapToGrid/>
          <w:szCs w:val="22"/>
          <w:lang w:eastAsia="zh-CN"/>
        </w:rPr>
      </w:pPr>
      <w:r w:rsidRPr="00CE7679">
        <w:rPr>
          <w:rFonts w:eastAsia="SimSun"/>
          <w:b/>
          <w:snapToGrid/>
          <w:szCs w:val="22"/>
          <w:lang w:eastAsia="zh-CN"/>
        </w:rPr>
        <w:t>A.</w:t>
      </w:r>
      <w:r w:rsidRPr="00CE7679">
        <w:rPr>
          <w:rFonts w:eastAsia="SimSun"/>
          <w:b/>
          <w:snapToGrid/>
          <w:szCs w:val="22"/>
          <w:lang w:eastAsia="zh-CN"/>
        </w:rPr>
        <w:tab/>
        <w:t>GAMINTOJAS, ATSAKINGAS UŽ SERIJŲ IŠLEIDIMĄ</w:t>
      </w:r>
    </w:p>
    <w:p w14:paraId="34D71596" w14:textId="77777777" w:rsidR="00A27597" w:rsidRPr="00CE7679" w:rsidRDefault="00A27597" w:rsidP="00A27597">
      <w:pPr>
        <w:suppressLineNumbers/>
        <w:spacing w:line="240" w:lineRule="auto"/>
        <w:ind w:left="1418"/>
        <w:rPr>
          <w:rFonts w:eastAsia="SimSun"/>
          <w:b/>
          <w:snapToGrid/>
          <w:szCs w:val="22"/>
          <w:lang w:eastAsia="zh-CN"/>
        </w:rPr>
      </w:pPr>
    </w:p>
    <w:p w14:paraId="3A63F628" w14:textId="77777777" w:rsidR="00A27597" w:rsidRPr="00CE7679" w:rsidRDefault="00A27597" w:rsidP="00A27597">
      <w:pPr>
        <w:suppressLineNumbers/>
        <w:spacing w:line="240" w:lineRule="auto"/>
        <w:ind w:left="1980" w:hanging="562"/>
        <w:rPr>
          <w:rFonts w:eastAsia="SimSun"/>
          <w:b/>
          <w:snapToGrid/>
          <w:szCs w:val="22"/>
          <w:lang w:eastAsia="zh-CN"/>
        </w:rPr>
      </w:pPr>
      <w:r w:rsidRPr="00CE7679">
        <w:rPr>
          <w:rFonts w:eastAsia="SimSun"/>
          <w:b/>
          <w:snapToGrid/>
          <w:szCs w:val="22"/>
          <w:lang w:eastAsia="zh-CN"/>
        </w:rPr>
        <w:t>B.</w:t>
      </w:r>
      <w:r w:rsidRPr="00CE7679">
        <w:rPr>
          <w:rFonts w:eastAsia="SimSun"/>
          <w:b/>
          <w:snapToGrid/>
          <w:szCs w:val="22"/>
          <w:lang w:eastAsia="zh-CN"/>
        </w:rPr>
        <w:tab/>
        <w:t>TIEKIMO IR VARTOJIMO SĄLYGOS AR APRIBOJIMAI</w:t>
      </w:r>
    </w:p>
    <w:p w14:paraId="27E72E21" w14:textId="77777777" w:rsidR="00A27597" w:rsidRPr="00CE7679" w:rsidRDefault="00A27597" w:rsidP="00A27597">
      <w:pPr>
        <w:suppressLineNumbers/>
        <w:spacing w:line="240" w:lineRule="auto"/>
        <w:ind w:left="1418"/>
        <w:rPr>
          <w:rFonts w:eastAsia="SimSun"/>
          <w:b/>
          <w:snapToGrid/>
          <w:szCs w:val="22"/>
          <w:lang w:eastAsia="zh-CN"/>
        </w:rPr>
      </w:pPr>
    </w:p>
    <w:p w14:paraId="6AE17A68" w14:textId="77777777" w:rsidR="00A27597" w:rsidRPr="00CE7679" w:rsidRDefault="00A27597" w:rsidP="00A27597">
      <w:pPr>
        <w:spacing w:line="240" w:lineRule="auto"/>
        <w:rPr>
          <w:rFonts w:eastAsia="SimSun"/>
          <w:b/>
          <w:snapToGrid/>
          <w:szCs w:val="22"/>
          <w:lang w:eastAsia="zh-CN"/>
        </w:rPr>
      </w:pPr>
      <w:r w:rsidRPr="00CE7679">
        <w:rPr>
          <w:rFonts w:eastAsia="SimSun"/>
          <w:iCs/>
          <w:snapToGrid/>
          <w:szCs w:val="22"/>
          <w:lang w:eastAsia="zh-CN"/>
        </w:rPr>
        <w:br w:type="page"/>
      </w:r>
      <w:r w:rsidRPr="00CE7679">
        <w:rPr>
          <w:rFonts w:eastAsia="SimSun"/>
          <w:b/>
          <w:snapToGrid/>
          <w:szCs w:val="22"/>
          <w:lang w:eastAsia="zh-CN"/>
        </w:rPr>
        <w:lastRenderedPageBreak/>
        <w:t>A.</w:t>
      </w:r>
      <w:r w:rsidRPr="00CE7679">
        <w:rPr>
          <w:rFonts w:eastAsia="SimSun"/>
          <w:b/>
          <w:snapToGrid/>
          <w:szCs w:val="22"/>
          <w:lang w:eastAsia="zh-CN"/>
        </w:rPr>
        <w:tab/>
        <w:t>GAMINTOJAS (-AI), ATSAKINGAS (-I) UŽ SERIJŲ IŠLEIDIMĄ</w:t>
      </w:r>
    </w:p>
    <w:p w14:paraId="6721E07D" w14:textId="77777777" w:rsidR="00A27597" w:rsidRPr="00CE7679" w:rsidRDefault="00A27597" w:rsidP="00A27597">
      <w:pPr>
        <w:spacing w:line="240" w:lineRule="auto"/>
        <w:rPr>
          <w:rFonts w:eastAsia="SimSun"/>
          <w:snapToGrid/>
          <w:szCs w:val="22"/>
          <w:lang w:eastAsia="zh-CN"/>
        </w:rPr>
      </w:pPr>
    </w:p>
    <w:p w14:paraId="19AE0D3B" w14:textId="77777777" w:rsidR="00A27597" w:rsidRPr="00CE7679" w:rsidRDefault="00A27597" w:rsidP="00A27597">
      <w:pPr>
        <w:spacing w:line="240" w:lineRule="auto"/>
        <w:rPr>
          <w:rFonts w:eastAsia="SimSun"/>
          <w:snapToGrid/>
          <w:szCs w:val="22"/>
          <w:u w:val="single"/>
          <w:lang w:eastAsia="zh-CN"/>
        </w:rPr>
      </w:pPr>
      <w:r w:rsidRPr="00CE7679">
        <w:rPr>
          <w:rFonts w:eastAsia="SimSun"/>
          <w:snapToGrid/>
          <w:szCs w:val="22"/>
          <w:u w:val="single"/>
          <w:lang w:eastAsia="zh-CN"/>
        </w:rPr>
        <w:t>Gamintojo (-ų), atsakingo (-ų) už serijų išleidimą, pavadinimas (-ai) ir adresas (-ai)</w:t>
      </w:r>
    </w:p>
    <w:p w14:paraId="453E408A" w14:textId="77777777" w:rsidR="00A27597" w:rsidRPr="00CE7679" w:rsidRDefault="00A27597" w:rsidP="00A27597">
      <w:pPr>
        <w:spacing w:line="240" w:lineRule="auto"/>
        <w:rPr>
          <w:rFonts w:eastAsia="SimSun"/>
          <w:snapToGrid/>
          <w:szCs w:val="22"/>
          <w:lang w:eastAsia="zh-CN"/>
        </w:rPr>
      </w:pPr>
    </w:p>
    <w:p w14:paraId="003EB924" w14:textId="77777777" w:rsidR="00A27597" w:rsidRPr="00CE7679" w:rsidRDefault="00A27597" w:rsidP="0068785E">
      <w:pPr>
        <w:autoSpaceDE w:val="0"/>
        <w:autoSpaceDN w:val="0"/>
        <w:adjustRightInd w:val="0"/>
        <w:spacing w:line="240" w:lineRule="auto"/>
        <w:rPr>
          <w:bCs/>
          <w:szCs w:val="22"/>
        </w:rPr>
      </w:pPr>
      <w:proofErr w:type="spellStart"/>
      <w:r w:rsidRPr="00CE7679">
        <w:rPr>
          <w:szCs w:val="22"/>
        </w:rPr>
        <w:t>Lek</w:t>
      </w:r>
      <w:proofErr w:type="spellEnd"/>
      <w:r w:rsidRPr="00CE7679">
        <w:rPr>
          <w:szCs w:val="22"/>
        </w:rPr>
        <w:t xml:space="preserve"> </w:t>
      </w:r>
      <w:proofErr w:type="spellStart"/>
      <w:r w:rsidRPr="00CE7679">
        <w:rPr>
          <w:szCs w:val="22"/>
        </w:rPr>
        <w:t>Pharmaceuticals</w:t>
      </w:r>
      <w:proofErr w:type="spellEnd"/>
      <w:r w:rsidRPr="00CE7679">
        <w:rPr>
          <w:szCs w:val="22"/>
        </w:rPr>
        <w:t xml:space="preserve"> </w:t>
      </w:r>
      <w:proofErr w:type="spellStart"/>
      <w:r w:rsidRPr="00CE7679">
        <w:rPr>
          <w:szCs w:val="22"/>
        </w:rPr>
        <w:t>d.d</w:t>
      </w:r>
      <w:proofErr w:type="spellEnd"/>
      <w:r w:rsidRPr="00CE7679">
        <w:rPr>
          <w:szCs w:val="22"/>
        </w:rPr>
        <w:t>.</w:t>
      </w:r>
    </w:p>
    <w:p w14:paraId="015146BD" w14:textId="77777777" w:rsidR="00A27597" w:rsidRPr="00CE7679" w:rsidRDefault="00A27597" w:rsidP="0068785E">
      <w:pPr>
        <w:autoSpaceDE w:val="0"/>
        <w:autoSpaceDN w:val="0"/>
        <w:adjustRightInd w:val="0"/>
        <w:spacing w:line="240" w:lineRule="auto"/>
        <w:rPr>
          <w:bCs/>
          <w:szCs w:val="22"/>
        </w:rPr>
      </w:pPr>
      <w:proofErr w:type="spellStart"/>
      <w:r w:rsidRPr="00CE7679">
        <w:rPr>
          <w:szCs w:val="22"/>
        </w:rPr>
        <w:t>Verovškova</w:t>
      </w:r>
      <w:proofErr w:type="spellEnd"/>
      <w:r w:rsidRPr="00CE7679">
        <w:rPr>
          <w:szCs w:val="22"/>
        </w:rPr>
        <w:t xml:space="preserve"> 57, 1526 </w:t>
      </w:r>
      <w:proofErr w:type="spellStart"/>
      <w:r w:rsidRPr="00CE7679">
        <w:rPr>
          <w:szCs w:val="22"/>
        </w:rPr>
        <w:t>Ljubljana</w:t>
      </w:r>
      <w:proofErr w:type="spellEnd"/>
    </w:p>
    <w:p w14:paraId="26137E08" w14:textId="77777777" w:rsidR="00A27597" w:rsidRPr="00CE7679" w:rsidRDefault="00A27597" w:rsidP="0068785E">
      <w:pPr>
        <w:autoSpaceDE w:val="0"/>
        <w:autoSpaceDN w:val="0"/>
        <w:adjustRightInd w:val="0"/>
        <w:spacing w:line="240" w:lineRule="auto"/>
        <w:rPr>
          <w:bCs/>
          <w:szCs w:val="22"/>
        </w:rPr>
      </w:pPr>
      <w:r w:rsidRPr="00CE7679">
        <w:rPr>
          <w:szCs w:val="22"/>
        </w:rPr>
        <w:t>Slovėnija</w:t>
      </w:r>
    </w:p>
    <w:p w14:paraId="54D6B1B0" w14:textId="77777777" w:rsidR="00A27597" w:rsidRPr="00CE7679" w:rsidRDefault="00A27597" w:rsidP="00BD5718">
      <w:pPr>
        <w:tabs>
          <w:tab w:val="clear" w:pos="567"/>
        </w:tabs>
        <w:spacing w:line="240" w:lineRule="auto"/>
        <w:rPr>
          <w:rFonts w:eastAsia="Calibri"/>
          <w:i/>
          <w:snapToGrid/>
          <w:szCs w:val="22"/>
        </w:rPr>
      </w:pPr>
    </w:p>
    <w:p w14:paraId="4B6B959D" w14:textId="77777777" w:rsidR="00A27597" w:rsidRPr="00CE7679" w:rsidRDefault="00A27597">
      <w:pPr>
        <w:tabs>
          <w:tab w:val="clear" w:pos="567"/>
        </w:tabs>
        <w:spacing w:line="240" w:lineRule="auto"/>
        <w:rPr>
          <w:rFonts w:eastAsia="Calibri"/>
          <w:snapToGrid/>
          <w:szCs w:val="22"/>
        </w:rPr>
      </w:pPr>
      <w:r w:rsidRPr="00CE7679">
        <w:rPr>
          <w:rFonts w:eastAsia="Calibri"/>
          <w:snapToGrid/>
          <w:szCs w:val="22"/>
        </w:rPr>
        <w:t>arba</w:t>
      </w:r>
    </w:p>
    <w:p w14:paraId="7957785B" w14:textId="77777777" w:rsidR="00A27597" w:rsidRPr="00CE7679" w:rsidRDefault="00A27597">
      <w:pPr>
        <w:tabs>
          <w:tab w:val="clear" w:pos="567"/>
        </w:tabs>
        <w:spacing w:line="240" w:lineRule="auto"/>
        <w:rPr>
          <w:rFonts w:eastAsia="Calibri"/>
          <w:snapToGrid/>
          <w:szCs w:val="22"/>
        </w:rPr>
      </w:pPr>
    </w:p>
    <w:p w14:paraId="2BB13079" w14:textId="77777777" w:rsidR="00A27597" w:rsidRPr="00CE7679" w:rsidRDefault="00A27597">
      <w:pPr>
        <w:tabs>
          <w:tab w:val="clear" w:pos="567"/>
        </w:tabs>
        <w:spacing w:line="240" w:lineRule="auto"/>
        <w:rPr>
          <w:rFonts w:eastAsia="Calibri"/>
          <w:snapToGrid/>
          <w:szCs w:val="22"/>
        </w:rPr>
      </w:pPr>
      <w:proofErr w:type="spellStart"/>
      <w:r w:rsidRPr="00CE7679">
        <w:rPr>
          <w:rFonts w:eastAsia="Calibri"/>
          <w:snapToGrid/>
          <w:szCs w:val="22"/>
        </w:rPr>
        <w:t>Novartis</w:t>
      </w:r>
      <w:proofErr w:type="spellEnd"/>
      <w:r w:rsidRPr="00CE7679">
        <w:rPr>
          <w:rFonts w:eastAsia="Calibri"/>
          <w:snapToGrid/>
          <w:szCs w:val="22"/>
        </w:rPr>
        <w:t xml:space="preserve"> Pharma </w:t>
      </w:r>
      <w:proofErr w:type="spellStart"/>
      <w:r w:rsidRPr="00CE7679">
        <w:rPr>
          <w:rFonts w:eastAsia="Calibri"/>
          <w:snapToGrid/>
          <w:szCs w:val="22"/>
        </w:rPr>
        <w:t>GmbH</w:t>
      </w:r>
      <w:proofErr w:type="spellEnd"/>
    </w:p>
    <w:p w14:paraId="479D5DB6" w14:textId="77777777" w:rsidR="00A27597" w:rsidRPr="00CE7679" w:rsidRDefault="00A27597">
      <w:pPr>
        <w:tabs>
          <w:tab w:val="clear" w:pos="567"/>
        </w:tabs>
        <w:spacing w:line="240" w:lineRule="auto"/>
        <w:rPr>
          <w:rFonts w:eastAsia="Calibri"/>
          <w:snapToGrid/>
          <w:szCs w:val="22"/>
        </w:rPr>
      </w:pPr>
      <w:proofErr w:type="spellStart"/>
      <w:r w:rsidRPr="00CE7679">
        <w:rPr>
          <w:rFonts w:eastAsia="Calibri"/>
          <w:snapToGrid/>
          <w:szCs w:val="22"/>
        </w:rPr>
        <w:t>Roonstrasse</w:t>
      </w:r>
      <w:proofErr w:type="spellEnd"/>
      <w:r w:rsidRPr="00CE7679">
        <w:rPr>
          <w:rFonts w:eastAsia="Calibri"/>
          <w:snapToGrid/>
          <w:szCs w:val="22"/>
        </w:rPr>
        <w:t xml:space="preserve"> 25,</w:t>
      </w:r>
      <w:r w:rsidR="00BD5718">
        <w:rPr>
          <w:rFonts w:eastAsia="Calibri"/>
          <w:snapToGrid/>
          <w:szCs w:val="22"/>
        </w:rPr>
        <w:t xml:space="preserve"> </w:t>
      </w:r>
      <w:r w:rsidRPr="00CE7679">
        <w:rPr>
          <w:rFonts w:eastAsia="Calibri"/>
          <w:snapToGrid/>
          <w:szCs w:val="22"/>
        </w:rPr>
        <w:t xml:space="preserve">90429 </w:t>
      </w:r>
      <w:proofErr w:type="spellStart"/>
      <w:r w:rsidRPr="00CE7679">
        <w:rPr>
          <w:rFonts w:eastAsia="Calibri"/>
          <w:snapToGrid/>
          <w:szCs w:val="22"/>
        </w:rPr>
        <w:t>Nürnberg</w:t>
      </w:r>
      <w:proofErr w:type="spellEnd"/>
    </w:p>
    <w:p w14:paraId="7B20DB17" w14:textId="77777777" w:rsidR="00A27597" w:rsidRPr="00CE7679" w:rsidRDefault="00A27597">
      <w:pPr>
        <w:tabs>
          <w:tab w:val="clear" w:pos="567"/>
        </w:tabs>
        <w:spacing w:line="240" w:lineRule="auto"/>
        <w:rPr>
          <w:rFonts w:eastAsia="Calibri"/>
          <w:snapToGrid/>
          <w:szCs w:val="22"/>
        </w:rPr>
      </w:pPr>
      <w:r w:rsidRPr="00CE7679">
        <w:rPr>
          <w:rFonts w:eastAsia="Calibri"/>
          <w:snapToGrid/>
          <w:szCs w:val="22"/>
        </w:rPr>
        <w:t>Vokietija</w:t>
      </w:r>
    </w:p>
    <w:p w14:paraId="3682089A" w14:textId="77777777" w:rsidR="00A27597" w:rsidRPr="00CE7679" w:rsidRDefault="00A27597">
      <w:pPr>
        <w:tabs>
          <w:tab w:val="clear" w:pos="567"/>
        </w:tabs>
        <w:spacing w:line="240" w:lineRule="auto"/>
        <w:rPr>
          <w:rFonts w:eastAsia="Calibri"/>
          <w:snapToGrid/>
          <w:szCs w:val="22"/>
        </w:rPr>
      </w:pPr>
    </w:p>
    <w:p w14:paraId="3590D08A" w14:textId="77777777" w:rsidR="00A27597" w:rsidRPr="00CE7679" w:rsidRDefault="00A27597">
      <w:pPr>
        <w:tabs>
          <w:tab w:val="clear" w:pos="567"/>
        </w:tabs>
        <w:spacing w:line="240" w:lineRule="auto"/>
        <w:rPr>
          <w:rFonts w:eastAsia="Calibri"/>
          <w:snapToGrid/>
          <w:szCs w:val="22"/>
        </w:rPr>
      </w:pPr>
      <w:r w:rsidRPr="00CE7679">
        <w:rPr>
          <w:rFonts w:eastAsia="Calibri"/>
          <w:snapToGrid/>
          <w:szCs w:val="22"/>
        </w:rPr>
        <w:t>arba</w:t>
      </w:r>
    </w:p>
    <w:p w14:paraId="0F9D1ABF" w14:textId="77777777" w:rsidR="00A27597" w:rsidRPr="00CE7679" w:rsidRDefault="00A27597">
      <w:pPr>
        <w:tabs>
          <w:tab w:val="clear" w:pos="567"/>
        </w:tabs>
        <w:spacing w:line="240" w:lineRule="auto"/>
        <w:rPr>
          <w:rFonts w:eastAsia="Calibri"/>
          <w:snapToGrid/>
          <w:szCs w:val="22"/>
        </w:rPr>
      </w:pPr>
    </w:p>
    <w:p w14:paraId="1917D859" w14:textId="77777777" w:rsidR="00A27597" w:rsidRPr="00CE7679" w:rsidRDefault="00A27597" w:rsidP="0068785E">
      <w:pPr>
        <w:autoSpaceDE w:val="0"/>
        <w:autoSpaceDN w:val="0"/>
        <w:adjustRightInd w:val="0"/>
        <w:spacing w:line="240" w:lineRule="auto"/>
      </w:pPr>
      <w:proofErr w:type="spellStart"/>
      <w:r w:rsidRPr="00CE7679">
        <w:t>Salutas</w:t>
      </w:r>
      <w:proofErr w:type="spellEnd"/>
      <w:r w:rsidRPr="00CE7679">
        <w:t xml:space="preserve"> Pharma </w:t>
      </w:r>
      <w:proofErr w:type="spellStart"/>
      <w:r w:rsidRPr="00CE7679">
        <w:t>GmbH</w:t>
      </w:r>
      <w:proofErr w:type="spellEnd"/>
    </w:p>
    <w:p w14:paraId="42D38255" w14:textId="77777777" w:rsidR="00A27597" w:rsidRPr="00CE7679" w:rsidRDefault="00A27597" w:rsidP="0068785E">
      <w:pPr>
        <w:autoSpaceDE w:val="0"/>
        <w:autoSpaceDN w:val="0"/>
        <w:adjustRightInd w:val="0"/>
        <w:spacing w:line="240" w:lineRule="auto"/>
      </w:pPr>
      <w:proofErr w:type="spellStart"/>
      <w:r w:rsidRPr="00CE7679">
        <w:t>Otto-von-Guericke-Allee</w:t>
      </w:r>
      <w:proofErr w:type="spellEnd"/>
      <w:r w:rsidRPr="00CE7679">
        <w:t xml:space="preserve"> 1</w:t>
      </w:r>
    </w:p>
    <w:p w14:paraId="473BD2F7" w14:textId="77777777" w:rsidR="00A27597" w:rsidRPr="00CE7679" w:rsidRDefault="00A27597" w:rsidP="0068785E">
      <w:pPr>
        <w:autoSpaceDE w:val="0"/>
        <w:autoSpaceDN w:val="0"/>
        <w:adjustRightInd w:val="0"/>
        <w:spacing w:line="240" w:lineRule="auto"/>
      </w:pPr>
      <w:proofErr w:type="spellStart"/>
      <w:r w:rsidRPr="00CE7679">
        <w:t>Sachsen-Anhalt</w:t>
      </w:r>
      <w:proofErr w:type="spellEnd"/>
      <w:r w:rsidRPr="00CE7679">
        <w:t xml:space="preserve">, 39179 </w:t>
      </w:r>
      <w:proofErr w:type="spellStart"/>
      <w:r w:rsidRPr="00CE7679">
        <w:t>Barleben</w:t>
      </w:r>
      <w:proofErr w:type="spellEnd"/>
    </w:p>
    <w:p w14:paraId="5D1930A2" w14:textId="77777777" w:rsidR="00A27597" w:rsidRPr="00CE7679" w:rsidRDefault="00A27597" w:rsidP="0068785E">
      <w:pPr>
        <w:autoSpaceDE w:val="0"/>
        <w:autoSpaceDN w:val="0"/>
        <w:adjustRightInd w:val="0"/>
        <w:spacing w:line="240" w:lineRule="auto"/>
      </w:pPr>
      <w:r w:rsidRPr="00CE7679">
        <w:t>Vokietija</w:t>
      </w:r>
    </w:p>
    <w:p w14:paraId="2A6BAE10" w14:textId="77777777" w:rsidR="00BE2E5B" w:rsidRDefault="00BE2E5B" w:rsidP="00BD5718">
      <w:pPr>
        <w:tabs>
          <w:tab w:val="clear" w:pos="567"/>
        </w:tabs>
        <w:spacing w:line="240" w:lineRule="auto"/>
        <w:rPr>
          <w:rFonts w:eastAsia="Calibri"/>
          <w:snapToGrid/>
          <w:szCs w:val="22"/>
        </w:rPr>
      </w:pPr>
    </w:p>
    <w:p w14:paraId="00017548" w14:textId="77777777" w:rsidR="000552BC" w:rsidRPr="00CE7679" w:rsidRDefault="000552BC">
      <w:pPr>
        <w:tabs>
          <w:tab w:val="clear" w:pos="567"/>
        </w:tabs>
        <w:spacing w:line="240" w:lineRule="auto"/>
        <w:rPr>
          <w:rFonts w:eastAsia="Calibri"/>
          <w:snapToGrid/>
          <w:szCs w:val="22"/>
        </w:rPr>
      </w:pPr>
      <w:r w:rsidRPr="00CE7679">
        <w:rPr>
          <w:rFonts w:eastAsia="Calibri"/>
          <w:snapToGrid/>
          <w:szCs w:val="22"/>
        </w:rPr>
        <w:t>arba</w:t>
      </w:r>
    </w:p>
    <w:p w14:paraId="52FCF9FC" w14:textId="77777777" w:rsidR="000552BC" w:rsidRPr="00CE7679" w:rsidRDefault="000552BC">
      <w:pPr>
        <w:tabs>
          <w:tab w:val="clear" w:pos="567"/>
        </w:tabs>
        <w:spacing w:line="240" w:lineRule="auto"/>
        <w:rPr>
          <w:rFonts w:eastAsia="Calibri"/>
          <w:snapToGrid/>
          <w:szCs w:val="22"/>
          <w:highlight w:val="yellow"/>
        </w:rPr>
      </w:pPr>
    </w:p>
    <w:p w14:paraId="4E0F268B" w14:textId="77777777" w:rsidR="000552BC" w:rsidRPr="00CE7679" w:rsidRDefault="000552BC">
      <w:pPr>
        <w:tabs>
          <w:tab w:val="clear" w:pos="567"/>
        </w:tabs>
        <w:spacing w:line="240" w:lineRule="auto"/>
        <w:rPr>
          <w:rFonts w:eastAsia="Calibri"/>
          <w:snapToGrid/>
          <w:szCs w:val="22"/>
        </w:rPr>
      </w:pPr>
      <w:proofErr w:type="spellStart"/>
      <w:r w:rsidRPr="00CE7679">
        <w:rPr>
          <w:rFonts w:eastAsia="Calibri"/>
          <w:snapToGrid/>
          <w:szCs w:val="22"/>
        </w:rPr>
        <w:t>Lek</w:t>
      </w:r>
      <w:proofErr w:type="spellEnd"/>
      <w:r w:rsidRPr="00CE7679">
        <w:rPr>
          <w:rFonts w:eastAsia="Calibri"/>
          <w:snapToGrid/>
          <w:szCs w:val="22"/>
        </w:rPr>
        <w:t xml:space="preserve"> </w:t>
      </w:r>
      <w:proofErr w:type="spellStart"/>
      <w:r w:rsidRPr="00CE7679">
        <w:rPr>
          <w:rFonts w:eastAsia="Calibri"/>
          <w:snapToGrid/>
          <w:szCs w:val="22"/>
        </w:rPr>
        <w:t>Pharmaceuticals</w:t>
      </w:r>
      <w:proofErr w:type="spellEnd"/>
      <w:r w:rsidRPr="00CE7679">
        <w:rPr>
          <w:rFonts w:eastAsia="Calibri"/>
          <w:snapToGrid/>
          <w:szCs w:val="22"/>
        </w:rPr>
        <w:t xml:space="preserve"> </w:t>
      </w:r>
      <w:proofErr w:type="spellStart"/>
      <w:r w:rsidRPr="00CE7679">
        <w:rPr>
          <w:rFonts w:eastAsia="Calibri"/>
          <w:snapToGrid/>
          <w:szCs w:val="22"/>
        </w:rPr>
        <w:t>d.d</w:t>
      </w:r>
      <w:proofErr w:type="spellEnd"/>
      <w:r w:rsidRPr="00CE7679">
        <w:rPr>
          <w:rFonts w:eastAsia="Calibri"/>
          <w:snapToGrid/>
          <w:szCs w:val="22"/>
        </w:rPr>
        <w:t>.</w:t>
      </w:r>
    </w:p>
    <w:p w14:paraId="36467CB6" w14:textId="77777777" w:rsidR="000552BC" w:rsidRPr="00CE7679" w:rsidRDefault="000552BC">
      <w:pPr>
        <w:tabs>
          <w:tab w:val="clear" w:pos="567"/>
        </w:tabs>
        <w:spacing w:line="240" w:lineRule="auto"/>
        <w:rPr>
          <w:rFonts w:eastAsia="Calibri"/>
          <w:snapToGrid/>
          <w:szCs w:val="22"/>
        </w:rPr>
      </w:pPr>
      <w:proofErr w:type="spellStart"/>
      <w:r w:rsidRPr="00CE7679">
        <w:rPr>
          <w:rFonts w:eastAsia="Calibri"/>
          <w:snapToGrid/>
          <w:szCs w:val="22"/>
        </w:rPr>
        <w:t>Trimlini</w:t>
      </w:r>
      <w:proofErr w:type="spellEnd"/>
      <w:r w:rsidRPr="00CE7679">
        <w:rPr>
          <w:rFonts w:eastAsia="Calibri"/>
          <w:snapToGrid/>
          <w:szCs w:val="22"/>
        </w:rPr>
        <w:t xml:space="preserve"> 2D</w:t>
      </w:r>
    </w:p>
    <w:p w14:paraId="492B2044" w14:textId="77777777" w:rsidR="000552BC" w:rsidRPr="00CE7679" w:rsidRDefault="000552BC">
      <w:pPr>
        <w:tabs>
          <w:tab w:val="clear" w:pos="567"/>
        </w:tabs>
        <w:spacing w:line="240" w:lineRule="auto"/>
        <w:rPr>
          <w:rFonts w:eastAsia="Calibri"/>
          <w:snapToGrid/>
          <w:szCs w:val="22"/>
        </w:rPr>
      </w:pPr>
      <w:r w:rsidRPr="00CE7679">
        <w:rPr>
          <w:rFonts w:eastAsia="Calibri"/>
          <w:snapToGrid/>
          <w:szCs w:val="22"/>
        </w:rPr>
        <w:t xml:space="preserve">9220 </w:t>
      </w:r>
      <w:proofErr w:type="spellStart"/>
      <w:r w:rsidRPr="00CE7679">
        <w:rPr>
          <w:rFonts w:eastAsia="Calibri"/>
          <w:snapToGrid/>
          <w:szCs w:val="22"/>
        </w:rPr>
        <w:t>Lendava</w:t>
      </w:r>
      <w:proofErr w:type="spellEnd"/>
    </w:p>
    <w:p w14:paraId="1681BBDA" w14:textId="77777777" w:rsidR="000552BC" w:rsidRPr="00CE7679" w:rsidRDefault="000552BC">
      <w:pPr>
        <w:tabs>
          <w:tab w:val="clear" w:pos="567"/>
        </w:tabs>
        <w:spacing w:line="240" w:lineRule="auto"/>
        <w:rPr>
          <w:rFonts w:eastAsia="Calibri"/>
          <w:snapToGrid/>
          <w:szCs w:val="22"/>
        </w:rPr>
      </w:pPr>
      <w:r w:rsidRPr="00CE7679">
        <w:rPr>
          <w:rFonts w:eastAsia="Calibri"/>
          <w:snapToGrid/>
          <w:szCs w:val="22"/>
        </w:rPr>
        <w:t>Slovėnija</w:t>
      </w:r>
    </w:p>
    <w:p w14:paraId="0A106A4C" w14:textId="22A1F782" w:rsidR="00A27597" w:rsidRDefault="00A27597" w:rsidP="00A27597">
      <w:pPr>
        <w:tabs>
          <w:tab w:val="clear" w:pos="567"/>
        </w:tabs>
        <w:spacing w:line="240" w:lineRule="auto"/>
        <w:rPr>
          <w:rFonts w:eastAsia="Calibri"/>
          <w:snapToGrid/>
          <w:szCs w:val="22"/>
          <w:highlight w:val="yellow"/>
        </w:rPr>
      </w:pPr>
    </w:p>
    <w:p w14:paraId="3AA0E967" w14:textId="48437710" w:rsidR="004F292E" w:rsidRPr="002202B1" w:rsidRDefault="004F292E" w:rsidP="00A27597">
      <w:pPr>
        <w:tabs>
          <w:tab w:val="clear" w:pos="567"/>
        </w:tabs>
        <w:spacing w:line="240" w:lineRule="auto"/>
        <w:rPr>
          <w:rFonts w:eastAsia="Calibri"/>
          <w:snapToGrid/>
          <w:szCs w:val="22"/>
        </w:rPr>
      </w:pPr>
      <w:r w:rsidRPr="002202B1">
        <w:rPr>
          <w:rFonts w:eastAsia="Calibri"/>
          <w:snapToGrid/>
          <w:szCs w:val="22"/>
        </w:rPr>
        <w:t>arba</w:t>
      </w:r>
    </w:p>
    <w:p w14:paraId="7C89F92A" w14:textId="18B1EBBF" w:rsidR="004F292E" w:rsidRDefault="004F292E" w:rsidP="00A27597">
      <w:pPr>
        <w:tabs>
          <w:tab w:val="clear" w:pos="567"/>
        </w:tabs>
        <w:spacing w:line="240" w:lineRule="auto"/>
        <w:rPr>
          <w:rFonts w:eastAsia="Calibri"/>
          <w:snapToGrid/>
          <w:szCs w:val="22"/>
          <w:highlight w:val="yellow"/>
        </w:rPr>
      </w:pPr>
    </w:p>
    <w:p w14:paraId="3684B65B" w14:textId="77777777" w:rsidR="004F292E" w:rsidRPr="004F292E" w:rsidRDefault="004F292E" w:rsidP="004F292E">
      <w:pPr>
        <w:tabs>
          <w:tab w:val="clear" w:pos="567"/>
        </w:tabs>
        <w:spacing w:line="240" w:lineRule="auto"/>
        <w:rPr>
          <w:rFonts w:eastAsia="Calibri"/>
          <w:snapToGrid/>
          <w:szCs w:val="22"/>
        </w:rPr>
      </w:pPr>
      <w:proofErr w:type="spellStart"/>
      <w:r w:rsidRPr="004F292E">
        <w:rPr>
          <w:rFonts w:eastAsia="Calibri"/>
          <w:snapToGrid/>
          <w:szCs w:val="22"/>
        </w:rPr>
        <w:t>Novartis</w:t>
      </w:r>
      <w:proofErr w:type="spellEnd"/>
      <w:r w:rsidRPr="004F292E">
        <w:rPr>
          <w:rFonts w:eastAsia="Calibri"/>
          <w:snapToGrid/>
          <w:szCs w:val="22"/>
        </w:rPr>
        <w:t xml:space="preserve"> </w:t>
      </w:r>
      <w:proofErr w:type="spellStart"/>
      <w:r w:rsidRPr="004F292E">
        <w:rPr>
          <w:rFonts w:eastAsia="Calibri"/>
          <w:snapToGrid/>
          <w:szCs w:val="22"/>
        </w:rPr>
        <w:t>Pharmaceutical</w:t>
      </w:r>
      <w:proofErr w:type="spellEnd"/>
    </w:p>
    <w:p w14:paraId="1C547F7A" w14:textId="77777777" w:rsidR="004F292E" w:rsidRPr="004F292E" w:rsidRDefault="004F292E" w:rsidP="004F292E">
      <w:pPr>
        <w:tabs>
          <w:tab w:val="clear" w:pos="567"/>
        </w:tabs>
        <w:spacing w:line="240" w:lineRule="auto"/>
        <w:rPr>
          <w:rFonts w:eastAsia="Calibri"/>
          <w:snapToGrid/>
          <w:szCs w:val="22"/>
        </w:rPr>
      </w:pPr>
      <w:r w:rsidRPr="004F292E">
        <w:rPr>
          <w:rFonts w:eastAsia="Calibri"/>
          <w:snapToGrid/>
          <w:szCs w:val="22"/>
        </w:rPr>
        <w:t>Manufacturing LLC</w:t>
      </w:r>
    </w:p>
    <w:p w14:paraId="70AB2A8F" w14:textId="77777777" w:rsidR="004F292E" w:rsidRPr="004F292E" w:rsidRDefault="004F292E" w:rsidP="004F292E">
      <w:pPr>
        <w:tabs>
          <w:tab w:val="clear" w:pos="567"/>
        </w:tabs>
        <w:spacing w:line="240" w:lineRule="auto"/>
        <w:rPr>
          <w:rFonts w:eastAsia="Calibri"/>
          <w:snapToGrid/>
          <w:szCs w:val="22"/>
        </w:rPr>
      </w:pPr>
      <w:proofErr w:type="spellStart"/>
      <w:r w:rsidRPr="004F292E">
        <w:rPr>
          <w:rFonts w:eastAsia="Calibri"/>
          <w:snapToGrid/>
          <w:szCs w:val="22"/>
        </w:rPr>
        <w:t>Verovškova</w:t>
      </w:r>
      <w:proofErr w:type="spellEnd"/>
      <w:r w:rsidRPr="004F292E">
        <w:rPr>
          <w:rFonts w:eastAsia="Calibri"/>
          <w:snapToGrid/>
          <w:szCs w:val="22"/>
        </w:rPr>
        <w:t xml:space="preserve"> </w:t>
      </w:r>
      <w:proofErr w:type="spellStart"/>
      <w:r w:rsidRPr="004F292E">
        <w:rPr>
          <w:rFonts w:eastAsia="Calibri"/>
          <w:snapToGrid/>
          <w:szCs w:val="22"/>
        </w:rPr>
        <w:t>ulica</w:t>
      </w:r>
      <w:proofErr w:type="spellEnd"/>
      <w:r w:rsidRPr="004F292E">
        <w:rPr>
          <w:rFonts w:eastAsia="Calibri"/>
          <w:snapToGrid/>
          <w:szCs w:val="22"/>
        </w:rPr>
        <w:t xml:space="preserve"> 57</w:t>
      </w:r>
    </w:p>
    <w:p w14:paraId="718C9579" w14:textId="77777777" w:rsidR="004F292E" w:rsidRPr="004F292E" w:rsidRDefault="004F292E" w:rsidP="004F292E">
      <w:pPr>
        <w:tabs>
          <w:tab w:val="clear" w:pos="567"/>
        </w:tabs>
        <w:spacing w:line="240" w:lineRule="auto"/>
        <w:rPr>
          <w:rFonts w:eastAsia="Calibri"/>
          <w:snapToGrid/>
          <w:szCs w:val="22"/>
        </w:rPr>
      </w:pPr>
      <w:r w:rsidRPr="004F292E">
        <w:rPr>
          <w:rFonts w:eastAsia="Calibri"/>
          <w:snapToGrid/>
          <w:szCs w:val="22"/>
        </w:rPr>
        <w:t xml:space="preserve">1000 </w:t>
      </w:r>
      <w:proofErr w:type="spellStart"/>
      <w:r w:rsidRPr="004F292E">
        <w:rPr>
          <w:rFonts w:eastAsia="Calibri"/>
          <w:snapToGrid/>
          <w:szCs w:val="22"/>
        </w:rPr>
        <w:t>Ljubljana</w:t>
      </w:r>
      <w:proofErr w:type="spellEnd"/>
      <w:r w:rsidRPr="004F292E">
        <w:rPr>
          <w:rFonts w:eastAsia="Calibri"/>
          <w:snapToGrid/>
          <w:szCs w:val="22"/>
        </w:rPr>
        <w:t>,</w:t>
      </w:r>
    </w:p>
    <w:p w14:paraId="7CADCB2F" w14:textId="688402B7" w:rsidR="004F292E" w:rsidRDefault="004F292E" w:rsidP="004F292E">
      <w:pPr>
        <w:tabs>
          <w:tab w:val="clear" w:pos="567"/>
        </w:tabs>
        <w:spacing w:line="240" w:lineRule="auto"/>
        <w:rPr>
          <w:rFonts w:eastAsia="Calibri"/>
          <w:snapToGrid/>
          <w:szCs w:val="22"/>
        </w:rPr>
      </w:pPr>
      <w:r>
        <w:rPr>
          <w:rFonts w:eastAsia="Calibri"/>
          <w:snapToGrid/>
          <w:szCs w:val="22"/>
        </w:rPr>
        <w:t>Slovėnija</w:t>
      </w:r>
    </w:p>
    <w:p w14:paraId="2B6909B0" w14:textId="77777777" w:rsidR="004F292E" w:rsidRPr="00CE7679" w:rsidRDefault="004F292E" w:rsidP="004F292E">
      <w:pPr>
        <w:tabs>
          <w:tab w:val="clear" w:pos="567"/>
        </w:tabs>
        <w:spacing w:line="240" w:lineRule="auto"/>
        <w:rPr>
          <w:rFonts w:eastAsia="Calibri"/>
          <w:snapToGrid/>
          <w:szCs w:val="22"/>
          <w:highlight w:val="yellow"/>
        </w:rPr>
      </w:pPr>
    </w:p>
    <w:p w14:paraId="32CA9FC1" w14:textId="77777777" w:rsidR="00A27597" w:rsidRPr="00CE7679" w:rsidRDefault="00A27597" w:rsidP="00A27597">
      <w:pPr>
        <w:tabs>
          <w:tab w:val="clear" w:pos="567"/>
        </w:tabs>
        <w:spacing w:line="240" w:lineRule="auto"/>
        <w:rPr>
          <w:rFonts w:eastAsia="Calibri"/>
          <w:snapToGrid/>
          <w:szCs w:val="22"/>
        </w:rPr>
      </w:pPr>
      <w:r w:rsidRPr="00CE7679">
        <w:rPr>
          <w:rFonts w:eastAsia="Calibri"/>
          <w:snapToGrid/>
          <w:szCs w:val="22"/>
        </w:rPr>
        <w:t>Su pakuote pateikiamame lapelyje nurodomas gamintojo, atsakingo už konkrečios serijos išleidimą, pavadinimas ir adresas.</w:t>
      </w:r>
    </w:p>
    <w:p w14:paraId="225F8728" w14:textId="77777777" w:rsidR="00A27597" w:rsidRPr="00CE7679" w:rsidRDefault="00A27597" w:rsidP="00A27597">
      <w:pPr>
        <w:spacing w:line="240" w:lineRule="auto"/>
        <w:rPr>
          <w:rFonts w:eastAsia="Calibri"/>
          <w:szCs w:val="22"/>
          <w:lang w:eastAsia="lt-LT"/>
        </w:rPr>
      </w:pPr>
    </w:p>
    <w:p w14:paraId="45D0CD6B" w14:textId="77777777" w:rsidR="00A27597" w:rsidRPr="00CE7679" w:rsidRDefault="00A27597" w:rsidP="00A27597">
      <w:pPr>
        <w:spacing w:line="240" w:lineRule="auto"/>
        <w:rPr>
          <w:rFonts w:eastAsia="SimSun"/>
          <w:b/>
          <w:snapToGrid/>
          <w:szCs w:val="22"/>
          <w:lang w:eastAsia="zh-CN"/>
        </w:rPr>
      </w:pPr>
    </w:p>
    <w:p w14:paraId="76654B13" w14:textId="77777777" w:rsidR="00A27597" w:rsidRPr="00CE7679" w:rsidRDefault="00A27597" w:rsidP="00A27597">
      <w:pPr>
        <w:suppressLineNumbers/>
        <w:spacing w:line="240" w:lineRule="auto"/>
        <w:ind w:left="567" w:hanging="567"/>
        <w:rPr>
          <w:rFonts w:eastAsia="SimSun"/>
          <w:snapToGrid/>
          <w:szCs w:val="22"/>
          <w:lang w:eastAsia="zh-CN"/>
        </w:rPr>
      </w:pPr>
      <w:r w:rsidRPr="00CE7679">
        <w:rPr>
          <w:rFonts w:eastAsia="SimSun"/>
          <w:b/>
          <w:snapToGrid/>
          <w:szCs w:val="22"/>
          <w:lang w:eastAsia="zh-CN"/>
        </w:rPr>
        <w:t>B.</w:t>
      </w:r>
      <w:r w:rsidRPr="00CE7679">
        <w:rPr>
          <w:rFonts w:eastAsia="SimSun"/>
          <w:b/>
          <w:snapToGrid/>
          <w:szCs w:val="22"/>
          <w:lang w:eastAsia="zh-CN"/>
        </w:rPr>
        <w:tab/>
        <w:t>TIEKIMO IR VARTOJIMO SĄLYGOS AR APRIBOJIMAI</w:t>
      </w:r>
    </w:p>
    <w:p w14:paraId="26FE0380" w14:textId="77777777" w:rsidR="00A27597" w:rsidRPr="00CE7679" w:rsidRDefault="00A27597" w:rsidP="00A27597">
      <w:pPr>
        <w:spacing w:line="240" w:lineRule="auto"/>
        <w:rPr>
          <w:rFonts w:eastAsia="SimSun"/>
          <w:snapToGrid/>
          <w:szCs w:val="22"/>
          <w:lang w:eastAsia="zh-CN"/>
        </w:rPr>
      </w:pPr>
    </w:p>
    <w:p w14:paraId="79D9190B" w14:textId="77777777" w:rsidR="00A27597" w:rsidRPr="00CE7679" w:rsidRDefault="00A27597" w:rsidP="00A27597">
      <w:pPr>
        <w:rPr>
          <w:szCs w:val="24"/>
        </w:rPr>
      </w:pPr>
      <w:r w:rsidRPr="00CE7679">
        <w:t>Receptinis vaistinis preparatas.</w:t>
      </w:r>
    </w:p>
    <w:p w14:paraId="18A2A925" w14:textId="77777777" w:rsidR="00A27597" w:rsidRPr="00CE7679" w:rsidRDefault="00A27597" w:rsidP="00A27597">
      <w:pPr>
        <w:spacing w:line="240" w:lineRule="auto"/>
        <w:rPr>
          <w:rFonts w:eastAsia="SimSun"/>
          <w:snapToGrid/>
          <w:szCs w:val="22"/>
          <w:lang w:eastAsia="zh-CN"/>
        </w:rPr>
      </w:pPr>
    </w:p>
    <w:p w14:paraId="333FA485" w14:textId="77777777" w:rsidR="00A27597" w:rsidRPr="00CE7679" w:rsidRDefault="00A27597" w:rsidP="00A27597">
      <w:pPr>
        <w:spacing w:line="240" w:lineRule="auto"/>
        <w:rPr>
          <w:rFonts w:eastAsia="SimSun"/>
          <w:snapToGrid/>
          <w:szCs w:val="22"/>
          <w:lang w:eastAsia="zh-CN"/>
        </w:rPr>
      </w:pPr>
    </w:p>
    <w:p w14:paraId="2B973F03" w14:textId="77777777" w:rsidR="00A27597" w:rsidRPr="00CE7679" w:rsidRDefault="00A27597" w:rsidP="00A27597">
      <w:pPr>
        <w:tabs>
          <w:tab w:val="clear" w:pos="567"/>
        </w:tabs>
        <w:spacing w:line="240" w:lineRule="auto"/>
        <w:rPr>
          <w:rFonts w:eastAsia="SimSun"/>
          <w:snapToGrid/>
          <w:szCs w:val="22"/>
          <w:lang w:eastAsia="zh-CN"/>
        </w:rPr>
      </w:pPr>
      <w:r w:rsidRPr="00CE7679">
        <w:rPr>
          <w:rFonts w:eastAsia="SimSun"/>
          <w:snapToGrid/>
          <w:szCs w:val="22"/>
          <w:lang w:eastAsia="zh-CN"/>
        </w:rPr>
        <w:br w:type="page"/>
      </w:r>
    </w:p>
    <w:p w14:paraId="64590E82" w14:textId="77777777" w:rsidR="00A27597" w:rsidRPr="00CE7679" w:rsidRDefault="00A27597" w:rsidP="00A27597">
      <w:pPr>
        <w:spacing w:line="240" w:lineRule="auto"/>
        <w:rPr>
          <w:rFonts w:eastAsia="SimSun"/>
          <w:snapToGrid/>
          <w:szCs w:val="22"/>
          <w:lang w:eastAsia="zh-CN"/>
        </w:rPr>
      </w:pPr>
    </w:p>
    <w:p w14:paraId="478E88D0" w14:textId="77777777" w:rsidR="00A27597" w:rsidRPr="00CE7679" w:rsidRDefault="00A27597" w:rsidP="00A27597">
      <w:pPr>
        <w:spacing w:line="240" w:lineRule="auto"/>
        <w:rPr>
          <w:rFonts w:eastAsia="SimSun"/>
          <w:snapToGrid/>
          <w:szCs w:val="22"/>
          <w:lang w:eastAsia="zh-CN"/>
        </w:rPr>
      </w:pPr>
    </w:p>
    <w:p w14:paraId="42236981" w14:textId="77777777" w:rsidR="00A27597" w:rsidRPr="00CE7679" w:rsidRDefault="00A27597" w:rsidP="00A27597">
      <w:pPr>
        <w:spacing w:line="240" w:lineRule="auto"/>
        <w:rPr>
          <w:rFonts w:eastAsia="SimSun"/>
          <w:snapToGrid/>
          <w:szCs w:val="22"/>
          <w:lang w:eastAsia="zh-CN"/>
        </w:rPr>
      </w:pPr>
    </w:p>
    <w:p w14:paraId="639360D0" w14:textId="77777777" w:rsidR="00A27597" w:rsidRPr="00CE7679" w:rsidRDefault="00A27597" w:rsidP="00A27597">
      <w:pPr>
        <w:spacing w:line="240" w:lineRule="auto"/>
        <w:rPr>
          <w:rFonts w:eastAsia="SimSun"/>
          <w:snapToGrid/>
          <w:szCs w:val="22"/>
          <w:lang w:eastAsia="zh-CN"/>
        </w:rPr>
      </w:pPr>
    </w:p>
    <w:p w14:paraId="27F5FB6F" w14:textId="77777777" w:rsidR="00A27597" w:rsidRPr="00CE7679" w:rsidRDefault="00A27597" w:rsidP="00A27597">
      <w:pPr>
        <w:spacing w:line="240" w:lineRule="auto"/>
        <w:rPr>
          <w:rFonts w:eastAsia="SimSun"/>
          <w:snapToGrid/>
          <w:szCs w:val="22"/>
          <w:lang w:eastAsia="zh-CN"/>
        </w:rPr>
      </w:pPr>
    </w:p>
    <w:p w14:paraId="22BB8C12" w14:textId="77777777" w:rsidR="00A27597" w:rsidRPr="00CE7679" w:rsidRDefault="00A27597" w:rsidP="00A27597">
      <w:pPr>
        <w:spacing w:line="240" w:lineRule="auto"/>
        <w:rPr>
          <w:rFonts w:eastAsia="SimSun"/>
          <w:snapToGrid/>
          <w:szCs w:val="22"/>
          <w:lang w:eastAsia="zh-CN"/>
        </w:rPr>
      </w:pPr>
    </w:p>
    <w:p w14:paraId="0FF9519A" w14:textId="77777777" w:rsidR="00A27597" w:rsidRPr="00CE7679" w:rsidRDefault="00A27597" w:rsidP="00A27597">
      <w:pPr>
        <w:spacing w:line="240" w:lineRule="auto"/>
        <w:rPr>
          <w:rFonts w:eastAsia="SimSun"/>
          <w:snapToGrid/>
          <w:szCs w:val="22"/>
          <w:lang w:eastAsia="zh-CN"/>
        </w:rPr>
      </w:pPr>
    </w:p>
    <w:p w14:paraId="6ABC4A39" w14:textId="77777777" w:rsidR="00A27597" w:rsidRPr="00CE7679" w:rsidRDefault="00A27597" w:rsidP="00A27597">
      <w:pPr>
        <w:spacing w:line="240" w:lineRule="auto"/>
        <w:rPr>
          <w:rFonts w:eastAsia="SimSun"/>
          <w:snapToGrid/>
          <w:szCs w:val="22"/>
          <w:lang w:eastAsia="zh-CN"/>
        </w:rPr>
      </w:pPr>
    </w:p>
    <w:p w14:paraId="54785F45" w14:textId="77777777" w:rsidR="00A27597" w:rsidRPr="00CE7679" w:rsidRDefault="00A27597" w:rsidP="00A27597">
      <w:pPr>
        <w:spacing w:line="240" w:lineRule="auto"/>
        <w:rPr>
          <w:rFonts w:eastAsia="SimSun"/>
          <w:snapToGrid/>
          <w:szCs w:val="22"/>
          <w:lang w:eastAsia="zh-CN"/>
        </w:rPr>
      </w:pPr>
    </w:p>
    <w:p w14:paraId="28EBCFDB" w14:textId="77777777" w:rsidR="00A27597" w:rsidRPr="00CE7679" w:rsidRDefault="00A27597" w:rsidP="00A27597">
      <w:pPr>
        <w:spacing w:line="240" w:lineRule="auto"/>
        <w:rPr>
          <w:rFonts w:eastAsia="SimSun"/>
          <w:snapToGrid/>
          <w:szCs w:val="22"/>
          <w:lang w:eastAsia="zh-CN"/>
        </w:rPr>
      </w:pPr>
    </w:p>
    <w:p w14:paraId="7991CCB6" w14:textId="77777777" w:rsidR="00A27597" w:rsidRPr="00CE7679" w:rsidRDefault="00A27597" w:rsidP="00A27597">
      <w:pPr>
        <w:spacing w:line="240" w:lineRule="auto"/>
        <w:rPr>
          <w:rFonts w:eastAsia="SimSun"/>
          <w:snapToGrid/>
          <w:szCs w:val="22"/>
          <w:lang w:eastAsia="zh-CN"/>
        </w:rPr>
      </w:pPr>
    </w:p>
    <w:p w14:paraId="69675F3F" w14:textId="77777777" w:rsidR="00A27597" w:rsidRPr="00CE7679" w:rsidRDefault="00A27597" w:rsidP="00A27597">
      <w:pPr>
        <w:spacing w:line="240" w:lineRule="auto"/>
        <w:rPr>
          <w:rFonts w:eastAsia="SimSun"/>
          <w:snapToGrid/>
          <w:szCs w:val="22"/>
          <w:lang w:eastAsia="zh-CN"/>
        </w:rPr>
      </w:pPr>
    </w:p>
    <w:p w14:paraId="3DBDDAEA" w14:textId="77777777" w:rsidR="00A27597" w:rsidRPr="00CE7679" w:rsidRDefault="00A27597" w:rsidP="00A27597">
      <w:pPr>
        <w:spacing w:line="240" w:lineRule="auto"/>
        <w:rPr>
          <w:rFonts w:eastAsia="SimSun"/>
          <w:snapToGrid/>
          <w:szCs w:val="22"/>
          <w:lang w:eastAsia="zh-CN"/>
        </w:rPr>
      </w:pPr>
    </w:p>
    <w:p w14:paraId="3784137B" w14:textId="77777777" w:rsidR="00A27597" w:rsidRPr="00CE7679" w:rsidRDefault="00A27597" w:rsidP="00A27597">
      <w:pPr>
        <w:spacing w:line="240" w:lineRule="auto"/>
        <w:rPr>
          <w:rFonts w:eastAsia="SimSun"/>
          <w:snapToGrid/>
          <w:szCs w:val="22"/>
          <w:lang w:eastAsia="zh-CN"/>
        </w:rPr>
      </w:pPr>
    </w:p>
    <w:p w14:paraId="60EC32AB" w14:textId="77777777" w:rsidR="00A27597" w:rsidRPr="00CE7679" w:rsidRDefault="00A27597" w:rsidP="00A27597">
      <w:pPr>
        <w:spacing w:line="240" w:lineRule="auto"/>
        <w:rPr>
          <w:rFonts w:eastAsia="SimSun"/>
          <w:snapToGrid/>
          <w:szCs w:val="22"/>
          <w:lang w:eastAsia="zh-CN"/>
        </w:rPr>
      </w:pPr>
    </w:p>
    <w:p w14:paraId="6060B3EB" w14:textId="77777777" w:rsidR="00A27597" w:rsidRPr="00CE7679" w:rsidRDefault="00A27597" w:rsidP="00A27597">
      <w:pPr>
        <w:spacing w:line="240" w:lineRule="auto"/>
        <w:rPr>
          <w:rFonts w:eastAsia="SimSun"/>
          <w:snapToGrid/>
          <w:szCs w:val="22"/>
          <w:lang w:eastAsia="zh-CN"/>
        </w:rPr>
      </w:pPr>
    </w:p>
    <w:p w14:paraId="78E32A7D" w14:textId="77777777" w:rsidR="00A27597" w:rsidRPr="00CE7679" w:rsidRDefault="00A27597" w:rsidP="00A27597">
      <w:pPr>
        <w:spacing w:line="240" w:lineRule="auto"/>
        <w:rPr>
          <w:rFonts w:eastAsia="SimSun"/>
          <w:snapToGrid/>
          <w:szCs w:val="22"/>
          <w:lang w:eastAsia="zh-CN"/>
        </w:rPr>
      </w:pPr>
    </w:p>
    <w:p w14:paraId="3DE201BC" w14:textId="77777777" w:rsidR="00A27597" w:rsidRPr="00CE7679" w:rsidRDefault="00A27597" w:rsidP="00A27597">
      <w:pPr>
        <w:spacing w:line="240" w:lineRule="auto"/>
        <w:rPr>
          <w:rFonts w:eastAsia="SimSun"/>
          <w:snapToGrid/>
          <w:szCs w:val="22"/>
          <w:lang w:eastAsia="zh-CN"/>
        </w:rPr>
      </w:pPr>
    </w:p>
    <w:p w14:paraId="22695ABF" w14:textId="77777777" w:rsidR="00A27597" w:rsidRPr="00CE7679" w:rsidRDefault="00A27597" w:rsidP="00A27597">
      <w:pPr>
        <w:spacing w:line="240" w:lineRule="auto"/>
        <w:rPr>
          <w:rFonts w:eastAsia="SimSun"/>
          <w:snapToGrid/>
          <w:szCs w:val="22"/>
          <w:lang w:eastAsia="zh-CN"/>
        </w:rPr>
      </w:pPr>
    </w:p>
    <w:p w14:paraId="3ECB15DF" w14:textId="77777777" w:rsidR="00A27597" w:rsidRPr="00CE7679" w:rsidRDefault="00A27597" w:rsidP="00A27597">
      <w:pPr>
        <w:spacing w:line="240" w:lineRule="auto"/>
        <w:rPr>
          <w:rFonts w:eastAsia="SimSun"/>
          <w:snapToGrid/>
          <w:szCs w:val="22"/>
          <w:lang w:eastAsia="zh-CN"/>
        </w:rPr>
      </w:pPr>
    </w:p>
    <w:p w14:paraId="1012E69A" w14:textId="77777777" w:rsidR="00A27597" w:rsidRPr="00CE7679" w:rsidRDefault="00A27597" w:rsidP="00A27597">
      <w:pPr>
        <w:spacing w:line="240" w:lineRule="auto"/>
        <w:rPr>
          <w:rFonts w:eastAsia="SimSun"/>
          <w:snapToGrid/>
          <w:szCs w:val="22"/>
          <w:lang w:eastAsia="zh-CN"/>
        </w:rPr>
      </w:pPr>
    </w:p>
    <w:p w14:paraId="40256C93" w14:textId="77777777" w:rsidR="00A27597" w:rsidRPr="00CE7679" w:rsidRDefault="00A27597" w:rsidP="00A27597">
      <w:pPr>
        <w:keepNext/>
        <w:spacing w:line="240" w:lineRule="auto"/>
        <w:jc w:val="center"/>
        <w:outlineLvl w:val="1"/>
        <w:rPr>
          <w:rFonts w:eastAsia="SimSun"/>
          <w:b/>
          <w:iCs/>
          <w:snapToGrid/>
          <w:szCs w:val="22"/>
        </w:rPr>
      </w:pPr>
    </w:p>
    <w:p w14:paraId="76C319F1" w14:textId="77777777" w:rsidR="00A27597" w:rsidRPr="00CE7679" w:rsidRDefault="00A27597" w:rsidP="00A27597">
      <w:pPr>
        <w:keepNext/>
        <w:spacing w:line="240" w:lineRule="auto"/>
        <w:jc w:val="center"/>
        <w:outlineLvl w:val="1"/>
        <w:rPr>
          <w:rFonts w:eastAsia="SimSun"/>
          <w:b/>
          <w:iCs/>
          <w:snapToGrid/>
          <w:szCs w:val="22"/>
        </w:rPr>
      </w:pPr>
    </w:p>
    <w:p w14:paraId="35C72AE3" w14:textId="77777777" w:rsidR="00A27597" w:rsidRPr="00CE7679" w:rsidRDefault="00A27597" w:rsidP="00A27597">
      <w:pPr>
        <w:keepNext/>
        <w:spacing w:line="240" w:lineRule="auto"/>
        <w:jc w:val="center"/>
        <w:outlineLvl w:val="1"/>
        <w:rPr>
          <w:rFonts w:eastAsia="SimSun"/>
          <w:b/>
          <w:iCs/>
          <w:snapToGrid/>
          <w:szCs w:val="22"/>
        </w:rPr>
      </w:pPr>
      <w:r w:rsidRPr="00CE7679">
        <w:rPr>
          <w:rFonts w:eastAsia="SimSun"/>
          <w:b/>
          <w:iCs/>
          <w:snapToGrid/>
          <w:szCs w:val="22"/>
        </w:rPr>
        <w:t>III PRIEDAS</w:t>
      </w:r>
    </w:p>
    <w:p w14:paraId="34C51584" w14:textId="77777777" w:rsidR="00A27597" w:rsidRPr="00CE7679" w:rsidRDefault="00A27597" w:rsidP="00A27597">
      <w:pPr>
        <w:spacing w:line="240" w:lineRule="auto"/>
        <w:rPr>
          <w:rFonts w:eastAsia="SimSun"/>
          <w:snapToGrid/>
          <w:szCs w:val="22"/>
          <w:lang w:eastAsia="zh-CN"/>
        </w:rPr>
      </w:pPr>
    </w:p>
    <w:p w14:paraId="07D734A2" w14:textId="77777777" w:rsidR="00A27597" w:rsidRPr="00CE7679" w:rsidRDefault="00A27597" w:rsidP="00A27597">
      <w:pPr>
        <w:keepNext/>
        <w:spacing w:line="240" w:lineRule="auto"/>
        <w:jc w:val="center"/>
        <w:outlineLvl w:val="1"/>
        <w:rPr>
          <w:rFonts w:eastAsia="SimSun"/>
          <w:b/>
          <w:iCs/>
          <w:snapToGrid/>
          <w:szCs w:val="22"/>
        </w:rPr>
      </w:pPr>
      <w:r w:rsidRPr="00CE7679">
        <w:rPr>
          <w:rFonts w:eastAsia="SimSun"/>
          <w:b/>
          <w:iCs/>
          <w:snapToGrid/>
          <w:szCs w:val="22"/>
        </w:rPr>
        <w:t>ŽENKLINIMAS IR PAKUOTĖS LAPELIS</w:t>
      </w:r>
    </w:p>
    <w:p w14:paraId="660AEFDC" w14:textId="77777777" w:rsidR="00A27597" w:rsidRPr="00CE7679" w:rsidRDefault="00A27597" w:rsidP="00A27597">
      <w:pPr>
        <w:spacing w:line="240" w:lineRule="auto"/>
        <w:rPr>
          <w:rFonts w:eastAsia="SimSun"/>
          <w:snapToGrid/>
          <w:szCs w:val="22"/>
          <w:lang w:eastAsia="zh-CN"/>
        </w:rPr>
      </w:pPr>
      <w:r w:rsidRPr="00CE7679">
        <w:rPr>
          <w:rFonts w:eastAsia="SimSun"/>
          <w:snapToGrid/>
          <w:szCs w:val="22"/>
          <w:lang w:eastAsia="zh-CN"/>
        </w:rPr>
        <w:br w:type="page"/>
      </w:r>
    </w:p>
    <w:p w14:paraId="4CA0AFED" w14:textId="77777777" w:rsidR="00A27597" w:rsidRPr="00CE7679" w:rsidRDefault="00A27597" w:rsidP="00A27597">
      <w:pPr>
        <w:spacing w:line="240" w:lineRule="auto"/>
        <w:rPr>
          <w:rFonts w:eastAsia="SimSun"/>
          <w:snapToGrid/>
          <w:szCs w:val="22"/>
          <w:lang w:eastAsia="zh-CN"/>
        </w:rPr>
      </w:pPr>
    </w:p>
    <w:p w14:paraId="4B89EB3E" w14:textId="77777777" w:rsidR="00A27597" w:rsidRPr="00CE7679" w:rsidRDefault="00A27597" w:rsidP="00A27597">
      <w:pPr>
        <w:spacing w:line="240" w:lineRule="auto"/>
        <w:rPr>
          <w:rFonts w:eastAsia="SimSun"/>
          <w:snapToGrid/>
          <w:szCs w:val="22"/>
          <w:lang w:eastAsia="zh-CN"/>
        </w:rPr>
      </w:pPr>
    </w:p>
    <w:p w14:paraId="051282B1" w14:textId="77777777" w:rsidR="00A27597" w:rsidRPr="00CE7679" w:rsidRDefault="00A27597" w:rsidP="00A27597">
      <w:pPr>
        <w:spacing w:line="240" w:lineRule="auto"/>
        <w:rPr>
          <w:rFonts w:eastAsia="SimSun"/>
          <w:snapToGrid/>
          <w:szCs w:val="22"/>
          <w:lang w:eastAsia="zh-CN"/>
        </w:rPr>
      </w:pPr>
    </w:p>
    <w:p w14:paraId="322C799F" w14:textId="77777777" w:rsidR="00A27597" w:rsidRPr="00CE7679" w:rsidRDefault="00A27597" w:rsidP="00A27597">
      <w:pPr>
        <w:spacing w:line="240" w:lineRule="auto"/>
        <w:rPr>
          <w:rFonts w:eastAsia="SimSun"/>
          <w:snapToGrid/>
          <w:szCs w:val="22"/>
          <w:lang w:eastAsia="zh-CN"/>
        </w:rPr>
      </w:pPr>
    </w:p>
    <w:p w14:paraId="6F42A0E0" w14:textId="77777777" w:rsidR="00A27597" w:rsidRPr="00CE7679" w:rsidRDefault="00A27597" w:rsidP="00A27597">
      <w:pPr>
        <w:spacing w:line="240" w:lineRule="auto"/>
        <w:rPr>
          <w:rFonts w:eastAsia="SimSun"/>
          <w:snapToGrid/>
          <w:szCs w:val="22"/>
          <w:lang w:eastAsia="zh-CN"/>
        </w:rPr>
      </w:pPr>
    </w:p>
    <w:p w14:paraId="6A22A297" w14:textId="77777777" w:rsidR="00A27597" w:rsidRPr="00CE7679" w:rsidRDefault="00A27597" w:rsidP="00A27597">
      <w:pPr>
        <w:spacing w:line="240" w:lineRule="auto"/>
        <w:rPr>
          <w:rFonts w:eastAsia="SimSun"/>
          <w:snapToGrid/>
          <w:szCs w:val="22"/>
          <w:lang w:eastAsia="zh-CN"/>
        </w:rPr>
      </w:pPr>
    </w:p>
    <w:p w14:paraId="4DC46661" w14:textId="77777777" w:rsidR="00A27597" w:rsidRPr="00CE7679" w:rsidRDefault="00A27597" w:rsidP="00A27597">
      <w:pPr>
        <w:spacing w:line="240" w:lineRule="auto"/>
        <w:rPr>
          <w:rFonts w:eastAsia="SimSun"/>
          <w:snapToGrid/>
          <w:szCs w:val="22"/>
          <w:lang w:eastAsia="zh-CN"/>
        </w:rPr>
      </w:pPr>
    </w:p>
    <w:p w14:paraId="029863D2" w14:textId="77777777" w:rsidR="00A27597" w:rsidRPr="00CE7679" w:rsidRDefault="00A27597" w:rsidP="00A27597">
      <w:pPr>
        <w:spacing w:line="240" w:lineRule="auto"/>
        <w:rPr>
          <w:rFonts w:eastAsia="SimSun"/>
          <w:snapToGrid/>
          <w:szCs w:val="22"/>
          <w:lang w:eastAsia="zh-CN"/>
        </w:rPr>
      </w:pPr>
    </w:p>
    <w:p w14:paraId="2B3A14D4" w14:textId="77777777" w:rsidR="00A27597" w:rsidRPr="00CE7679" w:rsidRDefault="00A27597" w:rsidP="00A27597">
      <w:pPr>
        <w:spacing w:line="240" w:lineRule="auto"/>
        <w:rPr>
          <w:rFonts w:eastAsia="SimSun"/>
          <w:snapToGrid/>
          <w:szCs w:val="22"/>
          <w:lang w:eastAsia="zh-CN"/>
        </w:rPr>
      </w:pPr>
    </w:p>
    <w:p w14:paraId="6E3DE2EE" w14:textId="77777777" w:rsidR="00A27597" w:rsidRPr="00CE7679" w:rsidRDefault="00A27597" w:rsidP="00A27597">
      <w:pPr>
        <w:spacing w:line="240" w:lineRule="auto"/>
        <w:rPr>
          <w:rFonts w:eastAsia="SimSun"/>
          <w:snapToGrid/>
          <w:szCs w:val="22"/>
          <w:lang w:eastAsia="zh-CN"/>
        </w:rPr>
      </w:pPr>
    </w:p>
    <w:p w14:paraId="5737B41A" w14:textId="77777777" w:rsidR="00A27597" w:rsidRPr="00CE7679" w:rsidRDefault="00A27597" w:rsidP="00A27597">
      <w:pPr>
        <w:spacing w:line="240" w:lineRule="auto"/>
        <w:rPr>
          <w:rFonts w:eastAsia="SimSun"/>
          <w:snapToGrid/>
          <w:szCs w:val="22"/>
          <w:lang w:eastAsia="zh-CN"/>
        </w:rPr>
      </w:pPr>
    </w:p>
    <w:p w14:paraId="0F053C2A" w14:textId="77777777" w:rsidR="00A27597" w:rsidRPr="00CE7679" w:rsidRDefault="00A27597" w:rsidP="00A27597">
      <w:pPr>
        <w:spacing w:line="240" w:lineRule="auto"/>
        <w:rPr>
          <w:rFonts w:eastAsia="SimSun"/>
          <w:snapToGrid/>
          <w:szCs w:val="22"/>
          <w:lang w:eastAsia="zh-CN"/>
        </w:rPr>
      </w:pPr>
    </w:p>
    <w:p w14:paraId="56E1CE41" w14:textId="77777777" w:rsidR="00A27597" w:rsidRPr="00CE7679" w:rsidRDefault="00A27597" w:rsidP="00A27597">
      <w:pPr>
        <w:spacing w:line="240" w:lineRule="auto"/>
        <w:rPr>
          <w:rFonts w:eastAsia="SimSun"/>
          <w:snapToGrid/>
          <w:szCs w:val="22"/>
          <w:lang w:eastAsia="zh-CN"/>
        </w:rPr>
      </w:pPr>
    </w:p>
    <w:p w14:paraId="2FB279E4" w14:textId="77777777" w:rsidR="00A27597" w:rsidRPr="00CE7679" w:rsidRDefault="00A27597" w:rsidP="00A27597">
      <w:pPr>
        <w:spacing w:line="240" w:lineRule="auto"/>
        <w:rPr>
          <w:rFonts w:eastAsia="SimSun"/>
          <w:snapToGrid/>
          <w:szCs w:val="22"/>
          <w:lang w:eastAsia="zh-CN"/>
        </w:rPr>
      </w:pPr>
    </w:p>
    <w:p w14:paraId="6CFAF758" w14:textId="77777777" w:rsidR="00A27597" w:rsidRPr="00CE7679" w:rsidRDefault="00A27597" w:rsidP="00A27597">
      <w:pPr>
        <w:spacing w:line="240" w:lineRule="auto"/>
        <w:rPr>
          <w:rFonts w:eastAsia="SimSun"/>
          <w:snapToGrid/>
          <w:szCs w:val="22"/>
          <w:lang w:eastAsia="zh-CN"/>
        </w:rPr>
      </w:pPr>
    </w:p>
    <w:p w14:paraId="72EFCACD" w14:textId="77777777" w:rsidR="00A27597" w:rsidRPr="00CE7679" w:rsidRDefault="00A27597" w:rsidP="00A27597">
      <w:pPr>
        <w:spacing w:line="240" w:lineRule="auto"/>
        <w:rPr>
          <w:rFonts w:eastAsia="SimSun"/>
          <w:snapToGrid/>
          <w:szCs w:val="22"/>
          <w:lang w:eastAsia="zh-CN"/>
        </w:rPr>
      </w:pPr>
    </w:p>
    <w:p w14:paraId="74440099" w14:textId="77777777" w:rsidR="00A27597" w:rsidRPr="00CE7679" w:rsidRDefault="00A27597" w:rsidP="00A27597">
      <w:pPr>
        <w:spacing w:line="240" w:lineRule="auto"/>
        <w:rPr>
          <w:rFonts w:eastAsia="SimSun"/>
          <w:snapToGrid/>
          <w:szCs w:val="22"/>
          <w:lang w:eastAsia="zh-CN"/>
        </w:rPr>
      </w:pPr>
    </w:p>
    <w:p w14:paraId="6FD7DD99" w14:textId="77777777" w:rsidR="00A27597" w:rsidRPr="00CE7679" w:rsidRDefault="00A27597" w:rsidP="00A27597">
      <w:pPr>
        <w:spacing w:line="240" w:lineRule="auto"/>
        <w:rPr>
          <w:rFonts w:eastAsia="SimSun"/>
          <w:snapToGrid/>
          <w:szCs w:val="22"/>
          <w:lang w:eastAsia="zh-CN"/>
        </w:rPr>
      </w:pPr>
    </w:p>
    <w:p w14:paraId="475D25B3" w14:textId="77777777" w:rsidR="00A27597" w:rsidRPr="00CE7679" w:rsidRDefault="00A27597" w:rsidP="00A27597">
      <w:pPr>
        <w:spacing w:line="240" w:lineRule="auto"/>
        <w:rPr>
          <w:rFonts w:eastAsia="SimSun"/>
          <w:snapToGrid/>
          <w:szCs w:val="22"/>
          <w:lang w:eastAsia="zh-CN"/>
        </w:rPr>
      </w:pPr>
    </w:p>
    <w:p w14:paraId="5B7C2C40" w14:textId="77777777" w:rsidR="00A27597" w:rsidRPr="00CE7679" w:rsidRDefault="00A27597" w:rsidP="00A27597">
      <w:pPr>
        <w:spacing w:line="240" w:lineRule="auto"/>
        <w:rPr>
          <w:rFonts w:eastAsia="SimSun"/>
          <w:snapToGrid/>
          <w:szCs w:val="22"/>
          <w:lang w:eastAsia="zh-CN"/>
        </w:rPr>
      </w:pPr>
    </w:p>
    <w:p w14:paraId="45BA867D" w14:textId="77777777" w:rsidR="00A27597" w:rsidRPr="00CE7679" w:rsidRDefault="00A27597" w:rsidP="00A27597">
      <w:pPr>
        <w:spacing w:line="240" w:lineRule="auto"/>
        <w:rPr>
          <w:rFonts w:eastAsia="SimSun"/>
          <w:snapToGrid/>
          <w:szCs w:val="22"/>
          <w:lang w:eastAsia="zh-CN"/>
        </w:rPr>
      </w:pPr>
    </w:p>
    <w:p w14:paraId="1FC65130" w14:textId="77777777" w:rsidR="00A27597" w:rsidRPr="00CE7679" w:rsidRDefault="00A27597" w:rsidP="00A27597">
      <w:pPr>
        <w:spacing w:line="240" w:lineRule="auto"/>
        <w:rPr>
          <w:rFonts w:eastAsia="SimSun"/>
          <w:snapToGrid/>
          <w:szCs w:val="22"/>
          <w:lang w:eastAsia="zh-CN"/>
        </w:rPr>
      </w:pPr>
    </w:p>
    <w:p w14:paraId="162567DF" w14:textId="77777777" w:rsidR="00A27597" w:rsidRPr="00CE7679" w:rsidRDefault="00A27597" w:rsidP="00A27597">
      <w:pPr>
        <w:spacing w:line="240" w:lineRule="auto"/>
        <w:rPr>
          <w:rFonts w:eastAsia="SimSun"/>
          <w:snapToGrid/>
          <w:szCs w:val="22"/>
          <w:lang w:eastAsia="zh-CN"/>
        </w:rPr>
      </w:pPr>
    </w:p>
    <w:p w14:paraId="340E89CA" w14:textId="77777777" w:rsidR="00A27597" w:rsidRPr="00CE7679" w:rsidRDefault="00A27597" w:rsidP="00A27597">
      <w:pPr>
        <w:keepNext/>
        <w:spacing w:line="240" w:lineRule="auto"/>
        <w:jc w:val="center"/>
        <w:outlineLvl w:val="1"/>
        <w:rPr>
          <w:rFonts w:eastAsia="SimSun"/>
          <w:b/>
          <w:iCs/>
          <w:snapToGrid/>
          <w:szCs w:val="22"/>
        </w:rPr>
      </w:pPr>
      <w:r w:rsidRPr="00CE7679">
        <w:rPr>
          <w:rFonts w:eastAsia="SimSun"/>
          <w:b/>
          <w:iCs/>
          <w:snapToGrid/>
          <w:szCs w:val="22"/>
        </w:rPr>
        <w:t>A. ŽENKLINIMAS</w:t>
      </w:r>
    </w:p>
    <w:p w14:paraId="2CC8D191" w14:textId="77777777" w:rsidR="00A27597" w:rsidRPr="00CE7679" w:rsidRDefault="00A27597" w:rsidP="00A27597">
      <w:pPr>
        <w:spacing w:line="240" w:lineRule="auto"/>
        <w:rPr>
          <w:rFonts w:eastAsia="SimSun"/>
          <w:snapToGrid/>
          <w:szCs w:val="22"/>
          <w:lang w:eastAsia="zh-CN"/>
        </w:rPr>
      </w:pPr>
      <w:r w:rsidRPr="00CE7679">
        <w:rPr>
          <w:rFonts w:eastAsia="SimSun"/>
          <w:snapToGrid/>
          <w:szCs w:val="22"/>
          <w:lang w:eastAsia="zh-CN"/>
        </w:rPr>
        <w:br w:type="page"/>
      </w:r>
    </w:p>
    <w:p w14:paraId="2F1C7095" w14:textId="77777777" w:rsidR="00A27597" w:rsidRPr="00CE7679" w:rsidRDefault="00A27597" w:rsidP="00374162">
      <w:pPr>
        <w:suppressLineNumbers/>
        <w:pBdr>
          <w:top w:val="single" w:sz="4" w:space="1" w:color="auto"/>
          <w:left w:val="single" w:sz="4" w:space="4" w:color="auto"/>
          <w:bottom w:val="single" w:sz="4" w:space="1" w:color="auto"/>
          <w:right w:val="single" w:sz="4" w:space="4" w:color="auto"/>
        </w:pBdr>
        <w:spacing w:line="240" w:lineRule="auto"/>
        <w:rPr>
          <w:rFonts w:eastAsia="SimSun"/>
          <w:b/>
          <w:snapToGrid/>
          <w:szCs w:val="22"/>
          <w:lang w:eastAsia="zh-CN"/>
        </w:rPr>
      </w:pPr>
      <w:r w:rsidRPr="00CE7679">
        <w:rPr>
          <w:rFonts w:eastAsia="SimSun"/>
          <w:b/>
          <w:snapToGrid/>
          <w:szCs w:val="22"/>
          <w:lang w:eastAsia="zh-CN"/>
        </w:rPr>
        <w:lastRenderedPageBreak/>
        <w:t>INFORMACIJA ANT IŠORINĖS PAKUOTĖS</w:t>
      </w:r>
    </w:p>
    <w:p w14:paraId="7117D3DA" w14:textId="77777777" w:rsidR="00A27597" w:rsidRPr="00CE7679" w:rsidRDefault="00A27597" w:rsidP="00374162">
      <w:pPr>
        <w:suppressLineNumbers/>
        <w:pBdr>
          <w:top w:val="single" w:sz="4" w:space="1" w:color="auto"/>
          <w:left w:val="single" w:sz="4" w:space="4" w:color="auto"/>
          <w:bottom w:val="single" w:sz="4" w:space="1" w:color="auto"/>
          <w:right w:val="single" w:sz="4" w:space="4" w:color="auto"/>
        </w:pBdr>
        <w:spacing w:line="240" w:lineRule="auto"/>
        <w:rPr>
          <w:rFonts w:eastAsia="SimSun"/>
          <w:b/>
          <w:snapToGrid/>
          <w:szCs w:val="22"/>
          <w:lang w:eastAsia="zh-CN"/>
        </w:rPr>
      </w:pPr>
    </w:p>
    <w:p w14:paraId="0D58156E" w14:textId="7E1345BA" w:rsidR="00A27597" w:rsidRPr="00F30108" w:rsidRDefault="00A27597" w:rsidP="00F30108">
      <w:pPr>
        <w:pBdr>
          <w:top w:val="single" w:sz="4" w:space="1" w:color="auto"/>
          <w:left w:val="single" w:sz="4" w:space="4" w:color="auto"/>
          <w:bottom w:val="single" w:sz="4" w:space="1" w:color="auto"/>
          <w:right w:val="single" w:sz="4" w:space="4" w:color="auto"/>
        </w:pBdr>
        <w:tabs>
          <w:tab w:val="clear" w:pos="567"/>
        </w:tabs>
        <w:spacing w:line="240" w:lineRule="auto"/>
        <w:jc w:val="both"/>
        <w:rPr>
          <w:rFonts w:eastAsia="SimSun"/>
          <w:b/>
        </w:rPr>
      </w:pPr>
      <w:r w:rsidRPr="00CE7679">
        <w:rPr>
          <w:rFonts w:eastAsia="SimSun"/>
          <w:b/>
          <w:snapToGrid/>
          <w:szCs w:val="22"/>
          <w:lang w:eastAsia="zh-CN"/>
        </w:rPr>
        <w:t>KARTONO DĖŽUTĖ</w:t>
      </w:r>
      <w:r w:rsidR="00E71239">
        <w:rPr>
          <w:rFonts w:eastAsia="SimSun"/>
          <w:b/>
          <w:snapToGrid/>
          <w:szCs w:val="22"/>
          <w:lang w:eastAsia="zh-CN"/>
        </w:rPr>
        <w:t xml:space="preserve"> </w:t>
      </w:r>
      <w:r w:rsidR="00E71239" w:rsidRPr="00F30108">
        <w:rPr>
          <w:rFonts w:eastAsia="Calibri"/>
          <w:b/>
        </w:rPr>
        <w:t>PVC/Al lizdinėms plokštelėms ar PVC/PE/PVDC/Al lizdinėms plokštelėms</w:t>
      </w:r>
    </w:p>
    <w:p w14:paraId="073AE5F2" w14:textId="77777777" w:rsidR="00A27597" w:rsidRPr="00F30108" w:rsidRDefault="00A27597" w:rsidP="00F30108">
      <w:pPr>
        <w:spacing w:line="240" w:lineRule="auto"/>
        <w:rPr>
          <w:rFonts w:eastAsia="SimSun"/>
        </w:rPr>
      </w:pPr>
    </w:p>
    <w:p w14:paraId="7994253D" w14:textId="77777777" w:rsidR="00A27597" w:rsidRPr="00CE7679" w:rsidRDefault="00A27597" w:rsidP="00A27597">
      <w:pPr>
        <w:spacing w:line="240" w:lineRule="auto"/>
        <w:rPr>
          <w:rFonts w:eastAsia="SimSun"/>
          <w:snapToGrid/>
          <w:szCs w:val="22"/>
          <w:lang w:eastAsia="zh-CN"/>
        </w:rPr>
      </w:pPr>
    </w:p>
    <w:p w14:paraId="43659B6F" w14:textId="77777777" w:rsidR="00A27597" w:rsidRPr="00CE7679" w:rsidRDefault="00A27597" w:rsidP="00A27597">
      <w:pPr>
        <w:suppressLineNumbers/>
        <w:pBdr>
          <w:top w:val="single" w:sz="4" w:space="1" w:color="auto"/>
          <w:left w:val="single" w:sz="4" w:space="4" w:color="auto"/>
          <w:bottom w:val="single" w:sz="4" w:space="1" w:color="auto"/>
          <w:right w:val="single" w:sz="4" w:space="4" w:color="auto"/>
        </w:pBdr>
        <w:spacing w:line="240" w:lineRule="auto"/>
        <w:outlineLvl w:val="0"/>
        <w:rPr>
          <w:rFonts w:eastAsia="SimSun"/>
          <w:snapToGrid/>
          <w:szCs w:val="22"/>
          <w:lang w:eastAsia="zh-CN"/>
        </w:rPr>
      </w:pPr>
      <w:r w:rsidRPr="00CE7679">
        <w:rPr>
          <w:rFonts w:eastAsia="SimSun"/>
          <w:b/>
          <w:snapToGrid/>
          <w:szCs w:val="22"/>
          <w:lang w:eastAsia="zh-CN"/>
        </w:rPr>
        <w:t>1.</w:t>
      </w:r>
      <w:r w:rsidRPr="00CE7679">
        <w:rPr>
          <w:rFonts w:eastAsia="SimSun"/>
          <w:b/>
          <w:snapToGrid/>
          <w:szCs w:val="22"/>
          <w:lang w:eastAsia="zh-CN"/>
        </w:rPr>
        <w:tab/>
      </w:r>
      <w:r w:rsidRPr="00CE7679">
        <w:rPr>
          <w:rFonts w:eastAsia="SimSun"/>
          <w:b/>
          <w:caps/>
          <w:snapToGrid/>
          <w:szCs w:val="22"/>
          <w:lang w:eastAsia="zh-CN"/>
        </w:rPr>
        <w:t>VAISTINIO</w:t>
      </w:r>
      <w:r w:rsidRPr="00CE7679">
        <w:rPr>
          <w:rFonts w:eastAsia="SimSun"/>
          <w:b/>
          <w:snapToGrid/>
          <w:szCs w:val="22"/>
          <w:lang w:eastAsia="zh-CN"/>
        </w:rPr>
        <w:t xml:space="preserve"> PREPARATO PAVADINIMAS</w:t>
      </w:r>
    </w:p>
    <w:p w14:paraId="2C08B7FC" w14:textId="77777777" w:rsidR="00A27597" w:rsidRPr="00CE7679" w:rsidRDefault="00A27597" w:rsidP="00A27597">
      <w:pPr>
        <w:spacing w:line="240" w:lineRule="auto"/>
        <w:rPr>
          <w:rFonts w:eastAsia="SimSun"/>
          <w:snapToGrid/>
          <w:szCs w:val="22"/>
          <w:lang w:eastAsia="zh-CN"/>
        </w:rPr>
      </w:pPr>
    </w:p>
    <w:p w14:paraId="6586FD09" w14:textId="77777777" w:rsidR="00A27597" w:rsidRPr="00CE7679" w:rsidRDefault="00A27597" w:rsidP="00A27597">
      <w:pPr>
        <w:spacing w:line="240" w:lineRule="auto"/>
        <w:rPr>
          <w:rFonts w:eastAsia="SimSun"/>
          <w:snapToGrid/>
          <w:szCs w:val="22"/>
          <w:lang w:eastAsia="zh-CN"/>
        </w:rPr>
      </w:pP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 xml:space="preserve"> 100 mg plėvele dengtos tabletės</w:t>
      </w:r>
    </w:p>
    <w:p w14:paraId="06A62ED8" w14:textId="77777777" w:rsidR="00A27597" w:rsidRPr="00CE7679" w:rsidRDefault="00A27597" w:rsidP="00A27597">
      <w:pPr>
        <w:spacing w:line="240" w:lineRule="auto"/>
        <w:rPr>
          <w:rFonts w:eastAsia="SimSun"/>
          <w:snapToGrid/>
          <w:szCs w:val="22"/>
          <w:highlight w:val="lightGray"/>
          <w:lang w:eastAsia="zh-CN"/>
        </w:rPr>
      </w:pPr>
      <w:proofErr w:type="spellStart"/>
      <w:r w:rsidRPr="00CE7679">
        <w:rPr>
          <w:rFonts w:eastAsia="SimSun"/>
          <w:snapToGrid/>
          <w:szCs w:val="22"/>
          <w:highlight w:val="lightGray"/>
          <w:lang w:eastAsia="zh-CN"/>
        </w:rPr>
        <w:t>Imatinib</w:t>
      </w:r>
      <w:proofErr w:type="spellEnd"/>
      <w:r w:rsidRPr="00CE7679">
        <w:rPr>
          <w:rFonts w:eastAsia="SimSun"/>
          <w:snapToGrid/>
          <w:szCs w:val="22"/>
          <w:highlight w:val="lightGray"/>
          <w:lang w:eastAsia="zh-CN"/>
        </w:rPr>
        <w:t xml:space="preserve"> </w:t>
      </w:r>
      <w:proofErr w:type="spellStart"/>
      <w:r w:rsidRPr="00CE7679">
        <w:rPr>
          <w:rFonts w:eastAsia="SimSun"/>
          <w:snapToGrid/>
          <w:szCs w:val="22"/>
          <w:highlight w:val="lightGray"/>
          <w:lang w:eastAsia="zh-CN"/>
        </w:rPr>
        <w:t>Sandoz</w:t>
      </w:r>
      <w:proofErr w:type="spellEnd"/>
      <w:r w:rsidRPr="00CE7679">
        <w:rPr>
          <w:rFonts w:eastAsia="SimSun"/>
          <w:snapToGrid/>
          <w:szCs w:val="22"/>
          <w:highlight w:val="lightGray"/>
          <w:lang w:eastAsia="zh-CN"/>
        </w:rPr>
        <w:t xml:space="preserve"> 400 mg plėvele dengtos tabletės</w:t>
      </w:r>
    </w:p>
    <w:p w14:paraId="305FCF83" w14:textId="77777777" w:rsidR="00A27597" w:rsidRPr="00CE7679" w:rsidRDefault="00A27597" w:rsidP="00A27597">
      <w:pPr>
        <w:spacing w:line="240" w:lineRule="auto"/>
        <w:rPr>
          <w:rFonts w:eastAsia="SimSun"/>
          <w:snapToGrid/>
          <w:szCs w:val="22"/>
          <w:lang w:eastAsia="zh-CN"/>
        </w:rPr>
      </w:pPr>
    </w:p>
    <w:p w14:paraId="66A8B386" w14:textId="77777777" w:rsidR="000B7648" w:rsidRPr="00701D61" w:rsidRDefault="00E71239" w:rsidP="000B7648">
      <w:pPr>
        <w:spacing w:line="240" w:lineRule="auto"/>
        <w:rPr>
          <w:rFonts w:eastAsia="SimSun"/>
          <w:snapToGrid/>
          <w:szCs w:val="22"/>
          <w:lang w:eastAsia="zh-CN"/>
        </w:rPr>
      </w:pPr>
      <w:proofErr w:type="spellStart"/>
      <w:r>
        <w:rPr>
          <w:rFonts w:eastAsia="SimSun"/>
          <w:snapToGrid/>
          <w:szCs w:val="22"/>
          <w:lang w:eastAsia="zh-CN"/>
        </w:rPr>
        <w:t>i</w:t>
      </w:r>
      <w:r w:rsidR="000B7648" w:rsidRPr="00701D61">
        <w:rPr>
          <w:rFonts w:eastAsia="SimSun"/>
          <w:snapToGrid/>
          <w:szCs w:val="22"/>
          <w:lang w:eastAsia="zh-CN"/>
        </w:rPr>
        <w:t>matinib</w:t>
      </w:r>
      <w:r w:rsidR="000B7648">
        <w:rPr>
          <w:rFonts w:eastAsia="SimSun"/>
          <w:snapToGrid/>
          <w:szCs w:val="22"/>
          <w:lang w:eastAsia="zh-CN"/>
        </w:rPr>
        <w:t>as</w:t>
      </w:r>
      <w:proofErr w:type="spellEnd"/>
    </w:p>
    <w:p w14:paraId="70FBFAD6" w14:textId="77777777" w:rsidR="00A27597" w:rsidRPr="00CE7679" w:rsidRDefault="00A27597" w:rsidP="00A27597">
      <w:pPr>
        <w:spacing w:line="240" w:lineRule="auto"/>
        <w:rPr>
          <w:rFonts w:eastAsia="SimSun"/>
          <w:snapToGrid/>
          <w:szCs w:val="22"/>
          <w:lang w:eastAsia="zh-CN"/>
        </w:rPr>
      </w:pPr>
    </w:p>
    <w:p w14:paraId="0DD2D7CF" w14:textId="77777777" w:rsidR="00A27597" w:rsidRPr="00CE7679" w:rsidRDefault="00A27597" w:rsidP="00A27597">
      <w:pPr>
        <w:spacing w:line="240" w:lineRule="auto"/>
        <w:rPr>
          <w:rFonts w:eastAsia="SimSun"/>
          <w:snapToGrid/>
          <w:szCs w:val="22"/>
          <w:lang w:eastAsia="zh-CN"/>
        </w:rPr>
      </w:pPr>
    </w:p>
    <w:p w14:paraId="6CADE19C" w14:textId="77777777" w:rsidR="00A27597" w:rsidRPr="00CE7679" w:rsidRDefault="00A27597" w:rsidP="00A27597">
      <w:pPr>
        <w:suppressLineNumbers/>
        <w:pBdr>
          <w:top w:val="single" w:sz="4" w:space="1" w:color="auto"/>
          <w:left w:val="single" w:sz="4" w:space="4" w:color="auto"/>
          <w:bottom w:val="single" w:sz="4" w:space="1" w:color="auto"/>
          <w:right w:val="single" w:sz="4" w:space="4" w:color="auto"/>
        </w:pBdr>
        <w:spacing w:line="240" w:lineRule="auto"/>
        <w:outlineLvl w:val="0"/>
        <w:rPr>
          <w:rFonts w:eastAsia="SimSun"/>
          <w:b/>
          <w:snapToGrid/>
          <w:szCs w:val="22"/>
          <w:lang w:eastAsia="zh-CN"/>
        </w:rPr>
      </w:pPr>
      <w:r w:rsidRPr="00CE7679">
        <w:rPr>
          <w:rFonts w:eastAsia="SimSun"/>
          <w:b/>
          <w:snapToGrid/>
          <w:szCs w:val="22"/>
          <w:lang w:eastAsia="zh-CN"/>
        </w:rPr>
        <w:t>2.</w:t>
      </w:r>
      <w:r w:rsidRPr="00CE7679">
        <w:rPr>
          <w:rFonts w:eastAsia="SimSun"/>
          <w:b/>
          <w:snapToGrid/>
          <w:szCs w:val="22"/>
          <w:lang w:eastAsia="zh-CN"/>
        </w:rPr>
        <w:tab/>
        <w:t>VEIKLIOJI (-IOS) MEDŽIAGA (-OS) IR JOS (-Ų) KIEKIS (-IAI)</w:t>
      </w:r>
    </w:p>
    <w:p w14:paraId="65B50D77" w14:textId="77777777" w:rsidR="00A27597" w:rsidRPr="00CE7679" w:rsidRDefault="00A27597" w:rsidP="00A27597">
      <w:pPr>
        <w:spacing w:line="240" w:lineRule="auto"/>
        <w:rPr>
          <w:rFonts w:eastAsia="SimSun"/>
          <w:snapToGrid/>
          <w:szCs w:val="22"/>
          <w:lang w:eastAsia="zh-CN"/>
        </w:rPr>
      </w:pPr>
    </w:p>
    <w:p w14:paraId="6DD2685E" w14:textId="77777777" w:rsidR="00A27597" w:rsidRPr="00CE7679" w:rsidRDefault="00A27597" w:rsidP="00A27597">
      <w:pPr>
        <w:spacing w:line="240" w:lineRule="auto"/>
        <w:rPr>
          <w:rFonts w:eastAsia="SimSun"/>
          <w:snapToGrid/>
          <w:szCs w:val="22"/>
          <w:lang w:eastAsia="zh-CN"/>
        </w:rPr>
      </w:pPr>
      <w:r w:rsidRPr="00CE7679">
        <w:rPr>
          <w:rFonts w:eastAsia="SimSun"/>
          <w:snapToGrid/>
          <w:szCs w:val="22"/>
          <w:lang w:eastAsia="zh-CN"/>
        </w:rPr>
        <w:t xml:space="preserve">Kiekvienoje plėvele dengtoje tabletėje yra 100 mg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mesilato</w:t>
      </w:r>
      <w:proofErr w:type="spellEnd"/>
      <w:r w:rsidRPr="00CE7679">
        <w:rPr>
          <w:rFonts w:eastAsia="SimSun"/>
          <w:snapToGrid/>
          <w:szCs w:val="22"/>
          <w:lang w:eastAsia="zh-CN"/>
        </w:rPr>
        <w:t xml:space="preserve"> pavidalu).</w:t>
      </w:r>
    </w:p>
    <w:p w14:paraId="3BFACBB2" w14:textId="77777777" w:rsidR="00A27597" w:rsidRPr="00CE7679" w:rsidRDefault="00A27597" w:rsidP="00A27597">
      <w:pPr>
        <w:spacing w:line="240" w:lineRule="auto"/>
        <w:rPr>
          <w:rFonts w:eastAsia="SimSun"/>
          <w:snapToGrid/>
          <w:szCs w:val="22"/>
          <w:highlight w:val="lightGray"/>
          <w:lang w:eastAsia="zh-CN"/>
        </w:rPr>
      </w:pPr>
      <w:r w:rsidRPr="00CE7679">
        <w:rPr>
          <w:rFonts w:eastAsia="SimSun"/>
          <w:snapToGrid/>
          <w:szCs w:val="22"/>
          <w:highlight w:val="lightGray"/>
          <w:lang w:eastAsia="zh-CN"/>
        </w:rPr>
        <w:t xml:space="preserve">Kiekvienoje plėvele dengtoje tabletėje yra 400 mg </w:t>
      </w:r>
      <w:proofErr w:type="spellStart"/>
      <w:r w:rsidRPr="00CE7679">
        <w:rPr>
          <w:rFonts w:eastAsia="SimSun"/>
          <w:snapToGrid/>
          <w:szCs w:val="22"/>
          <w:highlight w:val="lightGray"/>
          <w:lang w:eastAsia="zh-CN"/>
        </w:rPr>
        <w:t>imatinibo</w:t>
      </w:r>
      <w:proofErr w:type="spellEnd"/>
      <w:r w:rsidRPr="00CE7679">
        <w:rPr>
          <w:rFonts w:eastAsia="SimSun"/>
          <w:snapToGrid/>
          <w:szCs w:val="22"/>
          <w:highlight w:val="lightGray"/>
          <w:lang w:eastAsia="zh-CN"/>
        </w:rPr>
        <w:t xml:space="preserve"> (</w:t>
      </w:r>
      <w:proofErr w:type="spellStart"/>
      <w:r w:rsidRPr="00CE7679">
        <w:rPr>
          <w:rFonts w:eastAsia="SimSun"/>
          <w:snapToGrid/>
          <w:szCs w:val="22"/>
          <w:highlight w:val="lightGray"/>
          <w:lang w:eastAsia="zh-CN"/>
        </w:rPr>
        <w:t>mesilato</w:t>
      </w:r>
      <w:proofErr w:type="spellEnd"/>
      <w:r w:rsidRPr="00CE7679">
        <w:rPr>
          <w:rFonts w:eastAsia="SimSun"/>
          <w:snapToGrid/>
          <w:szCs w:val="22"/>
          <w:highlight w:val="lightGray"/>
          <w:lang w:eastAsia="zh-CN"/>
        </w:rPr>
        <w:t xml:space="preserve"> pavidalu).</w:t>
      </w:r>
    </w:p>
    <w:p w14:paraId="1F6534B9" w14:textId="77777777" w:rsidR="00A27597" w:rsidRPr="00CE7679" w:rsidRDefault="00A27597" w:rsidP="00A27597">
      <w:pPr>
        <w:spacing w:line="240" w:lineRule="auto"/>
        <w:rPr>
          <w:rFonts w:eastAsia="SimSun"/>
          <w:snapToGrid/>
          <w:szCs w:val="22"/>
          <w:lang w:eastAsia="zh-CN"/>
        </w:rPr>
      </w:pPr>
    </w:p>
    <w:p w14:paraId="08A45482" w14:textId="77777777" w:rsidR="00A27597" w:rsidRPr="00CE7679" w:rsidRDefault="00A27597" w:rsidP="00A27597">
      <w:pPr>
        <w:spacing w:line="240" w:lineRule="auto"/>
        <w:rPr>
          <w:rFonts w:eastAsia="SimSun"/>
          <w:snapToGrid/>
          <w:szCs w:val="22"/>
          <w:lang w:eastAsia="zh-CN"/>
        </w:rPr>
      </w:pPr>
    </w:p>
    <w:p w14:paraId="234AB4A7" w14:textId="77777777" w:rsidR="00A27597" w:rsidRPr="00CE7679" w:rsidRDefault="00A27597" w:rsidP="00A27597">
      <w:pPr>
        <w:suppressLineNumbers/>
        <w:pBdr>
          <w:top w:val="single" w:sz="4" w:space="1" w:color="auto"/>
          <w:left w:val="single" w:sz="4" w:space="4" w:color="auto"/>
          <w:bottom w:val="single" w:sz="4" w:space="1" w:color="auto"/>
          <w:right w:val="single" w:sz="4" w:space="4" w:color="auto"/>
        </w:pBdr>
        <w:spacing w:line="240" w:lineRule="auto"/>
        <w:outlineLvl w:val="0"/>
        <w:rPr>
          <w:rFonts w:eastAsia="SimSun"/>
          <w:snapToGrid/>
          <w:szCs w:val="22"/>
          <w:lang w:eastAsia="zh-CN"/>
        </w:rPr>
      </w:pPr>
      <w:r w:rsidRPr="00CE7679">
        <w:rPr>
          <w:rFonts w:eastAsia="SimSun"/>
          <w:b/>
          <w:snapToGrid/>
          <w:szCs w:val="22"/>
          <w:lang w:eastAsia="zh-CN"/>
        </w:rPr>
        <w:t>3.</w:t>
      </w:r>
      <w:r w:rsidRPr="00CE7679">
        <w:rPr>
          <w:rFonts w:eastAsia="SimSun"/>
          <w:b/>
          <w:snapToGrid/>
          <w:szCs w:val="22"/>
          <w:lang w:eastAsia="zh-CN"/>
        </w:rPr>
        <w:tab/>
        <w:t>PAGALBINIŲ MEDŽIAGŲ SĄRAŠAS</w:t>
      </w:r>
    </w:p>
    <w:p w14:paraId="040131B4" w14:textId="77777777" w:rsidR="00A27597" w:rsidRPr="00CE7679" w:rsidRDefault="00A27597" w:rsidP="00A27597">
      <w:pPr>
        <w:spacing w:line="240" w:lineRule="auto"/>
        <w:rPr>
          <w:rFonts w:eastAsia="SimSun"/>
          <w:snapToGrid/>
          <w:szCs w:val="22"/>
          <w:lang w:eastAsia="zh-CN"/>
        </w:rPr>
      </w:pPr>
    </w:p>
    <w:p w14:paraId="3CDC815C" w14:textId="77777777" w:rsidR="00A27597" w:rsidRPr="00CE7679" w:rsidRDefault="00A27597" w:rsidP="00A27597">
      <w:pPr>
        <w:spacing w:line="240" w:lineRule="auto"/>
        <w:rPr>
          <w:rFonts w:eastAsia="SimSun"/>
          <w:snapToGrid/>
          <w:szCs w:val="22"/>
          <w:lang w:eastAsia="zh-CN"/>
        </w:rPr>
      </w:pPr>
    </w:p>
    <w:p w14:paraId="725B7E63" w14:textId="77777777" w:rsidR="00A27597" w:rsidRPr="00CE7679" w:rsidRDefault="00A27597" w:rsidP="00A27597">
      <w:pPr>
        <w:suppressLineNumbers/>
        <w:pBdr>
          <w:top w:val="single" w:sz="4" w:space="1" w:color="auto"/>
          <w:left w:val="single" w:sz="4" w:space="4" w:color="auto"/>
          <w:bottom w:val="single" w:sz="4" w:space="1" w:color="auto"/>
          <w:right w:val="single" w:sz="4" w:space="4" w:color="auto"/>
        </w:pBdr>
        <w:spacing w:line="240" w:lineRule="auto"/>
        <w:outlineLvl w:val="0"/>
        <w:rPr>
          <w:rFonts w:eastAsia="SimSun"/>
          <w:snapToGrid/>
          <w:szCs w:val="22"/>
          <w:lang w:eastAsia="zh-CN"/>
        </w:rPr>
      </w:pPr>
      <w:r w:rsidRPr="00CE7679">
        <w:rPr>
          <w:rFonts w:eastAsia="SimSun"/>
          <w:b/>
          <w:snapToGrid/>
          <w:szCs w:val="22"/>
          <w:lang w:eastAsia="zh-CN"/>
        </w:rPr>
        <w:t>4.</w:t>
      </w:r>
      <w:r w:rsidRPr="00CE7679">
        <w:rPr>
          <w:rFonts w:eastAsia="SimSun"/>
          <w:b/>
          <w:snapToGrid/>
          <w:szCs w:val="22"/>
          <w:lang w:eastAsia="zh-CN"/>
        </w:rPr>
        <w:tab/>
        <w:t>FARMACINĖ FORMA IR KIEKIS PAKUOTĖJE</w:t>
      </w:r>
    </w:p>
    <w:p w14:paraId="3B0C7F3F" w14:textId="77777777" w:rsidR="00A27597" w:rsidRPr="00CE7679" w:rsidRDefault="00A27597" w:rsidP="00A27597">
      <w:pPr>
        <w:spacing w:line="240" w:lineRule="auto"/>
        <w:rPr>
          <w:rFonts w:eastAsia="SimSun"/>
          <w:snapToGrid/>
          <w:szCs w:val="22"/>
          <w:lang w:eastAsia="zh-CN"/>
        </w:rPr>
      </w:pPr>
    </w:p>
    <w:p w14:paraId="697A6149" w14:textId="77777777" w:rsidR="00A27597" w:rsidRPr="00CE7679" w:rsidRDefault="00A27597" w:rsidP="00A27597">
      <w:pPr>
        <w:spacing w:line="240" w:lineRule="auto"/>
        <w:rPr>
          <w:rFonts w:eastAsia="SimSun"/>
          <w:snapToGrid/>
          <w:szCs w:val="22"/>
          <w:lang w:eastAsia="zh-CN"/>
        </w:rPr>
      </w:pPr>
      <w:proofErr w:type="spellStart"/>
      <w:r w:rsidRPr="00CE7679">
        <w:rPr>
          <w:rFonts w:eastAsia="SimSun"/>
          <w:snapToGrid/>
          <w:szCs w:val="22"/>
          <w:highlight w:val="lightGray"/>
          <w:lang w:eastAsia="zh-CN"/>
        </w:rPr>
        <w:t>Imatinib</w:t>
      </w:r>
      <w:proofErr w:type="spellEnd"/>
      <w:r w:rsidRPr="00CE7679">
        <w:rPr>
          <w:rFonts w:eastAsia="SimSun"/>
          <w:snapToGrid/>
          <w:szCs w:val="22"/>
          <w:highlight w:val="lightGray"/>
          <w:lang w:eastAsia="zh-CN"/>
        </w:rPr>
        <w:t xml:space="preserve"> </w:t>
      </w:r>
      <w:proofErr w:type="spellStart"/>
      <w:r w:rsidRPr="00CE7679">
        <w:rPr>
          <w:rFonts w:eastAsia="SimSun"/>
          <w:snapToGrid/>
          <w:szCs w:val="22"/>
          <w:highlight w:val="lightGray"/>
          <w:lang w:eastAsia="zh-CN"/>
        </w:rPr>
        <w:t>Sandoz</w:t>
      </w:r>
      <w:proofErr w:type="spellEnd"/>
      <w:r w:rsidRPr="00CE7679">
        <w:rPr>
          <w:rFonts w:eastAsia="SimSun"/>
          <w:snapToGrid/>
          <w:szCs w:val="22"/>
          <w:highlight w:val="lightGray"/>
          <w:lang w:eastAsia="zh-CN"/>
        </w:rPr>
        <w:t xml:space="preserve"> 100 mg plėvele dengtos tabletės</w:t>
      </w:r>
    </w:p>
    <w:p w14:paraId="16F31FB7" w14:textId="77777777" w:rsidR="00A27597" w:rsidRPr="00CE7679" w:rsidRDefault="00A27597" w:rsidP="00A27597">
      <w:pPr>
        <w:tabs>
          <w:tab w:val="clear" w:pos="567"/>
        </w:tabs>
        <w:spacing w:line="240" w:lineRule="auto"/>
        <w:jc w:val="both"/>
        <w:rPr>
          <w:rFonts w:eastAsia="Calibri"/>
          <w:snapToGrid/>
          <w:szCs w:val="22"/>
          <w:lang w:eastAsia="en-GB"/>
        </w:rPr>
      </w:pPr>
      <w:r w:rsidRPr="00CE7679">
        <w:rPr>
          <w:rFonts w:eastAsia="Calibri"/>
          <w:snapToGrid/>
          <w:szCs w:val="22"/>
          <w:lang w:eastAsia="en-GB"/>
        </w:rPr>
        <w:t>20</w:t>
      </w:r>
      <w:r w:rsidRPr="00CE7679">
        <w:t xml:space="preserve"> </w:t>
      </w:r>
      <w:r w:rsidRPr="00CE7679">
        <w:rPr>
          <w:rFonts w:eastAsia="Calibri"/>
          <w:snapToGrid/>
          <w:szCs w:val="22"/>
          <w:highlight w:val="lightGray"/>
        </w:rPr>
        <w:t>plėvele dengtų</w:t>
      </w:r>
      <w:r w:rsidRPr="00CE7679">
        <w:rPr>
          <w:rFonts w:eastAsia="Calibri"/>
          <w:snapToGrid/>
          <w:szCs w:val="22"/>
          <w:lang w:eastAsia="en-GB"/>
        </w:rPr>
        <w:t xml:space="preserve"> tablečių</w:t>
      </w:r>
    </w:p>
    <w:p w14:paraId="08145C11" w14:textId="77777777" w:rsidR="00A27597" w:rsidRPr="00CE7679" w:rsidRDefault="00A27597" w:rsidP="00A27597">
      <w:pPr>
        <w:tabs>
          <w:tab w:val="clear" w:pos="567"/>
        </w:tabs>
        <w:spacing w:line="240" w:lineRule="auto"/>
        <w:jc w:val="both"/>
        <w:rPr>
          <w:rFonts w:eastAsia="Calibri"/>
          <w:snapToGrid/>
          <w:szCs w:val="22"/>
          <w:highlight w:val="lightGray"/>
        </w:rPr>
      </w:pPr>
      <w:r w:rsidRPr="00CE7679">
        <w:rPr>
          <w:rFonts w:eastAsia="Calibri"/>
          <w:snapToGrid/>
          <w:szCs w:val="22"/>
          <w:highlight w:val="lightGray"/>
        </w:rPr>
        <w:t>30 plėvele dengtų tablečių</w:t>
      </w:r>
    </w:p>
    <w:p w14:paraId="101CAE94" w14:textId="77777777" w:rsidR="00A27597" w:rsidRPr="00CE7679" w:rsidRDefault="00A27597" w:rsidP="00A27597">
      <w:pPr>
        <w:tabs>
          <w:tab w:val="clear" w:pos="567"/>
        </w:tabs>
        <w:spacing w:line="240" w:lineRule="auto"/>
        <w:jc w:val="both"/>
        <w:rPr>
          <w:rFonts w:eastAsia="Calibri"/>
          <w:snapToGrid/>
          <w:szCs w:val="22"/>
          <w:highlight w:val="lightGray"/>
        </w:rPr>
      </w:pPr>
      <w:r w:rsidRPr="00CE7679">
        <w:rPr>
          <w:rFonts w:eastAsia="Calibri"/>
          <w:snapToGrid/>
          <w:szCs w:val="22"/>
          <w:highlight w:val="lightGray"/>
        </w:rPr>
        <w:t>50 plėvele dengtų tablečių</w:t>
      </w:r>
    </w:p>
    <w:p w14:paraId="3762124C" w14:textId="77777777" w:rsidR="00A27597" w:rsidRPr="00CE7679" w:rsidRDefault="00A27597" w:rsidP="00A27597">
      <w:pPr>
        <w:tabs>
          <w:tab w:val="clear" w:pos="567"/>
        </w:tabs>
        <w:spacing w:line="240" w:lineRule="auto"/>
        <w:jc w:val="both"/>
        <w:rPr>
          <w:rFonts w:eastAsia="Calibri"/>
          <w:highlight w:val="lightGray"/>
        </w:rPr>
      </w:pPr>
      <w:r w:rsidRPr="00CE7679">
        <w:rPr>
          <w:rFonts w:eastAsia="Calibri"/>
          <w:highlight w:val="lightGray"/>
        </w:rPr>
        <w:t xml:space="preserve">60 </w:t>
      </w:r>
      <w:r w:rsidRPr="00CE7679">
        <w:rPr>
          <w:rFonts w:eastAsia="Calibri"/>
          <w:snapToGrid/>
          <w:szCs w:val="22"/>
          <w:highlight w:val="lightGray"/>
        </w:rPr>
        <w:t>plėvele dengtų</w:t>
      </w:r>
      <w:r w:rsidRPr="00CE7679">
        <w:rPr>
          <w:rFonts w:eastAsia="Calibri"/>
          <w:highlight w:val="lightGray"/>
        </w:rPr>
        <w:t xml:space="preserve"> tablečių</w:t>
      </w:r>
    </w:p>
    <w:p w14:paraId="4864BFBB" w14:textId="77777777" w:rsidR="00A27597" w:rsidRPr="00CE7679" w:rsidRDefault="00A27597" w:rsidP="00A27597">
      <w:pPr>
        <w:tabs>
          <w:tab w:val="clear" w:pos="567"/>
        </w:tabs>
        <w:spacing w:line="240" w:lineRule="auto"/>
        <w:jc w:val="both"/>
        <w:rPr>
          <w:rFonts w:eastAsia="Calibri"/>
          <w:snapToGrid/>
          <w:szCs w:val="22"/>
          <w:highlight w:val="lightGray"/>
        </w:rPr>
      </w:pPr>
      <w:r w:rsidRPr="00CE7679">
        <w:rPr>
          <w:rFonts w:eastAsia="Calibri"/>
          <w:snapToGrid/>
          <w:szCs w:val="22"/>
          <w:highlight w:val="lightGray"/>
        </w:rPr>
        <w:t>80 plėvele dengtų tablečių</w:t>
      </w:r>
    </w:p>
    <w:p w14:paraId="5C1C45C5" w14:textId="77777777" w:rsidR="00A27597" w:rsidRPr="00CE7679" w:rsidRDefault="00A27597" w:rsidP="00A27597">
      <w:pPr>
        <w:tabs>
          <w:tab w:val="clear" w:pos="567"/>
        </w:tabs>
        <w:spacing w:line="240" w:lineRule="auto"/>
        <w:jc w:val="both"/>
        <w:rPr>
          <w:rFonts w:eastAsia="Calibri"/>
          <w:snapToGrid/>
          <w:szCs w:val="22"/>
          <w:highlight w:val="lightGray"/>
        </w:rPr>
      </w:pPr>
      <w:r w:rsidRPr="00CE7679">
        <w:rPr>
          <w:rFonts w:eastAsia="Calibri"/>
          <w:snapToGrid/>
          <w:szCs w:val="22"/>
          <w:highlight w:val="lightGray"/>
        </w:rPr>
        <w:t>90 plėvele dengtų tablečių</w:t>
      </w:r>
    </w:p>
    <w:p w14:paraId="43AD726E" w14:textId="77777777" w:rsidR="00A27597" w:rsidRPr="00CE7679" w:rsidRDefault="00A27597" w:rsidP="00A27597">
      <w:pPr>
        <w:tabs>
          <w:tab w:val="clear" w:pos="567"/>
        </w:tabs>
        <w:spacing w:line="240" w:lineRule="auto"/>
        <w:jc w:val="both"/>
        <w:rPr>
          <w:rFonts w:eastAsia="Calibri"/>
          <w:snapToGrid/>
          <w:szCs w:val="22"/>
          <w:highlight w:val="lightGray"/>
        </w:rPr>
      </w:pPr>
      <w:r w:rsidRPr="00CE7679">
        <w:rPr>
          <w:rFonts w:eastAsia="Calibri"/>
          <w:snapToGrid/>
          <w:szCs w:val="22"/>
          <w:highlight w:val="lightGray"/>
        </w:rPr>
        <w:t>120 plėvele dengtų tablečių</w:t>
      </w:r>
    </w:p>
    <w:p w14:paraId="700BB3F5" w14:textId="77777777" w:rsidR="00A27597" w:rsidRPr="00CE7679" w:rsidRDefault="00A27597" w:rsidP="00A27597">
      <w:pPr>
        <w:tabs>
          <w:tab w:val="clear" w:pos="567"/>
        </w:tabs>
        <w:spacing w:line="240" w:lineRule="auto"/>
        <w:jc w:val="both"/>
        <w:rPr>
          <w:rFonts w:eastAsia="Calibri"/>
          <w:snapToGrid/>
          <w:szCs w:val="22"/>
          <w:highlight w:val="lightGray"/>
        </w:rPr>
      </w:pPr>
    </w:p>
    <w:p w14:paraId="0C03C195" w14:textId="77777777" w:rsidR="00A27597" w:rsidRPr="00CE7679" w:rsidRDefault="00A27597" w:rsidP="00A27597">
      <w:pPr>
        <w:spacing w:line="240" w:lineRule="auto"/>
        <w:rPr>
          <w:rFonts w:eastAsia="SimSun"/>
          <w:snapToGrid/>
          <w:szCs w:val="22"/>
          <w:highlight w:val="lightGray"/>
          <w:lang w:eastAsia="zh-CN"/>
        </w:rPr>
      </w:pPr>
      <w:proofErr w:type="spellStart"/>
      <w:r w:rsidRPr="00CE7679">
        <w:rPr>
          <w:rFonts w:eastAsia="SimSun"/>
          <w:snapToGrid/>
          <w:szCs w:val="22"/>
          <w:highlight w:val="lightGray"/>
          <w:lang w:eastAsia="zh-CN"/>
        </w:rPr>
        <w:t>Imatinib</w:t>
      </w:r>
      <w:proofErr w:type="spellEnd"/>
      <w:r w:rsidRPr="00CE7679">
        <w:rPr>
          <w:rFonts w:eastAsia="SimSun"/>
          <w:snapToGrid/>
          <w:szCs w:val="22"/>
          <w:highlight w:val="lightGray"/>
          <w:lang w:eastAsia="zh-CN"/>
        </w:rPr>
        <w:t xml:space="preserve"> </w:t>
      </w:r>
      <w:proofErr w:type="spellStart"/>
      <w:r w:rsidRPr="00CE7679">
        <w:rPr>
          <w:rFonts w:eastAsia="SimSun"/>
          <w:snapToGrid/>
          <w:szCs w:val="22"/>
          <w:highlight w:val="lightGray"/>
          <w:lang w:eastAsia="zh-CN"/>
        </w:rPr>
        <w:t>Sandoz</w:t>
      </w:r>
      <w:proofErr w:type="spellEnd"/>
      <w:r w:rsidRPr="00CE7679">
        <w:rPr>
          <w:rFonts w:eastAsia="SimSun"/>
          <w:snapToGrid/>
          <w:szCs w:val="22"/>
          <w:highlight w:val="lightGray"/>
          <w:lang w:eastAsia="zh-CN"/>
        </w:rPr>
        <w:t xml:space="preserve"> 400 mg plėvele dengtos tabletės</w:t>
      </w:r>
    </w:p>
    <w:p w14:paraId="0726231C" w14:textId="77777777" w:rsidR="00A27597" w:rsidRPr="00CE7679" w:rsidRDefault="00A27597" w:rsidP="00A27597">
      <w:pPr>
        <w:tabs>
          <w:tab w:val="clear" w:pos="567"/>
        </w:tabs>
        <w:spacing w:line="240" w:lineRule="auto"/>
        <w:jc w:val="both"/>
        <w:rPr>
          <w:rFonts w:eastAsia="Calibri"/>
          <w:snapToGrid/>
          <w:szCs w:val="22"/>
          <w:highlight w:val="lightGray"/>
          <w:lang w:eastAsia="en-GB"/>
        </w:rPr>
      </w:pPr>
      <w:r w:rsidRPr="00CE7679">
        <w:rPr>
          <w:rFonts w:eastAsia="Calibri"/>
          <w:snapToGrid/>
          <w:szCs w:val="22"/>
          <w:highlight w:val="lightGray"/>
          <w:lang w:eastAsia="en-GB"/>
        </w:rPr>
        <w:t>10 plėvele dengtų tablečių</w:t>
      </w:r>
    </w:p>
    <w:p w14:paraId="5D1DA291" w14:textId="77777777" w:rsidR="00A27597" w:rsidRPr="00CE7679" w:rsidRDefault="00A27597" w:rsidP="00A27597">
      <w:pPr>
        <w:tabs>
          <w:tab w:val="clear" w:pos="567"/>
        </w:tabs>
        <w:spacing w:line="240" w:lineRule="auto"/>
        <w:jc w:val="both"/>
        <w:rPr>
          <w:rFonts w:eastAsia="Calibri"/>
          <w:snapToGrid/>
          <w:szCs w:val="22"/>
          <w:highlight w:val="lightGray"/>
        </w:rPr>
      </w:pPr>
      <w:r w:rsidRPr="00CE7679">
        <w:rPr>
          <w:rFonts w:eastAsia="Calibri"/>
          <w:snapToGrid/>
          <w:szCs w:val="22"/>
          <w:highlight w:val="lightGray"/>
        </w:rPr>
        <w:t>30 plėvele dengtų tablečių</w:t>
      </w:r>
    </w:p>
    <w:p w14:paraId="54F273C2" w14:textId="77777777" w:rsidR="00A27597" w:rsidRPr="00CE7679" w:rsidRDefault="00A27597" w:rsidP="00A27597">
      <w:pPr>
        <w:tabs>
          <w:tab w:val="clear" w:pos="567"/>
        </w:tabs>
        <w:spacing w:line="240" w:lineRule="auto"/>
        <w:jc w:val="both"/>
        <w:rPr>
          <w:rFonts w:eastAsia="Calibri"/>
          <w:snapToGrid/>
          <w:szCs w:val="22"/>
          <w:highlight w:val="lightGray"/>
        </w:rPr>
      </w:pPr>
      <w:r w:rsidRPr="00CE7679">
        <w:rPr>
          <w:rFonts w:eastAsia="Calibri"/>
          <w:snapToGrid/>
          <w:szCs w:val="22"/>
          <w:highlight w:val="lightGray"/>
        </w:rPr>
        <w:t>50 plėvele dengtų tablečių</w:t>
      </w:r>
    </w:p>
    <w:p w14:paraId="744FC692" w14:textId="77777777" w:rsidR="00A27597" w:rsidRPr="00CE7679" w:rsidRDefault="00A27597" w:rsidP="00A27597">
      <w:pPr>
        <w:tabs>
          <w:tab w:val="clear" w:pos="567"/>
        </w:tabs>
        <w:spacing w:line="240" w:lineRule="auto"/>
        <w:jc w:val="both"/>
        <w:rPr>
          <w:rFonts w:eastAsia="Calibri"/>
          <w:snapToGrid/>
          <w:szCs w:val="22"/>
          <w:highlight w:val="lightGray"/>
        </w:rPr>
      </w:pPr>
      <w:r w:rsidRPr="00CE7679">
        <w:rPr>
          <w:rFonts w:eastAsia="Calibri"/>
          <w:snapToGrid/>
          <w:szCs w:val="22"/>
          <w:highlight w:val="lightGray"/>
        </w:rPr>
        <w:t>60 plėvele dengtų tablečių</w:t>
      </w:r>
    </w:p>
    <w:p w14:paraId="3381BADD" w14:textId="77777777" w:rsidR="00A27597" w:rsidRPr="00CE7679" w:rsidRDefault="00A27597" w:rsidP="00A27597">
      <w:pPr>
        <w:tabs>
          <w:tab w:val="clear" w:pos="567"/>
        </w:tabs>
        <w:spacing w:line="240" w:lineRule="auto"/>
        <w:jc w:val="both"/>
        <w:rPr>
          <w:rFonts w:eastAsia="Calibri"/>
          <w:snapToGrid/>
          <w:szCs w:val="22"/>
          <w:highlight w:val="lightGray"/>
        </w:rPr>
      </w:pPr>
      <w:r w:rsidRPr="00CE7679">
        <w:rPr>
          <w:rFonts w:eastAsia="Calibri"/>
          <w:snapToGrid/>
          <w:szCs w:val="22"/>
          <w:highlight w:val="lightGray"/>
        </w:rPr>
        <w:t>80 plėvele dengtų tablečių</w:t>
      </w:r>
    </w:p>
    <w:p w14:paraId="12EA7273" w14:textId="77777777" w:rsidR="00A27597" w:rsidRPr="00CE7679" w:rsidRDefault="00A27597" w:rsidP="00A27597">
      <w:pPr>
        <w:tabs>
          <w:tab w:val="clear" w:pos="567"/>
        </w:tabs>
        <w:spacing w:line="240" w:lineRule="auto"/>
        <w:jc w:val="both"/>
        <w:rPr>
          <w:rFonts w:eastAsia="Calibri"/>
          <w:snapToGrid/>
          <w:szCs w:val="22"/>
          <w:highlight w:val="lightGray"/>
        </w:rPr>
      </w:pPr>
      <w:r w:rsidRPr="00CE7679">
        <w:rPr>
          <w:rFonts w:eastAsia="Calibri"/>
          <w:snapToGrid/>
          <w:szCs w:val="22"/>
          <w:highlight w:val="lightGray"/>
        </w:rPr>
        <w:t>90 plėvele dengtų tablečių</w:t>
      </w:r>
    </w:p>
    <w:p w14:paraId="4735682A" w14:textId="77777777" w:rsidR="00A27597" w:rsidRPr="00CE7679" w:rsidRDefault="00A27597" w:rsidP="00A27597">
      <w:pPr>
        <w:spacing w:line="240" w:lineRule="auto"/>
        <w:rPr>
          <w:rFonts w:eastAsia="SimSun"/>
          <w:snapToGrid/>
          <w:szCs w:val="22"/>
          <w:lang w:eastAsia="zh-CN"/>
        </w:rPr>
      </w:pPr>
    </w:p>
    <w:p w14:paraId="66E9EA8C" w14:textId="77777777" w:rsidR="00A27597" w:rsidRPr="00CE7679" w:rsidRDefault="00A27597" w:rsidP="00A27597">
      <w:pPr>
        <w:spacing w:line="240" w:lineRule="auto"/>
        <w:rPr>
          <w:rFonts w:eastAsia="SimSun"/>
          <w:snapToGrid/>
          <w:szCs w:val="22"/>
          <w:lang w:eastAsia="zh-CN"/>
        </w:rPr>
      </w:pPr>
    </w:p>
    <w:p w14:paraId="36D7EE27" w14:textId="77777777" w:rsidR="00A27597" w:rsidRPr="00CE7679" w:rsidRDefault="00A27597" w:rsidP="00A27597">
      <w:pPr>
        <w:suppressLineNumbers/>
        <w:pBdr>
          <w:top w:val="single" w:sz="4" w:space="1" w:color="auto"/>
          <w:left w:val="single" w:sz="4" w:space="4" w:color="auto"/>
          <w:bottom w:val="single" w:sz="4" w:space="1" w:color="auto"/>
          <w:right w:val="single" w:sz="4" w:space="4" w:color="auto"/>
        </w:pBdr>
        <w:spacing w:line="240" w:lineRule="auto"/>
        <w:outlineLvl w:val="0"/>
        <w:rPr>
          <w:rFonts w:eastAsia="SimSun"/>
          <w:snapToGrid/>
          <w:szCs w:val="22"/>
          <w:lang w:eastAsia="zh-CN"/>
        </w:rPr>
      </w:pPr>
      <w:r w:rsidRPr="00CE7679">
        <w:rPr>
          <w:rFonts w:eastAsia="SimSun"/>
          <w:b/>
          <w:snapToGrid/>
          <w:szCs w:val="22"/>
          <w:lang w:eastAsia="zh-CN"/>
        </w:rPr>
        <w:t>5.</w:t>
      </w:r>
      <w:r w:rsidRPr="00CE7679">
        <w:rPr>
          <w:rFonts w:eastAsia="SimSun"/>
          <w:b/>
          <w:snapToGrid/>
          <w:szCs w:val="22"/>
          <w:lang w:eastAsia="zh-CN"/>
        </w:rPr>
        <w:tab/>
        <w:t>VARTOJIMO METODAS IR BŪDAS (-AI)</w:t>
      </w:r>
    </w:p>
    <w:p w14:paraId="14D81A39" w14:textId="77777777" w:rsidR="00A27597" w:rsidRPr="00CE7679" w:rsidRDefault="00A27597" w:rsidP="00A27597">
      <w:pPr>
        <w:spacing w:line="240" w:lineRule="auto"/>
        <w:rPr>
          <w:rFonts w:eastAsia="SimSun"/>
          <w:snapToGrid/>
          <w:szCs w:val="22"/>
          <w:lang w:eastAsia="zh-CN"/>
        </w:rPr>
      </w:pPr>
    </w:p>
    <w:p w14:paraId="4172BE32" w14:textId="77777777" w:rsidR="00A27597" w:rsidRPr="00CE7679" w:rsidRDefault="00A27597" w:rsidP="00A27597">
      <w:pPr>
        <w:spacing w:line="240" w:lineRule="auto"/>
        <w:rPr>
          <w:rFonts w:eastAsia="SimSun"/>
          <w:snapToGrid/>
          <w:szCs w:val="22"/>
          <w:lang w:eastAsia="zh-CN"/>
        </w:rPr>
      </w:pPr>
      <w:r w:rsidRPr="00CE7679">
        <w:rPr>
          <w:rFonts w:eastAsia="SimSun"/>
          <w:snapToGrid/>
          <w:szCs w:val="22"/>
          <w:lang w:eastAsia="zh-CN"/>
        </w:rPr>
        <w:t xml:space="preserve">Vartoti per burną. </w:t>
      </w:r>
    </w:p>
    <w:p w14:paraId="69F7548F" w14:textId="77777777" w:rsidR="00A27597" w:rsidRPr="00CE7679" w:rsidRDefault="00A27597" w:rsidP="00A27597">
      <w:pPr>
        <w:spacing w:line="240" w:lineRule="auto"/>
        <w:rPr>
          <w:rFonts w:eastAsia="SimSun"/>
          <w:snapToGrid/>
          <w:szCs w:val="22"/>
          <w:lang w:eastAsia="zh-CN"/>
        </w:rPr>
      </w:pPr>
      <w:r w:rsidRPr="00CE7679">
        <w:rPr>
          <w:rFonts w:eastAsia="SimSun"/>
          <w:snapToGrid/>
          <w:szCs w:val="22"/>
          <w:lang w:eastAsia="zh-CN"/>
        </w:rPr>
        <w:t>Prieš vartojimą perskaitykite pakuotės lapelį.</w:t>
      </w:r>
    </w:p>
    <w:p w14:paraId="5073EE54" w14:textId="77777777" w:rsidR="00A27597" w:rsidRPr="00CE7679" w:rsidRDefault="00A27597" w:rsidP="00A27597">
      <w:pPr>
        <w:spacing w:line="240" w:lineRule="auto"/>
        <w:rPr>
          <w:rFonts w:eastAsia="SimSun"/>
          <w:snapToGrid/>
          <w:szCs w:val="22"/>
          <w:lang w:eastAsia="zh-CN"/>
        </w:rPr>
      </w:pPr>
    </w:p>
    <w:p w14:paraId="0A8AFA70" w14:textId="77777777" w:rsidR="00A27597" w:rsidRPr="00CE7679" w:rsidRDefault="00A27597" w:rsidP="00A27597">
      <w:pPr>
        <w:spacing w:line="240" w:lineRule="auto"/>
        <w:rPr>
          <w:rFonts w:eastAsia="SimSun"/>
          <w:snapToGrid/>
          <w:szCs w:val="22"/>
          <w:lang w:eastAsia="zh-CN"/>
        </w:rPr>
      </w:pPr>
    </w:p>
    <w:p w14:paraId="10B66013" w14:textId="77777777" w:rsidR="00A27597" w:rsidRPr="00CE7679" w:rsidRDefault="00A27597" w:rsidP="00A27597">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rFonts w:eastAsia="SimSun"/>
          <w:snapToGrid/>
          <w:szCs w:val="22"/>
          <w:lang w:eastAsia="zh-CN"/>
        </w:rPr>
      </w:pPr>
      <w:r w:rsidRPr="00CE7679">
        <w:rPr>
          <w:rFonts w:eastAsia="SimSun"/>
          <w:b/>
          <w:snapToGrid/>
          <w:szCs w:val="22"/>
          <w:lang w:eastAsia="zh-CN"/>
        </w:rPr>
        <w:t>6.</w:t>
      </w:r>
      <w:r w:rsidRPr="00CE7679">
        <w:rPr>
          <w:rFonts w:eastAsia="SimSun"/>
          <w:b/>
          <w:snapToGrid/>
          <w:szCs w:val="22"/>
          <w:lang w:eastAsia="zh-CN"/>
        </w:rPr>
        <w:tab/>
        <w:t>SPECIALUS ĮSPĖJIMAS, KAD VAISTINĮ PREPARATĄ BŪTINA LAIKYTI VAIKAMS NEPASTEBIMOJE IR NEPASIEKIAMOJE VIETOJE</w:t>
      </w:r>
    </w:p>
    <w:p w14:paraId="3F907405" w14:textId="77777777" w:rsidR="00A27597" w:rsidRPr="00CE7679" w:rsidRDefault="00A27597" w:rsidP="00A27597">
      <w:pPr>
        <w:spacing w:line="240" w:lineRule="auto"/>
        <w:rPr>
          <w:rFonts w:eastAsia="SimSun"/>
          <w:snapToGrid/>
          <w:szCs w:val="22"/>
          <w:lang w:eastAsia="zh-CN"/>
        </w:rPr>
      </w:pPr>
    </w:p>
    <w:p w14:paraId="23BFC9B9" w14:textId="77777777" w:rsidR="00A27597" w:rsidRPr="00CE7679" w:rsidRDefault="00A27597" w:rsidP="00A27597">
      <w:pPr>
        <w:spacing w:line="240" w:lineRule="auto"/>
        <w:rPr>
          <w:rFonts w:eastAsia="SimSun"/>
          <w:snapToGrid/>
          <w:szCs w:val="22"/>
          <w:lang w:eastAsia="zh-CN"/>
        </w:rPr>
      </w:pPr>
      <w:r w:rsidRPr="00CE7679">
        <w:rPr>
          <w:rFonts w:eastAsia="SimSun"/>
          <w:snapToGrid/>
          <w:szCs w:val="22"/>
          <w:lang w:eastAsia="zh-CN"/>
        </w:rPr>
        <w:t>Laikyti vaikams nepastebimoje ir nepasiekiamoje vietoje.</w:t>
      </w:r>
    </w:p>
    <w:p w14:paraId="0FAA72E3" w14:textId="77777777" w:rsidR="00A27597" w:rsidRPr="00CE7679" w:rsidRDefault="00A27597" w:rsidP="00A27597">
      <w:pPr>
        <w:spacing w:line="240" w:lineRule="auto"/>
        <w:rPr>
          <w:rFonts w:eastAsia="SimSun"/>
          <w:snapToGrid/>
          <w:szCs w:val="22"/>
          <w:lang w:eastAsia="zh-CN"/>
        </w:rPr>
      </w:pPr>
    </w:p>
    <w:p w14:paraId="1906162E" w14:textId="77777777" w:rsidR="00A27597" w:rsidRPr="00CE7679" w:rsidRDefault="00A27597" w:rsidP="00A27597">
      <w:pPr>
        <w:spacing w:line="240" w:lineRule="auto"/>
        <w:rPr>
          <w:rFonts w:eastAsia="SimSun"/>
          <w:snapToGrid/>
          <w:szCs w:val="22"/>
          <w:lang w:eastAsia="zh-CN"/>
        </w:rPr>
      </w:pPr>
    </w:p>
    <w:p w14:paraId="198DA088" w14:textId="77777777" w:rsidR="00A27597" w:rsidRPr="00CE7679" w:rsidRDefault="00A27597" w:rsidP="00A27597">
      <w:pPr>
        <w:suppressLineNumbers/>
        <w:pBdr>
          <w:top w:val="single" w:sz="4" w:space="1" w:color="auto"/>
          <w:left w:val="single" w:sz="4" w:space="4" w:color="auto"/>
          <w:bottom w:val="single" w:sz="4" w:space="1" w:color="auto"/>
          <w:right w:val="single" w:sz="4" w:space="4" w:color="auto"/>
        </w:pBdr>
        <w:spacing w:line="240" w:lineRule="auto"/>
        <w:outlineLvl w:val="0"/>
        <w:rPr>
          <w:rFonts w:eastAsia="SimSun"/>
          <w:snapToGrid/>
          <w:szCs w:val="22"/>
          <w:lang w:eastAsia="zh-CN"/>
        </w:rPr>
      </w:pPr>
      <w:r w:rsidRPr="00CE7679">
        <w:rPr>
          <w:rFonts w:eastAsia="SimSun"/>
          <w:b/>
          <w:snapToGrid/>
          <w:szCs w:val="22"/>
          <w:lang w:eastAsia="zh-CN"/>
        </w:rPr>
        <w:t>7.</w:t>
      </w:r>
      <w:r w:rsidRPr="00CE7679">
        <w:rPr>
          <w:rFonts w:eastAsia="SimSun"/>
          <w:b/>
          <w:snapToGrid/>
          <w:szCs w:val="22"/>
          <w:lang w:eastAsia="zh-CN"/>
        </w:rPr>
        <w:tab/>
        <w:t>KITAS (-I) SPECIALUS (-ŪS) ĮSPĖJIMAS (-AI) (JEI REIKIA)</w:t>
      </w:r>
    </w:p>
    <w:p w14:paraId="69542F43" w14:textId="77777777" w:rsidR="00A27597" w:rsidRPr="00CE7679" w:rsidRDefault="00A27597" w:rsidP="00A27597">
      <w:pPr>
        <w:spacing w:line="240" w:lineRule="auto"/>
        <w:rPr>
          <w:rFonts w:eastAsia="SimSun"/>
          <w:snapToGrid/>
          <w:szCs w:val="22"/>
          <w:lang w:eastAsia="zh-CN"/>
        </w:rPr>
      </w:pPr>
    </w:p>
    <w:p w14:paraId="5DA5FD79" w14:textId="77777777" w:rsidR="00A27597" w:rsidRPr="00CE7679" w:rsidRDefault="00A27597" w:rsidP="00A27597">
      <w:pPr>
        <w:spacing w:line="240" w:lineRule="auto"/>
        <w:rPr>
          <w:rFonts w:eastAsia="SimSun"/>
          <w:snapToGrid/>
          <w:szCs w:val="22"/>
          <w:lang w:eastAsia="zh-CN"/>
        </w:rPr>
      </w:pPr>
    </w:p>
    <w:p w14:paraId="43F9E685" w14:textId="77777777" w:rsidR="00A27597" w:rsidRPr="00CE7679" w:rsidRDefault="00A27597" w:rsidP="00A27597">
      <w:pPr>
        <w:suppressLineNumbers/>
        <w:pBdr>
          <w:top w:val="single" w:sz="4" w:space="1" w:color="auto"/>
          <w:left w:val="single" w:sz="4" w:space="4" w:color="auto"/>
          <w:bottom w:val="single" w:sz="4" w:space="1" w:color="auto"/>
          <w:right w:val="single" w:sz="4" w:space="4" w:color="auto"/>
        </w:pBdr>
        <w:spacing w:line="240" w:lineRule="auto"/>
        <w:outlineLvl w:val="0"/>
        <w:rPr>
          <w:rFonts w:eastAsia="SimSun"/>
          <w:snapToGrid/>
          <w:szCs w:val="22"/>
          <w:lang w:eastAsia="zh-CN"/>
        </w:rPr>
      </w:pPr>
      <w:r w:rsidRPr="00CE7679">
        <w:rPr>
          <w:rFonts w:eastAsia="SimSun"/>
          <w:b/>
          <w:snapToGrid/>
          <w:szCs w:val="22"/>
          <w:lang w:eastAsia="zh-CN"/>
        </w:rPr>
        <w:t>8.</w:t>
      </w:r>
      <w:r w:rsidRPr="00CE7679">
        <w:rPr>
          <w:rFonts w:eastAsia="SimSun"/>
          <w:b/>
          <w:snapToGrid/>
          <w:szCs w:val="22"/>
          <w:lang w:eastAsia="zh-CN"/>
        </w:rPr>
        <w:tab/>
        <w:t>TINKAMUMO LAIKAS</w:t>
      </w:r>
    </w:p>
    <w:p w14:paraId="650D54CE" w14:textId="77777777" w:rsidR="00A27597" w:rsidRPr="00CE7679" w:rsidRDefault="00A27597" w:rsidP="00A27597">
      <w:pPr>
        <w:spacing w:line="240" w:lineRule="auto"/>
        <w:rPr>
          <w:rFonts w:eastAsia="SimSun"/>
          <w:snapToGrid/>
          <w:szCs w:val="22"/>
          <w:lang w:eastAsia="zh-CN"/>
        </w:rPr>
      </w:pPr>
    </w:p>
    <w:p w14:paraId="4B7B5088" w14:textId="77777777" w:rsidR="00A27597" w:rsidRPr="00CE7679" w:rsidRDefault="00772778" w:rsidP="00A27597">
      <w:pPr>
        <w:spacing w:line="240" w:lineRule="auto"/>
        <w:rPr>
          <w:rFonts w:eastAsia="SimSun"/>
          <w:snapToGrid/>
          <w:szCs w:val="22"/>
          <w:lang w:eastAsia="zh-CN"/>
        </w:rPr>
      </w:pPr>
      <w:r w:rsidRPr="00CE7679">
        <w:rPr>
          <w:rFonts w:eastAsia="SimSun"/>
          <w:snapToGrid/>
          <w:szCs w:val="22"/>
          <w:lang w:eastAsia="zh-CN"/>
        </w:rPr>
        <w:t>EXP</w:t>
      </w:r>
      <w:r w:rsidR="00A27597" w:rsidRPr="00CE7679">
        <w:rPr>
          <w:rFonts w:eastAsia="SimSun"/>
          <w:snapToGrid/>
          <w:szCs w:val="22"/>
          <w:lang w:eastAsia="zh-CN"/>
        </w:rPr>
        <w:t>{mm</w:t>
      </w:r>
      <w:r w:rsidR="009D64F2" w:rsidRPr="00CE7679">
        <w:rPr>
          <w:rFonts w:eastAsia="SimSun"/>
          <w:snapToGrid/>
          <w:szCs w:val="22"/>
          <w:lang w:eastAsia="zh-CN"/>
        </w:rPr>
        <w:t xml:space="preserve"> </w:t>
      </w:r>
      <w:r w:rsidR="00A27597" w:rsidRPr="00CE7679">
        <w:rPr>
          <w:rFonts w:eastAsia="SimSun"/>
          <w:snapToGrid/>
          <w:szCs w:val="22"/>
          <w:lang w:eastAsia="zh-CN"/>
        </w:rPr>
        <w:t>MMMM}</w:t>
      </w:r>
    </w:p>
    <w:p w14:paraId="54CD483F" w14:textId="77777777" w:rsidR="00A27597" w:rsidRPr="00CE7679" w:rsidRDefault="00A27597" w:rsidP="00A27597">
      <w:pPr>
        <w:spacing w:line="240" w:lineRule="auto"/>
        <w:rPr>
          <w:rFonts w:eastAsia="SimSun"/>
          <w:snapToGrid/>
          <w:szCs w:val="22"/>
          <w:lang w:eastAsia="zh-CN"/>
        </w:rPr>
      </w:pPr>
    </w:p>
    <w:p w14:paraId="625986BB" w14:textId="77777777" w:rsidR="00A27597" w:rsidRPr="00CE7679" w:rsidRDefault="00A27597" w:rsidP="00A27597">
      <w:pPr>
        <w:spacing w:line="240" w:lineRule="auto"/>
        <w:rPr>
          <w:rFonts w:eastAsia="SimSun"/>
          <w:snapToGrid/>
          <w:szCs w:val="22"/>
          <w:lang w:eastAsia="zh-CN"/>
        </w:rPr>
      </w:pPr>
    </w:p>
    <w:p w14:paraId="1F9298B7" w14:textId="77777777" w:rsidR="00A27597" w:rsidRPr="00CE7679" w:rsidRDefault="00A27597" w:rsidP="00A27597">
      <w:pPr>
        <w:keepNext/>
        <w:suppressLineNumbers/>
        <w:pBdr>
          <w:top w:val="single" w:sz="4" w:space="1" w:color="auto"/>
          <w:left w:val="single" w:sz="4" w:space="4" w:color="auto"/>
          <w:bottom w:val="single" w:sz="4" w:space="1" w:color="auto"/>
          <w:right w:val="single" w:sz="4" w:space="4" w:color="auto"/>
        </w:pBdr>
        <w:spacing w:line="240" w:lineRule="auto"/>
        <w:outlineLvl w:val="0"/>
        <w:rPr>
          <w:rFonts w:eastAsia="SimSun"/>
          <w:snapToGrid/>
          <w:szCs w:val="22"/>
          <w:lang w:eastAsia="zh-CN"/>
        </w:rPr>
      </w:pPr>
      <w:r w:rsidRPr="00CE7679">
        <w:rPr>
          <w:rFonts w:eastAsia="SimSun"/>
          <w:b/>
          <w:snapToGrid/>
          <w:szCs w:val="22"/>
          <w:lang w:eastAsia="zh-CN"/>
        </w:rPr>
        <w:t>9.</w:t>
      </w:r>
      <w:r w:rsidRPr="00CE7679">
        <w:rPr>
          <w:rFonts w:eastAsia="SimSun"/>
          <w:b/>
          <w:snapToGrid/>
          <w:szCs w:val="22"/>
          <w:lang w:eastAsia="zh-CN"/>
        </w:rPr>
        <w:tab/>
        <w:t>SPECIALIOS LAIKYMO SĄLYGOS</w:t>
      </w:r>
    </w:p>
    <w:p w14:paraId="55F963B8" w14:textId="77777777" w:rsidR="00A27597" w:rsidRPr="00CE7679" w:rsidRDefault="00A27597" w:rsidP="00A27597">
      <w:pPr>
        <w:spacing w:line="240" w:lineRule="auto"/>
        <w:rPr>
          <w:rFonts w:eastAsia="SimSun"/>
          <w:snapToGrid/>
          <w:szCs w:val="22"/>
          <w:lang w:eastAsia="zh-CN"/>
        </w:rPr>
      </w:pPr>
    </w:p>
    <w:p w14:paraId="5B736F5F" w14:textId="740D3E7D" w:rsidR="00A27597" w:rsidRDefault="00A27597" w:rsidP="00A27597">
      <w:pPr>
        <w:spacing w:line="240" w:lineRule="auto"/>
        <w:rPr>
          <w:rFonts w:eastAsia="SimSun"/>
          <w:snapToGrid/>
          <w:szCs w:val="22"/>
          <w:lang w:eastAsia="zh-CN"/>
        </w:rPr>
      </w:pPr>
      <w:r w:rsidRPr="00CE7679">
        <w:rPr>
          <w:rFonts w:eastAsia="SimSun"/>
          <w:snapToGrid/>
          <w:szCs w:val="22"/>
          <w:lang w:eastAsia="zh-CN"/>
        </w:rPr>
        <w:t>Laikyti ne aukštesnėje kaip 30 °C temperatūroje.</w:t>
      </w:r>
    </w:p>
    <w:p w14:paraId="4DA3572B" w14:textId="77777777" w:rsidR="00507407" w:rsidRDefault="00507407" w:rsidP="00507407">
      <w:pPr>
        <w:tabs>
          <w:tab w:val="clear" w:pos="567"/>
        </w:tabs>
        <w:autoSpaceDE w:val="0"/>
        <w:autoSpaceDN w:val="0"/>
        <w:adjustRightInd w:val="0"/>
        <w:spacing w:line="240" w:lineRule="auto"/>
        <w:rPr>
          <w:snapToGrid/>
          <w:szCs w:val="22"/>
          <w:lang w:eastAsia="lt-LT"/>
        </w:rPr>
      </w:pPr>
    </w:p>
    <w:p w14:paraId="0E53DC0C" w14:textId="77777777" w:rsidR="00507407" w:rsidRPr="008D259C" w:rsidRDefault="00507407" w:rsidP="00507407">
      <w:pPr>
        <w:tabs>
          <w:tab w:val="clear" w:pos="567"/>
        </w:tabs>
        <w:autoSpaceDE w:val="0"/>
        <w:autoSpaceDN w:val="0"/>
        <w:adjustRightInd w:val="0"/>
        <w:spacing w:line="240" w:lineRule="auto"/>
        <w:rPr>
          <w:i/>
          <w:iCs/>
          <w:snapToGrid/>
          <w:szCs w:val="22"/>
          <w:highlight w:val="lightGray"/>
          <w:lang w:eastAsia="lt-LT"/>
        </w:rPr>
      </w:pPr>
      <w:r w:rsidRPr="008D259C">
        <w:rPr>
          <w:i/>
          <w:iCs/>
          <w:snapToGrid/>
          <w:szCs w:val="22"/>
          <w:highlight w:val="lightGray"/>
          <w:lang w:eastAsia="lt-LT"/>
        </w:rPr>
        <w:t xml:space="preserve">PVC/PE/PVDC/Al lizdinės plokštelės </w:t>
      </w:r>
    </w:p>
    <w:p w14:paraId="422D8084" w14:textId="77777777" w:rsidR="00507407" w:rsidRPr="008D259C" w:rsidRDefault="00507407" w:rsidP="00507407">
      <w:pPr>
        <w:tabs>
          <w:tab w:val="clear" w:pos="567"/>
        </w:tabs>
        <w:autoSpaceDE w:val="0"/>
        <w:autoSpaceDN w:val="0"/>
        <w:adjustRightInd w:val="0"/>
        <w:spacing w:line="240" w:lineRule="auto"/>
        <w:rPr>
          <w:snapToGrid/>
          <w:szCs w:val="22"/>
          <w:lang w:eastAsia="lt-LT"/>
        </w:rPr>
      </w:pPr>
      <w:r w:rsidRPr="008D259C">
        <w:rPr>
          <w:snapToGrid/>
          <w:szCs w:val="22"/>
          <w:highlight w:val="lightGray"/>
          <w:lang w:eastAsia="lt-LT"/>
        </w:rPr>
        <w:t>Laikyti žemesnėje kaip 25°C temperatūroje.</w:t>
      </w:r>
    </w:p>
    <w:p w14:paraId="18213963" w14:textId="77777777" w:rsidR="00507407" w:rsidRPr="00CE7679" w:rsidRDefault="00507407" w:rsidP="00A27597">
      <w:pPr>
        <w:spacing w:line="240" w:lineRule="auto"/>
        <w:rPr>
          <w:rFonts w:eastAsia="SimSun"/>
          <w:snapToGrid/>
          <w:szCs w:val="22"/>
          <w:lang w:eastAsia="zh-CN"/>
        </w:rPr>
      </w:pPr>
    </w:p>
    <w:p w14:paraId="76846E11" w14:textId="77777777" w:rsidR="00A27597" w:rsidRPr="00CE7679" w:rsidRDefault="00A27597" w:rsidP="00A27597">
      <w:pPr>
        <w:spacing w:line="240" w:lineRule="auto"/>
        <w:rPr>
          <w:rFonts w:eastAsia="SimSun"/>
          <w:snapToGrid/>
          <w:szCs w:val="22"/>
          <w:lang w:eastAsia="zh-CN"/>
        </w:rPr>
      </w:pPr>
      <w:r w:rsidRPr="00CE7679">
        <w:rPr>
          <w:rFonts w:eastAsia="SimSun"/>
          <w:snapToGrid/>
          <w:szCs w:val="22"/>
          <w:lang w:eastAsia="zh-CN"/>
        </w:rPr>
        <w:t xml:space="preserve">Laikyti gamintojo pakuotėje, kad </w:t>
      </w:r>
      <w:r w:rsidR="00801A47" w:rsidRPr="00CE7679">
        <w:rPr>
          <w:rFonts w:eastAsia="SimSun"/>
          <w:snapToGrid/>
          <w:szCs w:val="22"/>
          <w:lang w:eastAsia="zh-CN"/>
        </w:rPr>
        <w:t xml:space="preserve">vaistas </w:t>
      </w:r>
      <w:r w:rsidRPr="00CE7679">
        <w:rPr>
          <w:rFonts w:eastAsia="SimSun"/>
          <w:snapToGrid/>
          <w:szCs w:val="22"/>
          <w:lang w:eastAsia="zh-CN"/>
        </w:rPr>
        <w:t>būtų apsaugotas nuo drėgmės.</w:t>
      </w:r>
    </w:p>
    <w:p w14:paraId="517F8B38" w14:textId="77777777" w:rsidR="00A27597" w:rsidRPr="00CE7679" w:rsidRDefault="00A27597" w:rsidP="00A27597">
      <w:pPr>
        <w:spacing w:line="240" w:lineRule="auto"/>
        <w:rPr>
          <w:rFonts w:eastAsia="SimSun"/>
          <w:snapToGrid/>
          <w:szCs w:val="22"/>
          <w:lang w:eastAsia="zh-CN"/>
        </w:rPr>
      </w:pPr>
    </w:p>
    <w:p w14:paraId="250CC5BA" w14:textId="77777777" w:rsidR="00A27597" w:rsidRPr="00CE7679" w:rsidRDefault="00A27597" w:rsidP="00A27597">
      <w:pPr>
        <w:spacing w:line="240" w:lineRule="auto"/>
        <w:rPr>
          <w:rFonts w:eastAsia="SimSun"/>
          <w:snapToGrid/>
          <w:szCs w:val="22"/>
          <w:lang w:eastAsia="zh-CN"/>
        </w:rPr>
      </w:pPr>
    </w:p>
    <w:p w14:paraId="760A3700" w14:textId="77777777" w:rsidR="00A27597" w:rsidRPr="00CE7679" w:rsidRDefault="00A27597" w:rsidP="00A27597">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rFonts w:eastAsia="SimSun"/>
          <w:b/>
          <w:snapToGrid/>
          <w:szCs w:val="22"/>
          <w:lang w:eastAsia="zh-CN"/>
        </w:rPr>
      </w:pPr>
      <w:r w:rsidRPr="00CE7679">
        <w:rPr>
          <w:rFonts w:eastAsia="SimSun"/>
          <w:b/>
          <w:snapToGrid/>
          <w:szCs w:val="22"/>
          <w:lang w:eastAsia="zh-CN"/>
        </w:rPr>
        <w:t>10.</w:t>
      </w:r>
      <w:r w:rsidRPr="00CE7679">
        <w:rPr>
          <w:rFonts w:eastAsia="SimSun"/>
          <w:b/>
          <w:snapToGrid/>
          <w:szCs w:val="22"/>
          <w:lang w:eastAsia="zh-CN"/>
        </w:rPr>
        <w:tab/>
        <w:t>SPECIALIOS ATSARGUMO PRIEMONĖS DĖL NESUVARTOTO VAISTINIO PREPARATO AR JO ATLIEKŲ TVARKYMO (JEI REIKIA)</w:t>
      </w:r>
    </w:p>
    <w:p w14:paraId="00ECF151" w14:textId="77777777" w:rsidR="00A27597" w:rsidRPr="00CE7679" w:rsidRDefault="00A27597" w:rsidP="00A27597">
      <w:pPr>
        <w:spacing w:line="240" w:lineRule="auto"/>
        <w:rPr>
          <w:rFonts w:eastAsia="SimSun"/>
          <w:snapToGrid/>
          <w:szCs w:val="22"/>
          <w:lang w:eastAsia="zh-CN"/>
        </w:rPr>
      </w:pPr>
    </w:p>
    <w:p w14:paraId="1CF25CB6" w14:textId="77777777" w:rsidR="00A27597" w:rsidRPr="00CE7679" w:rsidRDefault="00A27597" w:rsidP="00A27597">
      <w:pPr>
        <w:spacing w:line="240" w:lineRule="auto"/>
        <w:rPr>
          <w:rFonts w:eastAsia="SimSun"/>
          <w:snapToGrid/>
          <w:szCs w:val="22"/>
          <w:lang w:eastAsia="zh-CN"/>
        </w:rPr>
      </w:pPr>
    </w:p>
    <w:p w14:paraId="18DB7302" w14:textId="77777777" w:rsidR="00A27597" w:rsidRPr="00CE7679" w:rsidRDefault="00A27597" w:rsidP="00A27597">
      <w:pPr>
        <w:suppressLineNumbers/>
        <w:pBdr>
          <w:top w:val="single" w:sz="4" w:space="1" w:color="auto"/>
          <w:left w:val="single" w:sz="4" w:space="4" w:color="auto"/>
          <w:bottom w:val="single" w:sz="4" w:space="1" w:color="auto"/>
          <w:right w:val="single" w:sz="4" w:space="4" w:color="auto"/>
        </w:pBdr>
        <w:spacing w:line="240" w:lineRule="auto"/>
        <w:outlineLvl w:val="0"/>
        <w:rPr>
          <w:rFonts w:eastAsia="SimSun"/>
          <w:b/>
          <w:snapToGrid/>
          <w:szCs w:val="22"/>
          <w:lang w:eastAsia="zh-CN"/>
        </w:rPr>
      </w:pPr>
      <w:r w:rsidRPr="00CE7679">
        <w:rPr>
          <w:rFonts w:eastAsia="SimSun"/>
          <w:b/>
          <w:snapToGrid/>
          <w:szCs w:val="22"/>
          <w:lang w:eastAsia="zh-CN"/>
        </w:rPr>
        <w:t>11.</w:t>
      </w:r>
      <w:r w:rsidRPr="00CE7679">
        <w:rPr>
          <w:rFonts w:eastAsia="SimSun"/>
          <w:b/>
          <w:snapToGrid/>
          <w:szCs w:val="22"/>
          <w:lang w:eastAsia="zh-CN"/>
        </w:rPr>
        <w:tab/>
      </w:r>
      <w:r w:rsidRPr="00CE7679">
        <w:rPr>
          <w:rFonts w:eastAsia="SimSun"/>
          <w:b/>
          <w:caps/>
          <w:snapToGrid/>
          <w:szCs w:val="22"/>
          <w:lang w:eastAsia="zh-CN"/>
        </w:rPr>
        <w:t>rEGISTRUOTOJO PAVADINIMAS IR ADRESAS</w:t>
      </w:r>
    </w:p>
    <w:p w14:paraId="35D7DE3E" w14:textId="77777777" w:rsidR="00A27597" w:rsidRPr="00CE7679" w:rsidRDefault="00A27597" w:rsidP="00A27597">
      <w:pPr>
        <w:spacing w:line="240" w:lineRule="auto"/>
        <w:rPr>
          <w:rFonts w:eastAsia="SimSun"/>
          <w:snapToGrid/>
          <w:szCs w:val="22"/>
          <w:lang w:eastAsia="zh-CN"/>
        </w:rPr>
      </w:pPr>
    </w:p>
    <w:p w14:paraId="3575CFCC" w14:textId="77777777" w:rsidR="00A27597" w:rsidRPr="00CE7679" w:rsidRDefault="00A27597" w:rsidP="00A27597">
      <w:pPr>
        <w:pStyle w:val="NormaLT"/>
        <w:tabs>
          <w:tab w:val="left" w:pos="567"/>
        </w:tabs>
        <w:jc w:val="left"/>
        <w:rPr>
          <w:rFonts w:ascii="Times New Roman" w:hAnsi="Times New Roman"/>
          <w:sz w:val="22"/>
          <w:szCs w:val="22"/>
        </w:rPr>
      </w:pPr>
      <w:proofErr w:type="spellStart"/>
      <w:r w:rsidRPr="00CE7679">
        <w:rPr>
          <w:rFonts w:ascii="Times New Roman" w:hAnsi="Times New Roman"/>
          <w:sz w:val="22"/>
          <w:szCs w:val="22"/>
        </w:rPr>
        <w:t>Sandoz</w:t>
      </w:r>
      <w:proofErr w:type="spellEnd"/>
      <w:r w:rsidRPr="00CE7679">
        <w:rPr>
          <w:rFonts w:ascii="Times New Roman" w:hAnsi="Times New Roman"/>
          <w:sz w:val="22"/>
          <w:szCs w:val="22"/>
        </w:rPr>
        <w:t xml:space="preserve"> </w:t>
      </w:r>
      <w:proofErr w:type="spellStart"/>
      <w:r w:rsidRPr="00CE7679">
        <w:rPr>
          <w:rFonts w:ascii="Times New Roman" w:hAnsi="Times New Roman"/>
          <w:sz w:val="22"/>
          <w:szCs w:val="22"/>
        </w:rPr>
        <w:t>d.d</w:t>
      </w:r>
      <w:proofErr w:type="spellEnd"/>
      <w:r w:rsidRPr="00CE7679">
        <w:rPr>
          <w:rFonts w:ascii="Times New Roman" w:hAnsi="Times New Roman"/>
          <w:sz w:val="22"/>
          <w:szCs w:val="22"/>
        </w:rPr>
        <w:t>.</w:t>
      </w:r>
    </w:p>
    <w:p w14:paraId="03B18A0C" w14:textId="77777777" w:rsidR="00A27597" w:rsidRPr="00CE7679" w:rsidRDefault="00A27597" w:rsidP="00A27597">
      <w:pPr>
        <w:pStyle w:val="NormaLT"/>
        <w:tabs>
          <w:tab w:val="left" w:pos="567"/>
        </w:tabs>
        <w:jc w:val="left"/>
        <w:rPr>
          <w:rFonts w:ascii="Times New Roman" w:hAnsi="Times New Roman"/>
          <w:sz w:val="22"/>
          <w:szCs w:val="22"/>
        </w:rPr>
      </w:pPr>
      <w:proofErr w:type="spellStart"/>
      <w:r w:rsidRPr="00CE7679">
        <w:rPr>
          <w:rFonts w:ascii="Times New Roman" w:hAnsi="Times New Roman"/>
          <w:sz w:val="22"/>
          <w:szCs w:val="22"/>
        </w:rPr>
        <w:t>Verovškova</w:t>
      </w:r>
      <w:proofErr w:type="spellEnd"/>
      <w:r w:rsidRPr="00CE7679">
        <w:rPr>
          <w:rFonts w:ascii="Times New Roman" w:hAnsi="Times New Roman"/>
          <w:sz w:val="22"/>
          <w:szCs w:val="22"/>
        </w:rPr>
        <w:t xml:space="preserve"> 57</w:t>
      </w:r>
    </w:p>
    <w:p w14:paraId="4D09A608" w14:textId="77777777" w:rsidR="00A27597" w:rsidRPr="00CE7679" w:rsidRDefault="00A27597" w:rsidP="00A27597">
      <w:pPr>
        <w:pStyle w:val="NormaLT"/>
        <w:tabs>
          <w:tab w:val="left" w:pos="567"/>
        </w:tabs>
        <w:jc w:val="left"/>
        <w:rPr>
          <w:rFonts w:ascii="Times New Roman" w:hAnsi="Times New Roman"/>
          <w:sz w:val="22"/>
          <w:szCs w:val="22"/>
        </w:rPr>
      </w:pPr>
      <w:r w:rsidRPr="00CE7679">
        <w:rPr>
          <w:rFonts w:ascii="Times New Roman" w:hAnsi="Times New Roman"/>
          <w:sz w:val="22"/>
          <w:szCs w:val="22"/>
        </w:rPr>
        <w:t xml:space="preserve">SI-1000 </w:t>
      </w:r>
      <w:proofErr w:type="spellStart"/>
      <w:r w:rsidRPr="00CE7679">
        <w:rPr>
          <w:rFonts w:ascii="Times New Roman" w:hAnsi="Times New Roman"/>
          <w:sz w:val="22"/>
          <w:szCs w:val="22"/>
        </w:rPr>
        <w:t>Ljubljana</w:t>
      </w:r>
      <w:proofErr w:type="spellEnd"/>
    </w:p>
    <w:p w14:paraId="0633592D" w14:textId="77777777" w:rsidR="00A27597" w:rsidRPr="00CE7679" w:rsidRDefault="00A27597" w:rsidP="00A27597">
      <w:pPr>
        <w:pStyle w:val="NormaLT"/>
        <w:tabs>
          <w:tab w:val="left" w:pos="567"/>
        </w:tabs>
        <w:jc w:val="left"/>
        <w:rPr>
          <w:rFonts w:ascii="Times New Roman" w:hAnsi="Times New Roman"/>
          <w:sz w:val="22"/>
          <w:szCs w:val="22"/>
        </w:rPr>
      </w:pPr>
      <w:r w:rsidRPr="00CE7679">
        <w:rPr>
          <w:rFonts w:ascii="Times New Roman" w:hAnsi="Times New Roman"/>
          <w:sz w:val="22"/>
          <w:szCs w:val="22"/>
        </w:rPr>
        <w:t>Slovėnija</w:t>
      </w:r>
    </w:p>
    <w:p w14:paraId="7AF0C5C5" w14:textId="77777777" w:rsidR="00A27597" w:rsidRPr="00CE7679" w:rsidRDefault="00A27597" w:rsidP="00A27597">
      <w:pPr>
        <w:spacing w:line="240" w:lineRule="auto"/>
        <w:rPr>
          <w:rFonts w:eastAsia="SimSun"/>
          <w:snapToGrid/>
          <w:szCs w:val="22"/>
          <w:lang w:eastAsia="zh-CN"/>
        </w:rPr>
      </w:pPr>
    </w:p>
    <w:p w14:paraId="01E02024" w14:textId="77777777" w:rsidR="00A27597" w:rsidRPr="00CE7679" w:rsidRDefault="00A27597" w:rsidP="00A27597">
      <w:pPr>
        <w:spacing w:line="240" w:lineRule="auto"/>
        <w:rPr>
          <w:rFonts w:eastAsia="SimSun"/>
          <w:snapToGrid/>
          <w:szCs w:val="22"/>
          <w:lang w:eastAsia="zh-CN"/>
        </w:rPr>
      </w:pPr>
    </w:p>
    <w:p w14:paraId="0E3DA513" w14:textId="77777777" w:rsidR="00A27597" w:rsidRPr="00CE7679" w:rsidRDefault="00A27597" w:rsidP="00A27597">
      <w:pPr>
        <w:suppressLineNumbers/>
        <w:pBdr>
          <w:top w:val="single" w:sz="4" w:space="1" w:color="auto"/>
          <w:left w:val="single" w:sz="4" w:space="4" w:color="auto"/>
          <w:bottom w:val="single" w:sz="4" w:space="1" w:color="auto"/>
          <w:right w:val="single" w:sz="4" w:space="4" w:color="auto"/>
        </w:pBdr>
        <w:spacing w:line="240" w:lineRule="auto"/>
        <w:outlineLvl w:val="0"/>
        <w:rPr>
          <w:rFonts w:eastAsia="SimSun"/>
          <w:snapToGrid/>
          <w:szCs w:val="22"/>
          <w:lang w:eastAsia="zh-CN"/>
        </w:rPr>
      </w:pPr>
      <w:r w:rsidRPr="00CE7679">
        <w:rPr>
          <w:rFonts w:eastAsia="SimSun"/>
          <w:b/>
          <w:snapToGrid/>
          <w:szCs w:val="22"/>
          <w:lang w:eastAsia="zh-CN"/>
        </w:rPr>
        <w:t>12.</w:t>
      </w:r>
      <w:r w:rsidRPr="00CE7679">
        <w:rPr>
          <w:rFonts w:eastAsia="SimSun"/>
          <w:b/>
          <w:snapToGrid/>
          <w:szCs w:val="22"/>
          <w:lang w:eastAsia="zh-CN"/>
        </w:rPr>
        <w:tab/>
        <w:t xml:space="preserve">REGISTRACIJOS PAŽYMĖJIMO NUMERIS (-IAI) </w:t>
      </w:r>
    </w:p>
    <w:p w14:paraId="6DF292E2" w14:textId="77777777" w:rsidR="00A27597" w:rsidRPr="00CE7679" w:rsidRDefault="00A27597" w:rsidP="00A27597">
      <w:pPr>
        <w:spacing w:line="240" w:lineRule="auto"/>
        <w:rPr>
          <w:rFonts w:eastAsia="SimSun"/>
          <w:snapToGrid/>
          <w:szCs w:val="22"/>
          <w:lang w:eastAsia="zh-CN"/>
        </w:rPr>
      </w:pPr>
    </w:p>
    <w:p w14:paraId="0DF9D5CD" w14:textId="77777777" w:rsidR="007867E9" w:rsidRPr="007867E9" w:rsidRDefault="007867E9" w:rsidP="007867E9">
      <w:pPr>
        <w:spacing w:line="240" w:lineRule="auto"/>
        <w:rPr>
          <w:rFonts w:eastAsia="SimSun"/>
          <w:snapToGrid/>
          <w:szCs w:val="22"/>
          <w:lang w:eastAsia="zh-CN"/>
        </w:rPr>
      </w:pPr>
      <w:r w:rsidRPr="00175FED">
        <w:rPr>
          <w:rFonts w:eastAsia="SimSun"/>
          <w:snapToGrid/>
          <w:szCs w:val="22"/>
          <w:shd w:val="clear" w:color="auto" w:fill="F2F2F2" w:themeFill="background1" w:themeFillShade="F2"/>
          <w:lang w:eastAsia="zh-CN"/>
        </w:rPr>
        <w:t>100 mg</w:t>
      </w:r>
    </w:p>
    <w:p w14:paraId="448BC9F4" w14:textId="77777777" w:rsidR="00175FED" w:rsidRPr="0038415D" w:rsidRDefault="00175FED" w:rsidP="00175FED">
      <w:pPr>
        <w:spacing w:line="240" w:lineRule="auto"/>
        <w:rPr>
          <w:rFonts w:eastAsia="SimSun"/>
          <w:snapToGrid/>
          <w:szCs w:val="22"/>
          <w:shd w:val="clear" w:color="auto" w:fill="F2F2F2" w:themeFill="background1" w:themeFillShade="F2"/>
          <w:lang w:eastAsia="zh-CN"/>
        </w:rPr>
      </w:pPr>
      <w:r w:rsidRPr="007867E9">
        <w:rPr>
          <w:rFonts w:eastAsia="SimSun"/>
          <w:snapToGrid/>
          <w:szCs w:val="22"/>
          <w:lang w:eastAsia="zh-CN"/>
        </w:rPr>
        <w:t xml:space="preserve">LT/1/15/3851/006 </w:t>
      </w:r>
      <w:r w:rsidRPr="0038415D">
        <w:rPr>
          <w:rFonts w:eastAsia="SimSun"/>
          <w:snapToGrid/>
          <w:szCs w:val="22"/>
          <w:shd w:val="clear" w:color="auto" w:fill="F2F2F2" w:themeFill="background1" w:themeFillShade="F2"/>
          <w:lang w:eastAsia="zh-CN"/>
        </w:rPr>
        <w:t>– N20</w:t>
      </w:r>
    </w:p>
    <w:p w14:paraId="41CF5D1F" w14:textId="77777777" w:rsidR="00175FED" w:rsidRPr="0038415D" w:rsidRDefault="00175FED" w:rsidP="00175FED">
      <w:pPr>
        <w:spacing w:line="240" w:lineRule="auto"/>
        <w:rPr>
          <w:rFonts w:eastAsia="SimSun"/>
          <w:snapToGrid/>
          <w:szCs w:val="22"/>
          <w:shd w:val="clear" w:color="auto" w:fill="F2F2F2" w:themeFill="background1" w:themeFillShade="F2"/>
          <w:lang w:eastAsia="zh-CN"/>
        </w:rPr>
      </w:pPr>
      <w:r w:rsidRPr="0038415D">
        <w:rPr>
          <w:rFonts w:eastAsia="SimSun"/>
          <w:snapToGrid/>
          <w:szCs w:val="22"/>
          <w:shd w:val="clear" w:color="auto" w:fill="F2F2F2" w:themeFill="background1" w:themeFillShade="F2"/>
          <w:lang w:eastAsia="zh-CN"/>
        </w:rPr>
        <w:t>LT/1</w:t>
      </w:r>
      <w:r w:rsidRPr="00175FED">
        <w:rPr>
          <w:rFonts w:eastAsia="SimSun"/>
          <w:snapToGrid/>
          <w:szCs w:val="22"/>
          <w:shd w:val="clear" w:color="auto" w:fill="F2F2F2" w:themeFill="background1" w:themeFillShade="F2"/>
          <w:lang w:eastAsia="zh-CN"/>
        </w:rPr>
        <w:t>/15/3851</w:t>
      </w:r>
      <w:r w:rsidRPr="0038415D">
        <w:rPr>
          <w:rFonts w:eastAsia="SimSun"/>
          <w:snapToGrid/>
          <w:szCs w:val="22"/>
          <w:shd w:val="clear" w:color="auto" w:fill="F2F2F2" w:themeFill="background1" w:themeFillShade="F2"/>
          <w:lang w:eastAsia="zh-CN"/>
        </w:rPr>
        <w:t>/007 – N30</w:t>
      </w:r>
    </w:p>
    <w:p w14:paraId="4B34530A" w14:textId="77777777" w:rsidR="00175FED" w:rsidRPr="0038415D" w:rsidRDefault="00175FED" w:rsidP="00175FED">
      <w:pPr>
        <w:spacing w:line="240" w:lineRule="auto"/>
        <w:rPr>
          <w:rFonts w:eastAsia="SimSun"/>
          <w:snapToGrid/>
          <w:szCs w:val="22"/>
          <w:shd w:val="clear" w:color="auto" w:fill="F2F2F2" w:themeFill="background1" w:themeFillShade="F2"/>
          <w:lang w:eastAsia="zh-CN"/>
        </w:rPr>
      </w:pPr>
      <w:r w:rsidRPr="0038415D">
        <w:rPr>
          <w:rFonts w:eastAsia="SimSun"/>
          <w:snapToGrid/>
          <w:szCs w:val="22"/>
          <w:shd w:val="clear" w:color="auto" w:fill="F2F2F2" w:themeFill="background1" w:themeFillShade="F2"/>
          <w:lang w:eastAsia="zh-CN"/>
        </w:rPr>
        <w:t>LT/1/15/3851/008 – N50</w:t>
      </w:r>
    </w:p>
    <w:p w14:paraId="31628C3D" w14:textId="77777777" w:rsidR="007867E9" w:rsidRPr="0038415D" w:rsidRDefault="007867E9" w:rsidP="007867E9">
      <w:pPr>
        <w:spacing w:line="240" w:lineRule="auto"/>
        <w:rPr>
          <w:rFonts w:eastAsia="SimSun"/>
          <w:snapToGrid/>
          <w:szCs w:val="22"/>
          <w:shd w:val="clear" w:color="auto" w:fill="F2F2F2" w:themeFill="background1" w:themeFillShade="F2"/>
          <w:lang w:eastAsia="zh-CN"/>
        </w:rPr>
      </w:pPr>
      <w:r w:rsidRPr="0038415D">
        <w:rPr>
          <w:rFonts w:eastAsia="SimSun"/>
          <w:snapToGrid/>
          <w:szCs w:val="22"/>
          <w:shd w:val="clear" w:color="auto" w:fill="F2F2F2" w:themeFill="background1" w:themeFillShade="F2"/>
          <w:lang w:eastAsia="zh-CN"/>
        </w:rPr>
        <w:t>LT/1/15/3851/001 – N60</w:t>
      </w:r>
    </w:p>
    <w:p w14:paraId="2CAABF54" w14:textId="77777777" w:rsidR="007867E9" w:rsidRPr="0038415D" w:rsidRDefault="007867E9" w:rsidP="007867E9">
      <w:pPr>
        <w:spacing w:line="240" w:lineRule="auto"/>
        <w:rPr>
          <w:rFonts w:eastAsia="SimSun"/>
          <w:snapToGrid/>
          <w:szCs w:val="22"/>
          <w:shd w:val="clear" w:color="auto" w:fill="F2F2F2" w:themeFill="background1" w:themeFillShade="F2"/>
          <w:lang w:eastAsia="zh-CN"/>
        </w:rPr>
      </w:pPr>
      <w:r w:rsidRPr="0038415D">
        <w:rPr>
          <w:rFonts w:eastAsia="SimSun"/>
          <w:snapToGrid/>
          <w:szCs w:val="22"/>
          <w:shd w:val="clear" w:color="auto" w:fill="F2F2F2" w:themeFill="background1" w:themeFillShade="F2"/>
          <w:lang w:eastAsia="zh-CN"/>
        </w:rPr>
        <w:t>LT/1/15/3851/009 – N80</w:t>
      </w:r>
    </w:p>
    <w:p w14:paraId="2D7AB1B7" w14:textId="77777777" w:rsidR="007867E9" w:rsidRPr="0038415D" w:rsidRDefault="007867E9" w:rsidP="007867E9">
      <w:pPr>
        <w:spacing w:line="240" w:lineRule="auto"/>
        <w:rPr>
          <w:rFonts w:eastAsia="SimSun"/>
          <w:snapToGrid/>
          <w:szCs w:val="22"/>
          <w:shd w:val="clear" w:color="auto" w:fill="F2F2F2" w:themeFill="background1" w:themeFillShade="F2"/>
          <w:lang w:eastAsia="zh-CN"/>
        </w:rPr>
      </w:pPr>
      <w:r w:rsidRPr="0038415D">
        <w:rPr>
          <w:rFonts w:eastAsia="SimSun"/>
          <w:snapToGrid/>
          <w:szCs w:val="22"/>
          <w:shd w:val="clear" w:color="auto" w:fill="F2F2F2" w:themeFill="background1" w:themeFillShade="F2"/>
          <w:lang w:eastAsia="zh-CN"/>
        </w:rPr>
        <w:t>LT/1/15/3851/010 – N90</w:t>
      </w:r>
    </w:p>
    <w:p w14:paraId="570075CC" w14:textId="77777777" w:rsidR="00175FED" w:rsidRPr="0038415D" w:rsidRDefault="00175FED" w:rsidP="00175FED">
      <w:pPr>
        <w:spacing w:line="240" w:lineRule="auto"/>
        <w:rPr>
          <w:rFonts w:eastAsia="SimSun"/>
          <w:snapToGrid/>
          <w:szCs w:val="22"/>
          <w:shd w:val="clear" w:color="auto" w:fill="F2F2F2" w:themeFill="background1" w:themeFillShade="F2"/>
          <w:lang w:eastAsia="zh-CN"/>
        </w:rPr>
      </w:pPr>
      <w:r w:rsidRPr="0038415D">
        <w:rPr>
          <w:rFonts w:eastAsia="SimSun"/>
          <w:snapToGrid/>
          <w:szCs w:val="22"/>
          <w:shd w:val="clear" w:color="auto" w:fill="F2F2F2" w:themeFill="background1" w:themeFillShade="F2"/>
          <w:lang w:eastAsia="zh-CN"/>
        </w:rPr>
        <w:t>LT/1/15/3851/002 – N120</w:t>
      </w:r>
    </w:p>
    <w:p w14:paraId="47B3F56A" w14:textId="77777777" w:rsidR="007867E9" w:rsidRPr="0038415D" w:rsidRDefault="007867E9" w:rsidP="007867E9">
      <w:pPr>
        <w:spacing w:line="240" w:lineRule="auto"/>
        <w:rPr>
          <w:rFonts w:eastAsia="SimSun"/>
          <w:snapToGrid/>
          <w:szCs w:val="22"/>
          <w:shd w:val="clear" w:color="auto" w:fill="F2F2F2" w:themeFill="background1" w:themeFillShade="F2"/>
          <w:lang w:eastAsia="zh-CN"/>
        </w:rPr>
      </w:pPr>
      <w:r w:rsidRPr="0038415D">
        <w:rPr>
          <w:rFonts w:eastAsia="SimSun"/>
          <w:snapToGrid/>
          <w:szCs w:val="22"/>
          <w:shd w:val="clear" w:color="auto" w:fill="F2F2F2" w:themeFill="background1" w:themeFillShade="F2"/>
          <w:lang w:eastAsia="zh-CN"/>
        </w:rPr>
        <w:t>400 mg</w:t>
      </w:r>
    </w:p>
    <w:p w14:paraId="5DDAC955" w14:textId="77777777" w:rsidR="007867E9" w:rsidRPr="0038415D" w:rsidRDefault="007867E9" w:rsidP="007867E9">
      <w:pPr>
        <w:spacing w:line="240" w:lineRule="auto"/>
        <w:rPr>
          <w:rFonts w:eastAsia="SimSun"/>
          <w:snapToGrid/>
          <w:szCs w:val="22"/>
          <w:shd w:val="clear" w:color="auto" w:fill="F2F2F2" w:themeFill="background1" w:themeFillShade="F2"/>
          <w:lang w:eastAsia="zh-CN"/>
        </w:rPr>
      </w:pPr>
      <w:r w:rsidRPr="0038415D">
        <w:rPr>
          <w:rFonts w:eastAsia="SimSun"/>
          <w:snapToGrid/>
          <w:szCs w:val="22"/>
          <w:shd w:val="clear" w:color="auto" w:fill="F2F2F2" w:themeFill="background1" w:themeFillShade="F2"/>
          <w:lang w:eastAsia="zh-CN"/>
        </w:rPr>
        <w:t>LT/1/15/3851/003 – N10</w:t>
      </w:r>
    </w:p>
    <w:p w14:paraId="2D6ABC50" w14:textId="77777777" w:rsidR="007867E9" w:rsidRPr="0038415D" w:rsidRDefault="007867E9" w:rsidP="007867E9">
      <w:pPr>
        <w:spacing w:line="240" w:lineRule="auto"/>
        <w:rPr>
          <w:rFonts w:eastAsia="SimSun"/>
          <w:snapToGrid/>
          <w:szCs w:val="22"/>
          <w:shd w:val="clear" w:color="auto" w:fill="F2F2F2" w:themeFill="background1" w:themeFillShade="F2"/>
          <w:lang w:eastAsia="zh-CN"/>
        </w:rPr>
      </w:pPr>
      <w:r w:rsidRPr="0038415D">
        <w:rPr>
          <w:rFonts w:eastAsia="SimSun"/>
          <w:snapToGrid/>
          <w:szCs w:val="22"/>
          <w:shd w:val="clear" w:color="auto" w:fill="F2F2F2" w:themeFill="background1" w:themeFillShade="F2"/>
          <w:lang w:eastAsia="zh-CN"/>
        </w:rPr>
        <w:t>LT/1/15/3851/004 – N30</w:t>
      </w:r>
    </w:p>
    <w:p w14:paraId="72C71B42" w14:textId="77777777" w:rsidR="007867E9" w:rsidRPr="0038415D" w:rsidRDefault="007867E9" w:rsidP="007867E9">
      <w:pPr>
        <w:spacing w:line="240" w:lineRule="auto"/>
        <w:rPr>
          <w:rFonts w:eastAsia="SimSun"/>
          <w:snapToGrid/>
          <w:szCs w:val="22"/>
          <w:shd w:val="clear" w:color="auto" w:fill="F2F2F2" w:themeFill="background1" w:themeFillShade="F2"/>
          <w:lang w:eastAsia="zh-CN"/>
        </w:rPr>
      </w:pPr>
      <w:r w:rsidRPr="0038415D">
        <w:rPr>
          <w:rFonts w:eastAsia="SimSun"/>
          <w:snapToGrid/>
          <w:szCs w:val="22"/>
          <w:shd w:val="clear" w:color="auto" w:fill="F2F2F2" w:themeFill="background1" w:themeFillShade="F2"/>
          <w:lang w:eastAsia="zh-CN"/>
        </w:rPr>
        <w:t>LT/1/15/3851/011 – N50</w:t>
      </w:r>
    </w:p>
    <w:p w14:paraId="5B6D96C8" w14:textId="77777777" w:rsidR="007867E9" w:rsidRPr="0038415D" w:rsidRDefault="007867E9" w:rsidP="007867E9">
      <w:pPr>
        <w:spacing w:line="240" w:lineRule="auto"/>
        <w:rPr>
          <w:rFonts w:eastAsia="SimSun"/>
          <w:snapToGrid/>
          <w:szCs w:val="22"/>
          <w:shd w:val="clear" w:color="auto" w:fill="F2F2F2" w:themeFill="background1" w:themeFillShade="F2"/>
          <w:lang w:eastAsia="zh-CN"/>
        </w:rPr>
      </w:pPr>
      <w:r w:rsidRPr="0038415D">
        <w:rPr>
          <w:rFonts w:eastAsia="SimSun"/>
          <w:snapToGrid/>
          <w:szCs w:val="22"/>
          <w:shd w:val="clear" w:color="auto" w:fill="F2F2F2" w:themeFill="background1" w:themeFillShade="F2"/>
          <w:lang w:eastAsia="zh-CN"/>
        </w:rPr>
        <w:t>LT/1/15/3851/012 – N60</w:t>
      </w:r>
    </w:p>
    <w:p w14:paraId="163E4E66" w14:textId="77777777" w:rsidR="00A27597" w:rsidRPr="0038415D" w:rsidRDefault="007867E9" w:rsidP="007867E9">
      <w:pPr>
        <w:spacing w:line="240" w:lineRule="auto"/>
        <w:rPr>
          <w:rFonts w:eastAsia="SimSun"/>
          <w:snapToGrid/>
          <w:szCs w:val="22"/>
          <w:shd w:val="clear" w:color="auto" w:fill="F2F2F2" w:themeFill="background1" w:themeFillShade="F2"/>
          <w:lang w:eastAsia="zh-CN"/>
        </w:rPr>
      </w:pPr>
      <w:r w:rsidRPr="0038415D">
        <w:rPr>
          <w:rFonts w:eastAsia="SimSun"/>
          <w:snapToGrid/>
          <w:szCs w:val="22"/>
          <w:shd w:val="clear" w:color="auto" w:fill="F2F2F2" w:themeFill="background1" w:themeFillShade="F2"/>
          <w:lang w:eastAsia="zh-CN"/>
        </w:rPr>
        <w:t>LT/1/15/3851/013 – N80</w:t>
      </w:r>
    </w:p>
    <w:p w14:paraId="6F526D6D" w14:textId="77777777" w:rsidR="00175FED" w:rsidRPr="0038415D" w:rsidRDefault="00175FED" w:rsidP="00175FED">
      <w:pPr>
        <w:spacing w:line="240" w:lineRule="auto"/>
        <w:rPr>
          <w:rFonts w:eastAsia="SimSun"/>
          <w:snapToGrid/>
          <w:szCs w:val="22"/>
          <w:shd w:val="clear" w:color="auto" w:fill="F2F2F2" w:themeFill="background1" w:themeFillShade="F2"/>
          <w:lang w:eastAsia="zh-CN"/>
        </w:rPr>
      </w:pPr>
      <w:r w:rsidRPr="0038415D">
        <w:rPr>
          <w:rFonts w:eastAsia="SimSun"/>
          <w:snapToGrid/>
          <w:szCs w:val="22"/>
          <w:shd w:val="clear" w:color="auto" w:fill="F2F2F2" w:themeFill="background1" w:themeFillShade="F2"/>
          <w:lang w:eastAsia="zh-CN"/>
        </w:rPr>
        <w:t>LT/1/15/3851/005 – N90</w:t>
      </w:r>
    </w:p>
    <w:p w14:paraId="483CEEA6" w14:textId="77777777" w:rsidR="00175FED" w:rsidRPr="007867E9" w:rsidRDefault="00175FED" w:rsidP="00175FED">
      <w:pPr>
        <w:spacing w:line="240" w:lineRule="auto"/>
        <w:rPr>
          <w:rFonts w:eastAsia="SimSun"/>
          <w:snapToGrid/>
          <w:szCs w:val="22"/>
          <w:lang w:eastAsia="zh-CN"/>
        </w:rPr>
      </w:pPr>
    </w:p>
    <w:p w14:paraId="649C407A" w14:textId="77777777" w:rsidR="00A27597" w:rsidRPr="00CE7679" w:rsidRDefault="00A27597" w:rsidP="00A27597">
      <w:pPr>
        <w:spacing w:line="240" w:lineRule="auto"/>
        <w:rPr>
          <w:rFonts w:eastAsia="SimSun"/>
          <w:snapToGrid/>
          <w:szCs w:val="22"/>
          <w:lang w:eastAsia="zh-CN"/>
        </w:rPr>
      </w:pPr>
    </w:p>
    <w:p w14:paraId="596270EB" w14:textId="77777777" w:rsidR="00A27597" w:rsidRPr="00CE7679" w:rsidRDefault="00A27597" w:rsidP="00A27597">
      <w:pPr>
        <w:suppressLineNumbers/>
        <w:pBdr>
          <w:top w:val="single" w:sz="4" w:space="1" w:color="auto"/>
          <w:left w:val="single" w:sz="4" w:space="4" w:color="auto"/>
          <w:bottom w:val="single" w:sz="4" w:space="1" w:color="auto"/>
          <w:right w:val="single" w:sz="4" w:space="4" w:color="auto"/>
        </w:pBdr>
        <w:spacing w:line="240" w:lineRule="auto"/>
        <w:outlineLvl w:val="0"/>
        <w:rPr>
          <w:rFonts w:eastAsia="SimSun"/>
          <w:snapToGrid/>
          <w:szCs w:val="22"/>
          <w:lang w:eastAsia="zh-CN"/>
        </w:rPr>
      </w:pPr>
      <w:r w:rsidRPr="00CE7679">
        <w:rPr>
          <w:rFonts w:eastAsia="SimSun"/>
          <w:b/>
          <w:snapToGrid/>
          <w:szCs w:val="22"/>
          <w:lang w:eastAsia="zh-CN"/>
        </w:rPr>
        <w:t>13.</w:t>
      </w:r>
      <w:r w:rsidRPr="00CE7679">
        <w:rPr>
          <w:rFonts w:eastAsia="SimSun"/>
          <w:b/>
          <w:snapToGrid/>
          <w:szCs w:val="22"/>
          <w:lang w:eastAsia="zh-CN"/>
        </w:rPr>
        <w:tab/>
        <w:t xml:space="preserve">SERIJOS NUMERIS </w:t>
      </w:r>
    </w:p>
    <w:p w14:paraId="3092D717" w14:textId="77777777" w:rsidR="00A27597" w:rsidRPr="00CE7679" w:rsidRDefault="00A27597" w:rsidP="00A27597">
      <w:pPr>
        <w:spacing w:line="240" w:lineRule="auto"/>
        <w:rPr>
          <w:rFonts w:eastAsia="SimSun"/>
          <w:snapToGrid/>
          <w:szCs w:val="22"/>
          <w:lang w:eastAsia="zh-CN"/>
        </w:rPr>
      </w:pPr>
    </w:p>
    <w:p w14:paraId="0C526088" w14:textId="77777777" w:rsidR="00A27597" w:rsidRPr="00CE7679" w:rsidRDefault="00772778" w:rsidP="00A27597">
      <w:pPr>
        <w:spacing w:line="240" w:lineRule="auto"/>
        <w:rPr>
          <w:rFonts w:eastAsia="SimSun"/>
          <w:snapToGrid/>
          <w:szCs w:val="22"/>
          <w:lang w:eastAsia="zh-CN"/>
        </w:rPr>
      </w:pPr>
      <w:r w:rsidRPr="00CE7679">
        <w:rPr>
          <w:rFonts w:eastAsia="SimSun"/>
          <w:snapToGrid/>
          <w:szCs w:val="22"/>
          <w:lang w:eastAsia="zh-CN"/>
        </w:rPr>
        <w:t xml:space="preserve">Lot </w:t>
      </w:r>
    </w:p>
    <w:p w14:paraId="4F4DE658" w14:textId="77777777" w:rsidR="00A27597" w:rsidRDefault="00A27597" w:rsidP="00A27597">
      <w:pPr>
        <w:spacing w:line="240" w:lineRule="auto"/>
        <w:rPr>
          <w:rFonts w:eastAsia="SimSun"/>
          <w:snapToGrid/>
          <w:szCs w:val="22"/>
          <w:lang w:eastAsia="zh-CN"/>
        </w:rPr>
      </w:pPr>
    </w:p>
    <w:p w14:paraId="7A8AACDC" w14:textId="77777777" w:rsidR="00E03977" w:rsidRPr="00CE7679" w:rsidRDefault="00E03977" w:rsidP="0068785E">
      <w:pPr>
        <w:keepNext/>
        <w:spacing w:line="240" w:lineRule="auto"/>
        <w:rPr>
          <w:rFonts w:eastAsia="SimSun"/>
          <w:snapToGrid/>
          <w:szCs w:val="22"/>
          <w:lang w:eastAsia="zh-CN"/>
        </w:rPr>
      </w:pPr>
    </w:p>
    <w:p w14:paraId="35166D88" w14:textId="77777777" w:rsidR="00A27597" w:rsidRPr="00CE7679" w:rsidRDefault="00A27597" w:rsidP="0068785E">
      <w:pPr>
        <w:keepNext/>
        <w:suppressLineNumbers/>
        <w:pBdr>
          <w:top w:val="single" w:sz="4" w:space="1" w:color="auto"/>
          <w:left w:val="single" w:sz="4" w:space="4" w:color="auto"/>
          <w:bottom w:val="single" w:sz="4" w:space="1" w:color="auto"/>
          <w:right w:val="single" w:sz="4" w:space="4" w:color="auto"/>
        </w:pBdr>
        <w:spacing w:line="240" w:lineRule="auto"/>
        <w:outlineLvl w:val="0"/>
        <w:rPr>
          <w:rFonts w:eastAsia="SimSun"/>
          <w:snapToGrid/>
          <w:szCs w:val="22"/>
          <w:lang w:eastAsia="zh-CN"/>
        </w:rPr>
      </w:pPr>
      <w:r w:rsidRPr="00CE7679">
        <w:rPr>
          <w:rFonts w:eastAsia="SimSun"/>
          <w:b/>
          <w:snapToGrid/>
          <w:szCs w:val="22"/>
          <w:lang w:eastAsia="zh-CN"/>
        </w:rPr>
        <w:t>14.</w:t>
      </w:r>
      <w:r w:rsidRPr="00CE7679">
        <w:rPr>
          <w:rFonts w:eastAsia="SimSun"/>
          <w:b/>
          <w:snapToGrid/>
          <w:szCs w:val="22"/>
          <w:lang w:eastAsia="zh-CN"/>
        </w:rPr>
        <w:tab/>
        <w:t>PARDAVIMO (IŠDAVIMO) TVARKA</w:t>
      </w:r>
    </w:p>
    <w:p w14:paraId="3874CCC1" w14:textId="77777777" w:rsidR="00A27597" w:rsidRPr="00CE7679" w:rsidRDefault="00A27597" w:rsidP="0068785E">
      <w:pPr>
        <w:keepNext/>
        <w:spacing w:line="240" w:lineRule="auto"/>
        <w:rPr>
          <w:rFonts w:eastAsia="SimSun"/>
          <w:snapToGrid/>
          <w:szCs w:val="22"/>
          <w:lang w:eastAsia="zh-CN"/>
        </w:rPr>
      </w:pPr>
    </w:p>
    <w:p w14:paraId="73DFD37D" w14:textId="77777777" w:rsidR="00A27597" w:rsidRPr="00CE7679" w:rsidRDefault="00A27597" w:rsidP="0068785E">
      <w:pPr>
        <w:keepNext/>
        <w:spacing w:line="240" w:lineRule="auto"/>
        <w:rPr>
          <w:rFonts w:eastAsia="SimSun"/>
          <w:snapToGrid/>
          <w:szCs w:val="22"/>
          <w:lang w:eastAsia="zh-CN"/>
        </w:rPr>
      </w:pPr>
      <w:r w:rsidRPr="00CE7679">
        <w:rPr>
          <w:rFonts w:eastAsia="SimSun"/>
          <w:snapToGrid/>
          <w:szCs w:val="22"/>
          <w:lang w:eastAsia="zh-CN"/>
        </w:rPr>
        <w:t>Receptinis vaist</w:t>
      </w:r>
      <w:r w:rsidR="009D64F2" w:rsidRPr="00CE7679">
        <w:rPr>
          <w:rFonts w:eastAsia="SimSun"/>
          <w:snapToGrid/>
          <w:szCs w:val="22"/>
          <w:lang w:eastAsia="zh-CN"/>
        </w:rPr>
        <w:t>as</w:t>
      </w:r>
      <w:r w:rsidRPr="00CE7679">
        <w:rPr>
          <w:rFonts w:eastAsia="SimSun"/>
          <w:snapToGrid/>
          <w:szCs w:val="22"/>
          <w:lang w:eastAsia="zh-CN"/>
        </w:rPr>
        <w:t>.</w:t>
      </w:r>
    </w:p>
    <w:p w14:paraId="6CC15845" w14:textId="77777777" w:rsidR="00A27597" w:rsidRPr="00CE7679" w:rsidRDefault="00A27597" w:rsidP="00A27597">
      <w:pPr>
        <w:spacing w:line="240" w:lineRule="auto"/>
        <w:rPr>
          <w:rFonts w:eastAsia="SimSun"/>
          <w:snapToGrid/>
          <w:szCs w:val="22"/>
          <w:lang w:eastAsia="zh-CN"/>
        </w:rPr>
      </w:pPr>
    </w:p>
    <w:p w14:paraId="506444A1" w14:textId="77777777" w:rsidR="00A27597" w:rsidRPr="00CE7679" w:rsidRDefault="00A27597" w:rsidP="00A27597">
      <w:pPr>
        <w:spacing w:line="240" w:lineRule="auto"/>
        <w:rPr>
          <w:rFonts w:eastAsia="SimSun"/>
          <w:snapToGrid/>
          <w:szCs w:val="22"/>
          <w:lang w:eastAsia="zh-CN"/>
        </w:rPr>
      </w:pPr>
    </w:p>
    <w:p w14:paraId="31A9AE2E" w14:textId="77777777" w:rsidR="00A27597" w:rsidRPr="00CE7679" w:rsidRDefault="00A27597" w:rsidP="00A27597">
      <w:pPr>
        <w:suppressLineNumbers/>
        <w:pBdr>
          <w:top w:val="single" w:sz="4" w:space="2" w:color="auto"/>
          <w:left w:val="single" w:sz="4" w:space="4" w:color="auto"/>
          <w:bottom w:val="single" w:sz="4" w:space="1" w:color="auto"/>
          <w:right w:val="single" w:sz="4" w:space="4" w:color="auto"/>
        </w:pBdr>
        <w:spacing w:line="240" w:lineRule="auto"/>
        <w:outlineLvl w:val="0"/>
        <w:rPr>
          <w:rFonts w:eastAsia="SimSun"/>
          <w:snapToGrid/>
          <w:szCs w:val="22"/>
          <w:lang w:eastAsia="zh-CN"/>
        </w:rPr>
      </w:pPr>
      <w:r w:rsidRPr="00CE7679">
        <w:rPr>
          <w:rFonts w:eastAsia="SimSun"/>
          <w:b/>
          <w:snapToGrid/>
          <w:szCs w:val="22"/>
          <w:lang w:eastAsia="zh-CN"/>
        </w:rPr>
        <w:t>15.</w:t>
      </w:r>
      <w:r w:rsidRPr="00CE7679">
        <w:rPr>
          <w:rFonts w:eastAsia="SimSun"/>
          <w:b/>
          <w:snapToGrid/>
          <w:szCs w:val="22"/>
          <w:lang w:eastAsia="zh-CN"/>
        </w:rPr>
        <w:tab/>
        <w:t>VARTOJIMO INSTRUKCIJA</w:t>
      </w:r>
    </w:p>
    <w:p w14:paraId="558BDE72" w14:textId="77777777" w:rsidR="00A27597" w:rsidRPr="00CE7679" w:rsidRDefault="00A27597" w:rsidP="00A27597">
      <w:pPr>
        <w:spacing w:line="240" w:lineRule="auto"/>
        <w:rPr>
          <w:rFonts w:eastAsia="SimSun"/>
          <w:snapToGrid/>
          <w:szCs w:val="22"/>
          <w:lang w:eastAsia="zh-CN"/>
        </w:rPr>
      </w:pPr>
    </w:p>
    <w:p w14:paraId="71E19D0B" w14:textId="77777777" w:rsidR="00A27597" w:rsidRPr="00CE7679" w:rsidRDefault="00A27597" w:rsidP="00A27597">
      <w:pPr>
        <w:spacing w:line="240" w:lineRule="auto"/>
        <w:rPr>
          <w:rFonts w:eastAsia="SimSun"/>
          <w:snapToGrid/>
          <w:szCs w:val="22"/>
          <w:lang w:eastAsia="zh-CN"/>
        </w:rPr>
      </w:pPr>
    </w:p>
    <w:p w14:paraId="7752A2D5" w14:textId="77777777" w:rsidR="00A27597" w:rsidRPr="00CE7679" w:rsidRDefault="00A27597" w:rsidP="00A27597">
      <w:pPr>
        <w:suppressLineNumbers/>
        <w:pBdr>
          <w:top w:val="single" w:sz="4" w:space="1" w:color="auto"/>
          <w:left w:val="single" w:sz="4" w:space="4" w:color="auto"/>
          <w:bottom w:val="single" w:sz="4" w:space="0" w:color="auto"/>
          <w:right w:val="single" w:sz="4" w:space="4" w:color="auto"/>
        </w:pBdr>
        <w:spacing w:line="240" w:lineRule="auto"/>
        <w:rPr>
          <w:rFonts w:eastAsia="Calibri"/>
          <w:snapToGrid/>
          <w:szCs w:val="22"/>
        </w:rPr>
      </w:pPr>
      <w:r w:rsidRPr="00CE7679">
        <w:rPr>
          <w:rFonts w:eastAsia="SimSun"/>
          <w:b/>
          <w:snapToGrid/>
          <w:szCs w:val="22"/>
          <w:lang w:eastAsia="zh-CN"/>
        </w:rPr>
        <w:t>16.</w:t>
      </w:r>
      <w:r w:rsidRPr="00CE7679">
        <w:rPr>
          <w:rFonts w:eastAsia="SimSun"/>
          <w:b/>
          <w:snapToGrid/>
          <w:szCs w:val="22"/>
          <w:lang w:eastAsia="zh-CN"/>
        </w:rPr>
        <w:tab/>
        <w:t>INFORMACIJA BRAILIO RAŠTU</w:t>
      </w:r>
    </w:p>
    <w:p w14:paraId="383DBEB0" w14:textId="77777777" w:rsidR="00A27597" w:rsidRPr="00CE7679" w:rsidRDefault="00A27597" w:rsidP="00A27597">
      <w:pPr>
        <w:spacing w:line="240" w:lineRule="auto"/>
        <w:rPr>
          <w:rFonts w:eastAsia="SimSun"/>
          <w:snapToGrid/>
          <w:szCs w:val="22"/>
          <w:lang w:eastAsia="zh-CN"/>
        </w:rPr>
      </w:pPr>
    </w:p>
    <w:p w14:paraId="33C942C6" w14:textId="77777777" w:rsidR="00A27597" w:rsidRPr="00CE7679" w:rsidRDefault="00A27597" w:rsidP="00A27597">
      <w:pPr>
        <w:spacing w:line="240" w:lineRule="auto"/>
        <w:rPr>
          <w:rFonts w:eastAsia="SimSun"/>
          <w:snapToGrid/>
          <w:szCs w:val="22"/>
          <w:lang w:eastAsia="zh-CN"/>
        </w:rPr>
      </w:pP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 xml:space="preserve"> 100 mg</w:t>
      </w:r>
    </w:p>
    <w:p w14:paraId="4B1381CB" w14:textId="77777777" w:rsidR="00A27597" w:rsidRPr="00CE7679" w:rsidRDefault="00A27597" w:rsidP="00A27597">
      <w:pPr>
        <w:spacing w:line="240" w:lineRule="auto"/>
        <w:rPr>
          <w:rFonts w:eastAsia="Calibri"/>
          <w:snapToGrid/>
          <w:szCs w:val="22"/>
          <w:highlight w:val="lightGray"/>
        </w:rPr>
      </w:pPr>
      <w:proofErr w:type="spellStart"/>
      <w:r w:rsidRPr="00CE7679">
        <w:rPr>
          <w:rFonts w:eastAsia="Calibri"/>
          <w:snapToGrid/>
          <w:szCs w:val="22"/>
          <w:highlight w:val="lightGray"/>
        </w:rPr>
        <w:t>Imatinib</w:t>
      </w:r>
      <w:proofErr w:type="spellEnd"/>
      <w:r w:rsidRPr="00CE7679">
        <w:rPr>
          <w:rFonts w:eastAsia="Calibri"/>
          <w:snapToGrid/>
          <w:szCs w:val="22"/>
          <w:highlight w:val="lightGray"/>
        </w:rPr>
        <w:t xml:space="preserve"> </w:t>
      </w:r>
      <w:proofErr w:type="spellStart"/>
      <w:r w:rsidRPr="00CE7679">
        <w:rPr>
          <w:rFonts w:eastAsia="Calibri"/>
          <w:snapToGrid/>
          <w:szCs w:val="22"/>
          <w:highlight w:val="lightGray"/>
        </w:rPr>
        <w:t>Sandoz</w:t>
      </w:r>
      <w:proofErr w:type="spellEnd"/>
      <w:r w:rsidRPr="00CE7679">
        <w:rPr>
          <w:rFonts w:eastAsia="Calibri"/>
          <w:snapToGrid/>
          <w:szCs w:val="22"/>
          <w:highlight w:val="lightGray"/>
        </w:rPr>
        <w:t xml:space="preserve"> 400 mg</w:t>
      </w:r>
    </w:p>
    <w:p w14:paraId="466716BF" w14:textId="77777777" w:rsidR="00A27597" w:rsidRPr="00CE7679" w:rsidRDefault="00A27597" w:rsidP="00A27597">
      <w:pPr>
        <w:spacing w:line="240" w:lineRule="auto"/>
        <w:rPr>
          <w:rFonts w:eastAsia="Calibri"/>
          <w:snapToGrid/>
          <w:szCs w:val="22"/>
          <w:highlight w:val="lightGray"/>
        </w:rPr>
      </w:pPr>
    </w:p>
    <w:p w14:paraId="7BE07A98" w14:textId="77777777" w:rsidR="00A27597" w:rsidRPr="00CE7679" w:rsidRDefault="00A27597" w:rsidP="00A27597">
      <w:pPr>
        <w:spacing w:line="240" w:lineRule="auto"/>
        <w:rPr>
          <w:rFonts w:eastAsia="Calibri"/>
          <w:snapToGrid/>
          <w:szCs w:val="22"/>
          <w:highlight w:val="lightGray"/>
        </w:rPr>
      </w:pPr>
    </w:p>
    <w:p w14:paraId="6DCC17EC" w14:textId="77777777" w:rsidR="00A27597" w:rsidRPr="00CE7679" w:rsidRDefault="00A27597" w:rsidP="00A27597">
      <w:pPr>
        <w:keepNext/>
        <w:pBdr>
          <w:top w:val="single" w:sz="4" w:space="1" w:color="auto"/>
          <w:left w:val="single" w:sz="4" w:space="4" w:color="auto"/>
          <w:bottom w:val="single" w:sz="4" w:space="1" w:color="auto"/>
          <w:right w:val="single" w:sz="4" w:space="4" w:color="auto"/>
        </w:pBdr>
        <w:ind w:left="-3"/>
        <w:outlineLvl w:val="0"/>
        <w:rPr>
          <w:i/>
          <w:lang w:bidi="lt-LT"/>
        </w:rPr>
      </w:pPr>
      <w:r w:rsidRPr="00CE7679">
        <w:rPr>
          <w:b/>
          <w:lang w:bidi="lt-LT"/>
        </w:rPr>
        <w:t>17.</w:t>
      </w:r>
      <w:r w:rsidRPr="00CE7679">
        <w:rPr>
          <w:b/>
          <w:lang w:bidi="lt-LT"/>
        </w:rPr>
        <w:tab/>
        <w:t>UNIKALUS IDENTIFIKATORIUS – 2D BRŪKŠNINIS KODAS</w:t>
      </w:r>
    </w:p>
    <w:p w14:paraId="49BE9891" w14:textId="77777777" w:rsidR="00A27597" w:rsidRPr="00CE7679" w:rsidRDefault="00A27597" w:rsidP="00A27597">
      <w:pPr>
        <w:rPr>
          <w:lang w:bidi="lt-LT"/>
        </w:rPr>
      </w:pPr>
    </w:p>
    <w:p w14:paraId="2FEFD8CE" w14:textId="77777777" w:rsidR="00A27597" w:rsidRPr="00CE7679" w:rsidRDefault="00A27597" w:rsidP="00A27597">
      <w:pPr>
        <w:rPr>
          <w:szCs w:val="22"/>
          <w:shd w:val="clear" w:color="auto" w:fill="CCCCCC"/>
          <w:lang w:bidi="lt-LT"/>
        </w:rPr>
      </w:pPr>
      <w:r w:rsidRPr="00CE7679">
        <w:rPr>
          <w:highlight w:val="lightGray"/>
          <w:lang w:bidi="lt-LT"/>
        </w:rPr>
        <w:t>2D brūkšninis kodas su nurodytu unikaliu identifikatoriumi.</w:t>
      </w:r>
    </w:p>
    <w:p w14:paraId="1F5D206B" w14:textId="77777777" w:rsidR="00A27597" w:rsidRPr="00CE7679" w:rsidRDefault="00A27597" w:rsidP="00A27597">
      <w:pPr>
        <w:rPr>
          <w:lang w:bidi="lt-LT"/>
        </w:rPr>
      </w:pPr>
    </w:p>
    <w:p w14:paraId="52B16A95" w14:textId="77777777" w:rsidR="00A27597" w:rsidRPr="00CE7679" w:rsidRDefault="00A27597" w:rsidP="00A27597">
      <w:pPr>
        <w:rPr>
          <w:lang w:bidi="lt-LT"/>
        </w:rPr>
      </w:pPr>
    </w:p>
    <w:p w14:paraId="7B52BB6E" w14:textId="77777777" w:rsidR="00A27597" w:rsidRPr="00CE7679" w:rsidRDefault="00A27597" w:rsidP="00A27597">
      <w:pPr>
        <w:keepNext/>
        <w:pBdr>
          <w:top w:val="single" w:sz="4" w:space="1" w:color="auto"/>
          <w:left w:val="single" w:sz="4" w:space="4" w:color="auto"/>
          <w:bottom w:val="single" w:sz="4" w:space="1" w:color="auto"/>
          <w:right w:val="single" w:sz="4" w:space="4" w:color="auto"/>
        </w:pBdr>
        <w:ind w:left="-3"/>
        <w:outlineLvl w:val="0"/>
        <w:rPr>
          <w:i/>
          <w:lang w:bidi="lt-LT"/>
        </w:rPr>
      </w:pPr>
      <w:r w:rsidRPr="00CE7679">
        <w:rPr>
          <w:b/>
          <w:lang w:bidi="lt-LT"/>
        </w:rPr>
        <w:t>18.</w:t>
      </w:r>
      <w:r w:rsidRPr="00CE7679">
        <w:rPr>
          <w:b/>
          <w:lang w:bidi="lt-LT"/>
        </w:rPr>
        <w:tab/>
        <w:t>UNIKALUS IDENTIFIKATORIUS – ŽMONĖMS SUPRANTAMI DUOMENYS</w:t>
      </w:r>
    </w:p>
    <w:p w14:paraId="2FED5AFB" w14:textId="77777777" w:rsidR="00A27597" w:rsidRPr="00CE7679" w:rsidRDefault="00A27597" w:rsidP="00A27597">
      <w:pPr>
        <w:rPr>
          <w:lang w:bidi="lt-LT"/>
        </w:rPr>
      </w:pPr>
    </w:p>
    <w:p w14:paraId="3FC817F0" w14:textId="47740BD2" w:rsidR="00A27597" w:rsidRPr="00CE7679" w:rsidRDefault="00A27597" w:rsidP="00A27597">
      <w:pPr>
        <w:rPr>
          <w:szCs w:val="22"/>
          <w:lang w:bidi="lt-LT"/>
        </w:rPr>
      </w:pPr>
      <w:r w:rsidRPr="00CE7679">
        <w:rPr>
          <w:lang w:bidi="lt-LT"/>
        </w:rPr>
        <w:t>PC {numeris}</w:t>
      </w:r>
    </w:p>
    <w:p w14:paraId="7A4B3A56" w14:textId="49F65746" w:rsidR="00A27597" w:rsidRPr="00CE7679" w:rsidRDefault="00A27597" w:rsidP="00A27597">
      <w:pPr>
        <w:rPr>
          <w:szCs w:val="22"/>
          <w:lang w:bidi="lt-LT"/>
        </w:rPr>
      </w:pPr>
      <w:r w:rsidRPr="00CE7679">
        <w:rPr>
          <w:lang w:bidi="lt-LT"/>
        </w:rPr>
        <w:t>SN {numeris}</w:t>
      </w:r>
    </w:p>
    <w:p w14:paraId="3309E184" w14:textId="0A7EE60F" w:rsidR="00A27597" w:rsidRPr="00CE7679" w:rsidRDefault="00A27597" w:rsidP="00A27597">
      <w:pPr>
        <w:rPr>
          <w:szCs w:val="22"/>
        </w:rPr>
      </w:pPr>
      <w:r w:rsidRPr="00CE7679">
        <w:rPr>
          <w:highlight w:val="lightGray"/>
          <w:lang w:bidi="lt-LT"/>
        </w:rPr>
        <w:t>NN {numeris}</w:t>
      </w:r>
    </w:p>
    <w:p w14:paraId="1D1D4A90" w14:textId="77777777" w:rsidR="00A27597" w:rsidRPr="00CE7679" w:rsidRDefault="00A27597" w:rsidP="00A27597">
      <w:pPr>
        <w:pBdr>
          <w:top w:val="single" w:sz="4" w:space="1" w:color="auto"/>
          <w:left w:val="single" w:sz="4" w:space="4" w:color="auto"/>
          <w:bottom w:val="single" w:sz="4" w:space="1" w:color="auto"/>
          <w:right w:val="single" w:sz="4" w:space="4" w:color="auto"/>
        </w:pBdr>
        <w:spacing w:line="240" w:lineRule="auto"/>
        <w:rPr>
          <w:rFonts w:eastAsia="SimSun"/>
          <w:snapToGrid/>
          <w:szCs w:val="22"/>
          <w:lang w:eastAsia="zh-CN"/>
        </w:rPr>
      </w:pPr>
      <w:r w:rsidRPr="00CE7679">
        <w:rPr>
          <w:szCs w:val="22"/>
        </w:rPr>
        <w:br w:type="page"/>
      </w:r>
      <w:r w:rsidRPr="00CE7679">
        <w:rPr>
          <w:rFonts w:eastAsia="SimSun"/>
          <w:b/>
          <w:snapToGrid/>
          <w:szCs w:val="22"/>
          <w:lang w:eastAsia="zh-CN"/>
        </w:rPr>
        <w:lastRenderedPageBreak/>
        <w:t>MINIMALI INFORMACIJA ANT LIZDINIŲ PLOKŠTELIŲ ARBA DVISLUOKSNIŲ JUOSTELIŲ</w:t>
      </w:r>
      <w:r w:rsidRPr="00CE7679">
        <w:rPr>
          <w:rFonts w:eastAsia="SimSun"/>
          <w:b/>
          <w:snapToGrid/>
          <w:szCs w:val="22"/>
          <w:lang w:eastAsia="zh-CN"/>
        </w:rPr>
        <w:br/>
      </w:r>
      <w:r w:rsidRPr="00CE7679">
        <w:rPr>
          <w:rFonts w:eastAsia="SimSun"/>
          <w:b/>
          <w:snapToGrid/>
          <w:szCs w:val="22"/>
          <w:lang w:eastAsia="zh-CN"/>
        </w:rPr>
        <w:br/>
      </w:r>
      <w:r w:rsidR="00B15DCF" w:rsidRPr="001B17F9">
        <w:rPr>
          <w:b/>
          <w:szCs w:val="22"/>
        </w:rPr>
        <w:t>P</w:t>
      </w:r>
      <w:r w:rsidR="009122AE">
        <w:rPr>
          <w:b/>
          <w:szCs w:val="22"/>
        </w:rPr>
        <w:t>VC/AL ARBA PVC/PE/PVDC/AL</w:t>
      </w:r>
      <w:r w:rsidR="00B15DCF" w:rsidRPr="001B17F9">
        <w:rPr>
          <w:b/>
          <w:bCs/>
          <w:szCs w:val="22"/>
        </w:rPr>
        <w:t xml:space="preserve"> </w:t>
      </w:r>
      <w:r w:rsidRPr="00CE7679">
        <w:rPr>
          <w:rFonts w:ascii="Times New Roman Bold" w:eastAsia="SimSun" w:hAnsi="Times New Roman Bold"/>
          <w:b/>
          <w:caps/>
          <w:snapToGrid/>
          <w:szCs w:val="22"/>
          <w:lang w:eastAsia="zh-CN"/>
        </w:rPr>
        <w:t>Lizdin</w:t>
      </w:r>
      <w:r w:rsidRPr="00CE7679">
        <w:rPr>
          <w:rFonts w:ascii="Times New Roman Bold" w:eastAsia="SimSun" w:hAnsi="Times New Roman Bold" w:hint="cs"/>
          <w:b/>
          <w:caps/>
          <w:snapToGrid/>
          <w:szCs w:val="22"/>
          <w:lang w:eastAsia="zh-CN"/>
        </w:rPr>
        <w:t>ė</w:t>
      </w:r>
      <w:r w:rsidRPr="00CE7679">
        <w:rPr>
          <w:rFonts w:ascii="Times New Roman Bold" w:eastAsia="SimSun" w:hAnsi="Times New Roman Bold"/>
          <w:b/>
          <w:caps/>
          <w:snapToGrid/>
          <w:szCs w:val="22"/>
          <w:lang w:eastAsia="zh-CN"/>
        </w:rPr>
        <w:t>s plokštel</w:t>
      </w:r>
      <w:r w:rsidRPr="00CE7679">
        <w:rPr>
          <w:rFonts w:ascii="Times New Roman Bold" w:eastAsia="SimSun" w:hAnsi="Times New Roman Bold" w:hint="cs"/>
          <w:b/>
          <w:caps/>
          <w:snapToGrid/>
          <w:szCs w:val="22"/>
          <w:lang w:eastAsia="zh-CN"/>
        </w:rPr>
        <w:t>ė</w:t>
      </w:r>
      <w:r w:rsidRPr="00CE7679">
        <w:rPr>
          <w:rFonts w:ascii="Times New Roman Bold" w:eastAsia="SimSun" w:hAnsi="Times New Roman Bold"/>
          <w:b/>
          <w:caps/>
          <w:snapToGrid/>
          <w:szCs w:val="22"/>
          <w:lang w:eastAsia="zh-CN"/>
        </w:rPr>
        <w:t>s</w:t>
      </w:r>
    </w:p>
    <w:p w14:paraId="07C24657" w14:textId="77777777" w:rsidR="00A27597" w:rsidRPr="00CE7679" w:rsidRDefault="00A27597" w:rsidP="00A27597">
      <w:pPr>
        <w:spacing w:line="240" w:lineRule="auto"/>
        <w:rPr>
          <w:rFonts w:eastAsia="SimSun"/>
          <w:snapToGrid/>
          <w:szCs w:val="22"/>
          <w:lang w:eastAsia="zh-CN"/>
        </w:rPr>
      </w:pPr>
    </w:p>
    <w:p w14:paraId="43112AC8" w14:textId="77777777" w:rsidR="00A27597" w:rsidRPr="00CE7679" w:rsidRDefault="00A27597" w:rsidP="00A27597">
      <w:pPr>
        <w:spacing w:line="240" w:lineRule="auto"/>
        <w:rPr>
          <w:rFonts w:eastAsia="SimSun"/>
          <w:snapToGrid/>
          <w:szCs w:val="22"/>
          <w:lang w:eastAsia="zh-CN"/>
        </w:rPr>
      </w:pPr>
    </w:p>
    <w:p w14:paraId="04A316D2" w14:textId="77777777" w:rsidR="00A27597" w:rsidRPr="00CE7679" w:rsidRDefault="00A27597" w:rsidP="00A27597">
      <w:pPr>
        <w:suppressLineNumbers/>
        <w:pBdr>
          <w:top w:val="single" w:sz="4" w:space="1" w:color="auto"/>
          <w:left w:val="single" w:sz="4" w:space="4" w:color="auto"/>
          <w:bottom w:val="single" w:sz="4" w:space="1" w:color="auto"/>
          <w:right w:val="single" w:sz="4" w:space="4" w:color="auto"/>
        </w:pBdr>
        <w:spacing w:line="240" w:lineRule="auto"/>
        <w:outlineLvl w:val="0"/>
        <w:rPr>
          <w:rFonts w:eastAsia="SimSun"/>
          <w:b/>
          <w:snapToGrid/>
          <w:szCs w:val="22"/>
          <w:lang w:eastAsia="zh-CN"/>
        </w:rPr>
      </w:pPr>
      <w:r w:rsidRPr="00CE7679">
        <w:rPr>
          <w:rFonts w:eastAsia="SimSun"/>
          <w:b/>
          <w:snapToGrid/>
          <w:szCs w:val="22"/>
          <w:lang w:eastAsia="zh-CN"/>
        </w:rPr>
        <w:t>1.</w:t>
      </w:r>
      <w:r w:rsidRPr="00CE7679">
        <w:rPr>
          <w:rFonts w:eastAsia="SimSun"/>
          <w:b/>
          <w:snapToGrid/>
          <w:szCs w:val="22"/>
          <w:lang w:eastAsia="zh-CN"/>
        </w:rPr>
        <w:tab/>
      </w:r>
      <w:r w:rsidRPr="00CE7679">
        <w:rPr>
          <w:rFonts w:eastAsia="SimSun"/>
          <w:b/>
          <w:caps/>
          <w:snapToGrid/>
          <w:szCs w:val="22"/>
          <w:lang w:eastAsia="zh-CN"/>
        </w:rPr>
        <w:t>VAISTINIO</w:t>
      </w:r>
      <w:r w:rsidRPr="00CE7679">
        <w:rPr>
          <w:rFonts w:eastAsia="SimSun"/>
          <w:b/>
          <w:snapToGrid/>
          <w:szCs w:val="22"/>
          <w:lang w:eastAsia="zh-CN"/>
        </w:rPr>
        <w:t xml:space="preserve"> PREPARATO PAVADINIMAS</w:t>
      </w:r>
    </w:p>
    <w:p w14:paraId="7FAF39CC" w14:textId="77777777" w:rsidR="00A27597" w:rsidRPr="00CE7679" w:rsidRDefault="00A27597" w:rsidP="00A27597">
      <w:pPr>
        <w:spacing w:line="240" w:lineRule="auto"/>
        <w:rPr>
          <w:rFonts w:eastAsia="SimSun"/>
          <w:snapToGrid/>
          <w:szCs w:val="22"/>
          <w:lang w:eastAsia="zh-CN"/>
        </w:rPr>
      </w:pPr>
    </w:p>
    <w:p w14:paraId="00493A34" w14:textId="77777777" w:rsidR="00A27597" w:rsidRPr="00CE7679" w:rsidRDefault="00A27597" w:rsidP="00A27597">
      <w:pPr>
        <w:spacing w:line="240" w:lineRule="auto"/>
        <w:rPr>
          <w:rFonts w:eastAsia="SimSun"/>
          <w:snapToGrid/>
          <w:szCs w:val="22"/>
          <w:lang w:eastAsia="zh-CN"/>
        </w:rPr>
      </w:pP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 xml:space="preserve"> 100 mg </w:t>
      </w:r>
      <w:r w:rsidRPr="00CE7679">
        <w:rPr>
          <w:rFonts w:eastAsia="Calibri"/>
          <w:highlight w:val="lightGray"/>
        </w:rPr>
        <w:t>plėvele dengtos</w:t>
      </w:r>
      <w:r w:rsidRPr="00CE7679">
        <w:rPr>
          <w:rFonts w:eastAsia="SimSun"/>
          <w:snapToGrid/>
          <w:szCs w:val="22"/>
          <w:lang w:eastAsia="zh-CN"/>
        </w:rPr>
        <w:t xml:space="preserve"> tabletės</w:t>
      </w:r>
    </w:p>
    <w:p w14:paraId="144A905F" w14:textId="77777777" w:rsidR="00A27597" w:rsidRPr="00CE7679" w:rsidRDefault="00A27597" w:rsidP="00A27597">
      <w:pPr>
        <w:spacing w:line="240" w:lineRule="auto"/>
        <w:rPr>
          <w:rFonts w:eastAsia="SimSun"/>
          <w:snapToGrid/>
          <w:szCs w:val="22"/>
          <w:lang w:eastAsia="zh-CN"/>
        </w:rPr>
      </w:pPr>
      <w:proofErr w:type="spellStart"/>
      <w:r w:rsidRPr="00CE7679">
        <w:rPr>
          <w:rFonts w:eastAsia="SimSun"/>
          <w:snapToGrid/>
          <w:szCs w:val="22"/>
          <w:highlight w:val="lightGray"/>
          <w:lang w:eastAsia="zh-CN"/>
        </w:rPr>
        <w:t>Imatinib</w:t>
      </w:r>
      <w:proofErr w:type="spellEnd"/>
      <w:r w:rsidRPr="00CE7679">
        <w:rPr>
          <w:rFonts w:eastAsia="SimSun"/>
          <w:snapToGrid/>
          <w:szCs w:val="22"/>
          <w:highlight w:val="lightGray"/>
          <w:lang w:eastAsia="zh-CN"/>
        </w:rPr>
        <w:t xml:space="preserve"> </w:t>
      </w:r>
      <w:proofErr w:type="spellStart"/>
      <w:r w:rsidRPr="00CE7679">
        <w:rPr>
          <w:rFonts w:eastAsia="SimSun"/>
          <w:snapToGrid/>
          <w:szCs w:val="22"/>
          <w:highlight w:val="lightGray"/>
          <w:lang w:eastAsia="zh-CN"/>
        </w:rPr>
        <w:t>Sandoz</w:t>
      </w:r>
      <w:proofErr w:type="spellEnd"/>
      <w:r w:rsidRPr="00CE7679">
        <w:rPr>
          <w:rFonts w:eastAsia="SimSun"/>
          <w:snapToGrid/>
          <w:szCs w:val="22"/>
          <w:highlight w:val="lightGray"/>
          <w:lang w:eastAsia="zh-CN"/>
        </w:rPr>
        <w:t xml:space="preserve"> 400 mg </w:t>
      </w:r>
      <w:r w:rsidRPr="00CE7679">
        <w:rPr>
          <w:rFonts w:eastAsia="Calibri"/>
          <w:snapToGrid/>
          <w:szCs w:val="22"/>
          <w:highlight w:val="lightGray"/>
        </w:rPr>
        <w:t>plėvele dengtos</w:t>
      </w:r>
      <w:r w:rsidRPr="00CE7679">
        <w:rPr>
          <w:rFonts w:eastAsia="SimSun"/>
          <w:snapToGrid/>
          <w:szCs w:val="22"/>
          <w:highlight w:val="lightGray"/>
          <w:lang w:eastAsia="zh-CN"/>
        </w:rPr>
        <w:t xml:space="preserve"> tabletės</w:t>
      </w:r>
    </w:p>
    <w:p w14:paraId="0B9137D3" w14:textId="77777777" w:rsidR="00A27597" w:rsidRPr="00CE7679" w:rsidRDefault="00A27597" w:rsidP="00A27597">
      <w:pPr>
        <w:spacing w:line="240" w:lineRule="auto"/>
        <w:rPr>
          <w:rFonts w:eastAsia="SimSun"/>
          <w:snapToGrid/>
          <w:szCs w:val="22"/>
          <w:lang w:eastAsia="zh-CN"/>
        </w:rPr>
      </w:pPr>
    </w:p>
    <w:p w14:paraId="5D175B0B" w14:textId="77777777" w:rsidR="000B7648" w:rsidRPr="00701D61" w:rsidRDefault="00E71239" w:rsidP="000B7648">
      <w:pPr>
        <w:spacing w:line="240" w:lineRule="auto"/>
        <w:rPr>
          <w:rFonts w:eastAsia="SimSun"/>
          <w:snapToGrid/>
          <w:szCs w:val="22"/>
          <w:lang w:eastAsia="zh-CN"/>
        </w:rPr>
      </w:pPr>
      <w:proofErr w:type="spellStart"/>
      <w:r>
        <w:rPr>
          <w:rFonts w:eastAsia="SimSun"/>
          <w:snapToGrid/>
          <w:szCs w:val="22"/>
          <w:lang w:eastAsia="zh-CN"/>
        </w:rPr>
        <w:t>i</w:t>
      </w:r>
      <w:r w:rsidR="000B7648" w:rsidRPr="00701D61">
        <w:rPr>
          <w:rFonts w:eastAsia="SimSun"/>
          <w:snapToGrid/>
          <w:szCs w:val="22"/>
          <w:lang w:eastAsia="zh-CN"/>
        </w:rPr>
        <w:t>matinib</w:t>
      </w:r>
      <w:r w:rsidR="000B7648">
        <w:rPr>
          <w:rFonts w:eastAsia="SimSun"/>
          <w:snapToGrid/>
          <w:szCs w:val="22"/>
          <w:lang w:eastAsia="zh-CN"/>
        </w:rPr>
        <w:t>as</w:t>
      </w:r>
      <w:proofErr w:type="spellEnd"/>
    </w:p>
    <w:p w14:paraId="640CACA3" w14:textId="77777777" w:rsidR="00A27597" w:rsidRPr="00CE7679" w:rsidRDefault="00A27597" w:rsidP="00A27597">
      <w:pPr>
        <w:spacing w:line="240" w:lineRule="auto"/>
        <w:rPr>
          <w:rFonts w:eastAsia="SimSun"/>
          <w:snapToGrid/>
          <w:szCs w:val="22"/>
          <w:lang w:eastAsia="zh-CN"/>
        </w:rPr>
      </w:pPr>
    </w:p>
    <w:p w14:paraId="5547CDFE" w14:textId="77777777" w:rsidR="00A27597" w:rsidRPr="00CE7679" w:rsidRDefault="00A27597" w:rsidP="00A27597">
      <w:pPr>
        <w:spacing w:line="240" w:lineRule="auto"/>
        <w:rPr>
          <w:rFonts w:eastAsia="SimSun"/>
          <w:snapToGrid/>
          <w:szCs w:val="22"/>
          <w:lang w:eastAsia="zh-CN"/>
        </w:rPr>
      </w:pPr>
    </w:p>
    <w:p w14:paraId="3EB66EE0" w14:textId="77777777" w:rsidR="00A27597" w:rsidRPr="00CE7679" w:rsidRDefault="00A27597" w:rsidP="00A27597">
      <w:pPr>
        <w:suppressLineNumbers/>
        <w:pBdr>
          <w:top w:val="single" w:sz="4" w:space="1" w:color="auto"/>
          <w:left w:val="single" w:sz="4" w:space="4" w:color="auto"/>
          <w:bottom w:val="single" w:sz="4" w:space="1" w:color="auto"/>
          <w:right w:val="single" w:sz="4" w:space="4" w:color="auto"/>
        </w:pBdr>
        <w:spacing w:line="240" w:lineRule="auto"/>
        <w:outlineLvl w:val="0"/>
        <w:rPr>
          <w:rFonts w:eastAsia="SimSun"/>
          <w:b/>
          <w:snapToGrid/>
          <w:szCs w:val="22"/>
          <w:lang w:eastAsia="zh-CN"/>
        </w:rPr>
      </w:pPr>
      <w:r w:rsidRPr="00CE7679">
        <w:rPr>
          <w:rFonts w:eastAsia="SimSun"/>
          <w:b/>
          <w:snapToGrid/>
          <w:szCs w:val="22"/>
          <w:lang w:eastAsia="zh-CN"/>
        </w:rPr>
        <w:t>2.</w:t>
      </w:r>
      <w:r w:rsidRPr="00CE7679">
        <w:rPr>
          <w:rFonts w:eastAsia="SimSun"/>
          <w:b/>
          <w:snapToGrid/>
          <w:szCs w:val="22"/>
          <w:lang w:eastAsia="zh-CN"/>
        </w:rPr>
        <w:tab/>
      </w:r>
      <w:r w:rsidRPr="00CE7679">
        <w:rPr>
          <w:rFonts w:eastAsia="SimSun"/>
          <w:b/>
          <w:caps/>
          <w:snapToGrid/>
          <w:szCs w:val="22"/>
          <w:lang w:eastAsia="zh-CN"/>
        </w:rPr>
        <w:t>REGISTRUOTOJO pavadinimas</w:t>
      </w:r>
    </w:p>
    <w:p w14:paraId="77C86CE6" w14:textId="77777777" w:rsidR="00A27597" w:rsidRPr="00CE7679" w:rsidRDefault="00A27597" w:rsidP="00A27597">
      <w:pPr>
        <w:spacing w:line="240" w:lineRule="auto"/>
        <w:rPr>
          <w:rFonts w:eastAsia="SimSun"/>
          <w:snapToGrid/>
          <w:szCs w:val="22"/>
          <w:lang w:eastAsia="zh-CN"/>
        </w:rPr>
      </w:pPr>
    </w:p>
    <w:p w14:paraId="5F06B87A" w14:textId="77777777" w:rsidR="00A27597" w:rsidRPr="00CE7679" w:rsidRDefault="00A27597" w:rsidP="00A27597">
      <w:pPr>
        <w:spacing w:line="240" w:lineRule="auto"/>
        <w:rPr>
          <w:rFonts w:eastAsia="SimSun"/>
          <w:snapToGrid/>
          <w:szCs w:val="22"/>
        </w:rPr>
      </w:pPr>
      <w:r w:rsidRPr="00CE7679">
        <w:rPr>
          <w:rFonts w:eastAsia="SimSun"/>
          <w:snapToGrid/>
          <w:szCs w:val="22"/>
        </w:rPr>
        <w:t>SANDOZ</w:t>
      </w:r>
    </w:p>
    <w:p w14:paraId="1FE00327" w14:textId="77777777" w:rsidR="00A27597" w:rsidRPr="00CE7679" w:rsidRDefault="00A27597" w:rsidP="00A27597">
      <w:pPr>
        <w:spacing w:line="240" w:lineRule="auto"/>
        <w:rPr>
          <w:rFonts w:eastAsia="SimSun"/>
          <w:snapToGrid/>
          <w:szCs w:val="22"/>
          <w:lang w:eastAsia="zh-CN"/>
        </w:rPr>
      </w:pPr>
    </w:p>
    <w:p w14:paraId="6FE5B90B" w14:textId="77777777" w:rsidR="00A27597" w:rsidRPr="00CE7679" w:rsidRDefault="00A27597" w:rsidP="00A27597">
      <w:pPr>
        <w:spacing w:line="240" w:lineRule="auto"/>
        <w:rPr>
          <w:rFonts w:eastAsia="SimSun"/>
          <w:snapToGrid/>
          <w:szCs w:val="22"/>
          <w:lang w:eastAsia="zh-CN"/>
        </w:rPr>
      </w:pPr>
    </w:p>
    <w:p w14:paraId="5AF8DEF2" w14:textId="77777777" w:rsidR="00A27597" w:rsidRPr="00CE7679" w:rsidRDefault="00A27597" w:rsidP="00A27597">
      <w:pPr>
        <w:suppressLineNumbers/>
        <w:pBdr>
          <w:top w:val="single" w:sz="4" w:space="1" w:color="auto"/>
          <w:left w:val="single" w:sz="4" w:space="4" w:color="auto"/>
          <w:bottom w:val="single" w:sz="4" w:space="2" w:color="auto"/>
          <w:right w:val="single" w:sz="4" w:space="4" w:color="auto"/>
        </w:pBdr>
        <w:spacing w:line="240" w:lineRule="auto"/>
        <w:outlineLvl w:val="0"/>
        <w:rPr>
          <w:rFonts w:eastAsia="SimSun"/>
          <w:b/>
          <w:snapToGrid/>
          <w:szCs w:val="22"/>
          <w:lang w:eastAsia="zh-CN"/>
        </w:rPr>
      </w:pPr>
      <w:r w:rsidRPr="00CE7679">
        <w:rPr>
          <w:rFonts w:eastAsia="SimSun"/>
          <w:b/>
          <w:snapToGrid/>
          <w:szCs w:val="22"/>
          <w:lang w:eastAsia="zh-CN"/>
        </w:rPr>
        <w:t>3.</w:t>
      </w:r>
      <w:r w:rsidRPr="00CE7679">
        <w:rPr>
          <w:rFonts w:eastAsia="SimSun"/>
          <w:b/>
          <w:snapToGrid/>
          <w:szCs w:val="22"/>
          <w:lang w:eastAsia="zh-CN"/>
        </w:rPr>
        <w:tab/>
        <w:t>TINKAMUMO LAIKAS</w:t>
      </w:r>
    </w:p>
    <w:p w14:paraId="188DBED0" w14:textId="77777777" w:rsidR="00A27597" w:rsidRPr="00CE7679" w:rsidRDefault="00A27597" w:rsidP="00A27597">
      <w:pPr>
        <w:spacing w:line="240" w:lineRule="auto"/>
        <w:rPr>
          <w:rFonts w:eastAsia="SimSun"/>
          <w:snapToGrid/>
          <w:szCs w:val="22"/>
          <w:lang w:eastAsia="zh-CN"/>
        </w:rPr>
      </w:pPr>
    </w:p>
    <w:p w14:paraId="10DDDD53" w14:textId="77777777" w:rsidR="00A27597" w:rsidRPr="00CE7679" w:rsidRDefault="00A27597" w:rsidP="00A27597">
      <w:pPr>
        <w:spacing w:line="240" w:lineRule="auto"/>
        <w:rPr>
          <w:rFonts w:eastAsia="SimSun"/>
          <w:snapToGrid/>
          <w:szCs w:val="22"/>
          <w:lang w:eastAsia="zh-CN"/>
        </w:rPr>
      </w:pPr>
      <w:r w:rsidRPr="00CE7679">
        <w:rPr>
          <w:rFonts w:eastAsia="SimSun"/>
          <w:highlight w:val="lightGray"/>
        </w:rPr>
        <w:t>EXP</w:t>
      </w:r>
      <w:r w:rsidRPr="00CE7679">
        <w:rPr>
          <w:rFonts w:eastAsia="SimSun"/>
          <w:snapToGrid/>
          <w:szCs w:val="22"/>
          <w:lang w:eastAsia="zh-CN"/>
        </w:rPr>
        <w:t xml:space="preserve"> {mm</w:t>
      </w:r>
      <w:r w:rsidR="009D64F2" w:rsidRPr="00CE7679">
        <w:rPr>
          <w:rFonts w:eastAsia="SimSun"/>
          <w:snapToGrid/>
          <w:szCs w:val="22"/>
          <w:lang w:eastAsia="zh-CN"/>
        </w:rPr>
        <w:t xml:space="preserve"> </w:t>
      </w:r>
      <w:r w:rsidRPr="00CE7679">
        <w:rPr>
          <w:rFonts w:eastAsia="SimSun"/>
          <w:snapToGrid/>
          <w:szCs w:val="22"/>
          <w:lang w:eastAsia="zh-CN"/>
        </w:rPr>
        <w:t>MMMM}</w:t>
      </w:r>
    </w:p>
    <w:p w14:paraId="2A806FA0" w14:textId="77777777" w:rsidR="00A27597" w:rsidRPr="00CE7679" w:rsidRDefault="00A27597" w:rsidP="00A27597">
      <w:pPr>
        <w:spacing w:line="240" w:lineRule="auto"/>
        <w:rPr>
          <w:rFonts w:eastAsia="SimSun"/>
          <w:snapToGrid/>
          <w:szCs w:val="22"/>
          <w:lang w:eastAsia="zh-CN"/>
        </w:rPr>
      </w:pPr>
    </w:p>
    <w:p w14:paraId="1C4728FD" w14:textId="77777777" w:rsidR="00A27597" w:rsidRPr="00CE7679" w:rsidRDefault="00A27597" w:rsidP="00A27597">
      <w:pPr>
        <w:spacing w:line="240" w:lineRule="auto"/>
        <w:rPr>
          <w:rFonts w:eastAsia="SimSun"/>
          <w:snapToGrid/>
          <w:szCs w:val="22"/>
          <w:lang w:eastAsia="zh-CN"/>
        </w:rPr>
      </w:pPr>
    </w:p>
    <w:p w14:paraId="70FC3FE8" w14:textId="77777777" w:rsidR="00A27597" w:rsidRPr="00CE7679" w:rsidRDefault="00A27597" w:rsidP="00A27597">
      <w:pPr>
        <w:suppressLineNumbers/>
        <w:pBdr>
          <w:top w:val="single" w:sz="4" w:space="1" w:color="auto"/>
          <w:left w:val="single" w:sz="4" w:space="4" w:color="auto"/>
          <w:bottom w:val="single" w:sz="4" w:space="1" w:color="auto"/>
          <w:right w:val="single" w:sz="4" w:space="4" w:color="auto"/>
        </w:pBdr>
        <w:spacing w:line="240" w:lineRule="auto"/>
        <w:outlineLvl w:val="0"/>
        <w:rPr>
          <w:rFonts w:eastAsia="SimSun"/>
          <w:b/>
          <w:snapToGrid/>
          <w:szCs w:val="22"/>
          <w:lang w:eastAsia="zh-CN"/>
        </w:rPr>
      </w:pPr>
      <w:r w:rsidRPr="00CE7679">
        <w:rPr>
          <w:rFonts w:eastAsia="SimSun"/>
          <w:b/>
          <w:snapToGrid/>
          <w:szCs w:val="22"/>
          <w:lang w:eastAsia="zh-CN"/>
        </w:rPr>
        <w:t>4.</w:t>
      </w:r>
      <w:r w:rsidRPr="00CE7679">
        <w:rPr>
          <w:rFonts w:eastAsia="SimSun"/>
          <w:b/>
          <w:snapToGrid/>
          <w:szCs w:val="22"/>
          <w:lang w:eastAsia="zh-CN"/>
        </w:rPr>
        <w:tab/>
        <w:t>SERIJOS NUMERIS</w:t>
      </w:r>
    </w:p>
    <w:p w14:paraId="182CAADC" w14:textId="77777777" w:rsidR="00A27597" w:rsidRPr="00CE7679" w:rsidRDefault="00A27597" w:rsidP="00A27597">
      <w:pPr>
        <w:spacing w:line="240" w:lineRule="auto"/>
        <w:rPr>
          <w:rFonts w:eastAsia="SimSun"/>
          <w:snapToGrid/>
          <w:szCs w:val="22"/>
          <w:lang w:eastAsia="zh-CN"/>
        </w:rPr>
      </w:pPr>
    </w:p>
    <w:p w14:paraId="04A36BE7" w14:textId="77777777" w:rsidR="00A27597" w:rsidRPr="00CE7679" w:rsidRDefault="00A27597" w:rsidP="00A27597">
      <w:pPr>
        <w:spacing w:line="240" w:lineRule="auto"/>
        <w:rPr>
          <w:rFonts w:eastAsia="SimSun"/>
          <w:snapToGrid/>
          <w:szCs w:val="22"/>
          <w:lang w:eastAsia="zh-CN"/>
        </w:rPr>
      </w:pPr>
      <w:r w:rsidRPr="00CE7679">
        <w:rPr>
          <w:rFonts w:eastAsia="SimSun"/>
          <w:highlight w:val="lightGray"/>
        </w:rPr>
        <w:t>Lot</w:t>
      </w:r>
    </w:p>
    <w:p w14:paraId="0C6F3651" w14:textId="77777777" w:rsidR="00A27597" w:rsidRPr="00CE7679" w:rsidRDefault="00A27597" w:rsidP="00A27597">
      <w:pPr>
        <w:spacing w:line="240" w:lineRule="auto"/>
        <w:rPr>
          <w:rFonts w:eastAsia="SimSun"/>
          <w:snapToGrid/>
          <w:szCs w:val="22"/>
          <w:lang w:eastAsia="zh-CN"/>
        </w:rPr>
      </w:pPr>
    </w:p>
    <w:p w14:paraId="21837A26" w14:textId="77777777" w:rsidR="00A27597" w:rsidRPr="00CE7679" w:rsidRDefault="00A27597" w:rsidP="00A27597">
      <w:pPr>
        <w:spacing w:line="240" w:lineRule="auto"/>
        <w:rPr>
          <w:rFonts w:eastAsia="SimSun"/>
          <w:snapToGrid/>
          <w:szCs w:val="22"/>
          <w:lang w:eastAsia="zh-CN"/>
        </w:rPr>
      </w:pPr>
    </w:p>
    <w:p w14:paraId="4BF1CA89" w14:textId="77777777" w:rsidR="00A27597" w:rsidRPr="00CE7679" w:rsidRDefault="00A27597" w:rsidP="00A27597">
      <w:pPr>
        <w:suppressLineNumbers/>
        <w:pBdr>
          <w:top w:val="single" w:sz="4" w:space="1" w:color="auto"/>
          <w:left w:val="single" w:sz="4" w:space="4" w:color="auto"/>
          <w:bottom w:val="single" w:sz="4" w:space="1" w:color="auto"/>
          <w:right w:val="single" w:sz="4" w:space="4" w:color="auto"/>
        </w:pBdr>
        <w:spacing w:line="240" w:lineRule="auto"/>
        <w:outlineLvl w:val="0"/>
        <w:rPr>
          <w:rFonts w:eastAsia="SimSun"/>
          <w:b/>
          <w:snapToGrid/>
          <w:szCs w:val="22"/>
          <w:lang w:eastAsia="zh-CN"/>
        </w:rPr>
      </w:pPr>
      <w:r w:rsidRPr="00CE7679">
        <w:rPr>
          <w:rFonts w:eastAsia="SimSun"/>
          <w:b/>
          <w:snapToGrid/>
          <w:szCs w:val="22"/>
          <w:lang w:eastAsia="zh-CN"/>
        </w:rPr>
        <w:t>5.</w:t>
      </w:r>
      <w:r w:rsidRPr="00CE7679">
        <w:rPr>
          <w:rFonts w:eastAsia="SimSun"/>
          <w:b/>
          <w:snapToGrid/>
          <w:szCs w:val="22"/>
          <w:lang w:eastAsia="zh-CN"/>
        </w:rPr>
        <w:tab/>
        <w:t>KITA</w:t>
      </w:r>
    </w:p>
    <w:p w14:paraId="15F3D598" w14:textId="77777777" w:rsidR="00A27597" w:rsidRPr="00CE7679" w:rsidRDefault="00A27597" w:rsidP="00A27597">
      <w:pPr>
        <w:spacing w:line="240" w:lineRule="auto"/>
        <w:rPr>
          <w:rFonts w:eastAsia="SimSun"/>
          <w:snapToGrid/>
          <w:szCs w:val="22"/>
          <w:lang w:eastAsia="zh-CN"/>
        </w:rPr>
      </w:pPr>
    </w:p>
    <w:p w14:paraId="4655EA4E" w14:textId="77777777" w:rsidR="00A27597" w:rsidRPr="00CE7679" w:rsidRDefault="00A27597" w:rsidP="00A27597">
      <w:pPr>
        <w:spacing w:line="240" w:lineRule="auto"/>
        <w:rPr>
          <w:rFonts w:eastAsia="SimSun"/>
          <w:snapToGrid/>
          <w:szCs w:val="22"/>
          <w:lang w:eastAsia="zh-CN"/>
        </w:rPr>
      </w:pPr>
    </w:p>
    <w:p w14:paraId="690A941D" w14:textId="77777777" w:rsidR="00A27597" w:rsidRPr="00CE7679" w:rsidRDefault="00A27597" w:rsidP="00A27597">
      <w:pPr>
        <w:tabs>
          <w:tab w:val="clear" w:pos="567"/>
        </w:tabs>
        <w:spacing w:line="240" w:lineRule="auto"/>
        <w:rPr>
          <w:rFonts w:eastAsia="SimSun"/>
          <w:snapToGrid/>
          <w:szCs w:val="22"/>
          <w:lang w:eastAsia="zh-CN"/>
        </w:rPr>
      </w:pPr>
      <w:r w:rsidRPr="00CE7679">
        <w:rPr>
          <w:rFonts w:eastAsia="SimSun"/>
          <w:snapToGrid/>
          <w:szCs w:val="22"/>
          <w:lang w:eastAsia="zh-CN"/>
        </w:rPr>
        <w:br w:type="page"/>
      </w:r>
    </w:p>
    <w:p w14:paraId="55E11E4F" w14:textId="77777777" w:rsidR="00A27597" w:rsidRPr="00CE7679" w:rsidRDefault="00A27597" w:rsidP="00A27597">
      <w:pPr>
        <w:spacing w:line="240" w:lineRule="auto"/>
        <w:rPr>
          <w:rFonts w:eastAsia="SimSun"/>
          <w:snapToGrid/>
          <w:szCs w:val="22"/>
          <w:lang w:eastAsia="zh-CN"/>
        </w:rPr>
      </w:pPr>
    </w:p>
    <w:p w14:paraId="3854AD9E" w14:textId="77777777" w:rsidR="00A27597" w:rsidRPr="00CE7679" w:rsidRDefault="00A27597" w:rsidP="00A27597">
      <w:pPr>
        <w:spacing w:line="240" w:lineRule="auto"/>
        <w:rPr>
          <w:rFonts w:eastAsia="SimSun"/>
          <w:snapToGrid/>
          <w:szCs w:val="22"/>
          <w:lang w:eastAsia="zh-CN"/>
        </w:rPr>
      </w:pPr>
    </w:p>
    <w:p w14:paraId="239555F9" w14:textId="77777777" w:rsidR="00A27597" w:rsidRPr="00CE7679" w:rsidRDefault="00A27597" w:rsidP="00A27597">
      <w:pPr>
        <w:spacing w:line="240" w:lineRule="auto"/>
        <w:rPr>
          <w:rFonts w:eastAsia="SimSun"/>
          <w:snapToGrid/>
          <w:szCs w:val="22"/>
          <w:lang w:eastAsia="zh-CN"/>
        </w:rPr>
      </w:pPr>
    </w:p>
    <w:p w14:paraId="3310078D" w14:textId="77777777" w:rsidR="00A27597" w:rsidRPr="00CE7679" w:rsidRDefault="00A27597" w:rsidP="00A27597">
      <w:pPr>
        <w:spacing w:line="240" w:lineRule="auto"/>
        <w:rPr>
          <w:rFonts w:eastAsia="SimSun"/>
          <w:snapToGrid/>
          <w:szCs w:val="22"/>
          <w:lang w:eastAsia="zh-CN"/>
        </w:rPr>
      </w:pPr>
    </w:p>
    <w:p w14:paraId="08FE7AC0" w14:textId="77777777" w:rsidR="00A27597" w:rsidRPr="00CE7679" w:rsidRDefault="00A27597" w:rsidP="00A27597">
      <w:pPr>
        <w:spacing w:line="240" w:lineRule="auto"/>
        <w:rPr>
          <w:rFonts w:eastAsia="SimSun"/>
          <w:snapToGrid/>
          <w:szCs w:val="22"/>
          <w:lang w:eastAsia="zh-CN"/>
        </w:rPr>
      </w:pPr>
    </w:p>
    <w:p w14:paraId="25B7D904" w14:textId="77777777" w:rsidR="00A27597" w:rsidRPr="00CE7679" w:rsidRDefault="00A27597" w:rsidP="00A27597">
      <w:pPr>
        <w:spacing w:line="240" w:lineRule="auto"/>
        <w:rPr>
          <w:rFonts w:eastAsia="SimSun"/>
          <w:snapToGrid/>
          <w:szCs w:val="22"/>
          <w:lang w:eastAsia="zh-CN"/>
        </w:rPr>
      </w:pPr>
    </w:p>
    <w:p w14:paraId="190D29F3" w14:textId="77777777" w:rsidR="00A27597" w:rsidRPr="00CE7679" w:rsidRDefault="00A27597" w:rsidP="00A27597">
      <w:pPr>
        <w:spacing w:line="240" w:lineRule="auto"/>
        <w:rPr>
          <w:rFonts w:eastAsia="SimSun"/>
          <w:snapToGrid/>
          <w:szCs w:val="22"/>
          <w:lang w:eastAsia="zh-CN"/>
        </w:rPr>
      </w:pPr>
    </w:p>
    <w:p w14:paraId="290F0B4C" w14:textId="77777777" w:rsidR="00A27597" w:rsidRPr="00CE7679" w:rsidRDefault="00A27597" w:rsidP="00A27597">
      <w:pPr>
        <w:spacing w:line="240" w:lineRule="auto"/>
        <w:rPr>
          <w:rFonts w:eastAsia="SimSun"/>
          <w:snapToGrid/>
          <w:szCs w:val="22"/>
          <w:lang w:eastAsia="zh-CN"/>
        </w:rPr>
      </w:pPr>
    </w:p>
    <w:p w14:paraId="4131290B" w14:textId="77777777" w:rsidR="00A27597" w:rsidRPr="00CE7679" w:rsidRDefault="00A27597" w:rsidP="00A27597">
      <w:pPr>
        <w:spacing w:line="240" w:lineRule="auto"/>
        <w:rPr>
          <w:rFonts w:eastAsia="SimSun"/>
          <w:snapToGrid/>
          <w:szCs w:val="22"/>
          <w:lang w:eastAsia="zh-CN"/>
        </w:rPr>
      </w:pPr>
    </w:p>
    <w:p w14:paraId="16005AF3" w14:textId="77777777" w:rsidR="00A27597" w:rsidRPr="00CE7679" w:rsidRDefault="00A27597" w:rsidP="00A27597">
      <w:pPr>
        <w:spacing w:line="240" w:lineRule="auto"/>
        <w:rPr>
          <w:rFonts w:eastAsia="SimSun"/>
          <w:snapToGrid/>
          <w:szCs w:val="22"/>
          <w:lang w:eastAsia="zh-CN"/>
        </w:rPr>
      </w:pPr>
    </w:p>
    <w:p w14:paraId="26ADC87D" w14:textId="77777777" w:rsidR="00A27597" w:rsidRPr="00CE7679" w:rsidRDefault="00A27597" w:rsidP="00A27597">
      <w:pPr>
        <w:spacing w:line="240" w:lineRule="auto"/>
        <w:rPr>
          <w:rFonts w:eastAsia="SimSun"/>
          <w:snapToGrid/>
          <w:szCs w:val="22"/>
          <w:lang w:eastAsia="zh-CN"/>
        </w:rPr>
      </w:pPr>
    </w:p>
    <w:p w14:paraId="73F11D54" w14:textId="77777777" w:rsidR="00A27597" w:rsidRPr="00CE7679" w:rsidRDefault="00A27597" w:rsidP="00A27597">
      <w:pPr>
        <w:spacing w:line="240" w:lineRule="auto"/>
        <w:rPr>
          <w:rFonts w:eastAsia="SimSun"/>
          <w:snapToGrid/>
          <w:szCs w:val="22"/>
          <w:lang w:eastAsia="zh-CN"/>
        </w:rPr>
      </w:pPr>
    </w:p>
    <w:p w14:paraId="03FF0905" w14:textId="77777777" w:rsidR="00A27597" w:rsidRPr="00CE7679" w:rsidRDefault="00A27597" w:rsidP="00A27597">
      <w:pPr>
        <w:spacing w:line="240" w:lineRule="auto"/>
        <w:rPr>
          <w:rFonts w:eastAsia="SimSun"/>
          <w:snapToGrid/>
          <w:szCs w:val="22"/>
          <w:lang w:eastAsia="zh-CN"/>
        </w:rPr>
      </w:pPr>
    </w:p>
    <w:p w14:paraId="6A09AEB3" w14:textId="77777777" w:rsidR="00A27597" w:rsidRPr="00CE7679" w:rsidRDefault="00A27597" w:rsidP="00A27597">
      <w:pPr>
        <w:spacing w:line="240" w:lineRule="auto"/>
        <w:rPr>
          <w:rFonts w:eastAsia="SimSun"/>
          <w:snapToGrid/>
          <w:szCs w:val="22"/>
          <w:lang w:eastAsia="zh-CN"/>
        </w:rPr>
      </w:pPr>
    </w:p>
    <w:p w14:paraId="107FF77A" w14:textId="77777777" w:rsidR="00A27597" w:rsidRPr="00CE7679" w:rsidRDefault="00A27597" w:rsidP="00A27597">
      <w:pPr>
        <w:spacing w:line="240" w:lineRule="auto"/>
        <w:rPr>
          <w:rFonts w:eastAsia="SimSun"/>
          <w:snapToGrid/>
          <w:szCs w:val="22"/>
          <w:lang w:eastAsia="zh-CN"/>
        </w:rPr>
      </w:pPr>
    </w:p>
    <w:p w14:paraId="1845ACC2" w14:textId="77777777" w:rsidR="00A27597" w:rsidRPr="00CE7679" w:rsidRDefault="00A27597" w:rsidP="00A27597">
      <w:pPr>
        <w:spacing w:line="240" w:lineRule="auto"/>
        <w:rPr>
          <w:rFonts w:eastAsia="SimSun"/>
          <w:snapToGrid/>
          <w:szCs w:val="22"/>
          <w:lang w:eastAsia="zh-CN"/>
        </w:rPr>
      </w:pPr>
    </w:p>
    <w:p w14:paraId="4401531C" w14:textId="77777777" w:rsidR="00A27597" w:rsidRPr="00CE7679" w:rsidRDefault="00A27597" w:rsidP="00A27597">
      <w:pPr>
        <w:spacing w:line="240" w:lineRule="auto"/>
        <w:rPr>
          <w:rFonts w:eastAsia="SimSun"/>
          <w:snapToGrid/>
          <w:szCs w:val="22"/>
          <w:lang w:eastAsia="zh-CN"/>
        </w:rPr>
      </w:pPr>
    </w:p>
    <w:p w14:paraId="01DE41B3" w14:textId="77777777" w:rsidR="00A27597" w:rsidRPr="00CE7679" w:rsidRDefault="00A27597" w:rsidP="00A27597">
      <w:pPr>
        <w:spacing w:line="240" w:lineRule="auto"/>
        <w:rPr>
          <w:rFonts w:eastAsia="SimSun"/>
          <w:snapToGrid/>
          <w:szCs w:val="22"/>
          <w:lang w:eastAsia="zh-CN"/>
        </w:rPr>
      </w:pPr>
    </w:p>
    <w:p w14:paraId="468B326A" w14:textId="77777777" w:rsidR="00A27597" w:rsidRPr="00CE7679" w:rsidRDefault="00A27597" w:rsidP="00A27597">
      <w:pPr>
        <w:spacing w:line="240" w:lineRule="auto"/>
        <w:rPr>
          <w:rFonts w:eastAsia="SimSun"/>
          <w:snapToGrid/>
          <w:szCs w:val="22"/>
          <w:lang w:eastAsia="zh-CN"/>
        </w:rPr>
      </w:pPr>
    </w:p>
    <w:p w14:paraId="6519E3CD" w14:textId="77777777" w:rsidR="00A27597" w:rsidRPr="00CE7679" w:rsidRDefault="00A27597" w:rsidP="00A27597">
      <w:pPr>
        <w:spacing w:line="240" w:lineRule="auto"/>
        <w:rPr>
          <w:rFonts w:eastAsia="SimSun"/>
          <w:snapToGrid/>
          <w:szCs w:val="22"/>
          <w:lang w:eastAsia="zh-CN"/>
        </w:rPr>
      </w:pPr>
    </w:p>
    <w:p w14:paraId="2D451168" w14:textId="77777777" w:rsidR="00A27597" w:rsidRPr="00CE7679" w:rsidRDefault="00A27597" w:rsidP="00A27597">
      <w:pPr>
        <w:spacing w:line="240" w:lineRule="auto"/>
        <w:rPr>
          <w:rFonts w:eastAsia="SimSun"/>
          <w:snapToGrid/>
          <w:szCs w:val="22"/>
          <w:lang w:eastAsia="zh-CN"/>
        </w:rPr>
      </w:pPr>
    </w:p>
    <w:p w14:paraId="4DB985C4" w14:textId="77777777" w:rsidR="00A27597" w:rsidRPr="00CE7679" w:rsidRDefault="00A27597" w:rsidP="00A27597">
      <w:pPr>
        <w:spacing w:line="240" w:lineRule="auto"/>
        <w:rPr>
          <w:rFonts w:eastAsia="SimSun"/>
          <w:snapToGrid/>
          <w:szCs w:val="22"/>
          <w:lang w:eastAsia="zh-CN"/>
        </w:rPr>
      </w:pPr>
    </w:p>
    <w:p w14:paraId="614D98E0" w14:textId="77777777" w:rsidR="00A27597" w:rsidRPr="00CE7679" w:rsidRDefault="00A27597" w:rsidP="00A27597">
      <w:pPr>
        <w:spacing w:line="240" w:lineRule="auto"/>
        <w:rPr>
          <w:rFonts w:eastAsia="SimSun"/>
          <w:snapToGrid/>
          <w:szCs w:val="22"/>
          <w:lang w:eastAsia="zh-CN"/>
        </w:rPr>
      </w:pPr>
    </w:p>
    <w:p w14:paraId="78EEC00F" w14:textId="77777777" w:rsidR="00A27597" w:rsidRPr="00CE7679" w:rsidRDefault="00A27597" w:rsidP="00A27597">
      <w:pPr>
        <w:keepNext/>
        <w:spacing w:line="240" w:lineRule="auto"/>
        <w:jc w:val="center"/>
        <w:outlineLvl w:val="1"/>
        <w:rPr>
          <w:rFonts w:eastAsia="SimSun"/>
          <w:b/>
          <w:iCs/>
          <w:snapToGrid/>
          <w:szCs w:val="22"/>
        </w:rPr>
      </w:pPr>
      <w:r w:rsidRPr="00CE7679">
        <w:rPr>
          <w:rFonts w:eastAsia="SimSun"/>
          <w:b/>
          <w:iCs/>
          <w:snapToGrid/>
          <w:szCs w:val="22"/>
        </w:rPr>
        <w:t>B. PAKUOTĖS LAPELIS</w:t>
      </w:r>
    </w:p>
    <w:p w14:paraId="7A4AF4DC" w14:textId="77777777" w:rsidR="00A27597" w:rsidRPr="00CE7679" w:rsidRDefault="00A27597" w:rsidP="00A27597">
      <w:pPr>
        <w:keepNext/>
        <w:spacing w:line="240" w:lineRule="auto"/>
        <w:jc w:val="center"/>
        <w:outlineLvl w:val="1"/>
        <w:rPr>
          <w:rFonts w:eastAsia="SimSun"/>
          <w:b/>
          <w:iCs/>
          <w:snapToGrid/>
          <w:szCs w:val="22"/>
        </w:rPr>
      </w:pPr>
      <w:r w:rsidRPr="00CE7679">
        <w:rPr>
          <w:rFonts w:eastAsia="SimSun"/>
          <w:i/>
          <w:snapToGrid/>
          <w:szCs w:val="22"/>
        </w:rPr>
        <w:br w:type="page"/>
      </w:r>
      <w:r w:rsidRPr="00CE7679">
        <w:rPr>
          <w:rFonts w:eastAsia="SimSun"/>
          <w:b/>
          <w:iCs/>
          <w:snapToGrid/>
          <w:szCs w:val="22"/>
        </w:rPr>
        <w:lastRenderedPageBreak/>
        <w:t xml:space="preserve">Pakuotės lapelis: informacija </w:t>
      </w:r>
      <w:r w:rsidR="00E71239">
        <w:rPr>
          <w:rFonts w:eastAsia="SimSun"/>
          <w:b/>
          <w:iCs/>
          <w:snapToGrid/>
          <w:szCs w:val="22"/>
        </w:rPr>
        <w:t>pacientui</w:t>
      </w:r>
    </w:p>
    <w:p w14:paraId="28A08E0A" w14:textId="77777777" w:rsidR="00A27597" w:rsidRPr="00CE7679" w:rsidRDefault="00A27597" w:rsidP="00A27597">
      <w:pPr>
        <w:numPr>
          <w:ilvl w:val="12"/>
          <w:numId w:val="0"/>
        </w:numPr>
        <w:shd w:val="clear" w:color="auto" w:fill="FFFFFF"/>
        <w:spacing w:line="240" w:lineRule="auto"/>
        <w:jc w:val="center"/>
        <w:rPr>
          <w:rFonts w:eastAsia="SimSun"/>
          <w:snapToGrid/>
          <w:szCs w:val="22"/>
          <w:lang w:eastAsia="zh-CN"/>
        </w:rPr>
      </w:pPr>
    </w:p>
    <w:p w14:paraId="3275E1B0" w14:textId="77777777" w:rsidR="00A27597" w:rsidRPr="00CE7679" w:rsidRDefault="00A27597" w:rsidP="00A27597">
      <w:pPr>
        <w:spacing w:line="240" w:lineRule="auto"/>
        <w:jc w:val="center"/>
        <w:rPr>
          <w:rFonts w:eastAsia="SimSun"/>
          <w:b/>
          <w:bCs/>
          <w:snapToGrid/>
          <w:szCs w:val="22"/>
          <w:lang w:eastAsia="zh-CN"/>
        </w:rPr>
      </w:pPr>
      <w:proofErr w:type="spellStart"/>
      <w:r w:rsidRPr="00CE7679">
        <w:rPr>
          <w:rFonts w:eastAsia="SimSun"/>
          <w:b/>
          <w:bCs/>
          <w:snapToGrid/>
          <w:szCs w:val="22"/>
          <w:lang w:eastAsia="zh-CN"/>
        </w:rPr>
        <w:t>Imatinib</w:t>
      </w:r>
      <w:proofErr w:type="spellEnd"/>
      <w:r w:rsidRPr="00CE7679">
        <w:rPr>
          <w:rFonts w:eastAsia="SimSun"/>
          <w:b/>
          <w:bCs/>
          <w:snapToGrid/>
          <w:szCs w:val="22"/>
          <w:lang w:eastAsia="zh-CN"/>
        </w:rPr>
        <w:t xml:space="preserve"> </w:t>
      </w:r>
      <w:proofErr w:type="spellStart"/>
      <w:r w:rsidRPr="00CE7679">
        <w:rPr>
          <w:rFonts w:eastAsia="SimSun"/>
          <w:b/>
          <w:bCs/>
          <w:snapToGrid/>
          <w:szCs w:val="22"/>
          <w:lang w:eastAsia="zh-CN"/>
        </w:rPr>
        <w:t>Sandoz</w:t>
      </w:r>
      <w:proofErr w:type="spellEnd"/>
      <w:r w:rsidRPr="00CE7679">
        <w:rPr>
          <w:rFonts w:eastAsia="SimSun"/>
          <w:b/>
          <w:bCs/>
          <w:snapToGrid/>
          <w:szCs w:val="22"/>
          <w:lang w:eastAsia="zh-CN"/>
        </w:rPr>
        <w:t xml:space="preserve"> 100 mg plėvele dengtos tabletės</w:t>
      </w:r>
    </w:p>
    <w:p w14:paraId="6F5FDE6C" w14:textId="77777777" w:rsidR="00A27597" w:rsidRPr="00CE7679" w:rsidRDefault="00A27597" w:rsidP="00A27597">
      <w:pPr>
        <w:spacing w:line="240" w:lineRule="auto"/>
        <w:jc w:val="center"/>
        <w:rPr>
          <w:rFonts w:eastAsia="SimSun"/>
          <w:b/>
          <w:bCs/>
          <w:snapToGrid/>
          <w:szCs w:val="22"/>
          <w:lang w:eastAsia="zh-CN"/>
        </w:rPr>
      </w:pPr>
      <w:proofErr w:type="spellStart"/>
      <w:r w:rsidRPr="00CE7679">
        <w:rPr>
          <w:rFonts w:eastAsia="SimSun"/>
          <w:b/>
          <w:snapToGrid/>
          <w:szCs w:val="22"/>
          <w:highlight w:val="lightGray"/>
          <w:lang w:eastAsia="zh-CN"/>
        </w:rPr>
        <w:t>Imatinib</w:t>
      </w:r>
      <w:proofErr w:type="spellEnd"/>
      <w:r w:rsidRPr="00CE7679">
        <w:rPr>
          <w:rFonts w:eastAsia="SimSun"/>
          <w:b/>
          <w:snapToGrid/>
          <w:szCs w:val="22"/>
          <w:highlight w:val="lightGray"/>
          <w:lang w:eastAsia="zh-CN"/>
        </w:rPr>
        <w:t xml:space="preserve"> </w:t>
      </w:r>
      <w:proofErr w:type="spellStart"/>
      <w:r w:rsidRPr="00CE7679">
        <w:rPr>
          <w:rFonts w:eastAsia="SimSun"/>
          <w:b/>
          <w:snapToGrid/>
          <w:szCs w:val="22"/>
          <w:highlight w:val="lightGray"/>
          <w:lang w:eastAsia="zh-CN"/>
        </w:rPr>
        <w:t>Sandoz</w:t>
      </w:r>
      <w:proofErr w:type="spellEnd"/>
      <w:r w:rsidRPr="00CE7679">
        <w:rPr>
          <w:rFonts w:eastAsia="SimSun"/>
          <w:b/>
          <w:snapToGrid/>
          <w:szCs w:val="22"/>
          <w:highlight w:val="lightGray"/>
          <w:lang w:eastAsia="zh-CN"/>
        </w:rPr>
        <w:t xml:space="preserve"> 400 mg plėvele dengtos tabletės</w:t>
      </w:r>
    </w:p>
    <w:p w14:paraId="4BE4CBFF" w14:textId="77777777" w:rsidR="00A27597" w:rsidRPr="00CE7679" w:rsidRDefault="00D8252A" w:rsidP="00A27597">
      <w:pPr>
        <w:numPr>
          <w:ilvl w:val="12"/>
          <w:numId w:val="0"/>
        </w:numPr>
        <w:spacing w:line="240" w:lineRule="auto"/>
        <w:jc w:val="center"/>
        <w:rPr>
          <w:rFonts w:eastAsia="SimSun"/>
          <w:snapToGrid/>
          <w:szCs w:val="22"/>
          <w:lang w:eastAsia="zh-CN"/>
        </w:rPr>
      </w:pPr>
      <w:proofErr w:type="spellStart"/>
      <w:r>
        <w:rPr>
          <w:rFonts w:eastAsia="SimSun"/>
          <w:snapToGrid/>
          <w:szCs w:val="22"/>
          <w:lang w:eastAsia="zh-CN"/>
        </w:rPr>
        <w:t>i</w:t>
      </w:r>
      <w:r w:rsidR="00A27597" w:rsidRPr="00CE7679">
        <w:rPr>
          <w:rFonts w:eastAsia="SimSun"/>
          <w:snapToGrid/>
          <w:szCs w:val="22"/>
          <w:lang w:eastAsia="zh-CN"/>
        </w:rPr>
        <w:t>matinibas</w:t>
      </w:r>
      <w:proofErr w:type="spellEnd"/>
    </w:p>
    <w:p w14:paraId="2372CBBB" w14:textId="77777777" w:rsidR="00A27597" w:rsidRPr="00CE7679" w:rsidRDefault="00A27597" w:rsidP="00A27597">
      <w:pPr>
        <w:spacing w:line="240" w:lineRule="auto"/>
        <w:rPr>
          <w:rFonts w:eastAsia="SimSun"/>
          <w:snapToGrid/>
          <w:szCs w:val="22"/>
          <w:lang w:eastAsia="zh-CN"/>
        </w:rPr>
      </w:pPr>
    </w:p>
    <w:p w14:paraId="05FE9376" w14:textId="77777777" w:rsidR="00A27597" w:rsidRPr="00CE7679" w:rsidRDefault="00A27597" w:rsidP="00A27597">
      <w:pPr>
        <w:suppressAutoHyphens/>
        <w:spacing w:line="240" w:lineRule="auto"/>
        <w:rPr>
          <w:rFonts w:eastAsia="SimSun"/>
          <w:snapToGrid/>
          <w:szCs w:val="22"/>
          <w:lang w:eastAsia="zh-CN"/>
        </w:rPr>
      </w:pPr>
      <w:r w:rsidRPr="00CE7679">
        <w:rPr>
          <w:rFonts w:eastAsia="SimSun"/>
          <w:b/>
          <w:snapToGrid/>
          <w:szCs w:val="22"/>
          <w:lang w:eastAsia="zh-CN"/>
        </w:rPr>
        <w:t>Atidžiai perskaitykite visą šį lapelį, prieš pradėdami vartoti vaistą, nes jame pateikiama Jums svarbi informacija.</w:t>
      </w:r>
    </w:p>
    <w:p w14:paraId="126BD722" w14:textId="77777777" w:rsidR="00A27597" w:rsidRPr="00CE7679" w:rsidRDefault="00A27597" w:rsidP="00A27597">
      <w:pPr>
        <w:numPr>
          <w:ilvl w:val="0"/>
          <w:numId w:val="13"/>
        </w:numPr>
        <w:tabs>
          <w:tab w:val="clear" w:pos="567"/>
        </w:tabs>
        <w:spacing w:line="240" w:lineRule="auto"/>
        <w:ind w:left="567" w:hanging="567"/>
        <w:rPr>
          <w:rFonts w:eastAsia="SimSun"/>
          <w:snapToGrid/>
          <w:szCs w:val="22"/>
          <w:lang w:eastAsia="zh-CN"/>
        </w:rPr>
      </w:pPr>
      <w:r w:rsidRPr="00CE7679">
        <w:rPr>
          <w:rFonts w:eastAsia="SimSun"/>
          <w:snapToGrid/>
          <w:szCs w:val="22"/>
          <w:lang w:eastAsia="zh-CN"/>
        </w:rPr>
        <w:t xml:space="preserve">Neišmeskite šio lapelio, nes vėl gali prireikti jį perskaityti. </w:t>
      </w:r>
    </w:p>
    <w:p w14:paraId="4E28EED8" w14:textId="77777777" w:rsidR="00A27597" w:rsidRPr="00CE7679" w:rsidRDefault="00A27597" w:rsidP="00A27597">
      <w:pPr>
        <w:numPr>
          <w:ilvl w:val="0"/>
          <w:numId w:val="13"/>
        </w:numPr>
        <w:tabs>
          <w:tab w:val="clear" w:pos="567"/>
        </w:tabs>
        <w:spacing w:line="240" w:lineRule="auto"/>
        <w:ind w:left="567" w:hanging="567"/>
        <w:rPr>
          <w:rFonts w:eastAsia="SimSun"/>
          <w:snapToGrid/>
          <w:szCs w:val="22"/>
          <w:lang w:eastAsia="zh-CN"/>
        </w:rPr>
      </w:pPr>
      <w:r w:rsidRPr="00CE7679">
        <w:rPr>
          <w:rFonts w:eastAsia="SimSun"/>
          <w:snapToGrid/>
          <w:szCs w:val="22"/>
          <w:lang w:eastAsia="zh-CN"/>
        </w:rPr>
        <w:t>Jeigu kiltų daugiau klausimų, kreipkitės į gydytoją, vaistininką arba slaugytoją.</w:t>
      </w:r>
    </w:p>
    <w:p w14:paraId="135FB6DA" w14:textId="77777777" w:rsidR="00A27597" w:rsidRPr="00CE7679" w:rsidRDefault="00A27597" w:rsidP="00A27597">
      <w:pPr>
        <w:numPr>
          <w:ilvl w:val="1"/>
          <w:numId w:val="14"/>
        </w:numPr>
        <w:tabs>
          <w:tab w:val="clear" w:pos="567"/>
        </w:tabs>
        <w:spacing w:line="240" w:lineRule="auto"/>
        <w:ind w:left="567" w:hanging="567"/>
        <w:rPr>
          <w:rFonts w:eastAsia="SimSun"/>
          <w:snapToGrid/>
          <w:szCs w:val="22"/>
          <w:lang w:eastAsia="zh-CN"/>
        </w:rPr>
      </w:pPr>
      <w:r w:rsidRPr="00CE7679">
        <w:rPr>
          <w:rFonts w:eastAsia="SimSun"/>
          <w:snapToGrid/>
          <w:szCs w:val="22"/>
          <w:lang w:eastAsia="zh-CN"/>
        </w:rPr>
        <w:t>Šis vaistas skirtas tik Jums, todėl kitiems žmonėms jo duoti negalima. Vaistas gali jiems pakenkti (net tiems, kurių ligos požymiai yra tokie patys kaip Jūsų).</w:t>
      </w:r>
      <w:r w:rsidRPr="00CE7679">
        <w:rPr>
          <w:rFonts w:eastAsia="Calibri"/>
          <w:snapToGrid/>
          <w:szCs w:val="22"/>
        </w:rPr>
        <w:t xml:space="preserve"> </w:t>
      </w:r>
    </w:p>
    <w:p w14:paraId="59F68FA0" w14:textId="300349DF" w:rsidR="00A27597" w:rsidRPr="00CE7679" w:rsidRDefault="00A27597" w:rsidP="00A27597">
      <w:pPr>
        <w:numPr>
          <w:ilvl w:val="1"/>
          <w:numId w:val="14"/>
        </w:numPr>
        <w:tabs>
          <w:tab w:val="clear" w:pos="567"/>
        </w:tabs>
        <w:spacing w:line="240" w:lineRule="auto"/>
        <w:ind w:left="567" w:hanging="567"/>
        <w:rPr>
          <w:rFonts w:eastAsia="SimSun"/>
          <w:snapToGrid/>
          <w:szCs w:val="22"/>
          <w:lang w:eastAsia="zh-CN"/>
        </w:rPr>
      </w:pPr>
      <w:r w:rsidRPr="00CE7679">
        <w:rPr>
          <w:rFonts w:eastAsia="SimSun"/>
          <w:snapToGrid/>
          <w:szCs w:val="22"/>
          <w:lang w:eastAsia="zh-CN"/>
        </w:rPr>
        <w:t>Jeigu pasireiškė šalutinis poveikis (net jeigu jis šiame lapelyje nenurodytas), kreipkitės į gydytoją, vaistininką arba slaugytoją. Žr.</w:t>
      </w:r>
      <w:r w:rsidR="009D4F21">
        <w:rPr>
          <w:rFonts w:eastAsia="SimSun"/>
          <w:snapToGrid/>
          <w:szCs w:val="22"/>
          <w:lang w:eastAsia="zh-CN"/>
        </w:rPr>
        <w:t> </w:t>
      </w:r>
      <w:r w:rsidRPr="00CE7679">
        <w:rPr>
          <w:rFonts w:eastAsia="SimSun"/>
          <w:snapToGrid/>
          <w:szCs w:val="22"/>
          <w:lang w:eastAsia="zh-CN"/>
        </w:rPr>
        <w:t>4</w:t>
      </w:r>
      <w:r w:rsidR="009D4F21">
        <w:rPr>
          <w:rFonts w:eastAsia="SimSun"/>
          <w:snapToGrid/>
          <w:szCs w:val="22"/>
          <w:lang w:eastAsia="zh-CN"/>
        </w:rPr>
        <w:t> </w:t>
      </w:r>
      <w:r w:rsidRPr="00CE7679">
        <w:rPr>
          <w:rFonts w:eastAsia="SimSun"/>
          <w:snapToGrid/>
          <w:szCs w:val="22"/>
          <w:lang w:eastAsia="zh-CN"/>
        </w:rPr>
        <w:t>skyrių.</w:t>
      </w:r>
    </w:p>
    <w:p w14:paraId="62F0E36F" w14:textId="77777777" w:rsidR="00A27597" w:rsidRPr="00CE7679" w:rsidRDefault="00A27597" w:rsidP="00A27597">
      <w:pPr>
        <w:spacing w:line="240" w:lineRule="auto"/>
        <w:rPr>
          <w:rFonts w:eastAsia="SimSun"/>
          <w:snapToGrid/>
          <w:szCs w:val="22"/>
          <w:lang w:eastAsia="zh-CN"/>
        </w:rPr>
      </w:pPr>
    </w:p>
    <w:p w14:paraId="4E521242" w14:textId="77777777" w:rsidR="00A27597" w:rsidRPr="00CE7679" w:rsidRDefault="00A27597" w:rsidP="00A27597">
      <w:pPr>
        <w:keepNext/>
        <w:spacing w:line="240" w:lineRule="auto"/>
        <w:jc w:val="both"/>
        <w:outlineLvl w:val="3"/>
        <w:rPr>
          <w:rFonts w:eastAsia="SimSun"/>
          <w:b/>
          <w:snapToGrid/>
          <w:szCs w:val="22"/>
        </w:rPr>
      </w:pPr>
      <w:r w:rsidRPr="00CE7679">
        <w:rPr>
          <w:rFonts w:eastAsia="SimSun"/>
          <w:b/>
          <w:snapToGrid/>
          <w:szCs w:val="22"/>
        </w:rPr>
        <w:t>Apie ką rašoma šiame lapelyje?</w:t>
      </w:r>
    </w:p>
    <w:p w14:paraId="3D934E43" w14:textId="77777777" w:rsidR="00A27597" w:rsidRPr="00CE7679" w:rsidRDefault="00A27597" w:rsidP="00A27597">
      <w:pPr>
        <w:rPr>
          <w:rFonts w:eastAsia="SimSun"/>
          <w:snapToGrid/>
        </w:rPr>
      </w:pPr>
    </w:p>
    <w:p w14:paraId="572E2379" w14:textId="77777777" w:rsidR="00A27597" w:rsidRPr="00CE7679" w:rsidRDefault="00A27597" w:rsidP="00A27597">
      <w:pPr>
        <w:numPr>
          <w:ilvl w:val="12"/>
          <w:numId w:val="0"/>
        </w:numPr>
        <w:spacing w:line="240" w:lineRule="auto"/>
        <w:rPr>
          <w:rFonts w:eastAsia="SimSun"/>
          <w:snapToGrid/>
          <w:szCs w:val="22"/>
          <w:lang w:eastAsia="zh-CN"/>
        </w:rPr>
      </w:pPr>
      <w:r w:rsidRPr="00CE7679">
        <w:rPr>
          <w:rFonts w:eastAsia="SimSun"/>
          <w:snapToGrid/>
          <w:szCs w:val="22"/>
          <w:lang w:eastAsia="zh-CN"/>
        </w:rPr>
        <w:t>1.</w:t>
      </w:r>
      <w:r w:rsidRPr="00CE7679">
        <w:rPr>
          <w:rFonts w:eastAsia="SimSun"/>
          <w:snapToGrid/>
          <w:szCs w:val="22"/>
          <w:lang w:eastAsia="zh-CN"/>
        </w:rPr>
        <w:tab/>
        <w:t xml:space="preserve">Kas yra </w:t>
      </w: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 xml:space="preserve"> ir kam jis vartojamas </w:t>
      </w:r>
    </w:p>
    <w:p w14:paraId="2013CF92" w14:textId="77777777" w:rsidR="00A27597" w:rsidRPr="00CE7679" w:rsidRDefault="00A27597" w:rsidP="00A27597">
      <w:pPr>
        <w:numPr>
          <w:ilvl w:val="12"/>
          <w:numId w:val="0"/>
        </w:numPr>
        <w:spacing w:line="240" w:lineRule="auto"/>
        <w:rPr>
          <w:rFonts w:eastAsia="SimSun"/>
          <w:snapToGrid/>
          <w:szCs w:val="22"/>
          <w:lang w:eastAsia="zh-CN"/>
        </w:rPr>
      </w:pPr>
      <w:r w:rsidRPr="00CE7679">
        <w:rPr>
          <w:rFonts w:eastAsia="SimSun"/>
          <w:snapToGrid/>
          <w:szCs w:val="22"/>
          <w:lang w:eastAsia="zh-CN"/>
        </w:rPr>
        <w:t>2.</w:t>
      </w:r>
      <w:r w:rsidRPr="00CE7679">
        <w:rPr>
          <w:rFonts w:eastAsia="SimSun"/>
          <w:snapToGrid/>
          <w:szCs w:val="22"/>
          <w:lang w:eastAsia="zh-CN"/>
        </w:rPr>
        <w:tab/>
        <w:t xml:space="preserve">Kas žinotina prieš vartojant </w:t>
      </w: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 xml:space="preserve"> </w:t>
      </w:r>
    </w:p>
    <w:p w14:paraId="330EDC1F" w14:textId="77777777" w:rsidR="00A27597" w:rsidRPr="00CE7679" w:rsidRDefault="00A27597" w:rsidP="00A27597">
      <w:pPr>
        <w:numPr>
          <w:ilvl w:val="12"/>
          <w:numId w:val="0"/>
        </w:numPr>
        <w:spacing w:line="240" w:lineRule="auto"/>
        <w:rPr>
          <w:rFonts w:eastAsia="SimSun"/>
          <w:snapToGrid/>
          <w:szCs w:val="22"/>
          <w:lang w:eastAsia="zh-CN"/>
        </w:rPr>
      </w:pPr>
      <w:r w:rsidRPr="00CE7679">
        <w:rPr>
          <w:rFonts w:eastAsia="SimSun"/>
          <w:snapToGrid/>
          <w:szCs w:val="22"/>
          <w:lang w:eastAsia="zh-CN"/>
        </w:rPr>
        <w:t>3.</w:t>
      </w:r>
      <w:r w:rsidRPr="00CE7679">
        <w:rPr>
          <w:rFonts w:eastAsia="SimSun"/>
          <w:snapToGrid/>
          <w:szCs w:val="22"/>
          <w:lang w:eastAsia="zh-CN"/>
        </w:rPr>
        <w:tab/>
        <w:t xml:space="preserve">Kaip vartoti </w:t>
      </w: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 xml:space="preserve"> </w:t>
      </w:r>
    </w:p>
    <w:p w14:paraId="5C1F610F" w14:textId="77777777" w:rsidR="00A27597" w:rsidRPr="00CE7679" w:rsidRDefault="00A27597" w:rsidP="00A27597">
      <w:pPr>
        <w:numPr>
          <w:ilvl w:val="12"/>
          <w:numId w:val="0"/>
        </w:numPr>
        <w:spacing w:line="240" w:lineRule="auto"/>
        <w:rPr>
          <w:rFonts w:eastAsia="SimSun"/>
          <w:snapToGrid/>
          <w:szCs w:val="22"/>
          <w:lang w:eastAsia="zh-CN"/>
        </w:rPr>
      </w:pPr>
      <w:r w:rsidRPr="00CE7679">
        <w:rPr>
          <w:rFonts w:eastAsia="SimSun"/>
          <w:snapToGrid/>
          <w:szCs w:val="22"/>
          <w:lang w:eastAsia="zh-CN"/>
        </w:rPr>
        <w:t>4.</w:t>
      </w:r>
      <w:r w:rsidRPr="00CE7679">
        <w:rPr>
          <w:rFonts w:eastAsia="SimSun"/>
          <w:snapToGrid/>
          <w:szCs w:val="22"/>
          <w:lang w:eastAsia="zh-CN"/>
        </w:rPr>
        <w:tab/>
        <w:t xml:space="preserve">Galimas šalutinis poveikis </w:t>
      </w:r>
    </w:p>
    <w:p w14:paraId="3ADB6773" w14:textId="77777777" w:rsidR="00A27597" w:rsidRPr="00CE7679" w:rsidRDefault="00A27597" w:rsidP="00A27597">
      <w:pPr>
        <w:numPr>
          <w:ilvl w:val="12"/>
          <w:numId w:val="0"/>
        </w:numPr>
        <w:spacing w:line="240" w:lineRule="auto"/>
        <w:rPr>
          <w:rFonts w:eastAsia="SimSun"/>
          <w:snapToGrid/>
          <w:szCs w:val="22"/>
          <w:lang w:eastAsia="zh-CN"/>
        </w:rPr>
      </w:pPr>
      <w:r w:rsidRPr="00CE7679">
        <w:rPr>
          <w:rFonts w:eastAsia="SimSun"/>
          <w:snapToGrid/>
          <w:szCs w:val="22"/>
          <w:lang w:eastAsia="zh-CN"/>
        </w:rPr>
        <w:t>5.</w:t>
      </w:r>
      <w:r w:rsidRPr="00CE7679">
        <w:rPr>
          <w:rFonts w:eastAsia="SimSun"/>
          <w:snapToGrid/>
          <w:szCs w:val="22"/>
          <w:lang w:eastAsia="zh-CN"/>
        </w:rPr>
        <w:tab/>
        <w:t xml:space="preserve">Kaip laikyti </w:t>
      </w: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 xml:space="preserve"> </w:t>
      </w:r>
    </w:p>
    <w:p w14:paraId="0E1C68F1" w14:textId="77777777" w:rsidR="00A27597" w:rsidRPr="00CE7679" w:rsidRDefault="00A27597" w:rsidP="00A27597">
      <w:pPr>
        <w:numPr>
          <w:ilvl w:val="12"/>
          <w:numId w:val="0"/>
        </w:numPr>
        <w:spacing w:line="240" w:lineRule="auto"/>
        <w:rPr>
          <w:rFonts w:eastAsia="SimSun"/>
          <w:snapToGrid/>
          <w:szCs w:val="22"/>
          <w:lang w:eastAsia="zh-CN"/>
        </w:rPr>
      </w:pPr>
      <w:r w:rsidRPr="00CE7679">
        <w:rPr>
          <w:rFonts w:eastAsia="SimSun"/>
          <w:snapToGrid/>
          <w:szCs w:val="22"/>
          <w:lang w:eastAsia="zh-CN"/>
        </w:rPr>
        <w:t>6.</w:t>
      </w:r>
      <w:r w:rsidRPr="00CE7679">
        <w:rPr>
          <w:rFonts w:eastAsia="SimSun"/>
          <w:snapToGrid/>
          <w:szCs w:val="22"/>
          <w:lang w:eastAsia="zh-CN"/>
        </w:rPr>
        <w:tab/>
        <w:t>Pakuotės turinys ir kita informacija</w:t>
      </w:r>
    </w:p>
    <w:p w14:paraId="72F2A7EF" w14:textId="77777777" w:rsidR="00A27597" w:rsidRPr="00CE7679" w:rsidRDefault="00A27597" w:rsidP="00A27597">
      <w:pPr>
        <w:numPr>
          <w:ilvl w:val="12"/>
          <w:numId w:val="0"/>
        </w:numPr>
        <w:spacing w:line="240" w:lineRule="auto"/>
        <w:rPr>
          <w:rFonts w:eastAsia="SimSun"/>
          <w:snapToGrid/>
          <w:szCs w:val="22"/>
          <w:lang w:eastAsia="zh-CN"/>
        </w:rPr>
      </w:pPr>
    </w:p>
    <w:p w14:paraId="6221797A" w14:textId="77777777" w:rsidR="00A27597" w:rsidRPr="00CE7679" w:rsidRDefault="00A27597" w:rsidP="00A27597">
      <w:pPr>
        <w:numPr>
          <w:ilvl w:val="12"/>
          <w:numId w:val="0"/>
        </w:numPr>
        <w:spacing w:line="240" w:lineRule="auto"/>
        <w:rPr>
          <w:rFonts w:eastAsia="SimSun"/>
          <w:snapToGrid/>
          <w:szCs w:val="22"/>
          <w:lang w:eastAsia="zh-CN"/>
        </w:rPr>
      </w:pPr>
    </w:p>
    <w:p w14:paraId="393E2EB0" w14:textId="77777777" w:rsidR="00A27597" w:rsidRPr="00CE7679" w:rsidRDefault="00A27597" w:rsidP="00A27597">
      <w:pPr>
        <w:keepNext/>
        <w:spacing w:line="240" w:lineRule="auto"/>
        <w:jc w:val="both"/>
        <w:outlineLvl w:val="3"/>
        <w:rPr>
          <w:rFonts w:eastAsia="SimSun"/>
          <w:b/>
          <w:snapToGrid/>
          <w:szCs w:val="22"/>
        </w:rPr>
      </w:pPr>
      <w:r w:rsidRPr="00CE7679">
        <w:rPr>
          <w:rFonts w:eastAsia="SimSun"/>
          <w:b/>
          <w:snapToGrid/>
          <w:szCs w:val="22"/>
        </w:rPr>
        <w:t>1.</w:t>
      </w:r>
      <w:r w:rsidRPr="00CE7679">
        <w:rPr>
          <w:rFonts w:eastAsia="SimSun"/>
          <w:b/>
          <w:snapToGrid/>
          <w:szCs w:val="22"/>
        </w:rPr>
        <w:tab/>
        <w:t xml:space="preserve">Kas yra </w:t>
      </w:r>
      <w:proofErr w:type="spellStart"/>
      <w:r w:rsidRPr="00CE7679">
        <w:rPr>
          <w:rFonts w:eastAsia="SimSun"/>
          <w:b/>
          <w:snapToGrid/>
          <w:szCs w:val="22"/>
        </w:rPr>
        <w:t>Imatinib</w:t>
      </w:r>
      <w:proofErr w:type="spellEnd"/>
      <w:r w:rsidRPr="00CE7679">
        <w:rPr>
          <w:rFonts w:eastAsia="SimSun"/>
          <w:b/>
          <w:snapToGrid/>
          <w:szCs w:val="22"/>
        </w:rPr>
        <w:t xml:space="preserve"> </w:t>
      </w:r>
      <w:proofErr w:type="spellStart"/>
      <w:r w:rsidRPr="00CE7679">
        <w:rPr>
          <w:rFonts w:eastAsia="SimSun"/>
          <w:b/>
          <w:snapToGrid/>
          <w:szCs w:val="22"/>
        </w:rPr>
        <w:t>Sandoz</w:t>
      </w:r>
      <w:proofErr w:type="spellEnd"/>
      <w:r w:rsidRPr="00CE7679">
        <w:rPr>
          <w:rFonts w:eastAsia="SimSun"/>
          <w:b/>
          <w:snapToGrid/>
          <w:szCs w:val="22"/>
        </w:rPr>
        <w:t xml:space="preserve"> ir kam jis vartojamas</w:t>
      </w:r>
    </w:p>
    <w:p w14:paraId="2191E8F6" w14:textId="77777777" w:rsidR="00A27597" w:rsidRPr="00CE7679" w:rsidRDefault="00A27597" w:rsidP="00A27597">
      <w:pPr>
        <w:numPr>
          <w:ilvl w:val="12"/>
          <w:numId w:val="0"/>
        </w:numPr>
        <w:spacing w:line="240" w:lineRule="auto"/>
        <w:rPr>
          <w:rFonts w:eastAsia="SimSun"/>
          <w:snapToGrid/>
          <w:szCs w:val="22"/>
          <w:lang w:eastAsia="zh-CN"/>
        </w:rPr>
      </w:pPr>
    </w:p>
    <w:p w14:paraId="75A2E2BB" w14:textId="77777777" w:rsidR="00A27597" w:rsidRPr="00CE7679" w:rsidRDefault="00A27597" w:rsidP="00A27597">
      <w:pPr>
        <w:spacing w:line="240" w:lineRule="auto"/>
        <w:rPr>
          <w:rFonts w:eastAsia="SimSun"/>
          <w:snapToGrid/>
          <w:szCs w:val="22"/>
          <w:lang w:eastAsia="zh-CN"/>
        </w:rPr>
      </w:pP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 xml:space="preserve"> yra vaistas, kurio sudėtyje yra veikliosios medžiagos, vadinamos </w:t>
      </w:r>
      <w:proofErr w:type="spellStart"/>
      <w:r w:rsidRPr="00CE7679">
        <w:rPr>
          <w:rFonts w:eastAsia="SimSun"/>
          <w:snapToGrid/>
          <w:szCs w:val="22"/>
          <w:lang w:eastAsia="zh-CN"/>
        </w:rPr>
        <w:t>imatinibu</w:t>
      </w:r>
      <w:proofErr w:type="spellEnd"/>
      <w:r w:rsidRPr="00CE7679">
        <w:rPr>
          <w:rFonts w:eastAsia="SimSun"/>
          <w:snapToGrid/>
          <w:szCs w:val="22"/>
          <w:lang w:eastAsia="zh-CN"/>
        </w:rPr>
        <w:t>. Šis vaistas veikia slopindamas nenormalių ląstelių augimą, sergant toliau išvardytomis ligomis. Jos apima kai kurias vėžio rūšis.</w:t>
      </w:r>
    </w:p>
    <w:p w14:paraId="04E11713" w14:textId="77777777" w:rsidR="00A27597" w:rsidRPr="00CE7679" w:rsidRDefault="00A27597" w:rsidP="00A27597">
      <w:pPr>
        <w:spacing w:line="240" w:lineRule="auto"/>
        <w:rPr>
          <w:rFonts w:eastAsia="SimSun"/>
          <w:snapToGrid/>
          <w:szCs w:val="22"/>
          <w:lang w:eastAsia="zh-CN"/>
        </w:rPr>
      </w:pPr>
    </w:p>
    <w:p w14:paraId="4A3EE02F" w14:textId="77777777" w:rsidR="00A27597" w:rsidRPr="00CE7679" w:rsidRDefault="00A27597" w:rsidP="00A27597">
      <w:pPr>
        <w:numPr>
          <w:ilvl w:val="12"/>
          <w:numId w:val="0"/>
        </w:numPr>
        <w:spacing w:line="240" w:lineRule="auto"/>
        <w:rPr>
          <w:rFonts w:eastAsia="SimSun"/>
          <w:b/>
          <w:snapToGrid/>
          <w:szCs w:val="22"/>
          <w:lang w:eastAsia="zh-CN"/>
        </w:rPr>
      </w:pPr>
      <w:proofErr w:type="spellStart"/>
      <w:r w:rsidRPr="00CE7679">
        <w:rPr>
          <w:rFonts w:eastAsia="SimSun"/>
          <w:b/>
          <w:snapToGrid/>
          <w:szCs w:val="22"/>
          <w:lang w:eastAsia="zh-CN"/>
        </w:rPr>
        <w:t>Imatinib</w:t>
      </w:r>
      <w:proofErr w:type="spellEnd"/>
      <w:r w:rsidRPr="00CE7679">
        <w:rPr>
          <w:rFonts w:eastAsia="SimSun"/>
          <w:b/>
          <w:snapToGrid/>
          <w:szCs w:val="22"/>
          <w:lang w:eastAsia="zh-CN"/>
        </w:rPr>
        <w:t xml:space="preserve"> </w:t>
      </w:r>
      <w:proofErr w:type="spellStart"/>
      <w:r w:rsidRPr="00CE7679">
        <w:rPr>
          <w:rFonts w:eastAsia="SimSun"/>
          <w:b/>
          <w:snapToGrid/>
          <w:szCs w:val="22"/>
          <w:lang w:eastAsia="zh-CN"/>
        </w:rPr>
        <w:t>Sandoz</w:t>
      </w:r>
      <w:proofErr w:type="spellEnd"/>
      <w:r w:rsidRPr="00CE7679">
        <w:rPr>
          <w:rFonts w:eastAsia="SimSun"/>
          <w:b/>
          <w:snapToGrid/>
          <w:szCs w:val="22"/>
          <w:lang w:eastAsia="zh-CN"/>
        </w:rPr>
        <w:t xml:space="preserve"> gydoma </w:t>
      </w:r>
      <w:r w:rsidRPr="00CE7679">
        <w:rPr>
          <w:b/>
          <w:bCs/>
          <w:szCs w:val="22"/>
        </w:rPr>
        <w:t>suaugusiųjų ir vaikų</w:t>
      </w:r>
      <w:r w:rsidRPr="00CE7679">
        <w:rPr>
          <w:rFonts w:eastAsia="SimSun"/>
          <w:b/>
          <w:snapToGrid/>
          <w:szCs w:val="22"/>
          <w:lang w:eastAsia="zh-CN"/>
        </w:rPr>
        <w:t>:</w:t>
      </w:r>
    </w:p>
    <w:p w14:paraId="692B5253" w14:textId="77777777" w:rsidR="00A27597" w:rsidRPr="00CE7679" w:rsidRDefault="00A27597" w:rsidP="00A27597">
      <w:pPr>
        <w:numPr>
          <w:ilvl w:val="0"/>
          <w:numId w:val="20"/>
        </w:numPr>
        <w:tabs>
          <w:tab w:val="clear" w:pos="567"/>
        </w:tabs>
        <w:spacing w:after="200" w:line="240" w:lineRule="auto"/>
        <w:ind w:left="567" w:hanging="567"/>
        <w:contextualSpacing/>
        <w:rPr>
          <w:rFonts w:eastAsia="SimSun"/>
          <w:snapToGrid/>
          <w:szCs w:val="22"/>
          <w:lang w:eastAsia="zh-CN"/>
        </w:rPr>
      </w:pPr>
      <w:r w:rsidRPr="00CE7679">
        <w:rPr>
          <w:rFonts w:eastAsia="SimSun"/>
          <w:b/>
          <w:snapToGrid/>
          <w:szCs w:val="22"/>
          <w:lang w:eastAsia="zh-CN"/>
        </w:rPr>
        <w:t xml:space="preserve">lėtinė </w:t>
      </w:r>
      <w:proofErr w:type="spellStart"/>
      <w:r w:rsidRPr="00CE7679">
        <w:rPr>
          <w:rFonts w:eastAsia="SimSun"/>
          <w:b/>
          <w:snapToGrid/>
          <w:szCs w:val="22"/>
          <w:lang w:eastAsia="zh-CN"/>
        </w:rPr>
        <w:t>mieloidinė</w:t>
      </w:r>
      <w:proofErr w:type="spellEnd"/>
      <w:r w:rsidRPr="00CE7679">
        <w:rPr>
          <w:rFonts w:eastAsia="SimSun"/>
          <w:b/>
          <w:snapToGrid/>
          <w:szCs w:val="22"/>
          <w:lang w:eastAsia="zh-CN"/>
        </w:rPr>
        <w:t xml:space="preserve"> leukemija (LML).</w:t>
      </w:r>
      <w:r w:rsidRPr="00CE7679">
        <w:rPr>
          <w:rFonts w:eastAsia="SimSun"/>
          <w:snapToGrid/>
          <w:szCs w:val="22"/>
          <w:lang w:eastAsia="zh-CN"/>
        </w:rPr>
        <w:t xml:space="preserve"> Leukemija yra baltųjų kraujo ląstelių vėžys. Paprastai šios baltosios ląstelės padeda organizmui kovoti su infekcija. Lėtinė </w:t>
      </w:r>
      <w:proofErr w:type="spellStart"/>
      <w:r w:rsidRPr="00CE7679">
        <w:rPr>
          <w:rFonts w:eastAsia="SimSun"/>
          <w:snapToGrid/>
          <w:szCs w:val="22"/>
          <w:lang w:eastAsia="zh-CN"/>
        </w:rPr>
        <w:t>mieloleukemija</w:t>
      </w:r>
      <w:proofErr w:type="spellEnd"/>
      <w:r w:rsidRPr="00CE7679">
        <w:rPr>
          <w:rFonts w:eastAsia="SimSun"/>
          <w:snapToGrid/>
          <w:szCs w:val="22"/>
          <w:lang w:eastAsia="zh-CN"/>
        </w:rPr>
        <w:t xml:space="preserve"> yra tokia leukemijos forma, kai tam tikros nenormalios ląstelės (vadinamos </w:t>
      </w:r>
      <w:proofErr w:type="spellStart"/>
      <w:r w:rsidRPr="00CE7679">
        <w:rPr>
          <w:rFonts w:eastAsia="SimSun"/>
          <w:snapToGrid/>
          <w:szCs w:val="22"/>
          <w:lang w:eastAsia="zh-CN"/>
        </w:rPr>
        <w:t>mieloidinėmis</w:t>
      </w:r>
      <w:proofErr w:type="spellEnd"/>
      <w:r w:rsidRPr="00CE7679">
        <w:rPr>
          <w:rFonts w:eastAsia="SimSun"/>
          <w:snapToGrid/>
          <w:szCs w:val="22"/>
          <w:lang w:eastAsia="zh-CN"/>
        </w:rPr>
        <w:t xml:space="preserve"> ląstelėmis) pradeda nekontroliuojamai augti.</w:t>
      </w:r>
    </w:p>
    <w:p w14:paraId="3E021F88" w14:textId="77777777" w:rsidR="00A27597" w:rsidRPr="00CE7679" w:rsidRDefault="00A27597" w:rsidP="00A27597">
      <w:pPr>
        <w:spacing w:line="240" w:lineRule="auto"/>
        <w:ind w:left="567"/>
        <w:contextualSpacing/>
        <w:rPr>
          <w:rFonts w:eastAsia="SimSun"/>
          <w:snapToGrid/>
          <w:szCs w:val="22"/>
          <w:lang w:eastAsia="zh-CN"/>
        </w:rPr>
      </w:pPr>
    </w:p>
    <w:p w14:paraId="72807507" w14:textId="77777777" w:rsidR="00A27597" w:rsidRPr="00CE7679" w:rsidRDefault="00A27597" w:rsidP="00A27597">
      <w:pPr>
        <w:numPr>
          <w:ilvl w:val="0"/>
          <w:numId w:val="22"/>
        </w:numPr>
        <w:tabs>
          <w:tab w:val="clear" w:pos="567"/>
        </w:tabs>
        <w:spacing w:after="200" w:line="240" w:lineRule="auto"/>
        <w:ind w:left="567" w:hanging="567"/>
        <w:contextualSpacing/>
        <w:rPr>
          <w:rFonts w:eastAsia="SimSun"/>
          <w:snapToGrid/>
          <w:szCs w:val="22"/>
          <w:lang w:eastAsia="zh-CN"/>
        </w:rPr>
      </w:pPr>
      <w:proofErr w:type="spellStart"/>
      <w:r w:rsidRPr="00CE7679">
        <w:rPr>
          <w:rFonts w:eastAsia="SimSun"/>
          <w:b/>
          <w:i/>
          <w:snapToGrid/>
          <w:szCs w:val="22"/>
          <w:lang w:eastAsia="zh-CN"/>
        </w:rPr>
        <w:t>Philadelphia</w:t>
      </w:r>
      <w:proofErr w:type="spellEnd"/>
      <w:r w:rsidRPr="00CE7679">
        <w:rPr>
          <w:rFonts w:eastAsia="SimSun"/>
          <w:b/>
          <w:snapToGrid/>
          <w:szCs w:val="22"/>
          <w:lang w:eastAsia="zh-CN"/>
        </w:rPr>
        <w:t xml:space="preserve"> chromosomai teigiama ūminė </w:t>
      </w:r>
      <w:proofErr w:type="spellStart"/>
      <w:r w:rsidRPr="00CE7679">
        <w:rPr>
          <w:rFonts w:eastAsia="SimSun"/>
          <w:b/>
          <w:snapToGrid/>
          <w:szCs w:val="22"/>
          <w:lang w:eastAsia="zh-CN"/>
        </w:rPr>
        <w:t>limfoblastinė</w:t>
      </w:r>
      <w:proofErr w:type="spellEnd"/>
      <w:r w:rsidRPr="00CE7679">
        <w:rPr>
          <w:rFonts w:eastAsia="SimSun"/>
          <w:b/>
          <w:snapToGrid/>
          <w:szCs w:val="22"/>
          <w:lang w:eastAsia="zh-CN"/>
        </w:rPr>
        <w:t xml:space="preserve"> leukemija (</w:t>
      </w:r>
      <w:proofErr w:type="spellStart"/>
      <w:r w:rsidRPr="00CE7679">
        <w:rPr>
          <w:rFonts w:eastAsia="SimSun"/>
          <w:b/>
          <w:snapToGrid/>
          <w:szCs w:val="22"/>
          <w:lang w:eastAsia="zh-CN"/>
        </w:rPr>
        <w:t>Ph</w:t>
      </w:r>
      <w:proofErr w:type="spellEnd"/>
      <w:r w:rsidRPr="00CE7679">
        <w:rPr>
          <w:rFonts w:eastAsia="SimSun"/>
          <w:b/>
          <w:snapToGrid/>
          <w:szCs w:val="22"/>
          <w:lang w:eastAsia="zh-CN"/>
        </w:rPr>
        <w:t xml:space="preserve"> teigiamos ŪLL)</w:t>
      </w:r>
      <w:r w:rsidRPr="00CE7679">
        <w:rPr>
          <w:rFonts w:eastAsia="SimSun"/>
          <w:snapToGrid/>
          <w:szCs w:val="22"/>
          <w:lang w:eastAsia="zh-CN"/>
        </w:rPr>
        <w:t xml:space="preserve">. Leukemija – tai baltųjų kraujo kūnelių vėžys. Paprastai šios baltosios ląstelės padeda organizmui kovoti su infekcija. Ūminė </w:t>
      </w:r>
      <w:proofErr w:type="spellStart"/>
      <w:r w:rsidRPr="00CE7679">
        <w:rPr>
          <w:rFonts w:eastAsia="SimSun"/>
          <w:snapToGrid/>
          <w:szCs w:val="22"/>
          <w:lang w:eastAsia="zh-CN"/>
        </w:rPr>
        <w:t>limfoleukemija</w:t>
      </w:r>
      <w:proofErr w:type="spellEnd"/>
      <w:r w:rsidRPr="00CE7679">
        <w:rPr>
          <w:rFonts w:eastAsia="SimSun"/>
          <w:snapToGrid/>
          <w:szCs w:val="22"/>
          <w:lang w:eastAsia="zh-CN"/>
        </w:rPr>
        <w:t xml:space="preserve"> yra tokia leukemijos forma, kai tam tikros nenormalios ląstelės (vadinamos </w:t>
      </w:r>
      <w:proofErr w:type="spellStart"/>
      <w:r w:rsidRPr="00CE7679">
        <w:rPr>
          <w:rFonts w:eastAsia="SimSun"/>
          <w:snapToGrid/>
          <w:szCs w:val="22"/>
          <w:lang w:eastAsia="zh-CN"/>
        </w:rPr>
        <w:t>limfoblastais</w:t>
      </w:r>
      <w:proofErr w:type="spellEnd"/>
      <w:r w:rsidRPr="00CE7679">
        <w:rPr>
          <w:rFonts w:eastAsia="SimSun"/>
          <w:snapToGrid/>
          <w:szCs w:val="22"/>
          <w:lang w:eastAsia="zh-CN"/>
        </w:rPr>
        <w:t xml:space="preserve">) pradeda nekontroliuojamai augti. </w:t>
      </w: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 xml:space="preserve"> slopina šių ląstelių augimą.</w:t>
      </w:r>
    </w:p>
    <w:p w14:paraId="45167877" w14:textId="77777777" w:rsidR="00A27597" w:rsidRPr="00CE7679" w:rsidRDefault="00A27597" w:rsidP="00A27597">
      <w:pPr>
        <w:numPr>
          <w:ilvl w:val="12"/>
          <w:numId w:val="0"/>
        </w:numPr>
        <w:spacing w:line="240" w:lineRule="auto"/>
        <w:rPr>
          <w:rFonts w:eastAsia="SimSun"/>
          <w:snapToGrid/>
          <w:szCs w:val="22"/>
          <w:lang w:eastAsia="zh-CN"/>
        </w:rPr>
      </w:pPr>
    </w:p>
    <w:p w14:paraId="0A184EDE" w14:textId="77777777" w:rsidR="00A27597" w:rsidRPr="00CE7679" w:rsidRDefault="00A27597" w:rsidP="00A27597">
      <w:pPr>
        <w:numPr>
          <w:ilvl w:val="12"/>
          <w:numId w:val="0"/>
        </w:numPr>
        <w:spacing w:line="240" w:lineRule="auto"/>
        <w:rPr>
          <w:rFonts w:eastAsia="Calibri"/>
          <w:b/>
          <w:snapToGrid/>
          <w:szCs w:val="22"/>
        </w:rPr>
      </w:pPr>
      <w:proofErr w:type="spellStart"/>
      <w:r w:rsidRPr="00CE7679">
        <w:rPr>
          <w:rFonts w:eastAsia="Calibri"/>
          <w:b/>
          <w:snapToGrid/>
          <w:szCs w:val="22"/>
        </w:rPr>
        <w:t>Imatinib</w:t>
      </w:r>
      <w:proofErr w:type="spellEnd"/>
      <w:r w:rsidRPr="00CE7679">
        <w:rPr>
          <w:rFonts w:eastAsia="Calibri"/>
          <w:b/>
          <w:snapToGrid/>
          <w:szCs w:val="22"/>
        </w:rPr>
        <w:t xml:space="preserve"> </w:t>
      </w:r>
      <w:proofErr w:type="spellStart"/>
      <w:r w:rsidRPr="00CE7679">
        <w:rPr>
          <w:rFonts w:eastAsia="Calibri"/>
          <w:b/>
          <w:snapToGrid/>
          <w:szCs w:val="22"/>
        </w:rPr>
        <w:t>Sandoz</w:t>
      </w:r>
      <w:proofErr w:type="spellEnd"/>
      <w:r w:rsidRPr="00CE7679">
        <w:rPr>
          <w:rFonts w:eastAsia="Calibri"/>
          <w:b/>
          <w:snapToGrid/>
          <w:szCs w:val="22"/>
        </w:rPr>
        <w:t xml:space="preserve"> </w:t>
      </w:r>
      <w:r w:rsidRPr="00CE7679">
        <w:rPr>
          <w:rFonts w:eastAsia="SimSun"/>
          <w:b/>
          <w:snapToGrid/>
          <w:szCs w:val="22"/>
          <w:lang w:eastAsia="zh-CN"/>
        </w:rPr>
        <w:t xml:space="preserve">taip pat gydomi suaugusieji, sergantys: </w:t>
      </w:r>
    </w:p>
    <w:p w14:paraId="619641C2" w14:textId="77777777" w:rsidR="00A27597" w:rsidRPr="00CE7679" w:rsidRDefault="00A27597" w:rsidP="00A27597">
      <w:pPr>
        <w:numPr>
          <w:ilvl w:val="0"/>
          <w:numId w:val="40"/>
        </w:numPr>
        <w:tabs>
          <w:tab w:val="clear" w:pos="567"/>
          <w:tab w:val="left" w:pos="540"/>
        </w:tabs>
        <w:spacing w:line="240" w:lineRule="auto"/>
        <w:ind w:left="540" w:hanging="540"/>
        <w:rPr>
          <w:rFonts w:eastAsia="SimSun"/>
          <w:snapToGrid/>
          <w:szCs w:val="22"/>
          <w:lang w:eastAsia="zh-CN"/>
        </w:rPr>
      </w:pPr>
      <w:proofErr w:type="spellStart"/>
      <w:r w:rsidRPr="00CE7679">
        <w:rPr>
          <w:rFonts w:eastAsia="SimSun"/>
          <w:b/>
          <w:snapToGrid/>
          <w:szCs w:val="22"/>
          <w:lang w:eastAsia="zh-CN"/>
        </w:rPr>
        <w:t>mielodisplaziniu</w:t>
      </w:r>
      <w:proofErr w:type="spellEnd"/>
      <w:r w:rsidRPr="00CE7679">
        <w:rPr>
          <w:rFonts w:eastAsia="SimSun"/>
          <w:b/>
          <w:snapToGrid/>
          <w:szCs w:val="22"/>
          <w:lang w:eastAsia="zh-CN"/>
        </w:rPr>
        <w:t xml:space="preserve"> sindromu ar </w:t>
      </w:r>
      <w:proofErr w:type="spellStart"/>
      <w:r w:rsidRPr="00CE7679">
        <w:rPr>
          <w:rFonts w:eastAsia="SimSun"/>
          <w:b/>
          <w:snapToGrid/>
          <w:szCs w:val="22"/>
          <w:lang w:eastAsia="zh-CN"/>
        </w:rPr>
        <w:t>mieloproliferacinėmis</w:t>
      </w:r>
      <w:proofErr w:type="spellEnd"/>
      <w:r w:rsidRPr="00CE7679">
        <w:rPr>
          <w:rFonts w:eastAsia="SimSun"/>
          <w:b/>
          <w:snapToGrid/>
          <w:szCs w:val="22"/>
          <w:lang w:eastAsia="zh-CN"/>
        </w:rPr>
        <w:t xml:space="preserve"> ligomis (MDS/MPL).</w:t>
      </w:r>
      <w:r w:rsidRPr="00CE7679">
        <w:rPr>
          <w:rFonts w:eastAsia="SimSun"/>
          <w:snapToGrid/>
          <w:szCs w:val="22"/>
          <w:lang w:eastAsia="zh-CN"/>
        </w:rPr>
        <w:t xml:space="preserve"> Tai kraujo ligos, kurių metu kai kurios kraujo ląstelės pradeda augti nekontroliuojamai. </w:t>
      </w: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 xml:space="preserve"> slopina šių ląstelių augimą, esant tam tikram šių ligų potipiui; </w:t>
      </w:r>
    </w:p>
    <w:p w14:paraId="5C65A8A2" w14:textId="77777777" w:rsidR="00A27597" w:rsidRDefault="00A27597" w:rsidP="00A27597">
      <w:pPr>
        <w:numPr>
          <w:ilvl w:val="0"/>
          <w:numId w:val="40"/>
        </w:numPr>
        <w:tabs>
          <w:tab w:val="clear" w:pos="567"/>
          <w:tab w:val="left" w:pos="540"/>
        </w:tabs>
        <w:spacing w:line="240" w:lineRule="auto"/>
        <w:ind w:left="540" w:hanging="540"/>
        <w:rPr>
          <w:rFonts w:eastAsia="SimSun"/>
          <w:snapToGrid/>
          <w:szCs w:val="22"/>
          <w:lang w:eastAsia="zh-CN"/>
        </w:rPr>
      </w:pPr>
      <w:proofErr w:type="spellStart"/>
      <w:r w:rsidRPr="00CE7679">
        <w:rPr>
          <w:rFonts w:eastAsia="SimSun"/>
          <w:b/>
          <w:snapToGrid/>
          <w:szCs w:val="22"/>
          <w:lang w:eastAsia="zh-CN"/>
        </w:rPr>
        <w:t>hipereozinofilijos</w:t>
      </w:r>
      <w:proofErr w:type="spellEnd"/>
      <w:r w:rsidRPr="00CE7679">
        <w:rPr>
          <w:rFonts w:eastAsia="SimSun"/>
          <w:b/>
          <w:snapToGrid/>
          <w:szCs w:val="22"/>
          <w:lang w:eastAsia="zh-CN"/>
        </w:rPr>
        <w:t xml:space="preserve"> sindromu (HES) ir (arba) lėtine </w:t>
      </w:r>
      <w:proofErr w:type="spellStart"/>
      <w:r w:rsidRPr="00CE7679">
        <w:rPr>
          <w:rFonts w:eastAsia="SimSun"/>
          <w:b/>
          <w:snapToGrid/>
          <w:szCs w:val="22"/>
          <w:lang w:eastAsia="zh-CN"/>
        </w:rPr>
        <w:t>eozinofiline</w:t>
      </w:r>
      <w:proofErr w:type="spellEnd"/>
      <w:r w:rsidRPr="00CE7679">
        <w:rPr>
          <w:rFonts w:eastAsia="SimSun"/>
          <w:b/>
          <w:snapToGrid/>
          <w:szCs w:val="22"/>
          <w:lang w:eastAsia="zh-CN"/>
        </w:rPr>
        <w:t xml:space="preserve"> leukemija (LEL).</w:t>
      </w:r>
      <w:r w:rsidRPr="00CE7679">
        <w:rPr>
          <w:rFonts w:eastAsia="SimSun"/>
          <w:snapToGrid/>
          <w:szCs w:val="22"/>
          <w:lang w:eastAsia="zh-CN"/>
        </w:rPr>
        <w:t xml:space="preserve"> Tai yra kraujo ligos, kurių metu kai kurios kraujo ląstelės (vadinamos </w:t>
      </w:r>
      <w:proofErr w:type="spellStart"/>
      <w:r w:rsidRPr="00CE7679">
        <w:rPr>
          <w:rFonts w:eastAsia="SimSun"/>
          <w:snapToGrid/>
          <w:szCs w:val="22"/>
          <w:lang w:eastAsia="zh-CN"/>
        </w:rPr>
        <w:t>eozinofilais</w:t>
      </w:r>
      <w:proofErr w:type="spellEnd"/>
      <w:r w:rsidRPr="00CE7679">
        <w:rPr>
          <w:rFonts w:eastAsia="SimSun"/>
          <w:snapToGrid/>
          <w:szCs w:val="22"/>
          <w:lang w:eastAsia="zh-CN"/>
        </w:rPr>
        <w:t xml:space="preserve">) pradeda augti nekontroliuojamai. </w:t>
      </w: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 xml:space="preserve"> slopina šių ląstelių augimą esant tam tikram šių ligų potipiui; </w:t>
      </w:r>
    </w:p>
    <w:p w14:paraId="4303440A" w14:textId="77777777" w:rsidR="00DC2054" w:rsidRPr="00DC2054" w:rsidRDefault="00DC2054" w:rsidP="007541DA">
      <w:pPr>
        <w:numPr>
          <w:ilvl w:val="0"/>
          <w:numId w:val="40"/>
        </w:numPr>
        <w:tabs>
          <w:tab w:val="clear" w:pos="567"/>
          <w:tab w:val="left" w:pos="540"/>
        </w:tabs>
        <w:spacing w:line="240" w:lineRule="auto"/>
        <w:ind w:left="567" w:hanging="567"/>
        <w:rPr>
          <w:rFonts w:eastAsia="SimSun"/>
          <w:snapToGrid/>
          <w:szCs w:val="22"/>
          <w:lang w:eastAsia="zh-CN"/>
        </w:rPr>
      </w:pPr>
      <w:r w:rsidRPr="007541DA">
        <w:rPr>
          <w:rFonts w:eastAsia="SimSun"/>
          <w:b/>
          <w:bCs/>
          <w:snapToGrid/>
          <w:szCs w:val="22"/>
          <w:lang w:eastAsia="zh-CN"/>
        </w:rPr>
        <w:t xml:space="preserve">virškinimo trakto </w:t>
      </w:r>
      <w:proofErr w:type="spellStart"/>
      <w:r w:rsidRPr="007541DA">
        <w:rPr>
          <w:rFonts w:eastAsia="SimSun"/>
          <w:b/>
          <w:bCs/>
          <w:snapToGrid/>
          <w:szCs w:val="22"/>
          <w:lang w:eastAsia="zh-CN"/>
        </w:rPr>
        <w:t>stromos</w:t>
      </w:r>
      <w:proofErr w:type="spellEnd"/>
      <w:r w:rsidRPr="007541DA">
        <w:rPr>
          <w:rFonts w:eastAsia="SimSun"/>
          <w:b/>
          <w:bCs/>
          <w:snapToGrid/>
          <w:szCs w:val="22"/>
          <w:lang w:eastAsia="zh-CN"/>
        </w:rPr>
        <w:t xml:space="preserve"> naviku (VTSN).</w:t>
      </w:r>
      <w:r w:rsidRPr="00DC2054">
        <w:rPr>
          <w:rFonts w:eastAsia="SimSun"/>
          <w:snapToGrid/>
          <w:szCs w:val="22"/>
          <w:lang w:eastAsia="zh-CN"/>
        </w:rPr>
        <w:t xml:space="preserve"> VTSN – tai skrandžio ir žarnyno vėžys. Jis</w:t>
      </w:r>
      <w:r>
        <w:rPr>
          <w:rFonts w:eastAsia="SimSun"/>
          <w:snapToGrid/>
          <w:szCs w:val="22"/>
          <w:lang w:eastAsia="zh-CN"/>
        </w:rPr>
        <w:t xml:space="preserve"> </w:t>
      </w:r>
      <w:r w:rsidRPr="00DC2054">
        <w:rPr>
          <w:rFonts w:eastAsia="SimSun"/>
          <w:snapToGrid/>
          <w:szCs w:val="22"/>
          <w:lang w:eastAsia="zh-CN"/>
        </w:rPr>
        <w:t>atsiranda dėl nekontroliuojamo šių organų pagalbinio audinio ląstelių augimo</w:t>
      </w:r>
      <w:r w:rsidR="00C768C4">
        <w:rPr>
          <w:rFonts w:eastAsia="SimSun"/>
          <w:snapToGrid/>
          <w:szCs w:val="22"/>
          <w:lang w:eastAsia="zh-CN"/>
        </w:rPr>
        <w:t>;</w:t>
      </w:r>
    </w:p>
    <w:p w14:paraId="6F5610C4" w14:textId="77777777" w:rsidR="00A27597" w:rsidRPr="00CE7679" w:rsidRDefault="00A27597" w:rsidP="00A27597">
      <w:pPr>
        <w:numPr>
          <w:ilvl w:val="0"/>
          <w:numId w:val="40"/>
        </w:numPr>
        <w:tabs>
          <w:tab w:val="clear" w:pos="567"/>
          <w:tab w:val="left" w:pos="540"/>
        </w:tabs>
        <w:spacing w:line="240" w:lineRule="auto"/>
        <w:ind w:left="540" w:hanging="540"/>
        <w:rPr>
          <w:rFonts w:eastAsia="SimSun"/>
          <w:snapToGrid/>
          <w:szCs w:val="22"/>
          <w:lang w:eastAsia="zh-CN"/>
        </w:rPr>
      </w:pPr>
      <w:r w:rsidRPr="00CE7679">
        <w:rPr>
          <w:rFonts w:eastAsia="SimSun"/>
          <w:b/>
          <w:snapToGrid/>
          <w:szCs w:val="22"/>
          <w:lang w:eastAsia="zh-CN"/>
        </w:rPr>
        <w:t xml:space="preserve">iškiliąja </w:t>
      </w:r>
      <w:proofErr w:type="spellStart"/>
      <w:r w:rsidRPr="00CE7679">
        <w:rPr>
          <w:rFonts w:eastAsia="SimSun"/>
          <w:b/>
          <w:snapToGrid/>
          <w:szCs w:val="22"/>
          <w:lang w:eastAsia="zh-CN"/>
        </w:rPr>
        <w:t>dermatofibrosarkoma</w:t>
      </w:r>
      <w:proofErr w:type="spellEnd"/>
      <w:r w:rsidRPr="00CE7679">
        <w:rPr>
          <w:rFonts w:eastAsia="SimSun"/>
          <w:b/>
          <w:snapToGrid/>
          <w:szCs w:val="22"/>
          <w:lang w:eastAsia="zh-CN"/>
        </w:rPr>
        <w:t xml:space="preserve"> (</w:t>
      </w:r>
      <w:proofErr w:type="spellStart"/>
      <w:r w:rsidRPr="00CE7679">
        <w:rPr>
          <w:rFonts w:eastAsia="SimSun"/>
          <w:i/>
          <w:snapToGrid/>
          <w:szCs w:val="22"/>
          <w:lang w:eastAsia="zh-CN"/>
        </w:rPr>
        <w:t>Dermatofibrosarcoma</w:t>
      </w:r>
      <w:proofErr w:type="spellEnd"/>
      <w:r w:rsidRPr="00CE7679">
        <w:rPr>
          <w:rFonts w:eastAsia="SimSun"/>
          <w:i/>
          <w:snapToGrid/>
          <w:szCs w:val="22"/>
          <w:lang w:eastAsia="zh-CN"/>
        </w:rPr>
        <w:t xml:space="preserve"> </w:t>
      </w:r>
      <w:proofErr w:type="spellStart"/>
      <w:r w:rsidRPr="00CE7679">
        <w:rPr>
          <w:rFonts w:eastAsia="SimSun"/>
          <w:i/>
          <w:snapToGrid/>
          <w:szCs w:val="22"/>
          <w:lang w:eastAsia="zh-CN"/>
        </w:rPr>
        <w:t>protuberans</w:t>
      </w:r>
      <w:proofErr w:type="spellEnd"/>
      <w:r w:rsidRPr="00CE7679">
        <w:rPr>
          <w:rFonts w:eastAsia="SimSun"/>
          <w:i/>
          <w:snapToGrid/>
          <w:szCs w:val="22"/>
          <w:lang w:eastAsia="zh-CN"/>
        </w:rPr>
        <w:t xml:space="preserve">, </w:t>
      </w:r>
      <w:r w:rsidRPr="00CE7679">
        <w:rPr>
          <w:rFonts w:eastAsia="SimSun"/>
          <w:snapToGrid/>
          <w:szCs w:val="22"/>
          <w:lang w:eastAsia="zh-CN"/>
        </w:rPr>
        <w:t>DFSP</w:t>
      </w:r>
      <w:r w:rsidRPr="00CE7679">
        <w:rPr>
          <w:rFonts w:eastAsia="SimSun"/>
          <w:b/>
          <w:snapToGrid/>
          <w:szCs w:val="22"/>
          <w:lang w:eastAsia="zh-CN"/>
        </w:rPr>
        <w:t>)</w:t>
      </w:r>
      <w:r w:rsidRPr="00CE7679">
        <w:rPr>
          <w:rFonts w:eastAsia="SimSun"/>
          <w:snapToGrid/>
          <w:szCs w:val="22"/>
          <w:lang w:eastAsia="zh-CN"/>
        </w:rPr>
        <w:t xml:space="preserve">. DFSP – tai po oda esančio audinio vėžys, kurio metu kai kurios ląstelės pradeda augti nekontroliuojamai. </w:t>
      </w: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 xml:space="preserve"> slopina šių ląstelių augimą.</w:t>
      </w:r>
    </w:p>
    <w:p w14:paraId="53CE26F0" w14:textId="77777777" w:rsidR="00A27597" w:rsidRPr="00CE7679" w:rsidRDefault="00A27597" w:rsidP="00A27597">
      <w:pPr>
        <w:numPr>
          <w:ilvl w:val="12"/>
          <w:numId w:val="0"/>
        </w:numPr>
        <w:spacing w:line="240" w:lineRule="auto"/>
        <w:rPr>
          <w:rFonts w:eastAsia="SimSun"/>
          <w:snapToGrid/>
          <w:szCs w:val="22"/>
          <w:lang w:eastAsia="zh-CN"/>
        </w:rPr>
      </w:pPr>
    </w:p>
    <w:p w14:paraId="26B8A938" w14:textId="77777777" w:rsidR="00A27597" w:rsidRPr="00CE7679" w:rsidRDefault="00A27597" w:rsidP="00A27597">
      <w:pPr>
        <w:numPr>
          <w:ilvl w:val="12"/>
          <w:numId w:val="0"/>
        </w:numPr>
        <w:spacing w:line="240" w:lineRule="auto"/>
        <w:rPr>
          <w:rFonts w:eastAsia="SimSun"/>
          <w:snapToGrid/>
          <w:szCs w:val="22"/>
          <w:lang w:eastAsia="zh-CN"/>
        </w:rPr>
      </w:pPr>
      <w:r w:rsidRPr="00B46BF4">
        <w:rPr>
          <w:rFonts w:eastAsia="SimSun"/>
          <w:snapToGrid/>
          <w:szCs w:val="22"/>
          <w:lang w:eastAsia="zh-CN"/>
        </w:rPr>
        <w:t>Toliau pakuotės lapelyje</w:t>
      </w:r>
      <w:r w:rsidRPr="00E12488">
        <w:rPr>
          <w:rFonts w:eastAsia="Calibri"/>
          <w:snapToGrid/>
          <w:szCs w:val="22"/>
        </w:rPr>
        <w:t xml:space="preserve"> </w:t>
      </w:r>
      <w:r w:rsidRPr="00E12488">
        <w:rPr>
          <w:rFonts w:eastAsia="SimSun"/>
          <w:snapToGrid/>
          <w:szCs w:val="22"/>
          <w:lang w:eastAsia="zh-CN"/>
        </w:rPr>
        <w:t>apibūdinant minėtas ligas bus naudojamos nurodytos santrumpos.</w:t>
      </w:r>
    </w:p>
    <w:p w14:paraId="15408FA1" w14:textId="77777777" w:rsidR="00A27597" w:rsidRPr="00CE7679" w:rsidRDefault="00A27597" w:rsidP="00A27597">
      <w:pPr>
        <w:numPr>
          <w:ilvl w:val="12"/>
          <w:numId w:val="0"/>
        </w:numPr>
        <w:spacing w:line="240" w:lineRule="auto"/>
        <w:rPr>
          <w:rFonts w:eastAsia="SimSun"/>
          <w:snapToGrid/>
          <w:szCs w:val="22"/>
          <w:lang w:eastAsia="zh-CN"/>
        </w:rPr>
      </w:pPr>
    </w:p>
    <w:p w14:paraId="68D2D57F" w14:textId="77777777" w:rsidR="00A27597" w:rsidRPr="00CE7679" w:rsidRDefault="00A27597" w:rsidP="00A27597">
      <w:pPr>
        <w:numPr>
          <w:ilvl w:val="12"/>
          <w:numId w:val="0"/>
        </w:numPr>
        <w:spacing w:line="240" w:lineRule="auto"/>
        <w:rPr>
          <w:rFonts w:eastAsia="SimSun"/>
          <w:snapToGrid/>
          <w:szCs w:val="22"/>
          <w:lang w:eastAsia="zh-CN"/>
        </w:rPr>
      </w:pPr>
      <w:r w:rsidRPr="00CE7679">
        <w:rPr>
          <w:rFonts w:eastAsia="SimSun"/>
          <w:snapToGrid/>
          <w:szCs w:val="22"/>
          <w:lang w:eastAsia="zh-CN"/>
        </w:rPr>
        <w:t xml:space="preserve">Jeigu Jums kyla kokių nors klausimų apie </w:t>
      </w: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 xml:space="preserve"> veikimą arba kodėl Jums šio vaisto paskirta, klauskite savo gydytojo.</w:t>
      </w:r>
    </w:p>
    <w:p w14:paraId="7B556A4F" w14:textId="77777777" w:rsidR="00A27597" w:rsidRPr="00CE7679" w:rsidRDefault="00A27597" w:rsidP="00A27597">
      <w:pPr>
        <w:numPr>
          <w:ilvl w:val="12"/>
          <w:numId w:val="0"/>
        </w:numPr>
        <w:spacing w:line="240" w:lineRule="auto"/>
        <w:rPr>
          <w:rFonts w:eastAsia="SimSun"/>
          <w:snapToGrid/>
          <w:szCs w:val="22"/>
          <w:lang w:eastAsia="zh-CN"/>
        </w:rPr>
      </w:pPr>
    </w:p>
    <w:p w14:paraId="16DC5E99" w14:textId="77777777" w:rsidR="00A27597" w:rsidRPr="00CE7679" w:rsidRDefault="00A27597" w:rsidP="00A27597">
      <w:pPr>
        <w:numPr>
          <w:ilvl w:val="12"/>
          <w:numId w:val="0"/>
        </w:numPr>
        <w:spacing w:line="240" w:lineRule="auto"/>
        <w:rPr>
          <w:rFonts w:eastAsia="SimSun"/>
          <w:snapToGrid/>
          <w:szCs w:val="22"/>
          <w:lang w:eastAsia="zh-CN"/>
        </w:rPr>
      </w:pPr>
    </w:p>
    <w:p w14:paraId="1F25DDD7" w14:textId="77777777" w:rsidR="00A27597" w:rsidRPr="00CE7679" w:rsidRDefault="00A27597" w:rsidP="00A27597">
      <w:pPr>
        <w:keepNext/>
        <w:spacing w:line="240" w:lineRule="auto"/>
        <w:jc w:val="both"/>
        <w:outlineLvl w:val="3"/>
        <w:rPr>
          <w:rFonts w:eastAsia="SimSun"/>
          <w:b/>
          <w:snapToGrid/>
          <w:szCs w:val="22"/>
        </w:rPr>
      </w:pPr>
      <w:r w:rsidRPr="00CE7679">
        <w:rPr>
          <w:rFonts w:eastAsia="SimSun"/>
          <w:b/>
          <w:snapToGrid/>
          <w:szCs w:val="22"/>
        </w:rPr>
        <w:t>2.</w:t>
      </w:r>
      <w:r w:rsidRPr="00CE7679">
        <w:rPr>
          <w:rFonts w:eastAsia="SimSun"/>
          <w:b/>
          <w:snapToGrid/>
          <w:szCs w:val="22"/>
        </w:rPr>
        <w:tab/>
        <w:t xml:space="preserve">Kas žinotina prieš vartojant </w:t>
      </w:r>
      <w:proofErr w:type="spellStart"/>
      <w:r w:rsidRPr="00CE7679">
        <w:rPr>
          <w:rFonts w:eastAsia="SimSun"/>
          <w:b/>
          <w:snapToGrid/>
          <w:szCs w:val="22"/>
        </w:rPr>
        <w:t>Imatinib</w:t>
      </w:r>
      <w:proofErr w:type="spellEnd"/>
      <w:r w:rsidRPr="00CE7679">
        <w:rPr>
          <w:rFonts w:eastAsia="SimSun"/>
          <w:b/>
          <w:snapToGrid/>
          <w:szCs w:val="22"/>
        </w:rPr>
        <w:t xml:space="preserve"> </w:t>
      </w:r>
      <w:proofErr w:type="spellStart"/>
      <w:r w:rsidRPr="00CE7679">
        <w:rPr>
          <w:rFonts w:eastAsia="SimSun"/>
          <w:b/>
          <w:snapToGrid/>
          <w:szCs w:val="22"/>
        </w:rPr>
        <w:t>Sandoz</w:t>
      </w:r>
      <w:proofErr w:type="spellEnd"/>
      <w:r w:rsidRPr="00CE7679">
        <w:rPr>
          <w:rFonts w:eastAsia="SimSun"/>
          <w:b/>
          <w:snapToGrid/>
          <w:szCs w:val="22"/>
        </w:rPr>
        <w:t xml:space="preserve"> </w:t>
      </w:r>
    </w:p>
    <w:p w14:paraId="0ABC34CF" w14:textId="77777777" w:rsidR="00A27597" w:rsidRPr="00CE7679" w:rsidRDefault="00A27597" w:rsidP="00A27597">
      <w:pPr>
        <w:numPr>
          <w:ilvl w:val="12"/>
          <w:numId w:val="0"/>
        </w:numPr>
        <w:spacing w:line="240" w:lineRule="auto"/>
        <w:rPr>
          <w:rFonts w:eastAsia="SimSun"/>
          <w:snapToGrid/>
          <w:szCs w:val="22"/>
          <w:lang w:eastAsia="zh-CN"/>
        </w:rPr>
      </w:pPr>
    </w:p>
    <w:p w14:paraId="7142A969" w14:textId="77777777" w:rsidR="00A27597" w:rsidRPr="00CE7679" w:rsidRDefault="00A27597" w:rsidP="00A27597">
      <w:pPr>
        <w:numPr>
          <w:ilvl w:val="12"/>
          <w:numId w:val="0"/>
        </w:numPr>
        <w:spacing w:line="240" w:lineRule="auto"/>
        <w:rPr>
          <w:rFonts w:eastAsia="SimSun"/>
          <w:snapToGrid/>
          <w:szCs w:val="22"/>
          <w:lang w:eastAsia="zh-CN"/>
        </w:rPr>
      </w:pP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 xml:space="preserve"> Jums paskirs tik gydytojas, turintis kraujo vėžio ar </w:t>
      </w:r>
      <w:proofErr w:type="spellStart"/>
      <w:r w:rsidRPr="00CE7679">
        <w:rPr>
          <w:rFonts w:eastAsia="SimSun"/>
          <w:snapToGrid/>
          <w:szCs w:val="22"/>
          <w:lang w:eastAsia="zh-CN"/>
        </w:rPr>
        <w:t>solidinių</w:t>
      </w:r>
      <w:proofErr w:type="spellEnd"/>
      <w:r w:rsidRPr="00CE7679">
        <w:rPr>
          <w:rFonts w:eastAsia="SimSun"/>
          <w:snapToGrid/>
          <w:szCs w:val="22"/>
          <w:lang w:eastAsia="zh-CN"/>
        </w:rPr>
        <w:t xml:space="preserve"> navikų gydymo vaistais patirties.</w:t>
      </w:r>
    </w:p>
    <w:p w14:paraId="256A1489" w14:textId="77777777" w:rsidR="00A27597" w:rsidRPr="00CE7679" w:rsidRDefault="00A27597" w:rsidP="00A27597">
      <w:pPr>
        <w:numPr>
          <w:ilvl w:val="12"/>
          <w:numId w:val="0"/>
        </w:numPr>
        <w:spacing w:line="240" w:lineRule="auto"/>
        <w:rPr>
          <w:rFonts w:eastAsia="SimSun"/>
          <w:snapToGrid/>
          <w:szCs w:val="22"/>
          <w:lang w:eastAsia="zh-CN"/>
        </w:rPr>
      </w:pPr>
    </w:p>
    <w:p w14:paraId="71A29B1E" w14:textId="77777777" w:rsidR="00A27597" w:rsidRPr="00CE7679" w:rsidRDefault="00A27597" w:rsidP="00A27597">
      <w:pPr>
        <w:numPr>
          <w:ilvl w:val="12"/>
          <w:numId w:val="0"/>
        </w:numPr>
        <w:spacing w:line="240" w:lineRule="auto"/>
        <w:rPr>
          <w:rFonts w:eastAsia="SimSun"/>
          <w:snapToGrid/>
          <w:szCs w:val="22"/>
          <w:lang w:eastAsia="zh-CN"/>
        </w:rPr>
      </w:pPr>
      <w:r w:rsidRPr="00CE7679">
        <w:rPr>
          <w:rFonts w:eastAsia="SimSun"/>
          <w:snapToGrid/>
          <w:szCs w:val="22"/>
          <w:lang w:eastAsia="zh-CN"/>
        </w:rPr>
        <w:t>Tiksliai laikykitės visų gydytojo nurodymų, net jei jie skiriasi nuo bendrosios šiame lapelyje esančios informacijos.</w:t>
      </w:r>
    </w:p>
    <w:p w14:paraId="0625B574" w14:textId="77777777" w:rsidR="00A27597" w:rsidRPr="00CE7679" w:rsidRDefault="00A27597" w:rsidP="00A27597">
      <w:pPr>
        <w:numPr>
          <w:ilvl w:val="12"/>
          <w:numId w:val="0"/>
        </w:numPr>
        <w:spacing w:line="240" w:lineRule="auto"/>
        <w:rPr>
          <w:rFonts w:eastAsia="SimSun"/>
          <w:snapToGrid/>
          <w:szCs w:val="22"/>
          <w:lang w:eastAsia="zh-CN"/>
        </w:rPr>
      </w:pPr>
    </w:p>
    <w:p w14:paraId="6FAED7D0" w14:textId="77777777" w:rsidR="00A27597" w:rsidRPr="00CE7679" w:rsidRDefault="00A27597" w:rsidP="00A27597">
      <w:pPr>
        <w:keepNext/>
        <w:spacing w:line="240" w:lineRule="auto"/>
        <w:jc w:val="both"/>
        <w:outlineLvl w:val="3"/>
        <w:rPr>
          <w:rFonts w:eastAsia="SimSun"/>
          <w:b/>
          <w:snapToGrid/>
          <w:szCs w:val="22"/>
        </w:rPr>
      </w:pPr>
      <w:proofErr w:type="spellStart"/>
      <w:r w:rsidRPr="007541DA">
        <w:rPr>
          <w:rFonts w:eastAsia="SimSun"/>
          <w:b/>
          <w:snapToGrid/>
          <w:szCs w:val="22"/>
        </w:rPr>
        <w:t>Imatinib</w:t>
      </w:r>
      <w:proofErr w:type="spellEnd"/>
      <w:r w:rsidRPr="007541DA">
        <w:rPr>
          <w:rFonts w:eastAsia="SimSun"/>
          <w:b/>
          <w:snapToGrid/>
          <w:szCs w:val="22"/>
        </w:rPr>
        <w:t xml:space="preserve"> </w:t>
      </w:r>
      <w:proofErr w:type="spellStart"/>
      <w:r w:rsidRPr="007541DA">
        <w:rPr>
          <w:rFonts w:eastAsia="SimSun"/>
          <w:b/>
          <w:snapToGrid/>
          <w:szCs w:val="22"/>
        </w:rPr>
        <w:t>Sandoz</w:t>
      </w:r>
      <w:proofErr w:type="spellEnd"/>
      <w:r w:rsidRPr="007541DA">
        <w:rPr>
          <w:rFonts w:eastAsia="SimSun"/>
          <w:b/>
          <w:snapToGrid/>
          <w:szCs w:val="22"/>
        </w:rPr>
        <w:t xml:space="preserve"> vartoti </w:t>
      </w:r>
      <w:r w:rsidR="009A013E" w:rsidRPr="007541DA">
        <w:rPr>
          <w:rFonts w:eastAsia="SimSun"/>
          <w:b/>
          <w:snapToGrid/>
          <w:szCs w:val="22"/>
        </w:rPr>
        <w:t>draudžiama</w:t>
      </w:r>
      <w:r w:rsidRPr="007541DA">
        <w:rPr>
          <w:rFonts w:eastAsia="SimSun"/>
          <w:b/>
          <w:snapToGrid/>
          <w:szCs w:val="22"/>
        </w:rPr>
        <w:t>:</w:t>
      </w:r>
    </w:p>
    <w:p w14:paraId="219A3B01" w14:textId="77777777" w:rsidR="00A27597" w:rsidRPr="00CE7679" w:rsidRDefault="00A27597" w:rsidP="00A27597">
      <w:pPr>
        <w:numPr>
          <w:ilvl w:val="0"/>
          <w:numId w:val="42"/>
        </w:numPr>
        <w:spacing w:line="240" w:lineRule="auto"/>
        <w:ind w:left="540" w:hanging="540"/>
        <w:rPr>
          <w:rFonts w:eastAsia="SimSun"/>
          <w:snapToGrid/>
          <w:szCs w:val="22"/>
          <w:lang w:eastAsia="zh-CN"/>
        </w:rPr>
      </w:pPr>
      <w:r w:rsidRPr="00CE7679">
        <w:rPr>
          <w:rFonts w:eastAsia="SimSun"/>
          <w:snapToGrid/>
          <w:szCs w:val="22"/>
          <w:lang w:eastAsia="zh-CN"/>
        </w:rPr>
        <w:t xml:space="preserve">jeigu yra alergija </w:t>
      </w:r>
      <w:proofErr w:type="spellStart"/>
      <w:r w:rsidRPr="00CE7679">
        <w:rPr>
          <w:rFonts w:eastAsia="SimSun"/>
          <w:snapToGrid/>
          <w:szCs w:val="22"/>
          <w:lang w:eastAsia="zh-CN"/>
        </w:rPr>
        <w:t>imatinibui</w:t>
      </w:r>
      <w:proofErr w:type="spellEnd"/>
      <w:r w:rsidRPr="00CE7679">
        <w:rPr>
          <w:rFonts w:eastAsia="SimSun"/>
          <w:snapToGrid/>
          <w:szCs w:val="22"/>
          <w:lang w:eastAsia="zh-CN"/>
        </w:rPr>
        <w:t xml:space="preserve"> arba bet kuriai pagalbinei šio vaisto medžiagai (jos išvardytos </w:t>
      </w:r>
      <w:r w:rsidR="00DC2054" w:rsidRPr="00CE7679">
        <w:rPr>
          <w:rFonts w:eastAsia="SimSun"/>
          <w:snapToGrid/>
          <w:szCs w:val="22"/>
          <w:lang w:eastAsia="zh-CN"/>
        </w:rPr>
        <w:t>6</w:t>
      </w:r>
      <w:r w:rsidR="00DC2054">
        <w:rPr>
          <w:rFonts w:eastAsia="SimSun"/>
          <w:snapToGrid/>
          <w:szCs w:val="22"/>
          <w:lang w:eastAsia="zh-CN"/>
        </w:rPr>
        <w:t> </w:t>
      </w:r>
      <w:r w:rsidRPr="00CE7679">
        <w:rPr>
          <w:rFonts w:eastAsia="SimSun"/>
          <w:snapToGrid/>
          <w:szCs w:val="22"/>
          <w:lang w:eastAsia="zh-CN"/>
        </w:rPr>
        <w:t>skyriuje).</w:t>
      </w:r>
    </w:p>
    <w:p w14:paraId="34D65354" w14:textId="77777777" w:rsidR="00A27597" w:rsidRPr="00CE7679" w:rsidRDefault="00A27597" w:rsidP="00A27597">
      <w:pPr>
        <w:numPr>
          <w:ilvl w:val="12"/>
          <w:numId w:val="0"/>
        </w:numPr>
        <w:spacing w:line="240" w:lineRule="auto"/>
        <w:ind w:left="540" w:hanging="540"/>
        <w:rPr>
          <w:rFonts w:eastAsia="SimSun"/>
          <w:snapToGrid/>
          <w:szCs w:val="22"/>
          <w:lang w:eastAsia="zh-CN"/>
        </w:rPr>
      </w:pPr>
    </w:p>
    <w:p w14:paraId="1D479FAD" w14:textId="77777777" w:rsidR="00A27597" w:rsidRPr="00CE7679" w:rsidRDefault="00A27597" w:rsidP="00A27597">
      <w:pPr>
        <w:numPr>
          <w:ilvl w:val="12"/>
          <w:numId w:val="0"/>
        </w:numPr>
        <w:spacing w:line="240" w:lineRule="auto"/>
        <w:ind w:left="540" w:hanging="540"/>
        <w:rPr>
          <w:rFonts w:eastAsia="SimSun"/>
          <w:snapToGrid/>
          <w:szCs w:val="22"/>
          <w:lang w:eastAsia="zh-CN"/>
        </w:rPr>
      </w:pPr>
      <w:r w:rsidRPr="00CE7679">
        <w:rPr>
          <w:rFonts w:eastAsia="SimSun"/>
          <w:snapToGrid/>
          <w:szCs w:val="22"/>
          <w:lang w:eastAsia="zh-CN"/>
        </w:rPr>
        <w:t>Jeigu tai Jums tinka,</w:t>
      </w:r>
      <w:r w:rsidRPr="00CE7679">
        <w:rPr>
          <w:rFonts w:eastAsia="SimSun"/>
          <w:b/>
          <w:snapToGrid/>
          <w:szCs w:val="22"/>
          <w:lang w:eastAsia="zh-CN"/>
        </w:rPr>
        <w:t xml:space="preserve"> nevartokite </w:t>
      </w:r>
      <w:proofErr w:type="spellStart"/>
      <w:r w:rsidRPr="00CE7679">
        <w:rPr>
          <w:rFonts w:eastAsia="SimSun"/>
          <w:b/>
          <w:snapToGrid/>
          <w:szCs w:val="22"/>
          <w:lang w:eastAsia="zh-CN"/>
        </w:rPr>
        <w:t>Imatinib</w:t>
      </w:r>
      <w:proofErr w:type="spellEnd"/>
      <w:r w:rsidRPr="00CE7679">
        <w:rPr>
          <w:rFonts w:eastAsia="SimSun"/>
          <w:b/>
          <w:snapToGrid/>
          <w:szCs w:val="22"/>
          <w:lang w:eastAsia="zh-CN"/>
        </w:rPr>
        <w:t xml:space="preserve"> </w:t>
      </w:r>
      <w:proofErr w:type="spellStart"/>
      <w:r w:rsidRPr="00CE7679">
        <w:rPr>
          <w:rFonts w:eastAsia="SimSun"/>
          <w:b/>
          <w:snapToGrid/>
          <w:szCs w:val="22"/>
          <w:lang w:eastAsia="zh-CN"/>
        </w:rPr>
        <w:t>Sandoz</w:t>
      </w:r>
      <w:proofErr w:type="spellEnd"/>
      <w:r w:rsidRPr="00CE7679">
        <w:rPr>
          <w:rFonts w:eastAsia="SimSun"/>
          <w:b/>
          <w:snapToGrid/>
          <w:szCs w:val="22"/>
          <w:lang w:eastAsia="zh-CN"/>
        </w:rPr>
        <w:t xml:space="preserve"> ir apie tai pasakykite gydytojui</w:t>
      </w:r>
      <w:r w:rsidRPr="00CE7679">
        <w:rPr>
          <w:rFonts w:eastAsia="SimSun"/>
          <w:snapToGrid/>
          <w:szCs w:val="22"/>
          <w:lang w:eastAsia="zh-CN"/>
        </w:rPr>
        <w:t>.</w:t>
      </w:r>
    </w:p>
    <w:p w14:paraId="5FC56160" w14:textId="77777777" w:rsidR="00A27597" w:rsidRPr="00CE7679" w:rsidRDefault="00A27597" w:rsidP="00A27597">
      <w:pPr>
        <w:numPr>
          <w:ilvl w:val="12"/>
          <w:numId w:val="0"/>
        </w:numPr>
        <w:spacing w:line="240" w:lineRule="auto"/>
        <w:rPr>
          <w:rFonts w:eastAsia="SimSun"/>
          <w:snapToGrid/>
          <w:szCs w:val="22"/>
          <w:lang w:eastAsia="zh-CN"/>
        </w:rPr>
      </w:pPr>
    </w:p>
    <w:p w14:paraId="32357C30" w14:textId="77777777" w:rsidR="00A27597" w:rsidRPr="00CE7679" w:rsidRDefault="00A27597" w:rsidP="00A27597">
      <w:pPr>
        <w:numPr>
          <w:ilvl w:val="12"/>
          <w:numId w:val="0"/>
        </w:numPr>
        <w:spacing w:line="240" w:lineRule="auto"/>
        <w:rPr>
          <w:rFonts w:eastAsia="SimSun"/>
          <w:snapToGrid/>
          <w:szCs w:val="22"/>
          <w:lang w:eastAsia="zh-CN"/>
        </w:rPr>
      </w:pPr>
      <w:r w:rsidRPr="00CE7679">
        <w:rPr>
          <w:rFonts w:eastAsia="SimSun"/>
          <w:snapToGrid/>
          <w:szCs w:val="22"/>
          <w:lang w:eastAsia="zh-CN"/>
        </w:rPr>
        <w:t>Jeigu manote, kad galite būti alergiškas, bet nesate tikras, kreipkitės patarimo į gydytoją.</w:t>
      </w:r>
    </w:p>
    <w:p w14:paraId="48EA0EE2" w14:textId="77777777" w:rsidR="00A27597" w:rsidRPr="00CE7679" w:rsidRDefault="00A27597" w:rsidP="00A27597">
      <w:pPr>
        <w:numPr>
          <w:ilvl w:val="12"/>
          <w:numId w:val="0"/>
        </w:numPr>
        <w:spacing w:line="240" w:lineRule="auto"/>
        <w:rPr>
          <w:rFonts w:eastAsia="SimSun"/>
          <w:snapToGrid/>
          <w:szCs w:val="22"/>
          <w:lang w:eastAsia="zh-CN"/>
        </w:rPr>
      </w:pPr>
    </w:p>
    <w:p w14:paraId="5649DEF3" w14:textId="77777777" w:rsidR="00A27597" w:rsidRPr="00CE7679" w:rsidRDefault="00A27597" w:rsidP="00A27597">
      <w:pPr>
        <w:keepNext/>
        <w:spacing w:line="240" w:lineRule="auto"/>
        <w:jc w:val="both"/>
        <w:outlineLvl w:val="3"/>
        <w:rPr>
          <w:rFonts w:eastAsia="SimSun"/>
          <w:b/>
          <w:snapToGrid/>
          <w:szCs w:val="22"/>
        </w:rPr>
      </w:pPr>
      <w:r w:rsidRPr="00CE7679">
        <w:rPr>
          <w:rFonts w:eastAsia="SimSun"/>
          <w:b/>
          <w:snapToGrid/>
          <w:szCs w:val="22"/>
        </w:rPr>
        <w:t xml:space="preserve">Įspėjimai ir atsargumo priemonės </w:t>
      </w:r>
    </w:p>
    <w:p w14:paraId="6AFAEADD" w14:textId="77777777" w:rsidR="00A27597" w:rsidRPr="00CE7679" w:rsidRDefault="00A27597" w:rsidP="00A27597">
      <w:pPr>
        <w:numPr>
          <w:ilvl w:val="12"/>
          <w:numId w:val="0"/>
        </w:numPr>
        <w:spacing w:line="240" w:lineRule="auto"/>
        <w:rPr>
          <w:rFonts w:eastAsia="SimSun"/>
          <w:snapToGrid/>
          <w:szCs w:val="22"/>
          <w:lang w:eastAsia="zh-CN"/>
        </w:rPr>
      </w:pPr>
      <w:r w:rsidRPr="00CE7679">
        <w:rPr>
          <w:rFonts w:eastAsia="SimSun"/>
          <w:snapToGrid/>
          <w:szCs w:val="22"/>
          <w:lang w:eastAsia="zh-CN"/>
        </w:rPr>
        <w:t xml:space="preserve">Pasitarkite su gydytoju, prieš pradėdami vartoti </w:t>
      </w: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 jeigu:</w:t>
      </w:r>
    </w:p>
    <w:p w14:paraId="37111147" w14:textId="77777777" w:rsidR="00A27597" w:rsidRPr="00CE7679" w:rsidRDefault="00A27597" w:rsidP="00A27597">
      <w:pPr>
        <w:numPr>
          <w:ilvl w:val="0"/>
          <w:numId w:val="42"/>
        </w:numPr>
        <w:spacing w:line="240" w:lineRule="auto"/>
        <w:ind w:left="540" w:hanging="540"/>
        <w:rPr>
          <w:rFonts w:eastAsia="SimSun"/>
          <w:snapToGrid/>
          <w:szCs w:val="22"/>
          <w:lang w:eastAsia="zh-CN"/>
        </w:rPr>
      </w:pPr>
      <w:r w:rsidRPr="00CE7679">
        <w:rPr>
          <w:rFonts w:eastAsia="SimSun"/>
          <w:snapToGrid/>
          <w:szCs w:val="22"/>
          <w:lang w:eastAsia="zh-CN"/>
        </w:rPr>
        <w:t>Jums yra ar kada nors yra buvę kepenų, inkstų ar širdies sutrikimų;</w:t>
      </w:r>
    </w:p>
    <w:p w14:paraId="24D0A756" w14:textId="77777777" w:rsidR="00A27597" w:rsidRPr="00CE7679" w:rsidRDefault="00A27597" w:rsidP="00A27597">
      <w:pPr>
        <w:numPr>
          <w:ilvl w:val="0"/>
          <w:numId w:val="42"/>
        </w:numPr>
        <w:spacing w:line="240" w:lineRule="auto"/>
        <w:ind w:left="540" w:hanging="540"/>
        <w:rPr>
          <w:rFonts w:eastAsia="SimSun"/>
          <w:lang w:eastAsia="zh-CN"/>
        </w:rPr>
      </w:pPr>
      <w:r w:rsidRPr="00CE7679">
        <w:rPr>
          <w:rFonts w:eastAsia="SimSun"/>
          <w:snapToGrid/>
          <w:szCs w:val="22"/>
          <w:lang w:eastAsia="zh-CN"/>
        </w:rPr>
        <w:t xml:space="preserve">dėl pašalintos skydliaukės vartojate vaisto </w:t>
      </w:r>
      <w:proofErr w:type="spellStart"/>
      <w:r w:rsidRPr="00CE7679">
        <w:rPr>
          <w:rFonts w:eastAsia="SimSun"/>
          <w:snapToGrid/>
          <w:szCs w:val="22"/>
          <w:lang w:eastAsia="zh-CN"/>
        </w:rPr>
        <w:t>levotiroksino</w:t>
      </w:r>
      <w:proofErr w:type="spellEnd"/>
      <w:r w:rsidRPr="00CE7679">
        <w:rPr>
          <w:rFonts w:eastAsia="SimSun"/>
          <w:snapToGrid/>
          <w:szCs w:val="22"/>
          <w:lang w:eastAsia="zh-CN"/>
        </w:rPr>
        <w:t>;</w:t>
      </w:r>
    </w:p>
    <w:p w14:paraId="73B06036" w14:textId="77777777" w:rsidR="00530B92" w:rsidRPr="00CE7679" w:rsidRDefault="00A27597" w:rsidP="00C3142F">
      <w:pPr>
        <w:numPr>
          <w:ilvl w:val="0"/>
          <w:numId w:val="42"/>
        </w:numPr>
        <w:spacing w:line="240" w:lineRule="auto"/>
        <w:ind w:left="540" w:hanging="540"/>
        <w:rPr>
          <w:szCs w:val="22"/>
          <w:lang w:eastAsia="zh-CN"/>
        </w:rPr>
      </w:pPr>
      <w:r w:rsidRPr="00CE7679">
        <w:rPr>
          <w:rFonts w:eastAsia="SimSun"/>
          <w:snapToGrid/>
          <w:szCs w:val="22"/>
          <w:lang w:eastAsia="zh-CN"/>
        </w:rPr>
        <w:t xml:space="preserve">Jums kada nors buvo diagnozuota hepatito B infekcija arba šiuo metu galite būti užsikrėtę šiuo virusu. Tai būtina, nes </w:t>
      </w:r>
      <w:proofErr w:type="spellStart"/>
      <w:r w:rsidRPr="00CE7679">
        <w:rPr>
          <w:rFonts w:eastAsia="SimSun"/>
          <w:b/>
          <w:snapToGrid/>
          <w:szCs w:val="22"/>
        </w:rPr>
        <w:t>Imatinib</w:t>
      </w:r>
      <w:proofErr w:type="spellEnd"/>
      <w:r w:rsidRPr="00CE7679">
        <w:rPr>
          <w:rFonts w:eastAsia="SimSun"/>
          <w:b/>
          <w:snapToGrid/>
          <w:szCs w:val="22"/>
        </w:rPr>
        <w:t xml:space="preserve"> </w:t>
      </w:r>
      <w:proofErr w:type="spellStart"/>
      <w:r w:rsidRPr="00CE7679">
        <w:rPr>
          <w:rFonts w:eastAsia="SimSun"/>
          <w:b/>
          <w:snapToGrid/>
          <w:szCs w:val="22"/>
        </w:rPr>
        <w:t>Sandoz</w:t>
      </w:r>
      <w:proofErr w:type="spellEnd"/>
      <w:r w:rsidRPr="00CE7679">
        <w:rPr>
          <w:rFonts w:eastAsia="SimSun"/>
          <w:b/>
          <w:snapToGrid/>
          <w:szCs w:val="22"/>
        </w:rPr>
        <w:t xml:space="preserve"> </w:t>
      </w:r>
      <w:r w:rsidRPr="00CE7679">
        <w:rPr>
          <w:rFonts w:eastAsia="SimSun"/>
          <w:snapToGrid/>
          <w:szCs w:val="22"/>
          <w:lang w:eastAsia="zh-CN"/>
        </w:rPr>
        <w:t>gali vėl suaktyvinti hepatito B virusą, o kai kuriais atvejais tai gali būti mirtina. Prieš pradedant gydymą, gydytojas atidžiai patikrins, ar pacientas neturi šios infekcijos požymių</w:t>
      </w:r>
      <w:r w:rsidR="00E25645">
        <w:rPr>
          <w:rFonts w:eastAsia="SimSun"/>
          <w:snapToGrid/>
          <w:szCs w:val="22"/>
          <w:lang w:eastAsia="zh-CN"/>
        </w:rPr>
        <w:t>;</w:t>
      </w:r>
    </w:p>
    <w:p w14:paraId="5067ECE1" w14:textId="77777777" w:rsidR="00530B92" w:rsidRPr="00CE7679" w:rsidRDefault="009F66B3" w:rsidP="00530B92">
      <w:pPr>
        <w:numPr>
          <w:ilvl w:val="0"/>
          <w:numId w:val="42"/>
        </w:numPr>
        <w:spacing w:line="240" w:lineRule="auto"/>
        <w:ind w:left="540" w:hanging="540"/>
        <w:rPr>
          <w:rFonts w:eastAsia="SimSun"/>
          <w:szCs w:val="22"/>
          <w:lang w:eastAsia="zh-CN"/>
        </w:rPr>
      </w:pPr>
      <w:r w:rsidRPr="00CE7679">
        <w:rPr>
          <w:szCs w:val="22"/>
          <w:lang w:eastAsia="zh-CN"/>
        </w:rPr>
        <w:t xml:space="preserve">jeigu Jums vartojant </w:t>
      </w:r>
      <w:proofErr w:type="spellStart"/>
      <w:r w:rsidRPr="00CE7679">
        <w:rPr>
          <w:szCs w:val="22"/>
          <w:lang w:eastAsia="zh-CN"/>
        </w:rPr>
        <w:t>Imat</w:t>
      </w:r>
      <w:r w:rsidR="00AB5A7F" w:rsidRPr="00CE7679">
        <w:rPr>
          <w:szCs w:val="22"/>
          <w:lang w:eastAsia="zh-CN"/>
        </w:rPr>
        <w:t>inib</w:t>
      </w:r>
      <w:proofErr w:type="spellEnd"/>
      <w:r w:rsidR="00AB5A7F" w:rsidRPr="00CE7679">
        <w:rPr>
          <w:szCs w:val="22"/>
          <w:lang w:eastAsia="zh-CN"/>
        </w:rPr>
        <w:t xml:space="preserve"> </w:t>
      </w:r>
      <w:proofErr w:type="spellStart"/>
      <w:r w:rsidR="00AB5A7F" w:rsidRPr="00CE7679">
        <w:rPr>
          <w:szCs w:val="22"/>
          <w:lang w:eastAsia="zh-CN"/>
        </w:rPr>
        <w:t>Sandoz</w:t>
      </w:r>
      <w:proofErr w:type="spellEnd"/>
      <w:r w:rsidR="00AB5A7F" w:rsidRPr="00CE7679">
        <w:rPr>
          <w:szCs w:val="22"/>
          <w:lang w:eastAsia="zh-CN"/>
        </w:rPr>
        <w:t xml:space="preserve"> susidaro kraujosruvų, pasireiš</w:t>
      </w:r>
      <w:r w:rsidRPr="00CE7679">
        <w:rPr>
          <w:szCs w:val="22"/>
          <w:lang w:eastAsia="zh-CN"/>
        </w:rPr>
        <w:t xml:space="preserve">kia kraujavimas, </w:t>
      </w:r>
      <w:r w:rsidR="00AB5A7F" w:rsidRPr="00CE7679">
        <w:rPr>
          <w:szCs w:val="22"/>
          <w:lang w:eastAsia="zh-CN"/>
        </w:rPr>
        <w:t>karšč</w:t>
      </w:r>
      <w:r w:rsidRPr="00CE7679">
        <w:rPr>
          <w:szCs w:val="22"/>
          <w:lang w:eastAsia="zh-CN"/>
        </w:rPr>
        <w:t>iavimas</w:t>
      </w:r>
      <w:r w:rsidR="00AB5A7F" w:rsidRPr="00CE7679">
        <w:rPr>
          <w:szCs w:val="22"/>
          <w:lang w:eastAsia="zh-CN"/>
        </w:rPr>
        <w:t>,  nuovargis ir sumišimas, kreipkitės į gydytoją</w:t>
      </w:r>
      <w:r w:rsidRPr="00CE7679">
        <w:rPr>
          <w:szCs w:val="22"/>
          <w:lang w:eastAsia="zh-CN"/>
        </w:rPr>
        <w:t>. Tai gal</w:t>
      </w:r>
      <w:r w:rsidR="00AB5A7F" w:rsidRPr="00CE7679">
        <w:rPr>
          <w:szCs w:val="22"/>
          <w:lang w:eastAsia="zh-CN"/>
        </w:rPr>
        <w:t>i bū</w:t>
      </w:r>
      <w:r w:rsidR="00BA1B90" w:rsidRPr="00CE7679">
        <w:rPr>
          <w:szCs w:val="22"/>
          <w:lang w:eastAsia="zh-CN"/>
        </w:rPr>
        <w:t>ti</w:t>
      </w:r>
      <w:r w:rsidR="00AB5A7F" w:rsidRPr="00CE7679">
        <w:rPr>
          <w:szCs w:val="22"/>
          <w:lang w:eastAsia="zh-CN"/>
        </w:rPr>
        <w:t xml:space="preserve"> krau</w:t>
      </w:r>
      <w:r w:rsidR="00CE7679">
        <w:rPr>
          <w:szCs w:val="22"/>
          <w:lang w:eastAsia="zh-CN"/>
        </w:rPr>
        <w:t>j</w:t>
      </w:r>
      <w:r w:rsidR="00AB5A7F" w:rsidRPr="00CE7679">
        <w:rPr>
          <w:szCs w:val="22"/>
          <w:lang w:eastAsia="zh-CN"/>
        </w:rPr>
        <w:t>agyslių pažaidos, vadinamos trombine</w:t>
      </w:r>
      <w:r w:rsidRPr="00CE7679">
        <w:rPr>
          <w:szCs w:val="22"/>
          <w:lang w:eastAsia="zh-CN"/>
        </w:rPr>
        <w:t xml:space="preserve"> </w:t>
      </w:r>
      <w:proofErr w:type="spellStart"/>
      <w:r w:rsidRPr="00CE7679">
        <w:rPr>
          <w:szCs w:val="22"/>
          <w:lang w:eastAsia="zh-CN"/>
        </w:rPr>
        <w:t>mikroangiopatija</w:t>
      </w:r>
      <w:proofErr w:type="spellEnd"/>
      <w:r w:rsidRPr="00CE7679">
        <w:rPr>
          <w:szCs w:val="22"/>
          <w:lang w:eastAsia="zh-CN"/>
        </w:rPr>
        <w:t xml:space="preserve"> </w:t>
      </w:r>
      <w:r w:rsidR="00BA1B90" w:rsidRPr="00CE7679">
        <w:rPr>
          <w:szCs w:val="22"/>
          <w:lang w:eastAsia="zh-CN"/>
        </w:rPr>
        <w:t>(</w:t>
      </w:r>
      <w:r w:rsidRPr="00CE7679">
        <w:rPr>
          <w:szCs w:val="22"/>
          <w:lang w:eastAsia="zh-CN"/>
        </w:rPr>
        <w:t>TMA</w:t>
      </w:r>
      <w:r w:rsidR="00BA1B90" w:rsidRPr="00CE7679">
        <w:rPr>
          <w:szCs w:val="22"/>
          <w:lang w:eastAsia="zh-CN"/>
        </w:rPr>
        <w:t>)</w:t>
      </w:r>
      <w:r w:rsidR="00AB5A7F" w:rsidRPr="00CE7679">
        <w:rPr>
          <w:szCs w:val="22"/>
          <w:lang w:eastAsia="zh-CN"/>
        </w:rPr>
        <w:t>, požymis.</w:t>
      </w:r>
    </w:p>
    <w:p w14:paraId="3DF757EB" w14:textId="77777777" w:rsidR="00530B92" w:rsidRPr="00CE7679" w:rsidRDefault="00530B92" w:rsidP="00C3142F">
      <w:pPr>
        <w:spacing w:line="240" w:lineRule="auto"/>
        <w:ind w:left="540"/>
        <w:rPr>
          <w:rFonts w:eastAsia="SimSun"/>
          <w:snapToGrid/>
          <w:szCs w:val="22"/>
          <w:lang w:eastAsia="zh-CN"/>
        </w:rPr>
      </w:pPr>
    </w:p>
    <w:p w14:paraId="54F4A697" w14:textId="77777777" w:rsidR="00A27597" w:rsidRPr="00CE7679" w:rsidRDefault="00A27597" w:rsidP="00A27597">
      <w:pPr>
        <w:numPr>
          <w:ilvl w:val="12"/>
          <w:numId w:val="0"/>
        </w:numPr>
        <w:spacing w:line="240" w:lineRule="auto"/>
        <w:rPr>
          <w:rFonts w:eastAsia="SimSun"/>
          <w:b/>
          <w:snapToGrid/>
          <w:szCs w:val="22"/>
          <w:lang w:eastAsia="zh-CN"/>
        </w:rPr>
      </w:pPr>
      <w:r w:rsidRPr="00CE7679">
        <w:rPr>
          <w:rFonts w:eastAsia="SimSun"/>
          <w:snapToGrid/>
          <w:szCs w:val="22"/>
          <w:lang w:eastAsia="zh-CN"/>
        </w:rPr>
        <w:t xml:space="preserve">Jeigu Jums tinka bet kuris iš šių atvejų, </w:t>
      </w:r>
      <w:r w:rsidRPr="00CE7679">
        <w:rPr>
          <w:rFonts w:eastAsia="SimSun"/>
          <w:b/>
          <w:snapToGrid/>
          <w:szCs w:val="22"/>
          <w:lang w:eastAsia="zh-CN"/>
        </w:rPr>
        <w:t xml:space="preserve">prieš pradedant vartoti </w:t>
      </w:r>
      <w:proofErr w:type="spellStart"/>
      <w:r w:rsidRPr="00CE7679">
        <w:rPr>
          <w:rFonts w:eastAsia="SimSun"/>
          <w:b/>
          <w:snapToGrid/>
          <w:szCs w:val="22"/>
          <w:lang w:eastAsia="zh-CN"/>
        </w:rPr>
        <w:t>Imatinib</w:t>
      </w:r>
      <w:proofErr w:type="spellEnd"/>
      <w:r w:rsidRPr="00CE7679">
        <w:rPr>
          <w:rFonts w:eastAsia="SimSun"/>
          <w:b/>
          <w:snapToGrid/>
          <w:szCs w:val="22"/>
          <w:lang w:eastAsia="zh-CN"/>
        </w:rPr>
        <w:t xml:space="preserve"> </w:t>
      </w:r>
      <w:proofErr w:type="spellStart"/>
      <w:r w:rsidRPr="00CE7679">
        <w:rPr>
          <w:rFonts w:eastAsia="SimSun"/>
          <w:b/>
          <w:snapToGrid/>
          <w:szCs w:val="22"/>
          <w:lang w:eastAsia="zh-CN"/>
        </w:rPr>
        <w:t>Sandoz</w:t>
      </w:r>
      <w:proofErr w:type="spellEnd"/>
      <w:r w:rsidRPr="00CE7679">
        <w:rPr>
          <w:rFonts w:eastAsia="SimSun"/>
          <w:b/>
          <w:snapToGrid/>
          <w:szCs w:val="22"/>
          <w:lang w:eastAsia="zh-CN"/>
        </w:rPr>
        <w:t>, pasakykite gydytojui.</w:t>
      </w:r>
    </w:p>
    <w:p w14:paraId="48A7CEFD" w14:textId="77777777" w:rsidR="00A27597" w:rsidRPr="00CE7679" w:rsidRDefault="00A27597" w:rsidP="00A27597">
      <w:pPr>
        <w:numPr>
          <w:ilvl w:val="12"/>
          <w:numId w:val="0"/>
        </w:numPr>
        <w:spacing w:line="240" w:lineRule="auto"/>
        <w:rPr>
          <w:rFonts w:eastAsia="SimSun"/>
          <w:snapToGrid/>
          <w:szCs w:val="22"/>
          <w:lang w:eastAsia="zh-CN"/>
        </w:rPr>
      </w:pPr>
    </w:p>
    <w:p w14:paraId="68BC9B78" w14:textId="0935CDE7" w:rsidR="009C008A" w:rsidRPr="00CE7679" w:rsidRDefault="00314D14" w:rsidP="00422643">
      <w:pPr>
        <w:tabs>
          <w:tab w:val="clear" w:pos="567"/>
        </w:tabs>
        <w:autoSpaceDE w:val="0"/>
        <w:autoSpaceDN w:val="0"/>
        <w:adjustRightInd w:val="0"/>
        <w:spacing w:line="240" w:lineRule="auto"/>
        <w:rPr>
          <w:rFonts w:eastAsiaTheme="minorHAnsi"/>
          <w:snapToGrid/>
          <w:szCs w:val="22"/>
        </w:rPr>
      </w:pPr>
      <w:proofErr w:type="spellStart"/>
      <w:r w:rsidRPr="00CE7679">
        <w:rPr>
          <w:rFonts w:eastAsia="SimSun"/>
          <w:bCs/>
          <w:snapToGrid/>
          <w:szCs w:val="22"/>
          <w:lang w:eastAsia="zh-CN"/>
        </w:rPr>
        <w:t>Imatinib</w:t>
      </w:r>
      <w:proofErr w:type="spellEnd"/>
      <w:r w:rsidRPr="00CE7679">
        <w:rPr>
          <w:rFonts w:eastAsia="SimSun"/>
          <w:bCs/>
          <w:snapToGrid/>
          <w:szCs w:val="22"/>
          <w:lang w:eastAsia="zh-CN"/>
        </w:rPr>
        <w:t xml:space="preserve"> </w:t>
      </w:r>
      <w:proofErr w:type="spellStart"/>
      <w:r w:rsidRPr="00CE7679">
        <w:rPr>
          <w:rFonts w:eastAsia="SimSun"/>
          <w:bCs/>
          <w:snapToGrid/>
          <w:szCs w:val="22"/>
          <w:lang w:eastAsia="zh-CN"/>
        </w:rPr>
        <w:t>Sandoz</w:t>
      </w:r>
      <w:proofErr w:type="spellEnd"/>
      <w:r w:rsidR="009C008A" w:rsidRPr="00CE7679">
        <w:rPr>
          <w:rFonts w:eastAsiaTheme="minorHAnsi"/>
          <w:snapToGrid/>
          <w:szCs w:val="22"/>
        </w:rPr>
        <w:t xml:space="preserve"> vartojimo metu galite tapti jautresnis saulės poveikiui. Svarbu apsaugoti atviras odos vietas nuo</w:t>
      </w:r>
      <w:r w:rsidRPr="00CE7679">
        <w:rPr>
          <w:rFonts w:eastAsiaTheme="minorHAnsi"/>
          <w:snapToGrid/>
          <w:szCs w:val="22"/>
        </w:rPr>
        <w:t xml:space="preserve"> </w:t>
      </w:r>
      <w:r w:rsidR="009C008A" w:rsidRPr="00CE7679">
        <w:rPr>
          <w:rFonts w:eastAsiaTheme="minorHAnsi"/>
          <w:snapToGrid/>
          <w:szCs w:val="22"/>
        </w:rPr>
        <w:t>tiesioginių saulės spindulių ir naudoti preparatą nuo saulės nudegimo, kurio aukštas apsaugos faktorius</w:t>
      </w:r>
      <w:r w:rsidRPr="00CE7679">
        <w:rPr>
          <w:rFonts w:eastAsiaTheme="minorHAnsi"/>
          <w:snapToGrid/>
          <w:szCs w:val="22"/>
        </w:rPr>
        <w:t xml:space="preserve"> </w:t>
      </w:r>
      <w:r w:rsidR="009C008A" w:rsidRPr="00CE7679">
        <w:rPr>
          <w:rFonts w:eastAsiaTheme="minorHAnsi"/>
          <w:snapToGrid/>
          <w:szCs w:val="22"/>
        </w:rPr>
        <w:t>(SPF). Šios atsargumo priemonės taip pat turi būti taikomos vaikams.</w:t>
      </w:r>
    </w:p>
    <w:p w14:paraId="26A54973" w14:textId="77777777" w:rsidR="009C008A" w:rsidRPr="00CE7679" w:rsidRDefault="009C008A" w:rsidP="009C008A">
      <w:pPr>
        <w:numPr>
          <w:ilvl w:val="12"/>
          <w:numId w:val="0"/>
        </w:numPr>
        <w:spacing w:line="240" w:lineRule="auto"/>
        <w:rPr>
          <w:rFonts w:eastAsia="SimSun"/>
          <w:snapToGrid/>
          <w:szCs w:val="22"/>
          <w:lang w:eastAsia="zh-CN"/>
        </w:rPr>
      </w:pPr>
    </w:p>
    <w:p w14:paraId="2DFF881C" w14:textId="77777777" w:rsidR="00A27597" w:rsidRPr="00CE7679" w:rsidRDefault="00A27597" w:rsidP="00A27597">
      <w:pPr>
        <w:numPr>
          <w:ilvl w:val="12"/>
          <w:numId w:val="0"/>
        </w:numPr>
        <w:spacing w:line="240" w:lineRule="auto"/>
        <w:rPr>
          <w:rFonts w:eastAsia="SimSun"/>
          <w:snapToGrid/>
          <w:szCs w:val="22"/>
          <w:lang w:eastAsia="zh-CN"/>
        </w:rPr>
      </w:pPr>
      <w:r w:rsidRPr="00CE7679">
        <w:rPr>
          <w:rFonts w:eastAsia="SimSun"/>
          <w:b/>
          <w:snapToGrid/>
          <w:szCs w:val="22"/>
          <w:lang w:eastAsia="zh-CN"/>
        </w:rPr>
        <w:t xml:space="preserve">Gydymo </w:t>
      </w:r>
      <w:proofErr w:type="spellStart"/>
      <w:r w:rsidRPr="00CE7679">
        <w:rPr>
          <w:rFonts w:eastAsia="SimSun"/>
          <w:b/>
          <w:snapToGrid/>
          <w:szCs w:val="22"/>
          <w:lang w:eastAsia="zh-CN"/>
        </w:rPr>
        <w:t>Imatinib</w:t>
      </w:r>
      <w:proofErr w:type="spellEnd"/>
      <w:r w:rsidRPr="00CE7679">
        <w:rPr>
          <w:rFonts w:eastAsia="SimSun"/>
          <w:b/>
          <w:snapToGrid/>
          <w:szCs w:val="22"/>
          <w:lang w:eastAsia="zh-CN"/>
        </w:rPr>
        <w:t xml:space="preserve"> </w:t>
      </w:r>
      <w:proofErr w:type="spellStart"/>
      <w:r w:rsidRPr="00CE7679">
        <w:rPr>
          <w:rFonts w:eastAsia="SimSun"/>
          <w:b/>
          <w:snapToGrid/>
          <w:szCs w:val="22"/>
          <w:lang w:eastAsia="zh-CN"/>
        </w:rPr>
        <w:t>Sandoz</w:t>
      </w:r>
      <w:proofErr w:type="spellEnd"/>
      <w:r w:rsidRPr="00CE7679">
        <w:rPr>
          <w:rFonts w:eastAsia="SimSun"/>
          <w:b/>
          <w:snapToGrid/>
          <w:szCs w:val="22"/>
          <w:lang w:eastAsia="zh-CN"/>
        </w:rPr>
        <w:t xml:space="preserve"> metu nedels</w:t>
      </w:r>
      <w:r w:rsidR="00801A47" w:rsidRPr="00CE7679">
        <w:rPr>
          <w:rFonts w:eastAsia="SimSun"/>
          <w:b/>
          <w:snapToGrid/>
          <w:szCs w:val="22"/>
          <w:lang w:eastAsia="zh-CN"/>
        </w:rPr>
        <w:t>dami</w:t>
      </w:r>
      <w:r w:rsidRPr="00CE7679">
        <w:rPr>
          <w:rFonts w:eastAsia="SimSun"/>
          <w:b/>
          <w:snapToGrid/>
          <w:szCs w:val="22"/>
          <w:lang w:eastAsia="zh-CN"/>
        </w:rPr>
        <w:t xml:space="preserve"> kreipkitės į gydytoją</w:t>
      </w:r>
      <w:r w:rsidRPr="00CE7679">
        <w:rPr>
          <w:rFonts w:eastAsia="SimSun"/>
          <w:snapToGrid/>
          <w:szCs w:val="22"/>
          <w:lang w:eastAsia="zh-CN"/>
        </w:rPr>
        <w:t xml:space="preserve">, jeigu Jums labai greitai padidėjo kūno svoris. Dėl </w:t>
      </w: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 xml:space="preserve"> poveikio Jūsų kūne gali kauptis vanduo (pasireikšti sunkus skysčio susilaikymas).</w:t>
      </w:r>
    </w:p>
    <w:p w14:paraId="3F157104" w14:textId="77777777" w:rsidR="00A27597" w:rsidRPr="00CE7679" w:rsidRDefault="00A27597" w:rsidP="00A27597">
      <w:pPr>
        <w:numPr>
          <w:ilvl w:val="12"/>
          <w:numId w:val="0"/>
        </w:numPr>
        <w:spacing w:line="240" w:lineRule="auto"/>
        <w:rPr>
          <w:rFonts w:eastAsia="SimSun"/>
          <w:snapToGrid/>
          <w:szCs w:val="22"/>
          <w:lang w:eastAsia="zh-CN"/>
        </w:rPr>
      </w:pPr>
    </w:p>
    <w:p w14:paraId="349D6DF0" w14:textId="77777777" w:rsidR="00A27597" w:rsidRPr="00CE7679" w:rsidRDefault="00A27597" w:rsidP="00A27597">
      <w:pPr>
        <w:numPr>
          <w:ilvl w:val="12"/>
          <w:numId w:val="0"/>
        </w:numPr>
        <w:spacing w:line="240" w:lineRule="auto"/>
        <w:rPr>
          <w:rFonts w:eastAsia="SimSun"/>
          <w:snapToGrid/>
          <w:szCs w:val="22"/>
          <w:lang w:eastAsia="zh-CN"/>
        </w:rPr>
      </w:pPr>
      <w:r w:rsidRPr="00CE7679">
        <w:rPr>
          <w:rFonts w:eastAsia="SimSun"/>
          <w:snapToGrid/>
          <w:szCs w:val="22"/>
          <w:lang w:eastAsia="zh-CN"/>
        </w:rPr>
        <w:t xml:space="preserve">Jums vartojant </w:t>
      </w: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 gydytojas reguliariai tikrins, ar vaistas veikia. Jums taip pat reguliariai bus atliekami kraujo tyrimai ir nustatinėjamas kūno svoris.</w:t>
      </w:r>
    </w:p>
    <w:p w14:paraId="168F4E9B" w14:textId="77777777" w:rsidR="00A27597" w:rsidRPr="00CE7679" w:rsidRDefault="00A27597" w:rsidP="00A27597">
      <w:pPr>
        <w:numPr>
          <w:ilvl w:val="12"/>
          <w:numId w:val="0"/>
        </w:numPr>
        <w:spacing w:line="240" w:lineRule="auto"/>
        <w:rPr>
          <w:rFonts w:eastAsia="SimSun"/>
          <w:snapToGrid/>
          <w:szCs w:val="22"/>
          <w:lang w:eastAsia="zh-CN"/>
        </w:rPr>
      </w:pPr>
    </w:p>
    <w:p w14:paraId="12C74F8D" w14:textId="77777777" w:rsidR="00A27597" w:rsidRPr="00CE7679" w:rsidRDefault="00A27597" w:rsidP="00A27597">
      <w:pPr>
        <w:keepNext/>
        <w:spacing w:line="240" w:lineRule="auto"/>
        <w:jc w:val="both"/>
        <w:outlineLvl w:val="3"/>
        <w:rPr>
          <w:rFonts w:eastAsia="SimSun"/>
          <w:b/>
          <w:snapToGrid/>
          <w:szCs w:val="22"/>
        </w:rPr>
      </w:pPr>
      <w:r w:rsidRPr="00CE7679">
        <w:rPr>
          <w:rFonts w:eastAsia="SimSun"/>
          <w:b/>
          <w:snapToGrid/>
          <w:szCs w:val="22"/>
        </w:rPr>
        <w:t>Vaikams ir paaugliams</w:t>
      </w:r>
    </w:p>
    <w:p w14:paraId="03439364" w14:textId="77777777" w:rsidR="00A27597" w:rsidRPr="00CE7679" w:rsidRDefault="00A27597" w:rsidP="00A27597">
      <w:pPr>
        <w:spacing w:line="240" w:lineRule="auto"/>
        <w:rPr>
          <w:rFonts w:eastAsia="SimSun"/>
          <w:snapToGrid/>
          <w:szCs w:val="22"/>
        </w:rPr>
      </w:pPr>
      <w:proofErr w:type="spellStart"/>
      <w:r w:rsidRPr="00CE7679">
        <w:rPr>
          <w:rFonts w:eastAsia="SimSun"/>
          <w:snapToGrid/>
          <w:szCs w:val="22"/>
        </w:rPr>
        <w:t>Imatinib</w:t>
      </w:r>
      <w:proofErr w:type="spellEnd"/>
      <w:r w:rsidRPr="00CE7679">
        <w:rPr>
          <w:rFonts w:eastAsia="SimSun"/>
          <w:snapToGrid/>
          <w:szCs w:val="22"/>
        </w:rPr>
        <w:t xml:space="preserve"> </w:t>
      </w:r>
      <w:proofErr w:type="spellStart"/>
      <w:r w:rsidRPr="00CE7679">
        <w:rPr>
          <w:rFonts w:eastAsia="SimSun"/>
          <w:snapToGrid/>
          <w:szCs w:val="22"/>
        </w:rPr>
        <w:t>Sandoz</w:t>
      </w:r>
      <w:proofErr w:type="spellEnd"/>
      <w:r w:rsidRPr="00CE7679">
        <w:rPr>
          <w:rFonts w:eastAsia="SimSun"/>
          <w:snapToGrid/>
          <w:szCs w:val="22"/>
        </w:rPr>
        <w:t xml:space="preserve"> taip pat gydomi vaikai, sergantys LML. Vartojimo patirties jaunesniems kaip 2</w:t>
      </w:r>
      <w:r w:rsidR="00EF69C8" w:rsidRPr="00CE7679">
        <w:rPr>
          <w:rFonts w:eastAsia="SimSun"/>
          <w:snapToGrid/>
          <w:szCs w:val="22"/>
        </w:rPr>
        <w:t> </w:t>
      </w:r>
      <w:r w:rsidRPr="00CE7679">
        <w:rPr>
          <w:rFonts w:eastAsia="SimSun"/>
          <w:snapToGrid/>
          <w:szCs w:val="22"/>
        </w:rPr>
        <w:t>metų vaikams, sergantiems LML, nėra.</w:t>
      </w:r>
      <w:r w:rsidRPr="00CE7679">
        <w:rPr>
          <w:rFonts w:eastAsia="Calibri"/>
          <w:snapToGrid/>
          <w:szCs w:val="22"/>
        </w:rPr>
        <w:t xml:space="preserve"> </w:t>
      </w:r>
      <w:r w:rsidRPr="00CE7679">
        <w:rPr>
          <w:rFonts w:eastAsia="SimSun"/>
          <w:snapToGrid/>
          <w:szCs w:val="22"/>
        </w:rPr>
        <w:t xml:space="preserve">Vartojimo patirties vaikams, sergantiems </w:t>
      </w:r>
      <w:proofErr w:type="spellStart"/>
      <w:r w:rsidRPr="00CE7679">
        <w:rPr>
          <w:rFonts w:eastAsia="SimSun"/>
          <w:snapToGrid/>
          <w:szCs w:val="22"/>
        </w:rPr>
        <w:t>Ph</w:t>
      </w:r>
      <w:proofErr w:type="spellEnd"/>
      <w:r w:rsidRPr="00CE7679">
        <w:rPr>
          <w:rFonts w:eastAsia="SimSun"/>
          <w:snapToGrid/>
          <w:szCs w:val="22"/>
        </w:rPr>
        <w:t xml:space="preserve"> teigiama ŪLL, yra nedaug, o vartojimo patirties vaikams, sergantiems MDS/MPL, DFSP</w:t>
      </w:r>
      <w:r w:rsidR="00974252">
        <w:rPr>
          <w:rFonts w:eastAsia="SimSun"/>
          <w:snapToGrid/>
          <w:szCs w:val="22"/>
        </w:rPr>
        <w:t>, VTSN</w:t>
      </w:r>
      <w:r w:rsidRPr="00CE7679">
        <w:rPr>
          <w:rFonts w:eastAsia="SimSun"/>
          <w:snapToGrid/>
          <w:szCs w:val="22"/>
        </w:rPr>
        <w:t xml:space="preserve"> ir HES/LEL, – labai mažai.</w:t>
      </w:r>
    </w:p>
    <w:p w14:paraId="527A1B86" w14:textId="77777777" w:rsidR="00A27597" w:rsidRPr="00CE7679" w:rsidRDefault="00A27597" w:rsidP="00A27597">
      <w:pPr>
        <w:spacing w:line="240" w:lineRule="auto"/>
        <w:rPr>
          <w:rFonts w:eastAsia="SimSun"/>
          <w:snapToGrid/>
          <w:szCs w:val="22"/>
        </w:rPr>
      </w:pPr>
    </w:p>
    <w:p w14:paraId="317EC65D" w14:textId="77777777" w:rsidR="00A27597" w:rsidRPr="00CE7679" w:rsidRDefault="00A27597" w:rsidP="00A27597">
      <w:pPr>
        <w:numPr>
          <w:ilvl w:val="12"/>
          <w:numId w:val="0"/>
        </w:numPr>
        <w:spacing w:line="240" w:lineRule="auto"/>
        <w:rPr>
          <w:rFonts w:eastAsia="SimSun"/>
          <w:snapToGrid/>
          <w:szCs w:val="22"/>
          <w:lang w:eastAsia="zh-CN"/>
        </w:rPr>
      </w:pPr>
      <w:r w:rsidRPr="00CE7679">
        <w:rPr>
          <w:rFonts w:eastAsia="SimSun"/>
          <w:snapToGrid/>
          <w:szCs w:val="22"/>
          <w:lang w:eastAsia="zh-CN"/>
        </w:rPr>
        <w:lastRenderedPageBreak/>
        <w:t xml:space="preserve">Kai kurių vaikų ir paauglių, vartojančių </w:t>
      </w: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 augimas gali būti lėtesnis nei įprasta. Todėl gydytojas tikrins augimą įprastų vizitų metu.</w:t>
      </w:r>
    </w:p>
    <w:p w14:paraId="678CB0BB" w14:textId="77777777" w:rsidR="00A27597" w:rsidRPr="00CE7679" w:rsidRDefault="00A27597" w:rsidP="00A27597">
      <w:pPr>
        <w:numPr>
          <w:ilvl w:val="12"/>
          <w:numId w:val="0"/>
        </w:numPr>
        <w:spacing w:line="240" w:lineRule="auto"/>
        <w:rPr>
          <w:rFonts w:eastAsia="SimSun"/>
          <w:snapToGrid/>
          <w:szCs w:val="22"/>
          <w:lang w:eastAsia="zh-CN"/>
        </w:rPr>
      </w:pPr>
    </w:p>
    <w:p w14:paraId="1B64D2B3" w14:textId="77777777" w:rsidR="00A27597" w:rsidRPr="00CE7679" w:rsidRDefault="00A27597" w:rsidP="00A27597">
      <w:pPr>
        <w:keepNext/>
        <w:spacing w:line="240" w:lineRule="auto"/>
        <w:jc w:val="both"/>
        <w:outlineLvl w:val="3"/>
        <w:rPr>
          <w:rFonts w:eastAsia="SimSun"/>
          <w:b/>
          <w:snapToGrid/>
          <w:szCs w:val="22"/>
        </w:rPr>
      </w:pPr>
      <w:r w:rsidRPr="00CE7679">
        <w:rPr>
          <w:rFonts w:eastAsia="SimSun"/>
          <w:b/>
          <w:snapToGrid/>
          <w:szCs w:val="22"/>
        </w:rPr>
        <w:t xml:space="preserve">Kiti vaistai ir </w:t>
      </w:r>
      <w:proofErr w:type="spellStart"/>
      <w:r w:rsidRPr="00CE7679">
        <w:rPr>
          <w:rFonts w:eastAsia="SimSun"/>
          <w:b/>
          <w:snapToGrid/>
          <w:szCs w:val="22"/>
        </w:rPr>
        <w:t>Imatinib</w:t>
      </w:r>
      <w:proofErr w:type="spellEnd"/>
      <w:r w:rsidRPr="00CE7679">
        <w:rPr>
          <w:rFonts w:eastAsia="SimSun"/>
          <w:b/>
          <w:snapToGrid/>
          <w:szCs w:val="22"/>
        </w:rPr>
        <w:t xml:space="preserve"> </w:t>
      </w:r>
      <w:proofErr w:type="spellStart"/>
      <w:r w:rsidRPr="00CE7679">
        <w:rPr>
          <w:rFonts w:eastAsia="SimSun"/>
          <w:b/>
          <w:snapToGrid/>
          <w:szCs w:val="22"/>
        </w:rPr>
        <w:t>Sandoz</w:t>
      </w:r>
      <w:proofErr w:type="spellEnd"/>
    </w:p>
    <w:p w14:paraId="05F3CB90" w14:textId="77777777" w:rsidR="00A27597" w:rsidRPr="00CE7679" w:rsidRDefault="00A27597" w:rsidP="00A27597">
      <w:pPr>
        <w:numPr>
          <w:ilvl w:val="12"/>
          <w:numId w:val="0"/>
        </w:numPr>
        <w:spacing w:line="240" w:lineRule="auto"/>
        <w:rPr>
          <w:rFonts w:eastAsia="SimSun"/>
          <w:snapToGrid/>
          <w:szCs w:val="22"/>
          <w:lang w:eastAsia="zh-CN"/>
        </w:rPr>
      </w:pPr>
      <w:r w:rsidRPr="00CE7679">
        <w:rPr>
          <w:rFonts w:eastAsia="SimSun"/>
          <w:snapToGrid/>
          <w:szCs w:val="22"/>
          <w:lang w:eastAsia="zh-CN"/>
        </w:rPr>
        <w:t xml:space="preserve">Jeigu vartojate ar neseniai vartojote kitų vaistų, įskaitant įsigytus be recepto (tokių, kaip </w:t>
      </w:r>
      <w:proofErr w:type="spellStart"/>
      <w:r w:rsidRPr="00CE7679">
        <w:rPr>
          <w:rFonts w:eastAsia="SimSun"/>
          <w:snapToGrid/>
          <w:szCs w:val="22"/>
          <w:lang w:eastAsia="zh-CN"/>
        </w:rPr>
        <w:t>paracetamolis</w:t>
      </w:r>
      <w:proofErr w:type="spellEnd"/>
      <w:r w:rsidRPr="00CE7679">
        <w:rPr>
          <w:rFonts w:eastAsia="SimSun"/>
          <w:snapToGrid/>
          <w:szCs w:val="22"/>
          <w:lang w:eastAsia="zh-CN"/>
        </w:rPr>
        <w:t xml:space="preserve">) ir vaistažolių preparatus (tokių, kaip jonažolės preparatai), arba dėl to nesate tikri, apie tai pasakykite gydytojui arba vaistininkui. Kai kurie vaistai vartojami kartu gali sąveikauti su </w:t>
      </w: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 xml:space="preserve">. Jie gali padidinti arba sumažinti </w:t>
      </w: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 xml:space="preserve"> poveikį, arba padidindami šalutinio poveikio pasireiškimo dažnį, arba mažindami </w:t>
      </w: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 xml:space="preserve"> veiksmingumą. </w:t>
      </w: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 xml:space="preserve"> gali panašiai veikti kai kuriuos kitus vaistus.</w:t>
      </w:r>
    </w:p>
    <w:p w14:paraId="74D4FF11" w14:textId="77777777" w:rsidR="00A27597" w:rsidRPr="00CE7679" w:rsidRDefault="00A27597" w:rsidP="00A27597">
      <w:pPr>
        <w:numPr>
          <w:ilvl w:val="12"/>
          <w:numId w:val="0"/>
        </w:numPr>
        <w:spacing w:line="240" w:lineRule="auto"/>
        <w:rPr>
          <w:rFonts w:eastAsia="SimSun"/>
          <w:snapToGrid/>
          <w:szCs w:val="22"/>
          <w:lang w:eastAsia="zh-CN"/>
        </w:rPr>
      </w:pPr>
    </w:p>
    <w:p w14:paraId="2A4A3260" w14:textId="77777777" w:rsidR="00A27597" w:rsidRPr="00CE7679" w:rsidRDefault="00A27597" w:rsidP="00A27597">
      <w:pPr>
        <w:numPr>
          <w:ilvl w:val="12"/>
          <w:numId w:val="0"/>
        </w:numPr>
        <w:spacing w:line="240" w:lineRule="auto"/>
        <w:rPr>
          <w:rFonts w:eastAsia="SimSun"/>
          <w:snapToGrid/>
          <w:szCs w:val="22"/>
          <w:lang w:eastAsia="zh-CN"/>
        </w:rPr>
      </w:pPr>
      <w:r w:rsidRPr="00CE7679">
        <w:rPr>
          <w:rFonts w:eastAsia="SimSun"/>
          <w:snapToGrid/>
          <w:szCs w:val="22"/>
          <w:lang w:eastAsia="zh-CN"/>
        </w:rPr>
        <w:t>Pasakykite gydytojui, jei vartojate vaistų, kurie trukdo formuotis kraujo krešuliams.</w:t>
      </w:r>
    </w:p>
    <w:p w14:paraId="7B7B68CF" w14:textId="77777777" w:rsidR="00A27597" w:rsidRPr="00CE7679" w:rsidRDefault="00A27597" w:rsidP="00A27597">
      <w:pPr>
        <w:numPr>
          <w:ilvl w:val="12"/>
          <w:numId w:val="0"/>
        </w:numPr>
        <w:spacing w:line="240" w:lineRule="auto"/>
        <w:rPr>
          <w:rFonts w:eastAsia="SimSun"/>
          <w:snapToGrid/>
          <w:szCs w:val="22"/>
          <w:lang w:eastAsia="zh-CN"/>
        </w:rPr>
      </w:pPr>
    </w:p>
    <w:p w14:paraId="4870C888" w14:textId="77777777" w:rsidR="00A27597" w:rsidRPr="00CE7679" w:rsidRDefault="00A27597" w:rsidP="00A27597">
      <w:pPr>
        <w:keepNext/>
        <w:spacing w:line="240" w:lineRule="auto"/>
        <w:jc w:val="both"/>
        <w:outlineLvl w:val="3"/>
        <w:rPr>
          <w:rFonts w:eastAsia="SimSun"/>
          <w:b/>
          <w:snapToGrid/>
          <w:szCs w:val="22"/>
        </w:rPr>
      </w:pPr>
      <w:r w:rsidRPr="00CE7679">
        <w:rPr>
          <w:rFonts w:eastAsia="SimSun"/>
          <w:b/>
          <w:snapToGrid/>
          <w:szCs w:val="22"/>
        </w:rPr>
        <w:t>Nėštumas, žindymo laikotarpis ir vaisingumas</w:t>
      </w:r>
    </w:p>
    <w:p w14:paraId="29C9E2A6" w14:textId="77777777" w:rsidR="00A27597" w:rsidRPr="00CE7679" w:rsidRDefault="00A27597" w:rsidP="00A27597">
      <w:pPr>
        <w:numPr>
          <w:ilvl w:val="0"/>
          <w:numId w:val="43"/>
        </w:numPr>
        <w:tabs>
          <w:tab w:val="clear" w:pos="567"/>
        </w:tabs>
        <w:spacing w:after="200" w:line="240" w:lineRule="auto"/>
        <w:ind w:left="540" w:hanging="540"/>
        <w:contextualSpacing/>
        <w:rPr>
          <w:rFonts w:eastAsia="SimSun"/>
          <w:snapToGrid/>
          <w:szCs w:val="22"/>
          <w:lang w:eastAsia="zh-CN"/>
        </w:rPr>
      </w:pPr>
      <w:r w:rsidRPr="00CE7679">
        <w:rPr>
          <w:rFonts w:eastAsia="SimSun"/>
          <w:snapToGrid/>
          <w:szCs w:val="22"/>
          <w:lang w:eastAsia="zh-CN"/>
        </w:rPr>
        <w:t>Jeigu esate nėščia, žindote kūdikį, manote, kad galbūt esate nėščia arba planuojate pastoti, tai prieš vartodama šį vaistą pasitarkite su gydytoju.</w:t>
      </w:r>
    </w:p>
    <w:p w14:paraId="4108BA98" w14:textId="77777777" w:rsidR="00A27597" w:rsidRPr="00CE7679" w:rsidRDefault="00A27597" w:rsidP="00A27597">
      <w:pPr>
        <w:numPr>
          <w:ilvl w:val="0"/>
          <w:numId w:val="43"/>
        </w:numPr>
        <w:tabs>
          <w:tab w:val="clear" w:pos="567"/>
        </w:tabs>
        <w:spacing w:after="200" w:line="240" w:lineRule="auto"/>
        <w:ind w:left="540" w:hanging="540"/>
        <w:contextualSpacing/>
        <w:rPr>
          <w:rFonts w:eastAsia="SimSun"/>
          <w:snapToGrid/>
          <w:szCs w:val="22"/>
          <w:lang w:eastAsia="zh-CN"/>
        </w:rPr>
      </w:pP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 xml:space="preserve"> nerekomenduojama vartoti nėščiosioms</w:t>
      </w:r>
      <w:r w:rsidRPr="00CE7679">
        <w:rPr>
          <w:rFonts w:eastAsia="SimSun"/>
        </w:rPr>
        <w:t>,</w:t>
      </w:r>
      <w:r w:rsidRPr="00CE7679">
        <w:rPr>
          <w:rFonts w:eastAsia="SimSun"/>
          <w:snapToGrid/>
          <w:szCs w:val="22"/>
          <w:lang w:eastAsia="zh-CN"/>
        </w:rPr>
        <w:t xml:space="preserve"> nebent yra neabejotinai būtina, nes jis gali pakenkti Jūsų kūdikiui. Gydytojas aptars su Jumis galimą </w:t>
      </w: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 xml:space="preserve"> vartojimo nėštumo laikotarpiu riziką.</w:t>
      </w:r>
    </w:p>
    <w:p w14:paraId="06EB2D38" w14:textId="7028BAE2" w:rsidR="00E71239" w:rsidRPr="00961430" w:rsidRDefault="00A27597" w:rsidP="00961430">
      <w:pPr>
        <w:numPr>
          <w:ilvl w:val="0"/>
          <w:numId w:val="43"/>
        </w:numPr>
        <w:tabs>
          <w:tab w:val="clear" w:pos="567"/>
        </w:tabs>
        <w:spacing w:after="200" w:line="240" w:lineRule="auto"/>
        <w:ind w:left="540" w:hanging="540"/>
        <w:contextualSpacing/>
        <w:rPr>
          <w:rFonts w:eastAsia="SimSun"/>
          <w:snapToGrid/>
          <w:szCs w:val="22"/>
          <w:lang w:eastAsia="zh-CN"/>
        </w:rPr>
      </w:pPr>
      <w:r w:rsidRPr="00E71239">
        <w:rPr>
          <w:rFonts w:eastAsia="SimSun"/>
          <w:snapToGrid/>
          <w:szCs w:val="22"/>
          <w:lang w:eastAsia="zh-CN"/>
        </w:rPr>
        <w:t xml:space="preserve">Vaisingo amžiaus moterims </w:t>
      </w:r>
      <w:r w:rsidR="00E71239" w:rsidRPr="00961430">
        <w:rPr>
          <w:rFonts w:eastAsia="SimSun"/>
          <w:snapToGrid/>
          <w:szCs w:val="22"/>
          <w:lang w:eastAsia="zh-CN"/>
        </w:rPr>
        <w:t>gydantis šiuo vaistu ir 15 dienų po gydymo pabaigos, rekomenduojama taikyti efektyvias kontracepcijos priemones</w:t>
      </w:r>
      <w:r w:rsidR="00E71239" w:rsidRPr="00961430">
        <w:rPr>
          <w:rFonts w:eastAsiaTheme="minorHAnsi"/>
          <w:snapToGrid/>
          <w:color w:val="000000"/>
          <w:szCs w:val="22"/>
        </w:rPr>
        <w:t>.</w:t>
      </w:r>
    </w:p>
    <w:p w14:paraId="32EE732E" w14:textId="246872AA" w:rsidR="00E71239" w:rsidRDefault="00A27597" w:rsidP="00961430">
      <w:pPr>
        <w:numPr>
          <w:ilvl w:val="0"/>
          <w:numId w:val="43"/>
        </w:numPr>
        <w:tabs>
          <w:tab w:val="clear" w:pos="567"/>
        </w:tabs>
        <w:spacing w:after="200" w:line="240" w:lineRule="auto"/>
        <w:ind w:left="540" w:hanging="540"/>
        <w:contextualSpacing/>
        <w:rPr>
          <w:rFonts w:eastAsia="SimSun"/>
          <w:snapToGrid/>
          <w:szCs w:val="22"/>
          <w:lang w:eastAsia="zh-CN"/>
        </w:rPr>
      </w:pPr>
      <w:r w:rsidRPr="00CE7679">
        <w:rPr>
          <w:rFonts w:eastAsia="SimSun"/>
          <w:snapToGrid/>
          <w:szCs w:val="22"/>
          <w:lang w:eastAsia="zh-CN"/>
        </w:rPr>
        <w:t xml:space="preserve">Vartojant </w:t>
      </w: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00E71239">
        <w:rPr>
          <w:rFonts w:eastAsia="SimSun"/>
          <w:snapToGrid/>
          <w:szCs w:val="22"/>
          <w:lang w:eastAsia="zh-CN"/>
        </w:rPr>
        <w:t xml:space="preserve"> </w:t>
      </w:r>
      <w:r w:rsidR="00E71239" w:rsidRPr="00961430">
        <w:rPr>
          <w:rFonts w:eastAsia="SimSun"/>
          <w:snapToGrid/>
          <w:szCs w:val="22"/>
          <w:lang w:eastAsia="zh-CN"/>
        </w:rPr>
        <w:t>ir 15</w:t>
      </w:r>
      <w:r w:rsidR="0026114C">
        <w:rPr>
          <w:rFonts w:eastAsia="SimSun"/>
          <w:snapToGrid/>
          <w:szCs w:val="22"/>
          <w:lang w:eastAsia="zh-CN"/>
        </w:rPr>
        <w:t> </w:t>
      </w:r>
      <w:r w:rsidR="00E71239" w:rsidRPr="00961430">
        <w:rPr>
          <w:rFonts w:eastAsia="SimSun"/>
          <w:snapToGrid/>
          <w:szCs w:val="22"/>
          <w:lang w:eastAsia="zh-CN"/>
        </w:rPr>
        <w:t xml:space="preserve">dienų po gydymo pabaigos nežindykite, nes tai gali pakenkti Jūsų kūdikiui. </w:t>
      </w:r>
    </w:p>
    <w:p w14:paraId="00C58315" w14:textId="5603B714" w:rsidR="00C255C1" w:rsidRPr="00961430" w:rsidRDefault="00C255C1" w:rsidP="00961430">
      <w:pPr>
        <w:numPr>
          <w:ilvl w:val="0"/>
          <w:numId w:val="43"/>
        </w:numPr>
        <w:tabs>
          <w:tab w:val="clear" w:pos="567"/>
        </w:tabs>
        <w:spacing w:after="200" w:line="240" w:lineRule="auto"/>
        <w:ind w:left="540" w:hanging="540"/>
        <w:contextualSpacing/>
        <w:rPr>
          <w:rFonts w:eastAsia="SimSun"/>
          <w:snapToGrid/>
          <w:szCs w:val="22"/>
          <w:lang w:eastAsia="zh-CN"/>
        </w:rPr>
      </w:pPr>
      <w:r w:rsidRPr="00CE7679">
        <w:rPr>
          <w:rFonts w:eastAsia="SimSun"/>
          <w:snapToGrid/>
          <w:szCs w:val="22"/>
          <w:lang w:eastAsia="zh-CN"/>
        </w:rPr>
        <w:t xml:space="preserve">Nerimaujantiems dėl savo vaisingumo </w:t>
      </w: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 xml:space="preserve"> vartojimo metu pacientams yra patariama konsultuotis su savo gydytoju</w:t>
      </w:r>
      <w:r>
        <w:rPr>
          <w:rFonts w:eastAsia="SimSun"/>
          <w:snapToGrid/>
          <w:szCs w:val="22"/>
          <w:lang w:eastAsia="zh-CN"/>
        </w:rPr>
        <w:t>.</w:t>
      </w:r>
    </w:p>
    <w:p w14:paraId="6CBFB429" w14:textId="77777777" w:rsidR="00A27597" w:rsidRPr="00CE7679" w:rsidRDefault="00A27597" w:rsidP="00F30108">
      <w:pPr>
        <w:tabs>
          <w:tab w:val="clear" w:pos="567"/>
        </w:tabs>
        <w:spacing w:after="200" w:line="240" w:lineRule="auto"/>
        <w:contextualSpacing/>
        <w:rPr>
          <w:rFonts w:eastAsia="SimSun"/>
          <w:snapToGrid/>
          <w:szCs w:val="22"/>
          <w:lang w:eastAsia="zh-CN"/>
        </w:rPr>
      </w:pPr>
    </w:p>
    <w:p w14:paraId="116F8AE6" w14:textId="77777777" w:rsidR="00A27597" w:rsidRPr="00CE7679" w:rsidRDefault="00A27597" w:rsidP="00A27597">
      <w:pPr>
        <w:keepNext/>
        <w:spacing w:line="240" w:lineRule="auto"/>
        <w:jc w:val="both"/>
        <w:outlineLvl w:val="3"/>
        <w:rPr>
          <w:rFonts w:eastAsia="SimSun"/>
          <w:b/>
          <w:snapToGrid/>
          <w:szCs w:val="22"/>
        </w:rPr>
      </w:pPr>
      <w:r w:rsidRPr="00CE7679">
        <w:rPr>
          <w:rFonts w:eastAsia="SimSun"/>
          <w:b/>
          <w:snapToGrid/>
          <w:szCs w:val="22"/>
        </w:rPr>
        <w:t>Vairavimas ir mechanizmų valdymas</w:t>
      </w:r>
    </w:p>
    <w:p w14:paraId="7F3052B9" w14:textId="77777777" w:rsidR="00A27597" w:rsidRPr="00CE7679" w:rsidRDefault="00A27597" w:rsidP="00A27597">
      <w:pPr>
        <w:numPr>
          <w:ilvl w:val="12"/>
          <w:numId w:val="0"/>
        </w:numPr>
        <w:spacing w:line="240" w:lineRule="auto"/>
        <w:rPr>
          <w:rFonts w:eastAsia="SimSun"/>
          <w:snapToGrid/>
          <w:szCs w:val="22"/>
          <w:lang w:eastAsia="zh-CN"/>
        </w:rPr>
      </w:pPr>
      <w:r w:rsidRPr="00CE7679">
        <w:rPr>
          <w:rFonts w:eastAsia="SimSun"/>
          <w:snapToGrid/>
          <w:szCs w:val="22"/>
          <w:lang w:eastAsia="zh-CN"/>
        </w:rPr>
        <w:t>Vartojant šio vaisto galite jausti svaigulį arba mieguistumą arba vaizdas gali tapti neryškus. Jeigu taip atsitiktų, nevairuokite ir nevaldykite jokių staklių ar mechanizmų, kol vėl nepasijusite gerai.</w:t>
      </w:r>
    </w:p>
    <w:p w14:paraId="7BE273BF" w14:textId="77777777" w:rsidR="00A27597" w:rsidRPr="00CE7679" w:rsidRDefault="00A27597" w:rsidP="00A27597">
      <w:pPr>
        <w:numPr>
          <w:ilvl w:val="12"/>
          <w:numId w:val="0"/>
        </w:numPr>
        <w:spacing w:line="240" w:lineRule="auto"/>
        <w:rPr>
          <w:rFonts w:eastAsia="SimSun"/>
          <w:snapToGrid/>
          <w:szCs w:val="22"/>
          <w:lang w:eastAsia="zh-CN"/>
        </w:rPr>
      </w:pPr>
    </w:p>
    <w:p w14:paraId="397F5FFF" w14:textId="77777777" w:rsidR="00A27597" w:rsidRPr="00CE7679" w:rsidRDefault="00A27597" w:rsidP="00A27597">
      <w:pPr>
        <w:numPr>
          <w:ilvl w:val="12"/>
          <w:numId w:val="0"/>
        </w:numPr>
        <w:spacing w:line="240" w:lineRule="auto"/>
        <w:rPr>
          <w:rFonts w:eastAsia="SimSun"/>
          <w:snapToGrid/>
          <w:szCs w:val="22"/>
          <w:lang w:eastAsia="zh-CN"/>
        </w:rPr>
      </w:pPr>
    </w:p>
    <w:p w14:paraId="66928BFB" w14:textId="77777777" w:rsidR="00A27597" w:rsidRPr="00CE7679" w:rsidRDefault="00A27597" w:rsidP="00A27597">
      <w:pPr>
        <w:keepNext/>
        <w:keepLines/>
        <w:spacing w:line="240" w:lineRule="auto"/>
        <w:outlineLvl w:val="2"/>
        <w:rPr>
          <w:rFonts w:eastAsia="SimSun"/>
          <w:b/>
          <w:bCs/>
          <w:snapToGrid/>
          <w:szCs w:val="22"/>
          <w:lang w:eastAsia="zh-CN"/>
        </w:rPr>
      </w:pPr>
      <w:r w:rsidRPr="00CE7679">
        <w:rPr>
          <w:rFonts w:eastAsia="SimSun"/>
          <w:b/>
          <w:bCs/>
          <w:snapToGrid/>
          <w:szCs w:val="22"/>
          <w:lang w:eastAsia="zh-CN"/>
        </w:rPr>
        <w:t>3.</w:t>
      </w:r>
      <w:r w:rsidRPr="00CE7679">
        <w:rPr>
          <w:rFonts w:eastAsia="SimSun"/>
          <w:b/>
          <w:bCs/>
          <w:snapToGrid/>
          <w:szCs w:val="22"/>
          <w:lang w:eastAsia="zh-CN"/>
        </w:rPr>
        <w:tab/>
        <w:t xml:space="preserve">Kaip vartoti </w:t>
      </w:r>
      <w:proofErr w:type="spellStart"/>
      <w:r w:rsidRPr="00CE7679">
        <w:rPr>
          <w:rFonts w:eastAsia="SimSun"/>
          <w:b/>
          <w:bCs/>
          <w:snapToGrid/>
          <w:szCs w:val="22"/>
          <w:lang w:eastAsia="zh-CN"/>
        </w:rPr>
        <w:t>Imatinib</w:t>
      </w:r>
      <w:proofErr w:type="spellEnd"/>
      <w:r w:rsidRPr="00CE7679">
        <w:rPr>
          <w:rFonts w:eastAsia="SimSun"/>
          <w:b/>
          <w:bCs/>
          <w:snapToGrid/>
          <w:szCs w:val="22"/>
          <w:lang w:eastAsia="zh-CN"/>
        </w:rPr>
        <w:t xml:space="preserve"> </w:t>
      </w:r>
      <w:proofErr w:type="spellStart"/>
      <w:r w:rsidRPr="00CE7679">
        <w:rPr>
          <w:rFonts w:eastAsia="SimSun"/>
          <w:b/>
          <w:bCs/>
          <w:snapToGrid/>
          <w:szCs w:val="22"/>
          <w:lang w:eastAsia="zh-CN"/>
        </w:rPr>
        <w:t>Sandoz</w:t>
      </w:r>
      <w:proofErr w:type="spellEnd"/>
    </w:p>
    <w:p w14:paraId="1F110DED" w14:textId="77777777" w:rsidR="00A27597" w:rsidRPr="00CE7679" w:rsidRDefault="00A27597" w:rsidP="00A27597">
      <w:pPr>
        <w:numPr>
          <w:ilvl w:val="12"/>
          <w:numId w:val="0"/>
        </w:numPr>
        <w:spacing w:line="240" w:lineRule="auto"/>
        <w:rPr>
          <w:rFonts w:eastAsia="SimSun"/>
          <w:snapToGrid/>
          <w:szCs w:val="22"/>
          <w:lang w:eastAsia="zh-CN"/>
        </w:rPr>
      </w:pPr>
    </w:p>
    <w:p w14:paraId="6C500C98" w14:textId="77777777" w:rsidR="00A27597" w:rsidRPr="00CE7679" w:rsidRDefault="00A27597" w:rsidP="00A27597">
      <w:pPr>
        <w:numPr>
          <w:ilvl w:val="12"/>
          <w:numId w:val="0"/>
        </w:numPr>
        <w:spacing w:line="240" w:lineRule="auto"/>
        <w:rPr>
          <w:rFonts w:eastAsia="SimSun"/>
          <w:snapToGrid/>
          <w:szCs w:val="22"/>
          <w:lang w:eastAsia="zh-CN"/>
        </w:rPr>
      </w:pPr>
      <w:r w:rsidRPr="00CE7679">
        <w:rPr>
          <w:rFonts w:eastAsia="SimSun"/>
          <w:snapToGrid/>
          <w:szCs w:val="22"/>
          <w:lang w:eastAsia="zh-CN"/>
        </w:rPr>
        <w:t xml:space="preserve">Jūsų gydytojas Jums paskyrė </w:t>
      </w: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 xml:space="preserve">, kadangi sergate sunkia liga. </w:t>
      </w: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 xml:space="preserve"> gali Jums padėti nugalėti šią ligą.</w:t>
      </w:r>
    </w:p>
    <w:p w14:paraId="560018B5" w14:textId="77777777" w:rsidR="00A27597" w:rsidRPr="00CE7679" w:rsidRDefault="00A27597" w:rsidP="00A27597">
      <w:pPr>
        <w:numPr>
          <w:ilvl w:val="12"/>
          <w:numId w:val="0"/>
        </w:numPr>
        <w:spacing w:line="240" w:lineRule="auto"/>
        <w:rPr>
          <w:rFonts w:eastAsia="SimSun"/>
          <w:snapToGrid/>
          <w:szCs w:val="22"/>
          <w:lang w:eastAsia="zh-CN"/>
        </w:rPr>
      </w:pPr>
    </w:p>
    <w:p w14:paraId="5CC0AA66" w14:textId="77777777" w:rsidR="00A27597" w:rsidRPr="00CE7679" w:rsidRDefault="00A27597" w:rsidP="00A27597">
      <w:pPr>
        <w:numPr>
          <w:ilvl w:val="12"/>
          <w:numId w:val="0"/>
        </w:numPr>
        <w:spacing w:line="240" w:lineRule="auto"/>
        <w:rPr>
          <w:rFonts w:eastAsia="SimSun"/>
          <w:snapToGrid/>
          <w:szCs w:val="22"/>
          <w:lang w:eastAsia="zh-CN"/>
        </w:rPr>
      </w:pPr>
      <w:r w:rsidRPr="00CE7679">
        <w:rPr>
          <w:rFonts w:eastAsia="SimSun"/>
          <w:snapToGrid/>
          <w:szCs w:val="22"/>
          <w:lang w:eastAsia="zh-CN"/>
        </w:rPr>
        <w:t>Tačiau visada vartokite šį vaistą tiksliai kaip nurodė gydytojas arba vaistininkas. Svarbu, kad vaisto vartotumėte tiek laiko, kiek nurodė Jūsų gydytojas arba vaistininkas. Jeigu abejojate, kreipkitės į gydytoją arba vaistininką.</w:t>
      </w:r>
    </w:p>
    <w:p w14:paraId="6655F24E" w14:textId="77777777" w:rsidR="00A27597" w:rsidRPr="00CE7679" w:rsidRDefault="00A27597" w:rsidP="00A27597">
      <w:pPr>
        <w:numPr>
          <w:ilvl w:val="12"/>
          <w:numId w:val="0"/>
        </w:numPr>
        <w:spacing w:line="240" w:lineRule="auto"/>
        <w:rPr>
          <w:rFonts w:eastAsia="SimSun"/>
          <w:snapToGrid/>
          <w:szCs w:val="22"/>
          <w:lang w:eastAsia="zh-CN"/>
        </w:rPr>
      </w:pPr>
    </w:p>
    <w:p w14:paraId="0A3D7FB8" w14:textId="77777777" w:rsidR="00A27597" w:rsidRPr="00CE7679" w:rsidRDefault="00A27597" w:rsidP="00A27597">
      <w:pPr>
        <w:numPr>
          <w:ilvl w:val="12"/>
          <w:numId w:val="0"/>
        </w:numPr>
        <w:spacing w:line="240" w:lineRule="auto"/>
        <w:rPr>
          <w:rFonts w:eastAsia="SimSun"/>
          <w:snapToGrid/>
          <w:szCs w:val="22"/>
          <w:lang w:eastAsia="zh-CN"/>
        </w:rPr>
      </w:pPr>
      <w:r w:rsidRPr="00CE7679">
        <w:rPr>
          <w:rFonts w:eastAsia="SimSun"/>
          <w:snapToGrid/>
          <w:szCs w:val="22"/>
          <w:lang w:eastAsia="zh-CN"/>
        </w:rPr>
        <w:t xml:space="preserve">Nenustokite vartoti </w:t>
      </w:r>
      <w:proofErr w:type="spellStart"/>
      <w:r w:rsidRPr="00CE7679">
        <w:rPr>
          <w:rFonts w:eastAsia="Calibri"/>
          <w:snapToGrid/>
          <w:szCs w:val="22"/>
        </w:rPr>
        <w:t>Imatinib</w:t>
      </w:r>
      <w:proofErr w:type="spellEnd"/>
      <w:r w:rsidRPr="00CE7679">
        <w:rPr>
          <w:rFonts w:eastAsia="Calibri"/>
          <w:snapToGrid/>
          <w:szCs w:val="22"/>
        </w:rPr>
        <w:t xml:space="preserve"> </w:t>
      </w:r>
      <w:proofErr w:type="spellStart"/>
      <w:r w:rsidRPr="00CE7679">
        <w:rPr>
          <w:rFonts w:eastAsia="Calibri"/>
          <w:snapToGrid/>
          <w:szCs w:val="22"/>
        </w:rPr>
        <w:t>Sandoz</w:t>
      </w:r>
      <w:proofErr w:type="spellEnd"/>
      <w:r w:rsidRPr="00CE7679">
        <w:rPr>
          <w:rFonts w:eastAsia="SimSun"/>
          <w:snapToGrid/>
          <w:szCs w:val="22"/>
          <w:lang w:eastAsia="zh-CN"/>
        </w:rPr>
        <w:t>, nebent taip nurodytų Jūsų gydytojas. Nedelsdami kreipkitės į gydytoją, jeigu negalite vartoti vaisto taip, kaip paskyrė gydytojas, arba jaučiate, kad šio vaisto Jums jau nereikia.</w:t>
      </w:r>
    </w:p>
    <w:p w14:paraId="7459601A" w14:textId="77777777" w:rsidR="00A27597" w:rsidRPr="00CE7679" w:rsidRDefault="00A27597" w:rsidP="00A27597">
      <w:pPr>
        <w:numPr>
          <w:ilvl w:val="12"/>
          <w:numId w:val="0"/>
        </w:numPr>
        <w:spacing w:line="240" w:lineRule="auto"/>
        <w:rPr>
          <w:rFonts w:eastAsia="SimSun"/>
          <w:snapToGrid/>
          <w:szCs w:val="22"/>
          <w:lang w:eastAsia="zh-CN"/>
        </w:rPr>
      </w:pPr>
    </w:p>
    <w:p w14:paraId="23C8B05F" w14:textId="77777777" w:rsidR="00A27597" w:rsidRPr="00CE7679" w:rsidRDefault="00A27597" w:rsidP="00A27597">
      <w:pPr>
        <w:numPr>
          <w:ilvl w:val="12"/>
          <w:numId w:val="0"/>
        </w:numPr>
        <w:spacing w:line="240" w:lineRule="auto"/>
        <w:rPr>
          <w:rFonts w:eastAsia="SimSun"/>
          <w:b/>
          <w:snapToGrid/>
          <w:szCs w:val="22"/>
          <w:lang w:eastAsia="zh-CN"/>
        </w:rPr>
      </w:pPr>
      <w:r w:rsidRPr="00CE7679">
        <w:rPr>
          <w:rFonts w:eastAsia="SimSun"/>
          <w:b/>
          <w:snapToGrid/>
          <w:szCs w:val="22"/>
          <w:lang w:eastAsia="zh-CN"/>
        </w:rPr>
        <w:t xml:space="preserve">Kiek vartoti </w:t>
      </w:r>
      <w:proofErr w:type="spellStart"/>
      <w:r w:rsidRPr="00CE7679">
        <w:rPr>
          <w:rFonts w:eastAsia="SimSun"/>
          <w:b/>
          <w:snapToGrid/>
          <w:szCs w:val="22"/>
          <w:lang w:eastAsia="zh-CN"/>
        </w:rPr>
        <w:t>Imatinib</w:t>
      </w:r>
      <w:proofErr w:type="spellEnd"/>
      <w:r w:rsidRPr="00CE7679">
        <w:rPr>
          <w:rFonts w:eastAsia="SimSun"/>
          <w:b/>
          <w:snapToGrid/>
          <w:szCs w:val="22"/>
          <w:lang w:eastAsia="zh-CN"/>
        </w:rPr>
        <w:t xml:space="preserve"> </w:t>
      </w:r>
      <w:proofErr w:type="spellStart"/>
      <w:r w:rsidRPr="00CE7679">
        <w:rPr>
          <w:rFonts w:eastAsia="SimSun"/>
          <w:b/>
          <w:snapToGrid/>
          <w:szCs w:val="22"/>
          <w:lang w:eastAsia="zh-CN"/>
        </w:rPr>
        <w:t>Sandoz</w:t>
      </w:r>
      <w:proofErr w:type="spellEnd"/>
    </w:p>
    <w:p w14:paraId="6522E7C7" w14:textId="77777777" w:rsidR="00A27597" w:rsidRPr="00CE7679" w:rsidRDefault="00A27597" w:rsidP="00A27597">
      <w:pPr>
        <w:numPr>
          <w:ilvl w:val="12"/>
          <w:numId w:val="0"/>
        </w:numPr>
        <w:spacing w:line="240" w:lineRule="auto"/>
        <w:rPr>
          <w:rFonts w:eastAsia="SimSun"/>
          <w:b/>
          <w:snapToGrid/>
          <w:szCs w:val="22"/>
          <w:lang w:eastAsia="zh-CN"/>
        </w:rPr>
      </w:pPr>
    </w:p>
    <w:p w14:paraId="0722B123" w14:textId="77777777" w:rsidR="00A27597" w:rsidRPr="00CE7679" w:rsidRDefault="00A27597" w:rsidP="00A27597">
      <w:pPr>
        <w:numPr>
          <w:ilvl w:val="12"/>
          <w:numId w:val="0"/>
        </w:numPr>
        <w:spacing w:line="240" w:lineRule="auto"/>
        <w:rPr>
          <w:rFonts w:eastAsia="SimSun"/>
          <w:b/>
          <w:snapToGrid/>
          <w:szCs w:val="22"/>
          <w:lang w:eastAsia="zh-CN"/>
        </w:rPr>
      </w:pPr>
      <w:r w:rsidRPr="00CE7679">
        <w:rPr>
          <w:rFonts w:eastAsia="SimSun"/>
          <w:b/>
          <w:snapToGrid/>
          <w:szCs w:val="22"/>
          <w:lang w:eastAsia="zh-CN"/>
        </w:rPr>
        <w:t>Vartojimas suaugusiesiems</w:t>
      </w:r>
    </w:p>
    <w:p w14:paraId="58F23825" w14:textId="77777777" w:rsidR="00A27597" w:rsidRPr="00CE7679" w:rsidRDefault="00A27597" w:rsidP="00A27597">
      <w:pPr>
        <w:numPr>
          <w:ilvl w:val="12"/>
          <w:numId w:val="0"/>
        </w:numPr>
        <w:spacing w:line="240" w:lineRule="auto"/>
        <w:rPr>
          <w:rFonts w:eastAsia="SimSun"/>
          <w:snapToGrid/>
          <w:szCs w:val="22"/>
          <w:lang w:eastAsia="zh-CN"/>
        </w:rPr>
      </w:pPr>
      <w:r w:rsidRPr="00CE7679">
        <w:rPr>
          <w:rFonts w:eastAsia="SimSun"/>
          <w:snapToGrid/>
          <w:szCs w:val="22"/>
          <w:lang w:eastAsia="zh-CN"/>
        </w:rPr>
        <w:t xml:space="preserve">Gydytojas Jums tiksliai nurodys, kiek </w:t>
      </w: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 xml:space="preserve"> tablečių gerti.</w:t>
      </w:r>
    </w:p>
    <w:p w14:paraId="5F60D8A1" w14:textId="77777777" w:rsidR="00A27597" w:rsidRPr="00CE7679" w:rsidRDefault="00A27597" w:rsidP="00A27597">
      <w:pPr>
        <w:numPr>
          <w:ilvl w:val="0"/>
          <w:numId w:val="44"/>
        </w:numPr>
        <w:tabs>
          <w:tab w:val="clear" w:pos="567"/>
        </w:tabs>
        <w:autoSpaceDE w:val="0"/>
        <w:autoSpaceDN w:val="0"/>
        <w:adjustRightInd w:val="0"/>
        <w:spacing w:line="240" w:lineRule="auto"/>
        <w:ind w:left="540" w:hanging="540"/>
        <w:rPr>
          <w:rFonts w:eastAsia="SymbolMT"/>
          <w:b/>
          <w:bCs/>
          <w:snapToGrid/>
          <w:szCs w:val="22"/>
          <w:lang w:eastAsia="lt-LT"/>
        </w:rPr>
      </w:pPr>
      <w:r w:rsidRPr="00CE7679">
        <w:rPr>
          <w:rFonts w:eastAsia="SymbolMT"/>
          <w:b/>
          <w:bCs/>
          <w:snapToGrid/>
          <w:szCs w:val="22"/>
          <w:lang w:eastAsia="lt-LT"/>
        </w:rPr>
        <w:t>Jeigu esate gydomas nuo LML:</w:t>
      </w:r>
    </w:p>
    <w:p w14:paraId="216375A0" w14:textId="77777777" w:rsidR="00A27597" w:rsidRPr="00CE7679" w:rsidRDefault="00A27597" w:rsidP="00A27597">
      <w:pPr>
        <w:tabs>
          <w:tab w:val="clear" w:pos="567"/>
        </w:tabs>
        <w:autoSpaceDE w:val="0"/>
        <w:autoSpaceDN w:val="0"/>
        <w:adjustRightInd w:val="0"/>
        <w:spacing w:line="240" w:lineRule="auto"/>
        <w:ind w:left="567"/>
        <w:rPr>
          <w:rFonts w:eastAsia="SymbolMT"/>
          <w:snapToGrid/>
          <w:szCs w:val="22"/>
          <w:lang w:eastAsia="lt-LT"/>
        </w:rPr>
      </w:pPr>
      <w:r w:rsidRPr="00CE7679">
        <w:rPr>
          <w:rFonts w:eastAsia="SymbolMT"/>
          <w:snapToGrid/>
          <w:szCs w:val="22"/>
          <w:lang w:eastAsia="lt-LT"/>
        </w:rPr>
        <w:t>Atsižvelgiant į Jūsų būklę, įprasta pradinė dozė yra arba 400</w:t>
      </w:r>
      <w:r w:rsidR="00EF69C8" w:rsidRPr="00CE7679">
        <w:rPr>
          <w:rFonts w:eastAsia="SymbolMT"/>
          <w:snapToGrid/>
          <w:szCs w:val="22"/>
          <w:lang w:eastAsia="lt-LT"/>
        </w:rPr>
        <w:t> </w:t>
      </w:r>
      <w:r w:rsidRPr="00CE7679">
        <w:rPr>
          <w:rFonts w:eastAsia="SymbolMT"/>
          <w:snapToGrid/>
          <w:szCs w:val="22"/>
          <w:lang w:eastAsia="lt-LT"/>
        </w:rPr>
        <w:t>mg, arba 600</w:t>
      </w:r>
      <w:r w:rsidR="00EF69C8" w:rsidRPr="00CE7679">
        <w:rPr>
          <w:rFonts w:eastAsia="SymbolMT"/>
          <w:snapToGrid/>
          <w:szCs w:val="22"/>
          <w:lang w:eastAsia="lt-LT"/>
        </w:rPr>
        <w:t> </w:t>
      </w:r>
      <w:r w:rsidRPr="00CE7679">
        <w:rPr>
          <w:rFonts w:eastAsia="SymbolMT"/>
          <w:snapToGrid/>
          <w:szCs w:val="22"/>
          <w:lang w:eastAsia="lt-LT"/>
        </w:rPr>
        <w:t>mg:</w:t>
      </w:r>
    </w:p>
    <w:p w14:paraId="7FA44C7E" w14:textId="77777777" w:rsidR="00A27597" w:rsidRPr="00CE7679" w:rsidRDefault="00A27597" w:rsidP="00A27597">
      <w:pPr>
        <w:pStyle w:val="Sraopastraipa"/>
        <w:numPr>
          <w:ilvl w:val="0"/>
          <w:numId w:val="49"/>
        </w:numPr>
        <w:autoSpaceDE w:val="0"/>
        <w:autoSpaceDN w:val="0"/>
        <w:adjustRightInd w:val="0"/>
        <w:spacing w:line="240" w:lineRule="auto"/>
        <w:ind w:left="1276"/>
        <w:rPr>
          <w:rFonts w:eastAsia="SymbolMT"/>
          <w:lang w:eastAsia="lt-LT"/>
        </w:rPr>
      </w:pPr>
      <w:r w:rsidRPr="00CE7679">
        <w:rPr>
          <w:rFonts w:ascii="Times New Roman" w:eastAsia="SymbolMT" w:hAnsi="Times New Roman"/>
          <w:lang w:eastAsia="lt-LT"/>
        </w:rPr>
        <w:t>400</w:t>
      </w:r>
      <w:r w:rsidR="00EF69C8" w:rsidRPr="00CE7679">
        <w:rPr>
          <w:rFonts w:ascii="Times New Roman" w:eastAsia="SymbolMT" w:hAnsi="Times New Roman"/>
          <w:lang w:eastAsia="lt-LT"/>
        </w:rPr>
        <w:t> </w:t>
      </w:r>
      <w:r w:rsidRPr="00CE7679">
        <w:rPr>
          <w:rFonts w:ascii="Times New Roman" w:eastAsia="SymbolMT" w:hAnsi="Times New Roman"/>
          <w:lang w:eastAsia="lt-LT"/>
        </w:rPr>
        <w:t>mg, vartojant po 4</w:t>
      </w:r>
      <w:r w:rsidR="00EF69C8" w:rsidRPr="00CE7679">
        <w:rPr>
          <w:rFonts w:ascii="Times New Roman" w:eastAsia="SymbolMT" w:hAnsi="Times New Roman"/>
          <w:lang w:eastAsia="lt-LT"/>
        </w:rPr>
        <w:t> </w:t>
      </w:r>
      <w:r w:rsidRPr="00CE7679">
        <w:rPr>
          <w:rFonts w:ascii="Times New Roman" w:eastAsia="SymbolMT" w:hAnsi="Times New Roman"/>
          <w:lang w:eastAsia="lt-LT"/>
        </w:rPr>
        <w:t xml:space="preserve">tabletes </w:t>
      </w:r>
      <w:r w:rsidRPr="00CE7679">
        <w:rPr>
          <w:rFonts w:ascii="Times New Roman" w:eastAsia="SymbolMT" w:hAnsi="Times New Roman"/>
          <w:b/>
          <w:lang w:eastAsia="lt-LT"/>
        </w:rPr>
        <w:t>vieną kartą</w:t>
      </w:r>
      <w:r w:rsidRPr="00CE7679">
        <w:rPr>
          <w:rFonts w:ascii="Times New Roman" w:eastAsia="SymbolMT" w:hAnsi="Times New Roman"/>
          <w:lang w:eastAsia="lt-LT"/>
        </w:rPr>
        <w:t xml:space="preserve"> per parą,</w:t>
      </w:r>
    </w:p>
    <w:p w14:paraId="5D178804" w14:textId="77777777" w:rsidR="00A27597" w:rsidRPr="00CE7679" w:rsidRDefault="00A27597" w:rsidP="00A27597">
      <w:pPr>
        <w:pStyle w:val="Sraopastraipa"/>
        <w:numPr>
          <w:ilvl w:val="0"/>
          <w:numId w:val="49"/>
        </w:numPr>
        <w:autoSpaceDE w:val="0"/>
        <w:autoSpaceDN w:val="0"/>
        <w:adjustRightInd w:val="0"/>
        <w:spacing w:line="240" w:lineRule="auto"/>
        <w:ind w:left="1276"/>
        <w:rPr>
          <w:rFonts w:eastAsia="SymbolMT"/>
          <w:lang w:eastAsia="lt-LT"/>
        </w:rPr>
      </w:pPr>
      <w:r w:rsidRPr="00CE7679">
        <w:rPr>
          <w:rFonts w:ascii="Times New Roman" w:eastAsia="SymbolMT" w:hAnsi="Times New Roman"/>
          <w:lang w:eastAsia="lt-LT"/>
        </w:rPr>
        <w:t>600</w:t>
      </w:r>
      <w:r w:rsidR="00EF69C8" w:rsidRPr="00CE7679">
        <w:rPr>
          <w:rFonts w:ascii="Times New Roman" w:eastAsia="SymbolMT" w:hAnsi="Times New Roman"/>
          <w:lang w:eastAsia="lt-LT"/>
        </w:rPr>
        <w:t> </w:t>
      </w:r>
      <w:r w:rsidRPr="00CE7679">
        <w:rPr>
          <w:rFonts w:ascii="Times New Roman" w:eastAsia="SymbolMT" w:hAnsi="Times New Roman"/>
          <w:lang w:eastAsia="lt-LT"/>
        </w:rPr>
        <w:t>mg, vartojant 6</w:t>
      </w:r>
      <w:r w:rsidR="00EF69C8" w:rsidRPr="00CE7679">
        <w:rPr>
          <w:rFonts w:ascii="Times New Roman" w:eastAsia="SymbolMT" w:hAnsi="Times New Roman"/>
          <w:lang w:eastAsia="lt-LT"/>
        </w:rPr>
        <w:t> </w:t>
      </w:r>
      <w:r w:rsidRPr="00CE7679">
        <w:rPr>
          <w:rFonts w:ascii="Times New Roman" w:eastAsia="SymbolMT" w:hAnsi="Times New Roman"/>
          <w:lang w:eastAsia="lt-LT"/>
        </w:rPr>
        <w:t xml:space="preserve">tabletes </w:t>
      </w:r>
      <w:r w:rsidRPr="00CE7679">
        <w:rPr>
          <w:rFonts w:ascii="Times New Roman" w:eastAsia="SymbolMT" w:hAnsi="Times New Roman"/>
          <w:b/>
          <w:lang w:eastAsia="lt-LT"/>
        </w:rPr>
        <w:t>vieną kartą</w:t>
      </w:r>
      <w:r w:rsidRPr="00CE7679">
        <w:rPr>
          <w:rFonts w:ascii="Times New Roman" w:eastAsia="SymbolMT" w:hAnsi="Times New Roman"/>
          <w:lang w:eastAsia="lt-LT"/>
        </w:rPr>
        <w:t xml:space="preserve"> per parą,</w:t>
      </w:r>
    </w:p>
    <w:p w14:paraId="6AC9E03C" w14:textId="77777777" w:rsidR="00A27597" w:rsidRPr="00CE7679" w:rsidRDefault="00A27597" w:rsidP="00A27597">
      <w:pPr>
        <w:pStyle w:val="Sraopastraipa"/>
        <w:numPr>
          <w:ilvl w:val="0"/>
          <w:numId w:val="49"/>
        </w:numPr>
        <w:autoSpaceDE w:val="0"/>
        <w:autoSpaceDN w:val="0"/>
        <w:adjustRightInd w:val="0"/>
        <w:spacing w:line="240" w:lineRule="auto"/>
        <w:ind w:left="1276"/>
        <w:rPr>
          <w:rFonts w:ascii="Times New Roman" w:eastAsia="SymbolMT" w:hAnsi="Times New Roman"/>
          <w:highlight w:val="lightGray"/>
          <w:lang w:eastAsia="lt-LT"/>
        </w:rPr>
      </w:pPr>
      <w:r w:rsidRPr="00CE7679">
        <w:rPr>
          <w:rFonts w:ascii="Times New Roman" w:eastAsia="SymbolMT" w:hAnsi="Times New Roman"/>
          <w:highlight w:val="lightGray"/>
          <w:lang w:eastAsia="lt-LT"/>
        </w:rPr>
        <w:t>400</w:t>
      </w:r>
      <w:r w:rsidR="00EF69C8" w:rsidRPr="00CE7679">
        <w:rPr>
          <w:rFonts w:ascii="Times New Roman" w:eastAsia="SymbolMT" w:hAnsi="Times New Roman"/>
          <w:highlight w:val="lightGray"/>
          <w:lang w:eastAsia="lt-LT"/>
        </w:rPr>
        <w:t> </w:t>
      </w:r>
      <w:r w:rsidRPr="00CE7679">
        <w:rPr>
          <w:rFonts w:ascii="Times New Roman" w:eastAsia="SymbolMT" w:hAnsi="Times New Roman"/>
          <w:highlight w:val="lightGray"/>
          <w:lang w:eastAsia="lt-LT"/>
        </w:rPr>
        <w:t>mg, vartojant po 1</w:t>
      </w:r>
      <w:r w:rsidR="00EF69C8" w:rsidRPr="00CE7679">
        <w:rPr>
          <w:rFonts w:ascii="Times New Roman" w:eastAsia="SymbolMT" w:hAnsi="Times New Roman"/>
          <w:highlight w:val="lightGray"/>
          <w:lang w:eastAsia="lt-LT"/>
        </w:rPr>
        <w:t> </w:t>
      </w:r>
      <w:r w:rsidRPr="00CE7679">
        <w:rPr>
          <w:rFonts w:ascii="Times New Roman" w:eastAsia="SymbolMT" w:hAnsi="Times New Roman"/>
          <w:highlight w:val="lightGray"/>
          <w:lang w:eastAsia="lt-LT"/>
        </w:rPr>
        <w:t xml:space="preserve">tabletę </w:t>
      </w:r>
      <w:r w:rsidRPr="00CE7679">
        <w:rPr>
          <w:rFonts w:ascii="Times New Roman" w:eastAsia="SymbolMT" w:hAnsi="Times New Roman"/>
          <w:b/>
          <w:highlight w:val="lightGray"/>
          <w:lang w:eastAsia="lt-LT"/>
        </w:rPr>
        <w:t>vieną kartą</w:t>
      </w:r>
      <w:r w:rsidRPr="00CE7679">
        <w:rPr>
          <w:rFonts w:ascii="Times New Roman" w:eastAsia="SymbolMT" w:hAnsi="Times New Roman"/>
          <w:highlight w:val="lightGray"/>
          <w:lang w:eastAsia="lt-LT"/>
        </w:rPr>
        <w:t xml:space="preserve"> per parą,</w:t>
      </w:r>
    </w:p>
    <w:p w14:paraId="5DAC5562" w14:textId="77777777" w:rsidR="00A27597" w:rsidRPr="00CE7679" w:rsidRDefault="00A27597" w:rsidP="00A27597">
      <w:pPr>
        <w:pStyle w:val="Sraopastraipa"/>
        <w:numPr>
          <w:ilvl w:val="0"/>
          <w:numId w:val="49"/>
        </w:numPr>
        <w:autoSpaceDE w:val="0"/>
        <w:autoSpaceDN w:val="0"/>
        <w:adjustRightInd w:val="0"/>
        <w:spacing w:after="0" w:line="240" w:lineRule="auto"/>
        <w:ind w:left="1276" w:hanging="357"/>
        <w:rPr>
          <w:rFonts w:ascii="Times New Roman" w:eastAsia="SymbolMT" w:hAnsi="Times New Roman"/>
          <w:lang w:eastAsia="lt-LT"/>
        </w:rPr>
      </w:pPr>
      <w:r w:rsidRPr="00CE7679">
        <w:rPr>
          <w:rFonts w:ascii="Times New Roman" w:eastAsia="SymbolMT" w:hAnsi="Times New Roman"/>
          <w:highlight w:val="lightGray"/>
          <w:lang w:eastAsia="lt-LT"/>
        </w:rPr>
        <w:t>600</w:t>
      </w:r>
      <w:r w:rsidR="00EF69C8" w:rsidRPr="00CE7679">
        <w:rPr>
          <w:rFonts w:ascii="Times New Roman" w:eastAsia="SymbolMT" w:hAnsi="Times New Roman"/>
          <w:highlight w:val="lightGray"/>
          <w:lang w:eastAsia="lt-LT"/>
        </w:rPr>
        <w:t> </w:t>
      </w:r>
      <w:r w:rsidRPr="00CE7679">
        <w:rPr>
          <w:rFonts w:ascii="Times New Roman" w:eastAsia="SymbolMT" w:hAnsi="Times New Roman"/>
          <w:highlight w:val="lightGray"/>
          <w:lang w:eastAsia="lt-LT"/>
        </w:rPr>
        <w:t>mg, vartojant vieną 400</w:t>
      </w:r>
      <w:r w:rsidR="00EF69C8" w:rsidRPr="00CE7679">
        <w:rPr>
          <w:rFonts w:ascii="Times New Roman" w:eastAsia="SymbolMT" w:hAnsi="Times New Roman"/>
          <w:highlight w:val="lightGray"/>
          <w:lang w:eastAsia="lt-LT"/>
        </w:rPr>
        <w:t> </w:t>
      </w:r>
      <w:r w:rsidRPr="00CE7679">
        <w:rPr>
          <w:rFonts w:ascii="Times New Roman" w:eastAsia="SymbolMT" w:hAnsi="Times New Roman"/>
          <w:highlight w:val="lightGray"/>
          <w:lang w:eastAsia="lt-LT"/>
        </w:rPr>
        <w:t>mg tabletę kartu su puse 400</w:t>
      </w:r>
      <w:r w:rsidR="00EF69C8" w:rsidRPr="00CE7679">
        <w:rPr>
          <w:rFonts w:ascii="Times New Roman" w:eastAsia="SymbolMT" w:hAnsi="Times New Roman"/>
          <w:highlight w:val="lightGray"/>
          <w:lang w:eastAsia="lt-LT"/>
        </w:rPr>
        <w:t> </w:t>
      </w:r>
      <w:r w:rsidRPr="00CE7679">
        <w:rPr>
          <w:rFonts w:ascii="Times New Roman" w:eastAsia="SymbolMT" w:hAnsi="Times New Roman"/>
          <w:highlight w:val="lightGray"/>
          <w:lang w:eastAsia="lt-LT"/>
        </w:rPr>
        <w:t>mg tabletės (arba dviem 100</w:t>
      </w:r>
      <w:r w:rsidR="00EF69C8" w:rsidRPr="00CE7679">
        <w:rPr>
          <w:rFonts w:ascii="Times New Roman" w:eastAsia="SymbolMT" w:hAnsi="Times New Roman"/>
          <w:highlight w:val="lightGray"/>
          <w:lang w:eastAsia="lt-LT"/>
        </w:rPr>
        <w:t> </w:t>
      </w:r>
      <w:r w:rsidRPr="00CE7679">
        <w:rPr>
          <w:rFonts w:ascii="Times New Roman" w:eastAsia="SymbolMT" w:hAnsi="Times New Roman"/>
          <w:highlight w:val="lightGray"/>
          <w:lang w:eastAsia="lt-LT"/>
        </w:rPr>
        <w:t xml:space="preserve">mg tabletėmis) </w:t>
      </w:r>
      <w:r w:rsidRPr="00CE7679">
        <w:rPr>
          <w:rFonts w:ascii="Times New Roman" w:eastAsia="SymbolMT" w:hAnsi="Times New Roman"/>
          <w:b/>
          <w:highlight w:val="lightGray"/>
          <w:lang w:eastAsia="lt-LT"/>
        </w:rPr>
        <w:t>vieną kartą</w:t>
      </w:r>
      <w:r w:rsidRPr="00CE7679">
        <w:rPr>
          <w:rFonts w:ascii="Times New Roman" w:eastAsia="SymbolMT" w:hAnsi="Times New Roman"/>
          <w:highlight w:val="lightGray"/>
          <w:lang w:eastAsia="lt-LT"/>
        </w:rPr>
        <w:t xml:space="preserve"> per parą</w:t>
      </w:r>
      <w:r w:rsidRPr="00CE7679">
        <w:rPr>
          <w:rFonts w:ascii="Times New Roman" w:eastAsia="SymbolMT" w:hAnsi="Times New Roman"/>
          <w:lang w:eastAsia="lt-LT"/>
        </w:rPr>
        <w:t>.</w:t>
      </w:r>
    </w:p>
    <w:p w14:paraId="3754668C" w14:textId="77777777" w:rsidR="00A27597" w:rsidRDefault="00A27597" w:rsidP="00A27597">
      <w:pPr>
        <w:tabs>
          <w:tab w:val="clear" w:pos="567"/>
        </w:tabs>
        <w:autoSpaceDE w:val="0"/>
        <w:autoSpaceDN w:val="0"/>
        <w:adjustRightInd w:val="0"/>
        <w:spacing w:line="240" w:lineRule="auto"/>
        <w:rPr>
          <w:rFonts w:eastAsia="SymbolMT"/>
          <w:snapToGrid/>
          <w:szCs w:val="22"/>
          <w:lang w:eastAsia="lt-LT"/>
        </w:rPr>
      </w:pPr>
    </w:p>
    <w:p w14:paraId="3BEEC973" w14:textId="77777777" w:rsidR="00974252" w:rsidRPr="00CE7679" w:rsidRDefault="00974252" w:rsidP="00974252">
      <w:pPr>
        <w:numPr>
          <w:ilvl w:val="0"/>
          <w:numId w:val="44"/>
        </w:numPr>
        <w:tabs>
          <w:tab w:val="clear" w:pos="567"/>
        </w:tabs>
        <w:autoSpaceDE w:val="0"/>
        <w:autoSpaceDN w:val="0"/>
        <w:adjustRightInd w:val="0"/>
        <w:spacing w:line="240" w:lineRule="auto"/>
        <w:ind w:left="540" w:hanging="540"/>
        <w:rPr>
          <w:rFonts w:eastAsia="SymbolMT"/>
          <w:b/>
          <w:bCs/>
          <w:snapToGrid/>
          <w:szCs w:val="22"/>
          <w:lang w:eastAsia="lt-LT"/>
        </w:rPr>
      </w:pPr>
      <w:r w:rsidRPr="00CE7679">
        <w:rPr>
          <w:rFonts w:eastAsia="SymbolMT"/>
          <w:b/>
          <w:bCs/>
          <w:snapToGrid/>
          <w:szCs w:val="22"/>
          <w:lang w:eastAsia="lt-LT"/>
        </w:rPr>
        <w:lastRenderedPageBreak/>
        <w:t xml:space="preserve">Jeigu esate gydomas nuo </w:t>
      </w:r>
      <w:r>
        <w:rPr>
          <w:rFonts w:eastAsia="SymbolMT"/>
          <w:b/>
          <w:bCs/>
          <w:snapToGrid/>
          <w:szCs w:val="22"/>
          <w:lang w:eastAsia="lt-LT"/>
        </w:rPr>
        <w:t>VTSN</w:t>
      </w:r>
      <w:r w:rsidRPr="00CE7679">
        <w:rPr>
          <w:rFonts w:eastAsia="SymbolMT"/>
          <w:b/>
          <w:bCs/>
          <w:snapToGrid/>
          <w:szCs w:val="22"/>
          <w:lang w:eastAsia="lt-LT"/>
        </w:rPr>
        <w:t>:</w:t>
      </w:r>
    </w:p>
    <w:p w14:paraId="52B30A48" w14:textId="77777777" w:rsidR="00974252" w:rsidRDefault="00974252" w:rsidP="00974252">
      <w:pPr>
        <w:tabs>
          <w:tab w:val="clear" w:pos="567"/>
        </w:tabs>
        <w:autoSpaceDE w:val="0"/>
        <w:autoSpaceDN w:val="0"/>
        <w:adjustRightInd w:val="0"/>
        <w:spacing w:line="240" w:lineRule="auto"/>
        <w:ind w:left="567"/>
        <w:rPr>
          <w:rFonts w:eastAsia="SymbolMT"/>
          <w:lang w:eastAsia="lt-LT"/>
        </w:rPr>
      </w:pPr>
      <w:r>
        <w:rPr>
          <w:rFonts w:eastAsia="SymbolMT"/>
          <w:snapToGrid/>
          <w:szCs w:val="22"/>
          <w:lang w:eastAsia="lt-LT"/>
        </w:rPr>
        <w:t>P</w:t>
      </w:r>
      <w:r w:rsidRPr="00CE7679">
        <w:rPr>
          <w:rFonts w:eastAsia="SymbolMT"/>
          <w:snapToGrid/>
          <w:szCs w:val="22"/>
          <w:lang w:eastAsia="lt-LT"/>
        </w:rPr>
        <w:t xml:space="preserve">radinė dozė yra </w:t>
      </w:r>
      <w:r w:rsidRPr="00CE7679">
        <w:rPr>
          <w:rFonts w:eastAsia="SymbolMT"/>
          <w:lang w:eastAsia="lt-LT"/>
        </w:rPr>
        <w:t xml:space="preserve">400 mg, vartojant 4 tabletes </w:t>
      </w:r>
      <w:r w:rsidRPr="00CE7679">
        <w:rPr>
          <w:rFonts w:eastAsia="SymbolMT"/>
          <w:b/>
          <w:lang w:eastAsia="lt-LT"/>
        </w:rPr>
        <w:t>vieną kartą</w:t>
      </w:r>
      <w:r w:rsidRPr="00CE7679">
        <w:rPr>
          <w:rFonts w:eastAsia="SymbolMT"/>
          <w:lang w:eastAsia="lt-LT"/>
        </w:rPr>
        <w:t xml:space="preserve"> per parą</w:t>
      </w:r>
    </w:p>
    <w:p w14:paraId="399E4D44" w14:textId="77777777" w:rsidR="00974252" w:rsidRPr="00CE7679" w:rsidRDefault="00974252" w:rsidP="00974252">
      <w:pPr>
        <w:tabs>
          <w:tab w:val="clear" w:pos="567"/>
        </w:tabs>
        <w:autoSpaceDE w:val="0"/>
        <w:autoSpaceDN w:val="0"/>
        <w:adjustRightInd w:val="0"/>
        <w:spacing w:line="240" w:lineRule="auto"/>
        <w:ind w:left="567"/>
        <w:rPr>
          <w:rFonts w:eastAsia="SymbolMT"/>
          <w:lang w:eastAsia="lt-LT"/>
        </w:rPr>
      </w:pPr>
      <w:r w:rsidRPr="007541DA">
        <w:rPr>
          <w:rFonts w:eastAsia="SymbolMT"/>
          <w:snapToGrid/>
          <w:szCs w:val="22"/>
          <w:highlight w:val="lightGray"/>
          <w:lang w:eastAsia="lt-LT"/>
        </w:rPr>
        <w:t xml:space="preserve">Pradinė dozė yra </w:t>
      </w:r>
      <w:r w:rsidRPr="007541DA">
        <w:rPr>
          <w:rFonts w:eastAsia="SymbolMT"/>
          <w:highlight w:val="lightGray"/>
          <w:lang w:eastAsia="lt-LT"/>
        </w:rPr>
        <w:t xml:space="preserve">400 mg, vartojant vieną tabletę </w:t>
      </w:r>
      <w:r w:rsidRPr="007541DA">
        <w:rPr>
          <w:rFonts w:eastAsia="SymbolMT"/>
          <w:b/>
          <w:highlight w:val="lightGray"/>
          <w:lang w:eastAsia="lt-LT"/>
        </w:rPr>
        <w:t>vieną kartą</w:t>
      </w:r>
      <w:r w:rsidRPr="007541DA">
        <w:rPr>
          <w:rFonts w:eastAsia="SymbolMT"/>
          <w:highlight w:val="lightGray"/>
          <w:lang w:eastAsia="lt-LT"/>
        </w:rPr>
        <w:t xml:space="preserve"> per parą,</w:t>
      </w:r>
    </w:p>
    <w:p w14:paraId="0906ECC5" w14:textId="77777777" w:rsidR="00974252" w:rsidRPr="00CE7679" w:rsidRDefault="00974252" w:rsidP="00A27597">
      <w:pPr>
        <w:tabs>
          <w:tab w:val="clear" w:pos="567"/>
        </w:tabs>
        <w:autoSpaceDE w:val="0"/>
        <w:autoSpaceDN w:val="0"/>
        <w:adjustRightInd w:val="0"/>
        <w:spacing w:line="240" w:lineRule="auto"/>
        <w:rPr>
          <w:rFonts w:eastAsia="SymbolMT"/>
          <w:snapToGrid/>
          <w:szCs w:val="22"/>
          <w:lang w:eastAsia="lt-LT"/>
        </w:rPr>
      </w:pPr>
    </w:p>
    <w:p w14:paraId="69B5E47B" w14:textId="77777777" w:rsidR="00A27597" w:rsidRPr="00CE7679" w:rsidRDefault="00974252" w:rsidP="00A27597">
      <w:pPr>
        <w:tabs>
          <w:tab w:val="clear" w:pos="567"/>
        </w:tabs>
        <w:autoSpaceDE w:val="0"/>
        <w:autoSpaceDN w:val="0"/>
        <w:adjustRightInd w:val="0"/>
        <w:spacing w:line="240" w:lineRule="auto"/>
        <w:rPr>
          <w:rFonts w:eastAsia="SymbolMT"/>
          <w:snapToGrid/>
          <w:szCs w:val="22"/>
          <w:lang w:eastAsia="lt-LT"/>
        </w:rPr>
      </w:pPr>
      <w:r>
        <w:rPr>
          <w:rFonts w:eastAsia="SymbolMT"/>
          <w:snapToGrid/>
          <w:szCs w:val="22"/>
          <w:lang w:eastAsia="lt-LT"/>
        </w:rPr>
        <w:t xml:space="preserve">Nuo CML ir VTSN </w:t>
      </w:r>
      <w:r w:rsidR="00A27597" w:rsidRPr="00CE7679">
        <w:rPr>
          <w:rFonts w:eastAsia="SymbolMT"/>
          <w:snapToGrid/>
          <w:szCs w:val="22"/>
          <w:lang w:eastAsia="lt-LT"/>
        </w:rPr>
        <w:t>J</w:t>
      </w:r>
      <w:r w:rsidR="00A27597" w:rsidRPr="00CE7679">
        <w:rPr>
          <w:rFonts w:eastAsia="TimesNewRomanPSMT"/>
          <w:snapToGrid/>
          <w:szCs w:val="22"/>
          <w:lang w:eastAsia="lt-LT"/>
        </w:rPr>
        <w:t>ū</w:t>
      </w:r>
      <w:r w:rsidR="00A27597" w:rsidRPr="00CE7679">
        <w:rPr>
          <w:rFonts w:eastAsia="SymbolMT"/>
          <w:snapToGrid/>
          <w:szCs w:val="22"/>
          <w:lang w:eastAsia="lt-LT"/>
        </w:rPr>
        <w:t>s</w:t>
      </w:r>
      <w:r w:rsidR="00A27597" w:rsidRPr="00CE7679">
        <w:rPr>
          <w:rFonts w:eastAsia="TimesNewRomanPSMT"/>
          <w:snapToGrid/>
          <w:szCs w:val="22"/>
          <w:lang w:eastAsia="lt-LT"/>
        </w:rPr>
        <w:t xml:space="preserve">ų </w:t>
      </w:r>
      <w:r w:rsidR="00A27597" w:rsidRPr="00CE7679">
        <w:rPr>
          <w:rFonts w:eastAsia="SymbolMT"/>
          <w:snapToGrid/>
          <w:szCs w:val="22"/>
          <w:lang w:eastAsia="lt-LT"/>
        </w:rPr>
        <w:t>gydytojas gali skirti didesn</w:t>
      </w:r>
      <w:r w:rsidR="00A27597" w:rsidRPr="00CE7679">
        <w:rPr>
          <w:rFonts w:eastAsia="TimesNewRomanPSMT"/>
          <w:snapToGrid/>
          <w:szCs w:val="22"/>
          <w:lang w:eastAsia="lt-LT"/>
        </w:rPr>
        <w:t xml:space="preserve">ę </w:t>
      </w:r>
      <w:r w:rsidR="00A27597" w:rsidRPr="00CE7679">
        <w:rPr>
          <w:rFonts w:eastAsia="SymbolMT"/>
          <w:snapToGrid/>
          <w:szCs w:val="22"/>
          <w:lang w:eastAsia="lt-LT"/>
        </w:rPr>
        <w:t>ar mažesn</w:t>
      </w:r>
      <w:r w:rsidR="00A27597" w:rsidRPr="00CE7679">
        <w:rPr>
          <w:rFonts w:eastAsia="TimesNewRomanPSMT"/>
          <w:snapToGrid/>
          <w:szCs w:val="22"/>
          <w:lang w:eastAsia="lt-LT"/>
        </w:rPr>
        <w:t xml:space="preserve">ę </w:t>
      </w:r>
      <w:r w:rsidR="00A27597" w:rsidRPr="00CE7679">
        <w:rPr>
          <w:rFonts w:eastAsia="SymbolMT"/>
          <w:snapToGrid/>
          <w:szCs w:val="22"/>
          <w:lang w:eastAsia="lt-LT"/>
        </w:rPr>
        <w:t>doz</w:t>
      </w:r>
      <w:r w:rsidR="00A27597" w:rsidRPr="00CE7679">
        <w:rPr>
          <w:rFonts w:eastAsia="TimesNewRomanPSMT"/>
          <w:snapToGrid/>
          <w:szCs w:val="22"/>
          <w:lang w:eastAsia="lt-LT"/>
        </w:rPr>
        <w:t xml:space="preserve">ę </w:t>
      </w:r>
      <w:r w:rsidR="00A27597" w:rsidRPr="00CE7679">
        <w:rPr>
          <w:rFonts w:eastAsia="SymbolMT"/>
          <w:snapToGrid/>
          <w:szCs w:val="22"/>
          <w:lang w:eastAsia="lt-LT"/>
        </w:rPr>
        <w:t>priklausomai nuo J</w:t>
      </w:r>
      <w:r w:rsidR="00A27597" w:rsidRPr="00CE7679">
        <w:rPr>
          <w:rFonts w:eastAsia="TimesNewRomanPSMT"/>
          <w:snapToGrid/>
          <w:szCs w:val="22"/>
          <w:lang w:eastAsia="lt-LT"/>
        </w:rPr>
        <w:t>ū</w:t>
      </w:r>
      <w:r w:rsidR="00A27597" w:rsidRPr="00CE7679">
        <w:rPr>
          <w:rFonts w:eastAsia="SymbolMT"/>
          <w:snapToGrid/>
          <w:szCs w:val="22"/>
          <w:lang w:eastAsia="lt-LT"/>
        </w:rPr>
        <w:t>s</w:t>
      </w:r>
      <w:r w:rsidR="00A27597" w:rsidRPr="00CE7679">
        <w:rPr>
          <w:rFonts w:eastAsia="TimesNewRomanPSMT"/>
          <w:snapToGrid/>
          <w:szCs w:val="22"/>
          <w:lang w:eastAsia="lt-LT"/>
        </w:rPr>
        <w:t xml:space="preserve">ų </w:t>
      </w:r>
      <w:r w:rsidR="00A27597" w:rsidRPr="00CE7679">
        <w:rPr>
          <w:rFonts w:eastAsia="SymbolMT"/>
          <w:snapToGrid/>
          <w:szCs w:val="22"/>
          <w:lang w:eastAsia="lt-LT"/>
        </w:rPr>
        <w:t xml:space="preserve">atsako </w:t>
      </w:r>
      <w:r w:rsidR="00A27597" w:rsidRPr="00CE7679">
        <w:rPr>
          <w:rFonts w:eastAsia="TimesNewRomanPSMT"/>
          <w:snapToGrid/>
          <w:szCs w:val="22"/>
          <w:lang w:eastAsia="lt-LT"/>
        </w:rPr>
        <w:t xml:space="preserve">į </w:t>
      </w:r>
      <w:r w:rsidR="00A27597" w:rsidRPr="00CE7679">
        <w:rPr>
          <w:rFonts w:eastAsia="SymbolMT"/>
          <w:snapToGrid/>
          <w:szCs w:val="22"/>
          <w:lang w:eastAsia="lt-LT"/>
        </w:rPr>
        <w:t>gydym</w:t>
      </w:r>
      <w:r w:rsidR="00A27597" w:rsidRPr="00CE7679">
        <w:rPr>
          <w:rFonts w:eastAsia="TimesNewRomanPSMT"/>
          <w:snapToGrid/>
          <w:szCs w:val="22"/>
          <w:lang w:eastAsia="lt-LT"/>
        </w:rPr>
        <w:t>ą</w:t>
      </w:r>
      <w:r w:rsidR="00A27597" w:rsidRPr="00CE7679">
        <w:rPr>
          <w:rFonts w:eastAsia="SymbolMT"/>
          <w:snapToGrid/>
          <w:szCs w:val="22"/>
          <w:lang w:eastAsia="lt-LT"/>
        </w:rPr>
        <w:t>. Jeigu J</w:t>
      </w:r>
      <w:r w:rsidR="00A27597" w:rsidRPr="00CE7679">
        <w:rPr>
          <w:rFonts w:eastAsia="TimesNewRomanPSMT"/>
          <w:snapToGrid/>
          <w:szCs w:val="22"/>
          <w:lang w:eastAsia="lt-LT"/>
        </w:rPr>
        <w:t>ū</w:t>
      </w:r>
      <w:r w:rsidR="00A27597" w:rsidRPr="00CE7679">
        <w:rPr>
          <w:rFonts w:eastAsia="SymbolMT"/>
          <w:snapToGrid/>
          <w:szCs w:val="22"/>
          <w:lang w:eastAsia="lt-LT"/>
        </w:rPr>
        <w:t>s</w:t>
      </w:r>
      <w:r w:rsidR="00A27597" w:rsidRPr="00CE7679">
        <w:rPr>
          <w:rFonts w:eastAsia="TimesNewRomanPSMT"/>
          <w:snapToGrid/>
          <w:szCs w:val="22"/>
          <w:lang w:eastAsia="lt-LT"/>
        </w:rPr>
        <w:t xml:space="preserve">ų </w:t>
      </w:r>
      <w:r w:rsidR="00A27597" w:rsidRPr="00CE7679">
        <w:rPr>
          <w:rFonts w:eastAsia="SymbolMT"/>
          <w:snapToGrid/>
          <w:szCs w:val="22"/>
          <w:lang w:eastAsia="lt-LT"/>
        </w:rPr>
        <w:t>paros doz</w:t>
      </w:r>
      <w:r w:rsidR="00A27597" w:rsidRPr="00CE7679">
        <w:rPr>
          <w:rFonts w:eastAsia="TimesNewRomanPSMT"/>
          <w:snapToGrid/>
          <w:szCs w:val="22"/>
          <w:lang w:eastAsia="lt-LT"/>
        </w:rPr>
        <w:t xml:space="preserve">ė </w:t>
      </w:r>
      <w:r w:rsidR="00A27597" w:rsidRPr="00CE7679">
        <w:rPr>
          <w:rFonts w:eastAsia="SymbolMT"/>
          <w:snapToGrid/>
          <w:szCs w:val="22"/>
          <w:lang w:eastAsia="lt-LT"/>
        </w:rPr>
        <w:t>yra 800</w:t>
      </w:r>
      <w:r w:rsidR="00EF69C8" w:rsidRPr="00CE7679">
        <w:rPr>
          <w:rFonts w:eastAsia="SymbolMT"/>
          <w:snapToGrid/>
          <w:szCs w:val="22"/>
          <w:lang w:eastAsia="lt-LT"/>
        </w:rPr>
        <w:t> </w:t>
      </w:r>
      <w:r w:rsidR="00A27597" w:rsidRPr="00CE7679">
        <w:rPr>
          <w:rFonts w:eastAsia="SymbolMT"/>
          <w:snapToGrid/>
          <w:szCs w:val="22"/>
          <w:lang w:eastAsia="lt-LT"/>
        </w:rPr>
        <w:t>mg (8</w:t>
      </w:r>
      <w:r w:rsidR="00EF69C8" w:rsidRPr="00CE7679">
        <w:rPr>
          <w:rFonts w:eastAsia="SymbolMT"/>
          <w:snapToGrid/>
          <w:szCs w:val="22"/>
          <w:lang w:eastAsia="lt-LT"/>
        </w:rPr>
        <w:t> </w:t>
      </w:r>
      <w:r w:rsidR="00A27597" w:rsidRPr="00CE7679">
        <w:rPr>
          <w:rFonts w:eastAsia="SymbolMT"/>
          <w:snapToGrid/>
          <w:szCs w:val="22"/>
          <w:lang w:eastAsia="lt-LT"/>
        </w:rPr>
        <w:t>tabletės), turite gerti 4</w:t>
      </w:r>
      <w:r w:rsidR="00EF69C8" w:rsidRPr="00CE7679">
        <w:rPr>
          <w:rFonts w:eastAsia="SymbolMT"/>
          <w:snapToGrid/>
          <w:szCs w:val="22"/>
          <w:lang w:eastAsia="lt-LT"/>
        </w:rPr>
        <w:t> </w:t>
      </w:r>
      <w:r w:rsidR="00A27597" w:rsidRPr="00CE7679">
        <w:rPr>
          <w:rFonts w:eastAsia="SymbolMT"/>
          <w:snapToGrid/>
          <w:szCs w:val="22"/>
          <w:lang w:eastAsia="lt-LT"/>
        </w:rPr>
        <w:t>tabletes iš ryto ir 4</w:t>
      </w:r>
      <w:r w:rsidR="00EF69C8" w:rsidRPr="00CE7679">
        <w:rPr>
          <w:rFonts w:eastAsia="SymbolMT"/>
          <w:snapToGrid/>
          <w:szCs w:val="22"/>
          <w:lang w:eastAsia="lt-LT"/>
        </w:rPr>
        <w:t> </w:t>
      </w:r>
      <w:r w:rsidR="00A27597" w:rsidRPr="00CE7679">
        <w:rPr>
          <w:rFonts w:eastAsia="SymbolMT"/>
          <w:snapToGrid/>
          <w:szCs w:val="22"/>
          <w:lang w:eastAsia="lt-LT"/>
        </w:rPr>
        <w:t>tabletes</w:t>
      </w:r>
      <w:r w:rsidR="00A27597" w:rsidRPr="00CE7679">
        <w:rPr>
          <w:rFonts w:eastAsia="TimesNewRomanPSMT"/>
          <w:snapToGrid/>
          <w:szCs w:val="22"/>
          <w:lang w:eastAsia="lt-LT"/>
        </w:rPr>
        <w:t xml:space="preserve"> </w:t>
      </w:r>
      <w:r w:rsidR="00A27597" w:rsidRPr="00CE7679">
        <w:rPr>
          <w:rFonts w:eastAsia="SymbolMT"/>
          <w:snapToGrid/>
          <w:szCs w:val="22"/>
          <w:lang w:eastAsia="lt-LT"/>
        </w:rPr>
        <w:t>vakare.</w:t>
      </w:r>
    </w:p>
    <w:p w14:paraId="020B3541" w14:textId="77777777" w:rsidR="00A27597" w:rsidRPr="00CE7679" w:rsidRDefault="00A27597" w:rsidP="00A27597">
      <w:pPr>
        <w:tabs>
          <w:tab w:val="clear" w:pos="567"/>
        </w:tabs>
        <w:autoSpaceDE w:val="0"/>
        <w:autoSpaceDN w:val="0"/>
        <w:adjustRightInd w:val="0"/>
        <w:spacing w:line="240" w:lineRule="auto"/>
        <w:rPr>
          <w:rFonts w:eastAsia="SymbolMT"/>
          <w:snapToGrid/>
          <w:szCs w:val="22"/>
          <w:lang w:eastAsia="lt-LT"/>
        </w:rPr>
      </w:pPr>
      <w:r w:rsidRPr="00CE7679">
        <w:rPr>
          <w:rFonts w:eastAsia="SymbolMT"/>
          <w:snapToGrid/>
          <w:szCs w:val="22"/>
          <w:highlight w:val="lightGray"/>
          <w:lang w:eastAsia="lt-LT"/>
        </w:rPr>
        <w:t>Jeigu J</w:t>
      </w:r>
      <w:r w:rsidRPr="00CE7679">
        <w:rPr>
          <w:rFonts w:eastAsia="TimesNewRomanPSMT"/>
          <w:snapToGrid/>
          <w:szCs w:val="22"/>
          <w:highlight w:val="lightGray"/>
          <w:lang w:eastAsia="lt-LT"/>
        </w:rPr>
        <w:t>ū</w:t>
      </w:r>
      <w:r w:rsidRPr="00CE7679">
        <w:rPr>
          <w:rFonts w:eastAsia="SymbolMT"/>
          <w:snapToGrid/>
          <w:szCs w:val="22"/>
          <w:highlight w:val="lightGray"/>
          <w:lang w:eastAsia="lt-LT"/>
        </w:rPr>
        <w:t>s</w:t>
      </w:r>
      <w:r w:rsidRPr="00CE7679">
        <w:rPr>
          <w:rFonts w:eastAsia="TimesNewRomanPSMT"/>
          <w:snapToGrid/>
          <w:szCs w:val="22"/>
          <w:highlight w:val="lightGray"/>
          <w:lang w:eastAsia="lt-LT"/>
        </w:rPr>
        <w:t xml:space="preserve">ų </w:t>
      </w:r>
      <w:r w:rsidRPr="00CE7679">
        <w:rPr>
          <w:rFonts w:eastAsia="SymbolMT"/>
          <w:snapToGrid/>
          <w:szCs w:val="22"/>
          <w:highlight w:val="lightGray"/>
          <w:lang w:eastAsia="lt-LT"/>
        </w:rPr>
        <w:t>paros doz</w:t>
      </w:r>
      <w:r w:rsidRPr="00CE7679">
        <w:rPr>
          <w:rFonts w:eastAsia="TimesNewRomanPSMT"/>
          <w:snapToGrid/>
          <w:szCs w:val="22"/>
          <w:highlight w:val="lightGray"/>
          <w:lang w:eastAsia="lt-LT"/>
        </w:rPr>
        <w:t xml:space="preserve">ė </w:t>
      </w:r>
      <w:r w:rsidRPr="00CE7679">
        <w:rPr>
          <w:rFonts w:eastAsia="SymbolMT"/>
          <w:snapToGrid/>
          <w:szCs w:val="22"/>
          <w:highlight w:val="lightGray"/>
          <w:lang w:eastAsia="lt-LT"/>
        </w:rPr>
        <w:t>yra 800</w:t>
      </w:r>
      <w:r w:rsidR="00EF69C8" w:rsidRPr="00CE7679">
        <w:rPr>
          <w:rFonts w:eastAsia="SymbolMT"/>
          <w:snapToGrid/>
          <w:szCs w:val="22"/>
          <w:highlight w:val="lightGray"/>
          <w:lang w:eastAsia="lt-LT"/>
        </w:rPr>
        <w:t> </w:t>
      </w:r>
      <w:r w:rsidRPr="00CE7679">
        <w:rPr>
          <w:rFonts w:eastAsia="SymbolMT"/>
          <w:snapToGrid/>
          <w:szCs w:val="22"/>
          <w:highlight w:val="lightGray"/>
          <w:lang w:eastAsia="lt-LT"/>
        </w:rPr>
        <w:t>mg (2</w:t>
      </w:r>
      <w:r w:rsidR="00EF69C8" w:rsidRPr="00CE7679">
        <w:rPr>
          <w:rFonts w:eastAsia="SymbolMT"/>
          <w:snapToGrid/>
          <w:szCs w:val="22"/>
          <w:highlight w:val="lightGray"/>
          <w:lang w:eastAsia="lt-LT"/>
        </w:rPr>
        <w:t> </w:t>
      </w:r>
      <w:r w:rsidRPr="00CE7679">
        <w:rPr>
          <w:rFonts w:eastAsia="SymbolMT"/>
          <w:snapToGrid/>
          <w:szCs w:val="22"/>
          <w:highlight w:val="lightGray"/>
          <w:lang w:eastAsia="lt-LT"/>
        </w:rPr>
        <w:t>tabletės), turite gerti 1</w:t>
      </w:r>
      <w:r w:rsidR="00EF69C8" w:rsidRPr="00CE7679">
        <w:rPr>
          <w:rFonts w:eastAsia="SymbolMT"/>
          <w:snapToGrid/>
          <w:szCs w:val="22"/>
          <w:highlight w:val="lightGray"/>
          <w:lang w:eastAsia="lt-LT"/>
        </w:rPr>
        <w:t> </w:t>
      </w:r>
      <w:r w:rsidRPr="00CE7679">
        <w:rPr>
          <w:rFonts w:eastAsia="SymbolMT"/>
          <w:snapToGrid/>
          <w:szCs w:val="22"/>
          <w:highlight w:val="lightGray"/>
          <w:lang w:eastAsia="lt-LT"/>
        </w:rPr>
        <w:t>tabletę iš ryto ir 1</w:t>
      </w:r>
      <w:r w:rsidR="00EF69C8" w:rsidRPr="00CE7679">
        <w:rPr>
          <w:rFonts w:eastAsia="SymbolMT"/>
          <w:snapToGrid/>
          <w:szCs w:val="22"/>
          <w:highlight w:val="lightGray"/>
          <w:lang w:eastAsia="lt-LT"/>
        </w:rPr>
        <w:t> </w:t>
      </w:r>
      <w:r w:rsidRPr="00CE7679">
        <w:rPr>
          <w:rFonts w:eastAsia="SymbolMT"/>
          <w:snapToGrid/>
          <w:szCs w:val="22"/>
          <w:highlight w:val="lightGray"/>
          <w:lang w:eastAsia="lt-LT"/>
        </w:rPr>
        <w:t>tabletę</w:t>
      </w:r>
      <w:r w:rsidRPr="00CE7679">
        <w:rPr>
          <w:rFonts w:eastAsia="TimesNewRomanPSMT"/>
          <w:snapToGrid/>
          <w:szCs w:val="22"/>
          <w:highlight w:val="lightGray"/>
          <w:lang w:eastAsia="lt-LT"/>
        </w:rPr>
        <w:t xml:space="preserve"> </w:t>
      </w:r>
      <w:r w:rsidRPr="00CE7679">
        <w:rPr>
          <w:rFonts w:eastAsia="SymbolMT"/>
          <w:snapToGrid/>
          <w:szCs w:val="22"/>
          <w:highlight w:val="lightGray"/>
          <w:lang w:eastAsia="lt-LT"/>
        </w:rPr>
        <w:t>vakare.</w:t>
      </w:r>
    </w:p>
    <w:p w14:paraId="0306A7AE" w14:textId="77777777" w:rsidR="00A27597" w:rsidRPr="00CE7679" w:rsidRDefault="00A27597" w:rsidP="00A27597">
      <w:pPr>
        <w:tabs>
          <w:tab w:val="clear" w:pos="567"/>
        </w:tabs>
        <w:autoSpaceDE w:val="0"/>
        <w:autoSpaceDN w:val="0"/>
        <w:adjustRightInd w:val="0"/>
        <w:spacing w:line="240" w:lineRule="auto"/>
        <w:rPr>
          <w:rFonts w:eastAsia="SymbolMT"/>
          <w:snapToGrid/>
          <w:szCs w:val="22"/>
          <w:lang w:eastAsia="lt-LT"/>
        </w:rPr>
      </w:pPr>
    </w:p>
    <w:p w14:paraId="315B6002" w14:textId="77777777" w:rsidR="00A27597" w:rsidRPr="00CE7679" w:rsidRDefault="00A27597" w:rsidP="00A27597">
      <w:pPr>
        <w:numPr>
          <w:ilvl w:val="0"/>
          <w:numId w:val="44"/>
        </w:numPr>
        <w:tabs>
          <w:tab w:val="clear" w:pos="567"/>
        </w:tabs>
        <w:autoSpaceDE w:val="0"/>
        <w:autoSpaceDN w:val="0"/>
        <w:adjustRightInd w:val="0"/>
        <w:spacing w:line="240" w:lineRule="auto"/>
        <w:ind w:left="567" w:hanging="567"/>
        <w:rPr>
          <w:rFonts w:eastAsia="SymbolMT"/>
          <w:snapToGrid/>
          <w:szCs w:val="22"/>
          <w:lang w:eastAsia="lt-LT"/>
        </w:rPr>
      </w:pPr>
      <w:r w:rsidRPr="00CE7679">
        <w:rPr>
          <w:rFonts w:eastAsia="SymbolMT"/>
          <w:b/>
          <w:snapToGrid/>
          <w:szCs w:val="22"/>
          <w:lang w:eastAsia="lt-LT"/>
        </w:rPr>
        <w:t>J</w:t>
      </w:r>
      <w:r w:rsidRPr="00CE7679">
        <w:rPr>
          <w:rFonts w:eastAsia="SymbolMT"/>
          <w:b/>
          <w:bCs/>
          <w:snapToGrid/>
          <w:szCs w:val="22"/>
          <w:lang w:eastAsia="lt-LT"/>
        </w:rPr>
        <w:t xml:space="preserve">eigu esate gydomas nuo </w:t>
      </w:r>
      <w:proofErr w:type="spellStart"/>
      <w:r w:rsidRPr="00CE7679">
        <w:rPr>
          <w:rFonts w:eastAsia="SymbolMT"/>
          <w:b/>
          <w:bCs/>
          <w:snapToGrid/>
          <w:szCs w:val="22"/>
          <w:lang w:eastAsia="lt-LT"/>
        </w:rPr>
        <w:t>Ph</w:t>
      </w:r>
      <w:proofErr w:type="spellEnd"/>
      <w:r w:rsidRPr="00CE7679">
        <w:rPr>
          <w:rFonts w:eastAsia="SymbolMT"/>
          <w:b/>
          <w:bCs/>
          <w:snapToGrid/>
          <w:szCs w:val="22"/>
          <w:lang w:eastAsia="lt-LT"/>
        </w:rPr>
        <w:t xml:space="preserve"> teigiamos </w:t>
      </w:r>
      <w:r w:rsidRPr="00CE7679">
        <w:rPr>
          <w:rFonts w:eastAsia="TimesNewRomanPS-BoldMT"/>
          <w:b/>
          <w:bCs/>
          <w:snapToGrid/>
          <w:szCs w:val="22"/>
          <w:lang w:eastAsia="lt-LT"/>
        </w:rPr>
        <w:t>Ū</w:t>
      </w:r>
      <w:r w:rsidRPr="00CE7679">
        <w:rPr>
          <w:rFonts w:eastAsia="SymbolMT"/>
          <w:b/>
          <w:bCs/>
          <w:snapToGrid/>
          <w:szCs w:val="22"/>
          <w:lang w:eastAsia="lt-LT"/>
        </w:rPr>
        <w:t>LL:</w:t>
      </w:r>
    </w:p>
    <w:p w14:paraId="197EF422" w14:textId="77777777" w:rsidR="00A27597" w:rsidRPr="00CE7679" w:rsidRDefault="00A27597" w:rsidP="00A27597">
      <w:pPr>
        <w:tabs>
          <w:tab w:val="clear" w:pos="567"/>
        </w:tabs>
        <w:autoSpaceDE w:val="0"/>
        <w:autoSpaceDN w:val="0"/>
        <w:adjustRightInd w:val="0"/>
        <w:spacing w:line="240" w:lineRule="auto"/>
        <w:ind w:left="567"/>
        <w:rPr>
          <w:rFonts w:eastAsia="SymbolMT"/>
          <w:snapToGrid/>
          <w:szCs w:val="22"/>
          <w:lang w:eastAsia="lt-LT"/>
        </w:rPr>
      </w:pPr>
      <w:r w:rsidRPr="00CE7679">
        <w:rPr>
          <w:rFonts w:eastAsia="SymbolMT"/>
          <w:snapToGrid/>
          <w:szCs w:val="22"/>
          <w:lang w:eastAsia="lt-LT"/>
        </w:rPr>
        <w:t>Pradin</w:t>
      </w:r>
      <w:r w:rsidRPr="00CE7679">
        <w:rPr>
          <w:rFonts w:eastAsia="TimesNewRomanPSMT"/>
          <w:snapToGrid/>
          <w:szCs w:val="22"/>
          <w:lang w:eastAsia="lt-LT"/>
        </w:rPr>
        <w:t xml:space="preserve">ė </w:t>
      </w:r>
      <w:r w:rsidRPr="00CE7679">
        <w:rPr>
          <w:rFonts w:eastAsia="SymbolMT"/>
          <w:snapToGrid/>
          <w:szCs w:val="22"/>
          <w:lang w:eastAsia="lt-LT"/>
        </w:rPr>
        <w:t>doz</w:t>
      </w:r>
      <w:r w:rsidRPr="00CE7679">
        <w:rPr>
          <w:rFonts w:eastAsia="TimesNewRomanPSMT"/>
          <w:snapToGrid/>
          <w:szCs w:val="22"/>
          <w:lang w:eastAsia="lt-LT"/>
        </w:rPr>
        <w:t xml:space="preserve">ė </w:t>
      </w:r>
      <w:r w:rsidRPr="00CE7679">
        <w:rPr>
          <w:rFonts w:eastAsia="SymbolMT"/>
          <w:snapToGrid/>
          <w:szCs w:val="22"/>
          <w:lang w:eastAsia="lt-LT"/>
        </w:rPr>
        <w:t>yra 600</w:t>
      </w:r>
      <w:r w:rsidR="00EF69C8" w:rsidRPr="00CE7679">
        <w:rPr>
          <w:rFonts w:eastAsia="SymbolMT"/>
          <w:snapToGrid/>
          <w:szCs w:val="22"/>
          <w:lang w:eastAsia="lt-LT"/>
        </w:rPr>
        <w:t> </w:t>
      </w:r>
      <w:r w:rsidRPr="00CE7679">
        <w:rPr>
          <w:rFonts w:eastAsia="SymbolMT"/>
          <w:snapToGrid/>
          <w:szCs w:val="22"/>
          <w:lang w:eastAsia="lt-LT"/>
        </w:rPr>
        <w:t>mg, vartojant 6</w:t>
      </w:r>
      <w:r w:rsidR="00EF69C8" w:rsidRPr="00CE7679">
        <w:rPr>
          <w:rFonts w:eastAsia="SymbolMT"/>
          <w:snapToGrid/>
          <w:szCs w:val="22"/>
          <w:lang w:eastAsia="lt-LT"/>
        </w:rPr>
        <w:t> </w:t>
      </w:r>
      <w:r w:rsidRPr="00CE7679">
        <w:rPr>
          <w:rFonts w:eastAsia="SymbolMT"/>
          <w:snapToGrid/>
          <w:szCs w:val="22"/>
          <w:lang w:eastAsia="lt-LT"/>
        </w:rPr>
        <w:t xml:space="preserve">tabletes </w:t>
      </w:r>
      <w:r w:rsidRPr="00CE7679">
        <w:rPr>
          <w:rFonts w:eastAsia="SymbolMT"/>
          <w:b/>
          <w:snapToGrid/>
          <w:szCs w:val="22"/>
          <w:lang w:eastAsia="lt-LT"/>
        </w:rPr>
        <w:t>vieną kartą</w:t>
      </w:r>
      <w:r w:rsidRPr="00CE7679">
        <w:rPr>
          <w:rFonts w:eastAsia="SymbolMT"/>
          <w:snapToGrid/>
          <w:szCs w:val="22"/>
          <w:lang w:eastAsia="lt-LT"/>
        </w:rPr>
        <w:t xml:space="preserve"> per parą.</w:t>
      </w:r>
    </w:p>
    <w:p w14:paraId="36686C28" w14:textId="77777777" w:rsidR="00A27597" w:rsidRPr="00CE7679" w:rsidRDefault="00A27597" w:rsidP="00A27597">
      <w:pPr>
        <w:tabs>
          <w:tab w:val="clear" w:pos="567"/>
        </w:tabs>
        <w:autoSpaceDE w:val="0"/>
        <w:autoSpaceDN w:val="0"/>
        <w:adjustRightInd w:val="0"/>
        <w:spacing w:line="240" w:lineRule="auto"/>
        <w:ind w:left="567"/>
        <w:rPr>
          <w:rFonts w:eastAsia="SymbolMT"/>
          <w:snapToGrid/>
          <w:szCs w:val="22"/>
          <w:lang w:eastAsia="lt-LT"/>
        </w:rPr>
      </w:pPr>
      <w:r w:rsidRPr="00CE7679">
        <w:rPr>
          <w:rFonts w:eastAsia="SymbolMT"/>
          <w:snapToGrid/>
          <w:szCs w:val="22"/>
          <w:highlight w:val="lightGray"/>
          <w:lang w:eastAsia="lt-LT"/>
        </w:rPr>
        <w:t>Pradin</w:t>
      </w:r>
      <w:r w:rsidRPr="00CE7679">
        <w:rPr>
          <w:rFonts w:eastAsia="TimesNewRomanPSMT"/>
          <w:snapToGrid/>
          <w:szCs w:val="22"/>
          <w:highlight w:val="lightGray"/>
          <w:lang w:eastAsia="lt-LT"/>
        </w:rPr>
        <w:t xml:space="preserve">ė </w:t>
      </w:r>
      <w:r w:rsidRPr="00CE7679">
        <w:rPr>
          <w:rFonts w:eastAsia="SymbolMT"/>
          <w:snapToGrid/>
          <w:szCs w:val="22"/>
          <w:highlight w:val="lightGray"/>
          <w:lang w:eastAsia="lt-LT"/>
        </w:rPr>
        <w:t>doz</w:t>
      </w:r>
      <w:r w:rsidRPr="00CE7679">
        <w:rPr>
          <w:rFonts w:eastAsia="TimesNewRomanPSMT"/>
          <w:snapToGrid/>
          <w:szCs w:val="22"/>
          <w:highlight w:val="lightGray"/>
          <w:lang w:eastAsia="lt-LT"/>
        </w:rPr>
        <w:t xml:space="preserve">ė </w:t>
      </w:r>
      <w:r w:rsidRPr="00CE7679">
        <w:rPr>
          <w:rFonts w:eastAsia="SymbolMT"/>
          <w:snapToGrid/>
          <w:szCs w:val="22"/>
          <w:highlight w:val="lightGray"/>
          <w:lang w:eastAsia="lt-LT"/>
        </w:rPr>
        <w:t>yra 600</w:t>
      </w:r>
      <w:r w:rsidR="00EF69C8" w:rsidRPr="00CE7679">
        <w:rPr>
          <w:rFonts w:eastAsia="SymbolMT"/>
          <w:snapToGrid/>
          <w:szCs w:val="22"/>
          <w:highlight w:val="lightGray"/>
          <w:lang w:eastAsia="lt-LT"/>
        </w:rPr>
        <w:t> </w:t>
      </w:r>
      <w:r w:rsidRPr="00CE7679">
        <w:rPr>
          <w:rFonts w:eastAsia="SymbolMT"/>
          <w:snapToGrid/>
          <w:szCs w:val="22"/>
          <w:highlight w:val="lightGray"/>
          <w:lang w:eastAsia="lt-LT"/>
        </w:rPr>
        <w:t>mg, vartojant vieną 400</w:t>
      </w:r>
      <w:r w:rsidR="00EF69C8" w:rsidRPr="00CE7679">
        <w:rPr>
          <w:rFonts w:eastAsia="SymbolMT"/>
          <w:snapToGrid/>
          <w:szCs w:val="22"/>
          <w:highlight w:val="lightGray"/>
          <w:lang w:eastAsia="lt-LT"/>
        </w:rPr>
        <w:t> </w:t>
      </w:r>
      <w:r w:rsidRPr="00CE7679">
        <w:rPr>
          <w:rFonts w:eastAsia="SymbolMT"/>
          <w:snapToGrid/>
          <w:szCs w:val="22"/>
          <w:highlight w:val="lightGray"/>
          <w:lang w:eastAsia="lt-LT"/>
        </w:rPr>
        <w:t>mg tabletę kartu su puse 400</w:t>
      </w:r>
      <w:r w:rsidR="00EF69C8" w:rsidRPr="00CE7679">
        <w:rPr>
          <w:rFonts w:eastAsia="SymbolMT"/>
          <w:snapToGrid/>
          <w:szCs w:val="22"/>
          <w:highlight w:val="lightGray"/>
          <w:lang w:eastAsia="lt-LT"/>
        </w:rPr>
        <w:t> </w:t>
      </w:r>
      <w:r w:rsidRPr="00CE7679">
        <w:rPr>
          <w:rFonts w:eastAsia="SymbolMT"/>
          <w:snapToGrid/>
          <w:szCs w:val="22"/>
          <w:highlight w:val="lightGray"/>
          <w:lang w:eastAsia="lt-LT"/>
        </w:rPr>
        <w:t>mg tabletės (arba dviem 100</w:t>
      </w:r>
      <w:r w:rsidR="00EF69C8" w:rsidRPr="00CE7679">
        <w:rPr>
          <w:rFonts w:eastAsia="SymbolMT"/>
          <w:highlight w:val="lightGray"/>
        </w:rPr>
        <w:t> </w:t>
      </w:r>
      <w:r w:rsidRPr="00CE7679">
        <w:rPr>
          <w:rFonts w:eastAsia="SymbolMT"/>
          <w:snapToGrid/>
          <w:szCs w:val="22"/>
          <w:highlight w:val="lightGray"/>
          <w:lang w:eastAsia="lt-LT"/>
        </w:rPr>
        <w:t xml:space="preserve">mg tabletėmis) </w:t>
      </w:r>
      <w:r w:rsidRPr="00CE7679">
        <w:rPr>
          <w:rFonts w:eastAsia="SymbolMT"/>
          <w:b/>
          <w:snapToGrid/>
          <w:szCs w:val="22"/>
          <w:highlight w:val="lightGray"/>
          <w:lang w:eastAsia="lt-LT"/>
        </w:rPr>
        <w:t>vieną kartą</w:t>
      </w:r>
      <w:r w:rsidRPr="00CE7679">
        <w:rPr>
          <w:rFonts w:eastAsia="SymbolMT"/>
          <w:snapToGrid/>
          <w:szCs w:val="22"/>
          <w:highlight w:val="lightGray"/>
          <w:lang w:eastAsia="lt-LT"/>
        </w:rPr>
        <w:t xml:space="preserve"> per parą.</w:t>
      </w:r>
    </w:p>
    <w:p w14:paraId="5F0A1006" w14:textId="77777777" w:rsidR="00A27597" w:rsidRPr="00CE7679" w:rsidRDefault="00A27597" w:rsidP="00A27597">
      <w:pPr>
        <w:tabs>
          <w:tab w:val="clear" w:pos="567"/>
        </w:tabs>
        <w:autoSpaceDE w:val="0"/>
        <w:autoSpaceDN w:val="0"/>
        <w:adjustRightInd w:val="0"/>
        <w:spacing w:line="240" w:lineRule="auto"/>
        <w:rPr>
          <w:rFonts w:eastAsia="SymbolMT"/>
          <w:snapToGrid/>
          <w:szCs w:val="22"/>
          <w:lang w:eastAsia="lt-LT"/>
        </w:rPr>
      </w:pPr>
    </w:p>
    <w:p w14:paraId="201599B0" w14:textId="77777777" w:rsidR="00A27597" w:rsidRPr="00CE7679" w:rsidRDefault="00A27597" w:rsidP="00A27597">
      <w:pPr>
        <w:numPr>
          <w:ilvl w:val="0"/>
          <w:numId w:val="44"/>
        </w:numPr>
        <w:tabs>
          <w:tab w:val="clear" w:pos="567"/>
        </w:tabs>
        <w:autoSpaceDE w:val="0"/>
        <w:autoSpaceDN w:val="0"/>
        <w:adjustRightInd w:val="0"/>
        <w:spacing w:line="240" w:lineRule="auto"/>
        <w:ind w:left="567" w:hanging="567"/>
        <w:rPr>
          <w:rFonts w:eastAsia="SymbolMT"/>
          <w:snapToGrid/>
          <w:szCs w:val="22"/>
          <w:lang w:eastAsia="lt-LT"/>
        </w:rPr>
      </w:pPr>
      <w:r w:rsidRPr="00CE7679">
        <w:rPr>
          <w:rFonts w:eastAsia="SymbolMT"/>
          <w:b/>
          <w:snapToGrid/>
          <w:szCs w:val="22"/>
          <w:lang w:eastAsia="lt-LT"/>
        </w:rPr>
        <w:t>J</w:t>
      </w:r>
      <w:r w:rsidRPr="00CE7679">
        <w:rPr>
          <w:rFonts w:eastAsia="SymbolMT"/>
          <w:b/>
          <w:bCs/>
          <w:snapToGrid/>
          <w:szCs w:val="22"/>
          <w:lang w:eastAsia="lt-LT"/>
        </w:rPr>
        <w:t>eigu esate gydomas nuo MDS/MPL:</w:t>
      </w:r>
    </w:p>
    <w:p w14:paraId="77B5B0CD" w14:textId="77777777" w:rsidR="00A27597" w:rsidRPr="00CE7679" w:rsidRDefault="00A27597" w:rsidP="00A27597">
      <w:pPr>
        <w:tabs>
          <w:tab w:val="clear" w:pos="567"/>
        </w:tabs>
        <w:autoSpaceDE w:val="0"/>
        <w:autoSpaceDN w:val="0"/>
        <w:adjustRightInd w:val="0"/>
        <w:spacing w:line="240" w:lineRule="auto"/>
        <w:ind w:left="567"/>
        <w:rPr>
          <w:rFonts w:eastAsia="SymbolMT"/>
          <w:snapToGrid/>
          <w:szCs w:val="22"/>
          <w:lang w:eastAsia="lt-LT"/>
        </w:rPr>
      </w:pPr>
      <w:r w:rsidRPr="00CE7679">
        <w:rPr>
          <w:rFonts w:eastAsia="SymbolMT"/>
          <w:snapToGrid/>
          <w:szCs w:val="22"/>
          <w:lang w:eastAsia="lt-LT"/>
        </w:rPr>
        <w:t>Pradin</w:t>
      </w:r>
      <w:r w:rsidRPr="00CE7679">
        <w:rPr>
          <w:rFonts w:eastAsia="TimesNewRomanPSMT"/>
          <w:snapToGrid/>
          <w:szCs w:val="22"/>
          <w:lang w:eastAsia="lt-LT"/>
        </w:rPr>
        <w:t xml:space="preserve">ė </w:t>
      </w:r>
      <w:r w:rsidRPr="00CE7679">
        <w:rPr>
          <w:rFonts w:eastAsia="SymbolMT"/>
          <w:snapToGrid/>
          <w:szCs w:val="22"/>
          <w:lang w:eastAsia="lt-LT"/>
        </w:rPr>
        <w:t>doz</w:t>
      </w:r>
      <w:r w:rsidRPr="00CE7679">
        <w:rPr>
          <w:rFonts w:eastAsia="TimesNewRomanPSMT"/>
          <w:snapToGrid/>
          <w:szCs w:val="22"/>
          <w:lang w:eastAsia="lt-LT"/>
        </w:rPr>
        <w:t xml:space="preserve">ė </w:t>
      </w:r>
      <w:r w:rsidRPr="00CE7679">
        <w:rPr>
          <w:rFonts w:eastAsia="SymbolMT"/>
          <w:snapToGrid/>
          <w:szCs w:val="22"/>
          <w:lang w:eastAsia="lt-LT"/>
        </w:rPr>
        <w:t>yra 400</w:t>
      </w:r>
      <w:r w:rsidR="00EF69C8" w:rsidRPr="00CE7679">
        <w:rPr>
          <w:rFonts w:eastAsia="SymbolMT"/>
          <w:snapToGrid/>
          <w:szCs w:val="22"/>
          <w:lang w:eastAsia="lt-LT"/>
        </w:rPr>
        <w:t> </w:t>
      </w:r>
      <w:r w:rsidRPr="00CE7679">
        <w:rPr>
          <w:rFonts w:eastAsia="SymbolMT"/>
          <w:snapToGrid/>
          <w:szCs w:val="22"/>
          <w:lang w:eastAsia="lt-LT"/>
        </w:rPr>
        <w:t>mg, vartojant 4</w:t>
      </w:r>
      <w:r w:rsidR="00EF69C8" w:rsidRPr="00CE7679">
        <w:rPr>
          <w:rFonts w:eastAsia="SymbolMT"/>
          <w:snapToGrid/>
          <w:szCs w:val="22"/>
          <w:lang w:eastAsia="lt-LT"/>
        </w:rPr>
        <w:t> </w:t>
      </w:r>
      <w:r w:rsidRPr="00CE7679">
        <w:rPr>
          <w:rFonts w:eastAsia="SymbolMT"/>
          <w:snapToGrid/>
          <w:szCs w:val="22"/>
          <w:lang w:eastAsia="lt-LT"/>
        </w:rPr>
        <w:t xml:space="preserve">tabletes </w:t>
      </w:r>
      <w:r w:rsidRPr="00CE7679">
        <w:rPr>
          <w:rFonts w:eastAsia="SymbolMT"/>
          <w:b/>
          <w:snapToGrid/>
          <w:szCs w:val="22"/>
          <w:lang w:eastAsia="lt-LT"/>
        </w:rPr>
        <w:t>vieną kartą</w:t>
      </w:r>
      <w:r w:rsidRPr="00CE7679">
        <w:rPr>
          <w:rFonts w:eastAsia="SymbolMT"/>
          <w:snapToGrid/>
          <w:szCs w:val="22"/>
          <w:lang w:eastAsia="lt-LT"/>
        </w:rPr>
        <w:t xml:space="preserve"> per parą.</w:t>
      </w:r>
    </w:p>
    <w:p w14:paraId="104CADB3" w14:textId="77777777" w:rsidR="00A27597" w:rsidRPr="00CE7679" w:rsidRDefault="00A27597" w:rsidP="00A27597">
      <w:pPr>
        <w:tabs>
          <w:tab w:val="clear" w:pos="567"/>
        </w:tabs>
        <w:autoSpaceDE w:val="0"/>
        <w:autoSpaceDN w:val="0"/>
        <w:adjustRightInd w:val="0"/>
        <w:spacing w:line="240" w:lineRule="auto"/>
        <w:ind w:left="567"/>
        <w:rPr>
          <w:rFonts w:eastAsia="SymbolMT"/>
          <w:snapToGrid/>
          <w:szCs w:val="22"/>
          <w:lang w:eastAsia="lt-LT"/>
        </w:rPr>
      </w:pPr>
      <w:r w:rsidRPr="00CE7679">
        <w:rPr>
          <w:rFonts w:eastAsia="SymbolMT"/>
          <w:snapToGrid/>
          <w:szCs w:val="22"/>
          <w:highlight w:val="lightGray"/>
          <w:lang w:eastAsia="lt-LT"/>
        </w:rPr>
        <w:t>Pradin</w:t>
      </w:r>
      <w:r w:rsidRPr="00CE7679">
        <w:rPr>
          <w:rFonts w:eastAsia="TimesNewRomanPSMT"/>
          <w:snapToGrid/>
          <w:szCs w:val="22"/>
          <w:highlight w:val="lightGray"/>
          <w:lang w:eastAsia="lt-LT"/>
        </w:rPr>
        <w:t xml:space="preserve">ė </w:t>
      </w:r>
      <w:r w:rsidRPr="00CE7679">
        <w:rPr>
          <w:rFonts w:eastAsia="SymbolMT"/>
          <w:snapToGrid/>
          <w:szCs w:val="22"/>
          <w:highlight w:val="lightGray"/>
          <w:lang w:eastAsia="lt-LT"/>
        </w:rPr>
        <w:t>doz</w:t>
      </w:r>
      <w:r w:rsidRPr="00CE7679">
        <w:rPr>
          <w:rFonts w:eastAsia="TimesNewRomanPSMT"/>
          <w:snapToGrid/>
          <w:szCs w:val="22"/>
          <w:highlight w:val="lightGray"/>
          <w:lang w:eastAsia="lt-LT"/>
        </w:rPr>
        <w:t xml:space="preserve">ė </w:t>
      </w:r>
      <w:r w:rsidRPr="00CE7679">
        <w:rPr>
          <w:rFonts w:eastAsia="SymbolMT"/>
          <w:snapToGrid/>
          <w:szCs w:val="22"/>
          <w:highlight w:val="lightGray"/>
          <w:lang w:eastAsia="lt-LT"/>
        </w:rPr>
        <w:t>yra 400</w:t>
      </w:r>
      <w:r w:rsidR="00EF69C8" w:rsidRPr="00CE7679">
        <w:rPr>
          <w:rFonts w:eastAsia="SymbolMT"/>
          <w:snapToGrid/>
          <w:szCs w:val="22"/>
          <w:highlight w:val="lightGray"/>
          <w:lang w:eastAsia="lt-LT"/>
        </w:rPr>
        <w:t> </w:t>
      </w:r>
      <w:r w:rsidRPr="00CE7679">
        <w:rPr>
          <w:rFonts w:eastAsia="SymbolMT"/>
          <w:snapToGrid/>
          <w:szCs w:val="22"/>
          <w:highlight w:val="lightGray"/>
          <w:lang w:eastAsia="lt-LT"/>
        </w:rPr>
        <w:t>mg, vartojant 1</w:t>
      </w:r>
      <w:r w:rsidR="00EF69C8" w:rsidRPr="00CE7679">
        <w:rPr>
          <w:rFonts w:eastAsia="SymbolMT"/>
          <w:snapToGrid/>
          <w:szCs w:val="22"/>
          <w:highlight w:val="lightGray"/>
          <w:lang w:eastAsia="lt-LT"/>
        </w:rPr>
        <w:t> </w:t>
      </w:r>
      <w:r w:rsidRPr="00CE7679">
        <w:rPr>
          <w:rFonts w:eastAsia="SymbolMT"/>
          <w:snapToGrid/>
          <w:szCs w:val="22"/>
          <w:highlight w:val="lightGray"/>
          <w:lang w:eastAsia="lt-LT"/>
        </w:rPr>
        <w:t xml:space="preserve">tabletę </w:t>
      </w:r>
      <w:r w:rsidRPr="00CE7679">
        <w:rPr>
          <w:rFonts w:eastAsia="SymbolMT"/>
          <w:b/>
          <w:snapToGrid/>
          <w:szCs w:val="22"/>
          <w:highlight w:val="lightGray"/>
          <w:lang w:eastAsia="lt-LT"/>
        </w:rPr>
        <w:t>vieną kartą</w:t>
      </w:r>
      <w:r w:rsidRPr="00CE7679">
        <w:rPr>
          <w:rFonts w:eastAsia="SymbolMT"/>
          <w:snapToGrid/>
          <w:szCs w:val="22"/>
          <w:highlight w:val="lightGray"/>
          <w:lang w:eastAsia="lt-LT"/>
        </w:rPr>
        <w:t xml:space="preserve"> per parą.</w:t>
      </w:r>
    </w:p>
    <w:p w14:paraId="68B05E01" w14:textId="77777777" w:rsidR="00A27597" w:rsidRPr="00CE7679" w:rsidRDefault="00A27597" w:rsidP="00A27597">
      <w:pPr>
        <w:tabs>
          <w:tab w:val="clear" w:pos="567"/>
        </w:tabs>
        <w:autoSpaceDE w:val="0"/>
        <w:autoSpaceDN w:val="0"/>
        <w:adjustRightInd w:val="0"/>
        <w:spacing w:line="240" w:lineRule="auto"/>
        <w:rPr>
          <w:rFonts w:eastAsia="SymbolMT"/>
          <w:snapToGrid/>
          <w:szCs w:val="22"/>
          <w:lang w:eastAsia="lt-LT"/>
        </w:rPr>
      </w:pPr>
    </w:p>
    <w:p w14:paraId="51132C1F" w14:textId="77777777" w:rsidR="00A27597" w:rsidRPr="00CE7679" w:rsidRDefault="00A27597" w:rsidP="00A27597">
      <w:pPr>
        <w:numPr>
          <w:ilvl w:val="0"/>
          <w:numId w:val="44"/>
        </w:numPr>
        <w:tabs>
          <w:tab w:val="clear" w:pos="567"/>
        </w:tabs>
        <w:autoSpaceDE w:val="0"/>
        <w:autoSpaceDN w:val="0"/>
        <w:adjustRightInd w:val="0"/>
        <w:spacing w:line="240" w:lineRule="auto"/>
        <w:ind w:left="567" w:hanging="567"/>
        <w:rPr>
          <w:rFonts w:eastAsia="SymbolMT"/>
          <w:snapToGrid/>
          <w:szCs w:val="22"/>
          <w:lang w:eastAsia="lt-LT"/>
        </w:rPr>
      </w:pPr>
      <w:r w:rsidRPr="00CE7679">
        <w:rPr>
          <w:rFonts w:eastAsia="SymbolMT"/>
          <w:b/>
          <w:snapToGrid/>
          <w:szCs w:val="22"/>
          <w:lang w:eastAsia="lt-LT"/>
        </w:rPr>
        <w:t>J</w:t>
      </w:r>
      <w:r w:rsidRPr="00CE7679">
        <w:rPr>
          <w:rFonts w:eastAsia="SymbolMT"/>
          <w:b/>
          <w:bCs/>
          <w:snapToGrid/>
          <w:szCs w:val="22"/>
          <w:lang w:eastAsia="lt-LT"/>
        </w:rPr>
        <w:t>eigu esate gydomas nuo HES/LEL:</w:t>
      </w:r>
    </w:p>
    <w:p w14:paraId="67908058" w14:textId="77777777" w:rsidR="00A27597" w:rsidRPr="00CE7679" w:rsidRDefault="00A27597" w:rsidP="00A27597">
      <w:pPr>
        <w:ind w:left="567"/>
        <w:rPr>
          <w:rFonts w:eastAsia="SymbolMT"/>
          <w:snapToGrid/>
          <w:szCs w:val="22"/>
          <w:lang w:eastAsia="lt-LT"/>
        </w:rPr>
      </w:pPr>
      <w:r w:rsidRPr="00CE7679">
        <w:rPr>
          <w:rFonts w:eastAsia="SymbolMT"/>
          <w:snapToGrid/>
          <w:szCs w:val="22"/>
          <w:lang w:eastAsia="lt-LT"/>
        </w:rPr>
        <w:t>Pradin</w:t>
      </w:r>
      <w:r w:rsidRPr="00CE7679">
        <w:rPr>
          <w:rFonts w:eastAsia="TimesNewRomanPSMT"/>
          <w:snapToGrid/>
          <w:szCs w:val="22"/>
          <w:lang w:eastAsia="lt-LT"/>
        </w:rPr>
        <w:t xml:space="preserve">ė </w:t>
      </w:r>
      <w:r w:rsidRPr="00CE7679">
        <w:rPr>
          <w:rFonts w:eastAsia="SymbolMT"/>
          <w:snapToGrid/>
          <w:szCs w:val="22"/>
          <w:lang w:eastAsia="lt-LT"/>
        </w:rPr>
        <w:t>doz</w:t>
      </w:r>
      <w:r w:rsidRPr="00CE7679">
        <w:rPr>
          <w:rFonts w:eastAsia="TimesNewRomanPSMT"/>
          <w:snapToGrid/>
          <w:szCs w:val="22"/>
          <w:lang w:eastAsia="lt-LT"/>
        </w:rPr>
        <w:t xml:space="preserve">ė </w:t>
      </w:r>
      <w:r w:rsidRPr="00CE7679">
        <w:rPr>
          <w:rFonts w:eastAsia="SymbolMT"/>
          <w:snapToGrid/>
          <w:szCs w:val="22"/>
          <w:lang w:eastAsia="lt-LT"/>
        </w:rPr>
        <w:t>yra 100</w:t>
      </w:r>
      <w:r w:rsidR="00EF69C8" w:rsidRPr="00CE7679">
        <w:rPr>
          <w:rFonts w:eastAsia="SymbolMT"/>
          <w:snapToGrid/>
          <w:szCs w:val="22"/>
          <w:lang w:eastAsia="lt-LT"/>
        </w:rPr>
        <w:t> </w:t>
      </w:r>
      <w:r w:rsidRPr="00CE7679">
        <w:rPr>
          <w:rFonts w:eastAsia="SymbolMT"/>
          <w:snapToGrid/>
          <w:szCs w:val="22"/>
          <w:lang w:eastAsia="lt-LT"/>
        </w:rPr>
        <w:t>mg, vartojant 1</w:t>
      </w:r>
      <w:r w:rsidR="00EF69C8" w:rsidRPr="00CE7679">
        <w:rPr>
          <w:rFonts w:eastAsia="SymbolMT"/>
          <w:snapToGrid/>
          <w:szCs w:val="22"/>
          <w:lang w:eastAsia="lt-LT"/>
        </w:rPr>
        <w:t> </w:t>
      </w:r>
      <w:r w:rsidRPr="00CE7679">
        <w:rPr>
          <w:rFonts w:eastAsia="SymbolMT"/>
          <w:snapToGrid/>
          <w:szCs w:val="22"/>
          <w:lang w:eastAsia="lt-LT"/>
        </w:rPr>
        <w:t xml:space="preserve">tabletę </w:t>
      </w:r>
      <w:r w:rsidRPr="00CE7679">
        <w:rPr>
          <w:rFonts w:eastAsia="SymbolMT"/>
          <w:b/>
          <w:snapToGrid/>
          <w:szCs w:val="22"/>
          <w:lang w:eastAsia="lt-LT"/>
        </w:rPr>
        <w:t>vieną kartą</w:t>
      </w:r>
      <w:r w:rsidRPr="00CE7679">
        <w:rPr>
          <w:rFonts w:eastAsia="SymbolMT"/>
          <w:snapToGrid/>
          <w:szCs w:val="22"/>
          <w:lang w:eastAsia="lt-LT"/>
        </w:rPr>
        <w:t xml:space="preserve"> per parą. Priklausomai nuo J</w:t>
      </w:r>
      <w:r w:rsidRPr="00CE7679">
        <w:rPr>
          <w:rFonts w:eastAsia="TimesNewRomanPSMT"/>
          <w:snapToGrid/>
          <w:szCs w:val="22"/>
          <w:lang w:eastAsia="lt-LT"/>
        </w:rPr>
        <w:t>ū</w:t>
      </w:r>
      <w:r w:rsidRPr="00CE7679">
        <w:rPr>
          <w:rFonts w:eastAsia="SymbolMT"/>
          <w:snapToGrid/>
          <w:szCs w:val="22"/>
          <w:lang w:eastAsia="lt-LT"/>
        </w:rPr>
        <w:t>s</w:t>
      </w:r>
      <w:r w:rsidRPr="00CE7679">
        <w:rPr>
          <w:rFonts w:eastAsia="TimesNewRomanPSMT"/>
          <w:snapToGrid/>
          <w:szCs w:val="22"/>
          <w:lang w:eastAsia="lt-LT"/>
        </w:rPr>
        <w:t xml:space="preserve">ų </w:t>
      </w:r>
      <w:r w:rsidRPr="00CE7679">
        <w:rPr>
          <w:rFonts w:eastAsia="SymbolMT"/>
          <w:snapToGrid/>
          <w:szCs w:val="22"/>
          <w:lang w:eastAsia="lt-LT"/>
        </w:rPr>
        <w:t xml:space="preserve">atsako </w:t>
      </w:r>
      <w:r w:rsidRPr="00CE7679">
        <w:rPr>
          <w:rFonts w:eastAsia="TimesNewRomanPSMT"/>
          <w:snapToGrid/>
          <w:szCs w:val="22"/>
          <w:lang w:eastAsia="lt-LT"/>
        </w:rPr>
        <w:t xml:space="preserve">į </w:t>
      </w:r>
      <w:r w:rsidRPr="00CE7679">
        <w:rPr>
          <w:rFonts w:eastAsia="SymbolMT"/>
          <w:snapToGrid/>
          <w:szCs w:val="22"/>
          <w:lang w:eastAsia="lt-LT"/>
        </w:rPr>
        <w:t>gydym</w:t>
      </w:r>
      <w:r w:rsidRPr="00CE7679">
        <w:rPr>
          <w:rFonts w:eastAsia="TimesNewRomanPSMT"/>
          <w:snapToGrid/>
          <w:szCs w:val="22"/>
          <w:lang w:eastAsia="lt-LT"/>
        </w:rPr>
        <w:t>ą</w:t>
      </w:r>
      <w:r w:rsidRPr="00CE7679">
        <w:rPr>
          <w:rFonts w:eastAsia="SymbolMT"/>
          <w:snapToGrid/>
          <w:szCs w:val="22"/>
          <w:lang w:eastAsia="lt-LT"/>
        </w:rPr>
        <w:t>, J</w:t>
      </w:r>
      <w:r w:rsidRPr="00CE7679">
        <w:rPr>
          <w:rFonts w:eastAsia="TimesNewRomanPSMT"/>
          <w:snapToGrid/>
          <w:szCs w:val="22"/>
          <w:lang w:eastAsia="lt-LT"/>
        </w:rPr>
        <w:t>ū</w:t>
      </w:r>
      <w:r w:rsidRPr="00CE7679">
        <w:rPr>
          <w:rFonts w:eastAsia="SymbolMT"/>
          <w:snapToGrid/>
          <w:szCs w:val="22"/>
          <w:lang w:eastAsia="lt-LT"/>
        </w:rPr>
        <w:t>s</w:t>
      </w:r>
      <w:r w:rsidRPr="00CE7679">
        <w:rPr>
          <w:rFonts w:eastAsia="TimesNewRomanPSMT"/>
          <w:snapToGrid/>
          <w:szCs w:val="22"/>
          <w:lang w:eastAsia="lt-LT"/>
        </w:rPr>
        <w:t xml:space="preserve">ų </w:t>
      </w:r>
      <w:r w:rsidRPr="00CE7679">
        <w:rPr>
          <w:rFonts w:eastAsia="SymbolMT"/>
          <w:snapToGrid/>
          <w:szCs w:val="22"/>
          <w:lang w:eastAsia="lt-LT"/>
        </w:rPr>
        <w:t>gydytojas gali nuspr</w:t>
      </w:r>
      <w:r w:rsidRPr="00CE7679">
        <w:rPr>
          <w:rFonts w:eastAsia="TimesNewRomanPSMT"/>
          <w:snapToGrid/>
          <w:szCs w:val="22"/>
          <w:lang w:eastAsia="lt-LT"/>
        </w:rPr>
        <w:t>ę</w:t>
      </w:r>
      <w:r w:rsidRPr="00CE7679">
        <w:rPr>
          <w:rFonts w:eastAsia="SymbolMT"/>
          <w:snapToGrid/>
          <w:szCs w:val="22"/>
          <w:lang w:eastAsia="lt-LT"/>
        </w:rPr>
        <w:t>sti padidinti doz</w:t>
      </w:r>
      <w:r w:rsidRPr="00CE7679">
        <w:rPr>
          <w:rFonts w:eastAsia="TimesNewRomanPSMT"/>
          <w:snapToGrid/>
          <w:szCs w:val="22"/>
          <w:lang w:eastAsia="lt-LT"/>
        </w:rPr>
        <w:t xml:space="preserve">ę </w:t>
      </w:r>
      <w:r w:rsidRPr="00CE7679">
        <w:rPr>
          <w:rFonts w:eastAsia="SymbolMT"/>
          <w:snapToGrid/>
          <w:szCs w:val="22"/>
          <w:lang w:eastAsia="lt-LT"/>
        </w:rPr>
        <w:t>iki 400</w:t>
      </w:r>
      <w:r w:rsidR="00EF69C8" w:rsidRPr="00CE7679">
        <w:rPr>
          <w:rFonts w:eastAsia="SymbolMT"/>
          <w:snapToGrid/>
          <w:szCs w:val="22"/>
          <w:lang w:eastAsia="lt-LT"/>
        </w:rPr>
        <w:t> </w:t>
      </w:r>
      <w:r w:rsidRPr="00CE7679">
        <w:rPr>
          <w:rFonts w:eastAsia="SymbolMT"/>
          <w:snapToGrid/>
          <w:szCs w:val="22"/>
          <w:lang w:eastAsia="lt-LT"/>
        </w:rPr>
        <w:t xml:space="preserve">mg, vartojant po keturias tabletes </w:t>
      </w:r>
      <w:r w:rsidRPr="00CE7679">
        <w:rPr>
          <w:rFonts w:eastAsia="SymbolMT"/>
          <w:b/>
          <w:snapToGrid/>
          <w:szCs w:val="22"/>
          <w:lang w:eastAsia="lt-LT"/>
        </w:rPr>
        <w:t>vieną kartą</w:t>
      </w:r>
      <w:r w:rsidRPr="00CE7679">
        <w:rPr>
          <w:rFonts w:eastAsia="TimesNewRomanPS-BoldMT"/>
          <w:b/>
          <w:bCs/>
          <w:snapToGrid/>
          <w:szCs w:val="22"/>
          <w:lang w:eastAsia="lt-LT"/>
        </w:rPr>
        <w:t xml:space="preserve"> </w:t>
      </w:r>
      <w:r w:rsidRPr="00CE7679">
        <w:rPr>
          <w:rFonts w:eastAsia="SymbolMT"/>
          <w:snapToGrid/>
          <w:szCs w:val="22"/>
          <w:lang w:eastAsia="lt-LT"/>
        </w:rPr>
        <w:t>per par</w:t>
      </w:r>
      <w:r w:rsidRPr="00CE7679">
        <w:rPr>
          <w:rFonts w:eastAsia="TimesNewRomanPSMT"/>
          <w:snapToGrid/>
          <w:szCs w:val="22"/>
          <w:lang w:eastAsia="lt-LT"/>
        </w:rPr>
        <w:t>ą</w:t>
      </w:r>
      <w:r w:rsidRPr="00CE7679">
        <w:rPr>
          <w:rFonts w:eastAsia="SymbolMT"/>
          <w:snapToGrid/>
          <w:szCs w:val="22"/>
          <w:lang w:eastAsia="lt-LT"/>
        </w:rPr>
        <w:t>.</w:t>
      </w:r>
    </w:p>
    <w:p w14:paraId="2D989D11" w14:textId="77777777" w:rsidR="00A27597" w:rsidRPr="00CE7679" w:rsidRDefault="00A27597" w:rsidP="00026610">
      <w:pPr>
        <w:spacing w:line="240" w:lineRule="auto"/>
        <w:ind w:left="567"/>
        <w:rPr>
          <w:rFonts w:eastAsia="SimSun"/>
          <w:snapToGrid/>
          <w:szCs w:val="22"/>
          <w:lang w:eastAsia="zh-CN"/>
        </w:rPr>
      </w:pPr>
      <w:r w:rsidRPr="00CE7679">
        <w:rPr>
          <w:rFonts w:eastAsia="SymbolMT"/>
          <w:snapToGrid/>
          <w:szCs w:val="22"/>
          <w:highlight w:val="lightGray"/>
          <w:lang w:eastAsia="lt-LT"/>
        </w:rPr>
        <w:t>Pradin</w:t>
      </w:r>
      <w:r w:rsidRPr="00CE7679">
        <w:rPr>
          <w:rFonts w:eastAsia="TimesNewRomanPSMT"/>
          <w:snapToGrid/>
          <w:szCs w:val="22"/>
          <w:highlight w:val="lightGray"/>
          <w:lang w:eastAsia="lt-LT"/>
        </w:rPr>
        <w:t xml:space="preserve">ė </w:t>
      </w:r>
      <w:r w:rsidRPr="00CE7679">
        <w:rPr>
          <w:rFonts w:eastAsia="SymbolMT"/>
          <w:snapToGrid/>
          <w:szCs w:val="22"/>
          <w:highlight w:val="lightGray"/>
          <w:lang w:eastAsia="lt-LT"/>
        </w:rPr>
        <w:t>doz</w:t>
      </w:r>
      <w:r w:rsidRPr="00CE7679">
        <w:rPr>
          <w:rFonts w:eastAsia="TimesNewRomanPSMT"/>
          <w:snapToGrid/>
          <w:szCs w:val="22"/>
          <w:highlight w:val="lightGray"/>
          <w:lang w:eastAsia="lt-LT"/>
        </w:rPr>
        <w:t xml:space="preserve">ė </w:t>
      </w:r>
      <w:r w:rsidRPr="00CE7679">
        <w:rPr>
          <w:rFonts w:eastAsia="SymbolMT"/>
          <w:snapToGrid/>
          <w:szCs w:val="22"/>
          <w:highlight w:val="lightGray"/>
          <w:lang w:eastAsia="lt-LT"/>
        </w:rPr>
        <w:t>yra 100</w:t>
      </w:r>
      <w:r w:rsidR="00EF69C8" w:rsidRPr="00CE7679">
        <w:rPr>
          <w:rFonts w:eastAsia="SymbolMT"/>
          <w:snapToGrid/>
          <w:szCs w:val="22"/>
          <w:highlight w:val="lightGray"/>
          <w:lang w:eastAsia="lt-LT"/>
        </w:rPr>
        <w:t> </w:t>
      </w:r>
      <w:r w:rsidRPr="00CE7679">
        <w:rPr>
          <w:rFonts w:eastAsia="SymbolMT"/>
          <w:snapToGrid/>
          <w:szCs w:val="22"/>
          <w:highlight w:val="lightGray"/>
          <w:lang w:eastAsia="lt-LT"/>
        </w:rPr>
        <w:t>mg, vartojant vieną 100</w:t>
      </w:r>
      <w:r w:rsidR="00EF69C8" w:rsidRPr="00CE7679">
        <w:rPr>
          <w:rFonts w:eastAsia="SymbolMT"/>
          <w:snapToGrid/>
          <w:szCs w:val="22"/>
          <w:highlight w:val="lightGray"/>
          <w:lang w:eastAsia="lt-LT"/>
        </w:rPr>
        <w:t> </w:t>
      </w:r>
      <w:r w:rsidRPr="00CE7679">
        <w:rPr>
          <w:rFonts w:eastAsia="SymbolMT"/>
          <w:snapToGrid/>
          <w:szCs w:val="22"/>
          <w:highlight w:val="lightGray"/>
          <w:lang w:eastAsia="lt-LT"/>
        </w:rPr>
        <w:t xml:space="preserve">mg tabletę </w:t>
      </w:r>
      <w:r w:rsidRPr="00CE7679">
        <w:rPr>
          <w:rFonts w:eastAsia="SymbolMT"/>
          <w:b/>
          <w:snapToGrid/>
          <w:szCs w:val="22"/>
          <w:highlight w:val="lightGray"/>
          <w:lang w:eastAsia="lt-LT"/>
        </w:rPr>
        <w:t>vieną kartą</w:t>
      </w:r>
      <w:r w:rsidRPr="00CE7679">
        <w:rPr>
          <w:rFonts w:eastAsia="SymbolMT"/>
          <w:snapToGrid/>
          <w:szCs w:val="22"/>
          <w:highlight w:val="lightGray"/>
          <w:lang w:eastAsia="lt-LT"/>
        </w:rPr>
        <w:t xml:space="preserve"> per parą. Priklausomai nuo J</w:t>
      </w:r>
      <w:r w:rsidRPr="00CE7679">
        <w:rPr>
          <w:rFonts w:eastAsia="TimesNewRomanPSMT"/>
          <w:snapToGrid/>
          <w:szCs w:val="22"/>
          <w:highlight w:val="lightGray"/>
          <w:lang w:eastAsia="lt-LT"/>
        </w:rPr>
        <w:t>ū</w:t>
      </w:r>
      <w:r w:rsidRPr="00CE7679">
        <w:rPr>
          <w:rFonts w:eastAsia="SymbolMT"/>
          <w:snapToGrid/>
          <w:szCs w:val="22"/>
          <w:highlight w:val="lightGray"/>
          <w:lang w:eastAsia="lt-LT"/>
        </w:rPr>
        <w:t>s</w:t>
      </w:r>
      <w:r w:rsidRPr="00CE7679">
        <w:rPr>
          <w:rFonts w:eastAsia="TimesNewRomanPSMT"/>
          <w:snapToGrid/>
          <w:szCs w:val="22"/>
          <w:highlight w:val="lightGray"/>
          <w:lang w:eastAsia="lt-LT"/>
        </w:rPr>
        <w:t xml:space="preserve">ų </w:t>
      </w:r>
      <w:r w:rsidRPr="00CE7679">
        <w:rPr>
          <w:rFonts w:eastAsia="SymbolMT"/>
          <w:snapToGrid/>
          <w:szCs w:val="22"/>
          <w:highlight w:val="lightGray"/>
          <w:lang w:eastAsia="lt-LT"/>
        </w:rPr>
        <w:t xml:space="preserve">atsako </w:t>
      </w:r>
      <w:r w:rsidRPr="00CE7679">
        <w:rPr>
          <w:rFonts w:eastAsia="TimesNewRomanPSMT"/>
          <w:snapToGrid/>
          <w:szCs w:val="22"/>
          <w:highlight w:val="lightGray"/>
          <w:lang w:eastAsia="lt-LT"/>
        </w:rPr>
        <w:t xml:space="preserve">į </w:t>
      </w:r>
      <w:r w:rsidRPr="00CE7679">
        <w:rPr>
          <w:rFonts w:eastAsia="SymbolMT"/>
          <w:snapToGrid/>
          <w:szCs w:val="22"/>
          <w:highlight w:val="lightGray"/>
          <w:lang w:eastAsia="lt-LT"/>
        </w:rPr>
        <w:t>gydym</w:t>
      </w:r>
      <w:r w:rsidRPr="00CE7679">
        <w:rPr>
          <w:rFonts w:eastAsia="TimesNewRomanPSMT"/>
          <w:snapToGrid/>
          <w:szCs w:val="22"/>
          <w:highlight w:val="lightGray"/>
          <w:lang w:eastAsia="lt-LT"/>
        </w:rPr>
        <w:t>ą</w:t>
      </w:r>
      <w:r w:rsidRPr="00CE7679">
        <w:rPr>
          <w:rFonts w:eastAsia="SymbolMT"/>
          <w:snapToGrid/>
          <w:szCs w:val="22"/>
          <w:highlight w:val="lightGray"/>
          <w:lang w:eastAsia="lt-LT"/>
        </w:rPr>
        <w:t>, J</w:t>
      </w:r>
      <w:r w:rsidRPr="00CE7679">
        <w:rPr>
          <w:rFonts w:eastAsia="TimesNewRomanPSMT"/>
          <w:snapToGrid/>
          <w:szCs w:val="22"/>
          <w:highlight w:val="lightGray"/>
          <w:lang w:eastAsia="lt-LT"/>
        </w:rPr>
        <w:t>ū</w:t>
      </w:r>
      <w:r w:rsidRPr="00CE7679">
        <w:rPr>
          <w:rFonts w:eastAsia="SymbolMT"/>
          <w:snapToGrid/>
          <w:szCs w:val="22"/>
          <w:highlight w:val="lightGray"/>
          <w:lang w:eastAsia="lt-LT"/>
        </w:rPr>
        <w:t>s</w:t>
      </w:r>
      <w:r w:rsidRPr="00CE7679">
        <w:rPr>
          <w:rFonts w:eastAsia="TimesNewRomanPSMT"/>
          <w:snapToGrid/>
          <w:szCs w:val="22"/>
          <w:highlight w:val="lightGray"/>
          <w:lang w:eastAsia="lt-LT"/>
        </w:rPr>
        <w:t xml:space="preserve">ų </w:t>
      </w:r>
      <w:r w:rsidRPr="00CE7679">
        <w:rPr>
          <w:rFonts w:eastAsia="SymbolMT"/>
          <w:snapToGrid/>
          <w:szCs w:val="22"/>
          <w:highlight w:val="lightGray"/>
          <w:lang w:eastAsia="lt-LT"/>
        </w:rPr>
        <w:t>gydytojas gali nuspr</w:t>
      </w:r>
      <w:r w:rsidRPr="00CE7679">
        <w:rPr>
          <w:rFonts w:eastAsia="TimesNewRomanPSMT"/>
          <w:snapToGrid/>
          <w:szCs w:val="22"/>
          <w:highlight w:val="lightGray"/>
          <w:lang w:eastAsia="lt-LT"/>
        </w:rPr>
        <w:t>ę</w:t>
      </w:r>
      <w:r w:rsidRPr="00CE7679">
        <w:rPr>
          <w:rFonts w:eastAsia="SymbolMT"/>
          <w:snapToGrid/>
          <w:szCs w:val="22"/>
          <w:highlight w:val="lightGray"/>
          <w:lang w:eastAsia="lt-LT"/>
        </w:rPr>
        <w:t>sti padidinti doz</w:t>
      </w:r>
      <w:r w:rsidRPr="00CE7679">
        <w:rPr>
          <w:rFonts w:eastAsia="TimesNewRomanPSMT"/>
          <w:snapToGrid/>
          <w:szCs w:val="22"/>
          <w:highlight w:val="lightGray"/>
          <w:lang w:eastAsia="lt-LT"/>
        </w:rPr>
        <w:t xml:space="preserve">ę </w:t>
      </w:r>
      <w:r w:rsidRPr="00CE7679">
        <w:rPr>
          <w:rFonts w:eastAsia="SymbolMT"/>
          <w:snapToGrid/>
          <w:szCs w:val="22"/>
          <w:highlight w:val="lightGray"/>
          <w:lang w:eastAsia="lt-LT"/>
        </w:rPr>
        <w:t>iki 400</w:t>
      </w:r>
      <w:r w:rsidR="00EF69C8" w:rsidRPr="00CE7679">
        <w:rPr>
          <w:rFonts w:eastAsia="SymbolMT"/>
          <w:snapToGrid/>
          <w:szCs w:val="22"/>
          <w:highlight w:val="lightGray"/>
          <w:lang w:eastAsia="lt-LT"/>
        </w:rPr>
        <w:t> </w:t>
      </w:r>
      <w:r w:rsidRPr="00CE7679">
        <w:rPr>
          <w:rFonts w:eastAsia="SymbolMT"/>
          <w:snapToGrid/>
          <w:szCs w:val="22"/>
          <w:highlight w:val="lightGray"/>
          <w:lang w:eastAsia="lt-LT"/>
        </w:rPr>
        <w:t>mg, vartojant vieną 400</w:t>
      </w:r>
      <w:r w:rsidR="00EF69C8" w:rsidRPr="00CE7679">
        <w:rPr>
          <w:rFonts w:eastAsia="SymbolMT"/>
          <w:snapToGrid/>
          <w:szCs w:val="22"/>
          <w:highlight w:val="lightGray"/>
          <w:lang w:eastAsia="lt-LT"/>
        </w:rPr>
        <w:t> </w:t>
      </w:r>
      <w:r w:rsidRPr="00CE7679">
        <w:rPr>
          <w:rFonts w:eastAsia="SymbolMT"/>
          <w:snapToGrid/>
          <w:szCs w:val="22"/>
          <w:highlight w:val="lightGray"/>
          <w:lang w:eastAsia="lt-LT"/>
        </w:rPr>
        <w:t xml:space="preserve">mg tabletę </w:t>
      </w:r>
      <w:r w:rsidRPr="00CE7679">
        <w:rPr>
          <w:rFonts w:eastAsia="SymbolMT"/>
          <w:b/>
          <w:snapToGrid/>
          <w:szCs w:val="22"/>
          <w:highlight w:val="lightGray"/>
          <w:lang w:eastAsia="lt-LT"/>
        </w:rPr>
        <w:t>vieną kartą</w:t>
      </w:r>
      <w:r w:rsidRPr="00CE7679">
        <w:rPr>
          <w:rFonts w:eastAsia="TimesNewRomanPS-BoldMT"/>
          <w:b/>
          <w:bCs/>
          <w:snapToGrid/>
          <w:szCs w:val="22"/>
          <w:highlight w:val="lightGray"/>
          <w:lang w:eastAsia="lt-LT"/>
        </w:rPr>
        <w:t xml:space="preserve"> </w:t>
      </w:r>
      <w:r w:rsidRPr="00CE7679">
        <w:rPr>
          <w:rFonts w:eastAsia="SymbolMT"/>
          <w:snapToGrid/>
          <w:szCs w:val="22"/>
          <w:highlight w:val="lightGray"/>
          <w:lang w:eastAsia="lt-LT"/>
        </w:rPr>
        <w:t>per par</w:t>
      </w:r>
      <w:r w:rsidRPr="00CE7679">
        <w:rPr>
          <w:rFonts w:eastAsia="TimesNewRomanPSMT"/>
          <w:snapToGrid/>
          <w:szCs w:val="22"/>
          <w:highlight w:val="lightGray"/>
          <w:lang w:eastAsia="lt-LT"/>
        </w:rPr>
        <w:t>ą</w:t>
      </w:r>
      <w:r w:rsidRPr="00CE7679">
        <w:rPr>
          <w:rFonts w:eastAsia="SymbolMT"/>
          <w:snapToGrid/>
          <w:szCs w:val="22"/>
          <w:highlight w:val="lightGray"/>
          <w:lang w:eastAsia="lt-LT"/>
        </w:rPr>
        <w:t>.</w:t>
      </w:r>
    </w:p>
    <w:p w14:paraId="52CE5AA2" w14:textId="77777777" w:rsidR="00A27597" w:rsidRPr="00CE7679" w:rsidRDefault="00A27597" w:rsidP="00A27597">
      <w:pPr>
        <w:ind w:left="567"/>
        <w:rPr>
          <w:rFonts w:eastAsia="SimSun"/>
          <w:snapToGrid/>
          <w:szCs w:val="22"/>
          <w:lang w:eastAsia="zh-CN"/>
        </w:rPr>
      </w:pPr>
    </w:p>
    <w:p w14:paraId="5177E14D" w14:textId="77777777" w:rsidR="00A27597" w:rsidRPr="00CE7679" w:rsidRDefault="00A27597" w:rsidP="00A27597">
      <w:pPr>
        <w:numPr>
          <w:ilvl w:val="0"/>
          <w:numId w:val="24"/>
        </w:numPr>
        <w:tabs>
          <w:tab w:val="clear" w:pos="567"/>
        </w:tabs>
        <w:spacing w:after="200" w:line="240" w:lineRule="auto"/>
        <w:ind w:left="567" w:hanging="567"/>
        <w:contextualSpacing/>
        <w:rPr>
          <w:rFonts w:eastAsia="SimSun"/>
          <w:b/>
          <w:snapToGrid/>
          <w:szCs w:val="22"/>
          <w:lang w:eastAsia="zh-CN"/>
        </w:rPr>
      </w:pPr>
      <w:r w:rsidRPr="00CE7679">
        <w:rPr>
          <w:rFonts w:eastAsia="SimSun"/>
          <w:b/>
          <w:snapToGrid/>
          <w:szCs w:val="22"/>
          <w:lang w:eastAsia="zh-CN"/>
        </w:rPr>
        <w:t>Jeigu esate gydomas nuo DFSP:</w:t>
      </w:r>
    </w:p>
    <w:p w14:paraId="7F0B28C0" w14:textId="77777777" w:rsidR="00A27597" w:rsidRPr="00CE7679" w:rsidRDefault="00A27597" w:rsidP="00A27597">
      <w:pPr>
        <w:numPr>
          <w:ilvl w:val="12"/>
          <w:numId w:val="0"/>
        </w:numPr>
        <w:spacing w:line="240" w:lineRule="auto"/>
        <w:ind w:left="567"/>
        <w:rPr>
          <w:rFonts w:eastAsia="SimSun"/>
          <w:snapToGrid/>
          <w:szCs w:val="22"/>
          <w:lang w:eastAsia="zh-CN"/>
        </w:rPr>
      </w:pPr>
      <w:r w:rsidRPr="00CE7679">
        <w:rPr>
          <w:rFonts w:eastAsia="SimSun"/>
          <w:snapToGrid/>
          <w:szCs w:val="22"/>
          <w:lang w:eastAsia="zh-CN"/>
        </w:rPr>
        <w:t>Dozė yra 800 mg (8</w:t>
      </w:r>
      <w:r w:rsidR="00EF69C8" w:rsidRPr="00CE7679">
        <w:rPr>
          <w:rFonts w:eastAsia="SimSun"/>
          <w:snapToGrid/>
          <w:szCs w:val="22"/>
          <w:lang w:eastAsia="zh-CN"/>
        </w:rPr>
        <w:t> </w:t>
      </w:r>
      <w:r w:rsidRPr="00CE7679">
        <w:rPr>
          <w:rFonts w:eastAsia="SimSun"/>
          <w:snapToGrid/>
          <w:szCs w:val="22"/>
          <w:lang w:eastAsia="zh-CN"/>
        </w:rPr>
        <w:t>tabletės) per parą, vartojant 4</w:t>
      </w:r>
      <w:r w:rsidR="00EF69C8" w:rsidRPr="00CE7679">
        <w:rPr>
          <w:rFonts w:eastAsia="SimSun"/>
          <w:snapToGrid/>
          <w:szCs w:val="22"/>
          <w:lang w:eastAsia="zh-CN"/>
        </w:rPr>
        <w:t> </w:t>
      </w:r>
      <w:r w:rsidRPr="00CE7679">
        <w:rPr>
          <w:rFonts w:eastAsia="SimSun"/>
          <w:snapToGrid/>
          <w:szCs w:val="22"/>
          <w:lang w:eastAsia="zh-CN"/>
        </w:rPr>
        <w:t>tabletes iš ryto ir 4</w:t>
      </w:r>
      <w:r w:rsidR="00EF69C8" w:rsidRPr="00CE7679">
        <w:rPr>
          <w:rFonts w:eastAsia="SimSun"/>
          <w:snapToGrid/>
          <w:szCs w:val="22"/>
          <w:lang w:eastAsia="zh-CN"/>
        </w:rPr>
        <w:t> </w:t>
      </w:r>
      <w:r w:rsidRPr="00CE7679">
        <w:rPr>
          <w:rFonts w:eastAsia="SimSun"/>
          <w:snapToGrid/>
          <w:szCs w:val="22"/>
          <w:lang w:eastAsia="zh-CN"/>
        </w:rPr>
        <w:t>tabletes vakare.</w:t>
      </w:r>
    </w:p>
    <w:p w14:paraId="6A274F86" w14:textId="77777777" w:rsidR="00A27597" w:rsidRPr="00CE7679" w:rsidRDefault="00A27597" w:rsidP="00A27597">
      <w:pPr>
        <w:numPr>
          <w:ilvl w:val="12"/>
          <w:numId w:val="0"/>
        </w:numPr>
        <w:spacing w:line="240" w:lineRule="auto"/>
        <w:ind w:left="567"/>
        <w:rPr>
          <w:rFonts w:eastAsia="TimesNewRomanPSMT"/>
          <w:snapToGrid/>
          <w:szCs w:val="22"/>
          <w:highlight w:val="lightGray"/>
          <w:lang w:eastAsia="lt-LT"/>
        </w:rPr>
      </w:pPr>
      <w:r w:rsidRPr="00CE7679">
        <w:rPr>
          <w:rFonts w:eastAsia="TimesNewRomanPSMT"/>
          <w:snapToGrid/>
          <w:szCs w:val="22"/>
          <w:highlight w:val="lightGray"/>
          <w:lang w:eastAsia="lt-LT"/>
        </w:rPr>
        <w:t>Dozė yra 800</w:t>
      </w:r>
      <w:r w:rsidR="00EF69C8" w:rsidRPr="00CE7679">
        <w:rPr>
          <w:rFonts w:eastAsia="TimesNewRomanPSMT"/>
          <w:snapToGrid/>
          <w:szCs w:val="22"/>
          <w:highlight w:val="lightGray"/>
          <w:lang w:eastAsia="lt-LT"/>
        </w:rPr>
        <w:t> </w:t>
      </w:r>
      <w:r w:rsidRPr="00CE7679">
        <w:rPr>
          <w:rFonts w:eastAsia="TimesNewRomanPSMT"/>
          <w:snapToGrid/>
          <w:szCs w:val="22"/>
          <w:highlight w:val="lightGray"/>
          <w:lang w:eastAsia="lt-LT"/>
        </w:rPr>
        <w:t>mg (2</w:t>
      </w:r>
      <w:r w:rsidR="00EF69C8" w:rsidRPr="00CE7679">
        <w:rPr>
          <w:rFonts w:eastAsia="TimesNewRomanPSMT"/>
          <w:snapToGrid/>
          <w:szCs w:val="22"/>
          <w:highlight w:val="lightGray"/>
          <w:lang w:eastAsia="lt-LT"/>
        </w:rPr>
        <w:t> </w:t>
      </w:r>
      <w:r w:rsidRPr="00CE7679">
        <w:rPr>
          <w:rFonts w:eastAsia="TimesNewRomanPSMT"/>
          <w:snapToGrid/>
          <w:szCs w:val="22"/>
          <w:highlight w:val="lightGray"/>
          <w:lang w:eastAsia="lt-LT"/>
        </w:rPr>
        <w:t>tabletės) per parą, vartojant 1</w:t>
      </w:r>
      <w:r w:rsidR="00EF69C8" w:rsidRPr="00CE7679">
        <w:rPr>
          <w:rFonts w:eastAsia="TimesNewRomanPSMT"/>
          <w:snapToGrid/>
          <w:szCs w:val="22"/>
          <w:highlight w:val="lightGray"/>
          <w:lang w:eastAsia="lt-LT"/>
        </w:rPr>
        <w:t> </w:t>
      </w:r>
      <w:r w:rsidRPr="00CE7679">
        <w:rPr>
          <w:rFonts w:eastAsia="TimesNewRomanPSMT"/>
          <w:snapToGrid/>
          <w:szCs w:val="22"/>
          <w:highlight w:val="lightGray"/>
          <w:lang w:eastAsia="lt-LT"/>
        </w:rPr>
        <w:t>tabletę iš ryto ir 1</w:t>
      </w:r>
      <w:r w:rsidR="00EF69C8" w:rsidRPr="00CE7679">
        <w:rPr>
          <w:rFonts w:eastAsia="TimesNewRomanPSMT"/>
          <w:snapToGrid/>
          <w:szCs w:val="22"/>
          <w:highlight w:val="lightGray"/>
          <w:lang w:eastAsia="lt-LT"/>
        </w:rPr>
        <w:t> </w:t>
      </w:r>
      <w:r w:rsidRPr="00CE7679">
        <w:rPr>
          <w:rFonts w:eastAsia="TimesNewRomanPSMT"/>
          <w:snapToGrid/>
          <w:szCs w:val="22"/>
          <w:highlight w:val="lightGray"/>
          <w:lang w:eastAsia="lt-LT"/>
        </w:rPr>
        <w:t>tabletę vakare.</w:t>
      </w:r>
    </w:p>
    <w:p w14:paraId="0122B89A" w14:textId="77777777" w:rsidR="00A27597" w:rsidRPr="00CE7679" w:rsidRDefault="00A27597" w:rsidP="00A27597">
      <w:pPr>
        <w:numPr>
          <w:ilvl w:val="12"/>
          <w:numId w:val="0"/>
        </w:numPr>
        <w:spacing w:line="240" w:lineRule="auto"/>
        <w:rPr>
          <w:rFonts w:eastAsia="SimSun"/>
          <w:snapToGrid/>
          <w:szCs w:val="22"/>
          <w:lang w:eastAsia="zh-CN"/>
        </w:rPr>
      </w:pPr>
    </w:p>
    <w:p w14:paraId="2C109528" w14:textId="77777777" w:rsidR="00A27597" w:rsidRPr="00CE7679" w:rsidRDefault="00A27597" w:rsidP="00A27597">
      <w:pPr>
        <w:keepNext/>
        <w:spacing w:line="240" w:lineRule="auto"/>
        <w:jc w:val="both"/>
        <w:outlineLvl w:val="3"/>
        <w:rPr>
          <w:rFonts w:eastAsia="SimSun"/>
          <w:b/>
          <w:snapToGrid/>
          <w:szCs w:val="22"/>
        </w:rPr>
      </w:pPr>
      <w:r w:rsidRPr="00CE7679">
        <w:rPr>
          <w:rFonts w:eastAsia="SimSun"/>
          <w:b/>
          <w:snapToGrid/>
          <w:szCs w:val="22"/>
        </w:rPr>
        <w:t>Vartojimas vaikams ir paaugliams</w:t>
      </w:r>
    </w:p>
    <w:p w14:paraId="1336F5A1" w14:textId="77777777" w:rsidR="00A27597" w:rsidRPr="00CE7679" w:rsidRDefault="00A27597" w:rsidP="00A27597">
      <w:pPr>
        <w:numPr>
          <w:ilvl w:val="12"/>
          <w:numId w:val="0"/>
        </w:numPr>
        <w:spacing w:line="240" w:lineRule="auto"/>
        <w:rPr>
          <w:rFonts w:eastAsia="SimSun"/>
          <w:snapToGrid/>
          <w:szCs w:val="22"/>
          <w:lang w:eastAsia="zh-CN"/>
        </w:rPr>
      </w:pPr>
      <w:r w:rsidRPr="00CE7679">
        <w:rPr>
          <w:rFonts w:eastAsia="SimSun"/>
          <w:snapToGrid/>
          <w:szCs w:val="22"/>
          <w:lang w:eastAsia="zh-CN"/>
        </w:rPr>
        <w:t xml:space="preserve">Gydytojas nurodys, kiek </w:t>
      </w: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 xml:space="preserve"> tablečių reikia sugirdyti vaikui. Vartojama </w:t>
      </w: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 xml:space="preserve"> dozė priklausys nuo Jūsų vaiko būklės, kūno masės ir ūgio. Bendroji vaikų paros dozė turi neviršyti 800 mg gydant LML ir 600</w:t>
      </w:r>
      <w:r w:rsidR="00EF69C8" w:rsidRPr="00CE7679">
        <w:rPr>
          <w:rFonts w:eastAsia="SimSun"/>
          <w:snapToGrid/>
          <w:szCs w:val="22"/>
          <w:lang w:eastAsia="zh-CN"/>
        </w:rPr>
        <w:t> </w:t>
      </w:r>
      <w:r w:rsidRPr="00CE7679">
        <w:rPr>
          <w:rFonts w:eastAsia="SimSun"/>
          <w:snapToGrid/>
          <w:szCs w:val="22"/>
          <w:lang w:eastAsia="zh-CN"/>
        </w:rPr>
        <w:t xml:space="preserve">mg gydant </w:t>
      </w:r>
      <w:proofErr w:type="spellStart"/>
      <w:r w:rsidRPr="00CE7679">
        <w:rPr>
          <w:rFonts w:eastAsia="SimSun"/>
          <w:snapToGrid/>
          <w:szCs w:val="22"/>
          <w:lang w:eastAsia="zh-CN"/>
        </w:rPr>
        <w:t>Ph</w:t>
      </w:r>
      <w:proofErr w:type="spellEnd"/>
      <w:r w:rsidRPr="00CE7679">
        <w:rPr>
          <w:rFonts w:eastAsia="SimSun"/>
          <w:snapToGrid/>
          <w:szCs w:val="22"/>
          <w:lang w:eastAsia="zh-CN"/>
        </w:rPr>
        <w:t>+ ŪLL. Vaistą galima vartoti vieną kartą per parą arba paros dozę padalyti į dvi dalis (pusę dozės gerti iš ryto ir kitą pusę – vakare).</w:t>
      </w:r>
    </w:p>
    <w:p w14:paraId="3E79D527" w14:textId="77777777" w:rsidR="00A27597" w:rsidRPr="00CE7679" w:rsidRDefault="00A27597" w:rsidP="00A27597">
      <w:pPr>
        <w:numPr>
          <w:ilvl w:val="12"/>
          <w:numId w:val="0"/>
        </w:numPr>
        <w:spacing w:line="240" w:lineRule="auto"/>
        <w:rPr>
          <w:rFonts w:eastAsia="SimSun"/>
          <w:snapToGrid/>
          <w:szCs w:val="22"/>
          <w:lang w:eastAsia="zh-CN"/>
        </w:rPr>
      </w:pPr>
    </w:p>
    <w:p w14:paraId="62F30914" w14:textId="77777777" w:rsidR="00A27597" w:rsidRPr="00CE7679" w:rsidRDefault="00961430" w:rsidP="00A27597">
      <w:pPr>
        <w:numPr>
          <w:ilvl w:val="12"/>
          <w:numId w:val="0"/>
        </w:numPr>
        <w:spacing w:line="240" w:lineRule="auto"/>
        <w:rPr>
          <w:rFonts w:eastAsia="SimSun"/>
          <w:snapToGrid/>
          <w:szCs w:val="22"/>
          <w:lang w:eastAsia="zh-CN"/>
        </w:rPr>
      </w:pPr>
      <w:r w:rsidRPr="009122AE">
        <w:rPr>
          <w:rFonts w:eastAsia="SimSun"/>
          <w:snapToGrid/>
          <w:szCs w:val="22"/>
          <w:lang w:eastAsia="zh-CN"/>
        </w:rPr>
        <w:t>Plėvele dengtą t</w:t>
      </w:r>
      <w:r w:rsidR="00A27597" w:rsidRPr="009122AE">
        <w:rPr>
          <w:rFonts w:eastAsia="SimSun"/>
          <w:snapToGrid/>
          <w:szCs w:val="22"/>
          <w:lang w:eastAsia="zh-CN"/>
        </w:rPr>
        <w:t>abletę galima padalyti į lygias dozes.</w:t>
      </w:r>
    </w:p>
    <w:p w14:paraId="20B02693" w14:textId="77777777" w:rsidR="00A27597" w:rsidRPr="00CE7679" w:rsidRDefault="00A27597" w:rsidP="00A27597">
      <w:pPr>
        <w:numPr>
          <w:ilvl w:val="12"/>
          <w:numId w:val="0"/>
        </w:numPr>
        <w:spacing w:line="240" w:lineRule="auto"/>
        <w:rPr>
          <w:rFonts w:eastAsia="SimSun"/>
          <w:snapToGrid/>
          <w:szCs w:val="22"/>
          <w:lang w:eastAsia="zh-CN"/>
        </w:rPr>
      </w:pPr>
    </w:p>
    <w:p w14:paraId="20C494DE" w14:textId="77777777" w:rsidR="00A27597" w:rsidRPr="00CE7679" w:rsidRDefault="00A27597" w:rsidP="00A27597">
      <w:pPr>
        <w:numPr>
          <w:ilvl w:val="12"/>
          <w:numId w:val="0"/>
        </w:numPr>
        <w:spacing w:line="240" w:lineRule="auto"/>
        <w:rPr>
          <w:rFonts w:eastAsia="SimSun"/>
          <w:b/>
          <w:snapToGrid/>
          <w:szCs w:val="22"/>
          <w:lang w:eastAsia="zh-CN"/>
        </w:rPr>
      </w:pPr>
      <w:r w:rsidRPr="00CE7679">
        <w:rPr>
          <w:rFonts w:eastAsia="SimSun"/>
          <w:b/>
          <w:snapToGrid/>
          <w:szCs w:val="22"/>
          <w:lang w:eastAsia="zh-CN"/>
        </w:rPr>
        <w:t xml:space="preserve">Kada ir kaip vartoti </w:t>
      </w:r>
      <w:proofErr w:type="spellStart"/>
      <w:r w:rsidRPr="00CE7679">
        <w:rPr>
          <w:rFonts w:eastAsia="SimSun"/>
          <w:b/>
          <w:snapToGrid/>
          <w:szCs w:val="22"/>
          <w:lang w:eastAsia="zh-CN"/>
        </w:rPr>
        <w:t>Imatinib</w:t>
      </w:r>
      <w:proofErr w:type="spellEnd"/>
      <w:r w:rsidRPr="00CE7679">
        <w:rPr>
          <w:rFonts w:eastAsia="SimSun"/>
          <w:b/>
          <w:snapToGrid/>
          <w:szCs w:val="22"/>
          <w:lang w:eastAsia="zh-CN"/>
        </w:rPr>
        <w:t xml:space="preserve"> </w:t>
      </w:r>
      <w:proofErr w:type="spellStart"/>
      <w:r w:rsidRPr="00CE7679">
        <w:rPr>
          <w:rFonts w:eastAsia="SimSun"/>
          <w:b/>
          <w:snapToGrid/>
          <w:szCs w:val="22"/>
          <w:lang w:eastAsia="zh-CN"/>
        </w:rPr>
        <w:t>Sandoz</w:t>
      </w:r>
      <w:proofErr w:type="spellEnd"/>
    </w:p>
    <w:p w14:paraId="308FDCB8" w14:textId="77777777" w:rsidR="00A27597" w:rsidRPr="00CE7679" w:rsidRDefault="00A27597" w:rsidP="00A27597">
      <w:pPr>
        <w:numPr>
          <w:ilvl w:val="0"/>
          <w:numId w:val="44"/>
        </w:numPr>
        <w:tabs>
          <w:tab w:val="clear" w:pos="567"/>
        </w:tabs>
        <w:spacing w:after="200" w:line="240" w:lineRule="auto"/>
        <w:ind w:left="540" w:hanging="540"/>
        <w:contextualSpacing/>
        <w:rPr>
          <w:rFonts w:eastAsia="SimSun"/>
          <w:snapToGrid/>
          <w:szCs w:val="22"/>
          <w:lang w:eastAsia="zh-CN"/>
        </w:rPr>
      </w:pP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 xml:space="preserve"> gerkite valgio metu. Tai padės išvengti skrandžio sutrikimų vartojant </w:t>
      </w: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w:t>
      </w:r>
    </w:p>
    <w:p w14:paraId="1A13510B" w14:textId="77777777" w:rsidR="00A27597" w:rsidRPr="00CE7679" w:rsidRDefault="00A27597" w:rsidP="00A27597">
      <w:pPr>
        <w:numPr>
          <w:ilvl w:val="0"/>
          <w:numId w:val="44"/>
        </w:numPr>
        <w:tabs>
          <w:tab w:val="clear" w:pos="567"/>
        </w:tabs>
        <w:spacing w:after="200" w:line="240" w:lineRule="auto"/>
        <w:ind w:left="540" w:hanging="540"/>
        <w:contextualSpacing/>
        <w:rPr>
          <w:rFonts w:eastAsia="SimSun"/>
          <w:snapToGrid/>
          <w:szCs w:val="22"/>
          <w:lang w:eastAsia="zh-CN"/>
        </w:rPr>
      </w:pPr>
      <w:r w:rsidRPr="00CE7679">
        <w:rPr>
          <w:rFonts w:eastAsia="SimSun"/>
          <w:snapToGrid/>
          <w:szCs w:val="22"/>
          <w:lang w:eastAsia="zh-CN"/>
        </w:rPr>
        <w:t>Nurykite tabletę užgerdami didele stikline vandens.</w:t>
      </w:r>
    </w:p>
    <w:p w14:paraId="7218D06F" w14:textId="77777777" w:rsidR="00A27597" w:rsidRPr="00CE7679" w:rsidRDefault="00A27597" w:rsidP="00A27597">
      <w:pPr>
        <w:numPr>
          <w:ilvl w:val="12"/>
          <w:numId w:val="0"/>
        </w:numPr>
        <w:spacing w:line="240" w:lineRule="auto"/>
        <w:rPr>
          <w:rFonts w:eastAsia="SimSun"/>
          <w:snapToGrid/>
          <w:szCs w:val="22"/>
          <w:lang w:eastAsia="zh-CN"/>
        </w:rPr>
      </w:pPr>
    </w:p>
    <w:p w14:paraId="3D01306E" w14:textId="77777777" w:rsidR="00A27597" w:rsidRPr="00CE7679" w:rsidRDefault="00A27597" w:rsidP="00A27597">
      <w:pPr>
        <w:numPr>
          <w:ilvl w:val="12"/>
          <w:numId w:val="0"/>
        </w:numPr>
        <w:spacing w:line="240" w:lineRule="auto"/>
        <w:rPr>
          <w:rFonts w:eastAsia="SimSun"/>
          <w:snapToGrid/>
          <w:szCs w:val="22"/>
          <w:lang w:eastAsia="zh-CN"/>
        </w:rPr>
      </w:pPr>
      <w:r w:rsidRPr="00CE7679">
        <w:rPr>
          <w:rFonts w:eastAsia="SimSun"/>
          <w:snapToGrid/>
          <w:szCs w:val="22"/>
          <w:lang w:eastAsia="zh-CN"/>
        </w:rPr>
        <w:t>Jeigu negalite nuryti tablečių, jas galite ištirpinti stiklinėje negazuoto vandens ar obuolių sulčių:</w:t>
      </w:r>
    </w:p>
    <w:p w14:paraId="71ABBA68" w14:textId="77777777" w:rsidR="00A27597" w:rsidRPr="00CE7679" w:rsidRDefault="00A27597" w:rsidP="00A27597">
      <w:pPr>
        <w:numPr>
          <w:ilvl w:val="0"/>
          <w:numId w:val="46"/>
        </w:numPr>
        <w:tabs>
          <w:tab w:val="clear" w:pos="567"/>
          <w:tab w:val="left" w:pos="540"/>
        </w:tabs>
        <w:spacing w:line="240" w:lineRule="auto"/>
        <w:ind w:left="567" w:hanging="567"/>
        <w:rPr>
          <w:rFonts w:eastAsia="SimSun"/>
          <w:snapToGrid/>
          <w:szCs w:val="22"/>
          <w:lang w:eastAsia="zh-CN"/>
        </w:rPr>
      </w:pPr>
      <w:r w:rsidRPr="00CE7679">
        <w:rPr>
          <w:rFonts w:eastAsia="SimSun"/>
          <w:snapToGrid/>
          <w:szCs w:val="22"/>
          <w:lang w:eastAsia="zh-CN"/>
        </w:rPr>
        <w:t>Kiekvienai 100 mg tabletei vartokite maždaug 50 ml vandens ar sulčių.</w:t>
      </w:r>
    </w:p>
    <w:p w14:paraId="641B2ECD" w14:textId="77777777" w:rsidR="00A27597" w:rsidRPr="00CE7679" w:rsidRDefault="00A27597" w:rsidP="00A27597">
      <w:pPr>
        <w:numPr>
          <w:ilvl w:val="0"/>
          <w:numId w:val="46"/>
        </w:numPr>
        <w:tabs>
          <w:tab w:val="clear" w:pos="567"/>
          <w:tab w:val="left" w:pos="540"/>
        </w:tabs>
        <w:spacing w:line="240" w:lineRule="auto"/>
        <w:ind w:left="567" w:hanging="567"/>
        <w:rPr>
          <w:rFonts w:eastAsia="SimSun"/>
          <w:snapToGrid/>
          <w:szCs w:val="22"/>
          <w:highlight w:val="lightGray"/>
          <w:lang w:eastAsia="zh-CN"/>
        </w:rPr>
      </w:pPr>
      <w:r w:rsidRPr="00CE7679">
        <w:rPr>
          <w:rFonts w:eastAsia="SimSun"/>
          <w:snapToGrid/>
          <w:szCs w:val="22"/>
          <w:highlight w:val="lightGray"/>
          <w:lang w:eastAsia="zh-CN"/>
        </w:rPr>
        <w:t>Kiekvienai 400 mg tabletei vartokite maždaug 200 ml, o pusei 400 mg tabletės vartokite maždaug 100 ml vandens ar sulčių.</w:t>
      </w:r>
    </w:p>
    <w:p w14:paraId="01DF549B" w14:textId="77777777" w:rsidR="00A27597" w:rsidRPr="00CE7679" w:rsidRDefault="00A27597" w:rsidP="00A27597">
      <w:pPr>
        <w:numPr>
          <w:ilvl w:val="0"/>
          <w:numId w:val="46"/>
        </w:numPr>
        <w:tabs>
          <w:tab w:val="clear" w:pos="567"/>
          <w:tab w:val="left" w:pos="540"/>
        </w:tabs>
        <w:spacing w:line="240" w:lineRule="auto"/>
        <w:ind w:left="567" w:hanging="567"/>
        <w:rPr>
          <w:rFonts w:eastAsia="SimSun"/>
          <w:snapToGrid/>
          <w:szCs w:val="22"/>
          <w:lang w:eastAsia="zh-CN"/>
        </w:rPr>
      </w:pPr>
      <w:r w:rsidRPr="00CE7679">
        <w:rPr>
          <w:rFonts w:eastAsia="SimSun"/>
          <w:snapToGrid/>
          <w:szCs w:val="22"/>
          <w:lang w:eastAsia="zh-CN"/>
        </w:rPr>
        <w:t>Pamaišykite šaukštu, kol tabletės visiškai ištirps.</w:t>
      </w:r>
    </w:p>
    <w:p w14:paraId="6FBD6186" w14:textId="77777777" w:rsidR="00A27597" w:rsidRPr="00CE7679" w:rsidRDefault="00A27597" w:rsidP="00A27597">
      <w:pPr>
        <w:numPr>
          <w:ilvl w:val="0"/>
          <w:numId w:val="46"/>
        </w:numPr>
        <w:tabs>
          <w:tab w:val="clear" w:pos="567"/>
          <w:tab w:val="left" w:pos="540"/>
        </w:tabs>
        <w:spacing w:line="240" w:lineRule="auto"/>
        <w:ind w:left="567" w:hanging="567"/>
        <w:rPr>
          <w:rFonts w:eastAsia="SimSun"/>
          <w:snapToGrid/>
          <w:szCs w:val="22"/>
          <w:lang w:eastAsia="zh-CN"/>
        </w:rPr>
      </w:pPr>
      <w:r w:rsidRPr="00CE7679">
        <w:rPr>
          <w:rFonts w:eastAsia="SimSun"/>
          <w:snapToGrid/>
          <w:szCs w:val="22"/>
          <w:lang w:eastAsia="zh-CN"/>
        </w:rPr>
        <w:t>Kai tabletė ištirps, nedels</w:t>
      </w:r>
      <w:r w:rsidR="00801A47" w:rsidRPr="00CE7679">
        <w:rPr>
          <w:rFonts w:eastAsia="SimSun"/>
          <w:snapToGrid/>
          <w:szCs w:val="22"/>
          <w:lang w:eastAsia="zh-CN"/>
        </w:rPr>
        <w:t>dami</w:t>
      </w:r>
      <w:r w:rsidRPr="00CE7679">
        <w:rPr>
          <w:rFonts w:eastAsia="SimSun"/>
          <w:snapToGrid/>
          <w:szCs w:val="22"/>
          <w:lang w:eastAsia="zh-CN"/>
        </w:rPr>
        <w:t xml:space="preserve"> išgerkite visą stiklinės turinį. Stiklinės dugne gali likti ištirpusių tablečių pėdsakų.</w:t>
      </w:r>
    </w:p>
    <w:p w14:paraId="4F5339C2" w14:textId="77777777" w:rsidR="00A27597" w:rsidRPr="00CE7679" w:rsidRDefault="00A27597" w:rsidP="00A27597">
      <w:pPr>
        <w:numPr>
          <w:ilvl w:val="12"/>
          <w:numId w:val="0"/>
        </w:numPr>
        <w:spacing w:line="240" w:lineRule="auto"/>
        <w:rPr>
          <w:rFonts w:eastAsia="SimSun"/>
          <w:b/>
          <w:snapToGrid/>
          <w:szCs w:val="22"/>
          <w:lang w:eastAsia="zh-CN"/>
        </w:rPr>
      </w:pPr>
    </w:p>
    <w:p w14:paraId="46DB9D6B" w14:textId="77777777" w:rsidR="00A27597" w:rsidRPr="00CE7679" w:rsidRDefault="00A27597" w:rsidP="00A27597">
      <w:pPr>
        <w:numPr>
          <w:ilvl w:val="12"/>
          <w:numId w:val="0"/>
        </w:numPr>
        <w:spacing w:line="240" w:lineRule="auto"/>
        <w:rPr>
          <w:rFonts w:eastAsia="SimSun"/>
          <w:b/>
          <w:snapToGrid/>
          <w:szCs w:val="22"/>
          <w:lang w:eastAsia="zh-CN"/>
        </w:rPr>
      </w:pPr>
      <w:r w:rsidRPr="00CE7679">
        <w:rPr>
          <w:rFonts w:eastAsia="SimSun"/>
          <w:b/>
          <w:snapToGrid/>
          <w:szCs w:val="22"/>
          <w:lang w:eastAsia="zh-CN"/>
        </w:rPr>
        <w:t xml:space="preserve">Kaip ilgai vartoti </w:t>
      </w:r>
      <w:proofErr w:type="spellStart"/>
      <w:r w:rsidRPr="00CE7679">
        <w:rPr>
          <w:rFonts w:eastAsia="SimSun"/>
          <w:b/>
          <w:snapToGrid/>
          <w:szCs w:val="22"/>
          <w:lang w:eastAsia="zh-CN"/>
        </w:rPr>
        <w:t>Imatinib</w:t>
      </w:r>
      <w:proofErr w:type="spellEnd"/>
      <w:r w:rsidRPr="00CE7679">
        <w:rPr>
          <w:rFonts w:eastAsia="SimSun"/>
          <w:b/>
          <w:snapToGrid/>
          <w:szCs w:val="22"/>
          <w:lang w:eastAsia="zh-CN"/>
        </w:rPr>
        <w:t xml:space="preserve"> </w:t>
      </w:r>
      <w:proofErr w:type="spellStart"/>
      <w:r w:rsidRPr="00CE7679">
        <w:rPr>
          <w:rFonts w:eastAsia="SimSun"/>
          <w:b/>
          <w:snapToGrid/>
          <w:szCs w:val="22"/>
          <w:lang w:eastAsia="zh-CN"/>
        </w:rPr>
        <w:t>Sandoz</w:t>
      </w:r>
      <w:proofErr w:type="spellEnd"/>
    </w:p>
    <w:p w14:paraId="7232F8D2" w14:textId="77777777" w:rsidR="00A27597" w:rsidRPr="00CE7679" w:rsidRDefault="00A27597" w:rsidP="00A27597">
      <w:pPr>
        <w:numPr>
          <w:ilvl w:val="12"/>
          <w:numId w:val="0"/>
        </w:numPr>
        <w:spacing w:line="240" w:lineRule="auto"/>
        <w:rPr>
          <w:rFonts w:eastAsia="SimSun"/>
          <w:snapToGrid/>
          <w:szCs w:val="22"/>
          <w:lang w:eastAsia="zh-CN"/>
        </w:rPr>
      </w:pP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 xml:space="preserve"> vartokite kasdien, tiek laiko, kiek nurodė Jūsų gydytojas.</w:t>
      </w:r>
    </w:p>
    <w:p w14:paraId="28808029" w14:textId="77777777" w:rsidR="00A27597" w:rsidRPr="00CE7679" w:rsidRDefault="00A27597" w:rsidP="00A27597">
      <w:pPr>
        <w:numPr>
          <w:ilvl w:val="12"/>
          <w:numId w:val="0"/>
        </w:numPr>
        <w:spacing w:line="240" w:lineRule="auto"/>
        <w:rPr>
          <w:rFonts w:eastAsia="SimSun"/>
          <w:b/>
          <w:snapToGrid/>
          <w:szCs w:val="22"/>
          <w:lang w:eastAsia="zh-CN"/>
        </w:rPr>
      </w:pPr>
    </w:p>
    <w:p w14:paraId="64C15FB6" w14:textId="77777777" w:rsidR="00A27597" w:rsidRPr="00CE7679" w:rsidRDefault="00A27597" w:rsidP="00F30108">
      <w:pPr>
        <w:keepNext/>
        <w:numPr>
          <w:ilvl w:val="12"/>
          <w:numId w:val="0"/>
        </w:numPr>
        <w:spacing w:line="240" w:lineRule="auto"/>
        <w:rPr>
          <w:rFonts w:eastAsia="SimSun"/>
          <w:b/>
          <w:snapToGrid/>
          <w:szCs w:val="22"/>
          <w:lang w:eastAsia="zh-CN"/>
        </w:rPr>
      </w:pPr>
      <w:r w:rsidRPr="00CE7679">
        <w:rPr>
          <w:rFonts w:eastAsia="SimSun"/>
          <w:b/>
          <w:snapToGrid/>
          <w:szCs w:val="22"/>
          <w:lang w:eastAsia="zh-CN"/>
        </w:rPr>
        <w:lastRenderedPageBreak/>
        <w:t xml:space="preserve">Ką daryti pavartojus per didelę </w:t>
      </w:r>
      <w:proofErr w:type="spellStart"/>
      <w:r w:rsidRPr="00CE7679">
        <w:rPr>
          <w:rFonts w:eastAsia="SimSun"/>
          <w:b/>
          <w:snapToGrid/>
          <w:szCs w:val="22"/>
          <w:lang w:eastAsia="zh-CN"/>
        </w:rPr>
        <w:t>Imatinib</w:t>
      </w:r>
      <w:proofErr w:type="spellEnd"/>
      <w:r w:rsidRPr="00CE7679">
        <w:rPr>
          <w:rFonts w:eastAsia="SimSun"/>
          <w:b/>
          <w:snapToGrid/>
          <w:szCs w:val="22"/>
          <w:lang w:eastAsia="zh-CN"/>
        </w:rPr>
        <w:t xml:space="preserve"> </w:t>
      </w:r>
      <w:proofErr w:type="spellStart"/>
      <w:r w:rsidRPr="00CE7679">
        <w:rPr>
          <w:rFonts w:eastAsia="SimSun"/>
          <w:b/>
          <w:snapToGrid/>
          <w:szCs w:val="22"/>
          <w:lang w:eastAsia="zh-CN"/>
        </w:rPr>
        <w:t>Sandoz</w:t>
      </w:r>
      <w:proofErr w:type="spellEnd"/>
      <w:r w:rsidRPr="00CE7679">
        <w:rPr>
          <w:rFonts w:eastAsia="SimSun"/>
          <w:b/>
          <w:snapToGrid/>
          <w:szCs w:val="22"/>
          <w:lang w:eastAsia="zh-CN"/>
        </w:rPr>
        <w:t xml:space="preserve"> dozę?</w:t>
      </w:r>
    </w:p>
    <w:p w14:paraId="6981B982" w14:textId="77777777" w:rsidR="00A27597" w:rsidRPr="00CE7679" w:rsidRDefault="00A27597" w:rsidP="00A27597">
      <w:pPr>
        <w:numPr>
          <w:ilvl w:val="12"/>
          <w:numId w:val="0"/>
        </w:numPr>
        <w:spacing w:line="240" w:lineRule="auto"/>
        <w:rPr>
          <w:rFonts w:eastAsia="SimSun"/>
          <w:snapToGrid/>
          <w:szCs w:val="22"/>
          <w:lang w:eastAsia="zh-CN"/>
        </w:rPr>
      </w:pPr>
      <w:r w:rsidRPr="00CE7679">
        <w:rPr>
          <w:rFonts w:eastAsia="SimSun"/>
          <w:snapToGrid/>
          <w:szCs w:val="22"/>
          <w:lang w:eastAsia="zh-CN"/>
        </w:rPr>
        <w:t xml:space="preserve">Jei atsitiktinai išgėrėte per daug tablečių, </w:t>
      </w:r>
      <w:r w:rsidRPr="00CE7679">
        <w:rPr>
          <w:rFonts w:eastAsia="SimSun"/>
          <w:b/>
          <w:snapToGrid/>
          <w:szCs w:val="22"/>
          <w:lang w:eastAsia="zh-CN"/>
        </w:rPr>
        <w:t>nedels</w:t>
      </w:r>
      <w:r w:rsidR="00801A47" w:rsidRPr="00CE7679">
        <w:rPr>
          <w:rFonts w:eastAsia="SimSun"/>
          <w:b/>
          <w:snapToGrid/>
          <w:szCs w:val="22"/>
          <w:lang w:eastAsia="zh-CN"/>
        </w:rPr>
        <w:t>dami</w:t>
      </w:r>
      <w:r w:rsidRPr="00CE7679">
        <w:rPr>
          <w:rFonts w:eastAsia="SimSun"/>
          <w:b/>
          <w:snapToGrid/>
          <w:szCs w:val="22"/>
          <w:lang w:eastAsia="zh-CN"/>
        </w:rPr>
        <w:t xml:space="preserve"> </w:t>
      </w:r>
      <w:r w:rsidRPr="00CE7679">
        <w:rPr>
          <w:rFonts w:eastAsia="SimSun"/>
          <w:snapToGrid/>
          <w:szCs w:val="22"/>
          <w:lang w:eastAsia="zh-CN"/>
        </w:rPr>
        <w:t>kreipkitės į gydytoją. Jums gali prireikti medicininės pagalbos. Pasiimkite su savimi vaisto pakuotę.</w:t>
      </w:r>
    </w:p>
    <w:p w14:paraId="30B69BC0" w14:textId="77777777" w:rsidR="00A27597" w:rsidRPr="00CE7679" w:rsidRDefault="00A27597" w:rsidP="00A27597">
      <w:pPr>
        <w:numPr>
          <w:ilvl w:val="12"/>
          <w:numId w:val="0"/>
        </w:numPr>
        <w:spacing w:line="240" w:lineRule="auto"/>
        <w:rPr>
          <w:rFonts w:eastAsia="SimSun"/>
          <w:snapToGrid/>
          <w:szCs w:val="22"/>
          <w:lang w:eastAsia="zh-CN"/>
        </w:rPr>
      </w:pPr>
    </w:p>
    <w:p w14:paraId="6881E153" w14:textId="77777777" w:rsidR="00A27597" w:rsidRPr="00CE7679" w:rsidRDefault="00A27597" w:rsidP="00A27597">
      <w:pPr>
        <w:numPr>
          <w:ilvl w:val="12"/>
          <w:numId w:val="0"/>
        </w:numPr>
        <w:spacing w:line="240" w:lineRule="auto"/>
        <w:rPr>
          <w:rFonts w:eastAsia="SimSun"/>
          <w:b/>
          <w:snapToGrid/>
          <w:szCs w:val="22"/>
          <w:lang w:eastAsia="zh-CN"/>
        </w:rPr>
      </w:pPr>
      <w:r w:rsidRPr="00CE7679">
        <w:rPr>
          <w:rFonts w:eastAsia="SimSun"/>
          <w:b/>
          <w:snapToGrid/>
          <w:szCs w:val="22"/>
          <w:lang w:eastAsia="zh-CN"/>
        </w:rPr>
        <w:t xml:space="preserve">Pamiršus pavartoti </w:t>
      </w:r>
      <w:proofErr w:type="spellStart"/>
      <w:r w:rsidRPr="00CE7679">
        <w:rPr>
          <w:rFonts w:eastAsia="SimSun"/>
          <w:b/>
          <w:snapToGrid/>
          <w:szCs w:val="22"/>
          <w:lang w:eastAsia="zh-CN"/>
        </w:rPr>
        <w:t>Imatinib</w:t>
      </w:r>
      <w:proofErr w:type="spellEnd"/>
      <w:r w:rsidRPr="00CE7679">
        <w:rPr>
          <w:rFonts w:eastAsia="SimSun"/>
          <w:b/>
          <w:snapToGrid/>
          <w:szCs w:val="22"/>
          <w:lang w:eastAsia="zh-CN"/>
        </w:rPr>
        <w:t xml:space="preserve"> </w:t>
      </w:r>
      <w:proofErr w:type="spellStart"/>
      <w:r w:rsidRPr="00CE7679">
        <w:rPr>
          <w:rFonts w:eastAsia="SimSun"/>
          <w:b/>
          <w:snapToGrid/>
          <w:szCs w:val="22"/>
          <w:lang w:eastAsia="zh-CN"/>
        </w:rPr>
        <w:t>Sandoz</w:t>
      </w:r>
      <w:proofErr w:type="spellEnd"/>
    </w:p>
    <w:p w14:paraId="59AE1F6B" w14:textId="77777777" w:rsidR="00A27597" w:rsidRPr="00CE7679" w:rsidRDefault="00A27597" w:rsidP="00A27597">
      <w:pPr>
        <w:numPr>
          <w:ilvl w:val="0"/>
          <w:numId w:val="47"/>
        </w:numPr>
        <w:tabs>
          <w:tab w:val="clear" w:pos="567"/>
        </w:tabs>
        <w:spacing w:after="200" w:line="240" w:lineRule="auto"/>
        <w:ind w:left="567" w:hanging="567"/>
        <w:contextualSpacing/>
        <w:rPr>
          <w:rFonts w:eastAsia="SimSun"/>
          <w:snapToGrid/>
          <w:szCs w:val="22"/>
          <w:lang w:eastAsia="zh-CN"/>
        </w:rPr>
      </w:pPr>
      <w:r w:rsidRPr="00CE7679">
        <w:rPr>
          <w:rFonts w:eastAsia="SimSun"/>
          <w:snapToGrid/>
          <w:szCs w:val="22"/>
          <w:lang w:eastAsia="zh-CN"/>
        </w:rPr>
        <w:t xml:space="preserve">Pamiršus pavartoti vaisto dozę, ją išgerkite kai tik prisiminėte. Tačiau jei jau beveik laikas gerti kitą dozę, praleistos dozės nevartokite. </w:t>
      </w:r>
    </w:p>
    <w:p w14:paraId="07F825CA" w14:textId="77777777" w:rsidR="00A27597" w:rsidRPr="00CE7679" w:rsidRDefault="00A27597" w:rsidP="00A27597">
      <w:pPr>
        <w:numPr>
          <w:ilvl w:val="0"/>
          <w:numId w:val="47"/>
        </w:numPr>
        <w:tabs>
          <w:tab w:val="clear" w:pos="567"/>
        </w:tabs>
        <w:spacing w:after="200" w:line="240" w:lineRule="auto"/>
        <w:ind w:left="567" w:hanging="567"/>
        <w:contextualSpacing/>
        <w:rPr>
          <w:rFonts w:eastAsia="Calibri"/>
          <w:snapToGrid/>
          <w:szCs w:val="22"/>
          <w:lang w:eastAsia="zh-CN"/>
        </w:rPr>
      </w:pPr>
      <w:r w:rsidRPr="00CE7679">
        <w:rPr>
          <w:rFonts w:eastAsia="Calibri"/>
          <w:snapToGrid/>
          <w:szCs w:val="22"/>
          <w:lang w:eastAsia="zh-CN"/>
        </w:rPr>
        <w:t>Po to tęskite vaisto vartojimą įprastu režimu.</w:t>
      </w:r>
    </w:p>
    <w:p w14:paraId="55CE68A9" w14:textId="77777777" w:rsidR="00A27597" w:rsidRPr="00CE7679" w:rsidRDefault="00A27597" w:rsidP="00A27597">
      <w:pPr>
        <w:numPr>
          <w:ilvl w:val="0"/>
          <w:numId w:val="47"/>
        </w:numPr>
        <w:tabs>
          <w:tab w:val="clear" w:pos="567"/>
        </w:tabs>
        <w:spacing w:after="200" w:line="240" w:lineRule="auto"/>
        <w:ind w:left="567" w:hanging="567"/>
        <w:contextualSpacing/>
        <w:rPr>
          <w:rFonts w:eastAsia="SimSun"/>
          <w:snapToGrid/>
          <w:szCs w:val="22"/>
          <w:lang w:eastAsia="zh-CN"/>
        </w:rPr>
      </w:pPr>
      <w:r w:rsidRPr="00CE7679">
        <w:rPr>
          <w:rFonts w:eastAsia="SimSun"/>
          <w:snapToGrid/>
          <w:szCs w:val="22"/>
          <w:lang w:eastAsia="zh-CN"/>
        </w:rPr>
        <w:t>Negalima vartoti dvigubos dozės norint kompensuoti praleistą dozę.</w:t>
      </w:r>
    </w:p>
    <w:p w14:paraId="6A91F0A9" w14:textId="77777777" w:rsidR="00A27597" w:rsidRPr="00CE7679" w:rsidRDefault="00A27597" w:rsidP="00A27597">
      <w:pPr>
        <w:numPr>
          <w:ilvl w:val="12"/>
          <w:numId w:val="0"/>
        </w:numPr>
        <w:spacing w:line="240" w:lineRule="auto"/>
        <w:rPr>
          <w:rFonts w:eastAsia="SimSun"/>
          <w:snapToGrid/>
          <w:szCs w:val="22"/>
          <w:lang w:eastAsia="zh-CN"/>
        </w:rPr>
      </w:pPr>
    </w:p>
    <w:p w14:paraId="7BCA785B" w14:textId="77777777" w:rsidR="00A27597" w:rsidRPr="00CE7679" w:rsidRDefault="00A27597" w:rsidP="00A27597">
      <w:pPr>
        <w:numPr>
          <w:ilvl w:val="12"/>
          <w:numId w:val="0"/>
        </w:numPr>
        <w:spacing w:line="240" w:lineRule="auto"/>
        <w:rPr>
          <w:rFonts w:eastAsia="SimSun"/>
          <w:snapToGrid/>
          <w:szCs w:val="22"/>
          <w:lang w:eastAsia="zh-CN"/>
        </w:rPr>
      </w:pPr>
      <w:r w:rsidRPr="00CE7679">
        <w:rPr>
          <w:rFonts w:eastAsia="SimSun"/>
          <w:snapToGrid/>
          <w:szCs w:val="22"/>
          <w:lang w:eastAsia="zh-CN"/>
        </w:rPr>
        <w:t>Jeigu kiltų daugiau klausimų dėl šio vaisto vartojimo, kreipkitės į gydytoją, vaistininką arba slaugytoją.</w:t>
      </w:r>
    </w:p>
    <w:p w14:paraId="217829A8" w14:textId="77777777" w:rsidR="00A27597" w:rsidRPr="00CE7679" w:rsidRDefault="00A27597" w:rsidP="00A27597">
      <w:pPr>
        <w:numPr>
          <w:ilvl w:val="12"/>
          <w:numId w:val="0"/>
        </w:numPr>
        <w:spacing w:line="240" w:lineRule="auto"/>
        <w:rPr>
          <w:rFonts w:eastAsia="SimSun"/>
          <w:snapToGrid/>
          <w:szCs w:val="22"/>
          <w:lang w:eastAsia="zh-CN"/>
        </w:rPr>
      </w:pPr>
    </w:p>
    <w:p w14:paraId="19E2C968" w14:textId="77777777" w:rsidR="00A27597" w:rsidRPr="00CE7679" w:rsidRDefault="00A27597" w:rsidP="00A27597">
      <w:pPr>
        <w:numPr>
          <w:ilvl w:val="12"/>
          <w:numId w:val="0"/>
        </w:numPr>
        <w:spacing w:line="240" w:lineRule="auto"/>
        <w:rPr>
          <w:rFonts w:eastAsia="SimSun"/>
          <w:snapToGrid/>
          <w:szCs w:val="22"/>
          <w:lang w:eastAsia="zh-CN"/>
        </w:rPr>
      </w:pPr>
    </w:p>
    <w:p w14:paraId="2C55572D" w14:textId="77777777" w:rsidR="00A27597" w:rsidRPr="00CE7679" w:rsidRDefault="00A27597" w:rsidP="00A27597">
      <w:pPr>
        <w:keepNext/>
        <w:keepLines/>
        <w:spacing w:line="240" w:lineRule="auto"/>
        <w:outlineLvl w:val="2"/>
        <w:rPr>
          <w:rFonts w:eastAsia="SimSun"/>
          <w:b/>
          <w:bCs/>
          <w:snapToGrid/>
          <w:szCs w:val="22"/>
          <w:lang w:eastAsia="zh-CN"/>
        </w:rPr>
      </w:pPr>
      <w:r w:rsidRPr="00CE7679">
        <w:rPr>
          <w:rFonts w:eastAsia="SimSun"/>
          <w:b/>
          <w:bCs/>
          <w:snapToGrid/>
          <w:szCs w:val="22"/>
          <w:lang w:eastAsia="zh-CN"/>
        </w:rPr>
        <w:t>4.</w:t>
      </w:r>
      <w:r w:rsidRPr="00CE7679">
        <w:rPr>
          <w:rFonts w:eastAsia="SimSun"/>
          <w:b/>
          <w:bCs/>
          <w:snapToGrid/>
          <w:szCs w:val="22"/>
          <w:lang w:eastAsia="zh-CN"/>
        </w:rPr>
        <w:tab/>
        <w:t>Galimas šalutinis poveikis</w:t>
      </w:r>
    </w:p>
    <w:p w14:paraId="60FE1C42" w14:textId="77777777" w:rsidR="00A27597" w:rsidRPr="00CE7679" w:rsidRDefault="00A27597" w:rsidP="00A27597">
      <w:pPr>
        <w:numPr>
          <w:ilvl w:val="12"/>
          <w:numId w:val="0"/>
        </w:numPr>
        <w:spacing w:line="240" w:lineRule="auto"/>
        <w:rPr>
          <w:rFonts w:eastAsia="SimSun"/>
          <w:snapToGrid/>
          <w:szCs w:val="22"/>
          <w:lang w:eastAsia="zh-CN"/>
        </w:rPr>
      </w:pPr>
    </w:p>
    <w:p w14:paraId="0F8EF1B0" w14:textId="77777777" w:rsidR="00A27597" w:rsidRPr="00CE7679" w:rsidRDefault="00A27597" w:rsidP="00A27597">
      <w:pPr>
        <w:numPr>
          <w:ilvl w:val="12"/>
          <w:numId w:val="0"/>
        </w:numPr>
        <w:spacing w:line="240" w:lineRule="auto"/>
        <w:rPr>
          <w:rFonts w:eastAsia="SimSun"/>
          <w:snapToGrid/>
          <w:szCs w:val="22"/>
          <w:lang w:eastAsia="zh-CN"/>
        </w:rPr>
      </w:pPr>
      <w:r w:rsidRPr="00CE7679">
        <w:rPr>
          <w:rFonts w:eastAsia="SimSun"/>
          <w:snapToGrid/>
          <w:szCs w:val="22"/>
          <w:lang w:eastAsia="zh-CN"/>
        </w:rPr>
        <w:t>Šis vaistas, kaip ir visi kiti, gali sukelti šalutinį poveikį, nors jis pasireiškia ne visiems žmonėms. Paprastai jis būna nesunkus ar vidutinio sunkumo.</w:t>
      </w:r>
    </w:p>
    <w:p w14:paraId="79DA9B04" w14:textId="77777777" w:rsidR="00A27597" w:rsidRPr="00CE7679" w:rsidRDefault="00A27597" w:rsidP="00A27597">
      <w:pPr>
        <w:numPr>
          <w:ilvl w:val="12"/>
          <w:numId w:val="0"/>
        </w:numPr>
        <w:spacing w:line="240" w:lineRule="auto"/>
        <w:rPr>
          <w:rFonts w:eastAsia="SimSun"/>
          <w:snapToGrid/>
          <w:szCs w:val="22"/>
          <w:lang w:eastAsia="zh-CN"/>
        </w:rPr>
      </w:pPr>
    </w:p>
    <w:p w14:paraId="5279DD7E" w14:textId="77777777" w:rsidR="00A27597" w:rsidRPr="00CE7679" w:rsidRDefault="00A27597" w:rsidP="00A27597">
      <w:pPr>
        <w:numPr>
          <w:ilvl w:val="12"/>
          <w:numId w:val="0"/>
        </w:numPr>
        <w:spacing w:line="240" w:lineRule="auto"/>
        <w:rPr>
          <w:rFonts w:eastAsia="SimSun"/>
          <w:b/>
          <w:snapToGrid/>
          <w:szCs w:val="22"/>
        </w:rPr>
      </w:pPr>
      <w:r w:rsidRPr="00CE7679">
        <w:rPr>
          <w:rFonts w:eastAsia="SimSun"/>
          <w:b/>
          <w:snapToGrid/>
          <w:szCs w:val="22"/>
        </w:rPr>
        <w:t>Kai kuris šalutinis poveikis gali būti sunkus. Nedels</w:t>
      </w:r>
      <w:r w:rsidR="00801A47" w:rsidRPr="00CE7679">
        <w:rPr>
          <w:rFonts w:eastAsia="SimSun"/>
          <w:b/>
          <w:snapToGrid/>
          <w:szCs w:val="22"/>
        </w:rPr>
        <w:t>dami</w:t>
      </w:r>
      <w:r w:rsidRPr="00CE7679">
        <w:rPr>
          <w:rFonts w:eastAsia="SimSun"/>
          <w:b/>
          <w:snapToGrid/>
          <w:szCs w:val="22"/>
        </w:rPr>
        <w:t xml:space="preserve"> pasakykite gydytojui, jeigu Jums būtų kuris nors iš šių atvejų.</w:t>
      </w:r>
    </w:p>
    <w:p w14:paraId="2832FA20" w14:textId="77777777" w:rsidR="00A27597" w:rsidRPr="00CE7679" w:rsidRDefault="00A27597" w:rsidP="00A27597">
      <w:pPr>
        <w:numPr>
          <w:ilvl w:val="12"/>
          <w:numId w:val="0"/>
        </w:numPr>
        <w:spacing w:line="240" w:lineRule="auto"/>
        <w:rPr>
          <w:rFonts w:eastAsia="SimSun"/>
          <w:snapToGrid/>
          <w:szCs w:val="22"/>
        </w:rPr>
      </w:pPr>
    </w:p>
    <w:p w14:paraId="46B25ED0" w14:textId="428B35F3" w:rsidR="00A27597" w:rsidRPr="007541DA" w:rsidRDefault="009A013E" w:rsidP="00A27597">
      <w:pPr>
        <w:numPr>
          <w:ilvl w:val="12"/>
          <w:numId w:val="0"/>
        </w:numPr>
        <w:spacing w:line="240" w:lineRule="auto"/>
        <w:rPr>
          <w:rFonts w:eastAsia="SimSun"/>
          <w:b/>
          <w:snapToGrid/>
          <w:szCs w:val="22"/>
        </w:rPr>
      </w:pPr>
      <w:r w:rsidRPr="007541DA">
        <w:rPr>
          <w:b/>
          <w:bCs/>
          <w:noProof/>
          <w:szCs w:val="22"/>
        </w:rPr>
        <w:t>Labai dažni šalutinio poveikio reiškiniai (gali pasireikšti ne rečiau kaip 1 iš 10</w:t>
      </w:r>
      <w:r w:rsidR="00EF0C5F">
        <w:rPr>
          <w:b/>
          <w:bCs/>
          <w:noProof/>
          <w:szCs w:val="22"/>
        </w:rPr>
        <w:t> </w:t>
      </w:r>
      <w:r w:rsidRPr="007541DA">
        <w:rPr>
          <w:b/>
          <w:bCs/>
          <w:noProof/>
          <w:szCs w:val="22"/>
        </w:rPr>
        <w:t>asmenų)</w:t>
      </w:r>
      <w:r w:rsidR="00A27597" w:rsidRPr="007541DA">
        <w:rPr>
          <w:rFonts w:eastAsia="SimSun"/>
          <w:b/>
          <w:snapToGrid/>
          <w:szCs w:val="22"/>
        </w:rPr>
        <w:t xml:space="preserve"> ir </w:t>
      </w:r>
      <w:r w:rsidRPr="007541DA">
        <w:rPr>
          <w:rFonts w:eastAsia="SimSun"/>
          <w:b/>
          <w:snapToGrid/>
          <w:szCs w:val="22"/>
        </w:rPr>
        <w:t>d</w:t>
      </w:r>
      <w:r w:rsidRPr="007541DA">
        <w:rPr>
          <w:b/>
          <w:bCs/>
          <w:noProof/>
          <w:szCs w:val="22"/>
        </w:rPr>
        <w:t>ažni šalutinio poveikio reiškiniai (gali pasireikšti rečiau kaip 1 iš 10</w:t>
      </w:r>
      <w:r w:rsidR="00EF0C5F">
        <w:rPr>
          <w:b/>
          <w:bCs/>
          <w:noProof/>
          <w:szCs w:val="22"/>
        </w:rPr>
        <w:t> </w:t>
      </w:r>
      <w:r w:rsidRPr="007541DA">
        <w:rPr>
          <w:b/>
          <w:bCs/>
          <w:noProof/>
          <w:szCs w:val="22"/>
        </w:rPr>
        <w:t>asmenų)</w:t>
      </w:r>
      <w:r w:rsidR="00A27597" w:rsidRPr="007541DA">
        <w:rPr>
          <w:rFonts w:eastAsia="SimSun"/>
          <w:b/>
          <w:snapToGrid/>
          <w:szCs w:val="22"/>
        </w:rPr>
        <w:t>:</w:t>
      </w:r>
    </w:p>
    <w:p w14:paraId="43EC2C73" w14:textId="0D2C2873" w:rsidR="00A27597" w:rsidRPr="007541DA" w:rsidRDefault="00A27597" w:rsidP="00A27597">
      <w:pPr>
        <w:numPr>
          <w:ilvl w:val="0"/>
          <w:numId w:val="48"/>
        </w:numPr>
        <w:tabs>
          <w:tab w:val="clear" w:pos="567"/>
        </w:tabs>
        <w:spacing w:line="240" w:lineRule="auto"/>
        <w:ind w:left="567" w:hanging="567"/>
        <w:rPr>
          <w:rFonts w:eastAsia="SimSun"/>
          <w:snapToGrid/>
          <w:szCs w:val="22"/>
        </w:rPr>
      </w:pPr>
      <w:r w:rsidRPr="007541DA">
        <w:rPr>
          <w:rFonts w:eastAsia="SimSun"/>
          <w:snapToGrid/>
          <w:szCs w:val="22"/>
        </w:rPr>
        <w:t xml:space="preserve">Greitas kūno svorio didėjimas. Vartojant </w:t>
      </w:r>
      <w:proofErr w:type="spellStart"/>
      <w:r w:rsidRPr="007541DA">
        <w:rPr>
          <w:rFonts w:eastAsia="SimSun"/>
          <w:snapToGrid/>
          <w:szCs w:val="22"/>
        </w:rPr>
        <w:t>Imatinib</w:t>
      </w:r>
      <w:proofErr w:type="spellEnd"/>
      <w:r w:rsidRPr="007541DA">
        <w:rPr>
          <w:rFonts w:eastAsia="SimSun"/>
          <w:snapToGrid/>
          <w:szCs w:val="22"/>
        </w:rPr>
        <w:t xml:space="preserve"> </w:t>
      </w:r>
      <w:proofErr w:type="spellStart"/>
      <w:r w:rsidRPr="007541DA">
        <w:rPr>
          <w:rFonts w:eastAsia="SimSun"/>
          <w:snapToGrid/>
          <w:szCs w:val="22"/>
        </w:rPr>
        <w:t>Sandoz</w:t>
      </w:r>
      <w:proofErr w:type="spellEnd"/>
      <w:r w:rsidRPr="007541DA">
        <w:rPr>
          <w:rFonts w:eastAsia="SimSun"/>
          <w:snapToGrid/>
          <w:szCs w:val="22"/>
        </w:rPr>
        <w:t xml:space="preserve"> organizme gali pradėti kauptis vanduo (t.</w:t>
      </w:r>
      <w:r w:rsidR="00504739">
        <w:rPr>
          <w:rFonts w:eastAsia="SimSun"/>
          <w:snapToGrid/>
          <w:szCs w:val="22"/>
        </w:rPr>
        <w:t xml:space="preserve"> </w:t>
      </w:r>
      <w:r w:rsidRPr="007541DA">
        <w:rPr>
          <w:rFonts w:eastAsia="SimSun"/>
          <w:snapToGrid/>
          <w:szCs w:val="22"/>
        </w:rPr>
        <w:t>y. pasireikšti sunkus skysčio susilaikymas).</w:t>
      </w:r>
    </w:p>
    <w:p w14:paraId="56721E47" w14:textId="77777777" w:rsidR="00A27597" w:rsidRPr="007541DA" w:rsidRDefault="00A27597" w:rsidP="00A27597">
      <w:pPr>
        <w:numPr>
          <w:ilvl w:val="0"/>
          <w:numId w:val="15"/>
        </w:numPr>
        <w:tabs>
          <w:tab w:val="clear" w:pos="567"/>
        </w:tabs>
        <w:spacing w:line="240" w:lineRule="auto"/>
        <w:ind w:left="567" w:hanging="567"/>
        <w:rPr>
          <w:rFonts w:eastAsia="SimSun"/>
          <w:snapToGrid/>
          <w:szCs w:val="22"/>
        </w:rPr>
      </w:pPr>
      <w:r w:rsidRPr="007541DA">
        <w:rPr>
          <w:rFonts w:eastAsia="SimSun"/>
          <w:snapToGrid/>
          <w:szCs w:val="22"/>
        </w:rPr>
        <w:t xml:space="preserve">Infekcijos požymiai – pavyzdžiui, karščiavimas, stiprus drebulys, gerklės skausmas ar burnos išopėjimas. </w:t>
      </w:r>
      <w:proofErr w:type="spellStart"/>
      <w:r w:rsidRPr="007541DA">
        <w:rPr>
          <w:rFonts w:eastAsia="SimSun"/>
          <w:snapToGrid/>
          <w:szCs w:val="22"/>
        </w:rPr>
        <w:t>Imatinib</w:t>
      </w:r>
      <w:proofErr w:type="spellEnd"/>
      <w:r w:rsidRPr="007541DA">
        <w:rPr>
          <w:rFonts w:eastAsia="SimSun"/>
          <w:snapToGrid/>
          <w:szCs w:val="22"/>
        </w:rPr>
        <w:t xml:space="preserve"> </w:t>
      </w:r>
      <w:proofErr w:type="spellStart"/>
      <w:r w:rsidRPr="007541DA">
        <w:rPr>
          <w:rFonts w:eastAsia="SimSun"/>
          <w:snapToGrid/>
          <w:szCs w:val="22"/>
        </w:rPr>
        <w:t>Sandoz</w:t>
      </w:r>
      <w:proofErr w:type="spellEnd"/>
      <w:r w:rsidRPr="007541DA">
        <w:rPr>
          <w:rFonts w:eastAsia="SimSun"/>
          <w:snapToGrid/>
          <w:szCs w:val="22"/>
        </w:rPr>
        <w:t xml:space="preserve"> gali sumažinti baltųjų kraujo kūnelių skaičių, todėl galite lengviau užsikrėsti infekcine liga.</w:t>
      </w:r>
    </w:p>
    <w:p w14:paraId="73007636" w14:textId="77777777" w:rsidR="00A27597" w:rsidRPr="007541DA" w:rsidRDefault="00A27597" w:rsidP="00A27597">
      <w:pPr>
        <w:numPr>
          <w:ilvl w:val="0"/>
          <w:numId w:val="15"/>
        </w:numPr>
        <w:tabs>
          <w:tab w:val="clear" w:pos="567"/>
        </w:tabs>
        <w:spacing w:line="240" w:lineRule="auto"/>
        <w:ind w:left="567" w:hanging="567"/>
        <w:rPr>
          <w:rFonts w:eastAsia="SimSun"/>
          <w:snapToGrid/>
          <w:szCs w:val="22"/>
        </w:rPr>
      </w:pPr>
      <w:r w:rsidRPr="007541DA">
        <w:rPr>
          <w:rFonts w:eastAsia="SimSun"/>
          <w:snapToGrid/>
          <w:szCs w:val="22"/>
        </w:rPr>
        <w:t>Netikėtas kraujavimas ar mėlynių atsiradimas (be jokio susižalojimo).</w:t>
      </w:r>
    </w:p>
    <w:p w14:paraId="73C3EF73" w14:textId="77777777" w:rsidR="00A27597" w:rsidRPr="007541DA" w:rsidRDefault="00A27597" w:rsidP="00A27597">
      <w:pPr>
        <w:numPr>
          <w:ilvl w:val="12"/>
          <w:numId w:val="0"/>
        </w:numPr>
        <w:spacing w:line="240" w:lineRule="auto"/>
        <w:rPr>
          <w:rFonts w:eastAsia="SimSun"/>
          <w:snapToGrid/>
          <w:szCs w:val="22"/>
        </w:rPr>
      </w:pPr>
    </w:p>
    <w:p w14:paraId="3EC5F61B" w14:textId="71A17681" w:rsidR="00BA1B90" w:rsidRPr="00F30108" w:rsidRDefault="009A013E" w:rsidP="00C3142F">
      <w:pPr>
        <w:numPr>
          <w:ilvl w:val="12"/>
          <w:numId w:val="0"/>
        </w:numPr>
        <w:spacing w:line="240" w:lineRule="auto"/>
        <w:rPr>
          <w:b/>
        </w:rPr>
      </w:pPr>
      <w:r w:rsidRPr="007541DA">
        <w:rPr>
          <w:b/>
          <w:bCs/>
          <w:noProof/>
          <w:szCs w:val="22"/>
        </w:rPr>
        <w:t>Nedažni šalutinio poveikio reiškiniai (gali pasireikšti rečiau kaip 1 iš 100</w:t>
      </w:r>
      <w:r w:rsidR="00EF0C5F">
        <w:rPr>
          <w:b/>
          <w:bCs/>
          <w:noProof/>
          <w:szCs w:val="22"/>
        </w:rPr>
        <w:t> </w:t>
      </w:r>
      <w:r w:rsidRPr="007541DA">
        <w:rPr>
          <w:b/>
          <w:bCs/>
          <w:noProof/>
          <w:szCs w:val="22"/>
        </w:rPr>
        <w:t>asmenų):</w:t>
      </w:r>
      <w:r w:rsidR="00A27597" w:rsidRPr="007541DA">
        <w:rPr>
          <w:rFonts w:eastAsia="SimSun"/>
          <w:b/>
          <w:snapToGrid/>
          <w:szCs w:val="22"/>
        </w:rPr>
        <w:t xml:space="preserve"> </w:t>
      </w:r>
    </w:p>
    <w:p w14:paraId="4B7F2FDE" w14:textId="77777777" w:rsidR="00A27597" w:rsidRPr="007541DA" w:rsidRDefault="00A27597" w:rsidP="0068785E">
      <w:pPr>
        <w:pStyle w:val="Sraopastraipa"/>
        <w:numPr>
          <w:ilvl w:val="0"/>
          <w:numId w:val="51"/>
        </w:numPr>
        <w:tabs>
          <w:tab w:val="left" w:pos="567"/>
        </w:tabs>
        <w:spacing w:after="0" w:line="240" w:lineRule="auto"/>
        <w:ind w:left="0" w:firstLine="0"/>
        <w:rPr>
          <w:rFonts w:eastAsia="SimSun"/>
        </w:rPr>
      </w:pPr>
      <w:r w:rsidRPr="007541DA">
        <w:rPr>
          <w:rFonts w:ascii="Times New Roman" w:eastAsia="SimSun" w:hAnsi="Times New Roman"/>
        </w:rPr>
        <w:t>Skausmas krūtinėje, nereguliarus širdies ritmas (širdies sutrikimų požymiai).</w:t>
      </w:r>
    </w:p>
    <w:p w14:paraId="695C2B1E" w14:textId="77777777" w:rsidR="00A27597" w:rsidRPr="000E2055" w:rsidRDefault="00A27597" w:rsidP="0068785E">
      <w:pPr>
        <w:numPr>
          <w:ilvl w:val="0"/>
          <w:numId w:val="16"/>
        </w:numPr>
        <w:spacing w:line="240" w:lineRule="auto"/>
        <w:ind w:left="0" w:firstLine="0"/>
        <w:rPr>
          <w:rFonts w:eastAsia="SimSun"/>
          <w:snapToGrid/>
          <w:szCs w:val="22"/>
        </w:rPr>
      </w:pPr>
      <w:r w:rsidRPr="000E2055">
        <w:rPr>
          <w:rFonts w:eastAsia="SimSun"/>
          <w:snapToGrid/>
          <w:szCs w:val="22"/>
        </w:rPr>
        <w:t>Kosulys, apsunkintas kvėpavimas arba skausmingas kvėpavimas (plaučių sutrikimų požymiai).</w:t>
      </w:r>
    </w:p>
    <w:p w14:paraId="0FEF0514" w14:textId="77777777" w:rsidR="00A27597" w:rsidRPr="00CE7679" w:rsidRDefault="00A27597" w:rsidP="00A27597">
      <w:pPr>
        <w:numPr>
          <w:ilvl w:val="0"/>
          <w:numId w:val="16"/>
        </w:numPr>
        <w:tabs>
          <w:tab w:val="clear" w:pos="567"/>
        </w:tabs>
        <w:spacing w:line="240" w:lineRule="auto"/>
        <w:ind w:left="567" w:hanging="567"/>
        <w:rPr>
          <w:rFonts w:eastAsia="SimSun"/>
          <w:snapToGrid/>
          <w:szCs w:val="22"/>
        </w:rPr>
      </w:pPr>
      <w:r w:rsidRPr="00CE7679">
        <w:rPr>
          <w:rFonts w:eastAsia="SimSun"/>
          <w:snapToGrid/>
          <w:szCs w:val="22"/>
        </w:rPr>
        <w:t>Apsvaigimas, svaigulys ar alpimas (žemo kraujospūdžio požymiai).</w:t>
      </w:r>
    </w:p>
    <w:p w14:paraId="5FA2884F" w14:textId="0A49AA87" w:rsidR="00A27597" w:rsidRDefault="00A27597" w:rsidP="00A27597">
      <w:pPr>
        <w:numPr>
          <w:ilvl w:val="0"/>
          <w:numId w:val="16"/>
        </w:numPr>
        <w:tabs>
          <w:tab w:val="clear" w:pos="567"/>
        </w:tabs>
        <w:spacing w:line="240" w:lineRule="auto"/>
        <w:ind w:left="567" w:hanging="567"/>
        <w:rPr>
          <w:rFonts w:eastAsia="SimSun"/>
          <w:snapToGrid/>
          <w:szCs w:val="22"/>
        </w:rPr>
      </w:pPr>
      <w:r w:rsidRPr="00CE7679">
        <w:rPr>
          <w:rFonts w:eastAsia="SimSun"/>
          <w:snapToGrid/>
          <w:szCs w:val="22"/>
        </w:rPr>
        <w:t>Šleikštulys (pykinimas), taip pat apetito netekimas, tamsios spalvos šlapimas, pageltusi oda ar akių baltymai (kepenų sutrikimų požymiai).</w:t>
      </w:r>
    </w:p>
    <w:p w14:paraId="471FBED4" w14:textId="34AC8ED3" w:rsidR="0018514F" w:rsidRPr="00CE7679" w:rsidRDefault="0018514F" w:rsidP="00A27597">
      <w:pPr>
        <w:numPr>
          <w:ilvl w:val="0"/>
          <w:numId w:val="16"/>
        </w:numPr>
        <w:tabs>
          <w:tab w:val="clear" w:pos="567"/>
        </w:tabs>
        <w:spacing w:line="240" w:lineRule="auto"/>
        <w:ind w:left="567" w:hanging="567"/>
        <w:rPr>
          <w:rFonts w:eastAsia="SimSun"/>
          <w:snapToGrid/>
          <w:szCs w:val="22"/>
        </w:rPr>
      </w:pPr>
      <w:r>
        <w:rPr>
          <w:rFonts w:eastAsia="SimSun"/>
          <w:snapToGrid/>
          <w:szCs w:val="22"/>
        </w:rPr>
        <w:t>Skausmingi raud</w:t>
      </w:r>
      <w:r w:rsidR="002F10A5">
        <w:rPr>
          <w:rFonts w:eastAsia="SimSun"/>
          <w:snapToGrid/>
          <w:szCs w:val="22"/>
        </w:rPr>
        <w:t>o</w:t>
      </w:r>
      <w:r>
        <w:rPr>
          <w:rFonts w:eastAsia="SimSun"/>
          <w:snapToGrid/>
          <w:szCs w:val="22"/>
        </w:rPr>
        <w:t>ni gumbeliai odoje, odos skausmas, odos paraudimas (po oda esančio riebalinio audinio uždegimas).</w:t>
      </w:r>
    </w:p>
    <w:p w14:paraId="795439CE" w14:textId="77777777" w:rsidR="00A27597" w:rsidRPr="00CE7679" w:rsidRDefault="00A27597" w:rsidP="00A27597">
      <w:pPr>
        <w:numPr>
          <w:ilvl w:val="0"/>
          <w:numId w:val="16"/>
        </w:numPr>
        <w:tabs>
          <w:tab w:val="clear" w:pos="567"/>
        </w:tabs>
        <w:spacing w:line="240" w:lineRule="auto"/>
        <w:ind w:left="567" w:hanging="567"/>
        <w:rPr>
          <w:rFonts w:eastAsia="SimSun"/>
          <w:snapToGrid/>
          <w:szCs w:val="22"/>
        </w:rPr>
      </w:pPr>
      <w:r w:rsidRPr="00CE7679">
        <w:rPr>
          <w:rFonts w:eastAsia="SimSun"/>
          <w:snapToGrid/>
          <w:szCs w:val="22"/>
        </w:rPr>
        <w:t xml:space="preserve">Išbėrimas, odos paraudimas, taip pat pūslių atsiradimas ant lūpų, akių, odos ar burnos gleivinės, odos pleiskanojimas, karščiavimas, pakilę raudoni arba purpuriniai odos lopai, niežulys, deginimo pojūtis, </w:t>
      </w:r>
      <w:proofErr w:type="spellStart"/>
      <w:r w:rsidRPr="00CE7679">
        <w:rPr>
          <w:rFonts w:eastAsia="SimSun"/>
          <w:snapToGrid/>
          <w:szCs w:val="22"/>
        </w:rPr>
        <w:t>pūslinis</w:t>
      </w:r>
      <w:proofErr w:type="spellEnd"/>
      <w:r w:rsidRPr="00CE7679">
        <w:rPr>
          <w:rFonts w:eastAsia="SimSun"/>
          <w:snapToGrid/>
          <w:szCs w:val="22"/>
        </w:rPr>
        <w:t xml:space="preserve"> išbėrimas (odos sutrikimų požymiai).</w:t>
      </w:r>
    </w:p>
    <w:p w14:paraId="2F3A7E63" w14:textId="77777777" w:rsidR="00A27597" w:rsidRPr="00CE7679" w:rsidRDefault="00A27597" w:rsidP="00A27597">
      <w:pPr>
        <w:numPr>
          <w:ilvl w:val="0"/>
          <w:numId w:val="16"/>
        </w:numPr>
        <w:tabs>
          <w:tab w:val="clear" w:pos="567"/>
        </w:tabs>
        <w:spacing w:line="240" w:lineRule="auto"/>
        <w:ind w:left="567" w:hanging="567"/>
        <w:rPr>
          <w:rFonts w:eastAsia="SimSun"/>
          <w:snapToGrid/>
          <w:szCs w:val="22"/>
        </w:rPr>
      </w:pPr>
      <w:r w:rsidRPr="00CE7679">
        <w:rPr>
          <w:rFonts w:eastAsia="SimSun"/>
          <w:snapToGrid/>
          <w:szCs w:val="22"/>
        </w:rPr>
        <w:t>Stiprus pilvo skausmas, vėmimas, tuštinimasis ar šlapinimasis su kraujo priemaiša, juodos spalvos išmatos (virškinimo trakto sutrikimų požymiai).</w:t>
      </w:r>
    </w:p>
    <w:p w14:paraId="720F5AD4" w14:textId="77777777" w:rsidR="00A27597" w:rsidRPr="00CE7679" w:rsidRDefault="00A27597" w:rsidP="00A27597">
      <w:pPr>
        <w:numPr>
          <w:ilvl w:val="0"/>
          <w:numId w:val="16"/>
        </w:numPr>
        <w:tabs>
          <w:tab w:val="clear" w:pos="567"/>
        </w:tabs>
        <w:spacing w:line="240" w:lineRule="auto"/>
        <w:ind w:left="567" w:hanging="567"/>
        <w:rPr>
          <w:rFonts w:eastAsia="SimSun"/>
          <w:snapToGrid/>
          <w:szCs w:val="22"/>
        </w:rPr>
      </w:pPr>
      <w:r w:rsidRPr="00CE7679">
        <w:rPr>
          <w:rFonts w:eastAsia="SimSun"/>
          <w:snapToGrid/>
          <w:szCs w:val="22"/>
        </w:rPr>
        <w:t>Labai sumažėjęs šlapimo kiekis, troškulys (inkstų sutrikimų požymiai).</w:t>
      </w:r>
    </w:p>
    <w:p w14:paraId="521C6010" w14:textId="77777777" w:rsidR="00A27597" w:rsidRPr="00CE7679" w:rsidRDefault="00A27597" w:rsidP="00A27597">
      <w:pPr>
        <w:numPr>
          <w:ilvl w:val="0"/>
          <w:numId w:val="16"/>
        </w:numPr>
        <w:tabs>
          <w:tab w:val="clear" w:pos="567"/>
        </w:tabs>
        <w:spacing w:line="240" w:lineRule="auto"/>
        <w:ind w:left="567" w:hanging="567"/>
        <w:rPr>
          <w:rFonts w:eastAsia="SimSun"/>
          <w:snapToGrid/>
          <w:szCs w:val="22"/>
        </w:rPr>
      </w:pPr>
      <w:r w:rsidRPr="00CE7679">
        <w:rPr>
          <w:rFonts w:eastAsia="SimSun"/>
          <w:snapToGrid/>
          <w:szCs w:val="22"/>
        </w:rPr>
        <w:t>Šleikštulys (pykinimas) kartu su viduriavimu ir vėmimu, pilvo skausmas arba karščiavimas (žarnų sutrikimų požymiai).</w:t>
      </w:r>
    </w:p>
    <w:p w14:paraId="259E3921" w14:textId="77777777" w:rsidR="00A27597" w:rsidRPr="00CE7679" w:rsidRDefault="00A27597" w:rsidP="00A27597">
      <w:pPr>
        <w:numPr>
          <w:ilvl w:val="0"/>
          <w:numId w:val="16"/>
        </w:numPr>
        <w:tabs>
          <w:tab w:val="clear" w:pos="567"/>
        </w:tabs>
        <w:spacing w:line="240" w:lineRule="auto"/>
        <w:ind w:left="567" w:hanging="567"/>
        <w:rPr>
          <w:rFonts w:eastAsia="SimSun"/>
          <w:snapToGrid/>
          <w:szCs w:val="22"/>
        </w:rPr>
      </w:pPr>
      <w:r w:rsidRPr="00CE7679">
        <w:rPr>
          <w:rFonts w:eastAsia="SimSun"/>
          <w:snapToGrid/>
          <w:szCs w:val="22"/>
        </w:rPr>
        <w:t>Stiprus galvos skausmas, silpnumas arba galūnių ar veido paralyžius, tarsenos sunkumai, staigus sąmonės praradimas (nervų sistemos sutrikimų, pavyzdžiui, kraujavimo kaukolės ertmėje ar galvos smegenų pabrinkimo, požymiai).</w:t>
      </w:r>
    </w:p>
    <w:p w14:paraId="42026F5F" w14:textId="77777777" w:rsidR="00A27597" w:rsidRPr="00CE7679" w:rsidRDefault="00A27597" w:rsidP="00A27597">
      <w:pPr>
        <w:numPr>
          <w:ilvl w:val="0"/>
          <w:numId w:val="16"/>
        </w:numPr>
        <w:tabs>
          <w:tab w:val="clear" w:pos="567"/>
        </w:tabs>
        <w:spacing w:line="240" w:lineRule="auto"/>
        <w:ind w:left="567" w:hanging="567"/>
        <w:rPr>
          <w:rFonts w:eastAsia="SimSun"/>
          <w:snapToGrid/>
          <w:szCs w:val="22"/>
        </w:rPr>
      </w:pPr>
      <w:r w:rsidRPr="00CE7679">
        <w:rPr>
          <w:rFonts w:eastAsia="SimSun"/>
          <w:snapToGrid/>
          <w:szCs w:val="22"/>
        </w:rPr>
        <w:t>Išblyškusi oda, nuovargis ir dusulys, tamsus šlapimas (sumažėjusio raudonųjų kraujo ląstelių skaičiaus požymiai).</w:t>
      </w:r>
    </w:p>
    <w:p w14:paraId="727754D1" w14:textId="77777777" w:rsidR="00A27597" w:rsidRPr="00CE7679" w:rsidRDefault="00A27597" w:rsidP="00A27597">
      <w:pPr>
        <w:numPr>
          <w:ilvl w:val="0"/>
          <w:numId w:val="16"/>
        </w:numPr>
        <w:tabs>
          <w:tab w:val="clear" w:pos="567"/>
        </w:tabs>
        <w:spacing w:line="240" w:lineRule="auto"/>
        <w:ind w:left="567" w:hanging="567"/>
        <w:rPr>
          <w:rFonts w:eastAsia="SimSun"/>
          <w:snapToGrid/>
          <w:szCs w:val="22"/>
        </w:rPr>
      </w:pPr>
      <w:r w:rsidRPr="00CE7679">
        <w:rPr>
          <w:rFonts w:eastAsia="SimSun"/>
          <w:snapToGrid/>
          <w:szCs w:val="22"/>
        </w:rPr>
        <w:t>Akies skausmas ar pablogėjusi rega, kraujavimas į akies vidų.</w:t>
      </w:r>
    </w:p>
    <w:p w14:paraId="0503550D" w14:textId="46436B20" w:rsidR="00BE060F" w:rsidRDefault="00A27597" w:rsidP="00A27597">
      <w:pPr>
        <w:numPr>
          <w:ilvl w:val="0"/>
          <w:numId w:val="16"/>
        </w:numPr>
        <w:tabs>
          <w:tab w:val="clear" w:pos="567"/>
        </w:tabs>
        <w:spacing w:line="240" w:lineRule="auto"/>
        <w:ind w:left="567" w:hanging="567"/>
        <w:rPr>
          <w:rFonts w:eastAsia="SimSun"/>
          <w:snapToGrid/>
          <w:szCs w:val="22"/>
        </w:rPr>
      </w:pPr>
      <w:r w:rsidRPr="00CE7679">
        <w:rPr>
          <w:rFonts w:eastAsia="SimSun"/>
          <w:snapToGrid/>
          <w:szCs w:val="22"/>
        </w:rPr>
        <w:t>Skausmas</w:t>
      </w:r>
      <w:r w:rsidR="005927F6">
        <w:rPr>
          <w:rFonts w:eastAsia="SimSun"/>
          <w:snapToGrid/>
          <w:szCs w:val="22"/>
        </w:rPr>
        <w:t xml:space="preserve"> kauluose arba sąnariuose</w:t>
      </w:r>
      <w:r w:rsidRPr="00CE7679">
        <w:rPr>
          <w:rFonts w:eastAsia="SimSun"/>
          <w:snapToGrid/>
          <w:szCs w:val="22"/>
        </w:rPr>
        <w:t xml:space="preserve"> </w:t>
      </w:r>
      <w:r w:rsidR="001D2A36">
        <w:rPr>
          <w:rFonts w:eastAsia="SimSun"/>
          <w:snapToGrid/>
          <w:szCs w:val="22"/>
        </w:rPr>
        <w:t>(</w:t>
      </w:r>
      <w:proofErr w:type="spellStart"/>
      <w:r w:rsidR="001D2A36">
        <w:rPr>
          <w:rFonts w:eastAsia="SimSun"/>
          <w:snapToGrid/>
          <w:szCs w:val="22"/>
        </w:rPr>
        <w:t>osteonekrozės</w:t>
      </w:r>
      <w:proofErr w:type="spellEnd"/>
      <w:r w:rsidR="001D2A36">
        <w:rPr>
          <w:rFonts w:eastAsia="SimSun"/>
          <w:snapToGrid/>
          <w:szCs w:val="22"/>
        </w:rPr>
        <w:t xml:space="preserve"> požymiai).</w:t>
      </w:r>
    </w:p>
    <w:p w14:paraId="66FDD6CD" w14:textId="7BF0BA24" w:rsidR="00A27597" w:rsidRPr="00CE7679" w:rsidRDefault="00535513" w:rsidP="00A27597">
      <w:pPr>
        <w:numPr>
          <w:ilvl w:val="0"/>
          <w:numId w:val="16"/>
        </w:numPr>
        <w:tabs>
          <w:tab w:val="clear" w:pos="567"/>
        </w:tabs>
        <w:spacing w:line="240" w:lineRule="auto"/>
        <w:ind w:left="567" w:hanging="567"/>
        <w:rPr>
          <w:rFonts w:eastAsia="SimSun"/>
          <w:snapToGrid/>
          <w:szCs w:val="22"/>
        </w:rPr>
      </w:pPr>
      <w:r>
        <w:rPr>
          <w:rFonts w:eastAsia="SimSun"/>
          <w:snapToGrid/>
          <w:szCs w:val="22"/>
        </w:rPr>
        <w:t>Pūslės ant odos arba gleivinės (</w:t>
      </w:r>
      <w:proofErr w:type="spellStart"/>
      <w:r>
        <w:rPr>
          <w:rFonts w:eastAsia="SimSun"/>
          <w:snapToGrid/>
          <w:szCs w:val="22"/>
        </w:rPr>
        <w:t>pemfigus</w:t>
      </w:r>
      <w:proofErr w:type="spellEnd"/>
      <w:r>
        <w:rPr>
          <w:rFonts w:eastAsia="SimSun"/>
          <w:snapToGrid/>
          <w:szCs w:val="22"/>
        </w:rPr>
        <w:t xml:space="preserve"> požymiai)</w:t>
      </w:r>
      <w:r w:rsidR="00A27597" w:rsidRPr="00CE7679">
        <w:rPr>
          <w:rFonts w:eastAsia="SimSun"/>
          <w:snapToGrid/>
          <w:szCs w:val="22"/>
        </w:rPr>
        <w:t>.</w:t>
      </w:r>
    </w:p>
    <w:p w14:paraId="3326607F" w14:textId="77777777" w:rsidR="00A27597" w:rsidRPr="00CE7679" w:rsidRDefault="00A27597" w:rsidP="00A27597">
      <w:pPr>
        <w:numPr>
          <w:ilvl w:val="0"/>
          <w:numId w:val="16"/>
        </w:numPr>
        <w:tabs>
          <w:tab w:val="clear" w:pos="567"/>
        </w:tabs>
        <w:spacing w:line="240" w:lineRule="auto"/>
        <w:ind w:left="567" w:hanging="567"/>
        <w:rPr>
          <w:rFonts w:eastAsia="SimSun"/>
          <w:snapToGrid/>
          <w:szCs w:val="22"/>
        </w:rPr>
      </w:pPr>
      <w:r w:rsidRPr="00CE7679">
        <w:rPr>
          <w:rFonts w:eastAsia="SimSun"/>
          <w:snapToGrid/>
          <w:szCs w:val="22"/>
        </w:rPr>
        <w:lastRenderedPageBreak/>
        <w:t>Kojų ir rankų pirštų nutirpimas ar šalimas (Reino [</w:t>
      </w:r>
      <w:proofErr w:type="spellStart"/>
      <w:r w:rsidRPr="00CE7679">
        <w:rPr>
          <w:rFonts w:eastAsia="SimSun"/>
          <w:i/>
          <w:iCs/>
          <w:snapToGrid/>
          <w:szCs w:val="22"/>
        </w:rPr>
        <w:t>Raynaud</w:t>
      </w:r>
      <w:proofErr w:type="spellEnd"/>
      <w:r w:rsidRPr="00CE7679">
        <w:rPr>
          <w:rFonts w:eastAsia="SimSun"/>
          <w:snapToGrid/>
          <w:szCs w:val="22"/>
        </w:rPr>
        <w:t>] sindromo požymiai).</w:t>
      </w:r>
    </w:p>
    <w:p w14:paraId="6250C2CC" w14:textId="77777777" w:rsidR="00A27597" w:rsidRPr="00CE7679" w:rsidRDefault="00A27597" w:rsidP="00A27597">
      <w:pPr>
        <w:numPr>
          <w:ilvl w:val="0"/>
          <w:numId w:val="16"/>
        </w:numPr>
        <w:tabs>
          <w:tab w:val="clear" w:pos="567"/>
        </w:tabs>
        <w:spacing w:line="240" w:lineRule="auto"/>
        <w:ind w:left="567" w:hanging="567"/>
        <w:rPr>
          <w:rFonts w:eastAsia="SimSun"/>
          <w:snapToGrid/>
          <w:szCs w:val="22"/>
        </w:rPr>
      </w:pPr>
      <w:r w:rsidRPr="00CE7679">
        <w:rPr>
          <w:rFonts w:eastAsia="SimSun"/>
          <w:snapToGrid/>
          <w:szCs w:val="22"/>
        </w:rPr>
        <w:t>Staigus odos patinimas ir paraudimas (odos infekcijos, vadinamos celiulitu, požymiai).</w:t>
      </w:r>
    </w:p>
    <w:p w14:paraId="4F4E0412" w14:textId="77777777" w:rsidR="00A27597" w:rsidRPr="00CE7679" w:rsidRDefault="00A27597" w:rsidP="00A27597">
      <w:pPr>
        <w:numPr>
          <w:ilvl w:val="0"/>
          <w:numId w:val="16"/>
        </w:numPr>
        <w:tabs>
          <w:tab w:val="clear" w:pos="567"/>
        </w:tabs>
        <w:spacing w:line="240" w:lineRule="auto"/>
        <w:ind w:left="567" w:hanging="567"/>
        <w:rPr>
          <w:rFonts w:eastAsia="SimSun"/>
          <w:snapToGrid/>
          <w:szCs w:val="22"/>
        </w:rPr>
      </w:pPr>
      <w:r w:rsidRPr="00CE7679">
        <w:rPr>
          <w:rFonts w:eastAsia="SimSun"/>
          <w:snapToGrid/>
          <w:szCs w:val="22"/>
        </w:rPr>
        <w:t>Sutrikusi klausa.</w:t>
      </w:r>
    </w:p>
    <w:p w14:paraId="7EFEF8F5" w14:textId="77777777" w:rsidR="00A27597" w:rsidRPr="00CE7679" w:rsidRDefault="00A27597" w:rsidP="00A27597">
      <w:pPr>
        <w:numPr>
          <w:ilvl w:val="0"/>
          <w:numId w:val="16"/>
        </w:numPr>
        <w:tabs>
          <w:tab w:val="clear" w:pos="567"/>
        </w:tabs>
        <w:spacing w:line="240" w:lineRule="auto"/>
        <w:ind w:left="567" w:hanging="567"/>
        <w:rPr>
          <w:rFonts w:eastAsia="SimSun"/>
          <w:snapToGrid/>
          <w:szCs w:val="22"/>
        </w:rPr>
      </w:pPr>
      <w:r w:rsidRPr="00CE7679">
        <w:rPr>
          <w:rFonts w:eastAsia="SimSun"/>
          <w:snapToGrid/>
          <w:szCs w:val="22"/>
        </w:rPr>
        <w:t>Raumenų silpnumas ir spazmai kartu su sutrikusiu širdies ritmu (požymiai, rodantys, kad pakito kalio kiekis Jūsų kraujyje).</w:t>
      </w:r>
    </w:p>
    <w:p w14:paraId="16A1C7B7" w14:textId="77777777" w:rsidR="00A27597" w:rsidRPr="00CE7679" w:rsidRDefault="00A27597" w:rsidP="00A27597">
      <w:pPr>
        <w:numPr>
          <w:ilvl w:val="0"/>
          <w:numId w:val="16"/>
        </w:numPr>
        <w:tabs>
          <w:tab w:val="clear" w:pos="567"/>
        </w:tabs>
        <w:spacing w:line="240" w:lineRule="auto"/>
        <w:ind w:left="567" w:hanging="567"/>
        <w:rPr>
          <w:rFonts w:eastAsia="SimSun"/>
          <w:snapToGrid/>
          <w:szCs w:val="22"/>
        </w:rPr>
      </w:pPr>
      <w:r w:rsidRPr="00CE7679">
        <w:rPr>
          <w:rFonts w:eastAsia="SimSun"/>
          <w:snapToGrid/>
          <w:szCs w:val="22"/>
        </w:rPr>
        <w:t>Mėlynės.</w:t>
      </w:r>
    </w:p>
    <w:p w14:paraId="577782EF" w14:textId="77777777" w:rsidR="00A27597" w:rsidRPr="00CE7679" w:rsidRDefault="00A27597" w:rsidP="00A27597">
      <w:pPr>
        <w:numPr>
          <w:ilvl w:val="0"/>
          <w:numId w:val="16"/>
        </w:numPr>
        <w:tabs>
          <w:tab w:val="clear" w:pos="567"/>
        </w:tabs>
        <w:spacing w:line="240" w:lineRule="auto"/>
        <w:ind w:left="567" w:hanging="567"/>
        <w:rPr>
          <w:rFonts w:eastAsia="SimSun"/>
          <w:snapToGrid/>
          <w:szCs w:val="22"/>
        </w:rPr>
      </w:pPr>
      <w:r w:rsidRPr="00CE7679">
        <w:rPr>
          <w:rFonts w:eastAsia="SimSun"/>
          <w:snapToGrid/>
          <w:szCs w:val="22"/>
        </w:rPr>
        <w:t>Skrandžio skausmas kartu su šleikštuliu (pykinimu).</w:t>
      </w:r>
    </w:p>
    <w:p w14:paraId="1EE6E14B" w14:textId="77777777" w:rsidR="00A27597" w:rsidRPr="00CE7679" w:rsidRDefault="00A27597" w:rsidP="00A27597">
      <w:pPr>
        <w:numPr>
          <w:ilvl w:val="0"/>
          <w:numId w:val="16"/>
        </w:numPr>
        <w:tabs>
          <w:tab w:val="clear" w:pos="567"/>
        </w:tabs>
        <w:spacing w:line="240" w:lineRule="auto"/>
        <w:ind w:left="567" w:hanging="567"/>
        <w:rPr>
          <w:rFonts w:eastAsia="SimSun"/>
          <w:snapToGrid/>
          <w:szCs w:val="22"/>
        </w:rPr>
      </w:pPr>
      <w:r w:rsidRPr="00CE7679">
        <w:rPr>
          <w:rFonts w:eastAsia="SimSun"/>
          <w:snapToGrid/>
          <w:szCs w:val="22"/>
        </w:rPr>
        <w:t>Raumenų spazmai ir kartu pasireiškiantis karščiavimas, raudonai rudos spalvos šlapimas, raumenų skausmas ar silpnumas (raumenų sutrikimų požymiai).</w:t>
      </w:r>
    </w:p>
    <w:p w14:paraId="1A5DC540" w14:textId="77777777" w:rsidR="00A27597" w:rsidRPr="00CE7679" w:rsidRDefault="00A27597" w:rsidP="00A27597">
      <w:pPr>
        <w:numPr>
          <w:ilvl w:val="0"/>
          <w:numId w:val="16"/>
        </w:numPr>
        <w:tabs>
          <w:tab w:val="clear" w:pos="567"/>
        </w:tabs>
        <w:spacing w:line="240" w:lineRule="auto"/>
        <w:ind w:left="567" w:hanging="567"/>
        <w:rPr>
          <w:rFonts w:eastAsia="SimSun"/>
          <w:snapToGrid/>
          <w:szCs w:val="22"/>
        </w:rPr>
      </w:pPr>
      <w:r w:rsidRPr="00CE7679">
        <w:rPr>
          <w:rFonts w:eastAsia="SimSun"/>
          <w:snapToGrid/>
          <w:szCs w:val="22"/>
        </w:rPr>
        <w:t>Dubens srities skausmas, kartais kartu su pykinimu ir vėmimu, kartu su netikėtu kraujavimu iš makšties, svaiguliu ar alpimu dėl sumažėjusio kraujospūdžio (kiaušidžių ar gimdos sutrikimų požymiai).</w:t>
      </w:r>
    </w:p>
    <w:p w14:paraId="1A64FB46" w14:textId="77777777" w:rsidR="00A27597" w:rsidRPr="00CE7679" w:rsidRDefault="00A27597" w:rsidP="00A27597">
      <w:pPr>
        <w:numPr>
          <w:ilvl w:val="0"/>
          <w:numId w:val="16"/>
        </w:numPr>
        <w:tabs>
          <w:tab w:val="clear" w:pos="567"/>
        </w:tabs>
        <w:spacing w:line="240" w:lineRule="auto"/>
        <w:ind w:left="567" w:hanging="567"/>
        <w:rPr>
          <w:rFonts w:eastAsia="SimSun"/>
          <w:snapToGrid/>
          <w:szCs w:val="22"/>
        </w:rPr>
      </w:pPr>
      <w:r w:rsidRPr="00CE7679">
        <w:rPr>
          <w:rFonts w:eastAsia="SimSun"/>
          <w:snapToGrid/>
          <w:szCs w:val="22"/>
        </w:rPr>
        <w:t>Pykinimas, oro trūkumas, nereguliarus širdies ritmas, drumstas šlapimas, nuovargis ir (arba) sąnarių diskomfortas susijęs su neno</w:t>
      </w:r>
      <w:r w:rsidR="003A704D">
        <w:rPr>
          <w:rFonts w:eastAsia="SimSun"/>
          <w:snapToGrid/>
          <w:szCs w:val="22"/>
        </w:rPr>
        <w:t>r</w:t>
      </w:r>
      <w:r w:rsidRPr="00CE7679">
        <w:rPr>
          <w:rFonts w:eastAsia="SimSun"/>
          <w:snapToGrid/>
          <w:szCs w:val="22"/>
        </w:rPr>
        <w:t>maliais laboratorinių tyrimų rezultatais (pvz., didelis kalio, šlapimo rūgšties ir fosforo kiekis, ir mažas kalcio kiekis kraujyje).</w:t>
      </w:r>
    </w:p>
    <w:p w14:paraId="649CBB99" w14:textId="77777777" w:rsidR="00BA1B90" w:rsidRPr="007541DA" w:rsidRDefault="00BA1B90" w:rsidP="00BA1B90">
      <w:pPr>
        <w:numPr>
          <w:ilvl w:val="0"/>
          <w:numId w:val="16"/>
        </w:numPr>
        <w:tabs>
          <w:tab w:val="clear" w:pos="567"/>
        </w:tabs>
        <w:spacing w:line="240" w:lineRule="auto"/>
        <w:ind w:left="567" w:hanging="567"/>
        <w:rPr>
          <w:rFonts w:eastAsia="SimSun"/>
          <w:snapToGrid/>
          <w:szCs w:val="22"/>
        </w:rPr>
      </w:pPr>
      <w:r w:rsidRPr="007541DA">
        <w:rPr>
          <w:szCs w:val="22"/>
        </w:rPr>
        <w:t>Kraujo kre</w:t>
      </w:r>
      <w:r w:rsidR="002347DD" w:rsidRPr="007541DA">
        <w:rPr>
          <w:szCs w:val="22"/>
        </w:rPr>
        <w:t>š</w:t>
      </w:r>
      <w:r w:rsidRPr="007541DA">
        <w:rPr>
          <w:szCs w:val="22"/>
        </w:rPr>
        <w:t>uli</w:t>
      </w:r>
      <w:r w:rsidR="002347DD" w:rsidRPr="007541DA">
        <w:rPr>
          <w:szCs w:val="22"/>
        </w:rPr>
        <w:t>ų</w:t>
      </w:r>
      <w:r w:rsidRPr="007541DA">
        <w:rPr>
          <w:szCs w:val="22"/>
        </w:rPr>
        <w:t xml:space="preserve"> susidarymas smulkiose kraujagysl</w:t>
      </w:r>
      <w:r w:rsidR="002347DD" w:rsidRPr="007541DA">
        <w:rPr>
          <w:szCs w:val="22"/>
        </w:rPr>
        <w:t>ė</w:t>
      </w:r>
      <w:r w:rsidRPr="007541DA">
        <w:rPr>
          <w:szCs w:val="22"/>
        </w:rPr>
        <w:t>se (trombin</w:t>
      </w:r>
      <w:r w:rsidR="002347DD" w:rsidRPr="007541DA">
        <w:rPr>
          <w:szCs w:val="22"/>
        </w:rPr>
        <w:t>ė</w:t>
      </w:r>
      <w:r w:rsidRPr="007541DA">
        <w:rPr>
          <w:szCs w:val="22"/>
        </w:rPr>
        <w:t xml:space="preserve"> </w:t>
      </w:r>
      <w:proofErr w:type="spellStart"/>
      <w:r w:rsidRPr="007541DA">
        <w:rPr>
          <w:szCs w:val="22"/>
        </w:rPr>
        <w:t>mikroangiopati</w:t>
      </w:r>
      <w:r w:rsidR="002347DD" w:rsidRPr="007541DA">
        <w:rPr>
          <w:szCs w:val="22"/>
        </w:rPr>
        <w:t>j</w:t>
      </w:r>
      <w:r w:rsidRPr="007541DA">
        <w:rPr>
          <w:szCs w:val="22"/>
        </w:rPr>
        <w:t>a</w:t>
      </w:r>
      <w:proofErr w:type="spellEnd"/>
      <w:r w:rsidRPr="007541DA">
        <w:rPr>
          <w:szCs w:val="22"/>
        </w:rPr>
        <w:t>).</w:t>
      </w:r>
    </w:p>
    <w:p w14:paraId="6BD5B5F8" w14:textId="77777777" w:rsidR="00BA1B90" w:rsidRPr="007541DA" w:rsidRDefault="00BA1B90" w:rsidP="00BA1B90">
      <w:pPr>
        <w:numPr>
          <w:ilvl w:val="12"/>
          <w:numId w:val="0"/>
        </w:numPr>
        <w:spacing w:line="240" w:lineRule="auto"/>
        <w:rPr>
          <w:rFonts w:eastAsia="SimSun"/>
          <w:snapToGrid/>
          <w:szCs w:val="22"/>
        </w:rPr>
      </w:pPr>
    </w:p>
    <w:p w14:paraId="62FBC8B5" w14:textId="0CDC4787" w:rsidR="001A2C24" w:rsidRPr="00340BB2" w:rsidRDefault="009A013E" w:rsidP="00CE40E1">
      <w:pPr>
        <w:tabs>
          <w:tab w:val="clear" w:pos="567"/>
        </w:tabs>
        <w:spacing w:line="240" w:lineRule="auto"/>
        <w:rPr>
          <w:rFonts w:eastAsia="SimSun"/>
          <w:snapToGrid/>
          <w:szCs w:val="22"/>
        </w:rPr>
      </w:pPr>
      <w:r w:rsidRPr="007541DA">
        <w:rPr>
          <w:b/>
          <w:bCs/>
          <w:noProof/>
          <w:szCs w:val="22"/>
        </w:rPr>
        <w:t>Šalutinio poveikio reiškiniai, kurių dažnis nežinomas (negali būti apskaičiuotas pagal turimus duomenis):</w:t>
      </w:r>
    </w:p>
    <w:p w14:paraId="00B2DFB0" w14:textId="10E350A9" w:rsidR="00A27597" w:rsidRPr="00CE7679" w:rsidRDefault="00A27597" w:rsidP="00A27597">
      <w:pPr>
        <w:numPr>
          <w:ilvl w:val="0"/>
          <w:numId w:val="16"/>
        </w:numPr>
        <w:tabs>
          <w:tab w:val="clear" w:pos="567"/>
        </w:tabs>
        <w:spacing w:line="240" w:lineRule="auto"/>
        <w:ind w:left="567" w:hanging="567"/>
        <w:rPr>
          <w:rFonts w:eastAsia="SimSun"/>
          <w:snapToGrid/>
          <w:szCs w:val="22"/>
        </w:rPr>
      </w:pPr>
      <w:r w:rsidRPr="007541DA">
        <w:rPr>
          <w:rFonts w:eastAsia="SimSun"/>
          <w:snapToGrid/>
          <w:szCs w:val="22"/>
        </w:rPr>
        <w:t>Išplitusio sunkaus išbėrimo, pykinimo, karščiavimo, padidėjusios tam tikrų</w:t>
      </w:r>
      <w:r w:rsidRPr="00CE7679">
        <w:rPr>
          <w:rFonts w:eastAsia="SimSun"/>
          <w:snapToGrid/>
          <w:szCs w:val="22"/>
        </w:rPr>
        <w:t xml:space="preserve"> baltųjų kraujo ląstelių koncentracijos kraujyje ar pageltusios odos ar akių (geltos požymiai) kartu su dusuliu, krūtinės skausmu ar diskomforto pojūčiu, labai sumažėjusiu šlapimo išsiskyrimu ir troškulio pojūčiu (alerginės reakcijos, susijusios su gydymu, požymiai) ir t.t. derinys.</w:t>
      </w:r>
    </w:p>
    <w:p w14:paraId="693C0853" w14:textId="77777777" w:rsidR="00A27597" w:rsidRPr="00CE7679" w:rsidRDefault="00A27597" w:rsidP="00A27597">
      <w:pPr>
        <w:numPr>
          <w:ilvl w:val="0"/>
          <w:numId w:val="16"/>
        </w:numPr>
        <w:tabs>
          <w:tab w:val="clear" w:pos="567"/>
        </w:tabs>
        <w:spacing w:line="240" w:lineRule="auto"/>
        <w:ind w:left="567" w:hanging="567"/>
        <w:rPr>
          <w:rFonts w:eastAsia="SimSun"/>
          <w:szCs w:val="22"/>
        </w:rPr>
      </w:pPr>
      <w:r w:rsidRPr="00CE7679">
        <w:rPr>
          <w:rFonts w:eastAsia="SimSun"/>
          <w:snapToGrid/>
          <w:szCs w:val="22"/>
        </w:rPr>
        <w:t>Lėtinis inkstų nepakankamumas.</w:t>
      </w:r>
    </w:p>
    <w:p w14:paraId="3F184A7F" w14:textId="77777777" w:rsidR="00A27597" w:rsidRPr="00CE7679" w:rsidRDefault="00A27597" w:rsidP="00A27597">
      <w:pPr>
        <w:numPr>
          <w:ilvl w:val="0"/>
          <w:numId w:val="16"/>
        </w:numPr>
        <w:tabs>
          <w:tab w:val="clear" w:pos="567"/>
        </w:tabs>
        <w:spacing w:line="240" w:lineRule="auto"/>
        <w:ind w:left="567" w:hanging="567"/>
        <w:rPr>
          <w:rFonts w:eastAsia="SimSun"/>
          <w:szCs w:val="22"/>
        </w:rPr>
      </w:pPr>
      <w:r w:rsidRPr="00CE7679">
        <w:rPr>
          <w:rFonts w:eastAsia="SimSun"/>
          <w:snapToGrid/>
          <w:szCs w:val="22"/>
        </w:rPr>
        <w:t>Hepatito B infekcijos atsinaujinimas (</w:t>
      </w:r>
      <w:proofErr w:type="spellStart"/>
      <w:r w:rsidRPr="00CE7679">
        <w:rPr>
          <w:rFonts w:eastAsia="SimSun"/>
          <w:snapToGrid/>
          <w:szCs w:val="22"/>
        </w:rPr>
        <w:t>reaktyvacija</w:t>
      </w:r>
      <w:proofErr w:type="spellEnd"/>
      <w:r w:rsidRPr="00CE7679">
        <w:rPr>
          <w:rFonts w:eastAsia="SimSun"/>
          <w:snapToGrid/>
          <w:szCs w:val="22"/>
        </w:rPr>
        <w:t xml:space="preserve">), jeigu praeityje Jums buvo diagnozuotas hepatitas B (kepenų infekcija). </w:t>
      </w:r>
    </w:p>
    <w:p w14:paraId="21EEB01F" w14:textId="77777777" w:rsidR="00A27597" w:rsidRPr="00CE7679" w:rsidRDefault="00A27597" w:rsidP="00A27597">
      <w:pPr>
        <w:tabs>
          <w:tab w:val="clear" w:pos="567"/>
        </w:tabs>
        <w:spacing w:line="240" w:lineRule="auto"/>
        <w:rPr>
          <w:rFonts w:eastAsia="SimSun"/>
          <w:snapToGrid/>
          <w:szCs w:val="22"/>
        </w:rPr>
      </w:pPr>
    </w:p>
    <w:p w14:paraId="5CE761C3" w14:textId="77777777" w:rsidR="00A27597" w:rsidRPr="00CE7679" w:rsidRDefault="00A27597" w:rsidP="00A27597">
      <w:pPr>
        <w:numPr>
          <w:ilvl w:val="12"/>
          <w:numId w:val="0"/>
        </w:numPr>
        <w:spacing w:line="240" w:lineRule="auto"/>
        <w:rPr>
          <w:rFonts w:eastAsia="SimSun"/>
          <w:b/>
          <w:snapToGrid/>
          <w:szCs w:val="22"/>
        </w:rPr>
      </w:pPr>
      <w:r w:rsidRPr="00CE7679">
        <w:rPr>
          <w:rFonts w:eastAsia="SimSun"/>
          <w:snapToGrid/>
          <w:szCs w:val="22"/>
        </w:rPr>
        <w:t xml:space="preserve">Jeigu Jums pasireikštų bet kuris iš minėtų atvejų, </w:t>
      </w:r>
      <w:r w:rsidRPr="00CE7679">
        <w:rPr>
          <w:rFonts w:eastAsia="SimSun"/>
          <w:b/>
          <w:snapToGrid/>
          <w:szCs w:val="22"/>
        </w:rPr>
        <w:t>nedels</w:t>
      </w:r>
      <w:r w:rsidR="008476D1" w:rsidRPr="00CE7679">
        <w:rPr>
          <w:rFonts w:eastAsia="SimSun"/>
          <w:b/>
          <w:snapToGrid/>
          <w:szCs w:val="22"/>
        </w:rPr>
        <w:t>dami</w:t>
      </w:r>
      <w:r w:rsidRPr="00CE7679">
        <w:rPr>
          <w:rFonts w:eastAsia="SimSun"/>
          <w:b/>
          <w:snapToGrid/>
          <w:szCs w:val="22"/>
        </w:rPr>
        <w:t xml:space="preserve"> pasakykite gydytojui.</w:t>
      </w:r>
    </w:p>
    <w:p w14:paraId="339E6123" w14:textId="77777777" w:rsidR="00A27597" w:rsidRPr="00CE7679" w:rsidRDefault="00A27597" w:rsidP="00A27597">
      <w:pPr>
        <w:numPr>
          <w:ilvl w:val="12"/>
          <w:numId w:val="0"/>
        </w:numPr>
        <w:spacing w:line="240" w:lineRule="auto"/>
        <w:rPr>
          <w:rFonts w:eastAsia="SimSun"/>
          <w:snapToGrid/>
          <w:szCs w:val="22"/>
        </w:rPr>
      </w:pPr>
    </w:p>
    <w:p w14:paraId="5E0159C0" w14:textId="77777777" w:rsidR="00A27597" w:rsidRPr="00CE7679" w:rsidRDefault="00A27597" w:rsidP="00A27597">
      <w:pPr>
        <w:numPr>
          <w:ilvl w:val="12"/>
          <w:numId w:val="0"/>
        </w:numPr>
        <w:spacing w:line="240" w:lineRule="auto"/>
        <w:rPr>
          <w:rFonts w:eastAsia="SimSun"/>
          <w:b/>
          <w:snapToGrid/>
          <w:szCs w:val="22"/>
        </w:rPr>
      </w:pPr>
      <w:r w:rsidRPr="00CE7679">
        <w:rPr>
          <w:rFonts w:eastAsia="SimSun"/>
          <w:b/>
          <w:snapToGrid/>
          <w:szCs w:val="22"/>
        </w:rPr>
        <w:t>Taip pat gali pasireikšti kitoks šalutinis poveikis:</w:t>
      </w:r>
    </w:p>
    <w:p w14:paraId="74DCF303" w14:textId="77777777" w:rsidR="00A27597" w:rsidRPr="00CE7679" w:rsidRDefault="00A27597" w:rsidP="00A27597">
      <w:pPr>
        <w:numPr>
          <w:ilvl w:val="12"/>
          <w:numId w:val="0"/>
        </w:numPr>
        <w:spacing w:line="240" w:lineRule="auto"/>
        <w:rPr>
          <w:rFonts w:eastAsia="SimSun"/>
          <w:snapToGrid/>
          <w:szCs w:val="22"/>
        </w:rPr>
      </w:pPr>
    </w:p>
    <w:p w14:paraId="5B63B93E" w14:textId="2371933A" w:rsidR="00A27597" w:rsidRPr="00CE7679" w:rsidRDefault="009A013E" w:rsidP="00A27597">
      <w:pPr>
        <w:numPr>
          <w:ilvl w:val="12"/>
          <w:numId w:val="0"/>
        </w:numPr>
        <w:spacing w:line="240" w:lineRule="auto"/>
        <w:rPr>
          <w:rFonts w:eastAsia="SimSun"/>
          <w:snapToGrid/>
          <w:szCs w:val="22"/>
        </w:rPr>
      </w:pPr>
      <w:r w:rsidRPr="007541DA">
        <w:rPr>
          <w:b/>
          <w:bCs/>
          <w:noProof/>
          <w:szCs w:val="22"/>
        </w:rPr>
        <w:t>Labai dažni šalutinio poveikio reiškiniai (gali pasireikšti ne rečiau kaip 1 iš 10</w:t>
      </w:r>
      <w:r w:rsidR="00EC0DF2">
        <w:rPr>
          <w:b/>
          <w:bCs/>
          <w:noProof/>
          <w:szCs w:val="22"/>
        </w:rPr>
        <w:t> </w:t>
      </w:r>
      <w:r w:rsidRPr="007541DA">
        <w:rPr>
          <w:b/>
          <w:bCs/>
          <w:noProof/>
          <w:szCs w:val="22"/>
        </w:rPr>
        <w:t>asmenų)</w:t>
      </w:r>
      <w:r w:rsidR="00A27597" w:rsidRPr="007541DA">
        <w:rPr>
          <w:rFonts w:eastAsia="SimSun"/>
          <w:b/>
          <w:snapToGrid/>
          <w:szCs w:val="22"/>
        </w:rPr>
        <w:t>:</w:t>
      </w:r>
    </w:p>
    <w:p w14:paraId="1BC662CE" w14:textId="77777777" w:rsidR="00A27597" w:rsidRPr="00CE7679" w:rsidRDefault="00A27597" w:rsidP="00A27597">
      <w:pPr>
        <w:numPr>
          <w:ilvl w:val="0"/>
          <w:numId w:val="12"/>
        </w:numPr>
        <w:tabs>
          <w:tab w:val="clear" w:pos="567"/>
        </w:tabs>
        <w:spacing w:line="240" w:lineRule="auto"/>
        <w:ind w:left="567" w:hanging="567"/>
        <w:rPr>
          <w:rFonts w:eastAsia="SimSun"/>
          <w:snapToGrid/>
          <w:szCs w:val="22"/>
        </w:rPr>
      </w:pPr>
      <w:r w:rsidRPr="00CE7679">
        <w:rPr>
          <w:rFonts w:eastAsia="SimSun"/>
          <w:snapToGrid/>
          <w:szCs w:val="22"/>
        </w:rPr>
        <w:t>Galvos skausmas ar nuovargis.</w:t>
      </w:r>
    </w:p>
    <w:p w14:paraId="24C9462A" w14:textId="77777777" w:rsidR="00A27597" w:rsidRPr="00CE7679" w:rsidRDefault="00A27597" w:rsidP="00F30108">
      <w:pPr>
        <w:numPr>
          <w:ilvl w:val="0"/>
          <w:numId w:val="12"/>
        </w:numPr>
        <w:tabs>
          <w:tab w:val="clear" w:pos="567"/>
        </w:tabs>
        <w:spacing w:line="0" w:lineRule="atLeast"/>
        <w:ind w:left="567" w:hanging="567"/>
        <w:rPr>
          <w:rFonts w:eastAsia="SimSun"/>
          <w:snapToGrid/>
          <w:szCs w:val="22"/>
        </w:rPr>
      </w:pPr>
      <w:r w:rsidRPr="00CE7679">
        <w:rPr>
          <w:rFonts w:eastAsia="SimSun"/>
          <w:snapToGrid/>
          <w:szCs w:val="22"/>
        </w:rPr>
        <w:t xml:space="preserve">Šleikštulys (pykinimas), vėmimas, viduriavimas ar </w:t>
      </w:r>
      <w:proofErr w:type="spellStart"/>
      <w:r w:rsidRPr="00CE7679">
        <w:rPr>
          <w:rFonts w:eastAsia="SimSun"/>
          <w:snapToGrid/>
          <w:szCs w:val="22"/>
        </w:rPr>
        <w:t>nevirškinimas</w:t>
      </w:r>
      <w:proofErr w:type="spellEnd"/>
      <w:r w:rsidRPr="00CE7679">
        <w:rPr>
          <w:rFonts w:eastAsia="SimSun"/>
          <w:snapToGrid/>
          <w:szCs w:val="22"/>
        </w:rPr>
        <w:t>.</w:t>
      </w:r>
    </w:p>
    <w:p w14:paraId="58957E1E" w14:textId="77777777" w:rsidR="00A27597" w:rsidRPr="00CE7679" w:rsidRDefault="00A27597" w:rsidP="00F30108">
      <w:pPr>
        <w:numPr>
          <w:ilvl w:val="0"/>
          <w:numId w:val="12"/>
        </w:numPr>
        <w:tabs>
          <w:tab w:val="clear" w:pos="567"/>
        </w:tabs>
        <w:spacing w:line="0" w:lineRule="atLeast"/>
        <w:ind w:left="567" w:hanging="567"/>
        <w:rPr>
          <w:rFonts w:eastAsia="SimSun"/>
          <w:snapToGrid/>
          <w:szCs w:val="22"/>
        </w:rPr>
      </w:pPr>
      <w:r w:rsidRPr="00CE7679">
        <w:rPr>
          <w:rFonts w:eastAsia="SimSun"/>
          <w:snapToGrid/>
          <w:szCs w:val="22"/>
        </w:rPr>
        <w:t>Išbėrimas.</w:t>
      </w:r>
    </w:p>
    <w:p w14:paraId="7A141BF6" w14:textId="7A942280" w:rsidR="00140C5C" w:rsidRPr="0068785E" w:rsidRDefault="00A27597" w:rsidP="00F30108">
      <w:pPr>
        <w:pStyle w:val="Pagrindinistekstas"/>
        <w:numPr>
          <w:ilvl w:val="0"/>
          <w:numId w:val="12"/>
        </w:numPr>
        <w:kinsoku w:val="0"/>
        <w:overflowPunct w:val="0"/>
        <w:spacing w:line="0" w:lineRule="atLeast"/>
        <w:ind w:left="567" w:hanging="567"/>
        <w:rPr>
          <w:i w:val="0"/>
          <w:color w:val="auto"/>
        </w:rPr>
      </w:pPr>
      <w:r w:rsidRPr="000E2055">
        <w:rPr>
          <w:i w:val="0"/>
          <w:color w:val="auto"/>
        </w:rPr>
        <w:t>Mėšlungis arba sąnarių, raumenų ir kaulų skausmas</w:t>
      </w:r>
      <w:r w:rsidR="000E2055">
        <w:rPr>
          <w:i w:val="0"/>
          <w:color w:val="auto"/>
        </w:rPr>
        <w:t xml:space="preserve"> </w:t>
      </w:r>
      <w:proofErr w:type="spellStart"/>
      <w:r w:rsidR="00140C5C" w:rsidRPr="00CC39F6">
        <w:rPr>
          <w:i w:val="0"/>
          <w:color w:val="auto"/>
          <w:szCs w:val="22"/>
        </w:rPr>
        <w:t>imatinibo</w:t>
      </w:r>
      <w:proofErr w:type="spellEnd"/>
      <w:r w:rsidR="00140C5C" w:rsidRPr="000E2055">
        <w:rPr>
          <w:color w:val="auto"/>
          <w:spacing w:val="11"/>
        </w:rPr>
        <w:t xml:space="preserve"> </w:t>
      </w:r>
      <w:r w:rsidR="00140C5C" w:rsidRPr="000E2055">
        <w:rPr>
          <w:i w:val="0"/>
          <w:color w:val="auto"/>
          <w:spacing w:val="-3"/>
        </w:rPr>
        <w:t>vartojimo</w:t>
      </w:r>
      <w:r w:rsidR="00140C5C" w:rsidRPr="000E2055">
        <w:rPr>
          <w:i w:val="0"/>
          <w:color w:val="auto"/>
          <w:spacing w:val="5"/>
        </w:rPr>
        <w:t xml:space="preserve"> </w:t>
      </w:r>
      <w:r w:rsidR="00140C5C" w:rsidRPr="000E2055">
        <w:rPr>
          <w:i w:val="0"/>
          <w:color w:val="auto"/>
          <w:spacing w:val="-3"/>
        </w:rPr>
        <w:t>metu</w:t>
      </w:r>
      <w:r w:rsidR="00140C5C" w:rsidRPr="000E2055">
        <w:rPr>
          <w:i w:val="0"/>
          <w:color w:val="auto"/>
          <w:spacing w:val="5"/>
        </w:rPr>
        <w:t xml:space="preserve"> </w:t>
      </w:r>
      <w:r w:rsidR="00140C5C" w:rsidRPr="000E2055">
        <w:rPr>
          <w:i w:val="0"/>
          <w:color w:val="auto"/>
          <w:spacing w:val="-2"/>
        </w:rPr>
        <w:t xml:space="preserve">arba </w:t>
      </w:r>
      <w:r w:rsidR="00140C5C" w:rsidRPr="0068785E">
        <w:rPr>
          <w:i w:val="0"/>
          <w:color w:val="auto"/>
          <w:spacing w:val="-2"/>
        </w:rPr>
        <w:t>nutraukus</w:t>
      </w:r>
      <w:r w:rsidR="00185A9E" w:rsidRPr="0068785E">
        <w:rPr>
          <w:i w:val="0"/>
          <w:color w:val="auto"/>
          <w:spacing w:val="5"/>
        </w:rPr>
        <w:t xml:space="preserve"> j</w:t>
      </w:r>
      <w:r w:rsidR="00140C5C" w:rsidRPr="0068785E">
        <w:rPr>
          <w:i w:val="0"/>
          <w:color w:val="auto"/>
          <w:spacing w:val="5"/>
        </w:rPr>
        <w:t xml:space="preserve">o </w:t>
      </w:r>
      <w:r w:rsidR="00185A9E" w:rsidRPr="0068785E">
        <w:rPr>
          <w:i w:val="0"/>
          <w:color w:val="auto"/>
          <w:spacing w:val="-2"/>
        </w:rPr>
        <w:t>vartojimą</w:t>
      </w:r>
      <w:r w:rsidR="00140C5C" w:rsidRPr="0068785E">
        <w:rPr>
          <w:i w:val="0"/>
          <w:color w:val="auto"/>
          <w:spacing w:val="-2"/>
        </w:rPr>
        <w:t>.</w:t>
      </w:r>
    </w:p>
    <w:p w14:paraId="7081AF1D" w14:textId="77777777" w:rsidR="00A27597" w:rsidRPr="00CE7679" w:rsidRDefault="00A27597" w:rsidP="00F30108">
      <w:pPr>
        <w:numPr>
          <w:ilvl w:val="0"/>
          <w:numId w:val="12"/>
        </w:numPr>
        <w:tabs>
          <w:tab w:val="clear" w:pos="567"/>
        </w:tabs>
        <w:spacing w:line="0" w:lineRule="atLeast"/>
        <w:ind w:left="567" w:hanging="567"/>
        <w:rPr>
          <w:rFonts w:eastAsia="SimSun"/>
          <w:snapToGrid/>
          <w:szCs w:val="22"/>
        </w:rPr>
      </w:pPr>
      <w:r w:rsidRPr="00CE7679">
        <w:rPr>
          <w:rFonts w:eastAsia="SimSun"/>
          <w:snapToGrid/>
          <w:szCs w:val="22"/>
        </w:rPr>
        <w:t>Tinimas, pavyzdžiui, patinusios kulkšnys ar paburkę akių vokai.</w:t>
      </w:r>
    </w:p>
    <w:p w14:paraId="3A27EA64" w14:textId="77777777" w:rsidR="00A27597" w:rsidRPr="00CE7679" w:rsidRDefault="00A27597" w:rsidP="00A27597">
      <w:pPr>
        <w:numPr>
          <w:ilvl w:val="0"/>
          <w:numId w:val="12"/>
        </w:numPr>
        <w:tabs>
          <w:tab w:val="clear" w:pos="567"/>
        </w:tabs>
        <w:spacing w:line="240" w:lineRule="auto"/>
        <w:ind w:left="567" w:hanging="567"/>
        <w:rPr>
          <w:rFonts w:eastAsia="SimSun"/>
          <w:b/>
          <w:snapToGrid/>
          <w:szCs w:val="22"/>
        </w:rPr>
      </w:pPr>
      <w:r w:rsidRPr="00CE7679">
        <w:rPr>
          <w:rFonts w:eastAsia="SimSun"/>
          <w:snapToGrid/>
          <w:szCs w:val="22"/>
        </w:rPr>
        <w:t>Padidėjęs kūno svoris.</w:t>
      </w:r>
    </w:p>
    <w:p w14:paraId="2857C5BD" w14:textId="77777777" w:rsidR="00A27597" w:rsidRPr="00CE7679" w:rsidRDefault="00A27597" w:rsidP="00A27597">
      <w:pPr>
        <w:numPr>
          <w:ilvl w:val="12"/>
          <w:numId w:val="0"/>
        </w:numPr>
        <w:spacing w:line="240" w:lineRule="auto"/>
        <w:rPr>
          <w:rFonts w:eastAsia="SimSun"/>
          <w:snapToGrid/>
          <w:szCs w:val="22"/>
        </w:rPr>
      </w:pPr>
      <w:r w:rsidRPr="00CE7679">
        <w:rPr>
          <w:rFonts w:eastAsia="SimSun"/>
          <w:snapToGrid/>
          <w:szCs w:val="22"/>
        </w:rPr>
        <w:t xml:space="preserve">Jei bet kuris iš šių atvejų tampa sunkus, </w:t>
      </w:r>
      <w:r w:rsidRPr="00CE7679">
        <w:rPr>
          <w:rFonts w:eastAsia="SimSun"/>
          <w:b/>
          <w:snapToGrid/>
          <w:szCs w:val="22"/>
        </w:rPr>
        <w:t>pasakykite savo gydytojui.</w:t>
      </w:r>
    </w:p>
    <w:p w14:paraId="4A499B1B" w14:textId="77777777" w:rsidR="00A27597" w:rsidRPr="00CE7679" w:rsidRDefault="00A27597" w:rsidP="00A27597">
      <w:pPr>
        <w:numPr>
          <w:ilvl w:val="12"/>
          <w:numId w:val="0"/>
        </w:numPr>
        <w:spacing w:line="240" w:lineRule="auto"/>
        <w:rPr>
          <w:rFonts w:eastAsia="SimSun"/>
          <w:snapToGrid/>
          <w:szCs w:val="22"/>
        </w:rPr>
      </w:pPr>
    </w:p>
    <w:p w14:paraId="04D04489" w14:textId="5729E16D" w:rsidR="00A27597" w:rsidRPr="00CE7679" w:rsidRDefault="009A013E" w:rsidP="00A27597">
      <w:pPr>
        <w:numPr>
          <w:ilvl w:val="12"/>
          <w:numId w:val="0"/>
        </w:numPr>
        <w:spacing w:line="240" w:lineRule="auto"/>
        <w:rPr>
          <w:rFonts w:eastAsia="SimSun"/>
          <w:b/>
          <w:snapToGrid/>
          <w:szCs w:val="22"/>
        </w:rPr>
      </w:pPr>
      <w:r w:rsidRPr="007541DA">
        <w:rPr>
          <w:b/>
          <w:bCs/>
          <w:noProof/>
          <w:szCs w:val="22"/>
        </w:rPr>
        <w:t>Dažni šalutinio poveikio reiškiniai (gali pasireikšti rečiau kaip 1 iš 10</w:t>
      </w:r>
      <w:r w:rsidR="00A53F82">
        <w:rPr>
          <w:b/>
          <w:bCs/>
          <w:noProof/>
          <w:szCs w:val="22"/>
        </w:rPr>
        <w:t> </w:t>
      </w:r>
      <w:r w:rsidRPr="007541DA">
        <w:rPr>
          <w:b/>
          <w:bCs/>
          <w:noProof/>
          <w:szCs w:val="22"/>
        </w:rPr>
        <w:t>asmenų)</w:t>
      </w:r>
      <w:r w:rsidR="00A27597" w:rsidRPr="007541DA">
        <w:rPr>
          <w:rFonts w:eastAsia="SimSun"/>
          <w:b/>
          <w:snapToGrid/>
          <w:szCs w:val="22"/>
        </w:rPr>
        <w:t>:</w:t>
      </w:r>
    </w:p>
    <w:p w14:paraId="44E1FA8F" w14:textId="77777777" w:rsidR="00A27597" w:rsidRPr="00CE7679" w:rsidRDefault="00A27597" w:rsidP="00A27597">
      <w:pPr>
        <w:numPr>
          <w:ilvl w:val="0"/>
          <w:numId w:val="17"/>
        </w:numPr>
        <w:tabs>
          <w:tab w:val="clear" w:pos="567"/>
        </w:tabs>
        <w:spacing w:line="240" w:lineRule="auto"/>
        <w:ind w:left="567" w:hanging="567"/>
        <w:rPr>
          <w:rFonts w:eastAsia="SimSun"/>
          <w:snapToGrid/>
          <w:szCs w:val="22"/>
        </w:rPr>
      </w:pPr>
      <w:proofErr w:type="spellStart"/>
      <w:r w:rsidRPr="00CE7679">
        <w:rPr>
          <w:rFonts w:eastAsia="SimSun"/>
          <w:snapToGrid/>
          <w:szCs w:val="22"/>
        </w:rPr>
        <w:t>Nevalgumas</w:t>
      </w:r>
      <w:proofErr w:type="spellEnd"/>
      <w:r w:rsidRPr="00CE7679">
        <w:rPr>
          <w:rFonts w:eastAsia="SimSun"/>
          <w:snapToGrid/>
          <w:szCs w:val="22"/>
        </w:rPr>
        <w:t>, sumažėjęs kūno svoris, sutrikęs skonio jutimas.</w:t>
      </w:r>
    </w:p>
    <w:p w14:paraId="2C562208" w14:textId="77777777" w:rsidR="00A27597" w:rsidRPr="00CE7679" w:rsidRDefault="00A27597" w:rsidP="00A27597">
      <w:pPr>
        <w:numPr>
          <w:ilvl w:val="0"/>
          <w:numId w:val="17"/>
        </w:numPr>
        <w:tabs>
          <w:tab w:val="clear" w:pos="567"/>
        </w:tabs>
        <w:spacing w:line="240" w:lineRule="auto"/>
        <w:ind w:left="567" w:hanging="567"/>
        <w:rPr>
          <w:rFonts w:eastAsia="SimSun"/>
          <w:snapToGrid/>
          <w:szCs w:val="22"/>
        </w:rPr>
      </w:pPr>
      <w:r w:rsidRPr="00CE7679">
        <w:rPr>
          <w:rFonts w:eastAsia="SimSun"/>
          <w:snapToGrid/>
          <w:szCs w:val="22"/>
        </w:rPr>
        <w:t>Svaigulys arba silpnumas.</w:t>
      </w:r>
    </w:p>
    <w:p w14:paraId="7F645DD3" w14:textId="77777777" w:rsidR="00A27597" w:rsidRPr="00CE7679" w:rsidRDefault="00A27597" w:rsidP="00A27597">
      <w:pPr>
        <w:numPr>
          <w:ilvl w:val="0"/>
          <w:numId w:val="17"/>
        </w:numPr>
        <w:tabs>
          <w:tab w:val="clear" w:pos="567"/>
        </w:tabs>
        <w:spacing w:line="240" w:lineRule="auto"/>
        <w:ind w:left="567" w:hanging="567"/>
        <w:rPr>
          <w:rFonts w:eastAsia="SimSun"/>
          <w:snapToGrid/>
          <w:szCs w:val="22"/>
        </w:rPr>
      </w:pPr>
      <w:r w:rsidRPr="00CE7679">
        <w:rPr>
          <w:rFonts w:eastAsia="SimSun"/>
          <w:snapToGrid/>
          <w:szCs w:val="22"/>
        </w:rPr>
        <w:t>Sunkumas užmigti (nemiga).</w:t>
      </w:r>
    </w:p>
    <w:p w14:paraId="48706E73" w14:textId="77777777" w:rsidR="00A27597" w:rsidRPr="00CE7679" w:rsidRDefault="00A27597" w:rsidP="00A27597">
      <w:pPr>
        <w:numPr>
          <w:ilvl w:val="0"/>
          <w:numId w:val="17"/>
        </w:numPr>
        <w:tabs>
          <w:tab w:val="clear" w:pos="567"/>
        </w:tabs>
        <w:spacing w:line="240" w:lineRule="auto"/>
        <w:ind w:left="567" w:hanging="567"/>
        <w:rPr>
          <w:rFonts w:eastAsia="SimSun"/>
          <w:snapToGrid/>
          <w:szCs w:val="22"/>
        </w:rPr>
      </w:pPr>
      <w:r w:rsidRPr="00CE7679">
        <w:rPr>
          <w:rFonts w:eastAsia="SimSun"/>
          <w:snapToGrid/>
          <w:szCs w:val="22"/>
        </w:rPr>
        <w:t>Išskyros iš akies kartu su niežuliu, paraudimu ir patinimu (konjunktyvitas), ašarojimas, neryškus matymas.</w:t>
      </w:r>
    </w:p>
    <w:p w14:paraId="1C4A02ED" w14:textId="77777777" w:rsidR="00A27597" w:rsidRPr="00CE7679" w:rsidRDefault="00A27597" w:rsidP="00A27597">
      <w:pPr>
        <w:numPr>
          <w:ilvl w:val="0"/>
          <w:numId w:val="17"/>
        </w:numPr>
        <w:tabs>
          <w:tab w:val="clear" w:pos="567"/>
        </w:tabs>
        <w:spacing w:line="240" w:lineRule="auto"/>
        <w:ind w:left="567" w:hanging="567"/>
        <w:rPr>
          <w:rFonts w:eastAsia="SimSun"/>
          <w:snapToGrid/>
          <w:szCs w:val="22"/>
        </w:rPr>
      </w:pPr>
      <w:r w:rsidRPr="00CE7679">
        <w:rPr>
          <w:rFonts w:eastAsia="SimSun"/>
          <w:snapToGrid/>
          <w:szCs w:val="22"/>
        </w:rPr>
        <w:t>Kraujavimas iš nosies.</w:t>
      </w:r>
    </w:p>
    <w:p w14:paraId="5E5F0D12" w14:textId="77777777" w:rsidR="00A27597" w:rsidRPr="00CE7679" w:rsidRDefault="00A27597" w:rsidP="00A27597">
      <w:pPr>
        <w:numPr>
          <w:ilvl w:val="0"/>
          <w:numId w:val="17"/>
        </w:numPr>
        <w:tabs>
          <w:tab w:val="clear" w:pos="567"/>
        </w:tabs>
        <w:spacing w:line="240" w:lineRule="auto"/>
        <w:ind w:left="567" w:hanging="567"/>
        <w:rPr>
          <w:rFonts w:eastAsia="SimSun"/>
          <w:snapToGrid/>
          <w:szCs w:val="22"/>
        </w:rPr>
      </w:pPr>
      <w:r w:rsidRPr="00CE7679">
        <w:rPr>
          <w:rFonts w:eastAsia="SimSun"/>
          <w:snapToGrid/>
          <w:szCs w:val="22"/>
        </w:rPr>
        <w:t>Pilvo skausmas ar patinimas, vidurių pūtimas, rėmuo, vidurių užkietėjimas.</w:t>
      </w:r>
    </w:p>
    <w:p w14:paraId="7F85569C" w14:textId="77777777" w:rsidR="00A27597" w:rsidRPr="00CE7679" w:rsidRDefault="00A27597" w:rsidP="00A27597">
      <w:pPr>
        <w:numPr>
          <w:ilvl w:val="0"/>
          <w:numId w:val="17"/>
        </w:numPr>
        <w:tabs>
          <w:tab w:val="clear" w:pos="567"/>
        </w:tabs>
        <w:spacing w:line="240" w:lineRule="auto"/>
        <w:ind w:left="567" w:hanging="567"/>
        <w:rPr>
          <w:rFonts w:eastAsia="SimSun"/>
          <w:snapToGrid/>
          <w:szCs w:val="22"/>
        </w:rPr>
      </w:pPr>
      <w:r w:rsidRPr="00CE7679">
        <w:rPr>
          <w:rFonts w:eastAsia="SimSun"/>
          <w:snapToGrid/>
          <w:szCs w:val="22"/>
        </w:rPr>
        <w:t>Niežulys.</w:t>
      </w:r>
    </w:p>
    <w:p w14:paraId="39588E2A" w14:textId="77777777" w:rsidR="00A27597" w:rsidRPr="00CE7679" w:rsidRDefault="00A27597" w:rsidP="00A27597">
      <w:pPr>
        <w:numPr>
          <w:ilvl w:val="0"/>
          <w:numId w:val="17"/>
        </w:numPr>
        <w:tabs>
          <w:tab w:val="clear" w:pos="567"/>
        </w:tabs>
        <w:spacing w:line="240" w:lineRule="auto"/>
        <w:ind w:left="567" w:hanging="567"/>
        <w:rPr>
          <w:rFonts w:eastAsia="SimSun"/>
          <w:snapToGrid/>
          <w:szCs w:val="22"/>
        </w:rPr>
      </w:pPr>
      <w:r w:rsidRPr="00CE7679">
        <w:rPr>
          <w:rFonts w:eastAsia="SimSun"/>
          <w:snapToGrid/>
          <w:szCs w:val="22"/>
        </w:rPr>
        <w:t>Neįprastas plaukų slinkimas ar plonėjimas.</w:t>
      </w:r>
    </w:p>
    <w:p w14:paraId="1552C5E4" w14:textId="77777777" w:rsidR="00A27597" w:rsidRPr="00CE7679" w:rsidRDefault="00A27597" w:rsidP="00A27597">
      <w:pPr>
        <w:numPr>
          <w:ilvl w:val="0"/>
          <w:numId w:val="17"/>
        </w:numPr>
        <w:tabs>
          <w:tab w:val="clear" w:pos="567"/>
        </w:tabs>
        <w:spacing w:line="240" w:lineRule="auto"/>
        <w:ind w:left="567" w:hanging="567"/>
        <w:rPr>
          <w:rFonts w:eastAsia="SimSun"/>
          <w:snapToGrid/>
          <w:szCs w:val="22"/>
        </w:rPr>
      </w:pPr>
      <w:r w:rsidRPr="00CE7679">
        <w:rPr>
          <w:rFonts w:eastAsia="SimSun"/>
          <w:snapToGrid/>
          <w:szCs w:val="22"/>
        </w:rPr>
        <w:t>Plaštakų ar pėdų tirpimas.</w:t>
      </w:r>
    </w:p>
    <w:p w14:paraId="237E6D22" w14:textId="77777777" w:rsidR="00A27597" w:rsidRPr="00CE7679" w:rsidRDefault="00A27597" w:rsidP="00A27597">
      <w:pPr>
        <w:numPr>
          <w:ilvl w:val="0"/>
          <w:numId w:val="17"/>
        </w:numPr>
        <w:tabs>
          <w:tab w:val="clear" w:pos="567"/>
        </w:tabs>
        <w:spacing w:line="240" w:lineRule="auto"/>
        <w:ind w:left="567" w:hanging="567"/>
        <w:rPr>
          <w:rFonts w:eastAsia="SimSun"/>
          <w:snapToGrid/>
          <w:szCs w:val="22"/>
        </w:rPr>
      </w:pPr>
      <w:r w:rsidRPr="00CE7679">
        <w:rPr>
          <w:rFonts w:eastAsia="SimSun"/>
          <w:snapToGrid/>
          <w:szCs w:val="22"/>
        </w:rPr>
        <w:t>Burnos išopėjimas.</w:t>
      </w:r>
    </w:p>
    <w:p w14:paraId="442D78C2" w14:textId="77777777" w:rsidR="00A27597" w:rsidRPr="00CE7679" w:rsidRDefault="00A27597" w:rsidP="00A27597">
      <w:pPr>
        <w:numPr>
          <w:ilvl w:val="0"/>
          <w:numId w:val="17"/>
        </w:numPr>
        <w:tabs>
          <w:tab w:val="clear" w:pos="567"/>
        </w:tabs>
        <w:spacing w:line="240" w:lineRule="auto"/>
        <w:ind w:left="567" w:hanging="567"/>
        <w:rPr>
          <w:rFonts w:eastAsia="SimSun"/>
          <w:snapToGrid/>
          <w:szCs w:val="22"/>
        </w:rPr>
      </w:pPr>
      <w:r w:rsidRPr="00CE7679">
        <w:rPr>
          <w:rFonts w:eastAsia="SimSun"/>
          <w:snapToGrid/>
          <w:szCs w:val="22"/>
        </w:rPr>
        <w:t>Sąnarių skausmas ir patinimas.</w:t>
      </w:r>
    </w:p>
    <w:p w14:paraId="1F7E884A" w14:textId="77777777" w:rsidR="00A27597" w:rsidRPr="00CE7679" w:rsidRDefault="00A27597" w:rsidP="00A27597">
      <w:pPr>
        <w:numPr>
          <w:ilvl w:val="0"/>
          <w:numId w:val="17"/>
        </w:numPr>
        <w:tabs>
          <w:tab w:val="clear" w:pos="567"/>
        </w:tabs>
        <w:spacing w:line="240" w:lineRule="auto"/>
        <w:ind w:left="567" w:hanging="567"/>
        <w:rPr>
          <w:rFonts w:eastAsia="SimSun"/>
          <w:snapToGrid/>
          <w:szCs w:val="22"/>
        </w:rPr>
      </w:pPr>
      <w:r w:rsidRPr="00CE7679">
        <w:rPr>
          <w:rFonts w:eastAsia="SimSun"/>
          <w:snapToGrid/>
          <w:szCs w:val="22"/>
        </w:rPr>
        <w:t>Burnos, odos ar akių džiūvimas.</w:t>
      </w:r>
    </w:p>
    <w:p w14:paraId="543F423E" w14:textId="77777777" w:rsidR="00A27597" w:rsidRPr="00CE7679" w:rsidRDefault="00A27597" w:rsidP="00A27597">
      <w:pPr>
        <w:numPr>
          <w:ilvl w:val="0"/>
          <w:numId w:val="17"/>
        </w:numPr>
        <w:tabs>
          <w:tab w:val="clear" w:pos="567"/>
        </w:tabs>
        <w:spacing w:line="240" w:lineRule="auto"/>
        <w:ind w:left="567" w:hanging="567"/>
        <w:rPr>
          <w:rFonts w:eastAsia="SimSun"/>
          <w:snapToGrid/>
          <w:szCs w:val="22"/>
        </w:rPr>
      </w:pPr>
      <w:r w:rsidRPr="00CE7679">
        <w:rPr>
          <w:rFonts w:eastAsia="SimSun"/>
          <w:snapToGrid/>
          <w:szCs w:val="22"/>
        </w:rPr>
        <w:lastRenderedPageBreak/>
        <w:t>Sumažėjęs arba padidėjęs odos jautrumas.</w:t>
      </w:r>
    </w:p>
    <w:p w14:paraId="19DD29AE" w14:textId="77777777" w:rsidR="00A27597" w:rsidRPr="00CE7679" w:rsidRDefault="00A27597" w:rsidP="00A27597">
      <w:pPr>
        <w:numPr>
          <w:ilvl w:val="0"/>
          <w:numId w:val="17"/>
        </w:numPr>
        <w:tabs>
          <w:tab w:val="clear" w:pos="567"/>
        </w:tabs>
        <w:spacing w:line="240" w:lineRule="auto"/>
        <w:ind w:left="567" w:hanging="567"/>
        <w:rPr>
          <w:rFonts w:eastAsia="SimSun"/>
          <w:snapToGrid/>
          <w:szCs w:val="22"/>
        </w:rPr>
      </w:pPr>
      <w:r w:rsidRPr="00CE7679">
        <w:rPr>
          <w:rFonts w:eastAsia="SimSun"/>
          <w:snapToGrid/>
          <w:szCs w:val="22"/>
        </w:rPr>
        <w:t>Karščio pylimai, drebulys ar naktinis prakaitavimas.</w:t>
      </w:r>
    </w:p>
    <w:p w14:paraId="5494B3EE" w14:textId="77777777" w:rsidR="00A27597" w:rsidRPr="00CE7679" w:rsidRDefault="00A27597" w:rsidP="00A27597">
      <w:pPr>
        <w:tabs>
          <w:tab w:val="clear" w:pos="567"/>
        </w:tabs>
        <w:spacing w:line="240" w:lineRule="auto"/>
        <w:rPr>
          <w:rFonts w:eastAsia="SimSun"/>
          <w:snapToGrid/>
          <w:szCs w:val="22"/>
        </w:rPr>
      </w:pPr>
      <w:r w:rsidRPr="00CE7679">
        <w:rPr>
          <w:rFonts w:eastAsia="SimSun"/>
          <w:snapToGrid/>
          <w:szCs w:val="22"/>
        </w:rPr>
        <w:t xml:space="preserve">Jei bet kuris iš šių atvejų tampa sunkiu, </w:t>
      </w:r>
      <w:r w:rsidRPr="00CE7679">
        <w:rPr>
          <w:rFonts w:eastAsia="SimSun"/>
          <w:b/>
          <w:snapToGrid/>
          <w:szCs w:val="22"/>
        </w:rPr>
        <w:t>pasakykite savo gydytojui</w:t>
      </w:r>
      <w:r w:rsidRPr="00CE7679">
        <w:rPr>
          <w:rFonts w:eastAsia="SimSun"/>
          <w:snapToGrid/>
          <w:szCs w:val="22"/>
        </w:rPr>
        <w:t xml:space="preserve">. </w:t>
      </w:r>
    </w:p>
    <w:p w14:paraId="67C78262" w14:textId="43849060" w:rsidR="00A27597" w:rsidRDefault="00A27597" w:rsidP="00A27597">
      <w:pPr>
        <w:numPr>
          <w:ilvl w:val="12"/>
          <w:numId w:val="0"/>
        </w:numPr>
        <w:spacing w:line="240" w:lineRule="auto"/>
        <w:rPr>
          <w:rFonts w:eastAsia="SimSun"/>
          <w:snapToGrid/>
          <w:szCs w:val="22"/>
        </w:rPr>
      </w:pPr>
    </w:p>
    <w:p w14:paraId="32FA11F5" w14:textId="488FB529" w:rsidR="00812775" w:rsidRPr="00CE40E1" w:rsidRDefault="008E0569" w:rsidP="00CE40E1">
      <w:pPr>
        <w:numPr>
          <w:ilvl w:val="12"/>
          <w:numId w:val="0"/>
        </w:numPr>
        <w:spacing w:line="240" w:lineRule="auto"/>
        <w:rPr>
          <w:b/>
          <w:bCs/>
          <w:szCs w:val="22"/>
        </w:rPr>
      </w:pPr>
      <w:r>
        <w:rPr>
          <w:b/>
          <w:bCs/>
          <w:szCs w:val="22"/>
        </w:rPr>
        <w:t>Nedažni šalutinio poveikio reiškiniai (gali pasireikšti rečiau kaip 1 iš 100</w:t>
      </w:r>
      <w:r w:rsidR="003905F2">
        <w:rPr>
          <w:b/>
          <w:bCs/>
          <w:szCs w:val="22"/>
        </w:rPr>
        <w:t> </w:t>
      </w:r>
      <w:r>
        <w:rPr>
          <w:b/>
          <w:bCs/>
          <w:szCs w:val="22"/>
        </w:rPr>
        <w:t>asmenų):</w:t>
      </w:r>
    </w:p>
    <w:p w14:paraId="4191E775" w14:textId="63FBD831" w:rsidR="00C43BF2" w:rsidRPr="00C43BF2" w:rsidRDefault="00812775" w:rsidP="00C43BF2">
      <w:pPr>
        <w:numPr>
          <w:ilvl w:val="0"/>
          <w:numId w:val="17"/>
        </w:numPr>
        <w:tabs>
          <w:tab w:val="clear" w:pos="567"/>
        </w:tabs>
        <w:spacing w:line="240" w:lineRule="auto"/>
        <w:rPr>
          <w:rFonts w:eastAsia="SimSun"/>
          <w:snapToGrid/>
          <w:szCs w:val="22"/>
        </w:rPr>
      </w:pPr>
      <w:r w:rsidRPr="00812775">
        <w:rPr>
          <w:rFonts w:eastAsia="SimSun"/>
          <w:snapToGrid/>
          <w:szCs w:val="22"/>
        </w:rPr>
        <w:t xml:space="preserve">Kosulys, sloga arba varvanti nosis, sunkumo ar skausmo pojūtis spaudžiant sritį virš akių arba nosies šonuose, užgulusi nosis, čiaudulys, gerklės skausmas lydintis galvos skausmo ar be jo (viršutinių kvėpavimo takų infekcijos požymiai). </w:t>
      </w:r>
    </w:p>
    <w:p w14:paraId="5E39E247" w14:textId="58D75D21" w:rsidR="002D34DB" w:rsidRPr="00C43BF2" w:rsidRDefault="00C43BF2" w:rsidP="00C43BF2">
      <w:pPr>
        <w:numPr>
          <w:ilvl w:val="0"/>
          <w:numId w:val="17"/>
        </w:numPr>
        <w:tabs>
          <w:tab w:val="clear" w:pos="567"/>
        </w:tabs>
        <w:spacing w:line="240" w:lineRule="auto"/>
        <w:rPr>
          <w:rFonts w:eastAsia="SimSun"/>
          <w:snapToGrid/>
          <w:szCs w:val="22"/>
        </w:rPr>
      </w:pPr>
      <w:r w:rsidRPr="00C43BF2">
        <w:rPr>
          <w:rFonts w:eastAsia="SimSun"/>
          <w:snapToGrid/>
          <w:szCs w:val="22"/>
        </w:rPr>
        <w:t>Stiprus galvos skausmas, pasireiškiantis tvinkčiojančiu skausmu arba pulsavimo pojūčiu, dažniausiai, vienoje galvos pusėje ir dažnai lydintis pykinimo, vėmimo ir jautrumo šviesai ar garsui</w:t>
      </w:r>
      <w:r w:rsidR="002D34DB" w:rsidRPr="00C43BF2">
        <w:rPr>
          <w:rFonts w:eastAsia="SimSun"/>
          <w:snapToGrid/>
          <w:szCs w:val="22"/>
        </w:rPr>
        <w:t xml:space="preserve"> (migrenos požymiai).</w:t>
      </w:r>
    </w:p>
    <w:p w14:paraId="3B2521FC" w14:textId="2D8EB092" w:rsidR="002C1DC5" w:rsidRPr="002C1DC5" w:rsidRDefault="002D34DB" w:rsidP="002C1DC5">
      <w:pPr>
        <w:numPr>
          <w:ilvl w:val="0"/>
          <w:numId w:val="17"/>
        </w:numPr>
        <w:tabs>
          <w:tab w:val="clear" w:pos="567"/>
        </w:tabs>
        <w:spacing w:line="240" w:lineRule="auto"/>
        <w:rPr>
          <w:rFonts w:eastAsia="SimSun"/>
          <w:snapToGrid/>
          <w:szCs w:val="22"/>
        </w:rPr>
      </w:pPr>
      <w:r w:rsidRPr="002D34DB">
        <w:rPr>
          <w:rFonts w:eastAsia="SimSun"/>
          <w:snapToGrid/>
          <w:szCs w:val="22"/>
        </w:rPr>
        <w:t>Į gripą panašūs simptomai (</w:t>
      </w:r>
      <w:r w:rsidR="008910EF">
        <w:rPr>
          <w:rFonts w:eastAsia="SimSun"/>
          <w:snapToGrid/>
          <w:szCs w:val="22"/>
        </w:rPr>
        <w:t>peršalimas</w:t>
      </w:r>
      <w:r w:rsidRPr="002D34DB">
        <w:rPr>
          <w:rFonts w:eastAsia="SimSun"/>
          <w:snapToGrid/>
          <w:szCs w:val="22"/>
        </w:rPr>
        <w:t>).</w:t>
      </w:r>
    </w:p>
    <w:p w14:paraId="1A95815D" w14:textId="77777777" w:rsidR="002C1DC5" w:rsidRPr="002C1DC5" w:rsidRDefault="002C1DC5" w:rsidP="002C1DC5">
      <w:pPr>
        <w:numPr>
          <w:ilvl w:val="0"/>
          <w:numId w:val="17"/>
        </w:numPr>
        <w:tabs>
          <w:tab w:val="clear" w:pos="567"/>
        </w:tabs>
        <w:spacing w:line="240" w:lineRule="auto"/>
        <w:rPr>
          <w:rFonts w:eastAsia="SimSun"/>
          <w:snapToGrid/>
          <w:szCs w:val="22"/>
        </w:rPr>
      </w:pPr>
      <w:r w:rsidRPr="002C1DC5">
        <w:rPr>
          <w:rFonts w:eastAsia="SimSun"/>
          <w:snapToGrid/>
          <w:szCs w:val="22"/>
        </w:rPr>
        <w:t xml:space="preserve">Skausmas ar deginimo pojūtis šlapinantis, pakilusi kūno temperatūra, skausmas kirkšnyje arba dubens srityje, raudonas arba rudas, arba drumstas šlapimas (šlapimo takų infekcijos požymiai). </w:t>
      </w:r>
    </w:p>
    <w:p w14:paraId="69209575" w14:textId="05899076" w:rsidR="0051503F" w:rsidRPr="002C1DC5" w:rsidRDefault="002C1DC5" w:rsidP="002C1DC5">
      <w:pPr>
        <w:numPr>
          <w:ilvl w:val="0"/>
          <w:numId w:val="17"/>
        </w:numPr>
        <w:tabs>
          <w:tab w:val="clear" w:pos="567"/>
        </w:tabs>
        <w:spacing w:line="240" w:lineRule="auto"/>
        <w:rPr>
          <w:rFonts w:eastAsia="SimSun"/>
          <w:snapToGrid/>
          <w:szCs w:val="22"/>
        </w:rPr>
      </w:pPr>
      <w:r w:rsidRPr="002C1DC5">
        <w:rPr>
          <w:rFonts w:eastAsia="SimSun"/>
          <w:snapToGrid/>
          <w:szCs w:val="22"/>
        </w:rPr>
        <w:t>Sąnarių skausmas ir patinimas (</w:t>
      </w:r>
      <w:proofErr w:type="spellStart"/>
      <w:r w:rsidRPr="002C1DC5">
        <w:rPr>
          <w:rFonts w:eastAsia="SimSun"/>
          <w:snapToGrid/>
          <w:szCs w:val="22"/>
        </w:rPr>
        <w:t>artralgijos</w:t>
      </w:r>
      <w:proofErr w:type="spellEnd"/>
      <w:r w:rsidRPr="002C1DC5">
        <w:rPr>
          <w:rFonts w:eastAsia="SimSun"/>
          <w:snapToGrid/>
          <w:szCs w:val="22"/>
        </w:rPr>
        <w:t xml:space="preserve"> požymiai)</w:t>
      </w:r>
      <w:r>
        <w:rPr>
          <w:rFonts w:eastAsia="SimSun"/>
          <w:snapToGrid/>
          <w:szCs w:val="22"/>
        </w:rPr>
        <w:t>.</w:t>
      </w:r>
    </w:p>
    <w:p w14:paraId="2212A477" w14:textId="29D622C9" w:rsidR="0051503F" w:rsidRPr="00B24AB3" w:rsidRDefault="0051503F" w:rsidP="00B24AB3">
      <w:pPr>
        <w:numPr>
          <w:ilvl w:val="0"/>
          <w:numId w:val="17"/>
        </w:numPr>
        <w:tabs>
          <w:tab w:val="clear" w:pos="567"/>
        </w:tabs>
        <w:spacing w:line="240" w:lineRule="auto"/>
        <w:rPr>
          <w:rFonts w:eastAsia="SimSun"/>
          <w:snapToGrid/>
          <w:szCs w:val="22"/>
        </w:rPr>
      </w:pPr>
      <w:r w:rsidRPr="00B24AB3">
        <w:rPr>
          <w:rFonts w:eastAsia="SimSun"/>
          <w:snapToGrid/>
          <w:szCs w:val="22"/>
        </w:rPr>
        <w:t xml:space="preserve">Nuolatinis liūdesio ir </w:t>
      </w:r>
      <w:r w:rsidR="00B24AB3" w:rsidRPr="00B24AB3">
        <w:rPr>
          <w:rFonts w:eastAsia="SimSun"/>
          <w:snapToGrid/>
          <w:szCs w:val="22"/>
        </w:rPr>
        <w:t xml:space="preserve">apatijos jausmas, dėl kurių nebeužsiimate įprastine veikla </w:t>
      </w:r>
      <w:r w:rsidRPr="00B24AB3">
        <w:rPr>
          <w:rFonts w:eastAsia="SimSun"/>
          <w:snapToGrid/>
          <w:szCs w:val="22"/>
        </w:rPr>
        <w:t>(depresijos požymiai).</w:t>
      </w:r>
    </w:p>
    <w:p w14:paraId="2715A363" w14:textId="0EA4DA9E" w:rsidR="00995C6D" w:rsidRPr="00995C6D" w:rsidRDefault="00B24AB3" w:rsidP="00995C6D">
      <w:pPr>
        <w:numPr>
          <w:ilvl w:val="0"/>
          <w:numId w:val="17"/>
        </w:numPr>
        <w:tabs>
          <w:tab w:val="clear" w:pos="567"/>
        </w:tabs>
        <w:spacing w:line="240" w:lineRule="auto"/>
        <w:rPr>
          <w:rFonts w:eastAsia="SimSun"/>
          <w:snapToGrid/>
          <w:szCs w:val="22"/>
        </w:rPr>
      </w:pPr>
      <w:r>
        <w:rPr>
          <w:rFonts w:eastAsia="SimSun"/>
          <w:snapToGrid/>
          <w:szCs w:val="22"/>
        </w:rPr>
        <w:t>Baimės ir n</w:t>
      </w:r>
      <w:r w:rsidR="0051503F" w:rsidRPr="0051503F">
        <w:rPr>
          <w:rFonts w:eastAsia="SimSun"/>
          <w:snapToGrid/>
          <w:szCs w:val="22"/>
        </w:rPr>
        <w:t xml:space="preserve">erimo jausmas kartu su fiziniais simptomais, tokiais kaip </w:t>
      </w:r>
      <w:r>
        <w:rPr>
          <w:rFonts w:eastAsia="SimSun"/>
          <w:snapToGrid/>
          <w:szCs w:val="22"/>
        </w:rPr>
        <w:t xml:space="preserve">dažnas </w:t>
      </w:r>
      <w:r w:rsidR="0051503F" w:rsidRPr="0051503F">
        <w:rPr>
          <w:rFonts w:eastAsia="SimSun"/>
          <w:snapToGrid/>
          <w:szCs w:val="22"/>
        </w:rPr>
        <w:t>širdies plakimas, prakaitavimas, drebulys, burnos džiūvimas (nerimo požymiai).</w:t>
      </w:r>
    </w:p>
    <w:p w14:paraId="0429E682" w14:textId="77777777" w:rsidR="00995C6D" w:rsidRPr="00995C6D" w:rsidRDefault="00995C6D" w:rsidP="00995C6D">
      <w:pPr>
        <w:numPr>
          <w:ilvl w:val="0"/>
          <w:numId w:val="17"/>
        </w:numPr>
        <w:tabs>
          <w:tab w:val="clear" w:pos="567"/>
        </w:tabs>
        <w:spacing w:line="240" w:lineRule="auto"/>
        <w:rPr>
          <w:rFonts w:eastAsia="SimSun"/>
          <w:snapToGrid/>
          <w:szCs w:val="22"/>
        </w:rPr>
      </w:pPr>
      <w:r w:rsidRPr="00995C6D">
        <w:rPr>
          <w:rFonts w:eastAsia="SimSun"/>
          <w:snapToGrid/>
          <w:szCs w:val="22"/>
        </w:rPr>
        <w:t xml:space="preserve">Nuovargis arba mieguistumas, arba pernelyg didelis mieguistumas. </w:t>
      </w:r>
    </w:p>
    <w:p w14:paraId="67D1D919" w14:textId="04130F6D" w:rsidR="0051503F" w:rsidRDefault="00D117F8" w:rsidP="0051503F">
      <w:pPr>
        <w:numPr>
          <w:ilvl w:val="0"/>
          <w:numId w:val="17"/>
        </w:numPr>
        <w:tabs>
          <w:tab w:val="clear" w:pos="567"/>
        </w:tabs>
        <w:spacing w:line="240" w:lineRule="auto"/>
        <w:rPr>
          <w:rFonts w:eastAsia="SimSun"/>
          <w:snapToGrid/>
          <w:szCs w:val="22"/>
        </w:rPr>
      </w:pPr>
      <w:r>
        <w:rPr>
          <w:rFonts w:eastAsia="SimSun"/>
          <w:snapToGrid/>
          <w:szCs w:val="22"/>
        </w:rPr>
        <w:t>Drebėjimas</w:t>
      </w:r>
      <w:r w:rsidR="0051503F" w:rsidRPr="0051503F">
        <w:rPr>
          <w:rFonts w:eastAsia="SimSun"/>
          <w:snapToGrid/>
          <w:szCs w:val="22"/>
        </w:rPr>
        <w:t xml:space="preserve"> arba judesi</w:t>
      </w:r>
      <w:r w:rsidR="00995C6D">
        <w:rPr>
          <w:rFonts w:eastAsia="SimSun"/>
          <w:snapToGrid/>
          <w:szCs w:val="22"/>
        </w:rPr>
        <w:t>ų sutrikimas</w:t>
      </w:r>
      <w:r w:rsidR="0051503F" w:rsidRPr="0051503F">
        <w:rPr>
          <w:rFonts w:eastAsia="SimSun"/>
          <w:snapToGrid/>
          <w:szCs w:val="22"/>
        </w:rPr>
        <w:t xml:space="preserve"> (tremoras).</w:t>
      </w:r>
    </w:p>
    <w:p w14:paraId="3A884325" w14:textId="511F78A3" w:rsidR="00184C99" w:rsidRPr="00184C99" w:rsidRDefault="00184C99" w:rsidP="00184C99">
      <w:pPr>
        <w:numPr>
          <w:ilvl w:val="0"/>
          <w:numId w:val="17"/>
        </w:numPr>
        <w:tabs>
          <w:tab w:val="clear" w:pos="567"/>
        </w:tabs>
        <w:spacing w:line="240" w:lineRule="auto"/>
        <w:rPr>
          <w:rFonts w:eastAsia="SimSun"/>
          <w:snapToGrid/>
          <w:szCs w:val="22"/>
        </w:rPr>
      </w:pPr>
      <w:r w:rsidRPr="00184C99">
        <w:rPr>
          <w:rFonts w:eastAsia="SimSun"/>
          <w:snapToGrid/>
          <w:szCs w:val="22"/>
        </w:rPr>
        <w:t>Atminties sutrikimas.</w:t>
      </w:r>
    </w:p>
    <w:p w14:paraId="1884A954" w14:textId="2EED70B2" w:rsidR="00184C99" w:rsidRPr="00184C99" w:rsidRDefault="00184C99" w:rsidP="00184C99">
      <w:pPr>
        <w:numPr>
          <w:ilvl w:val="0"/>
          <w:numId w:val="17"/>
        </w:numPr>
        <w:tabs>
          <w:tab w:val="clear" w:pos="567"/>
        </w:tabs>
        <w:spacing w:line="240" w:lineRule="auto"/>
        <w:rPr>
          <w:rFonts w:eastAsia="SimSun"/>
          <w:snapToGrid/>
          <w:szCs w:val="22"/>
        </w:rPr>
      </w:pPr>
      <w:r w:rsidRPr="00184C99">
        <w:rPr>
          <w:rFonts w:eastAsia="SimSun"/>
          <w:snapToGrid/>
          <w:szCs w:val="22"/>
        </w:rPr>
        <w:t>Nepaprastas noras judinti kojas (neramių kojų sindromas).</w:t>
      </w:r>
    </w:p>
    <w:p w14:paraId="3460A88C" w14:textId="591C9C18" w:rsidR="00184C99" w:rsidRPr="00A93E80" w:rsidRDefault="00184C99" w:rsidP="00A93E80">
      <w:pPr>
        <w:numPr>
          <w:ilvl w:val="0"/>
          <w:numId w:val="17"/>
        </w:numPr>
        <w:tabs>
          <w:tab w:val="clear" w:pos="567"/>
        </w:tabs>
        <w:spacing w:line="240" w:lineRule="auto"/>
        <w:rPr>
          <w:rFonts w:eastAsia="SimSun"/>
          <w:snapToGrid/>
          <w:szCs w:val="22"/>
        </w:rPr>
      </w:pPr>
      <w:r w:rsidRPr="00A93E80">
        <w:rPr>
          <w:rFonts w:eastAsia="SimSun"/>
          <w:snapToGrid/>
          <w:szCs w:val="22"/>
        </w:rPr>
        <w:t xml:space="preserve">Girdimas triukšmas </w:t>
      </w:r>
      <w:r w:rsidR="00A93E80">
        <w:rPr>
          <w:rFonts w:eastAsia="SimSun"/>
          <w:snapToGrid/>
          <w:szCs w:val="22"/>
        </w:rPr>
        <w:t xml:space="preserve">ausyse </w:t>
      </w:r>
      <w:r w:rsidRPr="00A93E80">
        <w:rPr>
          <w:rFonts w:eastAsia="SimSun"/>
          <w:snapToGrid/>
          <w:szCs w:val="22"/>
        </w:rPr>
        <w:t xml:space="preserve">(pvz., skambėjimas, dūzgimas) </w:t>
      </w:r>
      <w:r w:rsidR="00A93E80" w:rsidRPr="00A93E80">
        <w:rPr>
          <w:rFonts w:eastAsia="SimSun"/>
          <w:snapToGrid/>
          <w:szCs w:val="22"/>
        </w:rPr>
        <w:t>kuris neturi išorinio šaltinio (spengimas ausyse (ūžesys [</w:t>
      </w:r>
      <w:proofErr w:type="spellStart"/>
      <w:r w:rsidR="00A93E80" w:rsidRPr="00043BB9">
        <w:rPr>
          <w:rFonts w:eastAsia="SimSun"/>
        </w:rPr>
        <w:t>tinnitus</w:t>
      </w:r>
      <w:proofErr w:type="spellEnd"/>
      <w:r w:rsidR="00A93E80" w:rsidRPr="00A93E80">
        <w:rPr>
          <w:rFonts w:eastAsia="SimSun"/>
          <w:snapToGrid/>
          <w:szCs w:val="22"/>
        </w:rPr>
        <w:t xml:space="preserve">]). </w:t>
      </w:r>
    </w:p>
    <w:p w14:paraId="7B2EE310" w14:textId="583C5F5C" w:rsidR="00184C99" w:rsidRPr="00184C99" w:rsidRDefault="00184C99" w:rsidP="00184C99">
      <w:pPr>
        <w:numPr>
          <w:ilvl w:val="0"/>
          <w:numId w:val="17"/>
        </w:numPr>
        <w:tabs>
          <w:tab w:val="clear" w:pos="567"/>
        </w:tabs>
        <w:spacing w:line="240" w:lineRule="auto"/>
        <w:rPr>
          <w:rFonts w:eastAsia="SimSun"/>
          <w:snapToGrid/>
          <w:szCs w:val="22"/>
        </w:rPr>
      </w:pPr>
      <w:r w:rsidRPr="00184C99">
        <w:rPr>
          <w:rFonts w:eastAsia="SimSun"/>
          <w:snapToGrid/>
          <w:szCs w:val="22"/>
        </w:rPr>
        <w:t>Aukštas kraujospūdis (hipertenzija).</w:t>
      </w:r>
    </w:p>
    <w:p w14:paraId="50C9E5B5" w14:textId="7BB970BF" w:rsidR="00184C99" w:rsidRPr="00184C99" w:rsidRDefault="00184C99" w:rsidP="00184C99">
      <w:pPr>
        <w:numPr>
          <w:ilvl w:val="0"/>
          <w:numId w:val="17"/>
        </w:numPr>
        <w:tabs>
          <w:tab w:val="clear" w:pos="567"/>
        </w:tabs>
        <w:spacing w:line="240" w:lineRule="auto"/>
        <w:rPr>
          <w:rFonts w:eastAsia="SimSun"/>
          <w:snapToGrid/>
          <w:szCs w:val="22"/>
        </w:rPr>
      </w:pPr>
      <w:r w:rsidRPr="00184C99">
        <w:rPr>
          <w:rFonts w:eastAsia="SimSun"/>
          <w:snapToGrid/>
          <w:szCs w:val="22"/>
        </w:rPr>
        <w:t>Raugėjimas</w:t>
      </w:r>
      <w:r w:rsidR="00A93E80">
        <w:rPr>
          <w:rFonts w:eastAsia="SimSun"/>
          <w:snapToGrid/>
          <w:szCs w:val="22"/>
        </w:rPr>
        <w:t xml:space="preserve"> arba žiaukčiojimas</w:t>
      </w:r>
      <w:r w:rsidRPr="00184C99">
        <w:rPr>
          <w:rFonts w:eastAsia="SimSun"/>
          <w:snapToGrid/>
          <w:szCs w:val="22"/>
        </w:rPr>
        <w:t>.</w:t>
      </w:r>
    </w:p>
    <w:p w14:paraId="6C7E2532" w14:textId="28410543" w:rsidR="00184C99" w:rsidRPr="00184C99" w:rsidRDefault="00184C99" w:rsidP="00184C99">
      <w:pPr>
        <w:numPr>
          <w:ilvl w:val="0"/>
          <w:numId w:val="17"/>
        </w:numPr>
        <w:tabs>
          <w:tab w:val="clear" w:pos="567"/>
        </w:tabs>
        <w:spacing w:line="240" w:lineRule="auto"/>
        <w:rPr>
          <w:rFonts w:eastAsia="SimSun"/>
          <w:snapToGrid/>
          <w:szCs w:val="22"/>
        </w:rPr>
      </w:pPr>
      <w:r w:rsidRPr="00184C99">
        <w:rPr>
          <w:rFonts w:eastAsia="SimSun"/>
          <w:snapToGrid/>
          <w:szCs w:val="22"/>
        </w:rPr>
        <w:t>Lūpų uždegimas.</w:t>
      </w:r>
    </w:p>
    <w:p w14:paraId="3E65E434" w14:textId="40DFE5AF" w:rsidR="00184C99" w:rsidRPr="00184C99" w:rsidRDefault="00184C99" w:rsidP="00184C99">
      <w:pPr>
        <w:numPr>
          <w:ilvl w:val="0"/>
          <w:numId w:val="17"/>
        </w:numPr>
        <w:tabs>
          <w:tab w:val="clear" w:pos="567"/>
        </w:tabs>
        <w:spacing w:line="240" w:lineRule="auto"/>
        <w:rPr>
          <w:rFonts w:eastAsia="SimSun"/>
          <w:snapToGrid/>
          <w:szCs w:val="22"/>
        </w:rPr>
      </w:pPr>
      <w:r w:rsidRPr="00184C99">
        <w:rPr>
          <w:rFonts w:eastAsia="SimSun"/>
          <w:snapToGrid/>
          <w:szCs w:val="22"/>
        </w:rPr>
        <w:t>Pasunkėjęs rijimas.</w:t>
      </w:r>
    </w:p>
    <w:p w14:paraId="65F06E3D" w14:textId="68EF7388" w:rsidR="00184C99" w:rsidRPr="00184C99" w:rsidRDefault="00184C99" w:rsidP="00184C99">
      <w:pPr>
        <w:numPr>
          <w:ilvl w:val="0"/>
          <w:numId w:val="17"/>
        </w:numPr>
        <w:tabs>
          <w:tab w:val="clear" w:pos="567"/>
        </w:tabs>
        <w:spacing w:line="240" w:lineRule="auto"/>
        <w:rPr>
          <w:rFonts w:eastAsia="SimSun"/>
          <w:snapToGrid/>
          <w:szCs w:val="22"/>
        </w:rPr>
      </w:pPr>
      <w:r w:rsidRPr="00184C99">
        <w:rPr>
          <w:rFonts w:eastAsia="SimSun"/>
          <w:snapToGrid/>
          <w:szCs w:val="22"/>
        </w:rPr>
        <w:t>Padidėjęs prakaitavimas.</w:t>
      </w:r>
    </w:p>
    <w:p w14:paraId="57E25BD7" w14:textId="72EF0A2A" w:rsidR="00953CC4" w:rsidRPr="00953CC4" w:rsidRDefault="00A93E80" w:rsidP="00953CC4">
      <w:pPr>
        <w:numPr>
          <w:ilvl w:val="0"/>
          <w:numId w:val="17"/>
        </w:numPr>
        <w:tabs>
          <w:tab w:val="clear" w:pos="567"/>
        </w:tabs>
        <w:spacing w:line="240" w:lineRule="auto"/>
        <w:rPr>
          <w:rFonts w:eastAsia="SimSun"/>
          <w:snapToGrid/>
          <w:szCs w:val="22"/>
        </w:rPr>
      </w:pPr>
      <w:r>
        <w:rPr>
          <w:rFonts w:eastAsia="SimSun"/>
          <w:snapToGrid/>
          <w:szCs w:val="22"/>
        </w:rPr>
        <w:t>P</w:t>
      </w:r>
      <w:r w:rsidRPr="00184C99">
        <w:rPr>
          <w:rFonts w:eastAsia="SimSun"/>
          <w:snapToGrid/>
          <w:szCs w:val="22"/>
        </w:rPr>
        <w:t>ak</w:t>
      </w:r>
      <w:r>
        <w:rPr>
          <w:rFonts w:eastAsia="SimSun"/>
          <w:snapToGrid/>
          <w:szCs w:val="22"/>
        </w:rPr>
        <w:t>itusi</w:t>
      </w:r>
      <w:r w:rsidRPr="00184C99">
        <w:rPr>
          <w:rFonts w:eastAsia="SimSun"/>
          <w:snapToGrid/>
          <w:szCs w:val="22"/>
        </w:rPr>
        <w:t xml:space="preserve"> </w:t>
      </w:r>
      <w:r>
        <w:rPr>
          <w:rFonts w:eastAsia="SimSun"/>
          <w:snapToGrid/>
          <w:szCs w:val="22"/>
        </w:rPr>
        <w:t>o</w:t>
      </w:r>
      <w:r w:rsidR="00184C99" w:rsidRPr="00184C99">
        <w:rPr>
          <w:rFonts w:eastAsia="SimSun"/>
          <w:snapToGrid/>
          <w:szCs w:val="22"/>
        </w:rPr>
        <w:t>dos spalv</w:t>
      </w:r>
      <w:r>
        <w:rPr>
          <w:rFonts w:eastAsia="SimSun"/>
          <w:snapToGrid/>
          <w:szCs w:val="22"/>
        </w:rPr>
        <w:t>a</w:t>
      </w:r>
      <w:r w:rsidR="00184C99" w:rsidRPr="00184C99">
        <w:rPr>
          <w:rFonts w:eastAsia="SimSun"/>
          <w:snapToGrid/>
          <w:szCs w:val="22"/>
        </w:rPr>
        <w:t>.</w:t>
      </w:r>
    </w:p>
    <w:p w14:paraId="21EA30E8" w14:textId="77777777" w:rsidR="00953CC4" w:rsidRPr="00953CC4" w:rsidRDefault="00953CC4" w:rsidP="00953CC4">
      <w:pPr>
        <w:numPr>
          <w:ilvl w:val="0"/>
          <w:numId w:val="17"/>
        </w:numPr>
        <w:tabs>
          <w:tab w:val="clear" w:pos="567"/>
        </w:tabs>
        <w:spacing w:line="240" w:lineRule="auto"/>
        <w:rPr>
          <w:rFonts w:eastAsia="SimSun"/>
          <w:snapToGrid/>
          <w:szCs w:val="22"/>
        </w:rPr>
      </w:pPr>
      <w:r w:rsidRPr="00953CC4">
        <w:rPr>
          <w:rFonts w:eastAsia="SimSun"/>
          <w:snapToGrid/>
          <w:szCs w:val="22"/>
        </w:rPr>
        <w:t xml:space="preserve">Trapūs nagai. </w:t>
      </w:r>
    </w:p>
    <w:p w14:paraId="3062FA0A" w14:textId="0E3D4BD6" w:rsidR="00953CC4" w:rsidRPr="00953CC4" w:rsidRDefault="00953CC4" w:rsidP="00953CC4">
      <w:pPr>
        <w:numPr>
          <w:ilvl w:val="0"/>
          <w:numId w:val="17"/>
        </w:numPr>
        <w:tabs>
          <w:tab w:val="clear" w:pos="567"/>
        </w:tabs>
        <w:spacing w:line="240" w:lineRule="auto"/>
        <w:rPr>
          <w:rFonts w:eastAsia="SimSun"/>
          <w:snapToGrid/>
          <w:szCs w:val="22"/>
        </w:rPr>
      </w:pPr>
      <w:r w:rsidRPr="00953CC4">
        <w:rPr>
          <w:rFonts w:eastAsia="SimSun"/>
          <w:snapToGrid/>
          <w:szCs w:val="22"/>
        </w:rPr>
        <w:t xml:space="preserve">Raudoni iškilimai arba baltagalviai spuogeliai aplink plaukų šaknis, galintys pasireikšti skausmu, niežėjimu ar deginimo pojūčiu (plaukų folikulų uždegimo, dar vadinamo </w:t>
      </w:r>
      <w:proofErr w:type="spellStart"/>
      <w:r w:rsidRPr="00953CC4">
        <w:rPr>
          <w:rFonts w:eastAsia="SimSun"/>
          <w:snapToGrid/>
          <w:szCs w:val="22"/>
        </w:rPr>
        <w:t>folikulitu</w:t>
      </w:r>
      <w:proofErr w:type="spellEnd"/>
      <w:r w:rsidRPr="00953CC4">
        <w:rPr>
          <w:rFonts w:eastAsia="SimSun"/>
          <w:snapToGrid/>
          <w:szCs w:val="22"/>
        </w:rPr>
        <w:t xml:space="preserve">, požymiai). </w:t>
      </w:r>
    </w:p>
    <w:p w14:paraId="0DAF2DEA" w14:textId="6D9B2344" w:rsidR="0069441B" w:rsidRPr="0069441B" w:rsidRDefault="0069441B" w:rsidP="0069441B">
      <w:pPr>
        <w:numPr>
          <w:ilvl w:val="0"/>
          <w:numId w:val="17"/>
        </w:numPr>
        <w:tabs>
          <w:tab w:val="clear" w:pos="567"/>
        </w:tabs>
        <w:spacing w:line="240" w:lineRule="auto"/>
        <w:rPr>
          <w:rFonts w:eastAsia="SimSun"/>
          <w:snapToGrid/>
          <w:szCs w:val="22"/>
        </w:rPr>
      </w:pPr>
      <w:r w:rsidRPr="0069441B">
        <w:rPr>
          <w:rFonts w:eastAsia="SimSun"/>
          <w:snapToGrid/>
          <w:szCs w:val="22"/>
        </w:rPr>
        <w:t>Odos išbėrimas su pleiskanojimu ar lupimusi (</w:t>
      </w:r>
      <w:proofErr w:type="spellStart"/>
      <w:r w:rsidRPr="0069441B">
        <w:rPr>
          <w:rFonts w:eastAsia="SimSun"/>
          <w:snapToGrid/>
          <w:szCs w:val="22"/>
        </w:rPr>
        <w:t>eksfoliacinis</w:t>
      </w:r>
      <w:proofErr w:type="spellEnd"/>
      <w:r w:rsidRPr="0069441B">
        <w:rPr>
          <w:rFonts w:eastAsia="SimSun"/>
          <w:snapToGrid/>
          <w:szCs w:val="22"/>
        </w:rPr>
        <w:t xml:space="preserve"> dermatitas).</w:t>
      </w:r>
    </w:p>
    <w:p w14:paraId="6ED475AF" w14:textId="3EEA563A" w:rsidR="00B43FC0" w:rsidRPr="00B43FC0" w:rsidRDefault="0069441B" w:rsidP="00B43FC0">
      <w:pPr>
        <w:numPr>
          <w:ilvl w:val="0"/>
          <w:numId w:val="17"/>
        </w:numPr>
        <w:tabs>
          <w:tab w:val="clear" w:pos="567"/>
        </w:tabs>
        <w:spacing w:line="240" w:lineRule="auto"/>
        <w:rPr>
          <w:rFonts w:eastAsia="SimSun"/>
          <w:snapToGrid/>
          <w:szCs w:val="22"/>
        </w:rPr>
      </w:pPr>
      <w:r w:rsidRPr="0069441B">
        <w:rPr>
          <w:rFonts w:eastAsia="SimSun"/>
          <w:snapToGrid/>
          <w:szCs w:val="22"/>
        </w:rPr>
        <w:t>Krūtų padidėjimas (gali pasireikšti vyrams arba moterims).</w:t>
      </w:r>
    </w:p>
    <w:p w14:paraId="67B3B4A1" w14:textId="77777777" w:rsidR="00B43FC0" w:rsidRPr="00B43FC0" w:rsidRDefault="00B43FC0" w:rsidP="00B43FC0">
      <w:pPr>
        <w:numPr>
          <w:ilvl w:val="0"/>
          <w:numId w:val="17"/>
        </w:numPr>
        <w:tabs>
          <w:tab w:val="clear" w:pos="567"/>
        </w:tabs>
        <w:spacing w:line="240" w:lineRule="auto"/>
        <w:rPr>
          <w:rFonts w:eastAsia="SimSun"/>
          <w:snapToGrid/>
          <w:szCs w:val="22"/>
        </w:rPr>
      </w:pPr>
      <w:r w:rsidRPr="00B43FC0">
        <w:rPr>
          <w:rFonts w:eastAsia="SimSun"/>
          <w:snapToGrid/>
          <w:szCs w:val="22"/>
        </w:rPr>
        <w:t xml:space="preserve">Bukas skausmas ir (arba) sunkumo jausmas sėklidėse arba pilvo apačioje, skausmas šlapinimosi, lytinių santykių ar ejakuliacijos metu, kraujas šlapime (sėklidžių edemos požymiai). </w:t>
      </w:r>
    </w:p>
    <w:p w14:paraId="50E02453" w14:textId="6B1BBEB2" w:rsidR="0069441B" w:rsidRDefault="0069441B" w:rsidP="0069441B">
      <w:pPr>
        <w:numPr>
          <w:ilvl w:val="0"/>
          <w:numId w:val="17"/>
        </w:numPr>
        <w:tabs>
          <w:tab w:val="clear" w:pos="567"/>
        </w:tabs>
        <w:spacing w:line="240" w:lineRule="auto"/>
        <w:rPr>
          <w:rFonts w:eastAsia="SimSun"/>
          <w:snapToGrid/>
          <w:szCs w:val="22"/>
        </w:rPr>
      </w:pPr>
      <w:r w:rsidRPr="0069441B">
        <w:rPr>
          <w:rFonts w:eastAsia="SimSun"/>
          <w:snapToGrid/>
          <w:szCs w:val="22"/>
        </w:rPr>
        <w:t>Nesugebėjimas pasiekti ar išlaikyti erekcijos (erekcijos sutrikimas).</w:t>
      </w:r>
    </w:p>
    <w:p w14:paraId="7406DCAE" w14:textId="267E66A1" w:rsidR="00B43FC0" w:rsidRPr="00B43FC0" w:rsidRDefault="006E0488" w:rsidP="00B43FC0">
      <w:pPr>
        <w:numPr>
          <w:ilvl w:val="0"/>
          <w:numId w:val="17"/>
        </w:numPr>
        <w:tabs>
          <w:tab w:val="clear" w:pos="567"/>
        </w:tabs>
        <w:spacing w:line="240" w:lineRule="auto"/>
        <w:rPr>
          <w:rFonts w:eastAsia="SimSun"/>
          <w:snapToGrid/>
          <w:szCs w:val="22"/>
        </w:rPr>
      </w:pPr>
      <w:r w:rsidRPr="006E0488">
        <w:rPr>
          <w:rFonts w:eastAsia="SimSun"/>
          <w:snapToGrid/>
          <w:szCs w:val="22"/>
        </w:rPr>
        <w:t>Gausios arba nereguliarios mėnesinės.</w:t>
      </w:r>
    </w:p>
    <w:p w14:paraId="461A66FE" w14:textId="06E40119" w:rsidR="006E0488" w:rsidRPr="00B43FC0" w:rsidRDefault="00B43FC0" w:rsidP="00B43FC0">
      <w:pPr>
        <w:numPr>
          <w:ilvl w:val="0"/>
          <w:numId w:val="17"/>
        </w:numPr>
        <w:tabs>
          <w:tab w:val="clear" w:pos="567"/>
        </w:tabs>
        <w:spacing w:line="240" w:lineRule="auto"/>
        <w:rPr>
          <w:rFonts w:eastAsia="SimSun"/>
          <w:snapToGrid/>
          <w:szCs w:val="22"/>
        </w:rPr>
      </w:pPr>
      <w:r w:rsidRPr="00B43FC0">
        <w:rPr>
          <w:rFonts w:eastAsia="SimSun"/>
          <w:snapToGrid/>
          <w:szCs w:val="22"/>
        </w:rPr>
        <w:t>Negalėjimas pasiekti ar išlaikyti erekciją.</w:t>
      </w:r>
    </w:p>
    <w:p w14:paraId="7DEE0A64" w14:textId="7AE21E07" w:rsidR="006E0488" w:rsidRPr="006E0488" w:rsidRDefault="006E0488" w:rsidP="006E0488">
      <w:pPr>
        <w:numPr>
          <w:ilvl w:val="0"/>
          <w:numId w:val="17"/>
        </w:numPr>
        <w:tabs>
          <w:tab w:val="clear" w:pos="567"/>
        </w:tabs>
        <w:spacing w:line="240" w:lineRule="auto"/>
        <w:rPr>
          <w:rFonts w:eastAsia="SimSun"/>
          <w:snapToGrid/>
          <w:szCs w:val="22"/>
        </w:rPr>
      </w:pPr>
      <w:r w:rsidRPr="006E0488">
        <w:rPr>
          <w:rFonts w:eastAsia="SimSun"/>
          <w:snapToGrid/>
          <w:szCs w:val="22"/>
        </w:rPr>
        <w:t>Sumažėjęs seksualinis potraukis.</w:t>
      </w:r>
    </w:p>
    <w:p w14:paraId="3011A2A7" w14:textId="0AC2264D" w:rsidR="006E0488" w:rsidRPr="006E0488" w:rsidRDefault="006E0488" w:rsidP="006E0488">
      <w:pPr>
        <w:numPr>
          <w:ilvl w:val="0"/>
          <w:numId w:val="17"/>
        </w:numPr>
        <w:tabs>
          <w:tab w:val="clear" w:pos="567"/>
        </w:tabs>
        <w:spacing w:line="240" w:lineRule="auto"/>
        <w:rPr>
          <w:rFonts w:eastAsia="SimSun"/>
          <w:snapToGrid/>
          <w:szCs w:val="22"/>
        </w:rPr>
      </w:pPr>
      <w:r w:rsidRPr="006E0488">
        <w:rPr>
          <w:rFonts w:eastAsia="SimSun"/>
          <w:snapToGrid/>
          <w:szCs w:val="22"/>
        </w:rPr>
        <w:t>Spenelių skausmas.</w:t>
      </w:r>
    </w:p>
    <w:p w14:paraId="2F99B21E" w14:textId="0CF25871" w:rsidR="006E0488" w:rsidRPr="006E0488" w:rsidRDefault="00B43FC0" w:rsidP="006E0488">
      <w:pPr>
        <w:numPr>
          <w:ilvl w:val="0"/>
          <w:numId w:val="17"/>
        </w:numPr>
        <w:tabs>
          <w:tab w:val="clear" w:pos="567"/>
        </w:tabs>
        <w:spacing w:line="240" w:lineRule="auto"/>
        <w:rPr>
          <w:rFonts w:eastAsia="SimSun"/>
          <w:snapToGrid/>
          <w:szCs w:val="22"/>
        </w:rPr>
      </w:pPr>
      <w:r>
        <w:rPr>
          <w:rFonts w:eastAsia="SimSun"/>
          <w:snapToGrid/>
          <w:szCs w:val="22"/>
        </w:rPr>
        <w:t>B</w:t>
      </w:r>
      <w:r w:rsidR="006E0488" w:rsidRPr="006E0488">
        <w:rPr>
          <w:rFonts w:eastAsia="SimSun"/>
          <w:snapToGrid/>
          <w:szCs w:val="22"/>
        </w:rPr>
        <w:t>loga</w:t>
      </w:r>
      <w:r>
        <w:rPr>
          <w:rFonts w:eastAsia="SimSun"/>
          <w:snapToGrid/>
          <w:szCs w:val="22"/>
        </w:rPr>
        <w:t xml:space="preserve"> bendra</w:t>
      </w:r>
      <w:r w:rsidR="006E0488" w:rsidRPr="006E0488">
        <w:rPr>
          <w:rFonts w:eastAsia="SimSun"/>
          <w:snapToGrid/>
          <w:szCs w:val="22"/>
        </w:rPr>
        <w:t xml:space="preserve"> savijauta (negalavimas).</w:t>
      </w:r>
    </w:p>
    <w:p w14:paraId="3652ED62" w14:textId="63100F80" w:rsidR="006E0488" w:rsidRPr="006E0488" w:rsidRDefault="006E0488" w:rsidP="006E0488">
      <w:pPr>
        <w:numPr>
          <w:ilvl w:val="0"/>
          <w:numId w:val="17"/>
        </w:numPr>
        <w:tabs>
          <w:tab w:val="clear" w:pos="567"/>
        </w:tabs>
        <w:spacing w:line="240" w:lineRule="auto"/>
        <w:rPr>
          <w:rFonts w:eastAsia="SimSun"/>
          <w:snapToGrid/>
          <w:szCs w:val="22"/>
        </w:rPr>
      </w:pPr>
      <w:r w:rsidRPr="006E0488">
        <w:rPr>
          <w:rFonts w:eastAsia="SimSun"/>
          <w:snapToGrid/>
          <w:szCs w:val="22"/>
        </w:rPr>
        <w:t>Virusinė infekcija, pvz., pūslelinė.</w:t>
      </w:r>
    </w:p>
    <w:p w14:paraId="2669A331" w14:textId="65AF281C" w:rsidR="006E0488" w:rsidRPr="006E0488" w:rsidRDefault="006E0488" w:rsidP="006E0488">
      <w:pPr>
        <w:numPr>
          <w:ilvl w:val="0"/>
          <w:numId w:val="17"/>
        </w:numPr>
        <w:tabs>
          <w:tab w:val="clear" w:pos="567"/>
        </w:tabs>
        <w:spacing w:line="240" w:lineRule="auto"/>
        <w:rPr>
          <w:rFonts w:eastAsia="SimSun"/>
          <w:snapToGrid/>
          <w:szCs w:val="22"/>
        </w:rPr>
      </w:pPr>
      <w:r w:rsidRPr="006E0488">
        <w:rPr>
          <w:rFonts w:eastAsia="SimSun"/>
          <w:snapToGrid/>
          <w:szCs w:val="22"/>
        </w:rPr>
        <w:t>Apatinės nugaros dalies skausmas, atsirandantis dėl inkstų veiklos sutrikimo.</w:t>
      </w:r>
    </w:p>
    <w:p w14:paraId="3DA6596E" w14:textId="2F0A4B4C" w:rsidR="006E0488" w:rsidRPr="006E0488" w:rsidRDefault="006E0488" w:rsidP="006E0488">
      <w:pPr>
        <w:numPr>
          <w:ilvl w:val="0"/>
          <w:numId w:val="17"/>
        </w:numPr>
        <w:tabs>
          <w:tab w:val="clear" w:pos="567"/>
        </w:tabs>
        <w:spacing w:line="240" w:lineRule="auto"/>
        <w:rPr>
          <w:rFonts w:eastAsia="SimSun"/>
          <w:snapToGrid/>
          <w:szCs w:val="22"/>
        </w:rPr>
      </w:pPr>
      <w:r w:rsidRPr="006E0488">
        <w:rPr>
          <w:rFonts w:eastAsia="SimSun"/>
          <w:snapToGrid/>
          <w:szCs w:val="22"/>
        </w:rPr>
        <w:t>Dažnesnis šlapinimasis.</w:t>
      </w:r>
    </w:p>
    <w:p w14:paraId="77A3AC06" w14:textId="08303491" w:rsidR="00586844" w:rsidRPr="00586844" w:rsidRDefault="006E0488" w:rsidP="00586844">
      <w:pPr>
        <w:numPr>
          <w:ilvl w:val="0"/>
          <w:numId w:val="17"/>
        </w:numPr>
        <w:tabs>
          <w:tab w:val="clear" w:pos="567"/>
        </w:tabs>
        <w:spacing w:line="240" w:lineRule="auto"/>
        <w:rPr>
          <w:rFonts w:eastAsia="SimSun"/>
          <w:snapToGrid/>
          <w:szCs w:val="22"/>
        </w:rPr>
      </w:pPr>
      <w:r w:rsidRPr="006E0488">
        <w:rPr>
          <w:rFonts w:eastAsia="SimSun"/>
          <w:snapToGrid/>
          <w:szCs w:val="22"/>
        </w:rPr>
        <w:t>Apetito padidėjimas.</w:t>
      </w:r>
    </w:p>
    <w:p w14:paraId="5D0B5E56" w14:textId="7FEFA803" w:rsidR="00586844" w:rsidRPr="00586844" w:rsidRDefault="00586844" w:rsidP="00586844">
      <w:pPr>
        <w:numPr>
          <w:ilvl w:val="0"/>
          <w:numId w:val="17"/>
        </w:numPr>
        <w:tabs>
          <w:tab w:val="clear" w:pos="567"/>
        </w:tabs>
        <w:spacing w:line="240" w:lineRule="auto"/>
        <w:rPr>
          <w:rFonts w:eastAsia="SimSun"/>
          <w:snapToGrid/>
          <w:szCs w:val="22"/>
        </w:rPr>
      </w:pPr>
      <w:r w:rsidRPr="00586844">
        <w:rPr>
          <w:rFonts w:eastAsia="SimSun"/>
          <w:snapToGrid/>
          <w:szCs w:val="22"/>
        </w:rPr>
        <w:t>Skausmas arba deginimo pojūtis viršutinėje pilvo dalyje ir (arba) krūtinėje (rėmuo), pykinimas, vėmimas, rūgšties atpylimas, pilnumo jausmas ir pilvo pūtimas, juodos išmatos (skrandžio opos požymiai).</w:t>
      </w:r>
    </w:p>
    <w:p w14:paraId="5DD5CDA4" w14:textId="04558173" w:rsidR="006E0488" w:rsidRPr="006E0488" w:rsidRDefault="006E0488" w:rsidP="006E0488">
      <w:pPr>
        <w:numPr>
          <w:ilvl w:val="0"/>
          <w:numId w:val="17"/>
        </w:numPr>
        <w:tabs>
          <w:tab w:val="clear" w:pos="567"/>
        </w:tabs>
        <w:spacing w:line="240" w:lineRule="auto"/>
        <w:rPr>
          <w:rFonts w:eastAsia="SimSun"/>
          <w:snapToGrid/>
          <w:szCs w:val="22"/>
        </w:rPr>
      </w:pPr>
      <w:r w:rsidRPr="006E0488">
        <w:rPr>
          <w:rFonts w:eastAsia="SimSun"/>
          <w:snapToGrid/>
          <w:szCs w:val="22"/>
        </w:rPr>
        <w:t>Sąnarių ir raumenų sustingimas.</w:t>
      </w:r>
    </w:p>
    <w:p w14:paraId="226FB21F" w14:textId="297EF513" w:rsidR="006E0488" w:rsidRDefault="006E0488" w:rsidP="006E0488">
      <w:pPr>
        <w:numPr>
          <w:ilvl w:val="0"/>
          <w:numId w:val="17"/>
        </w:numPr>
        <w:tabs>
          <w:tab w:val="clear" w:pos="567"/>
        </w:tabs>
        <w:spacing w:line="240" w:lineRule="auto"/>
        <w:rPr>
          <w:rFonts w:eastAsia="SimSun"/>
          <w:snapToGrid/>
          <w:szCs w:val="22"/>
        </w:rPr>
      </w:pPr>
      <w:r w:rsidRPr="006E0488">
        <w:rPr>
          <w:rFonts w:eastAsia="SimSun"/>
          <w:snapToGrid/>
          <w:szCs w:val="22"/>
        </w:rPr>
        <w:t>Nenormalūs laboratorinių tyrimų rezultatai.</w:t>
      </w:r>
    </w:p>
    <w:p w14:paraId="179A580E" w14:textId="74F88259" w:rsidR="00783EC0" w:rsidRDefault="00783EC0" w:rsidP="00A27597">
      <w:pPr>
        <w:numPr>
          <w:ilvl w:val="12"/>
          <w:numId w:val="0"/>
        </w:numPr>
        <w:spacing w:line="240" w:lineRule="auto"/>
        <w:rPr>
          <w:rFonts w:eastAsia="SimSun"/>
          <w:snapToGrid/>
          <w:szCs w:val="22"/>
        </w:rPr>
      </w:pPr>
    </w:p>
    <w:p w14:paraId="7CAD8943" w14:textId="1D0DB998" w:rsidR="00783EC0" w:rsidRDefault="00783EC0" w:rsidP="00A27597">
      <w:pPr>
        <w:numPr>
          <w:ilvl w:val="12"/>
          <w:numId w:val="0"/>
        </w:numPr>
        <w:spacing w:line="240" w:lineRule="auto"/>
        <w:rPr>
          <w:rFonts w:eastAsia="SimSun"/>
          <w:snapToGrid/>
          <w:szCs w:val="22"/>
        </w:rPr>
      </w:pPr>
      <w:r>
        <w:rPr>
          <w:b/>
          <w:bCs/>
          <w:szCs w:val="22"/>
        </w:rPr>
        <w:lastRenderedPageBreak/>
        <w:t>Reti šalutinio poveikio reiškiniai (gali pasireikšti rečiau kaip 1 iš 1 000 asmenų)</w:t>
      </w:r>
      <w:r w:rsidRPr="00F30108">
        <w:rPr>
          <w:b/>
        </w:rPr>
        <w:t>:</w:t>
      </w:r>
    </w:p>
    <w:p w14:paraId="038A29EF" w14:textId="6D4E367D" w:rsidR="00E30678" w:rsidRDefault="00E30678" w:rsidP="00E30678">
      <w:pPr>
        <w:numPr>
          <w:ilvl w:val="0"/>
          <w:numId w:val="17"/>
        </w:numPr>
        <w:tabs>
          <w:tab w:val="clear" w:pos="567"/>
        </w:tabs>
        <w:spacing w:line="240" w:lineRule="auto"/>
        <w:ind w:left="567" w:hanging="567"/>
        <w:rPr>
          <w:rFonts w:eastAsia="SimSun"/>
          <w:snapToGrid/>
          <w:szCs w:val="22"/>
        </w:rPr>
      </w:pPr>
      <w:r w:rsidRPr="00E30678">
        <w:rPr>
          <w:rFonts w:eastAsia="SimSun"/>
          <w:snapToGrid/>
        </w:rPr>
        <w:t>Sumišimas</w:t>
      </w:r>
      <w:r w:rsidRPr="00CE7679">
        <w:rPr>
          <w:rFonts w:eastAsia="SimSun"/>
          <w:snapToGrid/>
          <w:szCs w:val="22"/>
        </w:rPr>
        <w:t>.</w:t>
      </w:r>
    </w:p>
    <w:p w14:paraId="17E081B3" w14:textId="18E05C29" w:rsidR="00783EC0" w:rsidRPr="00E30678" w:rsidRDefault="00E32B61" w:rsidP="00CE40E1">
      <w:pPr>
        <w:numPr>
          <w:ilvl w:val="0"/>
          <w:numId w:val="17"/>
        </w:numPr>
        <w:tabs>
          <w:tab w:val="clear" w:pos="567"/>
        </w:tabs>
        <w:spacing w:line="240" w:lineRule="auto"/>
        <w:ind w:left="567" w:hanging="567"/>
        <w:rPr>
          <w:rFonts w:eastAsia="SimSun"/>
          <w:snapToGrid/>
          <w:szCs w:val="22"/>
        </w:rPr>
      </w:pPr>
      <w:r>
        <w:rPr>
          <w:rFonts w:eastAsia="SimSun"/>
          <w:snapToGrid/>
          <w:szCs w:val="22"/>
        </w:rPr>
        <w:t>Pakitusi nagų</w:t>
      </w:r>
      <w:r w:rsidR="00E30678" w:rsidRPr="00E30678">
        <w:rPr>
          <w:rFonts w:eastAsia="SimSun"/>
          <w:snapToGrid/>
          <w:szCs w:val="22"/>
        </w:rPr>
        <w:t xml:space="preserve"> spalva</w:t>
      </w:r>
      <w:r w:rsidR="00E30678">
        <w:rPr>
          <w:rFonts w:eastAsia="SimSun"/>
          <w:snapToGrid/>
          <w:szCs w:val="22"/>
        </w:rPr>
        <w:t>.</w:t>
      </w:r>
    </w:p>
    <w:p w14:paraId="1F77C637" w14:textId="77777777" w:rsidR="00783EC0" w:rsidRPr="00CE7679" w:rsidRDefault="00783EC0" w:rsidP="00A27597">
      <w:pPr>
        <w:numPr>
          <w:ilvl w:val="12"/>
          <w:numId w:val="0"/>
        </w:numPr>
        <w:spacing w:line="240" w:lineRule="auto"/>
        <w:rPr>
          <w:rFonts w:eastAsia="SimSun"/>
          <w:snapToGrid/>
          <w:szCs w:val="22"/>
        </w:rPr>
      </w:pPr>
    </w:p>
    <w:p w14:paraId="6BE1CA08" w14:textId="77777777" w:rsidR="00A27597" w:rsidRPr="00CE7679" w:rsidRDefault="009A013E" w:rsidP="00A27597">
      <w:pPr>
        <w:numPr>
          <w:ilvl w:val="12"/>
          <w:numId w:val="0"/>
        </w:numPr>
        <w:spacing w:line="240" w:lineRule="auto"/>
        <w:rPr>
          <w:rFonts w:eastAsia="Calibri"/>
          <w:snapToGrid/>
          <w:szCs w:val="22"/>
        </w:rPr>
      </w:pPr>
      <w:r w:rsidRPr="007541DA">
        <w:rPr>
          <w:b/>
          <w:bCs/>
          <w:noProof/>
          <w:szCs w:val="22"/>
        </w:rPr>
        <w:t>Šalutinio poveikio reiškiniai, kurių dažnis nežinomas (negali būti apskaičiuotas pagal turimus duomenis)</w:t>
      </w:r>
      <w:r w:rsidR="00A27597" w:rsidRPr="007541DA">
        <w:rPr>
          <w:rFonts w:eastAsia="SimSun"/>
          <w:b/>
          <w:snapToGrid/>
          <w:szCs w:val="22"/>
        </w:rPr>
        <w:t>:</w:t>
      </w:r>
    </w:p>
    <w:p w14:paraId="50108C57" w14:textId="77777777" w:rsidR="00A27597" w:rsidRPr="00CE7679" w:rsidRDefault="00A27597" w:rsidP="00A27597">
      <w:pPr>
        <w:numPr>
          <w:ilvl w:val="0"/>
          <w:numId w:val="18"/>
        </w:numPr>
        <w:tabs>
          <w:tab w:val="clear" w:pos="567"/>
        </w:tabs>
        <w:spacing w:line="240" w:lineRule="auto"/>
        <w:ind w:left="567" w:hanging="567"/>
        <w:rPr>
          <w:rFonts w:eastAsia="SimSun"/>
          <w:snapToGrid/>
          <w:szCs w:val="22"/>
        </w:rPr>
      </w:pPr>
      <w:r w:rsidRPr="00CE7679">
        <w:rPr>
          <w:rFonts w:eastAsia="SimSun"/>
          <w:snapToGrid/>
          <w:szCs w:val="22"/>
        </w:rPr>
        <w:t>Delnų ir padų paraudimas ir (arba) patinimas, kurie gali pasireikšti kartu su dilgčiojimo pojūčiu ir deginančiu skausmu.</w:t>
      </w:r>
    </w:p>
    <w:p w14:paraId="25E4D420" w14:textId="77777777" w:rsidR="009C008A" w:rsidRPr="00CE7679" w:rsidRDefault="009C008A" w:rsidP="00A27597">
      <w:pPr>
        <w:numPr>
          <w:ilvl w:val="0"/>
          <w:numId w:val="18"/>
        </w:numPr>
        <w:tabs>
          <w:tab w:val="clear" w:pos="567"/>
        </w:tabs>
        <w:spacing w:line="240" w:lineRule="auto"/>
        <w:ind w:left="567" w:hanging="567"/>
        <w:rPr>
          <w:rFonts w:eastAsia="SimSun"/>
          <w:snapToGrid/>
          <w:szCs w:val="22"/>
        </w:rPr>
      </w:pPr>
      <w:r w:rsidRPr="00CE7679">
        <w:rPr>
          <w:rFonts w:eastAsiaTheme="minorHAnsi"/>
          <w:snapToGrid/>
          <w:szCs w:val="22"/>
        </w:rPr>
        <w:t xml:space="preserve">Skausmingi ir (arba) </w:t>
      </w:r>
      <w:proofErr w:type="spellStart"/>
      <w:r w:rsidRPr="00CE7679">
        <w:rPr>
          <w:rFonts w:eastAsiaTheme="minorHAnsi"/>
          <w:snapToGrid/>
          <w:szCs w:val="22"/>
        </w:rPr>
        <w:t>pūsliniai</w:t>
      </w:r>
      <w:proofErr w:type="spellEnd"/>
      <w:r w:rsidRPr="00CE7679">
        <w:rPr>
          <w:rFonts w:eastAsiaTheme="minorHAnsi"/>
          <w:snapToGrid/>
          <w:szCs w:val="22"/>
        </w:rPr>
        <w:t xml:space="preserve"> odos pažeidimai</w:t>
      </w:r>
      <w:r w:rsidR="00314D14" w:rsidRPr="00CE7679">
        <w:rPr>
          <w:rFonts w:eastAsiaTheme="minorHAnsi"/>
          <w:snapToGrid/>
          <w:szCs w:val="22"/>
        </w:rPr>
        <w:t>.</w:t>
      </w:r>
    </w:p>
    <w:p w14:paraId="56AAA664" w14:textId="77777777" w:rsidR="00A27597" w:rsidRPr="00CE7679" w:rsidRDefault="00A27597" w:rsidP="00A27597">
      <w:pPr>
        <w:numPr>
          <w:ilvl w:val="0"/>
          <w:numId w:val="18"/>
        </w:numPr>
        <w:tabs>
          <w:tab w:val="clear" w:pos="567"/>
        </w:tabs>
        <w:spacing w:line="240" w:lineRule="auto"/>
        <w:ind w:left="567" w:hanging="567"/>
        <w:rPr>
          <w:rFonts w:eastAsia="SimSun"/>
          <w:snapToGrid/>
          <w:szCs w:val="22"/>
        </w:rPr>
      </w:pPr>
      <w:r w:rsidRPr="00CE7679">
        <w:rPr>
          <w:rFonts w:eastAsia="SimSun"/>
          <w:snapToGrid/>
          <w:szCs w:val="22"/>
        </w:rPr>
        <w:t>Sulėtėjęs vaikų ir paauglių augimas.</w:t>
      </w:r>
    </w:p>
    <w:p w14:paraId="6BBE3134" w14:textId="77777777" w:rsidR="00A27597" w:rsidRPr="00CE7679" w:rsidRDefault="00A27597" w:rsidP="00A27597">
      <w:pPr>
        <w:numPr>
          <w:ilvl w:val="12"/>
          <w:numId w:val="0"/>
        </w:numPr>
        <w:spacing w:line="240" w:lineRule="auto"/>
        <w:rPr>
          <w:rFonts w:eastAsia="SimSun"/>
          <w:snapToGrid/>
          <w:szCs w:val="22"/>
        </w:rPr>
      </w:pPr>
      <w:r w:rsidRPr="00CE7679">
        <w:rPr>
          <w:rFonts w:eastAsia="SimSun"/>
          <w:snapToGrid/>
          <w:szCs w:val="22"/>
        </w:rPr>
        <w:t xml:space="preserve">Jei bet kuris iš šių atvejų tampa sunkus, </w:t>
      </w:r>
      <w:r w:rsidRPr="00CE7679">
        <w:rPr>
          <w:rFonts w:eastAsia="SimSun"/>
          <w:b/>
          <w:snapToGrid/>
          <w:szCs w:val="22"/>
        </w:rPr>
        <w:t>pasakykite savo gydytojui</w:t>
      </w:r>
      <w:r w:rsidRPr="00CE7679">
        <w:rPr>
          <w:rFonts w:eastAsia="SimSun"/>
          <w:snapToGrid/>
          <w:szCs w:val="22"/>
        </w:rPr>
        <w:t>.</w:t>
      </w:r>
    </w:p>
    <w:p w14:paraId="7A7280C9" w14:textId="77777777" w:rsidR="00A27597" w:rsidRPr="00CE7679" w:rsidRDefault="00A27597" w:rsidP="00A27597">
      <w:pPr>
        <w:numPr>
          <w:ilvl w:val="12"/>
          <w:numId w:val="0"/>
        </w:numPr>
        <w:spacing w:line="240" w:lineRule="auto"/>
        <w:rPr>
          <w:rFonts w:eastAsia="SimSun"/>
          <w:snapToGrid/>
          <w:szCs w:val="22"/>
        </w:rPr>
      </w:pPr>
    </w:p>
    <w:p w14:paraId="15C3AA9D" w14:textId="77777777" w:rsidR="00A27597" w:rsidRPr="00CE7679" w:rsidRDefault="00A27597" w:rsidP="00A27597">
      <w:pPr>
        <w:spacing w:line="240" w:lineRule="auto"/>
        <w:rPr>
          <w:b/>
          <w:szCs w:val="22"/>
        </w:rPr>
      </w:pPr>
      <w:r w:rsidRPr="00CE7679">
        <w:rPr>
          <w:b/>
          <w:szCs w:val="22"/>
        </w:rPr>
        <w:t>Pranešimas apie šalutinį poveikį</w:t>
      </w:r>
    </w:p>
    <w:p w14:paraId="0E750BCD" w14:textId="77777777" w:rsidR="00B76C43" w:rsidRDefault="00A27597" w:rsidP="00A27597">
      <w:pPr>
        <w:ind w:right="-449"/>
        <w:rPr>
          <w:szCs w:val="24"/>
        </w:rPr>
      </w:pPr>
      <w:r w:rsidRPr="00CE7679">
        <w:rPr>
          <w:szCs w:val="24"/>
        </w:rPr>
        <w:t xml:space="preserve">Jeigu pasireiškė šalutinis poveikis, įskaitant šiame lapelyje nenurodytą, pasakykite gydytojui, vaistininkui arba </w:t>
      </w:r>
      <w:r w:rsidRPr="00CE7679">
        <w:rPr>
          <w:szCs w:val="22"/>
        </w:rPr>
        <w:t>slaugytojui.</w:t>
      </w:r>
      <w:r w:rsidR="00B76C43" w:rsidRPr="00B76C43">
        <w:t xml:space="preserve"> </w:t>
      </w:r>
      <w:r w:rsidR="00B76C43" w:rsidRPr="0075443F">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00B76C43" w:rsidRPr="0075443F">
        <w:t>NepageidaujamaR@vvkt.lt</w:t>
      </w:r>
      <w:proofErr w:type="spellEnd"/>
      <w:r w:rsidR="00B76C43" w:rsidRPr="0075443F">
        <w:t>) arba nemokamu telefonu 8 800 73 568</w:t>
      </w:r>
      <w:r w:rsidRPr="00CE7679">
        <w:rPr>
          <w:szCs w:val="24"/>
        </w:rPr>
        <w:t xml:space="preserve"> </w:t>
      </w:r>
      <w:r w:rsidR="00B76C43">
        <w:rPr>
          <w:szCs w:val="24"/>
        </w:rPr>
        <w:t>.</w:t>
      </w:r>
    </w:p>
    <w:p w14:paraId="3B5264E1" w14:textId="77777777" w:rsidR="00A27597" w:rsidRPr="00CE7679" w:rsidRDefault="00A27597" w:rsidP="00A27597">
      <w:pPr>
        <w:ind w:right="-449"/>
        <w:rPr>
          <w:szCs w:val="24"/>
        </w:rPr>
      </w:pPr>
      <w:r w:rsidRPr="00CE7679">
        <w:rPr>
          <w:szCs w:val="24"/>
        </w:rPr>
        <w:t>Pranešdami apie šalutinį poveikį galite mums padėti gauti daugiau informacijos apie šio vaisto saugumą.</w:t>
      </w:r>
    </w:p>
    <w:p w14:paraId="62F4E86C" w14:textId="77777777" w:rsidR="00A27597" w:rsidRPr="00CE7679" w:rsidRDefault="00A27597" w:rsidP="00A27597">
      <w:pPr>
        <w:numPr>
          <w:ilvl w:val="12"/>
          <w:numId w:val="0"/>
        </w:numPr>
        <w:spacing w:line="240" w:lineRule="auto"/>
        <w:rPr>
          <w:rFonts w:eastAsia="SimSun"/>
          <w:snapToGrid/>
          <w:szCs w:val="22"/>
        </w:rPr>
      </w:pPr>
    </w:p>
    <w:p w14:paraId="68856B85" w14:textId="77777777" w:rsidR="00A27597" w:rsidRPr="00CE7679" w:rsidRDefault="00A27597" w:rsidP="00A27597">
      <w:pPr>
        <w:numPr>
          <w:ilvl w:val="12"/>
          <w:numId w:val="0"/>
        </w:numPr>
        <w:spacing w:line="240" w:lineRule="auto"/>
        <w:rPr>
          <w:rFonts w:eastAsia="SimSun"/>
          <w:snapToGrid/>
          <w:szCs w:val="22"/>
        </w:rPr>
      </w:pPr>
    </w:p>
    <w:p w14:paraId="617AC9EC" w14:textId="77777777" w:rsidR="00A27597" w:rsidRPr="00CE7679" w:rsidRDefault="00A27597" w:rsidP="00A27597">
      <w:pPr>
        <w:keepNext/>
        <w:keepLines/>
        <w:spacing w:line="240" w:lineRule="auto"/>
        <w:outlineLvl w:val="2"/>
        <w:rPr>
          <w:rFonts w:eastAsia="SimSun"/>
          <w:b/>
          <w:bCs/>
          <w:snapToGrid/>
          <w:szCs w:val="22"/>
          <w:lang w:eastAsia="zh-CN"/>
        </w:rPr>
      </w:pPr>
      <w:r w:rsidRPr="00CE7679">
        <w:rPr>
          <w:rFonts w:eastAsia="SimSun"/>
          <w:b/>
          <w:bCs/>
          <w:snapToGrid/>
          <w:szCs w:val="22"/>
          <w:lang w:eastAsia="zh-CN"/>
        </w:rPr>
        <w:t>5.</w:t>
      </w:r>
      <w:r w:rsidRPr="00CE7679">
        <w:rPr>
          <w:rFonts w:eastAsia="SimSun"/>
          <w:b/>
          <w:bCs/>
          <w:snapToGrid/>
          <w:szCs w:val="22"/>
          <w:lang w:eastAsia="zh-CN"/>
        </w:rPr>
        <w:tab/>
        <w:t xml:space="preserve">Kaip laikyti </w:t>
      </w:r>
      <w:proofErr w:type="spellStart"/>
      <w:r w:rsidRPr="00CE7679">
        <w:rPr>
          <w:rFonts w:eastAsia="SimSun"/>
          <w:b/>
          <w:bCs/>
          <w:snapToGrid/>
          <w:szCs w:val="22"/>
          <w:lang w:eastAsia="zh-CN"/>
        </w:rPr>
        <w:t>Imatinib</w:t>
      </w:r>
      <w:proofErr w:type="spellEnd"/>
      <w:r w:rsidRPr="00CE7679">
        <w:rPr>
          <w:rFonts w:eastAsia="SimSun"/>
          <w:b/>
          <w:bCs/>
          <w:snapToGrid/>
          <w:szCs w:val="22"/>
          <w:lang w:eastAsia="zh-CN"/>
        </w:rPr>
        <w:t xml:space="preserve"> </w:t>
      </w:r>
      <w:proofErr w:type="spellStart"/>
      <w:r w:rsidRPr="00CE7679">
        <w:rPr>
          <w:rFonts w:eastAsia="SimSun"/>
          <w:b/>
          <w:bCs/>
          <w:snapToGrid/>
          <w:szCs w:val="22"/>
          <w:lang w:eastAsia="zh-CN"/>
        </w:rPr>
        <w:t>Sandoz</w:t>
      </w:r>
      <w:proofErr w:type="spellEnd"/>
    </w:p>
    <w:p w14:paraId="3EA13F32" w14:textId="77777777" w:rsidR="00A27597" w:rsidRPr="00CE7679" w:rsidRDefault="00A27597" w:rsidP="00A27597">
      <w:pPr>
        <w:numPr>
          <w:ilvl w:val="12"/>
          <w:numId w:val="0"/>
        </w:numPr>
        <w:spacing w:line="240" w:lineRule="auto"/>
        <w:rPr>
          <w:rFonts w:eastAsia="SimSun"/>
          <w:snapToGrid/>
          <w:szCs w:val="22"/>
          <w:lang w:eastAsia="zh-CN"/>
        </w:rPr>
      </w:pPr>
    </w:p>
    <w:p w14:paraId="4B02408C" w14:textId="77777777" w:rsidR="00A27597" w:rsidRPr="00CE7679" w:rsidRDefault="00A27597" w:rsidP="00A27597">
      <w:pPr>
        <w:spacing w:line="240" w:lineRule="auto"/>
        <w:rPr>
          <w:rFonts w:eastAsia="SimSun"/>
          <w:snapToGrid/>
          <w:szCs w:val="22"/>
          <w:lang w:eastAsia="zh-CN"/>
        </w:rPr>
      </w:pPr>
      <w:r w:rsidRPr="00CE7679">
        <w:rPr>
          <w:rFonts w:eastAsia="SimSun"/>
          <w:snapToGrid/>
          <w:szCs w:val="22"/>
          <w:lang w:eastAsia="zh-CN"/>
        </w:rPr>
        <w:t>Šį vaistą laikykite vaikams nepastebimoje ir nepasiekiamoje vietoje.</w:t>
      </w:r>
    </w:p>
    <w:p w14:paraId="30731D77" w14:textId="77777777" w:rsidR="00A27597" w:rsidRPr="00CE7679" w:rsidRDefault="00A27597" w:rsidP="00A27597">
      <w:pPr>
        <w:spacing w:line="240" w:lineRule="auto"/>
        <w:rPr>
          <w:rFonts w:eastAsia="SimSun"/>
          <w:snapToGrid/>
          <w:szCs w:val="22"/>
          <w:lang w:eastAsia="zh-CN"/>
        </w:rPr>
      </w:pPr>
    </w:p>
    <w:p w14:paraId="4B3E3991" w14:textId="77777777" w:rsidR="00A27597" w:rsidRPr="00CE7679" w:rsidRDefault="00A27597" w:rsidP="00A27597">
      <w:pPr>
        <w:spacing w:line="240" w:lineRule="auto"/>
        <w:rPr>
          <w:rFonts w:eastAsia="SimSun"/>
          <w:snapToGrid/>
          <w:szCs w:val="22"/>
          <w:lang w:eastAsia="zh-CN"/>
        </w:rPr>
      </w:pPr>
      <w:r w:rsidRPr="00CE7679">
        <w:rPr>
          <w:rFonts w:eastAsia="SimSun"/>
          <w:snapToGrid/>
          <w:szCs w:val="22"/>
          <w:lang w:eastAsia="zh-CN"/>
        </w:rPr>
        <w:t>Ant dėžutės ir lizdinės plokštelės po „EXP” nurodytam tinkamumo laikui pasibaigus, šio vaisto vartoti negalima. Vaistas tinkamas vartoti iki paskutinės nurodyto mėnesio dienos.</w:t>
      </w:r>
    </w:p>
    <w:p w14:paraId="2D3359A0" w14:textId="77777777" w:rsidR="00A27597" w:rsidRPr="00CE7679" w:rsidRDefault="00A27597" w:rsidP="00A27597">
      <w:pPr>
        <w:spacing w:line="240" w:lineRule="auto"/>
        <w:rPr>
          <w:rFonts w:eastAsia="SimSun"/>
          <w:snapToGrid/>
          <w:szCs w:val="22"/>
          <w:lang w:eastAsia="zh-CN"/>
        </w:rPr>
      </w:pPr>
    </w:p>
    <w:p w14:paraId="260222D2" w14:textId="77777777" w:rsidR="00A27597" w:rsidRPr="00CE7679" w:rsidRDefault="00A27597" w:rsidP="00A27597">
      <w:pPr>
        <w:spacing w:line="240" w:lineRule="auto"/>
        <w:rPr>
          <w:rFonts w:eastAsia="SimSun"/>
          <w:snapToGrid/>
          <w:szCs w:val="22"/>
          <w:lang w:eastAsia="zh-CN"/>
        </w:rPr>
      </w:pPr>
      <w:r w:rsidRPr="00CE7679">
        <w:rPr>
          <w:rFonts w:eastAsia="SimSun"/>
          <w:snapToGrid/>
          <w:szCs w:val="22"/>
          <w:lang w:eastAsia="zh-CN"/>
        </w:rPr>
        <w:t>Laikyti ne aukštesnėje kaip 30 °C temperatūroje.</w:t>
      </w:r>
    </w:p>
    <w:p w14:paraId="39730B0A" w14:textId="77777777" w:rsidR="00507407" w:rsidRDefault="00507407" w:rsidP="00507407">
      <w:pPr>
        <w:tabs>
          <w:tab w:val="clear" w:pos="567"/>
        </w:tabs>
        <w:autoSpaceDE w:val="0"/>
        <w:autoSpaceDN w:val="0"/>
        <w:adjustRightInd w:val="0"/>
        <w:spacing w:line="240" w:lineRule="auto"/>
        <w:rPr>
          <w:i/>
          <w:iCs/>
          <w:snapToGrid/>
          <w:szCs w:val="22"/>
          <w:highlight w:val="lightGray"/>
          <w:lang w:eastAsia="lt-LT"/>
        </w:rPr>
      </w:pPr>
    </w:p>
    <w:p w14:paraId="35ED2EA1" w14:textId="27BA8452" w:rsidR="00507407" w:rsidRPr="008D259C" w:rsidRDefault="00507407" w:rsidP="00507407">
      <w:pPr>
        <w:tabs>
          <w:tab w:val="clear" w:pos="567"/>
        </w:tabs>
        <w:autoSpaceDE w:val="0"/>
        <w:autoSpaceDN w:val="0"/>
        <w:adjustRightInd w:val="0"/>
        <w:spacing w:line="240" w:lineRule="auto"/>
        <w:rPr>
          <w:i/>
          <w:iCs/>
          <w:snapToGrid/>
          <w:szCs w:val="22"/>
          <w:highlight w:val="lightGray"/>
          <w:lang w:eastAsia="lt-LT"/>
        </w:rPr>
      </w:pPr>
      <w:r w:rsidRPr="008D259C">
        <w:rPr>
          <w:i/>
          <w:iCs/>
          <w:snapToGrid/>
          <w:szCs w:val="22"/>
          <w:highlight w:val="lightGray"/>
          <w:lang w:eastAsia="lt-LT"/>
        </w:rPr>
        <w:t xml:space="preserve">PVC/PE/PVDC/Al lizdinės plokštelės </w:t>
      </w:r>
    </w:p>
    <w:p w14:paraId="6722AD07" w14:textId="77777777" w:rsidR="00507407" w:rsidRPr="00E30BB3" w:rsidRDefault="00507407" w:rsidP="00507407">
      <w:pPr>
        <w:tabs>
          <w:tab w:val="clear" w:pos="567"/>
        </w:tabs>
        <w:autoSpaceDE w:val="0"/>
        <w:autoSpaceDN w:val="0"/>
        <w:adjustRightInd w:val="0"/>
        <w:spacing w:line="240" w:lineRule="auto"/>
        <w:rPr>
          <w:snapToGrid/>
          <w:szCs w:val="22"/>
          <w:lang w:eastAsia="lt-LT"/>
        </w:rPr>
      </w:pPr>
      <w:r w:rsidRPr="008D259C">
        <w:rPr>
          <w:snapToGrid/>
          <w:szCs w:val="22"/>
          <w:highlight w:val="lightGray"/>
          <w:lang w:eastAsia="lt-LT"/>
        </w:rPr>
        <w:t>Laikyti žemesnėje kaip 25°C temperatūroje.</w:t>
      </w:r>
    </w:p>
    <w:p w14:paraId="2AD0CFA4" w14:textId="77777777" w:rsidR="00507407" w:rsidRDefault="00507407" w:rsidP="00A27597">
      <w:pPr>
        <w:spacing w:line="240" w:lineRule="auto"/>
        <w:rPr>
          <w:rFonts w:eastAsia="SimSun"/>
          <w:snapToGrid/>
          <w:szCs w:val="22"/>
          <w:lang w:eastAsia="zh-CN"/>
        </w:rPr>
      </w:pPr>
    </w:p>
    <w:p w14:paraId="3AFEA802" w14:textId="3854DDE1" w:rsidR="00A27597" w:rsidRDefault="00A27597" w:rsidP="00A27597">
      <w:pPr>
        <w:spacing w:line="240" w:lineRule="auto"/>
        <w:rPr>
          <w:rFonts w:eastAsia="SimSun"/>
          <w:snapToGrid/>
          <w:szCs w:val="22"/>
          <w:lang w:eastAsia="zh-CN"/>
        </w:rPr>
      </w:pPr>
      <w:r w:rsidRPr="00CE7679">
        <w:rPr>
          <w:rFonts w:eastAsia="SimSun"/>
          <w:snapToGrid/>
          <w:szCs w:val="22"/>
          <w:lang w:eastAsia="zh-CN"/>
        </w:rPr>
        <w:t xml:space="preserve">Laikyti gamintojo pakuotėje, kad </w:t>
      </w:r>
      <w:r w:rsidR="008476D1" w:rsidRPr="00CE7679">
        <w:rPr>
          <w:rFonts w:eastAsia="SimSun"/>
          <w:snapToGrid/>
          <w:szCs w:val="22"/>
          <w:lang w:eastAsia="zh-CN"/>
        </w:rPr>
        <w:t xml:space="preserve">vaistas </w:t>
      </w:r>
      <w:r w:rsidRPr="00CE7679">
        <w:rPr>
          <w:rFonts w:eastAsia="SimSun"/>
          <w:snapToGrid/>
          <w:szCs w:val="22"/>
          <w:lang w:eastAsia="zh-CN"/>
        </w:rPr>
        <w:t>būtų apsaugotas nuo drėgmės.</w:t>
      </w:r>
    </w:p>
    <w:p w14:paraId="568026C6" w14:textId="77777777" w:rsidR="00A27597" w:rsidRPr="00CE7679" w:rsidRDefault="00A27597" w:rsidP="00A27597">
      <w:pPr>
        <w:spacing w:line="240" w:lineRule="auto"/>
        <w:rPr>
          <w:rFonts w:eastAsia="SimSun"/>
          <w:snapToGrid/>
          <w:szCs w:val="22"/>
          <w:lang w:eastAsia="zh-CN"/>
        </w:rPr>
      </w:pPr>
    </w:p>
    <w:p w14:paraId="0D5C4FCD" w14:textId="77777777" w:rsidR="00A27597" w:rsidRPr="00CE7679" w:rsidRDefault="00A27597" w:rsidP="00A27597">
      <w:pPr>
        <w:spacing w:line="240" w:lineRule="auto"/>
        <w:rPr>
          <w:rFonts w:eastAsia="SimSun"/>
          <w:snapToGrid/>
          <w:szCs w:val="22"/>
          <w:lang w:eastAsia="zh-CN"/>
        </w:rPr>
      </w:pPr>
      <w:r w:rsidRPr="00CE7679">
        <w:rPr>
          <w:rFonts w:eastAsia="SimSun"/>
          <w:snapToGrid/>
          <w:szCs w:val="22"/>
          <w:lang w:eastAsia="zh-CN"/>
        </w:rPr>
        <w:t>Vaistų negalima išmesti į kanalizaciją arba su buitinėmis atliekomis. Kaip išmesti nereikalingus vaistus, klauskite vaistininko. Šios priemonės padės apsaugoti aplinką.</w:t>
      </w:r>
    </w:p>
    <w:p w14:paraId="296E2518" w14:textId="77777777" w:rsidR="00A27597" w:rsidRPr="00CE7679" w:rsidRDefault="00A27597" w:rsidP="00A27597">
      <w:pPr>
        <w:numPr>
          <w:ilvl w:val="12"/>
          <w:numId w:val="0"/>
        </w:numPr>
        <w:spacing w:line="240" w:lineRule="auto"/>
        <w:rPr>
          <w:rFonts w:eastAsia="SimSun"/>
          <w:snapToGrid/>
          <w:szCs w:val="22"/>
          <w:lang w:eastAsia="zh-CN"/>
        </w:rPr>
      </w:pPr>
    </w:p>
    <w:p w14:paraId="0191D759" w14:textId="77777777" w:rsidR="00A27597" w:rsidRPr="00CE7679" w:rsidRDefault="00A27597" w:rsidP="00A27597">
      <w:pPr>
        <w:numPr>
          <w:ilvl w:val="12"/>
          <w:numId w:val="0"/>
        </w:numPr>
        <w:spacing w:line="240" w:lineRule="auto"/>
        <w:rPr>
          <w:rFonts w:eastAsia="SimSun"/>
          <w:snapToGrid/>
          <w:szCs w:val="22"/>
          <w:lang w:eastAsia="zh-CN"/>
        </w:rPr>
      </w:pPr>
    </w:p>
    <w:p w14:paraId="52FF2BB3" w14:textId="77777777" w:rsidR="00A27597" w:rsidRPr="00CE7679" w:rsidRDefault="00A27597" w:rsidP="00A27597">
      <w:pPr>
        <w:keepNext/>
        <w:keepLines/>
        <w:spacing w:line="240" w:lineRule="auto"/>
        <w:outlineLvl w:val="2"/>
        <w:rPr>
          <w:rFonts w:eastAsia="SimSun"/>
          <w:b/>
          <w:bCs/>
          <w:snapToGrid/>
          <w:szCs w:val="22"/>
          <w:lang w:eastAsia="zh-CN"/>
        </w:rPr>
      </w:pPr>
      <w:r w:rsidRPr="00CE7679">
        <w:rPr>
          <w:rFonts w:eastAsia="SimSun"/>
          <w:b/>
          <w:bCs/>
          <w:snapToGrid/>
          <w:szCs w:val="22"/>
          <w:lang w:eastAsia="zh-CN"/>
        </w:rPr>
        <w:t>6.</w:t>
      </w:r>
      <w:r w:rsidRPr="00CE7679">
        <w:rPr>
          <w:rFonts w:eastAsia="SimSun"/>
          <w:b/>
          <w:bCs/>
          <w:snapToGrid/>
          <w:szCs w:val="22"/>
          <w:lang w:eastAsia="zh-CN"/>
        </w:rPr>
        <w:tab/>
        <w:t>Pakuotės turinys ir kita informacija</w:t>
      </w:r>
    </w:p>
    <w:p w14:paraId="223C5EFA" w14:textId="77777777" w:rsidR="00A27597" w:rsidRPr="00CE7679" w:rsidRDefault="00A27597" w:rsidP="00A27597">
      <w:pPr>
        <w:numPr>
          <w:ilvl w:val="12"/>
          <w:numId w:val="0"/>
        </w:numPr>
        <w:spacing w:line="240" w:lineRule="auto"/>
        <w:rPr>
          <w:rFonts w:eastAsia="SimSun"/>
          <w:snapToGrid/>
          <w:szCs w:val="22"/>
          <w:lang w:eastAsia="zh-CN"/>
        </w:rPr>
      </w:pPr>
    </w:p>
    <w:p w14:paraId="01145FCF" w14:textId="77777777" w:rsidR="00A27597" w:rsidRPr="00CE7679" w:rsidRDefault="00A27597" w:rsidP="00A27597">
      <w:pPr>
        <w:keepNext/>
        <w:spacing w:line="240" w:lineRule="auto"/>
        <w:jc w:val="both"/>
        <w:outlineLvl w:val="3"/>
        <w:rPr>
          <w:rFonts w:eastAsia="SimSun"/>
          <w:b/>
          <w:snapToGrid/>
          <w:szCs w:val="22"/>
        </w:rPr>
      </w:pPr>
      <w:proofErr w:type="spellStart"/>
      <w:r w:rsidRPr="00CE7679">
        <w:rPr>
          <w:rFonts w:eastAsia="SimSun"/>
          <w:b/>
          <w:snapToGrid/>
          <w:szCs w:val="22"/>
        </w:rPr>
        <w:t>Imatinib</w:t>
      </w:r>
      <w:proofErr w:type="spellEnd"/>
      <w:r w:rsidRPr="00CE7679">
        <w:rPr>
          <w:rFonts w:eastAsia="SimSun"/>
          <w:b/>
          <w:snapToGrid/>
          <w:szCs w:val="22"/>
        </w:rPr>
        <w:t xml:space="preserve"> </w:t>
      </w:r>
      <w:proofErr w:type="spellStart"/>
      <w:r w:rsidRPr="00CE7679">
        <w:rPr>
          <w:rFonts w:eastAsia="SimSun"/>
          <w:b/>
          <w:snapToGrid/>
          <w:szCs w:val="22"/>
        </w:rPr>
        <w:t>Sandoz</w:t>
      </w:r>
      <w:proofErr w:type="spellEnd"/>
      <w:r w:rsidRPr="00CE7679">
        <w:rPr>
          <w:rFonts w:eastAsia="SimSun"/>
          <w:b/>
          <w:snapToGrid/>
          <w:szCs w:val="22"/>
        </w:rPr>
        <w:t xml:space="preserve"> sudėtis </w:t>
      </w:r>
    </w:p>
    <w:p w14:paraId="05AC4A84" w14:textId="77777777" w:rsidR="00A27597" w:rsidRPr="00CE7679" w:rsidRDefault="00A27597" w:rsidP="00A27597">
      <w:pPr>
        <w:numPr>
          <w:ilvl w:val="0"/>
          <w:numId w:val="48"/>
        </w:numPr>
        <w:tabs>
          <w:tab w:val="clear" w:pos="567"/>
        </w:tabs>
        <w:spacing w:line="240" w:lineRule="auto"/>
        <w:ind w:left="567" w:hanging="567"/>
        <w:rPr>
          <w:rFonts w:eastAsia="SimSun"/>
          <w:snapToGrid/>
          <w:szCs w:val="22"/>
          <w:lang w:eastAsia="zh-CN"/>
        </w:rPr>
      </w:pPr>
      <w:r w:rsidRPr="00CE7679">
        <w:rPr>
          <w:rFonts w:eastAsia="SimSun"/>
          <w:snapToGrid/>
          <w:szCs w:val="22"/>
          <w:lang w:eastAsia="zh-CN"/>
        </w:rPr>
        <w:t xml:space="preserve">Veiklioji medžiaga yra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mesilatas</w:t>
      </w:r>
      <w:proofErr w:type="spellEnd"/>
      <w:r w:rsidRPr="00CE7679">
        <w:rPr>
          <w:rFonts w:eastAsia="SimSun"/>
          <w:snapToGrid/>
          <w:szCs w:val="22"/>
          <w:lang w:eastAsia="zh-CN"/>
        </w:rPr>
        <w:t xml:space="preserve">. Kiekvienoje plėvele dengtoje tabletėje yra 100 mg </w:t>
      </w:r>
      <w:proofErr w:type="spellStart"/>
      <w:r w:rsidRPr="00CE7679">
        <w:rPr>
          <w:rFonts w:eastAsia="SimSun"/>
          <w:snapToGrid/>
          <w:szCs w:val="22"/>
          <w:lang w:eastAsia="zh-CN"/>
        </w:rPr>
        <w:t>imatinibo</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mesilato</w:t>
      </w:r>
      <w:proofErr w:type="spellEnd"/>
      <w:r w:rsidRPr="00CE7679">
        <w:rPr>
          <w:rFonts w:eastAsia="SimSun"/>
          <w:snapToGrid/>
          <w:szCs w:val="22"/>
          <w:lang w:eastAsia="zh-CN"/>
        </w:rPr>
        <w:t xml:space="preserve"> pavidalu). </w:t>
      </w:r>
      <w:r w:rsidRPr="00CE7679">
        <w:rPr>
          <w:rFonts w:eastAsia="SimSun"/>
          <w:snapToGrid/>
          <w:szCs w:val="22"/>
          <w:highlight w:val="lightGray"/>
          <w:lang w:eastAsia="zh-CN"/>
        </w:rPr>
        <w:t xml:space="preserve">Kiekvienoje plėvele dengtoje tabletėje yra 400 mg </w:t>
      </w:r>
      <w:proofErr w:type="spellStart"/>
      <w:r w:rsidRPr="00CE7679">
        <w:rPr>
          <w:rFonts w:eastAsia="SimSun"/>
          <w:snapToGrid/>
          <w:szCs w:val="22"/>
          <w:highlight w:val="lightGray"/>
          <w:lang w:eastAsia="zh-CN"/>
        </w:rPr>
        <w:t>imatinibo</w:t>
      </w:r>
      <w:proofErr w:type="spellEnd"/>
      <w:r w:rsidRPr="00CE7679">
        <w:rPr>
          <w:rFonts w:eastAsia="SimSun"/>
          <w:snapToGrid/>
          <w:szCs w:val="22"/>
          <w:highlight w:val="lightGray"/>
          <w:lang w:eastAsia="zh-CN"/>
        </w:rPr>
        <w:t xml:space="preserve"> (</w:t>
      </w:r>
      <w:proofErr w:type="spellStart"/>
      <w:r w:rsidRPr="00CE7679">
        <w:rPr>
          <w:rFonts w:eastAsia="SimSun"/>
          <w:snapToGrid/>
          <w:szCs w:val="22"/>
          <w:highlight w:val="lightGray"/>
          <w:lang w:eastAsia="zh-CN"/>
        </w:rPr>
        <w:t>mesilato</w:t>
      </w:r>
      <w:proofErr w:type="spellEnd"/>
      <w:r w:rsidRPr="00CE7679">
        <w:rPr>
          <w:rFonts w:eastAsia="SimSun"/>
          <w:snapToGrid/>
          <w:szCs w:val="22"/>
          <w:highlight w:val="lightGray"/>
          <w:lang w:eastAsia="zh-CN"/>
        </w:rPr>
        <w:t xml:space="preserve"> pavidalu)</w:t>
      </w:r>
      <w:r w:rsidRPr="00CE7679">
        <w:rPr>
          <w:rFonts w:eastAsia="SimSun"/>
          <w:snapToGrid/>
          <w:szCs w:val="22"/>
          <w:lang w:eastAsia="zh-CN"/>
        </w:rPr>
        <w:t xml:space="preserve">. </w:t>
      </w:r>
    </w:p>
    <w:p w14:paraId="3DB353EA" w14:textId="7CB9E5C4" w:rsidR="00A27597" w:rsidRPr="00CE7679" w:rsidRDefault="00FD40C6" w:rsidP="00A27597">
      <w:pPr>
        <w:numPr>
          <w:ilvl w:val="0"/>
          <w:numId w:val="48"/>
        </w:numPr>
        <w:spacing w:line="240" w:lineRule="auto"/>
        <w:ind w:left="567" w:hanging="567"/>
        <w:rPr>
          <w:rFonts w:eastAsia="SimSun"/>
          <w:snapToGrid/>
          <w:szCs w:val="22"/>
          <w:lang w:eastAsia="zh-CN"/>
        </w:rPr>
      </w:pPr>
      <w:r>
        <w:rPr>
          <w:rFonts w:eastAsia="SimSun"/>
          <w:snapToGrid/>
          <w:szCs w:val="22"/>
          <w:lang w:eastAsia="zh-CN"/>
        </w:rPr>
        <w:t xml:space="preserve">Kitos </w:t>
      </w:r>
      <w:r w:rsidR="00A27597" w:rsidRPr="00CE7679">
        <w:rPr>
          <w:rFonts w:eastAsia="SimSun"/>
          <w:snapToGrid/>
          <w:szCs w:val="22"/>
          <w:lang w:eastAsia="zh-CN"/>
        </w:rPr>
        <w:t>pagalbinės</w:t>
      </w:r>
      <w:r w:rsidR="00A7201F">
        <w:rPr>
          <w:rFonts w:eastAsia="SimSun"/>
          <w:snapToGrid/>
          <w:szCs w:val="22"/>
          <w:lang w:eastAsia="zh-CN"/>
        </w:rPr>
        <w:t xml:space="preserve"> tabletės šerdies</w:t>
      </w:r>
      <w:r w:rsidR="00A27597" w:rsidRPr="00CE7679">
        <w:rPr>
          <w:rFonts w:eastAsia="SimSun"/>
          <w:snapToGrid/>
          <w:szCs w:val="22"/>
          <w:lang w:eastAsia="zh-CN"/>
        </w:rPr>
        <w:t xml:space="preserve"> medžiagos: </w:t>
      </w:r>
      <w:proofErr w:type="spellStart"/>
      <w:r w:rsidR="00A27597" w:rsidRPr="00CE7679">
        <w:rPr>
          <w:rFonts w:eastAsia="SimSun"/>
          <w:snapToGrid/>
          <w:szCs w:val="22"/>
          <w:lang w:eastAsia="zh-CN"/>
        </w:rPr>
        <w:t>mikrokristalinė</w:t>
      </w:r>
      <w:proofErr w:type="spellEnd"/>
      <w:r w:rsidR="00A27597" w:rsidRPr="00CE7679">
        <w:rPr>
          <w:rFonts w:eastAsia="SimSun"/>
          <w:snapToGrid/>
          <w:szCs w:val="22"/>
          <w:lang w:eastAsia="zh-CN"/>
        </w:rPr>
        <w:t xml:space="preserve"> celiuliozė, </w:t>
      </w:r>
      <w:proofErr w:type="spellStart"/>
      <w:r w:rsidR="00A27597" w:rsidRPr="00CE7679">
        <w:rPr>
          <w:rFonts w:eastAsia="SimSun"/>
          <w:snapToGrid/>
          <w:szCs w:val="22"/>
          <w:lang w:eastAsia="zh-CN"/>
        </w:rPr>
        <w:t>krospovidonas</w:t>
      </w:r>
      <w:proofErr w:type="spellEnd"/>
      <w:r w:rsidR="00A27597" w:rsidRPr="00CE7679">
        <w:rPr>
          <w:rFonts w:eastAsia="SimSun"/>
          <w:snapToGrid/>
          <w:szCs w:val="22"/>
          <w:lang w:eastAsia="zh-CN"/>
        </w:rPr>
        <w:t xml:space="preserve"> (A</w:t>
      </w:r>
      <w:r w:rsidR="003929AD">
        <w:rPr>
          <w:rFonts w:eastAsia="SimSun"/>
          <w:snapToGrid/>
          <w:szCs w:val="22"/>
          <w:lang w:eastAsia="zh-CN"/>
        </w:rPr>
        <w:t> </w:t>
      </w:r>
      <w:r w:rsidR="00A27597" w:rsidRPr="00CE7679">
        <w:rPr>
          <w:rFonts w:eastAsia="SimSun"/>
          <w:snapToGrid/>
          <w:szCs w:val="22"/>
          <w:lang w:eastAsia="zh-CN"/>
        </w:rPr>
        <w:t xml:space="preserve">tipo), </w:t>
      </w:r>
      <w:proofErr w:type="spellStart"/>
      <w:r w:rsidR="00A27597" w:rsidRPr="00CE7679">
        <w:rPr>
          <w:rFonts w:eastAsia="SimSun"/>
          <w:snapToGrid/>
          <w:szCs w:val="22"/>
          <w:lang w:eastAsia="zh-CN"/>
        </w:rPr>
        <w:t>hipromeliozė</w:t>
      </w:r>
      <w:proofErr w:type="spellEnd"/>
      <w:r w:rsidR="00A27597" w:rsidRPr="00CE7679">
        <w:rPr>
          <w:rFonts w:eastAsia="SimSun"/>
          <w:snapToGrid/>
          <w:szCs w:val="22"/>
          <w:lang w:eastAsia="zh-CN"/>
        </w:rPr>
        <w:t xml:space="preserve">, magnio </w:t>
      </w:r>
      <w:proofErr w:type="spellStart"/>
      <w:r w:rsidR="00A27597" w:rsidRPr="00CE7679">
        <w:rPr>
          <w:rFonts w:eastAsia="SimSun"/>
          <w:snapToGrid/>
          <w:szCs w:val="22"/>
          <w:lang w:eastAsia="zh-CN"/>
        </w:rPr>
        <w:t>stearatas</w:t>
      </w:r>
      <w:proofErr w:type="spellEnd"/>
      <w:r w:rsidR="00A27597" w:rsidRPr="00CE7679">
        <w:rPr>
          <w:rFonts w:eastAsia="SimSun"/>
          <w:snapToGrid/>
          <w:szCs w:val="22"/>
          <w:lang w:eastAsia="zh-CN"/>
        </w:rPr>
        <w:t>, bevandenis koloidinis silicio dioksidas.</w:t>
      </w:r>
    </w:p>
    <w:p w14:paraId="23A7128E" w14:textId="02B081E0" w:rsidR="00A27597" w:rsidRPr="00CE7679" w:rsidRDefault="00FD40C6" w:rsidP="00A27597">
      <w:pPr>
        <w:numPr>
          <w:ilvl w:val="0"/>
          <w:numId w:val="48"/>
        </w:numPr>
        <w:spacing w:line="240" w:lineRule="auto"/>
        <w:ind w:left="567" w:hanging="567"/>
        <w:rPr>
          <w:rFonts w:eastAsia="SimSun"/>
          <w:snapToGrid/>
          <w:szCs w:val="22"/>
          <w:lang w:eastAsia="zh-CN"/>
        </w:rPr>
      </w:pPr>
      <w:r>
        <w:rPr>
          <w:rFonts w:eastAsia="SimSun"/>
          <w:snapToGrid/>
          <w:szCs w:val="22"/>
          <w:lang w:eastAsia="zh-CN"/>
        </w:rPr>
        <w:t xml:space="preserve">Kitos </w:t>
      </w:r>
      <w:r w:rsidR="00A27597" w:rsidRPr="00CE7679">
        <w:rPr>
          <w:rFonts w:eastAsia="SimSun"/>
          <w:snapToGrid/>
          <w:szCs w:val="22"/>
          <w:lang w:eastAsia="zh-CN"/>
        </w:rPr>
        <w:t xml:space="preserve">pagalbinės </w:t>
      </w:r>
      <w:r w:rsidR="00A7201F">
        <w:rPr>
          <w:rFonts w:eastAsia="SimSun"/>
          <w:snapToGrid/>
          <w:szCs w:val="22"/>
          <w:lang w:eastAsia="zh-CN"/>
        </w:rPr>
        <w:t xml:space="preserve">tabletės plėvelės </w:t>
      </w:r>
      <w:r w:rsidR="00A27597" w:rsidRPr="00CE7679">
        <w:rPr>
          <w:rFonts w:eastAsia="SimSun"/>
          <w:snapToGrid/>
          <w:szCs w:val="22"/>
          <w:lang w:eastAsia="zh-CN"/>
        </w:rPr>
        <w:t xml:space="preserve">medžiagos: raudonasis geležies oksidas (E172), geltonasis geležies oksidas (E172), </w:t>
      </w:r>
      <w:proofErr w:type="spellStart"/>
      <w:r w:rsidR="00A27597" w:rsidRPr="00CE7679">
        <w:rPr>
          <w:rFonts w:eastAsia="SimSun"/>
          <w:snapToGrid/>
          <w:szCs w:val="22"/>
          <w:lang w:eastAsia="zh-CN"/>
        </w:rPr>
        <w:t>makrogolis</w:t>
      </w:r>
      <w:proofErr w:type="spellEnd"/>
      <w:r w:rsidR="00FB7ABC">
        <w:rPr>
          <w:rFonts w:eastAsia="SimSun"/>
          <w:snapToGrid/>
          <w:szCs w:val="22"/>
          <w:lang w:eastAsia="zh-CN"/>
        </w:rPr>
        <w:t> </w:t>
      </w:r>
      <w:r w:rsidR="00A27597" w:rsidRPr="00CE7679">
        <w:rPr>
          <w:rFonts w:eastAsia="SimSun"/>
          <w:snapToGrid/>
          <w:szCs w:val="22"/>
          <w:lang w:eastAsia="zh-CN"/>
        </w:rPr>
        <w:t xml:space="preserve">4000, talkas, </w:t>
      </w:r>
      <w:proofErr w:type="spellStart"/>
      <w:r w:rsidR="00A27597" w:rsidRPr="00CE7679">
        <w:rPr>
          <w:rFonts w:eastAsia="SimSun"/>
          <w:snapToGrid/>
          <w:szCs w:val="22"/>
          <w:lang w:eastAsia="zh-CN"/>
        </w:rPr>
        <w:t>hipromeliozė</w:t>
      </w:r>
      <w:proofErr w:type="spellEnd"/>
      <w:r w:rsidR="00A27597" w:rsidRPr="00CE7679">
        <w:rPr>
          <w:rFonts w:eastAsia="SimSun"/>
          <w:snapToGrid/>
          <w:szCs w:val="22"/>
          <w:lang w:eastAsia="zh-CN"/>
        </w:rPr>
        <w:t>.</w:t>
      </w:r>
    </w:p>
    <w:p w14:paraId="5B7FA44E" w14:textId="77777777" w:rsidR="00A27597" w:rsidRPr="00CE7679" w:rsidRDefault="00A27597" w:rsidP="00A27597">
      <w:pPr>
        <w:keepNext/>
        <w:spacing w:line="240" w:lineRule="auto"/>
        <w:jc w:val="both"/>
        <w:outlineLvl w:val="3"/>
        <w:rPr>
          <w:rFonts w:eastAsia="SimSun"/>
          <w:b/>
          <w:snapToGrid/>
          <w:szCs w:val="22"/>
        </w:rPr>
      </w:pPr>
    </w:p>
    <w:p w14:paraId="4ACF328E" w14:textId="77777777" w:rsidR="00A27597" w:rsidRPr="00CE7679" w:rsidRDefault="00A27597" w:rsidP="00A27597">
      <w:pPr>
        <w:keepNext/>
        <w:spacing w:line="240" w:lineRule="auto"/>
        <w:jc w:val="both"/>
        <w:outlineLvl w:val="3"/>
        <w:rPr>
          <w:rFonts w:eastAsia="SimSun"/>
          <w:b/>
          <w:snapToGrid/>
          <w:szCs w:val="22"/>
        </w:rPr>
      </w:pPr>
      <w:proofErr w:type="spellStart"/>
      <w:r w:rsidRPr="00CE7679">
        <w:rPr>
          <w:rFonts w:eastAsia="SimSun"/>
          <w:b/>
          <w:snapToGrid/>
          <w:szCs w:val="22"/>
        </w:rPr>
        <w:t>Imatinib</w:t>
      </w:r>
      <w:proofErr w:type="spellEnd"/>
      <w:r w:rsidRPr="00CE7679">
        <w:rPr>
          <w:rFonts w:eastAsia="SimSun"/>
          <w:b/>
          <w:snapToGrid/>
          <w:szCs w:val="22"/>
        </w:rPr>
        <w:t xml:space="preserve"> </w:t>
      </w:r>
      <w:proofErr w:type="spellStart"/>
      <w:r w:rsidRPr="00CE7679">
        <w:rPr>
          <w:rFonts w:eastAsia="SimSun"/>
          <w:b/>
          <w:snapToGrid/>
          <w:szCs w:val="22"/>
        </w:rPr>
        <w:t>Sandoz</w:t>
      </w:r>
      <w:proofErr w:type="spellEnd"/>
      <w:r w:rsidRPr="00CE7679">
        <w:rPr>
          <w:rFonts w:eastAsia="SimSun"/>
          <w:b/>
          <w:snapToGrid/>
          <w:szCs w:val="22"/>
        </w:rPr>
        <w:t xml:space="preserve"> išvaizda ir kiekis pakuotėje</w:t>
      </w:r>
    </w:p>
    <w:p w14:paraId="09D352D9" w14:textId="77777777" w:rsidR="00A27597" w:rsidRPr="00CE7679" w:rsidRDefault="00A27597" w:rsidP="00A27597">
      <w:pPr>
        <w:autoSpaceDE w:val="0"/>
        <w:autoSpaceDN w:val="0"/>
        <w:adjustRightInd w:val="0"/>
        <w:spacing w:line="240" w:lineRule="auto"/>
        <w:rPr>
          <w:rFonts w:eastAsia="Calibri"/>
          <w:snapToGrid/>
          <w:szCs w:val="22"/>
          <w:lang w:eastAsia="lt-LT"/>
        </w:rPr>
      </w:pPr>
      <w:r w:rsidRPr="00CE7679">
        <w:rPr>
          <w:rFonts w:eastAsia="SimSun"/>
          <w:snapToGrid/>
          <w:szCs w:val="22"/>
          <w:lang w:eastAsia="zh-CN"/>
        </w:rPr>
        <w:t xml:space="preserve">Kiekviena </w:t>
      </w: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 xml:space="preserve"> 100 mg plėvele dengta tabletė yra </w:t>
      </w:r>
      <w:r w:rsidRPr="00CE7679">
        <w:rPr>
          <w:rFonts w:eastAsia="Calibri"/>
          <w:snapToGrid/>
          <w:szCs w:val="22"/>
          <w:lang w:eastAsia="lt-LT"/>
        </w:rPr>
        <w:t xml:space="preserve">tamsiai geltona ar rudai oranžinė, abipus išgaubta su nusklembtais kraštais, apvali, apytiksliai 9,2 mm skersmens plėvele dengta tabletė, kurios vienoje pusėje įspausta „NVR“, kitoje pusėje „SA“ ir vagelė tarp raidžių. </w:t>
      </w:r>
    </w:p>
    <w:p w14:paraId="0B1DF978" w14:textId="77777777" w:rsidR="00A27597" w:rsidRPr="00CE7679" w:rsidRDefault="00A27597" w:rsidP="00A27597">
      <w:pPr>
        <w:autoSpaceDE w:val="0"/>
        <w:autoSpaceDN w:val="0"/>
        <w:adjustRightInd w:val="0"/>
        <w:spacing w:line="240" w:lineRule="auto"/>
        <w:rPr>
          <w:rFonts w:eastAsia="SimSun"/>
          <w:snapToGrid/>
          <w:szCs w:val="22"/>
          <w:lang w:eastAsia="zh-CN"/>
        </w:rPr>
      </w:pPr>
      <w:r w:rsidRPr="00CE7679">
        <w:rPr>
          <w:rFonts w:eastAsia="SimSun"/>
          <w:snapToGrid/>
          <w:szCs w:val="22"/>
          <w:highlight w:val="lightGray"/>
          <w:lang w:eastAsia="zh-CN"/>
        </w:rPr>
        <w:lastRenderedPageBreak/>
        <w:t xml:space="preserve">Kiekviena </w:t>
      </w:r>
      <w:proofErr w:type="spellStart"/>
      <w:r w:rsidRPr="00CE7679">
        <w:rPr>
          <w:rFonts w:eastAsia="SimSun"/>
          <w:snapToGrid/>
          <w:szCs w:val="22"/>
          <w:highlight w:val="lightGray"/>
          <w:lang w:eastAsia="zh-CN"/>
        </w:rPr>
        <w:t>Imatinib</w:t>
      </w:r>
      <w:proofErr w:type="spellEnd"/>
      <w:r w:rsidRPr="00CE7679">
        <w:rPr>
          <w:rFonts w:eastAsia="SimSun"/>
          <w:snapToGrid/>
          <w:szCs w:val="22"/>
          <w:highlight w:val="lightGray"/>
          <w:lang w:eastAsia="zh-CN"/>
        </w:rPr>
        <w:t xml:space="preserve"> </w:t>
      </w:r>
      <w:proofErr w:type="spellStart"/>
      <w:r w:rsidRPr="00CE7679">
        <w:rPr>
          <w:rFonts w:eastAsia="SimSun"/>
          <w:snapToGrid/>
          <w:szCs w:val="22"/>
          <w:highlight w:val="lightGray"/>
          <w:lang w:eastAsia="zh-CN"/>
        </w:rPr>
        <w:t>Sandoz</w:t>
      </w:r>
      <w:proofErr w:type="spellEnd"/>
      <w:r w:rsidRPr="00CE7679">
        <w:rPr>
          <w:rFonts w:eastAsia="SimSun"/>
          <w:snapToGrid/>
          <w:szCs w:val="22"/>
          <w:highlight w:val="lightGray"/>
          <w:lang w:eastAsia="zh-CN"/>
        </w:rPr>
        <w:t xml:space="preserve"> 400 mg plėvele dengta tabletė yra t</w:t>
      </w:r>
      <w:r w:rsidRPr="00CE7679">
        <w:rPr>
          <w:rFonts w:eastAsia="Calibri"/>
          <w:snapToGrid/>
          <w:szCs w:val="22"/>
          <w:highlight w:val="lightGray"/>
          <w:lang w:eastAsia="lt-LT"/>
        </w:rPr>
        <w:t>amsiai geltona ar rudai oranžinė, abipus išgaubta su nusklembtais kraštais, panašios į ovalą formos, apytiksliai 19,2 mm ilgio ir 7,7 mm pločio plėvele dengta tabletė, kurios vienoje pusėje įspausta „400“, kitoje – vagelė ir prie abiejų jos šonų „SL“.</w:t>
      </w:r>
    </w:p>
    <w:p w14:paraId="17F831A2" w14:textId="77777777" w:rsidR="00A27597" w:rsidRPr="00CE7679" w:rsidRDefault="00A27597" w:rsidP="00A27597">
      <w:pPr>
        <w:tabs>
          <w:tab w:val="clear" w:pos="567"/>
        </w:tabs>
        <w:spacing w:line="240" w:lineRule="auto"/>
        <w:rPr>
          <w:rFonts w:eastAsia="SimSun"/>
          <w:snapToGrid/>
          <w:szCs w:val="22"/>
          <w:lang w:eastAsia="zh-CN"/>
        </w:rPr>
      </w:pPr>
    </w:p>
    <w:p w14:paraId="2794E0CE" w14:textId="77777777" w:rsidR="00A27597" w:rsidRPr="00CE7679" w:rsidRDefault="00A27597" w:rsidP="00A27597">
      <w:pPr>
        <w:tabs>
          <w:tab w:val="clear" w:pos="567"/>
        </w:tabs>
        <w:spacing w:line="240" w:lineRule="auto"/>
        <w:rPr>
          <w:rFonts w:eastAsia="SimSun"/>
          <w:snapToGrid/>
          <w:szCs w:val="22"/>
          <w:lang w:eastAsia="zh-CN"/>
        </w:rPr>
      </w:pPr>
      <w:proofErr w:type="spellStart"/>
      <w:r w:rsidRPr="00CE7679">
        <w:rPr>
          <w:rFonts w:eastAsia="SimSun"/>
          <w:snapToGrid/>
          <w:szCs w:val="22"/>
          <w:lang w:eastAsia="zh-CN"/>
        </w:rPr>
        <w:t>Imatinib</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Sandoz</w:t>
      </w:r>
      <w:proofErr w:type="spellEnd"/>
      <w:r w:rsidRPr="00CE7679">
        <w:rPr>
          <w:rFonts w:eastAsia="SimSun"/>
          <w:snapToGrid/>
          <w:szCs w:val="22"/>
          <w:lang w:eastAsia="zh-CN"/>
        </w:rPr>
        <w:t xml:space="preserve"> 100</w:t>
      </w:r>
      <w:r w:rsidR="00EF69C8" w:rsidRPr="00CE7679">
        <w:rPr>
          <w:rFonts w:eastAsia="SimSun"/>
          <w:snapToGrid/>
          <w:szCs w:val="22"/>
          <w:lang w:eastAsia="zh-CN"/>
        </w:rPr>
        <w:t> </w:t>
      </w:r>
      <w:r w:rsidRPr="00CE7679">
        <w:rPr>
          <w:rFonts w:eastAsia="SimSun"/>
          <w:snapToGrid/>
          <w:szCs w:val="22"/>
          <w:lang w:eastAsia="zh-CN"/>
        </w:rPr>
        <w:t>mg:</w:t>
      </w:r>
    </w:p>
    <w:p w14:paraId="15810738" w14:textId="77777777" w:rsidR="00A27597" w:rsidRPr="00CE7679" w:rsidRDefault="00A27597" w:rsidP="00A27597">
      <w:pPr>
        <w:tabs>
          <w:tab w:val="clear" w:pos="567"/>
        </w:tabs>
        <w:spacing w:line="240" w:lineRule="auto"/>
        <w:rPr>
          <w:rFonts w:eastAsia="Calibri"/>
          <w:snapToGrid/>
          <w:szCs w:val="22"/>
          <w:lang w:eastAsia="en-GB"/>
        </w:rPr>
      </w:pPr>
      <w:r w:rsidRPr="00CE7679">
        <w:rPr>
          <w:rFonts w:eastAsia="SimSun"/>
          <w:snapToGrid/>
          <w:szCs w:val="22"/>
          <w:lang w:eastAsia="zh-CN"/>
        </w:rPr>
        <w:t>Tabletės tiekiamos PVC/Al ar PVC/PE/PVDC/Al lizdinių plokštelių</w:t>
      </w:r>
      <w:r w:rsidRPr="00CE7679">
        <w:rPr>
          <w:rFonts w:eastAsia="Calibri"/>
          <w:snapToGrid/>
          <w:szCs w:val="22"/>
          <w:lang w:eastAsia="en-GB"/>
        </w:rPr>
        <w:t xml:space="preserve"> pakuotėse </w:t>
      </w:r>
      <w:r w:rsidR="00FD40C6">
        <w:rPr>
          <w:rFonts w:eastAsia="Calibri"/>
          <w:snapToGrid/>
          <w:szCs w:val="22"/>
          <w:lang w:eastAsia="en-GB"/>
        </w:rPr>
        <w:t xml:space="preserve"> įdėtos į kartono dėžutes </w:t>
      </w:r>
      <w:r w:rsidRPr="00CE7679">
        <w:rPr>
          <w:rFonts w:eastAsia="Calibri"/>
          <w:snapToGrid/>
          <w:szCs w:val="22"/>
          <w:lang w:eastAsia="en-GB"/>
        </w:rPr>
        <w:t xml:space="preserve">po 20, 30, 50, 60, 80, 90 arba 120 </w:t>
      </w:r>
      <w:r w:rsidR="00FD40C6">
        <w:rPr>
          <w:rFonts w:eastAsia="Calibri"/>
          <w:snapToGrid/>
          <w:szCs w:val="22"/>
          <w:lang w:eastAsia="en-GB"/>
        </w:rPr>
        <w:t xml:space="preserve">plėvele dengtų </w:t>
      </w:r>
      <w:r w:rsidRPr="00CE7679">
        <w:rPr>
          <w:rFonts w:eastAsia="Calibri"/>
          <w:snapToGrid/>
          <w:szCs w:val="22"/>
          <w:lang w:eastAsia="en-GB"/>
        </w:rPr>
        <w:t>tablečių.</w:t>
      </w:r>
    </w:p>
    <w:p w14:paraId="11FEB4A8" w14:textId="77777777" w:rsidR="00A27597" w:rsidRPr="00CE7679" w:rsidRDefault="00A27597" w:rsidP="00A27597">
      <w:pPr>
        <w:tabs>
          <w:tab w:val="clear" w:pos="567"/>
        </w:tabs>
        <w:spacing w:line="240" w:lineRule="auto"/>
        <w:jc w:val="both"/>
        <w:rPr>
          <w:rFonts w:eastAsia="Calibri"/>
          <w:snapToGrid/>
          <w:szCs w:val="22"/>
          <w:highlight w:val="lightGray"/>
          <w:lang w:eastAsia="lt-LT"/>
        </w:rPr>
      </w:pPr>
      <w:proofErr w:type="spellStart"/>
      <w:r w:rsidRPr="00CE7679">
        <w:rPr>
          <w:rFonts w:eastAsia="Calibri"/>
          <w:snapToGrid/>
          <w:szCs w:val="22"/>
          <w:highlight w:val="lightGray"/>
          <w:lang w:eastAsia="lt-LT"/>
        </w:rPr>
        <w:t>Imatinib</w:t>
      </w:r>
      <w:proofErr w:type="spellEnd"/>
      <w:r w:rsidRPr="00CE7679">
        <w:rPr>
          <w:rFonts w:eastAsia="Calibri"/>
          <w:snapToGrid/>
          <w:szCs w:val="22"/>
          <w:highlight w:val="lightGray"/>
          <w:lang w:eastAsia="lt-LT"/>
        </w:rPr>
        <w:t xml:space="preserve"> </w:t>
      </w:r>
      <w:proofErr w:type="spellStart"/>
      <w:r w:rsidRPr="00CE7679">
        <w:rPr>
          <w:rFonts w:eastAsia="Calibri"/>
          <w:snapToGrid/>
          <w:szCs w:val="22"/>
          <w:highlight w:val="lightGray"/>
          <w:lang w:eastAsia="lt-LT"/>
        </w:rPr>
        <w:t>Sandoz</w:t>
      </w:r>
      <w:proofErr w:type="spellEnd"/>
      <w:r w:rsidRPr="00CE7679">
        <w:rPr>
          <w:rFonts w:eastAsia="Calibri"/>
          <w:snapToGrid/>
          <w:szCs w:val="22"/>
          <w:highlight w:val="lightGray"/>
          <w:lang w:eastAsia="lt-LT"/>
        </w:rPr>
        <w:t xml:space="preserve"> 400</w:t>
      </w:r>
      <w:r w:rsidR="00EF69C8" w:rsidRPr="00CE7679">
        <w:rPr>
          <w:rFonts w:eastAsia="Calibri"/>
          <w:snapToGrid/>
          <w:szCs w:val="22"/>
          <w:highlight w:val="lightGray"/>
          <w:lang w:eastAsia="lt-LT"/>
        </w:rPr>
        <w:t> </w:t>
      </w:r>
      <w:r w:rsidRPr="00CE7679">
        <w:rPr>
          <w:rFonts w:eastAsia="Calibri"/>
          <w:snapToGrid/>
          <w:szCs w:val="22"/>
          <w:highlight w:val="lightGray"/>
          <w:lang w:eastAsia="lt-LT"/>
        </w:rPr>
        <w:t>mg</w:t>
      </w:r>
      <w:r w:rsidR="004F7126">
        <w:rPr>
          <w:rFonts w:eastAsia="Calibri"/>
          <w:snapToGrid/>
          <w:szCs w:val="22"/>
          <w:highlight w:val="lightGray"/>
          <w:lang w:eastAsia="lt-LT"/>
        </w:rPr>
        <w:t>:</w:t>
      </w:r>
      <w:r w:rsidRPr="00CE7679">
        <w:rPr>
          <w:rFonts w:eastAsia="Calibri"/>
          <w:snapToGrid/>
          <w:szCs w:val="22"/>
          <w:highlight w:val="lightGray"/>
          <w:lang w:eastAsia="lt-LT"/>
        </w:rPr>
        <w:t xml:space="preserve"> </w:t>
      </w:r>
    </w:p>
    <w:p w14:paraId="7365452E" w14:textId="77777777" w:rsidR="00A27597" w:rsidRPr="00CE7679" w:rsidRDefault="00A27597" w:rsidP="00A27597">
      <w:pPr>
        <w:tabs>
          <w:tab w:val="clear" w:pos="567"/>
        </w:tabs>
        <w:spacing w:line="240" w:lineRule="auto"/>
        <w:jc w:val="both"/>
        <w:rPr>
          <w:rFonts w:eastAsia="Calibri"/>
          <w:snapToGrid/>
          <w:szCs w:val="22"/>
          <w:lang w:eastAsia="en-GB"/>
        </w:rPr>
      </w:pPr>
      <w:r w:rsidRPr="00CE7679">
        <w:rPr>
          <w:rFonts w:eastAsia="Calibri"/>
          <w:snapToGrid/>
          <w:szCs w:val="22"/>
          <w:highlight w:val="lightGray"/>
          <w:lang w:eastAsia="lt-LT"/>
        </w:rPr>
        <w:t>Tabletės tiekiamos PVC/PE/PVDC/Al lizdinių plokštelių pakuotėse</w:t>
      </w:r>
      <w:r w:rsidR="00FD40C6">
        <w:rPr>
          <w:rFonts w:eastAsia="Calibri"/>
          <w:snapToGrid/>
          <w:szCs w:val="22"/>
          <w:highlight w:val="lightGray"/>
          <w:lang w:eastAsia="lt-LT"/>
        </w:rPr>
        <w:t xml:space="preserve"> įdėtos į kartono dėžutes </w:t>
      </w:r>
      <w:r w:rsidRPr="00CE7679">
        <w:rPr>
          <w:rFonts w:eastAsia="Calibri"/>
          <w:snapToGrid/>
          <w:szCs w:val="22"/>
          <w:highlight w:val="lightGray"/>
          <w:lang w:eastAsia="lt-LT"/>
        </w:rPr>
        <w:t xml:space="preserve"> po 10, 30, 50, 60, 80 arba 90 tablečių.</w:t>
      </w:r>
    </w:p>
    <w:p w14:paraId="0F1BDFBD" w14:textId="77777777" w:rsidR="00A27597" w:rsidRPr="00CE7679" w:rsidRDefault="00A27597" w:rsidP="00A27597">
      <w:pPr>
        <w:tabs>
          <w:tab w:val="clear" w:pos="567"/>
        </w:tabs>
        <w:spacing w:line="240" w:lineRule="auto"/>
        <w:jc w:val="both"/>
        <w:rPr>
          <w:rFonts w:eastAsia="Calibri"/>
          <w:snapToGrid/>
          <w:szCs w:val="22"/>
          <w:lang w:eastAsia="en-GB"/>
        </w:rPr>
      </w:pPr>
    </w:p>
    <w:p w14:paraId="3B630A09" w14:textId="77777777" w:rsidR="00A27597" w:rsidRPr="00CE7679" w:rsidRDefault="00A27597" w:rsidP="00A27597">
      <w:pPr>
        <w:spacing w:line="240" w:lineRule="auto"/>
        <w:rPr>
          <w:rFonts w:eastAsia="SimSun"/>
          <w:snapToGrid/>
          <w:szCs w:val="22"/>
          <w:lang w:eastAsia="zh-CN"/>
        </w:rPr>
      </w:pPr>
      <w:r w:rsidRPr="00CE7679">
        <w:rPr>
          <w:rFonts w:eastAsia="SimSun"/>
          <w:snapToGrid/>
          <w:szCs w:val="22"/>
          <w:lang w:eastAsia="zh-CN"/>
        </w:rPr>
        <w:t>Gali būti tiekiamos ne visų dydžių pakuotės.</w:t>
      </w:r>
    </w:p>
    <w:p w14:paraId="6184D3D5" w14:textId="77777777" w:rsidR="00A27597" w:rsidRPr="00CE7679" w:rsidRDefault="00A27597" w:rsidP="00A27597">
      <w:pPr>
        <w:spacing w:line="240" w:lineRule="auto"/>
        <w:rPr>
          <w:rFonts w:eastAsia="SimSun"/>
          <w:snapToGrid/>
          <w:szCs w:val="22"/>
          <w:lang w:eastAsia="zh-CN"/>
        </w:rPr>
      </w:pPr>
    </w:p>
    <w:p w14:paraId="3FBF870B" w14:textId="77777777" w:rsidR="00A27597" w:rsidRPr="00CE7679" w:rsidRDefault="00A27597" w:rsidP="00A27597">
      <w:pPr>
        <w:keepNext/>
        <w:spacing w:line="240" w:lineRule="auto"/>
        <w:jc w:val="both"/>
        <w:outlineLvl w:val="3"/>
        <w:rPr>
          <w:rFonts w:eastAsia="SimSun"/>
          <w:b/>
          <w:snapToGrid/>
          <w:szCs w:val="22"/>
        </w:rPr>
      </w:pPr>
      <w:r w:rsidRPr="00CE7679">
        <w:rPr>
          <w:rFonts w:eastAsia="SimSun"/>
          <w:b/>
          <w:snapToGrid/>
          <w:szCs w:val="22"/>
        </w:rPr>
        <w:t>Registruotojas ir gamintojas</w:t>
      </w:r>
    </w:p>
    <w:p w14:paraId="31AC83B8" w14:textId="77777777" w:rsidR="00A27597" w:rsidRPr="00CE7679" w:rsidRDefault="00A27597" w:rsidP="00A27597">
      <w:pPr>
        <w:numPr>
          <w:ilvl w:val="12"/>
          <w:numId w:val="0"/>
        </w:numPr>
        <w:spacing w:line="240" w:lineRule="auto"/>
        <w:rPr>
          <w:rFonts w:eastAsia="SimSun"/>
          <w:snapToGrid/>
          <w:szCs w:val="22"/>
          <w:lang w:eastAsia="zh-CN"/>
        </w:rPr>
      </w:pPr>
    </w:p>
    <w:p w14:paraId="4245F1B3" w14:textId="77777777" w:rsidR="00A27597" w:rsidRPr="00CE7679" w:rsidRDefault="00A27597" w:rsidP="00BD5718">
      <w:pPr>
        <w:spacing w:line="240" w:lineRule="auto"/>
        <w:rPr>
          <w:rFonts w:eastAsia="SimSun"/>
          <w:i/>
          <w:snapToGrid/>
          <w:szCs w:val="22"/>
          <w:lang w:eastAsia="zh-CN" w:bidi="mni-IN"/>
        </w:rPr>
      </w:pPr>
      <w:r w:rsidRPr="00CE7679">
        <w:rPr>
          <w:rFonts w:eastAsia="SimSun"/>
          <w:i/>
          <w:snapToGrid/>
          <w:szCs w:val="22"/>
          <w:lang w:eastAsia="zh-CN" w:bidi="mni-IN"/>
        </w:rPr>
        <w:t>Registruotojas</w:t>
      </w:r>
    </w:p>
    <w:p w14:paraId="1056414A" w14:textId="77777777" w:rsidR="00A27597" w:rsidRPr="00CE7679" w:rsidRDefault="00A27597">
      <w:pPr>
        <w:pStyle w:val="NormaLT"/>
        <w:tabs>
          <w:tab w:val="left" w:pos="567"/>
        </w:tabs>
        <w:jc w:val="left"/>
        <w:rPr>
          <w:rFonts w:ascii="Times New Roman" w:hAnsi="Times New Roman"/>
          <w:sz w:val="22"/>
          <w:szCs w:val="22"/>
        </w:rPr>
      </w:pPr>
      <w:proofErr w:type="spellStart"/>
      <w:r w:rsidRPr="00CE7679">
        <w:rPr>
          <w:rFonts w:ascii="Times New Roman" w:hAnsi="Times New Roman"/>
          <w:sz w:val="22"/>
          <w:szCs w:val="22"/>
        </w:rPr>
        <w:t>Sandoz</w:t>
      </w:r>
      <w:proofErr w:type="spellEnd"/>
      <w:r w:rsidRPr="00CE7679">
        <w:rPr>
          <w:rFonts w:ascii="Times New Roman" w:hAnsi="Times New Roman"/>
          <w:sz w:val="22"/>
          <w:szCs w:val="22"/>
        </w:rPr>
        <w:t xml:space="preserve"> </w:t>
      </w:r>
      <w:proofErr w:type="spellStart"/>
      <w:r w:rsidRPr="00CE7679">
        <w:rPr>
          <w:rFonts w:ascii="Times New Roman" w:hAnsi="Times New Roman"/>
          <w:sz w:val="22"/>
          <w:szCs w:val="22"/>
        </w:rPr>
        <w:t>d.d</w:t>
      </w:r>
      <w:proofErr w:type="spellEnd"/>
      <w:r w:rsidRPr="00CE7679">
        <w:rPr>
          <w:rFonts w:ascii="Times New Roman" w:hAnsi="Times New Roman"/>
          <w:sz w:val="22"/>
          <w:szCs w:val="22"/>
        </w:rPr>
        <w:t>.</w:t>
      </w:r>
    </w:p>
    <w:p w14:paraId="58135E84" w14:textId="77777777" w:rsidR="00A27597" w:rsidRPr="00CE7679" w:rsidRDefault="00A27597">
      <w:pPr>
        <w:pStyle w:val="NormaLT"/>
        <w:tabs>
          <w:tab w:val="left" w:pos="567"/>
        </w:tabs>
        <w:jc w:val="left"/>
        <w:rPr>
          <w:rFonts w:ascii="Times New Roman" w:hAnsi="Times New Roman"/>
          <w:sz w:val="22"/>
          <w:szCs w:val="22"/>
        </w:rPr>
      </w:pPr>
      <w:proofErr w:type="spellStart"/>
      <w:r w:rsidRPr="00CE7679">
        <w:rPr>
          <w:rFonts w:ascii="Times New Roman" w:hAnsi="Times New Roman"/>
          <w:sz w:val="22"/>
          <w:szCs w:val="22"/>
        </w:rPr>
        <w:t>Verovškova</w:t>
      </w:r>
      <w:proofErr w:type="spellEnd"/>
      <w:r w:rsidRPr="00CE7679">
        <w:rPr>
          <w:rFonts w:ascii="Times New Roman" w:hAnsi="Times New Roman"/>
          <w:sz w:val="22"/>
          <w:szCs w:val="22"/>
        </w:rPr>
        <w:t xml:space="preserve"> 57</w:t>
      </w:r>
    </w:p>
    <w:p w14:paraId="7A1DD55A" w14:textId="77777777" w:rsidR="00A27597" w:rsidRPr="00CE7679" w:rsidRDefault="00A27597">
      <w:pPr>
        <w:pStyle w:val="NormaLT"/>
        <w:tabs>
          <w:tab w:val="left" w:pos="567"/>
        </w:tabs>
        <w:jc w:val="left"/>
        <w:rPr>
          <w:rFonts w:ascii="Times New Roman" w:hAnsi="Times New Roman"/>
          <w:sz w:val="22"/>
          <w:szCs w:val="22"/>
        </w:rPr>
      </w:pPr>
      <w:r w:rsidRPr="00CE7679">
        <w:rPr>
          <w:rFonts w:ascii="Times New Roman" w:hAnsi="Times New Roman"/>
          <w:sz w:val="22"/>
          <w:szCs w:val="22"/>
        </w:rPr>
        <w:t xml:space="preserve">SI-1000 </w:t>
      </w:r>
      <w:proofErr w:type="spellStart"/>
      <w:r w:rsidRPr="00CE7679">
        <w:rPr>
          <w:rFonts w:ascii="Times New Roman" w:hAnsi="Times New Roman"/>
          <w:sz w:val="22"/>
          <w:szCs w:val="22"/>
        </w:rPr>
        <w:t>Ljubljana</w:t>
      </w:r>
      <w:proofErr w:type="spellEnd"/>
    </w:p>
    <w:p w14:paraId="658ED102" w14:textId="77777777" w:rsidR="00A27597" w:rsidRPr="00CE7679" w:rsidRDefault="00A27597">
      <w:pPr>
        <w:pStyle w:val="NormaLT"/>
        <w:tabs>
          <w:tab w:val="left" w:pos="567"/>
        </w:tabs>
        <w:jc w:val="left"/>
        <w:rPr>
          <w:rFonts w:ascii="Times New Roman" w:hAnsi="Times New Roman"/>
          <w:sz w:val="22"/>
          <w:szCs w:val="22"/>
        </w:rPr>
      </w:pPr>
      <w:r w:rsidRPr="00CE7679">
        <w:rPr>
          <w:rFonts w:ascii="Times New Roman" w:hAnsi="Times New Roman"/>
          <w:sz w:val="22"/>
          <w:szCs w:val="22"/>
        </w:rPr>
        <w:t>Slovėnija</w:t>
      </w:r>
    </w:p>
    <w:p w14:paraId="32F5288C" w14:textId="77777777" w:rsidR="00A27597" w:rsidRPr="00CE7679" w:rsidRDefault="00A27597">
      <w:pPr>
        <w:widowControl w:val="0"/>
        <w:spacing w:line="240" w:lineRule="auto"/>
        <w:ind w:right="7956"/>
        <w:rPr>
          <w:rFonts w:eastAsia="Calibri"/>
          <w:b/>
          <w:snapToGrid/>
          <w:szCs w:val="22"/>
          <w:highlight w:val="yellow"/>
        </w:rPr>
      </w:pPr>
    </w:p>
    <w:p w14:paraId="02214F24" w14:textId="77777777" w:rsidR="00A27597" w:rsidRPr="00CE7679" w:rsidRDefault="00A27597">
      <w:pPr>
        <w:numPr>
          <w:ilvl w:val="12"/>
          <w:numId w:val="0"/>
        </w:numPr>
        <w:spacing w:line="240" w:lineRule="auto"/>
        <w:rPr>
          <w:rFonts w:eastAsia="SimSun"/>
          <w:snapToGrid/>
          <w:szCs w:val="22"/>
          <w:lang w:eastAsia="zh-CN"/>
        </w:rPr>
      </w:pPr>
      <w:r w:rsidRPr="00CE7679">
        <w:rPr>
          <w:rFonts w:eastAsia="SimSun"/>
          <w:bCs/>
          <w:i/>
          <w:snapToGrid/>
          <w:szCs w:val="22"/>
          <w:lang w:eastAsia="zh-CN"/>
        </w:rPr>
        <w:t>Gamintoja</w:t>
      </w:r>
      <w:r w:rsidR="00A56258" w:rsidRPr="00CE7679">
        <w:rPr>
          <w:rFonts w:eastAsia="SimSun"/>
          <w:bCs/>
          <w:i/>
          <w:snapToGrid/>
          <w:szCs w:val="22"/>
          <w:lang w:eastAsia="zh-CN"/>
        </w:rPr>
        <w:t>s</w:t>
      </w:r>
    </w:p>
    <w:p w14:paraId="52E5C81B" w14:textId="77777777" w:rsidR="00A27597" w:rsidRPr="00CE7679" w:rsidRDefault="00A27597" w:rsidP="0068785E">
      <w:pPr>
        <w:autoSpaceDE w:val="0"/>
        <w:autoSpaceDN w:val="0"/>
        <w:adjustRightInd w:val="0"/>
        <w:spacing w:line="240" w:lineRule="auto"/>
        <w:rPr>
          <w:bCs/>
          <w:szCs w:val="22"/>
        </w:rPr>
      </w:pPr>
      <w:proofErr w:type="spellStart"/>
      <w:r w:rsidRPr="00CE7679">
        <w:rPr>
          <w:szCs w:val="22"/>
        </w:rPr>
        <w:t>Lek</w:t>
      </w:r>
      <w:proofErr w:type="spellEnd"/>
      <w:r w:rsidRPr="00CE7679">
        <w:rPr>
          <w:szCs w:val="22"/>
        </w:rPr>
        <w:t xml:space="preserve"> </w:t>
      </w:r>
      <w:proofErr w:type="spellStart"/>
      <w:r w:rsidRPr="00CE7679">
        <w:rPr>
          <w:szCs w:val="22"/>
        </w:rPr>
        <w:t>Pharmaceuticals</w:t>
      </w:r>
      <w:proofErr w:type="spellEnd"/>
      <w:r w:rsidRPr="00CE7679">
        <w:rPr>
          <w:szCs w:val="22"/>
        </w:rPr>
        <w:t xml:space="preserve"> </w:t>
      </w:r>
      <w:proofErr w:type="spellStart"/>
      <w:r w:rsidRPr="00CE7679">
        <w:rPr>
          <w:szCs w:val="22"/>
        </w:rPr>
        <w:t>d.d</w:t>
      </w:r>
      <w:proofErr w:type="spellEnd"/>
      <w:r w:rsidRPr="00CE7679">
        <w:rPr>
          <w:szCs w:val="22"/>
        </w:rPr>
        <w:t>.</w:t>
      </w:r>
    </w:p>
    <w:p w14:paraId="543A9E35" w14:textId="77777777" w:rsidR="00A27597" w:rsidRPr="00CE7679" w:rsidRDefault="00A27597" w:rsidP="0068785E">
      <w:pPr>
        <w:autoSpaceDE w:val="0"/>
        <w:autoSpaceDN w:val="0"/>
        <w:adjustRightInd w:val="0"/>
        <w:spacing w:line="240" w:lineRule="auto"/>
        <w:rPr>
          <w:bCs/>
          <w:szCs w:val="22"/>
        </w:rPr>
      </w:pPr>
      <w:proofErr w:type="spellStart"/>
      <w:r w:rsidRPr="00CE7679">
        <w:rPr>
          <w:szCs w:val="22"/>
        </w:rPr>
        <w:t>Verovškova</w:t>
      </w:r>
      <w:proofErr w:type="spellEnd"/>
      <w:r w:rsidRPr="00CE7679">
        <w:rPr>
          <w:szCs w:val="22"/>
        </w:rPr>
        <w:t xml:space="preserve"> 57, 1526 </w:t>
      </w:r>
      <w:proofErr w:type="spellStart"/>
      <w:r w:rsidRPr="00CE7679">
        <w:rPr>
          <w:szCs w:val="22"/>
        </w:rPr>
        <w:t>Ljubljana</w:t>
      </w:r>
      <w:proofErr w:type="spellEnd"/>
    </w:p>
    <w:p w14:paraId="67D44565" w14:textId="77777777" w:rsidR="00A27597" w:rsidRPr="00CE7679" w:rsidRDefault="00A27597" w:rsidP="0068785E">
      <w:pPr>
        <w:autoSpaceDE w:val="0"/>
        <w:autoSpaceDN w:val="0"/>
        <w:adjustRightInd w:val="0"/>
        <w:spacing w:line="240" w:lineRule="auto"/>
        <w:rPr>
          <w:bCs/>
          <w:szCs w:val="22"/>
        </w:rPr>
      </w:pPr>
      <w:r w:rsidRPr="00CE7679">
        <w:rPr>
          <w:szCs w:val="22"/>
        </w:rPr>
        <w:t>Slovėnija</w:t>
      </w:r>
    </w:p>
    <w:p w14:paraId="55773458" w14:textId="77777777" w:rsidR="00A27597" w:rsidRPr="00CE7679" w:rsidRDefault="00A27597" w:rsidP="00BD5718">
      <w:pPr>
        <w:tabs>
          <w:tab w:val="clear" w:pos="567"/>
        </w:tabs>
        <w:spacing w:line="240" w:lineRule="auto"/>
        <w:rPr>
          <w:rFonts w:eastAsia="Calibri"/>
          <w:i/>
          <w:snapToGrid/>
          <w:szCs w:val="22"/>
        </w:rPr>
      </w:pPr>
    </w:p>
    <w:p w14:paraId="591FE916" w14:textId="77777777" w:rsidR="00A27597" w:rsidRPr="00CE7679" w:rsidRDefault="00A27597">
      <w:pPr>
        <w:tabs>
          <w:tab w:val="clear" w:pos="567"/>
        </w:tabs>
        <w:spacing w:line="240" w:lineRule="auto"/>
        <w:rPr>
          <w:rFonts w:eastAsia="Calibri"/>
          <w:snapToGrid/>
          <w:szCs w:val="22"/>
        </w:rPr>
      </w:pPr>
      <w:r w:rsidRPr="00CE7679">
        <w:rPr>
          <w:rFonts w:eastAsia="Calibri"/>
          <w:snapToGrid/>
          <w:szCs w:val="22"/>
        </w:rPr>
        <w:t>arba</w:t>
      </w:r>
    </w:p>
    <w:p w14:paraId="383DD805" w14:textId="77777777" w:rsidR="00A27597" w:rsidRPr="00CE7679" w:rsidRDefault="00A27597">
      <w:pPr>
        <w:tabs>
          <w:tab w:val="clear" w:pos="567"/>
        </w:tabs>
        <w:spacing w:line="240" w:lineRule="auto"/>
        <w:rPr>
          <w:rFonts w:eastAsia="Calibri"/>
          <w:snapToGrid/>
          <w:szCs w:val="22"/>
        </w:rPr>
      </w:pPr>
    </w:p>
    <w:p w14:paraId="3795084A" w14:textId="77777777" w:rsidR="00A27597" w:rsidRPr="00CE7679" w:rsidRDefault="00A27597">
      <w:pPr>
        <w:tabs>
          <w:tab w:val="clear" w:pos="567"/>
        </w:tabs>
        <w:spacing w:line="240" w:lineRule="auto"/>
        <w:rPr>
          <w:rFonts w:eastAsia="Calibri"/>
          <w:snapToGrid/>
          <w:szCs w:val="22"/>
        </w:rPr>
      </w:pPr>
      <w:proofErr w:type="spellStart"/>
      <w:r w:rsidRPr="00CE7679">
        <w:rPr>
          <w:rFonts w:eastAsia="Calibri"/>
          <w:snapToGrid/>
          <w:szCs w:val="22"/>
        </w:rPr>
        <w:t>Novartis</w:t>
      </w:r>
      <w:proofErr w:type="spellEnd"/>
      <w:r w:rsidRPr="00CE7679">
        <w:rPr>
          <w:rFonts w:eastAsia="Calibri"/>
          <w:snapToGrid/>
          <w:szCs w:val="22"/>
        </w:rPr>
        <w:t xml:space="preserve"> Pharma </w:t>
      </w:r>
      <w:proofErr w:type="spellStart"/>
      <w:r w:rsidRPr="00CE7679">
        <w:rPr>
          <w:rFonts w:eastAsia="Calibri"/>
          <w:snapToGrid/>
          <w:szCs w:val="22"/>
        </w:rPr>
        <w:t>GmbH</w:t>
      </w:r>
      <w:proofErr w:type="spellEnd"/>
    </w:p>
    <w:p w14:paraId="6B6BDBDE" w14:textId="77777777" w:rsidR="00A27597" w:rsidRPr="00CE7679" w:rsidRDefault="00A27597">
      <w:pPr>
        <w:tabs>
          <w:tab w:val="clear" w:pos="567"/>
        </w:tabs>
        <w:spacing w:line="240" w:lineRule="auto"/>
        <w:rPr>
          <w:rFonts w:eastAsia="Calibri"/>
          <w:snapToGrid/>
          <w:szCs w:val="22"/>
        </w:rPr>
      </w:pPr>
      <w:proofErr w:type="spellStart"/>
      <w:r w:rsidRPr="00CE7679">
        <w:rPr>
          <w:rFonts w:eastAsia="Calibri"/>
          <w:snapToGrid/>
          <w:szCs w:val="22"/>
        </w:rPr>
        <w:t>Roonstrasse</w:t>
      </w:r>
      <w:proofErr w:type="spellEnd"/>
      <w:r w:rsidRPr="00CE7679">
        <w:rPr>
          <w:rFonts w:eastAsia="Calibri"/>
          <w:snapToGrid/>
          <w:szCs w:val="22"/>
        </w:rPr>
        <w:t xml:space="preserve"> 25,</w:t>
      </w:r>
      <w:r w:rsidR="00BD5718">
        <w:rPr>
          <w:rFonts w:eastAsia="Calibri"/>
          <w:snapToGrid/>
          <w:szCs w:val="22"/>
        </w:rPr>
        <w:t xml:space="preserve"> </w:t>
      </w:r>
      <w:r w:rsidRPr="00CE7679">
        <w:rPr>
          <w:rFonts w:eastAsia="Calibri"/>
          <w:snapToGrid/>
          <w:szCs w:val="22"/>
        </w:rPr>
        <w:t xml:space="preserve">90429 </w:t>
      </w:r>
      <w:proofErr w:type="spellStart"/>
      <w:r w:rsidRPr="00CE7679">
        <w:rPr>
          <w:rFonts w:eastAsia="Calibri"/>
          <w:snapToGrid/>
          <w:szCs w:val="22"/>
        </w:rPr>
        <w:t>Nürnberg</w:t>
      </w:r>
      <w:proofErr w:type="spellEnd"/>
    </w:p>
    <w:p w14:paraId="23DEBD73" w14:textId="77777777" w:rsidR="00A27597" w:rsidRPr="00CE7679" w:rsidRDefault="00A27597">
      <w:pPr>
        <w:tabs>
          <w:tab w:val="clear" w:pos="567"/>
        </w:tabs>
        <w:spacing w:line="240" w:lineRule="auto"/>
        <w:rPr>
          <w:rFonts w:eastAsia="Calibri"/>
          <w:snapToGrid/>
          <w:szCs w:val="22"/>
        </w:rPr>
      </w:pPr>
      <w:r w:rsidRPr="00CE7679">
        <w:rPr>
          <w:rFonts w:eastAsia="Calibri"/>
          <w:snapToGrid/>
          <w:szCs w:val="22"/>
        </w:rPr>
        <w:t>Vokietija</w:t>
      </w:r>
    </w:p>
    <w:p w14:paraId="3316AA89" w14:textId="77777777" w:rsidR="00A27597" w:rsidRPr="00CE7679" w:rsidRDefault="00A27597">
      <w:pPr>
        <w:tabs>
          <w:tab w:val="clear" w:pos="567"/>
        </w:tabs>
        <w:spacing w:line="240" w:lineRule="auto"/>
        <w:rPr>
          <w:rFonts w:eastAsia="Calibri"/>
          <w:snapToGrid/>
          <w:szCs w:val="22"/>
        </w:rPr>
      </w:pPr>
    </w:p>
    <w:p w14:paraId="079927BC" w14:textId="77777777" w:rsidR="00A27597" w:rsidRPr="00CE7679" w:rsidRDefault="00A27597">
      <w:pPr>
        <w:tabs>
          <w:tab w:val="clear" w:pos="567"/>
        </w:tabs>
        <w:spacing w:line="240" w:lineRule="auto"/>
        <w:rPr>
          <w:rFonts w:eastAsia="Calibri"/>
          <w:snapToGrid/>
          <w:szCs w:val="22"/>
        </w:rPr>
      </w:pPr>
      <w:r w:rsidRPr="00CE7679">
        <w:rPr>
          <w:rFonts w:eastAsia="Calibri"/>
          <w:snapToGrid/>
          <w:szCs w:val="22"/>
        </w:rPr>
        <w:t>arba</w:t>
      </w:r>
    </w:p>
    <w:p w14:paraId="1996023C" w14:textId="77777777" w:rsidR="00A27597" w:rsidRPr="00CE7679" w:rsidRDefault="00A27597">
      <w:pPr>
        <w:tabs>
          <w:tab w:val="clear" w:pos="567"/>
        </w:tabs>
        <w:spacing w:line="240" w:lineRule="auto"/>
        <w:rPr>
          <w:rFonts w:eastAsia="Calibri"/>
          <w:snapToGrid/>
          <w:szCs w:val="22"/>
        </w:rPr>
      </w:pPr>
    </w:p>
    <w:p w14:paraId="2AE06E59" w14:textId="77777777" w:rsidR="00A27597" w:rsidRPr="00CE7679" w:rsidRDefault="00A27597" w:rsidP="0068785E">
      <w:pPr>
        <w:autoSpaceDE w:val="0"/>
        <w:autoSpaceDN w:val="0"/>
        <w:adjustRightInd w:val="0"/>
        <w:spacing w:line="240" w:lineRule="auto"/>
      </w:pPr>
      <w:proofErr w:type="spellStart"/>
      <w:r w:rsidRPr="00CE7679">
        <w:t>Salutas</w:t>
      </w:r>
      <w:proofErr w:type="spellEnd"/>
      <w:r w:rsidRPr="00CE7679">
        <w:t xml:space="preserve"> Pharma </w:t>
      </w:r>
      <w:proofErr w:type="spellStart"/>
      <w:r w:rsidRPr="00CE7679">
        <w:t>GmbH</w:t>
      </w:r>
      <w:proofErr w:type="spellEnd"/>
    </w:p>
    <w:p w14:paraId="7EF608CC" w14:textId="77777777" w:rsidR="00A27597" w:rsidRPr="00CE7679" w:rsidRDefault="00A27597" w:rsidP="0068785E">
      <w:pPr>
        <w:autoSpaceDE w:val="0"/>
        <w:autoSpaceDN w:val="0"/>
        <w:adjustRightInd w:val="0"/>
        <w:spacing w:line="240" w:lineRule="auto"/>
      </w:pPr>
      <w:proofErr w:type="spellStart"/>
      <w:r w:rsidRPr="00CE7679">
        <w:t>Otto-von-Guericke-Allee</w:t>
      </w:r>
      <w:proofErr w:type="spellEnd"/>
      <w:r w:rsidRPr="00CE7679">
        <w:t xml:space="preserve"> 1</w:t>
      </w:r>
    </w:p>
    <w:p w14:paraId="3FBC6A5A" w14:textId="77777777" w:rsidR="00A27597" w:rsidRPr="00CE7679" w:rsidRDefault="00A27597" w:rsidP="0068785E">
      <w:pPr>
        <w:autoSpaceDE w:val="0"/>
        <w:autoSpaceDN w:val="0"/>
        <w:adjustRightInd w:val="0"/>
        <w:spacing w:line="240" w:lineRule="auto"/>
      </w:pPr>
      <w:proofErr w:type="spellStart"/>
      <w:r w:rsidRPr="00CE7679">
        <w:t>Sachsen-Anhalt</w:t>
      </w:r>
      <w:proofErr w:type="spellEnd"/>
      <w:r w:rsidRPr="00CE7679">
        <w:t xml:space="preserve">, 39179 </w:t>
      </w:r>
      <w:proofErr w:type="spellStart"/>
      <w:r w:rsidRPr="00CE7679">
        <w:t>Barleben</w:t>
      </w:r>
      <w:proofErr w:type="spellEnd"/>
    </w:p>
    <w:p w14:paraId="3A48DC6E" w14:textId="77777777" w:rsidR="00A27597" w:rsidRPr="00CE7679" w:rsidRDefault="00A27597" w:rsidP="0068785E">
      <w:pPr>
        <w:autoSpaceDE w:val="0"/>
        <w:autoSpaceDN w:val="0"/>
        <w:adjustRightInd w:val="0"/>
        <w:spacing w:line="240" w:lineRule="auto"/>
      </w:pPr>
      <w:r w:rsidRPr="00CE7679">
        <w:t>Vokietija</w:t>
      </w:r>
    </w:p>
    <w:p w14:paraId="183D4AB8" w14:textId="77777777" w:rsidR="00A27597" w:rsidRPr="00CE7679" w:rsidRDefault="00A27597" w:rsidP="00BD5718">
      <w:pPr>
        <w:numPr>
          <w:ilvl w:val="12"/>
          <w:numId w:val="0"/>
        </w:numPr>
        <w:spacing w:line="240" w:lineRule="auto"/>
        <w:rPr>
          <w:rFonts w:eastAsia="SimSun"/>
          <w:snapToGrid/>
          <w:szCs w:val="22"/>
          <w:lang w:eastAsia="zh-CN"/>
        </w:rPr>
      </w:pPr>
    </w:p>
    <w:p w14:paraId="026837C2" w14:textId="77777777" w:rsidR="000552BC" w:rsidRPr="00CE7679" w:rsidRDefault="000552BC">
      <w:pPr>
        <w:numPr>
          <w:ilvl w:val="12"/>
          <w:numId w:val="0"/>
        </w:numPr>
        <w:spacing w:line="240" w:lineRule="auto"/>
        <w:rPr>
          <w:rFonts w:eastAsia="SimSun"/>
          <w:snapToGrid/>
          <w:szCs w:val="22"/>
          <w:lang w:eastAsia="zh-CN"/>
        </w:rPr>
      </w:pPr>
      <w:r w:rsidRPr="00CE7679">
        <w:rPr>
          <w:rFonts w:eastAsia="SimSun"/>
          <w:snapToGrid/>
          <w:szCs w:val="22"/>
          <w:lang w:eastAsia="zh-CN"/>
        </w:rPr>
        <w:t>arba</w:t>
      </w:r>
    </w:p>
    <w:p w14:paraId="732FC8D1" w14:textId="77777777" w:rsidR="000552BC" w:rsidRPr="00CE7679" w:rsidRDefault="000552BC">
      <w:pPr>
        <w:numPr>
          <w:ilvl w:val="12"/>
          <w:numId w:val="0"/>
        </w:numPr>
        <w:spacing w:line="240" w:lineRule="auto"/>
        <w:rPr>
          <w:rFonts w:eastAsia="SimSun"/>
          <w:snapToGrid/>
          <w:szCs w:val="22"/>
          <w:lang w:eastAsia="zh-CN"/>
        </w:rPr>
      </w:pPr>
    </w:p>
    <w:p w14:paraId="0B37F4BD" w14:textId="77777777" w:rsidR="000552BC" w:rsidRPr="00CE7679" w:rsidRDefault="000552BC">
      <w:pPr>
        <w:numPr>
          <w:ilvl w:val="12"/>
          <w:numId w:val="0"/>
        </w:numPr>
        <w:spacing w:line="240" w:lineRule="auto"/>
        <w:rPr>
          <w:rFonts w:eastAsia="SimSun"/>
          <w:snapToGrid/>
          <w:szCs w:val="22"/>
          <w:lang w:eastAsia="zh-CN"/>
        </w:rPr>
      </w:pPr>
      <w:proofErr w:type="spellStart"/>
      <w:r w:rsidRPr="00CE7679">
        <w:rPr>
          <w:rFonts w:eastAsia="SimSun"/>
          <w:snapToGrid/>
          <w:szCs w:val="22"/>
          <w:lang w:eastAsia="zh-CN"/>
        </w:rPr>
        <w:t>Lek</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Pharmaceuticals</w:t>
      </w:r>
      <w:proofErr w:type="spellEnd"/>
      <w:r w:rsidRPr="00CE7679">
        <w:rPr>
          <w:rFonts w:eastAsia="SimSun"/>
          <w:snapToGrid/>
          <w:szCs w:val="22"/>
          <w:lang w:eastAsia="zh-CN"/>
        </w:rPr>
        <w:t xml:space="preserve"> </w:t>
      </w:r>
      <w:proofErr w:type="spellStart"/>
      <w:r w:rsidRPr="00CE7679">
        <w:rPr>
          <w:rFonts w:eastAsia="SimSun"/>
          <w:snapToGrid/>
          <w:szCs w:val="22"/>
          <w:lang w:eastAsia="zh-CN"/>
        </w:rPr>
        <w:t>d.d</w:t>
      </w:r>
      <w:proofErr w:type="spellEnd"/>
      <w:r w:rsidRPr="00CE7679">
        <w:rPr>
          <w:rFonts w:eastAsia="SimSun"/>
          <w:snapToGrid/>
          <w:szCs w:val="22"/>
          <w:lang w:eastAsia="zh-CN"/>
        </w:rPr>
        <w:t>.</w:t>
      </w:r>
    </w:p>
    <w:p w14:paraId="7CB4B5F9" w14:textId="77777777" w:rsidR="000552BC" w:rsidRPr="00CE7679" w:rsidRDefault="000552BC">
      <w:pPr>
        <w:numPr>
          <w:ilvl w:val="12"/>
          <w:numId w:val="0"/>
        </w:numPr>
        <w:spacing w:line="240" w:lineRule="auto"/>
        <w:rPr>
          <w:rFonts w:eastAsia="SimSun"/>
          <w:snapToGrid/>
          <w:szCs w:val="22"/>
          <w:lang w:eastAsia="zh-CN"/>
        </w:rPr>
      </w:pPr>
      <w:proofErr w:type="spellStart"/>
      <w:r w:rsidRPr="00CE7679">
        <w:rPr>
          <w:rFonts w:eastAsia="SimSun"/>
          <w:snapToGrid/>
          <w:szCs w:val="22"/>
          <w:lang w:eastAsia="zh-CN"/>
        </w:rPr>
        <w:t>Trimlini</w:t>
      </w:r>
      <w:proofErr w:type="spellEnd"/>
      <w:r w:rsidRPr="00CE7679">
        <w:rPr>
          <w:rFonts w:eastAsia="SimSun"/>
          <w:snapToGrid/>
          <w:szCs w:val="22"/>
          <w:lang w:eastAsia="zh-CN"/>
        </w:rPr>
        <w:t xml:space="preserve"> 2D</w:t>
      </w:r>
    </w:p>
    <w:p w14:paraId="3BB5FDF4" w14:textId="77777777" w:rsidR="000552BC" w:rsidRPr="00CE7679" w:rsidRDefault="000552BC">
      <w:pPr>
        <w:numPr>
          <w:ilvl w:val="12"/>
          <w:numId w:val="0"/>
        </w:numPr>
        <w:spacing w:line="240" w:lineRule="auto"/>
        <w:rPr>
          <w:rFonts w:eastAsia="SimSun"/>
          <w:snapToGrid/>
          <w:szCs w:val="22"/>
          <w:lang w:eastAsia="zh-CN"/>
        </w:rPr>
      </w:pPr>
      <w:r w:rsidRPr="00CE7679">
        <w:rPr>
          <w:rFonts w:eastAsia="SimSun"/>
          <w:snapToGrid/>
          <w:szCs w:val="22"/>
          <w:lang w:eastAsia="zh-CN"/>
        </w:rPr>
        <w:t xml:space="preserve">9220 </w:t>
      </w:r>
      <w:proofErr w:type="spellStart"/>
      <w:r w:rsidRPr="00CE7679">
        <w:rPr>
          <w:rFonts w:eastAsia="SimSun"/>
          <w:snapToGrid/>
          <w:szCs w:val="22"/>
          <w:lang w:eastAsia="zh-CN"/>
        </w:rPr>
        <w:t>Lendava</w:t>
      </w:r>
      <w:proofErr w:type="spellEnd"/>
    </w:p>
    <w:p w14:paraId="4FDC5414" w14:textId="5342D445" w:rsidR="000552BC" w:rsidRDefault="000552BC">
      <w:pPr>
        <w:numPr>
          <w:ilvl w:val="12"/>
          <w:numId w:val="0"/>
        </w:numPr>
        <w:spacing w:line="240" w:lineRule="auto"/>
        <w:rPr>
          <w:rFonts w:eastAsia="SimSun"/>
          <w:snapToGrid/>
          <w:szCs w:val="22"/>
          <w:lang w:eastAsia="zh-CN"/>
        </w:rPr>
      </w:pPr>
      <w:r w:rsidRPr="00CE7679">
        <w:rPr>
          <w:rFonts w:eastAsia="SimSun"/>
          <w:snapToGrid/>
          <w:szCs w:val="22"/>
          <w:lang w:eastAsia="zh-CN"/>
        </w:rPr>
        <w:t>Slovėnija</w:t>
      </w:r>
    </w:p>
    <w:p w14:paraId="45D6397A" w14:textId="4F8761A9" w:rsidR="004F292E" w:rsidRDefault="004F292E">
      <w:pPr>
        <w:numPr>
          <w:ilvl w:val="12"/>
          <w:numId w:val="0"/>
        </w:numPr>
        <w:spacing w:line="240" w:lineRule="auto"/>
        <w:rPr>
          <w:rFonts w:eastAsia="SimSun"/>
          <w:snapToGrid/>
          <w:szCs w:val="22"/>
          <w:lang w:eastAsia="zh-CN"/>
        </w:rPr>
      </w:pPr>
    </w:p>
    <w:p w14:paraId="17BA813D" w14:textId="3774456C" w:rsidR="004F292E" w:rsidRPr="00CE7679" w:rsidRDefault="004F292E">
      <w:pPr>
        <w:numPr>
          <w:ilvl w:val="12"/>
          <w:numId w:val="0"/>
        </w:numPr>
        <w:spacing w:line="240" w:lineRule="auto"/>
        <w:rPr>
          <w:rFonts w:eastAsia="SimSun"/>
          <w:snapToGrid/>
          <w:szCs w:val="22"/>
          <w:lang w:eastAsia="zh-CN"/>
        </w:rPr>
      </w:pPr>
      <w:r>
        <w:rPr>
          <w:rFonts w:eastAsia="SimSun"/>
          <w:snapToGrid/>
          <w:szCs w:val="22"/>
          <w:lang w:eastAsia="zh-CN"/>
        </w:rPr>
        <w:t>arba</w:t>
      </w:r>
    </w:p>
    <w:p w14:paraId="52926652" w14:textId="05B05C00" w:rsidR="00E03977" w:rsidRDefault="00E03977" w:rsidP="0068785E">
      <w:pPr>
        <w:autoSpaceDE w:val="0"/>
        <w:autoSpaceDN w:val="0"/>
        <w:adjustRightInd w:val="0"/>
        <w:spacing w:line="240" w:lineRule="auto"/>
        <w:rPr>
          <w:bCs/>
          <w:szCs w:val="22"/>
        </w:rPr>
      </w:pPr>
    </w:p>
    <w:p w14:paraId="405D3317" w14:textId="77777777" w:rsidR="004F292E" w:rsidRPr="004F292E" w:rsidRDefault="004F292E" w:rsidP="004F292E">
      <w:pPr>
        <w:autoSpaceDE w:val="0"/>
        <w:autoSpaceDN w:val="0"/>
        <w:adjustRightInd w:val="0"/>
        <w:spacing w:line="240" w:lineRule="auto"/>
        <w:rPr>
          <w:bCs/>
          <w:szCs w:val="22"/>
        </w:rPr>
      </w:pPr>
      <w:proofErr w:type="spellStart"/>
      <w:r w:rsidRPr="004F292E">
        <w:rPr>
          <w:bCs/>
          <w:szCs w:val="22"/>
        </w:rPr>
        <w:t>Novartis</w:t>
      </w:r>
      <w:proofErr w:type="spellEnd"/>
      <w:r w:rsidRPr="004F292E">
        <w:rPr>
          <w:bCs/>
          <w:szCs w:val="22"/>
        </w:rPr>
        <w:t xml:space="preserve"> </w:t>
      </w:r>
      <w:proofErr w:type="spellStart"/>
      <w:r w:rsidRPr="004F292E">
        <w:rPr>
          <w:bCs/>
          <w:szCs w:val="22"/>
        </w:rPr>
        <w:t>Pharmaceutical</w:t>
      </w:r>
      <w:proofErr w:type="spellEnd"/>
    </w:p>
    <w:p w14:paraId="527DC7BB" w14:textId="77777777" w:rsidR="004F292E" w:rsidRPr="004F292E" w:rsidRDefault="004F292E" w:rsidP="004F292E">
      <w:pPr>
        <w:autoSpaceDE w:val="0"/>
        <w:autoSpaceDN w:val="0"/>
        <w:adjustRightInd w:val="0"/>
        <w:spacing w:line="240" w:lineRule="auto"/>
        <w:rPr>
          <w:bCs/>
          <w:szCs w:val="22"/>
        </w:rPr>
      </w:pPr>
      <w:r w:rsidRPr="004F292E">
        <w:rPr>
          <w:bCs/>
          <w:szCs w:val="22"/>
        </w:rPr>
        <w:t>Manufacturing LLC</w:t>
      </w:r>
    </w:p>
    <w:p w14:paraId="3E642AA0" w14:textId="77777777" w:rsidR="004F292E" w:rsidRPr="004F292E" w:rsidRDefault="004F292E" w:rsidP="004F292E">
      <w:pPr>
        <w:autoSpaceDE w:val="0"/>
        <w:autoSpaceDN w:val="0"/>
        <w:adjustRightInd w:val="0"/>
        <w:spacing w:line="240" w:lineRule="auto"/>
        <w:rPr>
          <w:bCs/>
          <w:szCs w:val="22"/>
        </w:rPr>
      </w:pPr>
      <w:proofErr w:type="spellStart"/>
      <w:r w:rsidRPr="004F292E">
        <w:rPr>
          <w:bCs/>
          <w:szCs w:val="22"/>
        </w:rPr>
        <w:t>Verovškova</w:t>
      </w:r>
      <w:proofErr w:type="spellEnd"/>
      <w:r w:rsidRPr="004F292E">
        <w:rPr>
          <w:bCs/>
          <w:szCs w:val="22"/>
        </w:rPr>
        <w:t xml:space="preserve"> </w:t>
      </w:r>
      <w:proofErr w:type="spellStart"/>
      <w:r w:rsidRPr="004F292E">
        <w:rPr>
          <w:bCs/>
          <w:szCs w:val="22"/>
        </w:rPr>
        <w:t>ulica</w:t>
      </w:r>
      <w:proofErr w:type="spellEnd"/>
      <w:r w:rsidRPr="004F292E">
        <w:rPr>
          <w:bCs/>
          <w:szCs w:val="22"/>
        </w:rPr>
        <w:t xml:space="preserve"> 57</w:t>
      </w:r>
    </w:p>
    <w:p w14:paraId="23C3FFDD" w14:textId="77777777" w:rsidR="004F292E" w:rsidRPr="004F292E" w:rsidRDefault="004F292E" w:rsidP="004F292E">
      <w:pPr>
        <w:autoSpaceDE w:val="0"/>
        <w:autoSpaceDN w:val="0"/>
        <w:adjustRightInd w:val="0"/>
        <w:spacing w:line="240" w:lineRule="auto"/>
        <w:rPr>
          <w:bCs/>
          <w:szCs w:val="22"/>
        </w:rPr>
      </w:pPr>
      <w:r w:rsidRPr="004F292E">
        <w:rPr>
          <w:bCs/>
          <w:szCs w:val="22"/>
        </w:rPr>
        <w:t xml:space="preserve">1000 </w:t>
      </w:r>
      <w:proofErr w:type="spellStart"/>
      <w:r w:rsidRPr="004F292E">
        <w:rPr>
          <w:bCs/>
          <w:szCs w:val="22"/>
        </w:rPr>
        <w:t>Ljubljana</w:t>
      </w:r>
      <w:proofErr w:type="spellEnd"/>
      <w:r w:rsidRPr="004F292E">
        <w:rPr>
          <w:bCs/>
          <w:szCs w:val="22"/>
        </w:rPr>
        <w:t>,</w:t>
      </w:r>
    </w:p>
    <w:p w14:paraId="59C622C5" w14:textId="41112917" w:rsidR="004F292E" w:rsidRDefault="004F292E" w:rsidP="004F292E">
      <w:pPr>
        <w:autoSpaceDE w:val="0"/>
        <w:autoSpaceDN w:val="0"/>
        <w:adjustRightInd w:val="0"/>
        <w:spacing w:line="240" w:lineRule="auto"/>
        <w:rPr>
          <w:bCs/>
          <w:szCs w:val="22"/>
        </w:rPr>
      </w:pPr>
      <w:r>
        <w:rPr>
          <w:bCs/>
          <w:szCs w:val="22"/>
        </w:rPr>
        <w:t>Slovėnija</w:t>
      </w:r>
    </w:p>
    <w:p w14:paraId="4A6238C3" w14:textId="77777777" w:rsidR="004F292E" w:rsidRDefault="004F292E" w:rsidP="004F292E">
      <w:pPr>
        <w:autoSpaceDE w:val="0"/>
        <w:autoSpaceDN w:val="0"/>
        <w:adjustRightInd w:val="0"/>
        <w:spacing w:line="240" w:lineRule="auto"/>
        <w:rPr>
          <w:bCs/>
          <w:szCs w:val="22"/>
        </w:rPr>
      </w:pPr>
    </w:p>
    <w:p w14:paraId="556C3693" w14:textId="4873109E" w:rsidR="00A27597" w:rsidRPr="00CE7679" w:rsidRDefault="00A27597" w:rsidP="0068785E">
      <w:pPr>
        <w:autoSpaceDE w:val="0"/>
        <w:autoSpaceDN w:val="0"/>
        <w:adjustRightInd w:val="0"/>
        <w:spacing w:line="240" w:lineRule="auto"/>
        <w:rPr>
          <w:bCs/>
          <w:szCs w:val="22"/>
        </w:rPr>
      </w:pPr>
      <w:r w:rsidRPr="00CE7679">
        <w:rPr>
          <w:bCs/>
          <w:szCs w:val="22"/>
        </w:rPr>
        <w:t>Jeigu apie šį vaistą norite sužinoti daugiau, kreipkitės į vietinį registruotojo atstovą</w:t>
      </w:r>
      <w:r w:rsidR="003905F2">
        <w:rPr>
          <w:bCs/>
          <w:szCs w:val="22"/>
        </w:rPr>
        <w:t>:</w:t>
      </w:r>
    </w:p>
    <w:p w14:paraId="337676A0" w14:textId="77777777" w:rsidR="00A27597" w:rsidRPr="00CE7679" w:rsidRDefault="00A27597" w:rsidP="00A27597">
      <w:pPr>
        <w:autoSpaceDE w:val="0"/>
        <w:autoSpaceDN w:val="0"/>
        <w:adjustRightInd w:val="0"/>
        <w:rPr>
          <w:b/>
          <w:bCs/>
          <w:szCs w:val="22"/>
        </w:rPr>
      </w:pPr>
    </w:p>
    <w:p w14:paraId="62B1AE11" w14:textId="77777777" w:rsidR="00A27597" w:rsidRPr="00CE7679" w:rsidRDefault="00A27597" w:rsidP="00A27597">
      <w:pPr>
        <w:rPr>
          <w:szCs w:val="22"/>
        </w:rPr>
      </w:pPr>
      <w:proofErr w:type="spellStart"/>
      <w:r w:rsidRPr="00CE7679">
        <w:rPr>
          <w:szCs w:val="22"/>
        </w:rPr>
        <w:lastRenderedPageBreak/>
        <w:t>Sandoz</w:t>
      </w:r>
      <w:proofErr w:type="spellEnd"/>
      <w:r w:rsidRPr="00CE7679">
        <w:rPr>
          <w:szCs w:val="22"/>
        </w:rPr>
        <w:t xml:space="preserve"> </w:t>
      </w:r>
      <w:proofErr w:type="spellStart"/>
      <w:r w:rsidRPr="00CE7679">
        <w:rPr>
          <w:szCs w:val="22"/>
        </w:rPr>
        <w:t>Pharmaceuticals</w:t>
      </w:r>
      <w:proofErr w:type="spellEnd"/>
      <w:r w:rsidRPr="00CE7679">
        <w:rPr>
          <w:szCs w:val="22"/>
        </w:rPr>
        <w:t xml:space="preserve"> </w:t>
      </w:r>
      <w:proofErr w:type="spellStart"/>
      <w:r w:rsidRPr="00CE7679">
        <w:rPr>
          <w:szCs w:val="22"/>
        </w:rPr>
        <w:t>d.d</w:t>
      </w:r>
      <w:proofErr w:type="spellEnd"/>
      <w:r w:rsidRPr="00CE7679">
        <w:rPr>
          <w:szCs w:val="22"/>
        </w:rPr>
        <w:t>. filialas</w:t>
      </w:r>
    </w:p>
    <w:p w14:paraId="37B8207E" w14:textId="2B19354A" w:rsidR="00A27597" w:rsidRPr="00CE7679" w:rsidRDefault="00A27597" w:rsidP="00A27597">
      <w:pPr>
        <w:rPr>
          <w:szCs w:val="22"/>
        </w:rPr>
      </w:pPr>
    </w:p>
    <w:p w14:paraId="2DC362E2" w14:textId="77777777" w:rsidR="00A27597" w:rsidRPr="00CE7679" w:rsidRDefault="00A27597" w:rsidP="00A27597">
      <w:pPr>
        <w:rPr>
          <w:szCs w:val="22"/>
        </w:rPr>
      </w:pPr>
      <w:r w:rsidRPr="00CE7679">
        <w:rPr>
          <w:szCs w:val="22"/>
        </w:rPr>
        <w:t>Tel. +370 5 2636037</w:t>
      </w:r>
    </w:p>
    <w:p w14:paraId="3BB53B2A" w14:textId="77DC35FB" w:rsidR="00A27597" w:rsidRPr="00CE7679" w:rsidRDefault="00A27597" w:rsidP="00A27597">
      <w:pPr>
        <w:rPr>
          <w:rStyle w:val="Hipersaitas"/>
          <w:color w:val="auto"/>
          <w:szCs w:val="22"/>
        </w:rPr>
      </w:pPr>
    </w:p>
    <w:p w14:paraId="32AB838A" w14:textId="77777777" w:rsidR="00A27597" w:rsidRPr="00CE7679" w:rsidRDefault="00A27597" w:rsidP="00A27597">
      <w:pPr>
        <w:rPr>
          <w:rStyle w:val="Hipersaitas"/>
          <w:color w:val="auto"/>
          <w:szCs w:val="22"/>
        </w:rPr>
      </w:pPr>
    </w:p>
    <w:p w14:paraId="78E21155" w14:textId="77777777" w:rsidR="00A27597" w:rsidRPr="00BD5718" w:rsidRDefault="00A27597" w:rsidP="00A27597">
      <w:pPr>
        <w:numPr>
          <w:ilvl w:val="12"/>
          <w:numId w:val="0"/>
        </w:numPr>
        <w:spacing w:line="240" w:lineRule="auto"/>
        <w:rPr>
          <w:rFonts w:eastAsia="SimSun"/>
          <w:snapToGrid/>
          <w:szCs w:val="22"/>
          <w:lang w:eastAsia="zh-CN"/>
        </w:rPr>
      </w:pPr>
      <w:r w:rsidRPr="007541DA">
        <w:rPr>
          <w:rFonts w:eastAsia="SimSun"/>
          <w:b/>
          <w:snapToGrid/>
          <w:szCs w:val="22"/>
          <w:lang w:eastAsia="zh-CN"/>
        </w:rPr>
        <w:t>Ši</w:t>
      </w:r>
      <w:r w:rsidR="00B301EA" w:rsidRPr="007541DA">
        <w:rPr>
          <w:rFonts w:eastAsia="SimSun"/>
          <w:b/>
          <w:snapToGrid/>
          <w:szCs w:val="22"/>
          <w:lang w:eastAsia="zh-CN"/>
        </w:rPr>
        <w:t>s</w:t>
      </w:r>
      <w:r w:rsidRPr="007541DA">
        <w:rPr>
          <w:rFonts w:eastAsia="SimSun"/>
          <w:b/>
          <w:snapToGrid/>
          <w:szCs w:val="22"/>
          <w:lang w:eastAsia="zh-CN"/>
        </w:rPr>
        <w:t xml:space="preserve"> vaist</w:t>
      </w:r>
      <w:r w:rsidR="00B301EA" w:rsidRPr="007541DA">
        <w:rPr>
          <w:rFonts w:eastAsia="SimSun"/>
          <w:b/>
          <w:snapToGrid/>
          <w:szCs w:val="22"/>
          <w:lang w:eastAsia="zh-CN"/>
        </w:rPr>
        <w:t>as</w:t>
      </w:r>
      <w:r w:rsidRPr="007541DA">
        <w:rPr>
          <w:rFonts w:eastAsia="SimSun"/>
          <w:b/>
          <w:snapToGrid/>
          <w:szCs w:val="22"/>
          <w:lang w:eastAsia="zh-CN"/>
        </w:rPr>
        <w:t xml:space="preserve"> </w:t>
      </w:r>
      <w:r w:rsidR="009A013E" w:rsidRPr="007541DA">
        <w:rPr>
          <w:b/>
        </w:rPr>
        <w:t>Europos ekonominės erdvės</w:t>
      </w:r>
      <w:r w:rsidRPr="007541DA">
        <w:rPr>
          <w:rFonts w:eastAsia="SimSun"/>
          <w:b/>
          <w:snapToGrid/>
          <w:szCs w:val="22"/>
          <w:lang w:eastAsia="zh-CN"/>
        </w:rPr>
        <w:t xml:space="preserve"> valstybėse narėse </w:t>
      </w:r>
      <w:r w:rsidR="00692958" w:rsidRPr="007541DA">
        <w:rPr>
          <w:b/>
        </w:rPr>
        <w:t xml:space="preserve">ir Jungtinėje Karalystėje (Šiaurės Airijoje) </w:t>
      </w:r>
      <w:r w:rsidR="00A56258" w:rsidRPr="007541DA">
        <w:rPr>
          <w:rFonts w:eastAsia="SimSun"/>
          <w:b/>
          <w:snapToGrid/>
          <w:szCs w:val="22"/>
          <w:lang w:eastAsia="zh-CN"/>
        </w:rPr>
        <w:t>registruotas</w:t>
      </w:r>
      <w:r w:rsidRPr="007541DA">
        <w:rPr>
          <w:rFonts w:eastAsia="SimSun"/>
          <w:b/>
          <w:snapToGrid/>
          <w:szCs w:val="22"/>
          <w:lang w:eastAsia="zh-CN"/>
        </w:rPr>
        <w:t xml:space="preserve"> tokiais pavadinimais</w:t>
      </w:r>
      <w:r w:rsidRPr="00F30108">
        <w:rPr>
          <w:rFonts w:eastAsia="SimSun"/>
          <w:b/>
        </w:rPr>
        <w:t>:</w:t>
      </w:r>
    </w:p>
    <w:p w14:paraId="13BFDFAB" w14:textId="77777777" w:rsidR="007047CD" w:rsidRPr="00BD5718" w:rsidRDefault="007047CD" w:rsidP="00A27597">
      <w:pPr>
        <w:numPr>
          <w:ilvl w:val="12"/>
          <w:numId w:val="0"/>
        </w:numPr>
        <w:spacing w:line="240" w:lineRule="auto"/>
        <w:rPr>
          <w:rFonts w:eastAsia="SimSun"/>
          <w:snapToGrid/>
          <w:szCs w:val="22"/>
          <w:lang w:eastAsia="zh-CN"/>
        </w:rPr>
      </w:pPr>
    </w:p>
    <w:tbl>
      <w:tblPr>
        <w:tblStyle w:val="Lentelstinklelis"/>
        <w:tblW w:w="0" w:type="auto"/>
        <w:tblLook w:val="04A0" w:firstRow="1" w:lastRow="0" w:firstColumn="1" w:lastColumn="0" w:noHBand="0" w:noVBand="1"/>
      </w:tblPr>
      <w:tblGrid>
        <w:gridCol w:w="4530"/>
        <w:gridCol w:w="4530"/>
      </w:tblGrid>
      <w:tr w:rsidR="007047CD" w:rsidRPr="00933A8D" w14:paraId="48ACA9D3" w14:textId="77777777" w:rsidTr="007047CD">
        <w:tc>
          <w:tcPr>
            <w:tcW w:w="4530" w:type="dxa"/>
          </w:tcPr>
          <w:p w14:paraId="42F46B47" w14:textId="77777777" w:rsidR="007047CD" w:rsidRPr="00933A8D" w:rsidRDefault="007047CD" w:rsidP="00A27597">
            <w:pPr>
              <w:numPr>
                <w:ilvl w:val="12"/>
                <w:numId w:val="0"/>
              </w:numPr>
              <w:spacing w:line="240" w:lineRule="auto"/>
              <w:rPr>
                <w:rFonts w:eastAsia="SimSun"/>
                <w:sz w:val="22"/>
                <w:szCs w:val="22"/>
              </w:rPr>
            </w:pPr>
            <w:r w:rsidRPr="00933A8D">
              <w:rPr>
                <w:rFonts w:eastAsia="SimSun"/>
                <w:sz w:val="22"/>
                <w:szCs w:val="22"/>
              </w:rPr>
              <w:t>Airija</w:t>
            </w:r>
          </w:p>
        </w:tc>
        <w:tc>
          <w:tcPr>
            <w:tcW w:w="4530" w:type="dxa"/>
          </w:tcPr>
          <w:p w14:paraId="35C45990" w14:textId="77777777" w:rsidR="007047CD" w:rsidRPr="00933A8D" w:rsidRDefault="007047CD" w:rsidP="00A27597">
            <w:pPr>
              <w:numPr>
                <w:ilvl w:val="12"/>
                <w:numId w:val="0"/>
              </w:numPr>
              <w:spacing w:line="240" w:lineRule="auto"/>
              <w:rPr>
                <w:rFonts w:eastAsia="SimSun"/>
                <w:sz w:val="22"/>
                <w:szCs w:val="22"/>
              </w:rPr>
            </w:pPr>
            <w:proofErr w:type="spellStart"/>
            <w:r w:rsidRPr="00933A8D">
              <w:rPr>
                <w:sz w:val="22"/>
                <w:szCs w:val="22"/>
              </w:rPr>
              <w:t>Imatinib</w:t>
            </w:r>
            <w:proofErr w:type="spellEnd"/>
            <w:r w:rsidRPr="00933A8D">
              <w:rPr>
                <w:sz w:val="22"/>
                <w:szCs w:val="22"/>
              </w:rPr>
              <w:t xml:space="preserve"> </w:t>
            </w:r>
            <w:proofErr w:type="spellStart"/>
            <w:r w:rsidRPr="00933A8D">
              <w:rPr>
                <w:sz w:val="22"/>
                <w:szCs w:val="22"/>
              </w:rPr>
              <w:t>Rowex</w:t>
            </w:r>
            <w:proofErr w:type="spellEnd"/>
          </w:p>
        </w:tc>
      </w:tr>
      <w:tr w:rsidR="007047CD" w:rsidRPr="00933A8D" w14:paraId="0C669ED5" w14:textId="77777777" w:rsidTr="007047CD">
        <w:tc>
          <w:tcPr>
            <w:tcW w:w="4530" w:type="dxa"/>
          </w:tcPr>
          <w:p w14:paraId="22FBEC8E" w14:textId="77777777" w:rsidR="007047CD" w:rsidRPr="00933A8D" w:rsidRDefault="007047CD" w:rsidP="00E03977">
            <w:pPr>
              <w:numPr>
                <w:ilvl w:val="12"/>
                <w:numId w:val="0"/>
              </w:numPr>
              <w:spacing w:line="240" w:lineRule="auto"/>
              <w:rPr>
                <w:rFonts w:eastAsia="SimSun"/>
                <w:sz w:val="22"/>
                <w:szCs w:val="22"/>
              </w:rPr>
            </w:pPr>
            <w:r w:rsidRPr="00933A8D">
              <w:rPr>
                <w:rFonts w:eastAsia="SimSun"/>
                <w:snapToGrid/>
                <w:sz w:val="22"/>
                <w:szCs w:val="22"/>
                <w:lang w:eastAsia="zh-CN"/>
              </w:rPr>
              <w:t xml:space="preserve">Austrija, Belgija, </w:t>
            </w:r>
            <w:r w:rsidR="000552BC" w:rsidRPr="00933A8D">
              <w:rPr>
                <w:bCs/>
                <w:sz w:val="22"/>
                <w:szCs w:val="22"/>
              </w:rPr>
              <w:t>Bulgarija</w:t>
            </w:r>
            <w:r w:rsidRPr="00933A8D">
              <w:rPr>
                <w:rFonts w:eastAsia="SimSun"/>
                <w:snapToGrid/>
                <w:sz w:val="22"/>
                <w:szCs w:val="22"/>
                <w:lang w:eastAsia="zh-CN"/>
              </w:rPr>
              <w:t xml:space="preserve">, Kipras, Čekija, Danija, Estija, Graikija, Ispanija, Italija, </w:t>
            </w:r>
            <w:r w:rsidR="00CE7679" w:rsidRPr="00933A8D">
              <w:rPr>
                <w:rFonts w:eastAsia="SimSun"/>
                <w:snapToGrid/>
                <w:sz w:val="22"/>
                <w:szCs w:val="22"/>
                <w:lang w:eastAsia="zh-CN"/>
              </w:rPr>
              <w:t>L</w:t>
            </w:r>
            <w:r w:rsidRPr="00933A8D">
              <w:rPr>
                <w:rFonts w:eastAsia="SimSun"/>
                <w:snapToGrid/>
                <w:sz w:val="22"/>
                <w:szCs w:val="22"/>
                <w:lang w:eastAsia="zh-CN"/>
              </w:rPr>
              <w:t>atvija, Lietuva, Jungtin</w:t>
            </w:r>
            <w:r w:rsidR="00CE7679" w:rsidRPr="00933A8D">
              <w:rPr>
                <w:rFonts w:eastAsia="SimSun"/>
                <w:snapToGrid/>
                <w:sz w:val="22"/>
                <w:szCs w:val="22"/>
                <w:lang w:eastAsia="zh-CN"/>
              </w:rPr>
              <w:t>ė</w:t>
            </w:r>
            <w:r w:rsidRPr="00933A8D">
              <w:rPr>
                <w:rFonts w:eastAsia="SimSun"/>
                <w:snapToGrid/>
                <w:sz w:val="22"/>
                <w:szCs w:val="22"/>
                <w:lang w:eastAsia="zh-CN"/>
              </w:rPr>
              <w:t xml:space="preserve"> Karal</w:t>
            </w:r>
            <w:r w:rsidR="00CE7679" w:rsidRPr="00933A8D">
              <w:rPr>
                <w:rFonts w:eastAsia="SimSun"/>
                <w:snapToGrid/>
                <w:sz w:val="22"/>
                <w:szCs w:val="22"/>
                <w:lang w:eastAsia="zh-CN"/>
              </w:rPr>
              <w:t>y</w:t>
            </w:r>
            <w:r w:rsidRPr="00933A8D">
              <w:rPr>
                <w:rFonts w:eastAsia="SimSun"/>
                <w:snapToGrid/>
                <w:sz w:val="22"/>
                <w:szCs w:val="22"/>
                <w:lang w:eastAsia="zh-CN"/>
              </w:rPr>
              <w:t>stė</w:t>
            </w:r>
            <w:r w:rsidR="00692958" w:rsidRPr="00933A8D">
              <w:rPr>
                <w:rFonts w:eastAsia="SimSun"/>
                <w:snapToGrid/>
                <w:sz w:val="22"/>
                <w:szCs w:val="22"/>
                <w:lang w:eastAsia="zh-CN"/>
              </w:rPr>
              <w:t xml:space="preserve"> (Šiaurės Airija)</w:t>
            </w:r>
            <w:r w:rsidRPr="00933A8D">
              <w:rPr>
                <w:rFonts w:eastAsia="SimSun"/>
                <w:snapToGrid/>
                <w:sz w:val="22"/>
                <w:szCs w:val="22"/>
                <w:lang w:eastAsia="zh-CN"/>
              </w:rPr>
              <w:t xml:space="preserve">, Lenkija, Nyderlandai, Norvegija, </w:t>
            </w:r>
            <w:r w:rsidR="000552BC" w:rsidRPr="00933A8D">
              <w:rPr>
                <w:bCs/>
                <w:sz w:val="22"/>
                <w:szCs w:val="22"/>
              </w:rPr>
              <w:t>Prancūzija</w:t>
            </w:r>
            <w:r w:rsidRPr="00933A8D">
              <w:rPr>
                <w:rFonts w:eastAsia="SimSun"/>
                <w:snapToGrid/>
                <w:sz w:val="22"/>
                <w:szCs w:val="22"/>
                <w:lang w:eastAsia="zh-CN"/>
              </w:rPr>
              <w:t xml:space="preserve">, Portugalija, Rumunija, </w:t>
            </w:r>
            <w:r w:rsidR="00A95B07" w:rsidRPr="00933A8D">
              <w:rPr>
                <w:rFonts w:eastAsia="SimSun"/>
                <w:snapToGrid/>
                <w:sz w:val="22"/>
                <w:szCs w:val="22"/>
                <w:lang w:eastAsia="zh-CN"/>
              </w:rPr>
              <w:t>Slovakija, Suomija, Švedija, Vengrija</w:t>
            </w:r>
          </w:p>
        </w:tc>
        <w:tc>
          <w:tcPr>
            <w:tcW w:w="4530" w:type="dxa"/>
          </w:tcPr>
          <w:p w14:paraId="35AEC274" w14:textId="77777777" w:rsidR="007047CD" w:rsidRPr="00933A8D" w:rsidRDefault="007047CD" w:rsidP="00A27597">
            <w:pPr>
              <w:numPr>
                <w:ilvl w:val="12"/>
                <w:numId w:val="0"/>
              </w:numPr>
              <w:spacing w:line="240" w:lineRule="auto"/>
              <w:rPr>
                <w:rFonts w:eastAsia="SimSun"/>
                <w:sz w:val="22"/>
                <w:szCs w:val="22"/>
              </w:rPr>
            </w:pPr>
            <w:proofErr w:type="spellStart"/>
            <w:r w:rsidRPr="00933A8D">
              <w:rPr>
                <w:sz w:val="22"/>
                <w:szCs w:val="22"/>
              </w:rPr>
              <w:t>Imatinib</w:t>
            </w:r>
            <w:proofErr w:type="spellEnd"/>
            <w:r w:rsidRPr="00933A8D">
              <w:rPr>
                <w:sz w:val="22"/>
                <w:szCs w:val="22"/>
              </w:rPr>
              <w:t xml:space="preserve"> </w:t>
            </w:r>
            <w:proofErr w:type="spellStart"/>
            <w:r w:rsidRPr="00933A8D">
              <w:rPr>
                <w:sz w:val="22"/>
                <w:szCs w:val="22"/>
              </w:rPr>
              <w:t>Sandoz</w:t>
            </w:r>
            <w:proofErr w:type="spellEnd"/>
          </w:p>
        </w:tc>
      </w:tr>
      <w:tr w:rsidR="007047CD" w:rsidRPr="00933A8D" w14:paraId="191F12DA" w14:textId="77777777" w:rsidTr="007047CD">
        <w:tc>
          <w:tcPr>
            <w:tcW w:w="4530" w:type="dxa"/>
          </w:tcPr>
          <w:p w14:paraId="57E7F7D1" w14:textId="77777777" w:rsidR="007047CD" w:rsidRPr="00933A8D" w:rsidRDefault="00A95B07" w:rsidP="00A27597">
            <w:pPr>
              <w:numPr>
                <w:ilvl w:val="12"/>
                <w:numId w:val="0"/>
              </w:numPr>
              <w:spacing w:line="240" w:lineRule="auto"/>
              <w:rPr>
                <w:rFonts w:eastAsia="SimSun"/>
                <w:sz w:val="22"/>
                <w:szCs w:val="22"/>
              </w:rPr>
            </w:pPr>
            <w:r w:rsidRPr="00933A8D">
              <w:rPr>
                <w:rFonts w:eastAsia="SimSun"/>
                <w:snapToGrid/>
                <w:sz w:val="22"/>
                <w:szCs w:val="22"/>
                <w:lang w:eastAsia="zh-CN"/>
              </w:rPr>
              <w:t>Slovėnija</w:t>
            </w:r>
          </w:p>
        </w:tc>
        <w:tc>
          <w:tcPr>
            <w:tcW w:w="4530" w:type="dxa"/>
          </w:tcPr>
          <w:p w14:paraId="791AEDBB" w14:textId="77777777" w:rsidR="007047CD" w:rsidRPr="00933A8D" w:rsidRDefault="00A95B07" w:rsidP="00A27597">
            <w:pPr>
              <w:numPr>
                <w:ilvl w:val="12"/>
                <w:numId w:val="0"/>
              </w:numPr>
              <w:spacing w:line="240" w:lineRule="auto"/>
              <w:rPr>
                <w:rFonts w:eastAsia="SimSun"/>
                <w:sz w:val="22"/>
                <w:szCs w:val="22"/>
              </w:rPr>
            </w:pPr>
            <w:proofErr w:type="spellStart"/>
            <w:r w:rsidRPr="00933A8D">
              <w:rPr>
                <w:sz w:val="22"/>
                <w:szCs w:val="22"/>
              </w:rPr>
              <w:t>Imatinib</w:t>
            </w:r>
            <w:proofErr w:type="spellEnd"/>
            <w:r w:rsidRPr="00933A8D">
              <w:rPr>
                <w:sz w:val="22"/>
                <w:szCs w:val="22"/>
              </w:rPr>
              <w:t xml:space="preserve"> </w:t>
            </w:r>
            <w:proofErr w:type="spellStart"/>
            <w:r w:rsidRPr="00933A8D">
              <w:rPr>
                <w:sz w:val="22"/>
                <w:szCs w:val="22"/>
              </w:rPr>
              <w:t>Lek</w:t>
            </w:r>
            <w:proofErr w:type="spellEnd"/>
          </w:p>
        </w:tc>
      </w:tr>
      <w:tr w:rsidR="007047CD" w:rsidRPr="00933A8D" w14:paraId="435837EC" w14:textId="77777777" w:rsidTr="007047CD">
        <w:tc>
          <w:tcPr>
            <w:tcW w:w="4530" w:type="dxa"/>
          </w:tcPr>
          <w:p w14:paraId="5822E8AB" w14:textId="77777777" w:rsidR="007047CD" w:rsidRPr="00933A8D" w:rsidRDefault="00A95B07" w:rsidP="00A27597">
            <w:pPr>
              <w:numPr>
                <w:ilvl w:val="12"/>
                <w:numId w:val="0"/>
              </w:numPr>
              <w:spacing w:line="240" w:lineRule="auto"/>
              <w:rPr>
                <w:rFonts w:eastAsia="SimSun"/>
                <w:sz w:val="22"/>
                <w:szCs w:val="22"/>
              </w:rPr>
            </w:pPr>
            <w:r w:rsidRPr="00933A8D">
              <w:rPr>
                <w:rFonts w:eastAsia="SimSun"/>
                <w:snapToGrid/>
                <w:sz w:val="22"/>
                <w:szCs w:val="22"/>
                <w:lang w:eastAsia="zh-CN"/>
              </w:rPr>
              <w:t>Vokietija</w:t>
            </w:r>
          </w:p>
        </w:tc>
        <w:tc>
          <w:tcPr>
            <w:tcW w:w="4530" w:type="dxa"/>
          </w:tcPr>
          <w:p w14:paraId="4E44E028" w14:textId="77777777" w:rsidR="007047CD" w:rsidRPr="00933A8D" w:rsidRDefault="00A95B07" w:rsidP="00A27597">
            <w:pPr>
              <w:numPr>
                <w:ilvl w:val="12"/>
                <w:numId w:val="0"/>
              </w:numPr>
              <w:spacing w:line="240" w:lineRule="auto"/>
              <w:rPr>
                <w:rFonts w:eastAsia="SimSun"/>
                <w:sz w:val="22"/>
                <w:szCs w:val="22"/>
              </w:rPr>
            </w:pPr>
            <w:proofErr w:type="spellStart"/>
            <w:r w:rsidRPr="00933A8D">
              <w:rPr>
                <w:sz w:val="22"/>
                <w:szCs w:val="22"/>
              </w:rPr>
              <w:t>Imatinib</w:t>
            </w:r>
            <w:proofErr w:type="spellEnd"/>
            <w:r w:rsidRPr="00933A8D">
              <w:rPr>
                <w:sz w:val="22"/>
                <w:szCs w:val="22"/>
              </w:rPr>
              <w:t xml:space="preserve"> HEXAL</w:t>
            </w:r>
          </w:p>
        </w:tc>
      </w:tr>
    </w:tbl>
    <w:p w14:paraId="2A6626F6" w14:textId="77777777" w:rsidR="007047CD" w:rsidRPr="00E03977" w:rsidRDefault="007047CD" w:rsidP="00F25FDC">
      <w:pPr>
        <w:numPr>
          <w:ilvl w:val="12"/>
          <w:numId w:val="0"/>
        </w:numPr>
        <w:spacing w:line="240" w:lineRule="auto"/>
        <w:rPr>
          <w:rFonts w:eastAsia="SimSun"/>
          <w:snapToGrid/>
          <w:szCs w:val="22"/>
          <w:lang w:eastAsia="zh-CN"/>
        </w:rPr>
      </w:pPr>
    </w:p>
    <w:p w14:paraId="2BF1771F" w14:textId="416174E4" w:rsidR="00A27597" w:rsidRPr="00CE7679" w:rsidRDefault="00A27597" w:rsidP="007541DA">
      <w:pPr>
        <w:numPr>
          <w:ilvl w:val="12"/>
          <w:numId w:val="0"/>
        </w:numPr>
        <w:spacing w:line="240" w:lineRule="auto"/>
        <w:outlineLvl w:val="0"/>
        <w:rPr>
          <w:rFonts w:eastAsia="SimSun"/>
          <w:iCs/>
          <w:snapToGrid/>
          <w:szCs w:val="22"/>
          <w:highlight w:val="yellow"/>
          <w:lang w:eastAsia="zh-CN"/>
        </w:rPr>
      </w:pPr>
      <w:r w:rsidRPr="00CE7679">
        <w:rPr>
          <w:rFonts w:eastAsia="SimSun"/>
          <w:b/>
          <w:bCs/>
          <w:snapToGrid/>
          <w:szCs w:val="22"/>
          <w:lang w:eastAsia="zh-CN"/>
        </w:rPr>
        <w:t xml:space="preserve">Šis pakuotės </w:t>
      </w:r>
      <w:r w:rsidRPr="00CE7679">
        <w:rPr>
          <w:rFonts w:eastAsia="SimSun"/>
          <w:b/>
          <w:snapToGrid/>
          <w:szCs w:val="22"/>
          <w:lang w:eastAsia="zh-CN"/>
        </w:rPr>
        <w:t>lapelis paskutinį kartą peržiūrėtas</w:t>
      </w:r>
      <w:r w:rsidR="004816B8">
        <w:rPr>
          <w:rFonts w:eastAsia="SimSun"/>
          <w:b/>
          <w:snapToGrid/>
          <w:szCs w:val="22"/>
          <w:lang w:eastAsia="zh-CN"/>
        </w:rPr>
        <w:t xml:space="preserve"> </w:t>
      </w:r>
      <w:r w:rsidR="00F30108">
        <w:rPr>
          <w:rFonts w:eastAsia="SimSun"/>
          <w:b/>
          <w:snapToGrid/>
          <w:szCs w:val="22"/>
          <w:lang w:eastAsia="zh-CN"/>
        </w:rPr>
        <w:t>202</w:t>
      </w:r>
      <w:r w:rsidR="004F292E">
        <w:rPr>
          <w:rFonts w:eastAsia="SimSun"/>
          <w:b/>
          <w:snapToGrid/>
          <w:szCs w:val="22"/>
          <w:lang w:eastAsia="zh-CN"/>
        </w:rPr>
        <w:t>4</w:t>
      </w:r>
      <w:r w:rsidR="00F30108">
        <w:rPr>
          <w:rFonts w:eastAsia="SimSun"/>
          <w:b/>
          <w:snapToGrid/>
          <w:szCs w:val="22"/>
          <w:lang w:eastAsia="zh-CN"/>
        </w:rPr>
        <w:t>-</w:t>
      </w:r>
      <w:r w:rsidR="004F292E">
        <w:rPr>
          <w:rFonts w:eastAsia="SimSun"/>
          <w:b/>
          <w:snapToGrid/>
          <w:szCs w:val="22"/>
          <w:lang w:eastAsia="zh-CN"/>
        </w:rPr>
        <w:t>07</w:t>
      </w:r>
      <w:r w:rsidR="00F30108">
        <w:rPr>
          <w:rFonts w:eastAsia="SimSun"/>
          <w:b/>
          <w:snapToGrid/>
          <w:szCs w:val="22"/>
          <w:lang w:eastAsia="zh-CN"/>
        </w:rPr>
        <w:t>-</w:t>
      </w:r>
      <w:r w:rsidR="004F292E">
        <w:rPr>
          <w:rFonts w:eastAsia="SimSun"/>
          <w:b/>
          <w:snapToGrid/>
          <w:szCs w:val="22"/>
          <w:lang w:eastAsia="zh-CN"/>
        </w:rPr>
        <w:t>19</w:t>
      </w:r>
      <w:r w:rsidR="00F30108">
        <w:rPr>
          <w:rFonts w:eastAsia="SimSun"/>
          <w:b/>
          <w:snapToGrid/>
          <w:szCs w:val="22"/>
          <w:lang w:eastAsia="zh-CN"/>
        </w:rPr>
        <w:t>.</w:t>
      </w:r>
    </w:p>
    <w:p w14:paraId="6973AC3D" w14:textId="77777777" w:rsidR="00A27597" w:rsidRPr="00CE7679" w:rsidRDefault="00A27597" w:rsidP="00A27597">
      <w:pPr>
        <w:numPr>
          <w:ilvl w:val="12"/>
          <w:numId w:val="0"/>
        </w:numPr>
        <w:spacing w:line="240" w:lineRule="auto"/>
        <w:rPr>
          <w:rFonts w:eastAsia="SimSun"/>
          <w:iCs/>
          <w:snapToGrid/>
          <w:szCs w:val="22"/>
          <w:highlight w:val="yellow"/>
          <w:lang w:eastAsia="zh-CN"/>
        </w:rPr>
      </w:pPr>
    </w:p>
    <w:p w14:paraId="15A3810C" w14:textId="77777777" w:rsidR="00A27597" w:rsidRPr="00CE7679" w:rsidRDefault="00A27597" w:rsidP="00A27597">
      <w:pPr>
        <w:numPr>
          <w:ilvl w:val="12"/>
          <w:numId w:val="0"/>
        </w:numPr>
        <w:spacing w:line="240" w:lineRule="auto"/>
        <w:ind w:right="-2"/>
        <w:rPr>
          <w:szCs w:val="22"/>
        </w:rPr>
      </w:pPr>
      <w:r w:rsidRPr="00CE7679">
        <w:rPr>
          <w:szCs w:val="22"/>
        </w:rPr>
        <w:t>Išsami informacija apie šį vaistą pateikiama Valstybinės vaistų kontrolės tarnybos prie Lietuvos Respublikos sveikatos apsaugos ministerijos tinklalapyje</w:t>
      </w:r>
      <w:r w:rsidRPr="00CE7679">
        <w:rPr>
          <w:i/>
          <w:szCs w:val="22"/>
        </w:rPr>
        <w:t xml:space="preserve"> </w:t>
      </w:r>
      <w:hyperlink r:id="rId14" w:history="1">
        <w:r w:rsidRPr="00CE7679">
          <w:rPr>
            <w:rStyle w:val="Hipersaitas"/>
            <w:color w:val="auto"/>
            <w:szCs w:val="22"/>
          </w:rPr>
          <w:t>http://www.vvkt.lt</w:t>
        </w:r>
      </w:hyperlink>
      <w:r w:rsidRPr="00CE7679">
        <w:rPr>
          <w:szCs w:val="22"/>
        </w:rPr>
        <w:t>.</w:t>
      </w:r>
    </w:p>
    <w:p w14:paraId="3C9A5784" w14:textId="77777777" w:rsidR="005A0D5F" w:rsidRPr="00CE7679" w:rsidRDefault="005A0D5F" w:rsidP="00A27597"/>
    <w:sectPr w:rsidR="005A0D5F" w:rsidRPr="00CE7679" w:rsidSect="00DA3DA2">
      <w:headerReference w:type="default" r:id="rId15"/>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6E033" w14:textId="77777777" w:rsidR="00786834" w:rsidRDefault="00786834">
      <w:pPr>
        <w:spacing w:line="240" w:lineRule="auto"/>
      </w:pPr>
      <w:r>
        <w:separator/>
      </w:r>
    </w:p>
  </w:endnote>
  <w:endnote w:type="continuationSeparator" w:id="0">
    <w:p w14:paraId="30D38271" w14:textId="77777777" w:rsidR="00786834" w:rsidRDefault="00786834">
      <w:pPr>
        <w:spacing w:line="240" w:lineRule="auto"/>
      </w:pPr>
      <w:r>
        <w:continuationSeparator/>
      </w:r>
    </w:p>
  </w:endnote>
  <w:endnote w:type="continuationNotice" w:id="1">
    <w:p w14:paraId="590F9547" w14:textId="77777777" w:rsidR="00786834" w:rsidRDefault="007868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NewRomanPSMT">
    <w:altName w:val="Microsoft JhengHei"/>
    <w:panose1 w:val="00000000000000000000"/>
    <w:charset w:val="00"/>
    <w:family w:val="roman"/>
    <w:notTrueType/>
    <w:pitch w:val="default"/>
    <w:sig w:usb0="00000003" w:usb1="08070000" w:usb2="00000010" w:usb3="00000000" w:csb0="00020001" w:csb1="00000000"/>
  </w:font>
  <w:font w:name="TimesNewRoman">
    <w:altName w:val="MS Gothic"/>
    <w:panose1 w:val="00000000000000000000"/>
    <w:charset w:val="00"/>
    <w:family w:val="roman"/>
    <w:notTrueType/>
    <w:pitch w:val="default"/>
    <w:sig w:usb0="00000003" w:usb1="08070000" w:usb2="00000010" w:usb3="00000000" w:csb0="0002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ymbolMT">
    <w:altName w:val="Times New Roman"/>
    <w:panose1 w:val="00000000000000000000"/>
    <w:charset w:val="88"/>
    <w:family w:val="auto"/>
    <w:notTrueType/>
    <w:pitch w:val="default"/>
    <w:sig w:usb0="00000001" w:usb1="08080000" w:usb2="00000010" w:usb3="00000000" w:csb0="00100000" w:csb1="00000000"/>
  </w:font>
  <w:font w:name="TimesNewRomanPS-BoldMT">
    <w:altName w:val="Yu Gothic UI"/>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7696925"/>
      <w:docPartObj>
        <w:docPartGallery w:val="Page Numbers (Bottom of Page)"/>
        <w:docPartUnique/>
      </w:docPartObj>
    </w:sdtPr>
    <w:sdtEndPr/>
    <w:sdtContent>
      <w:p w14:paraId="7BEB1875" w14:textId="3DD4E89B" w:rsidR="00007843" w:rsidRDefault="00007843">
        <w:pPr>
          <w:pStyle w:val="Porat"/>
          <w:jc w:val="center"/>
        </w:pPr>
        <w:r>
          <w:fldChar w:fldCharType="begin"/>
        </w:r>
        <w:r>
          <w:instrText>PAGE   \* MERGEFORMAT</w:instrText>
        </w:r>
        <w:r>
          <w:fldChar w:fldCharType="separate"/>
        </w:r>
        <w:r w:rsidR="00933A8D">
          <w:rPr>
            <w:noProof/>
          </w:rPr>
          <w:t>5</w:t>
        </w:r>
        <w:r w:rsidR="00933A8D">
          <w:rPr>
            <w:noProof/>
          </w:rPr>
          <w:t>3</w:t>
        </w:r>
        <w:r>
          <w:fldChar w:fldCharType="end"/>
        </w:r>
      </w:p>
    </w:sdtContent>
  </w:sdt>
  <w:p w14:paraId="0516462E" w14:textId="77777777" w:rsidR="00007843" w:rsidRDefault="0000784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6BF9A" w14:textId="77777777" w:rsidR="00786834" w:rsidRDefault="00786834">
      <w:pPr>
        <w:spacing w:line="240" w:lineRule="auto"/>
      </w:pPr>
      <w:r>
        <w:separator/>
      </w:r>
    </w:p>
  </w:footnote>
  <w:footnote w:type="continuationSeparator" w:id="0">
    <w:p w14:paraId="26119E4B" w14:textId="77777777" w:rsidR="00786834" w:rsidRDefault="00786834">
      <w:pPr>
        <w:spacing w:line="240" w:lineRule="auto"/>
      </w:pPr>
      <w:r>
        <w:continuationSeparator/>
      </w:r>
    </w:p>
  </w:footnote>
  <w:footnote w:type="continuationNotice" w:id="1">
    <w:p w14:paraId="4A572D76" w14:textId="77777777" w:rsidR="00786834" w:rsidRDefault="0078683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D50F2" w14:textId="77777777" w:rsidR="00F30108" w:rsidRDefault="00F301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607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AE497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3607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B454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6095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D0E9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2E7C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B8B468B6"/>
    <w:lvl w:ilvl="0">
      <w:start w:val="1"/>
      <w:numFmt w:val="decimal"/>
      <w:lvlText w:val="%1."/>
      <w:lvlJc w:val="left"/>
      <w:pPr>
        <w:tabs>
          <w:tab w:val="num" w:pos="360"/>
        </w:tabs>
        <w:ind w:left="360" w:hanging="360"/>
      </w:pPr>
    </w:lvl>
  </w:abstractNum>
  <w:abstractNum w:abstractNumId="8" w15:restartNumberingAfterBreak="0">
    <w:nsid w:val="FFFFFFFE"/>
    <w:multiLevelType w:val="singleLevel"/>
    <w:tmpl w:val="FFFFFFFF"/>
    <w:lvl w:ilvl="0">
      <w:numFmt w:val="decimal"/>
      <w:lvlText w:val="*"/>
      <w:lvlJc w:val="left"/>
      <w:rPr>
        <w:rFonts w:cs="Times New Roman"/>
      </w:rPr>
    </w:lvl>
  </w:abstractNum>
  <w:abstractNum w:abstractNumId="9" w15:restartNumberingAfterBreak="0">
    <w:nsid w:val="00000405"/>
    <w:multiLevelType w:val="multilevel"/>
    <w:tmpl w:val="00000888"/>
    <w:lvl w:ilvl="0">
      <w:numFmt w:val="bullet"/>
      <w:lvlText w:val="•"/>
      <w:lvlJc w:val="left"/>
      <w:pPr>
        <w:ind w:left="805" w:hanging="338"/>
      </w:pPr>
      <w:rPr>
        <w:rFonts w:ascii="Arial" w:hAnsi="Arial" w:cs="Arial"/>
        <w:b w:val="0"/>
        <w:bCs w:val="0"/>
        <w:w w:val="99"/>
        <w:sz w:val="19"/>
        <w:szCs w:val="19"/>
      </w:rPr>
    </w:lvl>
    <w:lvl w:ilvl="1">
      <w:numFmt w:val="bullet"/>
      <w:lvlText w:val="•"/>
      <w:lvlJc w:val="left"/>
      <w:pPr>
        <w:ind w:left="1614" w:hanging="338"/>
      </w:pPr>
    </w:lvl>
    <w:lvl w:ilvl="2">
      <w:numFmt w:val="bullet"/>
      <w:lvlText w:val="•"/>
      <w:lvlJc w:val="left"/>
      <w:pPr>
        <w:ind w:left="2428" w:hanging="338"/>
      </w:pPr>
    </w:lvl>
    <w:lvl w:ilvl="3">
      <w:numFmt w:val="bullet"/>
      <w:lvlText w:val="•"/>
      <w:lvlJc w:val="left"/>
      <w:pPr>
        <w:ind w:left="3243" w:hanging="338"/>
      </w:pPr>
    </w:lvl>
    <w:lvl w:ilvl="4">
      <w:numFmt w:val="bullet"/>
      <w:lvlText w:val="•"/>
      <w:lvlJc w:val="left"/>
      <w:pPr>
        <w:ind w:left="4057" w:hanging="338"/>
      </w:pPr>
    </w:lvl>
    <w:lvl w:ilvl="5">
      <w:numFmt w:val="bullet"/>
      <w:lvlText w:val="•"/>
      <w:lvlJc w:val="left"/>
      <w:pPr>
        <w:ind w:left="4872" w:hanging="338"/>
      </w:pPr>
    </w:lvl>
    <w:lvl w:ilvl="6">
      <w:numFmt w:val="bullet"/>
      <w:lvlText w:val="•"/>
      <w:lvlJc w:val="left"/>
      <w:pPr>
        <w:ind w:left="5686" w:hanging="338"/>
      </w:pPr>
    </w:lvl>
    <w:lvl w:ilvl="7">
      <w:numFmt w:val="bullet"/>
      <w:lvlText w:val="•"/>
      <w:lvlJc w:val="left"/>
      <w:pPr>
        <w:ind w:left="6500" w:hanging="338"/>
      </w:pPr>
    </w:lvl>
    <w:lvl w:ilvl="8">
      <w:numFmt w:val="bullet"/>
      <w:lvlText w:val="•"/>
      <w:lvlJc w:val="left"/>
      <w:pPr>
        <w:ind w:left="7315" w:hanging="338"/>
      </w:pPr>
    </w:lvl>
  </w:abstractNum>
  <w:abstractNum w:abstractNumId="10" w15:restartNumberingAfterBreak="0">
    <w:nsid w:val="01803CEB"/>
    <w:multiLevelType w:val="hybridMultilevel"/>
    <w:tmpl w:val="7722EE20"/>
    <w:lvl w:ilvl="0" w:tplc="0413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03114DA8"/>
    <w:multiLevelType w:val="hybridMultilevel"/>
    <w:tmpl w:val="6B785F60"/>
    <w:lvl w:ilvl="0" w:tplc="FFFFFFFF">
      <w:numFmt w:val="bullet"/>
      <w:lvlText w:val=""/>
      <w:lvlJc w:val="left"/>
      <w:pPr>
        <w:ind w:left="1080" w:hanging="360"/>
      </w:pPr>
      <w:rPr>
        <w:rFonts w:ascii="Symbol" w:hAnsi="Symbol" w:cs="Times New Roman" w:hint="default"/>
        <w:sz w:val="22"/>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05385EDE"/>
    <w:multiLevelType w:val="hybridMultilevel"/>
    <w:tmpl w:val="FFA4EBDE"/>
    <w:lvl w:ilvl="0" w:tplc="04270001">
      <w:start w:val="1"/>
      <w:numFmt w:val="bullet"/>
      <w:lvlText w:val=""/>
      <w:lvlJc w:val="left"/>
      <w:pPr>
        <w:ind w:left="939" w:hanging="360"/>
      </w:pPr>
      <w:rPr>
        <w:rFonts w:ascii="Symbol" w:hAnsi="Symbol" w:hint="default"/>
      </w:rPr>
    </w:lvl>
    <w:lvl w:ilvl="1" w:tplc="04270019" w:tentative="1">
      <w:start w:val="1"/>
      <w:numFmt w:val="lowerLetter"/>
      <w:lvlText w:val="%2."/>
      <w:lvlJc w:val="left"/>
      <w:pPr>
        <w:ind w:left="1659" w:hanging="360"/>
      </w:pPr>
    </w:lvl>
    <w:lvl w:ilvl="2" w:tplc="0427001B" w:tentative="1">
      <w:start w:val="1"/>
      <w:numFmt w:val="lowerRoman"/>
      <w:lvlText w:val="%3."/>
      <w:lvlJc w:val="right"/>
      <w:pPr>
        <w:ind w:left="2379" w:hanging="180"/>
      </w:pPr>
    </w:lvl>
    <w:lvl w:ilvl="3" w:tplc="0427000F" w:tentative="1">
      <w:start w:val="1"/>
      <w:numFmt w:val="decimal"/>
      <w:lvlText w:val="%4."/>
      <w:lvlJc w:val="left"/>
      <w:pPr>
        <w:ind w:left="3099" w:hanging="360"/>
      </w:pPr>
    </w:lvl>
    <w:lvl w:ilvl="4" w:tplc="04270019" w:tentative="1">
      <w:start w:val="1"/>
      <w:numFmt w:val="lowerLetter"/>
      <w:lvlText w:val="%5."/>
      <w:lvlJc w:val="left"/>
      <w:pPr>
        <w:ind w:left="3819" w:hanging="360"/>
      </w:pPr>
    </w:lvl>
    <w:lvl w:ilvl="5" w:tplc="0427001B" w:tentative="1">
      <w:start w:val="1"/>
      <w:numFmt w:val="lowerRoman"/>
      <w:lvlText w:val="%6."/>
      <w:lvlJc w:val="right"/>
      <w:pPr>
        <w:ind w:left="4539" w:hanging="180"/>
      </w:pPr>
    </w:lvl>
    <w:lvl w:ilvl="6" w:tplc="0427000F" w:tentative="1">
      <w:start w:val="1"/>
      <w:numFmt w:val="decimal"/>
      <w:lvlText w:val="%7."/>
      <w:lvlJc w:val="left"/>
      <w:pPr>
        <w:ind w:left="5259" w:hanging="360"/>
      </w:pPr>
    </w:lvl>
    <w:lvl w:ilvl="7" w:tplc="04270019" w:tentative="1">
      <w:start w:val="1"/>
      <w:numFmt w:val="lowerLetter"/>
      <w:lvlText w:val="%8."/>
      <w:lvlJc w:val="left"/>
      <w:pPr>
        <w:ind w:left="5979" w:hanging="360"/>
      </w:pPr>
    </w:lvl>
    <w:lvl w:ilvl="8" w:tplc="0427001B" w:tentative="1">
      <w:start w:val="1"/>
      <w:numFmt w:val="lowerRoman"/>
      <w:lvlText w:val="%9."/>
      <w:lvlJc w:val="right"/>
      <w:pPr>
        <w:ind w:left="6699" w:hanging="180"/>
      </w:pPr>
    </w:lvl>
  </w:abstractNum>
  <w:abstractNum w:abstractNumId="13" w15:restartNumberingAfterBreak="0">
    <w:nsid w:val="09507CD7"/>
    <w:multiLevelType w:val="hybridMultilevel"/>
    <w:tmpl w:val="2048BD06"/>
    <w:lvl w:ilvl="0" w:tplc="0930F706">
      <w:start w:val="1"/>
      <w:numFmt w:val="bullet"/>
      <w:lvlText w:val="-"/>
      <w:lvlJc w:val="left"/>
      <w:pPr>
        <w:ind w:left="720" w:hanging="360"/>
      </w:pPr>
      <w:rPr>
        <w:rFonts w:ascii="Vrinda" w:hAnsi="Vrind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09775D00"/>
    <w:multiLevelType w:val="hybridMultilevel"/>
    <w:tmpl w:val="5EB6C9FE"/>
    <w:lvl w:ilvl="0" w:tplc="6944C6A0">
      <w:start w:val="1"/>
      <w:numFmt w:val="bullet"/>
      <w:lvlRestart w:val="0"/>
      <w:pStyle w:val="Sraassuenkleliais2"/>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ACD0974"/>
    <w:multiLevelType w:val="hybridMultilevel"/>
    <w:tmpl w:val="A9AA9136"/>
    <w:lvl w:ilvl="0" w:tplc="FFFFFFFF">
      <w:numFmt w:val="bullet"/>
      <w:lvlText w:val=""/>
      <w:lvlJc w:val="left"/>
      <w:pPr>
        <w:ind w:left="1287" w:hanging="360"/>
      </w:pPr>
      <w:rPr>
        <w:rFonts w:ascii="Symbol" w:hAnsi="Symbol" w:cs="Times New Roman" w:hint="default"/>
        <w:sz w:val="22"/>
      </w:rPr>
    </w:lvl>
    <w:lvl w:ilvl="1" w:tplc="04270003" w:tentative="1">
      <w:start w:val="1"/>
      <w:numFmt w:val="bullet"/>
      <w:lvlText w:val="o"/>
      <w:lvlJc w:val="left"/>
      <w:pPr>
        <w:tabs>
          <w:tab w:val="num" w:pos="2007"/>
        </w:tabs>
        <w:ind w:left="2007" w:hanging="360"/>
      </w:pPr>
      <w:rPr>
        <w:rFonts w:ascii="Courier New" w:hAnsi="Courier New" w:cs="Courier New" w:hint="default"/>
      </w:rPr>
    </w:lvl>
    <w:lvl w:ilvl="2" w:tplc="04270005" w:tentative="1">
      <w:start w:val="1"/>
      <w:numFmt w:val="bullet"/>
      <w:lvlText w:val=""/>
      <w:lvlJc w:val="left"/>
      <w:pPr>
        <w:tabs>
          <w:tab w:val="num" w:pos="2727"/>
        </w:tabs>
        <w:ind w:left="2727" w:hanging="360"/>
      </w:pPr>
      <w:rPr>
        <w:rFonts w:ascii="Wingdings" w:hAnsi="Wingdings" w:hint="default"/>
      </w:rPr>
    </w:lvl>
    <w:lvl w:ilvl="3" w:tplc="04270001" w:tentative="1">
      <w:start w:val="1"/>
      <w:numFmt w:val="bullet"/>
      <w:lvlText w:val=""/>
      <w:lvlJc w:val="left"/>
      <w:pPr>
        <w:tabs>
          <w:tab w:val="num" w:pos="3447"/>
        </w:tabs>
        <w:ind w:left="3447" w:hanging="360"/>
      </w:pPr>
      <w:rPr>
        <w:rFonts w:ascii="Symbol" w:hAnsi="Symbol" w:hint="default"/>
      </w:rPr>
    </w:lvl>
    <w:lvl w:ilvl="4" w:tplc="04270003" w:tentative="1">
      <w:start w:val="1"/>
      <w:numFmt w:val="bullet"/>
      <w:lvlText w:val="o"/>
      <w:lvlJc w:val="left"/>
      <w:pPr>
        <w:tabs>
          <w:tab w:val="num" w:pos="4167"/>
        </w:tabs>
        <w:ind w:left="4167" w:hanging="360"/>
      </w:pPr>
      <w:rPr>
        <w:rFonts w:ascii="Courier New" w:hAnsi="Courier New" w:cs="Courier New" w:hint="default"/>
      </w:rPr>
    </w:lvl>
    <w:lvl w:ilvl="5" w:tplc="04270005" w:tentative="1">
      <w:start w:val="1"/>
      <w:numFmt w:val="bullet"/>
      <w:lvlText w:val=""/>
      <w:lvlJc w:val="left"/>
      <w:pPr>
        <w:tabs>
          <w:tab w:val="num" w:pos="4887"/>
        </w:tabs>
        <w:ind w:left="4887" w:hanging="360"/>
      </w:pPr>
      <w:rPr>
        <w:rFonts w:ascii="Wingdings" w:hAnsi="Wingdings" w:hint="default"/>
      </w:rPr>
    </w:lvl>
    <w:lvl w:ilvl="6" w:tplc="04270001" w:tentative="1">
      <w:start w:val="1"/>
      <w:numFmt w:val="bullet"/>
      <w:lvlText w:val=""/>
      <w:lvlJc w:val="left"/>
      <w:pPr>
        <w:tabs>
          <w:tab w:val="num" w:pos="5607"/>
        </w:tabs>
        <w:ind w:left="5607" w:hanging="360"/>
      </w:pPr>
      <w:rPr>
        <w:rFonts w:ascii="Symbol" w:hAnsi="Symbol" w:hint="default"/>
      </w:rPr>
    </w:lvl>
    <w:lvl w:ilvl="7" w:tplc="04270003" w:tentative="1">
      <w:start w:val="1"/>
      <w:numFmt w:val="bullet"/>
      <w:lvlText w:val="o"/>
      <w:lvlJc w:val="left"/>
      <w:pPr>
        <w:tabs>
          <w:tab w:val="num" w:pos="6327"/>
        </w:tabs>
        <w:ind w:left="6327" w:hanging="360"/>
      </w:pPr>
      <w:rPr>
        <w:rFonts w:ascii="Courier New" w:hAnsi="Courier New" w:cs="Courier New" w:hint="default"/>
      </w:rPr>
    </w:lvl>
    <w:lvl w:ilvl="8" w:tplc="0427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0AE65196"/>
    <w:multiLevelType w:val="multilevel"/>
    <w:tmpl w:val="673CC4E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0B7947D4"/>
    <w:multiLevelType w:val="hybridMultilevel"/>
    <w:tmpl w:val="8BAA6BFC"/>
    <w:lvl w:ilvl="0" w:tplc="FFFFFFFF">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CD2769F"/>
    <w:multiLevelType w:val="hybridMultilevel"/>
    <w:tmpl w:val="1474F6AA"/>
    <w:lvl w:ilvl="0" w:tplc="8C3433B6">
      <w:numFmt w:val="bullet"/>
      <w:lvlText w:val=""/>
      <w:lvlJc w:val="left"/>
      <w:pPr>
        <w:ind w:left="720" w:hanging="360"/>
      </w:pPr>
      <w:rPr>
        <w:rFonts w:ascii="Symbol" w:hAnsi="Symbol" w:cs="Times New Roman" w:hint="default"/>
        <w:sz w:val="22"/>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0D6C118C"/>
    <w:multiLevelType w:val="hybridMultilevel"/>
    <w:tmpl w:val="B2D04E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0F364E40"/>
    <w:multiLevelType w:val="hybridMultilevel"/>
    <w:tmpl w:val="0F360164"/>
    <w:lvl w:ilvl="0" w:tplc="A3EC036C">
      <w:start w:val="1"/>
      <w:numFmt w:val="decimal"/>
      <w:lvlText w:val="%1"/>
      <w:lvlJc w:val="left"/>
      <w:pPr>
        <w:ind w:left="579" w:hanging="360"/>
      </w:pPr>
      <w:rPr>
        <w:rFonts w:cs="Times New Roman" w:hint="default"/>
        <w:vertAlign w:val="superscript"/>
      </w:rPr>
    </w:lvl>
    <w:lvl w:ilvl="1" w:tplc="04090001">
      <w:start w:val="1"/>
      <w:numFmt w:val="bullet"/>
      <w:lvlText w:val=""/>
      <w:lvlJc w:val="left"/>
      <w:pPr>
        <w:ind w:left="1299" w:hanging="360"/>
      </w:pPr>
      <w:rPr>
        <w:rFonts w:ascii="Symbol" w:hAnsi="Symbol" w:hint="default"/>
      </w:rPr>
    </w:lvl>
    <w:lvl w:ilvl="2" w:tplc="0427001B" w:tentative="1">
      <w:start w:val="1"/>
      <w:numFmt w:val="lowerRoman"/>
      <w:lvlText w:val="%3."/>
      <w:lvlJc w:val="right"/>
      <w:pPr>
        <w:ind w:left="2019" w:hanging="180"/>
      </w:pPr>
      <w:rPr>
        <w:rFonts w:cs="Times New Roman"/>
      </w:rPr>
    </w:lvl>
    <w:lvl w:ilvl="3" w:tplc="0427000F" w:tentative="1">
      <w:start w:val="1"/>
      <w:numFmt w:val="decimal"/>
      <w:lvlText w:val="%4."/>
      <w:lvlJc w:val="left"/>
      <w:pPr>
        <w:ind w:left="2739" w:hanging="360"/>
      </w:pPr>
      <w:rPr>
        <w:rFonts w:cs="Times New Roman"/>
      </w:rPr>
    </w:lvl>
    <w:lvl w:ilvl="4" w:tplc="04270019" w:tentative="1">
      <w:start w:val="1"/>
      <w:numFmt w:val="lowerLetter"/>
      <w:lvlText w:val="%5."/>
      <w:lvlJc w:val="left"/>
      <w:pPr>
        <w:ind w:left="3459" w:hanging="360"/>
      </w:pPr>
      <w:rPr>
        <w:rFonts w:cs="Times New Roman"/>
      </w:rPr>
    </w:lvl>
    <w:lvl w:ilvl="5" w:tplc="0427001B" w:tentative="1">
      <w:start w:val="1"/>
      <w:numFmt w:val="lowerRoman"/>
      <w:lvlText w:val="%6."/>
      <w:lvlJc w:val="right"/>
      <w:pPr>
        <w:ind w:left="4179" w:hanging="180"/>
      </w:pPr>
      <w:rPr>
        <w:rFonts w:cs="Times New Roman"/>
      </w:rPr>
    </w:lvl>
    <w:lvl w:ilvl="6" w:tplc="0427000F" w:tentative="1">
      <w:start w:val="1"/>
      <w:numFmt w:val="decimal"/>
      <w:lvlText w:val="%7."/>
      <w:lvlJc w:val="left"/>
      <w:pPr>
        <w:ind w:left="4899" w:hanging="360"/>
      </w:pPr>
      <w:rPr>
        <w:rFonts w:cs="Times New Roman"/>
      </w:rPr>
    </w:lvl>
    <w:lvl w:ilvl="7" w:tplc="04270019" w:tentative="1">
      <w:start w:val="1"/>
      <w:numFmt w:val="lowerLetter"/>
      <w:lvlText w:val="%8."/>
      <w:lvlJc w:val="left"/>
      <w:pPr>
        <w:ind w:left="5619" w:hanging="360"/>
      </w:pPr>
      <w:rPr>
        <w:rFonts w:cs="Times New Roman"/>
      </w:rPr>
    </w:lvl>
    <w:lvl w:ilvl="8" w:tplc="0427001B" w:tentative="1">
      <w:start w:val="1"/>
      <w:numFmt w:val="lowerRoman"/>
      <w:lvlText w:val="%9."/>
      <w:lvlJc w:val="right"/>
      <w:pPr>
        <w:ind w:left="6339" w:hanging="180"/>
      </w:pPr>
      <w:rPr>
        <w:rFonts w:cs="Times New Roman"/>
      </w:rPr>
    </w:lvl>
  </w:abstractNum>
  <w:abstractNum w:abstractNumId="22" w15:restartNumberingAfterBreak="0">
    <w:nsid w:val="105134FE"/>
    <w:multiLevelType w:val="hybridMultilevel"/>
    <w:tmpl w:val="4BBE20BA"/>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3DD2DC9"/>
    <w:multiLevelType w:val="hybridMultilevel"/>
    <w:tmpl w:val="A9303170"/>
    <w:lvl w:ilvl="0" w:tplc="8FD69DC2">
      <w:start w:val="9"/>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60C7DE1"/>
    <w:multiLevelType w:val="hybridMultilevel"/>
    <w:tmpl w:val="0980DEF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173C0E3D"/>
    <w:multiLevelType w:val="hybridMultilevel"/>
    <w:tmpl w:val="DDE660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18E83466"/>
    <w:multiLevelType w:val="hybridMultilevel"/>
    <w:tmpl w:val="C8CE1010"/>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96D29FF"/>
    <w:multiLevelType w:val="hybridMultilevel"/>
    <w:tmpl w:val="C7E080F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19BD2A42"/>
    <w:multiLevelType w:val="hybridMultilevel"/>
    <w:tmpl w:val="7FFC5138"/>
    <w:lvl w:ilvl="0" w:tplc="FFFFFFFF">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1FF5F13"/>
    <w:multiLevelType w:val="hybridMultilevel"/>
    <w:tmpl w:val="52502182"/>
    <w:lvl w:ilvl="0" w:tplc="0427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30" w15:restartNumberingAfterBreak="0">
    <w:nsid w:val="228168B8"/>
    <w:multiLevelType w:val="hybridMultilevel"/>
    <w:tmpl w:val="76889F22"/>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2CD544C"/>
    <w:multiLevelType w:val="hybridMultilevel"/>
    <w:tmpl w:val="4ADA1EE8"/>
    <w:lvl w:ilvl="0" w:tplc="FFFFFFFF">
      <w:numFmt w:val="bullet"/>
      <w:lvlText w:val=""/>
      <w:lvlJc w:val="left"/>
      <w:pPr>
        <w:ind w:left="1287" w:hanging="360"/>
      </w:pPr>
      <w:rPr>
        <w:rFonts w:ascii="Symbol" w:hAnsi="Symbol" w:cs="Times New Roman" w:hint="default"/>
        <w:sz w:val="22"/>
      </w:rPr>
    </w:lvl>
    <w:lvl w:ilvl="1" w:tplc="04270003" w:tentative="1">
      <w:start w:val="1"/>
      <w:numFmt w:val="bullet"/>
      <w:lvlText w:val="o"/>
      <w:lvlJc w:val="left"/>
      <w:pPr>
        <w:tabs>
          <w:tab w:val="num" w:pos="2007"/>
        </w:tabs>
        <w:ind w:left="2007" w:hanging="360"/>
      </w:pPr>
      <w:rPr>
        <w:rFonts w:ascii="Courier New" w:hAnsi="Courier New" w:cs="Courier New" w:hint="default"/>
      </w:rPr>
    </w:lvl>
    <w:lvl w:ilvl="2" w:tplc="04270005" w:tentative="1">
      <w:start w:val="1"/>
      <w:numFmt w:val="bullet"/>
      <w:lvlText w:val=""/>
      <w:lvlJc w:val="left"/>
      <w:pPr>
        <w:tabs>
          <w:tab w:val="num" w:pos="2727"/>
        </w:tabs>
        <w:ind w:left="2727" w:hanging="360"/>
      </w:pPr>
      <w:rPr>
        <w:rFonts w:ascii="Wingdings" w:hAnsi="Wingdings" w:hint="default"/>
      </w:rPr>
    </w:lvl>
    <w:lvl w:ilvl="3" w:tplc="04270001" w:tentative="1">
      <w:start w:val="1"/>
      <w:numFmt w:val="bullet"/>
      <w:lvlText w:val=""/>
      <w:lvlJc w:val="left"/>
      <w:pPr>
        <w:tabs>
          <w:tab w:val="num" w:pos="3447"/>
        </w:tabs>
        <w:ind w:left="3447" w:hanging="360"/>
      </w:pPr>
      <w:rPr>
        <w:rFonts w:ascii="Symbol" w:hAnsi="Symbol" w:hint="default"/>
      </w:rPr>
    </w:lvl>
    <w:lvl w:ilvl="4" w:tplc="04270003" w:tentative="1">
      <w:start w:val="1"/>
      <w:numFmt w:val="bullet"/>
      <w:lvlText w:val="o"/>
      <w:lvlJc w:val="left"/>
      <w:pPr>
        <w:tabs>
          <w:tab w:val="num" w:pos="4167"/>
        </w:tabs>
        <w:ind w:left="4167" w:hanging="360"/>
      </w:pPr>
      <w:rPr>
        <w:rFonts w:ascii="Courier New" w:hAnsi="Courier New" w:cs="Courier New" w:hint="default"/>
      </w:rPr>
    </w:lvl>
    <w:lvl w:ilvl="5" w:tplc="04270005" w:tentative="1">
      <w:start w:val="1"/>
      <w:numFmt w:val="bullet"/>
      <w:lvlText w:val=""/>
      <w:lvlJc w:val="left"/>
      <w:pPr>
        <w:tabs>
          <w:tab w:val="num" w:pos="4887"/>
        </w:tabs>
        <w:ind w:left="4887" w:hanging="360"/>
      </w:pPr>
      <w:rPr>
        <w:rFonts w:ascii="Wingdings" w:hAnsi="Wingdings" w:hint="default"/>
      </w:rPr>
    </w:lvl>
    <w:lvl w:ilvl="6" w:tplc="04270001" w:tentative="1">
      <w:start w:val="1"/>
      <w:numFmt w:val="bullet"/>
      <w:lvlText w:val=""/>
      <w:lvlJc w:val="left"/>
      <w:pPr>
        <w:tabs>
          <w:tab w:val="num" w:pos="5607"/>
        </w:tabs>
        <w:ind w:left="5607" w:hanging="360"/>
      </w:pPr>
      <w:rPr>
        <w:rFonts w:ascii="Symbol" w:hAnsi="Symbol" w:hint="default"/>
      </w:rPr>
    </w:lvl>
    <w:lvl w:ilvl="7" w:tplc="04270003" w:tentative="1">
      <w:start w:val="1"/>
      <w:numFmt w:val="bullet"/>
      <w:lvlText w:val="o"/>
      <w:lvlJc w:val="left"/>
      <w:pPr>
        <w:tabs>
          <w:tab w:val="num" w:pos="6327"/>
        </w:tabs>
        <w:ind w:left="6327" w:hanging="360"/>
      </w:pPr>
      <w:rPr>
        <w:rFonts w:ascii="Courier New" w:hAnsi="Courier New" w:cs="Courier New" w:hint="default"/>
      </w:rPr>
    </w:lvl>
    <w:lvl w:ilvl="8" w:tplc="0427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26C46407"/>
    <w:multiLevelType w:val="hybridMultilevel"/>
    <w:tmpl w:val="6F9AC956"/>
    <w:lvl w:ilvl="0" w:tplc="FFFFFFFF">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8F20062"/>
    <w:multiLevelType w:val="hybridMultilevel"/>
    <w:tmpl w:val="9964FE9C"/>
    <w:lvl w:ilvl="0" w:tplc="FFFFFFFF">
      <w:start w:val="1"/>
      <w:numFmt w:val="bullet"/>
      <w:lvlText w:val="-"/>
      <w:lvlJc w:val="left"/>
      <w:pPr>
        <w:ind w:left="1854" w:hanging="360"/>
      </w:pPr>
      <w:rPr>
        <w:rFonts w:hint="default"/>
      </w:rPr>
    </w:lvl>
    <w:lvl w:ilvl="1" w:tplc="04270003">
      <w:start w:val="1"/>
      <w:numFmt w:val="bullet"/>
      <w:lvlText w:val="o"/>
      <w:lvlJc w:val="left"/>
      <w:pPr>
        <w:ind w:left="2574" w:hanging="360"/>
      </w:pPr>
      <w:rPr>
        <w:rFonts w:ascii="Courier New" w:hAnsi="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34" w15:restartNumberingAfterBreak="0">
    <w:nsid w:val="29207028"/>
    <w:multiLevelType w:val="hybridMultilevel"/>
    <w:tmpl w:val="C4C2BDF4"/>
    <w:lvl w:ilvl="0" w:tplc="8C3433B6">
      <w:numFmt w:val="bullet"/>
      <w:lvlText w:val=""/>
      <w:lvlJc w:val="left"/>
      <w:pPr>
        <w:ind w:left="720" w:hanging="360"/>
      </w:pPr>
      <w:rPr>
        <w:rFonts w:ascii="Symbol" w:hAnsi="Symbol" w:cs="Times New Roman" w:hint="default"/>
        <w:sz w:val="22"/>
      </w:rPr>
    </w:lvl>
    <w:lvl w:ilvl="1" w:tplc="E2CC58D4">
      <w:numFmt w:val="bullet"/>
      <w:lvlText w:val="-"/>
      <w:lvlJc w:val="left"/>
      <w:pPr>
        <w:ind w:left="1440" w:hanging="360"/>
      </w:pPr>
      <w:rPr>
        <w:rFonts w:ascii="Times New Roman" w:eastAsia="Calibr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34B53F2C"/>
    <w:multiLevelType w:val="hybridMultilevel"/>
    <w:tmpl w:val="619AEBA6"/>
    <w:lvl w:ilvl="0" w:tplc="0427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3F7E7947"/>
    <w:multiLevelType w:val="hybridMultilevel"/>
    <w:tmpl w:val="E07219A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40763091"/>
    <w:multiLevelType w:val="hybridMultilevel"/>
    <w:tmpl w:val="E1ECAA96"/>
    <w:lvl w:ilvl="0" w:tplc="8C3433B6">
      <w:numFmt w:val="bullet"/>
      <w:lvlText w:val=""/>
      <w:lvlJc w:val="left"/>
      <w:pPr>
        <w:ind w:left="720" w:hanging="360"/>
      </w:pPr>
      <w:rPr>
        <w:rFonts w:ascii="Symbol" w:hAnsi="Symbol" w:cs="Times New Roman" w:hint="default"/>
        <w:sz w:val="22"/>
      </w:rPr>
    </w:lvl>
    <w:lvl w:ilvl="1" w:tplc="0409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42A73B99"/>
    <w:multiLevelType w:val="hybridMultilevel"/>
    <w:tmpl w:val="CA84A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21112C"/>
    <w:multiLevelType w:val="hybridMultilevel"/>
    <w:tmpl w:val="CB621496"/>
    <w:lvl w:ilvl="0" w:tplc="0930F706">
      <w:start w:val="1"/>
      <w:numFmt w:val="bullet"/>
      <w:lvlText w:val="-"/>
      <w:lvlJc w:val="left"/>
      <w:pPr>
        <w:ind w:left="720" w:hanging="360"/>
      </w:pPr>
      <w:rPr>
        <w:rFonts w:ascii="Vrinda" w:hAnsi="Vrind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16C6105"/>
    <w:multiLevelType w:val="hybridMultilevel"/>
    <w:tmpl w:val="A5B48686"/>
    <w:lvl w:ilvl="0" w:tplc="FFFFFFFF">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2391CFE"/>
    <w:multiLevelType w:val="hybridMultilevel"/>
    <w:tmpl w:val="039EFE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52B6609D"/>
    <w:multiLevelType w:val="hybridMultilevel"/>
    <w:tmpl w:val="1506F20A"/>
    <w:lvl w:ilvl="0" w:tplc="04270001">
      <w:start w:val="1"/>
      <w:numFmt w:val="bullet"/>
      <w:lvlText w:val=""/>
      <w:lvlJc w:val="left"/>
      <w:pPr>
        <w:ind w:left="720" w:hanging="360"/>
      </w:pPr>
      <w:rPr>
        <w:rFonts w:ascii="Symbol" w:hAnsi="Symbol" w:hint="default"/>
      </w:rPr>
    </w:lvl>
    <w:lvl w:ilvl="1" w:tplc="1F4E558E">
      <w:start w:val="1"/>
      <w:numFmt w:val="bullet"/>
      <w:lvlText w:val=""/>
      <w:lvlJc w:val="left"/>
      <w:pPr>
        <w:tabs>
          <w:tab w:val="num" w:pos="1647"/>
        </w:tabs>
        <w:ind w:left="1647" w:hanging="567"/>
      </w:pPr>
      <w:rPr>
        <w:rFonts w:ascii="Symbol" w:hAnsi="Symbol" w:hint="default"/>
        <w:b w:val="0"/>
        <w:i w:val="0"/>
        <w:sz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5C0C1178"/>
    <w:multiLevelType w:val="hybridMultilevel"/>
    <w:tmpl w:val="A2D6637A"/>
    <w:lvl w:ilvl="0" w:tplc="0427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E76764"/>
    <w:multiLevelType w:val="hybridMultilevel"/>
    <w:tmpl w:val="55E816EE"/>
    <w:lvl w:ilvl="0" w:tplc="FFFFFFFF">
      <w:numFmt w:val="bullet"/>
      <w:lvlText w:val=""/>
      <w:lvlJc w:val="left"/>
      <w:pPr>
        <w:ind w:left="1080" w:hanging="360"/>
      </w:pPr>
      <w:rPr>
        <w:rFonts w:ascii="Symbol" w:hAnsi="Symbol" w:cs="Times New Roman" w:hint="default"/>
        <w:sz w:val="22"/>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67E470BB"/>
    <w:multiLevelType w:val="hybridMultilevel"/>
    <w:tmpl w:val="E7182A66"/>
    <w:lvl w:ilvl="0" w:tplc="8C3433B6">
      <w:numFmt w:val="bullet"/>
      <w:lvlText w:val=""/>
      <w:lvlJc w:val="left"/>
      <w:pPr>
        <w:ind w:left="720" w:hanging="360"/>
      </w:pPr>
      <w:rPr>
        <w:rFonts w:ascii="Symbol" w:hAnsi="Symbol" w:cs="Times New Roman" w:hint="default"/>
        <w:sz w:val="22"/>
      </w:rPr>
    </w:lvl>
    <w:lvl w:ilvl="1" w:tplc="0409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69F94A18"/>
    <w:multiLevelType w:val="hybridMultilevel"/>
    <w:tmpl w:val="FF1EDBAC"/>
    <w:lvl w:ilvl="0" w:tplc="FFFFFFFF">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BDA53C7"/>
    <w:multiLevelType w:val="hybridMultilevel"/>
    <w:tmpl w:val="5F76A73C"/>
    <w:lvl w:ilvl="0" w:tplc="8C3433B6">
      <w:numFmt w:val="bullet"/>
      <w:lvlText w:val=""/>
      <w:lvlJc w:val="left"/>
      <w:pPr>
        <w:ind w:left="720" w:hanging="360"/>
      </w:pPr>
      <w:rPr>
        <w:rFonts w:ascii="Symbol" w:hAnsi="Symbol" w:cs="Times New Roman" w:hint="default"/>
        <w:sz w:val="22"/>
      </w:rPr>
    </w:lvl>
    <w:lvl w:ilvl="1" w:tplc="0409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13416A4"/>
    <w:multiLevelType w:val="hybridMultilevel"/>
    <w:tmpl w:val="9462E60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EB244FA"/>
    <w:multiLevelType w:val="hybridMultilevel"/>
    <w:tmpl w:val="C6287A5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33202263">
    <w:abstractNumId w:val="15"/>
  </w:num>
  <w:num w:numId="2" w16cid:durableId="1006051518">
    <w:abstractNumId w:val="48"/>
  </w:num>
  <w:num w:numId="3" w16cid:durableId="152187349">
    <w:abstractNumId w:val="8"/>
    <w:lvlOverride w:ilvl="0">
      <w:lvl w:ilvl="0">
        <w:start w:val="1"/>
        <w:numFmt w:val="bullet"/>
        <w:lvlText w:val="-"/>
        <w:lvlJc w:val="left"/>
        <w:pPr>
          <w:ind w:left="360" w:hanging="360"/>
        </w:pPr>
      </w:lvl>
    </w:lvlOverride>
  </w:num>
  <w:num w:numId="4" w16cid:durableId="1781559739">
    <w:abstractNumId w:val="8"/>
    <w:lvlOverride w:ilvl="0">
      <w:lvl w:ilvl="0">
        <w:start w:val="1"/>
        <w:numFmt w:val="bullet"/>
        <w:lvlText w:val=""/>
        <w:lvlJc w:val="left"/>
        <w:pPr>
          <w:ind w:left="360" w:hanging="360"/>
        </w:pPr>
        <w:rPr>
          <w:rFonts w:ascii="Symbol" w:hAnsi="Symbol" w:hint="default"/>
        </w:rPr>
      </w:lvl>
    </w:lvlOverride>
  </w:num>
  <w:num w:numId="5" w16cid:durableId="1083723986">
    <w:abstractNumId w:val="8"/>
    <w:lvlOverride w:ilvl="0">
      <w:lvl w:ilvl="0">
        <w:start w:val="1"/>
        <w:numFmt w:val="bullet"/>
        <w:lvlText w:val="-"/>
        <w:lvlJc w:val="left"/>
        <w:pPr>
          <w:ind w:left="360" w:hanging="360"/>
        </w:pPr>
      </w:lvl>
    </w:lvlOverride>
  </w:num>
  <w:num w:numId="6" w16cid:durableId="104741617">
    <w:abstractNumId w:val="34"/>
  </w:num>
  <w:num w:numId="7" w16cid:durableId="1454202893">
    <w:abstractNumId w:val="45"/>
  </w:num>
  <w:num w:numId="8" w16cid:durableId="86536739">
    <w:abstractNumId w:val="19"/>
  </w:num>
  <w:num w:numId="9" w16cid:durableId="1701272500">
    <w:abstractNumId w:val="37"/>
  </w:num>
  <w:num w:numId="10" w16cid:durableId="1601445523">
    <w:abstractNumId w:val="47"/>
  </w:num>
  <w:num w:numId="11" w16cid:durableId="719749067">
    <w:abstractNumId w:val="21"/>
  </w:num>
  <w:num w:numId="12" w16cid:durableId="492918867">
    <w:abstractNumId w:val="38"/>
  </w:num>
  <w:num w:numId="13" w16cid:durableId="1212427017">
    <w:abstractNumId w:val="50"/>
  </w:num>
  <w:num w:numId="14" w16cid:durableId="1359157926">
    <w:abstractNumId w:val="22"/>
  </w:num>
  <w:num w:numId="15" w16cid:durableId="831019188">
    <w:abstractNumId w:val="29"/>
  </w:num>
  <w:num w:numId="16" w16cid:durableId="1434744025">
    <w:abstractNumId w:val="30"/>
  </w:num>
  <w:num w:numId="17" w16cid:durableId="243615736">
    <w:abstractNumId w:val="43"/>
  </w:num>
  <w:num w:numId="18" w16cid:durableId="542208310">
    <w:abstractNumId w:val="26"/>
  </w:num>
  <w:num w:numId="19" w16cid:durableId="786315514">
    <w:abstractNumId w:val="33"/>
  </w:num>
  <w:num w:numId="20" w16cid:durableId="1834758846">
    <w:abstractNumId w:val="10"/>
  </w:num>
  <w:num w:numId="21" w16cid:durableId="1402941264">
    <w:abstractNumId w:val="41"/>
  </w:num>
  <w:num w:numId="22" w16cid:durableId="203490447">
    <w:abstractNumId w:val="42"/>
  </w:num>
  <w:num w:numId="23" w16cid:durableId="1502814203">
    <w:abstractNumId w:val="36"/>
  </w:num>
  <w:num w:numId="24" w16cid:durableId="25301522">
    <w:abstractNumId w:val="12"/>
  </w:num>
  <w:num w:numId="25" w16cid:durableId="1012880058">
    <w:abstractNumId w:val="14"/>
  </w:num>
  <w:num w:numId="26" w16cid:durableId="1158426423">
    <w:abstractNumId w:val="13"/>
  </w:num>
  <w:num w:numId="27" w16cid:durableId="1653555417">
    <w:abstractNumId w:val="39"/>
  </w:num>
  <w:num w:numId="28" w16cid:durableId="85463351">
    <w:abstractNumId w:val="24"/>
  </w:num>
  <w:num w:numId="29" w16cid:durableId="1202328214">
    <w:abstractNumId w:val="27"/>
  </w:num>
  <w:num w:numId="30" w16cid:durableId="702708375">
    <w:abstractNumId w:val="49"/>
  </w:num>
  <w:num w:numId="31" w16cid:durableId="399644809">
    <w:abstractNumId w:val="17"/>
  </w:num>
  <w:num w:numId="32" w16cid:durableId="1205750894">
    <w:abstractNumId w:val="6"/>
  </w:num>
  <w:num w:numId="33" w16cid:durableId="1990404519">
    <w:abstractNumId w:val="5"/>
  </w:num>
  <w:num w:numId="34" w16cid:durableId="1545557278">
    <w:abstractNumId w:val="4"/>
  </w:num>
  <w:num w:numId="35" w16cid:durableId="553084809">
    <w:abstractNumId w:val="7"/>
  </w:num>
  <w:num w:numId="36" w16cid:durableId="2080398364">
    <w:abstractNumId w:val="3"/>
  </w:num>
  <w:num w:numId="37" w16cid:durableId="448595950">
    <w:abstractNumId w:val="2"/>
  </w:num>
  <w:num w:numId="38" w16cid:durableId="83038123">
    <w:abstractNumId w:val="1"/>
  </w:num>
  <w:num w:numId="39" w16cid:durableId="1425227966">
    <w:abstractNumId w:val="0"/>
  </w:num>
  <w:num w:numId="40" w16cid:durableId="2054423202">
    <w:abstractNumId w:val="44"/>
  </w:num>
  <w:num w:numId="41" w16cid:durableId="663169470">
    <w:abstractNumId w:val="18"/>
  </w:num>
  <w:num w:numId="42" w16cid:durableId="955985269">
    <w:abstractNumId w:val="11"/>
  </w:num>
  <w:num w:numId="43" w16cid:durableId="1226911679">
    <w:abstractNumId w:val="28"/>
  </w:num>
  <w:num w:numId="44" w16cid:durableId="1196846856">
    <w:abstractNumId w:val="40"/>
  </w:num>
  <w:num w:numId="45" w16cid:durableId="84232708">
    <w:abstractNumId w:val="31"/>
  </w:num>
  <w:num w:numId="46" w16cid:durableId="804323381">
    <w:abstractNumId w:val="16"/>
  </w:num>
  <w:num w:numId="47" w16cid:durableId="926966412">
    <w:abstractNumId w:val="32"/>
  </w:num>
  <w:num w:numId="48" w16cid:durableId="920912054">
    <w:abstractNumId w:val="46"/>
  </w:num>
  <w:num w:numId="49" w16cid:durableId="423577275">
    <w:abstractNumId w:val="35"/>
  </w:num>
  <w:num w:numId="50" w16cid:durableId="625238732">
    <w:abstractNumId w:val="9"/>
  </w:num>
  <w:num w:numId="51" w16cid:durableId="393822590">
    <w:abstractNumId w:val="25"/>
  </w:num>
  <w:num w:numId="52" w16cid:durableId="879896849">
    <w:abstractNumId w:val="20"/>
  </w:num>
  <w:num w:numId="53" w16cid:durableId="1825464599">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ocumentProtection w:edit="readOnly"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C4B"/>
    <w:rsid w:val="000041A8"/>
    <w:rsid w:val="00007843"/>
    <w:rsid w:val="00020388"/>
    <w:rsid w:val="0002371E"/>
    <w:rsid w:val="00026610"/>
    <w:rsid w:val="00027AB5"/>
    <w:rsid w:val="00032930"/>
    <w:rsid w:val="00034543"/>
    <w:rsid w:val="00043BB9"/>
    <w:rsid w:val="00051B39"/>
    <w:rsid w:val="00053EF6"/>
    <w:rsid w:val="000552BC"/>
    <w:rsid w:val="000557BC"/>
    <w:rsid w:val="0006397D"/>
    <w:rsid w:val="00065EAF"/>
    <w:rsid w:val="000660CA"/>
    <w:rsid w:val="00071D02"/>
    <w:rsid w:val="00082339"/>
    <w:rsid w:val="00094B18"/>
    <w:rsid w:val="000A133D"/>
    <w:rsid w:val="000A21BA"/>
    <w:rsid w:val="000A4E15"/>
    <w:rsid w:val="000B2297"/>
    <w:rsid w:val="000B4875"/>
    <w:rsid w:val="000B7648"/>
    <w:rsid w:val="000B78EF"/>
    <w:rsid w:val="000C02AC"/>
    <w:rsid w:val="000C0D1A"/>
    <w:rsid w:val="000C1203"/>
    <w:rsid w:val="000D4A84"/>
    <w:rsid w:val="000D67A5"/>
    <w:rsid w:val="000E078C"/>
    <w:rsid w:val="000E2055"/>
    <w:rsid w:val="000E7026"/>
    <w:rsid w:val="000F4602"/>
    <w:rsid w:val="00107C6C"/>
    <w:rsid w:val="001163BF"/>
    <w:rsid w:val="0012313E"/>
    <w:rsid w:val="001258C1"/>
    <w:rsid w:val="001263AE"/>
    <w:rsid w:val="00133AB0"/>
    <w:rsid w:val="00133EDB"/>
    <w:rsid w:val="00140C5C"/>
    <w:rsid w:val="00141B2C"/>
    <w:rsid w:val="0014396A"/>
    <w:rsid w:val="00146F3D"/>
    <w:rsid w:val="001566D5"/>
    <w:rsid w:val="0015711E"/>
    <w:rsid w:val="001601A0"/>
    <w:rsid w:val="001667F2"/>
    <w:rsid w:val="00167F04"/>
    <w:rsid w:val="001727DD"/>
    <w:rsid w:val="00175D6F"/>
    <w:rsid w:val="00175FED"/>
    <w:rsid w:val="00184C99"/>
    <w:rsid w:val="0018514F"/>
    <w:rsid w:val="00185A9E"/>
    <w:rsid w:val="001929FA"/>
    <w:rsid w:val="001A0A46"/>
    <w:rsid w:val="001A2C24"/>
    <w:rsid w:val="001A4659"/>
    <w:rsid w:val="001A587E"/>
    <w:rsid w:val="001A5A0D"/>
    <w:rsid w:val="001A6E23"/>
    <w:rsid w:val="001B39B4"/>
    <w:rsid w:val="001D1679"/>
    <w:rsid w:val="001D2A36"/>
    <w:rsid w:val="001E28ED"/>
    <w:rsid w:val="001E46AA"/>
    <w:rsid w:val="001E55A8"/>
    <w:rsid w:val="001F4B23"/>
    <w:rsid w:val="001F5223"/>
    <w:rsid w:val="002167A3"/>
    <w:rsid w:val="00216DD3"/>
    <w:rsid w:val="00217C7E"/>
    <w:rsid w:val="002202B1"/>
    <w:rsid w:val="002209D3"/>
    <w:rsid w:val="002347DD"/>
    <w:rsid w:val="002433C4"/>
    <w:rsid w:val="002504FB"/>
    <w:rsid w:val="002535E7"/>
    <w:rsid w:val="0026114C"/>
    <w:rsid w:val="0026311A"/>
    <w:rsid w:val="00280677"/>
    <w:rsid w:val="00283B10"/>
    <w:rsid w:val="00296348"/>
    <w:rsid w:val="002A0840"/>
    <w:rsid w:val="002B0C3D"/>
    <w:rsid w:val="002C1DC5"/>
    <w:rsid w:val="002C4CCB"/>
    <w:rsid w:val="002C6C54"/>
    <w:rsid w:val="002D159C"/>
    <w:rsid w:val="002D256E"/>
    <w:rsid w:val="002D2F39"/>
    <w:rsid w:val="002D34DB"/>
    <w:rsid w:val="002E6B5E"/>
    <w:rsid w:val="002F10A5"/>
    <w:rsid w:val="002F5A8E"/>
    <w:rsid w:val="003008B8"/>
    <w:rsid w:val="00313F6A"/>
    <w:rsid w:val="00314D14"/>
    <w:rsid w:val="00315441"/>
    <w:rsid w:val="00317800"/>
    <w:rsid w:val="00325431"/>
    <w:rsid w:val="003262CD"/>
    <w:rsid w:val="003356EC"/>
    <w:rsid w:val="00335F4F"/>
    <w:rsid w:val="00340BB2"/>
    <w:rsid w:val="00344425"/>
    <w:rsid w:val="0034459A"/>
    <w:rsid w:val="0034778A"/>
    <w:rsid w:val="00352060"/>
    <w:rsid w:val="00357425"/>
    <w:rsid w:val="003702A4"/>
    <w:rsid w:val="003727CE"/>
    <w:rsid w:val="00374162"/>
    <w:rsid w:val="003775C9"/>
    <w:rsid w:val="0038415D"/>
    <w:rsid w:val="00386C4B"/>
    <w:rsid w:val="003871A2"/>
    <w:rsid w:val="003905F2"/>
    <w:rsid w:val="003915B1"/>
    <w:rsid w:val="003929AD"/>
    <w:rsid w:val="00392B57"/>
    <w:rsid w:val="00395FB0"/>
    <w:rsid w:val="00397E6E"/>
    <w:rsid w:val="003A11F3"/>
    <w:rsid w:val="003A410D"/>
    <w:rsid w:val="003A704D"/>
    <w:rsid w:val="003B0C3F"/>
    <w:rsid w:val="003C6EAA"/>
    <w:rsid w:val="003D035D"/>
    <w:rsid w:val="003E18A8"/>
    <w:rsid w:val="003F6E4F"/>
    <w:rsid w:val="004068EB"/>
    <w:rsid w:val="004076A7"/>
    <w:rsid w:val="0041535B"/>
    <w:rsid w:val="00422643"/>
    <w:rsid w:val="00426C58"/>
    <w:rsid w:val="00431A95"/>
    <w:rsid w:val="004411F3"/>
    <w:rsid w:val="004416A7"/>
    <w:rsid w:val="00453A41"/>
    <w:rsid w:val="004816B8"/>
    <w:rsid w:val="00486F38"/>
    <w:rsid w:val="00490EBF"/>
    <w:rsid w:val="00493239"/>
    <w:rsid w:val="00493A67"/>
    <w:rsid w:val="0049631A"/>
    <w:rsid w:val="004A2C61"/>
    <w:rsid w:val="004B66D1"/>
    <w:rsid w:val="004C1042"/>
    <w:rsid w:val="004C1A71"/>
    <w:rsid w:val="004C3A76"/>
    <w:rsid w:val="004C3E28"/>
    <w:rsid w:val="004C7578"/>
    <w:rsid w:val="004D513B"/>
    <w:rsid w:val="004E3241"/>
    <w:rsid w:val="004E6E85"/>
    <w:rsid w:val="004E7B41"/>
    <w:rsid w:val="004F292E"/>
    <w:rsid w:val="004F7126"/>
    <w:rsid w:val="00504739"/>
    <w:rsid w:val="00506799"/>
    <w:rsid w:val="00506D63"/>
    <w:rsid w:val="00507407"/>
    <w:rsid w:val="0051503F"/>
    <w:rsid w:val="00515D65"/>
    <w:rsid w:val="00525C15"/>
    <w:rsid w:val="00530B92"/>
    <w:rsid w:val="00535513"/>
    <w:rsid w:val="00544078"/>
    <w:rsid w:val="00554981"/>
    <w:rsid w:val="00555690"/>
    <w:rsid w:val="005572CD"/>
    <w:rsid w:val="00563BB7"/>
    <w:rsid w:val="005743EC"/>
    <w:rsid w:val="00574502"/>
    <w:rsid w:val="0058077D"/>
    <w:rsid w:val="00583ACC"/>
    <w:rsid w:val="00585410"/>
    <w:rsid w:val="00586844"/>
    <w:rsid w:val="005927F6"/>
    <w:rsid w:val="0059410E"/>
    <w:rsid w:val="005A0D5F"/>
    <w:rsid w:val="005A6B0F"/>
    <w:rsid w:val="005B5790"/>
    <w:rsid w:val="005C749A"/>
    <w:rsid w:val="005E09CF"/>
    <w:rsid w:val="005E21A1"/>
    <w:rsid w:val="005F0E56"/>
    <w:rsid w:val="0060404B"/>
    <w:rsid w:val="00607287"/>
    <w:rsid w:val="00614A12"/>
    <w:rsid w:val="006262BA"/>
    <w:rsid w:val="00634766"/>
    <w:rsid w:val="00667942"/>
    <w:rsid w:val="00673299"/>
    <w:rsid w:val="00673686"/>
    <w:rsid w:val="006861E0"/>
    <w:rsid w:val="0068785E"/>
    <w:rsid w:val="00692958"/>
    <w:rsid w:val="00693741"/>
    <w:rsid w:val="00693BE9"/>
    <w:rsid w:val="0069441B"/>
    <w:rsid w:val="00695B39"/>
    <w:rsid w:val="006A7291"/>
    <w:rsid w:val="006C58D6"/>
    <w:rsid w:val="006C7C40"/>
    <w:rsid w:val="006D5E98"/>
    <w:rsid w:val="006D7930"/>
    <w:rsid w:val="006E0488"/>
    <w:rsid w:val="006F77D0"/>
    <w:rsid w:val="00700192"/>
    <w:rsid w:val="0070198F"/>
    <w:rsid w:val="00701D61"/>
    <w:rsid w:val="007047CD"/>
    <w:rsid w:val="00705378"/>
    <w:rsid w:val="00705C7A"/>
    <w:rsid w:val="007159E1"/>
    <w:rsid w:val="00720615"/>
    <w:rsid w:val="007208BB"/>
    <w:rsid w:val="00722E5E"/>
    <w:rsid w:val="007235F7"/>
    <w:rsid w:val="00737315"/>
    <w:rsid w:val="007438FA"/>
    <w:rsid w:val="007457EB"/>
    <w:rsid w:val="007541DA"/>
    <w:rsid w:val="00772778"/>
    <w:rsid w:val="00777752"/>
    <w:rsid w:val="00783EC0"/>
    <w:rsid w:val="007867E9"/>
    <w:rsid w:val="00786834"/>
    <w:rsid w:val="00792EF3"/>
    <w:rsid w:val="00795D17"/>
    <w:rsid w:val="007A3F1F"/>
    <w:rsid w:val="007A55D3"/>
    <w:rsid w:val="007B0E1F"/>
    <w:rsid w:val="007B7616"/>
    <w:rsid w:val="007C2B3D"/>
    <w:rsid w:val="007C40E4"/>
    <w:rsid w:val="007C6DAC"/>
    <w:rsid w:val="007C7D38"/>
    <w:rsid w:val="007E00CE"/>
    <w:rsid w:val="007E66CD"/>
    <w:rsid w:val="007F3329"/>
    <w:rsid w:val="00800A5D"/>
    <w:rsid w:val="00801A47"/>
    <w:rsid w:val="00805499"/>
    <w:rsid w:val="0081165C"/>
    <w:rsid w:val="00812775"/>
    <w:rsid w:val="008133F1"/>
    <w:rsid w:val="00813E52"/>
    <w:rsid w:val="00815A8F"/>
    <w:rsid w:val="0084415E"/>
    <w:rsid w:val="008446FC"/>
    <w:rsid w:val="00846173"/>
    <w:rsid w:val="008476D1"/>
    <w:rsid w:val="00852FFD"/>
    <w:rsid w:val="008542DA"/>
    <w:rsid w:val="00855A3A"/>
    <w:rsid w:val="008575FC"/>
    <w:rsid w:val="0086445F"/>
    <w:rsid w:val="00867B64"/>
    <w:rsid w:val="00874D75"/>
    <w:rsid w:val="00884F6E"/>
    <w:rsid w:val="00886A3C"/>
    <w:rsid w:val="008910EF"/>
    <w:rsid w:val="00892409"/>
    <w:rsid w:val="0089640C"/>
    <w:rsid w:val="008A0047"/>
    <w:rsid w:val="008D1E9F"/>
    <w:rsid w:val="008D71E2"/>
    <w:rsid w:val="008D7F04"/>
    <w:rsid w:val="008E0569"/>
    <w:rsid w:val="008E1965"/>
    <w:rsid w:val="008E3314"/>
    <w:rsid w:val="008E337B"/>
    <w:rsid w:val="008E7A75"/>
    <w:rsid w:val="00902B0A"/>
    <w:rsid w:val="009122AE"/>
    <w:rsid w:val="00931E49"/>
    <w:rsid w:val="00933A8D"/>
    <w:rsid w:val="0094255C"/>
    <w:rsid w:val="00944940"/>
    <w:rsid w:val="00953CC4"/>
    <w:rsid w:val="00957C59"/>
    <w:rsid w:val="00961430"/>
    <w:rsid w:val="009626A0"/>
    <w:rsid w:val="00965BD3"/>
    <w:rsid w:val="00974252"/>
    <w:rsid w:val="00981D8C"/>
    <w:rsid w:val="00984587"/>
    <w:rsid w:val="00986746"/>
    <w:rsid w:val="0099125D"/>
    <w:rsid w:val="009915EC"/>
    <w:rsid w:val="00992B6F"/>
    <w:rsid w:val="009932AB"/>
    <w:rsid w:val="00995C6D"/>
    <w:rsid w:val="00997436"/>
    <w:rsid w:val="009A013E"/>
    <w:rsid w:val="009A2FE4"/>
    <w:rsid w:val="009A3CDF"/>
    <w:rsid w:val="009A59EF"/>
    <w:rsid w:val="009A6015"/>
    <w:rsid w:val="009A63A0"/>
    <w:rsid w:val="009B11B1"/>
    <w:rsid w:val="009C008A"/>
    <w:rsid w:val="009C54F0"/>
    <w:rsid w:val="009C6E08"/>
    <w:rsid w:val="009D0B36"/>
    <w:rsid w:val="009D3395"/>
    <w:rsid w:val="009D4F21"/>
    <w:rsid w:val="009D64F2"/>
    <w:rsid w:val="009D729B"/>
    <w:rsid w:val="009E64FA"/>
    <w:rsid w:val="009F102B"/>
    <w:rsid w:val="009F21A8"/>
    <w:rsid w:val="009F65C9"/>
    <w:rsid w:val="009F66B3"/>
    <w:rsid w:val="009F69D4"/>
    <w:rsid w:val="00A16F3B"/>
    <w:rsid w:val="00A239F8"/>
    <w:rsid w:val="00A2537D"/>
    <w:rsid w:val="00A2709D"/>
    <w:rsid w:val="00A27597"/>
    <w:rsid w:val="00A34386"/>
    <w:rsid w:val="00A37271"/>
    <w:rsid w:val="00A51560"/>
    <w:rsid w:val="00A53F82"/>
    <w:rsid w:val="00A5436B"/>
    <w:rsid w:val="00A56258"/>
    <w:rsid w:val="00A5672C"/>
    <w:rsid w:val="00A56C73"/>
    <w:rsid w:val="00A62956"/>
    <w:rsid w:val="00A7201F"/>
    <w:rsid w:val="00A82B5C"/>
    <w:rsid w:val="00A845CC"/>
    <w:rsid w:val="00A84E99"/>
    <w:rsid w:val="00A8642A"/>
    <w:rsid w:val="00A9192F"/>
    <w:rsid w:val="00A93E80"/>
    <w:rsid w:val="00A95B07"/>
    <w:rsid w:val="00AB5A7F"/>
    <w:rsid w:val="00AD0C0F"/>
    <w:rsid w:val="00AD171F"/>
    <w:rsid w:val="00AD5034"/>
    <w:rsid w:val="00AE2F2F"/>
    <w:rsid w:val="00AE3399"/>
    <w:rsid w:val="00AE370D"/>
    <w:rsid w:val="00AE3D01"/>
    <w:rsid w:val="00AE46E6"/>
    <w:rsid w:val="00AE5FC9"/>
    <w:rsid w:val="00AF0E72"/>
    <w:rsid w:val="00AF615C"/>
    <w:rsid w:val="00B0345B"/>
    <w:rsid w:val="00B12ECC"/>
    <w:rsid w:val="00B15DCF"/>
    <w:rsid w:val="00B24AB3"/>
    <w:rsid w:val="00B25240"/>
    <w:rsid w:val="00B26AB1"/>
    <w:rsid w:val="00B301EA"/>
    <w:rsid w:val="00B3086B"/>
    <w:rsid w:val="00B316A6"/>
    <w:rsid w:val="00B32D63"/>
    <w:rsid w:val="00B36DC6"/>
    <w:rsid w:val="00B37343"/>
    <w:rsid w:val="00B37401"/>
    <w:rsid w:val="00B43FC0"/>
    <w:rsid w:val="00B44422"/>
    <w:rsid w:val="00B4671A"/>
    <w:rsid w:val="00B46BF4"/>
    <w:rsid w:val="00B526FD"/>
    <w:rsid w:val="00B535F6"/>
    <w:rsid w:val="00B66791"/>
    <w:rsid w:val="00B711F1"/>
    <w:rsid w:val="00B74C71"/>
    <w:rsid w:val="00B75F76"/>
    <w:rsid w:val="00B76C43"/>
    <w:rsid w:val="00B827D7"/>
    <w:rsid w:val="00B8731C"/>
    <w:rsid w:val="00B90725"/>
    <w:rsid w:val="00B93190"/>
    <w:rsid w:val="00BA13EB"/>
    <w:rsid w:val="00BA1B90"/>
    <w:rsid w:val="00BA2AA3"/>
    <w:rsid w:val="00BA37AA"/>
    <w:rsid w:val="00BB66BC"/>
    <w:rsid w:val="00BC61E8"/>
    <w:rsid w:val="00BD35BD"/>
    <w:rsid w:val="00BD4695"/>
    <w:rsid w:val="00BD5718"/>
    <w:rsid w:val="00BE060F"/>
    <w:rsid w:val="00BE2E5B"/>
    <w:rsid w:val="00BF3FED"/>
    <w:rsid w:val="00BF6B87"/>
    <w:rsid w:val="00BF7207"/>
    <w:rsid w:val="00C1238B"/>
    <w:rsid w:val="00C16BE3"/>
    <w:rsid w:val="00C23C42"/>
    <w:rsid w:val="00C255C1"/>
    <w:rsid w:val="00C3142F"/>
    <w:rsid w:val="00C33BB7"/>
    <w:rsid w:val="00C4050B"/>
    <w:rsid w:val="00C43BF2"/>
    <w:rsid w:val="00C44790"/>
    <w:rsid w:val="00C44D71"/>
    <w:rsid w:val="00C768C4"/>
    <w:rsid w:val="00C76F58"/>
    <w:rsid w:val="00CB7FEE"/>
    <w:rsid w:val="00CC0200"/>
    <w:rsid w:val="00CC39F6"/>
    <w:rsid w:val="00CC5FDF"/>
    <w:rsid w:val="00CC6178"/>
    <w:rsid w:val="00CC6AEF"/>
    <w:rsid w:val="00CD5B86"/>
    <w:rsid w:val="00CE17D8"/>
    <w:rsid w:val="00CE40E1"/>
    <w:rsid w:val="00CE66DF"/>
    <w:rsid w:val="00CE7679"/>
    <w:rsid w:val="00CF125F"/>
    <w:rsid w:val="00D117F8"/>
    <w:rsid w:val="00D12574"/>
    <w:rsid w:val="00D1707A"/>
    <w:rsid w:val="00D20DF2"/>
    <w:rsid w:val="00D30411"/>
    <w:rsid w:val="00D33172"/>
    <w:rsid w:val="00D36727"/>
    <w:rsid w:val="00D40AB2"/>
    <w:rsid w:val="00D40C1A"/>
    <w:rsid w:val="00D51B92"/>
    <w:rsid w:val="00D52FB2"/>
    <w:rsid w:val="00D53F31"/>
    <w:rsid w:val="00D6560D"/>
    <w:rsid w:val="00D776C2"/>
    <w:rsid w:val="00D8252A"/>
    <w:rsid w:val="00D90789"/>
    <w:rsid w:val="00D94710"/>
    <w:rsid w:val="00DA3DA2"/>
    <w:rsid w:val="00DB2835"/>
    <w:rsid w:val="00DB785A"/>
    <w:rsid w:val="00DC19F1"/>
    <w:rsid w:val="00DC2054"/>
    <w:rsid w:val="00DD3A5B"/>
    <w:rsid w:val="00DD5976"/>
    <w:rsid w:val="00DE590F"/>
    <w:rsid w:val="00DF79AB"/>
    <w:rsid w:val="00E03977"/>
    <w:rsid w:val="00E062BC"/>
    <w:rsid w:val="00E12488"/>
    <w:rsid w:val="00E1341E"/>
    <w:rsid w:val="00E21C13"/>
    <w:rsid w:val="00E25645"/>
    <w:rsid w:val="00E3063C"/>
    <w:rsid w:val="00E30678"/>
    <w:rsid w:val="00E32B61"/>
    <w:rsid w:val="00E40CD7"/>
    <w:rsid w:val="00E46053"/>
    <w:rsid w:val="00E66144"/>
    <w:rsid w:val="00E71239"/>
    <w:rsid w:val="00E72DFB"/>
    <w:rsid w:val="00E83ED9"/>
    <w:rsid w:val="00E95372"/>
    <w:rsid w:val="00EA38DD"/>
    <w:rsid w:val="00EA4A73"/>
    <w:rsid w:val="00EB2184"/>
    <w:rsid w:val="00EB35CE"/>
    <w:rsid w:val="00EB4EAB"/>
    <w:rsid w:val="00EC0DF2"/>
    <w:rsid w:val="00ED4B9A"/>
    <w:rsid w:val="00ED57B9"/>
    <w:rsid w:val="00EE7FBA"/>
    <w:rsid w:val="00EF0C5F"/>
    <w:rsid w:val="00EF68FA"/>
    <w:rsid w:val="00EF69C8"/>
    <w:rsid w:val="00F033DB"/>
    <w:rsid w:val="00F0360E"/>
    <w:rsid w:val="00F10CF3"/>
    <w:rsid w:val="00F252E0"/>
    <w:rsid w:val="00F25FDC"/>
    <w:rsid w:val="00F30108"/>
    <w:rsid w:val="00F3650F"/>
    <w:rsid w:val="00F37956"/>
    <w:rsid w:val="00F41710"/>
    <w:rsid w:val="00F42624"/>
    <w:rsid w:val="00F43190"/>
    <w:rsid w:val="00F45DE8"/>
    <w:rsid w:val="00F5049E"/>
    <w:rsid w:val="00F50502"/>
    <w:rsid w:val="00F71B7B"/>
    <w:rsid w:val="00F7305B"/>
    <w:rsid w:val="00F76B4E"/>
    <w:rsid w:val="00F81F6D"/>
    <w:rsid w:val="00F914DE"/>
    <w:rsid w:val="00F918BD"/>
    <w:rsid w:val="00FA1D1B"/>
    <w:rsid w:val="00FA342A"/>
    <w:rsid w:val="00FA72CD"/>
    <w:rsid w:val="00FB7ABC"/>
    <w:rsid w:val="00FC00BC"/>
    <w:rsid w:val="00FC3A91"/>
    <w:rsid w:val="00FC6DA3"/>
    <w:rsid w:val="00FD09B8"/>
    <w:rsid w:val="00FD40C6"/>
    <w:rsid w:val="00FE3C95"/>
    <w:rsid w:val="00FF06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55F68"/>
  <w15:docId w15:val="{06B4135A-0AC3-40A6-A89D-5AA92D795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7407"/>
    <w:pPr>
      <w:tabs>
        <w:tab w:val="left" w:pos="567"/>
      </w:tabs>
      <w:spacing w:after="0" w:line="260" w:lineRule="exact"/>
    </w:pPr>
    <w:rPr>
      <w:rFonts w:ascii="Times New Roman" w:eastAsia="Times New Roman" w:hAnsi="Times New Roman" w:cs="Times New Roman"/>
      <w:snapToGrid w:val="0"/>
      <w:szCs w:val="20"/>
      <w:lang w:val="lt-LT"/>
    </w:rPr>
  </w:style>
  <w:style w:type="paragraph" w:styleId="Antrat1">
    <w:name w:val="heading 1"/>
    <w:basedOn w:val="prastasis"/>
    <w:next w:val="prastasis"/>
    <w:link w:val="Antrat1Diagrama"/>
    <w:uiPriority w:val="99"/>
    <w:qFormat/>
    <w:rsid w:val="00386C4B"/>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386C4B"/>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386C4B"/>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386C4B"/>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qFormat/>
    <w:rsid w:val="00386C4B"/>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386C4B"/>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386C4B"/>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386C4B"/>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386C4B"/>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386C4B"/>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uiPriority w:val="99"/>
    <w:rsid w:val="00386C4B"/>
    <w:rPr>
      <w:rFonts w:ascii="Cambria" w:eastAsia="Times New Roman" w:hAnsi="Cambria" w:cs="Times New Roman"/>
      <w:b/>
      <w:bCs/>
      <w:i/>
      <w:iCs/>
      <w:snapToGrid w:val="0"/>
      <w:sz w:val="28"/>
      <w:szCs w:val="28"/>
      <w:lang w:val="lt-LT"/>
    </w:rPr>
  </w:style>
  <w:style w:type="character" w:customStyle="1" w:styleId="Antrat3Diagrama">
    <w:name w:val="Antraštė 3 Diagrama"/>
    <w:basedOn w:val="Numatytasispastraiposriftas"/>
    <w:link w:val="Antrat3"/>
    <w:uiPriority w:val="99"/>
    <w:rsid w:val="00386C4B"/>
    <w:rPr>
      <w:rFonts w:ascii="Cambria" w:eastAsia="Times New Roman" w:hAnsi="Cambria" w:cs="Times New Roman"/>
      <w:b/>
      <w:bCs/>
      <w:snapToGrid w:val="0"/>
      <w:sz w:val="26"/>
      <w:szCs w:val="26"/>
      <w:lang w:val="lt-LT"/>
    </w:rPr>
  </w:style>
  <w:style w:type="character" w:customStyle="1" w:styleId="Antrat4Diagrama">
    <w:name w:val="Antraštė 4 Diagrama"/>
    <w:basedOn w:val="Numatytasispastraiposriftas"/>
    <w:link w:val="Antrat4"/>
    <w:uiPriority w:val="99"/>
    <w:rsid w:val="00386C4B"/>
    <w:rPr>
      <w:rFonts w:ascii="Calibri" w:eastAsia="Times New Roman" w:hAnsi="Calibri" w:cs="Times New Roman"/>
      <w:b/>
      <w:bCs/>
      <w:snapToGrid w:val="0"/>
      <w:sz w:val="28"/>
      <w:szCs w:val="28"/>
      <w:lang w:val="lt-LT"/>
    </w:rPr>
  </w:style>
  <w:style w:type="character" w:customStyle="1" w:styleId="Antrat5Diagrama">
    <w:name w:val="Antraštė 5 Diagrama"/>
    <w:basedOn w:val="Numatytasispastraiposriftas"/>
    <w:link w:val="Antrat5"/>
    <w:uiPriority w:val="99"/>
    <w:rsid w:val="00386C4B"/>
    <w:rPr>
      <w:rFonts w:ascii="Times New Roman" w:eastAsia="SimSun" w:hAnsi="Times New Roman" w:cs="Times New Roman"/>
      <w:noProof/>
      <w:szCs w:val="20"/>
      <w:lang w:val="lt-LT"/>
    </w:rPr>
  </w:style>
  <w:style w:type="character" w:customStyle="1" w:styleId="Antrat6Diagrama">
    <w:name w:val="Antraštė 6 Diagrama"/>
    <w:basedOn w:val="Numatytasispastraiposriftas"/>
    <w:link w:val="Antrat6"/>
    <w:uiPriority w:val="99"/>
    <w:rsid w:val="00386C4B"/>
    <w:rPr>
      <w:rFonts w:ascii="Times New Roman" w:eastAsia="SimSun" w:hAnsi="Times New Roman" w:cs="Times New Roman"/>
      <w:i/>
      <w:szCs w:val="20"/>
      <w:lang w:val="lt-LT"/>
    </w:rPr>
  </w:style>
  <w:style w:type="character" w:customStyle="1" w:styleId="Antrat7Diagrama">
    <w:name w:val="Antraštė 7 Diagrama"/>
    <w:basedOn w:val="Numatytasispastraiposriftas"/>
    <w:link w:val="Antrat7"/>
    <w:uiPriority w:val="99"/>
    <w:rsid w:val="00386C4B"/>
    <w:rPr>
      <w:rFonts w:ascii="Times New Roman" w:eastAsia="SimSun" w:hAnsi="Times New Roman" w:cs="Times New Roman"/>
      <w:i/>
      <w:szCs w:val="20"/>
      <w:lang w:val="lt-LT"/>
    </w:rPr>
  </w:style>
  <w:style w:type="character" w:customStyle="1" w:styleId="Antrat8Diagrama">
    <w:name w:val="Antraštė 8 Diagrama"/>
    <w:basedOn w:val="Numatytasispastraiposriftas"/>
    <w:link w:val="Antrat8"/>
    <w:uiPriority w:val="99"/>
    <w:rsid w:val="00386C4B"/>
    <w:rPr>
      <w:rFonts w:ascii="Times New Roman" w:eastAsia="SimSun" w:hAnsi="Times New Roman" w:cs="Times New Roman"/>
      <w:b/>
      <w:i/>
      <w:szCs w:val="20"/>
      <w:lang w:val="lt-LT"/>
    </w:rPr>
  </w:style>
  <w:style w:type="character" w:customStyle="1" w:styleId="Antrat9Diagrama">
    <w:name w:val="Antraštė 9 Diagrama"/>
    <w:basedOn w:val="Numatytasispastraiposriftas"/>
    <w:link w:val="Antrat9"/>
    <w:uiPriority w:val="99"/>
    <w:rsid w:val="00386C4B"/>
    <w:rPr>
      <w:rFonts w:ascii="Times New Roman" w:eastAsia="SimSun" w:hAnsi="Times New Roman" w:cs="Times New Roman"/>
      <w:b/>
      <w:i/>
      <w:szCs w:val="20"/>
      <w:lang w:val="lt-LT"/>
    </w:rPr>
  </w:style>
  <w:style w:type="paragraph" w:styleId="Porat">
    <w:name w:val="footer"/>
    <w:basedOn w:val="prastasis"/>
    <w:link w:val="PoratDiagrama"/>
    <w:uiPriority w:val="99"/>
    <w:rsid w:val="00386C4B"/>
    <w:pPr>
      <w:tabs>
        <w:tab w:val="center" w:pos="4536"/>
        <w:tab w:val="right" w:pos="8306"/>
      </w:tabs>
    </w:pPr>
  </w:style>
  <w:style w:type="character" w:customStyle="1" w:styleId="PoratDiagrama">
    <w:name w:val="Poraštė Diagrama"/>
    <w:basedOn w:val="Numatytasispastraiposriftas"/>
    <w:link w:val="Porat"/>
    <w:uiPriority w:val="99"/>
    <w:rsid w:val="00386C4B"/>
    <w:rPr>
      <w:rFonts w:ascii="Times New Roman" w:eastAsia="Times New Roman" w:hAnsi="Times New Roman" w:cs="Times New Roman"/>
      <w:snapToGrid w:val="0"/>
      <w:szCs w:val="20"/>
      <w:lang w:val="lt-LT"/>
    </w:rPr>
  </w:style>
  <w:style w:type="character" w:customStyle="1" w:styleId="HeaderChar">
    <w:name w:val="Header Char"/>
    <w:uiPriority w:val="99"/>
    <w:rsid w:val="00386C4B"/>
    <w:rPr>
      <w:snapToGrid w:val="0"/>
      <w:sz w:val="22"/>
      <w:lang w:val="en-GB" w:eastAsia="en-US"/>
    </w:rPr>
  </w:style>
  <w:style w:type="character" w:styleId="Puslapionumeris">
    <w:name w:val="page number"/>
    <w:uiPriority w:val="99"/>
    <w:rsid w:val="00386C4B"/>
    <w:rPr>
      <w:rFonts w:cs="Times New Roman"/>
    </w:rPr>
  </w:style>
  <w:style w:type="character" w:styleId="Hipersaitas">
    <w:name w:val="Hyperlink"/>
    <w:uiPriority w:val="99"/>
    <w:rsid w:val="00386C4B"/>
    <w:rPr>
      <w:color w:val="0000FF"/>
      <w:u w:val="single"/>
    </w:rPr>
  </w:style>
  <w:style w:type="paragraph" w:customStyle="1" w:styleId="BodytextAgency">
    <w:name w:val="Body text (Agency)"/>
    <w:basedOn w:val="prastasis"/>
    <w:link w:val="BodytextAgencyChar"/>
    <w:uiPriority w:val="99"/>
    <w:rsid w:val="00386C4B"/>
    <w:pPr>
      <w:tabs>
        <w:tab w:val="clear" w:pos="567"/>
      </w:tabs>
      <w:spacing w:after="140" w:line="280" w:lineRule="atLeast"/>
    </w:pPr>
    <w:rPr>
      <w:rFonts w:ascii="Verdana" w:hAnsi="Verdana"/>
      <w:sz w:val="18"/>
    </w:rPr>
  </w:style>
  <w:style w:type="paragraph" w:customStyle="1" w:styleId="NormalAgency">
    <w:name w:val="Normal (Agency)"/>
    <w:link w:val="NormalAgencyChar"/>
    <w:uiPriority w:val="99"/>
    <w:rsid w:val="00386C4B"/>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386C4B"/>
    <w:pPr>
      <w:tabs>
        <w:tab w:val="clear" w:pos="567"/>
      </w:tabs>
      <w:spacing w:line="280" w:lineRule="exact"/>
    </w:pPr>
    <w:rPr>
      <w:rFonts w:ascii="Verdana" w:hAnsi="Verdana"/>
      <w:sz w:val="18"/>
    </w:rPr>
  </w:style>
  <w:style w:type="character" w:customStyle="1" w:styleId="tw4winError">
    <w:name w:val="tw4winError"/>
    <w:uiPriority w:val="99"/>
    <w:rsid w:val="00386C4B"/>
    <w:rPr>
      <w:rFonts w:ascii="Courier New" w:hAnsi="Courier New"/>
      <w:color w:val="00FF00"/>
      <w:sz w:val="40"/>
    </w:rPr>
  </w:style>
  <w:style w:type="character" w:customStyle="1" w:styleId="tw4winTerm">
    <w:name w:val="tw4winTerm"/>
    <w:uiPriority w:val="99"/>
    <w:rsid w:val="00386C4B"/>
    <w:rPr>
      <w:color w:val="0000FF"/>
    </w:rPr>
  </w:style>
  <w:style w:type="character" w:customStyle="1" w:styleId="tw4winPopup">
    <w:name w:val="tw4winPopup"/>
    <w:uiPriority w:val="99"/>
    <w:rsid w:val="00386C4B"/>
    <w:rPr>
      <w:rFonts w:ascii="Courier New" w:hAnsi="Courier New"/>
      <w:noProof/>
      <w:color w:val="008000"/>
    </w:rPr>
  </w:style>
  <w:style w:type="character" w:customStyle="1" w:styleId="tw4winJump">
    <w:name w:val="tw4winJump"/>
    <w:uiPriority w:val="99"/>
    <w:rsid w:val="00386C4B"/>
    <w:rPr>
      <w:rFonts w:ascii="Courier New" w:hAnsi="Courier New"/>
      <w:noProof/>
      <w:color w:val="008080"/>
    </w:rPr>
  </w:style>
  <w:style w:type="character" w:customStyle="1" w:styleId="tw4winExternal">
    <w:name w:val="tw4winExternal"/>
    <w:uiPriority w:val="99"/>
    <w:rsid w:val="00386C4B"/>
    <w:rPr>
      <w:rFonts w:ascii="Courier New" w:hAnsi="Courier New"/>
      <w:noProof/>
      <w:color w:val="808080"/>
    </w:rPr>
  </w:style>
  <w:style w:type="character" w:customStyle="1" w:styleId="tw4winInternal">
    <w:name w:val="tw4winInternal"/>
    <w:uiPriority w:val="99"/>
    <w:rsid w:val="00386C4B"/>
    <w:rPr>
      <w:rFonts w:ascii="Courier New" w:hAnsi="Courier New"/>
      <w:noProof/>
      <w:color w:val="FF0000"/>
    </w:rPr>
  </w:style>
  <w:style w:type="character" w:customStyle="1" w:styleId="DONOTTRANSLATE">
    <w:name w:val="DO_NOT_TRANSLATE"/>
    <w:uiPriority w:val="99"/>
    <w:rsid w:val="00386C4B"/>
    <w:rPr>
      <w:rFonts w:ascii="Courier New" w:hAnsi="Courier New"/>
      <w:noProof/>
      <w:color w:val="800000"/>
    </w:rPr>
  </w:style>
  <w:style w:type="paragraph" w:styleId="Debesliotekstas">
    <w:name w:val="Balloon Text"/>
    <w:basedOn w:val="prastasis"/>
    <w:link w:val="DebesliotekstasDiagrama"/>
    <w:uiPriority w:val="99"/>
    <w:rsid w:val="00386C4B"/>
    <w:pPr>
      <w:spacing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rsid w:val="00386C4B"/>
    <w:rPr>
      <w:rFonts w:ascii="Tahoma" w:eastAsia="Times New Roman" w:hAnsi="Tahoma" w:cs="Times New Roman"/>
      <w:snapToGrid w:val="0"/>
      <w:sz w:val="16"/>
      <w:szCs w:val="16"/>
      <w:lang w:val="lt-LT"/>
    </w:rPr>
  </w:style>
  <w:style w:type="character" w:styleId="Komentaronuoroda">
    <w:name w:val="annotation reference"/>
    <w:rsid w:val="00386C4B"/>
    <w:rPr>
      <w:sz w:val="16"/>
      <w:szCs w:val="16"/>
    </w:rPr>
  </w:style>
  <w:style w:type="paragraph" w:styleId="Komentarotekstas">
    <w:name w:val="annotation text"/>
    <w:basedOn w:val="prastasis"/>
    <w:link w:val="KomentarotekstasDiagrama"/>
    <w:rsid w:val="00386C4B"/>
    <w:rPr>
      <w:sz w:val="20"/>
    </w:rPr>
  </w:style>
  <w:style w:type="character" w:customStyle="1" w:styleId="KomentarotekstasDiagrama">
    <w:name w:val="Komentaro tekstas Diagrama"/>
    <w:basedOn w:val="Numatytasispastraiposriftas"/>
    <w:link w:val="Komentarotekstas"/>
    <w:rsid w:val="00386C4B"/>
    <w:rPr>
      <w:rFonts w:ascii="Times New Roman" w:eastAsia="Times New Roman" w:hAnsi="Times New Roman" w:cs="Times New Roman"/>
      <w:snapToGrid w:val="0"/>
      <w:sz w:val="20"/>
      <w:szCs w:val="20"/>
      <w:lang w:val="lt-LT"/>
    </w:rPr>
  </w:style>
  <w:style w:type="paragraph" w:styleId="Komentarotema">
    <w:name w:val="annotation subject"/>
    <w:basedOn w:val="Komentarotekstas"/>
    <w:next w:val="Komentarotekstas"/>
    <w:link w:val="KomentarotemaDiagrama"/>
    <w:uiPriority w:val="99"/>
    <w:rsid w:val="00386C4B"/>
    <w:rPr>
      <w:b/>
      <w:bCs/>
    </w:rPr>
  </w:style>
  <w:style w:type="character" w:customStyle="1" w:styleId="KomentarotemaDiagrama">
    <w:name w:val="Komentaro tema Diagrama"/>
    <w:basedOn w:val="KomentarotekstasDiagrama"/>
    <w:link w:val="Komentarotema"/>
    <w:uiPriority w:val="99"/>
    <w:rsid w:val="00386C4B"/>
    <w:rPr>
      <w:rFonts w:ascii="Times New Roman" w:eastAsia="Times New Roman" w:hAnsi="Times New Roman" w:cs="Times New Roman"/>
      <w:b/>
      <w:bCs/>
      <w:snapToGrid w:val="0"/>
      <w:sz w:val="20"/>
      <w:szCs w:val="20"/>
      <w:lang w:val="lt-LT"/>
    </w:rPr>
  </w:style>
  <w:style w:type="paragraph" w:styleId="Pataisymai">
    <w:name w:val="Revision"/>
    <w:hidden/>
    <w:uiPriority w:val="99"/>
    <w:semiHidden/>
    <w:rsid w:val="00386C4B"/>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386C4B"/>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386C4B"/>
    <w:rPr>
      <w:rFonts w:ascii="Courier New" w:hAnsi="Courier New"/>
      <w:vanish/>
      <w:color w:val="800080"/>
      <w:sz w:val="24"/>
      <w:vertAlign w:val="subscript"/>
    </w:rPr>
  </w:style>
  <w:style w:type="paragraph" w:styleId="Antrats">
    <w:name w:val="header"/>
    <w:basedOn w:val="prastasis"/>
    <w:link w:val="AntratsDiagrama"/>
    <w:uiPriority w:val="99"/>
    <w:rsid w:val="00386C4B"/>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386C4B"/>
    <w:rPr>
      <w:rFonts w:ascii="Times New Roman" w:eastAsia="SimSun" w:hAnsi="Times New Roman" w:cs="Times New Roman"/>
      <w:szCs w:val="20"/>
      <w:lang w:val="lt-LT" w:eastAsia="zh-CN"/>
    </w:rPr>
  </w:style>
  <w:style w:type="paragraph" w:styleId="Dokumentostruktra">
    <w:name w:val="Document Map"/>
    <w:basedOn w:val="prastasis"/>
    <w:link w:val="DokumentostruktraDiagrama"/>
    <w:uiPriority w:val="99"/>
    <w:rsid w:val="00386C4B"/>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386C4B"/>
    <w:rPr>
      <w:rFonts w:ascii="Tahoma" w:eastAsia="SimSun" w:hAnsi="Tahoma" w:cs="Times New Roman"/>
      <w:sz w:val="20"/>
      <w:szCs w:val="20"/>
      <w:shd w:val="clear" w:color="auto" w:fill="000080"/>
      <w:lang w:val="lt-LT" w:eastAsia="zh-CN"/>
    </w:rPr>
  </w:style>
  <w:style w:type="paragraph" w:styleId="Pagrindiniotekstotrauka">
    <w:name w:val="Body Text Indent"/>
    <w:basedOn w:val="prastasis"/>
    <w:link w:val="PagrindiniotekstotraukaDiagrama"/>
    <w:uiPriority w:val="99"/>
    <w:rsid w:val="00386C4B"/>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386C4B"/>
    <w:rPr>
      <w:rFonts w:ascii="Times New Roman" w:eastAsia="SimSun" w:hAnsi="Times New Roman" w:cs="Times New Roman"/>
      <w:lang w:val="lt-LT" w:eastAsia="en-GB"/>
    </w:rPr>
  </w:style>
  <w:style w:type="paragraph" w:styleId="Pagrindinistekstas3">
    <w:name w:val="Body Text 3"/>
    <w:basedOn w:val="prastasis"/>
    <w:link w:val="Pagrindinistekstas3Diagrama"/>
    <w:uiPriority w:val="99"/>
    <w:rsid w:val="00386C4B"/>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uiPriority w:val="99"/>
    <w:rsid w:val="00386C4B"/>
    <w:rPr>
      <w:rFonts w:ascii="Times New Roman" w:eastAsia="SimSun" w:hAnsi="Times New Roman" w:cs="Times New Roman"/>
      <w:color w:val="0000FF"/>
      <w:lang w:val="lt-LT" w:eastAsia="en-GB"/>
    </w:rPr>
  </w:style>
  <w:style w:type="paragraph" w:styleId="Pagrindiniotekstotrauka2">
    <w:name w:val="Body Text Indent 2"/>
    <w:basedOn w:val="prastasis"/>
    <w:link w:val="Pagrindiniotekstotrauka2Diagrama"/>
    <w:uiPriority w:val="99"/>
    <w:rsid w:val="00386C4B"/>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386C4B"/>
    <w:rPr>
      <w:rFonts w:ascii="Times New Roman" w:eastAsia="SimSun" w:hAnsi="Times New Roman" w:cs="Times New Roman"/>
      <w:b/>
      <w:bCs/>
      <w:color w:val="0000FF"/>
      <w:lang w:val="lt-LT"/>
    </w:rPr>
  </w:style>
  <w:style w:type="paragraph" w:styleId="Pagrindinistekstas">
    <w:name w:val="Body Text"/>
    <w:basedOn w:val="prastasis"/>
    <w:link w:val="PagrindinistekstasDiagrama"/>
    <w:uiPriority w:val="99"/>
    <w:rsid w:val="00386C4B"/>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uiPriority w:val="99"/>
    <w:rsid w:val="00386C4B"/>
    <w:rPr>
      <w:rFonts w:ascii="Times New Roman" w:eastAsia="SimSun" w:hAnsi="Times New Roman" w:cs="Times New Roman"/>
      <w:i/>
      <w:color w:val="008000"/>
      <w:szCs w:val="20"/>
      <w:lang w:val="lt-LT"/>
    </w:rPr>
  </w:style>
  <w:style w:type="paragraph" w:styleId="Pagrindinistekstas2">
    <w:name w:val="Body Text 2"/>
    <w:basedOn w:val="prastasis"/>
    <w:link w:val="Pagrindinistekstas2Diagrama"/>
    <w:uiPriority w:val="99"/>
    <w:rsid w:val="00386C4B"/>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uiPriority w:val="99"/>
    <w:rsid w:val="00386C4B"/>
    <w:rPr>
      <w:rFonts w:ascii="Times New Roman" w:eastAsia="SimSun" w:hAnsi="Times New Roman" w:cs="Times New Roman"/>
      <w:b/>
      <w:bCs/>
      <w:color w:val="0000FF"/>
      <w:u w:val="single"/>
      <w:lang w:val="lt-LT"/>
    </w:rPr>
  </w:style>
  <w:style w:type="paragraph" w:customStyle="1" w:styleId="AHeader1">
    <w:name w:val="AHeader 1"/>
    <w:basedOn w:val="prastasis"/>
    <w:uiPriority w:val="99"/>
    <w:rsid w:val="00386C4B"/>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386C4B"/>
    <w:pPr>
      <w:tabs>
        <w:tab w:val="clear" w:pos="720"/>
        <w:tab w:val="num" w:pos="360"/>
      </w:tabs>
      <w:ind w:left="709" w:hanging="425"/>
    </w:pPr>
    <w:rPr>
      <w:sz w:val="22"/>
    </w:rPr>
  </w:style>
  <w:style w:type="paragraph" w:customStyle="1" w:styleId="AHeader3">
    <w:name w:val="AHeader 3"/>
    <w:basedOn w:val="AHeader2"/>
    <w:uiPriority w:val="99"/>
    <w:rsid w:val="00386C4B"/>
    <w:pPr>
      <w:ind w:left="1276" w:hanging="567"/>
    </w:pPr>
  </w:style>
  <w:style w:type="paragraph" w:customStyle="1" w:styleId="AHeader2abc">
    <w:name w:val="AHeader 2 abc"/>
    <w:basedOn w:val="AHeader3"/>
    <w:uiPriority w:val="99"/>
    <w:rsid w:val="00386C4B"/>
    <w:pPr>
      <w:jc w:val="both"/>
    </w:pPr>
    <w:rPr>
      <w:b w:val="0"/>
      <w:bCs w:val="0"/>
    </w:rPr>
  </w:style>
  <w:style w:type="paragraph" w:customStyle="1" w:styleId="AHeader3abc">
    <w:name w:val="AHeader 3 abc"/>
    <w:basedOn w:val="AHeader2abc"/>
    <w:uiPriority w:val="99"/>
    <w:rsid w:val="00386C4B"/>
    <w:pPr>
      <w:ind w:left="1701" w:hanging="425"/>
    </w:pPr>
  </w:style>
  <w:style w:type="paragraph" w:styleId="Pagrindiniotekstotrauka3">
    <w:name w:val="Body Text Indent 3"/>
    <w:basedOn w:val="prastasis"/>
    <w:link w:val="Pagrindiniotekstotrauka3Diagrama"/>
    <w:uiPriority w:val="99"/>
    <w:rsid w:val="00386C4B"/>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386C4B"/>
    <w:rPr>
      <w:rFonts w:ascii="Times New Roman" w:eastAsia="SimSun" w:hAnsi="Times New Roman" w:cs="Times New Roman"/>
      <w:szCs w:val="21"/>
      <w:lang w:val="lt-LT"/>
    </w:rPr>
  </w:style>
  <w:style w:type="character" w:styleId="Perirtashipersaitas">
    <w:name w:val="FollowedHyperlink"/>
    <w:uiPriority w:val="99"/>
    <w:rsid w:val="00386C4B"/>
    <w:rPr>
      <w:rFonts w:cs="Times New Roman"/>
      <w:color w:val="800080"/>
      <w:u w:val="single"/>
    </w:rPr>
  </w:style>
  <w:style w:type="character" w:styleId="Grietas">
    <w:name w:val="Strong"/>
    <w:uiPriority w:val="99"/>
    <w:qFormat/>
    <w:rsid w:val="00386C4B"/>
    <w:rPr>
      <w:rFonts w:cs="Times New Roman"/>
      <w:b/>
      <w:bCs/>
    </w:rPr>
  </w:style>
  <w:style w:type="character" w:customStyle="1" w:styleId="BodytextAgencyChar">
    <w:name w:val="Body text (Agency) Char"/>
    <w:link w:val="BodytextAgency"/>
    <w:uiPriority w:val="99"/>
    <w:locked/>
    <w:rsid w:val="00386C4B"/>
    <w:rPr>
      <w:rFonts w:ascii="Verdana" w:eastAsia="Times New Roman" w:hAnsi="Verdana" w:cs="Times New Roman"/>
      <w:snapToGrid w:val="0"/>
      <w:sz w:val="18"/>
      <w:szCs w:val="20"/>
      <w:lang w:val="lt-LT"/>
    </w:rPr>
  </w:style>
  <w:style w:type="table" w:customStyle="1" w:styleId="TablegridAgencyblack">
    <w:name w:val="Table grid (Agency) black"/>
    <w:uiPriority w:val="99"/>
    <w:semiHidden/>
    <w:rsid w:val="00386C4B"/>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386C4B"/>
    <w:pPr>
      <w:keepNext/>
    </w:pPr>
    <w:rPr>
      <w:rFonts w:eastAsia="SimSun" w:cs="Verdana"/>
      <w:b/>
      <w:snapToGrid/>
      <w:szCs w:val="18"/>
      <w:lang w:eastAsia="en-GB"/>
    </w:rPr>
  </w:style>
  <w:style w:type="character" w:customStyle="1" w:styleId="NormalAgencyChar">
    <w:name w:val="Normal (Agency) Char"/>
    <w:link w:val="NormalAgency"/>
    <w:uiPriority w:val="99"/>
    <w:locked/>
    <w:rsid w:val="00386C4B"/>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386C4B"/>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386C4B"/>
    <w:rPr>
      <w:rFonts w:ascii="Courier New" w:eastAsia="SimSun" w:hAnsi="Courier New" w:cs="Times New Roman"/>
      <w:sz w:val="20"/>
      <w:szCs w:val="20"/>
    </w:rPr>
  </w:style>
  <w:style w:type="paragraph" w:customStyle="1" w:styleId="Default">
    <w:name w:val="Default"/>
    <w:rsid w:val="00386C4B"/>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Pavadinimas">
    <w:name w:val="Title"/>
    <w:basedOn w:val="prastasis"/>
    <w:link w:val="PavadinimasDiagrama"/>
    <w:uiPriority w:val="99"/>
    <w:qFormat/>
    <w:rsid w:val="00386C4B"/>
    <w:pPr>
      <w:tabs>
        <w:tab w:val="clear" w:pos="567"/>
      </w:tabs>
      <w:spacing w:line="240" w:lineRule="auto"/>
      <w:jc w:val="center"/>
    </w:pPr>
    <w:rPr>
      <w:rFonts w:eastAsia="SimSun"/>
      <w:b/>
      <w:snapToGrid/>
    </w:rPr>
  </w:style>
  <w:style w:type="character" w:customStyle="1" w:styleId="PavadinimasDiagrama">
    <w:name w:val="Pavadinimas Diagrama"/>
    <w:basedOn w:val="Numatytasispastraiposriftas"/>
    <w:link w:val="Pavadinimas"/>
    <w:uiPriority w:val="99"/>
    <w:rsid w:val="00386C4B"/>
    <w:rPr>
      <w:rFonts w:ascii="Times New Roman" w:eastAsia="SimSun" w:hAnsi="Times New Roman" w:cs="Times New Roman"/>
      <w:b/>
      <w:szCs w:val="20"/>
      <w:lang w:val="lt-LT"/>
    </w:rPr>
  </w:style>
  <w:style w:type="paragraph" w:styleId="Dokumentoinaostekstas">
    <w:name w:val="endnote text"/>
    <w:basedOn w:val="prastasis"/>
    <w:link w:val="DokumentoinaostekstasDiagrama"/>
    <w:uiPriority w:val="99"/>
    <w:rsid w:val="00386C4B"/>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sid w:val="00386C4B"/>
    <w:rPr>
      <w:rFonts w:ascii="Times New Roman" w:eastAsia="SimSun" w:hAnsi="Times New Roman" w:cs="Times New Roman"/>
      <w:szCs w:val="20"/>
      <w:lang w:val="lt-LT"/>
    </w:rPr>
  </w:style>
  <w:style w:type="paragraph" w:customStyle="1" w:styleId="BTEMEASMCA">
    <w:name w:val="BT EMEA_SMCA"/>
    <w:basedOn w:val="prastasis"/>
    <w:link w:val="BTEMEASMCAChar"/>
    <w:autoRedefine/>
    <w:uiPriority w:val="99"/>
    <w:rsid w:val="00386C4B"/>
    <w:pPr>
      <w:tabs>
        <w:tab w:val="clear" w:pos="567"/>
      </w:tabs>
      <w:spacing w:line="240" w:lineRule="auto"/>
    </w:pPr>
    <w:rPr>
      <w:rFonts w:eastAsia="SimSun"/>
      <w:noProof/>
      <w:snapToGrid/>
      <w:sz w:val="20"/>
    </w:rPr>
  </w:style>
  <w:style w:type="character" w:customStyle="1" w:styleId="BTEMEASMCAChar">
    <w:name w:val="BT EMEA_SMCA Char"/>
    <w:link w:val="BTEMEASMCA"/>
    <w:uiPriority w:val="99"/>
    <w:locked/>
    <w:rsid w:val="00386C4B"/>
    <w:rPr>
      <w:rFonts w:ascii="Times New Roman" w:eastAsia="SimSun" w:hAnsi="Times New Roman" w:cs="Times New Roman"/>
      <w:noProof/>
      <w:sz w:val="20"/>
      <w:szCs w:val="20"/>
      <w:lang w:val="lt-LT"/>
    </w:rPr>
  </w:style>
  <w:style w:type="character" w:customStyle="1" w:styleId="CharChar12">
    <w:name w:val="Char Char12"/>
    <w:locked/>
    <w:rsid w:val="00386C4B"/>
    <w:rPr>
      <w:snapToGrid w:val="0"/>
      <w:lang w:val="en-GB" w:eastAsia="en-US" w:bidi="ar-SA"/>
    </w:rPr>
  </w:style>
  <w:style w:type="numbering" w:customStyle="1" w:styleId="NoList1">
    <w:name w:val="No List1"/>
    <w:next w:val="Sraonra"/>
    <w:uiPriority w:val="99"/>
    <w:semiHidden/>
    <w:unhideWhenUsed/>
    <w:rsid w:val="00386C4B"/>
  </w:style>
  <w:style w:type="character" w:customStyle="1" w:styleId="Heading4Char1">
    <w:name w:val="Heading 4 Char1"/>
    <w:uiPriority w:val="99"/>
    <w:locked/>
    <w:rsid w:val="00386C4B"/>
    <w:rPr>
      <w:rFonts w:ascii="Times New Roman" w:eastAsia="SimSun" w:hAnsi="Times New Roman" w:cs="Times New Roman"/>
      <w:b/>
      <w:noProof/>
      <w:sz w:val="20"/>
      <w:szCs w:val="20"/>
      <w:lang w:val="en-GB" w:eastAsia="lt-LT"/>
    </w:rPr>
  </w:style>
  <w:style w:type="character" w:customStyle="1" w:styleId="hps">
    <w:name w:val="hps"/>
    <w:uiPriority w:val="99"/>
    <w:rsid w:val="00386C4B"/>
  </w:style>
  <w:style w:type="paragraph" w:customStyle="1" w:styleId="ListParagraph1">
    <w:name w:val="List Paragraph1"/>
    <w:basedOn w:val="prastasis"/>
    <w:uiPriority w:val="99"/>
    <w:rsid w:val="00386C4B"/>
    <w:pPr>
      <w:tabs>
        <w:tab w:val="clear" w:pos="567"/>
      </w:tabs>
      <w:spacing w:line="240" w:lineRule="auto"/>
      <w:ind w:left="720"/>
      <w:contextualSpacing/>
    </w:pPr>
    <w:rPr>
      <w:rFonts w:eastAsia="SimSun"/>
      <w:snapToGrid/>
      <w:sz w:val="24"/>
      <w:szCs w:val="24"/>
      <w:lang w:val="en-GB" w:eastAsia="el-GR"/>
    </w:rPr>
  </w:style>
  <w:style w:type="paragraph" w:styleId="prastasiniatinklio">
    <w:name w:val="Normal (Web)"/>
    <w:basedOn w:val="prastasis"/>
    <w:uiPriority w:val="99"/>
    <w:rsid w:val="00386C4B"/>
    <w:pPr>
      <w:tabs>
        <w:tab w:val="clear" w:pos="567"/>
      </w:tabs>
      <w:spacing w:before="100" w:beforeAutospacing="1" w:after="100" w:afterAutospacing="1" w:line="240" w:lineRule="auto"/>
    </w:pPr>
    <w:rPr>
      <w:rFonts w:eastAsia="SimSun"/>
      <w:snapToGrid/>
      <w:sz w:val="24"/>
      <w:szCs w:val="24"/>
      <w:lang w:val="pl-PL" w:eastAsia="pl-PL"/>
    </w:rPr>
  </w:style>
  <w:style w:type="paragraph" w:styleId="Turinys1">
    <w:name w:val="toc 1"/>
    <w:basedOn w:val="prastasis"/>
    <w:next w:val="prastasis"/>
    <w:autoRedefine/>
    <w:uiPriority w:val="99"/>
    <w:rsid w:val="00386C4B"/>
    <w:pPr>
      <w:tabs>
        <w:tab w:val="clear" w:pos="567"/>
      </w:tabs>
      <w:spacing w:line="240" w:lineRule="auto"/>
    </w:pPr>
    <w:rPr>
      <w:rFonts w:eastAsia="SimSun"/>
      <w:snapToGrid/>
      <w:sz w:val="24"/>
      <w:szCs w:val="24"/>
      <w:lang w:val="en-GB" w:eastAsia="en-GB"/>
    </w:rPr>
  </w:style>
  <w:style w:type="paragraph" w:customStyle="1" w:styleId="CM14">
    <w:name w:val="CM14"/>
    <w:basedOn w:val="Default"/>
    <w:next w:val="Default"/>
    <w:uiPriority w:val="99"/>
    <w:rsid w:val="00386C4B"/>
    <w:pPr>
      <w:widowControl w:val="0"/>
      <w:spacing w:after="268"/>
    </w:pPr>
    <w:rPr>
      <w:color w:val="auto"/>
      <w:lang w:val="el-GR" w:eastAsia="el-GR"/>
    </w:rPr>
  </w:style>
  <w:style w:type="paragraph" w:customStyle="1" w:styleId="CM4">
    <w:name w:val="CM4"/>
    <w:basedOn w:val="Default"/>
    <w:next w:val="Default"/>
    <w:uiPriority w:val="99"/>
    <w:rsid w:val="00386C4B"/>
    <w:pPr>
      <w:widowControl w:val="0"/>
      <w:spacing w:line="276" w:lineRule="atLeast"/>
    </w:pPr>
    <w:rPr>
      <w:color w:val="auto"/>
      <w:lang w:val="el-GR" w:eastAsia="el-GR"/>
    </w:rPr>
  </w:style>
  <w:style w:type="paragraph" w:customStyle="1" w:styleId="leipa">
    <w:name w:val="leipa"/>
    <w:basedOn w:val="prastasis"/>
    <w:uiPriority w:val="99"/>
    <w:rsid w:val="00386C4B"/>
    <w:pPr>
      <w:tabs>
        <w:tab w:val="clear" w:pos="567"/>
      </w:tabs>
      <w:spacing w:before="100" w:beforeAutospacing="1" w:after="100" w:afterAutospacing="1" w:line="240" w:lineRule="auto"/>
    </w:pPr>
    <w:rPr>
      <w:rFonts w:ascii="Arial Unicode MS" w:eastAsia="Arial Unicode MS" w:cs="Arial Unicode MS"/>
      <w:snapToGrid/>
      <w:sz w:val="24"/>
      <w:szCs w:val="24"/>
      <w:lang w:val="de-DE" w:eastAsia="de-DE"/>
    </w:rPr>
  </w:style>
  <w:style w:type="paragraph" w:customStyle="1" w:styleId="CM1">
    <w:name w:val="CM1"/>
    <w:basedOn w:val="Default"/>
    <w:next w:val="Default"/>
    <w:uiPriority w:val="99"/>
    <w:rsid w:val="00386C4B"/>
    <w:pPr>
      <w:widowControl w:val="0"/>
    </w:pPr>
    <w:rPr>
      <w:rFonts w:ascii="Courier" w:hAnsi="Courier" w:cs="Courier"/>
      <w:color w:val="auto"/>
      <w:lang w:val="el-GR" w:eastAsia="el-GR"/>
    </w:rPr>
  </w:style>
  <w:style w:type="paragraph" w:customStyle="1" w:styleId="CM50">
    <w:name w:val="CM50"/>
    <w:basedOn w:val="Default"/>
    <w:next w:val="Default"/>
    <w:uiPriority w:val="99"/>
    <w:rsid w:val="00386C4B"/>
    <w:pPr>
      <w:widowControl w:val="0"/>
      <w:spacing w:after="350"/>
    </w:pPr>
    <w:rPr>
      <w:color w:val="auto"/>
      <w:lang w:eastAsia="en-US"/>
    </w:rPr>
  </w:style>
  <w:style w:type="paragraph" w:customStyle="1" w:styleId="CM48">
    <w:name w:val="CM48"/>
    <w:basedOn w:val="Default"/>
    <w:next w:val="Default"/>
    <w:uiPriority w:val="99"/>
    <w:rsid w:val="00386C4B"/>
    <w:pPr>
      <w:widowControl w:val="0"/>
      <w:spacing w:after="258"/>
    </w:pPr>
    <w:rPr>
      <w:color w:val="auto"/>
      <w:lang w:eastAsia="en-US"/>
    </w:rPr>
  </w:style>
  <w:style w:type="character" w:customStyle="1" w:styleId="shorttext">
    <w:name w:val="short_text"/>
    <w:uiPriority w:val="99"/>
    <w:rsid w:val="00386C4B"/>
  </w:style>
  <w:style w:type="paragraph" w:customStyle="1" w:styleId="Revision1">
    <w:name w:val="Revision1"/>
    <w:hidden/>
    <w:uiPriority w:val="99"/>
    <w:semiHidden/>
    <w:rsid w:val="00386C4B"/>
    <w:pPr>
      <w:spacing w:after="0" w:line="240" w:lineRule="auto"/>
    </w:pPr>
    <w:rPr>
      <w:rFonts w:ascii="Times New Roman" w:eastAsia="SimSun" w:hAnsi="Times New Roman" w:cs="Times New Roman"/>
      <w:szCs w:val="20"/>
      <w:lang w:val="en-GB" w:eastAsia="zh-CN"/>
    </w:rPr>
  </w:style>
  <w:style w:type="character" w:customStyle="1" w:styleId="st">
    <w:name w:val="st"/>
    <w:uiPriority w:val="99"/>
    <w:rsid w:val="00386C4B"/>
  </w:style>
  <w:style w:type="character" w:styleId="Emfaz">
    <w:name w:val="Emphasis"/>
    <w:uiPriority w:val="99"/>
    <w:qFormat/>
    <w:rsid w:val="00386C4B"/>
    <w:rPr>
      <w:rFonts w:cs="Times New Roman"/>
      <w:i/>
    </w:rPr>
  </w:style>
  <w:style w:type="character" w:customStyle="1" w:styleId="st1">
    <w:name w:val="st1"/>
    <w:uiPriority w:val="99"/>
    <w:rsid w:val="00386C4B"/>
  </w:style>
  <w:style w:type="paragraph" w:customStyle="1" w:styleId="Sraopastraipa1">
    <w:name w:val="Sąrao pastraipa1"/>
    <w:basedOn w:val="prastasis"/>
    <w:uiPriority w:val="99"/>
    <w:rsid w:val="00386C4B"/>
    <w:pPr>
      <w:tabs>
        <w:tab w:val="clear" w:pos="567"/>
      </w:tabs>
      <w:spacing w:line="240" w:lineRule="auto"/>
      <w:ind w:left="720"/>
      <w:contextualSpacing/>
    </w:pPr>
    <w:rPr>
      <w:rFonts w:eastAsia="SimSun"/>
      <w:snapToGrid/>
      <w:sz w:val="24"/>
      <w:szCs w:val="24"/>
      <w:lang w:val="en-GB" w:eastAsia="el-GR"/>
    </w:rPr>
  </w:style>
  <w:style w:type="paragraph" w:customStyle="1" w:styleId="Pataisymai1">
    <w:name w:val="Pataisymai1"/>
    <w:hidden/>
    <w:uiPriority w:val="99"/>
    <w:semiHidden/>
    <w:rsid w:val="00386C4B"/>
    <w:pPr>
      <w:spacing w:after="0" w:line="240" w:lineRule="auto"/>
    </w:pPr>
    <w:rPr>
      <w:rFonts w:ascii="Times New Roman" w:eastAsia="SimSun" w:hAnsi="Times New Roman" w:cs="Times New Roman"/>
      <w:szCs w:val="20"/>
      <w:lang w:val="en-GB" w:eastAsia="zh-CN"/>
    </w:rPr>
  </w:style>
  <w:style w:type="paragraph" w:styleId="Sraopastraipa">
    <w:name w:val="List Paragraph"/>
    <w:basedOn w:val="prastasis"/>
    <w:uiPriority w:val="99"/>
    <w:qFormat/>
    <w:rsid w:val="00386C4B"/>
    <w:pPr>
      <w:tabs>
        <w:tab w:val="clear" w:pos="567"/>
      </w:tabs>
      <w:spacing w:after="200" w:line="276" w:lineRule="auto"/>
      <w:ind w:left="720"/>
      <w:contextualSpacing/>
    </w:pPr>
    <w:rPr>
      <w:rFonts w:ascii="Calibri" w:eastAsia="Calibri" w:hAnsi="Calibri"/>
      <w:snapToGrid/>
      <w:szCs w:val="22"/>
    </w:rPr>
  </w:style>
  <w:style w:type="table" w:styleId="Lentelstinklelis">
    <w:name w:val="Table Grid"/>
    <w:basedOn w:val="prastojilentel"/>
    <w:uiPriority w:val="99"/>
    <w:rsid w:val="00386C4B"/>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2">
    <w:name w:val="List Bullet 2"/>
    <w:basedOn w:val="Sraassuenkleliais"/>
    <w:rsid w:val="00386C4B"/>
    <w:pPr>
      <w:numPr>
        <w:numId w:val="25"/>
      </w:numPr>
      <w:tabs>
        <w:tab w:val="clear" w:pos="425"/>
        <w:tab w:val="num" w:pos="720"/>
        <w:tab w:val="left" w:pos="850"/>
      </w:tabs>
      <w:spacing w:after="0" w:line="260" w:lineRule="exact"/>
      <w:ind w:left="284" w:hanging="284"/>
      <w:contextualSpacing w:val="0"/>
      <w:jc w:val="both"/>
    </w:pPr>
    <w:rPr>
      <w:rFonts w:ascii="Times New Roman" w:eastAsia="Times New Roman" w:hAnsi="Times New Roman"/>
      <w:sz w:val="24"/>
      <w:szCs w:val="24"/>
      <w:lang w:val="en-GB" w:eastAsia="en-GB"/>
    </w:rPr>
  </w:style>
  <w:style w:type="paragraph" w:styleId="Sraassuenkleliais">
    <w:name w:val="List Bullet"/>
    <w:basedOn w:val="prastasis"/>
    <w:uiPriority w:val="99"/>
    <w:semiHidden/>
    <w:unhideWhenUsed/>
    <w:rsid w:val="00386C4B"/>
    <w:pPr>
      <w:tabs>
        <w:tab w:val="clear" w:pos="567"/>
        <w:tab w:val="num" w:pos="360"/>
      </w:tabs>
      <w:spacing w:after="200" w:line="276" w:lineRule="auto"/>
      <w:contextualSpacing/>
    </w:pPr>
    <w:rPr>
      <w:rFonts w:ascii="Calibri" w:eastAsia="Calibri" w:hAnsi="Calibri"/>
      <w:snapToGrid/>
      <w:szCs w:val="22"/>
    </w:rPr>
  </w:style>
  <w:style w:type="table" w:customStyle="1" w:styleId="TablegridAgencyblack1">
    <w:name w:val="Table grid (Agency) black1"/>
    <w:uiPriority w:val="99"/>
    <w:semiHidden/>
    <w:rsid w:val="00386C4B"/>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NormaLT">
    <w:name w:val="NormaLT"/>
    <w:basedOn w:val="prastasis"/>
    <w:rsid w:val="00386C4B"/>
    <w:pPr>
      <w:tabs>
        <w:tab w:val="clear" w:pos="567"/>
        <w:tab w:val="left" w:pos="425"/>
      </w:tabs>
      <w:spacing w:line="240" w:lineRule="auto"/>
      <w:jc w:val="both"/>
    </w:pPr>
    <w:rPr>
      <w:rFonts w:ascii="Arial" w:hAnsi="Arial"/>
      <w:snapToGrid/>
      <w:sz w:val="24"/>
    </w:rPr>
  </w:style>
  <w:style w:type="character" w:customStyle="1" w:styleId="tlid-translation">
    <w:name w:val="tlid-translation"/>
    <w:basedOn w:val="Numatytasispastraiposriftas"/>
    <w:rsid w:val="00BA1B90"/>
  </w:style>
  <w:style w:type="character" w:customStyle="1" w:styleId="Internetosaitas">
    <w:name w:val="Interneto saitas"/>
    <w:basedOn w:val="Numatytasispastraiposriftas"/>
    <w:rsid w:val="00C768C4"/>
    <w:rPr>
      <w:color w:val="0000FF"/>
      <w:u w:val="single"/>
    </w:rPr>
  </w:style>
  <w:style w:type="character" w:customStyle="1" w:styleId="q4iawc">
    <w:name w:val="q4iawc"/>
    <w:basedOn w:val="Numatytasispastraiposriftas"/>
    <w:rsid w:val="00507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483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4E4AB92036B444898921BC5313F335A" ma:contentTypeVersion="4" ma:contentTypeDescription="Create a new document." ma:contentTypeScope="" ma:versionID="055432e77eef0a574d8dad6c69d14172">
  <xsd:schema xmlns:xsd="http://www.w3.org/2001/XMLSchema" xmlns:xs="http://www.w3.org/2001/XMLSchema" xmlns:p="http://schemas.microsoft.com/office/2006/metadata/properties" xmlns:ns2="8caceea9-b5d0-4f55-9d79-4284f92dc6b7" targetNamespace="http://schemas.microsoft.com/office/2006/metadata/properties" ma:root="true" ma:fieldsID="6af46d7602b0efd1fee665a851cc626e" ns2:_="">
    <xsd:import namespace="8caceea9-b5d0-4f55-9d79-4284f92dc6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ceea9-b5d0-4f55-9d79-4284f92dc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88BD6E-98E3-42E6-BAAC-F789E4D2E847}">
  <ds:schemaRefs>
    <ds:schemaRef ds:uri="http://schemas.openxmlformats.org/officeDocument/2006/bibliography"/>
  </ds:schemaRefs>
</ds:datastoreItem>
</file>

<file path=customXml/itemProps2.xml><?xml version="1.0" encoding="utf-8"?>
<ds:datastoreItem xmlns:ds="http://schemas.openxmlformats.org/officeDocument/2006/customXml" ds:itemID="{B336C2C6-6D45-4D23-9E25-E6C257369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ceea9-b5d0-4f55-9d79-4284f92d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3A8935-90EC-4125-B08E-2379EFBEC5D7}">
  <ds:schemaRefs>
    <ds:schemaRef ds:uri="http://schemas.microsoft.com/sharepoint/v3/contenttype/forms"/>
  </ds:schemaRefs>
</ds:datastoreItem>
</file>

<file path=customXml/itemProps4.xml><?xml version="1.0" encoding="utf-8"?>
<ds:datastoreItem xmlns:ds="http://schemas.openxmlformats.org/officeDocument/2006/customXml" ds:itemID="{26C2477E-6149-4E77-ACF1-5F5966C1C2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55</Pages>
  <Words>91892</Words>
  <Characters>52380</Characters>
  <Application>Microsoft Office Word</Application>
  <DocSecurity>4</DocSecurity>
  <Lines>436</Lines>
  <Paragraphs>287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143985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Pileckiene, Valentina</dc:creator>
  <cp:lastModifiedBy>Albina Burkauskaitė</cp:lastModifiedBy>
  <cp:revision>2</cp:revision>
  <dcterms:created xsi:type="dcterms:W3CDTF">2026-04-24T06:15:00Z</dcterms:created>
  <dcterms:modified xsi:type="dcterms:W3CDTF">2026-04-24T06:15:00Z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2020-12-22T13:35:00Z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296a59e7-9639-49c5-b141-6cc8cef314a3</vt:lpwstr>
  </property>
  <property fmtid="{D5CDD505-2E9C-101B-9397-08002B2CF9AE}" pid="8" name="MSIP_Label_4929bff8-5b33-42aa-95d2-28f72e792cb0_ContentBits">
    <vt:lpwstr>0</vt:lpwstr>
  </property>
  <property fmtid="{D5CDD505-2E9C-101B-9397-08002B2CF9AE}" pid="9" name="ContentTypeId">
    <vt:lpwstr>0x01010094E4AB92036B444898921BC5313F335A</vt:lpwstr>
  </property>
</Properties>
</file>