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61"/>
      <w:bookmarkStart w:id="1" w:name="_Toc129243136"/>
    </w:p>
    <w:p w:rsidR="00614B14" w:rsidRPr="00212AE6" w:rsidRDefault="00614B14" w:rsidP="00614B14">
      <w:pPr>
        <w:tabs>
          <w:tab w:val="left" w:pos="567"/>
        </w:tabs>
        <w:spacing w:after="0" w:line="240" w:lineRule="auto"/>
        <w:ind w:left="567" w:hanging="567"/>
        <w:jc w:val="center"/>
        <w:outlineLvl w:val="0"/>
        <w:rPr>
          <w:rFonts w:ascii="Times New Roman" w:eastAsia="Times New Roman" w:hAnsi="Times New Roman" w:cs="Times New Roman"/>
          <w:b/>
          <w:caps/>
        </w:rPr>
      </w:pPr>
      <w:r w:rsidRPr="00212AE6">
        <w:rPr>
          <w:rFonts w:ascii="Times New Roman" w:eastAsia="Times New Roman" w:hAnsi="Times New Roman" w:cs="Times New Roman"/>
          <w:b/>
          <w:caps/>
        </w:rPr>
        <w:t>A. ŽENKLINIMAS</w:t>
      </w:r>
      <w:bookmarkEnd w:id="0"/>
      <w:bookmarkEnd w:id="1"/>
    </w:p>
    <w:p w:rsidR="00614B14" w:rsidRPr="00212AE6" w:rsidRDefault="00614B14" w:rsidP="00614B14">
      <w:pPr>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br w:type="page"/>
      </w: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lastRenderedPageBreak/>
        <w:t>INFORMACIJA ANT IŠORINĖS PAKUOTĖS</w:t>
      </w: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KARTONO DĖŽUTĖ</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1.</w:t>
      </w:r>
      <w:r w:rsidRPr="00212AE6">
        <w:rPr>
          <w:rFonts w:ascii="Times New Roman" w:eastAsia="Times New Roman" w:hAnsi="Times New Roman" w:cs="Times New Roman"/>
          <w:b/>
          <w:noProof/>
        </w:rPr>
        <w:tab/>
        <w:t>VAISTINIO PREPARATO PAVADINIMAS</w:t>
      </w:r>
    </w:p>
    <w:p w:rsidR="00614B14" w:rsidRPr="00212AE6" w:rsidRDefault="00614B14" w:rsidP="00614B14">
      <w:pPr>
        <w:spacing w:after="0" w:line="240" w:lineRule="auto"/>
        <w:ind w:left="360" w:hanging="360"/>
        <w:rPr>
          <w:rFonts w:ascii="Times New Roman" w:eastAsia="Times New Roman" w:hAnsi="Times New Roman" w:cs="Times New Roman"/>
        </w:rPr>
      </w:pPr>
    </w:p>
    <w:p w:rsidR="00614B14" w:rsidRPr="00212AE6" w:rsidRDefault="00614B14" w:rsidP="00614B14">
      <w:pPr>
        <w:spacing w:after="0" w:line="240" w:lineRule="auto"/>
        <w:ind w:left="360" w:hanging="360"/>
        <w:rPr>
          <w:rFonts w:ascii="Times New Roman" w:eastAsia="Times New Roman" w:hAnsi="Times New Roman" w:cs="Times New Roman"/>
        </w:rPr>
      </w:pPr>
      <w:r w:rsidRPr="00212AE6">
        <w:rPr>
          <w:rFonts w:ascii="Times New Roman" w:eastAsia="Times New Roman" w:hAnsi="Times New Roman" w:cs="Times New Roman"/>
        </w:rPr>
        <w:t xml:space="preserve">TOBREX 3 mg/ml akių lašai (tirpalas) </w:t>
      </w:r>
    </w:p>
    <w:p w:rsidR="00614B14" w:rsidRPr="00212AE6" w:rsidRDefault="00614B14" w:rsidP="00614B14">
      <w:pPr>
        <w:spacing w:after="0" w:line="240" w:lineRule="auto"/>
        <w:ind w:left="360" w:hanging="360"/>
        <w:rPr>
          <w:rFonts w:ascii="Times New Roman" w:eastAsia="Times New Roman" w:hAnsi="Times New Roman" w:cs="Times New Roman"/>
        </w:rPr>
      </w:pPr>
      <w:r w:rsidRPr="00212AE6">
        <w:rPr>
          <w:rFonts w:ascii="Times New Roman" w:eastAsia="Times New Roman" w:hAnsi="Times New Roman" w:cs="Times New Roman"/>
        </w:rPr>
        <w:t>Tobramicinas</w:t>
      </w:r>
    </w:p>
    <w:p w:rsidR="00614B14" w:rsidRPr="00212AE6" w:rsidRDefault="00614B14" w:rsidP="00614B14">
      <w:pPr>
        <w:spacing w:after="0" w:line="240" w:lineRule="auto"/>
        <w:ind w:left="360" w:hanging="360"/>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2.</w:t>
      </w:r>
      <w:r w:rsidRPr="00212AE6">
        <w:rPr>
          <w:rFonts w:ascii="Times New Roman" w:eastAsia="Times New Roman" w:hAnsi="Times New Roman" w:cs="Times New Roman"/>
          <w:b/>
          <w:noProof/>
        </w:rPr>
        <w:tab/>
        <w:t>VEIKLIOJI (-IOS) MEDŽIAGA (-OS) IR JOS (-Ų) KIEKIS (-IAI)</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jc w:val="both"/>
        <w:rPr>
          <w:rFonts w:ascii="Times New Roman" w:eastAsia="Times New Roman" w:hAnsi="Times New Roman" w:cs="Times New Roman"/>
        </w:rPr>
      </w:pPr>
      <w:r w:rsidRPr="00212AE6">
        <w:rPr>
          <w:rFonts w:ascii="Times New Roman" w:eastAsia="Times New Roman" w:hAnsi="Times New Roman" w:cs="Times New Roman"/>
        </w:rPr>
        <w:t>Viename mililitre akių lašų yra 3 mg tobramicino.</w:t>
      </w:r>
    </w:p>
    <w:p w:rsidR="00614B14" w:rsidRPr="00212AE6" w:rsidRDefault="00614B14" w:rsidP="00614B14">
      <w:pPr>
        <w:spacing w:after="0" w:line="240" w:lineRule="auto"/>
        <w:jc w:val="both"/>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212AE6">
        <w:rPr>
          <w:rFonts w:ascii="Times New Roman" w:eastAsia="Times New Roman" w:hAnsi="Times New Roman" w:cs="Times New Roman"/>
          <w:b/>
          <w:noProof/>
        </w:rPr>
        <w:t>3.</w:t>
      </w:r>
      <w:r w:rsidRPr="00212AE6">
        <w:rPr>
          <w:rFonts w:ascii="Times New Roman" w:eastAsia="Times New Roman" w:hAnsi="Times New Roman" w:cs="Times New Roman"/>
          <w:b/>
          <w:noProof/>
        </w:rPr>
        <w:tab/>
        <w:t>PAGALBINIŲ MEDŽIAGŲ SĄRAŠAS</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212AE6" w:rsidP="00614B1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Pagalbinės medžiagos: b</w:t>
      </w:r>
      <w:r w:rsidR="00614B14" w:rsidRPr="00212AE6">
        <w:rPr>
          <w:rFonts w:ascii="Times New Roman" w:eastAsia="Times New Roman" w:hAnsi="Times New Roman" w:cs="Times New Roman"/>
        </w:rPr>
        <w:t>oro rūgštis (E284), bevandenis natrio sulfatas (E514), natrio chloridas, tiloksapolis, benzalkonio chloridas, natrio hidroksidas ir (arba) sulfato rūgštis (pH koreguoti), išgrynintas vanduo.</w:t>
      </w:r>
    </w:p>
    <w:p w:rsidR="00614B14" w:rsidRPr="00212AE6" w:rsidRDefault="00614B14" w:rsidP="00614B14">
      <w:pPr>
        <w:spacing w:after="0" w:line="240" w:lineRule="auto"/>
        <w:jc w:val="both"/>
        <w:rPr>
          <w:rFonts w:ascii="Times New Roman" w:eastAsia="Times New Roman" w:hAnsi="Times New Roman" w:cs="Times New Roman"/>
        </w:rPr>
      </w:pPr>
    </w:p>
    <w:p w:rsidR="00614B14" w:rsidRPr="00212AE6" w:rsidRDefault="00614B14" w:rsidP="00614B14">
      <w:pPr>
        <w:spacing w:after="0" w:line="240" w:lineRule="auto"/>
        <w:jc w:val="both"/>
        <w:rPr>
          <w:rFonts w:ascii="Times New Roman" w:eastAsia="Times New Roman" w:hAnsi="Times New Roman" w:cs="Times New Roman"/>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4.</w:t>
      </w:r>
      <w:r w:rsidRPr="00212AE6">
        <w:rPr>
          <w:rFonts w:ascii="Times New Roman" w:eastAsia="Times New Roman" w:hAnsi="Times New Roman" w:cs="Times New Roman"/>
          <w:b/>
          <w:noProof/>
        </w:rPr>
        <w:tab/>
        <w:t>FARMACINĖ FORMA IR KIEKIS PAKUOTĖJE</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highlight w:val="lightGray"/>
        </w:rPr>
        <w:t>Akių lašai (tirpalas)</w:t>
      </w:r>
      <w:r w:rsidRPr="00212AE6">
        <w:rPr>
          <w:rFonts w:ascii="Times New Roman" w:eastAsia="Times New Roman" w:hAnsi="Times New Roman" w:cs="Times New Roman"/>
          <w:noProof/>
        </w:rPr>
        <w:t xml:space="preserve"> </w:t>
      </w:r>
    </w:p>
    <w:p w:rsidR="00614B14" w:rsidRPr="00212AE6" w:rsidRDefault="00614B14" w:rsidP="00614B14">
      <w:pPr>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 xml:space="preserve">5 ml </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212AE6">
        <w:rPr>
          <w:rFonts w:ascii="Times New Roman" w:eastAsia="Times New Roman" w:hAnsi="Times New Roman" w:cs="Times New Roman"/>
          <w:b/>
          <w:noProof/>
        </w:rPr>
        <w:t>5.</w:t>
      </w:r>
      <w:r w:rsidRPr="00212AE6">
        <w:rPr>
          <w:rFonts w:ascii="Times New Roman" w:eastAsia="Times New Roman" w:hAnsi="Times New Roman" w:cs="Times New Roman"/>
          <w:b/>
          <w:noProof/>
        </w:rPr>
        <w:tab/>
        <w:t>VARTOJIMO METODAS IR BŪDAS (-AI)</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Vartoti ant akių. Prieš vartojimą perskaitykite pakuotės lapelį.</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212AE6">
        <w:rPr>
          <w:rFonts w:ascii="Times New Roman" w:eastAsia="Times New Roman" w:hAnsi="Times New Roman" w:cs="Times New Roman"/>
          <w:b/>
          <w:noProof/>
        </w:rPr>
        <w:t>6.</w:t>
      </w:r>
      <w:r w:rsidRPr="00212AE6">
        <w:rPr>
          <w:rFonts w:ascii="Times New Roman" w:eastAsia="Times New Roman" w:hAnsi="Times New Roman" w:cs="Times New Roman"/>
          <w:b/>
          <w:noProof/>
        </w:rPr>
        <w:tab/>
        <w:t>SPECIALUS ĮSPĖJIMAS, KAD VAISTINĮ PREPARATĄ BŪTINA LAIKYTI VAIKAMS NEPASTEBIMOJE IR NEPASIEKIAMOJE VIETOJE</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Laikyti vaikams nepastebimoje ir nepasiekiamoje vietoje.</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212AE6">
        <w:rPr>
          <w:rFonts w:ascii="Times New Roman" w:eastAsia="Times New Roman" w:hAnsi="Times New Roman" w:cs="Times New Roman"/>
          <w:b/>
          <w:noProof/>
        </w:rPr>
        <w:t>7.</w:t>
      </w:r>
      <w:r w:rsidRPr="00212AE6">
        <w:rPr>
          <w:rFonts w:ascii="Times New Roman" w:eastAsia="Times New Roman" w:hAnsi="Times New Roman" w:cs="Times New Roman"/>
          <w:b/>
          <w:noProof/>
        </w:rPr>
        <w:tab/>
        <w:t>KITAS (-I) SPECIALUS (-ŪS) ĮSPĖJIMAS (-AI) (JEI REIKIA)</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212AE6">
        <w:rPr>
          <w:rFonts w:ascii="Times New Roman" w:eastAsia="Times New Roman" w:hAnsi="Times New Roman" w:cs="Times New Roman"/>
          <w:b/>
          <w:noProof/>
        </w:rPr>
        <w:t>8.</w:t>
      </w:r>
      <w:r w:rsidRPr="00212AE6">
        <w:rPr>
          <w:rFonts w:ascii="Times New Roman" w:eastAsia="Times New Roman" w:hAnsi="Times New Roman" w:cs="Times New Roman"/>
          <w:b/>
          <w:noProof/>
        </w:rPr>
        <w:tab/>
        <w:t>TINKAMUMO LAIKAS</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 xml:space="preserve">Tinka iki: </w:t>
      </w:r>
      <w:r w:rsidR="00AE701C" w:rsidRPr="00212AE6">
        <w:rPr>
          <w:rFonts w:ascii="Times New Roman" w:eastAsia="Times New Roman" w:hAnsi="Times New Roman" w:cs="Times New Roman"/>
          <w:noProof/>
        </w:rPr>
        <w:t>mm/MMMM</w:t>
      </w:r>
    </w:p>
    <w:p w:rsidR="00614B14" w:rsidRPr="00212AE6" w:rsidRDefault="00614B14" w:rsidP="00614B14">
      <w:pPr>
        <w:spacing w:after="0" w:line="240" w:lineRule="auto"/>
        <w:jc w:val="both"/>
        <w:rPr>
          <w:rFonts w:ascii="Times New Roman" w:eastAsia="Times New Roman" w:hAnsi="Times New Roman" w:cs="Times New Roman"/>
        </w:rPr>
      </w:pPr>
      <w:r w:rsidRPr="00212AE6">
        <w:rPr>
          <w:rFonts w:ascii="Times New Roman" w:eastAsia="Times New Roman" w:hAnsi="Times New Roman" w:cs="Times New Roman"/>
        </w:rPr>
        <w:t xml:space="preserve">Pirmą kartą atidarius talpyklę, vaisto tinkamumo laikas: 28 paros. </w:t>
      </w:r>
    </w:p>
    <w:p w:rsidR="00614B14" w:rsidRPr="00212AE6" w:rsidRDefault="00614B14" w:rsidP="00614B14">
      <w:pPr>
        <w:spacing w:after="0" w:line="240" w:lineRule="auto"/>
        <w:jc w:val="both"/>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9.</w:t>
      </w:r>
      <w:r w:rsidRPr="00212AE6">
        <w:rPr>
          <w:rFonts w:ascii="Times New Roman" w:eastAsia="Times New Roman" w:hAnsi="Times New Roman" w:cs="Times New Roman"/>
          <w:b/>
          <w:noProof/>
        </w:rPr>
        <w:tab/>
        <w:t>SPECIALIOS LAIKYMO SĄLYGOS</w:t>
      </w:r>
    </w:p>
    <w:p w:rsidR="00614B14" w:rsidRPr="00212AE6" w:rsidRDefault="00614B14" w:rsidP="00614B14">
      <w:pPr>
        <w:spacing w:after="0" w:line="240" w:lineRule="auto"/>
        <w:rPr>
          <w:rFonts w:ascii="Times New Roman" w:eastAsia="Times New Roman" w:hAnsi="Times New Roman" w:cs="Times New Roman"/>
          <w:noProof/>
        </w:rPr>
      </w:pPr>
    </w:p>
    <w:p w:rsidR="00CC7843" w:rsidRPr="00B72CF4" w:rsidRDefault="00CC7843" w:rsidP="00CC7843">
      <w:pPr>
        <w:spacing w:after="0" w:line="240" w:lineRule="auto"/>
        <w:rPr>
          <w:rFonts w:ascii="Times New Roman" w:eastAsia="Times New Roman" w:hAnsi="Times New Roman" w:cs="Times New Roman"/>
          <w:noProof/>
        </w:rPr>
      </w:pPr>
      <w:r w:rsidRPr="00B72CF4">
        <w:rPr>
          <w:rFonts w:ascii="Times New Roman" w:eastAsia="Times New Roman" w:hAnsi="Times New Roman" w:cs="Times New Roman"/>
          <w:noProof/>
        </w:rPr>
        <w:t>Laikyti ne aukštesnėje kaip 25 °C temperatūroje.</w:t>
      </w:r>
    </w:p>
    <w:p w:rsidR="00CC7843" w:rsidRPr="00B72CF4" w:rsidRDefault="00CC7843" w:rsidP="00CC7843">
      <w:pPr>
        <w:spacing w:after="0" w:line="240" w:lineRule="auto"/>
        <w:rPr>
          <w:rFonts w:ascii="Times New Roman" w:eastAsia="Times New Roman" w:hAnsi="Times New Roman" w:cs="Times New Roman"/>
          <w:noProof/>
        </w:rPr>
      </w:pPr>
      <w:r w:rsidRPr="00B72CF4">
        <w:rPr>
          <w:rFonts w:ascii="Times New Roman" w:eastAsia="Times New Roman" w:hAnsi="Times New Roman" w:cs="Times New Roman"/>
          <w:noProof/>
        </w:rPr>
        <w:t>Talpyklę laikyti sandari</w:t>
      </w:r>
      <w:r>
        <w:rPr>
          <w:rFonts w:ascii="Times New Roman" w:eastAsia="Times New Roman" w:hAnsi="Times New Roman" w:cs="Times New Roman"/>
          <w:noProof/>
        </w:rPr>
        <w:t>ą</w:t>
      </w:r>
      <w:r w:rsidRPr="00B72CF4">
        <w:rPr>
          <w:rFonts w:ascii="Times New Roman" w:eastAsia="Times New Roman" w:hAnsi="Times New Roman" w:cs="Times New Roman"/>
          <w:noProof/>
        </w:rPr>
        <w:t>.</w:t>
      </w: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rPr>
      </w:pPr>
      <w:r w:rsidRPr="00212AE6">
        <w:rPr>
          <w:rFonts w:ascii="Times New Roman" w:eastAsia="Times New Roman" w:hAnsi="Times New Roman" w:cs="Times New Roman"/>
          <w:b/>
          <w:noProof/>
        </w:rPr>
        <w:lastRenderedPageBreak/>
        <w:t>10.</w:t>
      </w:r>
      <w:r w:rsidRPr="00212AE6">
        <w:rPr>
          <w:rFonts w:ascii="Times New Roman" w:eastAsia="Times New Roman" w:hAnsi="Times New Roman" w:cs="Times New Roman"/>
          <w:b/>
          <w:noProof/>
        </w:rPr>
        <w:tab/>
        <w:t xml:space="preserve">SPECIALIOS ATSARGUMO PRIEMONĖS DĖL NESUVARTOTO </w:t>
      </w:r>
      <w:r w:rsidRPr="00212AE6">
        <w:rPr>
          <w:rFonts w:ascii="Times New Roman" w:eastAsia="Times New Roman" w:hAnsi="Times New Roman" w:cs="Times New Roman"/>
          <w:b/>
          <w:bCs/>
          <w:noProof/>
        </w:rPr>
        <w:t xml:space="preserve">VAISTINIO PREPARATO AR JO ATLIEKŲ </w:t>
      </w:r>
      <w:r w:rsidRPr="00212AE6">
        <w:rPr>
          <w:rFonts w:ascii="Times New Roman" w:eastAsia="Times New Roman" w:hAnsi="Times New Roman" w:cs="Times New Roman"/>
          <w:b/>
          <w:noProof/>
        </w:rPr>
        <w:t>TVARKYMO (JEI REIKIA)</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11.</w:t>
      </w:r>
      <w:r w:rsidRPr="00212AE6">
        <w:rPr>
          <w:rFonts w:ascii="Times New Roman" w:eastAsia="Times New Roman" w:hAnsi="Times New Roman" w:cs="Times New Roman"/>
          <w:b/>
          <w:noProof/>
        </w:rPr>
        <w:tab/>
      </w:r>
      <w:r w:rsidR="00212AE6" w:rsidRPr="00AC5F82">
        <w:rPr>
          <w:rFonts w:ascii="Times New Roman" w:eastAsia="Times New Roman" w:hAnsi="Times New Roman" w:cs="Times New Roman"/>
          <w:b/>
          <w:lang w:eastAsia="lt-LT"/>
        </w:rPr>
        <w:t>LYGIAGRETUS IMPORTUOTOJAS</w:t>
      </w:r>
    </w:p>
    <w:p w:rsidR="00614B14" w:rsidRPr="00212AE6" w:rsidRDefault="00614B14" w:rsidP="00614B14">
      <w:pPr>
        <w:spacing w:after="0" w:line="240" w:lineRule="auto"/>
        <w:rPr>
          <w:rFonts w:ascii="Times New Roman" w:eastAsia="Times New Roman" w:hAnsi="Times New Roman" w:cs="Times New Roman"/>
          <w:noProof/>
        </w:rPr>
      </w:pPr>
    </w:p>
    <w:p w:rsidR="00212AE6" w:rsidRPr="00AC5F82" w:rsidRDefault="00212AE6" w:rsidP="00212AE6">
      <w:pPr>
        <w:spacing w:after="0" w:line="240" w:lineRule="auto"/>
        <w:rPr>
          <w:rFonts w:ascii="Times New Roman" w:eastAsia="Times New Roman" w:hAnsi="Times New Roman" w:cs="Times New Roman"/>
        </w:rPr>
      </w:pPr>
      <w:r w:rsidRPr="00AC5F82">
        <w:rPr>
          <w:rFonts w:ascii="Times New Roman" w:eastAsia="Times New Roman" w:hAnsi="Times New Roman" w:cs="Times New Roman"/>
        </w:rPr>
        <w:t>Lygiagretus importuotojas UAB „Lex ano“.</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212AE6">
      <w:pPr>
        <w:pBdr>
          <w:top w:val="single" w:sz="4" w:space="1" w:color="auto"/>
          <w:left w:val="single" w:sz="4" w:space="4" w:color="auto"/>
          <w:bottom w:val="single" w:sz="4" w:space="2"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12.</w:t>
      </w:r>
      <w:r w:rsidRPr="00212AE6">
        <w:rPr>
          <w:rFonts w:ascii="Times New Roman" w:eastAsia="Times New Roman" w:hAnsi="Times New Roman" w:cs="Times New Roman"/>
          <w:b/>
          <w:noProof/>
        </w:rPr>
        <w:tab/>
      </w:r>
      <w:r w:rsidR="00212AE6" w:rsidRPr="00AC5F82">
        <w:rPr>
          <w:rFonts w:ascii="Times New Roman" w:eastAsia="Times New Roman" w:hAnsi="Times New Roman" w:cs="Times New Roman"/>
          <w:b/>
          <w:lang w:eastAsia="lt-LT"/>
        </w:rPr>
        <w:t>LYGIAGRETAUS IMPORTO LEIDIMO NUMERIS</w:t>
      </w:r>
    </w:p>
    <w:p w:rsidR="00614B14" w:rsidRPr="00212AE6" w:rsidRDefault="00614B14" w:rsidP="00614B14">
      <w:pPr>
        <w:spacing w:after="0" w:line="240" w:lineRule="auto"/>
        <w:rPr>
          <w:rFonts w:ascii="Times New Roman" w:eastAsia="Times New Roman" w:hAnsi="Times New Roman" w:cs="Times New Roman"/>
          <w:noProof/>
        </w:rPr>
      </w:pPr>
    </w:p>
    <w:p w:rsidR="00212AE6" w:rsidRPr="00AC5F82" w:rsidRDefault="00212AE6" w:rsidP="00212AE6">
      <w:pPr>
        <w:spacing w:after="0" w:line="240" w:lineRule="auto"/>
        <w:rPr>
          <w:rFonts w:ascii="Times New Roman" w:eastAsia="Times New Roman" w:hAnsi="Times New Roman" w:cs="Times New Roman"/>
          <w:bCs/>
          <w:lang w:val="en-US" w:eastAsia="lt-LT"/>
        </w:rPr>
      </w:pPr>
      <w:r w:rsidRPr="00AC5F82">
        <w:rPr>
          <w:rFonts w:ascii="Times New Roman" w:eastAsia="Times New Roman" w:hAnsi="Times New Roman" w:cs="Times New Roman"/>
          <w:iCs/>
          <w:noProof/>
          <w:lang w:eastAsia="lt-LT"/>
        </w:rPr>
        <w:t>Lyg.imp.Nr.: LT/L/14/0233/001.</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13.</w:t>
      </w:r>
      <w:r w:rsidRPr="00212AE6">
        <w:rPr>
          <w:rFonts w:ascii="Times New Roman" w:eastAsia="Times New Roman" w:hAnsi="Times New Roman" w:cs="Times New Roman"/>
          <w:b/>
          <w:noProof/>
        </w:rPr>
        <w:tab/>
        <w:t>SERIJOS NUMERIS</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Serija</w:t>
      </w:r>
      <w:r w:rsidR="00212AE6">
        <w:rPr>
          <w:rFonts w:ascii="Times New Roman" w:eastAsia="Times New Roman" w:hAnsi="Times New Roman" w:cs="Times New Roman"/>
        </w:rPr>
        <w:t>:</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14.</w:t>
      </w:r>
      <w:r w:rsidRPr="00212AE6">
        <w:rPr>
          <w:rFonts w:ascii="Times New Roman" w:eastAsia="Times New Roman" w:hAnsi="Times New Roman" w:cs="Times New Roman"/>
          <w:b/>
          <w:noProof/>
        </w:rPr>
        <w:tab/>
        <w:t>PARDAVIMO (IŠDAVIMO) TVARKA</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 xml:space="preserve">Receptinis </w:t>
      </w:r>
      <w:r w:rsidR="00212AE6">
        <w:rPr>
          <w:rFonts w:ascii="Times New Roman" w:eastAsia="Times New Roman" w:hAnsi="Times New Roman" w:cs="Times New Roman"/>
          <w:noProof/>
        </w:rPr>
        <w:t>vaistas.</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15.</w:t>
      </w:r>
      <w:r w:rsidRPr="00212AE6">
        <w:rPr>
          <w:rFonts w:ascii="Times New Roman" w:eastAsia="Times New Roman" w:hAnsi="Times New Roman" w:cs="Times New Roman"/>
          <w:b/>
          <w:noProof/>
        </w:rPr>
        <w:tab/>
        <w:t>VARTOJIMO INSTRUKCIJA</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tabs>
          <w:tab w:val="left" w:pos="567"/>
        </w:tabs>
        <w:spacing w:after="0" w:line="240" w:lineRule="auto"/>
        <w:rPr>
          <w:rFonts w:ascii="Times New Roman" w:eastAsia="Times New Roman" w:hAnsi="Times New Roman" w:cs="Times New Roman"/>
          <w:noProof/>
        </w:rPr>
      </w:pPr>
    </w:p>
    <w:p w:rsidR="00614B14" w:rsidRPr="00212AE6" w:rsidRDefault="00614B14" w:rsidP="00614B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212AE6">
        <w:rPr>
          <w:rFonts w:ascii="Times New Roman" w:eastAsia="Times New Roman" w:hAnsi="Times New Roman" w:cs="Times New Roman"/>
          <w:b/>
          <w:noProof/>
        </w:rPr>
        <w:t>16.</w:t>
      </w:r>
      <w:r w:rsidRPr="00212AE6">
        <w:rPr>
          <w:rFonts w:ascii="Times New Roman" w:eastAsia="Times New Roman" w:hAnsi="Times New Roman" w:cs="Times New Roman"/>
          <w:b/>
          <w:noProof/>
        </w:rPr>
        <w:tab/>
        <w:t>INFORMACIJA BRAILIO RAŠTU</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p>
    <w:p w:rsidR="00614B14" w:rsidRDefault="00614B14" w:rsidP="00614B14">
      <w:pPr>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tobrex akių lašai</w:t>
      </w:r>
    </w:p>
    <w:p w:rsidR="00212AE6" w:rsidRPr="00212AE6" w:rsidRDefault="00212AE6" w:rsidP="00614B14">
      <w:pPr>
        <w:spacing w:after="0" w:line="240" w:lineRule="auto"/>
        <w:rPr>
          <w:rFonts w:ascii="Times New Roman" w:eastAsia="Times New Roman" w:hAnsi="Times New Roman" w:cs="Times New Roman"/>
          <w:noProof/>
        </w:rPr>
      </w:pPr>
    </w:p>
    <w:p w:rsidR="00212AE6" w:rsidRPr="00340AE5" w:rsidRDefault="00212AE6" w:rsidP="00212A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40AE5">
        <w:rPr>
          <w:rFonts w:ascii="Times New Roman" w:eastAsia="Times New Roman" w:hAnsi="Times New Roman" w:cs="Times New Roman"/>
          <w:b/>
          <w:noProof/>
        </w:rPr>
        <w:t>17.</w:t>
      </w:r>
      <w:r w:rsidRPr="00340AE5">
        <w:rPr>
          <w:rFonts w:ascii="Times New Roman" w:eastAsia="Times New Roman" w:hAnsi="Times New Roman" w:cs="Times New Roman"/>
          <w:b/>
          <w:noProof/>
        </w:rPr>
        <w:tab/>
      </w:r>
      <w:r w:rsidRPr="00340AE5">
        <w:rPr>
          <w:rFonts w:ascii="Times New Roman" w:hAnsi="Times New Roman" w:cs="Times New Roman"/>
          <w:b/>
          <w:noProof/>
        </w:rPr>
        <w:t>UNIKALUS IDENTIFIKATORIUS – 2D BRŪKŠNINIS KODAS</w:t>
      </w:r>
    </w:p>
    <w:p w:rsidR="00212AE6" w:rsidRDefault="00212AE6" w:rsidP="00212AE6">
      <w:pPr>
        <w:tabs>
          <w:tab w:val="left" w:pos="567"/>
        </w:tabs>
        <w:spacing w:after="0" w:line="240" w:lineRule="auto"/>
        <w:rPr>
          <w:rFonts w:ascii="Times New Roman" w:eastAsia="Times New Roman" w:hAnsi="Times New Roman" w:cs="Times New Roman"/>
          <w:noProof/>
        </w:rPr>
      </w:pPr>
    </w:p>
    <w:p w:rsidR="00212AE6" w:rsidRPr="00340AE5" w:rsidRDefault="00212AE6" w:rsidP="00212AE6">
      <w:pPr>
        <w:tabs>
          <w:tab w:val="left" w:pos="567"/>
        </w:tabs>
        <w:spacing w:after="0" w:line="240" w:lineRule="auto"/>
        <w:rPr>
          <w:rFonts w:ascii="Times New Roman" w:eastAsia="Times New Roman" w:hAnsi="Times New Roman" w:cs="Times New Roman"/>
          <w:noProof/>
        </w:rPr>
      </w:pPr>
    </w:p>
    <w:p w:rsidR="00212AE6" w:rsidRPr="00340AE5" w:rsidRDefault="00212AE6" w:rsidP="00212A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40AE5">
        <w:rPr>
          <w:rFonts w:ascii="Times New Roman" w:eastAsia="Times New Roman" w:hAnsi="Times New Roman" w:cs="Times New Roman"/>
          <w:b/>
          <w:noProof/>
        </w:rPr>
        <w:t>18.</w:t>
      </w:r>
      <w:r w:rsidRPr="00340AE5">
        <w:rPr>
          <w:rFonts w:ascii="Times New Roman" w:eastAsia="Times New Roman" w:hAnsi="Times New Roman" w:cs="Times New Roman"/>
          <w:b/>
          <w:noProof/>
        </w:rPr>
        <w:tab/>
      </w:r>
      <w:r w:rsidRPr="00340AE5">
        <w:rPr>
          <w:rFonts w:ascii="Times New Roman" w:hAnsi="Times New Roman" w:cs="Times New Roman"/>
          <w:b/>
          <w:noProof/>
        </w:rPr>
        <w:t>UNIKALUS IDENTIFIKATORIUS – ŽMONĖMS SUPRANTAMI DUOMENYS</w:t>
      </w:r>
    </w:p>
    <w:p w:rsidR="00212AE6" w:rsidRDefault="00212AE6" w:rsidP="00212AE6">
      <w:pPr>
        <w:spacing w:after="0" w:line="240" w:lineRule="auto"/>
        <w:rPr>
          <w:rFonts w:ascii="Times New Roman" w:eastAsia="Times New Roman" w:hAnsi="Times New Roman" w:cs="Times New Roman"/>
          <w:noProof/>
        </w:rPr>
      </w:pPr>
    </w:p>
    <w:p w:rsidR="00212AE6" w:rsidRPr="00AC5F82" w:rsidRDefault="00212AE6" w:rsidP="00212AE6">
      <w:pPr>
        <w:spacing w:after="0" w:line="240" w:lineRule="auto"/>
        <w:rPr>
          <w:rFonts w:ascii="Times New Roman" w:eastAsia="Times New Roman" w:hAnsi="Times New Roman" w:cs="Times New Roman"/>
          <w:noProof/>
        </w:rPr>
      </w:pPr>
      <w:r w:rsidRPr="00AC5F82">
        <w:rPr>
          <w:rFonts w:ascii="Times New Roman" w:eastAsia="Times New Roman" w:hAnsi="Times New Roman" w:cs="Times New Roman"/>
          <w:noProof/>
        </w:rPr>
        <w:t>-------------------------------------------------------------------------------------------------------------------------------</w:t>
      </w:r>
    </w:p>
    <w:p w:rsidR="00212AE6" w:rsidRPr="00AC5F82" w:rsidRDefault="00212AE6" w:rsidP="00212AE6">
      <w:pPr>
        <w:spacing w:after="0" w:line="240" w:lineRule="auto"/>
        <w:rPr>
          <w:rFonts w:ascii="Times New Roman" w:eastAsia="Times New Roman" w:hAnsi="Times New Roman" w:cs="Times New Roman"/>
          <w:lang w:val="en-AU"/>
        </w:rPr>
      </w:pPr>
      <w:r w:rsidRPr="00AC5F82">
        <w:rPr>
          <w:rFonts w:ascii="Times New Roman" w:eastAsia="Times New Roman" w:hAnsi="Times New Roman" w:cs="Times New Roman"/>
          <w:noProof/>
          <w:lang w:eastAsia="lt-LT"/>
        </w:rPr>
        <w:t>Gamintojas:</w:t>
      </w:r>
      <w:r w:rsidRPr="00AC5F82">
        <w:rPr>
          <w:rFonts w:ascii="Times New Roman" w:eastAsia="Times New Roman" w:hAnsi="Times New Roman" w:cs="Times New Roman"/>
          <w:lang w:eastAsia="lt-LT"/>
        </w:rPr>
        <w:t xml:space="preserve"> </w:t>
      </w:r>
      <w:r w:rsidRPr="00AC5F82">
        <w:rPr>
          <w:rFonts w:ascii="Times New Roman" w:eastAsia="Times New Roman" w:hAnsi="Times New Roman" w:cs="Times New Roman"/>
          <w:lang w:val="en-AU"/>
        </w:rPr>
        <w:t>ALCON CUSÍ, S.A.</w:t>
      </w:r>
      <w:r>
        <w:rPr>
          <w:rFonts w:ascii="Times New Roman" w:eastAsia="Times New Roman" w:hAnsi="Times New Roman" w:cs="Times New Roman"/>
          <w:lang w:val="en-AU"/>
        </w:rPr>
        <w:t xml:space="preserve"> C/Camil Fabra, 58, 08320, </w:t>
      </w:r>
      <w:r w:rsidRPr="00AC5F82">
        <w:rPr>
          <w:rFonts w:ascii="Times New Roman" w:eastAsia="Times New Roman" w:hAnsi="Times New Roman" w:cs="Times New Roman"/>
          <w:lang w:val="en-AU"/>
        </w:rPr>
        <w:t>El Masnou – Barcelona</w:t>
      </w:r>
      <w:r>
        <w:rPr>
          <w:rFonts w:ascii="Times New Roman" w:eastAsia="Times New Roman" w:hAnsi="Times New Roman" w:cs="Times New Roman"/>
          <w:lang w:val="en-AU"/>
        </w:rPr>
        <w:t xml:space="preserve">, </w:t>
      </w:r>
      <w:r w:rsidRPr="00AC5F82">
        <w:rPr>
          <w:rFonts w:ascii="Times New Roman" w:eastAsia="Times New Roman" w:hAnsi="Times New Roman" w:cs="Times New Roman"/>
          <w:lang w:val="en-AU"/>
        </w:rPr>
        <w:t>Ispanija</w:t>
      </w:r>
      <w:r>
        <w:rPr>
          <w:rFonts w:ascii="Times New Roman" w:eastAsia="Times New Roman" w:hAnsi="Times New Roman" w:cs="Times New Roman"/>
          <w:lang w:val="en-AU"/>
        </w:rPr>
        <w:t>.</w:t>
      </w:r>
    </w:p>
    <w:p w:rsidR="00212AE6" w:rsidRPr="00AC5F82" w:rsidRDefault="00212AE6" w:rsidP="00212AE6">
      <w:pPr>
        <w:spacing w:after="0" w:line="240" w:lineRule="auto"/>
        <w:rPr>
          <w:rFonts w:ascii="Times New Roman" w:eastAsia="Times New Roman" w:hAnsi="Times New Roman" w:cs="Times New Roman"/>
          <w:lang w:val="en-AU"/>
        </w:rPr>
      </w:pPr>
    </w:p>
    <w:p w:rsidR="00212AE6" w:rsidRPr="00AC5F82" w:rsidRDefault="00212AE6" w:rsidP="00212AE6">
      <w:pPr>
        <w:tabs>
          <w:tab w:val="left" w:pos="567"/>
        </w:tabs>
        <w:spacing w:after="0" w:line="240" w:lineRule="auto"/>
        <w:rPr>
          <w:rFonts w:ascii="Times New Roman" w:eastAsia="Times New Roman" w:hAnsi="Times New Roman" w:cs="Times New Roman"/>
          <w:noProof/>
          <w:lang w:eastAsia="lt-LT"/>
        </w:rPr>
      </w:pPr>
      <w:r w:rsidRPr="00AC5F82">
        <w:rPr>
          <w:rFonts w:ascii="Times New Roman" w:eastAsia="Times New Roman" w:hAnsi="Times New Roman" w:cs="Times New Roman"/>
          <w:noProof/>
          <w:lang w:eastAsia="lt-LT"/>
        </w:rPr>
        <w:t>Perpakavo BĮ UAB „Norfachema“.</w:t>
      </w:r>
    </w:p>
    <w:p w:rsidR="00212AE6" w:rsidRPr="00AC5F82" w:rsidRDefault="00212AE6" w:rsidP="00212AE6">
      <w:pPr>
        <w:tabs>
          <w:tab w:val="left" w:pos="567"/>
        </w:tabs>
        <w:spacing w:after="0" w:line="240" w:lineRule="auto"/>
        <w:rPr>
          <w:rFonts w:ascii="Times New Roman" w:eastAsia="Times New Roman" w:hAnsi="Times New Roman" w:cs="Times New Roman"/>
          <w:noProof/>
          <w:lang w:eastAsia="lt-LT"/>
        </w:rPr>
      </w:pPr>
      <w:r w:rsidRPr="00AD1595">
        <w:rPr>
          <w:rFonts w:ascii="Times New Roman" w:eastAsia="Times New Roman" w:hAnsi="Times New Roman" w:cs="Times New Roman"/>
          <w:noProof/>
          <w:highlight w:val="lightGray"/>
          <w:lang w:eastAsia="lt-LT"/>
        </w:rPr>
        <w:t>Perpakavo UAB „Entafarma“.</w:t>
      </w:r>
    </w:p>
    <w:p w:rsidR="00212AE6" w:rsidRPr="00AC5F82" w:rsidRDefault="00212AE6" w:rsidP="00212AE6">
      <w:pPr>
        <w:tabs>
          <w:tab w:val="left" w:pos="567"/>
        </w:tabs>
        <w:spacing w:after="0" w:line="240" w:lineRule="auto"/>
        <w:rPr>
          <w:rFonts w:ascii="Times New Roman" w:eastAsia="Times New Roman" w:hAnsi="Times New Roman" w:cs="Times New Roman"/>
          <w:noProof/>
          <w:lang w:eastAsia="lt-LT"/>
        </w:rPr>
      </w:pPr>
    </w:p>
    <w:p w:rsidR="00212AE6" w:rsidRDefault="00212AE6" w:rsidP="00212AE6">
      <w:pPr>
        <w:spacing w:after="0" w:line="240" w:lineRule="auto"/>
        <w:rPr>
          <w:rFonts w:ascii="Times New Roman" w:eastAsia="Times New Roman" w:hAnsi="Times New Roman" w:cs="Times New Roman"/>
          <w:lang w:eastAsia="lt-LT"/>
        </w:rPr>
      </w:pPr>
      <w:r w:rsidRPr="00AC5F82">
        <w:rPr>
          <w:rFonts w:ascii="Times New Roman" w:eastAsia="Times New Roman" w:hAnsi="Times New Roman" w:cs="Times New Roman"/>
          <w:lang w:eastAsia="lt-LT"/>
        </w:rPr>
        <w:t>Perpak.serija:</w:t>
      </w:r>
    </w:p>
    <w:p w:rsidR="00614B14" w:rsidRPr="00212AE6" w:rsidRDefault="00614B14" w:rsidP="00614B14">
      <w:pPr>
        <w:spacing w:after="0" w:line="240" w:lineRule="auto"/>
        <w:rPr>
          <w:rFonts w:ascii="Times New Roman" w:eastAsia="Times New Roman" w:hAnsi="Times New Roman" w:cs="Times New Roman"/>
          <w:noProof/>
        </w:rPr>
      </w:pPr>
    </w:p>
    <w:p w:rsidR="00212AE6" w:rsidRPr="00800AF2" w:rsidRDefault="00212AE6" w:rsidP="00212AE6">
      <w:pPr>
        <w:pStyle w:val="Antrat2"/>
        <w:rPr>
          <w:sz w:val="22"/>
          <w:szCs w:val="22"/>
        </w:rPr>
      </w:pPr>
    </w:p>
    <w:p w:rsidR="00614B14" w:rsidRPr="00212AE6" w:rsidRDefault="00614B14" w:rsidP="00212AE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b/>
          <w:noProof/>
        </w:rPr>
        <w:br w:type="page"/>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62"/>
      <w:bookmarkStart w:id="3" w:name="_Toc129243137"/>
    </w:p>
    <w:p w:rsidR="00614B14" w:rsidRPr="00212AE6" w:rsidRDefault="00614B14" w:rsidP="00614B14">
      <w:pPr>
        <w:tabs>
          <w:tab w:val="left" w:pos="567"/>
        </w:tabs>
        <w:spacing w:after="0" w:line="240" w:lineRule="auto"/>
        <w:ind w:left="567" w:hanging="567"/>
        <w:jc w:val="center"/>
        <w:outlineLvl w:val="0"/>
        <w:rPr>
          <w:rFonts w:ascii="Times New Roman" w:eastAsia="Times New Roman" w:hAnsi="Times New Roman" w:cs="Times New Roman"/>
          <w:b/>
          <w:caps/>
        </w:rPr>
      </w:pPr>
      <w:r w:rsidRPr="00212AE6">
        <w:rPr>
          <w:rFonts w:ascii="Times New Roman" w:eastAsia="Times New Roman" w:hAnsi="Times New Roman" w:cs="Times New Roman"/>
          <w:b/>
          <w:caps/>
        </w:rPr>
        <w:t>B. PAKUOTĖS LAPELIS</w:t>
      </w:r>
      <w:bookmarkEnd w:id="2"/>
      <w:bookmarkEnd w:id="3"/>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rPr>
        <w:br w:type="page"/>
      </w:r>
      <w:r w:rsidRPr="00212AE6">
        <w:rPr>
          <w:rFonts w:ascii="Times New Roman" w:eastAsia="Times New Roman" w:hAnsi="Times New Roman" w:cs="Times New Roman"/>
          <w:noProof/>
        </w:rPr>
        <w:lastRenderedPageBreak/>
        <w:t xml:space="preserve"> </w:t>
      </w:r>
    </w:p>
    <w:p w:rsidR="00614B14" w:rsidRPr="00212AE6" w:rsidRDefault="00614B14" w:rsidP="00614B14">
      <w:pPr>
        <w:spacing w:after="0" w:line="240" w:lineRule="auto"/>
        <w:jc w:val="center"/>
        <w:rPr>
          <w:rFonts w:ascii="Times New Roman" w:eastAsia="Times New Roman" w:hAnsi="Times New Roman" w:cs="Times New Roman"/>
        </w:rPr>
      </w:pPr>
      <w:r w:rsidRPr="00212AE6">
        <w:rPr>
          <w:rFonts w:ascii="Times New Roman" w:eastAsia="Times New Roman" w:hAnsi="Times New Roman" w:cs="Times New Roman"/>
          <w:b/>
        </w:rPr>
        <w:t>Pakuotės lapelis: informacija vartotojui</w:t>
      </w:r>
    </w:p>
    <w:p w:rsidR="00614B14" w:rsidRPr="00212AE6" w:rsidRDefault="00614B14" w:rsidP="00614B14">
      <w:pPr>
        <w:spacing w:after="0" w:line="240" w:lineRule="auto"/>
        <w:jc w:val="center"/>
        <w:rPr>
          <w:rFonts w:ascii="Times New Roman" w:eastAsia="Times New Roman" w:hAnsi="Times New Roman" w:cs="Times New Roman"/>
        </w:rPr>
      </w:pPr>
    </w:p>
    <w:p w:rsidR="00614B14" w:rsidRPr="00212AE6" w:rsidRDefault="00614B14" w:rsidP="00614B14">
      <w:pPr>
        <w:keepNext/>
        <w:spacing w:after="0" w:line="240" w:lineRule="auto"/>
        <w:jc w:val="center"/>
        <w:outlineLvl w:val="1"/>
        <w:rPr>
          <w:rFonts w:ascii="Times New Roman" w:eastAsia="Times New Roman" w:hAnsi="Times New Roman" w:cs="Times New Roman"/>
          <w:b/>
        </w:rPr>
      </w:pPr>
      <w:r w:rsidRPr="00212AE6">
        <w:rPr>
          <w:rFonts w:ascii="Times New Roman" w:eastAsia="Times New Roman" w:hAnsi="Times New Roman" w:cs="Times New Roman"/>
          <w:b/>
        </w:rPr>
        <w:t>TOBREX 3 mg/ml akių lašai (tirpalas)</w:t>
      </w:r>
    </w:p>
    <w:p w:rsidR="00614B14" w:rsidRPr="00212AE6" w:rsidRDefault="00614B14" w:rsidP="00614B14">
      <w:pPr>
        <w:spacing w:after="0" w:line="240" w:lineRule="auto"/>
        <w:ind w:left="2880" w:firstLine="720"/>
        <w:rPr>
          <w:rFonts w:ascii="Times New Roman" w:eastAsia="Times New Roman" w:hAnsi="Times New Roman" w:cs="Times New Roman"/>
        </w:rPr>
      </w:pPr>
      <w:r w:rsidRPr="00212AE6">
        <w:rPr>
          <w:rFonts w:ascii="Times New Roman" w:eastAsia="Times New Roman" w:hAnsi="Times New Roman" w:cs="Times New Roman"/>
        </w:rPr>
        <w:t>Tobramicinas</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b/>
        </w:rPr>
      </w:pPr>
      <w:r w:rsidRPr="00212AE6">
        <w:rPr>
          <w:rFonts w:ascii="Times New Roman" w:eastAsia="Times New Roman" w:hAnsi="Times New Roman" w:cs="Times New Roman"/>
          <w:b/>
        </w:rPr>
        <w:t>Atidžiai perskaitykite visą šį lapelį, prieš pradėdami vartoti vaistą, nes jame pateikiama Jums svarbi informacija.</w:t>
      </w:r>
    </w:p>
    <w:p w:rsidR="00614B14" w:rsidRPr="00212AE6" w:rsidRDefault="00614B14" w:rsidP="00614B14">
      <w:pPr>
        <w:numPr>
          <w:ilvl w:val="0"/>
          <w:numId w:val="3"/>
        </w:numPr>
        <w:tabs>
          <w:tab w:val="num" w:pos="567"/>
        </w:tabs>
        <w:spacing w:after="0" w:line="240" w:lineRule="auto"/>
        <w:ind w:left="567" w:hanging="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Neišmeskite šio lapelio, nes vėl gali prireikti jį perskaityti.</w:t>
      </w:r>
    </w:p>
    <w:p w:rsidR="00614B14" w:rsidRPr="00212AE6" w:rsidRDefault="00614B14" w:rsidP="00614B14">
      <w:pPr>
        <w:numPr>
          <w:ilvl w:val="0"/>
          <w:numId w:val="3"/>
        </w:numPr>
        <w:tabs>
          <w:tab w:val="num" w:pos="567"/>
        </w:tabs>
        <w:spacing w:after="0" w:line="240" w:lineRule="auto"/>
        <w:ind w:left="567" w:hanging="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Jeigu kiltų daugiau klausimų, kreipkitės į gydytoją arba vaistininką.</w:t>
      </w:r>
    </w:p>
    <w:p w:rsidR="00614B14" w:rsidRPr="00212AE6" w:rsidRDefault="00614B14" w:rsidP="00614B14">
      <w:pPr>
        <w:numPr>
          <w:ilvl w:val="0"/>
          <w:numId w:val="3"/>
        </w:numPr>
        <w:tabs>
          <w:tab w:val="num" w:pos="567"/>
        </w:tabs>
        <w:spacing w:after="0" w:line="240" w:lineRule="auto"/>
        <w:ind w:left="567" w:hanging="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Šis vaistas skirtas Jums, todėl kitiems žmonėms jo duoti negalima. Vaistas gali jiems pakenkti</w:t>
      </w:r>
    </w:p>
    <w:p w:rsidR="00614B14" w:rsidRPr="00212AE6" w:rsidRDefault="00614B14" w:rsidP="00212AE6">
      <w:pPr>
        <w:spacing w:after="0" w:line="240" w:lineRule="auto"/>
        <w:ind w:left="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(net tiems, kurių ligos požymiai yra tokie patys kaip Jūsų).</w:t>
      </w:r>
    </w:p>
    <w:p w:rsidR="00614B14" w:rsidRPr="00212AE6" w:rsidRDefault="00614B14" w:rsidP="00614B14">
      <w:pPr>
        <w:numPr>
          <w:ilvl w:val="0"/>
          <w:numId w:val="3"/>
        </w:numPr>
        <w:tabs>
          <w:tab w:val="num" w:pos="567"/>
        </w:tabs>
        <w:spacing w:after="0" w:line="240" w:lineRule="auto"/>
        <w:ind w:left="567" w:hanging="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Jeigu pasireiškė šalutinis poveikis (net jeigu jis šiame lapelyje nenurodytas), kreipkitės į</w:t>
      </w:r>
    </w:p>
    <w:p w:rsidR="00614B14" w:rsidRPr="00212AE6" w:rsidRDefault="00614B14" w:rsidP="00212AE6">
      <w:pPr>
        <w:spacing w:after="0" w:line="240" w:lineRule="auto"/>
        <w:ind w:left="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gydytoją arba vaistininką.</w:t>
      </w:r>
      <w:r w:rsidRPr="00212AE6">
        <w:rPr>
          <w:rFonts w:ascii="Times New Roman" w:eastAsia="Times New Roman" w:hAnsi="Times New Roman" w:cs="Times New Roman"/>
        </w:rPr>
        <w:t xml:space="preserve"> </w:t>
      </w:r>
      <w:r w:rsidRPr="00212AE6">
        <w:rPr>
          <w:rFonts w:ascii="Times New Roman" w:eastAsia="Times New Roman" w:hAnsi="Times New Roman" w:cs="Times New Roman"/>
          <w:noProof/>
        </w:rPr>
        <w:t>Žr. 4 skyrių.</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b/>
        </w:rPr>
      </w:pPr>
      <w:r w:rsidRPr="00212AE6">
        <w:rPr>
          <w:rFonts w:ascii="Times New Roman" w:eastAsia="Times New Roman" w:hAnsi="Times New Roman" w:cs="Times New Roman"/>
          <w:b/>
        </w:rPr>
        <w:t>Apie ką rašoma šiame lapelyje?</w:t>
      </w:r>
    </w:p>
    <w:p w:rsidR="00614B14" w:rsidRPr="00212AE6" w:rsidRDefault="00614B14" w:rsidP="00614B14">
      <w:pPr>
        <w:spacing w:after="0" w:line="240" w:lineRule="auto"/>
        <w:rPr>
          <w:rFonts w:ascii="Times New Roman" w:eastAsia="Times New Roman" w:hAnsi="Times New Roman" w:cs="Times New Roman"/>
          <w:b/>
        </w:rPr>
      </w:pPr>
    </w:p>
    <w:p w:rsidR="00614B14" w:rsidRPr="00212AE6" w:rsidRDefault="00614B14" w:rsidP="00614B14">
      <w:pPr>
        <w:tabs>
          <w:tab w:val="left" w:pos="567"/>
        </w:tabs>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1.</w:t>
      </w:r>
      <w:r w:rsidRPr="00212AE6">
        <w:rPr>
          <w:rFonts w:ascii="Times New Roman" w:eastAsia="Times New Roman" w:hAnsi="Times New Roman" w:cs="Times New Roman"/>
          <w:noProof/>
        </w:rPr>
        <w:tab/>
        <w:t>Kas yra TOBREX ir kam jis vartojamas</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2.</w:t>
      </w:r>
      <w:r w:rsidRPr="00212AE6">
        <w:rPr>
          <w:rFonts w:ascii="Times New Roman" w:eastAsia="Times New Roman" w:hAnsi="Times New Roman" w:cs="Times New Roman"/>
          <w:noProof/>
        </w:rPr>
        <w:tab/>
        <w:t xml:space="preserve">Kas žinotina prieš vartojant TOBREX </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3.</w:t>
      </w:r>
      <w:r w:rsidRPr="00212AE6">
        <w:rPr>
          <w:rFonts w:ascii="Times New Roman" w:eastAsia="Times New Roman" w:hAnsi="Times New Roman" w:cs="Times New Roman"/>
          <w:noProof/>
        </w:rPr>
        <w:tab/>
        <w:t xml:space="preserve">Kaip vartoti TOBREX </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4.</w:t>
      </w:r>
      <w:r w:rsidRPr="00212AE6">
        <w:rPr>
          <w:rFonts w:ascii="Times New Roman" w:eastAsia="Times New Roman" w:hAnsi="Times New Roman" w:cs="Times New Roman"/>
          <w:noProof/>
        </w:rPr>
        <w:tab/>
        <w:t>Galimas šalutinis poveikis</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5.</w:t>
      </w:r>
      <w:r w:rsidRPr="00212AE6">
        <w:rPr>
          <w:rFonts w:ascii="Times New Roman" w:eastAsia="Times New Roman" w:hAnsi="Times New Roman" w:cs="Times New Roman"/>
          <w:noProof/>
        </w:rPr>
        <w:tab/>
        <w:t xml:space="preserve">Kaip laikyti TOBREX </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6.</w:t>
      </w:r>
      <w:r w:rsidRPr="00212AE6">
        <w:rPr>
          <w:rFonts w:ascii="Times New Roman" w:eastAsia="Times New Roman" w:hAnsi="Times New Roman" w:cs="Times New Roman"/>
          <w:noProof/>
        </w:rPr>
        <w:tab/>
        <w:t>Pakuotės turinys ir kita informacija</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keepNext/>
        <w:tabs>
          <w:tab w:val="left" w:pos="567"/>
        </w:tabs>
        <w:spacing w:after="0" w:line="240" w:lineRule="auto"/>
        <w:ind w:left="567" w:hanging="567"/>
        <w:outlineLvl w:val="1"/>
        <w:rPr>
          <w:rFonts w:ascii="Times New Roman" w:eastAsia="Times New Roman" w:hAnsi="Times New Roman" w:cs="Times New Roman"/>
          <w:b/>
        </w:rPr>
      </w:pPr>
      <w:r w:rsidRPr="00212AE6">
        <w:rPr>
          <w:rFonts w:ascii="Times New Roman" w:eastAsia="Times New Roman" w:hAnsi="Times New Roman" w:cs="Times New Roman"/>
          <w:b/>
        </w:rPr>
        <w:t>1.</w:t>
      </w:r>
      <w:r w:rsidRPr="00212AE6">
        <w:rPr>
          <w:rFonts w:ascii="Times New Roman" w:eastAsia="Times New Roman" w:hAnsi="Times New Roman" w:cs="Times New Roman"/>
          <w:b/>
        </w:rPr>
        <w:tab/>
        <w:t>Kas yra TOBREX ir kam jis vartojamas</w:t>
      </w:r>
    </w:p>
    <w:p w:rsidR="00614B14" w:rsidRPr="00212AE6" w:rsidRDefault="00614B14" w:rsidP="00614B14">
      <w:pPr>
        <w:spacing w:after="0" w:line="240" w:lineRule="auto"/>
        <w:rPr>
          <w:rFonts w:ascii="Times New Roman" w:eastAsia="Times New Roman" w:hAnsi="Times New Roman" w:cs="Times New Roman"/>
          <w:b/>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 xml:space="preserve">TOBREX akių lašai vartojami tobramicinui jautrių bakterijų sukeltų akies ir jos priedinių organų (vokų, junginės, ir ašarų aparato) paviršinių infekcinių ligų gydymui suaugusiems žmonėms ir 1 metų bei vyresniems vaikams. </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TOBREX yra vienas iš antiinfekcinių vaistų.</w:t>
      </w:r>
      <w:r w:rsidRPr="00212AE6">
        <w:rPr>
          <w:rFonts w:ascii="Times New Roman" w:eastAsia="Times New Roman" w:hAnsi="Times New Roman" w:cs="Times New Roman"/>
          <w:b/>
        </w:rPr>
        <w:t xml:space="preserve"> </w:t>
      </w:r>
      <w:r w:rsidRPr="00212AE6">
        <w:rPr>
          <w:rFonts w:ascii="Times New Roman" w:eastAsia="Times New Roman" w:hAnsi="Times New Roman" w:cs="Times New Roman"/>
        </w:rPr>
        <w:t>Šiai grupei priklauso antibiotikai (iš jų ir tobramicinas), veikiantys daugelį mikroorganizmų, galinčių sukelti akių ligas.</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keepNext/>
        <w:tabs>
          <w:tab w:val="left" w:pos="567"/>
        </w:tabs>
        <w:spacing w:after="0" w:line="240" w:lineRule="auto"/>
        <w:ind w:left="567" w:hanging="567"/>
        <w:outlineLvl w:val="1"/>
        <w:rPr>
          <w:rFonts w:ascii="Times New Roman" w:eastAsia="Times New Roman" w:hAnsi="Times New Roman" w:cs="Times New Roman"/>
          <w:b/>
        </w:rPr>
      </w:pPr>
      <w:r w:rsidRPr="00212AE6">
        <w:rPr>
          <w:rFonts w:ascii="Times New Roman" w:eastAsia="Times New Roman" w:hAnsi="Times New Roman" w:cs="Times New Roman"/>
          <w:b/>
        </w:rPr>
        <w:t>2.</w:t>
      </w:r>
      <w:r w:rsidRPr="00212AE6">
        <w:rPr>
          <w:rFonts w:ascii="Times New Roman" w:eastAsia="Times New Roman" w:hAnsi="Times New Roman" w:cs="Times New Roman"/>
          <w:b/>
        </w:rPr>
        <w:tab/>
        <w:t>Kas žinotina prieš vartojant TOBREX</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b/>
          <w:bCs/>
        </w:rPr>
      </w:pPr>
      <w:r w:rsidRPr="00212AE6">
        <w:rPr>
          <w:rFonts w:ascii="Times New Roman" w:eastAsia="Times New Roman" w:hAnsi="Times New Roman" w:cs="Times New Roman"/>
          <w:b/>
          <w:bCs/>
        </w:rPr>
        <w:t>TOBREX vartoti negalima:</w:t>
      </w:r>
    </w:p>
    <w:p w:rsidR="00614B14" w:rsidRPr="00212AE6" w:rsidRDefault="00614B14" w:rsidP="00614B14">
      <w:pPr>
        <w:numPr>
          <w:ilvl w:val="0"/>
          <w:numId w:val="3"/>
        </w:numPr>
        <w:tabs>
          <w:tab w:val="num" w:pos="567"/>
        </w:tabs>
        <w:spacing w:after="0" w:line="240" w:lineRule="auto"/>
        <w:ind w:left="567" w:hanging="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jeigu yra alergija tobramicinui arba bet kuriai pagalbinei šio vaisto medžiagai (jos išvardytos 6 skyriuje);</w:t>
      </w:r>
    </w:p>
    <w:p w:rsidR="00614B14" w:rsidRPr="00212AE6" w:rsidRDefault="00614B14" w:rsidP="00614B14">
      <w:pPr>
        <w:numPr>
          <w:ilvl w:val="0"/>
          <w:numId w:val="3"/>
        </w:numPr>
        <w:tabs>
          <w:tab w:val="num" w:pos="567"/>
        </w:tabs>
        <w:spacing w:after="0" w:line="240" w:lineRule="auto"/>
        <w:ind w:left="567" w:hanging="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jeigu yra padidėjęs jautrumas kitiems aminoglikozidams (pvz., gentamicinui).</w:t>
      </w:r>
    </w:p>
    <w:p w:rsidR="00614B14" w:rsidRPr="00212AE6" w:rsidRDefault="00614B14" w:rsidP="00614B14">
      <w:pPr>
        <w:spacing w:after="0" w:line="240" w:lineRule="auto"/>
        <w:ind w:left="720"/>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b/>
          <w:bCs/>
        </w:rPr>
      </w:pPr>
      <w:r w:rsidRPr="00212AE6">
        <w:rPr>
          <w:rFonts w:ascii="Times New Roman" w:eastAsia="Times New Roman" w:hAnsi="Times New Roman" w:cs="Times New Roman"/>
          <w:b/>
          <w:bCs/>
        </w:rPr>
        <w:t>Įspėjimai ir atsargumo priemonės</w:t>
      </w:r>
    </w:p>
    <w:p w:rsidR="00614B14" w:rsidRPr="00212AE6" w:rsidRDefault="00614B14" w:rsidP="00614B14">
      <w:pPr>
        <w:numPr>
          <w:ilvl w:val="12"/>
          <w:numId w:val="0"/>
        </w:numPr>
        <w:spacing w:after="0" w:line="240" w:lineRule="auto"/>
        <w:ind w:right="-2"/>
        <w:rPr>
          <w:rFonts w:ascii="Times New Roman" w:eastAsia="Times New Roman" w:hAnsi="Times New Roman" w:cs="Times New Roman"/>
          <w:b/>
          <w:bCs/>
        </w:rPr>
      </w:pPr>
      <w:r w:rsidRPr="00212AE6">
        <w:rPr>
          <w:rFonts w:ascii="Times New Roman" w:eastAsia="Calibri" w:hAnsi="Times New Roman" w:cs="Times New Roman"/>
          <w:noProof/>
        </w:rPr>
        <w:t>Pasitarkite su gydytoju arba vaistininku, prieš pradėdami vartoti TOBREX:</w:t>
      </w:r>
    </w:p>
    <w:p w:rsidR="00614B14" w:rsidRPr="00212AE6" w:rsidRDefault="00614B14" w:rsidP="00614B14">
      <w:pPr>
        <w:numPr>
          <w:ilvl w:val="0"/>
          <w:numId w:val="3"/>
        </w:numPr>
        <w:spacing w:after="0" w:line="240" w:lineRule="auto"/>
        <w:ind w:left="567" w:hanging="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 xml:space="preserve">jeigu pasireiškia alerginė reakcija į </w:t>
      </w:r>
      <w:r w:rsidRPr="00212AE6">
        <w:rPr>
          <w:rFonts w:ascii="Times New Roman" w:eastAsia="Times New Roman" w:hAnsi="Times New Roman" w:cs="Times New Roman"/>
        </w:rPr>
        <w:t xml:space="preserve">TOBREX, nutraukite vaisto vartojimą ir kreipkitės į </w:t>
      </w:r>
      <w:r w:rsidRPr="00212AE6">
        <w:rPr>
          <w:rFonts w:ascii="Times New Roman" w:eastAsia="Times New Roman" w:hAnsi="Times New Roman" w:cs="Times New Roman"/>
          <w:noProof/>
        </w:rPr>
        <w:t>gydytoją. Alerginė reakcija gali būti įvairi</w:t>
      </w:r>
      <w:r w:rsidRPr="00212AE6">
        <w:rPr>
          <w:rFonts w:ascii="Times New Roman" w:eastAsia="Times New Roman" w:hAnsi="Times New Roman" w:cs="Times New Roman"/>
        </w:rPr>
        <w:t xml:space="preserve"> (</w:t>
      </w:r>
      <w:r w:rsidRPr="00212AE6">
        <w:rPr>
          <w:rFonts w:ascii="Times New Roman" w:eastAsia="Times New Roman" w:hAnsi="Times New Roman" w:cs="Times New Roman"/>
          <w:noProof/>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rsidR="00614B14" w:rsidRPr="00212AE6" w:rsidRDefault="00614B14" w:rsidP="00614B14">
      <w:pPr>
        <w:numPr>
          <w:ilvl w:val="0"/>
          <w:numId w:val="3"/>
        </w:numPr>
        <w:spacing w:after="0" w:line="240" w:lineRule="auto"/>
        <w:ind w:left="567" w:hanging="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jeigu kartu su TOBREX akių lašais vartojate kitus antibiotikus, pasitarkite su gydytoju;</w:t>
      </w:r>
    </w:p>
    <w:p w:rsidR="00614B14" w:rsidRPr="00212AE6" w:rsidRDefault="00614B14" w:rsidP="00614B14">
      <w:pPr>
        <w:numPr>
          <w:ilvl w:val="0"/>
          <w:numId w:val="3"/>
        </w:numPr>
        <w:tabs>
          <w:tab w:val="num" w:pos="567"/>
        </w:tabs>
        <w:spacing w:after="0" w:line="240" w:lineRule="auto"/>
        <w:ind w:left="567" w:hanging="567"/>
        <w:contextualSpacing/>
        <w:rPr>
          <w:rFonts w:ascii="Times New Roman" w:eastAsia="Calibri" w:hAnsi="Times New Roman" w:cs="Times New Roman"/>
          <w:noProof/>
        </w:rPr>
      </w:pPr>
      <w:r w:rsidRPr="00212AE6">
        <w:rPr>
          <w:rFonts w:ascii="Times New Roman" w:eastAsia="Times New Roman" w:hAnsi="Times New Roman" w:cs="Times New Roman"/>
        </w:rPr>
        <w:t>jeigu Jūsų simptomai pasunkėja ar staiga atsinaujina, kreipkitės į gydytoją. Jei TOBREX vartojate ilgai, gali padidėti akies infekcijos pavojus.</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b/>
        </w:rPr>
        <w:t>Vaikams ir paaugliams</w:t>
      </w:r>
    </w:p>
    <w:p w:rsidR="00614B14" w:rsidRPr="00212AE6" w:rsidRDefault="00614B14" w:rsidP="00614B14">
      <w:pPr>
        <w:tabs>
          <w:tab w:val="left" w:pos="360"/>
        </w:tabs>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Nevartokite TOBREX akių lašų vaikams iki 1 metų.</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20" w:lineRule="exact"/>
        <w:rPr>
          <w:rFonts w:ascii="Times New Roman" w:eastAsia="Times New Roman" w:hAnsi="Times New Roman" w:cs="Times New Roman"/>
          <w:b/>
          <w:bCs/>
        </w:rPr>
      </w:pPr>
      <w:r w:rsidRPr="00212AE6">
        <w:rPr>
          <w:rFonts w:ascii="Times New Roman" w:eastAsia="Times New Roman" w:hAnsi="Times New Roman" w:cs="Times New Roman"/>
          <w:b/>
          <w:bCs/>
        </w:rPr>
        <w:lastRenderedPageBreak/>
        <w:t>Kiti vaistai ir TOBREX</w:t>
      </w: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 xml:space="preserve">Jeigu vartojate arba neseniai vartojote kitų vaistų arba dėl to nesate tikri, apie tai pasakykite gydytojui arba vaistininkui. </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Vartojant kartu su kortikosteroidais, gali būti maskuojami infekcinio susirgimo požymiai.</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Kartu vartojant kitus akių vaistus tarp vienų ir kitų vartojimo reikia daryti 5 minučių pertrauką. Akių tepalą reikia vartoti paskiausiai.</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20" w:lineRule="exact"/>
        <w:rPr>
          <w:rFonts w:ascii="Times New Roman" w:eastAsia="Times New Roman" w:hAnsi="Times New Roman" w:cs="Times New Roman"/>
          <w:b/>
          <w:bCs/>
        </w:rPr>
      </w:pPr>
      <w:r w:rsidRPr="00212AE6">
        <w:rPr>
          <w:rFonts w:ascii="Times New Roman" w:eastAsia="Times New Roman" w:hAnsi="Times New Roman" w:cs="Times New Roman"/>
          <w:b/>
          <w:bCs/>
        </w:rPr>
        <w:t>Nėštumas ir žindymo laikotarpis</w:t>
      </w:r>
    </w:p>
    <w:p w:rsidR="00614B14" w:rsidRPr="00212AE6" w:rsidRDefault="00614B14" w:rsidP="00614B14">
      <w:pPr>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rsidR="00614B14" w:rsidRPr="00212AE6" w:rsidRDefault="00614B14" w:rsidP="00614B14">
      <w:pPr>
        <w:spacing w:after="0" w:line="240" w:lineRule="auto"/>
        <w:rPr>
          <w:rFonts w:ascii="Times New Roman" w:eastAsia="Times New Roman" w:hAnsi="Times New Roman" w:cs="Times New Roman"/>
          <w:noProof/>
        </w:rPr>
      </w:pPr>
    </w:p>
    <w:p w:rsidR="00614B14" w:rsidRPr="00212AE6" w:rsidRDefault="00614B14" w:rsidP="00614B14">
      <w:pPr>
        <w:tabs>
          <w:tab w:val="left" w:pos="567"/>
        </w:tabs>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Nėštumo arba žindymo laikotarpiu TOBREX akių lašų nevartokite, nebent gydytojas nuspręstų, kad vaistą vartoti reikia. TOBREX nėščioms moterims galima vartoti tik neabejotinai būtinu atveju. Prieš vartojant bet kokį vaistą, būtina pasitarti su gydytoju arba vaistininku.</w:t>
      </w:r>
    </w:p>
    <w:p w:rsidR="00614B14" w:rsidRPr="00212AE6" w:rsidRDefault="00614B14" w:rsidP="00614B14">
      <w:pPr>
        <w:spacing w:after="0" w:line="240" w:lineRule="auto"/>
        <w:ind w:firstLine="709"/>
        <w:rPr>
          <w:rFonts w:ascii="Times New Roman" w:eastAsia="Times New Roman" w:hAnsi="Times New Roman" w:cs="Times New Roman"/>
        </w:rPr>
      </w:pPr>
    </w:p>
    <w:p w:rsidR="00614B14" w:rsidRPr="00212AE6" w:rsidRDefault="00614B14" w:rsidP="00614B14">
      <w:pPr>
        <w:spacing w:after="0" w:line="220" w:lineRule="exact"/>
        <w:rPr>
          <w:rFonts w:ascii="Times New Roman" w:eastAsia="Times New Roman" w:hAnsi="Times New Roman" w:cs="Times New Roman"/>
          <w:b/>
          <w:bCs/>
        </w:rPr>
      </w:pPr>
      <w:r w:rsidRPr="00212AE6">
        <w:rPr>
          <w:rFonts w:ascii="Times New Roman" w:eastAsia="Times New Roman" w:hAnsi="Times New Roman" w:cs="Times New Roman"/>
          <w:b/>
          <w:bCs/>
        </w:rPr>
        <w:t>Vairavimas ir mechanizmų valdymas</w:t>
      </w: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TOBREX akių lašai neturėtų veikti gebėjimo vairuoti ir dirbti su mechanizmais. Įsilašinus TOBREX trumpai gali būti neryškus matymas. Nevairuokite ir nevaldykite mechanizmų, kol matymas nepagerės.</w:t>
      </w:r>
    </w:p>
    <w:p w:rsidR="00614B14" w:rsidRPr="00212AE6" w:rsidRDefault="00614B14" w:rsidP="00614B14">
      <w:pPr>
        <w:spacing w:after="0" w:line="240" w:lineRule="auto"/>
        <w:rPr>
          <w:rFonts w:ascii="Times New Roman" w:eastAsia="Times New Roman" w:hAnsi="Times New Roman" w:cs="Times New Roman"/>
          <w:b/>
        </w:rPr>
      </w:pPr>
    </w:p>
    <w:p w:rsidR="00614B14" w:rsidRPr="00212AE6" w:rsidRDefault="00614B14" w:rsidP="00614B14">
      <w:pPr>
        <w:spacing w:after="0" w:line="240" w:lineRule="auto"/>
        <w:rPr>
          <w:rFonts w:ascii="Times New Roman" w:eastAsia="Times New Roman" w:hAnsi="Times New Roman" w:cs="Times New Roman"/>
          <w:b/>
        </w:rPr>
      </w:pPr>
      <w:r w:rsidRPr="00212AE6">
        <w:rPr>
          <w:rFonts w:ascii="Times New Roman" w:eastAsia="Times New Roman" w:hAnsi="Times New Roman" w:cs="Times New Roman"/>
          <w:b/>
        </w:rPr>
        <w:t>TOBREX sudėtyje yra benzalkonio chlorido</w:t>
      </w:r>
    </w:p>
    <w:p w:rsidR="00614B14" w:rsidRPr="00212AE6" w:rsidRDefault="00614B14" w:rsidP="00614B14">
      <w:pPr>
        <w:spacing w:after="0" w:line="240" w:lineRule="auto"/>
        <w:rPr>
          <w:rFonts w:ascii="Times New Roman" w:eastAsia="Times New Roman" w:hAnsi="Times New Roman" w:cs="Times New Roman"/>
          <w:lang w:eastAsia="lt-LT"/>
        </w:rPr>
      </w:pPr>
      <w:r w:rsidRPr="00212AE6">
        <w:rPr>
          <w:rFonts w:ascii="Times New Roman" w:eastAsia="Times New Roman" w:hAnsi="Times New Roman" w:cs="Times New Roman"/>
          <w:lang w:eastAsia="lt-LT"/>
        </w:rPr>
        <w:t>Gali sudirginti akis. Turi nepatekti ant minkštųjų kontaktinių lęšių.</w:t>
      </w:r>
      <w:r w:rsidRPr="00212AE6">
        <w:rPr>
          <w:rFonts w:ascii="Times New Roman" w:eastAsia="Times New Roman" w:hAnsi="Times New Roman" w:cs="Times New Roman"/>
        </w:rPr>
        <w:t xml:space="preserve"> </w:t>
      </w:r>
      <w:r w:rsidRPr="00212AE6">
        <w:rPr>
          <w:rFonts w:ascii="Times New Roman" w:eastAsia="Times New Roman" w:hAnsi="Times New Roman" w:cs="Times New Roman"/>
          <w:lang w:eastAsia="lt-LT"/>
        </w:rPr>
        <w:t>Prieš vartojimą kontaktinius lęšius reikia išimti (vėl juos galima įdėti ne anksčiau kaip po 15 min.). Keičia minkštųjų kontaktinių lęšių spalvą.</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keepNext/>
        <w:numPr>
          <w:ilvl w:val="0"/>
          <w:numId w:val="2"/>
        </w:numPr>
        <w:tabs>
          <w:tab w:val="num" w:pos="567"/>
        </w:tabs>
        <w:spacing w:after="0" w:line="240" w:lineRule="auto"/>
        <w:ind w:hanging="1080"/>
        <w:outlineLvl w:val="0"/>
        <w:rPr>
          <w:rFonts w:ascii="Times New Roman" w:eastAsia="Times New Roman" w:hAnsi="Times New Roman" w:cs="Times New Roman"/>
          <w:b/>
        </w:rPr>
      </w:pPr>
      <w:r w:rsidRPr="00212AE6">
        <w:rPr>
          <w:rFonts w:ascii="Times New Roman" w:eastAsia="Times New Roman" w:hAnsi="Times New Roman" w:cs="Times New Roman"/>
          <w:b/>
        </w:rPr>
        <w:t>Kaip vartoti TOBREX</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 xml:space="preserve">Visada vartokite šį vaistą tiksliai kaip nurodė gydytojas. Jeigu abejojate, kreipkitės į gydytoją arba vaistininką. </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Suaugusiems (taip pat senyviems žmonėms) ir vyresniems nei 1 metų vaikams.</w:t>
      </w: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Įprastinė dozė:</w:t>
      </w:r>
      <w:r w:rsidRPr="00212AE6">
        <w:rPr>
          <w:rFonts w:ascii="Times New Roman" w:eastAsia="Times New Roman" w:hAnsi="Times New Roman" w:cs="Times New Roman"/>
          <w:b/>
        </w:rPr>
        <w:t xml:space="preserve"> </w:t>
      </w:r>
      <w:r w:rsidRPr="00212AE6">
        <w:rPr>
          <w:rFonts w:ascii="Times New Roman" w:eastAsia="Times New Roman" w:hAnsi="Times New Roman" w:cs="Times New Roman"/>
        </w:rPr>
        <w:t xml:space="preserve">vienas lašas reguliariais intervalais kas keturias valandas. </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Lašinkitės po tiek, jei gydytojas nenurodė kitaip. Į abi akis lašinkitės tik, jei gydytojas taip paskyrė.</w:t>
      </w:r>
    </w:p>
    <w:p w:rsidR="00614B14" w:rsidRPr="00212AE6" w:rsidRDefault="00614B14" w:rsidP="00614B14">
      <w:pPr>
        <w:spacing w:after="0" w:line="240" w:lineRule="auto"/>
        <w:rPr>
          <w:rFonts w:ascii="Times New Roman" w:eastAsia="Times New Roman" w:hAnsi="Times New Roman" w:cs="Times New Roman"/>
          <w:b/>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Įprastinė gydymo trukmė – 7±1 diena. Gydytojas pasakys, kaip ilgai vartoti vaistą.</w:t>
      </w:r>
    </w:p>
    <w:p w:rsidR="00614B14" w:rsidRPr="00212AE6" w:rsidRDefault="00614B14" w:rsidP="00614B14">
      <w:pPr>
        <w:spacing w:after="0" w:line="240" w:lineRule="auto"/>
        <w:rPr>
          <w:rFonts w:ascii="Times New Roman" w:eastAsia="Times New Roman" w:hAnsi="Times New Roman" w:cs="Times New Roman"/>
        </w:rPr>
      </w:pPr>
    </w:p>
    <w:p w:rsidR="00BE080A" w:rsidRPr="00212AE6" w:rsidRDefault="00BE080A" w:rsidP="00BE080A">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Kartu vartojant kitus akių vaistus tarp vienų ir kitų vartojimo reikia daryti 5 minučių pertrauką. Akių tepalą reikia vartoti paskiausiai.</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TOBREX galima vartoti tik ant akių.</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b/>
        </w:rPr>
      </w:pPr>
      <w:r w:rsidRPr="00212AE6">
        <w:rPr>
          <w:rFonts w:ascii="Times New Roman" w:eastAsia="Times New Roman" w:hAnsi="Times New Roman" w:cs="Times New Roman"/>
          <w:b/>
        </w:rPr>
        <w:t>Vartojimas vaikams ir paaugliams</w:t>
      </w: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1 metų ir vyresniems vaikams TOBREX akių lašus galima vartoti tokiomis pačiomis dozėmis, kaip ir suaugusiesiems. Šio vaistinio preparato veiksmingumas ir saugumas jaunesniems kaip 1 metų vaikams nenustatytas, duomenų nėra.</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b/>
        </w:rPr>
      </w:pPr>
      <w:r w:rsidRPr="00212AE6">
        <w:rPr>
          <w:rFonts w:ascii="Times New Roman" w:eastAsia="Times New Roman" w:hAnsi="Times New Roman" w:cs="Times New Roman"/>
          <w:b/>
        </w:rPr>
        <w:t>Pacientams, kurių kepenų ir inkstų funkcija sutrikusi</w:t>
      </w: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Šių pacientų gydymas TOBREX akių lašais netirtas. Akims vartojamo tobramicino sisteminė absorbcija yra labai maža. Jei tuo pačiu metu gydoma bendrojo poveikio aminoglikozidų grupės antibiotikais, reikėtų matuoti bendrąją jų koncentraciją serume, kad būtų galima palaikyti tinkamą gydomąją koncentraciją.</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Įlašinus vaisto rekomenduojama užsimerkti ir užspausti nosinį ašarų kanalą. Tai gali sumažinti vaisto absorbciją ir bendrąjį šalutinį poveikį.</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TOBREX skirtas tik Jūsų akims.</w:t>
      </w: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noProof/>
          <w:lang w:eastAsia="lt-LT"/>
        </w:rPr>
        <w:drawing>
          <wp:anchor distT="0" distB="0" distL="114300" distR="114300" simplePos="0" relativeHeight="251658752" behindDoc="0" locked="0" layoutInCell="0" allowOverlap="1" wp14:anchorId="4D7AD8E1" wp14:editId="7CDF0334">
            <wp:simplePos x="0" y="0"/>
            <wp:positionH relativeFrom="column">
              <wp:posOffset>4948555</wp:posOffset>
            </wp:positionH>
            <wp:positionV relativeFrom="paragraph">
              <wp:posOffset>294640</wp:posOffset>
            </wp:positionV>
            <wp:extent cx="1080135" cy="1076325"/>
            <wp:effectExtent l="0" t="0" r="5715" b="9525"/>
            <wp:wrapTopAndBottom/>
            <wp:docPr id="5" name="Picture 1"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7"/>
                    <pic:cNvPicPr>
                      <a:picLocks noChangeAspect="1" noChangeArrowheads="1"/>
                    </pic:cNvPicPr>
                  </pic:nvPicPr>
                  <pic:blipFill>
                    <a:blip r:embed="rId6" cstate="print"/>
                    <a:srcRect/>
                    <a:stretch>
                      <a:fillRect/>
                    </a:stretch>
                  </pic:blipFill>
                  <pic:spPr bwMode="auto">
                    <a:xfrm>
                      <a:off x="0" y="0"/>
                      <a:ext cx="1080135" cy="1076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12AE6">
        <w:rPr>
          <w:rFonts w:ascii="Times New Roman" w:eastAsia="Times New Roman" w:hAnsi="Times New Roman" w:cs="Times New Roman"/>
          <w:noProof/>
          <w:lang w:eastAsia="lt-LT"/>
        </w:rPr>
        <w:drawing>
          <wp:anchor distT="0" distB="0" distL="114300" distR="114300" simplePos="0" relativeHeight="251655680" behindDoc="1" locked="0" layoutInCell="0" allowOverlap="1" wp14:anchorId="128AEF6F" wp14:editId="77102D71">
            <wp:simplePos x="0" y="0"/>
            <wp:positionH relativeFrom="column">
              <wp:posOffset>1385570</wp:posOffset>
            </wp:positionH>
            <wp:positionV relativeFrom="paragraph">
              <wp:posOffset>34925</wp:posOffset>
            </wp:positionV>
            <wp:extent cx="1828800" cy="150304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828800" cy="1503045"/>
                    </a:xfrm>
                    <a:prstGeom prst="rect">
                      <a:avLst/>
                    </a:prstGeom>
                    <a:noFill/>
                    <a:ln w="9525">
                      <a:noFill/>
                      <a:miter lim="800000"/>
                      <a:headEnd/>
                      <a:tailEnd/>
                    </a:ln>
                  </pic:spPr>
                </pic:pic>
              </a:graphicData>
            </a:graphic>
          </wp:anchor>
        </w:drawing>
      </w:r>
      <w:r w:rsidRPr="00212AE6">
        <w:rPr>
          <w:rFonts w:ascii="Times New Roman" w:eastAsia="Times New Roman" w:hAnsi="Times New Roman" w:cs="Times New Roman"/>
          <w:noProof/>
          <w:lang w:eastAsia="lt-LT"/>
        </w:rPr>
        <w:drawing>
          <wp:anchor distT="0" distB="0" distL="114300" distR="114300" simplePos="0" relativeHeight="251656704" behindDoc="1" locked="0" layoutInCell="0" allowOverlap="1" wp14:anchorId="42AC4A20" wp14:editId="66A4940D">
            <wp:simplePos x="0" y="0"/>
            <wp:positionH relativeFrom="column">
              <wp:posOffset>3122930</wp:posOffset>
            </wp:positionH>
            <wp:positionV relativeFrom="paragraph">
              <wp:posOffset>127635</wp:posOffset>
            </wp:positionV>
            <wp:extent cx="1737360" cy="1370330"/>
            <wp:effectExtent l="1905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737360" cy="1370330"/>
                    </a:xfrm>
                    <a:prstGeom prst="rect">
                      <a:avLst/>
                    </a:prstGeom>
                    <a:noFill/>
                  </pic:spPr>
                </pic:pic>
              </a:graphicData>
            </a:graphic>
          </wp:anchor>
        </w:drawing>
      </w:r>
    </w:p>
    <w:p w:rsidR="00614B14" w:rsidRPr="00212AE6" w:rsidRDefault="00614B14" w:rsidP="00614B14">
      <w:pPr>
        <w:widowControl w:val="0"/>
        <w:numPr>
          <w:ilvl w:val="12"/>
          <w:numId w:val="0"/>
        </w:numPr>
        <w:suppressAutoHyphens/>
        <w:spacing w:after="0" w:line="240" w:lineRule="auto"/>
        <w:ind w:right="-2"/>
        <w:rPr>
          <w:rFonts w:ascii="Times New Roman" w:eastAsia="Times New Roman" w:hAnsi="Times New Roman" w:cs="Times New Roman"/>
        </w:rPr>
      </w:pPr>
      <w:r w:rsidRPr="00212AE6">
        <w:rPr>
          <w:rFonts w:ascii="Times New Roman" w:eastAsia="Times New Roman" w:hAnsi="Times New Roman" w:cs="Times New Roman"/>
          <w:noProof/>
          <w:lang w:eastAsia="lt-LT"/>
        </w:rPr>
        <w:drawing>
          <wp:anchor distT="0" distB="0" distL="114300" distR="114300" simplePos="0" relativeHeight="251657728" behindDoc="0" locked="0" layoutInCell="0" allowOverlap="1" wp14:anchorId="52D09C2D" wp14:editId="280441F1">
            <wp:simplePos x="0" y="0"/>
            <wp:positionH relativeFrom="column">
              <wp:posOffset>4951730</wp:posOffset>
            </wp:positionH>
            <wp:positionV relativeFrom="paragraph">
              <wp:posOffset>144780</wp:posOffset>
            </wp:positionV>
            <wp:extent cx="1005840" cy="1002030"/>
            <wp:effectExtent l="19050" t="0" r="3810" b="0"/>
            <wp:wrapTopAndBottom/>
            <wp:docPr id="8" name="Picture 4"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7"/>
                    <pic:cNvPicPr>
                      <a:picLocks noChangeAspect="1" noChangeArrowheads="1"/>
                    </pic:cNvPicPr>
                  </pic:nvPicPr>
                  <pic:blipFill>
                    <a:blip r:embed="rId6" cstate="print"/>
                    <a:srcRect/>
                    <a:stretch>
                      <a:fillRect/>
                    </a:stretch>
                  </pic:blipFill>
                  <pic:spPr bwMode="auto">
                    <a:xfrm>
                      <a:off x="0" y="0"/>
                      <a:ext cx="1005840" cy="1002030"/>
                    </a:xfrm>
                    <a:prstGeom prst="rect">
                      <a:avLst/>
                    </a:prstGeom>
                    <a:noFill/>
                    <a:ln w="9525">
                      <a:noFill/>
                      <a:miter lim="800000"/>
                      <a:headEnd/>
                      <a:tailEnd/>
                    </a:ln>
                  </pic:spPr>
                </pic:pic>
              </a:graphicData>
            </a:graphic>
          </wp:anchor>
        </w:drawing>
      </w:r>
      <w:r w:rsidR="00975317">
        <w:rPr>
          <w:rFonts w:ascii="Times New Roman" w:eastAsia="Times New Roman" w:hAnsi="Times New Roman" w:cs="Times New Roman"/>
          <w:b/>
          <w: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6.85pt;width:89.6pt;height:90.25pt;z-index:-251656704;visibility:visible;mso-wrap-edited:f;mso-position-horizontal-relative:text;mso-position-vertical-relative:text" wrapcoords="-140 0 -140 21461 21600 21461 21600 0 -140 0" o:allowincell="f" fillcolor="window">
            <v:imagedata r:id="rId9" o:title=""/>
          </v:shape>
          <o:OLEObject Type="Embed" ProgID="Word.Picture.8" ShapeID="_x0000_s1026" DrawAspect="Content" ObjectID="_1581487284" r:id="rId10"/>
        </w:object>
      </w:r>
    </w:p>
    <w:p w:rsidR="00614B14" w:rsidRDefault="00614B14" w:rsidP="00D36117">
      <w:pPr>
        <w:pStyle w:val="Sraopastraipa"/>
        <w:widowControl w:val="0"/>
        <w:numPr>
          <w:ilvl w:val="0"/>
          <w:numId w:val="4"/>
        </w:numPr>
        <w:suppressAutoHyphens/>
        <w:spacing w:after="0" w:line="240" w:lineRule="auto"/>
        <w:ind w:right="-2"/>
        <w:rPr>
          <w:rFonts w:ascii="Times New Roman" w:eastAsia="Times New Roman" w:hAnsi="Times New Roman" w:cs="Times New Roman"/>
        </w:rPr>
      </w:pPr>
      <w:r w:rsidRPr="00D36117">
        <w:rPr>
          <w:rFonts w:ascii="Times New Roman" w:eastAsia="Times New Roman" w:hAnsi="Times New Roman" w:cs="Times New Roman"/>
        </w:rPr>
        <w:tab/>
      </w:r>
      <w:r w:rsidR="005C65EC">
        <w:rPr>
          <w:rFonts w:ascii="Times New Roman" w:eastAsia="Times New Roman" w:hAnsi="Times New Roman" w:cs="Times New Roman"/>
        </w:rPr>
        <w:tab/>
      </w:r>
      <w:r w:rsidRPr="00D36117">
        <w:rPr>
          <w:rFonts w:ascii="Times New Roman" w:eastAsia="Times New Roman" w:hAnsi="Times New Roman" w:cs="Times New Roman"/>
        </w:rPr>
        <w:t xml:space="preserve"> 2</w:t>
      </w:r>
      <w:r w:rsidRPr="00D36117">
        <w:rPr>
          <w:rFonts w:ascii="Times New Roman" w:eastAsia="Times New Roman" w:hAnsi="Times New Roman" w:cs="Times New Roman"/>
        </w:rPr>
        <w:tab/>
      </w:r>
      <w:r w:rsidRPr="00D36117">
        <w:rPr>
          <w:rFonts w:ascii="Times New Roman" w:eastAsia="Times New Roman" w:hAnsi="Times New Roman" w:cs="Times New Roman"/>
        </w:rPr>
        <w:tab/>
        <w:t xml:space="preserve"> 3</w:t>
      </w:r>
      <w:r w:rsidRPr="00D36117">
        <w:rPr>
          <w:rFonts w:ascii="Times New Roman" w:eastAsia="Times New Roman" w:hAnsi="Times New Roman" w:cs="Times New Roman"/>
        </w:rPr>
        <w:tab/>
      </w:r>
      <w:r w:rsidRPr="00D36117">
        <w:rPr>
          <w:rFonts w:ascii="Times New Roman" w:eastAsia="Times New Roman" w:hAnsi="Times New Roman" w:cs="Times New Roman"/>
        </w:rPr>
        <w:tab/>
        <w:t>4</w:t>
      </w:r>
    </w:p>
    <w:p w:rsidR="00C6674F" w:rsidRPr="00C6674F" w:rsidRDefault="00C6674F" w:rsidP="00C6674F">
      <w:pPr>
        <w:widowControl w:val="0"/>
        <w:suppressAutoHyphens/>
        <w:spacing w:after="0" w:line="240" w:lineRule="auto"/>
        <w:ind w:right="-2"/>
        <w:rPr>
          <w:rFonts w:ascii="Times New Roman" w:eastAsia="Times New Roman" w:hAnsi="Times New Roman" w:cs="Times New Roman"/>
        </w:rPr>
      </w:pPr>
    </w:p>
    <w:p w:rsidR="00D36117"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Paimkite TOBREX talpyklę ir veidrodį.</w:t>
      </w:r>
    </w:p>
    <w:p w:rsidR="00D36117"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Nusiplaukite rankas.</w:t>
      </w:r>
    </w:p>
    <w:p w:rsidR="00D36117"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Atsukite talpyklės dangtelį. Pirmą kartą atidarę talpyklę nuimkite dangtelio žiedelį, jei jis atsilaisvina.</w:t>
      </w:r>
    </w:p>
    <w:p w:rsidR="00C6674F"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Laikykite apverstą talpyklę vienos rankos nykščiu ir didžiuoju pirštu (1 pav.).</w:t>
      </w:r>
    </w:p>
    <w:p w:rsidR="00C6674F"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Atloškite galvą. Kitos rankos smiliumi atsargiai patraukite žemyn apatinį voką, kad tarp voko ir akies obuolio susidarytų kišenėlė (2 pav.).</w:t>
      </w:r>
    </w:p>
    <w:p w:rsidR="00C6674F"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Laikykite lašintuvo galą virš akies. Naudokitės veidrodžiu, jei tai padeda.</w:t>
      </w:r>
    </w:p>
    <w:p w:rsidR="00C6674F"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Nelieskite lašintuvo galu akies, voko ar kito paviršiaus, nes lašai gali užsiteršti.</w:t>
      </w:r>
    </w:p>
    <w:p w:rsidR="00C6674F"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Lengvai paspauskite smiliumi talpyklės dugną, kad vienas TOBREX lašas įlašėtų į plyšį tarp akies ir apatinio voko (3 pav.).</w:t>
      </w:r>
    </w:p>
    <w:p w:rsidR="00C6674F"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Atleiskite apatinį voką, užsimerkite ir nestipriai užspauskite pirštu akies kampą prie nosies (4 pav.), kad mažiau vaisto patektų į visą organizmą.</w:t>
      </w:r>
    </w:p>
    <w:p w:rsidR="00C6674F"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 xml:space="preserve">Jei reikia, tokiu pačiu būdu įsilašinkite vaisto į kitą akį. </w:t>
      </w:r>
    </w:p>
    <w:p w:rsidR="00614B14" w:rsidRPr="00C6674F" w:rsidRDefault="00614B14" w:rsidP="00C6674F">
      <w:pPr>
        <w:pStyle w:val="Sraopastraipa"/>
        <w:numPr>
          <w:ilvl w:val="0"/>
          <w:numId w:val="5"/>
        </w:numPr>
        <w:spacing w:after="0"/>
        <w:rPr>
          <w:rFonts w:ascii="Times New Roman" w:hAnsi="Times New Roman" w:cs="Times New Roman"/>
        </w:rPr>
      </w:pPr>
      <w:r w:rsidRPr="00C6674F">
        <w:rPr>
          <w:rFonts w:ascii="Times New Roman" w:hAnsi="Times New Roman" w:cs="Times New Roman"/>
        </w:rPr>
        <w:t>Uždėkite ir sandariai užsukite talpyklės dangtelį.</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20" w:lineRule="exact"/>
        <w:rPr>
          <w:rFonts w:ascii="Times New Roman" w:eastAsia="Times New Roman" w:hAnsi="Times New Roman" w:cs="Times New Roman"/>
          <w:b/>
          <w:bCs/>
        </w:rPr>
      </w:pPr>
      <w:r w:rsidRPr="00212AE6">
        <w:rPr>
          <w:rFonts w:ascii="Times New Roman" w:eastAsia="Times New Roman" w:hAnsi="Times New Roman" w:cs="Times New Roman"/>
          <w:b/>
          <w:bCs/>
        </w:rPr>
        <w:t>Ką daryti pavartojus per didelę TOBREX dozę?</w:t>
      </w:r>
    </w:p>
    <w:p w:rsidR="00614B14" w:rsidRPr="00212AE6" w:rsidRDefault="00614B14" w:rsidP="00614B14">
      <w:pPr>
        <w:spacing w:after="0" w:line="240" w:lineRule="auto"/>
        <w:jc w:val="both"/>
        <w:rPr>
          <w:rFonts w:ascii="Times New Roman" w:eastAsia="Times New Roman" w:hAnsi="Times New Roman" w:cs="Times New Roman"/>
        </w:rPr>
      </w:pPr>
      <w:r w:rsidRPr="00212AE6">
        <w:rPr>
          <w:rFonts w:ascii="Times New Roman" w:eastAsia="Times New Roman" w:hAnsi="Times New Roman" w:cs="Times New Roman"/>
        </w:rPr>
        <w:t>TOBREX akių lašų perteklių iš akies (akių) galima išplauti drungnu vandeniu. Vis dėlto šalutinis poveikis nėra tikėtinas. Daugiau produkto nelašinkite, toliau vartokite įprastu laiku.</w:t>
      </w:r>
    </w:p>
    <w:p w:rsidR="00614B14" w:rsidRPr="00212AE6" w:rsidRDefault="00614B14" w:rsidP="00614B14">
      <w:pPr>
        <w:spacing w:after="0" w:line="220" w:lineRule="exact"/>
        <w:rPr>
          <w:rFonts w:ascii="Times New Roman" w:eastAsia="Times New Roman" w:hAnsi="Times New Roman" w:cs="Times New Roman"/>
          <w:b/>
          <w:bCs/>
        </w:rPr>
      </w:pPr>
    </w:p>
    <w:p w:rsidR="00614B14" w:rsidRPr="00212AE6" w:rsidRDefault="00614B14" w:rsidP="00614B14">
      <w:pPr>
        <w:spacing w:after="0" w:line="220" w:lineRule="exact"/>
        <w:rPr>
          <w:rFonts w:ascii="Times New Roman" w:eastAsia="Times New Roman" w:hAnsi="Times New Roman" w:cs="Times New Roman"/>
          <w:b/>
          <w:bCs/>
        </w:rPr>
      </w:pPr>
      <w:r w:rsidRPr="00212AE6">
        <w:rPr>
          <w:rFonts w:ascii="Times New Roman" w:eastAsia="Times New Roman" w:hAnsi="Times New Roman" w:cs="Times New Roman"/>
          <w:b/>
          <w:bCs/>
        </w:rPr>
        <w:t>Pamiršus pavartoti TOBREX</w:t>
      </w: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Įsilašinkite, kai tik prisiminsite. Jei beveik atėjęs laikas vartoti vaistą kitą kartą, praleiskite užmirštąją dozę ir toliau vartokite įprastu laiku. Negalima vartoti dvigubos dozės norint kompensuoti praleistą dozę.</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Jei nepataikėte įsilašinti, lašinkitės dar kartą.</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b/>
        </w:rPr>
      </w:pPr>
      <w:r w:rsidRPr="00212AE6">
        <w:rPr>
          <w:rFonts w:ascii="Times New Roman" w:eastAsia="Times New Roman" w:hAnsi="Times New Roman" w:cs="Times New Roman"/>
          <w:b/>
        </w:rPr>
        <w:t xml:space="preserve">Nustojus vartoti TOBREX </w:t>
      </w:r>
    </w:p>
    <w:p w:rsidR="00614B14" w:rsidRPr="00212AE6" w:rsidRDefault="00614B14" w:rsidP="00614B14">
      <w:pPr>
        <w:numPr>
          <w:ilvl w:val="12"/>
          <w:numId w:val="0"/>
        </w:numPr>
        <w:spacing w:after="0" w:line="240" w:lineRule="auto"/>
        <w:ind w:right="-29"/>
        <w:rPr>
          <w:rFonts w:ascii="Times New Roman" w:eastAsia="Times New Roman" w:hAnsi="Times New Roman" w:cs="Times New Roman"/>
        </w:rPr>
      </w:pPr>
      <w:r w:rsidRPr="00212AE6">
        <w:rPr>
          <w:rFonts w:ascii="Times New Roman" w:eastAsia="Times New Roman" w:hAnsi="Times New Roman" w:cs="Times New Roman"/>
        </w:rPr>
        <w:t>Jeigu kiltų daugiau klausimų dėl šio vaisto vartojimo, kreipkitės į gydytoją arba vaistininką.</w:t>
      </w:r>
    </w:p>
    <w:p w:rsidR="00614B14" w:rsidRPr="00212AE6" w:rsidRDefault="00614B14" w:rsidP="00614B14">
      <w:pPr>
        <w:spacing w:after="0" w:line="240" w:lineRule="auto"/>
        <w:rPr>
          <w:rFonts w:ascii="Times New Roman" w:eastAsia="Times New Roman" w:hAnsi="Times New Roman" w:cs="Times New Roman"/>
          <w:b/>
        </w:rPr>
      </w:pPr>
    </w:p>
    <w:p w:rsidR="00614B14" w:rsidRPr="00212AE6" w:rsidRDefault="00614B14" w:rsidP="00614B14">
      <w:pPr>
        <w:spacing w:after="0" w:line="240" w:lineRule="auto"/>
        <w:rPr>
          <w:rFonts w:ascii="Times New Roman" w:eastAsia="Times New Roman" w:hAnsi="Times New Roman" w:cs="Times New Roman"/>
          <w:b/>
        </w:rPr>
      </w:pPr>
    </w:p>
    <w:p w:rsidR="00614B14" w:rsidRPr="00212AE6" w:rsidRDefault="00614B14" w:rsidP="00614B14">
      <w:pPr>
        <w:tabs>
          <w:tab w:val="left" w:pos="567"/>
        </w:tabs>
        <w:spacing w:after="0" w:line="240" w:lineRule="auto"/>
        <w:rPr>
          <w:rFonts w:ascii="Times New Roman" w:eastAsia="Times New Roman" w:hAnsi="Times New Roman" w:cs="Times New Roman"/>
          <w:b/>
        </w:rPr>
      </w:pPr>
      <w:r w:rsidRPr="00212AE6">
        <w:rPr>
          <w:rFonts w:ascii="Times New Roman" w:eastAsia="Times New Roman" w:hAnsi="Times New Roman" w:cs="Times New Roman"/>
          <w:b/>
        </w:rPr>
        <w:t>4.</w:t>
      </w:r>
      <w:r w:rsidRPr="00212AE6">
        <w:rPr>
          <w:rFonts w:ascii="Times New Roman" w:eastAsia="Times New Roman" w:hAnsi="Times New Roman" w:cs="Times New Roman"/>
          <w:b/>
        </w:rPr>
        <w:tab/>
        <w:t>Galimas šalutinis poveikis</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p>
    <w:p w:rsidR="00614B14" w:rsidRPr="00212AE6" w:rsidRDefault="00614B14" w:rsidP="00614B14">
      <w:pPr>
        <w:tabs>
          <w:tab w:val="left" w:pos="567"/>
        </w:tabs>
        <w:spacing w:after="0" w:line="240" w:lineRule="auto"/>
        <w:rPr>
          <w:rFonts w:ascii="Times New Roman" w:eastAsia="Times New Roman" w:hAnsi="Times New Roman" w:cs="Times New Roman"/>
          <w:noProof/>
        </w:rPr>
      </w:pPr>
      <w:r w:rsidRPr="00212AE6">
        <w:rPr>
          <w:rFonts w:ascii="Times New Roman" w:eastAsia="Times New Roman" w:hAnsi="Times New Roman" w:cs="Times New Roman"/>
          <w:noProof/>
        </w:rPr>
        <w:t>Šis vaistas, kaip ir visi kiti, gali sukelti šalutinį poveikį, nors jis pasireiškia ne visiems žmonėms.</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p>
    <w:p w:rsidR="00614B14" w:rsidRPr="00212AE6" w:rsidRDefault="00614B14" w:rsidP="00614B14">
      <w:pPr>
        <w:autoSpaceDE w:val="0"/>
        <w:autoSpaceDN w:val="0"/>
        <w:adjustRightInd w:val="0"/>
        <w:spacing w:after="0" w:line="240" w:lineRule="auto"/>
        <w:rPr>
          <w:rFonts w:ascii="Times New Roman" w:eastAsia="Times New Roman" w:hAnsi="Times New Roman" w:cs="Times New Roman"/>
        </w:rPr>
      </w:pPr>
      <w:r w:rsidRPr="00212AE6">
        <w:rPr>
          <w:rFonts w:ascii="Times New Roman" w:eastAsia="Times New Roman" w:hAnsi="Times New Roman" w:cs="Times New Roman"/>
          <w:noProof/>
        </w:rPr>
        <w:t>Toliau išvardyti šalutiniai poveikiai pastebėti vartojant tobramicino akių lašus:</w:t>
      </w:r>
      <w:r w:rsidRPr="00212AE6">
        <w:rPr>
          <w:rFonts w:ascii="Times New Roman" w:eastAsia="Times New Roman" w:hAnsi="Times New Roman" w:cs="Times New Roman"/>
        </w:rPr>
        <w:t xml:space="preserve"> </w:t>
      </w:r>
    </w:p>
    <w:p w:rsidR="00614B14" w:rsidRPr="00212AE6" w:rsidRDefault="00614B14" w:rsidP="00614B14">
      <w:pPr>
        <w:tabs>
          <w:tab w:val="left" w:pos="567"/>
        </w:tabs>
        <w:spacing w:after="0" w:line="240" w:lineRule="auto"/>
        <w:rPr>
          <w:rFonts w:ascii="Times New Roman" w:eastAsia="Times New Roman" w:hAnsi="Times New Roman" w:cs="Times New Roman"/>
          <w:i/>
        </w:rPr>
      </w:pPr>
    </w:p>
    <w:p w:rsidR="00614B14" w:rsidRPr="00212AE6" w:rsidRDefault="00614B14" w:rsidP="00614B14">
      <w:pPr>
        <w:tabs>
          <w:tab w:val="left" w:pos="567"/>
        </w:tabs>
        <w:spacing w:after="0" w:line="240" w:lineRule="auto"/>
        <w:rPr>
          <w:rFonts w:ascii="Times New Roman" w:eastAsia="Times New Roman" w:hAnsi="Times New Roman" w:cs="Times New Roman"/>
        </w:rPr>
      </w:pPr>
      <w:r w:rsidRPr="00212AE6">
        <w:rPr>
          <w:rFonts w:ascii="Times New Roman" w:eastAsia="Times New Roman" w:hAnsi="Times New Roman" w:cs="Times New Roman"/>
          <w:i/>
        </w:rPr>
        <w:t xml:space="preserve">Dažni šalutiniai poveikiai </w:t>
      </w:r>
      <w:r w:rsidRPr="00212AE6">
        <w:rPr>
          <w:rFonts w:ascii="Times New Roman" w:eastAsia="Times New Roman" w:hAnsi="Times New Roman" w:cs="Times New Roman"/>
        </w:rPr>
        <w:t>(</w:t>
      </w:r>
      <w:r w:rsidRPr="00212AE6">
        <w:rPr>
          <w:rFonts w:ascii="Times New Roman" w:eastAsia="Times New Roman" w:hAnsi="Times New Roman" w:cs="Times New Roman"/>
          <w:i/>
        </w:rPr>
        <w:t>gali pasireikšti nuo 1 iki 10 vartotojų iš 100)</w:t>
      </w:r>
    </w:p>
    <w:p w:rsidR="00614B14" w:rsidRPr="00212AE6" w:rsidRDefault="00614B14" w:rsidP="00614B14">
      <w:pPr>
        <w:widowControl w:val="0"/>
        <w:spacing w:after="0" w:line="240" w:lineRule="auto"/>
        <w:ind w:right="-2"/>
        <w:rPr>
          <w:rFonts w:ascii="Times New Roman" w:eastAsia="Times New Roman" w:hAnsi="Times New Roman" w:cs="Times New Roman"/>
          <w:noProof/>
        </w:rPr>
      </w:pPr>
      <w:r w:rsidRPr="00212AE6">
        <w:rPr>
          <w:rFonts w:ascii="Times New Roman" w:eastAsia="Times New Roman" w:hAnsi="Times New Roman" w:cs="Times New Roman"/>
          <w:noProof/>
        </w:rPr>
        <w:t>Akių sutrikimai: akies diskomfortas, akies paraudimas.</w:t>
      </w:r>
    </w:p>
    <w:p w:rsidR="00614B14" w:rsidRPr="00212AE6" w:rsidRDefault="00614B14" w:rsidP="00614B14">
      <w:pPr>
        <w:widowControl w:val="0"/>
        <w:spacing w:after="0" w:line="240" w:lineRule="auto"/>
        <w:ind w:right="-2"/>
        <w:rPr>
          <w:rFonts w:ascii="Times New Roman" w:eastAsia="Times New Roman" w:hAnsi="Times New Roman" w:cs="Times New Roman"/>
          <w:i/>
        </w:rPr>
      </w:pPr>
    </w:p>
    <w:p w:rsidR="00614B14" w:rsidRPr="00212AE6" w:rsidRDefault="00614B14" w:rsidP="00614B14">
      <w:pPr>
        <w:widowControl w:val="0"/>
        <w:spacing w:after="0" w:line="240" w:lineRule="auto"/>
        <w:ind w:right="-2"/>
        <w:rPr>
          <w:rFonts w:ascii="Times New Roman" w:eastAsia="Times New Roman" w:hAnsi="Times New Roman" w:cs="Times New Roman"/>
          <w:noProof/>
        </w:rPr>
      </w:pPr>
      <w:r w:rsidRPr="00212AE6">
        <w:rPr>
          <w:rFonts w:ascii="Times New Roman" w:eastAsia="Times New Roman" w:hAnsi="Times New Roman" w:cs="Times New Roman"/>
          <w:i/>
        </w:rPr>
        <w:lastRenderedPageBreak/>
        <w:t>Nedažni šalutiniai poveikiai (gali pasireikšti nuo 1 iki 10 vartotojų iš 1000)</w:t>
      </w:r>
      <w:r w:rsidRPr="00212AE6">
        <w:rPr>
          <w:rFonts w:ascii="Times New Roman" w:eastAsia="Times New Roman" w:hAnsi="Times New Roman" w:cs="Times New Roman"/>
        </w:rPr>
        <w:t>:</w:t>
      </w:r>
    </w:p>
    <w:p w:rsidR="00614B14" w:rsidRPr="00212AE6" w:rsidRDefault="00614B14" w:rsidP="00614B14">
      <w:pPr>
        <w:widowControl w:val="0"/>
        <w:spacing w:after="0" w:line="240" w:lineRule="auto"/>
        <w:ind w:right="-2"/>
        <w:rPr>
          <w:rFonts w:ascii="Times New Roman" w:eastAsia="Times New Roman" w:hAnsi="Times New Roman" w:cs="Times New Roman"/>
          <w:noProof/>
        </w:rPr>
      </w:pPr>
      <w:r w:rsidRPr="00212AE6">
        <w:rPr>
          <w:rFonts w:ascii="Times New Roman" w:eastAsia="Times New Roman" w:hAnsi="Times New Roman" w:cs="Times New Roman"/>
          <w:noProof/>
        </w:rPr>
        <w:t>Akių sutrikimai: akies paviršiaus uždegimas, ragenos pažeidimas, regėjimo pablogėjimas, neryškus matymas, voko paraudimas, akies ir voko patinimas, akies skausmas, akies sausumas, išskyros iš akies, akies niežėjimas, neįprastas (svetimkūnio) jausmas akyje, padidėjęs ašarojimas.</w:t>
      </w:r>
    </w:p>
    <w:p w:rsidR="00614B14" w:rsidRPr="00212AE6" w:rsidRDefault="00614B14" w:rsidP="00614B14">
      <w:pPr>
        <w:widowControl w:val="0"/>
        <w:spacing w:after="0" w:line="240" w:lineRule="auto"/>
        <w:ind w:right="-2"/>
        <w:rPr>
          <w:rFonts w:ascii="Times New Roman" w:eastAsia="Times New Roman" w:hAnsi="Times New Roman" w:cs="Times New Roman"/>
          <w:noProof/>
        </w:rPr>
      </w:pPr>
      <w:r w:rsidRPr="00212AE6">
        <w:rPr>
          <w:rFonts w:ascii="Times New Roman" w:eastAsia="Times New Roman" w:hAnsi="Times New Roman" w:cs="Times New Roman"/>
          <w:noProof/>
        </w:rPr>
        <w:t>Bendrieji sutrikimai: alergija (padidėjęs jautrumas), galvos skausmas, dilgėlinė, odos uždegimas, sumažėjęs blakstienų augimas arba jų skaičius, odos pigmentacijos išnykimas, niežėjimas ir odos sausumas.</w:t>
      </w:r>
    </w:p>
    <w:p w:rsidR="00614B14" w:rsidRPr="00212AE6" w:rsidRDefault="00614B14" w:rsidP="00614B14">
      <w:pPr>
        <w:widowControl w:val="0"/>
        <w:autoSpaceDE w:val="0"/>
        <w:autoSpaceDN w:val="0"/>
        <w:adjustRightInd w:val="0"/>
        <w:spacing w:after="0" w:line="240" w:lineRule="auto"/>
        <w:rPr>
          <w:rFonts w:ascii="Times New Roman" w:eastAsia="Times New Roman" w:hAnsi="Times New Roman" w:cs="Times New Roman"/>
          <w:i/>
        </w:rPr>
      </w:pPr>
    </w:p>
    <w:p w:rsidR="00614B14" w:rsidRPr="00212AE6" w:rsidRDefault="00614B14" w:rsidP="00614B14">
      <w:pPr>
        <w:widowControl w:val="0"/>
        <w:autoSpaceDE w:val="0"/>
        <w:autoSpaceDN w:val="0"/>
        <w:adjustRightInd w:val="0"/>
        <w:spacing w:after="0" w:line="240" w:lineRule="auto"/>
        <w:rPr>
          <w:rFonts w:ascii="Times New Roman" w:eastAsia="Times New Roman" w:hAnsi="Times New Roman" w:cs="Times New Roman"/>
        </w:rPr>
      </w:pPr>
      <w:r w:rsidRPr="00212AE6">
        <w:rPr>
          <w:rFonts w:ascii="Times New Roman" w:eastAsia="Times New Roman" w:hAnsi="Times New Roman" w:cs="Times New Roman"/>
          <w:i/>
        </w:rPr>
        <w:t>Dažnis nežinomas (</w:t>
      </w:r>
      <w:r w:rsidRPr="00212AE6">
        <w:rPr>
          <w:rFonts w:ascii="Times New Roman" w:eastAsia="Times New Roman" w:hAnsi="Times New Roman" w:cs="Times New Roman"/>
          <w:i/>
          <w:spacing w:val="-3"/>
        </w:rPr>
        <w:t>negali būti įvertintas pagal turimus duomenis</w:t>
      </w:r>
      <w:r w:rsidRPr="00212AE6">
        <w:rPr>
          <w:rFonts w:ascii="Times New Roman" w:eastAsia="Times New Roman" w:hAnsi="Times New Roman" w:cs="Times New Roman"/>
          <w:i/>
        </w:rPr>
        <w:t>)</w:t>
      </w:r>
      <w:r w:rsidRPr="00212AE6">
        <w:rPr>
          <w:rFonts w:ascii="Times New Roman" w:eastAsia="Times New Roman" w:hAnsi="Times New Roman" w:cs="Times New Roman"/>
        </w:rPr>
        <w:t>:</w:t>
      </w:r>
    </w:p>
    <w:p w:rsidR="00614B14" w:rsidRPr="00212AE6" w:rsidRDefault="00614B14" w:rsidP="00614B14">
      <w:pPr>
        <w:widowControl w:val="0"/>
        <w:spacing w:after="0" w:line="240" w:lineRule="auto"/>
        <w:ind w:right="-2"/>
        <w:rPr>
          <w:rFonts w:ascii="Times New Roman" w:eastAsia="Times New Roman" w:hAnsi="Times New Roman" w:cs="Times New Roman"/>
          <w:noProof/>
        </w:rPr>
      </w:pPr>
      <w:r w:rsidRPr="00212AE6">
        <w:rPr>
          <w:rFonts w:ascii="Times New Roman" w:eastAsia="Times New Roman" w:hAnsi="Times New Roman" w:cs="Times New Roman"/>
          <w:noProof/>
        </w:rPr>
        <w:t>Akių sutrikimai: akies alergija, akies sudirginimas, voko niežėjimas.</w:t>
      </w:r>
    </w:p>
    <w:p w:rsidR="00614B14" w:rsidRPr="00212AE6" w:rsidRDefault="00614B14" w:rsidP="00614B14">
      <w:pPr>
        <w:widowControl w:val="0"/>
        <w:numPr>
          <w:ilvl w:val="12"/>
          <w:numId w:val="0"/>
        </w:numPr>
        <w:suppressAutoHyphens/>
        <w:spacing w:after="0" w:line="240" w:lineRule="auto"/>
        <w:ind w:right="-29"/>
        <w:rPr>
          <w:rFonts w:ascii="Times New Roman" w:eastAsia="Times New Roman" w:hAnsi="Times New Roman" w:cs="Times New Roman"/>
        </w:rPr>
      </w:pPr>
      <w:r w:rsidRPr="00212AE6">
        <w:rPr>
          <w:rFonts w:ascii="Times New Roman" w:eastAsia="Times New Roman" w:hAnsi="Times New Roman" w:cs="Times New Roman"/>
          <w:noProof/>
        </w:rPr>
        <w:t>Bendrieji sutrikimai: sunki alerginė reakcija, sunkios odos reakcijos (Stevens-Johnson sindromas ir daugiaformė eritema)</w:t>
      </w:r>
      <w:r w:rsidRPr="00212AE6">
        <w:rPr>
          <w:rFonts w:ascii="Times New Roman" w:eastAsia="Times New Roman" w:hAnsi="Times New Roman" w:cs="Times New Roman"/>
        </w:rPr>
        <w:t>.</w:t>
      </w:r>
    </w:p>
    <w:p w:rsidR="00614B14" w:rsidRPr="00212AE6" w:rsidRDefault="00614B14" w:rsidP="00614B14">
      <w:pPr>
        <w:spacing w:after="0" w:line="240" w:lineRule="auto"/>
        <w:rPr>
          <w:rFonts w:ascii="Times New Roman" w:eastAsia="Times New Roman" w:hAnsi="Times New Roman" w:cs="Times New Roman"/>
        </w:rPr>
      </w:pPr>
    </w:p>
    <w:p w:rsidR="00995353" w:rsidRPr="000A5E52" w:rsidRDefault="00995353" w:rsidP="00995353">
      <w:pPr>
        <w:widowControl w:val="0"/>
        <w:tabs>
          <w:tab w:val="left" w:pos="567"/>
        </w:tabs>
        <w:spacing w:after="0" w:line="240" w:lineRule="auto"/>
        <w:rPr>
          <w:rFonts w:ascii="Times New Roman" w:eastAsia="Times New Roman" w:hAnsi="Times New Roman" w:cs="Times New Roman"/>
          <w:b/>
          <w:snapToGrid w:val="0"/>
        </w:rPr>
      </w:pPr>
      <w:r w:rsidRPr="000A5E52">
        <w:rPr>
          <w:rFonts w:ascii="Times New Roman" w:eastAsia="Times New Roman" w:hAnsi="Times New Roman" w:cs="Times New Roman"/>
          <w:b/>
          <w:snapToGrid w:val="0"/>
        </w:rPr>
        <w:t>Pranešimas apie šalutinį poveikį</w:t>
      </w:r>
    </w:p>
    <w:p w:rsidR="00995353" w:rsidRPr="000A5E52" w:rsidRDefault="00995353" w:rsidP="00995353">
      <w:pPr>
        <w:widowControl w:val="0"/>
        <w:tabs>
          <w:tab w:val="left" w:pos="567"/>
        </w:tabs>
        <w:spacing w:after="0" w:line="260" w:lineRule="exact"/>
        <w:ind w:right="-449"/>
        <w:rPr>
          <w:rFonts w:ascii="Times New Roman" w:eastAsia="MS Mincho" w:hAnsi="Times New Roman" w:cs="Times New Roman"/>
        </w:rPr>
      </w:pPr>
      <w:r w:rsidRPr="000A5E52">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0A5E52">
        <w:rPr>
          <w:rFonts w:ascii="Times New Roman" w:eastAsia="Times New Roman" w:hAnsi="Times New Roman" w:cs="Times New Roman"/>
          <w:noProof/>
          <w:snapToGrid w:val="0"/>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Pr="000A5E52">
          <w:rPr>
            <w:rFonts w:ascii="Times New Roman" w:eastAsia="Times New Roman" w:hAnsi="Times New Roman" w:cs="Times New Roman"/>
            <w:noProof/>
            <w:snapToGrid w:val="0"/>
            <w:color w:val="0000FF"/>
            <w:u w:val="single"/>
          </w:rPr>
          <w:t>www.vvkt.lt</w:t>
        </w:r>
      </w:hyperlink>
      <w:r w:rsidRPr="000A5E52">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0A5E52">
          <w:rPr>
            <w:rFonts w:ascii="Times New Roman" w:eastAsia="Times New Roman" w:hAnsi="Times New Roman" w:cs="Times New Roman"/>
            <w:noProof/>
            <w:snapToGrid w:val="0"/>
            <w:color w:val="0000FF"/>
            <w:u w:val="single"/>
          </w:rPr>
          <w:t>NepageidaujamaR@vvkt.lt</w:t>
        </w:r>
      </w:hyperlink>
      <w:r w:rsidRPr="000A5E52">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13" w:history="1">
        <w:r w:rsidRPr="000A5E52">
          <w:rPr>
            <w:rFonts w:ascii="Times New Roman" w:eastAsia="Times New Roman" w:hAnsi="Times New Roman" w:cs="Times New Roman"/>
            <w:noProof/>
            <w:snapToGrid w:val="0"/>
            <w:color w:val="0000FF"/>
            <w:u w:val="single"/>
          </w:rPr>
          <w:t>http://www.vvkt.lt</w:t>
        </w:r>
      </w:hyperlink>
      <w:r w:rsidRPr="000A5E52">
        <w:rPr>
          <w:rFonts w:ascii="Times New Roman" w:eastAsia="Times New Roman" w:hAnsi="Times New Roman" w:cs="Times New Roman"/>
          <w:noProof/>
          <w:snapToGrid w:val="0"/>
        </w:rPr>
        <w:t>). Pranešdami apie šalutinį poveikį galite mums padėti gauti daugiau informacijos apie šio vaisto saugumą.</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tabs>
          <w:tab w:val="left" w:pos="567"/>
        </w:tabs>
        <w:spacing w:after="0" w:line="240" w:lineRule="auto"/>
        <w:rPr>
          <w:rFonts w:ascii="Times New Roman" w:eastAsia="Times New Roman" w:hAnsi="Times New Roman" w:cs="Times New Roman"/>
          <w:b/>
        </w:rPr>
      </w:pPr>
      <w:r w:rsidRPr="00212AE6">
        <w:rPr>
          <w:rFonts w:ascii="Times New Roman" w:eastAsia="Times New Roman" w:hAnsi="Times New Roman" w:cs="Times New Roman"/>
          <w:b/>
        </w:rPr>
        <w:t xml:space="preserve">5. </w:t>
      </w:r>
      <w:r w:rsidRPr="00212AE6">
        <w:rPr>
          <w:rFonts w:ascii="Times New Roman" w:eastAsia="Times New Roman" w:hAnsi="Times New Roman" w:cs="Times New Roman"/>
          <w:b/>
        </w:rPr>
        <w:tab/>
        <w:t>Kaip laikyti TOBREX</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numPr>
          <w:ilvl w:val="12"/>
          <w:numId w:val="0"/>
        </w:numPr>
        <w:spacing w:after="0" w:line="240" w:lineRule="auto"/>
        <w:ind w:right="-2"/>
        <w:rPr>
          <w:rFonts w:ascii="Times New Roman" w:eastAsia="Times New Roman" w:hAnsi="Times New Roman" w:cs="Times New Roman"/>
          <w:snapToGrid w:val="0"/>
        </w:rPr>
      </w:pPr>
      <w:r w:rsidRPr="00212AE6">
        <w:rPr>
          <w:rFonts w:ascii="Times New Roman" w:eastAsia="Times New Roman" w:hAnsi="Times New Roman" w:cs="Times New Roman"/>
          <w:noProof/>
          <w:snapToGrid w:val="0"/>
        </w:rPr>
        <w:t>Šį vaistą laikykite vaikams nepastebimoje ir nepasiekiamoje vietoje.</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Pirmą kartą atidarius talpyklę, vaisto tinkamumo laikas: 28 paros.</w:t>
      </w: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Užsirašykite, kada atsukote talpyklę žemiau esančiame laukelyje:</w:t>
      </w:r>
    </w:p>
    <w:p w:rsidR="00614B14" w:rsidRPr="00212AE6" w:rsidRDefault="00614B14" w:rsidP="00614B14">
      <w:pPr>
        <w:spacing w:after="0" w:line="240" w:lineRule="auto"/>
        <w:rPr>
          <w:rFonts w:ascii="Times New Roman" w:eastAsia="Times New Roman" w:hAnsi="Times New Roman" w:cs="Times New Roman"/>
          <w:b/>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Atidaryta:</w:t>
      </w:r>
    </w:p>
    <w:p w:rsidR="00614B14" w:rsidRPr="00212AE6" w:rsidRDefault="00614B14" w:rsidP="00614B14">
      <w:pPr>
        <w:spacing w:after="0" w:line="240" w:lineRule="auto"/>
        <w:rPr>
          <w:rFonts w:ascii="Times New Roman" w:eastAsia="Times New Roman" w:hAnsi="Times New Roman" w:cs="Times New Roman"/>
          <w:b/>
        </w:rPr>
      </w:pPr>
    </w:p>
    <w:p w:rsidR="00CC7843" w:rsidRPr="00F5264F" w:rsidRDefault="00CC7843" w:rsidP="00CC7843">
      <w:pPr>
        <w:spacing w:after="0" w:line="240" w:lineRule="auto"/>
        <w:rPr>
          <w:rFonts w:ascii="Times New Roman" w:eastAsia="Times New Roman" w:hAnsi="Times New Roman" w:cs="Times New Roman"/>
          <w:noProof/>
        </w:rPr>
      </w:pPr>
      <w:r w:rsidRPr="00F5264F">
        <w:rPr>
          <w:rFonts w:ascii="Times New Roman" w:eastAsia="Times New Roman" w:hAnsi="Times New Roman" w:cs="Times New Roman"/>
          <w:noProof/>
        </w:rPr>
        <w:t>Laikyti ne aukštesnėje kaip 25 °C temperatūroje.</w:t>
      </w:r>
    </w:p>
    <w:p w:rsidR="00CC7843" w:rsidRPr="00F5264F" w:rsidRDefault="00CC7843" w:rsidP="00CC7843">
      <w:pPr>
        <w:spacing w:after="0" w:line="240" w:lineRule="auto"/>
        <w:rPr>
          <w:rFonts w:ascii="Times New Roman" w:eastAsia="Times New Roman" w:hAnsi="Times New Roman" w:cs="Times New Roman"/>
        </w:rPr>
      </w:pPr>
      <w:r w:rsidRPr="00F5264F">
        <w:rPr>
          <w:rFonts w:ascii="Times New Roman" w:eastAsia="Times New Roman" w:hAnsi="Times New Roman" w:cs="Times New Roman"/>
        </w:rPr>
        <w:t>Talpyklę laikyti sandari</w:t>
      </w:r>
      <w:r>
        <w:rPr>
          <w:rFonts w:ascii="Times New Roman" w:eastAsia="Times New Roman" w:hAnsi="Times New Roman" w:cs="Times New Roman"/>
        </w:rPr>
        <w:t>ą</w:t>
      </w:r>
      <w:r w:rsidRPr="00F5264F">
        <w:rPr>
          <w:rFonts w:ascii="Times New Roman" w:eastAsia="Times New Roman" w:hAnsi="Times New Roman" w:cs="Times New Roman"/>
        </w:rPr>
        <w:t>.</w:t>
      </w:r>
    </w:p>
    <w:p w:rsidR="005C65EC" w:rsidRPr="00212AE6" w:rsidRDefault="005C65EC"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 xml:space="preserve">Ant </w:t>
      </w:r>
      <w:r w:rsidR="005C65EC">
        <w:rPr>
          <w:rFonts w:ascii="Times New Roman" w:eastAsia="Times New Roman" w:hAnsi="Times New Roman" w:cs="Times New Roman"/>
        </w:rPr>
        <w:t xml:space="preserve">etiketės, </w:t>
      </w:r>
      <w:r w:rsidRPr="00212AE6">
        <w:rPr>
          <w:rFonts w:ascii="Times New Roman" w:eastAsia="Times New Roman" w:hAnsi="Times New Roman" w:cs="Times New Roman"/>
        </w:rPr>
        <w:t>dėžutės ir talpyklės po „Tinka iki</w:t>
      </w:r>
      <w:r w:rsidR="005C65EC">
        <w:rPr>
          <w:rFonts w:ascii="Times New Roman" w:eastAsia="Times New Roman" w:hAnsi="Times New Roman" w:cs="Times New Roman"/>
        </w:rPr>
        <w:t>/EXP</w:t>
      </w:r>
      <w:r w:rsidRPr="00212AE6">
        <w:rPr>
          <w:rFonts w:ascii="Times New Roman" w:eastAsia="Times New Roman" w:hAnsi="Times New Roman" w:cs="Times New Roman"/>
        </w:rPr>
        <w:t>“ nurodytam tinkamumo laikui pasibaigus, šio vaisto vartoti negalima. Vaistas tinkamas vartoti iki paskutinės nurodyto mėnesio dienos.</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614B14" w:rsidRPr="00212AE6" w:rsidRDefault="00614B14" w:rsidP="00614B14">
      <w:pPr>
        <w:spacing w:after="0" w:line="240" w:lineRule="auto"/>
        <w:rPr>
          <w:rFonts w:ascii="Times New Roman" w:eastAsia="Times New Roman" w:hAnsi="Times New Roman" w:cs="Times New Roman"/>
        </w:rPr>
      </w:pPr>
    </w:p>
    <w:p w:rsidR="00614B14" w:rsidRPr="00212AE6" w:rsidRDefault="00614B14" w:rsidP="00614B14">
      <w:pPr>
        <w:spacing w:after="0" w:line="240" w:lineRule="auto"/>
        <w:rPr>
          <w:rFonts w:ascii="Times New Roman" w:eastAsia="Times New Roman" w:hAnsi="Times New Roman" w:cs="Times New Roman"/>
          <w:b/>
        </w:rPr>
      </w:pPr>
    </w:p>
    <w:p w:rsidR="00614B14" w:rsidRPr="00212AE6" w:rsidRDefault="00614B14" w:rsidP="00614B14">
      <w:pPr>
        <w:tabs>
          <w:tab w:val="left" w:pos="567"/>
        </w:tabs>
        <w:spacing w:after="0" w:line="240" w:lineRule="auto"/>
        <w:rPr>
          <w:rFonts w:ascii="Times New Roman" w:eastAsia="Times New Roman" w:hAnsi="Times New Roman" w:cs="Times New Roman"/>
          <w:b/>
        </w:rPr>
      </w:pPr>
      <w:r w:rsidRPr="00212AE6">
        <w:rPr>
          <w:rFonts w:ascii="Times New Roman" w:eastAsia="Times New Roman" w:hAnsi="Times New Roman" w:cs="Times New Roman"/>
          <w:b/>
        </w:rPr>
        <w:t>6.</w:t>
      </w:r>
      <w:r w:rsidRPr="00212AE6">
        <w:rPr>
          <w:rFonts w:ascii="Times New Roman" w:eastAsia="Times New Roman" w:hAnsi="Times New Roman" w:cs="Times New Roman"/>
          <w:b/>
        </w:rPr>
        <w:tab/>
        <w:t>Pakuotės turinys ir kita informacija</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p>
    <w:p w:rsidR="00614B14" w:rsidRPr="00212AE6" w:rsidRDefault="00614B14" w:rsidP="00614B14">
      <w:pPr>
        <w:spacing w:after="0" w:line="220" w:lineRule="exact"/>
        <w:rPr>
          <w:rFonts w:ascii="Times New Roman" w:eastAsia="Times New Roman" w:hAnsi="Times New Roman" w:cs="Times New Roman"/>
          <w:b/>
          <w:bCs/>
        </w:rPr>
      </w:pPr>
      <w:r w:rsidRPr="00212AE6">
        <w:rPr>
          <w:rFonts w:ascii="Times New Roman" w:eastAsia="Times New Roman" w:hAnsi="Times New Roman" w:cs="Times New Roman"/>
          <w:b/>
          <w:bCs/>
        </w:rPr>
        <w:t>TOBREX sudėtis</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p>
    <w:p w:rsidR="00614B14" w:rsidRPr="00212AE6" w:rsidRDefault="00614B14" w:rsidP="00614B14">
      <w:pPr>
        <w:numPr>
          <w:ilvl w:val="0"/>
          <w:numId w:val="3"/>
        </w:numPr>
        <w:tabs>
          <w:tab w:val="num" w:pos="567"/>
        </w:tabs>
        <w:spacing w:after="0" w:line="240" w:lineRule="auto"/>
        <w:ind w:left="567" w:hanging="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Veiklioji medžiaga yra tobramicinas. Viename mililitre akių lašų yra 3 mg tobramicino.</w:t>
      </w:r>
    </w:p>
    <w:p w:rsidR="00614B14" w:rsidRPr="00212AE6" w:rsidRDefault="00614B14" w:rsidP="00614B14">
      <w:pPr>
        <w:numPr>
          <w:ilvl w:val="0"/>
          <w:numId w:val="3"/>
        </w:numPr>
        <w:tabs>
          <w:tab w:val="num" w:pos="567"/>
        </w:tabs>
        <w:spacing w:after="0" w:line="240" w:lineRule="auto"/>
        <w:ind w:left="567" w:hanging="567"/>
        <w:contextualSpacing/>
        <w:rPr>
          <w:rFonts w:ascii="Times New Roman" w:eastAsia="Times New Roman" w:hAnsi="Times New Roman" w:cs="Times New Roman"/>
          <w:noProof/>
        </w:rPr>
      </w:pPr>
      <w:r w:rsidRPr="00212AE6">
        <w:rPr>
          <w:rFonts w:ascii="Times New Roman" w:eastAsia="Times New Roman" w:hAnsi="Times New Roman" w:cs="Times New Roman"/>
          <w:noProof/>
        </w:rPr>
        <w:t>Pagalbinės medžiagos yra boro rūgštis (E284), bevandenis natrio sulfatas (E514), natrio chloridas, tiloksapolis, benzalkonio chloridas ir išgrynintasis vanduo. Be to, yra labai mažai natrio hidroksido ir (arba) sulfato rūgšties normaliam rūgštingumui (pH) palaikyti.</w:t>
      </w:r>
    </w:p>
    <w:p w:rsidR="00614B14" w:rsidRPr="00212AE6" w:rsidRDefault="00614B14" w:rsidP="00614B14">
      <w:pPr>
        <w:spacing w:after="0" w:line="240" w:lineRule="auto"/>
        <w:ind w:left="720" w:hanging="720"/>
        <w:rPr>
          <w:rFonts w:ascii="Times New Roman" w:eastAsia="Times New Roman" w:hAnsi="Times New Roman" w:cs="Times New Roman"/>
          <w:noProof/>
        </w:rPr>
      </w:pPr>
    </w:p>
    <w:p w:rsidR="00614B14" w:rsidRPr="00212AE6" w:rsidRDefault="00614B14" w:rsidP="00614B14">
      <w:pPr>
        <w:spacing w:after="0" w:line="240" w:lineRule="auto"/>
        <w:rPr>
          <w:rFonts w:ascii="Times New Roman" w:eastAsia="Times New Roman" w:hAnsi="Times New Roman" w:cs="Times New Roman"/>
          <w:b/>
          <w:bCs/>
        </w:rPr>
      </w:pPr>
      <w:r w:rsidRPr="00212AE6">
        <w:rPr>
          <w:rFonts w:ascii="Times New Roman" w:eastAsia="Times New Roman" w:hAnsi="Times New Roman" w:cs="Times New Roman"/>
          <w:b/>
          <w:bCs/>
        </w:rPr>
        <w:t>TOBREX išvaizda ir kiekis pakuotėje</w:t>
      </w: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TOBREX yra skaidrus, bespalvis, gelsvas arba rudas tirpalas, supilstytas į 5 ml plastiko talpykles su lašintuvu, užsuktas dangteliais, kurių negalima atsukti neatplėšus apsauginės juostelės.</w:t>
      </w: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Kartono dėžutėje yra viena 5 ml talpyklė su lašintuvu.</w:t>
      </w:r>
    </w:p>
    <w:p w:rsidR="00614B14" w:rsidRPr="00212AE6" w:rsidRDefault="00614B14" w:rsidP="00614B14">
      <w:pPr>
        <w:spacing w:after="0" w:line="240" w:lineRule="auto"/>
        <w:rPr>
          <w:rFonts w:ascii="Times New Roman" w:eastAsia="Times New Roman" w:hAnsi="Times New Roman" w:cs="Times New Roman"/>
        </w:rPr>
      </w:pPr>
    </w:p>
    <w:p w:rsidR="00AE701C" w:rsidRPr="00212AE6" w:rsidRDefault="00AE701C" w:rsidP="00AE701C">
      <w:pPr>
        <w:spacing w:after="0" w:line="240" w:lineRule="auto"/>
        <w:rPr>
          <w:rFonts w:ascii="Times New Roman" w:eastAsia="Times New Roman" w:hAnsi="Times New Roman" w:cs="Times New Roman"/>
          <w:lang w:eastAsia="lt-LT"/>
        </w:rPr>
      </w:pPr>
      <w:r w:rsidRPr="00212AE6">
        <w:rPr>
          <w:rFonts w:ascii="Times New Roman" w:eastAsia="Times New Roman" w:hAnsi="Times New Roman" w:cs="Times New Roman"/>
          <w:b/>
          <w:lang w:eastAsia="lt-LT"/>
        </w:rPr>
        <w:lastRenderedPageBreak/>
        <w:t>Gamintojas</w:t>
      </w:r>
      <w:r w:rsidRPr="00212AE6">
        <w:rPr>
          <w:rFonts w:ascii="Times New Roman" w:eastAsia="Times New Roman" w:hAnsi="Times New Roman" w:cs="Times New Roman"/>
          <w:lang w:eastAsia="lt-LT"/>
        </w:rPr>
        <w:t xml:space="preserve">  </w:t>
      </w:r>
    </w:p>
    <w:p w:rsidR="00AE701C" w:rsidRPr="00212AE6" w:rsidRDefault="00AE701C" w:rsidP="00AE701C">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ALCON CUSÍ, S.A.</w:t>
      </w:r>
    </w:p>
    <w:p w:rsidR="00AE701C" w:rsidRPr="00212AE6" w:rsidRDefault="00AE701C" w:rsidP="00AE701C">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 xml:space="preserve">C/Camil Fabra, 58, 08320 </w:t>
      </w:r>
    </w:p>
    <w:p w:rsidR="00AE701C" w:rsidRPr="00212AE6" w:rsidRDefault="00AE701C" w:rsidP="00AE701C">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El Masnou – Barcelona</w:t>
      </w:r>
    </w:p>
    <w:p w:rsidR="00AE701C" w:rsidRPr="00212AE6" w:rsidRDefault="00AE701C" w:rsidP="00AE701C">
      <w:pPr>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Ispanija</w:t>
      </w:r>
    </w:p>
    <w:p w:rsidR="00AE701C" w:rsidRPr="00212AE6" w:rsidRDefault="00AE701C" w:rsidP="00AE701C">
      <w:pPr>
        <w:spacing w:after="0" w:line="240" w:lineRule="auto"/>
        <w:rPr>
          <w:rFonts w:ascii="Times New Roman" w:eastAsia="Times New Roman" w:hAnsi="Times New Roman" w:cs="Times New Roman"/>
          <w:lang w:eastAsia="lt-LT"/>
        </w:rPr>
      </w:pPr>
    </w:p>
    <w:p w:rsidR="00AE701C" w:rsidRPr="00212AE6" w:rsidRDefault="00AE701C" w:rsidP="00AE701C">
      <w:pPr>
        <w:spacing w:after="0" w:line="240" w:lineRule="auto"/>
        <w:rPr>
          <w:rFonts w:ascii="Times New Roman" w:eastAsia="Times New Roman" w:hAnsi="Times New Roman" w:cs="Times New Roman"/>
          <w:b/>
          <w:bCs/>
          <w:iCs/>
          <w:lang w:eastAsia="lt-LT"/>
        </w:rPr>
      </w:pPr>
      <w:r w:rsidRPr="00212AE6">
        <w:rPr>
          <w:rFonts w:ascii="Times New Roman" w:eastAsia="Times New Roman" w:hAnsi="Times New Roman" w:cs="Times New Roman"/>
          <w:b/>
          <w:bCs/>
          <w:iCs/>
          <w:lang w:eastAsia="lt-LT"/>
        </w:rPr>
        <w:t>Lygiagretus importuotojas</w:t>
      </w: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UAB „Lex ano“</w:t>
      </w: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Naugarduko g. 3</w:t>
      </w: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Vilnius 03231</w:t>
      </w: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Lietuva</w:t>
      </w:r>
    </w:p>
    <w:p w:rsidR="00AE701C" w:rsidRPr="00212AE6" w:rsidRDefault="00AE701C" w:rsidP="00AE701C">
      <w:pPr>
        <w:spacing w:after="0" w:line="240" w:lineRule="auto"/>
        <w:rPr>
          <w:rFonts w:ascii="Times New Roman" w:eastAsia="Times New Roman" w:hAnsi="Times New Roman" w:cs="Times New Roman"/>
          <w:lang w:eastAsia="lt-LT"/>
        </w:rPr>
      </w:pPr>
    </w:p>
    <w:p w:rsidR="00AE701C" w:rsidRPr="00212AE6" w:rsidRDefault="00AE701C" w:rsidP="00AE701C">
      <w:pPr>
        <w:spacing w:after="0" w:line="240" w:lineRule="auto"/>
        <w:rPr>
          <w:rFonts w:ascii="Times New Roman" w:eastAsia="Times New Roman" w:hAnsi="Times New Roman" w:cs="Times New Roman"/>
          <w:b/>
          <w:bCs/>
          <w:iCs/>
          <w:lang w:eastAsia="lt-LT"/>
        </w:rPr>
      </w:pPr>
      <w:r w:rsidRPr="00212AE6">
        <w:rPr>
          <w:rFonts w:ascii="Times New Roman" w:eastAsia="Times New Roman" w:hAnsi="Times New Roman" w:cs="Times New Roman"/>
          <w:b/>
          <w:bCs/>
          <w:iCs/>
          <w:lang w:eastAsia="lt-LT"/>
        </w:rPr>
        <w:t xml:space="preserve">Perpakavo </w:t>
      </w: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BĮ UAB „Norfachema“</w:t>
      </w: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Vytauto g. 6, Jonava</w:t>
      </w: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Lietuva</w:t>
      </w:r>
    </w:p>
    <w:p w:rsidR="00AE701C" w:rsidRPr="00212AE6" w:rsidRDefault="00AE701C" w:rsidP="00AE701C">
      <w:pPr>
        <w:spacing w:after="0" w:line="240" w:lineRule="auto"/>
        <w:rPr>
          <w:rFonts w:ascii="Times New Roman" w:eastAsia="Times New Roman" w:hAnsi="Times New Roman" w:cs="Times New Roman"/>
          <w:bCs/>
          <w:iCs/>
          <w:lang w:eastAsia="lt-LT"/>
        </w:rPr>
      </w:pP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arba</w:t>
      </w:r>
    </w:p>
    <w:p w:rsidR="00AE701C" w:rsidRPr="00212AE6" w:rsidRDefault="00AE701C" w:rsidP="00AE701C">
      <w:pPr>
        <w:spacing w:after="0" w:line="240" w:lineRule="auto"/>
        <w:rPr>
          <w:rFonts w:ascii="Times New Roman" w:eastAsia="Times New Roman" w:hAnsi="Times New Roman" w:cs="Times New Roman"/>
          <w:bCs/>
          <w:iCs/>
          <w:lang w:eastAsia="lt-LT"/>
        </w:rPr>
      </w:pP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UAB „Entafarma“</w:t>
      </w: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Klonėnų vs. 1</w:t>
      </w: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Širvintų r. sav.</w:t>
      </w:r>
    </w:p>
    <w:p w:rsidR="00AE701C" w:rsidRPr="00212AE6" w:rsidRDefault="00AE701C" w:rsidP="00AE701C">
      <w:pPr>
        <w:spacing w:after="0" w:line="240" w:lineRule="auto"/>
        <w:rPr>
          <w:rFonts w:ascii="Times New Roman" w:eastAsia="Times New Roman" w:hAnsi="Times New Roman" w:cs="Times New Roman"/>
          <w:bCs/>
          <w:iCs/>
          <w:lang w:eastAsia="lt-LT"/>
        </w:rPr>
      </w:pPr>
      <w:r w:rsidRPr="00212AE6">
        <w:rPr>
          <w:rFonts w:ascii="Times New Roman" w:eastAsia="Times New Roman" w:hAnsi="Times New Roman" w:cs="Times New Roman"/>
          <w:bCs/>
          <w:iCs/>
          <w:lang w:eastAsia="lt-LT"/>
        </w:rPr>
        <w:t>Lietuva</w:t>
      </w:r>
    </w:p>
    <w:p w:rsidR="00AE701C" w:rsidRPr="00212AE6" w:rsidRDefault="00AE701C" w:rsidP="00AE701C">
      <w:pPr>
        <w:spacing w:after="0" w:line="240" w:lineRule="auto"/>
        <w:rPr>
          <w:rFonts w:ascii="Times New Roman" w:eastAsia="Times New Roman" w:hAnsi="Times New Roman" w:cs="Times New Roman"/>
          <w:bCs/>
          <w:iCs/>
          <w:lang w:eastAsia="lt-LT"/>
        </w:rPr>
      </w:pPr>
    </w:p>
    <w:p w:rsidR="00AE701C" w:rsidRPr="00212AE6" w:rsidRDefault="00AE701C" w:rsidP="00AE701C">
      <w:pPr>
        <w:spacing w:after="0" w:line="240" w:lineRule="auto"/>
        <w:rPr>
          <w:rFonts w:ascii="Times New Roman" w:eastAsia="Times New Roman" w:hAnsi="Times New Roman" w:cs="Times New Roman"/>
          <w:b/>
          <w:bCs/>
        </w:rPr>
      </w:pPr>
      <w:r w:rsidRPr="00212AE6">
        <w:rPr>
          <w:rFonts w:ascii="Times New Roman" w:eastAsia="Times New Roman" w:hAnsi="Times New Roman" w:cs="Times New Roman"/>
          <w:lang w:eastAsia="lt-LT"/>
        </w:rPr>
        <w:t xml:space="preserve">Registruotojas eksportuojančioje valstybėje yra Novartis Farmaceutica, S.A. </w:t>
      </w:r>
      <w:r w:rsidRPr="00212AE6">
        <w:rPr>
          <w:rFonts w:ascii="Times New Roman" w:eastAsia="Times New Roman" w:hAnsi="Times New Roman" w:cs="Times New Roman"/>
        </w:rPr>
        <w:t xml:space="preserve">Gran Via de les Corts Catalanes, 764 08013– Barcelona, Ispanija. </w:t>
      </w:r>
    </w:p>
    <w:p w:rsidR="00614B14" w:rsidRPr="00212AE6" w:rsidRDefault="00614B14" w:rsidP="00614B14">
      <w:pPr>
        <w:spacing w:after="0" w:line="240" w:lineRule="auto"/>
        <w:rPr>
          <w:rFonts w:ascii="Times New Roman" w:eastAsia="Times New Roman" w:hAnsi="Times New Roman" w:cs="Times New Roman"/>
          <w:b/>
          <w:bCs/>
        </w:rPr>
      </w:pPr>
    </w:p>
    <w:p w:rsidR="00614B14" w:rsidRPr="00212AE6" w:rsidRDefault="00614B14" w:rsidP="00614B14">
      <w:pPr>
        <w:spacing w:after="0" w:line="240" w:lineRule="auto"/>
        <w:rPr>
          <w:rFonts w:ascii="Times New Roman" w:eastAsia="Times New Roman" w:hAnsi="Times New Roman" w:cs="Times New Roman"/>
          <w:b/>
          <w:bCs/>
        </w:rPr>
      </w:pPr>
    </w:p>
    <w:p w:rsidR="00614B14" w:rsidRPr="00212AE6" w:rsidRDefault="00614B14" w:rsidP="00614B14">
      <w:pPr>
        <w:spacing w:after="0" w:line="240" w:lineRule="auto"/>
        <w:rPr>
          <w:rFonts w:ascii="Times New Roman" w:eastAsia="Times New Roman" w:hAnsi="Times New Roman" w:cs="Times New Roman"/>
        </w:rPr>
      </w:pPr>
      <w:r w:rsidRPr="00212AE6">
        <w:rPr>
          <w:rFonts w:ascii="Times New Roman" w:eastAsia="Times New Roman" w:hAnsi="Times New Roman" w:cs="Times New Roman"/>
          <w:b/>
          <w:bCs/>
        </w:rPr>
        <w:t>Šis pakuotės lapelis</w:t>
      </w:r>
      <w:r w:rsidRPr="00212AE6">
        <w:rPr>
          <w:rFonts w:ascii="Times New Roman" w:eastAsia="Times New Roman" w:hAnsi="Times New Roman" w:cs="Times New Roman"/>
          <w:b/>
        </w:rPr>
        <w:t xml:space="preserve"> paskutinį kartą peržiūrėtas 201</w:t>
      </w:r>
      <w:r w:rsidR="008B7566">
        <w:rPr>
          <w:rFonts w:ascii="Times New Roman" w:eastAsia="Times New Roman" w:hAnsi="Times New Roman" w:cs="Times New Roman"/>
          <w:b/>
        </w:rPr>
        <w:t>8</w:t>
      </w:r>
      <w:r w:rsidRPr="00212AE6">
        <w:rPr>
          <w:rFonts w:ascii="Times New Roman" w:eastAsia="Times New Roman" w:hAnsi="Times New Roman" w:cs="Times New Roman"/>
          <w:b/>
        </w:rPr>
        <w:t>-</w:t>
      </w:r>
      <w:r w:rsidR="008B7566">
        <w:rPr>
          <w:rFonts w:ascii="Times New Roman" w:eastAsia="Times New Roman" w:hAnsi="Times New Roman" w:cs="Times New Roman"/>
          <w:b/>
        </w:rPr>
        <w:t>02</w:t>
      </w:r>
      <w:r w:rsidRPr="00212AE6">
        <w:rPr>
          <w:rFonts w:ascii="Times New Roman" w:eastAsia="Times New Roman" w:hAnsi="Times New Roman" w:cs="Times New Roman"/>
          <w:b/>
        </w:rPr>
        <w:t>-2</w:t>
      </w:r>
      <w:r w:rsidR="00975317">
        <w:rPr>
          <w:rFonts w:ascii="Times New Roman" w:eastAsia="Times New Roman" w:hAnsi="Times New Roman" w:cs="Times New Roman"/>
          <w:b/>
        </w:rPr>
        <w:t>8</w:t>
      </w:r>
      <w:bookmarkStart w:id="4" w:name="_GoBack"/>
      <w:bookmarkEnd w:id="4"/>
    </w:p>
    <w:p w:rsidR="00614B14" w:rsidRPr="00212AE6" w:rsidRDefault="00614B14" w:rsidP="00614B14">
      <w:pPr>
        <w:tabs>
          <w:tab w:val="left" w:pos="567"/>
        </w:tabs>
        <w:spacing w:after="0" w:line="240" w:lineRule="auto"/>
        <w:rPr>
          <w:rFonts w:ascii="Times New Roman" w:eastAsia="Times New Roman" w:hAnsi="Times New Roman" w:cs="Times New Roman"/>
          <w:noProof/>
        </w:rPr>
      </w:pPr>
    </w:p>
    <w:p w:rsidR="00614B14" w:rsidRPr="00212AE6" w:rsidRDefault="00614B14" w:rsidP="00614B14">
      <w:pPr>
        <w:tabs>
          <w:tab w:val="left" w:pos="567"/>
        </w:tabs>
        <w:spacing w:after="0" w:line="240" w:lineRule="auto"/>
        <w:rPr>
          <w:rFonts w:ascii="Times New Roman" w:eastAsia="Times New Roman" w:hAnsi="Times New Roman" w:cs="Times New Roman"/>
          <w:noProof/>
        </w:rPr>
      </w:pPr>
    </w:p>
    <w:p w:rsidR="00614B14" w:rsidRPr="00212AE6" w:rsidRDefault="00614B14" w:rsidP="00614B14">
      <w:pPr>
        <w:tabs>
          <w:tab w:val="left" w:pos="567"/>
        </w:tabs>
        <w:spacing w:after="0" w:line="240" w:lineRule="auto"/>
        <w:rPr>
          <w:rFonts w:ascii="Times New Roman" w:eastAsia="Times New Roman" w:hAnsi="Times New Roman" w:cs="Times New Roman"/>
        </w:rPr>
      </w:pPr>
      <w:r w:rsidRPr="00212AE6">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212AE6">
        <w:rPr>
          <w:rFonts w:ascii="Times New Roman" w:eastAsia="Times New Roman" w:hAnsi="Times New Roman" w:cs="Times New Roman"/>
          <w:i/>
        </w:rPr>
        <w:t xml:space="preserve"> </w:t>
      </w:r>
      <w:hyperlink r:id="rId14" w:history="1">
        <w:r w:rsidRPr="00212AE6">
          <w:rPr>
            <w:rFonts w:ascii="Times New Roman" w:eastAsia="Times New Roman" w:hAnsi="Times New Roman" w:cs="Times New Roman"/>
            <w:color w:val="0000FF"/>
            <w:u w:val="single"/>
          </w:rPr>
          <w:t>http://www.vvkt.lt/</w:t>
        </w:r>
      </w:hyperlink>
      <w:r w:rsidRPr="00212AE6">
        <w:rPr>
          <w:rFonts w:ascii="Times New Roman" w:eastAsia="Times New Roman" w:hAnsi="Times New Roman" w:cs="Times New Roman"/>
          <w:color w:val="0000FF"/>
        </w:rPr>
        <w:t>.</w:t>
      </w:r>
    </w:p>
    <w:p w:rsidR="00614B14" w:rsidRPr="00212AE6" w:rsidRDefault="00614B14" w:rsidP="00614B14">
      <w:pPr>
        <w:tabs>
          <w:tab w:val="left" w:pos="567"/>
        </w:tabs>
        <w:spacing w:after="0" w:line="240" w:lineRule="auto"/>
        <w:rPr>
          <w:rFonts w:ascii="Times New Roman" w:eastAsia="Times New Roman" w:hAnsi="Times New Roman" w:cs="Times New Roman"/>
          <w:noProof/>
        </w:rPr>
      </w:pPr>
    </w:p>
    <w:p w:rsidR="00614B14" w:rsidRPr="00212AE6" w:rsidRDefault="00614B14" w:rsidP="00614B14">
      <w:pPr>
        <w:spacing w:after="200" w:line="276" w:lineRule="auto"/>
        <w:rPr>
          <w:rFonts w:ascii="Calibri" w:eastAsia="Calibri" w:hAnsi="Calibri" w:cs="Times New Roman"/>
        </w:rPr>
      </w:pPr>
    </w:p>
    <w:p w:rsidR="00CC3A31" w:rsidRPr="00212AE6" w:rsidRDefault="00CC3A31"/>
    <w:sectPr w:rsidR="00CC3A31" w:rsidRPr="00212A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1F6C303A"/>
    <w:multiLevelType w:val="hybridMultilevel"/>
    <w:tmpl w:val="095C7B48"/>
    <w:lvl w:ilvl="0" w:tplc="48A8B3E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4224A"/>
    <w:multiLevelType w:val="hybridMultilevel"/>
    <w:tmpl w:val="3C62CF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1A3830"/>
    <w:multiLevelType w:val="hybridMultilevel"/>
    <w:tmpl w:val="D11E18E2"/>
    <w:lvl w:ilvl="0" w:tplc="4C1C52EE">
      <w:start w:val="3"/>
      <w:numFmt w:val="decimal"/>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14"/>
    <w:rsid w:val="00212AE6"/>
    <w:rsid w:val="00477398"/>
    <w:rsid w:val="004D3971"/>
    <w:rsid w:val="005C65EC"/>
    <w:rsid w:val="00614B14"/>
    <w:rsid w:val="00786DE5"/>
    <w:rsid w:val="007C582B"/>
    <w:rsid w:val="008B7566"/>
    <w:rsid w:val="00975317"/>
    <w:rsid w:val="00995353"/>
    <w:rsid w:val="009B60BB"/>
    <w:rsid w:val="00AE701C"/>
    <w:rsid w:val="00BD1214"/>
    <w:rsid w:val="00BE080A"/>
    <w:rsid w:val="00C6674F"/>
    <w:rsid w:val="00C85941"/>
    <w:rsid w:val="00CC3A31"/>
    <w:rsid w:val="00CC7843"/>
    <w:rsid w:val="00D36117"/>
    <w:rsid w:val="00DB22F4"/>
    <w:rsid w:val="00E12FA7"/>
    <w:rsid w:val="00F93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1D9133"/>
  <w15:chartTrackingRefBased/>
  <w15:docId w15:val="{29F2267F-730C-4374-A3AB-E6C9E353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14B14"/>
  </w:style>
  <w:style w:type="paragraph" w:styleId="Antrat2">
    <w:name w:val="heading 2"/>
    <w:basedOn w:val="prastasis"/>
    <w:next w:val="prastasis"/>
    <w:link w:val="Antrat2Diagrama"/>
    <w:uiPriority w:val="9"/>
    <w:unhideWhenUsed/>
    <w:qFormat/>
    <w:rsid w:val="00212A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12AE6"/>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uiPriority w:val="34"/>
    <w:qFormat/>
    <w:rsid w:val="00D36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BB4A-3DAE-4416-9DFD-D52C1495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8332</Words>
  <Characters>4750</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vt:lpstr>A. ŽENKLINIMAS</vt:lpstr>
      <vt:lpstr>    </vt:lpstr>
      <vt:lpstr/>
      <vt:lpstr>B. PAKUOTĖS LAPELIS</vt:lpstr>
      <vt:lpstr>    TOBREX 3 mg/ml akių lašai (tirpalas)</vt:lpstr>
      <vt:lpstr>    1.	Kas yra TOBREX ir kam jis vartojamas</vt:lpstr>
      <vt:lpstr>    2.	Kas žinotina prieš vartojant TOBREX</vt:lpstr>
      <vt:lpstr>Kaip vartoti TOBREX</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6</cp:revision>
  <dcterms:created xsi:type="dcterms:W3CDTF">2018-01-31T11:50:00Z</dcterms:created>
  <dcterms:modified xsi:type="dcterms:W3CDTF">2018-03-02T07:15:00Z</dcterms:modified>
</cp:coreProperties>
</file>