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C0F" w:rsidRPr="00533C6E" w:rsidRDefault="007F0C0F" w:rsidP="007F0C0F">
      <w:pPr>
        <w:pStyle w:val="Heading2"/>
        <w:pageBreakBefore/>
        <w:tabs>
          <w:tab w:val="clear" w:pos="567"/>
          <w:tab w:val="left" w:pos="576"/>
        </w:tabs>
        <w:spacing w:before="0" w:after="0" w:line="240" w:lineRule="auto"/>
        <w:jc w:val="center"/>
        <w:rPr>
          <w:rFonts w:ascii="Times New Roman" w:hAnsi="Times New Roman"/>
          <w:i w:val="0"/>
          <w:sz w:val="22"/>
          <w:szCs w:val="22"/>
          <w:lang w:val="lt-LT"/>
        </w:rPr>
      </w:pPr>
      <w:bookmarkStart w:id="0" w:name="_GoBack"/>
      <w:bookmarkEnd w:id="0"/>
      <w:r w:rsidRPr="00533C6E">
        <w:rPr>
          <w:rFonts w:ascii="Times New Roman" w:hAnsi="Times New Roman"/>
          <w:i w:val="0"/>
          <w:sz w:val="22"/>
          <w:szCs w:val="22"/>
          <w:lang w:val="lt-LT"/>
        </w:rPr>
        <w:t>Pakuotės lapelis:</w:t>
      </w:r>
      <w:r w:rsidRPr="00533C6E">
        <w:rPr>
          <w:rFonts w:ascii="Times New Roman" w:hAnsi="Times New Roman"/>
          <w:bCs w:val="0"/>
          <w:i w:val="0"/>
          <w:iCs w:val="0"/>
          <w:sz w:val="22"/>
          <w:szCs w:val="22"/>
          <w:lang w:val="lt-LT"/>
        </w:rPr>
        <w:t xml:space="preserve"> </w:t>
      </w:r>
      <w:r w:rsidRPr="00533C6E">
        <w:rPr>
          <w:rFonts w:ascii="Times New Roman" w:hAnsi="Times New Roman"/>
          <w:i w:val="0"/>
          <w:sz w:val="22"/>
          <w:szCs w:val="22"/>
          <w:lang w:val="lt-LT"/>
        </w:rPr>
        <w:t>informacija vartotojui</w:t>
      </w:r>
    </w:p>
    <w:p w:rsidR="007F0C0F" w:rsidRPr="00533C6E" w:rsidRDefault="007F0C0F" w:rsidP="007F0C0F">
      <w:pPr>
        <w:shd w:val="clear" w:color="auto" w:fill="FFFFFF"/>
        <w:jc w:val="center"/>
        <w:rPr>
          <w:szCs w:val="22"/>
          <w:lang w:val="lt-LT"/>
        </w:rPr>
      </w:pPr>
    </w:p>
    <w:p w:rsidR="007F0C0F" w:rsidRPr="00533C6E" w:rsidRDefault="007F0C0F" w:rsidP="007F0C0F">
      <w:pPr>
        <w:jc w:val="center"/>
        <w:rPr>
          <w:b/>
          <w:szCs w:val="22"/>
          <w:lang w:val="lt-LT"/>
        </w:rPr>
      </w:pPr>
      <w:r w:rsidRPr="00533C6E">
        <w:rPr>
          <w:b/>
          <w:szCs w:val="22"/>
          <w:lang w:val="lt-LT"/>
        </w:rPr>
        <w:t>AKUTUR geriamieji lašai (tirpalas)</w:t>
      </w:r>
    </w:p>
    <w:p w:rsidR="007F0C0F" w:rsidRPr="00533C6E" w:rsidRDefault="007F0C0F" w:rsidP="007F0C0F">
      <w:pPr>
        <w:jc w:val="center"/>
        <w:rPr>
          <w:szCs w:val="22"/>
          <w:lang w:val="lt-LT"/>
        </w:rPr>
      </w:pPr>
      <w:r w:rsidRPr="00533C6E">
        <w:rPr>
          <w:i/>
          <w:szCs w:val="22"/>
          <w:lang w:val="lt-LT"/>
        </w:rPr>
        <w:t>Acidum benzoicum e resina</w:t>
      </w:r>
      <w:r w:rsidRPr="00533C6E">
        <w:rPr>
          <w:szCs w:val="22"/>
          <w:lang w:val="lt-LT"/>
        </w:rPr>
        <w:t xml:space="preserve"> D4, </w:t>
      </w:r>
      <w:r w:rsidRPr="00533C6E">
        <w:rPr>
          <w:i/>
          <w:szCs w:val="22"/>
          <w:lang w:val="lt-LT"/>
        </w:rPr>
        <w:t>Acidum nitricum</w:t>
      </w:r>
      <w:r w:rsidRPr="00533C6E">
        <w:rPr>
          <w:szCs w:val="22"/>
          <w:lang w:val="lt-LT"/>
        </w:rPr>
        <w:t xml:space="preserve"> D4, </w:t>
      </w:r>
      <w:r w:rsidRPr="00533C6E">
        <w:rPr>
          <w:i/>
          <w:szCs w:val="22"/>
          <w:lang w:val="lt-LT"/>
        </w:rPr>
        <w:t>Apis mellifica</w:t>
      </w:r>
      <w:r w:rsidRPr="00533C6E">
        <w:rPr>
          <w:szCs w:val="22"/>
          <w:lang w:val="lt-LT"/>
        </w:rPr>
        <w:t xml:space="preserve"> D3, </w:t>
      </w:r>
      <w:r w:rsidRPr="00533C6E">
        <w:rPr>
          <w:i/>
          <w:szCs w:val="22"/>
          <w:lang w:val="lt-LT"/>
        </w:rPr>
        <w:t>Lytta vesicatoria</w:t>
      </w:r>
      <w:r w:rsidRPr="00533C6E">
        <w:rPr>
          <w:szCs w:val="22"/>
          <w:lang w:val="lt-LT"/>
        </w:rPr>
        <w:t xml:space="preserve"> D4, </w:t>
      </w:r>
      <w:r w:rsidRPr="00533C6E">
        <w:rPr>
          <w:i/>
          <w:szCs w:val="22"/>
          <w:lang w:val="lt-LT"/>
        </w:rPr>
        <w:t>Populus</w:t>
      </w:r>
      <w:r w:rsidRPr="00533C6E">
        <w:rPr>
          <w:szCs w:val="22"/>
          <w:lang w:val="lt-LT"/>
        </w:rPr>
        <w:t xml:space="preserve"> </w:t>
      </w:r>
      <w:r w:rsidRPr="00533C6E">
        <w:rPr>
          <w:i/>
          <w:szCs w:val="22"/>
          <w:lang w:val="lt-LT"/>
        </w:rPr>
        <w:t>tremuloides</w:t>
      </w:r>
      <w:r w:rsidRPr="00533C6E">
        <w:rPr>
          <w:szCs w:val="22"/>
          <w:lang w:val="lt-LT"/>
        </w:rPr>
        <w:t xml:space="preserve"> D2, </w:t>
      </w:r>
      <w:r w:rsidRPr="00533C6E">
        <w:rPr>
          <w:i/>
          <w:szCs w:val="22"/>
          <w:lang w:val="lt-LT"/>
        </w:rPr>
        <w:t>Pulsatilla pratensis</w:t>
      </w:r>
      <w:r w:rsidRPr="00533C6E">
        <w:rPr>
          <w:szCs w:val="22"/>
          <w:lang w:val="lt-LT"/>
        </w:rPr>
        <w:t xml:space="preserve"> D4, </w:t>
      </w:r>
      <w:r w:rsidRPr="00533C6E">
        <w:rPr>
          <w:i/>
          <w:szCs w:val="22"/>
          <w:lang w:val="lt-LT"/>
        </w:rPr>
        <w:t>Zingiber officinale</w:t>
      </w:r>
      <w:r w:rsidRPr="00533C6E">
        <w:rPr>
          <w:szCs w:val="22"/>
          <w:lang w:val="lt-LT"/>
        </w:rPr>
        <w:t xml:space="preserve"> D3, </w:t>
      </w:r>
      <w:r w:rsidRPr="00533C6E">
        <w:rPr>
          <w:i/>
          <w:szCs w:val="22"/>
          <w:lang w:val="lt-LT"/>
        </w:rPr>
        <w:t>Solidago virgaurea</w:t>
      </w:r>
      <w:r w:rsidRPr="00533C6E">
        <w:rPr>
          <w:szCs w:val="22"/>
          <w:lang w:val="lt-LT"/>
        </w:rPr>
        <w:t xml:space="preserve"> Ø</w:t>
      </w:r>
    </w:p>
    <w:p w:rsidR="007F0C0F" w:rsidRPr="00533C6E" w:rsidRDefault="007F0C0F" w:rsidP="007F0C0F">
      <w:pPr>
        <w:ind w:left="142" w:hanging="142"/>
        <w:rPr>
          <w:b/>
          <w:szCs w:val="22"/>
          <w:lang w:val="lt-LT"/>
        </w:rPr>
      </w:pPr>
    </w:p>
    <w:p w:rsidR="007F0C0F" w:rsidRPr="00533C6E" w:rsidRDefault="007F0C0F" w:rsidP="007F0C0F">
      <w:pPr>
        <w:ind w:left="142" w:hanging="142"/>
        <w:rPr>
          <w:b/>
          <w:szCs w:val="22"/>
          <w:lang w:val="lt-LT"/>
        </w:rPr>
      </w:pPr>
    </w:p>
    <w:p w:rsidR="007F0C0F" w:rsidRPr="00533C6E" w:rsidRDefault="007F0C0F" w:rsidP="007F0C0F">
      <w:pPr>
        <w:pStyle w:val="Pagrindinistekstas32"/>
        <w:rPr>
          <w:szCs w:val="22"/>
          <w:lang w:val="lt-LT"/>
        </w:rPr>
      </w:pPr>
      <w:r w:rsidRPr="00533C6E">
        <w:rPr>
          <w:szCs w:val="22"/>
          <w:lang w:val="lt-LT"/>
        </w:rPr>
        <w:t>Atidžiai perskaitykite visą šį lapelį, prieš pradėdami vartoti šį vaistą, nes jame pateikiama Jums svarbi informacija.</w:t>
      </w:r>
    </w:p>
    <w:p w:rsidR="007F0C0F" w:rsidRPr="00533C6E" w:rsidRDefault="007F0C0F" w:rsidP="007F0C0F">
      <w:pPr>
        <w:ind w:right="-2"/>
        <w:rPr>
          <w:szCs w:val="22"/>
          <w:lang w:val="lt-LT"/>
        </w:rPr>
      </w:pPr>
      <w:r w:rsidRPr="00533C6E">
        <w:rPr>
          <w:szCs w:val="22"/>
          <w:lang w:val="lt-LT"/>
        </w:rPr>
        <w:t>Visada vartokite šį vaistą tiksliai kaip aprašyta šiame lapelyje arba kaip nurodė gydytojas arba vaistininkas.</w:t>
      </w:r>
    </w:p>
    <w:p w:rsidR="007F0C0F" w:rsidRPr="00533C6E" w:rsidRDefault="007F0C0F" w:rsidP="007F0C0F">
      <w:pPr>
        <w:numPr>
          <w:ilvl w:val="0"/>
          <w:numId w:val="2"/>
        </w:numPr>
        <w:ind w:left="567" w:right="-2" w:hanging="567"/>
        <w:rPr>
          <w:szCs w:val="22"/>
          <w:lang w:val="lt-LT"/>
        </w:rPr>
      </w:pPr>
      <w:r w:rsidRPr="00533C6E">
        <w:rPr>
          <w:szCs w:val="22"/>
          <w:lang w:val="lt-LT"/>
        </w:rPr>
        <w:t xml:space="preserve">Neišmeskite šio lapelio, nes vėl gali prireikti jį perskaityti. </w:t>
      </w:r>
    </w:p>
    <w:p w:rsidR="007F0C0F" w:rsidRPr="00533C6E" w:rsidRDefault="007F0C0F" w:rsidP="007F0C0F">
      <w:pPr>
        <w:numPr>
          <w:ilvl w:val="0"/>
          <w:numId w:val="2"/>
        </w:numPr>
        <w:ind w:left="567" w:hanging="567"/>
        <w:rPr>
          <w:szCs w:val="22"/>
          <w:lang w:val="lt-LT"/>
        </w:rPr>
      </w:pPr>
      <w:r w:rsidRPr="00533C6E">
        <w:rPr>
          <w:szCs w:val="22"/>
          <w:lang w:val="lt-LT"/>
        </w:rPr>
        <w:t>Jeigu norite sužinoti daugiau arba pasitarti, kreipkitės į vaistininką.</w:t>
      </w:r>
    </w:p>
    <w:p w:rsidR="007F0C0F" w:rsidRPr="00533C6E" w:rsidRDefault="007F0C0F" w:rsidP="007F0C0F">
      <w:pPr>
        <w:numPr>
          <w:ilvl w:val="0"/>
          <w:numId w:val="2"/>
        </w:numPr>
        <w:ind w:left="567" w:hanging="567"/>
        <w:rPr>
          <w:szCs w:val="22"/>
          <w:lang w:val="lt-LT"/>
        </w:rPr>
      </w:pPr>
      <w:r w:rsidRPr="00533C6E">
        <w:rPr>
          <w:szCs w:val="22"/>
          <w:lang w:val="lt-LT"/>
        </w:rPr>
        <w:t>Jeigu pasireiškė šalutinis poveikis (net jeigu jis šiame lapelyje nenurodytas), kreipkitės į gydytoją arba vaistininką. Žr. 4 skyrių.</w:t>
      </w:r>
    </w:p>
    <w:p w:rsidR="007F0C0F" w:rsidRPr="00533C6E" w:rsidRDefault="007F0C0F" w:rsidP="007F0C0F">
      <w:pPr>
        <w:numPr>
          <w:ilvl w:val="0"/>
          <w:numId w:val="2"/>
        </w:numPr>
        <w:ind w:left="567" w:hanging="567"/>
        <w:rPr>
          <w:szCs w:val="22"/>
          <w:lang w:val="lt-LT"/>
        </w:rPr>
      </w:pPr>
      <w:r w:rsidRPr="00533C6E">
        <w:rPr>
          <w:szCs w:val="22"/>
          <w:lang w:val="lt-LT"/>
        </w:rPr>
        <w:t>Jeigu per 7 dienas Jūsų savijauta nepagerėjo arba net pablogėjo, kreipkitės į gydytoją.</w:t>
      </w:r>
    </w:p>
    <w:p w:rsidR="007F0C0F" w:rsidRPr="00533C6E" w:rsidRDefault="007F0C0F" w:rsidP="007F0C0F">
      <w:pPr>
        <w:ind w:left="567"/>
        <w:rPr>
          <w:szCs w:val="22"/>
          <w:lang w:val="lt-LT"/>
        </w:rPr>
      </w:pPr>
    </w:p>
    <w:p w:rsidR="007F0C0F" w:rsidRPr="00533C6E" w:rsidRDefault="007F0C0F" w:rsidP="007F0C0F">
      <w:pPr>
        <w:rPr>
          <w:szCs w:val="22"/>
          <w:lang w:val="lt-LT"/>
        </w:rPr>
      </w:pPr>
    </w:p>
    <w:p w:rsidR="007F0C0F" w:rsidRPr="00533C6E" w:rsidRDefault="007F0C0F" w:rsidP="007F0C0F">
      <w:pPr>
        <w:rPr>
          <w:b/>
          <w:bCs/>
          <w:szCs w:val="22"/>
          <w:lang w:val="lt-LT"/>
        </w:rPr>
      </w:pPr>
      <w:r w:rsidRPr="00533C6E">
        <w:rPr>
          <w:b/>
          <w:bCs/>
          <w:szCs w:val="22"/>
          <w:lang w:val="lt-LT"/>
        </w:rPr>
        <w:t>Apie ką rašoma šiame lapelyje?</w:t>
      </w:r>
    </w:p>
    <w:p w:rsidR="007F0C0F" w:rsidRPr="00533C6E" w:rsidRDefault="007F0C0F" w:rsidP="007F0C0F">
      <w:pPr>
        <w:rPr>
          <w:lang w:val="lt-LT"/>
        </w:rPr>
      </w:pPr>
    </w:p>
    <w:p w:rsidR="007F0C0F" w:rsidRPr="00533C6E" w:rsidRDefault="007F0C0F" w:rsidP="007F0C0F">
      <w:pPr>
        <w:tabs>
          <w:tab w:val="clear" w:pos="567"/>
          <w:tab w:val="left" w:pos="289"/>
        </w:tabs>
        <w:ind w:firstLine="257"/>
        <w:rPr>
          <w:szCs w:val="22"/>
          <w:lang w:val="lt-LT"/>
        </w:rPr>
      </w:pPr>
      <w:r w:rsidRPr="00533C6E">
        <w:rPr>
          <w:szCs w:val="22"/>
          <w:lang w:val="lt-LT"/>
        </w:rPr>
        <w:t xml:space="preserve"> 1. </w:t>
      </w:r>
      <w:r w:rsidRPr="00533C6E">
        <w:rPr>
          <w:b/>
          <w:bCs/>
          <w:szCs w:val="22"/>
          <w:lang w:val="lt-LT"/>
        </w:rPr>
        <w:t xml:space="preserve"> </w:t>
      </w:r>
      <w:r w:rsidRPr="00533C6E">
        <w:rPr>
          <w:szCs w:val="22"/>
          <w:lang w:val="lt-LT"/>
        </w:rPr>
        <w:t xml:space="preserve">Kas yra AKUTUR ir kam jis vartojamas </w:t>
      </w:r>
    </w:p>
    <w:p w:rsidR="007F0C0F" w:rsidRPr="00533C6E" w:rsidRDefault="007F0C0F" w:rsidP="007F0C0F">
      <w:pPr>
        <w:ind w:left="284" w:right="-2"/>
        <w:rPr>
          <w:bCs/>
          <w:szCs w:val="22"/>
          <w:lang w:val="lt-LT"/>
        </w:rPr>
      </w:pPr>
      <w:r w:rsidRPr="00533C6E">
        <w:rPr>
          <w:szCs w:val="22"/>
          <w:lang w:val="lt-LT"/>
        </w:rPr>
        <w:t>2.</w:t>
      </w:r>
      <w:r w:rsidRPr="00533C6E">
        <w:rPr>
          <w:szCs w:val="22"/>
          <w:lang w:val="lt-LT"/>
        </w:rPr>
        <w:tab/>
        <w:t xml:space="preserve">Kas žinotina prieš vartojant </w:t>
      </w:r>
      <w:r w:rsidRPr="00533C6E">
        <w:rPr>
          <w:bCs/>
          <w:szCs w:val="22"/>
          <w:lang w:val="lt-LT"/>
        </w:rPr>
        <w:t xml:space="preserve">AKUTUR </w:t>
      </w:r>
    </w:p>
    <w:p w:rsidR="007F0C0F" w:rsidRPr="00533C6E" w:rsidRDefault="007F0C0F" w:rsidP="007F0C0F">
      <w:pPr>
        <w:ind w:left="284" w:right="-2"/>
        <w:rPr>
          <w:szCs w:val="22"/>
          <w:lang w:val="lt-LT"/>
        </w:rPr>
      </w:pPr>
      <w:r w:rsidRPr="00533C6E">
        <w:rPr>
          <w:szCs w:val="22"/>
          <w:lang w:val="lt-LT"/>
        </w:rPr>
        <w:t>3.</w:t>
      </w:r>
      <w:r w:rsidRPr="00533C6E">
        <w:rPr>
          <w:szCs w:val="22"/>
          <w:lang w:val="lt-LT"/>
        </w:rPr>
        <w:tab/>
        <w:t xml:space="preserve">Kaip vartoti </w:t>
      </w:r>
      <w:r w:rsidRPr="00533C6E">
        <w:rPr>
          <w:bCs/>
          <w:szCs w:val="22"/>
          <w:lang w:val="lt-LT"/>
        </w:rPr>
        <w:t xml:space="preserve">AKUTUR </w:t>
      </w:r>
      <w:r w:rsidRPr="00533C6E">
        <w:rPr>
          <w:szCs w:val="22"/>
          <w:lang w:val="lt-LT"/>
        </w:rPr>
        <w:t xml:space="preserve"> </w:t>
      </w:r>
    </w:p>
    <w:p w:rsidR="007F0C0F" w:rsidRPr="00533C6E" w:rsidRDefault="007F0C0F" w:rsidP="007F0C0F">
      <w:pPr>
        <w:ind w:left="284" w:right="-2"/>
        <w:rPr>
          <w:szCs w:val="22"/>
          <w:lang w:val="lt-LT"/>
        </w:rPr>
      </w:pPr>
      <w:r w:rsidRPr="00533C6E">
        <w:rPr>
          <w:szCs w:val="22"/>
          <w:lang w:val="lt-LT"/>
        </w:rPr>
        <w:t>4.</w:t>
      </w:r>
      <w:r w:rsidRPr="00533C6E">
        <w:rPr>
          <w:szCs w:val="22"/>
          <w:lang w:val="lt-LT"/>
        </w:rPr>
        <w:tab/>
        <w:t xml:space="preserve">Galimas šalutinis poveikis </w:t>
      </w:r>
    </w:p>
    <w:p w:rsidR="007F0C0F" w:rsidRPr="00533C6E" w:rsidRDefault="007F0C0F" w:rsidP="007F0C0F">
      <w:pPr>
        <w:tabs>
          <w:tab w:val="clear" w:pos="567"/>
          <w:tab w:val="left" w:pos="709"/>
        </w:tabs>
        <w:ind w:left="284" w:right="-2"/>
        <w:rPr>
          <w:bCs/>
          <w:szCs w:val="22"/>
          <w:lang w:val="lt-LT"/>
        </w:rPr>
      </w:pPr>
      <w:r w:rsidRPr="00533C6E">
        <w:rPr>
          <w:szCs w:val="22"/>
          <w:lang w:val="lt-LT"/>
        </w:rPr>
        <w:t xml:space="preserve">5.  Kaip laikyti </w:t>
      </w:r>
      <w:r w:rsidRPr="00533C6E">
        <w:rPr>
          <w:bCs/>
          <w:szCs w:val="22"/>
          <w:lang w:val="lt-LT"/>
        </w:rPr>
        <w:t xml:space="preserve">AKUTUR </w:t>
      </w:r>
    </w:p>
    <w:p w:rsidR="007F0C0F" w:rsidRPr="00533C6E" w:rsidRDefault="007F0C0F" w:rsidP="007F0C0F">
      <w:pPr>
        <w:ind w:left="284" w:right="-2"/>
        <w:rPr>
          <w:szCs w:val="22"/>
          <w:lang w:val="lt-LT"/>
        </w:rPr>
      </w:pPr>
      <w:r w:rsidRPr="00533C6E">
        <w:rPr>
          <w:szCs w:val="22"/>
          <w:lang w:val="lt-LT"/>
        </w:rPr>
        <w:t>6.</w:t>
      </w:r>
      <w:r w:rsidRPr="00533C6E">
        <w:rPr>
          <w:szCs w:val="22"/>
          <w:lang w:val="lt-LT"/>
        </w:rPr>
        <w:tab/>
        <w:t>Pakuotės turinys ir kita informacija</w:t>
      </w:r>
    </w:p>
    <w:p w:rsidR="007F0C0F" w:rsidRPr="00533C6E" w:rsidRDefault="007F0C0F" w:rsidP="007F0C0F">
      <w:pPr>
        <w:ind w:right="-2"/>
        <w:rPr>
          <w:szCs w:val="22"/>
          <w:lang w:val="lt-LT"/>
        </w:rPr>
      </w:pPr>
    </w:p>
    <w:p w:rsidR="007F0C0F" w:rsidRPr="00533C6E" w:rsidRDefault="007F0C0F" w:rsidP="007F0C0F">
      <w:pPr>
        <w:ind w:right="-2"/>
        <w:rPr>
          <w:szCs w:val="22"/>
          <w:lang w:val="lt-LT"/>
        </w:rPr>
      </w:pPr>
    </w:p>
    <w:p w:rsidR="007F0C0F" w:rsidRPr="00533C6E" w:rsidRDefault="007F0C0F" w:rsidP="007F0C0F">
      <w:pPr>
        <w:rPr>
          <w:b/>
          <w:bCs/>
          <w:szCs w:val="22"/>
          <w:lang w:val="lt-LT"/>
        </w:rPr>
      </w:pPr>
      <w:r w:rsidRPr="00533C6E">
        <w:rPr>
          <w:b/>
          <w:bCs/>
          <w:szCs w:val="22"/>
          <w:lang w:val="lt-LT"/>
        </w:rPr>
        <w:t>1.</w:t>
      </w:r>
      <w:r w:rsidRPr="00533C6E">
        <w:rPr>
          <w:b/>
          <w:bCs/>
          <w:szCs w:val="22"/>
          <w:lang w:val="lt-LT"/>
        </w:rPr>
        <w:tab/>
        <w:t>Kas yra AKUTUR</w:t>
      </w:r>
      <w:r w:rsidRPr="00533C6E">
        <w:rPr>
          <w:szCs w:val="22"/>
          <w:lang w:val="lt-LT"/>
        </w:rPr>
        <w:t xml:space="preserve"> </w:t>
      </w:r>
      <w:r w:rsidRPr="00533C6E">
        <w:rPr>
          <w:b/>
          <w:bCs/>
          <w:szCs w:val="22"/>
          <w:lang w:val="lt-LT"/>
        </w:rPr>
        <w:t>ir kam jis vartojamas</w:t>
      </w:r>
    </w:p>
    <w:p w:rsidR="007F0C0F" w:rsidRPr="00533C6E" w:rsidRDefault="007F0C0F" w:rsidP="007F0C0F">
      <w:pPr>
        <w:ind w:right="-2"/>
        <w:rPr>
          <w:szCs w:val="22"/>
          <w:lang w:val="lt-LT"/>
        </w:rPr>
      </w:pPr>
    </w:p>
    <w:p w:rsidR="007F0C0F" w:rsidRPr="00533C6E" w:rsidRDefault="007F0C0F" w:rsidP="007F0C0F">
      <w:pPr>
        <w:ind w:right="-2"/>
        <w:rPr>
          <w:bCs/>
          <w:szCs w:val="22"/>
          <w:lang w:val="lt-LT"/>
        </w:rPr>
      </w:pPr>
      <w:r w:rsidRPr="00533C6E">
        <w:rPr>
          <w:bCs/>
          <w:szCs w:val="22"/>
          <w:lang w:val="lt-LT"/>
        </w:rPr>
        <w:t xml:space="preserve">AKUTUR </w:t>
      </w:r>
      <w:r w:rsidRPr="00533C6E">
        <w:rPr>
          <w:szCs w:val="22"/>
          <w:lang w:val="lt-LT"/>
        </w:rPr>
        <w:t xml:space="preserve">geriamieji lašai (tirpalas) </w:t>
      </w:r>
      <w:r w:rsidRPr="00533C6E">
        <w:rPr>
          <w:bCs/>
          <w:szCs w:val="22"/>
          <w:lang w:val="lt-LT"/>
        </w:rPr>
        <w:t>yra homeopatin</w:t>
      </w:r>
      <w:r w:rsidRPr="00E95CB8">
        <w:rPr>
          <w:bCs/>
          <w:szCs w:val="22"/>
          <w:lang w:val="lt-LT"/>
        </w:rPr>
        <w:t>is</w:t>
      </w:r>
      <w:r w:rsidRPr="00533C6E">
        <w:rPr>
          <w:bCs/>
          <w:szCs w:val="22"/>
          <w:lang w:val="lt-LT"/>
        </w:rPr>
        <w:t xml:space="preserve"> </w:t>
      </w:r>
      <w:r w:rsidRPr="00E95CB8">
        <w:rPr>
          <w:bCs/>
          <w:szCs w:val="22"/>
          <w:lang w:val="lt-LT"/>
        </w:rPr>
        <w:t>vaistas,</w:t>
      </w:r>
      <w:r w:rsidRPr="00533C6E">
        <w:rPr>
          <w:bCs/>
          <w:szCs w:val="22"/>
          <w:lang w:val="lt-LT"/>
        </w:rPr>
        <w:t xml:space="preserve"> kuri</w:t>
      </w:r>
      <w:r w:rsidRPr="00E95CB8">
        <w:rPr>
          <w:bCs/>
          <w:szCs w:val="22"/>
          <w:lang w:val="lt-LT"/>
        </w:rPr>
        <w:t>o sudėtyje yra</w:t>
      </w:r>
      <w:r w:rsidRPr="00533C6E">
        <w:rPr>
          <w:bCs/>
          <w:szCs w:val="22"/>
          <w:lang w:val="lt-LT"/>
        </w:rPr>
        <w:t xml:space="preserve"> atskirų homeopatinių medžiagų derinys.</w:t>
      </w:r>
    </w:p>
    <w:p w:rsidR="007F0C0F" w:rsidRPr="00533C6E" w:rsidRDefault="007F0C0F" w:rsidP="007F0C0F">
      <w:pPr>
        <w:ind w:right="-2"/>
        <w:rPr>
          <w:bCs/>
          <w:szCs w:val="22"/>
          <w:lang w:val="lt-LT"/>
        </w:rPr>
      </w:pPr>
    </w:p>
    <w:p w:rsidR="007F0C0F" w:rsidRPr="00E95CB8" w:rsidRDefault="007F0C0F" w:rsidP="007F0C0F">
      <w:pPr>
        <w:ind w:right="-2"/>
        <w:rPr>
          <w:bCs/>
          <w:szCs w:val="22"/>
          <w:lang w:val="lt-LT"/>
        </w:rPr>
      </w:pPr>
      <w:r w:rsidRPr="00825128">
        <w:rPr>
          <w:bCs/>
          <w:szCs w:val="22"/>
          <w:lang w:val="lt-LT"/>
        </w:rPr>
        <w:t>AKUTUR</w:t>
      </w:r>
      <w:r w:rsidRPr="00E95CB8">
        <w:rPr>
          <w:bCs/>
          <w:szCs w:val="22"/>
          <w:lang w:val="lt-LT"/>
        </w:rPr>
        <w:t xml:space="preserve"> yra skirtas lengvo apatinių šlapimo takų uždegimo pagalbiniam gydymui po to, kai Jūsų gydytojas patvirtins, kad specifinio gydymo šiuo metu nereikia.</w:t>
      </w:r>
    </w:p>
    <w:p w:rsidR="007F0C0F" w:rsidRPr="00533C6E" w:rsidRDefault="007F0C0F" w:rsidP="007F0C0F">
      <w:pPr>
        <w:ind w:right="-2"/>
        <w:rPr>
          <w:bCs/>
          <w:szCs w:val="22"/>
          <w:lang w:val="lt-LT"/>
        </w:rPr>
      </w:pPr>
    </w:p>
    <w:p w:rsidR="007F0C0F" w:rsidRPr="00533C6E" w:rsidRDefault="007F0C0F" w:rsidP="007F0C0F">
      <w:pPr>
        <w:ind w:right="-2"/>
        <w:rPr>
          <w:bCs/>
          <w:szCs w:val="22"/>
          <w:lang w:val="lt-LT"/>
        </w:rPr>
      </w:pPr>
      <w:r w:rsidRPr="00E95CB8">
        <w:rPr>
          <w:szCs w:val="22"/>
          <w:lang w:val="lt-LT"/>
        </w:rPr>
        <w:t>Ši i</w:t>
      </w:r>
      <w:r w:rsidRPr="00533C6E">
        <w:rPr>
          <w:szCs w:val="22"/>
          <w:lang w:val="lt-LT"/>
        </w:rPr>
        <w:t>ndikacij</w:t>
      </w:r>
      <w:r w:rsidRPr="00E95CB8">
        <w:rPr>
          <w:szCs w:val="22"/>
          <w:lang w:val="lt-LT"/>
        </w:rPr>
        <w:t>a</w:t>
      </w:r>
      <w:r w:rsidRPr="00533C6E">
        <w:rPr>
          <w:szCs w:val="22"/>
          <w:lang w:val="lt-LT"/>
        </w:rPr>
        <w:t xml:space="preserve"> pagrįst</w:t>
      </w:r>
      <w:r w:rsidRPr="00E95CB8">
        <w:rPr>
          <w:szCs w:val="22"/>
          <w:lang w:val="lt-LT"/>
        </w:rPr>
        <w:t>a</w:t>
      </w:r>
      <w:r w:rsidRPr="00533C6E">
        <w:rPr>
          <w:szCs w:val="22"/>
          <w:lang w:val="lt-LT"/>
        </w:rPr>
        <w:t xml:space="preserve"> tik homeopatijos principais.</w:t>
      </w:r>
      <w:r w:rsidRPr="00533C6E">
        <w:rPr>
          <w:bCs/>
          <w:szCs w:val="22"/>
          <w:lang w:val="lt-LT"/>
        </w:rPr>
        <w:t xml:space="preserve"> </w:t>
      </w:r>
    </w:p>
    <w:p w:rsidR="007F0C0F" w:rsidRPr="00E95CB8" w:rsidRDefault="007F0C0F" w:rsidP="007F0C0F">
      <w:pPr>
        <w:ind w:right="-2"/>
        <w:rPr>
          <w:bCs/>
          <w:szCs w:val="22"/>
          <w:lang w:val="lt-LT"/>
        </w:rPr>
      </w:pPr>
      <w:r w:rsidRPr="00533C6E">
        <w:rPr>
          <w:bCs/>
          <w:szCs w:val="22"/>
          <w:lang w:val="lt-LT"/>
        </w:rPr>
        <w:t xml:space="preserve">Esant sunkioms ligos formoms </w:t>
      </w:r>
      <w:r w:rsidRPr="00E95CB8">
        <w:rPr>
          <w:bCs/>
          <w:szCs w:val="22"/>
          <w:lang w:val="lt-LT"/>
        </w:rPr>
        <w:t>būtinas</w:t>
      </w:r>
      <w:r w:rsidRPr="00533C6E">
        <w:rPr>
          <w:bCs/>
          <w:szCs w:val="22"/>
          <w:lang w:val="lt-LT"/>
        </w:rPr>
        <w:t xml:space="preserve"> kliniškai įrodyt</w:t>
      </w:r>
      <w:r w:rsidRPr="00E95CB8">
        <w:rPr>
          <w:bCs/>
          <w:szCs w:val="22"/>
          <w:lang w:val="lt-LT"/>
        </w:rPr>
        <w:t>as</w:t>
      </w:r>
      <w:r w:rsidRPr="00533C6E">
        <w:rPr>
          <w:bCs/>
          <w:szCs w:val="22"/>
          <w:lang w:val="lt-LT"/>
        </w:rPr>
        <w:t xml:space="preserve"> gydym</w:t>
      </w:r>
      <w:r w:rsidRPr="00E95CB8">
        <w:rPr>
          <w:bCs/>
          <w:szCs w:val="22"/>
          <w:lang w:val="lt-LT"/>
        </w:rPr>
        <w:t xml:space="preserve">as. </w:t>
      </w:r>
    </w:p>
    <w:p w:rsidR="007F0C0F" w:rsidRPr="00533C6E" w:rsidRDefault="007F0C0F" w:rsidP="007F0C0F">
      <w:pPr>
        <w:suppressAutoHyphens w:val="0"/>
        <w:ind w:right="-2"/>
        <w:rPr>
          <w:bCs/>
          <w:szCs w:val="22"/>
          <w:lang w:val="lt-LT"/>
        </w:rPr>
      </w:pPr>
    </w:p>
    <w:p w:rsidR="007F0C0F" w:rsidRPr="00533C6E" w:rsidRDefault="007F0C0F" w:rsidP="007F0C0F">
      <w:pPr>
        <w:suppressAutoHyphens w:val="0"/>
        <w:ind w:right="-2"/>
        <w:rPr>
          <w:bCs/>
          <w:szCs w:val="22"/>
          <w:lang w:val="lt-LT"/>
        </w:rPr>
      </w:pPr>
      <w:r w:rsidRPr="00533C6E">
        <w:rPr>
          <w:bCs/>
          <w:szCs w:val="22"/>
          <w:lang w:val="lt-LT"/>
        </w:rPr>
        <w:t>Jeigu per 7 dienas Jūsų savijauta nepagerėjo arba net pablogėjo, kreipkitės į gydytoją.</w:t>
      </w:r>
    </w:p>
    <w:p w:rsidR="007F0C0F" w:rsidRPr="00533C6E" w:rsidRDefault="007F0C0F" w:rsidP="007F0C0F">
      <w:pPr>
        <w:ind w:right="-2"/>
        <w:rPr>
          <w:szCs w:val="22"/>
          <w:lang w:val="lt-LT"/>
        </w:rPr>
      </w:pPr>
    </w:p>
    <w:p w:rsidR="007F0C0F" w:rsidRPr="00533C6E" w:rsidRDefault="007F0C0F" w:rsidP="007F0C0F">
      <w:pPr>
        <w:ind w:right="-2"/>
        <w:rPr>
          <w:szCs w:val="22"/>
          <w:lang w:val="lt-LT"/>
        </w:rPr>
      </w:pPr>
    </w:p>
    <w:p w:rsidR="007F0C0F" w:rsidRPr="00533C6E" w:rsidRDefault="007F0C0F" w:rsidP="007F0C0F">
      <w:pPr>
        <w:ind w:right="-2"/>
        <w:rPr>
          <w:b/>
          <w:bCs/>
          <w:szCs w:val="22"/>
          <w:lang w:val="lt-LT"/>
        </w:rPr>
      </w:pPr>
      <w:r w:rsidRPr="00533C6E">
        <w:rPr>
          <w:b/>
          <w:bCs/>
          <w:szCs w:val="22"/>
          <w:lang w:val="lt-LT"/>
        </w:rPr>
        <w:t>2.</w:t>
      </w:r>
      <w:r w:rsidRPr="00533C6E">
        <w:rPr>
          <w:b/>
          <w:bCs/>
          <w:szCs w:val="22"/>
          <w:lang w:val="lt-LT"/>
        </w:rPr>
        <w:tab/>
        <w:t xml:space="preserve">Kas žinotina prieš vartojant AKUTUR </w:t>
      </w:r>
    </w:p>
    <w:p w:rsidR="007F0C0F" w:rsidRPr="00533C6E" w:rsidRDefault="007F0C0F" w:rsidP="007F0C0F">
      <w:pPr>
        <w:ind w:right="-2"/>
        <w:rPr>
          <w:szCs w:val="22"/>
          <w:lang w:val="lt-LT"/>
        </w:rPr>
      </w:pPr>
    </w:p>
    <w:p w:rsidR="007F0C0F" w:rsidRPr="00533C6E" w:rsidRDefault="007F0C0F" w:rsidP="007F0C0F">
      <w:pPr>
        <w:rPr>
          <w:b/>
          <w:bCs/>
          <w:szCs w:val="22"/>
          <w:lang w:val="lt-LT"/>
        </w:rPr>
      </w:pPr>
      <w:r w:rsidRPr="00533C6E">
        <w:rPr>
          <w:b/>
          <w:bCs/>
          <w:szCs w:val="22"/>
          <w:lang w:val="lt-LT"/>
        </w:rPr>
        <w:t>AKUTUR vartoti negalima:</w:t>
      </w:r>
    </w:p>
    <w:p w:rsidR="007F0C0F" w:rsidRPr="00533C6E" w:rsidRDefault="007F0C0F" w:rsidP="007F0C0F">
      <w:pPr>
        <w:ind w:left="567" w:hanging="567"/>
        <w:rPr>
          <w:szCs w:val="22"/>
          <w:lang w:val="lt-LT"/>
        </w:rPr>
      </w:pPr>
      <w:r w:rsidRPr="00533C6E">
        <w:rPr>
          <w:szCs w:val="22"/>
          <w:lang w:val="lt-LT"/>
        </w:rPr>
        <w:t>-</w:t>
      </w:r>
      <w:r w:rsidRPr="00533C6E">
        <w:rPr>
          <w:szCs w:val="22"/>
          <w:lang w:val="lt-LT"/>
        </w:rPr>
        <w:tab/>
        <w:t xml:space="preserve">jeigu yra alergija veikliosioms medžiagoms, </w:t>
      </w:r>
      <w:r w:rsidRPr="00E95CB8">
        <w:rPr>
          <w:szCs w:val="22"/>
          <w:lang w:val="lt-LT"/>
        </w:rPr>
        <w:t>ypač bičių produktams,</w:t>
      </w:r>
      <w:r w:rsidRPr="00533C6E">
        <w:rPr>
          <w:szCs w:val="22"/>
          <w:lang w:val="lt-LT"/>
        </w:rPr>
        <w:t xml:space="preserve"> arba bet kuriai pagalbinei šio vaisto medžiagai (jos išvardytos 6 skyriuje).</w:t>
      </w:r>
    </w:p>
    <w:p w:rsidR="007F0C0F" w:rsidRPr="00533C6E" w:rsidRDefault="007F0C0F" w:rsidP="007F0C0F">
      <w:pPr>
        <w:rPr>
          <w:szCs w:val="22"/>
          <w:lang w:val="lt-LT"/>
        </w:rPr>
      </w:pPr>
    </w:p>
    <w:p w:rsidR="007F0C0F" w:rsidRPr="00533C6E" w:rsidRDefault="007F0C0F" w:rsidP="007F0C0F">
      <w:pPr>
        <w:rPr>
          <w:szCs w:val="22"/>
          <w:lang w:val="lt-LT"/>
        </w:rPr>
      </w:pPr>
      <w:r w:rsidRPr="00E95CB8">
        <w:rPr>
          <w:b/>
          <w:bCs/>
          <w:lang w:val="lt-LT"/>
        </w:rPr>
        <w:t>Įspėjimai ir atsargumo priemonės</w:t>
      </w:r>
      <w:r w:rsidRPr="00533C6E">
        <w:rPr>
          <w:b/>
          <w:bCs/>
          <w:lang w:val="lt-LT"/>
        </w:rPr>
        <w:t xml:space="preserve"> </w:t>
      </w:r>
      <w:r w:rsidRPr="00533C6E">
        <w:rPr>
          <w:szCs w:val="22"/>
          <w:lang w:val="lt-LT"/>
        </w:rPr>
        <w:tab/>
      </w:r>
    </w:p>
    <w:p w:rsidR="007F0C0F" w:rsidRPr="00533C6E" w:rsidRDefault="007F0C0F" w:rsidP="007F0C0F">
      <w:pPr>
        <w:rPr>
          <w:szCs w:val="22"/>
          <w:lang w:val="lt-LT"/>
        </w:rPr>
      </w:pPr>
      <w:r w:rsidRPr="00533C6E">
        <w:rPr>
          <w:szCs w:val="22"/>
          <w:lang w:val="lt-LT"/>
        </w:rPr>
        <w:t>Pasitarkite su gydytoju arba vaistininku, prieš pradėdami vartoti AKUTUR.</w:t>
      </w:r>
    </w:p>
    <w:p w:rsidR="007F0C0F" w:rsidRPr="00533C6E" w:rsidRDefault="007F0C0F" w:rsidP="007F0C0F">
      <w:pPr>
        <w:pStyle w:val="Pagrindinistekstas22"/>
        <w:rPr>
          <w:szCs w:val="22"/>
          <w:lang w:val="lt-LT"/>
        </w:rPr>
      </w:pPr>
    </w:p>
    <w:p w:rsidR="007F0C0F" w:rsidRPr="00533C6E" w:rsidRDefault="007F0C0F" w:rsidP="007F0C0F">
      <w:pPr>
        <w:rPr>
          <w:szCs w:val="22"/>
          <w:lang w:val="lt-LT"/>
        </w:rPr>
      </w:pPr>
      <w:r w:rsidRPr="00533C6E">
        <w:rPr>
          <w:szCs w:val="22"/>
          <w:lang w:val="lt-LT"/>
        </w:rPr>
        <w:t>AKUTUR nerekomenduojama vartoti vaikams, jaunesniems kaip 1 metų, nes duomenų apie vartojimą šio amžiaus vaikams nepakanka.</w:t>
      </w:r>
    </w:p>
    <w:p w:rsidR="007F0C0F" w:rsidRPr="00533C6E" w:rsidRDefault="007F0C0F" w:rsidP="007F0C0F">
      <w:pPr>
        <w:rPr>
          <w:szCs w:val="22"/>
          <w:lang w:val="lt-LT"/>
        </w:rPr>
      </w:pPr>
    </w:p>
    <w:p w:rsidR="007F0C0F" w:rsidRPr="00533C6E" w:rsidRDefault="007F0C0F" w:rsidP="007F0C0F">
      <w:pPr>
        <w:rPr>
          <w:szCs w:val="22"/>
          <w:lang w:val="lt-LT"/>
        </w:rPr>
      </w:pPr>
      <w:r w:rsidRPr="00533C6E">
        <w:rPr>
          <w:szCs w:val="22"/>
          <w:lang w:val="lt-LT"/>
        </w:rPr>
        <w:lastRenderedPageBreak/>
        <w:t>Vartojant homeopatinius vaistus esami ligos simptomai gali trumpam sustiprėti (pradinė reakcija). Tokiu atveju reikia nutraukti vaisto vartojimą. Pradinei reakcijai susilpnėjus Jūs vėl galite vartoti vaistą. Jeigu simptomai vėl sustiprėja, būtina nutraukti vaisto vartojimą.</w:t>
      </w:r>
    </w:p>
    <w:p w:rsidR="007F0C0F" w:rsidRPr="00533C6E" w:rsidRDefault="007F0C0F" w:rsidP="007F0C0F">
      <w:pPr>
        <w:rPr>
          <w:szCs w:val="22"/>
          <w:lang w:val="lt-LT"/>
        </w:rPr>
      </w:pPr>
    </w:p>
    <w:p w:rsidR="007F0C0F" w:rsidRPr="00533C6E" w:rsidRDefault="007F0C0F" w:rsidP="007F0C0F">
      <w:pPr>
        <w:rPr>
          <w:szCs w:val="22"/>
          <w:lang w:val="lt-LT"/>
        </w:rPr>
      </w:pPr>
      <w:r w:rsidRPr="00533C6E">
        <w:rPr>
          <w:szCs w:val="22"/>
          <w:lang w:val="lt-LT"/>
        </w:rPr>
        <w:t xml:space="preserve">Bet kokį ilgesnį gydymą homeopatiniu vaistu turi stebėti gydytojas, turintis homeopatinio gydymo patirties.  </w:t>
      </w:r>
    </w:p>
    <w:p w:rsidR="007F0C0F" w:rsidRPr="00533C6E" w:rsidRDefault="007F0C0F" w:rsidP="007F0C0F">
      <w:pPr>
        <w:rPr>
          <w:szCs w:val="22"/>
          <w:lang w:val="lt-LT"/>
        </w:rPr>
      </w:pPr>
    </w:p>
    <w:p w:rsidR="007F0C0F" w:rsidRPr="00533C6E" w:rsidRDefault="007F0C0F" w:rsidP="007F0C0F">
      <w:pPr>
        <w:rPr>
          <w:b/>
          <w:bCs/>
          <w:lang w:val="lt-LT"/>
        </w:rPr>
      </w:pPr>
      <w:r w:rsidRPr="00533C6E">
        <w:rPr>
          <w:b/>
          <w:bCs/>
          <w:lang w:val="lt-LT"/>
        </w:rPr>
        <w:t xml:space="preserve">Kiti vaistai ir AKUTUR </w:t>
      </w:r>
    </w:p>
    <w:p w:rsidR="007F0C0F" w:rsidRPr="00533C6E" w:rsidRDefault="007F0C0F" w:rsidP="007F0C0F">
      <w:pPr>
        <w:rPr>
          <w:szCs w:val="22"/>
          <w:lang w:val="lt-LT"/>
        </w:rPr>
      </w:pPr>
      <w:r w:rsidRPr="00533C6E">
        <w:rPr>
          <w:szCs w:val="22"/>
          <w:lang w:val="lt-LT"/>
        </w:rPr>
        <w:t>Sąveika su kitais vaistais  nežinoma.</w:t>
      </w:r>
    </w:p>
    <w:p w:rsidR="007F0C0F" w:rsidRPr="00533C6E" w:rsidRDefault="007F0C0F" w:rsidP="007F0C0F">
      <w:pPr>
        <w:rPr>
          <w:szCs w:val="22"/>
          <w:lang w:val="lt-LT"/>
        </w:rPr>
      </w:pPr>
    </w:p>
    <w:p w:rsidR="007F0C0F" w:rsidRPr="00533C6E" w:rsidRDefault="007F0C0F" w:rsidP="007F0C0F">
      <w:pPr>
        <w:rPr>
          <w:szCs w:val="22"/>
          <w:lang w:val="lt-LT"/>
        </w:rPr>
      </w:pPr>
      <w:r w:rsidRPr="00533C6E">
        <w:rPr>
          <w:szCs w:val="22"/>
          <w:lang w:val="lt-LT"/>
        </w:rPr>
        <w:t>Jeigu vartojate ar neseniai vartojote kitų vaistų arba dėl to nesate tikri, apie tai pasakykite gydytojui arba vaistininkui.</w:t>
      </w:r>
    </w:p>
    <w:p w:rsidR="007F0C0F" w:rsidRPr="00533C6E" w:rsidRDefault="007F0C0F" w:rsidP="007F0C0F">
      <w:pPr>
        <w:rPr>
          <w:szCs w:val="22"/>
          <w:lang w:val="lt-LT"/>
        </w:rPr>
      </w:pPr>
    </w:p>
    <w:p w:rsidR="007F0C0F" w:rsidRPr="00533C6E" w:rsidRDefault="007F0C0F" w:rsidP="007F0C0F">
      <w:pPr>
        <w:rPr>
          <w:b/>
          <w:bCs/>
          <w:lang w:val="lt-LT"/>
        </w:rPr>
      </w:pPr>
      <w:r w:rsidRPr="00533C6E">
        <w:rPr>
          <w:b/>
          <w:bCs/>
          <w:lang w:val="lt-LT"/>
        </w:rPr>
        <w:t>Nėštumas ir žindymo laikotarpis</w:t>
      </w:r>
    </w:p>
    <w:p w:rsidR="007F0C0F" w:rsidRPr="00533C6E" w:rsidRDefault="007F0C0F" w:rsidP="007F0C0F">
      <w:pPr>
        <w:rPr>
          <w:szCs w:val="22"/>
          <w:lang w:val="lt-LT"/>
        </w:rPr>
      </w:pPr>
      <w:r w:rsidRPr="00533C6E">
        <w:rPr>
          <w:szCs w:val="22"/>
          <w:lang w:val="lt-LT"/>
        </w:rPr>
        <w:t>Jeigu esate nėščia, žindote kūdikį, manote, kad galbūt esate nėščia, arba planuojate pastoti, tai prieš vartodama šį vaistą, pasitarkite su gydytoju arba vaistininku.</w:t>
      </w:r>
    </w:p>
    <w:p w:rsidR="007F0C0F" w:rsidRPr="00533C6E" w:rsidRDefault="007F0C0F" w:rsidP="007F0C0F">
      <w:pPr>
        <w:rPr>
          <w:szCs w:val="22"/>
          <w:lang w:val="lt-LT"/>
        </w:rPr>
      </w:pPr>
      <w:r w:rsidRPr="00533C6E">
        <w:rPr>
          <w:szCs w:val="22"/>
          <w:lang w:val="lt-LT"/>
        </w:rPr>
        <w:t>Nėra nurodoma, kad būtų ypatingai rizikinga vartoti vaistą nėštumo ir žindymo laikotarpiu.</w:t>
      </w:r>
    </w:p>
    <w:p w:rsidR="007F0C0F" w:rsidRPr="00533C6E" w:rsidRDefault="007F0C0F" w:rsidP="007F0C0F">
      <w:pPr>
        <w:rPr>
          <w:szCs w:val="22"/>
          <w:lang w:val="lt-LT"/>
        </w:rPr>
      </w:pPr>
      <w:r w:rsidRPr="00533C6E">
        <w:rPr>
          <w:szCs w:val="22"/>
          <w:lang w:val="lt-LT"/>
        </w:rPr>
        <w:t>Nėštumo ir žindymo laikotarpiu vaistą reikia vartoti atsargiai.</w:t>
      </w:r>
    </w:p>
    <w:p w:rsidR="007F0C0F" w:rsidRPr="00533C6E" w:rsidRDefault="007F0C0F" w:rsidP="007F0C0F">
      <w:pPr>
        <w:rPr>
          <w:szCs w:val="22"/>
          <w:lang w:val="lt-LT"/>
        </w:rPr>
      </w:pPr>
    </w:p>
    <w:p w:rsidR="007F0C0F" w:rsidRPr="00533C6E" w:rsidRDefault="007F0C0F" w:rsidP="007F0C0F">
      <w:pPr>
        <w:rPr>
          <w:b/>
          <w:bCs/>
          <w:lang w:val="lt-LT"/>
        </w:rPr>
      </w:pPr>
      <w:r w:rsidRPr="00533C6E">
        <w:rPr>
          <w:b/>
          <w:bCs/>
          <w:lang w:val="lt-LT"/>
        </w:rPr>
        <w:t>Vairavimas ir mechanizmų valdymas</w:t>
      </w:r>
    </w:p>
    <w:p w:rsidR="007F0C0F" w:rsidRPr="00533C6E" w:rsidRDefault="007F0C0F" w:rsidP="007F0C0F">
      <w:pPr>
        <w:rPr>
          <w:szCs w:val="22"/>
          <w:lang w:val="lt-LT"/>
        </w:rPr>
      </w:pPr>
      <w:r w:rsidRPr="00533C6E">
        <w:rPr>
          <w:szCs w:val="22"/>
          <w:lang w:val="lt-LT"/>
        </w:rPr>
        <w:t xml:space="preserve">AKUTUR gebėjimo vairuoti ir valdyti mechanizmus neveikia arba veikia nereikšmingai. </w:t>
      </w:r>
    </w:p>
    <w:p w:rsidR="007F0C0F" w:rsidRPr="00533C6E" w:rsidRDefault="007F0C0F" w:rsidP="007F0C0F">
      <w:pPr>
        <w:rPr>
          <w:szCs w:val="22"/>
          <w:lang w:val="lt-LT"/>
        </w:rPr>
      </w:pPr>
      <w:r w:rsidRPr="00533C6E">
        <w:rPr>
          <w:szCs w:val="22"/>
          <w:lang w:val="lt-LT"/>
        </w:rPr>
        <w:t>Būtina atsižvelgti į tai, kad vaisto sudėtyje yra 42 tūrio % alkoholio.</w:t>
      </w:r>
    </w:p>
    <w:p w:rsidR="007F0C0F" w:rsidRPr="00533C6E" w:rsidRDefault="007F0C0F" w:rsidP="007F0C0F">
      <w:pPr>
        <w:rPr>
          <w:szCs w:val="22"/>
          <w:lang w:val="lt-LT"/>
        </w:rPr>
      </w:pPr>
    </w:p>
    <w:p w:rsidR="007F0C0F" w:rsidRPr="00533C6E" w:rsidRDefault="007F0C0F" w:rsidP="007F0C0F">
      <w:pPr>
        <w:rPr>
          <w:b/>
          <w:szCs w:val="22"/>
          <w:lang w:val="lt-LT"/>
        </w:rPr>
      </w:pPr>
      <w:r w:rsidRPr="00533C6E">
        <w:rPr>
          <w:b/>
          <w:bCs/>
          <w:szCs w:val="22"/>
          <w:lang w:val="lt-LT"/>
        </w:rPr>
        <w:t>AKUTUR sud</w:t>
      </w:r>
      <w:r w:rsidRPr="00E95CB8">
        <w:rPr>
          <w:b/>
          <w:bCs/>
          <w:szCs w:val="22"/>
          <w:lang w:val="lt-LT"/>
        </w:rPr>
        <w:t>ėtyje yra</w:t>
      </w:r>
      <w:r w:rsidRPr="00533C6E">
        <w:rPr>
          <w:b/>
          <w:bCs/>
          <w:color w:val="000000"/>
          <w:szCs w:val="22"/>
          <w:lang w:val="lt-LT"/>
        </w:rPr>
        <w:t xml:space="preserve"> </w:t>
      </w:r>
      <w:r w:rsidRPr="00533C6E">
        <w:rPr>
          <w:b/>
          <w:szCs w:val="22"/>
          <w:lang w:val="lt-LT"/>
        </w:rPr>
        <w:t>etanoli</w:t>
      </w:r>
      <w:r w:rsidRPr="00E95CB8">
        <w:rPr>
          <w:b/>
          <w:szCs w:val="22"/>
          <w:lang w:val="lt-LT"/>
        </w:rPr>
        <w:t>o</w:t>
      </w:r>
      <w:r w:rsidRPr="00533C6E">
        <w:rPr>
          <w:b/>
          <w:szCs w:val="22"/>
          <w:lang w:val="lt-LT"/>
        </w:rPr>
        <w:t>.</w:t>
      </w:r>
    </w:p>
    <w:p w:rsidR="000F00EE" w:rsidRDefault="000F00EE" w:rsidP="000F00EE">
      <w:pPr>
        <w:pStyle w:val="Pagrindinistekstas22"/>
        <w:rPr>
          <w:szCs w:val="22"/>
          <w:lang w:val="lt-LT"/>
        </w:rPr>
      </w:pPr>
      <w:r>
        <w:rPr>
          <w:szCs w:val="22"/>
          <w:lang w:val="lt-LT"/>
        </w:rPr>
        <w:t>Kiekvienoje</w:t>
      </w:r>
      <w:r w:rsidRPr="00820690">
        <w:rPr>
          <w:szCs w:val="22"/>
          <w:lang w:val="lt-LT"/>
        </w:rPr>
        <w:t xml:space="preserve"> šio vaisto dozėje (5–15 </w:t>
      </w:r>
      <w:r w:rsidR="00B75A92">
        <w:rPr>
          <w:szCs w:val="22"/>
          <w:lang w:val="lt-LT"/>
        </w:rPr>
        <w:t xml:space="preserve">geriamųjų </w:t>
      </w:r>
      <w:r w:rsidRPr="00820690">
        <w:rPr>
          <w:szCs w:val="22"/>
          <w:lang w:val="lt-LT"/>
        </w:rPr>
        <w:t>lašų) yra 34–101</w:t>
      </w:r>
      <w:r w:rsidR="007B78DF">
        <w:rPr>
          <w:szCs w:val="22"/>
          <w:lang w:val="lt-LT"/>
        </w:rPr>
        <w:t> </w:t>
      </w:r>
      <w:r w:rsidRPr="00820690">
        <w:rPr>
          <w:szCs w:val="22"/>
          <w:lang w:val="lt-LT"/>
        </w:rPr>
        <w:t>mg alkoholio (etanolio), tai atitinka 42</w:t>
      </w:r>
      <w:r w:rsidR="007B78DF">
        <w:rPr>
          <w:szCs w:val="22"/>
          <w:lang w:val="lt-LT"/>
        </w:rPr>
        <w:t> </w:t>
      </w:r>
      <w:r w:rsidRPr="00820690">
        <w:rPr>
          <w:szCs w:val="22"/>
          <w:lang w:val="lt-LT"/>
        </w:rPr>
        <w:t>%</w:t>
      </w:r>
      <w:r w:rsidRPr="00766ED0">
        <w:rPr>
          <w:szCs w:val="22"/>
          <w:lang w:val="lt-LT"/>
        </w:rPr>
        <w:t xml:space="preserve"> tūrio</w:t>
      </w:r>
      <w:r w:rsidRPr="00820690">
        <w:rPr>
          <w:szCs w:val="22"/>
          <w:lang w:val="lt-LT"/>
        </w:rPr>
        <w:t xml:space="preserve">. Toks 15 </w:t>
      </w:r>
      <w:r w:rsidR="00B75A92">
        <w:rPr>
          <w:szCs w:val="22"/>
          <w:lang w:val="lt-LT"/>
        </w:rPr>
        <w:t xml:space="preserve">geriamųjų </w:t>
      </w:r>
      <w:r w:rsidRPr="00820690">
        <w:rPr>
          <w:szCs w:val="22"/>
          <w:lang w:val="lt-LT"/>
        </w:rPr>
        <w:t xml:space="preserve">lašų dozėje esantis alkoholio kiekis </w:t>
      </w:r>
      <w:r w:rsidRPr="001C55B7">
        <w:rPr>
          <w:szCs w:val="22"/>
          <w:lang w:val="lt-LT"/>
        </w:rPr>
        <w:t>atitinka 2</w:t>
      </w:r>
      <w:r w:rsidRPr="00766ED0">
        <w:rPr>
          <w:szCs w:val="22"/>
          <w:lang w:val="lt-LT"/>
        </w:rPr>
        <w:t>,</w:t>
      </w:r>
      <w:r w:rsidRPr="00244C10">
        <w:rPr>
          <w:szCs w:val="22"/>
          <w:lang w:val="lt-LT"/>
        </w:rPr>
        <w:t>5</w:t>
      </w:r>
      <w:r w:rsidRPr="00422628">
        <w:rPr>
          <w:szCs w:val="22"/>
          <w:lang w:val="lt-LT"/>
        </w:rPr>
        <w:t> </w:t>
      </w:r>
      <w:r w:rsidRPr="001C55B7">
        <w:rPr>
          <w:szCs w:val="22"/>
          <w:lang w:val="lt-LT"/>
        </w:rPr>
        <w:t>ml alaus</w:t>
      </w:r>
      <w:r w:rsidRPr="00A07C7A">
        <w:rPr>
          <w:szCs w:val="22"/>
          <w:lang w:val="lt-LT"/>
        </w:rPr>
        <w:t xml:space="preserve"> ar</w:t>
      </w:r>
      <w:r w:rsidRPr="00422628">
        <w:rPr>
          <w:szCs w:val="22"/>
          <w:lang w:val="lt-LT"/>
        </w:rPr>
        <w:t xml:space="preserve"> </w:t>
      </w:r>
      <w:r w:rsidRPr="00766ED0">
        <w:rPr>
          <w:szCs w:val="22"/>
          <w:lang w:val="lt-LT"/>
        </w:rPr>
        <w:t>1</w:t>
      </w:r>
      <w:r w:rsidRPr="00422628">
        <w:rPr>
          <w:szCs w:val="22"/>
          <w:lang w:val="lt-LT"/>
        </w:rPr>
        <w:t> </w:t>
      </w:r>
      <w:r w:rsidRPr="00A07C7A">
        <w:rPr>
          <w:szCs w:val="22"/>
          <w:lang w:val="lt-LT"/>
        </w:rPr>
        <w:t>ml vyno</w:t>
      </w:r>
      <w:r w:rsidRPr="00820690">
        <w:rPr>
          <w:szCs w:val="22"/>
          <w:lang w:val="lt-LT"/>
        </w:rPr>
        <w:t>.</w:t>
      </w:r>
    </w:p>
    <w:p w:rsidR="000F00EE" w:rsidRDefault="000F00EE" w:rsidP="000F00EE">
      <w:pPr>
        <w:tabs>
          <w:tab w:val="clear" w:pos="567"/>
        </w:tabs>
        <w:suppressAutoHyphens w:val="0"/>
        <w:autoSpaceDE w:val="0"/>
        <w:autoSpaceDN w:val="0"/>
        <w:adjustRightInd w:val="0"/>
        <w:spacing w:line="240" w:lineRule="auto"/>
        <w:rPr>
          <w:szCs w:val="22"/>
          <w:lang w:val="lt-LT"/>
        </w:rPr>
      </w:pPr>
      <w:r w:rsidRPr="00766ED0">
        <w:rPr>
          <w:szCs w:val="22"/>
          <w:lang w:val="lt-LT"/>
        </w:rPr>
        <w:t>Mažas alkoholio kiekis, esantis šio vaisto sudėtyje, nesukelia pastebimo poveikio.</w:t>
      </w:r>
    </w:p>
    <w:p w:rsidR="007F0C0F" w:rsidRPr="00533C6E" w:rsidRDefault="007F0C0F" w:rsidP="007F0C0F">
      <w:pPr>
        <w:ind w:right="-2"/>
        <w:rPr>
          <w:szCs w:val="22"/>
          <w:lang w:val="lt-LT"/>
        </w:rPr>
      </w:pPr>
    </w:p>
    <w:p w:rsidR="007F0C0F" w:rsidRPr="00533C6E" w:rsidRDefault="007F0C0F" w:rsidP="007F0C0F">
      <w:pPr>
        <w:rPr>
          <w:b/>
          <w:bCs/>
          <w:szCs w:val="22"/>
          <w:lang w:val="lt-LT"/>
        </w:rPr>
      </w:pPr>
      <w:r w:rsidRPr="00533C6E">
        <w:rPr>
          <w:b/>
          <w:bCs/>
          <w:szCs w:val="22"/>
          <w:lang w:val="lt-LT"/>
        </w:rPr>
        <w:t>3.</w:t>
      </w:r>
      <w:r w:rsidRPr="00533C6E">
        <w:rPr>
          <w:b/>
          <w:bCs/>
          <w:szCs w:val="22"/>
          <w:lang w:val="lt-LT"/>
        </w:rPr>
        <w:tab/>
        <w:t xml:space="preserve">Kaip vartoti AKUTUR </w:t>
      </w:r>
    </w:p>
    <w:p w:rsidR="007F0C0F" w:rsidRPr="00533C6E" w:rsidRDefault="007F0C0F" w:rsidP="007F0C0F">
      <w:pPr>
        <w:ind w:right="-2"/>
        <w:rPr>
          <w:szCs w:val="22"/>
          <w:lang w:val="lt-LT"/>
        </w:rPr>
      </w:pPr>
    </w:p>
    <w:p w:rsidR="007F0C0F" w:rsidRPr="00533C6E" w:rsidRDefault="007F0C0F" w:rsidP="007F0C0F">
      <w:pPr>
        <w:ind w:right="-2"/>
        <w:rPr>
          <w:szCs w:val="22"/>
          <w:lang w:val="lt-LT"/>
        </w:rPr>
      </w:pPr>
      <w:r w:rsidRPr="00533C6E">
        <w:rPr>
          <w:szCs w:val="22"/>
          <w:lang w:val="lt-LT"/>
        </w:rPr>
        <w:t>Visada vartokite šį vaistą tiksliai kaip aprašyta šiame lapelyje arba kaip nurodė gydytojas arba vaistininkas. Jeigu abejojate, kreipkitės į gydytoją arba vaistininką.</w:t>
      </w:r>
    </w:p>
    <w:p w:rsidR="007F0C0F" w:rsidRPr="00533C6E" w:rsidRDefault="007F0C0F" w:rsidP="007F0C0F">
      <w:pPr>
        <w:ind w:right="-2"/>
        <w:rPr>
          <w:szCs w:val="22"/>
          <w:lang w:val="lt-LT"/>
        </w:rPr>
      </w:pPr>
    </w:p>
    <w:p w:rsidR="007F0C0F" w:rsidRPr="00533C6E" w:rsidRDefault="007F0C0F" w:rsidP="007F0C0F">
      <w:pPr>
        <w:ind w:right="-2"/>
        <w:rPr>
          <w:szCs w:val="22"/>
          <w:lang w:val="lt-LT"/>
        </w:rPr>
      </w:pPr>
      <w:r w:rsidRPr="00533C6E">
        <w:rPr>
          <w:szCs w:val="22"/>
          <w:lang w:val="lt-LT"/>
        </w:rPr>
        <w:t xml:space="preserve">Rekomenduojama dozė yra: </w:t>
      </w:r>
    </w:p>
    <w:p w:rsidR="007F0C0F" w:rsidRPr="00533C6E" w:rsidRDefault="007F0C0F" w:rsidP="007F0C0F">
      <w:pPr>
        <w:ind w:right="-2"/>
        <w:rPr>
          <w:szCs w:val="22"/>
          <w:lang w:val="lt-LT"/>
        </w:rPr>
      </w:pPr>
      <w:r w:rsidRPr="00533C6E">
        <w:rPr>
          <w:szCs w:val="22"/>
          <w:lang w:val="lt-LT"/>
        </w:rPr>
        <w:t xml:space="preserve">suaugusiesiems ir paaugliams nuo 12 metų: 10–15 </w:t>
      </w:r>
      <w:r w:rsidR="00B75A92">
        <w:rPr>
          <w:szCs w:val="22"/>
          <w:lang w:val="lt-LT"/>
        </w:rPr>
        <w:t xml:space="preserve">geriamųjų </w:t>
      </w:r>
      <w:r w:rsidRPr="00533C6E">
        <w:rPr>
          <w:szCs w:val="22"/>
          <w:lang w:val="lt-LT"/>
        </w:rPr>
        <w:t>lašų 3–5 kartus per par</w:t>
      </w:r>
      <w:r w:rsidRPr="00E95CB8">
        <w:rPr>
          <w:szCs w:val="22"/>
          <w:lang w:val="lt-LT"/>
        </w:rPr>
        <w:t>ą</w:t>
      </w:r>
      <w:r w:rsidRPr="00533C6E">
        <w:rPr>
          <w:szCs w:val="22"/>
          <w:lang w:val="lt-LT"/>
        </w:rPr>
        <w:t>;</w:t>
      </w:r>
    </w:p>
    <w:p w:rsidR="007F0C0F" w:rsidRPr="00533C6E" w:rsidRDefault="007F0C0F" w:rsidP="007F0C0F">
      <w:pPr>
        <w:ind w:right="-2"/>
        <w:rPr>
          <w:szCs w:val="22"/>
          <w:lang w:val="lt-LT"/>
        </w:rPr>
      </w:pPr>
      <w:r w:rsidRPr="00533C6E">
        <w:rPr>
          <w:szCs w:val="22"/>
          <w:lang w:val="lt-LT"/>
        </w:rPr>
        <w:t xml:space="preserve">2–12 metų vaikams: 7–10 </w:t>
      </w:r>
      <w:r w:rsidR="00B75A92">
        <w:rPr>
          <w:szCs w:val="22"/>
          <w:lang w:val="lt-LT"/>
        </w:rPr>
        <w:t xml:space="preserve">geriamųjų </w:t>
      </w:r>
      <w:r w:rsidRPr="00533C6E">
        <w:rPr>
          <w:szCs w:val="22"/>
          <w:lang w:val="lt-LT"/>
        </w:rPr>
        <w:t xml:space="preserve">lašų 3 kartus per </w:t>
      </w:r>
      <w:r w:rsidRPr="00E95CB8">
        <w:rPr>
          <w:szCs w:val="22"/>
          <w:lang w:val="lt-LT"/>
        </w:rPr>
        <w:t>parą</w:t>
      </w:r>
      <w:r w:rsidRPr="00533C6E">
        <w:rPr>
          <w:szCs w:val="22"/>
          <w:lang w:val="lt-LT"/>
        </w:rPr>
        <w:t>;</w:t>
      </w:r>
    </w:p>
    <w:p w:rsidR="007F0C0F" w:rsidRPr="00533C6E" w:rsidRDefault="007F0C0F" w:rsidP="007F0C0F">
      <w:pPr>
        <w:ind w:right="-2"/>
        <w:rPr>
          <w:szCs w:val="22"/>
          <w:lang w:val="lt-LT"/>
        </w:rPr>
      </w:pPr>
      <w:r w:rsidRPr="00533C6E">
        <w:rPr>
          <w:szCs w:val="22"/>
          <w:lang w:val="lt-LT"/>
        </w:rPr>
        <w:t xml:space="preserve">1–2 metų vaikams: 5 </w:t>
      </w:r>
      <w:r w:rsidR="00B75A92">
        <w:rPr>
          <w:szCs w:val="22"/>
          <w:lang w:val="lt-LT"/>
        </w:rPr>
        <w:t xml:space="preserve">geriamieji </w:t>
      </w:r>
      <w:r w:rsidRPr="00533C6E">
        <w:rPr>
          <w:szCs w:val="22"/>
          <w:lang w:val="lt-LT"/>
        </w:rPr>
        <w:t xml:space="preserve">lašai 3 kartus per </w:t>
      </w:r>
      <w:r w:rsidRPr="00E95CB8">
        <w:rPr>
          <w:szCs w:val="22"/>
          <w:lang w:val="lt-LT"/>
        </w:rPr>
        <w:t>parą</w:t>
      </w:r>
      <w:r w:rsidRPr="00533C6E">
        <w:rPr>
          <w:szCs w:val="22"/>
          <w:lang w:val="lt-LT"/>
        </w:rPr>
        <w:t xml:space="preserve">, </w:t>
      </w:r>
      <w:r w:rsidRPr="00E95CB8">
        <w:rPr>
          <w:szCs w:val="22"/>
          <w:lang w:val="lt-LT"/>
        </w:rPr>
        <w:t>praskiesti</w:t>
      </w:r>
      <w:r w:rsidRPr="00533C6E">
        <w:rPr>
          <w:szCs w:val="22"/>
          <w:lang w:val="lt-LT"/>
        </w:rPr>
        <w:t xml:space="preserve"> nedideli</w:t>
      </w:r>
      <w:r w:rsidRPr="00E95CB8">
        <w:rPr>
          <w:szCs w:val="22"/>
          <w:lang w:val="lt-LT"/>
        </w:rPr>
        <w:t>u kiekiu</w:t>
      </w:r>
      <w:r w:rsidRPr="00533C6E">
        <w:rPr>
          <w:szCs w:val="22"/>
          <w:lang w:val="lt-LT"/>
        </w:rPr>
        <w:t xml:space="preserve"> vandens ir </w:t>
      </w:r>
      <w:r w:rsidR="00EA1667">
        <w:rPr>
          <w:szCs w:val="22"/>
          <w:lang w:val="lt-LT"/>
        </w:rPr>
        <w:t xml:space="preserve">vartojami </w:t>
      </w:r>
      <w:r w:rsidRPr="00533C6E">
        <w:rPr>
          <w:szCs w:val="22"/>
          <w:lang w:val="lt-LT"/>
        </w:rPr>
        <w:t>tarp maitinimų.</w:t>
      </w:r>
    </w:p>
    <w:p w:rsidR="007F0C0F" w:rsidRPr="00533C6E" w:rsidRDefault="007F0C0F" w:rsidP="007F0C0F">
      <w:pPr>
        <w:ind w:right="-2"/>
        <w:rPr>
          <w:szCs w:val="22"/>
          <w:lang w:val="lt-LT"/>
        </w:rPr>
      </w:pPr>
    </w:p>
    <w:p w:rsidR="007F0C0F" w:rsidRPr="00533C6E" w:rsidRDefault="007F0C0F" w:rsidP="007F0C0F">
      <w:pPr>
        <w:ind w:right="-2"/>
        <w:rPr>
          <w:szCs w:val="22"/>
          <w:lang w:val="lt-LT"/>
        </w:rPr>
      </w:pPr>
      <w:r w:rsidRPr="00533C6E">
        <w:rPr>
          <w:szCs w:val="22"/>
          <w:lang w:val="lt-LT"/>
        </w:rPr>
        <w:t>Vartojimo laikas priklauso nuo ligos būklės ir apskritai nėra ribojamas. Jeigu simptomai per savaitę nesusilpnėja arba sustiprėja, būtina kreiptis į gydytoją.</w:t>
      </w:r>
    </w:p>
    <w:p w:rsidR="007F0C0F" w:rsidRPr="00533C6E" w:rsidRDefault="007F0C0F" w:rsidP="007F0C0F">
      <w:pPr>
        <w:ind w:right="-2"/>
        <w:rPr>
          <w:szCs w:val="22"/>
          <w:lang w:val="lt-LT"/>
        </w:rPr>
      </w:pPr>
    </w:p>
    <w:p w:rsidR="007F0C0F" w:rsidRPr="00533C6E" w:rsidRDefault="007F0C0F" w:rsidP="007F0C0F">
      <w:pPr>
        <w:ind w:right="-2"/>
        <w:rPr>
          <w:b/>
          <w:szCs w:val="22"/>
          <w:lang w:val="lt-LT"/>
        </w:rPr>
      </w:pPr>
      <w:r w:rsidRPr="00533C6E">
        <w:rPr>
          <w:b/>
          <w:szCs w:val="22"/>
          <w:lang w:val="lt-LT"/>
        </w:rPr>
        <w:t>Vartojimas vaikams</w:t>
      </w:r>
    </w:p>
    <w:p w:rsidR="007F0C0F" w:rsidRPr="00533C6E" w:rsidRDefault="007F0C0F" w:rsidP="007F0C0F">
      <w:pPr>
        <w:ind w:right="-2"/>
        <w:rPr>
          <w:szCs w:val="22"/>
          <w:lang w:val="lt-LT"/>
        </w:rPr>
      </w:pPr>
      <w:r w:rsidRPr="00533C6E">
        <w:rPr>
          <w:szCs w:val="22"/>
          <w:lang w:val="lt-LT"/>
        </w:rPr>
        <w:t>AKUTUR nerekomenduojama vartoti vaikams, jaunesniems kaip 1 metų, nes duomenų apie vartojimą šio amžiaus vaikams nepakanka.</w:t>
      </w:r>
    </w:p>
    <w:p w:rsidR="007F0C0F" w:rsidRPr="00533C6E" w:rsidRDefault="007F0C0F" w:rsidP="007F0C0F">
      <w:pPr>
        <w:ind w:right="-2"/>
        <w:rPr>
          <w:szCs w:val="22"/>
          <w:lang w:val="lt-LT"/>
        </w:rPr>
      </w:pPr>
    </w:p>
    <w:p w:rsidR="007F0C0F" w:rsidRPr="00533C6E" w:rsidRDefault="007F0C0F" w:rsidP="007F0C0F">
      <w:pPr>
        <w:rPr>
          <w:b/>
          <w:bCs/>
          <w:lang w:val="lt-LT"/>
        </w:rPr>
      </w:pPr>
      <w:r w:rsidRPr="00E95CB8">
        <w:rPr>
          <w:b/>
          <w:bCs/>
          <w:lang w:val="lt-LT"/>
        </w:rPr>
        <w:t>K</w:t>
      </w:r>
      <w:r w:rsidRPr="00533C6E">
        <w:rPr>
          <w:b/>
          <w:bCs/>
          <w:lang w:val="lt-LT"/>
        </w:rPr>
        <w:t xml:space="preserve">ą daryti pavartojus per didelę </w:t>
      </w:r>
      <w:r w:rsidRPr="00E95CB8">
        <w:rPr>
          <w:b/>
          <w:bCs/>
          <w:lang w:val="lt-LT"/>
        </w:rPr>
        <w:t>AKUTUR</w:t>
      </w:r>
      <w:r w:rsidRPr="00533C6E">
        <w:rPr>
          <w:b/>
          <w:bCs/>
          <w:lang w:val="lt-LT"/>
        </w:rPr>
        <w:t xml:space="preserve"> dozę?</w:t>
      </w:r>
    </w:p>
    <w:p w:rsidR="007F0C0F" w:rsidRPr="00533C6E" w:rsidRDefault="007F0C0F" w:rsidP="007F0C0F">
      <w:pPr>
        <w:rPr>
          <w:szCs w:val="22"/>
          <w:lang w:val="lt-LT"/>
        </w:rPr>
      </w:pPr>
      <w:r w:rsidRPr="00533C6E">
        <w:rPr>
          <w:szCs w:val="22"/>
          <w:lang w:val="lt-LT"/>
        </w:rPr>
        <w:t>Iki šiol nėra žinoma perdozavimo atvejų.</w:t>
      </w:r>
    </w:p>
    <w:p w:rsidR="007F0C0F" w:rsidRPr="00533C6E" w:rsidRDefault="007F0C0F" w:rsidP="007F0C0F">
      <w:pPr>
        <w:rPr>
          <w:szCs w:val="22"/>
          <w:lang w:val="lt-LT"/>
        </w:rPr>
      </w:pPr>
      <w:r w:rsidRPr="00533C6E">
        <w:rPr>
          <w:szCs w:val="22"/>
          <w:lang w:val="lt-LT"/>
        </w:rPr>
        <w:t xml:space="preserve">Būtina atsižvelgti į tai, kad vaisto sudėtyje yra 42 </w:t>
      </w:r>
      <w:r w:rsidRPr="00E95CB8">
        <w:rPr>
          <w:szCs w:val="22"/>
          <w:lang w:val="lt-LT"/>
        </w:rPr>
        <w:t xml:space="preserve">proc. </w:t>
      </w:r>
      <w:r w:rsidRPr="00533C6E">
        <w:rPr>
          <w:szCs w:val="22"/>
          <w:lang w:val="lt-LT"/>
        </w:rPr>
        <w:t>tūri</w:t>
      </w:r>
      <w:r w:rsidRPr="00E95CB8">
        <w:rPr>
          <w:szCs w:val="22"/>
          <w:lang w:val="lt-LT"/>
        </w:rPr>
        <w:t>o</w:t>
      </w:r>
      <w:r w:rsidRPr="00533C6E">
        <w:rPr>
          <w:szCs w:val="22"/>
          <w:lang w:val="lt-LT"/>
        </w:rPr>
        <w:t xml:space="preserve"> alkoholio.</w:t>
      </w:r>
    </w:p>
    <w:p w:rsidR="007F0C0F" w:rsidRPr="00533C6E" w:rsidRDefault="007F0C0F" w:rsidP="007F0C0F">
      <w:pPr>
        <w:ind w:right="-2"/>
        <w:rPr>
          <w:szCs w:val="22"/>
          <w:lang w:val="lt-LT"/>
        </w:rPr>
      </w:pPr>
    </w:p>
    <w:p w:rsidR="007F0C0F" w:rsidRPr="00533C6E" w:rsidRDefault="007F0C0F" w:rsidP="007F0C0F">
      <w:pPr>
        <w:rPr>
          <w:b/>
          <w:bCs/>
          <w:lang w:val="lt-LT"/>
        </w:rPr>
      </w:pPr>
      <w:r w:rsidRPr="00533C6E">
        <w:rPr>
          <w:b/>
          <w:bCs/>
          <w:lang w:val="lt-LT"/>
        </w:rPr>
        <w:t xml:space="preserve">Pamiršus pavartoti AKUTUR </w:t>
      </w:r>
    </w:p>
    <w:p w:rsidR="007F0C0F" w:rsidRPr="00533C6E" w:rsidRDefault="007F0C0F" w:rsidP="007F0C0F">
      <w:pPr>
        <w:ind w:right="-2"/>
        <w:rPr>
          <w:szCs w:val="22"/>
          <w:lang w:val="lt-LT"/>
        </w:rPr>
      </w:pPr>
      <w:r w:rsidRPr="00533C6E">
        <w:rPr>
          <w:szCs w:val="22"/>
          <w:lang w:val="lt-LT"/>
        </w:rPr>
        <w:t xml:space="preserve">Negalima vartoti dvigubos dozės norint kompensuoti praleistą dozę. </w:t>
      </w:r>
    </w:p>
    <w:p w:rsidR="007F0C0F" w:rsidRPr="00533C6E" w:rsidRDefault="007F0C0F" w:rsidP="007F0C0F">
      <w:pPr>
        <w:ind w:right="-2"/>
        <w:rPr>
          <w:szCs w:val="22"/>
          <w:lang w:val="lt-LT"/>
        </w:rPr>
      </w:pPr>
    </w:p>
    <w:p w:rsidR="007F0C0F" w:rsidRPr="00533C6E" w:rsidRDefault="007F0C0F" w:rsidP="007F0C0F">
      <w:pPr>
        <w:ind w:right="-2"/>
        <w:rPr>
          <w:b/>
          <w:bCs/>
          <w:szCs w:val="22"/>
          <w:lang w:val="lt-LT"/>
        </w:rPr>
      </w:pPr>
      <w:r w:rsidRPr="00533C6E">
        <w:rPr>
          <w:b/>
          <w:szCs w:val="22"/>
          <w:lang w:val="lt-LT"/>
        </w:rPr>
        <w:t>Nustojus vartoti AKUTUR</w:t>
      </w:r>
      <w:r w:rsidRPr="00533C6E">
        <w:rPr>
          <w:b/>
          <w:bCs/>
          <w:szCs w:val="22"/>
          <w:lang w:val="lt-LT"/>
        </w:rPr>
        <w:t xml:space="preserve"> </w:t>
      </w:r>
    </w:p>
    <w:p w:rsidR="007F0C0F" w:rsidRPr="00533C6E" w:rsidRDefault="007F0C0F" w:rsidP="007F0C0F">
      <w:pPr>
        <w:ind w:right="-29"/>
        <w:rPr>
          <w:szCs w:val="22"/>
          <w:lang w:val="lt-LT"/>
        </w:rPr>
      </w:pPr>
      <w:r w:rsidRPr="00533C6E">
        <w:rPr>
          <w:szCs w:val="22"/>
          <w:lang w:val="lt-LT"/>
        </w:rPr>
        <w:t>Jeigu kiltų daugiau klausimų dėl šio vaisto vartojimo, kreipkitės į gydytoją arba vaistininką.</w:t>
      </w:r>
    </w:p>
    <w:p w:rsidR="007F0C0F" w:rsidRPr="00533C6E" w:rsidRDefault="007F0C0F" w:rsidP="007F0C0F">
      <w:pPr>
        <w:rPr>
          <w:szCs w:val="22"/>
          <w:lang w:val="lt-LT"/>
        </w:rPr>
      </w:pPr>
    </w:p>
    <w:p w:rsidR="007F0C0F" w:rsidRPr="00533C6E" w:rsidRDefault="007F0C0F" w:rsidP="007F0C0F">
      <w:pPr>
        <w:rPr>
          <w:szCs w:val="22"/>
          <w:lang w:val="lt-LT"/>
        </w:rPr>
      </w:pPr>
    </w:p>
    <w:p w:rsidR="007F0C0F" w:rsidRPr="00E95CB8" w:rsidRDefault="007F0C0F" w:rsidP="007F0C0F">
      <w:pPr>
        <w:pStyle w:val="Heading3"/>
        <w:spacing w:before="0" w:after="0" w:line="240" w:lineRule="auto"/>
        <w:rPr>
          <w:rFonts w:ascii="Times New Roman" w:hAnsi="Times New Roman"/>
          <w:sz w:val="22"/>
          <w:szCs w:val="22"/>
          <w:lang w:val="lt-LT"/>
        </w:rPr>
      </w:pPr>
      <w:r w:rsidRPr="00E95CB8">
        <w:rPr>
          <w:rFonts w:ascii="Times New Roman" w:hAnsi="Times New Roman"/>
          <w:sz w:val="22"/>
          <w:szCs w:val="22"/>
          <w:lang w:val="lt-LT"/>
        </w:rPr>
        <w:t>4.</w:t>
      </w:r>
      <w:r w:rsidRPr="00E95CB8">
        <w:rPr>
          <w:rFonts w:ascii="Times New Roman" w:hAnsi="Times New Roman"/>
          <w:sz w:val="22"/>
          <w:szCs w:val="22"/>
          <w:lang w:val="lt-LT"/>
        </w:rPr>
        <w:tab/>
        <w:t>Galimas šalutinis poveikis</w:t>
      </w:r>
    </w:p>
    <w:p w:rsidR="007F0C0F" w:rsidRPr="00533C6E" w:rsidRDefault="007F0C0F" w:rsidP="007F0C0F">
      <w:pPr>
        <w:rPr>
          <w:szCs w:val="22"/>
          <w:lang w:val="lt-LT"/>
        </w:rPr>
      </w:pPr>
    </w:p>
    <w:p w:rsidR="007F0C0F" w:rsidRPr="00533C6E" w:rsidRDefault="007F0C0F" w:rsidP="007F0C0F">
      <w:pPr>
        <w:ind w:right="-29"/>
        <w:rPr>
          <w:szCs w:val="22"/>
          <w:lang w:val="lt-LT"/>
        </w:rPr>
      </w:pPr>
      <w:r w:rsidRPr="00533C6E">
        <w:rPr>
          <w:szCs w:val="22"/>
          <w:lang w:val="lt-LT"/>
        </w:rPr>
        <w:t>Šis vaistas, kaip ir visi kiti, gali sukelti šalutinį poveikį, nors jis pasireiškia ne visiems žmonėms.</w:t>
      </w:r>
    </w:p>
    <w:p w:rsidR="007F0C0F" w:rsidRPr="00533C6E" w:rsidRDefault="007F0C0F" w:rsidP="007F0C0F">
      <w:pPr>
        <w:rPr>
          <w:szCs w:val="22"/>
          <w:lang w:val="lt-LT"/>
        </w:rPr>
      </w:pPr>
    </w:p>
    <w:p w:rsidR="007F0C0F" w:rsidRPr="00533C6E" w:rsidRDefault="007F0C0F" w:rsidP="007F0C0F">
      <w:pPr>
        <w:rPr>
          <w:szCs w:val="22"/>
          <w:lang w:val="lt-LT"/>
        </w:rPr>
      </w:pPr>
      <w:r w:rsidRPr="00533C6E">
        <w:rPr>
          <w:szCs w:val="22"/>
          <w:lang w:val="lt-LT"/>
        </w:rPr>
        <w:t xml:space="preserve">Iki šiol nėra žinoma </w:t>
      </w:r>
      <w:r w:rsidRPr="00E95CB8">
        <w:rPr>
          <w:szCs w:val="22"/>
          <w:lang w:val="lt-LT"/>
        </w:rPr>
        <w:t>šalutinio poveikio</w:t>
      </w:r>
      <w:r w:rsidRPr="00533C6E">
        <w:rPr>
          <w:szCs w:val="22"/>
          <w:lang w:val="lt-LT"/>
        </w:rPr>
        <w:t xml:space="preserve"> atvejų.</w:t>
      </w:r>
    </w:p>
    <w:p w:rsidR="007F0C0F" w:rsidRPr="00533C6E" w:rsidRDefault="007F0C0F" w:rsidP="007F0C0F">
      <w:pPr>
        <w:ind w:right="-449"/>
        <w:rPr>
          <w:szCs w:val="22"/>
          <w:lang w:val="lt-LT"/>
        </w:rPr>
      </w:pPr>
    </w:p>
    <w:p w:rsidR="007F0C0F" w:rsidRPr="00533C6E" w:rsidRDefault="007F0C0F" w:rsidP="007F0C0F">
      <w:pPr>
        <w:rPr>
          <w:b/>
          <w:szCs w:val="22"/>
          <w:lang w:val="lt-LT"/>
        </w:rPr>
      </w:pPr>
      <w:r w:rsidRPr="00533C6E">
        <w:rPr>
          <w:b/>
          <w:szCs w:val="22"/>
          <w:lang w:val="lt-LT"/>
        </w:rPr>
        <w:t>Pranešimas apie šalutinį poveikį</w:t>
      </w:r>
    </w:p>
    <w:p w:rsidR="007F0C0F" w:rsidRPr="00533C6E" w:rsidRDefault="007F0C0F" w:rsidP="00596C8A">
      <w:pPr>
        <w:spacing w:line="240" w:lineRule="auto"/>
        <w:rPr>
          <w:szCs w:val="22"/>
          <w:lang w:val="lt-LT"/>
        </w:rPr>
      </w:pPr>
      <w:r w:rsidRPr="00533C6E">
        <w:rPr>
          <w:szCs w:val="22"/>
          <w:lang w:val="lt-LT"/>
        </w:rPr>
        <w:t xml:space="preserve">Jeigu pasireiškė šalutinis poveikis, įskaitant šiame lapelyje nenurodytą, pasakykite gydytojui arba vaistininkui. </w:t>
      </w:r>
      <w:r w:rsidR="00596C8A" w:rsidRPr="0036377A">
        <w:rPr>
          <w:lang w:val="lt-LT"/>
        </w:rPr>
        <w:t>Apie šalutinį poveikį taip pat galite pranešti Valstybinei vaistų kontrolės tarnybai prie Lietuvos Respublikos sveikatos apsaugos ministerijos nemokamu t</w:t>
      </w:r>
      <w:r w:rsidR="00596C8A" w:rsidRPr="0036377A">
        <w:rPr>
          <w:lang w:val="lt-LT" w:eastAsia="zh-CN"/>
        </w:rPr>
        <w:t>elefonu 8 800 73568</w:t>
      </w:r>
      <w:r w:rsidR="00596C8A" w:rsidRPr="0036377A">
        <w:rPr>
          <w:lang w:val="lt-LT"/>
        </w:rPr>
        <w:t xml:space="preserve"> arba užpildyti interneto svetainėje </w:t>
      </w:r>
      <w:hyperlink r:id="rId7" w:history="1">
        <w:r w:rsidR="00596C8A" w:rsidRPr="0036377A">
          <w:rPr>
            <w:rStyle w:val="Hyperlink"/>
            <w:rFonts w:eastAsia="SimSun"/>
            <w:lang w:val="lt-LT"/>
          </w:rPr>
          <w:t>www.vvkt.lt</w:t>
        </w:r>
      </w:hyperlink>
      <w:r w:rsidR="00596C8A" w:rsidRPr="0036377A">
        <w:rPr>
          <w:lang w:val="lt-LT"/>
        </w:rPr>
        <w:t xml:space="preserve"> esančią formą ir pateikti ją Valstybinei vaistų kontrolės tarnybai prie Lietuvos Respublikos sveikatos apsaugos ministerijos vienu iš šių būdų: raštu (adresu Žirmūnų g. 139A, LT-09120 Vilnius), </w:t>
      </w:r>
      <w:r w:rsidR="00596C8A" w:rsidRPr="0036377A">
        <w:rPr>
          <w:lang w:val="lt-LT" w:eastAsia="zh-CN"/>
        </w:rPr>
        <w:t xml:space="preserve">nemokamu </w:t>
      </w:r>
      <w:r w:rsidR="00596C8A" w:rsidRPr="0036377A">
        <w:rPr>
          <w:lang w:val="lt-LT"/>
        </w:rPr>
        <w:t>fakso numeriu 8 800 20131</w:t>
      </w:r>
      <w:r w:rsidR="00596C8A" w:rsidRPr="0036377A">
        <w:rPr>
          <w:lang w:val="lt-LT" w:eastAsia="zh-CN"/>
        </w:rPr>
        <w:t xml:space="preserve">, </w:t>
      </w:r>
      <w:r w:rsidR="00596C8A" w:rsidRPr="0036377A">
        <w:rPr>
          <w:lang w:val="lt-LT"/>
        </w:rPr>
        <w:t xml:space="preserve">el. paštu </w:t>
      </w:r>
      <w:hyperlink r:id="rId8" w:history="1">
        <w:r w:rsidR="00596C8A" w:rsidRPr="0036377A">
          <w:rPr>
            <w:rStyle w:val="Hyperlink"/>
            <w:rFonts w:eastAsia="SimSun"/>
            <w:lang w:val="lt-LT"/>
          </w:rPr>
          <w:t>NepageidaujamaR@vvkt.lt</w:t>
        </w:r>
      </w:hyperlink>
      <w:r w:rsidR="00596C8A" w:rsidRPr="0036377A">
        <w:rPr>
          <w:lang w:val="lt-LT"/>
        </w:rPr>
        <w:t xml:space="preserve">, taip pat per Valstybinės vaistų kontrolės tarnybos prie Lietuvos Respublikos sveikatos apsaugos ministerijos interneto svetainę (adresu </w:t>
      </w:r>
      <w:hyperlink r:id="rId9" w:history="1">
        <w:r w:rsidR="00596C8A" w:rsidRPr="0036377A">
          <w:rPr>
            <w:rStyle w:val="Hyperlink"/>
            <w:rFonts w:eastAsia="SimSun"/>
            <w:lang w:val="lt-LT"/>
          </w:rPr>
          <w:t>http://www.vvkt.lt</w:t>
        </w:r>
      </w:hyperlink>
      <w:r w:rsidR="00596C8A" w:rsidRPr="0036377A">
        <w:rPr>
          <w:lang w:val="lt-LT"/>
        </w:rPr>
        <w:t>). Pranešdami apie šalutinį poveikį galite mums padėti gauti daugiau informacijos apie šio vaisto saugumą.</w:t>
      </w:r>
    </w:p>
    <w:p w:rsidR="007F0C0F" w:rsidRPr="00533C6E" w:rsidRDefault="007F0C0F" w:rsidP="007F0C0F">
      <w:pPr>
        <w:ind w:right="-449"/>
        <w:rPr>
          <w:szCs w:val="22"/>
          <w:lang w:val="lt-LT"/>
        </w:rPr>
      </w:pPr>
    </w:p>
    <w:p w:rsidR="007F0C0F" w:rsidRPr="00E95CB8" w:rsidRDefault="007F0C0F" w:rsidP="007F0C0F">
      <w:pPr>
        <w:pStyle w:val="Heading3"/>
        <w:spacing w:before="0" w:after="0" w:line="240" w:lineRule="auto"/>
        <w:rPr>
          <w:rFonts w:ascii="Times New Roman" w:hAnsi="Times New Roman"/>
          <w:sz w:val="22"/>
          <w:szCs w:val="22"/>
          <w:lang w:val="lt-LT"/>
        </w:rPr>
      </w:pPr>
      <w:r w:rsidRPr="00E95CB8">
        <w:rPr>
          <w:rFonts w:ascii="Times New Roman" w:hAnsi="Times New Roman"/>
          <w:sz w:val="22"/>
          <w:szCs w:val="22"/>
          <w:lang w:val="lt-LT"/>
        </w:rPr>
        <w:t>5.</w:t>
      </w:r>
      <w:r w:rsidRPr="00E95CB8">
        <w:rPr>
          <w:rFonts w:ascii="Times New Roman" w:hAnsi="Times New Roman"/>
          <w:sz w:val="22"/>
          <w:szCs w:val="22"/>
          <w:lang w:val="lt-LT"/>
        </w:rPr>
        <w:tab/>
        <w:t xml:space="preserve">Kaip laikyti AKUTUR </w:t>
      </w:r>
    </w:p>
    <w:p w:rsidR="007F0C0F" w:rsidRPr="00533C6E" w:rsidRDefault="007F0C0F" w:rsidP="007F0C0F">
      <w:pPr>
        <w:ind w:right="-2"/>
        <w:rPr>
          <w:szCs w:val="22"/>
          <w:lang w:val="lt-LT"/>
        </w:rPr>
      </w:pPr>
    </w:p>
    <w:p w:rsidR="007F0C0F" w:rsidRPr="00533C6E" w:rsidRDefault="007F0C0F" w:rsidP="007F0C0F">
      <w:pPr>
        <w:ind w:right="-2"/>
        <w:rPr>
          <w:szCs w:val="22"/>
          <w:lang w:val="lt-LT"/>
        </w:rPr>
      </w:pPr>
      <w:r w:rsidRPr="00533C6E">
        <w:rPr>
          <w:szCs w:val="22"/>
          <w:lang w:val="lt-LT"/>
        </w:rPr>
        <w:t>Šį vaistą laikykite vaikams nepastebimoje ir nepasiekiamoje vietoje.</w:t>
      </w:r>
    </w:p>
    <w:p w:rsidR="007F0C0F" w:rsidRPr="00533C6E" w:rsidRDefault="007F0C0F" w:rsidP="007F0C0F">
      <w:pPr>
        <w:ind w:right="-2"/>
        <w:rPr>
          <w:lang w:val="lt-LT"/>
        </w:rPr>
      </w:pPr>
    </w:p>
    <w:p w:rsidR="007F0C0F" w:rsidRPr="00533C6E" w:rsidRDefault="007F0C0F" w:rsidP="007F0C0F">
      <w:pPr>
        <w:ind w:right="-2"/>
        <w:rPr>
          <w:szCs w:val="22"/>
          <w:lang w:val="lt-LT"/>
        </w:rPr>
      </w:pPr>
      <w:r w:rsidRPr="00533C6E">
        <w:rPr>
          <w:szCs w:val="22"/>
          <w:lang w:val="lt-LT"/>
        </w:rPr>
        <w:t>Ant etiketės ir dėžutės po “Tinka iki” nurodytam tinkamumo laikui pasibaigus, šio vaisto vartoti negalima. Vaistas tinkamas vartoti iki paskutinės nurodyto mėnesio dienos.</w:t>
      </w:r>
    </w:p>
    <w:p w:rsidR="00B75A92" w:rsidRPr="00E95CB8" w:rsidRDefault="00B75A92" w:rsidP="00B75A92">
      <w:pPr>
        <w:ind w:right="-2"/>
        <w:rPr>
          <w:szCs w:val="22"/>
          <w:lang w:val="lt-LT"/>
        </w:rPr>
      </w:pPr>
      <w:r w:rsidRPr="00533C6E">
        <w:rPr>
          <w:szCs w:val="22"/>
          <w:lang w:val="lt-LT"/>
        </w:rPr>
        <w:t xml:space="preserve">Laikyti ne aukštesnėje kaip 25 </w:t>
      </w:r>
      <w:r w:rsidRPr="00533C6E">
        <w:rPr>
          <w:rFonts w:ascii="Symbol" w:hAnsi="Symbol"/>
          <w:szCs w:val="22"/>
          <w:lang w:val="lt-LT"/>
        </w:rPr>
        <w:t></w:t>
      </w:r>
      <w:r w:rsidRPr="00533C6E">
        <w:rPr>
          <w:szCs w:val="22"/>
          <w:lang w:val="lt-LT"/>
        </w:rPr>
        <w:t xml:space="preserve">C temperatūroje. </w:t>
      </w:r>
      <w:r w:rsidRPr="00E95CB8">
        <w:rPr>
          <w:szCs w:val="22"/>
          <w:lang w:val="lt-LT"/>
        </w:rPr>
        <w:t>Buteliuką laikyti sandarų</w:t>
      </w:r>
    </w:p>
    <w:p w:rsidR="00B75A92" w:rsidRDefault="00B75A92" w:rsidP="007F0C0F">
      <w:pPr>
        <w:ind w:right="-2"/>
        <w:rPr>
          <w:szCs w:val="24"/>
          <w:lang w:val="lt-LT"/>
        </w:rPr>
      </w:pPr>
    </w:p>
    <w:p w:rsidR="007F0C0F" w:rsidRDefault="007F0C0F" w:rsidP="007F0C0F">
      <w:pPr>
        <w:ind w:right="-2"/>
        <w:rPr>
          <w:szCs w:val="24"/>
          <w:lang w:val="lt-LT"/>
        </w:rPr>
      </w:pPr>
      <w:r w:rsidRPr="00570193">
        <w:rPr>
          <w:szCs w:val="24"/>
          <w:lang w:val="lt-LT"/>
        </w:rPr>
        <w:t xml:space="preserve">Pirmą kartą atidarius buteliuką, </w:t>
      </w:r>
      <w:r w:rsidR="00B75A92">
        <w:rPr>
          <w:szCs w:val="24"/>
          <w:lang w:val="lt-LT"/>
        </w:rPr>
        <w:t>vaisto</w:t>
      </w:r>
      <w:r w:rsidRPr="00570193">
        <w:rPr>
          <w:szCs w:val="24"/>
          <w:lang w:val="lt-LT"/>
        </w:rPr>
        <w:t xml:space="preserve"> tinkamumo laikas – 12 mėnesių</w:t>
      </w:r>
      <w:r>
        <w:rPr>
          <w:szCs w:val="24"/>
          <w:lang w:val="lt-LT"/>
        </w:rPr>
        <w:t>.</w:t>
      </w:r>
    </w:p>
    <w:p w:rsidR="007F0C0F" w:rsidRPr="00533C6E" w:rsidRDefault="007F0C0F" w:rsidP="007F0C0F">
      <w:pPr>
        <w:ind w:right="-2"/>
        <w:rPr>
          <w:szCs w:val="22"/>
          <w:lang w:val="lt-LT"/>
        </w:rPr>
      </w:pPr>
    </w:p>
    <w:p w:rsidR="007F0C0F" w:rsidRPr="00533C6E" w:rsidRDefault="007F0C0F" w:rsidP="007F0C0F">
      <w:pPr>
        <w:ind w:right="-2"/>
        <w:rPr>
          <w:szCs w:val="22"/>
          <w:lang w:val="lt-LT"/>
        </w:rPr>
      </w:pPr>
      <w:r w:rsidRPr="00533C6E">
        <w:rPr>
          <w:szCs w:val="22"/>
          <w:lang w:val="lt-LT"/>
        </w:rPr>
        <w:t>Vaistų negalima išmesti į kanalizaciją arba su buitinėmis atliekomis. Kaip išmesti nereikalingus vaistus, klauskite vaistininko. Šios priemonės padės apsaugoti aplinką.</w:t>
      </w:r>
    </w:p>
    <w:p w:rsidR="007F0C0F" w:rsidRPr="00533C6E" w:rsidRDefault="007F0C0F" w:rsidP="007F0C0F">
      <w:pPr>
        <w:ind w:right="-2"/>
        <w:rPr>
          <w:lang w:val="lt-LT"/>
        </w:rPr>
      </w:pPr>
    </w:p>
    <w:p w:rsidR="007F0C0F" w:rsidRPr="00533C6E" w:rsidRDefault="007F0C0F" w:rsidP="007F0C0F">
      <w:pPr>
        <w:ind w:right="-2"/>
        <w:rPr>
          <w:szCs w:val="22"/>
          <w:lang w:val="lt-LT"/>
        </w:rPr>
      </w:pPr>
    </w:p>
    <w:p w:rsidR="007F0C0F" w:rsidRPr="00E95CB8" w:rsidRDefault="007F0C0F" w:rsidP="007F0C0F">
      <w:pPr>
        <w:pStyle w:val="Heading3"/>
        <w:spacing w:before="0" w:after="0" w:line="240" w:lineRule="auto"/>
        <w:rPr>
          <w:rFonts w:ascii="Times New Roman" w:hAnsi="Times New Roman"/>
          <w:sz w:val="22"/>
          <w:szCs w:val="22"/>
          <w:lang w:val="lt-LT"/>
        </w:rPr>
      </w:pPr>
      <w:r w:rsidRPr="00E95CB8">
        <w:rPr>
          <w:rFonts w:ascii="Times New Roman" w:hAnsi="Times New Roman"/>
          <w:sz w:val="22"/>
          <w:szCs w:val="22"/>
          <w:lang w:val="lt-LT"/>
        </w:rPr>
        <w:t>6.</w:t>
      </w:r>
      <w:r w:rsidRPr="00E95CB8">
        <w:rPr>
          <w:rFonts w:ascii="Times New Roman" w:hAnsi="Times New Roman"/>
          <w:b w:val="0"/>
          <w:sz w:val="22"/>
          <w:szCs w:val="22"/>
          <w:lang w:val="lt-LT"/>
        </w:rPr>
        <w:tab/>
      </w:r>
      <w:r w:rsidRPr="00E95CB8">
        <w:rPr>
          <w:rFonts w:ascii="Times New Roman" w:hAnsi="Times New Roman"/>
          <w:sz w:val="22"/>
          <w:szCs w:val="22"/>
          <w:lang w:val="lt-LT"/>
        </w:rPr>
        <w:t>Pakuotės turinys ir kita informacija</w:t>
      </w:r>
    </w:p>
    <w:p w:rsidR="007F0C0F" w:rsidRPr="00533C6E" w:rsidRDefault="007F0C0F" w:rsidP="007F0C0F">
      <w:pPr>
        <w:rPr>
          <w:szCs w:val="22"/>
          <w:lang w:val="lt-LT"/>
        </w:rPr>
      </w:pPr>
    </w:p>
    <w:p w:rsidR="007F0C0F" w:rsidRPr="00533C6E" w:rsidRDefault="007F0C0F" w:rsidP="007F0C0F">
      <w:pPr>
        <w:pStyle w:val="Heading4"/>
        <w:rPr>
          <w:rFonts w:ascii="Times New Roman" w:hAnsi="Times New Roman"/>
          <w:sz w:val="22"/>
          <w:szCs w:val="22"/>
          <w:lang w:val="lt-LT"/>
        </w:rPr>
      </w:pPr>
      <w:r w:rsidRPr="00533C6E">
        <w:rPr>
          <w:rFonts w:ascii="Times New Roman" w:hAnsi="Times New Roman"/>
          <w:sz w:val="22"/>
          <w:szCs w:val="22"/>
          <w:lang w:val="lt-LT"/>
        </w:rPr>
        <w:t xml:space="preserve">AKUTUR sudėtis </w:t>
      </w:r>
    </w:p>
    <w:p w:rsidR="007F0C0F" w:rsidRPr="00533C6E" w:rsidRDefault="007F0C0F" w:rsidP="007F0C0F">
      <w:pPr>
        <w:rPr>
          <w:szCs w:val="22"/>
          <w:lang w:val="lt-LT"/>
        </w:rPr>
      </w:pPr>
      <w:r w:rsidRPr="00533C6E">
        <w:rPr>
          <w:szCs w:val="22"/>
          <w:lang w:val="lt-LT"/>
        </w:rPr>
        <w:t xml:space="preserve">1 g (= 1,06 ml = 53 </w:t>
      </w:r>
      <w:r w:rsidR="00B75A92">
        <w:rPr>
          <w:szCs w:val="22"/>
          <w:lang w:val="lt-LT"/>
        </w:rPr>
        <w:t xml:space="preserve">geriamieji </w:t>
      </w:r>
      <w:r w:rsidRPr="00533C6E">
        <w:rPr>
          <w:szCs w:val="22"/>
          <w:lang w:val="lt-LT"/>
        </w:rPr>
        <w:t>lašai) yra:</w:t>
      </w:r>
    </w:p>
    <w:p w:rsidR="007F0C0F" w:rsidRPr="00533C6E" w:rsidRDefault="007F0C0F" w:rsidP="007F0C0F">
      <w:pPr>
        <w:rPr>
          <w:szCs w:val="22"/>
          <w:lang w:val="lt-LT"/>
        </w:rPr>
      </w:pPr>
    </w:p>
    <w:p w:rsidR="007F0C0F" w:rsidRPr="00533C6E" w:rsidRDefault="007F0C0F" w:rsidP="007F0C0F">
      <w:pPr>
        <w:numPr>
          <w:ilvl w:val="0"/>
          <w:numId w:val="3"/>
        </w:numPr>
        <w:ind w:left="567" w:right="-2" w:hanging="567"/>
        <w:rPr>
          <w:szCs w:val="22"/>
          <w:lang w:val="lt-LT"/>
        </w:rPr>
      </w:pPr>
      <w:r w:rsidRPr="00533C6E">
        <w:rPr>
          <w:szCs w:val="22"/>
          <w:lang w:val="lt-LT"/>
        </w:rPr>
        <w:t>Veikliosios medžiagos:</w:t>
      </w:r>
    </w:p>
    <w:p w:rsidR="007F0C0F" w:rsidRPr="00533C6E" w:rsidRDefault="007F0C0F" w:rsidP="007F0C0F">
      <w:pPr>
        <w:ind w:right="-2"/>
        <w:rPr>
          <w:szCs w:val="22"/>
          <w:lang w:val="lt-LT"/>
        </w:rPr>
      </w:pPr>
    </w:p>
    <w:tbl>
      <w:tblPr>
        <w:tblW w:w="0" w:type="auto"/>
        <w:tblInd w:w="-77" w:type="dxa"/>
        <w:tblLayout w:type="fixed"/>
        <w:tblLook w:val="0000" w:firstRow="0" w:lastRow="0" w:firstColumn="0" w:lastColumn="0" w:noHBand="0" w:noVBand="0"/>
      </w:tblPr>
      <w:tblGrid>
        <w:gridCol w:w="4431"/>
        <w:gridCol w:w="1206"/>
        <w:gridCol w:w="1147"/>
      </w:tblGrid>
      <w:tr w:rsidR="007F0C0F" w:rsidRPr="00533C6E" w:rsidTr="00A12106">
        <w:tc>
          <w:tcPr>
            <w:tcW w:w="4431"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i/>
                <w:szCs w:val="22"/>
                <w:lang w:val="lt-LT"/>
              </w:rPr>
            </w:pPr>
            <w:r w:rsidRPr="00533C6E">
              <w:rPr>
                <w:i/>
                <w:szCs w:val="22"/>
                <w:lang w:val="lt-LT"/>
              </w:rPr>
              <w:t>Acidum benzoicum e resina</w:t>
            </w:r>
          </w:p>
        </w:tc>
        <w:tc>
          <w:tcPr>
            <w:tcW w:w="1206"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D4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0,125 g</w:t>
            </w:r>
          </w:p>
        </w:tc>
      </w:tr>
      <w:tr w:rsidR="007F0C0F" w:rsidRPr="00533C6E" w:rsidTr="00A12106">
        <w:tc>
          <w:tcPr>
            <w:tcW w:w="4431"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i/>
                <w:szCs w:val="22"/>
                <w:lang w:val="lt-LT"/>
              </w:rPr>
            </w:pPr>
            <w:r w:rsidRPr="00533C6E">
              <w:rPr>
                <w:i/>
                <w:szCs w:val="22"/>
                <w:lang w:val="lt-LT"/>
              </w:rPr>
              <w:t>Acidum nitricum</w:t>
            </w:r>
          </w:p>
        </w:tc>
        <w:tc>
          <w:tcPr>
            <w:tcW w:w="1206"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D4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0,125 g</w:t>
            </w:r>
          </w:p>
        </w:tc>
      </w:tr>
      <w:tr w:rsidR="007F0C0F" w:rsidRPr="00533C6E" w:rsidTr="00A12106">
        <w:tc>
          <w:tcPr>
            <w:tcW w:w="4431"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i/>
                <w:szCs w:val="22"/>
                <w:lang w:val="lt-LT"/>
              </w:rPr>
            </w:pPr>
            <w:r w:rsidRPr="00533C6E">
              <w:rPr>
                <w:i/>
                <w:szCs w:val="22"/>
                <w:lang w:val="lt-LT"/>
              </w:rPr>
              <w:t>Apis mellifica</w:t>
            </w:r>
          </w:p>
        </w:tc>
        <w:tc>
          <w:tcPr>
            <w:tcW w:w="1206"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D3</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0,100 g</w:t>
            </w:r>
          </w:p>
        </w:tc>
      </w:tr>
      <w:tr w:rsidR="007F0C0F" w:rsidRPr="00533C6E" w:rsidTr="00A12106">
        <w:tc>
          <w:tcPr>
            <w:tcW w:w="4431"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i/>
                <w:szCs w:val="22"/>
                <w:lang w:val="lt-LT"/>
              </w:rPr>
            </w:pPr>
            <w:r w:rsidRPr="00533C6E">
              <w:rPr>
                <w:i/>
                <w:szCs w:val="22"/>
                <w:lang w:val="lt-LT"/>
              </w:rPr>
              <w:t xml:space="preserve">Lytta vesicatoria </w:t>
            </w:r>
          </w:p>
        </w:tc>
        <w:tc>
          <w:tcPr>
            <w:tcW w:w="1206"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D4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0,115 g</w:t>
            </w:r>
          </w:p>
        </w:tc>
      </w:tr>
      <w:tr w:rsidR="007F0C0F" w:rsidRPr="00533C6E" w:rsidTr="00A12106">
        <w:tc>
          <w:tcPr>
            <w:tcW w:w="4431"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i/>
                <w:szCs w:val="22"/>
                <w:lang w:val="lt-LT"/>
              </w:rPr>
            </w:pPr>
            <w:r w:rsidRPr="00533C6E">
              <w:rPr>
                <w:i/>
                <w:szCs w:val="22"/>
                <w:lang w:val="lt-LT"/>
              </w:rPr>
              <w:t xml:space="preserve">Populus tremuloides </w:t>
            </w:r>
          </w:p>
        </w:tc>
        <w:tc>
          <w:tcPr>
            <w:tcW w:w="1206"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D2</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0,130 g</w:t>
            </w:r>
          </w:p>
        </w:tc>
      </w:tr>
      <w:tr w:rsidR="007F0C0F" w:rsidRPr="00533C6E" w:rsidTr="00A12106">
        <w:tc>
          <w:tcPr>
            <w:tcW w:w="4431"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i/>
                <w:szCs w:val="22"/>
                <w:lang w:val="lt-LT"/>
              </w:rPr>
            </w:pPr>
            <w:r w:rsidRPr="00533C6E">
              <w:rPr>
                <w:i/>
                <w:szCs w:val="22"/>
                <w:lang w:val="lt-LT"/>
              </w:rPr>
              <w:t xml:space="preserve">Pulsatilla pratensis </w:t>
            </w:r>
          </w:p>
        </w:tc>
        <w:tc>
          <w:tcPr>
            <w:tcW w:w="1206"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D4</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0,120 g</w:t>
            </w:r>
          </w:p>
        </w:tc>
      </w:tr>
      <w:tr w:rsidR="007F0C0F" w:rsidRPr="00533C6E" w:rsidTr="00A12106">
        <w:tc>
          <w:tcPr>
            <w:tcW w:w="4431"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i/>
                <w:szCs w:val="22"/>
                <w:lang w:val="lt-LT"/>
              </w:rPr>
            </w:pPr>
            <w:r w:rsidRPr="00533C6E">
              <w:rPr>
                <w:i/>
                <w:szCs w:val="22"/>
                <w:lang w:val="lt-LT"/>
              </w:rPr>
              <w:t>Zingiber officinale</w:t>
            </w:r>
          </w:p>
        </w:tc>
        <w:tc>
          <w:tcPr>
            <w:tcW w:w="1206"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D3</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0,130 g</w:t>
            </w:r>
          </w:p>
        </w:tc>
      </w:tr>
      <w:tr w:rsidR="007F0C0F" w:rsidRPr="00533C6E" w:rsidTr="00A12106">
        <w:tc>
          <w:tcPr>
            <w:tcW w:w="4431"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i/>
                <w:szCs w:val="22"/>
                <w:lang w:val="lt-LT"/>
              </w:rPr>
            </w:pPr>
            <w:r w:rsidRPr="00533C6E">
              <w:rPr>
                <w:i/>
                <w:szCs w:val="22"/>
                <w:lang w:val="lt-LT"/>
              </w:rPr>
              <w:t>Solidago virgaurea</w:t>
            </w:r>
          </w:p>
        </w:tc>
        <w:tc>
          <w:tcPr>
            <w:tcW w:w="1206" w:type="dxa"/>
            <w:tcBorders>
              <w:top w:val="single" w:sz="4" w:space="0" w:color="000000"/>
              <w:left w:val="single" w:sz="4" w:space="0" w:color="000000"/>
              <w:bottom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Ø</w:t>
            </w:r>
          </w:p>
        </w:tc>
        <w:tc>
          <w:tcPr>
            <w:tcW w:w="1147" w:type="dxa"/>
            <w:tcBorders>
              <w:top w:val="single" w:sz="4" w:space="0" w:color="000000"/>
              <w:left w:val="single" w:sz="4" w:space="0" w:color="000000"/>
              <w:bottom w:val="single" w:sz="4" w:space="0" w:color="000000"/>
              <w:right w:val="single" w:sz="4" w:space="0" w:color="000000"/>
            </w:tcBorders>
            <w:shd w:val="clear" w:color="auto" w:fill="auto"/>
          </w:tcPr>
          <w:p w:rsidR="007F0C0F" w:rsidRPr="00533C6E" w:rsidRDefault="007F0C0F" w:rsidP="00E26EE7">
            <w:pPr>
              <w:snapToGrid w:val="0"/>
              <w:ind w:right="-2"/>
              <w:rPr>
                <w:szCs w:val="22"/>
                <w:lang w:val="lt-LT"/>
              </w:rPr>
            </w:pPr>
            <w:r w:rsidRPr="00533C6E">
              <w:rPr>
                <w:szCs w:val="22"/>
                <w:lang w:val="lt-LT"/>
              </w:rPr>
              <w:t>0,155 g</w:t>
            </w:r>
          </w:p>
        </w:tc>
      </w:tr>
    </w:tbl>
    <w:p w:rsidR="007F0C0F" w:rsidRPr="00533C6E" w:rsidRDefault="007F0C0F" w:rsidP="007F0C0F">
      <w:pPr>
        <w:ind w:right="-2"/>
        <w:rPr>
          <w:lang w:val="lt-LT"/>
        </w:rPr>
      </w:pPr>
    </w:p>
    <w:p w:rsidR="007F0C0F" w:rsidRPr="00533C6E" w:rsidRDefault="007F0C0F" w:rsidP="007F0C0F">
      <w:pPr>
        <w:numPr>
          <w:ilvl w:val="0"/>
          <w:numId w:val="3"/>
        </w:numPr>
        <w:ind w:left="567" w:right="-2" w:hanging="567"/>
        <w:rPr>
          <w:szCs w:val="22"/>
          <w:lang w:val="lt-LT"/>
        </w:rPr>
      </w:pPr>
      <w:r w:rsidRPr="00533C6E">
        <w:rPr>
          <w:szCs w:val="22"/>
          <w:lang w:val="lt-LT"/>
        </w:rPr>
        <w:t xml:space="preserve">Pagalbinės medžiagos yra etanolis </w:t>
      </w:r>
      <w:r w:rsidRPr="00E95CB8">
        <w:rPr>
          <w:szCs w:val="22"/>
          <w:lang w:val="lt-LT"/>
        </w:rPr>
        <w:t xml:space="preserve">(96 </w:t>
      </w:r>
      <w:r w:rsidRPr="00533C6E">
        <w:rPr>
          <w:szCs w:val="22"/>
          <w:lang w:val="lt-LT"/>
        </w:rPr>
        <w:t xml:space="preserve">%), </w:t>
      </w:r>
      <w:r w:rsidRPr="00E95CB8">
        <w:rPr>
          <w:szCs w:val="22"/>
          <w:lang w:val="lt-LT"/>
        </w:rPr>
        <w:t>išgrynintas vanduo</w:t>
      </w:r>
      <w:r w:rsidRPr="00533C6E">
        <w:rPr>
          <w:szCs w:val="22"/>
          <w:lang w:val="lt-LT"/>
        </w:rPr>
        <w:t>.</w:t>
      </w:r>
    </w:p>
    <w:p w:rsidR="007F0C0F" w:rsidRPr="00533C6E" w:rsidRDefault="007F0C0F" w:rsidP="007F0C0F">
      <w:pPr>
        <w:ind w:right="-2"/>
        <w:rPr>
          <w:szCs w:val="22"/>
          <w:lang w:val="lt-LT"/>
        </w:rPr>
      </w:pPr>
    </w:p>
    <w:p w:rsidR="007F0C0F" w:rsidRPr="00533C6E" w:rsidRDefault="007F0C0F" w:rsidP="007F0C0F">
      <w:pPr>
        <w:pStyle w:val="Heading4"/>
        <w:rPr>
          <w:rFonts w:ascii="Times New Roman" w:hAnsi="Times New Roman"/>
          <w:sz w:val="22"/>
          <w:szCs w:val="22"/>
          <w:lang w:val="lt-LT"/>
        </w:rPr>
      </w:pPr>
      <w:r w:rsidRPr="00533C6E">
        <w:rPr>
          <w:rFonts w:ascii="Times New Roman" w:hAnsi="Times New Roman"/>
          <w:sz w:val="22"/>
          <w:szCs w:val="22"/>
          <w:lang w:val="lt-LT"/>
        </w:rPr>
        <w:t>AKUTUR išvaizda ir kiekis pakuotėje</w:t>
      </w:r>
    </w:p>
    <w:p w:rsidR="007F0C0F" w:rsidRPr="00E95CB8" w:rsidRDefault="007F0C0F" w:rsidP="007F0C0F">
      <w:pPr>
        <w:rPr>
          <w:szCs w:val="22"/>
          <w:lang w:val="lt-LT"/>
        </w:rPr>
      </w:pPr>
      <w:r w:rsidRPr="00E95CB8">
        <w:rPr>
          <w:szCs w:val="22"/>
          <w:lang w:val="lt-LT"/>
        </w:rPr>
        <w:t>AKUTUR citrinų spalvos skaidrus</w:t>
      </w:r>
      <w:r w:rsidR="0028440D">
        <w:rPr>
          <w:szCs w:val="22"/>
          <w:lang w:val="lt-LT"/>
        </w:rPr>
        <w:t>,</w:t>
      </w:r>
      <w:r w:rsidR="0028440D" w:rsidRPr="0028440D">
        <w:rPr>
          <w:szCs w:val="24"/>
          <w:lang w:val="lt-LT"/>
        </w:rPr>
        <w:t xml:space="preserve"> </w:t>
      </w:r>
      <w:r w:rsidR="0028440D" w:rsidRPr="00533C6E">
        <w:rPr>
          <w:szCs w:val="24"/>
          <w:lang w:val="lt-LT"/>
        </w:rPr>
        <w:t>aitraus kvapo</w:t>
      </w:r>
      <w:r w:rsidR="0028440D">
        <w:rPr>
          <w:szCs w:val="24"/>
          <w:lang w:val="lt-LT"/>
        </w:rPr>
        <w:t xml:space="preserve"> t</w:t>
      </w:r>
      <w:r w:rsidR="0028440D" w:rsidRPr="00E95CB8">
        <w:rPr>
          <w:szCs w:val="22"/>
          <w:lang w:val="lt-LT"/>
        </w:rPr>
        <w:t>irpalas</w:t>
      </w:r>
      <w:r w:rsidR="0028440D">
        <w:rPr>
          <w:szCs w:val="22"/>
          <w:lang w:val="lt-LT"/>
        </w:rPr>
        <w:t>.</w:t>
      </w:r>
    </w:p>
    <w:p w:rsidR="007F0C0F" w:rsidRPr="00E95CB8" w:rsidRDefault="007F0C0F" w:rsidP="007F0C0F">
      <w:pPr>
        <w:ind w:right="-2"/>
        <w:rPr>
          <w:szCs w:val="22"/>
          <w:lang w:val="lt-LT"/>
        </w:rPr>
      </w:pPr>
      <w:r w:rsidRPr="00E95CB8">
        <w:rPr>
          <w:szCs w:val="22"/>
          <w:lang w:val="lt-LT"/>
        </w:rPr>
        <w:lastRenderedPageBreak/>
        <w:t>Kartono dėžutėje yra rudo stiklo buteliukas, kuriame yra 30 ml, 50 ml arba 100 ml</w:t>
      </w:r>
      <w:r w:rsidR="007B78DF">
        <w:rPr>
          <w:szCs w:val="22"/>
          <w:lang w:val="lt-LT"/>
        </w:rPr>
        <w:t xml:space="preserve"> geriamųjų lašų</w:t>
      </w:r>
      <w:r w:rsidRPr="00E95CB8">
        <w:rPr>
          <w:szCs w:val="22"/>
          <w:lang w:val="lt-LT"/>
        </w:rPr>
        <w:t>. Buteliukas su užsukamu baltu kombinuotu dangteliu ir skaidriu lašintuvu.</w:t>
      </w:r>
    </w:p>
    <w:p w:rsidR="007F0C0F" w:rsidRDefault="007F0C0F" w:rsidP="007F0C0F">
      <w:pPr>
        <w:ind w:right="-2"/>
        <w:rPr>
          <w:szCs w:val="22"/>
          <w:lang w:val="lt-LT"/>
        </w:rPr>
      </w:pPr>
      <w:r>
        <w:rPr>
          <w:szCs w:val="22"/>
          <w:lang w:val="lt-LT"/>
        </w:rPr>
        <w:t>Gali būti tiekiamos ne visų dydžių pakuotės.</w:t>
      </w:r>
    </w:p>
    <w:p w:rsidR="007F0C0F" w:rsidRPr="00533C6E" w:rsidRDefault="007F0C0F" w:rsidP="007F0C0F">
      <w:pPr>
        <w:ind w:right="-2"/>
        <w:rPr>
          <w:szCs w:val="22"/>
          <w:lang w:val="lt-LT"/>
        </w:rPr>
      </w:pPr>
    </w:p>
    <w:p w:rsidR="007F0C0F" w:rsidRPr="00533C6E" w:rsidRDefault="007F0C0F" w:rsidP="007F0C0F">
      <w:pPr>
        <w:pStyle w:val="Heading4"/>
        <w:rPr>
          <w:rFonts w:ascii="Times New Roman" w:hAnsi="Times New Roman"/>
          <w:sz w:val="22"/>
          <w:szCs w:val="22"/>
          <w:lang w:val="lt-LT"/>
        </w:rPr>
      </w:pPr>
      <w:r w:rsidRPr="00533C6E">
        <w:rPr>
          <w:rFonts w:ascii="Times New Roman" w:hAnsi="Times New Roman"/>
          <w:sz w:val="22"/>
          <w:szCs w:val="22"/>
          <w:lang w:val="lt-LT"/>
        </w:rPr>
        <w:t>R</w:t>
      </w:r>
      <w:r w:rsidR="007B78DF">
        <w:rPr>
          <w:rFonts w:ascii="Times New Roman" w:hAnsi="Times New Roman"/>
          <w:sz w:val="22"/>
          <w:szCs w:val="22"/>
          <w:lang w:val="lt-LT"/>
        </w:rPr>
        <w:t>egistruotojas</w:t>
      </w:r>
      <w:r w:rsidRPr="00533C6E">
        <w:rPr>
          <w:rFonts w:ascii="Times New Roman" w:hAnsi="Times New Roman"/>
          <w:sz w:val="22"/>
          <w:szCs w:val="22"/>
          <w:lang w:val="lt-LT"/>
        </w:rPr>
        <w:t xml:space="preserve"> ir gamintojas</w:t>
      </w:r>
    </w:p>
    <w:p w:rsidR="007F0C0F" w:rsidRPr="00533C6E" w:rsidRDefault="007F0C0F" w:rsidP="007F0C0F">
      <w:pPr>
        <w:ind w:right="-2"/>
        <w:rPr>
          <w:szCs w:val="22"/>
          <w:lang w:val="lt-LT"/>
        </w:rPr>
      </w:pPr>
      <w:r w:rsidRPr="00533C6E">
        <w:rPr>
          <w:szCs w:val="22"/>
          <w:lang w:val="lt-LT"/>
        </w:rPr>
        <w:t>PEKANA</w:t>
      </w:r>
      <w:r w:rsidRPr="00533C6E">
        <w:rPr>
          <w:szCs w:val="22"/>
          <w:vertAlign w:val="superscript"/>
          <w:lang w:val="lt-LT"/>
        </w:rPr>
        <w:t>®</w:t>
      </w:r>
      <w:r w:rsidRPr="00533C6E">
        <w:rPr>
          <w:szCs w:val="22"/>
          <w:lang w:val="lt-LT"/>
        </w:rPr>
        <w:t xml:space="preserve"> Naturheilmittel GmbH, Raiffeisenstrasse 15, D-88353 Kisslegg, Vokietija</w:t>
      </w:r>
    </w:p>
    <w:p w:rsidR="007F0C0F" w:rsidRPr="00533C6E" w:rsidRDefault="007F0C0F" w:rsidP="007F0C0F">
      <w:pPr>
        <w:ind w:right="-2"/>
        <w:rPr>
          <w:szCs w:val="22"/>
          <w:lang w:val="lt-LT"/>
        </w:rPr>
      </w:pPr>
      <w:r w:rsidRPr="00533C6E">
        <w:rPr>
          <w:szCs w:val="22"/>
          <w:lang w:val="lt-LT"/>
        </w:rPr>
        <w:t>Tel. 0049-7563/91160</w:t>
      </w:r>
    </w:p>
    <w:p w:rsidR="007F0C0F" w:rsidRPr="00533C6E" w:rsidRDefault="007F0C0F" w:rsidP="007F0C0F">
      <w:pPr>
        <w:ind w:right="-2"/>
        <w:rPr>
          <w:szCs w:val="22"/>
          <w:lang w:val="lt-LT"/>
        </w:rPr>
      </w:pPr>
      <w:r w:rsidRPr="00533C6E">
        <w:rPr>
          <w:szCs w:val="22"/>
          <w:lang w:val="lt-LT"/>
        </w:rPr>
        <w:t xml:space="preserve">Faks. 0049-7563/2862 </w:t>
      </w:r>
    </w:p>
    <w:p w:rsidR="007F0C0F" w:rsidRPr="00533C6E" w:rsidRDefault="007F0C0F" w:rsidP="007F0C0F">
      <w:pPr>
        <w:ind w:right="-2"/>
        <w:rPr>
          <w:szCs w:val="22"/>
          <w:lang w:val="lt-LT"/>
        </w:rPr>
      </w:pPr>
      <w:r w:rsidRPr="00533C6E">
        <w:rPr>
          <w:szCs w:val="22"/>
          <w:lang w:val="lt-LT"/>
        </w:rPr>
        <w:t>El. paštas: info@pekana.com</w:t>
      </w:r>
    </w:p>
    <w:p w:rsidR="007F0C0F" w:rsidRPr="00533C6E" w:rsidRDefault="007F0C0F" w:rsidP="007F0C0F">
      <w:pPr>
        <w:ind w:right="-2"/>
        <w:rPr>
          <w:szCs w:val="22"/>
          <w:lang w:val="lt-LT"/>
        </w:rPr>
      </w:pPr>
    </w:p>
    <w:p w:rsidR="007F0C0F" w:rsidRPr="00533C6E" w:rsidRDefault="007F0C0F" w:rsidP="007F0C0F">
      <w:pPr>
        <w:ind w:right="-2"/>
        <w:rPr>
          <w:szCs w:val="22"/>
          <w:lang w:val="lt-LT"/>
        </w:rPr>
      </w:pPr>
      <w:r w:rsidRPr="00533C6E">
        <w:rPr>
          <w:szCs w:val="22"/>
          <w:lang w:val="lt-LT"/>
        </w:rPr>
        <w:t>Jeigu apie šį vaistą norite sužinoti daugiau, kreipkitės į vietinį r</w:t>
      </w:r>
      <w:r w:rsidR="00090508">
        <w:rPr>
          <w:szCs w:val="22"/>
          <w:lang w:val="lt-LT"/>
        </w:rPr>
        <w:t>egistracijos</w:t>
      </w:r>
      <w:r w:rsidRPr="00533C6E">
        <w:rPr>
          <w:szCs w:val="22"/>
          <w:lang w:val="lt-LT"/>
        </w:rPr>
        <w:t xml:space="preserve"> atstovą:</w:t>
      </w:r>
    </w:p>
    <w:p w:rsidR="007F0C0F" w:rsidRPr="00533C6E" w:rsidRDefault="007F0C0F" w:rsidP="007F0C0F">
      <w:pPr>
        <w:rPr>
          <w:szCs w:val="22"/>
          <w:lang w:val="lt-LT"/>
        </w:rPr>
      </w:pPr>
    </w:p>
    <w:p w:rsidR="002D4F44" w:rsidRPr="002D4F44" w:rsidRDefault="002D4F44" w:rsidP="00A12106">
      <w:pPr>
        <w:ind w:right="-2"/>
        <w:rPr>
          <w:szCs w:val="22"/>
          <w:lang w:val="lt-LT"/>
        </w:rPr>
      </w:pPr>
      <w:r w:rsidRPr="002D4F44">
        <w:rPr>
          <w:szCs w:val="22"/>
          <w:lang w:val="lt-LT"/>
        </w:rPr>
        <w:t>UAB ,,Litfas”, Vytauto g.6, LT-55175 Jonava, Lietuva</w:t>
      </w:r>
    </w:p>
    <w:p w:rsidR="002D4F44" w:rsidRPr="002D4F44" w:rsidRDefault="002D4F44" w:rsidP="002D4F44">
      <w:pPr>
        <w:ind w:right="-2"/>
        <w:rPr>
          <w:szCs w:val="22"/>
          <w:lang w:val="lt-LT"/>
        </w:rPr>
      </w:pPr>
      <w:r w:rsidRPr="00A12106">
        <w:rPr>
          <w:lang w:val="lt-LT"/>
        </w:rPr>
        <w:t xml:space="preserve">Tel. (+370) 330664, Faks. (+370) 330899, El. paštas: </w:t>
      </w:r>
      <w:hyperlink r:id="rId10" w:history="1">
        <w:r w:rsidRPr="002D4F44">
          <w:rPr>
            <w:szCs w:val="22"/>
            <w:lang w:val="lt-LT"/>
          </w:rPr>
          <w:t>litfas@litfas.lt</w:t>
        </w:r>
      </w:hyperlink>
    </w:p>
    <w:p w:rsidR="002D4F44" w:rsidRPr="002D4F44" w:rsidRDefault="002D4F44" w:rsidP="002D4F44">
      <w:pPr>
        <w:ind w:right="-2"/>
        <w:rPr>
          <w:szCs w:val="22"/>
          <w:lang w:val="lt-LT"/>
        </w:rPr>
      </w:pPr>
    </w:p>
    <w:p w:rsidR="007F0C0F" w:rsidRPr="00533C6E" w:rsidRDefault="007F0C0F" w:rsidP="007F0C0F">
      <w:pPr>
        <w:rPr>
          <w:szCs w:val="22"/>
          <w:lang w:val="lt-LT"/>
        </w:rPr>
      </w:pPr>
    </w:p>
    <w:p w:rsidR="007F0C0F" w:rsidRPr="00533C6E" w:rsidRDefault="007F0C0F" w:rsidP="007F0C0F">
      <w:pPr>
        <w:ind w:right="-2"/>
        <w:rPr>
          <w:b/>
          <w:szCs w:val="22"/>
          <w:lang w:val="lt-LT"/>
        </w:rPr>
      </w:pPr>
      <w:r w:rsidRPr="00533C6E">
        <w:rPr>
          <w:b/>
          <w:szCs w:val="22"/>
          <w:lang w:val="lt-LT"/>
        </w:rPr>
        <w:t>Šis pakuotės lapelis paskut</w:t>
      </w:r>
      <w:r>
        <w:rPr>
          <w:b/>
          <w:szCs w:val="22"/>
          <w:lang w:val="lt-LT"/>
        </w:rPr>
        <w:t xml:space="preserve">inį kartą peržiūrėtas </w:t>
      </w:r>
      <w:r w:rsidR="00295215">
        <w:rPr>
          <w:b/>
          <w:szCs w:val="22"/>
          <w:lang w:val="lt-LT"/>
        </w:rPr>
        <w:t>2021-03-12.</w:t>
      </w:r>
    </w:p>
    <w:p w:rsidR="007F0C0F" w:rsidRPr="00533C6E" w:rsidRDefault="007F0C0F" w:rsidP="007F0C0F">
      <w:pPr>
        <w:ind w:right="-2"/>
        <w:rPr>
          <w:iCs/>
          <w:color w:val="008000"/>
          <w:szCs w:val="22"/>
          <w:lang w:val="lt-LT"/>
        </w:rPr>
      </w:pPr>
    </w:p>
    <w:p w:rsidR="007F0C0F" w:rsidRPr="00533C6E" w:rsidRDefault="007F0C0F" w:rsidP="007F0C0F">
      <w:pPr>
        <w:ind w:right="-2"/>
        <w:rPr>
          <w:i/>
          <w:szCs w:val="22"/>
          <w:lang w:val="lt-LT"/>
        </w:rPr>
      </w:pPr>
    </w:p>
    <w:p w:rsidR="007F0C0F" w:rsidRPr="002D4D89" w:rsidRDefault="007F0C0F" w:rsidP="007F0C0F">
      <w:pPr>
        <w:ind w:right="-2"/>
        <w:rPr>
          <w:szCs w:val="22"/>
          <w:lang w:val="lt-LT"/>
        </w:rPr>
      </w:pPr>
      <w:r w:rsidRPr="00533C6E">
        <w:rPr>
          <w:szCs w:val="22"/>
          <w:lang w:val="lt-LT"/>
        </w:rPr>
        <w:t>Išsami informacija apie šį vaistą pateikiama Valstybinės vaistų kontrolės tarnybos prie Lietuvos Respublikos sveikatos apsaugos ministerijos tinklalapyje</w:t>
      </w:r>
      <w:r w:rsidR="002D4D89" w:rsidRPr="00A12106">
        <w:rPr>
          <w:lang w:val="lt-LT"/>
        </w:rPr>
        <w:t xml:space="preserve"> </w:t>
      </w:r>
      <w:hyperlink r:id="rId11" w:history="1">
        <w:r w:rsidR="002D4D89" w:rsidRPr="00533C6E">
          <w:rPr>
            <w:rStyle w:val="Hyperlink"/>
            <w:rFonts w:eastAsia="SimSun"/>
            <w:lang w:val="lt-LT"/>
          </w:rPr>
          <w:t>http://www.vvkt.lt/</w:t>
        </w:r>
      </w:hyperlink>
      <w:r w:rsidR="002D4D89" w:rsidRPr="00533C6E">
        <w:rPr>
          <w:szCs w:val="22"/>
          <w:lang w:val="lt-LT"/>
        </w:rPr>
        <w:t>.</w:t>
      </w:r>
    </w:p>
    <w:p w:rsidR="007F0C0F" w:rsidRPr="00533C6E" w:rsidRDefault="007F0C0F" w:rsidP="007F0C0F">
      <w:pPr>
        <w:rPr>
          <w:iCs/>
          <w:color w:val="008000"/>
          <w:szCs w:val="22"/>
          <w:lang w:val="lt-LT"/>
        </w:rPr>
      </w:pPr>
    </w:p>
    <w:p w:rsidR="007F0C0F" w:rsidRPr="00533C6E" w:rsidRDefault="007F0C0F" w:rsidP="007F0C0F">
      <w:pPr>
        <w:rPr>
          <w:iCs/>
          <w:color w:val="008000"/>
          <w:szCs w:val="22"/>
          <w:lang w:val="lt-LT"/>
        </w:rPr>
      </w:pPr>
    </w:p>
    <w:p w:rsidR="007F0C0F" w:rsidRPr="00533C6E" w:rsidRDefault="007F0C0F" w:rsidP="007F0C0F">
      <w:pPr>
        <w:rPr>
          <w:iCs/>
          <w:color w:val="008000"/>
          <w:szCs w:val="22"/>
          <w:lang w:val="lt-LT"/>
        </w:rPr>
      </w:pPr>
    </w:p>
    <w:p w:rsidR="007F0C0F" w:rsidRPr="00533C6E" w:rsidRDefault="007F0C0F" w:rsidP="007F0C0F">
      <w:pPr>
        <w:rPr>
          <w:iCs/>
          <w:color w:val="008000"/>
          <w:szCs w:val="22"/>
          <w:lang w:val="lt-LT"/>
        </w:rPr>
      </w:pPr>
    </w:p>
    <w:p w:rsidR="007F0C0F" w:rsidRPr="00533C6E" w:rsidRDefault="007F0C0F" w:rsidP="007F0C0F">
      <w:pPr>
        <w:rPr>
          <w:iCs/>
          <w:color w:val="008000"/>
          <w:szCs w:val="22"/>
          <w:lang w:val="lt-LT"/>
        </w:rPr>
      </w:pPr>
    </w:p>
    <w:p w:rsidR="007F0C0F" w:rsidRPr="00A12106" w:rsidRDefault="007F0C0F" w:rsidP="007F0C0F">
      <w:pPr>
        <w:rPr>
          <w:color w:val="008000"/>
          <w:lang w:val="lt-LT"/>
        </w:rPr>
      </w:pPr>
    </w:p>
    <w:p w:rsidR="007F0C0F" w:rsidRPr="00A12106" w:rsidRDefault="007F0C0F">
      <w:pPr>
        <w:rPr>
          <w:lang w:val="lt-LT"/>
        </w:rPr>
      </w:pPr>
    </w:p>
    <w:sectPr w:rsidR="007F0C0F" w:rsidRPr="00A12106" w:rsidSect="00BF7D84">
      <w:footerReference w:type="default" r:id="rId12"/>
      <w:pgSz w:w="11906" w:h="16838" w:code="9"/>
      <w:pgMar w:top="1134" w:right="1418" w:bottom="1134" w:left="1418" w:header="737" w:footer="737" w:gutter="0"/>
      <w:pgNumType w:start="1"/>
      <w:cols w:space="1296"/>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6C3" w:rsidRDefault="008036C3" w:rsidP="00385A00">
      <w:pPr>
        <w:spacing w:line="240" w:lineRule="auto"/>
      </w:pPr>
      <w:r>
        <w:separator/>
      </w:r>
    </w:p>
  </w:endnote>
  <w:endnote w:type="continuationSeparator" w:id="0">
    <w:p w:rsidR="008036C3" w:rsidRDefault="008036C3" w:rsidP="00385A00">
      <w:pPr>
        <w:spacing w:line="240" w:lineRule="auto"/>
      </w:pPr>
      <w:r>
        <w:continuationSeparator/>
      </w:r>
    </w:p>
  </w:endnote>
  <w:endnote w:type="continuationNotice" w:id="1">
    <w:p w:rsidR="008036C3" w:rsidRDefault="008036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816641"/>
      <w:docPartObj>
        <w:docPartGallery w:val="Page Numbers (Bottom of Page)"/>
        <w:docPartUnique/>
      </w:docPartObj>
    </w:sdtPr>
    <w:sdtEndPr/>
    <w:sdtContent>
      <w:p w:rsidR="001D1E71" w:rsidRDefault="001D1E71">
        <w:pPr>
          <w:pStyle w:val="Footer"/>
          <w:jc w:val="center"/>
        </w:pPr>
        <w:r>
          <w:fldChar w:fldCharType="begin"/>
        </w:r>
        <w:r>
          <w:instrText>PAGE   \* MERGEFORMAT</w:instrText>
        </w:r>
        <w:r>
          <w:fldChar w:fldCharType="separate"/>
        </w:r>
        <w:r w:rsidR="00F529AB" w:rsidRPr="00F529AB">
          <w:rPr>
            <w:noProof/>
            <w:lang w:val="lt-LT"/>
          </w:rPr>
          <w:t>1</w:t>
        </w:r>
        <w:r>
          <w:fldChar w:fldCharType="end"/>
        </w:r>
      </w:p>
    </w:sdtContent>
  </w:sdt>
  <w:p w:rsidR="001D1E71" w:rsidRDefault="001D1E7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6C3" w:rsidRDefault="008036C3" w:rsidP="00385A00">
      <w:pPr>
        <w:spacing w:line="240" w:lineRule="auto"/>
      </w:pPr>
      <w:r>
        <w:separator/>
      </w:r>
    </w:p>
  </w:footnote>
  <w:footnote w:type="continuationSeparator" w:id="0">
    <w:p w:rsidR="008036C3" w:rsidRDefault="008036C3" w:rsidP="00385A00">
      <w:pPr>
        <w:spacing w:line="240" w:lineRule="auto"/>
      </w:pPr>
      <w:r>
        <w:continuationSeparator/>
      </w:r>
    </w:p>
  </w:footnote>
  <w:footnote w:type="continuationNotice" w:id="1">
    <w:p w:rsidR="008036C3" w:rsidRDefault="008036C3">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name w:val="WW8Num4"/>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3A354882"/>
    <w:multiLevelType w:val="hybridMultilevel"/>
    <w:tmpl w:val="B384702E"/>
    <w:lvl w:ilvl="0" w:tplc="C3BCBA32">
      <w:numFmt w:val="bullet"/>
      <w:lvlText w:val="-"/>
      <w:lvlJc w:val="left"/>
      <w:pPr>
        <w:ind w:left="420" w:hanging="360"/>
      </w:pPr>
      <w:rPr>
        <w:rFonts w:ascii="Times New Roman" w:eastAsia="Times New Roman" w:hAnsi="Times New Roman" w:hint="default"/>
      </w:rPr>
    </w:lvl>
    <w:lvl w:ilvl="1" w:tplc="04270003" w:tentative="1">
      <w:start w:val="1"/>
      <w:numFmt w:val="bullet"/>
      <w:lvlText w:val="o"/>
      <w:lvlJc w:val="left"/>
      <w:pPr>
        <w:ind w:left="1140" w:hanging="360"/>
      </w:pPr>
      <w:rPr>
        <w:rFonts w:ascii="Courier New" w:hAnsi="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0F"/>
    <w:rsid w:val="0002667E"/>
    <w:rsid w:val="00090508"/>
    <w:rsid w:val="000A79DC"/>
    <w:rsid w:val="000B54AB"/>
    <w:rsid w:val="000F00EE"/>
    <w:rsid w:val="0011090A"/>
    <w:rsid w:val="00117A92"/>
    <w:rsid w:val="001305E5"/>
    <w:rsid w:val="00140C5D"/>
    <w:rsid w:val="001621AF"/>
    <w:rsid w:val="00165CC7"/>
    <w:rsid w:val="00177874"/>
    <w:rsid w:val="00190560"/>
    <w:rsid w:val="00193ADD"/>
    <w:rsid w:val="00197599"/>
    <w:rsid w:val="001A6985"/>
    <w:rsid w:val="001C55B7"/>
    <w:rsid w:val="001D1E71"/>
    <w:rsid w:val="001D6868"/>
    <w:rsid w:val="001F10B8"/>
    <w:rsid w:val="002203F6"/>
    <w:rsid w:val="00241843"/>
    <w:rsid w:val="00241A8B"/>
    <w:rsid w:val="00243F3B"/>
    <w:rsid w:val="00244C10"/>
    <w:rsid w:val="00266E83"/>
    <w:rsid w:val="0028440D"/>
    <w:rsid w:val="00295086"/>
    <w:rsid w:val="00295215"/>
    <w:rsid w:val="002D4D89"/>
    <w:rsid w:val="002D4F44"/>
    <w:rsid w:val="002F63F0"/>
    <w:rsid w:val="00320571"/>
    <w:rsid w:val="0036377A"/>
    <w:rsid w:val="00385A00"/>
    <w:rsid w:val="00393707"/>
    <w:rsid w:val="003A0ADD"/>
    <w:rsid w:val="003B0F5D"/>
    <w:rsid w:val="00422628"/>
    <w:rsid w:val="004511FA"/>
    <w:rsid w:val="00533C6E"/>
    <w:rsid w:val="005376EB"/>
    <w:rsid w:val="0055096A"/>
    <w:rsid w:val="00561CA6"/>
    <w:rsid w:val="00570193"/>
    <w:rsid w:val="00572E37"/>
    <w:rsid w:val="0058657F"/>
    <w:rsid w:val="00596C8A"/>
    <w:rsid w:val="00632654"/>
    <w:rsid w:val="00670DE5"/>
    <w:rsid w:val="006A698D"/>
    <w:rsid w:val="006B7F1F"/>
    <w:rsid w:val="006C2484"/>
    <w:rsid w:val="006C4AFB"/>
    <w:rsid w:val="00766ED0"/>
    <w:rsid w:val="00772B3F"/>
    <w:rsid w:val="007A23BA"/>
    <w:rsid w:val="007B78DF"/>
    <w:rsid w:val="007F0C0F"/>
    <w:rsid w:val="008036C3"/>
    <w:rsid w:val="00820690"/>
    <w:rsid w:val="0082270E"/>
    <w:rsid w:val="00825128"/>
    <w:rsid w:val="008363EA"/>
    <w:rsid w:val="008869EA"/>
    <w:rsid w:val="008A773A"/>
    <w:rsid w:val="0097151E"/>
    <w:rsid w:val="00972954"/>
    <w:rsid w:val="00A07C7A"/>
    <w:rsid w:val="00A12106"/>
    <w:rsid w:val="00A439AB"/>
    <w:rsid w:val="00A468F3"/>
    <w:rsid w:val="00AC4231"/>
    <w:rsid w:val="00AF1047"/>
    <w:rsid w:val="00AF2B4D"/>
    <w:rsid w:val="00B2542D"/>
    <w:rsid w:val="00B34FA1"/>
    <w:rsid w:val="00B461A6"/>
    <w:rsid w:val="00B75A92"/>
    <w:rsid w:val="00BF7D84"/>
    <w:rsid w:val="00C15FCE"/>
    <w:rsid w:val="00C36453"/>
    <w:rsid w:val="00C453B1"/>
    <w:rsid w:val="00CB2000"/>
    <w:rsid w:val="00CC35D5"/>
    <w:rsid w:val="00CD280E"/>
    <w:rsid w:val="00CE023C"/>
    <w:rsid w:val="00D61824"/>
    <w:rsid w:val="00D84AAD"/>
    <w:rsid w:val="00DC64CD"/>
    <w:rsid w:val="00E234B8"/>
    <w:rsid w:val="00E26EE7"/>
    <w:rsid w:val="00E904E7"/>
    <w:rsid w:val="00E95CB8"/>
    <w:rsid w:val="00EA1667"/>
    <w:rsid w:val="00EB7A82"/>
    <w:rsid w:val="00EE10D6"/>
    <w:rsid w:val="00F35FBD"/>
    <w:rsid w:val="00F529AB"/>
    <w:rsid w:val="00FC0207"/>
    <w:rsid w:val="00FD7F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91E2C"/>
  <w14:defaultImageDpi w14:val="0"/>
  <w15:docId w15:val="{4366D3C9-9892-4B59-9EAD-BF2A1C0E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C0F"/>
    <w:pPr>
      <w:tabs>
        <w:tab w:val="left" w:pos="567"/>
      </w:tabs>
      <w:suppressAutoHyphens/>
      <w:spacing w:after="0" w:line="260" w:lineRule="exact"/>
    </w:pPr>
    <w:rPr>
      <w:rFonts w:ascii="Times New Roman" w:hAnsi="Times New Roman" w:cs="Times New Roman"/>
      <w:szCs w:val="20"/>
      <w:lang w:val="en-GB" w:eastAsia="ar-SA"/>
    </w:rPr>
  </w:style>
  <w:style w:type="paragraph" w:styleId="Heading1">
    <w:name w:val="heading 1"/>
    <w:basedOn w:val="Normal"/>
    <w:next w:val="Normal"/>
    <w:link w:val="Heading1Char"/>
    <w:qFormat/>
    <w:rsid w:val="00385A00"/>
    <w:pPr>
      <w:numPr>
        <w:numId w:val="1"/>
      </w:numPr>
      <w:spacing w:before="240" w:after="120"/>
      <w:ind w:left="357" w:hanging="357"/>
      <w:outlineLvl w:val="0"/>
    </w:pPr>
    <w:rPr>
      <w:rFonts w:eastAsia="SimSun"/>
      <w:b/>
      <w:caps/>
      <w:sz w:val="26"/>
      <w:lang w:val="en-US"/>
    </w:rPr>
  </w:style>
  <w:style w:type="paragraph" w:styleId="Heading2">
    <w:name w:val="heading 2"/>
    <w:basedOn w:val="Normal"/>
    <w:next w:val="Normal"/>
    <w:link w:val="Heading2Char"/>
    <w:qFormat/>
    <w:rsid w:val="00385A00"/>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85A00"/>
    <w:pPr>
      <w:keepNext/>
      <w:keepLines/>
      <w:numPr>
        <w:ilvl w:val="2"/>
        <w:numId w:val="1"/>
      </w:numPr>
      <w:spacing w:before="120" w:after="80"/>
      <w:outlineLvl w:val="2"/>
    </w:pPr>
    <w:rPr>
      <w:rFonts w:ascii="Cambria" w:hAnsi="Cambria"/>
      <w:b/>
      <w:bCs/>
      <w:sz w:val="26"/>
      <w:szCs w:val="26"/>
    </w:rPr>
  </w:style>
  <w:style w:type="paragraph" w:styleId="Heading4">
    <w:name w:val="heading 4"/>
    <w:basedOn w:val="Normal"/>
    <w:next w:val="Normal"/>
    <w:link w:val="Heading4Char"/>
    <w:qFormat/>
    <w:rsid w:val="00385A00"/>
    <w:pPr>
      <w:keepNext/>
      <w:numPr>
        <w:ilvl w:val="3"/>
        <w:numId w:val="1"/>
      </w:numPr>
      <w:jc w:val="both"/>
      <w:outlineLvl w:val="3"/>
    </w:pPr>
    <w:rPr>
      <w:rFonts w:ascii="Calibri" w:hAnsi="Calibri"/>
      <w:b/>
      <w:bCs/>
      <w:sz w:val="28"/>
      <w:szCs w:val="28"/>
    </w:rPr>
  </w:style>
  <w:style w:type="paragraph" w:styleId="Heading5">
    <w:name w:val="heading 5"/>
    <w:basedOn w:val="Normal"/>
    <w:next w:val="Normal"/>
    <w:link w:val="Heading5Char"/>
    <w:qFormat/>
    <w:rsid w:val="00385A00"/>
    <w:pPr>
      <w:keepNext/>
      <w:numPr>
        <w:ilvl w:val="4"/>
        <w:numId w:val="1"/>
      </w:numPr>
      <w:jc w:val="both"/>
      <w:outlineLvl w:val="4"/>
    </w:pPr>
    <w:rPr>
      <w:rFonts w:eastAsia="SimSun"/>
      <w:lang w:val="lt-LT"/>
    </w:rPr>
  </w:style>
  <w:style w:type="paragraph" w:styleId="Heading6">
    <w:name w:val="heading 6"/>
    <w:basedOn w:val="Normal"/>
    <w:next w:val="Normal"/>
    <w:link w:val="Heading6Char"/>
    <w:qFormat/>
    <w:rsid w:val="00385A00"/>
    <w:pPr>
      <w:keepNext/>
      <w:numPr>
        <w:ilvl w:val="5"/>
        <w:numId w:val="1"/>
      </w:numPr>
      <w:tabs>
        <w:tab w:val="left" w:pos="-720"/>
        <w:tab w:val="left" w:pos="4536"/>
      </w:tabs>
      <w:outlineLvl w:val="5"/>
    </w:pPr>
    <w:rPr>
      <w:rFonts w:eastAsia="SimSun"/>
      <w:i/>
    </w:rPr>
  </w:style>
  <w:style w:type="paragraph" w:styleId="Heading7">
    <w:name w:val="heading 7"/>
    <w:basedOn w:val="Normal"/>
    <w:next w:val="Normal"/>
    <w:link w:val="Heading7Char"/>
    <w:qFormat/>
    <w:rsid w:val="00385A00"/>
    <w:pPr>
      <w:keepNext/>
      <w:numPr>
        <w:ilvl w:val="6"/>
        <w:numId w:val="1"/>
      </w:numPr>
      <w:tabs>
        <w:tab w:val="left" w:pos="-720"/>
        <w:tab w:val="left" w:pos="4536"/>
      </w:tabs>
      <w:jc w:val="both"/>
      <w:outlineLvl w:val="6"/>
    </w:pPr>
    <w:rPr>
      <w:rFonts w:eastAsia="SimSun"/>
      <w:i/>
    </w:rPr>
  </w:style>
  <w:style w:type="paragraph" w:styleId="Heading8">
    <w:name w:val="heading 8"/>
    <w:basedOn w:val="Normal"/>
    <w:next w:val="Normal"/>
    <w:link w:val="Heading8Char"/>
    <w:qFormat/>
    <w:rsid w:val="00385A00"/>
    <w:pPr>
      <w:keepNext/>
      <w:numPr>
        <w:ilvl w:val="7"/>
        <w:numId w:val="1"/>
      </w:numPr>
      <w:ind w:left="567" w:hanging="567"/>
      <w:jc w:val="both"/>
      <w:outlineLvl w:val="7"/>
    </w:pPr>
    <w:rPr>
      <w:rFonts w:eastAsia="SimSun"/>
      <w:b/>
      <w:i/>
    </w:rPr>
  </w:style>
  <w:style w:type="paragraph" w:styleId="Heading9">
    <w:name w:val="heading 9"/>
    <w:basedOn w:val="Normal"/>
    <w:next w:val="Normal"/>
    <w:link w:val="Heading9Char"/>
    <w:qFormat/>
    <w:rsid w:val="00385A00"/>
    <w:pPr>
      <w:keepNext/>
      <w:numPr>
        <w:ilvl w:val="8"/>
        <w:numId w:val="1"/>
      </w:numPr>
      <w:jc w:val="both"/>
      <w:outlineLvl w:val="8"/>
    </w:pPr>
    <w:rPr>
      <w:rFonts w:eastAsia="SimSu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F0C0F"/>
    <w:rPr>
      <w:rFonts w:ascii="Times New Roman" w:eastAsia="SimSun" w:hAnsi="Times New Roman" w:cs="Times New Roman"/>
      <w:b/>
      <w:caps/>
      <w:sz w:val="26"/>
      <w:szCs w:val="20"/>
      <w:lang w:val="en-US" w:eastAsia="ar-SA"/>
    </w:rPr>
  </w:style>
  <w:style w:type="character" w:customStyle="1" w:styleId="Heading2Char">
    <w:name w:val="Heading 2 Char"/>
    <w:basedOn w:val="DefaultParagraphFont"/>
    <w:link w:val="Heading2"/>
    <w:locked/>
    <w:rsid w:val="007F0C0F"/>
    <w:rPr>
      <w:rFonts w:ascii="Cambria" w:hAnsi="Cambria" w:cs="Times New Roman"/>
      <w:b/>
      <w:bCs/>
      <w:i/>
      <w:iCs/>
      <w:sz w:val="28"/>
      <w:szCs w:val="28"/>
      <w:lang w:val="en-GB" w:eastAsia="ar-SA"/>
    </w:rPr>
  </w:style>
  <w:style w:type="character" w:customStyle="1" w:styleId="Heading3Char">
    <w:name w:val="Heading 3 Char"/>
    <w:basedOn w:val="DefaultParagraphFont"/>
    <w:link w:val="Heading3"/>
    <w:locked/>
    <w:rsid w:val="007F0C0F"/>
    <w:rPr>
      <w:rFonts w:ascii="Cambria" w:hAnsi="Cambria" w:cs="Times New Roman"/>
      <w:b/>
      <w:bCs/>
      <w:sz w:val="26"/>
      <w:szCs w:val="26"/>
      <w:lang w:val="en-GB" w:eastAsia="ar-SA"/>
    </w:rPr>
  </w:style>
  <w:style w:type="character" w:customStyle="1" w:styleId="Heading4Char">
    <w:name w:val="Heading 4 Char"/>
    <w:basedOn w:val="DefaultParagraphFont"/>
    <w:link w:val="Heading4"/>
    <w:locked/>
    <w:rsid w:val="007F0C0F"/>
    <w:rPr>
      <w:rFonts w:ascii="Calibri" w:hAnsi="Calibri" w:cs="Times New Roman"/>
      <w:b/>
      <w:bCs/>
      <w:sz w:val="28"/>
      <w:szCs w:val="28"/>
      <w:lang w:val="en-GB" w:eastAsia="ar-SA"/>
    </w:rPr>
  </w:style>
  <w:style w:type="character" w:customStyle="1" w:styleId="Heading5Char">
    <w:name w:val="Heading 5 Char"/>
    <w:basedOn w:val="DefaultParagraphFont"/>
    <w:link w:val="Heading5"/>
    <w:locked/>
    <w:rsid w:val="007F0C0F"/>
    <w:rPr>
      <w:rFonts w:ascii="Times New Roman" w:eastAsia="SimSun" w:hAnsi="Times New Roman" w:cs="Times New Roman"/>
      <w:szCs w:val="20"/>
      <w:lang w:val="lt-LT" w:eastAsia="ar-SA"/>
    </w:rPr>
  </w:style>
  <w:style w:type="character" w:customStyle="1" w:styleId="Heading6Char">
    <w:name w:val="Heading 6 Char"/>
    <w:basedOn w:val="DefaultParagraphFont"/>
    <w:link w:val="Heading6"/>
    <w:locked/>
    <w:rsid w:val="007F0C0F"/>
    <w:rPr>
      <w:rFonts w:ascii="Times New Roman" w:eastAsia="SimSun" w:hAnsi="Times New Roman" w:cs="Times New Roman"/>
      <w:i/>
      <w:szCs w:val="20"/>
      <w:lang w:val="en-GB" w:eastAsia="ar-SA"/>
    </w:rPr>
  </w:style>
  <w:style w:type="character" w:customStyle="1" w:styleId="Heading7Char">
    <w:name w:val="Heading 7 Char"/>
    <w:basedOn w:val="DefaultParagraphFont"/>
    <w:link w:val="Heading7"/>
    <w:locked/>
    <w:rsid w:val="007F0C0F"/>
    <w:rPr>
      <w:rFonts w:ascii="Times New Roman" w:eastAsia="SimSun" w:hAnsi="Times New Roman" w:cs="Times New Roman"/>
      <w:i/>
      <w:szCs w:val="20"/>
      <w:lang w:val="en-GB" w:eastAsia="ar-SA"/>
    </w:rPr>
  </w:style>
  <w:style w:type="character" w:customStyle="1" w:styleId="Heading8Char">
    <w:name w:val="Heading 8 Char"/>
    <w:basedOn w:val="DefaultParagraphFont"/>
    <w:link w:val="Heading8"/>
    <w:locked/>
    <w:rsid w:val="007F0C0F"/>
    <w:rPr>
      <w:rFonts w:ascii="Times New Roman" w:eastAsia="SimSun" w:hAnsi="Times New Roman" w:cs="Times New Roman"/>
      <w:b/>
      <w:i/>
      <w:szCs w:val="20"/>
      <w:lang w:val="en-GB" w:eastAsia="ar-SA"/>
    </w:rPr>
  </w:style>
  <w:style w:type="character" w:customStyle="1" w:styleId="Heading9Char">
    <w:name w:val="Heading 9 Char"/>
    <w:basedOn w:val="DefaultParagraphFont"/>
    <w:link w:val="Heading9"/>
    <w:locked/>
    <w:rsid w:val="007F0C0F"/>
    <w:rPr>
      <w:rFonts w:ascii="Times New Roman" w:eastAsia="SimSun" w:hAnsi="Times New Roman" w:cs="Times New Roman"/>
      <w:b/>
      <w:i/>
      <w:szCs w:val="20"/>
      <w:lang w:val="en-GB" w:eastAsia="ar-SA"/>
    </w:rPr>
  </w:style>
  <w:style w:type="character" w:styleId="Hyperlink">
    <w:name w:val="Hyperlink"/>
    <w:basedOn w:val="DefaultParagraphFont"/>
    <w:rsid w:val="007F0C0F"/>
    <w:rPr>
      <w:rFonts w:cs="Times New Roman"/>
      <w:color w:val="0000FF"/>
      <w:u w:val="single"/>
    </w:rPr>
  </w:style>
  <w:style w:type="paragraph" w:customStyle="1" w:styleId="Pagrindinistekstas32">
    <w:name w:val="Pagrindinis tekstas 32"/>
    <w:basedOn w:val="Normal"/>
    <w:rsid w:val="007F0C0F"/>
    <w:pPr>
      <w:ind w:right="-2"/>
    </w:pPr>
    <w:rPr>
      <w:b/>
    </w:rPr>
  </w:style>
  <w:style w:type="paragraph" w:customStyle="1" w:styleId="Pagrindinistekstas22">
    <w:name w:val="Pagrindinis tekstas 22"/>
    <w:basedOn w:val="Normal"/>
    <w:rsid w:val="007F0C0F"/>
    <w:rPr>
      <w:szCs w:val="28"/>
    </w:rPr>
  </w:style>
  <w:style w:type="character" w:styleId="Strong">
    <w:name w:val="Strong"/>
    <w:basedOn w:val="DefaultParagraphFont"/>
    <w:qFormat/>
    <w:rsid w:val="00A439AB"/>
    <w:rPr>
      <w:rFonts w:cs="Times New Roman"/>
      <w:b/>
    </w:rPr>
  </w:style>
  <w:style w:type="paragraph" w:customStyle="1" w:styleId="Paprastasistekstas1">
    <w:name w:val="Paprastasis tekstas1"/>
    <w:basedOn w:val="Normal"/>
    <w:rsid w:val="00A439AB"/>
    <w:pPr>
      <w:tabs>
        <w:tab w:val="clear" w:pos="567"/>
      </w:tabs>
      <w:spacing w:line="240" w:lineRule="auto"/>
    </w:pPr>
    <w:rPr>
      <w:rFonts w:ascii="Courier New" w:eastAsia="SimSun" w:hAnsi="Courier New"/>
      <w:sz w:val="20"/>
      <w:lang w:val="en-US"/>
    </w:rPr>
  </w:style>
  <w:style w:type="paragraph" w:customStyle="1" w:styleId="Lentelsturinys">
    <w:name w:val="Lentelės turinys"/>
    <w:basedOn w:val="Normal"/>
    <w:rsid w:val="00A439AB"/>
    <w:pPr>
      <w:suppressLineNumbers/>
    </w:pPr>
  </w:style>
  <w:style w:type="paragraph" w:styleId="BalloonText">
    <w:name w:val="Balloon Text"/>
    <w:basedOn w:val="Normal"/>
    <w:link w:val="BalloonTextChar"/>
    <w:uiPriority w:val="99"/>
    <w:semiHidden/>
    <w:unhideWhenUsed/>
    <w:rsid w:val="00CE02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E023C"/>
    <w:rPr>
      <w:rFonts w:ascii="Segoe UI" w:hAnsi="Segoe UI" w:cs="Segoe UI"/>
      <w:sz w:val="18"/>
      <w:szCs w:val="18"/>
      <w:lang w:val="en-GB" w:eastAsia="ar-SA" w:bidi="ar-SA"/>
    </w:rPr>
  </w:style>
  <w:style w:type="character" w:styleId="CommentReference">
    <w:name w:val="annotation reference"/>
    <w:basedOn w:val="DefaultParagraphFont"/>
    <w:uiPriority w:val="99"/>
    <w:semiHidden/>
    <w:unhideWhenUsed/>
    <w:rsid w:val="00165CC7"/>
    <w:rPr>
      <w:rFonts w:cs="Times New Roman"/>
      <w:sz w:val="16"/>
      <w:szCs w:val="16"/>
    </w:rPr>
  </w:style>
  <w:style w:type="paragraph" w:styleId="CommentText">
    <w:name w:val="annotation text"/>
    <w:basedOn w:val="Normal"/>
    <w:link w:val="CommentTextChar"/>
    <w:uiPriority w:val="99"/>
    <w:unhideWhenUsed/>
    <w:rsid w:val="00165CC7"/>
    <w:pPr>
      <w:spacing w:line="240" w:lineRule="auto"/>
    </w:pPr>
    <w:rPr>
      <w:sz w:val="20"/>
    </w:rPr>
  </w:style>
  <w:style w:type="character" w:customStyle="1" w:styleId="CommentTextChar">
    <w:name w:val="Comment Text Char"/>
    <w:basedOn w:val="DefaultParagraphFont"/>
    <w:link w:val="CommentText"/>
    <w:uiPriority w:val="99"/>
    <w:locked/>
    <w:rsid w:val="00165CC7"/>
    <w:rPr>
      <w:rFonts w:ascii="Times New Roman" w:hAnsi="Times New Roman" w:cs="Times New Roman"/>
      <w:sz w:val="20"/>
      <w:szCs w:val="20"/>
      <w:lang w:val="en-GB" w:eastAsia="ar-SA" w:bidi="ar-SA"/>
    </w:rPr>
  </w:style>
  <w:style w:type="paragraph" w:styleId="ListParagraph">
    <w:name w:val="List Paragraph"/>
    <w:basedOn w:val="Normal"/>
    <w:uiPriority w:val="34"/>
    <w:qFormat/>
    <w:rsid w:val="0011090A"/>
    <w:pPr>
      <w:ind w:left="720"/>
      <w:contextualSpacing/>
    </w:pPr>
  </w:style>
  <w:style w:type="paragraph" w:styleId="CommentSubject">
    <w:name w:val="annotation subject"/>
    <w:basedOn w:val="CommentText"/>
    <w:next w:val="CommentText"/>
    <w:link w:val="CommentSubjectChar"/>
    <w:uiPriority w:val="99"/>
    <w:semiHidden/>
    <w:unhideWhenUsed/>
    <w:rsid w:val="00165CC7"/>
    <w:rPr>
      <w:b/>
      <w:bCs/>
    </w:rPr>
  </w:style>
  <w:style w:type="character" w:customStyle="1" w:styleId="CommentSubjectChar">
    <w:name w:val="Comment Subject Char"/>
    <w:basedOn w:val="CommentTextChar"/>
    <w:link w:val="CommentSubject"/>
    <w:uiPriority w:val="99"/>
    <w:semiHidden/>
    <w:locked/>
    <w:rsid w:val="00165CC7"/>
    <w:rPr>
      <w:rFonts w:ascii="Times New Roman" w:hAnsi="Times New Roman" w:cs="Times New Roman"/>
      <w:b/>
      <w:bCs/>
      <w:sz w:val="20"/>
      <w:szCs w:val="20"/>
      <w:lang w:val="en-GB" w:eastAsia="ar-SA" w:bidi="ar-SA"/>
    </w:rPr>
  </w:style>
  <w:style w:type="paragraph" w:styleId="NoSpacing">
    <w:name w:val="No Spacing"/>
    <w:uiPriority w:val="1"/>
    <w:qFormat/>
    <w:rsid w:val="00FD7F42"/>
    <w:pPr>
      <w:spacing w:after="0" w:line="240" w:lineRule="auto"/>
    </w:pPr>
    <w:rPr>
      <w:rFonts w:ascii="Calibri" w:hAnsi="Calibri" w:cs="Times New Roman"/>
      <w:lang w:val="lt-LT"/>
    </w:rPr>
  </w:style>
  <w:style w:type="paragraph" w:styleId="BodyText">
    <w:name w:val="Body Text"/>
    <w:basedOn w:val="Normal"/>
    <w:link w:val="BodyTextChar"/>
    <w:rsid w:val="00385A00"/>
    <w:pPr>
      <w:tabs>
        <w:tab w:val="clear" w:pos="567"/>
      </w:tabs>
      <w:spacing w:line="240" w:lineRule="auto"/>
    </w:pPr>
    <w:rPr>
      <w:rFonts w:eastAsia="SimSun"/>
      <w:i/>
      <w:color w:val="008000"/>
    </w:rPr>
  </w:style>
  <w:style w:type="character" w:customStyle="1" w:styleId="BodyTextChar">
    <w:name w:val="Body Text Char"/>
    <w:basedOn w:val="DefaultParagraphFont"/>
    <w:link w:val="BodyText"/>
    <w:rsid w:val="00385A00"/>
    <w:rPr>
      <w:rFonts w:ascii="Times New Roman" w:eastAsia="SimSun" w:hAnsi="Times New Roman" w:cs="Times New Roman"/>
      <w:i/>
      <w:color w:val="008000"/>
      <w:szCs w:val="20"/>
      <w:lang w:val="en-GB" w:eastAsia="ar-SA"/>
    </w:rPr>
  </w:style>
  <w:style w:type="paragraph" w:styleId="Footer">
    <w:name w:val="footer"/>
    <w:basedOn w:val="Normal"/>
    <w:link w:val="FooterChar"/>
    <w:uiPriority w:val="99"/>
    <w:rsid w:val="00385A00"/>
    <w:pPr>
      <w:tabs>
        <w:tab w:val="center" w:pos="4536"/>
        <w:tab w:val="right" w:pos="8306"/>
      </w:tabs>
    </w:pPr>
  </w:style>
  <w:style w:type="character" w:customStyle="1" w:styleId="FooterChar">
    <w:name w:val="Footer Char"/>
    <w:basedOn w:val="DefaultParagraphFont"/>
    <w:link w:val="Footer"/>
    <w:uiPriority w:val="99"/>
    <w:rsid w:val="00385A00"/>
    <w:rPr>
      <w:rFonts w:ascii="Times New Roman" w:hAnsi="Times New Roman" w:cs="Times New Roman"/>
      <w:szCs w:val="20"/>
      <w:lang w:val="en-GB" w:eastAsia="ar-SA"/>
    </w:rPr>
  </w:style>
  <w:style w:type="paragraph" w:styleId="Header">
    <w:name w:val="header"/>
    <w:basedOn w:val="Normal"/>
    <w:link w:val="HeaderChar"/>
    <w:uiPriority w:val="99"/>
    <w:unhideWhenUsed/>
    <w:rsid w:val="00385A00"/>
    <w:pPr>
      <w:tabs>
        <w:tab w:val="clear" w:pos="567"/>
        <w:tab w:val="center" w:pos="4819"/>
        <w:tab w:val="right" w:pos="9638"/>
      </w:tabs>
      <w:spacing w:line="240" w:lineRule="auto"/>
    </w:pPr>
  </w:style>
  <w:style w:type="character" w:customStyle="1" w:styleId="HeaderChar">
    <w:name w:val="Header Char"/>
    <w:basedOn w:val="DefaultParagraphFont"/>
    <w:link w:val="Header"/>
    <w:uiPriority w:val="99"/>
    <w:rsid w:val="00385A00"/>
    <w:rPr>
      <w:rFonts w:ascii="Times New Roman" w:hAnsi="Times New Roman" w:cs="Times New Roman"/>
      <w:szCs w:val="20"/>
      <w:lang w:val="en-GB" w:eastAsia="ar-SA"/>
    </w:rPr>
  </w:style>
  <w:style w:type="paragraph" w:styleId="Revision">
    <w:name w:val="Revision"/>
    <w:hidden/>
    <w:uiPriority w:val="99"/>
    <w:semiHidden/>
    <w:rsid w:val="00385A00"/>
    <w:pPr>
      <w:spacing w:after="0" w:line="240" w:lineRule="auto"/>
    </w:pPr>
    <w:rPr>
      <w:rFonts w:ascii="Times New Roman" w:hAnsi="Times New Roman" w:cs="Times New Roman"/>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0" Type="http://schemas.openxmlformats.org/officeDocument/2006/relationships/hyperlink" Target="mailto:litfas@litfas.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1037</Words>
  <Characters>6903</Characters>
  <Application>Microsoft Office Word</Application>
  <DocSecurity>0</DocSecurity>
  <Lines>57</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Bärbel Boneberger</dc:creator>
  <cp:keywords/>
  <dc:description/>
  <cp:lastModifiedBy>Birutė Valkauskaitė</cp:lastModifiedBy>
  <cp:revision>2</cp:revision>
  <cp:lastPrinted>2020-11-06T13:30:00Z</cp:lastPrinted>
  <dcterms:created xsi:type="dcterms:W3CDTF">2021-03-12T09:40:00Z</dcterms:created>
  <dcterms:modified xsi:type="dcterms:W3CDTF">2021-03-12T09:40:00Z</dcterms:modified>
</cp:coreProperties>
</file>