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C3" w:rsidRPr="00BA59BA" w:rsidRDefault="00CA71C3" w:rsidP="00CA71C3">
      <w:pPr>
        <w:tabs>
          <w:tab w:val="left" w:pos="567"/>
          <w:tab w:val="left" w:pos="4536"/>
        </w:tabs>
        <w:ind w:left="567" w:hanging="567"/>
        <w:jc w:val="center"/>
        <w:outlineLvl w:val="0"/>
        <w:rPr>
          <w:b/>
          <w:szCs w:val="22"/>
        </w:rPr>
      </w:pPr>
      <w:bookmarkStart w:id="0" w:name="_Toc129243138"/>
      <w:bookmarkStart w:id="1" w:name="_Toc129243263"/>
      <w:r w:rsidRPr="00BA59BA">
        <w:rPr>
          <w:b/>
          <w:szCs w:val="22"/>
        </w:rPr>
        <w:t>Pakuotės lapelis: informacija pacientui</w:t>
      </w:r>
    </w:p>
    <w:p w:rsidR="00CA71C3" w:rsidRPr="00BA59BA" w:rsidRDefault="00CA71C3" w:rsidP="00CA71C3">
      <w:pPr>
        <w:tabs>
          <w:tab w:val="left" w:pos="567"/>
        </w:tabs>
        <w:jc w:val="center"/>
        <w:rPr>
          <w:szCs w:val="22"/>
        </w:rPr>
      </w:pPr>
    </w:p>
    <w:p w:rsidR="00CA71C3" w:rsidRPr="00BA59BA" w:rsidRDefault="00CA71C3" w:rsidP="00CA71C3">
      <w:pPr>
        <w:tabs>
          <w:tab w:val="left" w:pos="567"/>
        </w:tabs>
        <w:jc w:val="center"/>
        <w:rPr>
          <w:szCs w:val="22"/>
        </w:rPr>
      </w:pPr>
    </w:p>
    <w:p w:rsidR="00CA71C3" w:rsidRPr="00BA59BA" w:rsidRDefault="00CA71C3" w:rsidP="00CA71C3">
      <w:pPr>
        <w:tabs>
          <w:tab w:val="left" w:pos="567"/>
        </w:tabs>
        <w:jc w:val="center"/>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30 mg plėvele dengtos tabletės</w:t>
      </w:r>
    </w:p>
    <w:p w:rsidR="00CA71C3" w:rsidRPr="00BA59BA" w:rsidRDefault="00CA71C3" w:rsidP="00CA71C3">
      <w:pPr>
        <w:tabs>
          <w:tab w:val="left" w:pos="567"/>
        </w:tabs>
        <w:jc w:val="center"/>
        <w:rPr>
          <w:b/>
          <w:szCs w:val="22"/>
          <w:highlight w:val="lightGray"/>
        </w:rPr>
      </w:pPr>
      <w:proofErr w:type="spellStart"/>
      <w:r w:rsidRPr="00BA59BA">
        <w:rPr>
          <w:b/>
          <w:szCs w:val="22"/>
          <w:highlight w:val="lightGray"/>
        </w:rPr>
        <w:t>Cinacalcet</w:t>
      </w:r>
      <w:proofErr w:type="spellEnd"/>
      <w:r w:rsidRPr="00BA59BA">
        <w:rPr>
          <w:b/>
          <w:szCs w:val="22"/>
          <w:highlight w:val="lightGray"/>
        </w:rPr>
        <w:t xml:space="preserve"> </w:t>
      </w:r>
      <w:proofErr w:type="spellStart"/>
      <w:r w:rsidRPr="00BA59BA">
        <w:rPr>
          <w:b/>
          <w:szCs w:val="22"/>
          <w:highlight w:val="lightGray"/>
        </w:rPr>
        <w:t>Sandoz</w:t>
      </w:r>
      <w:proofErr w:type="spellEnd"/>
      <w:r w:rsidRPr="00BA59BA">
        <w:rPr>
          <w:b/>
          <w:szCs w:val="22"/>
          <w:highlight w:val="lightGray"/>
        </w:rPr>
        <w:t xml:space="preserve"> 60 mg plėvele dengtos tabletės</w:t>
      </w:r>
    </w:p>
    <w:p w:rsidR="00CA71C3" w:rsidRPr="00BA59BA" w:rsidRDefault="00CA71C3" w:rsidP="00CA71C3">
      <w:pPr>
        <w:tabs>
          <w:tab w:val="left" w:pos="567"/>
        </w:tabs>
        <w:jc w:val="center"/>
        <w:rPr>
          <w:b/>
          <w:szCs w:val="22"/>
        </w:rPr>
      </w:pPr>
      <w:proofErr w:type="spellStart"/>
      <w:r w:rsidRPr="00BA59BA">
        <w:rPr>
          <w:b/>
          <w:szCs w:val="22"/>
          <w:highlight w:val="lightGray"/>
        </w:rPr>
        <w:t>Cinacalcet</w:t>
      </w:r>
      <w:proofErr w:type="spellEnd"/>
      <w:r w:rsidRPr="00BA59BA">
        <w:rPr>
          <w:b/>
          <w:szCs w:val="22"/>
          <w:highlight w:val="lightGray"/>
        </w:rPr>
        <w:t xml:space="preserve"> </w:t>
      </w:r>
      <w:proofErr w:type="spellStart"/>
      <w:r w:rsidRPr="00BA59BA">
        <w:rPr>
          <w:b/>
          <w:szCs w:val="22"/>
          <w:highlight w:val="lightGray"/>
        </w:rPr>
        <w:t>Sandoz</w:t>
      </w:r>
      <w:proofErr w:type="spellEnd"/>
      <w:r w:rsidRPr="00BA59BA">
        <w:rPr>
          <w:b/>
          <w:szCs w:val="22"/>
          <w:highlight w:val="lightGray"/>
        </w:rPr>
        <w:t xml:space="preserve"> 90 mg plėvele dengtos tabletės</w:t>
      </w:r>
    </w:p>
    <w:p w:rsidR="00CA71C3" w:rsidRPr="00BA59BA" w:rsidRDefault="00CA71C3" w:rsidP="00CA71C3">
      <w:pPr>
        <w:tabs>
          <w:tab w:val="left" w:pos="567"/>
        </w:tabs>
        <w:jc w:val="center"/>
        <w:rPr>
          <w:szCs w:val="22"/>
        </w:rPr>
      </w:pPr>
      <w:proofErr w:type="spellStart"/>
      <w:r w:rsidRPr="00BA59BA">
        <w:rPr>
          <w:szCs w:val="22"/>
        </w:rPr>
        <w:t>Cinakalcetas</w:t>
      </w:r>
      <w:proofErr w:type="spellEnd"/>
    </w:p>
    <w:p w:rsidR="00CA71C3" w:rsidRPr="00BA59BA" w:rsidRDefault="00CA71C3" w:rsidP="00CA71C3">
      <w:pPr>
        <w:tabs>
          <w:tab w:val="left" w:pos="567"/>
        </w:tabs>
        <w:ind w:left="567" w:hanging="567"/>
        <w:jc w:val="center"/>
        <w:rPr>
          <w:szCs w:val="22"/>
        </w:rPr>
      </w:pPr>
    </w:p>
    <w:p w:rsidR="00CA71C3" w:rsidRPr="00BA59BA" w:rsidRDefault="00CA71C3" w:rsidP="00CA71C3">
      <w:pPr>
        <w:tabs>
          <w:tab w:val="left" w:pos="567"/>
        </w:tabs>
        <w:ind w:left="567" w:hanging="567"/>
        <w:jc w:val="center"/>
        <w:rPr>
          <w:szCs w:val="22"/>
        </w:rPr>
      </w:pPr>
    </w:p>
    <w:p w:rsidR="00CA71C3" w:rsidRPr="00BA59BA" w:rsidRDefault="00CA71C3" w:rsidP="00CA71C3">
      <w:pPr>
        <w:tabs>
          <w:tab w:val="left" w:pos="0"/>
        </w:tabs>
        <w:rPr>
          <w:b/>
          <w:szCs w:val="22"/>
        </w:rPr>
      </w:pPr>
      <w:r w:rsidRPr="00BA59BA">
        <w:rPr>
          <w:b/>
          <w:szCs w:val="22"/>
        </w:rPr>
        <w:t>Atidžiai perskaitykite visą šį lapelį, prieš pradėdami vartoti vaistą, nes jame pateikiama Jums svarbi informacija.</w:t>
      </w:r>
    </w:p>
    <w:p w:rsidR="00CA71C3" w:rsidRPr="00BA59BA" w:rsidRDefault="00CA71C3" w:rsidP="00CA71C3">
      <w:pPr>
        <w:tabs>
          <w:tab w:val="left" w:pos="567"/>
        </w:tabs>
        <w:ind w:left="567" w:hanging="567"/>
        <w:rPr>
          <w:szCs w:val="22"/>
        </w:rPr>
      </w:pPr>
      <w:r w:rsidRPr="00BA59BA">
        <w:rPr>
          <w:szCs w:val="22"/>
        </w:rPr>
        <w:t>-</w:t>
      </w:r>
      <w:r w:rsidRPr="00BA59BA">
        <w:rPr>
          <w:szCs w:val="22"/>
        </w:rPr>
        <w:tab/>
        <w:t>Neišmeskite lapelio, nes vėl gali prireikti jį perskaityti.</w:t>
      </w:r>
    </w:p>
    <w:p w:rsidR="00CA71C3" w:rsidRPr="00BA59BA" w:rsidRDefault="00CA71C3" w:rsidP="00CA71C3">
      <w:pPr>
        <w:tabs>
          <w:tab w:val="left" w:pos="567"/>
        </w:tabs>
        <w:ind w:left="567" w:hanging="567"/>
        <w:rPr>
          <w:szCs w:val="22"/>
        </w:rPr>
      </w:pPr>
      <w:r w:rsidRPr="00BA59BA">
        <w:rPr>
          <w:szCs w:val="22"/>
        </w:rPr>
        <w:t>-</w:t>
      </w:r>
      <w:r w:rsidRPr="00BA59BA">
        <w:rPr>
          <w:szCs w:val="22"/>
        </w:rPr>
        <w:tab/>
        <w:t>Jeigu kiltų daugiau klausimų, kreipkitės į gydytoją arba vaistininką.</w:t>
      </w:r>
    </w:p>
    <w:p w:rsidR="00CA71C3" w:rsidRPr="00BA59BA" w:rsidRDefault="00CA71C3" w:rsidP="00CA71C3">
      <w:pPr>
        <w:numPr>
          <w:ilvl w:val="0"/>
          <w:numId w:val="1"/>
        </w:numPr>
        <w:tabs>
          <w:tab w:val="left" w:pos="567"/>
        </w:tabs>
        <w:spacing w:line="260" w:lineRule="exact"/>
        <w:ind w:left="567" w:hanging="567"/>
        <w:rPr>
          <w:szCs w:val="22"/>
        </w:rPr>
      </w:pPr>
      <w:r w:rsidRPr="00BA59BA">
        <w:rPr>
          <w:szCs w:val="22"/>
        </w:rPr>
        <w:t>Šis vaistas skirtas tik Jums, todėl kitiems žmonėms jo duoti negalima. Vaistas gali jiems pakenkti (net tiems, kurių ligos požymiai yra tokie patys kaip Jūsų).</w:t>
      </w:r>
    </w:p>
    <w:p w:rsidR="00CA71C3" w:rsidRPr="00BA59BA" w:rsidRDefault="00CA71C3" w:rsidP="00CA71C3">
      <w:pPr>
        <w:numPr>
          <w:ilvl w:val="0"/>
          <w:numId w:val="1"/>
        </w:numPr>
        <w:tabs>
          <w:tab w:val="left" w:pos="567"/>
        </w:tabs>
        <w:spacing w:line="260" w:lineRule="exact"/>
        <w:ind w:left="567" w:hanging="567"/>
        <w:rPr>
          <w:szCs w:val="22"/>
        </w:rPr>
      </w:pPr>
      <w:r w:rsidRPr="00BA59BA">
        <w:rPr>
          <w:szCs w:val="22"/>
        </w:rPr>
        <w:t>Jeigu pasireiškė šalutinis poveikis (net jeigu jis šiame lapelyje nenurodytas), kreipkitės į gydytoją arba vaistininką. Žr. 4 skyrių.</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b/>
          <w:szCs w:val="22"/>
        </w:rPr>
        <w:t>Apie ką rašoma šiame lapelyje?</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1.</w:t>
      </w:r>
      <w:r w:rsidRPr="00BA59BA">
        <w:rPr>
          <w:szCs w:val="22"/>
        </w:rPr>
        <w:tab/>
        <w:t xml:space="preserve">Kas yra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ir kam jis vartojamas</w:t>
      </w:r>
    </w:p>
    <w:p w:rsidR="00CA71C3" w:rsidRPr="00BA59BA" w:rsidRDefault="00CA71C3" w:rsidP="00CA71C3">
      <w:pPr>
        <w:tabs>
          <w:tab w:val="left" w:pos="567"/>
        </w:tabs>
        <w:rPr>
          <w:szCs w:val="22"/>
        </w:rPr>
      </w:pPr>
      <w:r w:rsidRPr="00BA59BA">
        <w:rPr>
          <w:szCs w:val="22"/>
        </w:rPr>
        <w:t>2.</w:t>
      </w:r>
      <w:r w:rsidRPr="00BA59BA">
        <w:rPr>
          <w:szCs w:val="22"/>
        </w:rPr>
        <w:tab/>
        <w:t xml:space="preserve">Kas žinotina prieš vartojant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rsidR="00CA71C3" w:rsidRPr="00BA59BA" w:rsidRDefault="00CA71C3" w:rsidP="00CA71C3">
      <w:pPr>
        <w:tabs>
          <w:tab w:val="left" w:pos="567"/>
        </w:tabs>
        <w:rPr>
          <w:szCs w:val="22"/>
        </w:rPr>
      </w:pPr>
      <w:r w:rsidRPr="00BA59BA">
        <w:rPr>
          <w:szCs w:val="22"/>
        </w:rPr>
        <w:t>3.</w:t>
      </w:r>
      <w:r w:rsidRPr="00BA59BA">
        <w:rPr>
          <w:szCs w:val="22"/>
        </w:rPr>
        <w:tab/>
        <w:t xml:space="preserve">Kaip vartoti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rsidR="00CA71C3" w:rsidRPr="00BA59BA" w:rsidRDefault="00CA71C3" w:rsidP="00CA71C3">
      <w:pPr>
        <w:tabs>
          <w:tab w:val="left" w:pos="567"/>
        </w:tabs>
        <w:rPr>
          <w:szCs w:val="22"/>
        </w:rPr>
      </w:pPr>
      <w:r w:rsidRPr="00BA59BA">
        <w:rPr>
          <w:szCs w:val="22"/>
        </w:rPr>
        <w:t>4.</w:t>
      </w:r>
      <w:r w:rsidRPr="00BA59BA">
        <w:rPr>
          <w:szCs w:val="22"/>
        </w:rPr>
        <w:tab/>
        <w:t>Galimas šalutinis poveikis</w:t>
      </w:r>
    </w:p>
    <w:p w:rsidR="00CA71C3" w:rsidRPr="00BA59BA" w:rsidRDefault="00CA71C3" w:rsidP="00CA71C3">
      <w:pPr>
        <w:tabs>
          <w:tab w:val="left" w:pos="567"/>
        </w:tabs>
        <w:rPr>
          <w:szCs w:val="22"/>
        </w:rPr>
      </w:pPr>
      <w:r w:rsidRPr="00BA59BA">
        <w:rPr>
          <w:szCs w:val="22"/>
        </w:rPr>
        <w:t>5.</w:t>
      </w:r>
      <w:r w:rsidRPr="00BA59BA">
        <w:rPr>
          <w:szCs w:val="22"/>
        </w:rPr>
        <w:tab/>
        <w:t xml:space="preserve">Kaip laikyti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rsidR="00CA71C3" w:rsidRPr="00BA59BA" w:rsidRDefault="00CA71C3" w:rsidP="00CA71C3">
      <w:pPr>
        <w:tabs>
          <w:tab w:val="left" w:pos="567"/>
        </w:tabs>
        <w:rPr>
          <w:szCs w:val="22"/>
        </w:rPr>
      </w:pPr>
      <w:r w:rsidRPr="00BA59BA">
        <w:rPr>
          <w:szCs w:val="22"/>
        </w:rPr>
        <w:t>6.</w:t>
      </w:r>
      <w:r w:rsidRPr="00BA59BA">
        <w:rPr>
          <w:szCs w:val="22"/>
        </w:rPr>
        <w:tab/>
        <w:t>Pakuotės turinys ir kita informacija</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
    <w:p w:rsidR="00CA71C3" w:rsidRPr="00BA59BA" w:rsidRDefault="00CA71C3" w:rsidP="00CA71C3">
      <w:pPr>
        <w:keepNext/>
        <w:tabs>
          <w:tab w:val="left" w:pos="567"/>
        </w:tabs>
        <w:ind w:left="567" w:hanging="567"/>
        <w:outlineLvl w:val="1"/>
        <w:rPr>
          <w:b/>
          <w:szCs w:val="22"/>
        </w:rPr>
      </w:pPr>
      <w:r w:rsidRPr="00BA59BA">
        <w:rPr>
          <w:b/>
          <w:szCs w:val="22"/>
        </w:rPr>
        <w:t>1.</w:t>
      </w:r>
      <w:r w:rsidRPr="00BA59BA">
        <w:rPr>
          <w:b/>
          <w:szCs w:val="22"/>
        </w:rPr>
        <w:tab/>
        <w:t xml:space="preserve">Kas yra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ir kam jis vartojamas</w:t>
      </w:r>
    </w:p>
    <w:p w:rsidR="00CA71C3" w:rsidRPr="00BA59BA" w:rsidRDefault="00CA71C3" w:rsidP="00CA71C3">
      <w:pPr>
        <w:tabs>
          <w:tab w:val="left" w:pos="567"/>
        </w:tabs>
        <w:rPr>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veikia kontroliuodamas </w:t>
      </w:r>
      <w:proofErr w:type="spellStart"/>
      <w:r w:rsidRPr="00BA59BA">
        <w:rPr>
          <w:rFonts w:eastAsia="TimesNewRoman"/>
          <w:szCs w:val="22"/>
        </w:rPr>
        <w:t>paratireoidinio</w:t>
      </w:r>
      <w:proofErr w:type="spellEnd"/>
      <w:r w:rsidRPr="00BA59BA">
        <w:rPr>
          <w:rFonts w:eastAsia="TimesNewRoman"/>
          <w:szCs w:val="22"/>
        </w:rPr>
        <w:t xml:space="preserve"> hormono (PTH), kalcio ir fosforo kiekius Jūsų organizme. Jis vartojamas organo, vadinamo </w:t>
      </w:r>
      <w:proofErr w:type="spellStart"/>
      <w:r w:rsidRPr="00BA59BA">
        <w:rPr>
          <w:rFonts w:eastAsia="TimesNewRoman"/>
          <w:szCs w:val="22"/>
        </w:rPr>
        <w:t>prieskydinėmis</w:t>
      </w:r>
      <w:proofErr w:type="spellEnd"/>
      <w:r w:rsidRPr="00BA59BA">
        <w:rPr>
          <w:rFonts w:eastAsia="TimesNewRoman"/>
          <w:szCs w:val="22"/>
        </w:rPr>
        <w:t xml:space="preserve"> liaukomis, sutrikimams gydyti. </w:t>
      </w:r>
      <w:proofErr w:type="spellStart"/>
      <w:r w:rsidRPr="00BA59BA">
        <w:rPr>
          <w:rFonts w:eastAsia="TimesNewRoman"/>
          <w:szCs w:val="22"/>
        </w:rPr>
        <w:t>Prieskydinės</w:t>
      </w:r>
      <w:proofErr w:type="spellEnd"/>
      <w:r w:rsidRPr="00BA59BA">
        <w:rPr>
          <w:rFonts w:eastAsia="TimesNewRoman"/>
          <w:szCs w:val="22"/>
        </w:rPr>
        <w:t xml:space="preserve"> liaukos yra keturios mažos kakle, šalia skydliaukės esančios liaukos, kurios gamina </w:t>
      </w:r>
      <w:proofErr w:type="spellStart"/>
      <w:r w:rsidRPr="00BA59BA">
        <w:rPr>
          <w:rFonts w:eastAsia="TimesNewRoman"/>
          <w:szCs w:val="22"/>
        </w:rPr>
        <w:t>paratireoidinį</w:t>
      </w:r>
      <w:proofErr w:type="spellEnd"/>
      <w:r w:rsidRPr="00BA59BA">
        <w:rPr>
          <w:rFonts w:eastAsia="TimesNewRoman"/>
          <w:szCs w:val="22"/>
        </w:rPr>
        <w:t xml:space="preserve"> hormoną (PTH).</w:t>
      </w:r>
    </w:p>
    <w:p w:rsidR="00CA71C3" w:rsidRPr="00BA59BA" w:rsidRDefault="00CA71C3" w:rsidP="00CA71C3">
      <w:pPr>
        <w:autoSpaceDE w:val="0"/>
        <w:autoSpaceDN w:val="0"/>
        <w:adjustRightInd w:val="0"/>
        <w:rPr>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vartojamas suaugusiesiems:</w:t>
      </w:r>
    </w:p>
    <w:p w:rsidR="00CA71C3" w:rsidRPr="00BA59BA" w:rsidRDefault="00CA71C3" w:rsidP="00CA71C3">
      <w:pPr>
        <w:numPr>
          <w:ilvl w:val="0"/>
          <w:numId w:val="3"/>
        </w:numPr>
        <w:autoSpaceDE w:val="0"/>
        <w:autoSpaceDN w:val="0"/>
        <w:adjustRightInd w:val="0"/>
        <w:rPr>
          <w:rFonts w:eastAsia="TimesNewRoman"/>
          <w:szCs w:val="22"/>
        </w:rPr>
      </w:pPr>
      <w:r w:rsidRPr="00BA59BA">
        <w:rPr>
          <w:rFonts w:eastAsia="TimesNewRoman"/>
          <w:szCs w:val="22"/>
        </w:rPr>
        <w:t xml:space="preserve">antrinei </w:t>
      </w:r>
      <w:proofErr w:type="spellStart"/>
      <w:r w:rsidRPr="00BA59BA">
        <w:rPr>
          <w:rFonts w:eastAsia="TimesNewRoman"/>
          <w:szCs w:val="22"/>
        </w:rPr>
        <w:t>hiperparatirozei</w:t>
      </w:r>
      <w:proofErr w:type="spellEnd"/>
      <w:r w:rsidRPr="00BA59BA">
        <w:rPr>
          <w:rFonts w:eastAsia="TimesNewRoman"/>
          <w:szCs w:val="22"/>
        </w:rPr>
        <w:t xml:space="preserve"> gydyti sunkia inkstų liga sergantiems suaugusiems pacientams, kuriems reikalinga dializė, kad galima būtų išvalyti kraują nuo nereikalingų medžiagų.</w:t>
      </w:r>
    </w:p>
    <w:p w:rsidR="00CA71C3" w:rsidRPr="00BA59BA" w:rsidRDefault="00CA71C3" w:rsidP="00CA71C3">
      <w:pPr>
        <w:numPr>
          <w:ilvl w:val="0"/>
          <w:numId w:val="3"/>
        </w:numPr>
        <w:autoSpaceDE w:val="0"/>
        <w:autoSpaceDN w:val="0"/>
        <w:adjustRightInd w:val="0"/>
        <w:rPr>
          <w:rFonts w:eastAsia="TimesNewRoman"/>
          <w:szCs w:val="22"/>
        </w:rPr>
      </w:pPr>
      <w:r w:rsidRPr="00BA59BA">
        <w:rPr>
          <w:rFonts w:eastAsia="TimesNewRoman"/>
          <w:szCs w:val="22"/>
        </w:rPr>
        <w:t>padidėjusiems kalcio lygiams kraujyje (</w:t>
      </w:r>
      <w:proofErr w:type="spellStart"/>
      <w:r w:rsidRPr="00BA59BA">
        <w:rPr>
          <w:rFonts w:eastAsia="TimesNewRoman"/>
          <w:szCs w:val="22"/>
        </w:rPr>
        <w:t>hiperkalcemijai</w:t>
      </w:r>
      <w:proofErr w:type="spellEnd"/>
      <w:r w:rsidRPr="00BA59BA">
        <w:rPr>
          <w:rFonts w:eastAsia="TimesNewRoman"/>
          <w:szCs w:val="22"/>
        </w:rPr>
        <w:t xml:space="preserve">) mažinti </w:t>
      </w:r>
      <w:proofErr w:type="spellStart"/>
      <w:r w:rsidRPr="00BA59BA">
        <w:rPr>
          <w:rFonts w:eastAsia="TimesNewRoman"/>
          <w:szCs w:val="22"/>
        </w:rPr>
        <w:t>prieskydinių</w:t>
      </w:r>
      <w:proofErr w:type="spellEnd"/>
      <w:r w:rsidRPr="00BA59BA">
        <w:rPr>
          <w:rFonts w:eastAsia="TimesNewRoman"/>
          <w:szCs w:val="22"/>
        </w:rPr>
        <w:t xml:space="preserve"> liaukų vėžiu sergantiems suaugusiems pacientams.</w:t>
      </w:r>
    </w:p>
    <w:p w:rsidR="00CA71C3" w:rsidRPr="00BA59BA" w:rsidRDefault="00CA71C3" w:rsidP="00CA71C3">
      <w:pPr>
        <w:numPr>
          <w:ilvl w:val="0"/>
          <w:numId w:val="3"/>
        </w:numPr>
        <w:autoSpaceDE w:val="0"/>
        <w:autoSpaceDN w:val="0"/>
        <w:adjustRightInd w:val="0"/>
        <w:rPr>
          <w:rFonts w:eastAsia="TimesNewRoman"/>
          <w:szCs w:val="22"/>
        </w:rPr>
      </w:pPr>
      <w:r w:rsidRPr="00BA59BA">
        <w:rPr>
          <w:rFonts w:eastAsia="TimesNewRoman"/>
          <w:szCs w:val="22"/>
        </w:rPr>
        <w:t>padidėjusiems kalcio lygiams kraujyje (</w:t>
      </w:r>
      <w:proofErr w:type="spellStart"/>
      <w:r w:rsidRPr="00BA59BA">
        <w:rPr>
          <w:rFonts w:eastAsia="TimesNewRoman"/>
          <w:szCs w:val="22"/>
        </w:rPr>
        <w:t>hiperkalcemijai</w:t>
      </w:r>
      <w:proofErr w:type="spellEnd"/>
      <w:r w:rsidRPr="00BA59BA">
        <w:rPr>
          <w:rFonts w:eastAsia="TimesNewRoman"/>
          <w:szCs w:val="22"/>
        </w:rPr>
        <w:t xml:space="preserve">) mažinti pirmine </w:t>
      </w:r>
      <w:proofErr w:type="spellStart"/>
      <w:r w:rsidRPr="00BA59BA">
        <w:rPr>
          <w:rFonts w:eastAsia="TimesNewRoman"/>
          <w:szCs w:val="22"/>
        </w:rPr>
        <w:t>hiperparatiroze</w:t>
      </w:r>
      <w:proofErr w:type="spellEnd"/>
      <w:r w:rsidRPr="00BA59BA">
        <w:rPr>
          <w:rFonts w:eastAsia="TimesNewRoman"/>
          <w:szCs w:val="22"/>
        </w:rPr>
        <w:t xml:space="preserve"> sergantiems  suaugusiems pacientams, kuriems </w:t>
      </w:r>
      <w:proofErr w:type="spellStart"/>
      <w:r w:rsidRPr="00BA59BA">
        <w:rPr>
          <w:rFonts w:eastAsia="TimesNewRoman"/>
          <w:szCs w:val="22"/>
        </w:rPr>
        <w:t>prieskydinės</w:t>
      </w:r>
      <w:proofErr w:type="spellEnd"/>
      <w:r w:rsidRPr="00BA59BA">
        <w:rPr>
          <w:rFonts w:eastAsia="TimesNewRoman"/>
          <w:szCs w:val="22"/>
        </w:rPr>
        <w:t xml:space="preserve"> liaukos neįmanoma pašalinti.</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pStyle w:val="Default"/>
        <w:rPr>
          <w:sz w:val="22"/>
          <w:szCs w:val="22"/>
        </w:rPr>
      </w:pPr>
      <w:proofErr w:type="spellStart"/>
      <w:r w:rsidRPr="00BA59BA">
        <w:rPr>
          <w:sz w:val="22"/>
          <w:szCs w:val="22"/>
        </w:rPr>
        <w:t>Cinacalcet</w:t>
      </w:r>
      <w:proofErr w:type="spellEnd"/>
      <w:r w:rsidRPr="00BA59BA">
        <w:rPr>
          <w:sz w:val="22"/>
          <w:szCs w:val="22"/>
        </w:rPr>
        <w:t xml:space="preserve"> </w:t>
      </w:r>
      <w:proofErr w:type="spellStart"/>
      <w:r w:rsidRPr="00BA59BA">
        <w:rPr>
          <w:sz w:val="22"/>
          <w:szCs w:val="22"/>
        </w:rPr>
        <w:t>Sandoz</w:t>
      </w:r>
      <w:proofErr w:type="spellEnd"/>
      <w:r w:rsidRPr="00BA59BA">
        <w:rPr>
          <w:sz w:val="22"/>
          <w:szCs w:val="22"/>
        </w:rPr>
        <w:t xml:space="preserve"> vartojamas vaikams nuo 3 iki mažiau negu 18 metų amžiaus: </w:t>
      </w:r>
    </w:p>
    <w:p w:rsidR="00CA71C3" w:rsidRPr="003528EB" w:rsidRDefault="00CA71C3" w:rsidP="00CA71C3">
      <w:pPr>
        <w:numPr>
          <w:ilvl w:val="1"/>
          <w:numId w:val="7"/>
        </w:numPr>
        <w:autoSpaceDE w:val="0"/>
        <w:autoSpaceDN w:val="0"/>
        <w:adjustRightInd w:val="0"/>
        <w:ind w:left="567" w:hanging="567"/>
        <w:rPr>
          <w:rFonts w:eastAsia="TimesNewRoman"/>
          <w:szCs w:val="22"/>
        </w:rPr>
      </w:pPr>
      <w:r w:rsidRPr="00BA59BA">
        <w:rPr>
          <w:szCs w:val="22"/>
        </w:rPr>
        <w:t xml:space="preserve">antrinei </w:t>
      </w:r>
      <w:proofErr w:type="spellStart"/>
      <w:r w:rsidRPr="00BA59BA">
        <w:rPr>
          <w:szCs w:val="22"/>
        </w:rPr>
        <w:t>hiperparatirozei</w:t>
      </w:r>
      <w:proofErr w:type="spellEnd"/>
      <w:r w:rsidRPr="00BA59BA">
        <w:rPr>
          <w:szCs w:val="22"/>
        </w:rPr>
        <w:t xml:space="preserve"> gydyti sunkia inkstų liga sergantiems pacientams, kuriems reikalinga dializė, kad galima būtų išvalyti kraują nuo nereikalingų medžiagų ir kurių būklė nėra tinkamai reguliuojama kitais gydymo būdais.</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szCs w:val="22"/>
        </w:rPr>
      </w:pPr>
      <w:r w:rsidRPr="00BA59BA">
        <w:rPr>
          <w:rFonts w:eastAsia="TimesNewRoman"/>
          <w:szCs w:val="22"/>
        </w:rPr>
        <w:t xml:space="preserve">Pirminės ir antrinės </w:t>
      </w:r>
      <w:proofErr w:type="spellStart"/>
      <w:r w:rsidRPr="00BA59BA">
        <w:rPr>
          <w:rFonts w:eastAsia="TimesNewRoman"/>
          <w:szCs w:val="22"/>
        </w:rPr>
        <w:t>hiperparatirozės</w:t>
      </w:r>
      <w:proofErr w:type="spellEnd"/>
      <w:r w:rsidRPr="00BA59BA">
        <w:rPr>
          <w:rFonts w:eastAsia="TimesNewRoman"/>
          <w:szCs w:val="22"/>
        </w:rPr>
        <w:t xml:space="preserve"> metu </w:t>
      </w:r>
      <w:proofErr w:type="spellStart"/>
      <w:r w:rsidRPr="00BA59BA">
        <w:rPr>
          <w:rFonts w:eastAsia="TimesNewRoman"/>
          <w:szCs w:val="22"/>
        </w:rPr>
        <w:t>prieskydinės</w:t>
      </w:r>
      <w:proofErr w:type="spellEnd"/>
      <w:r w:rsidRPr="00BA59BA">
        <w:rPr>
          <w:rFonts w:eastAsia="TimesNewRoman"/>
          <w:szCs w:val="22"/>
        </w:rPr>
        <w:t xml:space="preserve"> liaukos gamina per daug PTH. „Pirminė“ reiškia, kad </w:t>
      </w:r>
      <w:proofErr w:type="spellStart"/>
      <w:r w:rsidRPr="00BA59BA">
        <w:rPr>
          <w:rFonts w:eastAsia="TimesNewRoman"/>
          <w:szCs w:val="22"/>
        </w:rPr>
        <w:t>hiperparatirozės</w:t>
      </w:r>
      <w:proofErr w:type="spellEnd"/>
      <w:r w:rsidRPr="00BA59BA">
        <w:rPr>
          <w:rFonts w:eastAsia="TimesNewRoman"/>
          <w:szCs w:val="22"/>
        </w:rPr>
        <w:t xml:space="preserve"> nesukelia jokia kita liga, o „antrinė“ reiškia, kad </w:t>
      </w:r>
      <w:proofErr w:type="spellStart"/>
      <w:r w:rsidRPr="00BA59BA">
        <w:rPr>
          <w:rFonts w:eastAsia="TimesNewRoman"/>
          <w:szCs w:val="22"/>
        </w:rPr>
        <w:t>hiperparatirozė</w:t>
      </w:r>
      <w:proofErr w:type="spellEnd"/>
      <w:r w:rsidRPr="00BA59BA">
        <w:rPr>
          <w:rFonts w:eastAsia="TimesNewRoman"/>
          <w:szCs w:val="22"/>
        </w:rPr>
        <w:t xml:space="preserve"> yra sukelta kitos būklės, pvz., inkstų ligos. Dėl abiejų, pirminės ir antrinės </w:t>
      </w:r>
      <w:proofErr w:type="spellStart"/>
      <w:r w:rsidRPr="00BA59BA">
        <w:rPr>
          <w:rFonts w:eastAsia="TimesNewRoman"/>
          <w:szCs w:val="22"/>
        </w:rPr>
        <w:t>hiperparatirozės</w:t>
      </w:r>
      <w:proofErr w:type="spellEnd"/>
      <w:r w:rsidRPr="00BA59BA">
        <w:rPr>
          <w:rFonts w:eastAsia="TimesNewRoman"/>
          <w:szCs w:val="22"/>
        </w:rPr>
        <w:t xml:space="preserve"> kauluose gali mažėti kalcio kiekis, todėl gali skaudėti kaulus, jie gali lūžti, gali atsirasti kraujo ir širdies kraujagyslių sutrikimų, akmenų inkstuose, pasireikšti psichinė liga, ištikti koma.</w:t>
      </w:r>
      <w:r w:rsidRPr="00BA59BA">
        <w:rPr>
          <w:szCs w:val="22"/>
        </w:rPr>
        <w:t xml:space="preserve"> </w:t>
      </w:r>
    </w:p>
    <w:p w:rsidR="00CA71C3" w:rsidRPr="00BA59BA" w:rsidRDefault="00CA71C3" w:rsidP="00CA71C3">
      <w:pPr>
        <w:tabs>
          <w:tab w:val="left" w:pos="567"/>
        </w:tabs>
        <w:rPr>
          <w:szCs w:val="22"/>
        </w:rPr>
      </w:pPr>
    </w:p>
    <w:p w:rsidR="00CA71C3" w:rsidRPr="00BA59BA" w:rsidRDefault="00CA71C3" w:rsidP="00CA71C3">
      <w:pPr>
        <w:tabs>
          <w:tab w:val="left" w:pos="567"/>
        </w:tabs>
        <w:jc w:val="both"/>
        <w:rPr>
          <w:szCs w:val="22"/>
        </w:rPr>
      </w:pPr>
    </w:p>
    <w:p w:rsidR="00CA71C3" w:rsidRPr="00BA59BA" w:rsidRDefault="00CA71C3" w:rsidP="00CA71C3">
      <w:pPr>
        <w:keepNext/>
        <w:tabs>
          <w:tab w:val="left" w:pos="567"/>
        </w:tabs>
        <w:outlineLvl w:val="1"/>
        <w:rPr>
          <w:b/>
          <w:szCs w:val="22"/>
        </w:rPr>
      </w:pPr>
      <w:r w:rsidRPr="00BA59BA">
        <w:rPr>
          <w:b/>
          <w:szCs w:val="22"/>
        </w:rPr>
        <w:t>2.</w:t>
      </w:r>
      <w:r w:rsidRPr="00BA59BA">
        <w:rPr>
          <w:b/>
          <w:szCs w:val="22"/>
        </w:rPr>
        <w:tab/>
        <w:t xml:space="preserve">Kas žinotina prieš vartojant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rsidR="00CA71C3" w:rsidRPr="00BA59BA" w:rsidRDefault="00CA71C3" w:rsidP="00CA71C3">
      <w:pPr>
        <w:autoSpaceDE w:val="0"/>
        <w:autoSpaceDN w:val="0"/>
        <w:adjustRightInd w:val="0"/>
        <w:ind w:left="567" w:hanging="568"/>
        <w:rPr>
          <w:b/>
          <w:color w:val="000000"/>
          <w:szCs w:val="22"/>
        </w:rPr>
      </w:pPr>
    </w:p>
    <w:p w:rsidR="00CA71C3" w:rsidRPr="00BA59BA" w:rsidRDefault="00CA71C3" w:rsidP="00CA71C3">
      <w:pPr>
        <w:autoSpaceDE w:val="0"/>
        <w:autoSpaceDN w:val="0"/>
        <w:adjustRightInd w:val="0"/>
        <w:ind w:left="567" w:hanging="568"/>
        <w:rPr>
          <w:color w:val="000000"/>
          <w:szCs w:val="22"/>
        </w:rPr>
      </w:pPr>
      <w:proofErr w:type="spellStart"/>
      <w:r w:rsidRPr="00BA59BA">
        <w:rPr>
          <w:b/>
          <w:color w:val="000000"/>
          <w:szCs w:val="22"/>
        </w:rPr>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vartoti negalima: </w:t>
      </w:r>
    </w:p>
    <w:p w:rsidR="00CA71C3" w:rsidRPr="00BA59BA" w:rsidRDefault="00CA71C3" w:rsidP="00CA71C3">
      <w:pPr>
        <w:numPr>
          <w:ilvl w:val="0"/>
          <w:numId w:val="4"/>
        </w:numPr>
        <w:autoSpaceDE w:val="0"/>
        <w:autoSpaceDN w:val="0"/>
        <w:adjustRightInd w:val="0"/>
        <w:rPr>
          <w:color w:val="000000"/>
          <w:szCs w:val="22"/>
        </w:rPr>
      </w:pPr>
      <w:r w:rsidRPr="00BA59BA">
        <w:rPr>
          <w:color w:val="000000"/>
          <w:szCs w:val="22"/>
        </w:rPr>
        <w:t xml:space="preserve">jeigu yra alergija </w:t>
      </w:r>
      <w:proofErr w:type="spellStart"/>
      <w:r w:rsidRPr="00BA59BA">
        <w:rPr>
          <w:b/>
          <w:color w:val="000000"/>
          <w:szCs w:val="22"/>
        </w:rPr>
        <w:t>cinakalcetui</w:t>
      </w:r>
      <w:proofErr w:type="spellEnd"/>
      <w:r w:rsidRPr="00BA59BA">
        <w:rPr>
          <w:b/>
          <w:color w:val="000000"/>
          <w:szCs w:val="22"/>
        </w:rPr>
        <w:t xml:space="preserve"> arba bet kuriai pagalbinei</w:t>
      </w:r>
      <w:r w:rsidRPr="00BA59BA">
        <w:rPr>
          <w:color w:val="000000"/>
          <w:szCs w:val="22"/>
        </w:rPr>
        <w:t xml:space="preserve"> šio vaisto </w:t>
      </w:r>
      <w:r w:rsidRPr="00BA59BA">
        <w:rPr>
          <w:b/>
          <w:color w:val="000000"/>
          <w:szCs w:val="22"/>
        </w:rPr>
        <w:t>medžiagai</w:t>
      </w:r>
      <w:r w:rsidRPr="00BA59BA">
        <w:rPr>
          <w:color w:val="000000"/>
          <w:szCs w:val="22"/>
        </w:rPr>
        <w:t xml:space="preserve"> (jos išvardytos 6 skyriuje). </w:t>
      </w:r>
    </w:p>
    <w:p w:rsidR="00CA71C3" w:rsidRPr="00BA59BA" w:rsidRDefault="00CA71C3" w:rsidP="00CA71C3">
      <w:pPr>
        <w:autoSpaceDE w:val="0"/>
        <w:autoSpaceDN w:val="0"/>
        <w:adjustRightInd w:val="0"/>
        <w:rPr>
          <w:b/>
          <w:color w:val="000000"/>
          <w:szCs w:val="22"/>
        </w:rPr>
      </w:pPr>
    </w:p>
    <w:p w:rsidR="00CA71C3" w:rsidRPr="003528EB" w:rsidRDefault="00CA71C3" w:rsidP="00CA71C3">
      <w:pPr>
        <w:autoSpaceDE w:val="0"/>
        <w:autoSpaceDN w:val="0"/>
        <w:adjustRightInd w:val="0"/>
        <w:rPr>
          <w:color w:val="000000"/>
          <w:szCs w:val="22"/>
        </w:rPr>
      </w:pPr>
      <w:r w:rsidRPr="00BA59BA">
        <w:rPr>
          <w:b/>
          <w:color w:val="000000"/>
          <w:szCs w:val="22"/>
        </w:rPr>
        <w:t xml:space="preserve">Nevartokite </w:t>
      </w:r>
      <w:proofErr w:type="spellStart"/>
      <w:r w:rsidRPr="00BA59BA">
        <w:rPr>
          <w:b/>
          <w:color w:val="000000"/>
          <w:szCs w:val="22"/>
        </w:rPr>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w:t>
      </w:r>
      <w:r w:rsidRPr="003528EB">
        <w:rPr>
          <w:color w:val="000000"/>
          <w:szCs w:val="22"/>
        </w:rPr>
        <w:t xml:space="preserve">jeigu </w:t>
      </w:r>
      <w:r w:rsidRPr="00BA59BA">
        <w:rPr>
          <w:color w:val="000000"/>
          <w:szCs w:val="22"/>
        </w:rPr>
        <w:t xml:space="preserve">yra žemi </w:t>
      </w:r>
      <w:r w:rsidRPr="003528EB">
        <w:rPr>
          <w:color w:val="000000"/>
          <w:szCs w:val="22"/>
        </w:rPr>
        <w:t xml:space="preserve">kalcio </w:t>
      </w:r>
      <w:r w:rsidRPr="00BA59BA">
        <w:rPr>
          <w:color w:val="000000"/>
          <w:szCs w:val="22"/>
        </w:rPr>
        <w:t>lygiai</w:t>
      </w:r>
      <w:r w:rsidRPr="003528EB">
        <w:rPr>
          <w:color w:val="000000"/>
          <w:szCs w:val="22"/>
        </w:rPr>
        <w:t xml:space="preserve"> Jūsų kraujyje. Jūsų gydytojas stebės kalcio </w:t>
      </w:r>
      <w:r w:rsidRPr="00BA59BA">
        <w:rPr>
          <w:color w:val="000000"/>
          <w:szCs w:val="22"/>
        </w:rPr>
        <w:t>lygius Jūsų</w:t>
      </w:r>
      <w:r w:rsidRPr="003528EB">
        <w:rPr>
          <w:color w:val="000000"/>
          <w:szCs w:val="22"/>
        </w:rPr>
        <w:t xml:space="preserve"> kraujyje.</w:t>
      </w:r>
    </w:p>
    <w:p w:rsidR="00CA71C3" w:rsidRPr="00BA59BA" w:rsidRDefault="00CA71C3" w:rsidP="00CA71C3">
      <w:pPr>
        <w:autoSpaceDE w:val="0"/>
        <w:autoSpaceDN w:val="0"/>
        <w:adjustRightInd w:val="0"/>
        <w:rPr>
          <w:b/>
          <w:color w:val="000000"/>
          <w:szCs w:val="22"/>
        </w:rPr>
      </w:pPr>
    </w:p>
    <w:p w:rsidR="00CA71C3" w:rsidRPr="00BA59BA" w:rsidRDefault="00CA71C3" w:rsidP="00CA71C3">
      <w:pPr>
        <w:autoSpaceDE w:val="0"/>
        <w:autoSpaceDN w:val="0"/>
        <w:adjustRightInd w:val="0"/>
        <w:rPr>
          <w:color w:val="000000"/>
          <w:szCs w:val="22"/>
        </w:rPr>
      </w:pPr>
      <w:r w:rsidRPr="00BA59BA">
        <w:rPr>
          <w:b/>
          <w:color w:val="000000"/>
          <w:szCs w:val="22"/>
        </w:rPr>
        <w:t xml:space="preserve">Įspėjimai ir atsargumo priemonės </w:t>
      </w:r>
    </w:p>
    <w:p w:rsidR="00CA71C3" w:rsidRPr="00BA59BA" w:rsidRDefault="00CA71C3" w:rsidP="00CA71C3">
      <w:pPr>
        <w:autoSpaceDE w:val="0"/>
        <w:autoSpaceDN w:val="0"/>
        <w:adjustRightInd w:val="0"/>
        <w:rPr>
          <w:color w:val="000000"/>
          <w:szCs w:val="22"/>
        </w:rPr>
      </w:pPr>
      <w:r w:rsidRPr="00BA59BA">
        <w:rPr>
          <w:color w:val="000000"/>
          <w:szCs w:val="22"/>
        </w:rPr>
        <w:t xml:space="preserve">Pasitarkite su gydytoju arba vaistininku, prieš pradėdami vartoti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Prieš pradėdami vartoti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pasakykite gydytojui, jeigu Jums yra ar kada nors buvo:</w:t>
      </w:r>
    </w:p>
    <w:p w:rsidR="00CA71C3" w:rsidRPr="00BA59BA" w:rsidRDefault="00CA71C3" w:rsidP="00CA71C3">
      <w:pPr>
        <w:numPr>
          <w:ilvl w:val="0"/>
          <w:numId w:val="4"/>
        </w:numPr>
        <w:autoSpaceDE w:val="0"/>
        <w:autoSpaceDN w:val="0"/>
        <w:adjustRightInd w:val="0"/>
        <w:rPr>
          <w:rFonts w:eastAsia="TimesNewRoman"/>
          <w:szCs w:val="22"/>
        </w:rPr>
      </w:pPr>
      <w:r w:rsidRPr="00BA59BA">
        <w:rPr>
          <w:rFonts w:eastAsia="TimesNewRoman,Bold"/>
          <w:b/>
          <w:szCs w:val="22"/>
        </w:rPr>
        <w:t xml:space="preserve">priepuolių </w:t>
      </w:r>
      <w:r w:rsidRPr="00BA59BA">
        <w:rPr>
          <w:rFonts w:eastAsia="TimesNewRoman"/>
          <w:szCs w:val="22"/>
        </w:rPr>
        <w:t>(traukulių ar konvulsijų). Priepuolių rizika yra didesnė pacientams, kuriems jų yra buvę anksčiau;</w:t>
      </w:r>
    </w:p>
    <w:p w:rsidR="00CA71C3" w:rsidRPr="00BA59BA" w:rsidRDefault="00CA71C3" w:rsidP="00CA71C3">
      <w:pPr>
        <w:numPr>
          <w:ilvl w:val="0"/>
          <w:numId w:val="4"/>
        </w:numPr>
        <w:autoSpaceDE w:val="0"/>
        <w:autoSpaceDN w:val="0"/>
        <w:adjustRightInd w:val="0"/>
        <w:rPr>
          <w:rFonts w:eastAsia="TimesNewRoman"/>
          <w:szCs w:val="22"/>
        </w:rPr>
      </w:pPr>
      <w:r w:rsidRPr="00BA59BA">
        <w:rPr>
          <w:rFonts w:eastAsia="TimesNewRoman,Bold"/>
          <w:b/>
          <w:szCs w:val="22"/>
        </w:rPr>
        <w:t>kepenų sutrikimų</w:t>
      </w:r>
      <w:r w:rsidRPr="00BA59BA">
        <w:rPr>
          <w:rFonts w:eastAsia="TimesNewRoman"/>
          <w:szCs w:val="22"/>
        </w:rPr>
        <w:t>;</w:t>
      </w:r>
    </w:p>
    <w:p w:rsidR="00CA71C3" w:rsidRPr="00BA59BA" w:rsidRDefault="00CA71C3" w:rsidP="00CA71C3">
      <w:pPr>
        <w:numPr>
          <w:ilvl w:val="0"/>
          <w:numId w:val="4"/>
        </w:numPr>
        <w:autoSpaceDE w:val="0"/>
        <w:autoSpaceDN w:val="0"/>
        <w:adjustRightInd w:val="0"/>
        <w:rPr>
          <w:rFonts w:eastAsia="TimesNewRoman"/>
          <w:b/>
          <w:szCs w:val="22"/>
        </w:rPr>
      </w:pPr>
      <w:r w:rsidRPr="00BA59BA">
        <w:rPr>
          <w:rFonts w:eastAsia="TimesNewRoman"/>
          <w:b/>
          <w:szCs w:val="22"/>
        </w:rPr>
        <w:t>širdies nepakankamumas.</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mažina kalcio lygius.</w:t>
      </w:r>
    </w:p>
    <w:p w:rsidR="00CA71C3" w:rsidRPr="00BA59BA" w:rsidRDefault="00CA71C3" w:rsidP="00CA71C3">
      <w:pPr>
        <w:autoSpaceDE w:val="0"/>
        <w:autoSpaceDN w:val="0"/>
        <w:adjustRightInd w:val="0"/>
        <w:rPr>
          <w:rFonts w:eastAsia="TimesNewRoman"/>
          <w:szCs w:val="22"/>
        </w:rPr>
      </w:pPr>
      <w:r w:rsidRPr="00BA59BA">
        <w:rPr>
          <w:rFonts w:eastAsia="TimesNewRoman"/>
          <w:szCs w:val="22"/>
        </w:rPr>
        <w:t>Buvo pranešta apie gyvybei pavojingus reiškinius ir mirties atvejus, susijusius su mažais kalcio lygiais kraujyje (</w:t>
      </w:r>
      <w:proofErr w:type="spellStart"/>
      <w:r w:rsidRPr="00BA59BA">
        <w:rPr>
          <w:rFonts w:eastAsia="TimesNewRoman"/>
          <w:szCs w:val="22"/>
        </w:rPr>
        <w:t>hipokalcemija</w:t>
      </w:r>
      <w:proofErr w:type="spellEnd"/>
      <w:r w:rsidRPr="00BA59BA">
        <w:rPr>
          <w:rFonts w:eastAsia="TimesNewRoman"/>
          <w:szCs w:val="22"/>
        </w:rPr>
        <w:t xml:space="preserve">) </w:t>
      </w:r>
      <w:proofErr w:type="spellStart"/>
      <w:r w:rsidRPr="00BA59BA">
        <w:rPr>
          <w:rFonts w:eastAsia="TimesNewRoman"/>
          <w:szCs w:val="22"/>
        </w:rPr>
        <w:t>cinakalcetu</w:t>
      </w:r>
      <w:proofErr w:type="spellEnd"/>
      <w:r w:rsidRPr="00BA59BA">
        <w:rPr>
          <w:rFonts w:eastAsia="TimesNewRoman"/>
          <w:szCs w:val="22"/>
        </w:rPr>
        <w:t xml:space="preserve"> gydomiems suaugusiesiems ir vaikams.</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Pasakykite savo gydytojui, jeigu pasireiškia bet kuris iš šių simptomų, kuris gali būti žemų kalcio lygių požymis: Jūsų raumenų spazmai ar trūkčiojimai, tirpulys ar dilgčiojimas Jūsų rankų, kojų pirštuose ar aplink burną arba traukuliai, sumišimas ar sąmonės praradimas gydymo </w:t>
      </w: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metu.</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Maži kalcio lygiai gali daryti įtaką Jūsų širdies ritmui. Pasakykite savo gydytojui, jeigu vartojant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jaučiate neįprastai stiprų širdies plakimą, Jums yra širdies ritmo sutrikimų arba vartojate vaistų, kurie gali sukelti širdies ritmo sutrikimus.</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Daugiau informacijos žr. 4 skyriuje.</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Gydymo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metu pasakykite gydytojui:</w:t>
      </w:r>
    </w:p>
    <w:p w:rsidR="00CA71C3" w:rsidRPr="00BA59BA" w:rsidRDefault="00CA71C3" w:rsidP="00CA71C3">
      <w:pPr>
        <w:numPr>
          <w:ilvl w:val="0"/>
          <w:numId w:val="5"/>
        </w:numPr>
        <w:autoSpaceDE w:val="0"/>
        <w:autoSpaceDN w:val="0"/>
        <w:adjustRightInd w:val="0"/>
        <w:rPr>
          <w:rFonts w:eastAsia="TimesNewRoman"/>
          <w:szCs w:val="22"/>
        </w:rPr>
      </w:pPr>
      <w:r w:rsidRPr="00BA59BA">
        <w:rPr>
          <w:rFonts w:eastAsia="TimesNewRoman"/>
          <w:szCs w:val="22"/>
        </w:rPr>
        <w:t xml:space="preserve">jei pradedate ar metate rūkyti, nes tai gali įtakoti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poveikį.</w:t>
      </w:r>
    </w:p>
    <w:p w:rsidR="00CA71C3" w:rsidRPr="00BA59BA" w:rsidRDefault="00CA71C3" w:rsidP="00CA71C3">
      <w:pPr>
        <w:autoSpaceDE w:val="0"/>
        <w:autoSpaceDN w:val="0"/>
        <w:adjustRightInd w:val="0"/>
        <w:rPr>
          <w:rFonts w:eastAsia="TimesNewRoman"/>
          <w:b/>
          <w:szCs w:val="22"/>
        </w:rPr>
      </w:pPr>
    </w:p>
    <w:p w:rsidR="00CA71C3" w:rsidRPr="00BA59BA" w:rsidRDefault="00CA71C3" w:rsidP="00CA71C3">
      <w:pPr>
        <w:autoSpaceDE w:val="0"/>
        <w:autoSpaceDN w:val="0"/>
        <w:adjustRightInd w:val="0"/>
        <w:rPr>
          <w:rFonts w:eastAsia="TimesNewRoman"/>
          <w:b/>
          <w:szCs w:val="22"/>
        </w:rPr>
      </w:pPr>
      <w:r w:rsidRPr="00BA59BA">
        <w:rPr>
          <w:rFonts w:eastAsia="TimesNewRoman"/>
          <w:b/>
          <w:szCs w:val="22"/>
        </w:rPr>
        <w:t>Vaikams ir paaugliams</w:t>
      </w: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Jaunesniems nei 18 metų vaikams, kuriems yra </w:t>
      </w:r>
      <w:proofErr w:type="spellStart"/>
      <w:r w:rsidRPr="00BA59BA">
        <w:rPr>
          <w:rFonts w:eastAsia="TimesNewRoman"/>
          <w:szCs w:val="22"/>
        </w:rPr>
        <w:t>prieskydinių</w:t>
      </w:r>
      <w:proofErr w:type="spellEnd"/>
      <w:r w:rsidRPr="00BA59BA">
        <w:rPr>
          <w:rFonts w:eastAsia="TimesNewRoman"/>
          <w:szCs w:val="22"/>
        </w:rPr>
        <w:t xml:space="preserve"> liaukų vėžys ar pirminė </w:t>
      </w:r>
      <w:proofErr w:type="spellStart"/>
      <w:r w:rsidRPr="00BA59BA">
        <w:rPr>
          <w:rFonts w:eastAsia="TimesNewRoman"/>
          <w:szCs w:val="22"/>
        </w:rPr>
        <w:t>hiperparatirozė</w:t>
      </w:r>
      <w:proofErr w:type="spellEnd"/>
      <w:r w:rsidRPr="00BA59BA">
        <w:rPr>
          <w:rFonts w:eastAsia="TimesNewRoman"/>
          <w:szCs w:val="22"/>
        </w:rPr>
        <w:t xml:space="preserve">,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vartoti negalima.</w:t>
      </w:r>
    </w:p>
    <w:p w:rsidR="00CA71C3" w:rsidRPr="00BA59BA" w:rsidRDefault="00CA71C3" w:rsidP="00CA71C3">
      <w:pPr>
        <w:autoSpaceDE w:val="0"/>
        <w:autoSpaceDN w:val="0"/>
        <w:adjustRightInd w:val="0"/>
        <w:rPr>
          <w:b/>
          <w:color w:val="000000"/>
          <w:szCs w:val="22"/>
        </w:rPr>
      </w:pPr>
    </w:p>
    <w:p w:rsidR="00CA71C3" w:rsidRPr="003528EB" w:rsidRDefault="00CA71C3" w:rsidP="00CA71C3">
      <w:pPr>
        <w:autoSpaceDE w:val="0"/>
        <w:autoSpaceDN w:val="0"/>
        <w:adjustRightInd w:val="0"/>
        <w:rPr>
          <w:color w:val="000000"/>
          <w:szCs w:val="22"/>
        </w:rPr>
      </w:pPr>
      <w:r w:rsidRPr="003528EB">
        <w:rPr>
          <w:color w:val="000000"/>
          <w:szCs w:val="22"/>
        </w:rPr>
        <w:t xml:space="preserve">Jeigu gydoma antrinė </w:t>
      </w:r>
      <w:proofErr w:type="spellStart"/>
      <w:r w:rsidRPr="003528EB">
        <w:rPr>
          <w:color w:val="000000"/>
          <w:szCs w:val="22"/>
        </w:rPr>
        <w:t>hiperparatirozė</w:t>
      </w:r>
      <w:proofErr w:type="spellEnd"/>
      <w:r w:rsidRPr="003528EB">
        <w:rPr>
          <w:color w:val="000000"/>
          <w:szCs w:val="22"/>
        </w:rPr>
        <w:t xml:space="preserve">, prieš pradedant gydymą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3528EB">
        <w:rPr>
          <w:color w:val="000000"/>
          <w:szCs w:val="22"/>
        </w:rPr>
        <w:t xml:space="preserve"> ir gydymo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3528EB">
        <w:rPr>
          <w:color w:val="000000"/>
          <w:szCs w:val="22"/>
        </w:rPr>
        <w:t xml:space="preserve"> metu </w:t>
      </w:r>
      <w:r w:rsidRPr="00BA59BA">
        <w:rPr>
          <w:color w:val="000000"/>
          <w:szCs w:val="22"/>
        </w:rPr>
        <w:t xml:space="preserve">Jūsų </w:t>
      </w:r>
      <w:r w:rsidRPr="003528EB">
        <w:rPr>
          <w:color w:val="000000"/>
          <w:szCs w:val="22"/>
        </w:rPr>
        <w:t xml:space="preserve">gydytojas </w:t>
      </w:r>
      <w:r w:rsidRPr="00BA59BA">
        <w:rPr>
          <w:color w:val="000000"/>
          <w:szCs w:val="22"/>
        </w:rPr>
        <w:t xml:space="preserve">tikrins </w:t>
      </w:r>
      <w:r w:rsidRPr="003528EB">
        <w:rPr>
          <w:color w:val="000000"/>
          <w:szCs w:val="22"/>
        </w:rPr>
        <w:t xml:space="preserve">kalcio </w:t>
      </w:r>
      <w:r w:rsidRPr="00BA59BA">
        <w:rPr>
          <w:color w:val="000000"/>
          <w:szCs w:val="22"/>
        </w:rPr>
        <w:t>lygius</w:t>
      </w:r>
      <w:r w:rsidRPr="003528EB">
        <w:rPr>
          <w:color w:val="000000"/>
          <w:szCs w:val="22"/>
        </w:rPr>
        <w:t xml:space="preserve">. </w:t>
      </w:r>
      <w:r w:rsidRPr="00BA59BA">
        <w:rPr>
          <w:color w:val="000000"/>
          <w:szCs w:val="22"/>
        </w:rPr>
        <w:t>Turite pasakyti savo</w:t>
      </w:r>
      <w:r w:rsidRPr="003528EB">
        <w:rPr>
          <w:color w:val="000000"/>
          <w:szCs w:val="22"/>
        </w:rPr>
        <w:t xml:space="preserve"> gydytojui, jei</w:t>
      </w:r>
      <w:r w:rsidRPr="00BA59BA">
        <w:rPr>
          <w:color w:val="000000"/>
          <w:szCs w:val="22"/>
        </w:rPr>
        <w:t>gu</w:t>
      </w:r>
      <w:r w:rsidRPr="003528EB">
        <w:rPr>
          <w:color w:val="000000"/>
          <w:szCs w:val="22"/>
        </w:rPr>
        <w:t xml:space="preserve"> pasireiškia bet kok</w:t>
      </w:r>
      <w:r w:rsidRPr="00BA59BA">
        <w:rPr>
          <w:color w:val="000000"/>
          <w:szCs w:val="22"/>
        </w:rPr>
        <w:t>ių</w:t>
      </w:r>
      <w:r w:rsidRPr="003528EB">
        <w:rPr>
          <w:color w:val="000000"/>
          <w:szCs w:val="22"/>
        </w:rPr>
        <w:t xml:space="preserve"> anksčiau aprašyt</w:t>
      </w:r>
      <w:r w:rsidRPr="00BA59BA">
        <w:rPr>
          <w:color w:val="000000"/>
          <w:szCs w:val="22"/>
        </w:rPr>
        <w:t>ų</w:t>
      </w:r>
      <w:r w:rsidRPr="003528EB">
        <w:rPr>
          <w:color w:val="000000"/>
          <w:szCs w:val="22"/>
        </w:rPr>
        <w:t xml:space="preserve"> </w:t>
      </w:r>
      <w:r w:rsidRPr="00BA59BA">
        <w:rPr>
          <w:color w:val="000000"/>
          <w:szCs w:val="22"/>
        </w:rPr>
        <w:t>žemų</w:t>
      </w:r>
      <w:r w:rsidRPr="003528EB">
        <w:rPr>
          <w:color w:val="000000"/>
          <w:szCs w:val="22"/>
        </w:rPr>
        <w:t xml:space="preserve"> kalcio </w:t>
      </w:r>
      <w:r w:rsidRPr="00BA59BA">
        <w:rPr>
          <w:color w:val="000000"/>
          <w:szCs w:val="22"/>
        </w:rPr>
        <w:t>lygių</w:t>
      </w:r>
      <w:r w:rsidRPr="003528EB">
        <w:rPr>
          <w:color w:val="000000"/>
          <w:szCs w:val="22"/>
        </w:rPr>
        <w:t xml:space="preserve"> simptom</w:t>
      </w:r>
      <w:r w:rsidRPr="00BA59BA">
        <w:rPr>
          <w:color w:val="000000"/>
          <w:szCs w:val="22"/>
        </w:rPr>
        <w:t>ų</w:t>
      </w:r>
      <w:r w:rsidRPr="003528EB">
        <w:rPr>
          <w:color w:val="000000"/>
          <w:szCs w:val="22"/>
        </w:rPr>
        <w:t>.</w:t>
      </w:r>
    </w:p>
    <w:p w:rsidR="00CA71C3" w:rsidRPr="00BA59BA" w:rsidRDefault="00CA71C3" w:rsidP="00CA71C3">
      <w:pPr>
        <w:autoSpaceDE w:val="0"/>
        <w:autoSpaceDN w:val="0"/>
        <w:adjustRightInd w:val="0"/>
        <w:rPr>
          <w:color w:val="000000"/>
          <w:szCs w:val="22"/>
        </w:rPr>
      </w:pPr>
    </w:p>
    <w:p w:rsidR="00CA71C3" w:rsidRPr="003528EB" w:rsidRDefault="00CA71C3" w:rsidP="00CA71C3">
      <w:pPr>
        <w:autoSpaceDE w:val="0"/>
        <w:autoSpaceDN w:val="0"/>
        <w:adjustRightInd w:val="0"/>
        <w:rPr>
          <w:color w:val="000000"/>
          <w:szCs w:val="22"/>
        </w:rPr>
      </w:pPr>
      <w:r w:rsidRPr="00BA59BA">
        <w:rPr>
          <w:color w:val="000000"/>
          <w:szCs w:val="22"/>
        </w:rPr>
        <w:t>Yra s</w:t>
      </w:r>
      <w:r w:rsidRPr="003528EB">
        <w:rPr>
          <w:color w:val="000000"/>
          <w:szCs w:val="22"/>
        </w:rPr>
        <w:t xml:space="preserve">varbu </w:t>
      </w:r>
      <w:r w:rsidRPr="00BA59BA">
        <w:rPr>
          <w:color w:val="000000"/>
          <w:szCs w:val="22"/>
        </w:rPr>
        <w:t xml:space="preserve">vartoti savo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3528EB">
        <w:rPr>
          <w:color w:val="000000"/>
          <w:szCs w:val="22"/>
        </w:rPr>
        <w:t xml:space="preserve"> dozę </w:t>
      </w:r>
      <w:r w:rsidRPr="00BA59BA">
        <w:rPr>
          <w:color w:val="000000"/>
          <w:szCs w:val="22"/>
        </w:rPr>
        <w:t>taip, kaip patarė</w:t>
      </w:r>
      <w:r w:rsidRPr="003528EB">
        <w:rPr>
          <w:color w:val="000000"/>
          <w:szCs w:val="22"/>
        </w:rPr>
        <w:t xml:space="preserve"> </w:t>
      </w:r>
      <w:r w:rsidRPr="00BA59BA">
        <w:rPr>
          <w:color w:val="000000"/>
          <w:szCs w:val="22"/>
        </w:rPr>
        <w:t xml:space="preserve">Jūsų </w:t>
      </w:r>
      <w:r w:rsidRPr="003528EB">
        <w:rPr>
          <w:color w:val="000000"/>
          <w:szCs w:val="22"/>
        </w:rPr>
        <w:t>gydytoj</w:t>
      </w:r>
      <w:r w:rsidRPr="00BA59BA">
        <w:rPr>
          <w:color w:val="000000"/>
          <w:szCs w:val="22"/>
        </w:rPr>
        <w:t>as</w:t>
      </w:r>
      <w:r w:rsidRPr="003528EB">
        <w:rPr>
          <w:color w:val="000000"/>
          <w:szCs w:val="22"/>
        </w:rPr>
        <w:t>.</w:t>
      </w:r>
    </w:p>
    <w:p w:rsidR="00CA71C3" w:rsidRPr="00BA59BA" w:rsidRDefault="00CA71C3" w:rsidP="00CA71C3">
      <w:pPr>
        <w:autoSpaceDE w:val="0"/>
        <w:autoSpaceDN w:val="0"/>
        <w:adjustRightInd w:val="0"/>
        <w:rPr>
          <w:b/>
          <w:color w:val="000000"/>
          <w:szCs w:val="22"/>
        </w:rPr>
      </w:pPr>
    </w:p>
    <w:p w:rsidR="00CA71C3" w:rsidRPr="00BA59BA" w:rsidRDefault="00CA71C3" w:rsidP="00CA71C3">
      <w:pPr>
        <w:autoSpaceDE w:val="0"/>
        <w:autoSpaceDN w:val="0"/>
        <w:adjustRightInd w:val="0"/>
        <w:rPr>
          <w:color w:val="000000"/>
          <w:szCs w:val="22"/>
        </w:rPr>
      </w:pPr>
      <w:r w:rsidRPr="00BA59BA">
        <w:rPr>
          <w:b/>
          <w:color w:val="000000"/>
          <w:szCs w:val="22"/>
        </w:rPr>
        <w:t xml:space="preserve">Kiti vaistai ir </w:t>
      </w:r>
      <w:proofErr w:type="spellStart"/>
      <w:r w:rsidRPr="00BA59BA">
        <w:rPr>
          <w:b/>
          <w:color w:val="000000"/>
          <w:szCs w:val="22"/>
        </w:rPr>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w:t>
      </w:r>
    </w:p>
    <w:p w:rsidR="00CA71C3" w:rsidRPr="00BA59BA" w:rsidRDefault="00CA71C3" w:rsidP="00CA71C3">
      <w:pPr>
        <w:autoSpaceDE w:val="0"/>
        <w:autoSpaceDN w:val="0"/>
        <w:adjustRightInd w:val="0"/>
        <w:rPr>
          <w:color w:val="000000"/>
          <w:szCs w:val="22"/>
        </w:rPr>
      </w:pPr>
      <w:r w:rsidRPr="00BA59BA">
        <w:rPr>
          <w:color w:val="000000"/>
          <w:szCs w:val="22"/>
        </w:rPr>
        <w:t xml:space="preserve">Jeigu vartojate ar neseniai vartojote kitų vaistų, ypač </w:t>
      </w:r>
      <w:proofErr w:type="spellStart"/>
      <w:r w:rsidRPr="00BA59BA">
        <w:rPr>
          <w:color w:val="000000"/>
          <w:szCs w:val="22"/>
        </w:rPr>
        <w:t>etelkalcetido</w:t>
      </w:r>
      <w:proofErr w:type="spellEnd"/>
      <w:r w:rsidRPr="00BA59BA">
        <w:rPr>
          <w:color w:val="000000"/>
          <w:szCs w:val="22"/>
        </w:rPr>
        <w:t xml:space="preserve"> ar bet kokio kito vaisto, kuris žemina kalcio lygį Jūsų kraujyje, arba dėl to nesate tikri, apie tai pasakykite savo gydytojui arba vaistininkui.</w:t>
      </w:r>
    </w:p>
    <w:p w:rsidR="00CA71C3" w:rsidRPr="00BA59BA" w:rsidRDefault="00CA71C3" w:rsidP="00CA71C3">
      <w:pPr>
        <w:autoSpaceDE w:val="0"/>
        <w:autoSpaceDN w:val="0"/>
        <w:adjustRightInd w:val="0"/>
        <w:rPr>
          <w:color w:val="000000"/>
          <w:szCs w:val="22"/>
        </w:rPr>
      </w:pPr>
    </w:p>
    <w:p w:rsidR="00CA71C3" w:rsidRPr="00BA59BA" w:rsidRDefault="00CA71C3" w:rsidP="00CA71C3">
      <w:pPr>
        <w:autoSpaceDE w:val="0"/>
        <w:autoSpaceDN w:val="0"/>
        <w:adjustRightInd w:val="0"/>
        <w:rPr>
          <w:color w:val="000000"/>
          <w:szCs w:val="22"/>
        </w:rPr>
      </w:pP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turite nevartoti kartu su </w:t>
      </w:r>
      <w:proofErr w:type="spellStart"/>
      <w:r w:rsidRPr="00BA59BA">
        <w:rPr>
          <w:color w:val="000000"/>
          <w:szCs w:val="22"/>
        </w:rPr>
        <w:t>etelkalcetidu</w:t>
      </w:r>
      <w:proofErr w:type="spellEnd"/>
      <w:r w:rsidRPr="00BA59BA">
        <w:rPr>
          <w:color w:val="000000"/>
          <w:szCs w:val="22"/>
        </w:rPr>
        <w:t>.</w:t>
      </w:r>
    </w:p>
    <w:p w:rsidR="00CA71C3" w:rsidRPr="00BA59BA" w:rsidRDefault="00CA71C3" w:rsidP="00CA71C3">
      <w:pPr>
        <w:autoSpaceDE w:val="0"/>
        <w:autoSpaceDN w:val="0"/>
        <w:adjustRightInd w:val="0"/>
        <w:rPr>
          <w:color w:val="000000"/>
          <w:szCs w:val="22"/>
        </w:rPr>
      </w:pPr>
    </w:p>
    <w:p w:rsidR="00CA71C3" w:rsidRPr="00BA59BA" w:rsidRDefault="00CA71C3" w:rsidP="00CA71C3">
      <w:pPr>
        <w:autoSpaceDE w:val="0"/>
        <w:autoSpaceDN w:val="0"/>
        <w:adjustRightInd w:val="0"/>
        <w:rPr>
          <w:color w:val="000000"/>
          <w:szCs w:val="22"/>
        </w:rPr>
      </w:pPr>
      <w:r w:rsidRPr="00BA59BA">
        <w:rPr>
          <w:color w:val="000000"/>
          <w:szCs w:val="22"/>
        </w:rPr>
        <w:t>Pasakykite savo gydytojui, jeigu vartojate toliau išvardytų vaistų.</w:t>
      </w:r>
    </w:p>
    <w:p w:rsidR="00CA71C3" w:rsidRPr="00BA59BA" w:rsidRDefault="00CA71C3" w:rsidP="00CA71C3">
      <w:pPr>
        <w:autoSpaceDE w:val="0"/>
        <w:autoSpaceDN w:val="0"/>
        <w:adjustRightInd w:val="0"/>
        <w:rPr>
          <w:color w:val="000000"/>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poveikiui gali daryti įtaką šie vaistai:</w:t>
      </w:r>
    </w:p>
    <w:p w:rsidR="00CA71C3" w:rsidRPr="00BA59BA" w:rsidRDefault="00CA71C3" w:rsidP="00CA71C3">
      <w:pPr>
        <w:numPr>
          <w:ilvl w:val="0"/>
          <w:numId w:val="5"/>
        </w:numPr>
        <w:autoSpaceDE w:val="0"/>
        <w:autoSpaceDN w:val="0"/>
        <w:adjustRightInd w:val="0"/>
        <w:rPr>
          <w:rFonts w:eastAsia="TimesNewRoman"/>
          <w:szCs w:val="22"/>
        </w:rPr>
      </w:pPr>
      <w:r w:rsidRPr="00BA59BA">
        <w:rPr>
          <w:rFonts w:eastAsia="TimesNewRoman"/>
          <w:szCs w:val="22"/>
        </w:rPr>
        <w:lastRenderedPageBreak/>
        <w:t xml:space="preserve">vaistai, vartojami </w:t>
      </w:r>
      <w:r w:rsidRPr="00BA59BA">
        <w:rPr>
          <w:rFonts w:eastAsia="TimesNewRoman"/>
          <w:b/>
          <w:szCs w:val="22"/>
        </w:rPr>
        <w:t xml:space="preserve">odos </w:t>
      </w:r>
      <w:r w:rsidRPr="00BA59BA">
        <w:rPr>
          <w:rFonts w:eastAsia="TimesNewRoman"/>
          <w:szCs w:val="22"/>
        </w:rPr>
        <w:t xml:space="preserve">ir </w:t>
      </w:r>
      <w:r w:rsidRPr="00BA59BA">
        <w:rPr>
          <w:rFonts w:eastAsia="TimesNewRoman,Bold"/>
          <w:b/>
          <w:szCs w:val="22"/>
        </w:rPr>
        <w:t xml:space="preserve">grybelinėms ligoms </w:t>
      </w:r>
      <w:r w:rsidRPr="00BA59BA">
        <w:rPr>
          <w:rFonts w:eastAsia="TimesNewRoman"/>
          <w:szCs w:val="22"/>
        </w:rPr>
        <w:t>gydyti (</w:t>
      </w:r>
      <w:proofErr w:type="spellStart"/>
      <w:r w:rsidRPr="00BA59BA">
        <w:rPr>
          <w:rFonts w:eastAsia="TimesNewRoman"/>
          <w:szCs w:val="22"/>
        </w:rPr>
        <w:t>ketokonazolas</w:t>
      </w:r>
      <w:proofErr w:type="spellEnd"/>
      <w:r w:rsidRPr="00BA59BA">
        <w:rPr>
          <w:rFonts w:eastAsia="TimesNewRoman"/>
          <w:szCs w:val="22"/>
        </w:rPr>
        <w:t xml:space="preserve">, </w:t>
      </w:r>
      <w:proofErr w:type="spellStart"/>
      <w:r w:rsidRPr="00BA59BA">
        <w:rPr>
          <w:rFonts w:eastAsia="TimesNewRoman"/>
          <w:szCs w:val="22"/>
        </w:rPr>
        <w:t>itrakonazolas</w:t>
      </w:r>
      <w:proofErr w:type="spellEnd"/>
      <w:r w:rsidRPr="00BA59BA">
        <w:rPr>
          <w:rFonts w:eastAsia="TimesNewRoman"/>
          <w:szCs w:val="22"/>
        </w:rPr>
        <w:t xml:space="preserve"> ir </w:t>
      </w:r>
      <w:proofErr w:type="spellStart"/>
      <w:r w:rsidRPr="00BA59BA">
        <w:rPr>
          <w:rFonts w:eastAsia="TimesNewRoman"/>
          <w:szCs w:val="22"/>
        </w:rPr>
        <w:t>vorikonazolas</w:t>
      </w:r>
      <w:proofErr w:type="spellEnd"/>
      <w:r w:rsidRPr="00BA59BA">
        <w:rPr>
          <w:rFonts w:eastAsia="TimesNewRoman"/>
          <w:szCs w:val="22"/>
        </w:rPr>
        <w:t>);</w:t>
      </w:r>
    </w:p>
    <w:p w:rsidR="00CA71C3" w:rsidRPr="00BA59BA" w:rsidRDefault="00CA71C3" w:rsidP="00CA71C3">
      <w:pPr>
        <w:numPr>
          <w:ilvl w:val="0"/>
          <w:numId w:val="5"/>
        </w:numPr>
        <w:autoSpaceDE w:val="0"/>
        <w:autoSpaceDN w:val="0"/>
        <w:adjustRightInd w:val="0"/>
        <w:rPr>
          <w:rFonts w:eastAsia="TimesNewRoman"/>
          <w:szCs w:val="22"/>
        </w:rPr>
      </w:pPr>
      <w:r w:rsidRPr="00BA59BA">
        <w:rPr>
          <w:rFonts w:eastAsia="TimesNewRoman"/>
          <w:szCs w:val="22"/>
        </w:rPr>
        <w:t xml:space="preserve">vaistai, vartojami </w:t>
      </w:r>
      <w:r w:rsidRPr="00BA59BA">
        <w:rPr>
          <w:rFonts w:eastAsia="TimesNewRoman,Bold"/>
          <w:b/>
          <w:szCs w:val="22"/>
        </w:rPr>
        <w:t xml:space="preserve">bakterinėms ligoms </w:t>
      </w:r>
      <w:r w:rsidRPr="00BA59BA">
        <w:rPr>
          <w:rFonts w:eastAsia="TimesNewRoman"/>
          <w:szCs w:val="22"/>
        </w:rPr>
        <w:t>gydyti (</w:t>
      </w:r>
      <w:proofErr w:type="spellStart"/>
      <w:r w:rsidRPr="00BA59BA">
        <w:rPr>
          <w:rFonts w:eastAsia="TimesNewRoman"/>
          <w:szCs w:val="22"/>
        </w:rPr>
        <w:t>telitromicinas</w:t>
      </w:r>
      <w:proofErr w:type="spellEnd"/>
      <w:r w:rsidRPr="00BA59BA">
        <w:rPr>
          <w:rFonts w:eastAsia="TimesNewRoman"/>
          <w:szCs w:val="22"/>
        </w:rPr>
        <w:t xml:space="preserve">, </w:t>
      </w:r>
      <w:proofErr w:type="spellStart"/>
      <w:r w:rsidRPr="00BA59BA">
        <w:rPr>
          <w:rFonts w:eastAsia="TimesNewRoman"/>
          <w:szCs w:val="22"/>
        </w:rPr>
        <w:t>rifampicinas</w:t>
      </w:r>
      <w:proofErr w:type="spellEnd"/>
      <w:r w:rsidRPr="00BA59BA">
        <w:rPr>
          <w:rFonts w:eastAsia="TimesNewRoman"/>
          <w:szCs w:val="22"/>
        </w:rPr>
        <w:t xml:space="preserve"> ir </w:t>
      </w:r>
      <w:proofErr w:type="spellStart"/>
      <w:r w:rsidRPr="00BA59BA">
        <w:rPr>
          <w:rFonts w:eastAsia="TimesNewRoman"/>
          <w:szCs w:val="22"/>
        </w:rPr>
        <w:t>ciprofloksacinas</w:t>
      </w:r>
      <w:proofErr w:type="spellEnd"/>
      <w:r w:rsidRPr="00BA59BA">
        <w:rPr>
          <w:rFonts w:eastAsia="TimesNewRoman"/>
          <w:szCs w:val="22"/>
        </w:rPr>
        <w:t>);</w:t>
      </w:r>
    </w:p>
    <w:p w:rsidR="00CA71C3" w:rsidRPr="00BA59BA" w:rsidRDefault="00CA71C3" w:rsidP="00CA71C3">
      <w:pPr>
        <w:numPr>
          <w:ilvl w:val="0"/>
          <w:numId w:val="5"/>
        </w:numPr>
        <w:autoSpaceDE w:val="0"/>
        <w:autoSpaceDN w:val="0"/>
        <w:adjustRightInd w:val="0"/>
        <w:rPr>
          <w:rFonts w:eastAsia="TimesNewRoman"/>
          <w:szCs w:val="22"/>
        </w:rPr>
      </w:pPr>
      <w:r w:rsidRPr="00BA59BA">
        <w:rPr>
          <w:rFonts w:eastAsia="TimesNewRoman"/>
          <w:szCs w:val="22"/>
        </w:rPr>
        <w:t xml:space="preserve">vaistas, vartojamas </w:t>
      </w:r>
      <w:r w:rsidRPr="00BA59BA">
        <w:rPr>
          <w:rFonts w:eastAsia="TimesNewRoman"/>
          <w:b/>
          <w:szCs w:val="22"/>
        </w:rPr>
        <w:t xml:space="preserve">ŽIV </w:t>
      </w:r>
      <w:r w:rsidRPr="00BA59BA">
        <w:rPr>
          <w:rFonts w:eastAsia="TimesNewRoman"/>
          <w:szCs w:val="22"/>
        </w:rPr>
        <w:t>ligai ir AIDS gydyti (</w:t>
      </w:r>
      <w:proofErr w:type="spellStart"/>
      <w:r w:rsidRPr="00BA59BA">
        <w:rPr>
          <w:rFonts w:eastAsia="TimesNewRoman"/>
          <w:szCs w:val="22"/>
        </w:rPr>
        <w:t>ritonaviras</w:t>
      </w:r>
      <w:proofErr w:type="spellEnd"/>
      <w:r w:rsidRPr="00BA59BA">
        <w:rPr>
          <w:rFonts w:eastAsia="TimesNewRoman"/>
          <w:szCs w:val="22"/>
        </w:rPr>
        <w:t>);</w:t>
      </w:r>
    </w:p>
    <w:p w:rsidR="00CA71C3" w:rsidRPr="00BA59BA" w:rsidRDefault="00CA71C3" w:rsidP="00CA71C3">
      <w:pPr>
        <w:numPr>
          <w:ilvl w:val="0"/>
          <w:numId w:val="5"/>
        </w:numPr>
        <w:autoSpaceDE w:val="0"/>
        <w:autoSpaceDN w:val="0"/>
        <w:adjustRightInd w:val="0"/>
        <w:rPr>
          <w:rFonts w:eastAsia="TimesNewRoman"/>
          <w:szCs w:val="22"/>
        </w:rPr>
      </w:pPr>
      <w:r w:rsidRPr="00BA59BA">
        <w:rPr>
          <w:rFonts w:eastAsia="TimesNewRoman"/>
          <w:szCs w:val="22"/>
        </w:rPr>
        <w:t xml:space="preserve">vaistas, vartojamas </w:t>
      </w:r>
      <w:r w:rsidRPr="00BA59BA">
        <w:rPr>
          <w:rFonts w:eastAsia="TimesNewRoman"/>
          <w:b/>
          <w:szCs w:val="22"/>
        </w:rPr>
        <w:t xml:space="preserve">depresijai </w:t>
      </w:r>
      <w:r w:rsidRPr="00BA59BA">
        <w:rPr>
          <w:rFonts w:eastAsia="TimesNewRoman"/>
          <w:szCs w:val="22"/>
        </w:rPr>
        <w:t>gydyti (</w:t>
      </w:r>
      <w:proofErr w:type="spellStart"/>
      <w:r w:rsidRPr="00BA59BA">
        <w:rPr>
          <w:rFonts w:eastAsia="TimesNewRoman"/>
          <w:szCs w:val="22"/>
        </w:rPr>
        <w:t>fluvoksaminas</w:t>
      </w:r>
      <w:proofErr w:type="spellEnd"/>
      <w:r w:rsidRPr="00BA59BA">
        <w:rPr>
          <w:rFonts w:eastAsia="TimesNewRoman"/>
          <w:szCs w:val="22"/>
        </w:rPr>
        <w:t>).</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gali daryti įtaką šių vaistų poveikiui:</w:t>
      </w:r>
    </w:p>
    <w:p w:rsidR="00CA71C3" w:rsidRPr="00BA59BA" w:rsidRDefault="00CA71C3" w:rsidP="00CA71C3">
      <w:pPr>
        <w:numPr>
          <w:ilvl w:val="0"/>
          <w:numId w:val="6"/>
        </w:numPr>
        <w:autoSpaceDE w:val="0"/>
        <w:autoSpaceDN w:val="0"/>
        <w:adjustRightInd w:val="0"/>
        <w:rPr>
          <w:rFonts w:eastAsia="TimesNewRoman"/>
          <w:szCs w:val="22"/>
        </w:rPr>
      </w:pPr>
      <w:r w:rsidRPr="00BA59BA">
        <w:rPr>
          <w:rFonts w:eastAsia="TimesNewRoman"/>
          <w:szCs w:val="22"/>
        </w:rPr>
        <w:t xml:space="preserve">vaistų, vartojamų </w:t>
      </w:r>
      <w:r w:rsidRPr="00BA59BA">
        <w:rPr>
          <w:rFonts w:eastAsia="TimesNewRoman"/>
          <w:b/>
          <w:szCs w:val="22"/>
        </w:rPr>
        <w:t xml:space="preserve">depresijai </w:t>
      </w:r>
      <w:r w:rsidRPr="00BA59BA">
        <w:rPr>
          <w:rFonts w:eastAsia="TimesNewRoman"/>
          <w:szCs w:val="22"/>
        </w:rPr>
        <w:t>gydyti (</w:t>
      </w:r>
      <w:proofErr w:type="spellStart"/>
      <w:r w:rsidRPr="00BA59BA">
        <w:rPr>
          <w:rFonts w:eastAsia="TimesNewRoman"/>
          <w:szCs w:val="22"/>
        </w:rPr>
        <w:t>amitriptilino</w:t>
      </w:r>
      <w:proofErr w:type="spellEnd"/>
      <w:r w:rsidRPr="00BA59BA">
        <w:rPr>
          <w:rFonts w:eastAsia="TimesNewRoman"/>
          <w:szCs w:val="22"/>
        </w:rPr>
        <w:t xml:space="preserve">, </w:t>
      </w:r>
      <w:proofErr w:type="spellStart"/>
      <w:r w:rsidRPr="00BA59BA">
        <w:rPr>
          <w:rFonts w:eastAsia="TimesNewRoman"/>
          <w:szCs w:val="22"/>
        </w:rPr>
        <w:t>dezipramino</w:t>
      </w:r>
      <w:proofErr w:type="spellEnd"/>
      <w:r w:rsidRPr="00BA59BA">
        <w:rPr>
          <w:rFonts w:eastAsia="TimesNewRoman"/>
          <w:szCs w:val="22"/>
        </w:rPr>
        <w:t xml:space="preserve">, </w:t>
      </w:r>
      <w:proofErr w:type="spellStart"/>
      <w:r w:rsidRPr="00BA59BA">
        <w:rPr>
          <w:rFonts w:eastAsia="TimesNewRoman"/>
          <w:szCs w:val="22"/>
        </w:rPr>
        <w:t>nortriptilino</w:t>
      </w:r>
      <w:proofErr w:type="spellEnd"/>
      <w:r w:rsidRPr="00BA59BA">
        <w:rPr>
          <w:rFonts w:eastAsia="TimesNewRoman"/>
          <w:szCs w:val="22"/>
        </w:rPr>
        <w:t xml:space="preserve"> ir </w:t>
      </w:r>
      <w:proofErr w:type="spellStart"/>
      <w:r w:rsidRPr="00BA59BA">
        <w:rPr>
          <w:rFonts w:eastAsia="TimesNewRoman"/>
          <w:szCs w:val="22"/>
        </w:rPr>
        <w:t>klomipramino</w:t>
      </w:r>
      <w:proofErr w:type="spellEnd"/>
      <w:r w:rsidRPr="00BA59BA">
        <w:rPr>
          <w:rFonts w:eastAsia="TimesNewRoman"/>
          <w:szCs w:val="22"/>
        </w:rPr>
        <w:t>);</w:t>
      </w:r>
    </w:p>
    <w:p w:rsidR="00CA71C3" w:rsidRPr="00BA59BA" w:rsidRDefault="00CA71C3" w:rsidP="00CA71C3">
      <w:pPr>
        <w:numPr>
          <w:ilvl w:val="0"/>
          <w:numId w:val="6"/>
        </w:numPr>
        <w:autoSpaceDE w:val="0"/>
        <w:autoSpaceDN w:val="0"/>
        <w:adjustRightInd w:val="0"/>
        <w:rPr>
          <w:rFonts w:eastAsia="TimesNewRoman"/>
          <w:szCs w:val="22"/>
        </w:rPr>
      </w:pPr>
      <w:r w:rsidRPr="00BA59BA">
        <w:rPr>
          <w:rFonts w:eastAsia="TimesNewRoman"/>
          <w:szCs w:val="22"/>
        </w:rPr>
        <w:t xml:space="preserve">vaisto, vartojamo </w:t>
      </w:r>
      <w:r w:rsidRPr="003528EB">
        <w:rPr>
          <w:rFonts w:eastAsia="TimesNewRoman"/>
          <w:b/>
          <w:szCs w:val="22"/>
        </w:rPr>
        <w:t xml:space="preserve">kosuliui </w:t>
      </w:r>
      <w:r w:rsidRPr="00BA59BA">
        <w:rPr>
          <w:rFonts w:eastAsia="TimesNewRoman"/>
          <w:szCs w:val="22"/>
        </w:rPr>
        <w:t>lengvinti (</w:t>
      </w:r>
      <w:proofErr w:type="spellStart"/>
      <w:r w:rsidRPr="00BA59BA">
        <w:rPr>
          <w:rFonts w:eastAsia="TimesNewRoman"/>
          <w:szCs w:val="22"/>
        </w:rPr>
        <w:t>dekstrometorfano</w:t>
      </w:r>
      <w:proofErr w:type="spellEnd"/>
      <w:r w:rsidRPr="00BA59BA">
        <w:rPr>
          <w:rFonts w:eastAsia="TimesNewRoman"/>
          <w:szCs w:val="22"/>
        </w:rPr>
        <w:t>);</w:t>
      </w:r>
    </w:p>
    <w:p w:rsidR="00CA71C3" w:rsidRPr="00BA59BA" w:rsidRDefault="00CA71C3" w:rsidP="00CA71C3">
      <w:pPr>
        <w:numPr>
          <w:ilvl w:val="0"/>
          <w:numId w:val="6"/>
        </w:numPr>
        <w:autoSpaceDE w:val="0"/>
        <w:autoSpaceDN w:val="0"/>
        <w:adjustRightInd w:val="0"/>
        <w:rPr>
          <w:rFonts w:eastAsia="TimesNewRoman"/>
          <w:szCs w:val="22"/>
        </w:rPr>
      </w:pPr>
      <w:r w:rsidRPr="00BA59BA">
        <w:rPr>
          <w:rFonts w:eastAsia="TimesNewRoman"/>
          <w:szCs w:val="22"/>
        </w:rPr>
        <w:t xml:space="preserve">vaistų, vartojamų </w:t>
      </w:r>
      <w:r w:rsidRPr="00BA59BA">
        <w:rPr>
          <w:rFonts w:eastAsia="TimesNewRoman"/>
          <w:b/>
          <w:szCs w:val="22"/>
        </w:rPr>
        <w:t xml:space="preserve">širdies ritmo pokyčiams </w:t>
      </w:r>
      <w:r w:rsidRPr="00BA59BA">
        <w:rPr>
          <w:rFonts w:eastAsia="TimesNewRoman"/>
          <w:szCs w:val="22"/>
        </w:rPr>
        <w:t>gydyti (</w:t>
      </w:r>
      <w:proofErr w:type="spellStart"/>
      <w:r w:rsidRPr="00BA59BA">
        <w:rPr>
          <w:rFonts w:eastAsia="TimesNewRoman"/>
          <w:szCs w:val="22"/>
        </w:rPr>
        <w:t>flekainido</w:t>
      </w:r>
      <w:proofErr w:type="spellEnd"/>
      <w:r w:rsidRPr="00BA59BA">
        <w:rPr>
          <w:rFonts w:eastAsia="TimesNewRoman"/>
          <w:szCs w:val="22"/>
        </w:rPr>
        <w:t xml:space="preserve"> ir </w:t>
      </w:r>
      <w:proofErr w:type="spellStart"/>
      <w:r w:rsidRPr="00BA59BA">
        <w:rPr>
          <w:rFonts w:eastAsia="TimesNewRoman"/>
          <w:szCs w:val="22"/>
        </w:rPr>
        <w:t>propafenono</w:t>
      </w:r>
      <w:proofErr w:type="spellEnd"/>
      <w:r w:rsidRPr="00BA59BA">
        <w:rPr>
          <w:rFonts w:eastAsia="TimesNewRoman"/>
          <w:szCs w:val="22"/>
        </w:rPr>
        <w:t>);</w:t>
      </w:r>
    </w:p>
    <w:p w:rsidR="00CA71C3" w:rsidRPr="00BA59BA" w:rsidRDefault="00CA71C3" w:rsidP="00CA71C3">
      <w:pPr>
        <w:numPr>
          <w:ilvl w:val="0"/>
          <w:numId w:val="6"/>
        </w:numPr>
        <w:autoSpaceDE w:val="0"/>
        <w:autoSpaceDN w:val="0"/>
        <w:adjustRightInd w:val="0"/>
        <w:rPr>
          <w:rFonts w:eastAsia="TimesNewRoman"/>
          <w:szCs w:val="22"/>
        </w:rPr>
      </w:pPr>
      <w:r w:rsidRPr="00BA59BA">
        <w:rPr>
          <w:rFonts w:eastAsia="TimesNewRoman"/>
          <w:szCs w:val="22"/>
        </w:rPr>
        <w:t xml:space="preserve">vaisto, vartojamo </w:t>
      </w:r>
      <w:r w:rsidRPr="00BA59BA">
        <w:rPr>
          <w:rFonts w:eastAsia="TimesNewRoman,Bold"/>
          <w:b/>
          <w:szCs w:val="22"/>
        </w:rPr>
        <w:t xml:space="preserve">aukštam kraujo spaudimui </w:t>
      </w:r>
      <w:r w:rsidRPr="00BA59BA">
        <w:rPr>
          <w:rFonts w:eastAsia="TimesNewRoman"/>
          <w:szCs w:val="22"/>
        </w:rPr>
        <w:t>gydyti (</w:t>
      </w:r>
      <w:proofErr w:type="spellStart"/>
      <w:r w:rsidRPr="00BA59BA">
        <w:rPr>
          <w:rFonts w:eastAsia="TimesNewRoman"/>
          <w:szCs w:val="22"/>
        </w:rPr>
        <w:t>metoprololio</w:t>
      </w:r>
      <w:proofErr w:type="spellEnd"/>
      <w:r w:rsidRPr="00BA59BA">
        <w:rPr>
          <w:rFonts w:eastAsia="TimesNewRoman"/>
          <w:szCs w:val="22"/>
        </w:rPr>
        <w:t>).</w:t>
      </w:r>
    </w:p>
    <w:p w:rsidR="00CA71C3" w:rsidRPr="00BA59BA" w:rsidRDefault="00CA71C3" w:rsidP="00CA71C3">
      <w:pPr>
        <w:autoSpaceDE w:val="0"/>
        <w:autoSpaceDN w:val="0"/>
        <w:adjustRightInd w:val="0"/>
        <w:rPr>
          <w:rFonts w:eastAsia="TimesNewRoman,Bold"/>
          <w:b/>
          <w:szCs w:val="22"/>
        </w:rPr>
      </w:pPr>
    </w:p>
    <w:p w:rsidR="00CA71C3" w:rsidRPr="00BA59BA" w:rsidRDefault="00CA71C3" w:rsidP="00CA71C3">
      <w:pPr>
        <w:autoSpaceDE w:val="0"/>
        <w:autoSpaceDN w:val="0"/>
        <w:adjustRightInd w:val="0"/>
        <w:rPr>
          <w:rFonts w:eastAsia="TimesNewRoman,Bold"/>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rFonts w:eastAsia="TimesNewRoman,Bold"/>
          <w:b/>
          <w:szCs w:val="22"/>
        </w:rPr>
        <w:t xml:space="preserve"> vartojimas su maistu ir gėrimais</w:t>
      </w: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turi būti geriamas valgio metu arba netrukus po jo.</w:t>
      </w:r>
    </w:p>
    <w:p w:rsidR="00CA71C3" w:rsidRPr="00BA59BA" w:rsidRDefault="00CA71C3" w:rsidP="00CA71C3">
      <w:pPr>
        <w:autoSpaceDE w:val="0"/>
        <w:autoSpaceDN w:val="0"/>
        <w:adjustRightInd w:val="0"/>
        <w:rPr>
          <w:rFonts w:eastAsia="TimesNewRoman,Bold"/>
          <w:b/>
          <w:color w:val="000000"/>
          <w:szCs w:val="22"/>
        </w:rPr>
      </w:pPr>
    </w:p>
    <w:p w:rsidR="00CA71C3" w:rsidRPr="00BA59BA" w:rsidRDefault="00CA71C3" w:rsidP="00CA71C3">
      <w:pPr>
        <w:autoSpaceDE w:val="0"/>
        <w:autoSpaceDN w:val="0"/>
        <w:adjustRightInd w:val="0"/>
        <w:rPr>
          <w:color w:val="000000"/>
          <w:szCs w:val="22"/>
        </w:rPr>
      </w:pPr>
      <w:r w:rsidRPr="00BA59BA">
        <w:rPr>
          <w:b/>
          <w:color w:val="000000"/>
          <w:szCs w:val="22"/>
        </w:rPr>
        <w:t xml:space="preserve">Nėštumas, žindymo laikotarpis ir vaisingumas </w:t>
      </w:r>
    </w:p>
    <w:p w:rsidR="00CA71C3" w:rsidRPr="00BA59BA" w:rsidRDefault="00CA71C3" w:rsidP="00CA71C3">
      <w:pPr>
        <w:autoSpaceDE w:val="0"/>
        <w:autoSpaceDN w:val="0"/>
        <w:adjustRightInd w:val="0"/>
        <w:rPr>
          <w:color w:val="000000"/>
          <w:szCs w:val="22"/>
        </w:rPr>
      </w:pPr>
      <w:r w:rsidRPr="00BA59BA">
        <w:rPr>
          <w:color w:val="000000"/>
          <w:szCs w:val="22"/>
        </w:rPr>
        <w:t xml:space="preserve">Jeigu esate nėščia, žindote kūdikį, manote, kad galbūt esate nėščia, arba planuojate pastoti, tai prieš vartodama šį vaistą, pasitarkite su savo gydytoju arba vaistininku. </w:t>
      </w:r>
    </w:p>
    <w:p w:rsidR="00CA71C3" w:rsidRPr="00BA59BA" w:rsidRDefault="00CA71C3" w:rsidP="00CA71C3">
      <w:pPr>
        <w:autoSpaceDE w:val="0"/>
        <w:autoSpaceDN w:val="0"/>
        <w:adjustRightInd w:val="0"/>
        <w:ind w:left="567" w:hanging="568"/>
        <w:rPr>
          <w:color w:val="000000"/>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Cinakalceto</w:t>
      </w:r>
      <w:proofErr w:type="spellEnd"/>
      <w:r w:rsidRPr="00BA59BA">
        <w:rPr>
          <w:rFonts w:eastAsia="TimesNewRoman"/>
          <w:szCs w:val="22"/>
        </w:rPr>
        <w:t xml:space="preserve"> poveikis nėščiosioms netirtas. Nėštumo atveju jūsų gydytojas gali nuspręsti pakeisti gydymą, nes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gali pakenkti negimusiam kūdikiui.</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Nežinoma, ar </w:t>
      </w:r>
      <w:proofErr w:type="spellStart"/>
      <w:r w:rsidRPr="00BA59BA">
        <w:rPr>
          <w:szCs w:val="22"/>
        </w:rPr>
        <w:t>cinakalcetas</w:t>
      </w:r>
      <w:proofErr w:type="spellEnd"/>
      <w:r w:rsidRPr="00BA59BA">
        <w:rPr>
          <w:szCs w:val="22"/>
        </w:rPr>
        <w:t xml:space="preserve"> išskiriamas</w:t>
      </w:r>
      <w:r w:rsidRPr="00BA59BA">
        <w:rPr>
          <w:rFonts w:eastAsia="TimesNewRoman"/>
          <w:szCs w:val="22"/>
        </w:rPr>
        <w:t xml:space="preserve"> į motinos pieną. Gydytojas aptars su Jumis, ar turite nutraukti kūdikio žindymą, ar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vartojimą.</w:t>
      </w:r>
    </w:p>
    <w:p w:rsidR="00CA71C3" w:rsidRPr="00BA59BA" w:rsidRDefault="00CA71C3" w:rsidP="00CA71C3">
      <w:pPr>
        <w:autoSpaceDE w:val="0"/>
        <w:autoSpaceDN w:val="0"/>
        <w:adjustRightInd w:val="0"/>
        <w:rPr>
          <w:rFonts w:eastAsia="TimesNewRoman,Bold"/>
          <w:b/>
          <w:szCs w:val="22"/>
        </w:rPr>
      </w:pPr>
    </w:p>
    <w:p w:rsidR="00CA71C3" w:rsidRPr="00BA59BA" w:rsidRDefault="00CA71C3" w:rsidP="00CA71C3">
      <w:pPr>
        <w:autoSpaceDE w:val="0"/>
        <w:autoSpaceDN w:val="0"/>
        <w:adjustRightInd w:val="0"/>
        <w:rPr>
          <w:rFonts w:eastAsia="TimesNewRoman,Bold"/>
          <w:b/>
          <w:szCs w:val="22"/>
        </w:rPr>
      </w:pPr>
      <w:r w:rsidRPr="00BA59BA">
        <w:rPr>
          <w:rFonts w:eastAsia="TimesNewRoman,Bold"/>
          <w:b/>
          <w:szCs w:val="22"/>
        </w:rPr>
        <w:t>Vairavimas ir mechanizmų valdymas</w:t>
      </w: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Gauta pranešimų, kad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vartojantiems pacientams pasireiškė svaigulys ir traukuliai. Jeigu Jums pasireiškia šis šalutinis poveikis, atsisakykite vairuoti ar valdyti mechanizmus..</w:t>
      </w:r>
    </w:p>
    <w:p w:rsidR="00CA71C3" w:rsidRPr="00BA59BA" w:rsidRDefault="00CA71C3" w:rsidP="00CA71C3">
      <w:pPr>
        <w:autoSpaceDE w:val="0"/>
        <w:autoSpaceDN w:val="0"/>
        <w:adjustRightInd w:val="0"/>
        <w:ind w:left="567" w:hanging="568"/>
        <w:rPr>
          <w:color w:val="000000"/>
          <w:szCs w:val="22"/>
        </w:rPr>
      </w:pPr>
    </w:p>
    <w:p w:rsidR="00CA71C3" w:rsidRPr="00BA59BA" w:rsidRDefault="00CA71C3" w:rsidP="00CA71C3">
      <w:pPr>
        <w:tabs>
          <w:tab w:val="left" w:pos="567"/>
        </w:tabs>
        <w:rPr>
          <w:szCs w:val="22"/>
        </w:rPr>
      </w:pPr>
    </w:p>
    <w:p w:rsidR="00CA71C3" w:rsidRPr="00BA59BA" w:rsidRDefault="00CA71C3" w:rsidP="00CA71C3">
      <w:pPr>
        <w:keepNext/>
        <w:tabs>
          <w:tab w:val="left" w:pos="567"/>
        </w:tabs>
        <w:ind w:left="567" w:hanging="567"/>
        <w:outlineLvl w:val="1"/>
        <w:rPr>
          <w:b/>
          <w:szCs w:val="22"/>
        </w:rPr>
      </w:pPr>
      <w:r w:rsidRPr="00BA59BA">
        <w:rPr>
          <w:b/>
          <w:szCs w:val="22"/>
        </w:rPr>
        <w:t>3.</w:t>
      </w:r>
      <w:r w:rsidRPr="00BA59BA">
        <w:rPr>
          <w:b/>
          <w:szCs w:val="22"/>
        </w:rPr>
        <w:tab/>
        <w:t xml:space="preserve">Kaip vartoti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 xml:space="preserve">Visada vartokite šį vaistą tiksliai kaip nurodė gydytojas. Jeigu abejojate, kreipkitės į gydytoją arba vaistininką. </w:t>
      </w:r>
    </w:p>
    <w:p w:rsidR="00CA71C3" w:rsidRPr="00BA59BA" w:rsidRDefault="00CA71C3" w:rsidP="00CA71C3">
      <w:pPr>
        <w:tabs>
          <w:tab w:val="left" w:pos="567"/>
        </w:tabs>
        <w:rPr>
          <w:szCs w:val="22"/>
        </w:rPr>
      </w:pPr>
    </w:p>
    <w:p w:rsidR="00CA71C3" w:rsidRPr="00BA59BA" w:rsidRDefault="00CA71C3" w:rsidP="00CA71C3">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būtina vartoti per burną, valgant ar netrukus po valgio. Tabletę reikia nuryti sveiką, jos negalima kramtyti, smulkinti ar dalyti.</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taip pat tiekiamas granulėmis atidaromose kapsulėse. Vaikai, kuriems reikalinga mažesnė nei 30 mg dozė arba kurie negali nuryti tabletės, turi vartoti </w:t>
      </w:r>
      <w:proofErr w:type="spellStart"/>
      <w:r w:rsidRPr="00BA59BA">
        <w:rPr>
          <w:rFonts w:eastAsia="TimesNewRoman"/>
          <w:szCs w:val="22"/>
        </w:rPr>
        <w:t>cinakalceto</w:t>
      </w:r>
      <w:proofErr w:type="spellEnd"/>
      <w:r w:rsidRPr="00BA59BA">
        <w:rPr>
          <w:rFonts w:eastAsia="TimesNewRoman"/>
          <w:szCs w:val="22"/>
        </w:rPr>
        <w:t xml:space="preserve"> granulių.</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Gydymo metu gydytojas reguliariai tirs Jūsų kraują, kad galėtų nustatyti, ar gerėja Jūsų būklė, ir prireikus koreguos dozę.</w:t>
      </w:r>
    </w:p>
    <w:p w:rsidR="00CA71C3" w:rsidRPr="00BA59BA" w:rsidRDefault="00CA71C3" w:rsidP="00CA71C3">
      <w:pPr>
        <w:autoSpaceDE w:val="0"/>
        <w:autoSpaceDN w:val="0"/>
        <w:adjustRightInd w:val="0"/>
        <w:rPr>
          <w:rFonts w:eastAsia="TimesNewRoman"/>
          <w:i/>
          <w:szCs w:val="22"/>
        </w:rPr>
      </w:pPr>
    </w:p>
    <w:p w:rsidR="00CA71C3" w:rsidRPr="00BA59BA" w:rsidRDefault="00CA71C3" w:rsidP="00CA71C3">
      <w:pPr>
        <w:autoSpaceDE w:val="0"/>
        <w:autoSpaceDN w:val="0"/>
        <w:adjustRightInd w:val="0"/>
        <w:rPr>
          <w:rFonts w:eastAsia="TimesNewRoman"/>
          <w:i/>
          <w:szCs w:val="22"/>
        </w:rPr>
      </w:pPr>
      <w:r w:rsidRPr="00BA59BA">
        <w:rPr>
          <w:rFonts w:eastAsia="TimesNewRoman"/>
          <w:i/>
          <w:szCs w:val="22"/>
        </w:rPr>
        <w:t xml:space="preserve">Jei Jūs gydomas nuo antrinės </w:t>
      </w:r>
      <w:proofErr w:type="spellStart"/>
      <w:r w:rsidRPr="00BA59BA">
        <w:rPr>
          <w:rFonts w:eastAsia="TimesNewRoman"/>
          <w:i/>
          <w:szCs w:val="22"/>
        </w:rPr>
        <w:t>hiperparatirozės</w:t>
      </w:r>
      <w:proofErr w:type="spellEnd"/>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dozė yra 30</w:t>
      </w:r>
      <w:r>
        <w:rPr>
          <w:rFonts w:eastAsia="TimesNewRoman"/>
          <w:szCs w:val="22"/>
        </w:rPr>
        <w:t> </w:t>
      </w:r>
      <w:r w:rsidRPr="00BA59BA">
        <w:rPr>
          <w:rFonts w:eastAsia="TimesNewRoman"/>
          <w:szCs w:val="22"/>
        </w:rPr>
        <w:t>mg (viena tabletė) vieną kartą per parą.</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dozė vaikams nuo 3 iki mažiau negu 18</w:t>
      </w:r>
      <w:r>
        <w:rPr>
          <w:rFonts w:eastAsia="TimesNewRoman"/>
          <w:szCs w:val="22"/>
        </w:rPr>
        <w:t> </w:t>
      </w:r>
      <w:r w:rsidRPr="00BA59BA">
        <w:rPr>
          <w:rFonts w:eastAsia="TimesNewRoman"/>
          <w:szCs w:val="22"/>
        </w:rPr>
        <w:t>metų amžiaus yra ne didesnė nei 0,20</w:t>
      </w:r>
      <w:r>
        <w:rPr>
          <w:rFonts w:eastAsia="TimesNewRoman"/>
          <w:szCs w:val="22"/>
        </w:rPr>
        <w:t> </w:t>
      </w:r>
      <w:r w:rsidRPr="00BA59BA">
        <w:rPr>
          <w:rFonts w:eastAsia="TimesNewRoman"/>
          <w:szCs w:val="22"/>
        </w:rPr>
        <w:t>mg/kg kūno svorio kiekvieną dieną.</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
          <w:i/>
          <w:szCs w:val="22"/>
        </w:rPr>
      </w:pPr>
      <w:r w:rsidRPr="00BA59BA">
        <w:rPr>
          <w:rFonts w:eastAsia="TimesNewRoman"/>
          <w:i/>
          <w:szCs w:val="22"/>
        </w:rPr>
        <w:t xml:space="preserve">Jei Jūs gydomas nuo </w:t>
      </w:r>
      <w:proofErr w:type="spellStart"/>
      <w:r w:rsidRPr="00BA59BA">
        <w:rPr>
          <w:rFonts w:eastAsia="TimesNewRoman"/>
          <w:i/>
          <w:szCs w:val="22"/>
        </w:rPr>
        <w:t>prieskydinių</w:t>
      </w:r>
      <w:proofErr w:type="spellEnd"/>
      <w:r w:rsidRPr="00BA59BA">
        <w:rPr>
          <w:rFonts w:eastAsia="TimesNewRoman"/>
          <w:i/>
          <w:szCs w:val="22"/>
        </w:rPr>
        <w:t xml:space="preserve"> laukų vėžio ar pirminės </w:t>
      </w:r>
      <w:proofErr w:type="spellStart"/>
      <w:r w:rsidRPr="00BA59BA">
        <w:rPr>
          <w:rFonts w:eastAsia="TimesNewRoman"/>
          <w:i/>
          <w:szCs w:val="22"/>
        </w:rPr>
        <w:t>hiperparatirozės</w:t>
      </w:r>
      <w:proofErr w:type="spellEnd"/>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dozė suaugusiesiems yra 30</w:t>
      </w:r>
      <w:r>
        <w:rPr>
          <w:rFonts w:eastAsia="TimesNewRoman"/>
          <w:szCs w:val="22"/>
        </w:rPr>
        <w:t> </w:t>
      </w:r>
      <w:r w:rsidRPr="00BA59BA">
        <w:rPr>
          <w:rFonts w:eastAsia="TimesNewRoman"/>
          <w:szCs w:val="22"/>
        </w:rPr>
        <w:t>mg (viena tabletė) du kartus per parą.</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rFonts w:eastAsia="TimesNewRoman,Bold"/>
          <w:b/>
          <w:szCs w:val="22"/>
        </w:rPr>
      </w:pPr>
      <w:r>
        <w:rPr>
          <w:rFonts w:eastAsia="TimesNewRoman,Bold"/>
          <w:b/>
          <w:szCs w:val="22"/>
        </w:rPr>
        <w:t>Ką daryti p</w:t>
      </w:r>
      <w:r w:rsidRPr="00BA59BA">
        <w:rPr>
          <w:rFonts w:eastAsia="TimesNewRoman,Bold"/>
          <w:b/>
          <w:szCs w:val="22"/>
        </w:rPr>
        <w:t xml:space="preserve">avartojus per didelę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rFonts w:eastAsia="TimesNewRoman,Bold"/>
          <w:b/>
          <w:szCs w:val="22"/>
        </w:rPr>
        <w:t xml:space="preserve"> dozę</w:t>
      </w:r>
      <w:r>
        <w:rPr>
          <w:rFonts w:eastAsia="TimesNewRoman,Bold"/>
          <w:b/>
          <w:szCs w:val="22"/>
        </w:rPr>
        <w:t>?</w:t>
      </w:r>
    </w:p>
    <w:p w:rsidR="00CA71C3" w:rsidRPr="00BA59BA" w:rsidRDefault="00CA71C3" w:rsidP="00CA71C3">
      <w:pPr>
        <w:autoSpaceDE w:val="0"/>
        <w:autoSpaceDN w:val="0"/>
        <w:adjustRightInd w:val="0"/>
        <w:rPr>
          <w:rFonts w:eastAsia="TimesNewRoman"/>
          <w:szCs w:val="22"/>
        </w:rPr>
      </w:pPr>
      <w:r w:rsidRPr="00BA59BA">
        <w:rPr>
          <w:rFonts w:eastAsia="TimesNewRoman"/>
          <w:szCs w:val="22"/>
        </w:rPr>
        <w:lastRenderedPageBreak/>
        <w:t xml:space="preserve">Jei išgėrėte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daugiau, negu turėjote išgerti, nedels</w:t>
      </w:r>
      <w:r>
        <w:rPr>
          <w:rFonts w:eastAsia="TimesNewRoman"/>
          <w:szCs w:val="22"/>
        </w:rPr>
        <w:t>dami</w:t>
      </w:r>
      <w:r w:rsidRPr="00BA59BA">
        <w:rPr>
          <w:rFonts w:eastAsia="TimesNewRoman"/>
          <w:szCs w:val="22"/>
        </w:rPr>
        <w:t xml:space="preserve"> kreipkitės į savo gydytoją. Galimi perdozavimo požymiai yra nutirpimas arba dilgčiojimas aplink burną, raumenų skausmas, mėšlungis ir priepuoliai.</w:t>
      </w:r>
    </w:p>
    <w:p w:rsidR="00CA71C3" w:rsidRPr="00BA59BA" w:rsidRDefault="00CA71C3" w:rsidP="00CA71C3">
      <w:pPr>
        <w:autoSpaceDE w:val="0"/>
        <w:autoSpaceDN w:val="0"/>
        <w:adjustRightInd w:val="0"/>
        <w:rPr>
          <w:rFonts w:eastAsia="TimesNewRoman"/>
          <w:b/>
          <w:szCs w:val="22"/>
        </w:rPr>
      </w:pPr>
    </w:p>
    <w:p w:rsidR="00CA71C3" w:rsidRPr="00BA59BA" w:rsidRDefault="00CA71C3" w:rsidP="00CA71C3">
      <w:pPr>
        <w:autoSpaceDE w:val="0"/>
        <w:autoSpaceDN w:val="0"/>
        <w:adjustRightInd w:val="0"/>
        <w:rPr>
          <w:rFonts w:eastAsia="TimesNewRoman"/>
          <w:b/>
          <w:szCs w:val="22"/>
        </w:rPr>
      </w:pPr>
      <w:r w:rsidRPr="00BA59BA">
        <w:rPr>
          <w:rFonts w:eastAsia="TimesNewRoman"/>
          <w:b/>
          <w:szCs w:val="22"/>
        </w:rPr>
        <w:t xml:space="preserve">Pamiršus pavartoti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rsidR="00CA71C3" w:rsidRPr="00BA59BA" w:rsidRDefault="00CA71C3" w:rsidP="00CA71C3">
      <w:pPr>
        <w:autoSpaceDE w:val="0"/>
        <w:autoSpaceDN w:val="0"/>
        <w:adjustRightInd w:val="0"/>
        <w:rPr>
          <w:rFonts w:eastAsia="TimesNewRoman"/>
          <w:szCs w:val="22"/>
        </w:rPr>
      </w:pPr>
      <w:r w:rsidRPr="00BA59BA">
        <w:rPr>
          <w:rFonts w:eastAsia="TimesNewRoman"/>
          <w:szCs w:val="22"/>
        </w:rPr>
        <w:t>Negalima vartoti dvigubos dozės norint kompensuoti praleistą dozę.</w:t>
      </w:r>
    </w:p>
    <w:p w:rsidR="00CA71C3" w:rsidRPr="00BA59BA" w:rsidRDefault="00CA71C3" w:rsidP="00CA71C3">
      <w:pPr>
        <w:autoSpaceDE w:val="0"/>
        <w:autoSpaceDN w:val="0"/>
        <w:adjustRightInd w:val="0"/>
        <w:rPr>
          <w:rFonts w:eastAsia="TimesNewRoman"/>
          <w:szCs w:val="22"/>
        </w:rPr>
      </w:pPr>
      <w:r w:rsidRPr="00BA59BA">
        <w:rPr>
          <w:rFonts w:eastAsia="TimesNewRoman"/>
          <w:szCs w:val="22"/>
        </w:rPr>
        <w:t xml:space="preserve">Jei pamiršote išgerti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dozę, kitą savo dozę gerkite įprastu laiku.</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szCs w:val="22"/>
        </w:rPr>
      </w:pPr>
      <w:r w:rsidRPr="00BA59BA">
        <w:rPr>
          <w:rFonts w:eastAsia="TimesNewRoman"/>
          <w:szCs w:val="22"/>
        </w:rPr>
        <w:t>Jeigu kiltų daugiau klausimų dėl šio vaisto vartojimo, kreipkitės į gydytoją, vaistininką arba slaugytoją.</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
    <w:p w:rsidR="00CA71C3" w:rsidRPr="00BA59BA" w:rsidRDefault="00CA71C3" w:rsidP="00CA71C3">
      <w:pPr>
        <w:keepNext/>
        <w:tabs>
          <w:tab w:val="left" w:pos="567"/>
        </w:tabs>
        <w:outlineLvl w:val="1"/>
        <w:rPr>
          <w:b/>
          <w:szCs w:val="22"/>
        </w:rPr>
      </w:pPr>
      <w:r w:rsidRPr="00BA59BA">
        <w:rPr>
          <w:b/>
          <w:szCs w:val="22"/>
        </w:rPr>
        <w:t>4.</w:t>
      </w:r>
      <w:r w:rsidRPr="00BA59BA">
        <w:rPr>
          <w:b/>
          <w:szCs w:val="22"/>
        </w:rPr>
        <w:tab/>
        <w:t>Galimas šalutinis poveikis</w:t>
      </w:r>
    </w:p>
    <w:p w:rsidR="00CA71C3" w:rsidRPr="00BA59BA" w:rsidRDefault="00CA71C3" w:rsidP="00CA71C3">
      <w:pPr>
        <w:tabs>
          <w:tab w:val="left" w:pos="567"/>
        </w:tabs>
        <w:ind w:left="567" w:hanging="567"/>
        <w:rPr>
          <w:szCs w:val="22"/>
        </w:rPr>
      </w:pPr>
    </w:p>
    <w:p w:rsidR="00CA71C3" w:rsidRPr="00BA59BA" w:rsidRDefault="00CA71C3" w:rsidP="00CA71C3">
      <w:pPr>
        <w:tabs>
          <w:tab w:val="left" w:pos="567"/>
        </w:tabs>
        <w:rPr>
          <w:szCs w:val="22"/>
        </w:rPr>
      </w:pPr>
      <w:r w:rsidRPr="00BA59BA">
        <w:rPr>
          <w:szCs w:val="22"/>
        </w:rPr>
        <w:t>Šis vaistas, kaip ir visi kiti, gali sukelti šalutinį poveikį, nors jis pasireiškia ne visiems žmonėms.</w:t>
      </w:r>
    </w:p>
    <w:p w:rsidR="00CA71C3" w:rsidRPr="00BA59BA" w:rsidRDefault="00CA71C3" w:rsidP="00CA71C3">
      <w:pPr>
        <w:tabs>
          <w:tab w:val="left" w:pos="567"/>
        </w:tabs>
        <w:rPr>
          <w:szCs w:val="22"/>
        </w:rPr>
      </w:pPr>
    </w:p>
    <w:p w:rsidR="00CA71C3" w:rsidRPr="003528EB" w:rsidRDefault="00CA71C3" w:rsidP="00CA71C3">
      <w:pPr>
        <w:tabs>
          <w:tab w:val="left" w:pos="567"/>
        </w:tabs>
        <w:rPr>
          <w:b/>
          <w:szCs w:val="22"/>
        </w:rPr>
      </w:pPr>
      <w:r w:rsidRPr="003528EB">
        <w:rPr>
          <w:b/>
          <w:szCs w:val="22"/>
        </w:rPr>
        <w:t>Nedels</w:t>
      </w:r>
      <w:r w:rsidRPr="00BA59BA">
        <w:rPr>
          <w:b/>
          <w:szCs w:val="22"/>
        </w:rPr>
        <w:t>dami</w:t>
      </w:r>
      <w:r w:rsidRPr="003528EB">
        <w:rPr>
          <w:b/>
          <w:szCs w:val="22"/>
        </w:rPr>
        <w:t xml:space="preserve"> pasakykite savo gydytojui:</w:t>
      </w:r>
    </w:p>
    <w:p w:rsidR="00CA71C3" w:rsidRPr="00BA59BA" w:rsidRDefault="00CA71C3" w:rsidP="00CA71C3">
      <w:pPr>
        <w:tabs>
          <w:tab w:val="left" w:pos="567"/>
        </w:tabs>
        <w:rPr>
          <w:szCs w:val="22"/>
        </w:rPr>
      </w:pPr>
    </w:p>
    <w:p w:rsidR="00CA71C3" w:rsidRPr="00BA59BA" w:rsidRDefault="00CA71C3" w:rsidP="00CA71C3">
      <w:pPr>
        <w:numPr>
          <w:ilvl w:val="0"/>
          <w:numId w:val="8"/>
        </w:numPr>
        <w:autoSpaceDE w:val="0"/>
        <w:autoSpaceDN w:val="0"/>
        <w:adjustRightInd w:val="0"/>
        <w:ind w:left="567" w:hanging="567"/>
        <w:rPr>
          <w:rFonts w:eastAsia="TimesNewRoman"/>
          <w:szCs w:val="22"/>
        </w:rPr>
      </w:pPr>
      <w:r w:rsidRPr="00BA59BA">
        <w:rPr>
          <w:rFonts w:eastAsia="TimesNewRoman"/>
          <w:szCs w:val="22"/>
        </w:rPr>
        <w:t>Jeigu Jums prasideda nutirpimas ar dilgčiojimas aplink burną, raumenų skausmas ar mėšlungis bei traukuliai. Tai gali būti per žemų kalcio lygių kraujyje (</w:t>
      </w:r>
      <w:proofErr w:type="spellStart"/>
      <w:r w:rsidRPr="00BA59BA">
        <w:rPr>
          <w:rFonts w:eastAsia="TimesNewRoman"/>
          <w:szCs w:val="22"/>
        </w:rPr>
        <w:t>hipokalcemijos</w:t>
      </w:r>
      <w:proofErr w:type="spellEnd"/>
      <w:r w:rsidRPr="00BA59BA">
        <w:rPr>
          <w:rFonts w:eastAsia="TimesNewRoman"/>
          <w:szCs w:val="22"/>
        </w:rPr>
        <w:t>) požymiai.</w:t>
      </w:r>
    </w:p>
    <w:p w:rsidR="00CA71C3" w:rsidRPr="00BA59BA" w:rsidRDefault="00CA71C3" w:rsidP="00CA71C3">
      <w:pPr>
        <w:numPr>
          <w:ilvl w:val="0"/>
          <w:numId w:val="8"/>
        </w:numPr>
        <w:autoSpaceDE w:val="0"/>
        <w:autoSpaceDN w:val="0"/>
        <w:adjustRightInd w:val="0"/>
        <w:ind w:left="567" w:hanging="567"/>
        <w:rPr>
          <w:rFonts w:eastAsia="TimesNewRoman"/>
          <w:szCs w:val="22"/>
        </w:rPr>
      </w:pPr>
      <w:r w:rsidRPr="00BA59BA">
        <w:rPr>
          <w:rFonts w:eastAsia="TimesNewRoman"/>
          <w:szCs w:val="22"/>
        </w:rPr>
        <w:t>Jeigu Jums pasireiškia veido, lūpų, burnos, liežuvio arba gerklės patinimas, kurie apsunkina rijimą arba kvėpavimą (</w:t>
      </w:r>
      <w:proofErr w:type="spellStart"/>
      <w:r w:rsidRPr="00BA59BA">
        <w:rPr>
          <w:rFonts w:eastAsia="TimesNewRoman"/>
          <w:szCs w:val="22"/>
        </w:rPr>
        <w:t>angioneurozinė</w:t>
      </w:r>
      <w:proofErr w:type="spellEnd"/>
      <w:r w:rsidRPr="00BA59BA">
        <w:rPr>
          <w:rFonts w:eastAsia="TimesNewRoman"/>
          <w:szCs w:val="22"/>
        </w:rPr>
        <w:t xml:space="preserve"> edema).</w:t>
      </w:r>
    </w:p>
    <w:p w:rsidR="00CA71C3" w:rsidRPr="00BA59BA" w:rsidRDefault="00CA71C3" w:rsidP="00CA71C3">
      <w:pPr>
        <w:autoSpaceDE w:val="0"/>
        <w:autoSpaceDN w:val="0"/>
        <w:adjustRightInd w:val="0"/>
        <w:rPr>
          <w:rFonts w:eastAsia="TimesNewRoman"/>
          <w:b/>
          <w:szCs w:val="22"/>
        </w:rPr>
      </w:pPr>
    </w:p>
    <w:p w:rsidR="00CA71C3" w:rsidRPr="00BA59BA" w:rsidRDefault="00CA71C3" w:rsidP="00CA71C3">
      <w:pPr>
        <w:autoSpaceDE w:val="0"/>
        <w:autoSpaceDN w:val="0"/>
        <w:adjustRightInd w:val="0"/>
        <w:rPr>
          <w:rFonts w:eastAsia="TimesNewRoman,Bold"/>
          <w:b/>
          <w:szCs w:val="22"/>
        </w:rPr>
      </w:pPr>
      <w:r w:rsidRPr="00BA59BA">
        <w:rPr>
          <w:rFonts w:eastAsia="TimesNewRoman"/>
          <w:b/>
          <w:szCs w:val="22"/>
        </w:rPr>
        <w:t>Labai dažnas šalutinis poveikis</w:t>
      </w:r>
      <w:r w:rsidRPr="00BA59BA">
        <w:rPr>
          <w:rFonts w:eastAsia="TimesNewRoman,Bold"/>
          <w:b/>
          <w:szCs w:val="22"/>
        </w:rPr>
        <w:t>: gali pasireikšti daugiau kaip 1 iš 10 žmonių</w:t>
      </w:r>
    </w:p>
    <w:p w:rsidR="00CA71C3" w:rsidRPr="00BA59BA" w:rsidRDefault="00CA71C3" w:rsidP="00CA71C3">
      <w:pPr>
        <w:numPr>
          <w:ilvl w:val="0"/>
          <w:numId w:val="9"/>
        </w:numPr>
        <w:autoSpaceDE w:val="0"/>
        <w:autoSpaceDN w:val="0"/>
        <w:adjustRightInd w:val="0"/>
        <w:ind w:left="567" w:hanging="567"/>
        <w:rPr>
          <w:rFonts w:eastAsia="TimesNewRoman"/>
          <w:szCs w:val="22"/>
        </w:rPr>
      </w:pPr>
      <w:r w:rsidRPr="00BA59BA">
        <w:rPr>
          <w:rFonts w:eastAsia="TimesNewRoman"/>
          <w:szCs w:val="22"/>
        </w:rPr>
        <w:t>pykinimas ir vėmimas. Šis šalutinis poveikis paprastai būna nesunkus ir trumpalaikis.</w:t>
      </w:r>
    </w:p>
    <w:p w:rsidR="00CA71C3" w:rsidRPr="00BA59BA" w:rsidRDefault="00CA71C3" w:rsidP="00CA71C3">
      <w:pPr>
        <w:autoSpaceDE w:val="0"/>
        <w:autoSpaceDN w:val="0"/>
        <w:adjustRightInd w:val="0"/>
        <w:rPr>
          <w:rFonts w:eastAsia="TimesNewRoman"/>
          <w:b/>
          <w:szCs w:val="22"/>
        </w:rPr>
      </w:pPr>
    </w:p>
    <w:p w:rsidR="00CA71C3" w:rsidRPr="00BA59BA" w:rsidRDefault="00CA71C3" w:rsidP="00CA71C3">
      <w:pPr>
        <w:autoSpaceDE w:val="0"/>
        <w:autoSpaceDN w:val="0"/>
        <w:adjustRightInd w:val="0"/>
        <w:rPr>
          <w:rFonts w:eastAsia="TimesNewRoman,Bold"/>
          <w:b/>
          <w:szCs w:val="22"/>
        </w:rPr>
      </w:pPr>
      <w:r w:rsidRPr="00BA59BA">
        <w:rPr>
          <w:rFonts w:eastAsia="TimesNewRoman"/>
          <w:b/>
          <w:szCs w:val="22"/>
        </w:rPr>
        <w:t>Dažnas šalutinis poveikis</w:t>
      </w:r>
      <w:r w:rsidRPr="00BA59BA">
        <w:rPr>
          <w:rFonts w:eastAsia="TimesNewRoman,Bold"/>
          <w:b/>
          <w:szCs w:val="22"/>
        </w:rPr>
        <w:t>: gali pasireikšti mažiau kaip 1 iš 10 žmonių</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svaigulys,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nutirpimo ir dilgčiojimo pojūtis (</w:t>
      </w:r>
      <w:proofErr w:type="spellStart"/>
      <w:r w:rsidRPr="00BA59BA">
        <w:rPr>
          <w:rFonts w:eastAsia="TimesNewRoman"/>
          <w:szCs w:val="22"/>
        </w:rPr>
        <w:t>parestezija</w:t>
      </w:r>
      <w:proofErr w:type="spellEnd"/>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apetito netekimas (anoreksija) arba sumažėjimas,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raumenų skausmas (</w:t>
      </w:r>
      <w:proofErr w:type="spellStart"/>
      <w:r w:rsidRPr="00BA59BA">
        <w:rPr>
          <w:rFonts w:eastAsia="TimesNewRoman"/>
          <w:szCs w:val="22"/>
        </w:rPr>
        <w:t>mialgija</w:t>
      </w:r>
      <w:proofErr w:type="spellEnd"/>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silpnumas (</w:t>
      </w:r>
      <w:proofErr w:type="spellStart"/>
      <w:r w:rsidRPr="00BA59BA">
        <w:rPr>
          <w:rFonts w:eastAsia="TimesNewRoman"/>
          <w:szCs w:val="22"/>
        </w:rPr>
        <w:t>astenija</w:t>
      </w:r>
      <w:proofErr w:type="spellEnd"/>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išbėrimas,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sumažėję testosterono lygiai,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aukšti kalio lygiai kraujyje (</w:t>
      </w:r>
      <w:proofErr w:type="spellStart"/>
      <w:r w:rsidRPr="00BA59BA">
        <w:rPr>
          <w:rFonts w:eastAsia="TimesNewRoman"/>
          <w:szCs w:val="22"/>
        </w:rPr>
        <w:t>hiperkalemija</w:t>
      </w:r>
      <w:proofErr w:type="spellEnd"/>
      <w:r w:rsidRPr="00BA59BA">
        <w:rPr>
          <w:rFonts w:eastAsia="TimesNewRoman"/>
          <w:szCs w:val="22"/>
        </w:rPr>
        <w:t xml:space="preserve">), </w:t>
      </w:r>
    </w:p>
    <w:p w:rsidR="00CA71C3" w:rsidRPr="00BA59BA" w:rsidRDefault="00CA71C3" w:rsidP="00CA71C3">
      <w:pPr>
        <w:numPr>
          <w:ilvl w:val="0"/>
          <w:numId w:val="9"/>
        </w:numPr>
        <w:autoSpaceDE w:val="0"/>
        <w:autoSpaceDN w:val="0"/>
        <w:adjustRightInd w:val="0"/>
        <w:ind w:left="567" w:hanging="567"/>
        <w:rPr>
          <w:szCs w:val="22"/>
        </w:rPr>
      </w:pPr>
      <w:r w:rsidRPr="00BA59BA">
        <w:rPr>
          <w:rFonts w:eastAsia="TimesNewRoman"/>
          <w:szCs w:val="22"/>
        </w:rPr>
        <w:t>alerginės reakcijos (padidėjęs jautrumas),</w:t>
      </w:r>
      <w:r w:rsidRPr="00BA59BA">
        <w:rPr>
          <w:szCs w:val="22"/>
        </w:rPr>
        <w:t xml:space="preserve">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 xml:space="preserve">galvos skausmas, </w:t>
      </w:r>
    </w:p>
    <w:p w:rsidR="00CA71C3" w:rsidRPr="003528EB" w:rsidRDefault="00CA71C3" w:rsidP="00CA71C3">
      <w:pPr>
        <w:numPr>
          <w:ilvl w:val="0"/>
          <w:numId w:val="9"/>
        </w:numPr>
        <w:autoSpaceDE w:val="0"/>
        <w:autoSpaceDN w:val="0"/>
        <w:adjustRightInd w:val="0"/>
        <w:ind w:left="567" w:hanging="567"/>
        <w:rPr>
          <w:szCs w:val="22"/>
        </w:rPr>
      </w:pPr>
      <w:r w:rsidRPr="00BA59BA">
        <w:rPr>
          <w:szCs w:val="22"/>
        </w:rPr>
        <w:t>priepuoliai (konvulsijos arba traukuliai),</w:t>
      </w:r>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žemas kraujospū</w:t>
      </w:r>
      <w:r w:rsidRPr="00BA59BA">
        <w:rPr>
          <w:szCs w:val="22"/>
        </w:rPr>
        <w:t>dis (</w:t>
      </w:r>
      <w:proofErr w:type="spellStart"/>
      <w:r w:rsidRPr="00BA59BA">
        <w:rPr>
          <w:szCs w:val="22"/>
        </w:rPr>
        <w:t>hipotenzija</w:t>
      </w:r>
      <w:proofErr w:type="spellEnd"/>
      <w:r w:rsidRPr="00BA59BA">
        <w:rPr>
          <w:szCs w:val="22"/>
        </w:rPr>
        <w:t>),</w:t>
      </w:r>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viršutinių kvėpavimo takų infekcija,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apsunkintas</w:t>
      </w:r>
      <w:r w:rsidRPr="00BA59BA">
        <w:rPr>
          <w:rFonts w:eastAsia="TimesNewRoman"/>
          <w:szCs w:val="22"/>
        </w:rPr>
        <w:t xml:space="preserve"> kvėpavimas </w:t>
      </w:r>
      <w:r w:rsidRPr="00BA59BA">
        <w:rPr>
          <w:szCs w:val="22"/>
        </w:rPr>
        <w:t>(</w:t>
      </w:r>
      <w:r w:rsidRPr="00BA59BA">
        <w:rPr>
          <w:rFonts w:eastAsia="TimesNewRoman"/>
          <w:szCs w:val="22"/>
        </w:rPr>
        <w:t>dusulys),</w:t>
      </w:r>
      <w:r w:rsidRPr="00BA59BA">
        <w:rPr>
          <w:szCs w:val="22"/>
        </w:rPr>
        <w:t xml:space="preserve">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 xml:space="preserve">kosulys,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 xml:space="preserve">virškinimo sutrikimas (dispepsija),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 xml:space="preserve">viduriavimas, </w:t>
      </w:r>
    </w:p>
    <w:p w:rsidR="00CA71C3" w:rsidRPr="003528EB" w:rsidRDefault="00CA71C3" w:rsidP="00CA71C3">
      <w:pPr>
        <w:numPr>
          <w:ilvl w:val="0"/>
          <w:numId w:val="9"/>
        </w:numPr>
        <w:autoSpaceDE w:val="0"/>
        <w:autoSpaceDN w:val="0"/>
        <w:adjustRightInd w:val="0"/>
        <w:ind w:left="567" w:hanging="567"/>
        <w:rPr>
          <w:szCs w:val="22"/>
        </w:rPr>
      </w:pPr>
      <w:r w:rsidRPr="00BA59BA">
        <w:rPr>
          <w:szCs w:val="22"/>
        </w:rPr>
        <w:t xml:space="preserve">pilvo skausmas, </w:t>
      </w:r>
      <w:r w:rsidRPr="00BA59BA">
        <w:rPr>
          <w:rFonts w:eastAsia="TimesNewRoman"/>
          <w:szCs w:val="22"/>
        </w:rPr>
        <w:t xml:space="preserve">viršutinės pilvo </w:t>
      </w:r>
      <w:r w:rsidRPr="00BA59BA">
        <w:rPr>
          <w:szCs w:val="22"/>
        </w:rPr>
        <w:t>dalies skausmas,</w:t>
      </w:r>
      <w:r w:rsidRPr="00BA59BA">
        <w:rPr>
          <w:rFonts w:eastAsia="TimesNewRoman"/>
          <w:szCs w:val="22"/>
        </w:rPr>
        <w:t xml:space="preserve"> </w:t>
      </w:r>
    </w:p>
    <w:p w:rsidR="00CA71C3" w:rsidRPr="003528EB" w:rsidRDefault="00CA71C3" w:rsidP="00CA71C3">
      <w:pPr>
        <w:numPr>
          <w:ilvl w:val="0"/>
          <w:numId w:val="9"/>
        </w:numPr>
        <w:autoSpaceDE w:val="0"/>
        <w:autoSpaceDN w:val="0"/>
        <w:adjustRightInd w:val="0"/>
        <w:ind w:left="567" w:hanging="567"/>
        <w:rPr>
          <w:szCs w:val="22"/>
        </w:rPr>
      </w:pPr>
      <w:r w:rsidRPr="00BA59BA">
        <w:rPr>
          <w:rFonts w:eastAsia="TimesNewRoman"/>
          <w:szCs w:val="22"/>
        </w:rPr>
        <w:t xml:space="preserve">vidurių užkietėjimas, </w:t>
      </w:r>
    </w:p>
    <w:p w:rsidR="00CA71C3" w:rsidRPr="00BA59BA" w:rsidRDefault="00CA71C3" w:rsidP="00CA71C3">
      <w:pPr>
        <w:numPr>
          <w:ilvl w:val="0"/>
          <w:numId w:val="9"/>
        </w:numPr>
        <w:autoSpaceDE w:val="0"/>
        <w:autoSpaceDN w:val="0"/>
        <w:adjustRightInd w:val="0"/>
        <w:ind w:left="567" w:hanging="567"/>
        <w:rPr>
          <w:szCs w:val="22"/>
        </w:rPr>
      </w:pPr>
      <w:r w:rsidRPr="00BA59BA">
        <w:rPr>
          <w:rFonts w:eastAsia="TimesNewRoman"/>
          <w:szCs w:val="22"/>
        </w:rPr>
        <w:t>raumenų spazmai,</w:t>
      </w:r>
      <w:r w:rsidRPr="00BA59BA">
        <w:rPr>
          <w:szCs w:val="22"/>
        </w:rPr>
        <w:t xml:space="preserve">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žemi kalcio lygiai kraujyje (</w:t>
      </w:r>
      <w:proofErr w:type="spellStart"/>
      <w:r w:rsidRPr="00BA59BA">
        <w:rPr>
          <w:szCs w:val="22"/>
        </w:rPr>
        <w:t>hipokalcemija</w:t>
      </w:r>
      <w:proofErr w:type="spellEnd"/>
      <w:r w:rsidRPr="00BA59BA">
        <w:rPr>
          <w:szCs w:val="22"/>
        </w:rPr>
        <w:t xml:space="preserve">), </w:t>
      </w:r>
    </w:p>
    <w:p w:rsidR="00CA71C3" w:rsidRPr="00BA59BA" w:rsidRDefault="00CA71C3" w:rsidP="00CA71C3">
      <w:pPr>
        <w:numPr>
          <w:ilvl w:val="0"/>
          <w:numId w:val="9"/>
        </w:numPr>
        <w:autoSpaceDE w:val="0"/>
        <w:autoSpaceDN w:val="0"/>
        <w:adjustRightInd w:val="0"/>
        <w:ind w:left="567" w:hanging="567"/>
        <w:rPr>
          <w:szCs w:val="22"/>
        </w:rPr>
      </w:pPr>
      <w:r w:rsidRPr="00BA59BA">
        <w:rPr>
          <w:szCs w:val="22"/>
        </w:rPr>
        <w:t>nugaros skausmas.</w:t>
      </w:r>
    </w:p>
    <w:p w:rsidR="00CA71C3" w:rsidRPr="00BA59BA" w:rsidRDefault="00CA71C3" w:rsidP="00CA71C3">
      <w:pPr>
        <w:autoSpaceDE w:val="0"/>
        <w:autoSpaceDN w:val="0"/>
        <w:adjustRightInd w:val="0"/>
        <w:rPr>
          <w:rFonts w:eastAsia="TimesNewRoman,Bold"/>
          <w:b/>
          <w:szCs w:val="22"/>
        </w:rPr>
      </w:pPr>
    </w:p>
    <w:p w:rsidR="00CA71C3" w:rsidRPr="00BA59BA" w:rsidRDefault="00CA71C3" w:rsidP="00CA71C3">
      <w:pPr>
        <w:autoSpaceDE w:val="0"/>
        <w:autoSpaceDN w:val="0"/>
        <w:adjustRightInd w:val="0"/>
        <w:rPr>
          <w:rFonts w:eastAsia="TimesNewRoman,Bold"/>
          <w:b/>
          <w:szCs w:val="22"/>
        </w:rPr>
      </w:pPr>
      <w:r w:rsidRPr="00BA59BA">
        <w:rPr>
          <w:rFonts w:eastAsia="TimesNewRoman,Bold"/>
          <w:b/>
          <w:szCs w:val="22"/>
        </w:rPr>
        <w:t>Dažnis nežinomas: negali būti apskaičiuotas pagal turimus duomenis</w:t>
      </w:r>
    </w:p>
    <w:p w:rsidR="00CA71C3" w:rsidRPr="003528EB" w:rsidRDefault="00CA71C3" w:rsidP="00CA71C3">
      <w:pPr>
        <w:numPr>
          <w:ilvl w:val="0"/>
          <w:numId w:val="10"/>
        </w:numPr>
        <w:autoSpaceDE w:val="0"/>
        <w:autoSpaceDN w:val="0"/>
        <w:adjustRightInd w:val="0"/>
        <w:ind w:left="567" w:hanging="567"/>
        <w:rPr>
          <w:szCs w:val="22"/>
        </w:rPr>
      </w:pPr>
      <w:r w:rsidRPr="00BA59BA">
        <w:rPr>
          <w:rFonts w:eastAsia="TimesNewRoman"/>
          <w:szCs w:val="22"/>
        </w:rPr>
        <w:t>dilgėlinė (</w:t>
      </w:r>
      <w:proofErr w:type="spellStart"/>
      <w:r w:rsidRPr="00BA59BA">
        <w:rPr>
          <w:rFonts w:eastAsia="TimesNewRoman"/>
          <w:szCs w:val="22"/>
        </w:rPr>
        <w:t>urtikarija</w:t>
      </w:r>
      <w:proofErr w:type="spellEnd"/>
      <w:r w:rsidRPr="00BA59BA">
        <w:rPr>
          <w:rFonts w:eastAsia="TimesNewRoman"/>
          <w:szCs w:val="22"/>
        </w:rPr>
        <w:t xml:space="preserve">), </w:t>
      </w:r>
    </w:p>
    <w:p w:rsidR="00CA71C3" w:rsidRPr="00BA59BA" w:rsidRDefault="00CA71C3" w:rsidP="00CA71C3">
      <w:pPr>
        <w:numPr>
          <w:ilvl w:val="0"/>
          <w:numId w:val="10"/>
        </w:numPr>
        <w:autoSpaceDE w:val="0"/>
        <w:autoSpaceDN w:val="0"/>
        <w:adjustRightInd w:val="0"/>
        <w:ind w:left="567" w:hanging="567"/>
        <w:rPr>
          <w:szCs w:val="22"/>
        </w:rPr>
      </w:pPr>
      <w:r w:rsidRPr="00BA59BA">
        <w:rPr>
          <w:rFonts w:eastAsia="TimesNewRoman"/>
          <w:szCs w:val="22"/>
        </w:rPr>
        <w:t>veido, lūpų, burnos, liežuvio ar ryklės patinimas, galintis apsunkinti rijimą ar kvėpavimą (</w:t>
      </w:r>
      <w:proofErr w:type="spellStart"/>
      <w:r w:rsidRPr="00BA59BA">
        <w:rPr>
          <w:rFonts w:eastAsia="TimesNewRoman"/>
          <w:szCs w:val="22"/>
        </w:rPr>
        <w:t>angioneurozinė</w:t>
      </w:r>
      <w:proofErr w:type="spellEnd"/>
      <w:r w:rsidRPr="00BA59BA">
        <w:rPr>
          <w:rFonts w:eastAsia="TimesNewRoman"/>
          <w:szCs w:val="22"/>
        </w:rPr>
        <w:t xml:space="preserve"> edema),</w:t>
      </w:r>
      <w:r w:rsidRPr="00BA59BA">
        <w:rPr>
          <w:szCs w:val="22"/>
        </w:rPr>
        <w:t xml:space="preserve"> </w:t>
      </w:r>
    </w:p>
    <w:p w:rsidR="00CA71C3" w:rsidRPr="00BA59BA" w:rsidRDefault="00CA71C3" w:rsidP="00CA71C3">
      <w:pPr>
        <w:numPr>
          <w:ilvl w:val="0"/>
          <w:numId w:val="10"/>
        </w:numPr>
        <w:autoSpaceDE w:val="0"/>
        <w:autoSpaceDN w:val="0"/>
        <w:adjustRightInd w:val="0"/>
        <w:ind w:left="567" w:hanging="567"/>
        <w:rPr>
          <w:szCs w:val="22"/>
        </w:rPr>
      </w:pPr>
      <w:r w:rsidRPr="00BA59BA">
        <w:rPr>
          <w:szCs w:val="22"/>
        </w:rPr>
        <w:lastRenderedPageBreak/>
        <w:t>ne</w:t>
      </w:r>
      <w:r w:rsidRPr="00BA59BA">
        <w:rPr>
          <w:rFonts w:eastAsia="TimesNewRoman"/>
          <w:szCs w:val="22"/>
        </w:rPr>
        <w:t xml:space="preserve">įprastas stiprus ar juntamas širdies ritmas, kuris gali būti susijęs su žemais kalcio lygiais Jūsų kraujyje (dėl </w:t>
      </w:r>
      <w:proofErr w:type="spellStart"/>
      <w:r w:rsidRPr="00BA59BA">
        <w:rPr>
          <w:rFonts w:eastAsia="TimesNewRoman"/>
          <w:szCs w:val="22"/>
        </w:rPr>
        <w:t>hipokalcemijos</w:t>
      </w:r>
      <w:proofErr w:type="spellEnd"/>
      <w:r w:rsidRPr="00BA59BA">
        <w:rPr>
          <w:rFonts w:eastAsia="TimesNewRoman"/>
          <w:szCs w:val="22"/>
        </w:rPr>
        <w:t xml:space="preserve"> pasireiškęs QT pailgėjimas ir </w:t>
      </w:r>
      <w:proofErr w:type="spellStart"/>
      <w:r w:rsidRPr="00BA59BA">
        <w:rPr>
          <w:rFonts w:eastAsia="TimesNewRoman"/>
          <w:szCs w:val="22"/>
        </w:rPr>
        <w:t>skilvelinė</w:t>
      </w:r>
      <w:proofErr w:type="spellEnd"/>
      <w:r w:rsidRPr="00BA59BA">
        <w:rPr>
          <w:rFonts w:eastAsia="TimesNewRoman"/>
          <w:szCs w:val="22"/>
        </w:rPr>
        <w:t xml:space="preserve"> </w:t>
      </w:r>
      <w:r w:rsidRPr="00BA59BA">
        <w:rPr>
          <w:szCs w:val="22"/>
        </w:rPr>
        <w:t>aritmija).</w:t>
      </w:r>
    </w:p>
    <w:p w:rsidR="00CA71C3" w:rsidRPr="00BA59BA" w:rsidRDefault="00CA71C3" w:rsidP="00CA71C3">
      <w:pPr>
        <w:autoSpaceDE w:val="0"/>
        <w:autoSpaceDN w:val="0"/>
        <w:adjustRightInd w:val="0"/>
        <w:rPr>
          <w:rFonts w:eastAsia="TimesNewRoman"/>
          <w:szCs w:val="22"/>
        </w:rPr>
      </w:pPr>
    </w:p>
    <w:p w:rsidR="00CA71C3" w:rsidRPr="00BA59BA" w:rsidRDefault="00CA71C3" w:rsidP="00CA71C3">
      <w:pPr>
        <w:autoSpaceDE w:val="0"/>
        <w:autoSpaceDN w:val="0"/>
        <w:adjustRightInd w:val="0"/>
        <w:rPr>
          <w:szCs w:val="22"/>
        </w:rPr>
      </w:pPr>
      <w:r w:rsidRPr="00BA59BA">
        <w:rPr>
          <w:rFonts w:eastAsia="TimesNewRoman"/>
          <w:szCs w:val="22"/>
        </w:rPr>
        <w:t xml:space="preserve">Po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pavartojimo </w:t>
      </w:r>
      <w:r w:rsidRPr="00BA59BA">
        <w:rPr>
          <w:rFonts w:eastAsia="TimesNewRoman"/>
          <w:szCs w:val="22"/>
        </w:rPr>
        <w:t xml:space="preserve">labai mažam skaičiui širdies nepakankamumu sergančių pacientų būklė pasunkėjo ir (arba) sumažėjo kraujospūdis (pasireiškė </w:t>
      </w:r>
      <w:proofErr w:type="spellStart"/>
      <w:r w:rsidRPr="00BA59BA">
        <w:rPr>
          <w:rFonts w:eastAsia="TimesNewRoman"/>
          <w:szCs w:val="22"/>
        </w:rPr>
        <w:t>hipotenzija</w:t>
      </w:r>
      <w:proofErr w:type="spellEnd"/>
      <w:r w:rsidRPr="00BA59BA">
        <w:rPr>
          <w:rFonts w:eastAsia="TimesNewRoman"/>
          <w:szCs w:val="22"/>
        </w:rPr>
        <w:t>).</w:t>
      </w:r>
    </w:p>
    <w:p w:rsidR="00CA71C3" w:rsidRPr="00BA59BA" w:rsidRDefault="00CA71C3" w:rsidP="00CA71C3">
      <w:pPr>
        <w:tabs>
          <w:tab w:val="left" w:pos="567"/>
        </w:tabs>
        <w:rPr>
          <w:szCs w:val="22"/>
        </w:rPr>
      </w:pPr>
    </w:p>
    <w:p w:rsidR="00CA71C3" w:rsidRPr="00BA59BA" w:rsidRDefault="00CA71C3" w:rsidP="00CA71C3">
      <w:pPr>
        <w:tabs>
          <w:tab w:val="left" w:pos="567"/>
        </w:tabs>
        <w:rPr>
          <w:b/>
          <w:szCs w:val="22"/>
        </w:rPr>
      </w:pPr>
      <w:r w:rsidRPr="00BA59BA">
        <w:rPr>
          <w:b/>
          <w:szCs w:val="22"/>
        </w:rPr>
        <w:t>Pranešimas apie šalutinį poveikį</w:t>
      </w:r>
    </w:p>
    <w:p w:rsidR="00CA71C3" w:rsidRPr="00BA59BA" w:rsidRDefault="00CA71C3" w:rsidP="00CA71C3">
      <w:pPr>
        <w:tabs>
          <w:tab w:val="left" w:pos="567"/>
        </w:tabs>
        <w:rPr>
          <w:szCs w:val="22"/>
        </w:rPr>
      </w:pPr>
      <w:r w:rsidRPr="00BA59BA">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elektroniniu paštu </w:t>
      </w:r>
      <w:proofErr w:type="spellStart"/>
      <w:r w:rsidRPr="00BA59BA">
        <w:rPr>
          <w:szCs w:val="22"/>
        </w:rPr>
        <w:t>NepageidaujamaR@vvkt.lt</w:t>
      </w:r>
      <w:proofErr w:type="spellEnd"/>
      <w:r w:rsidRPr="00BA59BA">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
    <w:p w:rsidR="00CA71C3" w:rsidRPr="00BA59BA" w:rsidRDefault="00CA71C3" w:rsidP="00CA71C3">
      <w:pPr>
        <w:keepNext/>
        <w:tabs>
          <w:tab w:val="left" w:pos="567"/>
        </w:tabs>
        <w:ind w:left="567" w:hanging="567"/>
        <w:outlineLvl w:val="1"/>
        <w:rPr>
          <w:color w:val="000000"/>
          <w:szCs w:val="22"/>
        </w:rPr>
      </w:pPr>
      <w:r w:rsidRPr="00BA59BA">
        <w:rPr>
          <w:b/>
          <w:szCs w:val="22"/>
        </w:rPr>
        <w:t>5.</w:t>
      </w:r>
      <w:r w:rsidRPr="00BA59BA">
        <w:rPr>
          <w:b/>
          <w:szCs w:val="22"/>
        </w:rPr>
        <w:tab/>
        <w:t xml:space="preserve">Kaip laikyti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Šį vaistą laikykite vaikams nepastebimoje ir nepasiekiamoje vietoje.</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 xml:space="preserve">Ant dėžutės po </w:t>
      </w:r>
      <w:r>
        <w:rPr>
          <w:szCs w:val="22"/>
        </w:rPr>
        <w:t xml:space="preserve"> </w:t>
      </w:r>
      <w:r w:rsidRPr="00BA59BA">
        <w:rPr>
          <w:szCs w:val="22"/>
        </w:rPr>
        <w:t>ir lizdinės plokštelės po „EXP“ nurodytam tinkamumo laikui pasibaigus, šio vaisto vartoti negalima. Vaistas tinkamas vartoti iki paskutinės nurodyto mėnesio dienos.</w:t>
      </w:r>
    </w:p>
    <w:p w:rsidR="00CA71C3" w:rsidRPr="00BA59BA" w:rsidRDefault="00CA71C3" w:rsidP="00CA71C3">
      <w:pPr>
        <w:tabs>
          <w:tab w:val="left" w:pos="567"/>
        </w:tabs>
        <w:jc w:val="both"/>
        <w:rPr>
          <w:szCs w:val="22"/>
        </w:rPr>
      </w:pPr>
    </w:p>
    <w:p w:rsidR="00CA71C3" w:rsidRPr="00BA59BA" w:rsidRDefault="00CA71C3" w:rsidP="00CA71C3">
      <w:pPr>
        <w:tabs>
          <w:tab w:val="left" w:pos="567"/>
        </w:tabs>
        <w:jc w:val="both"/>
        <w:rPr>
          <w:szCs w:val="22"/>
        </w:rPr>
      </w:pPr>
      <w:r w:rsidRPr="00BA59BA">
        <w:rPr>
          <w:szCs w:val="22"/>
        </w:rPr>
        <w:t xml:space="preserve">Šiam vaistui specialių laikymo sąlygų nereikia. </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Vaistų negalima išmesti į kanalizaciją arba su buitinėmis atliekomis. Kaip išmesti nereikalingus vaistus, klauskite vaistininko. Šios priemonės padės apsaugoti aplinką.</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
    <w:p w:rsidR="00CA71C3" w:rsidRPr="00BA59BA" w:rsidRDefault="00CA71C3" w:rsidP="00CA71C3">
      <w:pPr>
        <w:keepNext/>
        <w:tabs>
          <w:tab w:val="left" w:pos="567"/>
        </w:tabs>
        <w:ind w:left="567" w:hanging="567"/>
        <w:outlineLvl w:val="1"/>
        <w:rPr>
          <w:b/>
          <w:szCs w:val="22"/>
        </w:rPr>
      </w:pPr>
      <w:r w:rsidRPr="00BA59BA">
        <w:rPr>
          <w:b/>
          <w:szCs w:val="22"/>
        </w:rPr>
        <w:t>6.</w:t>
      </w:r>
      <w:r w:rsidRPr="00BA59BA">
        <w:rPr>
          <w:b/>
          <w:szCs w:val="22"/>
        </w:rPr>
        <w:tab/>
        <w:t>Pakuotės turinys ir kita informacija</w:t>
      </w:r>
    </w:p>
    <w:p w:rsidR="00CA71C3" w:rsidRPr="00BA59BA" w:rsidRDefault="00CA71C3" w:rsidP="00CA71C3">
      <w:pPr>
        <w:tabs>
          <w:tab w:val="left" w:pos="567"/>
        </w:tabs>
        <w:rPr>
          <w:szCs w:val="22"/>
        </w:rPr>
      </w:pPr>
    </w:p>
    <w:p w:rsidR="00CA71C3" w:rsidRPr="00BA59BA" w:rsidRDefault="00CA71C3" w:rsidP="00CA71C3">
      <w:pPr>
        <w:tabs>
          <w:tab w:val="left" w:pos="567"/>
        </w:tabs>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sudėtis</w:t>
      </w:r>
    </w:p>
    <w:p w:rsidR="00CA71C3" w:rsidRPr="00BA59BA" w:rsidRDefault="00CA71C3" w:rsidP="00CA71C3">
      <w:pPr>
        <w:tabs>
          <w:tab w:val="left" w:pos="567"/>
        </w:tabs>
        <w:rPr>
          <w:szCs w:val="22"/>
        </w:rPr>
      </w:pPr>
      <w:r w:rsidRPr="00BA59BA">
        <w:rPr>
          <w:szCs w:val="22"/>
        </w:rPr>
        <w:t>-</w:t>
      </w:r>
      <w:r w:rsidRPr="00BA59BA">
        <w:rPr>
          <w:szCs w:val="22"/>
        </w:rPr>
        <w:tab/>
        <w:t xml:space="preserve">Veiklioji medžiaga yra </w:t>
      </w:r>
      <w:proofErr w:type="spellStart"/>
      <w:r w:rsidRPr="00BA59BA">
        <w:rPr>
          <w:szCs w:val="22"/>
        </w:rPr>
        <w:t>cinakalcetas</w:t>
      </w:r>
      <w:proofErr w:type="spellEnd"/>
      <w:r w:rsidRPr="00BA59BA">
        <w:rPr>
          <w:szCs w:val="22"/>
        </w:rPr>
        <w:t>.</w:t>
      </w:r>
    </w:p>
    <w:p w:rsidR="00CA71C3" w:rsidRPr="00BA59BA" w:rsidRDefault="00CA71C3" w:rsidP="00CA71C3">
      <w:pPr>
        <w:autoSpaceDE w:val="0"/>
        <w:autoSpaceDN w:val="0"/>
        <w:adjustRightInd w:val="0"/>
        <w:ind w:left="540"/>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 </w:t>
      </w:r>
    </w:p>
    <w:p w:rsidR="00CA71C3" w:rsidRPr="00BA59BA" w:rsidRDefault="00CA71C3" w:rsidP="00CA71C3">
      <w:pPr>
        <w:autoSpaceDE w:val="0"/>
        <w:autoSpaceDN w:val="0"/>
        <w:adjustRightInd w:val="0"/>
        <w:ind w:left="540"/>
        <w:rPr>
          <w:szCs w:val="22"/>
        </w:rPr>
      </w:pPr>
      <w:r w:rsidRPr="00BA59BA">
        <w:rPr>
          <w:szCs w:val="22"/>
        </w:rPr>
        <w:t xml:space="preserve">Kiekvienoje plėvele dengtoje tabletėje yra 30 mg </w:t>
      </w:r>
      <w:proofErr w:type="spellStart"/>
      <w:r w:rsidRPr="00BA59BA">
        <w:rPr>
          <w:szCs w:val="22"/>
        </w:rPr>
        <w:t>cinakalceto</w:t>
      </w:r>
      <w:proofErr w:type="spellEnd"/>
      <w:r w:rsidRPr="00BA59BA">
        <w:rPr>
          <w:szCs w:val="22"/>
        </w:rPr>
        <w:t xml:space="preserve"> (hidrochlorido pavidalu).</w:t>
      </w:r>
    </w:p>
    <w:p w:rsidR="00CA71C3" w:rsidRPr="00BA59BA" w:rsidRDefault="00CA71C3" w:rsidP="00CA71C3">
      <w:pPr>
        <w:tabs>
          <w:tab w:val="left" w:pos="567"/>
        </w:tabs>
        <w:ind w:left="540"/>
        <w:jc w:val="both"/>
        <w:rPr>
          <w:szCs w:val="22"/>
          <w:highlight w:val="lightGray"/>
        </w:rPr>
      </w:pPr>
    </w:p>
    <w:p w:rsidR="00CA71C3" w:rsidRPr="00BA59BA" w:rsidRDefault="00CA71C3" w:rsidP="00CA71C3">
      <w:pPr>
        <w:tabs>
          <w:tab w:val="left" w:pos="567"/>
        </w:tabs>
        <w:ind w:left="540"/>
        <w:jc w:val="both"/>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w:t>
      </w:r>
    </w:p>
    <w:p w:rsidR="00CA71C3" w:rsidRPr="00BA59BA" w:rsidRDefault="00CA71C3" w:rsidP="00CA71C3">
      <w:pPr>
        <w:tabs>
          <w:tab w:val="left" w:pos="567"/>
        </w:tabs>
        <w:ind w:left="540"/>
        <w:jc w:val="both"/>
        <w:rPr>
          <w:szCs w:val="22"/>
          <w:highlight w:val="lightGray"/>
        </w:rPr>
      </w:pPr>
      <w:r w:rsidRPr="00BA59BA">
        <w:rPr>
          <w:szCs w:val="22"/>
          <w:highlight w:val="lightGray"/>
        </w:rPr>
        <w:t xml:space="preserve">Kiekvienoje plėvele dengtoje tabletėje yra 60 mg </w:t>
      </w:r>
      <w:proofErr w:type="spellStart"/>
      <w:r w:rsidRPr="00BA59BA">
        <w:rPr>
          <w:szCs w:val="22"/>
          <w:highlight w:val="lightGray"/>
        </w:rPr>
        <w:t>cinakalceto</w:t>
      </w:r>
      <w:proofErr w:type="spellEnd"/>
      <w:r w:rsidRPr="00BA59BA">
        <w:rPr>
          <w:szCs w:val="22"/>
          <w:highlight w:val="lightGray"/>
        </w:rPr>
        <w:t xml:space="preserve"> (hidrochlorido pavidalu).</w:t>
      </w:r>
    </w:p>
    <w:p w:rsidR="00CA71C3" w:rsidRPr="00BA59BA" w:rsidRDefault="00CA71C3" w:rsidP="00CA71C3">
      <w:pPr>
        <w:tabs>
          <w:tab w:val="left" w:pos="567"/>
        </w:tabs>
        <w:ind w:left="540"/>
        <w:jc w:val="both"/>
        <w:rPr>
          <w:szCs w:val="22"/>
          <w:highlight w:val="lightGray"/>
        </w:rPr>
      </w:pPr>
    </w:p>
    <w:p w:rsidR="00CA71C3" w:rsidRPr="00BA59BA" w:rsidRDefault="00CA71C3" w:rsidP="00CA71C3">
      <w:pPr>
        <w:tabs>
          <w:tab w:val="left" w:pos="567"/>
        </w:tabs>
        <w:ind w:left="540"/>
        <w:jc w:val="both"/>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w:t>
      </w:r>
    </w:p>
    <w:p w:rsidR="00CA71C3" w:rsidRPr="00BA59BA" w:rsidRDefault="00CA71C3" w:rsidP="00CA71C3">
      <w:pPr>
        <w:tabs>
          <w:tab w:val="left" w:pos="567"/>
        </w:tabs>
        <w:ind w:left="540"/>
        <w:jc w:val="both"/>
        <w:rPr>
          <w:szCs w:val="22"/>
        </w:rPr>
      </w:pPr>
      <w:r w:rsidRPr="00BA59BA">
        <w:rPr>
          <w:szCs w:val="22"/>
          <w:highlight w:val="lightGray"/>
        </w:rPr>
        <w:t xml:space="preserve">Kiekvienoje plėvele dengtoje tabletėje yra 90 mg </w:t>
      </w:r>
      <w:proofErr w:type="spellStart"/>
      <w:r w:rsidRPr="00BA59BA">
        <w:rPr>
          <w:szCs w:val="22"/>
          <w:highlight w:val="lightGray"/>
        </w:rPr>
        <w:t>cinakalceto</w:t>
      </w:r>
      <w:proofErr w:type="spellEnd"/>
      <w:r w:rsidRPr="00BA59BA">
        <w:rPr>
          <w:szCs w:val="22"/>
          <w:highlight w:val="lightGray"/>
        </w:rPr>
        <w:t xml:space="preserve"> (hidrochlorido pavidalu).</w:t>
      </w:r>
    </w:p>
    <w:p w:rsidR="00CA71C3" w:rsidRPr="00BA59BA" w:rsidRDefault="00CA71C3" w:rsidP="00CA71C3">
      <w:pPr>
        <w:tabs>
          <w:tab w:val="left" w:pos="567"/>
          <w:tab w:val="left" w:pos="1701"/>
        </w:tabs>
        <w:ind w:left="540"/>
        <w:rPr>
          <w:szCs w:val="22"/>
        </w:rPr>
      </w:pPr>
    </w:p>
    <w:p w:rsidR="00CA71C3" w:rsidRPr="00BA59BA" w:rsidRDefault="00CA71C3" w:rsidP="00CA71C3">
      <w:pPr>
        <w:numPr>
          <w:ilvl w:val="0"/>
          <w:numId w:val="2"/>
        </w:numPr>
        <w:tabs>
          <w:tab w:val="left" w:pos="567"/>
        </w:tabs>
        <w:ind w:left="540" w:hanging="540"/>
        <w:rPr>
          <w:szCs w:val="22"/>
        </w:rPr>
      </w:pPr>
      <w:r w:rsidRPr="00BA59BA">
        <w:rPr>
          <w:szCs w:val="22"/>
        </w:rPr>
        <w:t xml:space="preserve">Pagalbinės medžiagos: </w:t>
      </w:r>
    </w:p>
    <w:p w:rsidR="00CA71C3" w:rsidRPr="00BA59BA" w:rsidRDefault="00CA71C3" w:rsidP="00CA71C3">
      <w:pPr>
        <w:tabs>
          <w:tab w:val="left" w:pos="567"/>
        </w:tabs>
        <w:ind w:left="540"/>
        <w:rPr>
          <w:szCs w:val="22"/>
          <w:u w:val="single"/>
        </w:rPr>
      </w:pPr>
      <w:r w:rsidRPr="00BA59BA">
        <w:rPr>
          <w:szCs w:val="22"/>
          <w:u w:val="single"/>
        </w:rPr>
        <w:t>Tabletės šerdis</w:t>
      </w:r>
    </w:p>
    <w:p w:rsidR="00CA71C3" w:rsidRPr="00BA59BA" w:rsidRDefault="00CA71C3" w:rsidP="00CA71C3">
      <w:pPr>
        <w:tabs>
          <w:tab w:val="left" w:pos="567"/>
        </w:tabs>
        <w:ind w:left="540"/>
        <w:rPr>
          <w:szCs w:val="22"/>
        </w:rPr>
      </w:pPr>
      <w:r w:rsidRPr="00BA59BA">
        <w:rPr>
          <w:szCs w:val="22"/>
        </w:rPr>
        <w:t xml:space="preserve">Dalinai </w:t>
      </w:r>
      <w:proofErr w:type="spellStart"/>
      <w:r w:rsidRPr="00BA59BA">
        <w:rPr>
          <w:szCs w:val="22"/>
        </w:rPr>
        <w:t>pregelifikuotas</w:t>
      </w:r>
      <w:proofErr w:type="spellEnd"/>
      <w:r w:rsidRPr="00BA59BA">
        <w:rPr>
          <w:szCs w:val="22"/>
        </w:rPr>
        <w:t xml:space="preserve"> kukurūzų krakmolas, </w:t>
      </w:r>
      <w:proofErr w:type="spellStart"/>
      <w:r w:rsidRPr="00BA59BA">
        <w:rPr>
          <w:szCs w:val="22"/>
        </w:rPr>
        <w:t>mikrokristalinė</w:t>
      </w:r>
      <w:proofErr w:type="spellEnd"/>
      <w:r w:rsidRPr="00BA59BA">
        <w:rPr>
          <w:szCs w:val="22"/>
        </w:rPr>
        <w:t xml:space="preserve"> celiuliozė, </w:t>
      </w:r>
      <w:proofErr w:type="spellStart"/>
      <w:r w:rsidRPr="00BA59BA">
        <w:rPr>
          <w:szCs w:val="22"/>
        </w:rPr>
        <w:t>povidonas</w:t>
      </w:r>
      <w:proofErr w:type="spellEnd"/>
      <w:r w:rsidRPr="00BA59BA">
        <w:rPr>
          <w:szCs w:val="22"/>
        </w:rPr>
        <w:t xml:space="preserve"> K29/32, </w:t>
      </w:r>
      <w:proofErr w:type="spellStart"/>
      <w:r w:rsidRPr="00BA59BA">
        <w:rPr>
          <w:szCs w:val="22"/>
        </w:rPr>
        <w:t>krospovidonas</w:t>
      </w:r>
      <w:proofErr w:type="spellEnd"/>
      <w:r w:rsidRPr="00BA59BA">
        <w:rPr>
          <w:szCs w:val="22"/>
        </w:rPr>
        <w:t xml:space="preserve"> A tipo, </w:t>
      </w:r>
      <w:proofErr w:type="spellStart"/>
      <w:r w:rsidRPr="00BA59BA">
        <w:rPr>
          <w:szCs w:val="22"/>
        </w:rPr>
        <w:t>krospovidonas</w:t>
      </w:r>
      <w:proofErr w:type="spellEnd"/>
      <w:r w:rsidRPr="00BA59BA">
        <w:rPr>
          <w:szCs w:val="22"/>
        </w:rPr>
        <w:t xml:space="preserve"> B tipo, magnio </w:t>
      </w:r>
      <w:proofErr w:type="spellStart"/>
      <w:r w:rsidRPr="00BA59BA">
        <w:rPr>
          <w:szCs w:val="22"/>
        </w:rPr>
        <w:t>stearatas</w:t>
      </w:r>
      <w:proofErr w:type="spellEnd"/>
      <w:r w:rsidRPr="00BA59BA">
        <w:rPr>
          <w:szCs w:val="22"/>
        </w:rPr>
        <w:t>, koloidinis bevandenis silicio dioksidas.</w:t>
      </w:r>
    </w:p>
    <w:p w:rsidR="00CA71C3" w:rsidRPr="00BA59BA" w:rsidRDefault="00CA71C3" w:rsidP="00CA71C3">
      <w:pPr>
        <w:tabs>
          <w:tab w:val="left" w:pos="567"/>
        </w:tabs>
        <w:ind w:left="540"/>
        <w:rPr>
          <w:szCs w:val="22"/>
          <w:u w:val="single"/>
        </w:rPr>
      </w:pPr>
    </w:p>
    <w:p w:rsidR="00CA71C3" w:rsidRPr="00BA59BA" w:rsidRDefault="00CA71C3" w:rsidP="00CA71C3">
      <w:pPr>
        <w:tabs>
          <w:tab w:val="left" w:pos="567"/>
        </w:tabs>
        <w:ind w:left="540"/>
        <w:rPr>
          <w:szCs w:val="22"/>
          <w:u w:val="single"/>
        </w:rPr>
      </w:pPr>
      <w:r w:rsidRPr="00BA59BA">
        <w:rPr>
          <w:szCs w:val="22"/>
          <w:u w:val="single"/>
        </w:rPr>
        <w:t>Tabletės plėvelė</w:t>
      </w:r>
    </w:p>
    <w:p w:rsidR="00CA71C3" w:rsidRPr="00BA59BA" w:rsidRDefault="00CA71C3" w:rsidP="00CA71C3">
      <w:pPr>
        <w:tabs>
          <w:tab w:val="left" w:pos="567"/>
        </w:tabs>
        <w:ind w:left="540"/>
        <w:rPr>
          <w:szCs w:val="22"/>
        </w:rPr>
      </w:pPr>
      <w:r w:rsidRPr="00BA59BA">
        <w:rPr>
          <w:szCs w:val="22"/>
        </w:rPr>
        <w:t xml:space="preserve">Dalinai hidrolizuotas </w:t>
      </w:r>
      <w:proofErr w:type="spellStart"/>
      <w:r w:rsidRPr="00BA59BA">
        <w:rPr>
          <w:szCs w:val="22"/>
        </w:rPr>
        <w:t>polivinilo</w:t>
      </w:r>
      <w:proofErr w:type="spellEnd"/>
      <w:r w:rsidRPr="00BA59BA">
        <w:rPr>
          <w:szCs w:val="22"/>
        </w:rPr>
        <w:t xml:space="preserve"> alkoholis, titano dioksidas (E171), </w:t>
      </w:r>
      <w:proofErr w:type="spellStart"/>
      <w:r w:rsidRPr="00BA59BA">
        <w:rPr>
          <w:szCs w:val="22"/>
        </w:rPr>
        <w:t>makrogolis</w:t>
      </w:r>
      <w:proofErr w:type="spellEnd"/>
      <w:r w:rsidRPr="00BA59BA">
        <w:rPr>
          <w:szCs w:val="22"/>
        </w:rPr>
        <w:t xml:space="preserve"> 4000, talkas, </w:t>
      </w:r>
      <w:proofErr w:type="spellStart"/>
      <w:r w:rsidRPr="00BA59BA">
        <w:rPr>
          <w:color w:val="000000"/>
          <w:szCs w:val="22"/>
        </w:rPr>
        <w:t>indigokarmino</w:t>
      </w:r>
      <w:proofErr w:type="spellEnd"/>
      <w:r w:rsidRPr="00BA59BA">
        <w:rPr>
          <w:color w:val="000000"/>
          <w:szCs w:val="22"/>
        </w:rPr>
        <w:t xml:space="preserve"> aliuminio dažalas (E132), g</w:t>
      </w:r>
      <w:r w:rsidRPr="00BA59BA">
        <w:rPr>
          <w:szCs w:val="22"/>
        </w:rPr>
        <w:t>eltonasis geležies oksidas (E172).</w:t>
      </w:r>
    </w:p>
    <w:p w:rsidR="00CA71C3" w:rsidRPr="00BA59BA" w:rsidRDefault="00CA71C3" w:rsidP="00CA71C3">
      <w:pPr>
        <w:tabs>
          <w:tab w:val="left" w:pos="567"/>
        </w:tabs>
        <w:rPr>
          <w:b/>
          <w:szCs w:val="22"/>
        </w:rPr>
      </w:pPr>
    </w:p>
    <w:p w:rsidR="00CA71C3" w:rsidRPr="00BA59BA" w:rsidRDefault="00CA71C3" w:rsidP="00CA71C3">
      <w:pPr>
        <w:tabs>
          <w:tab w:val="left" w:pos="567"/>
        </w:tabs>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išvaizda ir kiekis pakuotėje</w:t>
      </w:r>
    </w:p>
    <w:p w:rsidR="00CA71C3" w:rsidRPr="00BA59BA" w:rsidRDefault="00CA71C3" w:rsidP="00CA71C3">
      <w:pPr>
        <w:tabs>
          <w:tab w:val="left" w:pos="567"/>
        </w:tabs>
        <w:rPr>
          <w:szCs w:val="22"/>
        </w:rPr>
      </w:pPr>
      <w:proofErr w:type="spellStart"/>
      <w:r w:rsidRPr="00BA59BA">
        <w:rPr>
          <w:szCs w:val="22"/>
        </w:rPr>
        <w:lastRenderedPageBreak/>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 yra žalios, ovalios, abipus išgaubtos, 4,5</w:t>
      </w:r>
      <w:r>
        <w:rPr>
          <w:szCs w:val="22"/>
        </w:rPr>
        <w:t> </w:t>
      </w:r>
      <w:r w:rsidRPr="00BA59BA">
        <w:rPr>
          <w:szCs w:val="22"/>
        </w:rPr>
        <w:t>x</w:t>
      </w:r>
      <w:r>
        <w:rPr>
          <w:szCs w:val="22"/>
        </w:rPr>
        <w:t> </w:t>
      </w:r>
      <w:r w:rsidRPr="00BA59BA">
        <w:rPr>
          <w:szCs w:val="22"/>
        </w:rPr>
        <w:t>7</w:t>
      </w:r>
      <w:r>
        <w:rPr>
          <w:szCs w:val="22"/>
        </w:rPr>
        <w:t> </w:t>
      </w:r>
      <w:r w:rsidRPr="00BA59BA">
        <w:rPr>
          <w:szCs w:val="22"/>
        </w:rPr>
        <w:t xml:space="preserve">mm dydžio plėvele dengtos tabletės, kurių vienoje pusėje įspausta „C9CC“ ir „30“ kitoje pusėje. </w:t>
      </w:r>
    </w:p>
    <w:p w:rsidR="00CA71C3" w:rsidRPr="00BA59BA" w:rsidRDefault="00CA71C3" w:rsidP="00CA71C3">
      <w:pPr>
        <w:tabs>
          <w:tab w:val="left" w:pos="567"/>
        </w:tabs>
        <w:jc w:val="both"/>
        <w:rPr>
          <w:szCs w:val="22"/>
          <w:highlight w:val="lightGray"/>
        </w:rPr>
      </w:pPr>
    </w:p>
    <w:p w:rsidR="00CA71C3" w:rsidRPr="00BA59BA" w:rsidRDefault="00CA71C3" w:rsidP="00CA71C3">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 yra žalios, ovalios, abipus išgaubtos, 5,5</w:t>
      </w:r>
      <w:r>
        <w:rPr>
          <w:szCs w:val="22"/>
          <w:highlight w:val="lightGray"/>
        </w:rPr>
        <w:t> </w:t>
      </w:r>
      <w:r w:rsidRPr="00BA59BA">
        <w:rPr>
          <w:szCs w:val="22"/>
          <w:highlight w:val="lightGray"/>
        </w:rPr>
        <w:t>x</w:t>
      </w:r>
      <w:r>
        <w:rPr>
          <w:szCs w:val="22"/>
          <w:highlight w:val="lightGray"/>
        </w:rPr>
        <w:t> </w:t>
      </w:r>
      <w:r w:rsidRPr="00BA59BA">
        <w:rPr>
          <w:szCs w:val="22"/>
          <w:highlight w:val="lightGray"/>
        </w:rPr>
        <w:t>9</w:t>
      </w:r>
      <w:r>
        <w:rPr>
          <w:szCs w:val="22"/>
          <w:highlight w:val="lightGray"/>
        </w:rPr>
        <w:t> </w:t>
      </w:r>
      <w:r w:rsidRPr="00BA59BA">
        <w:rPr>
          <w:szCs w:val="22"/>
          <w:highlight w:val="lightGray"/>
        </w:rPr>
        <w:t>mm dydžio plėvele dengtos tabletės, kurių vienoje pusėje įspausta „C9CC“ ir „60“ kitoje pusėje.</w:t>
      </w:r>
    </w:p>
    <w:p w:rsidR="00CA71C3" w:rsidRPr="00BA59BA" w:rsidRDefault="00CA71C3" w:rsidP="00CA71C3">
      <w:pPr>
        <w:tabs>
          <w:tab w:val="left" w:pos="567"/>
          <w:tab w:val="left" w:pos="1701"/>
        </w:tabs>
        <w:rPr>
          <w:szCs w:val="22"/>
          <w:highlight w:val="lightGray"/>
        </w:rPr>
      </w:pPr>
    </w:p>
    <w:p w:rsidR="00CA71C3" w:rsidRPr="00BA59BA" w:rsidRDefault="00CA71C3" w:rsidP="00CA71C3">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 yra žalios, ovalios, abipus išgaubtos, 6,5</w:t>
      </w:r>
      <w:r>
        <w:rPr>
          <w:szCs w:val="22"/>
          <w:highlight w:val="lightGray"/>
        </w:rPr>
        <w:t> </w:t>
      </w:r>
      <w:r w:rsidRPr="00BA59BA">
        <w:rPr>
          <w:szCs w:val="22"/>
          <w:highlight w:val="lightGray"/>
        </w:rPr>
        <w:t>x</w:t>
      </w:r>
      <w:r>
        <w:rPr>
          <w:szCs w:val="22"/>
          <w:highlight w:val="lightGray"/>
        </w:rPr>
        <w:t> </w:t>
      </w:r>
      <w:r w:rsidRPr="00BA59BA">
        <w:rPr>
          <w:szCs w:val="22"/>
          <w:highlight w:val="lightGray"/>
        </w:rPr>
        <w:t>10,5</w:t>
      </w:r>
      <w:r>
        <w:rPr>
          <w:szCs w:val="22"/>
          <w:highlight w:val="lightGray"/>
        </w:rPr>
        <w:t> </w:t>
      </w:r>
      <w:r w:rsidRPr="00BA59BA">
        <w:rPr>
          <w:szCs w:val="22"/>
          <w:highlight w:val="lightGray"/>
        </w:rPr>
        <w:t>mm dydžio plėvele dengtos tabletės, kurių vienoje pusėje įspausta „C9CC“ ir „90“ kitoje pusėje.</w:t>
      </w:r>
    </w:p>
    <w:p w:rsidR="00CA71C3" w:rsidRPr="00BA59BA" w:rsidRDefault="00CA71C3" w:rsidP="00CA71C3">
      <w:pPr>
        <w:tabs>
          <w:tab w:val="left" w:pos="567"/>
          <w:tab w:val="left" w:pos="1701"/>
        </w:tabs>
        <w:rPr>
          <w:szCs w:val="22"/>
        </w:rPr>
      </w:pPr>
    </w:p>
    <w:p w:rsidR="00CA71C3" w:rsidRPr="00BA59BA" w:rsidRDefault="00CA71C3" w:rsidP="00CA71C3">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yra tiekiamas PVC/PE/PVDC/Al lizdinių plokštelių pakuotėmis, kurių kiekvienoje yra 14, 28 arba 84 plėvele dengtos tabletės.</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Gali būti tiekiamos ne visų dydžių pakuotės.</w:t>
      </w:r>
    </w:p>
    <w:p w:rsidR="00CA71C3" w:rsidRPr="00BA59BA" w:rsidRDefault="00CA71C3" w:rsidP="00CA71C3">
      <w:pPr>
        <w:tabs>
          <w:tab w:val="left" w:pos="567"/>
        </w:tabs>
        <w:rPr>
          <w:szCs w:val="22"/>
        </w:rPr>
      </w:pPr>
    </w:p>
    <w:p w:rsidR="00CA71C3" w:rsidRPr="00BA59BA" w:rsidRDefault="00CA71C3" w:rsidP="00CA71C3">
      <w:pPr>
        <w:tabs>
          <w:tab w:val="left" w:pos="567"/>
        </w:tabs>
        <w:rPr>
          <w:b/>
          <w:szCs w:val="22"/>
        </w:rPr>
      </w:pPr>
      <w:r w:rsidRPr="00BA59BA">
        <w:rPr>
          <w:b/>
          <w:szCs w:val="22"/>
        </w:rPr>
        <w:t>Registruotojas ir gamintoja</w:t>
      </w:r>
      <w:r>
        <w:rPr>
          <w:b/>
          <w:szCs w:val="22"/>
        </w:rPr>
        <w:t>s</w:t>
      </w:r>
    </w:p>
    <w:p w:rsidR="00CA71C3" w:rsidRPr="00BA59BA" w:rsidRDefault="00CA71C3" w:rsidP="00CA71C3">
      <w:pPr>
        <w:tabs>
          <w:tab w:val="left" w:pos="567"/>
        </w:tabs>
        <w:rPr>
          <w:i/>
          <w:szCs w:val="22"/>
        </w:rPr>
      </w:pPr>
    </w:p>
    <w:p w:rsidR="00CA71C3" w:rsidRPr="00BA59BA" w:rsidRDefault="00CA71C3" w:rsidP="00CA71C3">
      <w:pPr>
        <w:tabs>
          <w:tab w:val="left" w:pos="567"/>
        </w:tabs>
        <w:rPr>
          <w:i/>
          <w:szCs w:val="22"/>
        </w:rPr>
      </w:pPr>
      <w:r w:rsidRPr="00BA59BA">
        <w:rPr>
          <w:i/>
          <w:szCs w:val="22"/>
        </w:rPr>
        <w:t xml:space="preserve">Registruotojas </w:t>
      </w:r>
    </w:p>
    <w:p w:rsidR="00CA71C3" w:rsidRPr="00BA59BA" w:rsidRDefault="00CA71C3" w:rsidP="00CA71C3">
      <w:pPr>
        <w:tabs>
          <w:tab w:val="left" w:pos="567"/>
        </w:tabs>
        <w:rPr>
          <w:szCs w:val="22"/>
        </w:rPr>
      </w:pPr>
      <w:proofErr w:type="spellStart"/>
      <w:r w:rsidRPr="00BA59BA">
        <w:rPr>
          <w:szCs w:val="22"/>
        </w:rPr>
        <w:t>Sandoz</w:t>
      </w:r>
      <w:proofErr w:type="spellEnd"/>
      <w:r w:rsidRPr="00BA59BA">
        <w:rPr>
          <w:szCs w:val="22"/>
        </w:rPr>
        <w:t xml:space="preserve"> </w:t>
      </w:r>
      <w:proofErr w:type="spellStart"/>
      <w:r w:rsidRPr="00BA59BA">
        <w:rPr>
          <w:szCs w:val="22"/>
        </w:rPr>
        <w:t>d.d</w:t>
      </w:r>
      <w:proofErr w:type="spellEnd"/>
      <w:r w:rsidRPr="00BA59BA">
        <w:rPr>
          <w:szCs w:val="22"/>
        </w:rPr>
        <w:t xml:space="preserve">. </w:t>
      </w:r>
      <w:r w:rsidRPr="00BA59BA">
        <w:rPr>
          <w:szCs w:val="22"/>
        </w:rPr>
        <w:br/>
      </w:r>
      <w:proofErr w:type="spellStart"/>
      <w:r w:rsidRPr="00BA59BA">
        <w:rPr>
          <w:szCs w:val="22"/>
        </w:rPr>
        <w:t>Verovškova</w:t>
      </w:r>
      <w:proofErr w:type="spellEnd"/>
      <w:r w:rsidRPr="00BA59BA">
        <w:rPr>
          <w:szCs w:val="22"/>
        </w:rPr>
        <w:t xml:space="preserve"> 57 </w:t>
      </w:r>
      <w:r w:rsidRPr="00BA59BA">
        <w:rPr>
          <w:szCs w:val="22"/>
        </w:rPr>
        <w:br/>
        <w:t xml:space="preserve">SI-1000 </w:t>
      </w:r>
      <w:proofErr w:type="spellStart"/>
      <w:r w:rsidRPr="00BA59BA">
        <w:rPr>
          <w:szCs w:val="22"/>
        </w:rPr>
        <w:t>Ljubljana</w:t>
      </w:r>
      <w:proofErr w:type="spellEnd"/>
      <w:r w:rsidRPr="00BA59BA">
        <w:rPr>
          <w:szCs w:val="22"/>
        </w:rPr>
        <w:t xml:space="preserve"> </w:t>
      </w:r>
      <w:r w:rsidRPr="00BA59BA">
        <w:rPr>
          <w:szCs w:val="22"/>
        </w:rPr>
        <w:br/>
        <w:t>Slovėnija</w:t>
      </w:r>
    </w:p>
    <w:p w:rsidR="00CA71C3" w:rsidRPr="00BA59BA" w:rsidRDefault="00CA71C3" w:rsidP="00CA71C3">
      <w:pPr>
        <w:tabs>
          <w:tab w:val="left" w:pos="567"/>
        </w:tabs>
        <w:rPr>
          <w:szCs w:val="22"/>
        </w:rPr>
      </w:pPr>
    </w:p>
    <w:p w:rsidR="00CA71C3" w:rsidRPr="00BA59BA" w:rsidRDefault="00CA71C3" w:rsidP="00CA71C3">
      <w:pPr>
        <w:tabs>
          <w:tab w:val="left" w:pos="567"/>
        </w:tabs>
        <w:rPr>
          <w:i/>
          <w:szCs w:val="22"/>
        </w:rPr>
      </w:pPr>
      <w:r w:rsidRPr="00BA59BA">
        <w:rPr>
          <w:i/>
          <w:szCs w:val="22"/>
        </w:rPr>
        <w:t>Gamintojas</w:t>
      </w:r>
    </w:p>
    <w:p w:rsidR="00CA71C3" w:rsidRPr="00BA59BA" w:rsidRDefault="00CA71C3" w:rsidP="00CA71C3">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Hispania</w:t>
      </w:r>
      <w:proofErr w:type="spellEnd"/>
      <w:r w:rsidRPr="00BA59BA">
        <w:rPr>
          <w:szCs w:val="22"/>
        </w:rPr>
        <w:t>, S.L.</w:t>
      </w:r>
    </w:p>
    <w:p w:rsidR="00CA71C3" w:rsidRPr="00BA59BA" w:rsidRDefault="00CA71C3" w:rsidP="00CA71C3">
      <w:pPr>
        <w:tabs>
          <w:tab w:val="left" w:pos="567"/>
        </w:tabs>
        <w:rPr>
          <w:szCs w:val="22"/>
        </w:rPr>
      </w:pPr>
      <w:r w:rsidRPr="00BA59BA">
        <w:rPr>
          <w:szCs w:val="22"/>
        </w:rPr>
        <w:t>C/</w:t>
      </w:r>
      <w:proofErr w:type="spellStart"/>
      <w:r w:rsidRPr="00BA59BA">
        <w:rPr>
          <w:szCs w:val="22"/>
        </w:rPr>
        <w:t>Castelló</w:t>
      </w:r>
      <w:proofErr w:type="spellEnd"/>
      <w:r w:rsidRPr="00BA59BA">
        <w:rPr>
          <w:szCs w:val="22"/>
        </w:rPr>
        <w:t xml:space="preserve"> No1</w:t>
      </w:r>
    </w:p>
    <w:p w:rsidR="00CA71C3" w:rsidRPr="00BA59BA" w:rsidRDefault="00CA71C3" w:rsidP="00CA71C3">
      <w:pPr>
        <w:tabs>
          <w:tab w:val="left" w:pos="567"/>
        </w:tabs>
        <w:rPr>
          <w:szCs w:val="22"/>
        </w:rPr>
      </w:pPr>
      <w:proofErr w:type="spellStart"/>
      <w:r w:rsidRPr="00BA59BA">
        <w:rPr>
          <w:szCs w:val="22"/>
        </w:rPr>
        <w:t>Pol</w:t>
      </w:r>
      <w:proofErr w:type="spellEnd"/>
      <w:r w:rsidRPr="00BA59BA">
        <w:rPr>
          <w:szCs w:val="22"/>
        </w:rPr>
        <w:t xml:space="preserve">. </w:t>
      </w:r>
      <w:proofErr w:type="spellStart"/>
      <w:r w:rsidRPr="00BA59BA">
        <w:rPr>
          <w:szCs w:val="22"/>
        </w:rPr>
        <w:t>Las</w:t>
      </w:r>
      <w:proofErr w:type="spellEnd"/>
      <w:r w:rsidRPr="00BA59BA">
        <w:rPr>
          <w:szCs w:val="22"/>
        </w:rPr>
        <w:t xml:space="preserve"> </w:t>
      </w:r>
      <w:proofErr w:type="spellStart"/>
      <w:r w:rsidRPr="00BA59BA">
        <w:rPr>
          <w:szCs w:val="22"/>
        </w:rPr>
        <w:t>Salinas</w:t>
      </w:r>
      <w:proofErr w:type="spellEnd"/>
      <w:r w:rsidRPr="00BA59BA">
        <w:rPr>
          <w:szCs w:val="22"/>
        </w:rPr>
        <w:t xml:space="preserve">, </w:t>
      </w:r>
      <w:proofErr w:type="spellStart"/>
      <w:r w:rsidRPr="00BA59BA">
        <w:rPr>
          <w:szCs w:val="22"/>
        </w:rPr>
        <w:t>Sant</w:t>
      </w:r>
      <w:proofErr w:type="spellEnd"/>
      <w:r w:rsidRPr="00BA59BA">
        <w:rPr>
          <w:szCs w:val="22"/>
        </w:rPr>
        <w:t xml:space="preserve"> </w:t>
      </w:r>
      <w:proofErr w:type="spellStart"/>
      <w:r w:rsidRPr="00BA59BA">
        <w:rPr>
          <w:szCs w:val="22"/>
        </w:rPr>
        <w:t>boi</w:t>
      </w:r>
      <w:proofErr w:type="spellEnd"/>
      <w:r w:rsidRPr="00BA59BA">
        <w:rPr>
          <w:szCs w:val="22"/>
        </w:rPr>
        <w:t xml:space="preserve"> de </w:t>
      </w:r>
      <w:proofErr w:type="spellStart"/>
      <w:r w:rsidRPr="00BA59BA">
        <w:rPr>
          <w:szCs w:val="22"/>
        </w:rPr>
        <w:t>Llobregat</w:t>
      </w:r>
      <w:proofErr w:type="spellEnd"/>
      <w:r w:rsidRPr="00BA59BA">
        <w:rPr>
          <w:szCs w:val="22"/>
        </w:rPr>
        <w:t>, 08830</w:t>
      </w:r>
    </w:p>
    <w:p w:rsidR="00CA71C3" w:rsidRPr="00BA59BA" w:rsidRDefault="00CA71C3" w:rsidP="00CA71C3">
      <w:pPr>
        <w:tabs>
          <w:tab w:val="left" w:pos="567"/>
        </w:tabs>
        <w:rPr>
          <w:szCs w:val="22"/>
        </w:rPr>
      </w:pPr>
      <w:r w:rsidRPr="00BA59BA">
        <w:rPr>
          <w:szCs w:val="22"/>
        </w:rPr>
        <w:t>Ispanija</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arba</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s.r.o</w:t>
      </w:r>
      <w:proofErr w:type="spellEnd"/>
      <w:r w:rsidRPr="00BA59BA">
        <w:rPr>
          <w:szCs w:val="22"/>
        </w:rPr>
        <w:t>.</w:t>
      </w:r>
    </w:p>
    <w:p w:rsidR="00CA71C3" w:rsidRPr="00BA59BA" w:rsidRDefault="00CA71C3" w:rsidP="00CA71C3">
      <w:pPr>
        <w:tabs>
          <w:tab w:val="left" w:pos="567"/>
        </w:tabs>
        <w:rPr>
          <w:szCs w:val="22"/>
        </w:rPr>
      </w:pPr>
      <w:proofErr w:type="spellStart"/>
      <w:r w:rsidRPr="00BA59BA">
        <w:rPr>
          <w:szCs w:val="22"/>
        </w:rPr>
        <w:t>Brněnská</w:t>
      </w:r>
      <w:proofErr w:type="spellEnd"/>
      <w:r w:rsidRPr="00BA59BA">
        <w:rPr>
          <w:szCs w:val="22"/>
        </w:rPr>
        <w:t xml:space="preserve"> 32/</w:t>
      </w:r>
      <w:proofErr w:type="spellStart"/>
      <w:r w:rsidRPr="00BA59BA">
        <w:rPr>
          <w:szCs w:val="22"/>
        </w:rPr>
        <w:t>čp</w:t>
      </w:r>
      <w:proofErr w:type="spellEnd"/>
      <w:r w:rsidRPr="00BA59BA">
        <w:rPr>
          <w:szCs w:val="22"/>
        </w:rPr>
        <w:t>. 597</w:t>
      </w:r>
    </w:p>
    <w:p w:rsidR="00CA71C3" w:rsidRPr="00BA59BA" w:rsidRDefault="00CA71C3" w:rsidP="00CA71C3">
      <w:pPr>
        <w:tabs>
          <w:tab w:val="left" w:pos="567"/>
        </w:tabs>
        <w:rPr>
          <w:szCs w:val="22"/>
        </w:rPr>
      </w:pPr>
      <w:proofErr w:type="spellStart"/>
      <w:r w:rsidRPr="00BA59BA">
        <w:rPr>
          <w:szCs w:val="22"/>
        </w:rPr>
        <w:t>Blansko</w:t>
      </w:r>
      <w:proofErr w:type="spellEnd"/>
      <w:r w:rsidRPr="00BA59BA">
        <w:rPr>
          <w:szCs w:val="22"/>
        </w:rPr>
        <w:t>, 678 01</w:t>
      </w:r>
    </w:p>
    <w:p w:rsidR="00CA71C3" w:rsidRPr="00BA59BA" w:rsidRDefault="00CA71C3" w:rsidP="00CA71C3">
      <w:pPr>
        <w:tabs>
          <w:tab w:val="left" w:pos="567"/>
        </w:tabs>
        <w:rPr>
          <w:szCs w:val="22"/>
        </w:rPr>
      </w:pPr>
      <w:r w:rsidRPr="00BA59BA">
        <w:rPr>
          <w:szCs w:val="22"/>
        </w:rPr>
        <w:t>Čekija</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r w:rsidRPr="00BA59BA">
        <w:rPr>
          <w:szCs w:val="22"/>
        </w:rPr>
        <w:t>Jeigu apie šį vaistą norite sužinoti daugiau, kreipkitės į vietinį registruotojo atstovą.</w:t>
      </w:r>
    </w:p>
    <w:p w:rsidR="00CA71C3" w:rsidRPr="00BA59BA" w:rsidRDefault="00CA71C3" w:rsidP="00CA71C3">
      <w:pPr>
        <w:tabs>
          <w:tab w:val="left" w:pos="567"/>
        </w:tabs>
        <w:rPr>
          <w:szCs w:val="22"/>
        </w:rPr>
      </w:pPr>
    </w:p>
    <w:p w:rsidR="00CA71C3" w:rsidRPr="00BA59BA" w:rsidRDefault="00CA71C3" w:rsidP="00CA71C3">
      <w:pPr>
        <w:tabs>
          <w:tab w:val="left" w:pos="567"/>
        </w:tabs>
        <w:rPr>
          <w:szCs w:val="22"/>
        </w:rPr>
      </w:pPr>
      <w:proofErr w:type="spellStart"/>
      <w:r w:rsidRPr="00BA59BA">
        <w:rPr>
          <w:szCs w:val="22"/>
        </w:rPr>
        <w:t>Sandoz</w:t>
      </w:r>
      <w:proofErr w:type="spellEnd"/>
      <w:r w:rsidRPr="00BA59BA">
        <w:rPr>
          <w:szCs w:val="22"/>
        </w:rPr>
        <w:t xml:space="preserve"> </w:t>
      </w:r>
      <w:proofErr w:type="spellStart"/>
      <w:r w:rsidRPr="00BA59BA">
        <w:rPr>
          <w:szCs w:val="22"/>
        </w:rPr>
        <w:t>Pharmaceuticals</w:t>
      </w:r>
      <w:proofErr w:type="spellEnd"/>
      <w:r w:rsidRPr="00BA59BA">
        <w:rPr>
          <w:szCs w:val="22"/>
        </w:rPr>
        <w:t xml:space="preserve"> </w:t>
      </w:r>
      <w:proofErr w:type="spellStart"/>
      <w:r w:rsidRPr="00BA59BA">
        <w:rPr>
          <w:szCs w:val="22"/>
        </w:rPr>
        <w:t>d.d</w:t>
      </w:r>
      <w:proofErr w:type="spellEnd"/>
      <w:r w:rsidRPr="00BA59BA">
        <w:rPr>
          <w:szCs w:val="22"/>
        </w:rPr>
        <w:t>. filialas</w:t>
      </w:r>
    </w:p>
    <w:p w:rsidR="00CA71C3" w:rsidRPr="00BA59BA" w:rsidRDefault="00CA71C3" w:rsidP="00CA71C3">
      <w:pPr>
        <w:tabs>
          <w:tab w:val="left" w:pos="567"/>
        </w:tabs>
        <w:rPr>
          <w:szCs w:val="22"/>
        </w:rPr>
      </w:pPr>
      <w:r w:rsidRPr="00BA59BA">
        <w:rPr>
          <w:szCs w:val="22"/>
        </w:rPr>
        <w:t>Šeimyniškių g. 3A</w:t>
      </w:r>
    </w:p>
    <w:p w:rsidR="00CA71C3" w:rsidRPr="00BA59BA" w:rsidRDefault="00CA71C3" w:rsidP="00CA71C3">
      <w:pPr>
        <w:tabs>
          <w:tab w:val="left" w:pos="567"/>
        </w:tabs>
        <w:rPr>
          <w:szCs w:val="22"/>
        </w:rPr>
      </w:pPr>
      <w:r w:rsidRPr="00BA59BA">
        <w:rPr>
          <w:szCs w:val="22"/>
        </w:rPr>
        <w:t xml:space="preserve">Vilnius, LT-09312 </w:t>
      </w:r>
    </w:p>
    <w:p w:rsidR="00CA71C3" w:rsidRPr="00BA59BA" w:rsidRDefault="00CA71C3" w:rsidP="00CA71C3">
      <w:pPr>
        <w:tabs>
          <w:tab w:val="left" w:pos="567"/>
        </w:tabs>
        <w:rPr>
          <w:szCs w:val="22"/>
        </w:rPr>
      </w:pPr>
      <w:r w:rsidRPr="00BA59BA">
        <w:rPr>
          <w:szCs w:val="22"/>
        </w:rPr>
        <w:t>Tel.: +370 5 263 60 37</w:t>
      </w:r>
    </w:p>
    <w:p w:rsidR="00CA71C3" w:rsidRPr="00BA59BA" w:rsidRDefault="00CA71C3" w:rsidP="00CA71C3">
      <w:pPr>
        <w:tabs>
          <w:tab w:val="left" w:pos="567"/>
        </w:tabs>
        <w:rPr>
          <w:szCs w:val="22"/>
        </w:rPr>
      </w:pPr>
      <w:r w:rsidRPr="00BA59BA">
        <w:rPr>
          <w:szCs w:val="22"/>
        </w:rPr>
        <w:t>Faks</w:t>
      </w:r>
      <w:r>
        <w:rPr>
          <w:szCs w:val="22"/>
        </w:rPr>
        <w:t>as</w:t>
      </w:r>
      <w:r w:rsidRPr="00BA59BA">
        <w:rPr>
          <w:szCs w:val="22"/>
        </w:rPr>
        <w:t>: +370 5 263 60 36</w:t>
      </w:r>
    </w:p>
    <w:p w:rsidR="00CA71C3" w:rsidRPr="00BA59BA" w:rsidRDefault="00CA71C3" w:rsidP="00CA71C3">
      <w:pPr>
        <w:rPr>
          <w:szCs w:val="22"/>
        </w:rPr>
      </w:pPr>
      <w:r w:rsidRPr="00BA59BA">
        <w:rPr>
          <w:szCs w:val="22"/>
        </w:rPr>
        <w:t>Nemokama linija pacientams: +370 800 00877</w:t>
      </w:r>
    </w:p>
    <w:p w:rsidR="00CA71C3" w:rsidRPr="00BA59BA" w:rsidRDefault="00CA71C3" w:rsidP="00CA71C3">
      <w:pPr>
        <w:rPr>
          <w:szCs w:val="22"/>
        </w:rPr>
      </w:pPr>
      <w:r w:rsidRPr="00BA59BA">
        <w:rPr>
          <w:szCs w:val="22"/>
        </w:rPr>
        <w:t>El.</w:t>
      </w:r>
      <w:r>
        <w:rPr>
          <w:szCs w:val="22"/>
        </w:rPr>
        <w:t xml:space="preserve"> </w:t>
      </w:r>
      <w:r w:rsidRPr="00BA59BA">
        <w:rPr>
          <w:szCs w:val="22"/>
        </w:rPr>
        <w:t xml:space="preserve">paštas: </w:t>
      </w:r>
      <w:hyperlink r:id="rId5" w:history="1">
        <w:r w:rsidRPr="00BA59BA">
          <w:rPr>
            <w:color w:val="0000FF"/>
            <w:szCs w:val="22"/>
            <w:u w:val="single"/>
          </w:rPr>
          <w:t>info.lithuania@sandoz.com</w:t>
        </w:r>
      </w:hyperlink>
    </w:p>
    <w:p w:rsidR="00CA71C3" w:rsidRPr="00BA59BA" w:rsidRDefault="00CA71C3" w:rsidP="00CA71C3">
      <w:pPr>
        <w:rPr>
          <w:szCs w:val="22"/>
        </w:rPr>
      </w:pPr>
    </w:p>
    <w:p w:rsidR="00CA71C3" w:rsidRDefault="00CA71C3" w:rsidP="00CA71C3">
      <w:pPr>
        <w:tabs>
          <w:tab w:val="left" w:pos="567"/>
        </w:tabs>
        <w:rPr>
          <w:b/>
          <w:szCs w:val="22"/>
        </w:rPr>
      </w:pPr>
      <w:r w:rsidRPr="00BA59BA">
        <w:rPr>
          <w:b/>
          <w:szCs w:val="22"/>
        </w:rPr>
        <w:t>Šis vaistas EEE valstybėse narėse registruotas tokiais pavadinimais:</w:t>
      </w:r>
    </w:p>
    <w:p w:rsidR="00CA71C3" w:rsidRPr="009B704B" w:rsidRDefault="00CA71C3" w:rsidP="00CA71C3">
      <w:pPr>
        <w:tabs>
          <w:tab w:val="left" w:pos="567"/>
        </w:tabs>
        <w:rPr>
          <w:b/>
        </w:rPr>
      </w:pPr>
    </w:p>
    <w:tbl>
      <w:tblPr>
        <w:tblStyle w:val="Lentelstinklelis"/>
        <w:tblW w:w="0" w:type="auto"/>
        <w:tblLook w:val="04A0" w:firstRow="1" w:lastRow="0" w:firstColumn="1" w:lastColumn="0" w:noHBand="0" w:noVBand="1"/>
      </w:tblPr>
      <w:tblGrid>
        <w:gridCol w:w="4530"/>
        <w:gridCol w:w="4530"/>
      </w:tblGrid>
      <w:tr w:rsidR="00CA71C3" w:rsidTr="0017435D">
        <w:tc>
          <w:tcPr>
            <w:tcW w:w="4530" w:type="dxa"/>
          </w:tcPr>
          <w:p w:rsidR="00CA71C3" w:rsidRDefault="00CA71C3" w:rsidP="0017435D">
            <w:pPr>
              <w:tabs>
                <w:tab w:val="left" w:pos="567"/>
              </w:tabs>
              <w:rPr>
                <w:szCs w:val="22"/>
              </w:rPr>
            </w:pPr>
            <w:r w:rsidRPr="00B57675">
              <w:rPr>
                <w:szCs w:val="22"/>
              </w:rPr>
              <w:t>Danija</w:t>
            </w:r>
            <w:r>
              <w:rPr>
                <w:szCs w:val="22"/>
              </w:rPr>
              <w:t xml:space="preserve">, </w:t>
            </w:r>
            <w:r w:rsidRPr="00B57675">
              <w:rPr>
                <w:szCs w:val="22"/>
              </w:rPr>
              <w:t>Belgija</w:t>
            </w:r>
            <w:r>
              <w:rPr>
                <w:szCs w:val="22"/>
              </w:rPr>
              <w:t xml:space="preserve">, Čekijos </w:t>
            </w:r>
            <w:r w:rsidRPr="00B57675">
              <w:rPr>
                <w:szCs w:val="22"/>
              </w:rPr>
              <w:t>Respublika</w:t>
            </w:r>
            <w:r>
              <w:rPr>
                <w:szCs w:val="22"/>
              </w:rPr>
              <w:t xml:space="preserve">, </w:t>
            </w:r>
            <w:r w:rsidRPr="00B57675">
              <w:rPr>
                <w:szCs w:val="22"/>
              </w:rPr>
              <w:t>Islandija</w:t>
            </w:r>
            <w:r>
              <w:rPr>
                <w:szCs w:val="22"/>
              </w:rPr>
              <w:t xml:space="preserve">, </w:t>
            </w:r>
            <w:r w:rsidRPr="00B57675">
              <w:rPr>
                <w:szCs w:val="22"/>
              </w:rPr>
              <w:t>Ispanija</w:t>
            </w:r>
            <w:r>
              <w:rPr>
                <w:szCs w:val="22"/>
              </w:rPr>
              <w:t xml:space="preserve">, </w:t>
            </w:r>
            <w:r w:rsidRPr="00B57675">
              <w:rPr>
                <w:szCs w:val="22"/>
              </w:rPr>
              <w:t>Italija</w:t>
            </w:r>
            <w:r>
              <w:rPr>
                <w:szCs w:val="22"/>
              </w:rPr>
              <w:t xml:space="preserve">, Jungtinė </w:t>
            </w:r>
            <w:r w:rsidRPr="00B57675">
              <w:rPr>
                <w:szCs w:val="22"/>
              </w:rPr>
              <w:t>Karalystė</w:t>
            </w:r>
            <w:r>
              <w:rPr>
                <w:szCs w:val="22"/>
              </w:rPr>
              <w:t xml:space="preserve">, </w:t>
            </w:r>
            <w:r w:rsidRPr="00B57675">
              <w:rPr>
                <w:szCs w:val="22"/>
              </w:rPr>
              <w:t>Latvija</w:t>
            </w:r>
            <w:r>
              <w:rPr>
                <w:szCs w:val="22"/>
              </w:rPr>
              <w:t xml:space="preserve">, </w:t>
            </w:r>
            <w:r w:rsidRPr="00B57675">
              <w:rPr>
                <w:szCs w:val="22"/>
              </w:rPr>
              <w:t>Lenkija</w:t>
            </w:r>
            <w:r>
              <w:rPr>
                <w:szCs w:val="22"/>
              </w:rPr>
              <w:t xml:space="preserve">, </w:t>
            </w:r>
            <w:r w:rsidRPr="00B57675">
              <w:rPr>
                <w:szCs w:val="22"/>
              </w:rPr>
              <w:t>Lietuva</w:t>
            </w:r>
            <w:r>
              <w:rPr>
                <w:szCs w:val="22"/>
              </w:rPr>
              <w:t xml:space="preserve">, </w:t>
            </w:r>
            <w:r w:rsidRPr="00B57675">
              <w:rPr>
                <w:szCs w:val="22"/>
              </w:rPr>
              <w:t>Nyderlandai</w:t>
            </w:r>
            <w:r>
              <w:rPr>
                <w:szCs w:val="22"/>
              </w:rPr>
              <w:t xml:space="preserve">, </w:t>
            </w:r>
            <w:r w:rsidRPr="00B57675">
              <w:rPr>
                <w:szCs w:val="22"/>
              </w:rPr>
              <w:t>Norvegija</w:t>
            </w:r>
            <w:r>
              <w:rPr>
                <w:szCs w:val="22"/>
              </w:rPr>
              <w:t xml:space="preserve">, </w:t>
            </w:r>
            <w:r w:rsidRPr="00B57675">
              <w:rPr>
                <w:szCs w:val="22"/>
              </w:rPr>
              <w:t>Rumunija</w:t>
            </w:r>
            <w:r>
              <w:rPr>
                <w:szCs w:val="22"/>
              </w:rPr>
              <w:t xml:space="preserve">, </w:t>
            </w:r>
            <w:r w:rsidRPr="00B57675">
              <w:rPr>
                <w:szCs w:val="22"/>
              </w:rPr>
              <w:t>Slovakija</w:t>
            </w:r>
            <w:r>
              <w:rPr>
                <w:szCs w:val="22"/>
              </w:rPr>
              <w:t xml:space="preserve">, </w:t>
            </w:r>
            <w:r w:rsidRPr="00B57675">
              <w:rPr>
                <w:szCs w:val="22"/>
              </w:rPr>
              <w:t>Suomija</w:t>
            </w:r>
            <w:r>
              <w:rPr>
                <w:szCs w:val="22"/>
              </w:rPr>
              <w:t xml:space="preserve">, </w:t>
            </w:r>
            <w:r w:rsidRPr="00B57675">
              <w:rPr>
                <w:szCs w:val="22"/>
              </w:rPr>
              <w:t>Švedija</w:t>
            </w:r>
          </w:p>
        </w:tc>
        <w:tc>
          <w:tcPr>
            <w:tcW w:w="4530" w:type="dxa"/>
          </w:tcPr>
          <w:p w:rsidR="00CA71C3" w:rsidRDefault="00CA71C3" w:rsidP="0017435D">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Sandoz</w:t>
            </w:r>
            <w:proofErr w:type="spellEnd"/>
          </w:p>
        </w:tc>
      </w:tr>
      <w:tr w:rsidR="00CA71C3" w:rsidTr="0017435D">
        <w:tc>
          <w:tcPr>
            <w:tcW w:w="4530" w:type="dxa"/>
          </w:tcPr>
          <w:p w:rsidR="00CA71C3" w:rsidRDefault="00CA71C3" w:rsidP="0017435D">
            <w:pPr>
              <w:tabs>
                <w:tab w:val="left" w:pos="567"/>
              </w:tabs>
              <w:rPr>
                <w:szCs w:val="22"/>
              </w:rPr>
            </w:pPr>
            <w:r w:rsidRPr="00B57675">
              <w:rPr>
                <w:szCs w:val="22"/>
              </w:rPr>
              <w:t>Airija</w:t>
            </w:r>
            <w:r>
              <w:rPr>
                <w:szCs w:val="22"/>
              </w:rPr>
              <w:t xml:space="preserve">, </w:t>
            </w:r>
          </w:p>
        </w:tc>
        <w:tc>
          <w:tcPr>
            <w:tcW w:w="4530" w:type="dxa"/>
          </w:tcPr>
          <w:p w:rsidR="00CA71C3" w:rsidRDefault="00CA71C3" w:rsidP="0017435D">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Rowex</w:t>
            </w:r>
            <w:proofErr w:type="spellEnd"/>
          </w:p>
        </w:tc>
      </w:tr>
      <w:tr w:rsidR="00CA71C3" w:rsidTr="0017435D">
        <w:tc>
          <w:tcPr>
            <w:tcW w:w="4530" w:type="dxa"/>
          </w:tcPr>
          <w:p w:rsidR="00CA71C3" w:rsidRDefault="00CA71C3" w:rsidP="0017435D">
            <w:pPr>
              <w:tabs>
                <w:tab w:val="left" w:pos="567"/>
              </w:tabs>
              <w:rPr>
                <w:szCs w:val="22"/>
              </w:rPr>
            </w:pPr>
            <w:r w:rsidRPr="00B57675">
              <w:rPr>
                <w:szCs w:val="22"/>
              </w:rPr>
              <w:t>Bulgarija</w:t>
            </w:r>
          </w:p>
        </w:tc>
        <w:tc>
          <w:tcPr>
            <w:tcW w:w="4530" w:type="dxa"/>
          </w:tcPr>
          <w:p w:rsidR="00CA71C3" w:rsidRDefault="00CA71C3" w:rsidP="0017435D">
            <w:pPr>
              <w:tabs>
                <w:tab w:val="left" w:pos="567"/>
              </w:tabs>
              <w:rPr>
                <w:szCs w:val="22"/>
              </w:rPr>
            </w:pPr>
            <w:proofErr w:type="spellStart"/>
            <w:r w:rsidRPr="00B57675">
              <w:rPr>
                <w:szCs w:val="22"/>
              </w:rPr>
              <w:t>Цинакалцет</w:t>
            </w:r>
            <w:proofErr w:type="spellEnd"/>
            <w:r w:rsidRPr="00B57675">
              <w:rPr>
                <w:szCs w:val="22"/>
              </w:rPr>
              <w:t xml:space="preserve"> </w:t>
            </w:r>
            <w:proofErr w:type="spellStart"/>
            <w:r w:rsidRPr="00B57675">
              <w:rPr>
                <w:szCs w:val="22"/>
              </w:rPr>
              <w:t>Сандоз</w:t>
            </w:r>
            <w:proofErr w:type="spellEnd"/>
          </w:p>
        </w:tc>
      </w:tr>
      <w:tr w:rsidR="00CA71C3" w:rsidTr="0017435D">
        <w:tc>
          <w:tcPr>
            <w:tcW w:w="4530" w:type="dxa"/>
          </w:tcPr>
          <w:p w:rsidR="00CA71C3" w:rsidRPr="00B57675" w:rsidRDefault="00CA71C3" w:rsidP="0017435D">
            <w:pPr>
              <w:tabs>
                <w:tab w:val="left" w:pos="567"/>
              </w:tabs>
              <w:rPr>
                <w:szCs w:val="22"/>
              </w:rPr>
            </w:pPr>
            <w:r w:rsidRPr="00B57675">
              <w:rPr>
                <w:szCs w:val="22"/>
              </w:rPr>
              <w:t>Graikija</w:t>
            </w:r>
          </w:p>
        </w:tc>
        <w:tc>
          <w:tcPr>
            <w:tcW w:w="4530" w:type="dxa"/>
          </w:tcPr>
          <w:p w:rsidR="00CA71C3" w:rsidRPr="00B57675" w:rsidRDefault="00CA71C3" w:rsidP="0017435D">
            <w:pPr>
              <w:tabs>
                <w:tab w:val="left" w:pos="567"/>
              </w:tabs>
              <w:rPr>
                <w:szCs w:val="22"/>
              </w:rPr>
            </w:pPr>
            <w:r w:rsidRPr="00B57675">
              <w:rPr>
                <w:szCs w:val="22"/>
              </w:rPr>
              <w:t>CINACALCET/SANDOZ</w:t>
            </w:r>
          </w:p>
        </w:tc>
      </w:tr>
      <w:tr w:rsidR="00CA71C3" w:rsidTr="0017435D">
        <w:tc>
          <w:tcPr>
            <w:tcW w:w="4530" w:type="dxa"/>
          </w:tcPr>
          <w:p w:rsidR="00CA71C3" w:rsidRPr="00B57675" w:rsidRDefault="00CA71C3" w:rsidP="0017435D">
            <w:pPr>
              <w:tabs>
                <w:tab w:val="left" w:pos="567"/>
              </w:tabs>
              <w:rPr>
                <w:szCs w:val="22"/>
              </w:rPr>
            </w:pPr>
            <w:r w:rsidRPr="00B57675">
              <w:rPr>
                <w:szCs w:val="22"/>
              </w:rPr>
              <w:t>Kipras</w:t>
            </w:r>
          </w:p>
        </w:tc>
        <w:tc>
          <w:tcPr>
            <w:tcW w:w="4530" w:type="dxa"/>
          </w:tcPr>
          <w:p w:rsidR="00CA71C3" w:rsidRPr="00B57675" w:rsidRDefault="00CA71C3" w:rsidP="0017435D">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Hydrochloride</w:t>
            </w:r>
            <w:proofErr w:type="spellEnd"/>
            <w:r w:rsidRPr="00B57675">
              <w:rPr>
                <w:szCs w:val="22"/>
              </w:rPr>
              <w:t xml:space="preserve"> </w:t>
            </w:r>
            <w:proofErr w:type="spellStart"/>
            <w:r w:rsidRPr="00B57675">
              <w:rPr>
                <w:szCs w:val="22"/>
              </w:rPr>
              <w:t>Sandoz</w:t>
            </w:r>
            <w:proofErr w:type="spellEnd"/>
          </w:p>
        </w:tc>
      </w:tr>
      <w:tr w:rsidR="00CA71C3" w:rsidTr="0017435D">
        <w:tc>
          <w:tcPr>
            <w:tcW w:w="4530" w:type="dxa"/>
          </w:tcPr>
          <w:p w:rsidR="00CA71C3" w:rsidRPr="00B57675" w:rsidRDefault="00CA71C3" w:rsidP="0017435D">
            <w:pPr>
              <w:tabs>
                <w:tab w:val="left" w:pos="567"/>
              </w:tabs>
              <w:rPr>
                <w:szCs w:val="22"/>
              </w:rPr>
            </w:pPr>
            <w:r w:rsidRPr="00B57675">
              <w:rPr>
                <w:szCs w:val="22"/>
              </w:rPr>
              <w:lastRenderedPageBreak/>
              <w:t>Prancūzija</w:t>
            </w:r>
          </w:p>
        </w:tc>
        <w:tc>
          <w:tcPr>
            <w:tcW w:w="4530" w:type="dxa"/>
          </w:tcPr>
          <w:p w:rsidR="00CA71C3" w:rsidRPr="00B57675" w:rsidRDefault="00CA71C3" w:rsidP="0017435D">
            <w:pPr>
              <w:tabs>
                <w:tab w:val="left" w:pos="567"/>
              </w:tabs>
              <w:rPr>
                <w:szCs w:val="22"/>
              </w:rPr>
            </w:pPr>
            <w:proofErr w:type="spellStart"/>
            <w:r>
              <w:rPr>
                <w:szCs w:val="22"/>
              </w:rPr>
              <w:t>Cinacalcet</w:t>
            </w:r>
            <w:proofErr w:type="spellEnd"/>
            <w:r>
              <w:rPr>
                <w:szCs w:val="22"/>
              </w:rPr>
              <w:t xml:space="preserve"> GNR</w:t>
            </w:r>
          </w:p>
        </w:tc>
      </w:tr>
      <w:tr w:rsidR="00CA71C3" w:rsidTr="0017435D">
        <w:tc>
          <w:tcPr>
            <w:tcW w:w="4530" w:type="dxa"/>
          </w:tcPr>
          <w:p w:rsidR="00CA71C3" w:rsidRPr="00B57675" w:rsidRDefault="00CA71C3" w:rsidP="0017435D">
            <w:pPr>
              <w:tabs>
                <w:tab w:val="left" w:pos="567"/>
              </w:tabs>
              <w:rPr>
                <w:szCs w:val="22"/>
              </w:rPr>
            </w:pPr>
            <w:r w:rsidRPr="00B57675">
              <w:rPr>
                <w:szCs w:val="22"/>
              </w:rPr>
              <w:t>Slovėnija</w:t>
            </w:r>
          </w:p>
        </w:tc>
        <w:tc>
          <w:tcPr>
            <w:tcW w:w="4530" w:type="dxa"/>
          </w:tcPr>
          <w:p w:rsidR="00CA71C3" w:rsidRDefault="00CA71C3" w:rsidP="0017435D">
            <w:pPr>
              <w:tabs>
                <w:tab w:val="left" w:pos="567"/>
              </w:tabs>
              <w:rPr>
                <w:szCs w:val="22"/>
              </w:rPr>
            </w:pPr>
            <w:proofErr w:type="spellStart"/>
            <w:r w:rsidRPr="00B57675">
              <w:rPr>
                <w:szCs w:val="22"/>
              </w:rPr>
              <w:t>Cinakalcet</w:t>
            </w:r>
            <w:proofErr w:type="spellEnd"/>
            <w:r w:rsidRPr="00B57675">
              <w:rPr>
                <w:szCs w:val="22"/>
              </w:rPr>
              <w:t xml:space="preserve"> </w:t>
            </w:r>
            <w:proofErr w:type="spellStart"/>
            <w:r w:rsidRPr="00B57675">
              <w:rPr>
                <w:szCs w:val="22"/>
              </w:rPr>
              <w:t>Lek</w:t>
            </w:r>
            <w:proofErr w:type="spellEnd"/>
          </w:p>
        </w:tc>
      </w:tr>
      <w:tr w:rsidR="00CA71C3" w:rsidTr="0017435D">
        <w:tc>
          <w:tcPr>
            <w:tcW w:w="4530" w:type="dxa"/>
          </w:tcPr>
          <w:p w:rsidR="00CA71C3" w:rsidRPr="00B57675" w:rsidRDefault="00CA71C3" w:rsidP="0017435D">
            <w:pPr>
              <w:tabs>
                <w:tab w:val="left" w:pos="567"/>
              </w:tabs>
              <w:rPr>
                <w:szCs w:val="22"/>
              </w:rPr>
            </w:pPr>
            <w:r w:rsidRPr="00B57675">
              <w:rPr>
                <w:szCs w:val="22"/>
              </w:rPr>
              <w:t>Vokietija</w:t>
            </w:r>
          </w:p>
        </w:tc>
        <w:tc>
          <w:tcPr>
            <w:tcW w:w="4530" w:type="dxa"/>
          </w:tcPr>
          <w:p w:rsidR="00CA71C3" w:rsidRDefault="00CA71C3" w:rsidP="0017435D">
            <w:pPr>
              <w:tabs>
                <w:tab w:val="left" w:pos="567"/>
              </w:tabs>
              <w:rPr>
                <w:szCs w:val="22"/>
              </w:rPr>
            </w:pPr>
            <w:proofErr w:type="spellStart"/>
            <w:r w:rsidRPr="00B57675">
              <w:rPr>
                <w:szCs w:val="22"/>
              </w:rPr>
              <w:t>Cinacalcet</w:t>
            </w:r>
            <w:proofErr w:type="spellEnd"/>
            <w:r w:rsidRPr="00B57675">
              <w:rPr>
                <w:szCs w:val="22"/>
              </w:rPr>
              <w:t xml:space="preserve"> HEXAL</w:t>
            </w:r>
          </w:p>
        </w:tc>
      </w:tr>
    </w:tbl>
    <w:p w:rsidR="00CA71C3" w:rsidRPr="00BA59BA" w:rsidRDefault="00CA71C3" w:rsidP="00CA71C3">
      <w:pPr>
        <w:tabs>
          <w:tab w:val="left" w:pos="567"/>
        </w:tabs>
        <w:rPr>
          <w:b/>
          <w:szCs w:val="22"/>
        </w:rPr>
      </w:pPr>
    </w:p>
    <w:p w:rsidR="00CA71C3" w:rsidRPr="00BA59BA" w:rsidRDefault="00CA71C3" w:rsidP="00CA71C3">
      <w:pPr>
        <w:tabs>
          <w:tab w:val="left" w:pos="567"/>
        </w:tabs>
        <w:rPr>
          <w:szCs w:val="22"/>
        </w:rPr>
      </w:pPr>
      <w:r w:rsidRPr="00BA59BA">
        <w:rPr>
          <w:b/>
          <w:szCs w:val="22"/>
        </w:rPr>
        <w:t xml:space="preserve">Šis pakuotės lapelis paskutinį kartą peržiūrėtas </w:t>
      </w:r>
      <w:r>
        <w:rPr>
          <w:b/>
          <w:szCs w:val="22"/>
        </w:rPr>
        <w:t>2019-05-22.</w:t>
      </w:r>
    </w:p>
    <w:p w:rsidR="00CA71C3" w:rsidRPr="00BA59BA" w:rsidRDefault="00CA71C3" w:rsidP="00CA71C3">
      <w:pPr>
        <w:tabs>
          <w:tab w:val="left" w:pos="567"/>
        </w:tabs>
        <w:rPr>
          <w:szCs w:val="22"/>
        </w:rPr>
      </w:pPr>
    </w:p>
    <w:p w:rsidR="00CA71C3" w:rsidRPr="00BA59BA" w:rsidRDefault="00CA71C3" w:rsidP="00CA71C3">
      <w:pPr>
        <w:tabs>
          <w:tab w:val="left" w:pos="567"/>
        </w:tabs>
        <w:rPr>
          <w:color w:val="0000FF"/>
          <w:szCs w:val="22"/>
        </w:rPr>
      </w:pPr>
      <w:r w:rsidRPr="00BA59BA">
        <w:rPr>
          <w:szCs w:val="22"/>
        </w:rPr>
        <w:t xml:space="preserve">Išsami informacija apie šį vaistą pateikiama Valstybinės vaistų kontrolės tarnybos prie Lietuvos Respublikos sveikatos apsaugos ministerijos tinklalapyje </w:t>
      </w:r>
      <w:hyperlink r:id="rId6" w:history="1">
        <w:r w:rsidRPr="00BA59BA">
          <w:rPr>
            <w:color w:val="0000FF"/>
            <w:szCs w:val="22"/>
          </w:rPr>
          <w:t>http://www.vvkt.lt/</w:t>
        </w:r>
      </w:hyperlink>
      <w:bookmarkEnd w:id="0"/>
      <w:bookmarkEnd w:id="1"/>
    </w:p>
    <w:p w:rsidR="00CA71C3" w:rsidRPr="00BA59BA" w:rsidRDefault="00CA71C3" w:rsidP="00CA71C3">
      <w:pPr>
        <w:rPr>
          <w:szCs w:val="22"/>
        </w:rPr>
      </w:pPr>
    </w:p>
    <w:p w:rsidR="005B5417" w:rsidRDefault="005B5417">
      <w:bookmarkStart w:id="2" w:name="_GoBack"/>
      <w:bookmarkEnd w:id="2"/>
    </w:p>
    <w:sectPr w:rsidR="005B54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A26B3"/>
    <w:multiLevelType w:val="hybridMultilevel"/>
    <w:tmpl w:val="CC0A47A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3E51C5"/>
    <w:multiLevelType w:val="hybridMultilevel"/>
    <w:tmpl w:val="E780C43A"/>
    <w:lvl w:ilvl="0" w:tplc="1F4E558E">
      <w:start w:val="1"/>
      <w:numFmt w:val="bullet"/>
      <w:lvlText w:val=""/>
      <w:lvlJc w:val="left"/>
      <w:pPr>
        <w:tabs>
          <w:tab w:val="num" w:pos="567"/>
        </w:tabs>
        <w:ind w:left="567" w:hanging="567"/>
      </w:pPr>
      <w:rPr>
        <w:rFonts w:ascii="Symbol" w:hAnsi="Symbol" w:hint="default"/>
        <w:b w:val="0"/>
        <w:i w:val="0"/>
        <w:sz w:val="22"/>
      </w:rPr>
    </w:lvl>
    <w:lvl w:ilvl="1" w:tplc="63AC32C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33590D"/>
    <w:multiLevelType w:val="hybridMultilevel"/>
    <w:tmpl w:val="1482FD2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1F7FAD"/>
    <w:multiLevelType w:val="hybridMultilevel"/>
    <w:tmpl w:val="E320070E"/>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A442D7"/>
    <w:multiLevelType w:val="hybridMultilevel"/>
    <w:tmpl w:val="68D65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3"/>
  </w:num>
  <w:num w:numId="4">
    <w:abstractNumId w:val="4"/>
  </w:num>
  <w:num w:numId="5">
    <w:abstractNumId w:val="1"/>
  </w:num>
  <w:num w:numId="6">
    <w:abstractNumId w:val="7"/>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3"/>
    <w:rsid w:val="005B5417"/>
    <w:rsid w:val="00CA7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574BD-38BD-4A5D-AE95-1DCE97D4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1C3"/>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A71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CA71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9576</Words>
  <Characters>5459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2019-05-27T11:28:00Z</dcterms:created>
  <dcterms:modified xsi:type="dcterms:W3CDTF">2019-05-27T11:29:00Z</dcterms:modified>
</cp:coreProperties>
</file>