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6B5A3" w14:textId="4D71CE8B" w:rsidR="00CD5D42" w:rsidRPr="00BD2988" w:rsidRDefault="00CD5D42" w:rsidP="00CD5D42">
      <w:pPr>
        <w:pStyle w:val="Heading2"/>
        <w:spacing w:before="0" w:after="0" w:line="240" w:lineRule="auto"/>
        <w:contextualSpacing/>
        <w:jc w:val="center"/>
        <w:rPr>
          <w:b w:val="0"/>
          <w:sz w:val="22"/>
          <w:szCs w:val="22"/>
          <w:lang w:val="de-DE"/>
        </w:rPr>
      </w:pPr>
      <w:bookmarkStart w:id="0" w:name="_GoBack"/>
      <w:bookmarkEnd w:id="0"/>
      <w:r w:rsidRPr="00BD2988">
        <w:rPr>
          <w:rFonts w:ascii="Times New Roman" w:hAnsi="Times New Roman"/>
          <w:i w:val="0"/>
          <w:sz w:val="22"/>
          <w:szCs w:val="22"/>
        </w:rPr>
        <w:t>Pakuotės lapelis:</w:t>
      </w:r>
      <w:r w:rsidRPr="00BD2988">
        <w:rPr>
          <w:rFonts w:ascii="Times New Roman" w:hAnsi="Times New Roman"/>
          <w:i w:val="0"/>
          <w:sz w:val="22"/>
          <w:szCs w:val="22"/>
          <w:lang w:val="es-ES_tradnl"/>
        </w:rPr>
        <w:t xml:space="preserve"> </w:t>
      </w:r>
      <w:r w:rsidRPr="00BD2988">
        <w:rPr>
          <w:rFonts w:ascii="Times New Roman" w:hAnsi="Times New Roman"/>
          <w:i w:val="0"/>
          <w:sz w:val="22"/>
          <w:szCs w:val="22"/>
        </w:rPr>
        <w:t>informacija pacientui</w:t>
      </w:r>
    </w:p>
    <w:p w14:paraId="5342D208" w14:textId="77777777" w:rsidR="00CD5D42" w:rsidRPr="00BD2988" w:rsidRDefault="00CD5D42" w:rsidP="00CD5D42">
      <w:pPr>
        <w:jc w:val="center"/>
        <w:rPr>
          <w:b/>
          <w:szCs w:val="22"/>
          <w:lang w:val="de-DE"/>
        </w:rPr>
      </w:pPr>
    </w:p>
    <w:p w14:paraId="45805000" w14:textId="77777777" w:rsidR="00CD5D42" w:rsidRPr="00BD2988" w:rsidRDefault="00CD5D42" w:rsidP="00CD5D42">
      <w:pPr>
        <w:jc w:val="center"/>
        <w:rPr>
          <w:b/>
          <w:szCs w:val="22"/>
          <w:lang w:val="en-US"/>
        </w:rPr>
      </w:pPr>
      <w:r w:rsidRPr="00BD2988">
        <w:rPr>
          <w:b/>
          <w:szCs w:val="22"/>
        </w:rPr>
        <w:t xml:space="preserve">Cinacalcet Accord, </w:t>
      </w:r>
      <w:r w:rsidRPr="00BD2988">
        <w:rPr>
          <w:b/>
          <w:szCs w:val="22"/>
          <w:lang w:val="en-US"/>
        </w:rPr>
        <w:t>30 mg pl</w:t>
      </w:r>
      <w:r w:rsidRPr="00BD2988">
        <w:rPr>
          <w:rFonts w:hint="eastAsia"/>
          <w:b/>
          <w:szCs w:val="22"/>
          <w:lang w:val="en-US"/>
        </w:rPr>
        <w:t>ė</w:t>
      </w:r>
      <w:r w:rsidRPr="00BD2988">
        <w:rPr>
          <w:b/>
          <w:szCs w:val="22"/>
          <w:lang w:val="en-US"/>
        </w:rPr>
        <w:t>vele dengtos tablet</w:t>
      </w:r>
      <w:r w:rsidRPr="00BD2988">
        <w:rPr>
          <w:rFonts w:hint="eastAsia"/>
          <w:b/>
          <w:szCs w:val="22"/>
          <w:lang w:val="en-US"/>
        </w:rPr>
        <w:t>ė</w:t>
      </w:r>
      <w:r w:rsidRPr="00BD2988">
        <w:rPr>
          <w:b/>
          <w:szCs w:val="22"/>
          <w:lang w:val="en-US"/>
        </w:rPr>
        <w:t>s</w:t>
      </w:r>
    </w:p>
    <w:p w14:paraId="6689FAB2" w14:textId="77777777" w:rsidR="00CD5D42" w:rsidRPr="00BD2988" w:rsidRDefault="00CD5D42" w:rsidP="00CD5D42">
      <w:pPr>
        <w:jc w:val="center"/>
        <w:rPr>
          <w:rFonts w:eastAsiaTheme="minorHAnsi"/>
          <w:b/>
          <w:snapToGrid/>
          <w:szCs w:val="22"/>
          <w:lang w:val="en-US"/>
        </w:rPr>
      </w:pPr>
      <w:r w:rsidRPr="00BD2988">
        <w:rPr>
          <w:b/>
          <w:szCs w:val="22"/>
        </w:rPr>
        <w:t xml:space="preserve">Cinacalcet Accord, </w:t>
      </w:r>
      <w:r w:rsidRPr="00BD2988">
        <w:rPr>
          <w:b/>
          <w:szCs w:val="22"/>
          <w:lang w:val="en-US"/>
        </w:rPr>
        <w:t>60 mg pl</w:t>
      </w:r>
      <w:r w:rsidRPr="00BD2988">
        <w:rPr>
          <w:rFonts w:hint="eastAsia"/>
          <w:b/>
          <w:szCs w:val="22"/>
          <w:lang w:val="en-US"/>
        </w:rPr>
        <w:t>ė</w:t>
      </w:r>
      <w:r w:rsidRPr="00BD2988">
        <w:rPr>
          <w:b/>
          <w:szCs w:val="22"/>
          <w:lang w:val="en-US"/>
        </w:rPr>
        <w:t>vele dengtos tablet</w:t>
      </w:r>
      <w:r w:rsidRPr="00BD2988">
        <w:rPr>
          <w:rFonts w:hint="eastAsia"/>
          <w:b/>
          <w:szCs w:val="22"/>
          <w:lang w:val="en-US"/>
        </w:rPr>
        <w:t>ė</w:t>
      </w:r>
      <w:r w:rsidRPr="00BD2988">
        <w:rPr>
          <w:b/>
          <w:szCs w:val="22"/>
          <w:lang w:val="en-US"/>
        </w:rPr>
        <w:t>s</w:t>
      </w:r>
    </w:p>
    <w:p w14:paraId="566371AE" w14:textId="77777777" w:rsidR="00CD5D42" w:rsidRPr="00BD2988" w:rsidRDefault="00CD5D42" w:rsidP="00CD5D42">
      <w:pPr>
        <w:jc w:val="center"/>
        <w:rPr>
          <w:rFonts w:eastAsiaTheme="minorHAnsi"/>
          <w:b/>
          <w:snapToGrid/>
          <w:szCs w:val="22"/>
          <w:lang w:val="en-US"/>
        </w:rPr>
      </w:pPr>
      <w:r w:rsidRPr="00BD2988">
        <w:rPr>
          <w:b/>
          <w:szCs w:val="22"/>
        </w:rPr>
        <w:t xml:space="preserve">Cinacalcet Accord, </w:t>
      </w:r>
      <w:r w:rsidRPr="00BD2988">
        <w:rPr>
          <w:b/>
          <w:szCs w:val="22"/>
          <w:lang w:val="en-US"/>
        </w:rPr>
        <w:t>90 mg pl</w:t>
      </w:r>
      <w:r w:rsidRPr="00BD2988">
        <w:rPr>
          <w:rFonts w:hint="eastAsia"/>
          <w:b/>
          <w:szCs w:val="22"/>
          <w:lang w:val="en-US"/>
        </w:rPr>
        <w:t>ė</w:t>
      </w:r>
      <w:r w:rsidRPr="00BD2988">
        <w:rPr>
          <w:b/>
          <w:szCs w:val="22"/>
          <w:lang w:val="en-US"/>
        </w:rPr>
        <w:t>vele dengtos tablet</w:t>
      </w:r>
      <w:r w:rsidRPr="00BD2988">
        <w:rPr>
          <w:rFonts w:hint="eastAsia"/>
          <w:b/>
          <w:szCs w:val="22"/>
          <w:lang w:val="en-US"/>
        </w:rPr>
        <w:t>ė</w:t>
      </w:r>
      <w:r w:rsidRPr="00BD2988">
        <w:rPr>
          <w:b/>
          <w:szCs w:val="22"/>
          <w:lang w:val="en-US"/>
        </w:rPr>
        <w:t>s</w:t>
      </w:r>
    </w:p>
    <w:p w14:paraId="400CF315" w14:textId="77777777" w:rsidR="00CD5D42" w:rsidRPr="00BD2988" w:rsidRDefault="00CD5D42" w:rsidP="00CD5D42">
      <w:pPr>
        <w:jc w:val="center"/>
        <w:rPr>
          <w:rFonts w:eastAsiaTheme="minorHAnsi"/>
          <w:snapToGrid/>
          <w:szCs w:val="22"/>
          <w:lang w:val="en-US"/>
        </w:rPr>
      </w:pPr>
      <w:r w:rsidRPr="00BD2988">
        <w:rPr>
          <w:szCs w:val="22"/>
          <w:lang w:val="en-US"/>
        </w:rPr>
        <w:t xml:space="preserve">Cinakalcetas </w:t>
      </w:r>
    </w:p>
    <w:p w14:paraId="4BD6426C" w14:textId="77777777" w:rsidR="00CD5D42" w:rsidRPr="00BD2988" w:rsidRDefault="00CD5D42" w:rsidP="00CD5D42">
      <w:pPr>
        <w:jc w:val="center"/>
        <w:rPr>
          <w:szCs w:val="22"/>
          <w:lang w:val="en-US"/>
        </w:rPr>
      </w:pPr>
    </w:p>
    <w:p w14:paraId="75BF023F" w14:textId="77777777" w:rsidR="00CD5D42" w:rsidRPr="00BD2988" w:rsidRDefault="00CD5D42" w:rsidP="00CD5D42">
      <w:pPr>
        <w:jc w:val="center"/>
        <w:rPr>
          <w:szCs w:val="22"/>
          <w:lang w:val="en-US"/>
        </w:rPr>
      </w:pPr>
    </w:p>
    <w:p w14:paraId="3BC622FF" w14:textId="77777777" w:rsidR="00CD5D42" w:rsidRPr="00BD2988" w:rsidRDefault="00CD5D42" w:rsidP="00CD5D42">
      <w:pPr>
        <w:rPr>
          <w:rFonts w:eastAsiaTheme="minorHAnsi"/>
          <w:b/>
          <w:snapToGrid/>
          <w:szCs w:val="22"/>
          <w:lang w:val="en-US"/>
        </w:rPr>
      </w:pPr>
      <w:r w:rsidRPr="00BD2988">
        <w:rPr>
          <w:b/>
          <w:szCs w:val="22"/>
          <w:lang w:val="en-US"/>
        </w:rPr>
        <w:t>Atid</w:t>
      </w:r>
      <w:r w:rsidRPr="00BD2988">
        <w:rPr>
          <w:rFonts w:hint="eastAsia"/>
          <w:b/>
          <w:szCs w:val="22"/>
          <w:lang w:val="en-US"/>
        </w:rPr>
        <w:t>ž</w:t>
      </w:r>
      <w:r w:rsidRPr="00BD2988">
        <w:rPr>
          <w:b/>
          <w:szCs w:val="22"/>
          <w:lang w:val="en-US"/>
        </w:rPr>
        <w:t>iai perskaitykite vis</w:t>
      </w:r>
      <w:r w:rsidRPr="00BD2988">
        <w:rPr>
          <w:rFonts w:hint="eastAsia"/>
          <w:b/>
          <w:szCs w:val="22"/>
          <w:lang w:val="en-US"/>
        </w:rPr>
        <w:t>ą</w:t>
      </w:r>
      <w:r w:rsidRPr="00BD2988">
        <w:rPr>
          <w:b/>
          <w:szCs w:val="22"/>
          <w:lang w:val="en-US"/>
        </w:rPr>
        <w:t xml:space="preserve"> </w:t>
      </w:r>
      <w:r w:rsidRPr="00BD2988">
        <w:rPr>
          <w:rFonts w:hint="eastAsia"/>
          <w:b/>
          <w:szCs w:val="22"/>
          <w:lang w:val="en-US"/>
        </w:rPr>
        <w:t>šį</w:t>
      </w:r>
      <w:r w:rsidRPr="00BD2988">
        <w:rPr>
          <w:b/>
          <w:szCs w:val="22"/>
          <w:lang w:val="en-US"/>
        </w:rPr>
        <w:t xml:space="preserve"> lapel</w:t>
      </w:r>
      <w:r w:rsidRPr="00BD2988">
        <w:rPr>
          <w:rFonts w:hint="eastAsia"/>
          <w:b/>
          <w:szCs w:val="22"/>
          <w:lang w:val="en-US"/>
        </w:rPr>
        <w:t>į</w:t>
      </w:r>
      <w:r w:rsidRPr="00BD2988">
        <w:rPr>
          <w:b/>
          <w:szCs w:val="22"/>
          <w:lang w:val="en-US"/>
        </w:rPr>
        <w:t>, prie</w:t>
      </w:r>
      <w:r w:rsidRPr="00BD2988">
        <w:rPr>
          <w:rFonts w:hint="eastAsia"/>
          <w:b/>
          <w:szCs w:val="22"/>
          <w:lang w:val="en-US"/>
        </w:rPr>
        <w:t>š</w:t>
      </w:r>
      <w:r w:rsidRPr="00BD2988">
        <w:rPr>
          <w:b/>
          <w:szCs w:val="22"/>
          <w:lang w:val="en-US"/>
        </w:rPr>
        <w:t xml:space="preserve"> prad</w:t>
      </w:r>
      <w:r w:rsidRPr="00BD2988">
        <w:rPr>
          <w:rFonts w:hint="eastAsia"/>
          <w:b/>
          <w:szCs w:val="22"/>
          <w:lang w:val="en-US"/>
        </w:rPr>
        <w:t>ė</w:t>
      </w:r>
      <w:r w:rsidRPr="00BD2988">
        <w:rPr>
          <w:b/>
          <w:szCs w:val="22"/>
          <w:lang w:val="en-US"/>
        </w:rPr>
        <w:t>dami vartoti vaist</w:t>
      </w:r>
      <w:r w:rsidRPr="00BD2988">
        <w:rPr>
          <w:rFonts w:hint="eastAsia"/>
          <w:b/>
          <w:szCs w:val="22"/>
          <w:lang w:val="en-US"/>
        </w:rPr>
        <w:t>ą</w:t>
      </w:r>
      <w:r w:rsidRPr="00BD2988">
        <w:rPr>
          <w:b/>
          <w:szCs w:val="22"/>
          <w:lang w:val="en-US"/>
        </w:rPr>
        <w:t>, nes jame pateikiama Jums</w:t>
      </w:r>
    </w:p>
    <w:p w14:paraId="3B397112" w14:textId="77777777" w:rsidR="00CD5D42" w:rsidRPr="00BD2988" w:rsidRDefault="00CD5D42" w:rsidP="00CD5D42">
      <w:pPr>
        <w:rPr>
          <w:b/>
          <w:szCs w:val="22"/>
          <w:lang w:val="en-US"/>
        </w:rPr>
      </w:pPr>
      <w:r w:rsidRPr="00BD2988">
        <w:rPr>
          <w:b/>
          <w:szCs w:val="22"/>
          <w:lang w:val="en-US"/>
        </w:rPr>
        <w:t>svarbi informacija.</w:t>
      </w:r>
    </w:p>
    <w:p w14:paraId="25B3909D" w14:textId="77777777" w:rsidR="00CD5D42" w:rsidRPr="00BD2988" w:rsidRDefault="00CD5D42" w:rsidP="00CD5D42">
      <w:pPr>
        <w:pStyle w:val="ListParagraph"/>
        <w:numPr>
          <w:ilvl w:val="0"/>
          <w:numId w:val="21"/>
        </w:numPr>
        <w:ind w:hanging="720"/>
        <w:rPr>
          <w:szCs w:val="22"/>
          <w:lang w:val="en-US"/>
        </w:rPr>
      </w:pPr>
      <w:r w:rsidRPr="00BD2988">
        <w:rPr>
          <w:szCs w:val="22"/>
          <w:lang w:val="en-US"/>
        </w:rPr>
        <w:t>Neišmeskite šio lapelio, nes vėl gali prireikti jį perskaityti.</w:t>
      </w:r>
    </w:p>
    <w:p w14:paraId="74BF9F0A" w14:textId="77777777" w:rsidR="00CD5D42" w:rsidRPr="00BD2988" w:rsidRDefault="00CD5D42" w:rsidP="00CD5D42">
      <w:pPr>
        <w:pStyle w:val="ListParagraph"/>
        <w:numPr>
          <w:ilvl w:val="0"/>
          <w:numId w:val="21"/>
        </w:numPr>
        <w:ind w:hanging="720"/>
        <w:rPr>
          <w:szCs w:val="22"/>
          <w:lang w:val="en-US"/>
        </w:rPr>
      </w:pPr>
      <w:r w:rsidRPr="00BD2988">
        <w:rPr>
          <w:szCs w:val="22"/>
          <w:lang w:val="en-US"/>
        </w:rPr>
        <w:t>Jeigu kiltų daugiau klausimų, kreipkitės į gydytoją, vaistininką arba slaugytoją.</w:t>
      </w:r>
    </w:p>
    <w:p w14:paraId="764531D3" w14:textId="77777777" w:rsidR="00CD5D42" w:rsidRPr="00BD2988" w:rsidRDefault="00CD5D42" w:rsidP="00CD5D42">
      <w:pPr>
        <w:pStyle w:val="ListParagraph"/>
        <w:numPr>
          <w:ilvl w:val="0"/>
          <w:numId w:val="21"/>
        </w:numPr>
        <w:ind w:hanging="720"/>
        <w:rPr>
          <w:szCs w:val="22"/>
          <w:lang w:val="en-US"/>
        </w:rPr>
      </w:pPr>
      <w:r w:rsidRPr="00BD2988">
        <w:rPr>
          <w:szCs w:val="22"/>
          <w:lang w:val="en-US"/>
        </w:rPr>
        <w:t>Šis vaistas skirtas tik Jums, todėl kitiems žmonėms jo duoti negalima. Vaistas gali jiems pakenkti (net tiems, kurių ligos požymiai yra tokie patys kaip Jūsų).</w:t>
      </w:r>
    </w:p>
    <w:p w14:paraId="57955AC5" w14:textId="77777777" w:rsidR="00CD5D42" w:rsidRPr="00BD2988" w:rsidRDefault="00CD5D42" w:rsidP="00CD5D42">
      <w:pPr>
        <w:pStyle w:val="ListParagraph"/>
        <w:numPr>
          <w:ilvl w:val="0"/>
          <w:numId w:val="21"/>
        </w:numPr>
        <w:ind w:hanging="720"/>
        <w:rPr>
          <w:szCs w:val="22"/>
          <w:lang w:val="en-US"/>
        </w:rPr>
      </w:pPr>
      <w:r w:rsidRPr="00BD2988">
        <w:rPr>
          <w:szCs w:val="22"/>
          <w:lang w:val="en-US"/>
        </w:rPr>
        <w:t>Jeigu pasireiškė šalutinis poveikis (net jeigu jis šiame lapelyje nenurodytas), kreipkitės į gydytoją, vaistininką arba slaugytoją. Žr. 4 skyrių.</w:t>
      </w:r>
    </w:p>
    <w:p w14:paraId="17C81FCB" w14:textId="77777777" w:rsidR="00CD5D42" w:rsidRPr="00BD2988" w:rsidRDefault="00CD5D42" w:rsidP="00CD5D42">
      <w:pPr>
        <w:rPr>
          <w:szCs w:val="22"/>
          <w:lang w:val="en-US"/>
        </w:rPr>
      </w:pPr>
    </w:p>
    <w:p w14:paraId="73787B9F" w14:textId="77777777" w:rsidR="00CD5D42" w:rsidRPr="00BD2988" w:rsidRDefault="00CD5D42" w:rsidP="00CD5D42">
      <w:pPr>
        <w:pStyle w:val="Heading4"/>
        <w:rPr>
          <w:b w:val="0"/>
          <w:sz w:val="22"/>
          <w:szCs w:val="22"/>
          <w:lang w:val="lt-LT"/>
        </w:rPr>
      </w:pPr>
      <w:r w:rsidRPr="00BD2988">
        <w:rPr>
          <w:rFonts w:ascii="Times New Roman" w:hAnsi="Times New Roman"/>
          <w:sz w:val="22"/>
          <w:szCs w:val="22"/>
          <w:lang w:val="lt-LT"/>
        </w:rPr>
        <w:t>Apie ką rašoma šiame lapelyje?</w:t>
      </w:r>
    </w:p>
    <w:p w14:paraId="702B6A89" w14:textId="77777777" w:rsidR="00CD5D42" w:rsidRPr="00BD2988" w:rsidRDefault="00CD5D42" w:rsidP="00CD5D42">
      <w:pPr>
        <w:pStyle w:val="ListParagraph"/>
        <w:numPr>
          <w:ilvl w:val="0"/>
          <w:numId w:val="22"/>
        </w:numPr>
        <w:ind w:hanging="720"/>
        <w:rPr>
          <w:szCs w:val="22"/>
          <w:lang w:val="en-US"/>
        </w:rPr>
      </w:pPr>
      <w:r w:rsidRPr="00BD2988">
        <w:rPr>
          <w:szCs w:val="22"/>
          <w:lang w:val="en-US"/>
        </w:rPr>
        <w:t xml:space="preserve">Kas yra </w:t>
      </w:r>
      <w:r w:rsidRPr="00BD2988">
        <w:rPr>
          <w:szCs w:val="22"/>
        </w:rPr>
        <w:t xml:space="preserve">Cinacalcet Accord </w:t>
      </w:r>
      <w:r w:rsidRPr="00BD2988">
        <w:rPr>
          <w:szCs w:val="22"/>
          <w:lang w:val="en-US"/>
        </w:rPr>
        <w:t>ir kam jis vartojamas</w:t>
      </w:r>
    </w:p>
    <w:p w14:paraId="4CA2F9A3" w14:textId="77777777" w:rsidR="00CD5D42" w:rsidRPr="00BD2988" w:rsidRDefault="00CD5D42" w:rsidP="00CD5D42">
      <w:pPr>
        <w:pStyle w:val="ListParagraph"/>
        <w:numPr>
          <w:ilvl w:val="0"/>
          <w:numId w:val="22"/>
        </w:numPr>
        <w:ind w:hanging="720"/>
        <w:rPr>
          <w:szCs w:val="22"/>
          <w:lang w:val="en-US"/>
        </w:rPr>
      </w:pPr>
      <w:r w:rsidRPr="00BD2988">
        <w:rPr>
          <w:szCs w:val="22"/>
          <w:lang w:val="en-US"/>
        </w:rPr>
        <w:t xml:space="preserve">Kas žinotina prieš vartojant </w:t>
      </w:r>
      <w:r w:rsidRPr="00BD2988">
        <w:rPr>
          <w:szCs w:val="22"/>
        </w:rPr>
        <w:t xml:space="preserve">Cinacalcet Accord </w:t>
      </w:r>
    </w:p>
    <w:p w14:paraId="234FC366" w14:textId="77777777" w:rsidR="00CD5D42" w:rsidRPr="00BD2988" w:rsidRDefault="00CD5D42" w:rsidP="00CD5D42">
      <w:pPr>
        <w:pStyle w:val="ListParagraph"/>
        <w:numPr>
          <w:ilvl w:val="0"/>
          <w:numId w:val="22"/>
        </w:numPr>
        <w:ind w:hanging="720"/>
        <w:rPr>
          <w:szCs w:val="22"/>
          <w:lang w:val="en-US"/>
        </w:rPr>
      </w:pPr>
      <w:r w:rsidRPr="00BD2988">
        <w:rPr>
          <w:szCs w:val="22"/>
          <w:lang w:val="en-US"/>
        </w:rPr>
        <w:t xml:space="preserve">Kaip vartoti </w:t>
      </w:r>
      <w:r w:rsidRPr="00BD2988">
        <w:rPr>
          <w:szCs w:val="22"/>
        </w:rPr>
        <w:t xml:space="preserve">Cinacalcet Accord </w:t>
      </w:r>
    </w:p>
    <w:p w14:paraId="4607EA15" w14:textId="77777777" w:rsidR="00CD5D42" w:rsidRPr="00BD2988" w:rsidRDefault="00CD5D42" w:rsidP="00CD5D42">
      <w:pPr>
        <w:pStyle w:val="ListParagraph"/>
        <w:numPr>
          <w:ilvl w:val="0"/>
          <w:numId w:val="22"/>
        </w:numPr>
        <w:ind w:hanging="720"/>
        <w:rPr>
          <w:szCs w:val="22"/>
          <w:lang w:val="en-US"/>
        </w:rPr>
      </w:pPr>
      <w:r w:rsidRPr="00BD2988">
        <w:rPr>
          <w:szCs w:val="22"/>
          <w:lang w:val="en-US"/>
        </w:rPr>
        <w:t>Galimas šalutinis poveikis</w:t>
      </w:r>
    </w:p>
    <w:p w14:paraId="38AC1327" w14:textId="77777777" w:rsidR="00CD5D42" w:rsidRPr="00BD2988" w:rsidRDefault="00CD5D42" w:rsidP="00CD5D42">
      <w:pPr>
        <w:pStyle w:val="ListParagraph"/>
        <w:numPr>
          <w:ilvl w:val="0"/>
          <w:numId w:val="22"/>
        </w:numPr>
        <w:ind w:hanging="720"/>
        <w:rPr>
          <w:szCs w:val="22"/>
          <w:lang w:val="de-DE"/>
        </w:rPr>
      </w:pPr>
      <w:r w:rsidRPr="00BD2988">
        <w:rPr>
          <w:szCs w:val="22"/>
          <w:lang w:val="de-DE"/>
        </w:rPr>
        <w:t xml:space="preserve">Kaip laikyti </w:t>
      </w:r>
      <w:r w:rsidRPr="00BD2988">
        <w:rPr>
          <w:szCs w:val="22"/>
        </w:rPr>
        <w:t xml:space="preserve">Cinacalcet Accord </w:t>
      </w:r>
    </w:p>
    <w:p w14:paraId="3C678BBF" w14:textId="77777777" w:rsidR="00CD5D42" w:rsidRPr="00BD2988" w:rsidRDefault="00CD5D42" w:rsidP="00CD5D42">
      <w:pPr>
        <w:pStyle w:val="ListParagraph"/>
        <w:numPr>
          <w:ilvl w:val="0"/>
          <w:numId w:val="22"/>
        </w:numPr>
        <w:ind w:hanging="720"/>
        <w:rPr>
          <w:szCs w:val="22"/>
          <w:lang w:val="de-DE"/>
        </w:rPr>
      </w:pPr>
      <w:r w:rsidRPr="00BD2988">
        <w:rPr>
          <w:szCs w:val="22"/>
          <w:lang w:val="de-DE"/>
        </w:rPr>
        <w:t>Pakuotės turinys ir kita informacija</w:t>
      </w:r>
    </w:p>
    <w:p w14:paraId="6B68EA49" w14:textId="77777777" w:rsidR="00CD5D42" w:rsidRPr="00BD2988" w:rsidRDefault="00CD5D42" w:rsidP="00CD5D42">
      <w:pPr>
        <w:rPr>
          <w:szCs w:val="22"/>
          <w:lang w:val="de-DE"/>
        </w:rPr>
      </w:pPr>
    </w:p>
    <w:p w14:paraId="32F0F2CC" w14:textId="77777777" w:rsidR="00CD5D42" w:rsidRPr="00BD2988" w:rsidRDefault="00CD5D42" w:rsidP="00CD5D42">
      <w:pPr>
        <w:rPr>
          <w:szCs w:val="22"/>
          <w:lang w:val="de-DE"/>
        </w:rPr>
      </w:pPr>
    </w:p>
    <w:p w14:paraId="609F54BF" w14:textId="77777777" w:rsidR="00CD5D42" w:rsidRPr="00241BD0" w:rsidRDefault="00CD5D42" w:rsidP="00CD5D42">
      <w:pPr>
        <w:ind w:left="567" w:hanging="567"/>
        <w:rPr>
          <w:rFonts w:eastAsiaTheme="minorHAnsi"/>
          <w:lang w:val="en-US"/>
        </w:rPr>
      </w:pPr>
      <w:r w:rsidRPr="00241BD0">
        <w:rPr>
          <w:b/>
          <w:lang w:val="en-US"/>
        </w:rPr>
        <w:t>1.</w:t>
      </w:r>
      <w:r w:rsidRPr="00241BD0">
        <w:rPr>
          <w:b/>
          <w:lang w:val="en-US"/>
        </w:rPr>
        <w:tab/>
      </w:r>
      <w:r w:rsidRPr="00BD2988">
        <w:rPr>
          <w:b/>
          <w:szCs w:val="22"/>
        </w:rPr>
        <w:t>Kas yra Cinacalcet Accord</w:t>
      </w:r>
      <w:r w:rsidRPr="00BD2988">
        <w:rPr>
          <w:szCs w:val="22"/>
        </w:rPr>
        <w:t xml:space="preserve"> </w:t>
      </w:r>
      <w:r w:rsidRPr="00BD2988">
        <w:rPr>
          <w:b/>
          <w:szCs w:val="22"/>
        </w:rPr>
        <w:t>ir kam jis vartojamas</w:t>
      </w:r>
    </w:p>
    <w:p w14:paraId="5B831F04" w14:textId="77777777" w:rsidR="00CD5D42" w:rsidRPr="00241BD0" w:rsidRDefault="00CD5D42" w:rsidP="00CD5D42">
      <w:pPr>
        <w:ind w:left="567" w:hanging="567"/>
        <w:rPr>
          <w:lang w:val="en-US"/>
        </w:rPr>
      </w:pPr>
    </w:p>
    <w:p w14:paraId="5049D16A" w14:textId="77777777" w:rsidR="00CD5D42" w:rsidRPr="00241BD0" w:rsidRDefault="00CD5D42" w:rsidP="00CD5D42">
      <w:pPr>
        <w:rPr>
          <w:rFonts w:eastAsiaTheme="minorHAnsi"/>
          <w:lang w:val="en-US"/>
        </w:rPr>
      </w:pPr>
      <w:r w:rsidRPr="00BD2988">
        <w:rPr>
          <w:szCs w:val="22"/>
        </w:rPr>
        <w:t xml:space="preserve">Cinacalcet Accord </w:t>
      </w:r>
      <w:r w:rsidRPr="00241BD0">
        <w:rPr>
          <w:lang w:val="en-US"/>
        </w:rPr>
        <w:t>padeda kontroliuoti paratiroidinio hormono (PTH), kalcio ir fosforo koncentraciją organizme. Šio vaistinio preparato vartojama prieskydinėmis liaukomis vadinamo organo sutrikimams gydyti. Prieskydinės liaukos – tai keturios mažos kakle, šalia skydliaukės esančios liaukos, gaminančios paratiroidinį hormoną (PTH).</w:t>
      </w:r>
    </w:p>
    <w:p w14:paraId="3AF3BE1A" w14:textId="77777777" w:rsidR="00CD5D42" w:rsidRPr="00241BD0" w:rsidRDefault="00CD5D42" w:rsidP="00CD5D42">
      <w:pPr>
        <w:rPr>
          <w:lang w:val="en-US"/>
        </w:rPr>
      </w:pPr>
    </w:p>
    <w:p w14:paraId="33D0C92F" w14:textId="77777777" w:rsidR="00CD5D42" w:rsidRPr="00BD2988" w:rsidRDefault="00CD5D42" w:rsidP="00CD5D42">
      <w:pPr>
        <w:rPr>
          <w:rFonts w:eastAsiaTheme="minorHAnsi"/>
          <w:snapToGrid/>
          <w:szCs w:val="22"/>
          <w:lang w:val="en-US"/>
        </w:rPr>
      </w:pPr>
      <w:r w:rsidRPr="00BD2988">
        <w:rPr>
          <w:szCs w:val="22"/>
        </w:rPr>
        <w:t xml:space="preserve">Cinacalcet Accord </w:t>
      </w:r>
      <w:r w:rsidRPr="00BD2988">
        <w:rPr>
          <w:szCs w:val="22"/>
          <w:lang w:val="en-US"/>
        </w:rPr>
        <w:t>vartojama</w:t>
      </w:r>
      <w:r w:rsidR="00467623" w:rsidRPr="00467623">
        <w:t xml:space="preserve"> </w:t>
      </w:r>
      <w:r w:rsidR="00467623">
        <w:t>suaugusiesiems</w:t>
      </w:r>
      <w:r w:rsidRPr="00BD2988">
        <w:rPr>
          <w:szCs w:val="22"/>
          <w:lang w:val="en-US"/>
        </w:rPr>
        <w:t>:</w:t>
      </w:r>
    </w:p>
    <w:p w14:paraId="6BC2CC77" w14:textId="442B7D1B" w:rsidR="00CD5D42" w:rsidRPr="00BD2988" w:rsidRDefault="00CD5D42" w:rsidP="008624A9">
      <w:pPr>
        <w:pStyle w:val="ListParagraph"/>
        <w:numPr>
          <w:ilvl w:val="0"/>
          <w:numId w:val="23"/>
        </w:numPr>
        <w:rPr>
          <w:szCs w:val="22"/>
          <w:lang w:val="en-US"/>
        </w:rPr>
      </w:pPr>
      <w:r w:rsidRPr="00BD2988">
        <w:rPr>
          <w:szCs w:val="22"/>
          <w:lang w:val="en-US"/>
        </w:rPr>
        <w:t xml:space="preserve">antrinei hiperparatirozei gydyti sunkia inkstų liga sergantiems </w:t>
      </w:r>
      <w:r w:rsidR="00467623" w:rsidRPr="00467623">
        <w:rPr>
          <w:szCs w:val="22"/>
          <w:lang w:val="en-US"/>
        </w:rPr>
        <w:t xml:space="preserve">suaugusiems </w:t>
      </w:r>
      <w:r w:rsidRPr="00BD2988">
        <w:rPr>
          <w:szCs w:val="22"/>
          <w:lang w:val="en-US"/>
        </w:rPr>
        <w:t>pacientams, kuriems reikalinga dializė, kad galima būtų išvalyti kraują nuo nereikalingų medžiagų.</w:t>
      </w:r>
    </w:p>
    <w:p w14:paraId="2B2ADA82" w14:textId="596CA8AE" w:rsidR="00CD5D42" w:rsidRPr="00BD2988" w:rsidRDefault="00CD5D42" w:rsidP="00A97925">
      <w:pPr>
        <w:pStyle w:val="ListParagraph"/>
        <w:numPr>
          <w:ilvl w:val="0"/>
          <w:numId w:val="23"/>
        </w:numPr>
        <w:rPr>
          <w:szCs w:val="22"/>
          <w:lang w:val="en-US"/>
        </w:rPr>
      </w:pPr>
      <w:r w:rsidRPr="00BD2988">
        <w:rPr>
          <w:szCs w:val="22"/>
          <w:lang w:val="en-US"/>
        </w:rPr>
        <w:t>padidėjusiai kalcio koncentracijai kraujyje (hiperkalcemijai) mažinti prieskydinių liaukų vėžiu sergantiems</w:t>
      </w:r>
      <w:r w:rsidR="00467623">
        <w:rPr>
          <w:szCs w:val="22"/>
          <w:lang w:val="en-US"/>
        </w:rPr>
        <w:t xml:space="preserve"> </w:t>
      </w:r>
      <w:r w:rsidR="00467623" w:rsidRPr="00467623">
        <w:rPr>
          <w:szCs w:val="22"/>
          <w:lang w:val="en-US"/>
        </w:rPr>
        <w:t xml:space="preserve">suaugusiems </w:t>
      </w:r>
      <w:r w:rsidRPr="00BD2988">
        <w:rPr>
          <w:szCs w:val="22"/>
          <w:lang w:val="en-US"/>
        </w:rPr>
        <w:t>pacientams.</w:t>
      </w:r>
    </w:p>
    <w:p w14:paraId="260D68A6" w14:textId="388FF4C0" w:rsidR="00CD5D42" w:rsidRPr="00BD2988" w:rsidRDefault="00CD5D42" w:rsidP="002C6927">
      <w:pPr>
        <w:pStyle w:val="ListParagraph"/>
        <w:numPr>
          <w:ilvl w:val="0"/>
          <w:numId w:val="23"/>
        </w:numPr>
        <w:rPr>
          <w:szCs w:val="22"/>
          <w:lang w:val="en-US"/>
        </w:rPr>
      </w:pPr>
      <w:r w:rsidRPr="00BD2988">
        <w:rPr>
          <w:szCs w:val="22"/>
          <w:lang w:val="en-US"/>
        </w:rPr>
        <w:t>padidėjusiai kalcio koncentracijai kraujyje (hiperkalcemijai) mažinti pirmine hiperparatiroze sergantiems</w:t>
      </w:r>
      <w:r w:rsidR="00467623">
        <w:rPr>
          <w:szCs w:val="22"/>
          <w:lang w:val="en-US"/>
        </w:rPr>
        <w:t xml:space="preserve"> </w:t>
      </w:r>
      <w:r w:rsidR="00467623" w:rsidRPr="00467623">
        <w:rPr>
          <w:szCs w:val="22"/>
          <w:lang w:val="en-US"/>
        </w:rPr>
        <w:t xml:space="preserve">suaugusiems </w:t>
      </w:r>
      <w:r w:rsidRPr="00BD2988">
        <w:rPr>
          <w:szCs w:val="22"/>
          <w:lang w:val="en-US"/>
        </w:rPr>
        <w:t>pacientams, kuriems neįmanoma pašalinti</w:t>
      </w:r>
      <w:r>
        <w:rPr>
          <w:szCs w:val="22"/>
          <w:lang w:val="en-US"/>
        </w:rPr>
        <w:t xml:space="preserve"> prieskydinės liaukos</w:t>
      </w:r>
      <w:r w:rsidRPr="00BD2988">
        <w:rPr>
          <w:szCs w:val="22"/>
          <w:lang w:val="en-US"/>
        </w:rPr>
        <w:t>.</w:t>
      </w:r>
    </w:p>
    <w:p w14:paraId="6B745D5A" w14:textId="77777777" w:rsidR="00CD5D42" w:rsidRPr="00BD2988" w:rsidRDefault="00CD5D42" w:rsidP="00CD5D42">
      <w:pPr>
        <w:rPr>
          <w:szCs w:val="22"/>
          <w:lang w:val="en-US"/>
        </w:rPr>
      </w:pPr>
    </w:p>
    <w:p w14:paraId="6A2E369C" w14:textId="27AC6903" w:rsidR="00467623" w:rsidRPr="00467623" w:rsidRDefault="00CE65D7" w:rsidP="00467623">
      <w:pPr>
        <w:rPr>
          <w:szCs w:val="22"/>
          <w:lang w:val="en-US"/>
        </w:rPr>
      </w:pPr>
      <w:r w:rsidRPr="00BD2988">
        <w:rPr>
          <w:szCs w:val="22"/>
        </w:rPr>
        <w:t>Cinacalcet Accord</w:t>
      </w:r>
      <w:r w:rsidRPr="00467623">
        <w:rPr>
          <w:szCs w:val="22"/>
          <w:lang w:val="en-US"/>
        </w:rPr>
        <w:t xml:space="preserve"> </w:t>
      </w:r>
      <w:r w:rsidR="00467623" w:rsidRPr="00467623">
        <w:rPr>
          <w:szCs w:val="22"/>
          <w:lang w:val="en-US"/>
        </w:rPr>
        <w:t xml:space="preserve">vartojama vaikams nuo 3 iki 18 metų: </w:t>
      </w:r>
    </w:p>
    <w:p w14:paraId="09F1F4B0" w14:textId="77777777" w:rsidR="00467623" w:rsidRPr="00467623" w:rsidRDefault="00467623" w:rsidP="00467623">
      <w:pPr>
        <w:rPr>
          <w:szCs w:val="22"/>
          <w:lang w:val="en-US"/>
        </w:rPr>
      </w:pPr>
    </w:p>
    <w:p w14:paraId="2244BAA3" w14:textId="77777777" w:rsidR="00467623" w:rsidRDefault="00467623" w:rsidP="00863E3F">
      <w:pPr>
        <w:pStyle w:val="ListParagraph"/>
        <w:numPr>
          <w:ilvl w:val="0"/>
          <w:numId w:val="25"/>
        </w:numPr>
        <w:rPr>
          <w:szCs w:val="22"/>
          <w:lang w:val="en-US"/>
        </w:rPr>
      </w:pPr>
      <w:r w:rsidRPr="00863E3F">
        <w:rPr>
          <w:szCs w:val="22"/>
          <w:lang w:val="en-US"/>
        </w:rPr>
        <w:t>antrinei hiperparatirozei gydyti sunkia inkstų liga sergantiems pacientams, kuriems reikalinga dializė, kad galima būtų išvalyti kraują nuo nereikalingų medžiagų ir kurių būklė nėra tinkamai kontroliuojama kitais gydymo būdais.</w:t>
      </w:r>
    </w:p>
    <w:p w14:paraId="41B8C99E" w14:textId="77777777" w:rsidR="00467623" w:rsidRPr="00863E3F" w:rsidRDefault="00467623" w:rsidP="009D370C">
      <w:pPr>
        <w:pStyle w:val="ListParagraph"/>
        <w:rPr>
          <w:szCs w:val="22"/>
          <w:lang w:val="en-US"/>
        </w:rPr>
      </w:pPr>
    </w:p>
    <w:p w14:paraId="691B9A66" w14:textId="77777777" w:rsidR="00CD5D42" w:rsidRPr="00BD2988" w:rsidRDefault="00CD5D42" w:rsidP="00CD5D42">
      <w:pPr>
        <w:rPr>
          <w:szCs w:val="22"/>
          <w:lang w:val="en-US"/>
        </w:rPr>
      </w:pPr>
      <w:r w:rsidRPr="00BD2988">
        <w:rPr>
          <w:szCs w:val="22"/>
          <w:lang w:val="en-US"/>
        </w:rPr>
        <w:t>Pirminės ir antrinės hiperparatirozės metu prieskydinės liaukos gamina per daug PTH. „Pirminė“ reiškia, kad hiperparatirozės nesukelia jokia kita liga, o „antrinė“ reiškia, kad hiperparatirozę lemia kita būklė, pvz., inkstų liga. Dėl abiejų, pirminės ir antrinės hiperparatirozės kauluose gali mažėti kalcio kiekis, todėl gali skaudėti kaulus, jie gali lūžti, gali atsirasti kraujo ir širdies kraujagyslių sutrikimų, akmenų inkstuose, pasireikšti psichinė liga, ištikti koma.</w:t>
      </w:r>
    </w:p>
    <w:p w14:paraId="62FF1963" w14:textId="77777777" w:rsidR="00CD5D42" w:rsidRPr="00BD2988" w:rsidRDefault="00CD5D42" w:rsidP="00CD5D42">
      <w:pPr>
        <w:rPr>
          <w:szCs w:val="22"/>
          <w:lang w:val="en-US"/>
        </w:rPr>
      </w:pPr>
    </w:p>
    <w:p w14:paraId="6F7DDF1A" w14:textId="77777777" w:rsidR="00CD5D42" w:rsidRPr="00BD2988" w:rsidRDefault="00CD5D42" w:rsidP="00CD5D42">
      <w:pPr>
        <w:rPr>
          <w:szCs w:val="22"/>
          <w:lang w:val="en-US"/>
        </w:rPr>
      </w:pPr>
    </w:p>
    <w:p w14:paraId="4AE4D71D" w14:textId="77777777" w:rsidR="00CD5D42" w:rsidRPr="00BD2988" w:rsidRDefault="00CD5D42" w:rsidP="00CD5D42">
      <w:pPr>
        <w:ind w:left="567" w:hanging="567"/>
        <w:rPr>
          <w:rFonts w:eastAsiaTheme="minorHAnsi"/>
          <w:snapToGrid/>
          <w:szCs w:val="22"/>
          <w:lang w:val="lt-LT"/>
        </w:rPr>
      </w:pPr>
      <w:r w:rsidRPr="00BD2988">
        <w:rPr>
          <w:b/>
          <w:szCs w:val="22"/>
        </w:rPr>
        <w:t>2.</w:t>
      </w:r>
      <w:r w:rsidRPr="00BD2988">
        <w:rPr>
          <w:b/>
          <w:szCs w:val="22"/>
        </w:rPr>
        <w:tab/>
        <w:t>Kas žinotina prieš vartojant Cinacalcet Accord</w:t>
      </w:r>
      <w:r w:rsidRPr="00BD2988">
        <w:rPr>
          <w:szCs w:val="22"/>
        </w:rPr>
        <w:t xml:space="preserve"> </w:t>
      </w:r>
    </w:p>
    <w:p w14:paraId="481D5850" w14:textId="77777777" w:rsidR="00CD5D42" w:rsidRPr="00BD2988" w:rsidRDefault="00CD5D42" w:rsidP="00CD5D42">
      <w:pPr>
        <w:ind w:left="567" w:hanging="567"/>
        <w:rPr>
          <w:szCs w:val="22"/>
        </w:rPr>
      </w:pPr>
    </w:p>
    <w:p w14:paraId="28D1DAAB" w14:textId="77777777" w:rsidR="00CD5D42" w:rsidRPr="00BD2988" w:rsidRDefault="00CD5D42" w:rsidP="00CD5D42">
      <w:pPr>
        <w:ind w:right="-2"/>
        <w:rPr>
          <w:rFonts w:eastAsiaTheme="minorHAnsi"/>
          <w:b/>
          <w:snapToGrid/>
          <w:szCs w:val="22"/>
          <w:lang w:val="lt-LT"/>
        </w:rPr>
      </w:pPr>
      <w:r w:rsidRPr="00BD2988">
        <w:rPr>
          <w:b/>
          <w:szCs w:val="22"/>
        </w:rPr>
        <w:lastRenderedPageBreak/>
        <w:t>Cinacalcet Accord</w:t>
      </w:r>
      <w:r w:rsidRPr="00BD2988">
        <w:rPr>
          <w:szCs w:val="22"/>
        </w:rPr>
        <w:t xml:space="preserve"> </w:t>
      </w:r>
      <w:r w:rsidRPr="00BD2988">
        <w:rPr>
          <w:b/>
          <w:szCs w:val="22"/>
        </w:rPr>
        <w:t>vartoti negalima:</w:t>
      </w:r>
    </w:p>
    <w:p w14:paraId="15BE914A" w14:textId="77777777" w:rsidR="00FE539D" w:rsidRPr="00A71D50" w:rsidRDefault="00CD5D42" w:rsidP="00CD5D42">
      <w:pPr>
        <w:ind w:right="-2"/>
        <w:rPr>
          <w:lang w:val="lt-LT"/>
        </w:rPr>
      </w:pPr>
      <w:r w:rsidRPr="00A71D50">
        <w:rPr>
          <w:lang w:val="lt-LT"/>
        </w:rPr>
        <w:t>- Jeigu yra alergija cinakalcetui arba bet kuriai pagalbinei šio vaisto medžiagai (jos išvardytos 6 skyriuje).</w:t>
      </w:r>
    </w:p>
    <w:p w14:paraId="4AD87C14" w14:textId="714A78B4" w:rsidR="00FE539D" w:rsidRPr="00A71D50" w:rsidRDefault="00FE539D" w:rsidP="00863E3F">
      <w:pPr>
        <w:pStyle w:val="Default"/>
        <w:rPr>
          <w:lang w:val="lt-LT"/>
        </w:rPr>
      </w:pPr>
      <w:r w:rsidRPr="00A71D50">
        <w:rPr>
          <w:sz w:val="22"/>
          <w:lang w:val="lt-LT"/>
        </w:rPr>
        <w:t>- jeigu kalcio kiekis Jūsų kraujyje yra mažas. Jūsų gydytojas stebės kalcio kiekį kraujyje.</w:t>
      </w:r>
    </w:p>
    <w:p w14:paraId="6E1CEDF2" w14:textId="77777777" w:rsidR="00FE539D" w:rsidRPr="00A71D50" w:rsidRDefault="00FE539D" w:rsidP="009D370C">
      <w:pPr>
        <w:ind w:right="-2"/>
        <w:rPr>
          <w:lang w:val="lt-LT"/>
        </w:rPr>
      </w:pPr>
    </w:p>
    <w:p w14:paraId="66E13F38" w14:textId="77777777" w:rsidR="00CD5D42" w:rsidRPr="00BD2988" w:rsidRDefault="00CD5D42" w:rsidP="00CD5D42">
      <w:pPr>
        <w:ind w:right="-2"/>
        <w:rPr>
          <w:rFonts w:eastAsiaTheme="minorHAnsi"/>
          <w:b/>
          <w:snapToGrid/>
          <w:szCs w:val="22"/>
          <w:lang w:val="lt-LT"/>
        </w:rPr>
      </w:pPr>
      <w:r w:rsidRPr="00A71D50">
        <w:rPr>
          <w:rFonts w:hint="eastAsia"/>
          <w:b/>
          <w:lang w:val="lt-LT"/>
        </w:rPr>
        <w:t>Į</w:t>
      </w:r>
      <w:r w:rsidRPr="00A71D50">
        <w:rPr>
          <w:b/>
          <w:lang w:val="lt-LT"/>
        </w:rPr>
        <w:t>sp</w:t>
      </w:r>
      <w:r w:rsidRPr="00A71D50">
        <w:rPr>
          <w:rFonts w:hint="eastAsia"/>
          <w:b/>
          <w:lang w:val="lt-LT"/>
        </w:rPr>
        <w:t>ė</w:t>
      </w:r>
      <w:r w:rsidRPr="00A71D50">
        <w:rPr>
          <w:b/>
          <w:lang w:val="lt-LT"/>
        </w:rPr>
        <w:t>jimai ir atsargumo priemon</w:t>
      </w:r>
      <w:r w:rsidRPr="00A71D50">
        <w:rPr>
          <w:rFonts w:hint="eastAsia"/>
          <w:b/>
          <w:lang w:val="lt-LT"/>
        </w:rPr>
        <w:t>ė</w:t>
      </w:r>
      <w:r w:rsidRPr="00A71D50">
        <w:rPr>
          <w:b/>
          <w:lang w:val="lt-LT"/>
        </w:rPr>
        <w:t>s</w:t>
      </w:r>
    </w:p>
    <w:p w14:paraId="6A432D2B" w14:textId="77777777" w:rsidR="00CD5D42" w:rsidRPr="00BD2988" w:rsidRDefault="00CD5D42" w:rsidP="00CD5D42">
      <w:pPr>
        <w:ind w:right="-2"/>
        <w:rPr>
          <w:rFonts w:eastAsiaTheme="minorHAnsi"/>
          <w:snapToGrid/>
          <w:szCs w:val="22"/>
          <w:lang w:val="lt-LT"/>
        </w:rPr>
      </w:pPr>
      <w:r w:rsidRPr="00A71D50">
        <w:rPr>
          <w:lang w:val="lt-LT"/>
        </w:rPr>
        <w:t>Pasitarkite su gydytoju, vaistininku arba slaugytoju prieš vartojant Cinacalcet Accord.</w:t>
      </w:r>
    </w:p>
    <w:p w14:paraId="2E28C50E" w14:textId="77777777" w:rsidR="00CD5D42" w:rsidRPr="00A71D50" w:rsidRDefault="00CD5D42" w:rsidP="00CD5D42">
      <w:pPr>
        <w:ind w:right="-2"/>
        <w:rPr>
          <w:lang w:val="lt-LT"/>
        </w:rPr>
      </w:pPr>
    </w:p>
    <w:p w14:paraId="6D1C7C48" w14:textId="77777777" w:rsidR="00CD5D42" w:rsidRPr="00BD2988" w:rsidRDefault="00CD5D42" w:rsidP="00CD5D42">
      <w:pPr>
        <w:ind w:right="-2"/>
        <w:rPr>
          <w:rFonts w:eastAsiaTheme="minorHAnsi"/>
          <w:snapToGrid/>
          <w:szCs w:val="22"/>
          <w:lang w:val="lt-LT"/>
        </w:rPr>
      </w:pPr>
      <w:r w:rsidRPr="00A71D50">
        <w:rPr>
          <w:lang w:val="lt-LT"/>
        </w:rPr>
        <w:t>Prieš pradėdami vartoti Cinacalcet Accord, pasakykite gydytojui, jeigu Jums yra ar kada nors buvo:</w:t>
      </w:r>
    </w:p>
    <w:p w14:paraId="78D8B9F5" w14:textId="77777777" w:rsidR="00CD5D42" w:rsidRPr="00BD2988" w:rsidRDefault="00CD5D42" w:rsidP="00CD5D42">
      <w:pPr>
        <w:pStyle w:val="ListParagraph"/>
        <w:numPr>
          <w:ilvl w:val="0"/>
          <w:numId w:val="23"/>
        </w:numPr>
        <w:ind w:right="-2" w:hanging="720"/>
        <w:rPr>
          <w:szCs w:val="22"/>
        </w:rPr>
      </w:pPr>
      <w:r w:rsidRPr="00BD2988">
        <w:rPr>
          <w:b/>
          <w:szCs w:val="22"/>
        </w:rPr>
        <w:t>traukulių</w:t>
      </w:r>
      <w:r w:rsidRPr="00BD2988">
        <w:rPr>
          <w:szCs w:val="22"/>
        </w:rPr>
        <w:t xml:space="preserve"> (priepuolių ar konvulsijų). Traukulių rizika yra didesnė pacientams, kuriems anksčiau jų yra buvę;</w:t>
      </w:r>
    </w:p>
    <w:p w14:paraId="2D62EA1C" w14:textId="77777777" w:rsidR="00CD5D42" w:rsidRPr="00BD2988" w:rsidRDefault="00CD5D42" w:rsidP="00CD5D42">
      <w:pPr>
        <w:pStyle w:val="ListParagraph"/>
        <w:numPr>
          <w:ilvl w:val="0"/>
          <w:numId w:val="23"/>
        </w:numPr>
        <w:ind w:right="-2" w:hanging="720"/>
        <w:rPr>
          <w:b/>
          <w:szCs w:val="22"/>
          <w:lang w:val="de-DE"/>
        </w:rPr>
      </w:pPr>
      <w:r w:rsidRPr="00BD2988">
        <w:rPr>
          <w:b/>
          <w:szCs w:val="22"/>
          <w:lang w:val="de-DE"/>
        </w:rPr>
        <w:t>kepen</w:t>
      </w:r>
      <w:r w:rsidRPr="00BD2988">
        <w:rPr>
          <w:rFonts w:hint="eastAsia"/>
          <w:b/>
          <w:szCs w:val="22"/>
          <w:lang w:val="de-DE"/>
        </w:rPr>
        <w:t>ų</w:t>
      </w:r>
      <w:r w:rsidRPr="00BD2988">
        <w:rPr>
          <w:b/>
          <w:szCs w:val="22"/>
          <w:lang w:val="de-DE"/>
        </w:rPr>
        <w:t xml:space="preserve"> sutrikim</w:t>
      </w:r>
      <w:r w:rsidRPr="00BD2988">
        <w:rPr>
          <w:rFonts w:hint="eastAsia"/>
          <w:b/>
          <w:szCs w:val="22"/>
          <w:lang w:val="de-DE"/>
        </w:rPr>
        <w:t>ų</w:t>
      </w:r>
      <w:r w:rsidRPr="00BD2988">
        <w:rPr>
          <w:b/>
          <w:szCs w:val="22"/>
          <w:lang w:val="de-DE"/>
        </w:rPr>
        <w:t>;</w:t>
      </w:r>
    </w:p>
    <w:p w14:paraId="46BC029F" w14:textId="77777777" w:rsidR="00CD5D42" w:rsidRPr="00BD2988" w:rsidRDefault="00CD5D42" w:rsidP="00CD5D42">
      <w:pPr>
        <w:pStyle w:val="ListParagraph"/>
        <w:numPr>
          <w:ilvl w:val="0"/>
          <w:numId w:val="23"/>
        </w:numPr>
        <w:ind w:right="-2" w:hanging="720"/>
        <w:rPr>
          <w:b/>
          <w:szCs w:val="22"/>
          <w:lang w:val="de-DE"/>
        </w:rPr>
      </w:pPr>
      <w:r w:rsidRPr="00BD2988">
        <w:rPr>
          <w:b/>
          <w:szCs w:val="22"/>
          <w:lang w:val="de-DE"/>
        </w:rPr>
        <w:t>širdies nepakankamumas.</w:t>
      </w:r>
    </w:p>
    <w:p w14:paraId="35BD6E6C" w14:textId="77777777" w:rsidR="00CD5D42" w:rsidRPr="00BD2988" w:rsidRDefault="00CD5D42" w:rsidP="00CD5D42">
      <w:pPr>
        <w:ind w:right="-2"/>
        <w:rPr>
          <w:szCs w:val="22"/>
          <w:lang w:val="de-DE"/>
        </w:rPr>
      </w:pPr>
    </w:p>
    <w:p w14:paraId="3F41E4D9" w14:textId="1C4572E8" w:rsidR="00CD5D42" w:rsidRPr="00A71D50" w:rsidRDefault="00CE65D7" w:rsidP="00CD5D42">
      <w:pPr>
        <w:ind w:right="-2"/>
        <w:rPr>
          <w:lang w:val="en-US"/>
        </w:rPr>
      </w:pPr>
      <w:r w:rsidRPr="00BD2988">
        <w:rPr>
          <w:szCs w:val="22"/>
        </w:rPr>
        <w:t>Cinacalcet Accord</w:t>
      </w:r>
      <w:r w:rsidRPr="00A71D50">
        <w:rPr>
          <w:lang w:val="en-US"/>
        </w:rPr>
        <w:t xml:space="preserve"> </w:t>
      </w:r>
      <w:r w:rsidR="00FE539D" w:rsidRPr="00A71D50">
        <w:rPr>
          <w:lang w:val="en-US"/>
        </w:rPr>
        <w:t xml:space="preserve">mažina kalcio koncentraciją kraujyje. </w:t>
      </w:r>
      <w:r w:rsidR="00CD5D42" w:rsidRPr="00A71D50">
        <w:rPr>
          <w:lang w:val="en-US"/>
        </w:rPr>
        <w:t>Buvo pranešta apie gyvybei grėsmingus reiškinius ir mirčių atvejus, susijusius su maža kalcio koncentracija kraujyje (hipokalcemija) cinakalcetas gydomiems pacientams.</w:t>
      </w:r>
    </w:p>
    <w:p w14:paraId="5DF53AD6" w14:textId="77777777" w:rsidR="00FE539D" w:rsidRPr="00A71D50" w:rsidRDefault="00FE539D" w:rsidP="00CD5D42">
      <w:pPr>
        <w:ind w:right="-2"/>
        <w:rPr>
          <w:rFonts w:eastAsiaTheme="minorHAnsi"/>
          <w:lang w:val="en-US"/>
        </w:rPr>
      </w:pPr>
    </w:p>
    <w:p w14:paraId="23DF1410" w14:textId="2F55E774" w:rsidR="00CD5D42" w:rsidRPr="00A71D50" w:rsidRDefault="00FE539D" w:rsidP="00CD5D42">
      <w:pPr>
        <w:ind w:right="-2"/>
        <w:rPr>
          <w:lang w:val="en-US"/>
        </w:rPr>
      </w:pPr>
      <w:r w:rsidRPr="00A71D50">
        <w:rPr>
          <w:lang w:val="en-US"/>
        </w:rPr>
        <w:t xml:space="preserve">Pasakykite gydytojui, jeigu pasireiškia bet kuris iš šių simptomų, kuris gali būti mažos kalcio koncentracijos požymis: raumenų spazmai, trūkčiojimai, mėšlungis arba rankų, kojų pirštų ar aplink burną tirpimas ar dilgčiojimas arba traukuliai, sumišimas arba sąmonės praradimas vartojant </w:t>
      </w:r>
      <w:r w:rsidR="00CE65D7" w:rsidRPr="00A71D50">
        <w:rPr>
          <w:lang w:val="en-US"/>
        </w:rPr>
        <w:t>Cinacalcet Accord</w:t>
      </w:r>
      <w:r w:rsidRPr="00A71D50">
        <w:rPr>
          <w:lang w:val="en-US"/>
        </w:rPr>
        <w:t>.</w:t>
      </w:r>
    </w:p>
    <w:p w14:paraId="40116801" w14:textId="77777777" w:rsidR="00FE539D" w:rsidRPr="00A71D50" w:rsidRDefault="00FE539D" w:rsidP="00CD5D42">
      <w:pPr>
        <w:ind w:right="-2"/>
        <w:rPr>
          <w:lang w:val="en-US"/>
        </w:rPr>
      </w:pPr>
    </w:p>
    <w:p w14:paraId="76CFBF0F" w14:textId="77777777" w:rsidR="00CD5D42" w:rsidRPr="00A71D50" w:rsidRDefault="00CD5D42" w:rsidP="00CD5D42">
      <w:pPr>
        <w:ind w:right="-2"/>
        <w:rPr>
          <w:rFonts w:eastAsiaTheme="minorHAnsi"/>
          <w:lang w:val="en-US"/>
        </w:rPr>
      </w:pPr>
      <w:r w:rsidRPr="00A71D50">
        <w:rPr>
          <w:lang w:val="en-US"/>
        </w:rPr>
        <w:t>Maža kalcio koncentracija gali turėti įtakos Jūsų širdies ritmui. Jei vartojant cinakalcetas jaučiate neįprastai greitą, mušantį širdies plakimą, turite širdies ritmo sutrikimų arba vartojate vaistus, galinčius sukelti širdies ritmo sutrikimus, pasakykite gydytojui.</w:t>
      </w:r>
    </w:p>
    <w:p w14:paraId="1AE19458" w14:textId="77777777" w:rsidR="00CD5D42" w:rsidRPr="00A71D50" w:rsidRDefault="00CD5D42" w:rsidP="00CD5D42">
      <w:pPr>
        <w:ind w:right="-2"/>
        <w:rPr>
          <w:lang w:val="en-US"/>
        </w:rPr>
      </w:pPr>
    </w:p>
    <w:p w14:paraId="5B04AB0A" w14:textId="77777777" w:rsidR="00CD5D42" w:rsidRPr="00241BD0" w:rsidRDefault="00CD5D42" w:rsidP="00CD5D42">
      <w:pPr>
        <w:ind w:right="-2"/>
        <w:rPr>
          <w:rFonts w:eastAsiaTheme="minorHAnsi"/>
          <w:lang w:val="en-US"/>
        </w:rPr>
      </w:pPr>
      <w:r w:rsidRPr="00241BD0">
        <w:rPr>
          <w:lang w:val="en-US"/>
        </w:rPr>
        <w:t>Daugiau informacijos rasite 4 skyriuje.</w:t>
      </w:r>
    </w:p>
    <w:p w14:paraId="5D228BE0" w14:textId="77777777" w:rsidR="00CD5D42" w:rsidRPr="00241BD0" w:rsidRDefault="00CD5D42" w:rsidP="00CD5D42">
      <w:pPr>
        <w:ind w:right="-2"/>
        <w:rPr>
          <w:lang w:val="en-US"/>
        </w:rPr>
      </w:pPr>
    </w:p>
    <w:p w14:paraId="115D0A23" w14:textId="77777777" w:rsidR="00CD5D42" w:rsidRPr="00241BD0" w:rsidRDefault="00CD5D42" w:rsidP="00CD5D42">
      <w:pPr>
        <w:ind w:right="-2"/>
        <w:rPr>
          <w:rFonts w:eastAsiaTheme="minorHAnsi"/>
          <w:lang w:val="en-US"/>
        </w:rPr>
      </w:pPr>
      <w:r w:rsidRPr="00241BD0">
        <w:rPr>
          <w:lang w:val="en-US"/>
        </w:rPr>
        <w:t xml:space="preserve">Gydymo </w:t>
      </w:r>
      <w:r w:rsidRPr="00BD2988">
        <w:rPr>
          <w:szCs w:val="22"/>
        </w:rPr>
        <w:t xml:space="preserve">Cinacalcet Accord </w:t>
      </w:r>
      <w:r w:rsidRPr="00241BD0">
        <w:rPr>
          <w:lang w:val="en-US"/>
        </w:rPr>
        <w:t>metu pasakykite gydytojui:</w:t>
      </w:r>
    </w:p>
    <w:p w14:paraId="395A9A8F" w14:textId="77777777" w:rsidR="00CD5D42" w:rsidRPr="00241BD0" w:rsidRDefault="00CD5D42" w:rsidP="00CD5D42">
      <w:pPr>
        <w:pStyle w:val="ListParagraph"/>
        <w:numPr>
          <w:ilvl w:val="0"/>
          <w:numId w:val="23"/>
        </w:numPr>
        <w:ind w:right="-2" w:hanging="720"/>
        <w:rPr>
          <w:lang w:val="en-US"/>
        </w:rPr>
      </w:pPr>
      <w:r w:rsidRPr="00241BD0">
        <w:rPr>
          <w:lang w:val="en-US"/>
        </w:rPr>
        <w:t xml:space="preserve">jei pradedate ar metate rūkyti, nes tai gali įtakoti </w:t>
      </w:r>
      <w:r w:rsidRPr="00BD2988">
        <w:rPr>
          <w:szCs w:val="22"/>
        </w:rPr>
        <w:t xml:space="preserve">Cinacalcet Accord </w:t>
      </w:r>
      <w:r w:rsidRPr="00241BD0">
        <w:rPr>
          <w:lang w:val="en-US"/>
        </w:rPr>
        <w:t>poveikį.</w:t>
      </w:r>
    </w:p>
    <w:p w14:paraId="63E8427A" w14:textId="77777777" w:rsidR="00CD5D42" w:rsidRPr="00241BD0" w:rsidRDefault="00CD5D42" w:rsidP="00CD5D42">
      <w:pPr>
        <w:ind w:right="-2"/>
        <w:rPr>
          <w:lang w:val="en-US"/>
        </w:rPr>
      </w:pPr>
    </w:p>
    <w:p w14:paraId="604B3D0D" w14:textId="77777777" w:rsidR="00CD5D42" w:rsidRPr="00241BD0" w:rsidRDefault="00CD5D42" w:rsidP="00CD5D42">
      <w:pPr>
        <w:ind w:right="-2"/>
        <w:rPr>
          <w:rFonts w:eastAsiaTheme="minorHAnsi"/>
          <w:b/>
          <w:lang w:val="en-US"/>
        </w:rPr>
      </w:pPr>
      <w:r w:rsidRPr="00241BD0">
        <w:rPr>
          <w:b/>
          <w:lang w:val="en-US"/>
        </w:rPr>
        <w:t>Vaikams ir paaugliams</w:t>
      </w:r>
    </w:p>
    <w:p w14:paraId="417209CB" w14:textId="0D9D1753" w:rsidR="00FE539D" w:rsidRPr="009D370C" w:rsidRDefault="00FE539D" w:rsidP="009D370C">
      <w:pPr>
        <w:tabs>
          <w:tab w:val="clear" w:pos="567"/>
        </w:tabs>
        <w:autoSpaceDE w:val="0"/>
        <w:autoSpaceDN w:val="0"/>
        <w:adjustRightInd w:val="0"/>
        <w:spacing w:line="240" w:lineRule="auto"/>
        <w:rPr>
          <w:rFonts w:eastAsiaTheme="minorHAnsi"/>
          <w:color w:val="000000"/>
          <w:lang w:val="en-US"/>
        </w:rPr>
      </w:pPr>
      <w:r w:rsidRPr="009D370C">
        <w:rPr>
          <w:rFonts w:eastAsiaTheme="minorHAnsi"/>
          <w:color w:val="000000"/>
          <w:lang w:val="en-US"/>
        </w:rPr>
        <w:t>Jaunesniems nei 18 metų vaikams</w:t>
      </w:r>
      <w:r w:rsidRPr="00FE539D">
        <w:rPr>
          <w:rFonts w:eastAsiaTheme="minorHAnsi"/>
          <w:snapToGrid/>
          <w:color w:val="000000"/>
          <w:szCs w:val="22"/>
          <w:lang w:val="en-US"/>
        </w:rPr>
        <w:t xml:space="preserve">, sergantiems prieskydinių liaukų vėžiu arba pirmine hiperparatiroze, </w:t>
      </w:r>
      <w:r w:rsidR="00CE65D7" w:rsidRPr="00BD2988">
        <w:rPr>
          <w:szCs w:val="22"/>
        </w:rPr>
        <w:t>Cinacalcet Accord</w:t>
      </w:r>
      <w:r w:rsidRPr="009D370C">
        <w:rPr>
          <w:rFonts w:eastAsiaTheme="minorHAnsi"/>
          <w:color w:val="000000"/>
          <w:lang w:val="en-US"/>
        </w:rPr>
        <w:t xml:space="preserve"> vartoti negalima.</w:t>
      </w:r>
      <w:r w:rsidRPr="00FE539D">
        <w:rPr>
          <w:rFonts w:eastAsiaTheme="minorHAnsi"/>
          <w:snapToGrid/>
          <w:color w:val="000000"/>
          <w:szCs w:val="22"/>
          <w:lang w:val="en-US"/>
        </w:rPr>
        <w:t xml:space="preserve"> </w:t>
      </w:r>
    </w:p>
    <w:p w14:paraId="4EEE8411" w14:textId="77777777" w:rsidR="00FE539D" w:rsidRPr="00FE539D" w:rsidRDefault="00FE539D" w:rsidP="00FE539D">
      <w:pPr>
        <w:tabs>
          <w:tab w:val="clear" w:pos="567"/>
        </w:tabs>
        <w:autoSpaceDE w:val="0"/>
        <w:autoSpaceDN w:val="0"/>
        <w:adjustRightInd w:val="0"/>
        <w:spacing w:line="240" w:lineRule="auto"/>
        <w:rPr>
          <w:rFonts w:eastAsiaTheme="minorHAnsi"/>
          <w:snapToGrid/>
          <w:color w:val="000000"/>
          <w:szCs w:val="22"/>
          <w:lang w:val="en-US"/>
        </w:rPr>
      </w:pPr>
    </w:p>
    <w:p w14:paraId="2F4D596B" w14:textId="00C803CE" w:rsidR="00FE539D" w:rsidRDefault="00FE539D" w:rsidP="00FE539D">
      <w:pPr>
        <w:tabs>
          <w:tab w:val="clear" w:pos="567"/>
        </w:tabs>
        <w:autoSpaceDE w:val="0"/>
        <w:autoSpaceDN w:val="0"/>
        <w:adjustRightInd w:val="0"/>
        <w:spacing w:line="240" w:lineRule="auto"/>
        <w:rPr>
          <w:rFonts w:eastAsiaTheme="minorHAnsi"/>
          <w:snapToGrid/>
          <w:color w:val="000000"/>
          <w:szCs w:val="22"/>
          <w:lang w:val="en-US"/>
        </w:rPr>
      </w:pPr>
      <w:r w:rsidRPr="00FE539D">
        <w:rPr>
          <w:rFonts w:eastAsiaTheme="minorHAnsi"/>
          <w:snapToGrid/>
          <w:color w:val="000000"/>
          <w:szCs w:val="22"/>
          <w:lang w:val="en-US"/>
        </w:rPr>
        <w:t xml:space="preserve">Jeigu gydoma antrinė hiperparatirozė, prieš pradedant gydymą </w:t>
      </w:r>
      <w:r w:rsidR="00CE65D7" w:rsidRPr="00BD2988">
        <w:rPr>
          <w:szCs w:val="22"/>
        </w:rPr>
        <w:t>Cinacalcet Accord</w:t>
      </w:r>
      <w:r w:rsidRPr="00FE539D">
        <w:rPr>
          <w:rFonts w:eastAsiaTheme="minorHAnsi"/>
          <w:snapToGrid/>
          <w:color w:val="000000"/>
          <w:szCs w:val="22"/>
          <w:lang w:val="en-US"/>
        </w:rPr>
        <w:t xml:space="preserve"> ir gydymo </w:t>
      </w:r>
      <w:r w:rsidR="00CE65D7" w:rsidRPr="00BD2988">
        <w:rPr>
          <w:szCs w:val="22"/>
        </w:rPr>
        <w:t>Cinacalcet Accord</w:t>
      </w:r>
      <w:r w:rsidRPr="00FE539D">
        <w:rPr>
          <w:rFonts w:eastAsiaTheme="minorHAnsi"/>
          <w:snapToGrid/>
          <w:color w:val="000000"/>
          <w:szCs w:val="22"/>
          <w:lang w:val="en-US"/>
        </w:rPr>
        <w:t xml:space="preserve"> metu gydytojas tirs ir stebės kalcio kiekį. Pasakykite gydytojui, jei pasireiškia bet kokie anksčiau aprašyti mažos kalcio koncentracijos simptomai. </w:t>
      </w:r>
    </w:p>
    <w:p w14:paraId="456C1E29" w14:textId="77777777" w:rsidR="00FE539D" w:rsidRPr="00FE539D" w:rsidRDefault="00FE539D" w:rsidP="00FE539D">
      <w:pPr>
        <w:tabs>
          <w:tab w:val="clear" w:pos="567"/>
        </w:tabs>
        <w:autoSpaceDE w:val="0"/>
        <w:autoSpaceDN w:val="0"/>
        <w:adjustRightInd w:val="0"/>
        <w:spacing w:line="240" w:lineRule="auto"/>
        <w:rPr>
          <w:rFonts w:eastAsiaTheme="minorHAnsi"/>
          <w:snapToGrid/>
          <w:color w:val="000000"/>
          <w:szCs w:val="22"/>
          <w:lang w:val="en-US"/>
        </w:rPr>
      </w:pPr>
    </w:p>
    <w:p w14:paraId="5FCDDEE3" w14:textId="14469C21" w:rsidR="00FE539D" w:rsidRPr="00241BD0" w:rsidRDefault="00FE539D" w:rsidP="00FE539D">
      <w:pPr>
        <w:ind w:right="-2"/>
        <w:rPr>
          <w:rFonts w:eastAsiaTheme="minorHAnsi"/>
          <w:lang w:val="en-US"/>
        </w:rPr>
      </w:pPr>
      <w:r w:rsidRPr="00FE539D">
        <w:rPr>
          <w:rFonts w:eastAsiaTheme="minorHAnsi"/>
          <w:snapToGrid/>
          <w:color w:val="000000"/>
          <w:szCs w:val="22"/>
          <w:lang w:val="en-US"/>
        </w:rPr>
        <w:t xml:space="preserve">Svarbu, kad vartotumėte tokią </w:t>
      </w:r>
      <w:r w:rsidR="00CE65D7" w:rsidRPr="00BD2988">
        <w:rPr>
          <w:szCs w:val="22"/>
        </w:rPr>
        <w:t>Cinacalcet Accord</w:t>
      </w:r>
      <w:r w:rsidRPr="00FE539D">
        <w:rPr>
          <w:rFonts w:eastAsiaTheme="minorHAnsi"/>
          <w:snapToGrid/>
          <w:color w:val="000000"/>
          <w:szCs w:val="22"/>
          <w:lang w:val="en-US"/>
        </w:rPr>
        <w:t xml:space="preserve"> dozę, kurią paskyrė gydytojas.</w:t>
      </w:r>
    </w:p>
    <w:p w14:paraId="77EC9C0E" w14:textId="77777777" w:rsidR="00CD5D42" w:rsidRPr="00241BD0" w:rsidRDefault="00CD5D42" w:rsidP="00CD5D42">
      <w:pPr>
        <w:ind w:right="-2"/>
        <w:rPr>
          <w:lang w:val="en-US"/>
        </w:rPr>
      </w:pPr>
    </w:p>
    <w:p w14:paraId="4B2BAD03" w14:textId="77777777" w:rsidR="00CD5D42" w:rsidRPr="00241BD0" w:rsidRDefault="00CD5D42" w:rsidP="00CD5D42">
      <w:pPr>
        <w:ind w:right="-2"/>
        <w:rPr>
          <w:rFonts w:eastAsiaTheme="minorHAnsi"/>
          <w:b/>
          <w:lang w:val="en-US"/>
        </w:rPr>
      </w:pPr>
      <w:r w:rsidRPr="00241BD0">
        <w:rPr>
          <w:b/>
          <w:lang w:val="en-US"/>
        </w:rPr>
        <w:t>Kiti vaistai ir Cinacalcet Accord</w:t>
      </w:r>
      <w:r w:rsidRPr="00241BD0">
        <w:rPr>
          <w:lang w:val="en-US"/>
        </w:rPr>
        <w:t xml:space="preserve"> </w:t>
      </w:r>
    </w:p>
    <w:p w14:paraId="65992387" w14:textId="77777777" w:rsidR="00CD5D42" w:rsidRPr="00241BD0" w:rsidRDefault="00CD5D42" w:rsidP="00CD5D42">
      <w:pPr>
        <w:ind w:right="-2"/>
        <w:rPr>
          <w:lang w:val="en-US"/>
        </w:rPr>
      </w:pPr>
      <w:r w:rsidRPr="00241BD0">
        <w:rPr>
          <w:lang w:val="en-US"/>
        </w:rPr>
        <w:t>Jeigu vartojate ar neseniai vartojote kitų vaistų</w:t>
      </w:r>
      <w:r w:rsidR="00FE539D" w:rsidRPr="009D370C">
        <w:t xml:space="preserve"> </w:t>
      </w:r>
      <w:r w:rsidR="00FE539D">
        <w:rPr>
          <w:szCs w:val="22"/>
        </w:rPr>
        <w:t xml:space="preserve">ypač etekalcetidą ar kitų vaistus, kurie mažina kalcio koncentraciją kraujyje, </w:t>
      </w:r>
      <w:r w:rsidR="00FE539D" w:rsidRPr="009D370C">
        <w:t>arba dėl to nesate tikri</w:t>
      </w:r>
      <w:r w:rsidRPr="00241BD0">
        <w:rPr>
          <w:lang w:val="en-US"/>
        </w:rPr>
        <w:t>, apie tai pasakykite gydytojui arba vaistininkui.</w:t>
      </w:r>
    </w:p>
    <w:p w14:paraId="3EF4F146" w14:textId="77777777" w:rsidR="00CD5D42" w:rsidRDefault="00CD5D42" w:rsidP="00CD5D42">
      <w:pPr>
        <w:ind w:right="-2"/>
        <w:rPr>
          <w:lang w:val="en-US"/>
        </w:rPr>
      </w:pPr>
    </w:p>
    <w:p w14:paraId="55D8CE3D" w14:textId="73E04A7E" w:rsidR="00FE539D" w:rsidRDefault="00CE65D7" w:rsidP="00CD5D42">
      <w:pPr>
        <w:ind w:right="-2"/>
        <w:rPr>
          <w:szCs w:val="22"/>
        </w:rPr>
      </w:pPr>
      <w:r w:rsidRPr="00BD2988">
        <w:rPr>
          <w:szCs w:val="22"/>
        </w:rPr>
        <w:t>Cinacalcet Accord</w:t>
      </w:r>
      <w:r w:rsidR="00FE539D">
        <w:rPr>
          <w:szCs w:val="22"/>
        </w:rPr>
        <w:t xml:space="preserve"> kartu su etelkalcetidu vartoti negalima.</w:t>
      </w:r>
    </w:p>
    <w:p w14:paraId="796CE2C2" w14:textId="77777777" w:rsidR="00FE539D" w:rsidRPr="00241BD0" w:rsidRDefault="00FE539D" w:rsidP="00CD5D42">
      <w:pPr>
        <w:ind w:right="-2"/>
        <w:rPr>
          <w:lang w:val="en-US"/>
        </w:rPr>
      </w:pPr>
    </w:p>
    <w:p w14:paraId="61441C31" w14:textId="77777777" w:rsidR="00CD5D42" w:rsidRPr="00BD2988" w:rsidRDefault="00CD5D42" w:rsidP="00CD5D42">
      <w:pPr>
        <w:ind w:right="-2"/>
        <w:rPr>
          <w:rFonts w:eastAsiaTheme="minorHAnsi"/>
          <w:snapToGrid/>
          <w:szCs w:val="22"/>
          <w:lang w:val="en-US"/>
        </w:rPr>
      </w:pPr>
      <w:r w:rsidRPr="00BD2988">
        <w:rPr>
          <w:szCs w:val="22"/>
          <w:lang w:val="en-US"/>
        </w:rPr>
        <w:t>Pasakykite gydytojui, jeigu vartojate toliau išvardytus vaistus.</w:t>
      </w:r>
    </w:p>
    <w:p w14:paraId="0CFA7D6A" w14:textId="77777777" w:rsidR="00CD5D42" w:rsidRPr="00BD2988" w:rsidRDefault="00CD5D42" w:rsidP="00CD5D42">
      <w:pPr>
        <w:ind w:right="-2"/>
        <w:rPr>
          <w:szCs w:val="22"/>
          <w:lang w:val="en-US"/>
        </w:rPr>
      </w:pPr>
    </w:p>
    <w:p w14:paraId="00A9F76C" w14:textId="77777777" w:rsidR="00CD5D42" w:rsidRPr="00BD2988" w:rsidRDefault="00CD5D42" w:rsidP="00CD5D42">
      <w:pPr>
        <w:ind w:right="-2"/>
        <w:rPr>
          <w:rFonts w:eastAsiaTheme="minorHAnsi"/>
          <w:snapToGrid/>
          <w:szCs w:val="22"/>
          <w:lang w:val="en-US"/>
        </w:rPr>
      </w:pPr>
      <w:r w:rsidRPr="00BD2988">
        <w:rPr>
          <w:szCs w:val="22"/>
        </w:rPr>
        <w:t xml:space="preserve">Cinacalcet Accord </w:t>
      </w:r>
      <w:r w:rsidRPr="00BD2988">
        <w:rPr>
          <w:szCs w:val="22"/>
          <w:lang w:val="en-US"/>
        </w:rPr>
        <w:t>poveikį gali įtakoti šie vaistai:</w:t>
      </w:r>
    </w:p>
    <w:p w14:paraId="13858849"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vaistai </w:t>
      </w:r>
      <w:r w:rsidRPr="00BD2988">
        <w:rPr>
          <w:b/>
          <w:szCs w:val="22"/>
          <w:lang w:val="en-US"/>
        </w:rPr>
        <w:t>odos</w:t>
      </w:r>
      <w:r w:rsidRPr="00BD2988">
        <w:rPr>
          <w:szCs w:val="22"/>
          <w:lang w:val="en-US"/>
        </w:rPr>
        <w:t xml:space="preserve"> ir </w:t>
      </w:r>
      <w:r w:rsidRPr="00BD2988">
        <w:rPr>
          <w:b/>
          <w:szCs w:val="22"/>
          <w:lang w:val="en-US"/>
        </w:rPr>
        <w:t>grybelin</w:t>
      </w:r>
      <w:r w:rsidRPr="00BD2988">
        <w:rPr>
          <w:rFonts w:hint="eastAsia"/>
          <w:b/>
          <w:szCs w:val="22"/>
          <w:lang w:val="en-US"/>
        </w:rPr>
        <w:t>ė</w:t>
      </w:r>
      <w:r w:rsidRPr="00BD2988">
        <w:rPr>
          <w:b/>
          <w:szCs w:val="22"/>
          <w:lang w:val="en-US"/>
        </w:rPr>
        <w:t>ms ligoms</w:t>
      </w:r>
      <w:r w:rsidRPr="00BD2988">
        <w:rPr>
          <w:szCs w:val="22"/>
          <w:lang w:val="en-US"/>
        </w:rPr>
        <w:t xml:space="preserve"> gydyti (ketokonazolas, itrakonazolas ir vorikonazolas);</w:t>
      </w:r>
    </w:p>
    <w:p w14:paraId="04CA05C8"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vaistai </w:t>
      </w:r>
      <w:r w:rsidRPr="00BD2988">
        <w:rPr>
          <w:b/>
          <w:szCs w:val="22"/>
          <w:lang w:val="en-US"/>
        </w:rPr>
        <w:t>bakterin</w:t>
      </w:r>
      <w:r w:rsidRPr="00BD2988">
        <w:rPr>
          <w:rFonts w:hint="eastAsia"/>
          <w:b/>
          <w:szCs w:val="22"/>
          <w:lang w:val="en-US"/>
        </w:rPr>
        <w:t>ė</w:t>
      </w:r>
      <w:r w:rsidRPr="00BD2988">
        <w:rPr>
          <w:b/>
          <w:szCs w:val="22"/>
          <w:lang w:val="en-US"/>
        </w:rPr>
        <w:t>ms ligoms</w:t>
      </w:r>
      <w:r w:rsidRPr="00BD2988">
        <w:rPr>
          <w:szCs w:val="22"/>
          <w:lang w:val="en-US"/>
        </w:rPr>
        <w:t xml:space="preserve"> gydyti (telitromicinas, rifampicinas ir ciprofloksacinas);</w:t>
      </w:r>
    </w:p>
    <w:p w14:paraId="554C7D8B"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vaistas </w:t>
      </w:r>
      <w:r w:rsidRPr="00BD2988">
        <w:rPr>
          <w:b/>
          <w:szCs w:val="22"/>
          <w:lang w:val="en-US"/>
        </w:rPr>
        <w:t xml:space="preserve">ŽIV </w:t>
      </w:r>
      <w:r w:rsidRPr="00BD2988">
        <w:rPr>
          <w:szCs w:val="22"/>
          <w:lang w:val="en-US"/>
        </w:rPr>
        <w:t>ligai ir AIDS gydyti (ritonaviras);</w:t>
      </w:r>
    </w:p>
    <w:p w14:paraId="7279224F"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vaistas </w:t>
      </w:r>
      <w:r w:rsidRPr="00BD2988">
        <w:rPr>
          <w:b/>
          <w:szCs w:val="22"/>
          <w:lang w:val="en-US"/>
        </w:rPr>
        <w:t>depresijai</w:t>
      </w:r>
      <w:r w:rsidRPr="00BD2988">
        <w:rPr>
          <w:szCs w:val="22"/>
          <w:lang w:val="en-US"/>
        </w:rPr>
        <w:t xml:space="preserve"> gydyti (fliuvoksaminas).</w:t>
      </w:r>
    </w:p>
    <w:p w14:paraId="2C262CEF" w14:textId="77777777" w:rsidR="00CD5D42" w:rsidRPr="00BD2988" w:rsidRDefault="00CD5D42" w:rsidP="00CD5D42">
      <w:pPr>
        <w:ind w:right="-2"/>
        <w:rPr>
          <w:szCs w:val="22"/>
          <w:lang w:val="en-US"/>
        </w:rPr>
      </w:pPr>
    </w:p>
    <w:p w14:paraId="4F968698" w14:textId="77777777" w:rsidR="00CD5D42" w:rsidRPr="00BD2988" w:rsidRDefault="00CD5D42" w:rsidP="00CD5D42">
      <w:pPr>
        <w:ind w:right="-2"/>
        <w:rPr>
          <w:rFonts w:eastAsiaTheme="minorHAnsi"/>
          <w:snapToGrid/>
          <w:szCs w:val="22"/>
          <w:lang w:val="en-US"/>
        </w:rPr>
      </w:pPr>
      <w:r w:rsidRPr="00BD2988">
        <w:rPr>
          <w:szCs w:val="22"/>
        </w:rPr>
        <w:lastRenderedPageBreak/>
        <w:t xml:space="preserve">Cinacalcet Accord </w:t>
      </w:r>
      <w:r w:rsidRPr="00BD2988">
        <w:rPr>
          <w:szCs w:val="22"/>
          <w:lang w:val="en-US"/>
        </w:rPr>
        <w:t>gali įtakoti šių vaistų poveikį:</w:t>
      </w:r>
    </w:p>
    <w:p w14:paraId="5CB650C8"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vaistų </w:t>
      </w:r>
      <w:r w:rsidRPr="00BD2988">
        <w:rPr>
          <w:b/>
          <w:szCs w:val="22"/>
          <w:lang w:val="en-US"/>
        </w:rPr>
        <w:t>depresijai</w:t>
      </w:r>
      <w:r w:rsidRPr="00BD2988">
        <w:rPr>
          <w:szCs w:val="22"/>
          <w:lang w:val="en-US"/>
        </w:rPr>
        <w:t xml:space="preserve"> gydyti (amitriptilino, dezipramino, nortriptilino ir klomipramino);</w:t>
      </w:r>
    </w:p>
    <w:p w14:paraId="5945E125" w14:textId="77777777" w:rsidR="00CD5D42" w:rsidRDefault="00CD5D42" w:rsidP="00CD5D42">
      <w:pPr>
        <w:pStyle w:val="ListParagraph"/>
        <w:numPr>
          <w:ilvl w:val="0"/>
          <w:numId w:val="23"/>
        </w:numPr>
        <w:ind w:right="-2" w:hanging="720"/>
        <w:rPr>
          <w:szCs w:val="22"/>
          <w:lang w:val="en-US"/>
        </w:rPr>
      </w:pPr>
      <w:r>
        <w:rPr>
          <w:szCs w:val="22"/>
          <w:lang w:val="en-US"/>
        </w:rPr>
        <w:t>vaistų kosuliui palengvinti (dekstrometorfano);</w:t>
      </w:r>
    </w:p>
    <w:p w14:paraId="68DB3622"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vaistų </w:t>
      </w:r>
      <w:r w:rsidRPr="00BD2988">
        <w:rPr>
          <w:b/>
          <w:szCs w:val="22"/>
          <w:lang w:val="en-US"/>
        </w:rPr>
        <w:t>sutrikusiam širdies ritmui</w:t>
      </w:r>
      <w:r w:rsidRPr="00BD2988">
        <w:rPr>
          <w:szCs w:val="22"/>
          <w:lang w:val="en-US"/>
        </w:rPr>
        <w:t xml:space="preserve"> gydyti (flekainido ir propafenono);</w:t>
      </w:r>
    </w:p>
    <w:p w14:paraId="3CB8B38F" w14:textId="77777777" w:rsidR="00CD5D42" w:rsidRPr="00BD2988" w:rsidRDefault="00CD5D42" w:rsidP="00CD5D42">
      <w:pPr>
        <w:pStyle w:val="ListParagraph"/>
        <w:numPr>
          <w:ilvl w:val="0"/>
          <w:numId w:val="23"/>
        </w:numPr>
        <w:ind w:right="-2" w:hanging="720"/>
        <w:rPr>
          <w:szCs w:val="22"/>
          <w:lang w:val="en-US"/>
        </w:rPr>
      </w:pPr>
      <w:r w:rsidRPr="00BD2988">
        <w:rPr>
          <w:szCs w:val="22"/>
          <w:lang w:val="en-US"/>
        </w:rPr>
        <w:t xml:space="preserve">vaisto </w:t>
      </w:r>
      <w:r w:rsidRPr="00BD2988">
        <w:rPr>
          <w:b/>
          <w:szCs w:val="22"/>
          <w:lang w:val="en-US"/>
        </w:rPr>
        <w:t>didelio kraujosp</w:t>
      </w:r>
      <w:r w:rsidRPr="00BD2988">
        <w:rPr>
          <w:rFonts w:hint="eastAsia"/>
          <w:b/>
          <w:szCs w:val="22"/>
          <w:lang w:val="en-US"/>
        </w:rPr>
        <w:t>ū</w:t>
      </w:r>
      <w:r w:rsidRPr="00BD2988">
        <w:rPr>
          <w:b/>
          <w:szCs w:val="22"/>
          <w:lang w:val="en-US"/>
        </w:rPr>
        <w:t>d</w:t>
      </w:r>
      <w:r w:rsidRPr="00BD2988">
        <w:rPr>
          <w:rFonts w:hint="eastAsia"/>
          <w:b/>
          <w:szCs w:val="22"/>
          <w:lang w:val="en-US"/>
        </w:rPr>
        <w:t>ž</w:t>
      </w:r>
      <w:r w:rsidRPr="00BD2988">
        <w:rPr>
          <w:b/>
          <w:szCs w:val="22"/>
          <w:lang w:val="en-US"/>
        </w:rPr>
        <w:t>io ligai</w:t>
      </w:r>
      <w:r w:rsidRPr="00BD2988">
        <w:rPr>
          <w:szCs w:val="22"/>
          <w:lang w:val="en-US"/>
        </w:rPr>
        <w:t xml:space="preserve"> gydyti (metoprololio).</w:t>
      </w:r>
    </w:p>
    <w:p w14:paraId="14CD3C6F" w14:textId="77777777" w:rsidR="00CD5D42" w:rsidRPr="00BD2988" w:rsidRDefault="00CD5D42" w:rsidP="00CD5D42">
      <w:pPr>
        <w:ind w:right="-2"/>
        <w:rPr>
          <w:szCs w:val="22"/>
        </w:rPr>
      </w:pPr>
    </w:p>
    <w:p w14:paraId="20942CBE" w14:textId="77777777" w:rsidR="00CD5D42" w:rsidRPr="00BD2988" w:rsidRDefault="00CD5D42" w:rsidP="00CD5D42">
      <w:pPr>
        <w:autoSpaceDE w:val="0"/>
        <w:autoSpaceDN w:val="0"/>
        <w:adjustRightInd w:val="0"/>
        <w:rPr>
          <w:rFonts w:eastAsia="TimesNewRoman,Bold"/>
          <w:b/>
          <w:snapToGrid/>
          <w:szCs w:val="22"/>
          <w:lang w:val="en-US"/>
        </w:rPr>
      </w:pPr>
      <w:r w:rsidRPr="00BD2988">
        <w:rPr>
          <w:b/>
          <w:szCs w:val="22"/>
        </w:rPr>
        <w:t>Cinacalcet Accord</w:t>
      </w:r>
      <w:r w:rsidRPr="00BD2988">
        <w:rPr>
          <w:szCs w:val="22"/>
        </w:rPr>
        <w:t xml:space="preserve"> </w:t>
      </w:r>
      <w:r w:rsidRPr="00BD2988">
        <w:rPr>
          <w:rFonts w:eastAsia="TimesNewRoman,Bold"/>
          <w:b/>
          <w:szCs w:val="22"/>
          <w:lang w:val="en-US"/>
        </w:rPr>
        <w:t>vartojimas su maistu ir gėrimais</w:t>
      </w:r>
    </w:p>
    <w:p w14:paraId="6F853443" w14:textId="77777777" w:rsidR="00CD5D42" w:rsidRPr="00BD2988" w:rsidRDefault="00CD5D42" w:rsidP="00CD5D42">
      <w:pPr>
        <w:autoSpaceDE w:val="0"/>
        <w:autoSpaceDN w:val="0"/>
        <w:adjustRightInd w:val="0"/>
        <w:rPr>
          <w:rFonts w:eastAsia="TimesNewRoman,Bold"/>
          <w:snapToGrid/>
          <w:szCs w:val="22"/>
          <w:lang w:val="en-US"/>
        </w:rPr>
      </w:pPr>
      <w:r w:rsidRPr="00BD2988">
        <w:rPr>
          <w:szCs w:val="22"/>
        </w:rPr>
        <w:t xml:space="preserve">Cinacalcet Accord </w:t>
      </w:r>
      <w:r w:rsidRPr="00BD2988">
        <w:rPr>
          <w:rFonts w:eastAsia="TimesNewRoman,Bold"/>
          <w:szCs w:val="22"/>
          <w:lang w:val="en-US"/>
        </w:rPr>
        <w:t>vartojamas valgant ar iš karto po valgio.</w:t>
      </w:r>
    </w:p>
    <w:p w14:paraId="6432D3DE" w14:textId="77777777" w:rsidR="00CD5D42" w:rsidRPr="00BD2988" w:rsidRDefault="00CD5D42" w:rsidP="00CD5D42">
      <w:pPr>
        <w:autoSpaceDE w:val="0"/>
        <w:autoSpaceDN w:val="0"/>
        <w:adjustRightInd w:val="0"/>
        <w:rPr>
          <w:rFonts w:eastAsia="TimesNewRoman,Bold"/>
          <w:szCs w:val="22"/>
          <w:lang w:val="en-US"/>
        </w:rPr>
      </w:pPr>
    </w:p>
    <w:p w14:paraId="0CF6CA49" w14:textId="77777777" w:rsidR="00CD5D42" w:rsidRPr="00BD2988" w:rsidRDefault="00CD5D42" w:rsidP="00CD5D42">
      <w:pPr>
        <w:autoSpaceDE w:val="0"/>
        <w:autoSpaceDN w:val="0"/>
        <w:adjustRightInd w:val="0"/>
        <w:rPr>
          <w:rFonts w:eastAsia="TimesNewRoman,Bold"/>
          <w:b/>
          <w:snapToGrid/>
          <w:szCs w:val="22"/>
          <w:lang w:val="en-US"/>
        </w:rPr>
      </w:pPr>
      <w:r w:rsidRPr="00BD2988">
        <w:rPr>
          <w:rFonts w:eastAsia="TimesNewRoman,Bold"/>
          <w:b/>
          <w:szCs w:val="22"/>
          <w:lang w:val="en-US"/>
        </w:rPr>
        <w:t>Nėštumas, žindymo laikotarpis ir vaisingumas</w:t>
      </w:r>
    </w:p>
    <w:p w14:paraId="72BB15CD" w14:textId="77777777" w:rsidR="00CD5D42" w:rsidRPr="00BD2988" w:rsidRDefault="00CD5D42" w:rsidP="00CD5D42">
      <w:pPr>
        <w:autoSpaceDE w:val="0"/>
        <w:autoSpaceDN w:val="0"/>
        <w:adjustRightInd w:val="0"/>
        <w:rPr>
          <w:rFonts w:eastAsia="TimesNewRoman,Bold"/>
          <w:snapToGrid/>
          <w:szCs w:val="22"/>
          <w:lang w:val="en-US"/>
        </w:rPr>
      </w:pPr>
      <w:r w:rsidRPr="00BD2988">
        <w:rPr>
          <w:rFonts w:eastAsia="TimesNewRoman,Bold"/>
          <w:szCs w:val="22"/>
          <w:lang w:val="en-US"/>
        </w:rPr>
        <w:t>Jeigu Jūs esate nėščia ar planuojate pastoti, prieš vartojant bet kokius vaistus, būtina pasitarti su gydytoju arba vaistininku.</w:t>
      </w:r>
    </w:p>
    <w:p w14:paraId="0E405E06" w14:textId="77777777" w:rsidR="00CD5D42" w:rsidRPr="00BD2988" w:rsidRDefault="00CD5D42" w:rsidP="00CD5D42">
      <w:pPr>
        <w:autoSpaceDE w:val="0"/>
        <w:autoSpaceDN w:val="0"/>
        <w:adjustRightInd w:val="0"/>
        <w:rPr>
          <w:rFonts w:eastAsia="TimesNewRoman,Bold"/>
          <w:szCs w:val="22"/>
          <w:lang w:val="en-US"/>
        </w:rPr>
      </w:pPr>
    </w:p>
    <w:p w14:paraId="5663CC18" w14:textId="70F4EC0A" w:rsidR="00CD5D42" w:rsidRPr="00BD2988" w:rsidRDefault="00D0352C" w:rsidP="00CD5D42">
      <w:pPr>
        <w:autoSpaceDE w:val="0"/>
        <w:autoSpaceDN w:val="0"/>
        <w:adjustRightInd w:val="0"/>
        <w:rPr>
          <w:rFonts w:eastAsia="TimesNewRoman,Bold"/>
          <w:snapToGrid/>
          <w:szCs w:val="22"/>
          <w:lang w:val="en-US"/>
        </w:rPr>
      </w:pPr>
      <w:r w:rsidRPr="00BD2988">
        <w:rPr>
          <w:szCs w:val="22"/>
          <w:lang w:val="en-US"/>
        </w:rPr>
        <w:t>Cinakalcet</w:t>
      </w:r>
      <w:r>
        <w:rPr>
          <w:szCs w:val="22"/>
          <w:lang w:val="en-US"/>
        </w:rPr>
        <w:t>o</w:t>
      </w:r>
      <w:r w:rsidRPr="00BD2988">
        <w:rPr>
          <w:rFonts w:eastAsia="TimesNewRoman,Bold"/>
          <w:szCs w:val="22"/>
          <w:lang w:val="en-US"/>
        </w:rPr>
        <w:t xml:space="preserve"> </w:t>
      </w:r>
      <w:r w:rsidR="00CD5D42" w:rsidRPr="00BD2988">
        <w:rPr>
          <w:rFonts w:eastAsia="TimesNewRoman,Bold"/>
          <w:szCs w:val="22"/>
          <w:lang w:val="en-US"/>
        </w:rPr>
        <w:t xml:space="preserve">poveikis nėščiosioms netirtas. Nėštumo atveju jūsų gydytojas gali nuspręsti pakeisti gydymą, nes </w:t>
      </w:r>
      <w:r w:rsidR="00CD5D42" w:rsidRPr="00BD2988">
        <w:rPr>
          <w:szCs w:val="22"/>
          <w:lang w:val="en-US"/>
        </w:rPr>
        <w:t>cinakalcetas</w:t>
      </w:r>
      <w:r w:rsidR="00CD5D42" w:rsidRPr="00BD2988">
        <w:rPr>
          <w:rFonts w:eastAsia="TimesNewRoman,Bold"/>
          <w:szCs w:val="22"/>
          <w:lang w:val="en-US"/>
        </w:rPr>
        <w:t xml:space="preserve"> gali pakenkti negimusiam kūdikiui. Nežinoma, ar </w:t>
      </w:r>
      <w:r w:rsidR="00CD5D42" w:rsidRPr="00BD2988">
        <w:rPr>
          <w:szCs w:val="22"/>
          <w:lang w:val="en-US"/>
        </w:rPr>
        <w:t>cinakalcetas</w:t>
      </w:r>
      <w:r w:rsidR="00CD5D42" w:rsidRPr="00BD2988">
        <w:rPr>
          <w:rFonts w:eastAsia="TimesNewRoman,Bold"/>
          <w:szCs w:val="22"/>
          <w:lang w:val="en-US"/>
        </w:rPr>
        <w:t xml:space="preserve"> išsiskiria į motinos pieną. Gydytojas aptars su Jumis, ar turite nutraukti kūdikio žindymą, ar </w:t>
      </w:r>
      <w:r w:rsidR="00CD5D42" w:rsidRPr="00BD2988">
        <w:rPr>
          <w:szCs w:val="22"/>
        </w:rPr>
        <w:t>Cinacalcet Accord</w:t>
      </w:r>
      <w:r w:rsidR="00CD5D42" w:rsidRPr="00BD2988">
        <w:rPr>
          <w:rFonts w:eastAsia="TimesNewRoman,Bold"/>
          <w:szCs w:val="22"/>
          <w:lang w:val="en-US"/>
        </w:rPr>
        <w:t xml:space="preserve"> vartojimą.</w:t>
      </w:r>
    </w:p>
    <w:p w14:paraId="4D998C3C" w14:textId="77777777" w:rsidR="00CD5D42" w:rsidRPr="00BD2988" w:rsidRDefault="00CD5D42" w:rsidP="00CD5D42">
      <w:pPr>
        <w:autoSpaceDE w:val="0"/>
        <w:autoSpaceDN w:val="0"/>
        <w:adjustRightInd w:val="0"/>
        <w:rPr>
          <w:rFonts w:eastAsia="TimesNewRoman,Bold"/>
          <w:szCs w:val="22"/>
          <w:lang w:val="en-US"/>
        </w:rPr>
      </w:pPr>
    </w:p>
    <w:p w14:paraId="6ECF3B8A" w14:textId="77777777" w:rsidR="00CD5D42" w:rsidRPr="00BD2988" w:rsidRDefault="00CD5D42" w:rsidP="00CD5D42">
      <w:pPr>
        <w:autoSpaceDE w:val="0"/>
        <w:autoSpaceDN w:val="0"/>
        <w:adjustRightInd w:val="0"/>
        <w:rPr>
          <w:rFonts w:eastAsia="TimesNewRoman,Bold"/>
          <w:b/>
          <w:snapToGrid/>
          <w:szCs w:val="22"/>
          <w:lang w:val="en-US"/>
        </w:rPr>
      </w:pPr>
      <w:r w:rsidRPr="00BD2988">
        <w:rPr>
          <w:rFonts w:eastAsia="TimesNewRoman,Bold"/>
          <w:b/>
          <w:szCs w:val="22"/>
          <w:lang w:val="en-US"/>
        </w:rPr>
        <w:t>Vairavimas ir mechanizmų valdymas</w:t>
      </w:r>
    </w:p>
    <w:p w14:paraId="283F03BC" w14:textId="686D65D7" w:rsidR="00D0352C" w:rsidRDefault="00CD5D42" w:rsidP="00CD5D42">
      <w:pPr>
        <w:autoSpaceDE w:val="0"/>
        <w:autoSpaceDN w:val="0"/>
        <w:adjustRightInd w:val="0"/>
        <w:rPr>
          <w:szCs w:val="22"/>
        </w:rPr>
      </w:pPr>
      <w:r w:rsidRPr="00BD2988">
        <w:rPr>
          <w:rFonts w:eastAsia="TimesNewRoman,Bold"/>
          <w:szCs w:val="22"/>
          <w:lang w:val="en-US"/>
        </w:rPr>
        <w:t xml:space="preserve">Gauta pranešimų, kad pacientams vartojantiems </w:t>
      </w:r>
      <w:r w:rsidR="00D0352C" w:rsidRPr="00BD2988">
        <w:rPr>
          <w:szCs w:val="22"/>
          <w:lang w:val="en-US"/>
        </w:rPr>
        <w:t>cinakalcet</w:t>
      </w:r>
      <w:r w:rsidR="00D0352C">
        <w:rPr>
          <w:szCs w:val="22"/>
          <w:lang w:val="en-US"/>
        </w:rPr>
        <w:t>o</w:t>
      </w:r>
      <w:r w:rsidR="00D0352C" w:rsidRPr="00BD2988">
        <w:rPr>
          <w:rFonts w:eastAsia="TimesNewRoman,Bold"/>
          <w:szCs w:val="22"/>
          <w:lang w:val="en-US"/>
        </w:rPr>
        <w:t xml:space="preserve"> </w:t>
      </w:r>
      <w:r w:rsidRPr="00BD2988">
        <w:rPr>
          <w:rFonts w:eastAsia="TimesNewRoman,Bold"/>
          <w:szCs w:val="22"/>
          <w:lang w:val="en-US"/>
        </w:rPr>
        <w:t xml:space="preserve">gali atsirasti svaigulys ar traukuliai. Jei Jūs patiriate šiuos reiškinius, </w:t>
      </w:r>
      <w:r w:rsidR="00FE539D" w:rsidRPr="009D370C">
        <w:t xml:space="preserve">vairuoti ir valdyti </w:t>
      </w:r>
      <w:r w:rsidR="00FE539D">
        <w:rPr>
          <w:szCs w:val="22"/>
        </w:rPr>
        <w:t>mechanizmų negalima.</w:t>
      </w:r>
    </w:p>
    <w:p w14:paraId="5B3515A8" w14:textId="77777777" w:rsidR="00D0352C" w:rsidRDefault="00D0352C" w:rsidP="00CD5D42">
      <w:pPr>
        <w:autoSpaceDE w:val="0"/>
        <w:autoSpaceDN w:val="0"/>
        <w:adjustRightInd w:val="0"/>
        <w:rPr>
          <w:szCs w:val="22"/>
        </w:rPr>
      </w:pPr>
    </w:p>
    <w:p w14:paraId="1F2C061C" w14:textId="627FC853" w:rsidR="00CD5D42" w:rsidRPr="00BD2988" w:rsidRDefault="00CD5D42" w:rsidP="00CD5D42">
      <w:pPr>
        <w:autoSpaceDE w:val="0"/>
        <w:autoSpaceDN w:val="0"/>
        <w:adjustRightInd w:val="0"/>
        <w:rPr>
          <w:rFonts w:eastAsia="TimesNewRoman,Bold"/>
          <w:b/>
          <w:szCs w:val="22"/>
          <w:lang w:val="en-US"/>
        </w:rPr>
      </w:pPr>
      <w:r w:rsidRPr="00BD2988">
        <w:rPr>
          <w:b/>
          <w:szCs w:val="22"/>
        </w:rPr>
        <w:t xml:space="preserve">Cinacalcet Accord </w:t>
      </w:r>
      <w:r w:rsidRPr="00BD2988">
        <w:rPr>
          <w:rFonts w:eastAsia="TimesNewRoman,Bold"/>
          <w:b/>
          <w:szCs w:val="22"/>
          <w:lang w:val="en-US"/>
        </w:rPr>
        <w:t>sudėtyje yra laktozės</w:t>
      </w:r>
    </w:p>
    <w:p w14:paraId="76F32614" w14:textId="77777777" w:rsidR="00CD5D42" w:rsidRPr="00BD2988" w:rsidRDefault="00CD5D42" w:rsidP="00CD5D42">
      <w:pPr>
        <w:autoSpaceDE w:val="0"/>
        <w:autoSpaceDN w:val="0"/>
        <w:adjustRightInd w:val="0"/>
        <w:rPr>
          <w:rFonts w:eastAsia="TimesNewRoman,Bold"/>
          <w:snapToGrid/>
          <w:szCs w:val="22"/>
          <w:lang w:val="en-US"/>
        </w:rPr>
      </w:pPr>
      <w:r w:rsidRPr="00BD2988">
        <w:rPr>
          <w:rFonts w:eastAsia="TimesNewRoman,Bold"/>
          <w:szCs w:val="22"/>
          <w:lang w:val="en-US"/>
        </w:rPr>
        <w:t>Jeigu gydytojas Jums yra sakęs, kad netoleruojate kokių nors angliavandenių, kreipkitės į jį prieš</w:t>
      </w:r>
    </w:p>
    <w:p w14:paraId="6908B929" w14:textId="77777777" w:rsidR="00CD5D42" w:rsidRPr="00BD2988" w:rsidRDefault="00CD5D42" w:rsidP="00CD5D42">
      <w:pPr>
        <w:ind w:right="-2"/>
        <w:rPr>
          <w:szCs w:val="22"/>
          <w:lang w:val="en-US"/>
        </w:rPr>
      </w:pPr>
      <w:r w:rsidRPr="00BD2988">
        <w:rPr>
          <w:rFonts w:eastAsia="TimesNewRoman,Bold"/>
          <w:szCs w:val="22"/>
          <w:lang w:val="en-US"/>
        </w:rPr>
        <w:t>pradėdami vartoti šį vaistą.</w:t>
      </w:r>
    </w:p>
    <w:p w14:paraId="0EB44951" w14:textId="77777777" w:rsidR="00CD5D42" w:rsidRPr="00BD2988" w:rsidRDefault="00CD5D42" w:rsidP="00CD5D42">
      <w:pPr>
        <w:ind w:right="-2"/>
        <w:rPr>
          <w:szCs w:val="22"/>
          <w:lang w:val="en-US"/>
        </w:rPr>
      </w:pPr>
    </w:p>
    <w:p w14:paraId="356D5FB9" w14:textId="77777777" w:rsidR="00CD5D42" w:rsidRPr="00BD2988" w:rsidRDefault="00CD5D42" w:rsidP="00CD5D42">
      <w:pPr>
        <w:ind w:right="-2"/>
        <w:rPr>
          <w:szCs w:val="22"/>
          <w:lang w:val="en-US"/>
        </w:rPr>
      </w:pPr>
    </w:p>
    <w:p w14:paraId="3FFE17FF" w14:textId="77777777" w:rsidR="00CD5D42" w:rsidRPr="00BD2988" w:rsidRDefault="00CD5D42" w:rsidP="00CD5D42">
      <w:pPr>
        <w:ind w:left="567" w:hanging="567"/>
        <w:rPr>
          <w:rFonts w:eastAsiaTheme="minorHAnsi"/>
          <w:snapToGrid/>
          <w:szCs w:val="22"/>
          <w:lang w:val="en-US"/>
        </w:rPr>
      </w:pPr>
      <w:r w:rsidRPr="00BD2988">
        <w:rPr>
          <w:b/>
          <w:szCs w:val="22"/>
          <w:lang w:val="en-US"/>
        </w:rPr>
        <w:t>3.</w:t>
      </w:r>
      <w:r w:rsidRPr="00BD2988">
        <w:rPr>
          <w:b/>
          <w:szCs w:val="22"/>
          <w:lang w:val="en-US"/>
        </w:rPr>
        <w:tab/>
      </w:r>
      <w:r w:rsidRPr="00BD2988">
        <w:rPr>
          <w:b/>
          <w:szCs w:val="22"/>
        </w:rPr>
        <w:t xml:space="preserve">Kaip vartoti Cinacalcet Accord </w:t>
      </w:r>
    </w:p>
    <w:p w14:paraId="11EB58AC" w14:textId="77777777" w:rsidR="00CD5D42" w:rsidRPr="00BD2988" w:rsidRDefault="00CD5D42" w:rsidP="00CD5D42">
      <w:pPr>
        <w:ind w:left="567" w:hanging="567"/>
        <w:rPr>
          <w:szCs w:val="22"/>
          <w:lang w:val="en-US"/>
        </w:rPr>
      </w:pPr>
    </w:p>
    <w:p w14:paraId="0CB57975"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Šį vaistinį preparatą visada vartokite tiksliai taip, kaip nurodė gydytojas ar vaistininkas. Jeigu abejojate, kreipkitės į gydytoją arba vaistininką. Gydytojas nurodys, kiek cinakalcetas vartoti. </w:t>
      </w:r>
    </w:p>
    <w:p w14:paraId="29012F1C" w14:textId="77777777" w:rsidR="00CD5D42" w:rsidRPr="00BD2988" w:rsidRDefault="00CD5D42" w:rsidP="00CD5D42">
      <w:pPr>
        <w:autoSpaceDE w:val="0"/>
        <w:autoSpaceDN w:val="0"/>
        <w:adjustRightInd w:val="0"/>
        <w:rPr>
          <w:szCs w:val="22"/>
          <w:lang w:val="en-US"/>
        </w:rPr>
      </w:pPr>
    </w:p>
    <w:p w14:paraId="2D790217" w14:textId="47E8E08A" w:rsidR="00CD5D42" w:rsidRPr="00BD2988" w:rsidRDefault="00CD5D42" w:rsidP="00CD5D42">
      <w:pPr>
        <w:autoSpaceDE w:val="0"/>
        <w:autoSpaceDN w:val="0"/>
        <w:adjustRightInd w:val="0"/>
        <w:rPr>
          <w:rFonts w:eastAsiaTheme="minorHAnsi"/>
          <w:snapToGrid/>
          <w:szCs w:val="22"/>
          <w:lang w:val="lt-LT"/>
        </w:rPr>
      </w:pPr>
      <w:r w:rsidRPr="00BD2988">
        <w:rPr>
          <w:szCs w:val="22"/>
        </w:rPr>
        <w:t xml:space="preserve">Cinacalcet Accord yra geriamasis vaistas, vartojamas valgant ar iš karto pavalgius. Nuryti visą tabletę, jos negalima </w:t>
      </w:r>
      <w:r w:rsidR="00FE539D">
        <w:t xml:space="preserve">čiulpti, traiškyti arba </w:t>
      </w:r>
      <w:r w:rsidRPr="00BD2988">
        <w:rPr>
          <w:szCs w:val="22"/>
        </w:rPr>
        <w:t>dalyti.</w:t>
      </w:r>
    </w:p>
    <w:p w14:paraId="1651F9AF" w14:textId="77777777" w:rsidR="00CD5D42" w:rsidRPr="00BD2988" w:rsidRDefault="00CD5D42" w:rsidP="00CD5D42">
      <w:pPr>
        <w:autoSpaceDE w:val="0"/>
        <w:autoSpaceDN w:val="0"/>
        <w:adjustRightInd w:val="0"/>
        <w:rPr>
          <w:szCs w:val="22"/>
        </w:rPr>
      </w:pPr>
    </w:p>
    <w:p w14:paraId="61E4736E" w14:textId="77777777" w:rsidR="00CD5D42" w:rsidRPr="00BD2988" w:rsidRDefault="00CD5D42" w:rsidP="00CD5D42">
      <w:pPr>
        <w:autoSpaceDE w:val="0"/>
        <w:autoSpaceDN w:val="0"/>
        <w:adjustRightInd w:val="0"/>
        <w:rPr>
          <w:rFonts w:eastAsiaTheme="minorHAnsi"/>
          <w:snapToGrid/>
          <w:szCs w:val="22"/>
          <w:lang w:val="lt-LT"/>
        </w:rPr>
      </w:pPr>
      <w:r w:rsidRPr="00BD2988">
        <w:rPr>
          <w:szCs w:val="22"/>
        </w:rPr>
        <w:t>Gydymo metu gydytojas reguliariai tirs Jūsų kraują, kad galėtų nustatyti, ar gerėja Jūsų būklė, ir prireikus koreguos dozę.</w:t>
      </w:r>
    </w:p>
    <w:p w14:paraId="142D4065" w14:textId="77777777" w:rsidR="00CD5D42" w:rsidRPr="00BD2988" w:rsidRDefault="00CD5D42" w:rsidP="00CD5D42">
      <w:pPr>
        <w:autoSpaceDE w:val="0"/>
        <w:autoSpaceDN w:val="0"/>
        <w:adjustRightInd w:val="0"/>
        <w:rPr>
          <w:szCs w:val="22"/>
        </w:rPr>
      </w:pPr>
    </w:p>
    <w:p w14:paraId="270C18B7" w14:textId="77777777" w:rsidR="00CD5D42" w:rsidRPr="00BD2988" w:rsidRDefault="00CD5D42" w:rsidP="00CD5D42">
      <w:pPr>
        <w:autoSpaceDE w:val="0"/>
        <w:autoSpaceDN w:val="0"/>
        <w:adjustRightInd w:val="0"/>
        <w:rPr>
          <w:rFonts w:eastAsiaTheme="minorHAnsi"/>
          <w:snapToGrid/>
          <w:szCs w:val="22"/>
          <w:u w:val="single"/>
          <w:lang w:val="en-US"/>
        </w:rPr>
      </w:pPr>
      <w:r w:rsidRPr="00BD2988">
        <w:rPr>
          <w:szCs w:val="22"/>
          <w:u w:val="single"/>
          <w:lang w:val="en-US"/>
        </w:rPr>
        <w:t>Jei Jūs gydomas nuo antrinės hiperparatirozės</w:t>
      </w:r>
    </w:p>
    <w:p w14:paraId="161CFCE6" w14:textId="4BFAFC80"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Įprastinė pradinė </w:t>
      </w:r>
      <w:r w:rsidRPr="00BD2988">
        <w:rPr>
          <w:szCs w:val="22"/>
        </w:rPr>
        <w:t xml:space="preserve">Cinacalcet Accord </w:t>
      </w:r>
      <w:r w:rsidRPr="00BD2988">
        <w:rPr>
          <w:szCs w:val="22"/>
          <w:lang w:val="en-US"/>
        </w:rPr>
        <w:t>dozė</w:t>
      </w:r>
      <w:r w:rsidR="00FE539D" w:rsidRPr="009D370C">
        <w:t xml:space="preserve"> </w:t>
      </w:r>
      <w:r w:rsidR="00FE539D">
        <w:t xml:space="preserve">suaugusiesiems </w:t>
      </w:r>
      <w:r w:rsidRPr="00BD2988">
        <w:rPr>
          <w:szCs w:val="22"/>
          <w:lang w:val="en-US"/>
        </w:rPr>
        <w:t>yra 30 mg (viena tabletė) vieną kartą per parą.</w:t>
      </w:r>
    </w:p>
    <w:p w14:paraId="711EC3EA" w14:textId="77777777" w:rsidR="00CD5D42" w:rsidRDefault="00CD5D42" w:rsidP="00CD5D42">
      <w:pPr>
        <w:autoSpaceDE w:val="0"/>
        <w:autoSpaceDN w:val="0"/>
        <w:adjustRightInd w:val="0"/>
        <w:rPr>
          <w:szCs w:val="22"/>
          <w:lang w:val="en-US"/>
        </w:rPr>
      </w:pPr>
    </w:p>
    <w:p w14:paraId="444EE956" w14:textId="7E96CB6D" w:rsidR="00FE539D" w:rsidRDefault="00FE539D" w:rsidP="00CD5D42">
      <w:pPr>
        <w:autoSpaceDE w:val="0"/>
        <w:autoSpaceDN w:val="0"/>
        <w:adjustRightInd w:val="0"/>
        <w:rPr>
          <w:szCs w:val="22"/>
        </w:rPr>
      </w:pPr>
      <w:r>
        <w:rPr>
          <w:szCs w:val="22"/>
        </w:rPr>
        <w:t xml:space="preserve">Įprastinė pradinė </w:t>
      </w:r>
      <w:r w:rsidR="00CE65D7" w:rsidRPr="00BD2988">
        <w:rPr>
          <w:szCs w:val="22"/>
        </w:rPr>
        <w:t>Cinacalcet Accord</w:t>
      </w:r>
      <w:r>
        <w:rPr>
          <w:szCs w:val="22"/>
        </w:rPr>
        <w:t xml:space="preserve"> dozė vaikams nuo 3 iki 18 metų yra ne didesnė nei 0,20 mg/kg kūno svorio kiekvieną dieną.</w:t>
      </w:r>
    </w:p>
    <w:p w14:paraId="225A4F80" w14:textId="77777777" w:rsidR="00FE539D" w:rsidRPr="00BD2988" w:rsidRDefault="00FE539D" w:rsidP="00CD5D42">
      <w:pPr>
        <w:autoSpaceDE w:val="0"/>
        <w:autoSpaceDN w:val="0"/>
        <w:adjustRightInd w:val="0"/>
        <w:rPr>
          <w:szCs w:val="22"/>
          <w:lang w:val="en-US"/>
        </w:rPr>
      </w:pPr>
    </w:p>
    <w:p w14:paraId="7DA8B15F" w14:textId="77777777" w:rsidR="00CD5D42" w:rsidRPr="00BD2988" w:rsidRDefault="00CD5D42" w:rsidP="00CD5D42">
      <w:pPr>
        <w:autoSpaceDE w:val="0"/>
        <w:autoSpaceDN w:val="0"/>
        <w:adjustRightInd w:val="0"/>
        <w:rPr>
          <w:rFonts w:eastAsiaTheme="minorHAnsi"/>
          <w:snapToGrid/>
          <w:szCs w:val="22"/>
          <w:u w:val="single"/>
          <w:lang w:val="en-US"/>
        </w:rPr>
      </w:pPr>
      <w:r w:rsidRPr="00BD2988">
        <w:rPr>
          <w:szCs w:val="22"/>
          <w:u w:val="single"/>
          <w:lang w:val="en-US"/>
        </w:rPr>
        <w:t>Jei Jūs gydomas nuo prieskydinių liaukų vėžio ar pirminės hiperparatirozės</w:t>
      </w:r>
    </w:p>
    <w:p w14:paraId="4BA97B7A"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Įprastinė pradinė </w:t>
      </w:r>
      <w:r w:rsidRPr="00BD2988">
        <w:rPr>
          <w:szCs w:val="22"/>
        </w:rPr>
        <w:t xml:space="preserve">Cinacalcet Accord </w:t>
      </w:r>
      <w:r w:rsidRPr="00BD2988">
        <w:rPr>
          <w:szCs w:val="22"/>
          <w:lang w:val="en-US"/>
        </w:rPr>
        <w:t>dozė yra 30 mg (viena tabletė) du kartus per parą.</w:t>
      </w:r>
    </w:p>
    <w:p w14:paraId="3FF2DBCD" w14:textId="77777777" w:rsidR="00CD5D42" w:rsidRPr="00BD2988" w:rsidRDefault="00CD5D42" w:rsidP="00CD5D42">
      <w:pPr>
        <w:autoSpaceDE w:val="0"/>
        <w:autoSpaceDN w:val="0"/>
        <w:adjustRightInd w:val="0"/>
        <w:rPr>
          <w:szCs w:val="22"/>
          <w:lang w:val="en-US"/>
        </w:rPr>
      </w:pPr>
    </w:p>
    <w:p w14:paraId="62E71133" w14:textId="77777777" w:rsidR="00CD5D42" w:rsidRPr="00BD2988" w:rsidRDefault="00CD5D42" w:rsidP="00CD5D42">
      <w:pPr>
        <w:autoSpaceDE w:val="0"/>
        <w:autoSpaceDN w:val="0"/>
        <w:adjustRightInd w:val="0"/>
        <w:rPr>
          <w:rFonts w:eastAsia="TimesNewRoman,Bold"/>
          <w:b/>
          <w:snapToGrid/>
          <w:szCs w:val="22"/>
          <w:lang w:val="en-US"/>
        </w:rPr>
      </w:pPr>
      <w:r w:rsidRPr="00BD2988">
        <w:rPr>
          <w:rFonts w:eastAsia="TimesNewRoman,Bold"/>
          <w:b/>
          <w:szCs w:val="22"/>
          <w:lang w:val="en-US"/>
        </w:rPr>
        <w:t xml:space="preserve">Pavartojus per didelę </w:t>
      </w:r>
      <w:r w:rsidRPr="00BD2988">
        <w:rPr>
          <w:b/>
          <w:szCs w:val="22"/>
        </w:rPr>
        <w:t>Cinacalcet Accord</w:t>
      </w:r>
      <w:r w:rsidRPr="00BD2988">
        <w:rPr>
          <w:szCs w:val="22"/>
        </w:rPr>
        <w:t xml:space="preserve"> </w:t>
      </w:r>
      <w:r w:rsidRPr="00BD2988">
        <w:rPr>
          <w:rFonts w:eastAsia="TimesNewRoman,Bold"/>
          <w:b/>
          <w:szCs w:val="22"/>
          <w:lang w:val="en-US"/>
        </w:rPr>
        <w:t>dozę</w:t>
      </w:r>
    </w:p>
    <w:p w14:paraId="558BC78A"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 xml:space="preserve">Jei išgėrėte per daug </w:t>
      </w:r>
      <w:r w:rsidRPr="00BD2988">
        <w:rPr>
          <w:szCs w:val="22"/>
        </w:rPr>
        <w:t xml:space="preserve">Cinacalcet Accord </w:t>
      </w:r>
      <w:r w:rsidRPr="00BD2988">
        <w:rPr>
          <w:szCs w:val="22"/>
          <w:lang w:val="en-US"/>
        </w:rPr>
        <w:t>negu reikėjo, nedelsdami kreipkitės į gydytoją. Galimi perdozavimo požymiai: tirpimas arba dilgčiojimas apie burną, raumenų skausmas, mėšlungis arba traukuliai.</w:t>
      </w:r>
    </w:p>
    <w:p w14:paraId="6E72D631" w14:textId="77777777" w:rsidR="00CD5D42" w:rsidRPr="00BD2988" w:rsidRDefault="00CD5D42" w:rsidP="00CD5D42">
      <w:pPr>
        <w:autoSpaceDE w:val="0"/>
        <w:autoSpaceDN w:val="0"/>
        <w:adjustRightInd w:val="0"/>
        <w:rPr>
          <w:szCs w:val="22"/>
          <w:lang w:val="en-US"/>
        </w:rPr>
      </w:pPr>
    </w:p>
    <w:p w14:paraId="46900691" w14:textId="77777777" w:rsidR="00CD5D42" w:rsidRPr="00BD2988" w:rsidRDefault="00CD5D42" w:rsidP="00CD5D42">
      <w:pPr>
        <w:autoSpaceDE w:val="0"/>
        <w:autoSpaceDN w:val="0"/>
        <w:adjustRightInd w:val="0"/>
        <w:rPr>
          <w:rFonts w:eastAsiaTheme="minorHAnsi"/>
          <w:b/>
          <w:snapToGrid/>
          <w:szCs w:val="22"/>
          <w:lang w:val="en-US"/>
        </w:rPr>
      </w:pPr>
      <w:r w:rsidRPr="00BD2988">
        <w:rPr>
          <w:b/>
          <w:szCs w:val="22"/>
          <w:lang w:val="en-US"/>
        </w:rPr>
        <w:t xml:space="preserve">Pamiršus pavartoti </w:t>
      </w:r>
      <w:r w:rsidRPr="00BD2988">
        <w:rPr>
          <w:b/>
          <w:szCs w:val="22"/>
        </w:rPr>
        <w:t>Cinacalcet Accord</w:t>
      </w:r>
      <w:r w:rsidRPr="00BD2988">
        <w:rPr>
          <w:szCs w:val="22"/>
        </w:rPr>
        <w:t xml:space="preserve"> </w:t>
      </w:r>
    </w:p>
    <w:p w14:paraId="1E58D0C1" w14:textId="77777777" w:rsidR="00CD5D42" w:rsidRPr="00BD2988" w:rsidRDefault="00CD5D42" w:rsidP="00CD5D42">
      <w:pPr>
        <w:autoSpaceDE w:val="0"/>
        <w:autoSpaceDN w:val="0"/>
        <w:adjustRightInd w:val="0"/>
        <w:rPr>
          <w:rFonts w:eastAsiaTheme="minorHAnsi"/>
          <w:snapToGrid/>
          <w:szCs w:val="22"/>
          <w:lang w:val="en-US"/>
        </w:rPr>
      </w:pPr>
      <w:r w:rsidRPr="00BD2988">
        <w:rPr>
          <w:szCs w:val="22"/>
          <w:lang w:val="en-US"/>
        </w:rPr>
        <w:t>Negalima vartoti dvigubos dozės norint kompensuoti praleistą dozę.</w:t>
      </w:r>
    </w:p>
    <w:p w14:paraId="504D3B0D" w14:textId="77777777" w:rsidR="00CD5D42" w:rsidRPr="00BD2988" w:rsidRDefault="00CD5D42" w:rsidP="00CD5D42">
      <w:pPr>
        <w:autoSpaceDE w:val="0"/>
        <w:autoSpaceDN w:val="0"/>
        <w:adjustRightInd w:val="0"/>
        <w:rPr>
          <w:szCs w:val="22"/>
          <w:lang w:val="en-US"/>
        </w:rPr>
      </w:pPr>
    </w:p>
    <w:p w14:paraId="3DDF51BE" w14:textId="77777777" w:rsidR="00CD5D42" w:rsidRPr="00241BD0" w:rsidRDefault="00CD5D42" w:rsidP="00CD5D42">
      <w:pPr>
        <w:autoSpaceDE w:val="0"/>
        <w:autoSpaceDN w:val="0"/>
        <w:adjustRightInd w:val="0"/>
        <w:rPr>
          <w:rFonts w:eastAsiaTheme="minorHAnsi"/>
          <w:lang w:val="en-US"/>
        </w:rPr>
      </w:pPr>
      <w:r w:rsidRPr="00241BD0">
        <w:rPr>
          <w:lang w:val="en-US"/>
        </w:rPr>
        <w:t xml:space="preserve">Jei pamiršote išgerti </w:t>
      </w:r>
      <w:r w:rsidRPr="00BD2988">
        <w:rPr>
          <w:szCs w:val="22"/>
        </w:rPr>
        <w:t xml:space="preserve">Cinacalcet Accord </w:t>
      </w:r>
      <w:r w:rsidRPr="00241BD0">
        <w:rPr>
          <w:lang w:val="en-US"/>
        </w:rPr>
        <w:t>dozę, kitą dozę gerkite įprastu laiku.</w:t>
      </w:r>
    </w:p>
    <w:p w14:paraId="3B4FAEB4" w14:textId="77777777" w:rsidR="00CD5D42" w:rsidRPr="00241BD0" w:rsidRDefault="00CD5D42" w:rsidP="00CD5D42">
      <w:pPr>
        <w:autoSpaceDE w:val="0"/>
        <w:autoSpaceDN w:val="0"/>
        <w:adjustRightInd w:val="0"/>
        <w:rPr>
          <w:lang w:val="en-US"/>
        </w:rPr>
      </w:pPr>
    </w:p>
    <w:p w14:paraId="7AEE1092" w14:textId="77777777" w:rsidR="00CD5D42" w:rsidRPr="00241BD0" w:rsidRDefault="00CD5D42" w:rsidP="00CD5D42">
      <w:pPr>
        <w:autoSpaceDE w:val="0"/>
        <w:autoSpaceDN w:val="0"/>
        <w:adjustRightInd w:val="0"/>
        <w:rPr>
          <w:rFonts w:eastAsiaTheme="minorHAnsi"/>
          <w:lang w:val="en-US"/>
        </w:rPr>
      </w:pPr>
      <w:r w:rsidRPr="00241BD0">
        <w:rPr>
          <w:lang w:val="en-US"/>
        </w:rPr>
        <w:t>Jeigu kiltų daugiau klausimų dėl šio vaistinio preparato vartojimo, kreipkitės į gydytoją, vaistininką ar slaugytoją.</w:t>
      </w:r>
    </w:p>
    <w:p w14:paraId="19FEA16F" w14:textId="77777777" w:rsidR="00CD5D42" w:rsidRPr="00241BD0" w:rsidRDefault="00CD5D42" w:rsidP="00CD5D42">
      <w:pPr>
        <w:ind w:right="-2"/>
        <w:rPr>
          <w:lang w:val="en-US"/>
        </w:rPr>
      </w:pPr>
    </w:p>
    <w:p w14:paraId="5883E47B" w14:textId="77777777" w:rsidR="00CD5D42" w:rsidRPr="00241BD0" w:rsidRDefault="00CD5D42" w:rsidP="00CD5D42">
      <w:pPr>
        <w:ind w:right="-2"/>
        <w:rPr>
          <w:lang w:val="en-US"/>
        </w:rPr>
      </w:pPr>
    </w:p>
    <w:p w14:paraId="56E1359F" w14:textId="77777777" w:rsidR="00CD5D42" w:rsidRPr="00241BD0" w:rsidRDefault="00CD5D42" w:rsidP="00CD5D42">
      <w:pPr>
        <w:ind w:left="567" w:hanging="567"/>
        <w:rPr>
          <w:rFonts w:eastAsiaTheme="minorHAnsi"/>
          <w:lang w:val="en-US"/>
        </w:rPr>
      </w:pPr>
      <w:r w:rsidRPr="00241BD0">
        <w:rPr>
          <w:b/>
          <w:caps/>
          <w:lang w:val="en-US"/>
        </w:rPr>
        <w:t>4.</w:t>
      </w:r>
      <w:r w:rsidRPr="00241BD0">
        <w:rPr>
          <w:b/>
          <w:caps/>
          <w:lang w:val="en-US"/>
        </w:rPr>
        <w:tab/>
      </w:r>
      <w:r w:rsidRPr="00241BD0">
        <w:rPr>
          <w:b/>
          <w:lang w:val="en-US"/>
        </w:rPr>
        <w:t>Galimas šalutinis poveikis</w:t>
      </w:r>
    </w:p>
    <w:p w14:paraId="18D30708" w14:textId="77777777" w:rsidR="00CD5D42" w:rsidRPr="00241BD0" w:rsidRDefault="00CD5D42" w:rsidP="00CD5D42">
      <w:pPr>
        <w:ind w:left="567" w:hanging="567"/>
        <w:rPr>
          <w:lang w:val="en-US"/>
        </w:rPr>
      </w:pPr>
    </w:p>
    <w:p w14:paraId="72C17174" w14:textId="77777777" w:rsidR="00CD5D42" w:rsidRPr="00241BD0" w:rsidRDefault="00CD5D42" w:rsidP="00CD5D42">
      <w:pPr>
        <w:autoSpaceDE w:val="0"/>
        <w:autoSpaceDN w:val="0"/>
        <w:adjustRightInd w:val="0"/>
        <w:rPr>
          <w:rFonts w:eastAsiaTheme="minorHAnsi"/>
          <w:color w:val="000000"/>
          <w:lang w:val="en-US"/>
        </w:rPr>
      </w:pPr>
      <w:r w:rsidRPr="00241BD0">
        <w:rPr>
          <w:color w:val="000000"/>
          <w:lang w:val="en-US"/>
        </w:rPr>
        <w:t>Šis vaistinis preparatas, kaip ir kiti vaistai, gali sukelti šalutinį poveikį, nors jis pasireiškia ne visiems žmonėms.</w:t>
      </w:r>
    </w:p>
    <w:p w14:paraId="022A6E26" w14:textId="77777777" w:rsidR="00CD5D42" w:rsidRDefault="00CD5D42" w:rsidP="00CD5D42">
      <w:pPr>
        <w:autoSpaceDE w:val="0"/>
        <w:autoSpaceDN w:val="0"/>
        <w:adjustRightInd w:val="0"/>
        <w:rPr>
          <w:color w:val="000000"/>
          <w:lang w:val="en-US"/>
        </w:rPr>
      </w:pPr>
    </w:p>
    <w:p w14:paraId="30D056C9" w14:textId="77777777" w:rsidR="00FE539D" w:rsidRDefault="00FE539D" w:rsidP="00CD5D42">
      <w:pPr>
        <w:autoSpaceDE w:val="0"/>
        <w:autoSpaceDN w:val="0"/>
        <w:adjustRightInd w:val="0"/>
        <w:rPr>
          <w:b/>
          <w:bCs/>
          <w:szCs w:val="22"/>
        </w:rPr>
      </w:pPr>
      <w:r>
        <w:rPr>
          <w:b/>
          <w:bCs/>
          <w:szCs w:val="22"/>
        </w:rPr>
        <w:t>Nedelsiant kreipkitės į gydytoją:</w:t>
      </w:r>
    </w:p>
    <w:p w14:paraId="439E3297" w14:textId="76B5A9B1" w:rsidR="00FE539D" w:rsidRDefault="00CD5D42" w:rsidP="00863E3F">
      <w:pPr>
        <w:pStyle w:val="ListParagraph"/>
        <w:numPr>
          <w:ilvl w:val="0"/>
          <w:numId w:val="25"/>
        </w:numPr>
        <w:autoSpaceDE w:val="0"/>
        <w:autoSpaceDN w:val="0"/>
        <w:adjustRightInd w:val="0"/>
        <w:rPr>
          <w:color w:val="000000"/>
          <w:lang w:val="en-US"/>
        </w:rPr>
      </w:pPr>
      <w:r w:rsidRPr="00863E3F">
        <w:rPr>
          <w:color w:val="000000"/>
          <w:lang w:val="en-US"/>
        </w:rPr>
        <w:t>Jeigu Jums pasireiškė tirpimas ar dilgčiojimas apie burną, raumenų skausmas ar mėšlungis bei traukuliai</w:t>
      </w:r>
      <w:r w:rsidR="00D0352C">
        <w:rPr>
          <w:color w:val="000000"/>
          <w:lang w:val="en-US"/>
        </w:rPr>
        <w:t>.</w:t>
      </w:r>
      <w:r w:rsidR="00D0352C" w:rsidRPr="00863E3F">
        <w:rPr>
          <w:color w:val="000000"/>
          <w:lang w:val="en-US"/>
        </w:rPr>
        <w:t xml:space="preserve"> </w:t>
      </w:r>
      <w:r w:rsidRPr="00863E3F">
        <w:rPr>
          <w:color w:val="000000"/>
          <w:lang w:val="en-US"/>
        </w:rPr>
        <w:t>Tai gali būti per mažos kalcio koncentracijos kraujyje (hipokalcemijos) požymiai.</w:t>
      </w:r>
    </w:p>
    <w:p w14:paraId="2707A5F8" w14:textId="77777777" w:rsidR="00FE539D" w:rsidRPr="00863E3F" w:rsidRDefault="00FE539D" w:rsidP="00863E3F">
      <w:pPr>
        <w:pStyle w:val="ListParagraph"/>
        <w:numPr>
          <w:ilvl w:val="0"/>
          <w:numId w:val="25"/>
        </w:numPr>
        <w:autoSpaceDE w:val="0"/>
        <w:autoSpaceDN w:val="0"/>
        <w:adjustRightInd w:val="0"/>
        <w:rPr>
          <w:color w:val="000000"/>
          <w:lang w:val="en-US"/>
        </w:rPr>
      </w:pPr>
      <w:r w:rsidRPr="00863E3F">
        <w:rPr>
          <w:rFonts w:eastAsiaTheme="minorHAnsi"/>
          <w:color w:val="000000"/>
          <w:szCs w:val="22"/>
          <w:lang w:val="en-US"/>
        </w:rPr>
        <w:t xml:space="preserve">Jei atsiranda veido, lūpų, burnos, liežuvio arba gerklės patinimas, kurie apsunkina rijimą arba kvėpavimą (angioneurozinė edema). </w:t>
      </w:r>
    </w:p>
    <w:p w14:paraId="6B76F023" w14:textId="77777777" w:rsidR="00FE539D" w:rsidRPr="00241BD0" w:rsidRDefault="00FE539D" w:rsidP="00CD5D42">
      <w:pPr>
        <w:autoSpaceDE w:val="0"/>
        <w:autoSpaceDN w:val="0"/>
        <w:adjustRightInd w:val="0"/>
        <w:rPr>
          <w:rFonts w:eastAsiaTheme="minorHAnsi"/>
          <w:color w:val="000000"/>
          <w:lang w:val="en-US"/>
        </w:rPr>
      </w:pPr>
    </w:p>
    <w:p w14:paraId="4CE74EC6" w14:textId="77777777" w:rsidR="00CD5D42" w:rsidRPr="00241BD0" w:rsidRDefault="00CD5D42" w:rsidP="00CD5D42">
      <w:pPr>
        <w:autoSpaceDE w:val="0"/>
        <w:autoSpaceDN w:val="0"/>
        <w:adjustRightInd w:val="0"/>
        <w:rPr>
          <w:color w:val="000000"/>
          <w:lang w:val="en-US"/>
        </w:rPr>
      </w:pPr>
    </w:p>
    <w:p w14:paraId="60C5D6AC" w14:textId="77777777" w:rsidR="00CD5D42" w:rsidRPr="00241BD0" w:rsidRDefault="00CD5D42" w:rsidP="00CD5D42">
      <w:pPr>
        <w:autoSpaceDE w:val="0"/>
        <w:autoSpaceDN w:val="0"/>
        <w:adjustRightInd w:val="0"/>
        <w:rPr>
          <w:rFonts w:eastAsia="TimesNewRoman,Bold"/>
          <w:b/>
          <w:color w:val="000000"/>
          <w:lang w:val="en-US"/>
        </w:rPr>
      </w:pPr>
      <w:r w:rsidRPr="00241BD0">
        <w:rPr>
          <w:b/>
          <w:color w:val="000000"/>
          <w:lang w:val="en-US"/>
        </w:rPr>
        <w:t>Labai dažnas šalutinis poveikis</w:t>
      </w:r>
      <w:r w:rsidRPr="00241BD0">
        <w:rPr>
          <w:rFonts w:eastAsia="TimesNewRoman,Bold"/>
          <w:b/>
          <w:color w:val="000000"/>
          <w:lang w:val="en-US"/>
        </w:rPr>
        <w:t>: gali pasireikšti daugiau kaip 1 iš 10 žmonių</w:t>
      </w:r>
    </w:p>
    <w:p w14:paraId="20C96F09" w14:textId="77777777" w:rsidR="00FE539D" w:rsidRPr="009D370C" w:rsidRDefault="00CD5D42" w:rsidP="009D370C">
      <w:pPr>
        <w:autoSpaceDE w:val="0"/>
        <w:autoSpaceDN w:val="0"/>
        <w:adjustRightInd w:val="0"/>
        <w:rPr>
          <w:b/>
          <w:color w:val="000000"/>
          <w:lang w:val="en-US"/>
        </w:rPr>
      </w:pPr>
      <w:r w:rsidRPr="00241BD0">
        <w:rPr>
          <w:color w:val="000000"/>
          <w:lang w:val="en-US"/>
        </w:rPr>
        <w:t>pykinimas ir vėmimas. Šis šalutinis poveikis paprastai būna nesunkus ir trumpalaikis.</w:t>
      </w:r>
    </w:p>
    <w:p w14:paraId="6AB56AFB" w14:textId="77777777" w:rsidR="00FE539D" w:rsidRPr="009D370C" w:rsidRDefault="00FE539D" w:rsidP="00CD5D42">
      <w:pPr>
        <w:autoSpaceDE w:val="0"/>
        <w:autoSpaceDN w:val="0"/>
        <w:adjustRightInd w:val="0"/>
        <w:rPr>
          <w:b/>
          <w:color w:val="000000"/>
          <w:lang w:val="en-US"/>
        </w:rPr>
      </w:pPr>
    </w:p>
    <w:p w14:paraId="4CD620A9" w14:textId="77777777" w:rsidR="00CD5D42" w:rsidRPr="00241BD0" w:rsidRDefault="00CD5D42" w:rsidP="00CD5D42">
      <w:pPr>
        <w:autoSpaceDE w:val="0"/>
        <w:autoSpaceDN w:val="0"/>
        <w:adjustRightInd w:val="0"/>
        <w:rPr>
          <w:rFonts w:eastAsia="TimesNewRoman,Bold"/>
          <w:b/>
          <w:color w:val="000000"/>
          <w:lang w:val="en-US"/>
        </w:rPr>
      </w:pPr>
      <w:r w:rsidRPr="00241BD0">
        <w:rPr>
          <w:b/>
          <w:color w:val="000000"/>
          <w:lang w:val="en-US"/>
        </w:rPr>
        <w:t>Dažnas šalutinis poveikis</w:t>
      </w:r>
      <w:r w:rsidRPr="00241BD0">
        <w:rPr>
          <w:rFonts w:eastAsia="TimesNewRoman,Bold"/>
          <w:b/>
          <w:color w:val="000000"/>
          <w:lang w:val="en-US"/>
        </w:rPr>
        <w:t>: gali pasireikšti mažiau kaip 1 iš 10 žmonių</w:t>
      </w:r>
    </w:p>
    <w:p w14:paraId="4DAFC870"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en-US"/>
        </w:rPr>
      </w:pPr>
      <w:r w:rsidRPr="00BD2988">
        <w:rPr>
          <w:color w:val="000000"/>
          <w:szCs w:val="22"/>
          <w:lang w:val="en-US"/>
        </w:rPr>
        <w:t>svaigulys,</w:t>
      </w:r>
    </w:p>
    <w:p w14:paraId="6BA950BE"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en-US"/>
        </w:rPr>
      </w:pPr>
      <w:r w:rsidRPr="00BD2988">
        <w:rPr>
          <w:color w:val="000000"/>
          <w:szCs w:val="22"/>
          <w:lang w:val="en-US"/>
        </w:rPr>
        <w:t>tirpimo ir dilgčiojimo pojūtis (parestezija),</w:t>
      </w:r>
    </w:p>
    <w:p w14:paraId="598B83FB"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en-US"/>
        </w:rPr>
      </w:pPr>
      <w:r w:rsidRPr="00BD2988">
        <w:rPr>
          <w:color w:val="000000"/>
          <w:szCs w:val="22"/>
          <w:lang w:val="en-US"/>
        </w:rPr>
        <w:t>apetito netekimas (anoreksija) arba sumažėjimas,</w:t>
      </w:r>
    </w:p>
    <w:p w14:paraId="585310DE"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raumenų skausmas (mialgija),</w:t>
      </w:r>
    </w:p>
    <w:p w14:paraId="05BB08F1"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silpnumas (astenija),</w:t>
      </w:r>
    </w:p>
    <w:p w14:paraId="7352B56D"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išbėrimas,</w:t>
      </w:r>
    </w:p>
    <w:p w14:paraId="4707196C"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sumažėjęs testosterono kiekis,</w:t>
      </w:r>
    </w:p>
    <w:p w14:paraId="766723C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didelis kalio kiekis kraujyje (hiperkalemija),</w:t>
      </w:r>
    </w:p>
    <w:p w14:paraId="6DD406BE"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alerginės reakcijos (padidėjęs jautrumas),</w:t>
      </w:r>
    </w:p>
    <w:p w14:paraId="7A13A0A1"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galvos skausmas,</w:t>
      </w:r>
    </w:p>
    <w:p w14:paraId="5E063932"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traukuliai (traukuliai arba priepuoliai),</w:t>
      </w:r>
    </w:p>
    <w:p w14:paraId="2FCD24FB"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žemas kraujospūdis (hipotenzija),</w:t>
      </w:r>
    </w:p>
    <w:p w14:paraId="6C1087A6"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viršutinių kvėpavimo takų infekcija,</w:t>
      </w:r>
    </w:p>
    <w:p w14:paraId="5130DCAC"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pasunkėjęs kvėpavimas (dispnėja),</w:t>
      </w:r>
    </w:p>
    <w:p w14:paraId="5A8E859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kosulys,</w:t>
      </w:r>
    </w:p>
    <w:p w14:paraId="28A76977"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virškinimo sutrikimas (dispepsija),</w:t>
      </w:r>
    </w:p>
    <w:p w14:paraId="3985C6E2"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viduriavimas,</w:t>
      </w:r>
    </w:p>
    <w:p w14:paraId="5C2B9EF9"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pilvo skausmas, viršutinės pilvo dalies skausmas,</w:t>
      </w:r>
    </w:p>
    <w:p w14:paraId="107E8C41"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vidurių užkietėjimas,</w:t>
      </w:r>
    </w:p>
    <w:p w14:paraId="61D74C43"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raumenų traukuliai,</w:t>
      </w:r>
    </w:p>
    <w:p w14:paraId="1B959E7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nugaros skausmas</w:t>
      </w:r>
    </w:p>
    <w:p w14:paraId="55EC8222"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mažas kalcio kiekis kraujyje (hipokalcemija).</w:t>
      </w:r>
    </w:p>
    <w:p w14:paraId="6D4942D1" w14:textId="77777777" w:rsidR="00CD5D42" w:rsidRPr="00BD2988" w:rsidRDefault="00CD5D42" w:rsidP="00CD5D42">
      <w:pPr>
        <w:autoSpaceDE w:val="0"/>
        <w:autoSpaceDN w:val="0"/>
        <w:adjustRightInd w:val="0"/>
        <w:rPr>
          <w:color w:val="000000"/>
          <w:szCs w:val="22"/>
          <w:lang w:val="de-DE"/>
        </w:rPr>
      </w:pPr>
    </w:p>
    <w:p w14:paraId="2E953E6B" w14:textId="77777777" w:rsidR="00CD5D42" w:rsidRPr="00BD2988" w:rsidRDefault="00CD5D42" w:rsidP="00CD5D42">
      <w:pPr>
        <w:autoSpaceDE w:val="0"/>
        <w:autoSpaceDN w:val="0"/>
        <w:adjustRightInd w:val="0"/>
        <w:rPr>
          <w:rFonts w:eastAsiaTheme="minorHAnsi"/>
          <w:b/>
          <w:snapToGrid/>
          <w:color w:val="000000"/>
          <w:szCs w:val="22"/>
          <w:lang w:val="de-DE"/>
        </w:rPr>
      </w:pPr>
      <w:r w:rsidRPr="00BD2988">
        <w:rPr>
          <w:rFonts w:eastAsia="TimesNewRoman,Bold"/>
          <w:b/>
          <w:color w:val="000000"/>
          <w:szCs w:val="22"/>
          <w:lang w:val="de-DE"/>
        </w:rPr>
        <w:t>Dažnis nežinomas: negali būti įvertintas pagal tu</w:t>
      </w:r>
      <w:r w:rsidRPr="00BD2988">
        <w:rPr>
          <w:b/>
          <w:color w:val="000000"/>
          <w:szCs w:val="22"/>
          <w:lang w:val="de-DE"/>
        </w:rPr>
        <w:t>rimus duomenis</w:t>
      </w:r>
    </w:p>
    <w:p w14:paraId="2E885754"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dilgėlinė (urtikarija),</w:t>
      </w:r>
    </w:p>
    <w:p w14:paraId="3F8AFDCB"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veido, lūpų, burnos, liežuvio ar ryklės patinimas, galintis apsunkinti rijimą ar kvėpavimą (angioneurozinė edema),</w:t>
      </w:r>
    </w:p>
    <w:p w14:paraId="52372B23" w14:textId="77777777" w:rsidR="00CD5D42" w:rsidRPr="00BD2988" w:rsidRDefault="00CD5D42" w:rsidP="00CD5D42">
      <w:pPr>
        <w:pStyle w:val="ListParagraph"/>
        <w:numPr>
          <w:ilvl w:val="0"/>
          <w:numId w:val="23"/>
        </w:numPr>
        <w:suppressAutoHyphens w:val="0"/>
        <w:autoSpaceDE w:val="0"/>
        <w:autoSpaceDN w:val="0"/>
        <w:adjustRightInd w:val="0"/>
        <w:ind w:hanging="720"/>
        <w:rPr>
          <w:color w:val="000000"/>
          <w:szCs w:val="22"/>
          <w:lang w:val="de-DE"/>
        </w:rPr>
      </w:pPr>
      <w:r w:rsidRPr="00BD2988">
        <w:rPr>
          <w:color w:val="000000"/>
          <w:szCs w:val="22"/>
          <w:lang w:val="de-DE"/>
        </w:rPr>
        <w:t>neįprastas greitas ar mušantis širdies plakimas, kuris gali būti susijęs su maža kalcio koncentracija Jūsų kraujyje (dėl hipokalcemijos pasireiškęs QT pailgėjimas ir skilvelinė aritmija).</w:t>
      </w:r>
    </w:p>
    <w:p w14:paraId="297EC81D" w14:textId="77777777" w:rsidR="00CD5D42" w:rsidRPr="00BD2988" w:rsidRDefault="00CD5D42" w:rsidP="00CD5D42">
      <w:pPr>
        <w:autoSpaceDE w:val="0"/>
        <w:autoSpaceDN w:val="0"/>
        <w:adjustRightInd w:val="0"/>
        <w:rPr>
          <w:color w:val="000000"/>
          <w:szCs w:val="22"/>
          <w:lang w:val="de-DE"/>
        </w:rPr>
      </w:pPr>
    </w:p>
    <w:p w14:paraId="7FCFD7AC" w14:textId="77777777" w:rsidR="00CD5D42" w:rsidRPr="00BD2988" w:rsidRDefault="00CD5D42" w:rsidP="00CD5D42">
      <w:pPr>
        <w:autoSpaceDE w:val="0"/>
        <w:autoSpaceDN w:val="0"/>
        <w:adjustRightInd w:val="0"/>
        <w:rPr>
          <w:rFonts w:eastAsiaTheme="minorHAnsi"/>
          <w:snapToGrid/>
          <w:color w:val="000000"/>
          <w:szCs w:val="22"/>
          <w:lang w:val="de-DE"/>
        </w:rPr>
      </w:pPr>
      <w:r w:rsidRPr="00BD2988">
        <w:rPr>
          <w:color w:val="000000"/>
          <w:szCs w:val="22"/>
          <w:lang w:val="de-DE"/>
        </w:rPr>
        <w:t xml:space="preserve">Labai nedaugelio širdies nepakankamumu sergančių pacientų būklė po </w:t>
      </w:r>
      <w:r w:rsidRPr="00BD2988">
        <w:rPr>
          <w:szCs w:val="22"/>
          <w:lang w:val="de-DE"/>
        </w:rPr>
        <w:t>cinakalcetas</w:t>
      </w:r>
      <w:r w:rsidRPr="00BD2988">
        <w:rPr>
          <w:color w:val="000000"/>
          <w:szCs w:val="22"/>
          <w:lang w:val="de-DE"/>
        </w:rPr>
        <w:t xml:space="preserve"> pavartojimo pasunkėjo ir (arba) sumažėjo kraujospūdis (pasireiškė hipotenzija).</w:t>
      </w:r>
    </w:p>
    <w:p w14:paraId="6391EB33" w14:textId="77777777" w:rsidR="00CD5D42" w:rsidRPr="00BD2988" w:rsidRDefault="00CD5D42" w:rsidP="00CD5D42">
      <w:pPr>
        <w:autoSpaceDE w:val="0"/>
        <w:autoSpaceDN w:val="0"/>
        <w:adjustRightInd w:val="0"/>
        <w:rPr>
          <w:color w:val="000000"/>
          <w:szCs w:val="22"/>
          <w:lang w:val="de-DE"/>
        </w:rPr>
      </w:pPr>
    </w:p>
    <w:p w14:paraId="6FF8FE55" w14:textId="77777777" w:rsidR="00CD5D42" w:rsidRPr="00BD2988" w:rsidRDefault="00CD5D42" w:rsidP="00CD5D42">
      <w:pPr>
        <w:autoSpaceDE w:val="0"/>
        <w:autoSpaceDN w:val="0"/>
        <w:adjustRightInd w:val="0"/>
        <w:rPr>
          <w:color w:val="000000"/>
          <w:szCs w:val="22"/>
          <w:lang w:val="de-DE"/>
        </w:rPr>
      </w:pPr>
    </w:p>
    <w:p w14:paraId="3E41F7EB" w14:textId="77777777" w:rsidR="00CD5D42" w:rsidRPr="00BD2988" w:rsidRDefault="00CD5D42" w:rsidP="00CD5D42">
      <w:pPr>
        <w:autoSpaceDE w:val="0"/>
        <w:autoSpaceDN w:val="0"/>
        <w:adjustRightInd w:val="0"/>
        <w:rPr>
          <w:rFonts w:eastAsia="TimesNewRoman,Bold"/>
          <w:b/>
          <w:snapToGrid/>
          <w:color w:val="000000"/>
          <w:szCs w:val="22"/>
          <w:lang w:val="de-DE"/>
        </w:rPr>
      </w:pPr>
      <w:r w:rsidRPr="00BD2988">
        <w:rPr>
          <w:rFonts w:eastAsia="TimesNewRoman,Bold"/>
          <w:b/>
          <w:color w:val="000000"/>
          <w:szCs w:val="22"/>
          <w:lang w:val="de-DE"/>
        </w:rPr>
        <w:t>Pranešimas apie šalutinį poveikį</w:t>
      </w:r>
    </w:p>
    <w:p w14:paraId="03D0C1B9" w14:textId="77777777" w:rsidR="00CD5D42" w:rsidRPr="00BD2988" w:rsidRDefault="00CD5D42" w:rsidP="00CD5D42">
      <w:pPr>
        <w:ind w:right="-449"/>
        <w:contextualSpacing/>
        <w:rPr>
          <w:rFonts w:eastAsiaTheme="minorHAnsi"/>
          <w:snapToGrid/>
          <w:szCs w:val="22"/>
          <w:lang w:val="lt-LT"/>
        </w:rPr>
      </w:pPr>
      <w:r w:rsidRPr="00BD2988">
        <w:rPr>
          <w:szCs w:val="22"/>
          <w:lang w:val="de-DE"/>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7" w:history="1">
        <w:r w:rsidRPr="00BD2988">
          <w:rPr>
            <w:rStyle w:val="Hyperlink"/>
            <w:rFonts w:eastAsia="SimSun"/>
            <w:szCs w:val="22"/>
            <w:lang w:val="de-DE"/>
          </w:rPr>
          <w:t>www.vvkt.lt</w:t>
        </w:r>
      </w:hyperlink>
      <w:r w:rsidRPr="00BD2988">
        <w:rPr>
          <w:szCs w:val="22"/>
          <w:lang w:val="de-DE"/>
        </w:rPr>
        <w:t xml:space="preserve"> esančią formą ir pateikti ją Valstybinei vaistų kontrolės tarnybai prie Lietuvos Respublikos sveikatos apsaugos ministerijos vienu iš šių būdų: raštu (adresu  Žirmūnų g. 139A, LT 09120 Vilnius); nemokamu fakso numeriu 8 800 20 131el. paštu </w:t>
      </w:r>
      <w:hyperlink r:id="rId8" w:history="1">
        <w:r w:rsidRPr="00BD2988">
          <w:rPr>
            <w:rStyle w:val="Hyperlink"/>
            <w:rFonts w:eastAsia="SimSun"/>
            <w:szCs w:val="22"/>
            <w:lang w:val="de-DE"/>
          </w:rPr>
          <w:t>NepageidaujamaR@vvkt.lt</w:t>
        </w:r>
      </w:hyperlink>
      <w:r w:rsidRPr="00BD2988">
        <w:rPr>
          <w:szCs w:val="22"/>
          <w:lang w:val="de-DE"/>
        </w:rPr>
        <w:t xml:space="preserve">, taip pat per Valstybinės vaistų kontrolės tarnybos prie Lietuvos Respublikos sveikatos apsaugos ministerijos interneto svetainę (adresu http://www.vvkt.lt). </w:t>
      </w:r>
      <w:r w:rsidRPr="00241BD0">
        <w:rPr>
          <w:lang w:val="de-DE"/>
        </w:rPr>
        <w:t>Pranešdami apie šalutinį poveikį galite mums padėti gauti daugiau informacijos apie šio vaisto saugumą.</w:t>
      </w:r>
    </w:p>
    <w:p w14:paraId="7AA49764" w14:textId="77777777" w:rsidR="00CD5D42" w:rsidRPr="00BD2988" w:rsidRDefault="00CD5D42" w:rsidP="00CD5D42">
      <w:pPr>
        <w:autoSpaceDE w:val="0"/>
        <w:autoSpaceDN w:val="0"/>
        <w:adjustRightInd w:val="0"/>
        <w:rPr>
          <w:szCs w:val="22"/>
          <w:lang w:val="de-DE"/>
        </w:rPr>
      </w:pPr>
    </w:p>
    <w:p w14:paraId="1750D895" w14:textId="77777777" w:rsidR="00CD5D42" w:rsidRPr="00BD2988" w:rsidRDefault="00CD5D42" w:rsidP="00CD5D42">
      <w:pPr>
        <w:autoSpaceDE w:val="0"/>
        <w:autoSpaceDN w:val="0"/>
        <w:adjustRightInd w:val="0"/>
        <w:rPr>
          <w:szCs w:val="22"/>
          <w:lang w:val="de-DE"/>
        </w:rPr>
      </w:pPr>
    </w:p>
    <w:p w14:paraId="13918C58" w14:textId="77777777" w:rsidR="00CD5D42" w:rsidRPr="00BD2988" w:rsidRDefault="00CD5D42" w:rsidP="00CD5D42">
      <w:pPr>
        <w:ind w:left="567" w:right="-2" w:hanging="567"/>
        <w:rPr>
          <w:rFonts w:eastAsiaTheme="minorHAnsi"/>
          <w:b/>
          <w:snapToGrid/>
          <w:szCs w:val="22"/>
          <w:lang w:val="de-DE"/>
        </w:rPr>
      </w:pPr>
      <w:r w:rsidRPr="00BD2988">
        <w:rPr>
          <w:b/>
          <w:szCs w:val="22"/>
          <w:lang w:val="de-DE"/>
        </w:rPr>
        <w:t>5.</w:t>
      </w:r>
      <w:r w:rsidRPr="00BD2988">
        <w:rPr>
          <w:b/>
          <w:szCs w:val="22"/>
          <w:lang w:val="de-DE"/>
        </w:rPr>
        <w:tab/>
        <w:t xml:space="preserve">Kaip laikyti Cinacalcet Accord </w:t>
      </w:r>
    </w:p>
    <w:p w14:paraId="51C1D8FF" w14:textId="77777777" w:rsidR="00CD5D42" w:rsidRPr="00BD2988" w:rsidRDefault="00CD5D42" w:rsidP="00CD5D42">
      <w:pPr>
        <w:ind w:left="567" w:right="-2" w:hanging="567"/>
        <w:rPr>
          <w:i/>
          <w:szCs w:val="22"/>
          <w:lang w:val="de-DE"/>
        </w:rPr>
      </w:pPr>
    </w:p>
    <w:p w14:paraId="14AE7DFD"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Šį vaistą laikykite vaikams nepastebimoje ir nepasiekiamoje vietoje.</w:t>
      </w:r>
    </w:p>
    <w:p w14:paraId="0524141A" w14:textId="77777777" w:rsidR="00CD5D42" w:rsidRPr="00BD2988" w:rsidRDefault="00CD5D42" w:rsidP="00CD5D42">
      <w:pPr>
        <w:autoSpaceDE w:val="0"/>
        <w:autoSpaceDN w:val="0"/>
        <w:adjustRightInd w:val="0"/>
        <w:rPr>
          <w:szCs w:val="22"/>
          <w:lang w:val="de-DE"/>
        </w:rPr>
      </w:pPr>
    </w:p>
    <w:p w14:paraId="5423DDF8"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Ant dėžutės po „Tinka iki“ ir ant lizdinės plokštelės po „EXP“ nurodytam tinkamumo laikui pasibaigus, šio vaisto vartoti negalima. Vaistas tinkamas vartoti iki paskutinės nurodyto mėnesio dienos.</w:t>
      </w:r>
    </w:p>
    <w:p w14:paraId="7F075998" w14:textId="77777777" w:rsidR="00CD5D42" w:rsidRPr="00BD2988" w:rsidRDefault="00CD5D42" w:rsidP="00CD5D42">
      <w:pPr>
        <w:autoSpaceDE w:val="0"/>
        <w:autoSpaceDN w:val="0"/>
        <w:adjustRightInd w:val="0"/>
        <w:rPr>
          <w:szCs w:val="22"/>
          <w:lang w:val="de-DE"/>
        </w:rPr>
      </w:pPr>
    </w:p>
    <w:p w14:paraId="580508A4"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Šiam vaistiniam preparatui specialių laikymo sąlygų nereikia.</w:t>
      </w:r>
    </w:p>
    <w:p w14:paraId="54294F1F" w14:textId="77777777" w:rsidR="00CD5D42" w:rsidRPr="00BD2988" w:rsidRDefault="00CD5D42" w:rsidP="00CD5D42">
      <w:pPr>
        <w:autoSpaceDE w:val="0"/>
        <w:autoSpaceDN w:val="0"/>
        <w:adjustRightInd w:val="0"/>
        <w:rPr>
          <w:szCs w:val="22"/>
          <w:lang w:val="de-DE"/>
        </w:rPr>
      </w:pPr>
    </w:p>
    <w:p w14:paraId="4FCD4668" w14:textId="77777777" w:rsidR="00CD5D42" w:rsidRPr="00BD2988" w:rsidRDefault="00CD5D42" w:rsidP="00CD5D42">
      <w:pPr>
        <w:autoSpaceDE w:val="0"/>
        <w:autoSpaceDN w:val="0"/>
        <w:adjustRightInd w:val="0"/>
        <w:rPr>
          <w:rFonts w:eastAsiaTheme="minorHAnsi"/>
          <w:snapToGrid/>
          <w:szCs w:val="22"/>
          <w:lang w:val="de-DE"/>
        </w:rPr>
      </w:pPr>
      <w:r w:rsidRPr="00BD2988">
        <w:rPr>
          <w:szCs w:val="22"/>
          <w:lang w:val="de-DE"/>
        </w:rPr>
        <w:t>Vaistų negalima išmesti į kanalizaciją arba su buitinėmis atliekomis. Kaip išmesti nereikalingus vaistus, klauskite vaistininko. Šios priemonės padės apsaugoti aplinką.</w:t>
      </w:r>
    </w:p>
    <w:p w14:paraId="1112DE13" w14:textId="77777777" w:rsidR="00CD5D42" w:rsidRPr="00BD2988" w:rsidRDefault="00CD5D42" w:rsidP="00CD5D42">
      <w:pPr>
        <w:autoSpaceDE w:val="0"/>
        <w:autoSpaceDN w:val="0"/>
        <w:adjustRightInd w:val="0"/>
        <w:rPr>
          <w:szCs w:val="22"/>
          <w:lang w:val="de-DE"/>
        </w:rPr>
      </w:pPr>
    </w:p>
    <w:p w14:paraId="1BDE2DA9" w14:textId="77777777" w:rsidR="00CD5D42" w:rsidRPr="00BD2988" w:rsidRDefault="00CD5D42" w:rsidP="00CD5D42">
      <w:pPr>
        <w:autoSpaceDE w:val="0"/>
        <w:autoSpaceDN w:val="0"/>
        <w:adjustRightInd w:val="0"/>
        <w:rPr>
          <w:szCs w:val="22"/>
          <w:lang w:val="de-DE"/>
        </w:rPr>
      </w:pPr>
    </w:p>
    <w:p w14:paraId="358A6D0F" w14:textId="77777777" w:rsidR="00CD5D42" w:rsidRPr="00BD2988" w:rsidRDefault="00CD5D42" w:rsidP="00CD5D42">
      <w:pPr>
        <w:ind w:right="-2"/>
        <w:rPr>
          <w:rFonts w:eastAsiaTheme="minorHAnsi"/>
          <w:snapToGrid/>
          <w:szCs w:val="22"/>
          <w:lang w:val="en-US"/>
        </w:rPr>
      </w:pPr>
      <w:r w:rsidRPr="00BD2988">
        <w:rPr>
          <w:b/>
          <w:szCs w:val="22"/>
          <w:lang w:val="en-US"/>
        </w:rPr>
        <w:t>6.</w:t>
      </w:r>
      <w:r w:rsidRPr="00BD2988">
        <w:rPr>
          <w:b/>
          <w:szCs w:val="22"/>
          <w:lang w:val="en-US"/>
        </w:rPr>
        <w:tab/>
        <w:t>Pakuotės turinys ir kita informacija</w:t>
      </w:r>
    </w:p>
    <w:p w14:paraId="1A86A8ED" w14:textId="77777777" w:rsidR="00CD5D42" w:rsidRPr="00BD2988" w:rsidRDefault="00CD5D42" w:rsidP="00CD5D42">
      <w:pPr>
        <w:ind w:right="-2"/>
        <w:rPr>
          <w:szCs w:val="22"/>
          <w:lang w:val="en-US"/>
        </w:rPr>
      </w:pPr>
    </w:p>
    <w:p w14:paraId="3B0B42B9" w14:textId="77777777" w:rsidR="00CD5D42" w:rsidRPr="00BD2988" w:rsidRDefault="00CD5D42" w:rsidP="00CD5D42">
      <w:pPr>
        <w:autoSpaceDE w:val="0"/>
        <w:autoSpaceDN w:val="0"/>
        <w:adjustRightInd w:val="0"/>
        <w:rPr>
          <w:rFonts w:eastAsia="TimesNewRoman,Bold"/>
          <w:b/>
          <w:snapToGrid/>
          <w:szCs w:val="22"/>
          <w:lang w:val="en-US"/>
        </w:rPr>
      </w:pPr>
      <w:r w:rsidRPr="00BD2988">
        <w:rPr>
          <w:b/>
          <w:szCs w:val="22"/>
        </w:rPr>
        <w:t xml:space="preserve">Cinacalcet Accord </w:t>
      </w:r>
      <w:r w:rsidRPr="00BD2988">
        <w:rPr>
          <w:rFonts w:eastAsia="TimesNewRoman,Bold"/>
          <w:b/>
          <w:szCs w:val="22"/>
          <w:lang w:val="en-US"/>
        </w:rPr>
        <w:t>sudėtis</w:t>
      </w:r>
    </w:p>
    <w:p w14:paraId="3A0B76A5" w14:textId="77777777" w:rsidR="00CD5D42" w:rsidRPr="00BD2988" w:rsidRDefault="00CD5D42" w:rsidP="00CD5D42">
      <w:pPr>
        <w:pStyle w:val="ListParagraph"/>
        <w:numPr>
          <w:ilvl w:val="0"/>
          <w:numId w:val="21"/>
        </w:numPr>
        <w:suppressAutoHyphens w:val="0"/>
        <w:autoSpaceDE w:val="0"/>
        <w:autoSpaceDN w:val="0"/>
        <w:adjustRightInd w:val="0"/>
        <w:ind w:left="426" w:hanging="426"/>
        <w:rPr>
          <w:rFonts w:eastAsia="TimesNewRoman,Bold"/>
          <w:szCs w:val="22"/>
          <w:lang w:val="en-US"/>
        </w:rPr>
      </w:pPr>
      <w:r w:rsidRPr="00BD2988">
        <w:rPr>
          <w:rFonts w:eastAsia="TimesNewRoman,Bold"/>
          <w:szCs w:val="22"/>
          <w:lang w:val="en-US"/>
        </w:rPr>
        <w:t>Veiklioji medžiaga yra cinakalcetas. Kiekvienoje plėvele dengtoje tabletėje yra 30 mg, 60 mg ar 90 mg cinakalceto (hidrochlorido pavidalu).</w:t>
      </w:r>
    </w:p>
    <w:p w14:paraId="64D35DB3" w14:textId="77777777" w:rsidR="00CD5D42" w:rsidRPr="00BD2988" w:rsidRDefault="00CD5D42" w:rsidP="00CD5D42">
      <w:pPr>
        <w:pStyle w:val="ListParagraph"/>
        <w:numPr>
          <w:ilvl w:val="0"/>
          <w:numId w:val="21"/>
        </w:numPr>
        <w:suppressAutoHyphens w:val="0"/>
        <w:autoSpaceDE w:val="0"/>
        <w:autoSpaceDN w:val="0"/>
        <w:adjustRightInd w:val="0"/>
        <w:ind w:left="426" w:hanging="426"/>
        <w:rPr>
          <w:szCs w:val="22"/>
        </w:rPr>
      </w:pPr>
      <w:r w:rsidRPr="00BD2988">
        <w:rPr>
          <w:rFonts w:eastAsia="TimesNewRoman,Bold"/>
          <w:szCs w:val="22"/>
          <w:lang w:val="en-US"/>
        </w:rPr>
        <w:t>Pagalbinės medžiagos yra</w:t>
      </w:r>
      <w:r w:rsidRPr="00BD2988">
        <w:rPr>
          <w:szCs w:val="22"/>
        </w:rPr>
        <w:t xml:space="preserve"> laktozė monohidratas, mikrokristalinė celiuliozė, pregelifikuotas krakmolas, krospovidonas, magnio stearatas ir talkas.</w:t>
      </w:r>
    </w:p>
    <w:p w14:paraId="1BBE79FD" w14:textId="323BDA6C" w:rsidR="00CD5D42" w:rsidRPr="00BD2988" w:rsidRDefault="003D5614" w:rsidP="003D5614">
      <w:pPr>
        <w:pStyle w:val="ListParagraph"/>
        <w:numPr>
          <w:ilvl w:val="0"/>
          <w:numId w:val="21"/>
        </w:numPr>
        <w:suppressAutoHyphens w:val="0"/>
        <w:autoSpaceDE w:val="0"/>
        <w:autoSpaceDN w:val="0"/>
        <w:adjustRightInd w:val="0"/>
        <w:rPr>
          <w:rFonts w:eastAsia="TimesNewRoman,Bold"/>
          <w:szCs w:val="22"/>
        </w:rPr>
      </w:pPr>
      <w:r w:rsidRPr="003D5614">
        <w:rPr>
          <w:rFonts w:eastAsia="TimesNewRoman,Bold"/>
          <w:szCs w:val="22"/>
        </w:rPr>
        <w:t xml:space="preserve">Tabletės dangalas yra </w:t>
      </w:r>
      <w:r w:rsidR="00CD5D42" w:rsidRPr="00BD2988">
        <w:rPr>
          <w:rFonts w:eastAsia="TimesNewRoman,Bold"/>
          <w:szCs w:val="22"/>
        </w:rPr>
        <w:t xml:space="preserve">hipromeliozės, titano dioksido (E171), laktozės monohidrato, triacetino, geltonojo geležies oksido (E172) </w:t>
      </w:r>
      <w:r w:rsidR="00CD5D42">
        <w:rPr>
          <w:rFonts w:eastAsia="TimesNewRoman,Bold"/>
          <w:szCs w:val="22"/>
        </w:rPr>
        <w:t>indigokarmino</w:t>
      </w:r>
      <w:r w:rsidR="00CD5D42" w:rsidRPr="00BD2988">
        <w:rPr>
          <w:rFonts w:eastAsia="TimesNewRoman,Bold"/>
          <w:szCs w:val="22"/>
        </w:rPr>
        <w:t xml:space="preserve"> dažalo (E132).</w:t>
      </w:r>
    </w:p>
    <w:p w14:paraId="755AB034" w14:textId="77777777" w:rsidR="00CD5D42" w:rsidRPr="00BD2988" w:rsidRDefault="00CD5D42" w:rsidP="00CD5D42">
      <w:pPr>
        <w:autoSpaceDE w:val="0"/>
        <w:autoSpaceDN w:val="0"/>
        <w:adjustRightInd w:val="0"/>
        <w:rPr>
          <w:rFonts w:eastAsia="TimesNewRoman,Bold"/>
          <w:szCs w:val="22"/>
          <w:lang w:val="lt-LT"/>
        </w:rPr>
      </w:pPr>
    </w:p>
    <w:p w14:paraId="3326BE2B" w14:textId="77777777" w:rsidR="00CD5D42" w:rsidRPr="00BD2988" w:rsidRDefault="00CD5D42" w:rsidP="00CD5D42">
      <w:pPr>
        <w:autoSpaceDE w:val="0"/>
        <w:autoSpaceDN w:val="0"/>
        <w:adjustRightInd w:val="0"/>
        <w:rPr>
          <w:szCs w:val="22"/>
        </w:rPr>
      </w:pPr>
      <w:r w:rsidRPr="00BD2988">
        <w:rPr>
          <w:b/>
          <w:szCs w:val="22"/>
        </w:rPr>
        <w:t>Cinacalcet Accord</w:t>
      </w:r>
      <w:r w:rsidRPr="00BD2988">
        <w:rPr>
          <w:szCs w:val="22"/>
        </w:rPr>
        <w:t xml:space="preserve"> </w:t>
      </w:r>
      <w:r w:rsidRPr="00BD2988">
        <w:rPr>
          <w:rFonts w:eastAsia="TimesNewRoman,Bold"/>
          <w:b/>
          <w:szCs w:val="22"/>
        </w:rPr>
        <w:t>išvaizda ir kiekis pakuotėje</w:t>
      </w:r>
    </w:p>
    <w:p w14:paraId="705A3416" w14:textId="77777777" w:rsidR="00CD5D42" w:rsidRPr="00BD2988" w:rsidRDefault="00CD5D42" w:rsidP="00CD5D42">
      <w:pPr>
        <w:autoSpaceDE w:val="0"/>
        <w:autoSpaceDN w:val="0"/>
        <w:adjustRightInd w:val="0"/>
        <w:rPr>
          <w:rFonts w:eastAsia="TimesNewRoman,Bold"/>
          <w:snapToGrid/>
          <w:szCs w:val="22"/>
          <w:lang w:val="lt-LT"/>
        </w:rPr>
      </w:pPr>
      <w:r w:rsidRPr="00BD2988">
        <w:rPr>
          <w:szCs w:val="22"/>
        </w:rPr>
        <w:t xml:space="preserve">Cinacalcet Accord </w:t>
      </w:r>
      <w:r w:rsidRPr="00BD2988">
        <w:rPr>
          <w:rFonts w:eastAsia="TimesNewRoman,Bold"/>
          <w:szCs w:val="22"/>
        </w:rPr>
        <w:t>yra šviesiai žalios plėvele dengtos tabletės. Jos yra ovalo formos, vienoje jų pusėje yra žymė “30”, “60” ar “90”, kitoje pusėje – “C”.</w:t>
      </w:r>
    </w:p>
    <w:p w14:paraId="4F8D203C" w14:textId="77777777" w:rsidR="00CD5D42" w:rsidRPr="00BD2988" w:rsidRDefault="00CD5D42" w:rsidP="00CD5D42">
      <w:pPr>
        <w:autoSpaceDE w:val="0"/>
        <w:autoSpaceDN w:val="0"/>
        <w:adjustRightInd w:val="0"/>
        <w:rPr>
          <w:rFonts w:eastAsia="TimesNewRoman,Bold"/>
          <w:szCs w:val="22"/>
        </w:rPr>
      </w:pPr>
    </w:p>
    <w:p w14:paraId="741A7B88" w14:textId="77777777" w:rsidR="00CD5D42" w:rsidRPr="00BD2988" w:rsidRDefault="00CD5D42" w:rsidP="00CD5D42">
      <w:pPr>
        <w:autoSpaceDE w:val="0"/>
        <w:autoSpaceDN w:val="0"/>
        <w:adjustRightInd w:val="0"/>
        <w:rPr>
          <w:rFonts w:eastAsia="TimesNewRoman,Bold"/>
          <w:snapToGrid/>
          <w:szCs w:val="22"/>
          <w:lang w:val="lt-LT"/>
        </w:rPr>
      </w:pPr>
      <w:r w:rsidRPr="00BD2988">
        <w:rPr>
          <w:szCs w:val="22"/>
        </w:rPr>
        <w:t xml:space="preserve">Cinacalcet Accord </w:t>
      </w:r>
      <w:r w:rsidRPr="00BD2988">
        <w:rPr>
          <w:rFonts w:eastAsia="TimesNewRoman,Bold"/>
          <w:szCs w:val="22"/>
        </w:rPr>
        <w:t>išleidžiamas 30 mg, 60 mg ar 90 mg plėvele dengtomis tabletėmis lizdinėse plokštelėse. Kiekvienoje kartoninėje dėžutėje yra 14, 28 ar 84 tabletės lizdinėse plokštelėse.</w:t>
      </w:r>
    </w:p>
    <w:p w14:paraId="3701F32A" w14:textId="77777777" w:rsidR="00CD5D42" w:rsidRPr="00BD2988" w:rsidRDefault="00CD5D42" w:rsidP="00CD5D42">
      <w:pPr>
        <w:autoSpaceDE w:val="0"/>
        <w:autoSpaceDN w:val="0"/>
        <w:adjustRightInd w:val="0"/>
        <w:rPr>
          <w:rFonts w:eastAsia="TimesNewRoman,Bold"/>
          <w:szCs w:val="22"/>
        </w:rPr>
      </w:pPr>
    </w:p>
    <w:p w14:paraId="60DA5551" w14:textId="77777777" w:rsidR="00CD5D42" w:rsidRPr="00BD2988" w:rsidRDefault="00CD5D42" w:rsidP="00CD5D42">
      <w:pPr>
        <w:ind w:right="-2"/>
        <w:rPr>
          <w:rFonts w:eastAsia="TimesNewRoman,Bold"/>
          <w:snapToGrid/>
          <w:szCs w:val="22"/>
          <w:lang w:val="lt-LT"/>
        </w:rPr>
      </w:pPr>
      <w:r w:rsidRPr="00BD2988">
        <w:rPr>
          <w:rFonts w:eastAsia="TimesNewRoman,Bold"/>
          <w:szCs w:val="22"/>
        </w:rPr>
        <w:t>Gali būti tiekiamos ne visų dydžių pakuotės.</w:t>
      </w:r>
    </w:p>
    <w:p w14:paraId="3307F412" w14:textId="77777777" w:rsidR="00CD5D42" w:rsidRPr="00BD2988" w:rsidRDefault="00CD5D42" w:rsidP="00CD5D42">
      <w:pPr>
        <w:ind w:right="-2"/>
        <w:rPr>
          <w:rFonts w:eastAsia="TimesNewRoman,Bold"/>
          <w:szCs w:val="22"/>
        </w:rPr>
      </w:pPr>
    </w:p>
    <w:p w14:paraId="532B22BE" w14:textId="77777777" w:rsidR="00CD5D42" w:rsidRPr="00BD2988" w:rsidRDefault="00CD5D42" w:rsidP="00CD5D42">
      <w:pPr>
        <w:autoSpaceDE w:val="0"/>
        <w:autoSpaceDN w:val="0"/>
        <w:adjustRightInd w:val="0"/>
        <w:rPr>
          <w:rFonts w:eastAsia="TimesNewRoman,Bold"/>
          <w:b/>
          <w:snapToGrid/>
          <w:szCs w:val="22"/>
          <w:lang w:val="lt-LT"/>
        </w:rPr>
      </w:pPr>
      <w:r w:rsidRPr="00BD2988">
        <w:rPr>
          <w:rFonts w:eastAsia="TimesNewRoman,Bold"/>
          <w:b/>
          <w:szCs w:val="22"/>
        </w:rPr>
        <w:t>Registruotojas ir gamintojas</w:t>
      </w:r>
    </w:p>
    <w:p w14:paraId="38E0A273" w14:textId="77777777" w:rsidR="00CD5D42" w:rsidRPr="00BD2988" w:rsidRDefault="00CD5D42" w:rsidP="00CD5D42">
      <w:pPr>
        <w:autoSpaceDE w:val="0"/>
        <w:autoSpaceDN w:val="0"/>
        <w:adjustRightInd w:val="0"/>
        <w:rPr>
          <w:rFonts w:eastAsia="TimesNewRoman,Bold"/>
          <w:b/>
          <w:szCs w:val="22"/>
        </w:rPr>
      </w:pPr>
    </w:p>
    <w:p w14:paraId="1CC4DDF0" w14:textId="77777777" w:rsidR="00CD5D42" w:rsidRPr="00BD2988" w:rsidRDefault="00CD5D42" w:rsidP="00CD5D42">
      <w:pPr>
        <w:autoSpaceDE w:val="0"/>
        <w:autoSpaceDN w:val="0"/>
        <w:adjustRightInd w:val="0"/>
        <w:rPr>
          <w:rFonts w:eastAsia="TimesNewRoman,Bold"/>
          <w:i/>
          <w:snapToGrid/>
          <w:szCs w:val="22"/>
          <w:lang w:val="lt-LT"/>
        </w:rPr>
      </w:pPr>
      <w:r w:rsidRPr="00BD2988">
        <w:rPr>
          <w:rFonts w:eastAsia="TimesNewRoman,Bold"/>
          <w:i/>
          <w:szCs w:val="22"/>
        </w:rPr>
        <w:t>Registruotojas</w:t>
      </w:r>
    </w:p>
    <w:p w14:paraId="13F07485" w14:textId="77777777" w:rsidR="002910ED" w:rsidRPr="00792BFE" w:rsidRDefault="002910ED" w:rsidP="002910ED">
      <w:pPr>
        <w:spacing w:line="240" w:lineRule="auto"/>
      </w:pPr>
      <w:r w:rsidRPr="00792BFE">
        <w:t xml:space="preserve">Accord Healthcare </w:t>
      </w:r>
      <w:r w:rsidRPr="00A62FDF">
        <w:t xml:space="preserve">B.V. </w:t>
      </w:r>
    </w:p>
    <w:p w14:paraId="0AB2C92B" w14:textId="77777777" w:rsidR="002910ED" w:rsidRDefault="002910ED" w:rsidP="002910ED">
      <w:pPr>
        <w:spacing w:line="240" w:lineRule="auto"/>
      </w:pPr>
      <w:r w:rsidRPr="00A62FDF">
        <w:t xml:space="preserve">Winthontlaan 200 </w:t>
      </w:r>
    </w:p>
    <w:p w14:paraId="07DC289A" w14:textId="77777777" w:rsidR="002910ED" w:rsidRDefault="002910ED" w:rsidP="002910ED">
      <w:pPr>
        <w:spacing w:line="240" w:lineRule="auto"/>
      </w:pPr>
      <w:r w:rsidRPr="00A62FDF">
        <w:t xml:space="preserve">3526 KV Utrecht </w:t>
      </w:r>
    </w:p>
    <w:p w14:paraId="240E5558" w14:textId="77777777" w:rsidR="002910ED" w:rsidRPr="00792BFE" w:rsidRDefault="002910ED" w:rsidP="002910ED">
      <w:pPr>
        <w:spacing w:line="240" w:lineRule="auto"/>
      </w:pPr>
      <w:r w:rsidRPr="00A62FDF">
        <w:t>Nyderlandai</w:t>
      </w:r>
    </w:p>
    <w:p w14:paraId="5CC4245B" w14:textId="77777777" w:rsidR="00CD5D42" w:rsidRPr="00BD2988" w:rsidRDefault="00CD5D42" w:rsidP="00CD5D42">
      <w:pPr>
        <w:widowControl w:val="0"/>
        <w:autoSpaceDE w:val="0"/>
        <w:autoSpaceDN w:val="0"/>
        <w:adjustRightInd w:val="0"/>
        <w:spacing w:line="273" w:lineRule="exact"/>
        <w:ind w:right="-20"/>
        <w:rPr>
          <w:kern w:val="22"/>
          <w:szCs w:val="22"/>
          <w:lang w:val="nl-NL"/>
        </w:rPr>
      </w:pPr>
    </w:p>
    <w:p w14:paraId="6BB3AA39" w14:textId="77777777" w:rsidR="00CD5D42" w:rsidRPr="00BD2988" w:rsidRDefault="00CD5D42" w:rsidP="00CD5D42">
      <w:pPr>
        <w:widowControl w:val="0"/>
        <w:autoSpaceDE w:val="0"/>
        <w:autoSpaceDN w:val="0"/>
        <w:adjustRightInd w:val="0"/>
        <w:spacing w:line="273" w:lineRule="exact"/>
        <w:ind w:right="-20"/>
        <w:rPr>
          <w:rFonts w:eastAsiaTheme="minorHAnsi"/>
          <w:i/>
          <w:snapToGrid/>
          <w:kern w:val="22"/>
          <w:szCs w:val="22"/>
          <w:lang w:val="nl-NL"/>
        </w:rPr>
      </w:pPr>
      <w:r w:rsidRPr="00BD2988">
        <w:rPr>
          <w:i/>
          <w:kern w:val="22"/>
          <w:szCs w:val="22"/>
          <w:lang w:val="nl-NL"/>
        </w:rPr>
        <w:lastRenderedPageBreak/>
        <w:t>Gamintojas</w:t>
      </w:r>
    </w:p>
    <w:p w14:paraId="26FAC2EA" w14:textId="12F5F789" w:rsidR="00CD5D42" w:rsidRPr="00BD2988" w:rsidRDefault="00CD5D42" w:rsidP="00CD5D42">
      <w:pPr>
        <w:rPr>
          <w:rFonts w:eastAsiaTheme="minorHAnsi"/>
          <w:iCs/>
          <w:snapToGrid/>
          <w:szCs w:val="22"/>
          <w:lang w:val="en-IN" w:eastAsia="de-DE"/>
        </w:rPr>
      </w:pPr>
      <w:r w:rsidRPr="00BD2988">
        <w:rPr>
          <w:szCs w:val="22"/>
          <w:lang w:val="en-IN" w:eastAsia="de-DE"/>
        </w:rPr>
        <w:t>S.C. Polisano Pharmaceuticals</w:t>
      </w:r>
      <w:r w:rsidR="001C2FE0">
        <w:rPr>
          <w:szCs w:val="22"/>
          <w:lang w:val="en-IN" w:eastAsia="de-DE"/>
        </w:rPr>
        <w:t xml:space="preserve"> </w:t>
      </w:r>
      <w:r w:rsidR="00A771EE">
        <w:rPr>
          <w:szCs w:val="22"/>
          <w:lang w:val="en-IN" w:eastAsia="de-DE"/>
        </w:rPr>
        <w:t>S.A.</w:t>
      </w:r>
      <w:r w:rsidRPr="00BD2988">
        <w:rPr>
          <w:szCs w:val="22"/>
          <w:lang w:val="en-IN" w:eastAsia="de-DE"/>
        </w:rPr>
        <w:t xml:space="preserve">, Alba Iulia </w:t>
      </w:r>
      <w:r w:rsidR="00A771EE">
        <w:rPr>
          <w:szCs w:val="22"/>
          <w:lang w:val="en-IN" w:eastAsia="de-DE"/>
        </w:rPr>
        <w:t xml:space="preserve">Road </w:t>
      </w:r>
      <w:r w:rsidRPr="00BD2988">
        <w:rPr>
          <w:szCs w:val="22"/>
          <w:lang w:val="en-IN" w:eastAsia="de-DE"/>
        </w:rPr>
        <w:t xml:space="preserve">156, 550052 Sibiu, Sibiu County, </w:t>
      </w:r>
      <w:r w:rsidRPr="00BD2988">
        <w:rPr>
          <w:iCs/>
          <w:szCs w:val="22"/>
          <w:lang w:eastAsia="de-DE"/>
        </w:rPr>
        <w:t>Rumunija</w:t>
      </w:r>
    </w:p>
    <w:p w14:paraId="7D145A47" w14:textId="77777777" w:rsidR="00CD5D42" w:rsidRDefault="00CD5D42" w:rsidP="00CD5D42">
      <w:pPr>
        <w:widowControl w:val="0"/>
        <w:autoSpaceDE w:val="0"/>
        <w:autoSpaceDN w:val="0"/>
        <w:adjustRightInd w:val="0"/>
        <w:spacing w:line="273" w:lineRule="exact"/>
        <w:ind w:right="-20"/>
        <w:rPr>
          <w:kern w:val="22"/>
          <w:szCs w:val="22"/>
          <w:lang w:val="nl-NL"/>
        </w:rPr>
      </w:pPr>
    </w:p>
    <w:p w14:paraId="573348F5" w14:textId="77777777" w:rsidR="00036C7B" w:rsidRPr="00036C7B" w:rsidRDefault="00036C7B" w:rsidP="00036C7B">
      <w:pPr>
        <w:spacing w:line="240" w:lineRule="auto"/>
        <w:contextualSpacing/>
        <w:rPr>
          <w:szCs w:val="22"/>
          <w:lang w:val="lt-LT"/>
        </w:rPr>
      </w:pPr>
      <w:r w:rsidRPr="00036C7B">
        <w:rPr>
          <w:szCs w:val="22"/>
          <w:lang w:val="lt-LT"/>
        </w:rPr>
        <w:t>Meditrial Internationals Ltd.,</w:t>
      </w:r>
    </w:p>
    <w:p w14:paraId="6582CDF9" w14:textId="77777777" w:rsidR="00036C7B" w:rsidRPr="00036C7B" w:rsidRDefault="00036C7B" w:rsidP="00036C7B">
      <w:pPr>
        <w:spacing w:line="240" w:lineRule="auto"/>
        <w:contextualSpacing/>
        <w:rPr>
          <w:szCs w:val="22"/>
          <w:lang w:val="lt-LT"/>
        </w:rPr>
      </w:pPr>
      <w:r w:rsidRPr="00036C7B">
        <w:rPr>
          <w:szCs w:val="22"/>
          <w:lang w:val="lt-LT"/>
        </w:rPr>
        <w:t xml:space="preserve">Iztok Distr., 3 Charles Darwin Str., </w:t>
      </w:r>
    </w:p>
    <w:p w14:paraId="6624A3AB" w14:textId="77777777" w:rsidR="00036C7B" w:rsidRPr="00036C7B" w:rsidRDefault="00036C7B" w:rsidP="00036C7B">
      <w:pPr>
        <w:spacing w:line="240" w:lineRule="auto"/>
        <w:contextualSpacing/>
        <w:rPr>
          <w:szCs w:val="22"/>
          <w:lang w:val="lt-LT"/>
        </w:rPr>
      </w:pPr>
      <w:r w:rsidRPr="00036C7B">
        <w:rPr>
          <w:szCs w:val="22"/>
          <w:lang w:val="lt-LT"/>
        </w:rPr>
        <w:t>Sofia 1113,</w:t>
      </w:r>
    </w:p>
    <w:p w14:paraId="57223AB6" w14:textId="26A7CBA3" w:rsidR="00036C7B" w:rsidRPr="004C6231" w:rsidRDefault="00036C7B" w:rsidP="004C6231">
      <w:pPr>
        <w:widowControl w:val="0"/>
        <w:autoSpaceDE w:val="0"/>
        <w:autoSpaceDN w:val="0"/>
        <w:adjustRightInd w:val="0"/>
        <w:spacing w:line="273" w:lineRule="exact"/>
        <w:ind w:right="-20"/>
        <w:rPr>
          <w:lang w:val="lt-LT"/>
        </w:rPr>
      </w:pPr>
      <w:r w:rsidRPr="004C6231">
        <w:rPr>
          <w:lang w:val="lt-LT"/>
        </w:rPr>
        <w:t>Bulgarija</w:t>
      </w:r>
    </w:p>
    <w:p w14:paraId="0E3BF101" w14:textId="77777777" w:rsidR="00036C7B" w:rsidRPr="00BD2988" w:rsidRDefault="00036C7B" w:rsidP="00036C7B">
      <w:pPr>
        <w:widowControl w:val="0"/>
        <w:autoSpaceDE w:val="0"/>
        <w:autoSpaceDN w:val="0"/>
        <w:adjustRightInd w:val="0"/>
        <w:spacing w:line="273" w:lineRule="exact"/>
        <w:ind w:right="-20"/>
        <w:rPr>
          <w:kern w:val="22"/>
          <w:szCs w:val="22"/>
          <w:lang w:val="nl-NL"/>
        </w:rPr>
      </w:pPr>
    </w:p>
    <w:p w14:paraId="10D85CBE" w14:textId="77777777" w:rsidR="00CD5D42" w:rsidRPr="00BD2988" w:rsidRDefault="00CD5D42" w:rsidP="00CD5D42">
      <w:pPr>
        <w:numPr>
          <w:ilvl w:val="12"/>
          <w:numId w:val="0"/>
        </w:numPr>
        <w:ind w:right="-2"/>
        <w:rPr>
          <w:rFonts w:eastAsiaTheme="minorHAnsi"/>
          <w:snapToGrid/>
          <w:szCs w:val="22"/>
          <w:lang w:val="lt-LT"/>
        </w:rPr>
      </w:pPr>
      <w:r w:rsidRPr="00BD2988">
        <w:rPr>
          <w:b/>
          <w:szCs w:val="22"/>
          <w:lang w:val="lt-LT"/>
        </w:rPr>
        <w:t>Šis vaistas EEE valstybėse narėse registruotas tokiais pavadinimais</w:t>
      </w:r>
      <w:r w:rsidRPr="00BD2988">
        <w:rPr>
          <w:szCs w:val="22"/>
          <w:lang w:val="lt-LT"/>
        </w:rPr>
        <w:t>:</w:t>
      </w:r>
    </w:p>
    <w:p w14:paraId="576A9DBE" w14:textId="77777777" w:rsidR="00CD5D42" w:rsidRPr="00BD2988" w:rsidRDefault="00CD5D42" w:rsidP="00CD5D42">
      <w:pPr>
        <w:numPr>
          <w:ilvl w:val="12"/>
          <w:numId w:val="0"/>
        </w:numPr>
        <w:ind w:right="-2"/>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6740"/>
      </w:tblGrid>
      <w:tr w:rsidR="00CD5D42" w:rsidRPr="00BD2988" w14:paraId="6AC4244B" w14:textId="77777777" w:rsidTr="004C6231">
        <w:trPr>
          <w:trHeight w:val="263"/>
        </w:trPr>
        <w:tc>
          <w:tcPr>
            <w:tcW w:w="2243" w:type="dxa"/>
          </w:tcPr>
          <w:p w14:paraId="30326F1F" w14:textId="77777777" w:rsidR="00CD5D42" w:rsidRPr="00BD2988" w:rsidRDefault="00CD5D42" w:rsidP="00AB4D0B">
            <w:pPr>
              <w:tabs>
                <w:tab w:val="clear" w:pos="567"/>
              </w:tabs>
              <w:spacing w:line="240" w:lineRule="auto"/>
              <w:rPr>
                <w:b/>
                <w:szCs w:val="22"/>
                <w:lang w:val="lt-LT"/>
              </w:rPr>
            </w:pPr>
            <w:r w:rsidRPr="00BD2988">
              <w:rPr>
                <w:b/>
                <w:szCs w:val="22"/>
                <w:lang w:val="lt-LT"/>
              </w:rPr>
              <w:t>Valstybės narės pavadinimas</w:t>
            </w:r>
          </w:p>
        </w:tc>
        <w:tc>
          <w:tcPr>
            <w:tcW w:w="6935" w:type="dxa"/>
          </w:tcPr>
          <w:p w14:paraId="19DDBDB9" w14:textId="77777777" w:rsidR="00CD5D42" w:rsidRPr="00BD2988" w:rsidRDefault="00CD5D42" w:rsidP="00AB4D0B">
            <w:pPr>
              <w:tabs>
                <w:tab w:val="clear" w:pos="567"/>
              </w:tabs>
              <w:spacing w:line="240" w:lineRule="auto"/>
              <w:rPr>
                <w:rFonts w:eastAsiaTheme="minorHAnsi"/>
                <w:b/>
                <w:snapToGrid/>
                <w:szCs w:val="22"/>
                <w:lang w:val="lt-LT"/>
              </w:rPr>
            </w:pPr>
            <w:r w:rsidRPr="00BD2988">
              <w:rPr>
                <w:b/>
                <w:szCs w:val="22"/>
                <w:lang w:val="lt-LT"/>
              </w:rPr>
              <w:t xml:space="preserve">Vaistinio preparato pavadinimas </w:t>
            </w:r>
          </w:p>
        </w:tc>
      </w:tr>
      <w:tr w:rsidR="00CD5D42" w:rsidRPr="00BD2988" w14:paraId="3353576F" w14:textId="77777777" w:rsidTr="004C6231">
        <w:trPr>
          <w:trHeight w:val="230"/>
        </w:trPr>
        <w:tc>
          <w:tcPr>
            <w:tcW w:w="2243" w:type="dxa"/>
          </w:tcPr>
          <w:p w14:paraId="01B13308" w14:textId="77777777" w:rsidR="00CD5D42" w:rsidRPr="00BD2988" w:rsidRDefault="00CD5D42" w:rsidP="00AB4D0B">
            <w:pPr>
              <w:tabs>
                <w:tab w:val="clear" w:pos="567"/>
              </w:tabs>
              <w:spacing w:line="240" w:lineRule="auto"/>
              <w:rPr>
                <w:szCs w:val="22"/>
                <w:lang w:val="lt-LT"/>
              </w:rPr>
            </w:pPr>
            <w:r w:rsidRPr="00BD2988">
              <w:rPr>
                <w:szCs w:val="22"/>
                <w:lang w:val="lt-LT"/>
              </w:rPr>
              <w:t>Suomija</w:t>
            </w:r>
          </w:p>
        </w:tc>
        <w:tc>
          <w:tcPr>
            <w:tcW w:w="6935" w:type="dxa"/>
          </w:tcPr>
          <w:p w14:paraId="05FF6F09" w14:textId="77777777" w:rsidR="00CD5D42" w:rsidRPr="00BD2988" w:rsidRDefault="00CD5D42" w:rsidP="00AB4D0B">
            <w:pPr>
              <w:tabs>
                <w:tab w:val="clear" w:pos="567"/>
              </w:tabs>
              <w:spacing w:line="240" w:lineRule="auto"/>
              <w:rPr>
                <w:szCs w:val="22"/>
                <w:lang w:val="en-IN"/>
              </w:rPr>
            </w:pPr>
            <w:r w:rsidRPr="00BD2988">
              <w:rPr>
                <w:szCs w:val="22"/>
                <w:lang w:val="en-IN"/>
              </w:rPr>
              <w:t>Cinacalcet Accord 30/60/90 mg kalvopäällysteiset tabletit</w:t>
            </w:r>
          </w:p>
        </w:tc>
      </w:tr>
      <w:tr w:rsidR="00CD5D42" w:rsidRPr="001B25A5" w14:paraId="1A9A1702" w14:textId="77777777" w:rsidTr="004C6231">
        <w:trPr>
          <w:trHeight w:val="248"/>
        </w:trPr>
        <w:tc>
          <w:tcPr>
            <w:tcW w:w="2243" w:type="dxa"/>
          </w:tcPr>
          <w:p w14:paraId="1F4DF969" w14:textId="77777777" w:rsidR="00CD5D42" w:rsidRPr="00BD2988" w:rsidRDefault="00CD5D42" w:rsidP="00AB4D0B">
            <w:pPr>
              <w:tabs>
                <w:tab w:val="clear" w:pos="567"/>
              </w:tabs>
              <w:spacing w:line="240" w:lineRule="auto"/>
              <w:rPr>
                <w:szCs w:val="22"/>
                <w:lang w:val="lt-LT"/>
              </w:rPr>
            </w:pPr>
            <w:r w:rsidRPr="00BD2988">
              <w:rPr>
                <w:szCs w:val="22"/>
                <w:lang w:val="lt-LT"/>
              </w:rPr>
              <w:t>Bulgarija</w:t>
            </w:r>
          </w:p>
        </w:tc>
        <w:tc>
          <w:tcPr>
            <w:tcW w:w="6935" w:type="dxa"/>
          </w:tcPr>
          <w:p w14:paraId="0D65EF4D" w14:textId="77777777" w:rsidR="00CD5D42" w:rsidRPr="00241BD0" w:rsidRDefault="00CD5D42" w:rsidP="00AB4D0B">
            <w:pPr>
              <w:tabs>
                <w:tab w:val="clear" w:pos="567"/>
              </w:tabs>
              <w:autoSpaceDE w:val="0"/>
              <w:autoSpaceDN w:val="0"/>
              <w:adjustRightInd w:val="0"/>
              <w:spacing w:line="240" w:lineRule="auto"/>
              <w:rPr>
                <w:rFonts w:eastAsia="Calibri"/>
                <w:color w:val="000000"/>
                <w:lang w:val="lt-LT"/>
              </w:rPr>
            </w:pPr>
            <w:r w:rsidRPr="00241BD0">
              <w:rPr>
                <w:lang w:val="lt-LT"/>
              </w:rPr>
              <w:t xml:space="preserve">Cinacalcet Accord </w:t>
            </w:r>
            <w:r w:rsidRPr="00241BD0">
              <w:rPr>
                <w:rFonts w:eastAsia="Calibri"/>
                <w:color w:val="000000"/>
                <w:lang w:val="lt-LT"/>
              </w:rPr>
              <w:t xml:space="preserve">30/60/90 mg филмирани таблетки </w:t>
            </w:r>
          </w:p>
        </w:tc>
      </w:tr>
      <w:tr w:rsidR="00CD5D42" w:rsidRPr="00A97925" w14:paraId="0B67CF98" w14:textId="77777777" w:rsidTr="004C6231">
        <w:trPr>
          <w:trHeight w:val="265"/>
        </w:trPr>
        <w:tc>
          <w:tcPr>
            <w:tcW w:w="2243" w:type="dxa"/>
          </w:tcPr>
          <w:p w14:paraId="24716223" w14:textId="77777777" w:rsidR="00CD5D42" w:rsidRPr="00BD2988" w:rsidRDefault="00CD5D42" w:rsidP="00AB4D0B">
            <w:pPr>
              <w:tabs>
                <w:tab w:val="clear" w:pos="567"/>
              </w:tabs>
              <w:spacing w:line="240" w:lineRule="auto"/>
              <w:rPr>
                <w:szCs w:val="22"/>
                <w:lang w:val="lt-LT"/>
              </w:rPr>
            </w:pPr>
            <w:r w:rsidRPr="00BD2988">
              <w:rPr>
                <w:szCs w:val="22"/>
                <w:lang w:val="lt-LT"/>
              </w:rPr>
              <w:t>Kipras</w:t>
            </w:r>
          </w:p>
        </w:tc>
        <w:tc>
          <w:tcPr>
            <w:tcW w:w="6935" w:type="dxa"/>
          </w:tcPr>
          <w:p w14:paraId="2CCE8F9A" w14:textId="77777777" w:rsidR="00CD5D42" w:rsidRPr="00BD2988" w:rsidRDefault="00CD5D42" w:rsidP="00AB4D0B">
            <w:pPr>
              <w:tabs>
                <w:tab w:val="clear" w:pos="567"/>
              </w:tabs>
              <w:autoSpaceDE w:val="0"/>
              <w:autoSpaceDN w:val="0"/>
              <w:adjustRightInd w:val="0"/>
              <w:spacing w:line="240" w:lineRule="auto"/>
              <w:rPr>
                <w:rFonts w:eastAsiaTheme="minorHAnsi"/>
                <w:snapToGrid/>
                <w:szCs w:val="22"/>
                <w:lang w:val="lt-LT"/>
              </w:rPr>
            </w:pPr>
            <w:r w:rsidRPr="00BD2988">
              <w:rPr>
                <w:szCs w:val="22"/>
                <w:lang w:val="lt-LT"/>
              </w:rPr>
              <w:t>Cinacalcet Accord</w:t>
            </w:r>
            <w:r w:rsidRPr="00BD2988">
              <w:rPr>
                <w:rFonts w:eastAsia="Calibri"/>
                <w:color w:val="000000"/>
                <w:szCs w:val="22"/>
                <w:lang w:val="lt-LT"/>
              </w:rPr>
              <w:t xml:space="preserve"> </w:t>
            </w:r>
            <w:r w:rsidRPr="00BD2988">
              <w:rPr>
                <w:szCs w:val="22"/>
                <w:lang w:val="en-IN"/>
              </w:rPr>
              <w:t>δισκία</w:t>
            </w:r>
            <w:r w:rsidRPr="00BD2988">
              <w:rPr>
                <w:szCs w:val="22"/>
                <w:lang w:val="lt-LT"/>
              </w:rPr>
              <w:t xml:space="preserve"> </w:t>
            </w:r>
            <w:r w:rsidRPr="00BD2988">
              <w:rPr>
                <w:szCs w:val="22"/>
                <w:lang w:val="en-IN"/>
              </w:rPr>
              <w:t>επικαλυμμένα</w:t>
            </w:r>
            <w:r w:rsidRPr="00BD2988">
              <w:rPr>
                <w:szCs w:val="22"/>
                <w:lang w:val="lt-LT"/>
              </w:rPr>
              <w:t xml:space="preserve"> </w:t>
            </w:r>
            <w:r w:rsidRPr="00BD2988">
              <w:rPr>
                <w:szCs w:val="22"/>
                <w:lang w:val="en-IN"/>
              </w:rPr>
              <w:t>με</w:t>
            </w:r>
            <w:r w:rsidRPr="00BD2988">
              <w:rPr>
                <w:szCs w:val="22"/>
                <w:lang w:val="lt-LT"/>
              </w:rPr>
              <w:t xml:space="preserve"> </w:t>
            </w:r>
            <w:r w:rsidRPr="00BD2988">
              <w:rPr>
                <w:szCs w:val="22"/>
                <w:lang w:val="en-IN"/>
              </w:rPr>
              <w:t>λεπτό</w:t>
            </w:r>
            <w:r w:rsidRPr="00BD2988">
              <w:rPr>
                <w:szCs w:val="22"/>
                <w:lang w:val="lt-LT"/>
              </w:rPr>
              <w:t xml:space="preserve"> </w:t>
            </w:r>
            <w:r w:rsidRPr="00BD2988">
              <w:rPr>
                <w:szCs w:val="22"/>
                <w:lang w:val="en-IN"/>
              </w:rPr>
              <w:t>υμένιο</w:t>
            </w:r>
          </w:p>
        </w:tc>
      </w:tr>
      <w:tr w:rsidR="00CD5D42" w:rsidRPr="00BD2988" w14:paraId="3392C0FE" w14:textId="77777777" w:rsidTr="004C6231">
        <w:trPr>
          <w:trHeight w:val="270"/>
        </w:trPr>
        <w:tc>
          <w:tcPr>
            <w:tcW w:w="2243" w:type="dxa"/>
          </w:tcPr>
          <w:p w14:paraId="28939E60" w14:textId="77777777" w:rsidR="00CD5D42" w:rsidRPr="00BD2988" w:rsidRDefault="00CD5D42" w:rsidP="00AB4D0B">
            <w:pPr>
              <w:tabs>
                <w:tab w:val="clear" w:pos="567"/>
              </w:tabs>
              <w:spacing w:line="240" w:lineRule="auto"/>
              <w:rPr>
                <w:szCs w:val="22"/>
                <w:lang w:val="lt-LT"/>
              </w:rPr>
            </w:pPr>
            <w:r w:rsidRPr="00BD2988">
              <w:rPr>
                <w:szCs w:val="22"/>
                <w:lang w:val="lt-LT"/>
              </w:rPr>
              <w:t>Estija</w:t>
            </w:r>
          </w:p>
        </w:tc>
        <w:tc>
          <w:tcPr>
            <w:tcW w:w="6935" w:type="dxa"/>
          </w:tcPr>
          <w:p w14:paraId="422F81C9" w14:textId="77777777" w:rsidR="00CD5D42" w:rsidRPr="00BD2988" w:rsidRDefault="00CD5D42" w:rsidP="00AB4D0B">
            <w:pPr>
              <w:tabs>
                <w:tab w:val="clear" w:pos="567"/>
              </w:tabs>
              <w:autoSpaceDE w:val="0"/>
              <w:autoSpaceDN w:val="0"/>
              <w:adjustRightInd w:val="0"/>
              <w:spacing w:line="240" w:lineRule="auto"/>
              <w:rPr>
                <w:szCs w:val="22"/>
                <w:lang w:val="en-IN"/>
              </w:rPr>
            </w:pPr>
            <w:r w:rsidRPr="00BD2988">
              <w:rPr>
                <w:szCs w:val="22"/>
                <w:lang w:val="en-IN"/>
              </w:rPr>
              <w:t>Cinacalcet Accord õhukese polümeerikattega tabletid</w:t>
            </w:r>
          </w:p>
        </w:tc>
      </w:tr>
      <w:tr w:rsidR="00CD5D42" w:rsidRPr="00BD2988" w14:paraId="04113D60" w14:textId="77777777" w:rsidTr="004C6231">
        <w:trPr>
          <w:trHeight w:val="270"/>
        </w:trPr>
        <w:tc>
          <w:tcPr>
            <w:tcW w:w="2243" w:type="dxa"/>
          </w:tcPr>
          <w:p w14:paraId="20029EA7" w14:textId="6A1AB411" w:rsidR="00CD5D42" w:rsidRPr="00BD2988" w:rsidRDefault="00D0352C" w:rsidP="00AB4D0B">
            <w:pPr>
              <w:tabs>
                <w:tab w:val="clear" w:pos="567"/>
              </w:tabs>
              <w:spacing w:line="240" w:lineRule="auto"/>
              <w:rPr>
                <w:szCs w:val="22"/>
                <w:lang w:val="en-IN"/>
              </w:rPr>
            </w:pPr>
            <w:r>
              <w:rPr>
                <w:szCs w:val="22"/>
                <w:lang w:val="et-EE"/>
              </w:rPr>
              <w:t>Kroatija</w:t>
            </w:r>
          </w:p>
        </w:tc>
        <w:tc>
          <w:tcPr>
            <w:tcW w:w="6935" w:type="dxa"/>
          </w:tcPr>
          <w:p w14:paraId="1F8D1FFF" w14:textId="77777777" w:rsidR="00CD5D42" w:rsidRPr="00BD2988" w:rsidRDefault="00CD5D42" w:rsidP="00AB4D0B">
            <w:pPr>
              <w:pStyle w:val="Default"/>
              <w:rPr>
                <w:sz w:val="22"/>
                <w:szCs w:val="22"/>
                <w:lang w:val="en-IN"/>
              </w:rPr>
            </w:pPr>
            <w:r w:rsidRPr="00BD2988">
              <w:rPr>
                <w:sz w:val="22"/>
                <w:szCs w:val="22"/>
                <w:lang w:val="en-IN"/>
              </w:rPr>
              <w:t>Sinakalcet Accord 30/60/90 mg filmom obložene tablete</w:t>
            </w:r>
          </w:p>
        </w:tc>
      </w:tr>
      <w:tr w:rsidR="00CD5D42" w:rsidRPr="00BD2988" w14:paraId="2C58C12B" w14:textId="77777777" w:rsidTr="004C6231">
        <w:trPr>
          <w:trHeight w:val="270"/>
        </w:trPr>
        <w:tc>
          <w:tcPr>
            <w:tcW w:w="2243" w:type="dxa"/>
          </w:tcPr>
          <w:p w14:paraId="246C4725" w14:textId="77777777" w:rsidR="00CD5D42" w:rsidRPr="00BD2988" w:rsidRDefault="00CD5D42" w:rsidP="00AB4D0B">
            <w:pPr>
              <w:tabs>
                <w:tab w:val="clear" w:pos="567"/>
              </w:tabs>
              <w:spacing w:line="240" w:lineRule="auto"/>
              <w:rPr>
                <w:szCs w:val="22"/>
                <w:lang w:val="et-EE"/>
              </w:rPr>
            </w:pPr>
            <w:r w:rsidRPr="00BD2988">
              <w:rPr>
                <w:szCs w:val="22"/>
                <w:lang w:val="lt-LT"/>
              </w:rPr>
              <w:t>Islandija</w:t>
            </w:r>
          </w:p>
        </w:tc>
        <w:tc>
          <w:tcPr>
            <w:tcW w:w="6935" w:type="dxa"/>
          </w:tcPr>
          <w:p w14:paraId="68F223EA" w14:textId="77777777" w:rsidR="00CD5D42" w:rsidRPr="00BD2988" w:rsidRDefault="00CD5D42" w:rsidP="00AB4D0B">
            <w:pPr>
              <w:pStyle w:val="Default"/>
              <w:rPr>
                <w:sz w:val="22"/>
                <w:szCs w:val="22"/>
                <w:lang w:val="en-IN"/>
              </w:rPr>
            </w:pPr>
            <w:r w:rsidRPr="00BD2988">
              <w:rPr>
                <w:sz w:val="22"/>
                <w:szCs w:val="22"/>
                <w:lang w:val="en-IN"/>
              </w:rPr>
              <w:t>Cinacalcet Accord</w:t>
            </w:r>
            <w:r w:rsidRPr="00BD2988">
              <w:rPr>
                <w:sz w:val="22"/>
                <w:szCs w:val="22"/>
              </w:rPr>
              <w:t xml:space="preserve"> </w:t>
            </w:r>
            <w:r w:rsidRPr="00BD2988">
              <w:rPr>
                <w:sz w:val="22"/>
                <w:szCs w:val="22"/>
                <w:lang w:val="en-IN"/>
              </w:rPr>
              <w:t xml:space="preserve">30/60/90 mg filmuhúðaðar töflur </w:t>
            </w:r>
          </w:p>
        </w:tc>
      </w:tr>
      <w:tr w:rsidR="00CD5D42" w:rsidRPr="00BD2988" w14:paraId="66CFE198" w14:textId="77777777" w:rsidTr="004C6231">
        <w:trPr>
          <w:trHeight w:val="270"/>
        </w:trPr>
        <w:tc>
          <w:tcPr>
            <w:tcW w:w="2243" w:type="dxa"/>
          </w:tcPr>
          <w:p w14:paraId="63F75D72" w14:textId="77777777" w:rsidR="00CD5D42" w:rsidRPr="00BD2988" w:rsidRDefault="00CD5D42" w:rsidP="00AB4D0B">
            <w:pPr>
              <w:tabs>
                <w:tab w:val="clear" w:pos="567"/>
              </w:tabs>
              <w:spacing w:line="240" w:lineRule="auto"/>
              <w:rPr>
                <w:szCs w:val="22"/>
                <w:lang w:val="lt-LT"/>
              </w:rPr>
            </w:pPr>
            <w:r w:rsidRPr="00BD2988">
              <w:rPr>
                <w:szCs w:val="22"/>
                <w:lang w:val="lt-LT"/>
              </w:rPr>
              <w:t>Lietuva</w:t>
            </w:r>
          </w:p>
        </w:tc>
        <w:tc>
          <w:tcPr>
            <w:tcW w:w="6935" w:type="dxa"/>
          </w:tcPr>
          <w:p w14:paraId="23C8BB8D" w14:textId="1D7AE853" w:rsidR="00CD5D42" w:rsidRPr="00BD2988" w:rsidRDefault="00CD5D42" w:rsidP="00AB4D0B">
            <w:pPr>
              <w:pStyle w:val="Default"/>
              <w:rPr>
                <w:sz w:val="22"/>
                <w:szCs w:val="22"/>
                <w:lang w:val="en-IN"/>
              </w:rPr>
            </w:pPr>
            <w:r w:rsidRPr="00BD2988">
              <w:rPr>
                <w:sz w:val="22"/>
                <w:szCs w:val="22"/>
                <w:lang w:val="en-IN"/>
              </w:rPr>
              <w:t>Cinacalcet Accord 30/60/90 mg plėvele dengtos tabletės</w:t>
            </w:r>
          </w:p>
        </w:tc>
      </w:tr>
      <w:tr w:rsidR="00CD5D42" w:rsidRPr="00BD2988" w14:paraId="7D99E6FF" w14:textId="77777777" w:rsidTr="004C6231">
        <w:trPr>
          <w:trHeight w:val="270"/>
        </w:trPr>
        <w:tc>
          <w:tcPr>
            <w:tcW w:w="2243" w:type="dxa"/>
          </w:tcPr>
          <w:p w14:paraId="500E6819" w14:textId="77777777" w:rsidR="00CD5D42" w:rsidRPr="00BD2988" w:rsidRDefault="00CD5D42" w:rsidP="00AB4D0B">
            <w:pPr>
              <w:tabs>
                <w:tab w:val="clear" w:pos="567"/>
              </w:tabs>
              <w:spacing w:line="240" w:lineRule="auto"/>
              <w:rPr>
                <w:szCs w:val="22"/>
                <w:lang w:val="lt-LT"/>
              </w:rPr>
            </w:pPr>
            <w:r w:rsidRPr="00BD2988">
              <w:rPr>
                <w:szCs w:val="22"/>
                <w:lang w:val="lt-LT"/>
              </w:rPr>
              <w:t>Latvija</w:t>
            </w:r>
          </w:p>
        </w:tc>
        <w:tc>
          <w:tcPr>
            <w:tcW w:w="6935" w:type="dxa"/>
          </w:tcPr>
          <w:p w14:paraId="53BC65CA" w14:textId="77777777" w:rsidR="00CD5D42" w:rsidRPr="00BD2988" w:rsidRDefault="00CD5D42" w:rsidP="00AB4D0B">
            <w:pPr>
              <w:pStyle w:val="Default"/>
              <w:rPr>
                <w:sz w:val="22"/>
                <w:szCs w:val="22"/>
                <w:lang w:val="en-IN"/>
              </w:rPr>
            </w:pPr>
            <w:r w:rsidRPr="00BD2988">
              <w:rPr>
                <w:sz w:val="22"/>
                <w:szCs w:val="22"/>
                <w:lang w:val="en-IN"/>
              </w:rPr>
              <w:t>Cinacalcet Accord 30/60/90 mg apvalkotās tabletes</w:t>
            </w:r>
          </w:p>
        </w:tc>
      </w:tr>
      <w:tr w:rsidR="00CD5D42" w:rsidRPr="00BD2988" w14:paraId="2A7AD219" w14:textId="77777777" w:rsidTr="004C6231">
        <w:trPr>
          <w:trHeight w:val="270"/>
        </w:trPr>
        <w:tc>
          <w:tcPr>
            <w:tcW w:w="2243" w:type="dxa"/>
          </w:tcPr>
          <w:p w14:paraId="143FC511" w14:textId="77777777" w:rsidR="00CD5D42" w:rsidRPr="00BD2988" w:rsidRDefault="00CD5D42" w:rsidP="00AB4D0B">
            <w:pPr>
              <w:tabs>
                <w:tab w:val="clear" w:pos="567"/>
              </w:tabs>
              <w:spacing w:line="240" w:lineRule="auto"/>
              <w:rPr>
                <w:szCs w:val="22"/>
                <w:lang w:val="lt-LT"/>
              </w:rPr>
            </w:pPr>
            <w:r w:rsidRPr="00BD2988">
              <w:rPr>
                <w:szCs w:val="22"/>
                <w:lang w:val="lt-LT"/>
              </w:rPr>
              <w:t>Malta</w:t>
            </w:r>
          </w:p>
        </w:tc>
        <w:tc>
          <w:tcPr>
            <w:tcW w:w="6935" w:type="dxa"/>
          </w:tcPr>
          <w:p w14:paraId="6D77DD89" w14:textId="77777777" w:rsidR="00CD5D42" w:rsidRPr="00BD2988" w:rsidRDefault="00CD5D42" w:rsidP="00AB4D0B">
            <w:pPr>
              <w:pStyle w:val="Default"/>
              <w:rPr>
                <w:sz w:val="22"/>
                <w:szCs w:val="22"/>
                <w:lang w:val="en-IN"/>
              </w:rPr>
            </w:pPr>
            <w:r w:rsidRPr="00BD2988">
              <w:rPr>
                <w:sz w:val="22"/>
                <w:szCs w:val="22"/>
                <w:lang w:val="en-IN"/>
              </w:rPr>
              <w:t>Cinacalcet Accord film-coated tablet</w:t>
            </w:r>
          </w:p>
        </w:tc>
      </w:tr>
      <w:tr w:rsidR="00CD5D42" w:rsidRPr="00BD2988" w14:paraId="15165F4A" w14:textId="77777777" w:rsidTr="004C6231">
        <w:trPr>
          <w:trHeight w:val="280"/>
        </w:trPr>
        <w:tc>
          <w:tcPr>
            <w:tcW w:w="2243" w:type="dxa"/>
          </w:tcPr>
          <w:p w14:paraId="44DAD057" w14:textId="77777777" w:rsidR="00CD5D42" w:rsidRPr="00BD2988" w:rsidRDefault="00CD5D42" w:rsidP="00AB4D0B">
            <w:pPr>
              <w:tabs>
                <w:tab w:val="clear" w:pos="567"/>
              </w:tabs>
              <w:spacing w:line="240" w:lineRule="auto"/>
              <w:rPr>
                <w:szCs w:val="22"/>
                <w:lang w:val="lt-LT"/>
              </w:rPr>
            </w:pPr>
            <w:r w:rsidRPr="00BD2988">
              <w:rPr>
                <w:szCs w:val="22"/>
                <w:lang w:val="lt-LT"/>
              </w:rPr>
              <w:t>Norvegija</w:t>
            </w:r>
          </w:p>
        </w:tc>
        <w:tc>
          <w:tcPr>
            <w:tcW w:w="6935" w:type="dxa"/>
          </w:tcPr>
          <w:p w14:paraId="1977697B" w14:textId="77777777" w:rsidR="00CD5D42" w:rsidRPr="00BD2988" w:rsidRDefault="00CD5D42" w:rsidP="00AB4D0B">
            <w:pPr>
              <w:tabs>
                <w:tab w:val="clear" w:pos="567"/>
              </w:tabs>
              <w:autoSpaceDE w:val="0"/>
              <w:autoSpaceDN w:val="0"/>
              <w:adjustRightInd w:val="0"/>
              <w:spacing w:line="240" w:lineRule="auto"/>
              <w:rPr>
                <w:rFonts w:eastAsia="Calibri"/>
                <w:snapToGrid/>
                <w:color w:val="000000"/>
                <w:szCs w:val="22"/>
                <w:lang w:val="en-IN"/>
              </w:rPr>
            </w:pPr>
            <w:r w:rsidRPr="00BD2988">
              <w:rPr>
                <w:rFonts w:eastAsia="Calibri"/>
                <w:color w:val="000000"/>
                <w:szCs w:val="22"/>
                <w:lang w:val="en-IN"/>
              </w:rPr>
              <w:t xml:space="preserve">Cinacalcet Accord 30/60/90 mg filmdrasjerte tabletter </w:t>
            </w:r>
          </w:p>
        </w:tc>
      </w:tr>
      <w:tr w:rsidR="00CD5D42" w:rsidRPr="00BD2988" w14:paraId="5FFC88B1" w14:textId="77777777" w:rsidTr="004C6231">
        <w:trPr>
          <w:trHeight w:val="269"/>
        </w:trPr>
        <w:tc>
          <w:tcPr>
            <w:tcW w:w="2243" w:type="dxa"/>
          </w:tcPr>
          <w:p w14:paraId="165257ED" w14:textId="0F2F88C7" w:rsidR="00CD5D42" w:rsidRPr="00BD2988" w:rsidRDefault="00D0352C" w:rsidP="00AB4D0B">
            <w:pPr>
              <w:tabs>
                <w:tab w:val="clear" w:pos="567"/>
              </w:tabs>
              <w:spacing w:line="240" w:lineRule="auto"/>
              <w:rPr>
                <w:szCs w:val="22"/>
                <w:lang w:val="en-IN"/>
              </w:rPr>
            </w:pPr>
            <w:r>
              <w:rPr>
                <w:szCs w:val="22"/>
                <w:lang w:val="et-EE"/>
              </w:rPr>
              <w:t>Lenkija</w:t>
            </w:r>
          </w:p>
        </w:tc>
        <w:tc>
          <w:tcPr>
            <w:tcW w:w="6935" w:type="dxa"/>
          </w:tcPr>
          <w:p w14:paraId="7003E1DB" w14:textId="77777777" w:rsidR="00CD5D42" w:rsidRPr="00BD2988" w:rsidRDefault="00CD5D42" w:rsidP="00AB4D0B">
            <w:pPr>
              <w:tabs>
                <w:tab w:val="clear" w:pos="567"/>
              </w:tabs>
              <w:autoSpaceDE w:val="0"/>
              <w:autoSpaceDN w:val="0"/>
              <w:adjustRightInd w:val="0"/>
              <w:spacing w:line="240" w:lineRule="auto"/>
              <w:rPr>
                <w:rFonts w:eastAsia="Calibri"/>
                <w:snapToGrid/>
                <w:color w:val="000000"/>
                <w:szCs w:val="22"/>
                <w:lang w:val="en-IN"/>
              </w:rPr>
            </w:pPr>
            <w:r w:rsidRPr="00BD2988">
              <w:rPr>
                <w:rFonts w:eastAsia="Calibri"/>
                <w:color w:val="000000"/>
                <w:szCs w:val="22"/>
                <w:lang w:val="en-IN"/>
              </w:rPr>
              <w:t xml:space="preserve">Cinacalcet Accord 30/60/90 mg tabletki powlekane </w:t>
            </w:r>
          </w:p>
        </w:tc>
      </w:tr>
      <w:tr w:rsidR="00CD5D42" w:rsidRPr="00BD2988" w14:paraId="25C4D0EB" w14:textId="77777777" w:rsidTr="004C6231">
        <w:trPr>
          <w:trHeight w:val="402"/>
        </w:trPr>
        <w:tc>
          <w:tcPr>
            <w:tcW w:w="2243" w:type="dxa"/>
          </w:tcPr>
          <w:p w14:paraId="7614CB22" w14:textId="77777777" w:rsidR="00CD5D42" w:rsidRPr="00BD2988" w:rsidRDefault="00CD5D42" w:rsidP="00AB4D0B">
            <w:pPr>
              <w:tabs>
                <w:tab w:val="clear" w:pos="567"/>
              </w:tabs>
              <w:spacing w:line="240" w:lineRule="auto"/>
              <w:rPr>
                <w:szCs w:val="22"/>
                <w:lang w:val="et-EE"/>
              </w:rPr>
            </w:pPr>
            <w:r w:rsidRPr="00BD2988">
              <w:rPr>
                <w:szCs w:val="22"/>
                <w:lang w:val="lt-LT"/>
              </w:rPr>
              <w:t>Slovakija</w:t>
            </w:r>
          </w:p>
        </w:tc>
        <w:tc>
          <w:tcPr>
            <w:tcW w:w="6935" w:type="dxa"/>
          </w:tcPr>
          <w:p w14:paraId="16C1D994" w14:textId="77777777" w:rsidR="00CD5D42" w:rsidRPr="00BD2988" w:rsidRDefault="00CD5D42" w:rsidP="00AB4D0B">
            <w:pPr>
              <w:pStyle w:val="Default"/>
              <w:rPr>
                <w:sz w:val="22"/>
                <w:szCs w:val="22"/>
                <w:lang w:val="en-IN"/>
              </w:rPr>
            </w:pPr>
            <w:r w:rsidRPr="00BD2988">
              <w:rPr>
                <w:sz w:val="22"/>
                <w:szCs w:val="22"/>
                <w:lang w:val="en-IN"/>
              </w:rPr>
              <w:t>Cinacalcet Accord</w:t>
            </w:r>
            <w:r w:rsidRPr="00BD2988">
              <w:rPr>
                <w:sz w:val="22"/>
                <w:szCs w:val="22"/>
              </w:rPr>
              <w:t xml:space="preserve"> </w:t>
            </w:r>
            <w:r w:rsidRPr="00BD2988">
              <w:rPr>
                <w:sz w:val="22"/>
                <w:szCs w:val="22"/>
                <w:lang w:val="en-IN"/>
              </w:rPr>
              <w:t>30/60/90 mg filmom obalené tablety</w:t>
            </w:r>
          </w:p>
        </w:tc>
      </w:tr>
    </w:tbl>
    <w:p w14:paraId="0A8F8C29" w14:textId="77777777" w:rsidR="00CD5D42" w:rsidRPr="00BD2988" w:rsidRDefault="00CD5D42" w:rsidP="00CD5D42">
      <w:pPr>
        <w:numPr>
          <w:ilvl w:val="12"/>
          <w:numId w:val="0"/>
        </w:numPr>
        <w:ind w:right="-2"/>
        <w:rPr>
          <w:szCs w:val="22"/>
          <w:lang w:val="lt-LT"/>
        </w:rPr>
      </w:pPr>
    </w:p>
    <w:p w14:paraId="4000AAA1" w14:textId="77777777" w:rsidR="00CD5D42" w:rsidRPr="00BD2988" w:rsidRDefault="00CD5D42" w:rsidP="00CD5D42">
      <w:pPr>
        <w:numPr>
          <w:ilvl w:val="12"/>
          <w:numId w:val="0"/>
        </w:numPr>
        <w:ind w:right="-2"/>
        <w:rPr>
          <w:b/>
          <w:szCs w:val="22"/>
          <w:lang w:val="es-ES_tradnl"/>
        </w:rPr>
      </w:pPr>
    </w:p>
    <w:p w14:paraId="749EC2FE" w14:textId="090F368F" w:rsidR="00CD5D42" w:rsidRPr="00BD2988" w:rsidRDefault="00CD5D42" w:rsidP="00CD5D42">
      <w:pPr>
        <w:numPr>
          <w:ilvl w:val="12"/>
          <w:numId w:val="0"/>
        </w:numPr>
        <w:ind w:right="-2"/>
        <w:rPr>
          <w:b/>
          <w:szCs w:val="22"/>
          <w:lang w:val="es-ES_tradnl"/>
        </w:rPr>
      </w:pPr>
      <w:r w:rsidRPr="00BD2988">
        <w:rPr>
          <w:b/>
          <w:szCs w:val="22"/>
          <w:lang w:val="es-ES_tradnl"/>
        </w:rPr>
        <w:t>Šis pakuotės lapelis paskutinį kartą peržiūrėtas</w:t>
      </w:r>
      <w:r w:rsidR="008C0F0C">
        <w:rPr>
          <w:b/>
          <w:szCs w:val="22"/>
          <w:lang w:val="es-ES_tradnl"/>
        </w:rPr>
        <w:t xml:space="preserve"> </w:t>
      </w:r>
      <w:r w:rsidR="00DE2397" w:rsidRPr="00610BE6">
        <w:rPr>
          <w:b/>
          <w:szCs w:val="22"/>
          <w:lang w:val="es-ES_tradnl"/>
        </w:rPr>
        <w:t>20</w:t>
      </w:r>
      <w:r w:rsidR="008376B1">
        <w:rPr>
          <w:b/>
          <w:szCs w:val="22"/>
          <w:lang w:val="es-ES_tradnl"/>
        </w:rPr>
        <w:t>21-06-29</w:t>
      </w:r>
      <w:r w:rsidR="00D2222B" w:rsidRPr="00610BE6">
        <w:rPr>
          <w:b/>
          <w:szCs w:val="22"/>
          <w:lang w:val="es-ES_tradnl"/>
        </w:rPr>
        <w:t>.</w:t>
      </w:r>
    </w:p>
    <w:p w14:paraId="09AB88AE" w14:textId="77777777" w:rsidR="00CD5D42" w:rsidRPr="00BD2988" w:rsidRDefault="00CD5D42" w:rsidP="00CD5D42">
      <w:pPr>
        <w:numPr>
          <w:ilvl w:val="12"/>
          <w:numId w:val="0"/>
        </w:numPr>
        <w:ind w:right="-2"/>
        <w:rPr>
          <w:b/>
          <w:szCs w:val="22"/>
          <w:lang w:val="es-ES_tradnl"/>
        </w:rPr>
      </w:pPr>
      <w:r w:rsidRPr="00BD2988">
        <w:rPr>
          <w:b/>
          <w:szCs w:val="22"/>
          <w:lang w:val="es-ES_tradnl"/>
        </w:rPr>
        <w:t xml:space="preserve"> </w:t>
      </w:r>
    </w:p>
    <w:p w14:paraId="14A73F2D" w14:textId="77777777" w:rsidR="00CD5D42" w:rsidRPr="00BD2988" w:rsidRDefault="00CD5D42" w:rsidP="00CD5D42">
      <w:pPr>
        <w:numPr>
          <w:ilvl w:val="12"/>
          <w:numId w:val="0"/>
        </w:numPr>
        <w:ind w:right="-2"/>
        <w:rPr>
          <w:b/>
          <w:szCs w:val="22"/>
          <w:lang w:val="es-ES_tradnl"/>
        </w:rPr>
      </w:pPr>
    </w:p>
    <w:p w14:paraId="6F2F4B28" w14:textId="77777777" w:rsidR="00CD5D42" w:rsidRPr="00BD2988" w:rsidRDefault="00CD5D42" w:rsidP="00CD5D42">
      <w:pPr>
        <w:numPr>
          <w:ilvl w:val="12"/>
          <w:numId w:val="0"/>
        </w:numPr>
        <w:ind w:right="-2"/>
        <w:contextualSpacing/>
        <w:rPr>
          <w:rFonts w:eastAsiaTheme="minorHAnsi"/>
          <w:snapToGrid/>
          <w:szCs w:val="22"/>
          <w:lang w:val="lt-LT"/>
        </w:rPr>
      </w:pPr>
      <w:r w:rsidRPr="00BD2988">
        <w:rPr>
          <w:szCs w:val="22"/>
          <w:lang w:val="es-ES_tradnl"/>
        </w:rPr>
        <w:t>Išsami informacija apie šį vaistą pateikiama Valstybinės vaistų kontrolės tarnybos prie Lietuvos Respublikos sveikatos apsaugos ministerijos tinklalapyje</w:t>
      </w:r>
      <w:r w:rsidRPr="00BD2988">
        <w:rPr>
          <w:i/>
          <w:szCs w:val="22"/>
          <w:lang w:val="es-ES_tradnl"/>
        </w:rPr>
        <w:t xml:space="preserve"> </w:t>
      </w:r>
      <w:hyperlink r:id="rId9" w:history="1">
        <w:r w:rsidRPr="00BD2988">
          <w:rPr>
            <w:rStyle w:val="Hyperlink"/>
            <w:rFonts w:eastAsia="SimSun"/>
            <w:szCs w:val="22"/>
            <w:lang w:val="es-ES_tradnl"/>
          </w:rPr>
          <w:t>http://www.vvkt.lt/</w:t>
        </w:r>
      </w:hyperlink>
      <w:r w:rsidRPr="00BD2988">
        <w:rPr>
          <w:szCs w:val="22"/>
          <w:lang w:val="es-ES_tradnl"/>
        </w:rPr>
        <w:t>.</w:t>
      </w:r>
    </w:p>
    <w:p w14:paraId="04632503" w14:textId="77777777" w:rsidR="00CD5D42" w:rsidRPr="00BD2988" w:rsidRDefault="00CD5D42" w:rsidP="00CD5D42">
      <w:pPr>
        <w:rPr>
          <w:szCs w:val="22"/>
          <w:lang w:val="es-ES_tradnl"/>
        </w:rPr>
      </w:pPr>
    </w:p>
    <w:p w14:paraId="6A8F91B8" w14:textId="77777777" w:rsidR="00CD5D42" w:rsidRPr="00554F2F" w:rsidRDefault="00CD5D42" w:rsidP="00CD5D42">
      <w:pPr>
        <w:rPr>
          <w:lang w:val="es-ES_tradnl"/>
        </w:rPr>
      </w:pPr>
    </w:p>
    <w:p w14:paraId="20D63170" w14:textId="77777777" w:rsidR="006C4DE3" w:rsidRPr="004C6231" w:rsidRDefault="006C4DE3">
      <w:pPr>
        <w:rPr>
          <w:lang w:val="es-ES_tradnl"/>
        </w:rPr>
      </w:pPr>
    </w:p>
    <w:sectPr w:rsidR="006C4DE3" w:rsidRPr="004C6231" w:rsidSect="00AB4D0B">
      <w:headerReference w:type="default" r:id="rId10"/>
      <w:footerReference w:type="default" r:id="rId11"/>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AB164" w16cex:dateUtc="2020-05-28T18: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184D4D" w16cid:durableId="227AB16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1BA9B" w14:textId="77777777" w:rsidR="004C571E" w:rsidRDefault="004C571E">
      <w:pPr>
        <w:spacing w:line="240" w:lineRule="auto"/>
      </w:pPr>
      <w:r>
        <w:separator/>
      </w:r>
    </w:p>
  </w:endnote>
  <w:endnote w:type="continuationSeparator" w:id="0">
    <w:p w14:paraId="69855A53" w14:textId="77777777" w:rsidR="004C571E" w:rsidRDefault="004C571E">
      <w:pPr>
        <w:spacing w:line="240" w:lineRule="auto"/>
      </w:pPr>
      <w:r>
        <w:continuationSeparator/>
      </w:r>
    </w:p>
  </w:endnote>
  <w:endnote w:type="continuationNotice" w:id="1">
    <w:p w14:paraId="2BBC3EA4" w14:textId="77777777" w:rsidR="004C571E" w:rsidRDefault="004C571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73457"/>
      <w:docPartObj>
        <w:docPartGallery w:val="Page Numbers (Bottom of Page)"/>
        <w:docPartUnique/>
      </w:docPartObj>
    </w:sdtPr>
    <w:sdtEndPr/>
    <w:sdtContent>
      <w:p w14:paraId="54335740" w14:textId="75D6229D" w:rsidR="00D0352C" w:rsidRDefault="00D0352C">
        <w:pPr>
          <w:pStyle w:val="Footer"/>
          <w:jc w:val="center"/>
        </w:pPr>
        <w:r>
          <w:fldChar w:fldCharType="begin"/>
        </w:r>
        <w:r>
          <w:instrText>PAGE   \* MERGEFORMAT</w:instrText>
        </w:r>
        <w:r>
          <w:fldChar w:fldCharType="separate"/>
        </w:r>
        <w:r w:rsidR="004F495E" w:rsidRPr="004F495E">
          <w:rPr>
            <w:noProof/>
            <w:lang w:val="lt-LT"/>
          </w:rPr>
          <w:t>1</w:t>
        </w:r>
        <w:r>
          <w:fldChar w:fldCharType="end"/>
        </w:r>
      </w:p>
    </w:sdtContent>
  </w:sdt>
  <w:p w14:paraId="50A7099E" w14:textId="77777777" w:rsidR="00D0352C" w:rsidRDefault="00D035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8F92C" w14:textId="77777777" w:rsidR="004C571E" w:rsidRDefault="004C571E">
      <w:pPr>
        <w:spacing w:line="240" w:lineRule="auto"/>
      </w:pPr>
      <w:r>
        <w:separator/>
      </w:r>
    </w:p>
  </w:footnote>
  <w:footnote w:type="continuationSeparator" w:id="0">
    <w:p w14:paraId="1CF66B21" w14:textId="77777777" w:rsidR="004C571E" w:rsidRDefault="004C571E">
      <w:pPr>
        <w:spacing w:line="240" w:lineRule="auto"/>
      </w:pPr>
      <w:r>
        <w:continuationSeparator/>
      </w:r>
    </w:p>
  </w:footnote>
  <w:footnote w:type="continuationNotice" w:id="1">
    <w:p w14:paraId="121391A7" w14:textId="77777777" w:rsidR="004C571E" w:rsidRDefault="004C571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65E" w14:textId="77777777" w:rsidR="00D0352C" w:rsidRDefault="00D035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6090C"/>
    <w:multiLevelType w:val="hybridMultilevel"/>
    <w:tmpl w:val="68B20DA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C2B5B"/>
    <w:multiLevelType w:val="hybridMultilevel"/>
    <w:tmpl w:val="F44806B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1F74D"/>
    <w:multiLevelType w:val="hybridMultilevel"/>
    <w:tmpl w:val="6CF73F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34D91"/>
    <w:multiLevelType w:val="hybridMultilevel"/>
    <w:tmpl w:val="186AE08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B3697"/>
    <w:multiLevelType w:val="hybridMultilevel"/>
    <w:tmpl w:val="F0243F4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D3001"/>
    <w:multiLevelType w:val="hybridMultilevel"/>
    <w:tmpl w:val="C50289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3B4923"/>
    <w:multiLevelType w:val="hybridMultilevel"/>
    <w:tmpl w:val="305A7CBC"/>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B103D"/>
    <w:multiLevelType w:val="hybridMultilevel"/>
    <w:tmpl w:val="CD92053A"/>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E45EF"/>
    <w:multiLevelType w:val="hybridMultilevel"/>
    <w:tmpl w:val="67E2C6D2"/>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7510F"/>
    <w:multiLevelType w:val="hybridMultilevel"/>
    <w:tmpl w:val="905EFC4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4C50137"/>
    <w:multiLevelType w:val="hybridMultilevel"/>
    <w:tmpl w:val="874E4C74"/>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5839C9"/>
    <w:multiLevelType w:val="hybridMultilevel"/>
    <w:tmpl w:val="0192A26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5A3F8E"/>
    <w:multiLevelType w:val="hybridMultilevel"/>
    <w:tmpl w:val="C19C0DA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31443"/>
    <w:multiLevelType w:val="hybridMultilevel"/>
    <w:tmpl w:val="E16C82A2"/>
    <w:lvl w:ilvl="0" w:tplc="4106F35C">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4E92557"/>
    <w:multiLevelType w:val="hybridMultilevel"/>
    <w:tmpl w:val="89446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707B8C"/>
    <w:multiLevelType w:val="hybridMultilevel"/>
    <w:tmpl w:val="D4AE91B0"/>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A90E6B"/>
    <w:multiLevelType w:val="hybridMultilevel"/>
    <w:tmpl w:val="F500A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F46EC"/>
    <w:multiLevelType w:val="hybridMultilevel"/>
    <w:tmpl w:val="A6B850D8"/>
    <w:lvl w:ilvl="0" w:tplc="B096EA7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A45DE7"/>
    <w:multiLevelType w:val="hybridMultilevel"/>
    <w:tmpl w:val="7E2CC2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5A519AD"/>
    <w:multiLevelType w:val="hybridMultilevel"/>
    <w:tmpl w:val="BD62E922"/>
    <w:lvl w:ilvl="0" w:tplc="F020936A">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75679CC"/>
    <w:multiLevelType w:val="hybridMultilevel"/>
    <w:tmpl w:val="A25AD174"/>
    <w:lvl w:ilvl="0" w:tplc="8D3A95D2">
      <w:start w:val="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0"/>
    <w:lvlOverride w:ilvl="0">
      <w:lvl w:ilvl="0">
        <w:start w:val="1"/>
        <w:numFmt w:val="bullet"/>
        <w:lvlText w:val="-"/>
        <w:lvlJc w:val="left"/>
        <w:pPr>
          <w:ind w:left="72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7"/>
  </w:num>
  <w:num w:numId="7">
    <w:abstractNumId w:val="19"/>
  </w:num>
  <w:num w:numId="8">
    <w:abstractNumId w:val="1"/>
  </w:num>
  <w:num w:numId="9">
    <w:abstractNumId w:val="9"/>
  </w:num>
  <w:num w:numId="10">
    <w:abstractNumId w:val="17"/>
  </w:num>
  <w:num w:numId="11">
    <w:abstractNumId w:val="6"/>
  </w:num>
  <w:num w:numId="12">
    <w:abstractNumId w:val="10"/>
  </w:num>
  <w:num w:numId="13">
    <w:abstractNumId w:val="13"/>
  </w:num>
  <w:num w:numId="14">
    <w:abstractNumId w:val="14"/>
  </w:num>
  <w:num w:numId="15">
    <w:abstractNumId w:val="12"/>
  </w:num>
  <w:num w:numId="16">
    <w:abstractNumId w:val="8"/>
  </w:num>
  <w:num w:numId="17">
    <w:abstractNumId w:val="2"/>
  </w:num>
  <w:num w:numId="18">
    <w:abstractNumId w:val="5"/>
  </w:num>
  <w:num w:numId="19">
    <w:abstractNumId w:val="22"/>
  </w:num>
  <w:num w:numId="20">
    <w:abstractNumId w:val="11"/>
  </w:num>
  <w:num w:numId="21">
    <w:abstractNumId w:val="15"/>
  </w:num>
  <w:num w:numId="22">
    <w:abstractNumId w:val="21"/>
  </w:num>
  <w:num w:numId="23">
    <w:abstractNumId w:val="23"/>
  </w:num>
  <w:num w:numId="24">
    <w:abstractNumId w:val="16"/>
  </w:num>
  <w:num w:numId="25">
    <w:abstractNumId w:val="18"/>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384"/>
    <w:rsid w:val="00015D51"/>
    <w:rsid w:val="0002215C"/>
    <w:rsid w:val="00027798"/>
    <w:rsid w:val="00036C7B"/>
    <w:rsid w:val="0008161B"/>
    <w:rsid w:val="000D4076"/>
    <w:rsid w:val="00176A05"/>
    <w:rsid w:val="00177A4F"/>
    <w:rsid w:val="00181C41"/>
    <w:rsid w:val="001B25A5"/>
    <w:rsid w:val="001C2FE0"/>
    <w:rsid w:val="001C5C0B"/>
    <w:rsid w:val="001D452C"/>
    <w:rsid w:val="00211EEB"/>
    <w:rsid w:val="00212301"/>
    <w:rsid w:val="00241BD0"/>
    <w:rsid w:val="00241BDD"/>
    <w:rsid w:val="002910ED"/>
    <w:rsid w:val="00295678"/>
    <w:rsid w:val="002A5DDA"/>
    <w:rsid w:val="002C6927"/>
    <w:rsid w:val="002F1A61"/>
    <w:rsid w:val="003A5384"/>
    <w:rsid w:val="003B4CE5"/>
    <w:rsid w:val="003C11D9"/>
    <w:rsid w:val="003D5614"/>
    <w:rsid w:val="00421A84"/>
    <w:rsid w:val="00467623"/>
    <w:rsid w:val="00497465"/>
    <w:rsid w:val="004C571E"/>
    <w:rsid w:val="004C6231"/>
    <w:rsid w:val="004F495E"/>
    <w:rsid w:val="0052615B"/>
    <w:rsid w:val="00554F2F"/>
    <w:rsid w:val="00586ECD"/>
    <w:rsid w:val="005A0755"/>
    <w:rsid w:val="005A139C"/>
    <w:rsid w:val="005A4808"/>
    <w:rsid w:val="005C7DF6"/>
    <w:rsid w:val="00610BE6"/>
    <w:rsid w:val="0062218B"/>
    <w:rsid w:val="00622275"/>
    <w:rsid w:val="0069788D"/>
    <w:rsid w:val="006A1D36"/>
    <w:rsid w:val="006C13DD"/>
    <w:rsid w:val="006C4DE3"/>
    <w:rsid w:val="00702EF2"/>
    <w:rsid w:val="007E0960"/>
    <w:rsid w:val="007F2CEA"/>
    <w:rsid w:val="00806323"/>
    <w:rsid w:val="00832B27"/>
    <w:rsid w:val="008376B1"/>
    <w:rsid w:val="008416EA"/>
    <w:rsid w:val="008515CB"/>
    <w:rsid w:val="008624A9"/>
    <w:rsid w:val="00863E3F"/>
    <w:rsid w:val="00864F57"/>
    <w:rsid w:val="008C0AE5"/>
    <w:rsid w:val="008C0F0C"/>
    <w:rsid w:val="008C64D9"/>
    <w:rsid w:val="008D2466"/>
    <w:rsid w:val="00967FB4"/>
    <w:rsid w:val="009B4E37"/>
    <w:rsid w:val="009D370C"/>
    <w:rsid w:val="009E4C55"/>
    <w:rsid w:val="00A026BB"/>
    <w:rsid w:val="00A24AF5"/>
    <w:rsid w:val="00A70AE4"/>
    <w:rsid w:val="00A71D50"/>
    <w:rsid w:val="00A771EE"/>
    <w:rsid w:val="00A97925"/>
    <w:rsid w:val="00AB26DB"/>
    <w:rsid w:val="00AB4D0B"/>
    <w:rsid w:val="00B125DA"/>
    <w:rsid w:val="00B34473"/>
    <w:rsid w:val="00B61127"/>
    <w:rsid w:val="00BD2988"/>
    <w:rsid w:val="00C94E4B"/>
    <w:rsid w:val="00CD5D42"/>
    <w:rsid w:val="00CE65D7"/>
    <w:rsid w:val="00CE6860"/>
    <w:rsid w:val="00D0352C"/>
    <w:rsid w:val="00D2222B"/>
    <w:rsid w:val="00D9775A"/>
    <w:rsid w:val="00DE2397"/>
    <w:rsid w:val="00DE3BE2"/>
    <w:rsid w:val="00E606C3"/>
    <w:rsid w:val="00E81F7A"/>
    <w:rsid w:val="00ED7FA0"/>
    <w:rsid w:val="00F1400A"/>
    <w:rsid w:val="00F15F16"/>
    <w:rsid w:val="00F162AA"/>
    <w:rsid w:val="00F27EDB"/>
    <w:rsid w:val="00F31A5F"/>
    <w:rsid w:val="00F7205B"/>
    <w:rsid w:val="00F77A50"/>
    <w:rsid w:val="00FD554A"/>
    <w:rsid w:val="00FE539D"/>
    <w:rsid w:val="00FF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1E29"/>
  <w15:docId w15:val="{CDF8587B-9202-4F85-BF1A-EB7F6665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D42"/>
    <w:pPr>
      <w:tabs>
        <w:tab w:val="left" w:pos="567"/>
      </w:tabs>
      <w:spacing w:after="0" w:line="260" w:lineRule="exact"/>
    </w:pPr>
    <w:rPr>
      <w:rFonts w:ascii="Times New Roman" w:eastAsia="Times New Roman" w:hAnsi="Times New Roman" w:cs="Times New Roman"/>
      <w:snapToGrid w:val="0"/>
      <w:szCs w:val="20"/>
      <w:lang w:val="en-GB"/>
    </w:rPr>
  </w:style>
  <w:style w:type="paragraph" w:styleId="Heading1">
    <w:name w:val="heading 1"/>
    <w:basedOn w:val="Normal"/>
    <w:next w:val="Normal"/>
    <w:link w:val="Heading1Char"/>
    <w:uiPriority w:val="99"/>
    <w:qFormat/>
    <w:rsid w:val="00CD5D42"/>
    <w:pPr>
      <w:spacing w:before="240" w:after="120"/>
      <w:ind w:left="357" w:hanging="357"/>
      <w:outlineLvl w:val="0"/>
    </w:pPr>
    <w:rPr>
      <w:rFonts w:eastAsia="SimSun"/>
      <w:b/>
      <w:caps/>
      <w:snapToGrid/>
      <w:sz w:val="26"/>
      <w:lang w:val="en-US"/>
    </w:rPr>
  </w:style>
  <w:style w:type="paragraph" w:styleId="Heading2">
    <w:name w:val="heading 2"/>
    <w:basedOn w:val="Normal"/>
    <w:next w:val="Normal"/>
    <w:link w:val="Heading2Char"/>
    <w:uiPriority w:val="99"/>
    <w:qFormat/>
    <w:rsid w:val="00CD5D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CD5D42"/>
    <w:pPr>
      <w:keepNext/>
      <w:keepLines/>
      <w:spacing w:before="120" w:after="80"/>
      <w:outlineLvl w:val="2"/>
    </w:pPr>
    <w:rPr>
      <w:rFonts w:ascii="Cambria" w:hAnsi="Cambria"/>
      <w:b/>
      <w:bCs/>
      <w:sz w:val="26"/>
      <w:szCs w:val="26"/>
    </w:rPr>
  </w:style>
  <w:style w:type="paragraph" w:styleId="Heading4">
    <w:name w:val="heading 4"/>
    <w:basedOn w:val="Normal"/>
    <w:next w:val="Normal"/>
    <w:link w:val="Heading4Char"/>
    <w:uiPriority w:val="99"/>
    <w:qFormat/>
    <w:rsid w:val="00CD5D42"/>
    <w:pPr>
      <w:keepNext/>
      <w:jc w:val="both"/>
      <w:outlineLvl w:val="3"/>
    </w:pPr>
    <w:rPr>
      <w:rFonts w:ascii="Calibri" w:hAnsi="Calibri"/>
      <w:b/>
      <w:bCs/>
      <w:sz w:val="28"/>
      <w:szCs w:val="28"/>
    </w:rPr>
  </w:style>
  <w:style w:type="paragraph" w:styleId="Heading5">
    <w:name w:val="heading 5"/>
    <w:basedOn w:val="Normal"/>
    <w:next w:val="Normal"/>
    <w:link w:val="Heading5Char"/>
    <w:uiPriority w:val="99"/>
    <w:qFormat/>
    <w:rsid w:val="00CD5D42"/>
    <w:pPr>
      <w:keepNext/>
      <w:jc w:val="both"/>
      <w:outlineLvl w:val="4"/>
    </w:pPr>
    <w:rPr>
      <w:rFonts w:eastAsia="SimSun"/>
      <w:noProof/>
      <w:snapToGrid/>
      <w:sz w:val="20"/>
    </w:rPr>
  </w:style>
  <w:style w:type="paragraph" w:styleId="Heading6">
    <w:name w:val="heading 6"/>
    <w:basedOn w:val="Normal"/>
    <w:next w:val="Normal"/>
    <w:link w:val="Heading6Char"/>
    <w:uiPriority w:val="99"/>
    <w:qFormat/>
    <w:rsid w:val="00CD5D42"/>
    <w:pPr>
      <w:keepNext/>
      <w:tabs>
        <w:tab w:val="left" w:pos="-720"/>
        <w:tab w:val="left" w:pos="4536"/>
      </w:tabs>
      <w:suppressAutoHyphens/>
      <w:outlineLvl w:val="5"/>
    </w:pPr>
    <w:rPr>
      <w:rFonts w:eastAsia="SimSun"/>
      <w:i/>
      <w:snapToGrid/>
      <w:sz w:val="20"/>
    </w:rPr>
  </w:style>
  <w:style w:type="paragraph" w:styleId="Heading7">
    <w:name w:val="heading 7"/>
    <w:basedOn w:val="Normal"/>
    <w:next w:val="Normal"/>
    <w:link w:val="Heading7Char"/>
    <w:uiPriority w:val="99"/>
    <w:qFormat/>
    <w:rsid w:val="00CD5D42"/>
    <w:pPr>
      <w:keepNext/>
      <w:tabs>
        <w:tab w:val="left" w:pos="-720"/>
        <w:tab w:val="left" w:pos="4536"/>
      </w:tabs>
      <w:suppressAutoHyphens/>
      <w:jc w:val="both"/>
      <w:outlineLvl w:val="6"/>
    </w:pPr>
    <w:rPr>
      <w:rFonts w:eastAsia="SimSun"/>
      <w:i/>
      <w:snapToGrid/>
      <w:sz w:val="20"/>
    </w:rPr>
  </w:style>
  <w:style w:type="paragraph" w:styleId="Heading8">
    <w:name w:val="heading 8"/>
    <w:basedOn w:val="Normal"/>
    <w:next w:val="Normal"/>
    <w:link w:val="Heading8Char"/>
    <w:uiPriority w:val="99"/>
    <w:qFormat/>
    <w:rsid w:val="00CD5D42"/>
    <w:pPr>
      <w:keepNext/>
      <w:ind w:left="567" w:hanging="567"/>
      <w:jc w:val="both"/>
      <w:outlineLvl w:val="7"/>
    </w:pPr>
    <w:rPr>
      <w:rFonts w:eastAsia="SimSun"/>
      <w:b/>
      <w:i/>
      <w:snapToGrid/>
      <w:sz w:val="20"/>
    </w:rPr>
  </w:style>
  <w:style w:type="paragraph" w:styleId="Heading9">
    <w:name w:val="heading 9"/>
    <w:basedOn w:val="Normal"/>
    <w:next w:val="Normal"/>
    <w:link w:val="Heading9Char"/>
    <w:uiPriority w:val="99"/>
    <w:qFormat/>
    <w:rsid w:val="00CD5D42"/>
    <w:pPr>
      <w:keepNext/>
      <w:jc w:val="both"/>
      <w:outlineLvl w:val="8"/>
    </w:pPr>
    <w:rPr>
      <w:rFonts w:eastAsia="SimSun"/>
      <w:b/>
      <w:i/>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5D42"/>
    <w:rPr>
      <w:rFonts w:ascii="Times New Roman" w:eastAsia="SimSun" w:hAnsi="Times New Roman" w:cs="Times New Roman"/>
      <w:b/>
      <w:caps/>
      <w:sz w:val="26"/>
      <w:szCs w:val="20"/>
    </w:rPr>
  </w:style>
  <w:style w:type="character" w:customStyle="1" w:styleId="Heading2Char">
    <w:name w:val="Heading 2 Char"/>
    <w:basedOn w:val="DefaultParagraphFont"/>
    <w:link w:val="Heading2"/>
    <w:uiPriority w:val="99"/>
    <w:rsid w:val="00CD5D42"/>
    <w:rPr>
      <w:rFonts w:ascii="Cambria" w:eastAsia="Times New Roman" w:hAnsi="Cambria" w:cs="Times New Roman"/>
      <w:b/>
      <w:bCs/>
      <w:i/>
      <w:iCs/>
      <w:snapToGrid w:val="0"/>
      <w:sz w:val="28"/>
      <w:szCs w:val="28"/>
      <w:lang w:val="en-GB"/>
    </w:rPr>
  </w:style>
  <w:style w:type="character" w:customStyle="1" w:styleId="Heading3Char">
    <w:name w:val="Heading 3 Char"/>
    <w:basedOn w:val="DefaultParagraphFont"/>
    <w:link w:val="Heading3"/>
    <w:uiPriority w:val="99"/>
    <w:rsid w:val="00CD5D42"/>
    <w:rPr>
      <w:rFonts w:ascii="Cambria" w:eastAsia="Times New Roman" w:hAnsi="Cambria" w:cs="Times New Roman"/>
      <w:b/>
      <w:bCs/>
      <w:snapToGrid w:val="0"/>
      <w:sz w:val="26"/>
      <w:szCs w:val="26"/>
      <w:lang w:val="en-GB"/>
    </w:rPr>
  </w:style>
  <w:style w:type="character" w:customStyle="1" w:styleId="Heading4Char">
    <w:name w:val="Heading 4 Char"/>
    <w:basedOn w:val="DefaultParagraphFont"/>
    <w:link w:val="Heading4"/>
    <w:uiPriority w:val="99"/>
    <w:rsid w:val="00CD5D42"/>
    <w:rPr>
      <w:rFonts w:ascii="Calibri" w:eastAsia="Times New Roman" w:hAnsi="Calibri" w:cs="Times New Roman"/>
      <w:b/>
      <w:bCs/>
      <w:snapToGrid w:val="0"/>
      <w:sz w:val="28"/>
      <w:szCs w:val="28"/>
      <w:lang w:val="en-GB"/>
    </w:rPr>
  </w:style>
  <w:style w:type="character" w:customStyle="1" w:styleId="Heading5Char">
    <w:name w:val="Heading 5 Char"/>
    <w:basedOn w:val="DefaultParagraphFont"/>
    <w:link w:val="Heading5"/>
    <w:uiPriority w:val="99"/>
    <w:rsid w:val="00CD5D42"/>
    <w:rPr>
      <w:rFonts w:ascii="Times New Roman" w:eastAsia="SimSun" w:hAnsi="Times New Roman" w:cs="Times New Roman"/>
      <w:noProof/>
      <w:sz w:val="20"/>
      <w:szCs w:val="20"/>
      <w:lang w:val="en-GB"/>
    </w:rPr>
  </w:style>
  <w:style w:type="character" w:customStyle="1" w:styleId="Heading6Char">
    <w:name w:val="Heading 6 Char"/>
    <w:basedOn w:val="DefaultParagraphFont"/>
    <w:link w:val="Heading6"/>
    <w:uiPriority w:val="99"/>
    <w:rsid w:val="00CD5D42"/>
    <w:rPr>
      <w:rFonts w:ascii="Times New Roman" w:eastAsia="SimSun" w:hAnsi="Times New Roman" w:cs="Times New Roman"/>
      <w:i/>
      <w:sz w:val="20"/>
      <w:szCs w:val="20"/>
      <w:lang w:val="en-GB"/>
    </w:rPr>
  </w:style>
  <w:style w:type="character" w:customStyle="1" w:styleId="Heading7Char">
    <w:name w:val="Heading 7 Char"/>
    <w:basedOn w:val="DefaultParagraphFont"/>
    <w:link w:val="Heading7"/>
    <w:uiPriority w:val="99"/>
    <w:rsid w:val="00CD5D42"/>
    <w:rPr>
      <w:rFonts w:ascii="Times New Roman" w:eastAsia="SimSun" w:hAnsi="Times New Roman" w:cs="Times New Roman"/>
      <w:i/>
      <w:sz w:val="20"/>
      <w:szCs w:val="20"/>
      <w:lang w:val="en-GB"/>
    </w:rPr>
  </w:style>
  <w:style w:type="character" w:customStyle="1" w:styleId="Heading8Char">
    <w:name w:val="Heading 8 Char"/>
    <w:basedOn w:val="DefaultParagraphFont"/>
    <w:link w:val="Heading8"/>
    <w:uiPriority w:val="99"/>
    <w:rsid w:val="00CD5D42"/>
    <w:rPr>
      <w:rFonts w:ascii="Times New Roman" w:eastAsia="SimSun" w:hAnsi="Times New Roman" w:cs="Times New Roman"/>
      <w:b/>
      <w:i/>
      <w:sz w:val="20"/>
      <w:szCs w:val="20"/>
      <w:lang w:val="en-GB"/>
    </w:rPr>
  </w:style>
  <w:style w:type="character" w:customStyle="1" w:styleId="Heading9Char">
    <w:name w:val="Heading 9 Char"/>
    <w:basedOn w:val="DefaultParagraphFont"/>
    <w:link w:val="Heading9"/>
    <w:uiPriority w:val="99"/>
    <w:rsid w:val="00CD5D42"/>
    <w:rPr>
      <w:rFonts w:ascii="Times New Roman" w:eastAsia="SimSun" w:hAnsi="Times New Roman" w:cs="Times New Roman"/>
      <w:b/>
      <w:i/>
      <w:sz w:val="20"/>
      <w:szCs w:val="20"/>
      <w:lang w:val="en-GB"/>
    </w:rPr>
  </w:style>
  <w:style w:type="paragraph" w:styleId="Footer">
    <w:name w:val="footer"/>
    <w:basedOn w:val="Normal"/>
    <w:link w:val="FooterChar"/>
    <w:uiPriority w:val="99"/>
    <w:rsid w:val="00CD5D42"/>
    <w:pPr>
      <w:tabs>
        <w:tab w:val="center" w:pos="4536"/>
        <w:tab w:val="right" w:pos="8306"/>
      </w:tabs>
    </w:pPr>
    <w:rPr>
      <w:sz w:val="20"/>
    </w:rPr>
  </w:style>
  <w:style w:type="character" w:customStyle="1" w:styleId="FooterChar">
    <w:name w:val="Footer Char"/>
    <w:basedOn w:val="DefaultParagraphFont"/>
    <w:link w:val="Footer"/>
    <w:uiPriority w:val="99"/>
    <w:rsid w:val="00CD5D42"/>
    <w:rPr>
      <w:rFonts w:ascii="Times New Roman" w:eastAsia="Times New Roman" w:hAnsi="Times New Roman" w:cs="Times New Roman"/>
      <w:snapToGrid w:val="0"/>
      <w:sz w:val="20"/>
      <w:szCs w:val="20"/>
      <w:lang w:val="en-GB"/>
    </w:rPr>
  </w:style>
  <w:style w:type="character" w:customStyle="1" w:styleId="HeaderChar">
    <w:name w:val="Header Char"/>
    <w:rsid w:val="00CD5D42"/>
    <w:rPr>
      <w:snapToGrid w:val="0"/>
      <w:sz w:val="22"/>
      <w:lang w:val="en-GB" w:eastAsia="en-US"/>
    </w:rPr>
  </w:style>
  <w:style w:type="character" w:styleId="PageNumber">
    <w:name w:val="page number"/>
    <w:uiPriority w:val="99"/>
    <w:rsid w:val="00CD5D42"/>
    <w:rPr>
      <w:rFonts w:cs="Times New Roman"/>
    </w:rPr>
  </w:style>
  <w:style w:type="character" w:styleId="Hyperlink">
    <w:name w:val="Hyperlink"/>
    <w:uiPriority w:val="99"/>
    <w:rsid w:val="00CD5D42"/>
    <w:rPr>
      <w:color w:val="0000FF"/>
      <w:u w:val="single"/>
    </w:rPr>
  </w:style>
  <w:style w:type="paragraph" w:customStyle="1" w:styleId="BodytextAgency">
    <w:name w:val="Body text (Agency)"/>
    <w:basedOn w:val="Normal"/>
    <w:link w:val="BodytextAgencyChar"/>
    <w:uiPriority w:val="99"/>
    <w:rsid w:val="00CD5D42"/>
    <w:pPr>
      <w:tabs>
        <w:tab w:val="clear" w:pos="567"/>
      </w:tabs>
      <w:spacing w:after="140" w:line="280" w:lineRule="atLeast"/>
    </w:pPr>
    <w:rPr>
      <w:rFonts w:ascii="Verdana" w:hAnsi="Verdana"/>
      <w:sz w:val="18"/>
    </w:rPr>
  </w:style>
  <w:style w:type="paragraph" w:customStyle="1" w:styleId="NormalAgency">
    <w:name w:val="Normal (Agency)"/>
    <w:link w:val="NormalAgencyChar"/>
    <w:uiPriority w:val="99"/>
    <w:rsid w:val="00CD5D42"/>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CD5D42"/>
    <w:pPr>
      <w:tabs>
        <w:tab w:val="clear" w:pos="567"/>
      </w:tabs>
      <w:spacing w:line="280" w:lineRule="exact"/>
    </w:pPr>
    <w:rPr>
      <w:rFonts w:ascii="Verdana" w:hAnsi="Verdana"/>
      <w:sz w:val="18"/>
    </w:rPr>
  </w:style>
  <w:style w:type="character" w:customStyle="1" w:styleId="tw4winError">
    <w:name w:val="tw4winError"/>
    <w:uiPriority w:val="99"/>
    <w:rsid w:val="00CD5D42"/>
    <w:rPr>
      <w:rFonts w:ascii="Courier New" w:hAnsi="Courier New"/>
      <w:color w:val="00FF00"/>
      <w:sz w:val="40"/>
    </w:rPr>
  </w:style>
  <w:style w:type="character" w:customStyle="1" w:styleId="tw4winTerm">
    <w:name w:val="tw4winTerm"/>
    <w:uiPriority w:val="99"/>
    <w:rsid w:val="00CD5D42"/>
    <w:rPr>
      <w:color w:val="0000FF"/>
    </w:rPr>
  </w:style>
  <w:style w:type="character" w:customStyle="1" w:styleId="tw4winPopup">
    <w:name w:val="tw4winPopup"/>
    <w:uiPriority w:val="99"/>
    <w:rsid w:val="00CD5D42"/>
    <w:rPr>
      <w:rFonts w:ascii="Courier New" w:hAnsi="Courier New"/>
      <w:noProof/>
      <w:color w:val="008000"/>
    </w:rPr>
  </w:style>
  <w:style w:type="character" w:customStyle="1" w:styleId="tw4winJump">
    <w:name w:val="tw4winJump"/>
    <w:uiPriority w:val="99"/>
    <w:rsid w:val="00CD5D42"/>
    <w:rPr>
      <w:rFonts w:ascii="Courier New" w:hAnsi="Courier New"/>
      <w:noProof/>
      <w:color w:val="008080"/>
    </w:rPr>
  </w:style>
  <w:style w:type="character" w:customStyle="1" w:styleId="tw4winExternal">
    <w:name w:val="tw4winExternal"/>
    <w:uiPriority w:val="99"/>
    <w:rsid w:val="00CD5D42"/>
    <w:rPr>
      <w:rFonts w:ascii="Courier New" w:hAnsi="Courier New"/>
      <w:noProof/>
      <w:color w:val="808080"/>
    </w:rPr>
  </w:style>
  <w:style w:type="character" w:customStyle="1" w:styleId="tw4winInternal">
    <w:name w:val="tw4winInternal"/>
    <w:uiPriority w:val="99"/>
    <w:rsid w:val="00CD5D42"/>
    <w:rPr>
      <w:rFonts w:ascii="Courier New" w:hAnsi="Courier New"/>
      <w:noProof/>
      <w:color w:val="FF0000"/>
    </w:rPr>
  </w:style>
  <w:style w:type="character" w:customStyle="1" w:styleId="DONOTTRANSLATE">
    <w:name w:val="DO_NOT_TRANSLATE"/>
    <w:uiPriority w:val="99"/>
    <w:rsid w:val="00CD5D42"/>
    <w:rPr>
      <w:rFonts w:ascii="Courier New" w:hAnsi="Courier New"/>
      <w:noProof/>
      <w:color w:val="800000"/>
    </w:rPr>
  </w:style>
  <w:style w:type="paragraph" w:styleId="BalloonText">
    <w:name w:val="Balloon Text"/>
    <w:basedOn w:val="Normal"/>
    <w:link w:val="BalloonTextChar"/>
    <w:uiPriority w:val="99"/>
    <w:rsid w:val="00CD5D42"/>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rsid w:val="00CD5D42"/>
    <w:rPr>
      <w:rFonts w:ascii="Tahoma" w:eastAsia="Times New Roman" w:hAnsi="Tahoma" w:cs="Times New Roman"/>
      <w:snapToGrid w:val="0"/>
      <w:sz w:val="16"/>
      <w:szCs w:val="16"/>
      <w:lang w:val="en-GB"/>
    </w:rPr>
  </w:style>
  <w:style w:type="character" w:styleId="CommentReference">
    <w:name w:val="annotation reference"/>
    <w:uiPriority w:val="99"/>
    <w:rsid w:val="00CD5D42"/>
    <w:rPr>
      <w:sz w:val="16"/>
      <w:szCs w:val="16"/>
    </w:rPr>
  </w:style>
  <w:style w:type="paragraph" w:styleId="CommentText">
    <w:name w:val="annotation text"/>
    <w:basedOn w:val="Normal"/>
    <w:link w:val="CommentTextChar"/>
    <w:uiPriority w:val="99"/>
    <w:rsid w:val="00CD5D42"/>
    <w:rPr>
      <w:sz w:val="20"/>
    </w:rPr>
  </w:style>
  <w:style w:type="character" w:customStyle="1" w:styleId="CommentTextChar">
    <w:name w:val="Comment Text Char"/>
    <w:basedOn w:val="DefaultParagraphFont"/>
    <w:link w:val="CommentText"/>
    <w:uiPriority w:val="99"/>
    <w:rsid w:val="00CD5D42"/>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CD5D42"/>
    <w:rPr>
      <w:b/>
      <w:bCs/>
    </w:rPr>
  </w:style>
  <w:style w:type="character" w:customStyle="1" w:styleId="CommentSubjectChar">
    <w:name w:val="Comment Subject Char"/>
    <w:basedOn w:val="CommentTextChar"/>
    <w:link w:val="CommentSubject"/>
    <w:uiPriority w:val="99"/>
    <w:rsid w:val="00CD5D42"/>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CD5D42"/>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Normal"/>
    <w:uiPriority w:val="99"/>
    <w:rsid w:val="00CD5D42"/>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CD5D42"/>
    <w:rPr>
      <w:rFonts w:ascii="Courier New" w:hAnsi="Courier New"/>
      <w:vanish/>
      <w:color w:val="800080"/>
      <w:sz w:val="24"/>
      <w:vertAlign w:val="subscript"/>
    </w:rPr>
  </w:style>
  <w:style w:type="paragraph" w:styleId="Header">
    <w:name w:val="header"/>
    <w:basedOn w:val="Normal"/>
    <w:link w:val="HeaderChar1"/>
    <w:uiPriority w:val="99"/>
    <w:rsid w:val="00CD5D42"/>
    <w:pPr>
      <w:tabs>
        <w:tab w:val="clear" w:pos="567"/>
        <w:tab w:val="center" w:pos="4320"/>
        <w:tab w:val="right" w:pos="8640"/>
      </w:tabs>
    </w:pPr>
    <w:rPr>
      <w:rFonts w:eastAsia="SimSun"/>
      <w:snapToGrid/>
      <w:sz w:val="20"/>
      <w:lang w:eastAsia="zh-CN"/>
    </w:rPr>
  </w:style>
  <w:style w:type="character" w:customStyle="1" w:styleId="HeaderChar1">
    <w:name w:val="Header Char1"/>
    <w:basedOn w:val="DefaultParagraphFont"/>
    <w:link w:val="Header"/>
    <w:uiPriority w:val="99"/>
    <w:rsid w:val="00CD5D42"/>
    <w:rPr>
      <w:rFonts w:ascii="Times New Roman" w:eastAsia="SimSun" w:hAnsi="Times New Roman" w:cs="Times New Roman"/>
      <w:sz w:val="20"/>
      <w:szCs w:val="20"/>
      <w:lang w:val="en-GB" w:eastAsia="zh-CN"/>
    </w:rPr>
  </w:style>
  <w:style w:type="paragraph" w:styleId="DocumentMap">
    <w:name w:val="Document Map"/>
    <w:basedOn w:val="Normal"/>
    <w:link w:val="DocumentMapChar"/>
    <w:uiPriority w:val="99"/>
    <w:rsid w:val="00CD5D42"/>
    <w:pPr>
      <w:shd w:val="clear" w:color="auto" w:fill="000080"/>
    </w:pPr>
    <w:rPr>
      <w:rFonts w:ascii="Tahoma" w:eastAsia="SimSun" w:hAnsi="Tahoma"/>
      <w:snapToGrid/>
      <w:sz w:val="20"/>
      <w:lang w:eastAsia="zh-CN"/>
    </w:rPr>
  </w:style>
  <w:style w:type="character" w:customStyle="1" w:styleId="DocumentMapChar">
    <w:name w:val="Document Map Char"/>
    <w:basedOn w:val="DefaultParagraphFont"/>
    <w:link w:val="DocumentMap"/>
    <w:uiPriority w:val="99"/>
    <w:rsid w:val="00CD5D42"/>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CD5D42"/>
    <w:pPr>
      <w:tabs>
        <w:tab w:val="clear" w:pos="567"/>
      </w:tabs>
      <w:autoSpaceDE w:val="0"/>
      <w:autoSpaceDN w:val="0"/>
      <w:adjustRightInd w:val="0"/>
      <w:spacing w:line="240" w:lineRule="auto"/>
      <w:ind w:left="720"/>
      <w:jc w:val="both"/>
    </w:pPr>
    <w:rPr>
      <w:rFonts w:eastAsia="SimSun"/>
      <w:snapToGrid/>
      <w:sz w:val="20"/>
      <w:lang w:eastAsia="en-GB"/>
    </w:rPr>
  </w:style>
  <w:style w:type="character" w:customStyle="1" w:styleId="BodyTextIndentChar">
    <w:name w:val="Body Text Indent Char"/>
    <w:basedOn w:val="DefaultParagraphFont"/>
    <w:link w:val="BodyTextIndent"/>
    <w:uiPriority w:val="99"/>
    <w:rsid w:val="00CD5D42"/>
    <w:rPr>
      <w:rFonts w:ascii="Times New Roman" w:eastAsia="SimSun" w:hAnsi="Times New Roman" w:cs="Times New Roman"/>
      <w:sz w:val="20"/>
      <w:szCs w:val="20"/>
      <w:lang w:val="en-GB" w:eastAsia="en-GB"/>
    </w:rPr>
  </w:style>
  <w:style w:type="paragraph" w:styleId="BodyText3">
    <w:name w:val="Body Text 3"/>
    <w:basedOn w:val="Normal"/>
    <w:link w:val="BodyText3Char"/>
    <w:uiPriority w:val="99"/>
    <w:rsid w:val="00CD5D42"/>
    <w:pPr>
      <w:tabs>
        <w:tab w:val="clear" w:pos="567"/>
      </w:tabs>
      <w:autoSpaceDE w:val="0"/>
      <w:autoSpaceDN w:val="0"/>
      <w:adjustRightInd w:val="0"/>
      <w:spacing w:line="240" w:lineRule="auto"/>
      <w:jc w:val="both"/>
    </w:pPr>
    <w:rPr>
      <w:rFonts w:eastAsia="SimSun"/>
      <w:snapToGrid/>
      <w:color w:val="0000FF"/>
      <w:sz w:val="20"/>
      <w:lang w:eastAsia="en-GB"/>
    </w:rPr>
  </w:style>
  <w:style w:type="character" w:customStyle="1" w:styleId="BodyText3Char">
    <w:name w:val="Body Text 3 Char"/>
    <w:basedOn w:val="DefaultParagraphFont"/>
    <w:link w:val="BodyText3"/>
    <w:uiPriority w:val="99"/>
    <w:rsid w:val="00CD5D42"/>
    <w:rPr>
      <w:rFonts w:ascii="Times New Roman" w:eastAsia="SimSun" w:hAnsi="Times New Roman" w:cs="Times New Roman"/>
      <w:color w:val="0000FF"/>
      <w:sz w:val="20"/>
      <w:szCs w:val="20"/>
      <w:lang w:val="en-GB" w:eastAsia="en-GB"/>
    </w:rPr>
  </w:style>
  <w:style w:type="paragraph" w:styleId="BodyTextIndent2">
    <w:name w:val="Body Text Indent 2"/>
    <w:basedOn w:val="Normal"/>
    <w:link w:val="BodyTextIndent2Char"/>
    <w:uiPriority w:val="99"/>
    <w:rsid w:val="00CD5D42"/>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 w:val="20"/>
    </w:rPr>
  </w:style>
  <w:style w:type="character" w:customStyle="1" w:styleId="BodyTextIndent2Char">
    <w:name w:val="Body Text Indent 2 Char"/>
    <w:basedOn w:val="DefaultParagraphFont"/>
    <w:link w:val="BodyTextIndent2"/>
    <w:uiPriority w:val="99"/>
    <w:rsid w:val="00CD5D42"/>
    <w:rPr>
      <w:rFonts w:ascii="Times New Roman" w:eastAsia="SimSun" w:hAnsi="Times New Roman" w:cs="Times New Roman"/>
      <w:b/>
      <w:bCs/>
      <w:color w:val="0000FF"/>
      <w:sz w:val="20"/>
      <w:szCs w:val="20"/>
      <w:lang w:val="en-GB"/>
    </w:rPr>
  </w:style>
  <w:style w:type="paragraph" w:styleId="BodyText">
    <w:name w:val="Body Text"/>
    <w:basedOn w:val="Normal"/>
    <w:link w:val="BodyTextChar"/>
    <w:uiPriority w:val="99"/>
    <w:rsid w:val="00CD5D42"/>
    <w:pPr>
      <w:tabs>
        <w:tab w:val="clear" w:pos="567"/>
      </w:tabs>
      <w:spacing w:line="240" w:lineRule="auto"/>
    </w:pPr>
    <w:rPr>
      <w:rFonts w:eastAsia="SimSun"/>
      <w:i/>
      <w:snapToGrid/>
      <w:color w:val="008000"/>
      <w:sz w:val="20"/>
    </w:rPr>
  </w:style>
  <w:style w:type="character" w:customStyle="1" w:styleId="BodyTextChar">
    <w:name w:val="Body Text Char"/>
    <w:basedOn w:val="DefaultParagraphFont"/>
    <w:link w:val="BodyText"/>
    <w:uiPriority w:val="99"/>
    <w:rsid w:val="00CD5D42"/>
    <w:rPr>
      <w:rFonts w:ascii="Times New Roman" w:eastAsia="SimSun" w:hAnsi="Times New Roman" w:cs="Times New Roman"/>
      <w:i/>
      <w:color w:val="008000"/>
      <w:sz w:val="20"/>
      <w:szCs w:val="20"/>
      <w:lang w:val="en-GB"/>
    </w:rPr>
  </w:style>
  <w:style w:type="paragraph" w:styleId="BodyText2">
    <w:name w:val="Body Text 2"/>
    <w:basedOn w:val="Normal"/>
    <w:link w:val="BodyText2Char"/>
    <w:uiPriority w:val="99"/>
    <w:rsid w:val="00CD5D42"/>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 w:val="20"/>
      <w:u w:val="single"/>
    </w:rPr>
  </w:style>
  <w:style w:type="character" w:customStyle="1" w:styleId="BodyText2Char">
    <w:name w:val="Body Text 2 Char"/>
    <w:basedOn w:val="DefaultParagraphFont"/>
    <w:link w:val="BodyText2"/>
    <w:uiPriority w:val="99"/>
    <w:rsid w:val="00CD5D42"/>
    <w:rPr>
      <w:rFonts w:ascii="Times New Roman" w:eastAsia="SimSun" w:hAnsi="Times New Roman" w:cs="Times New Roman"/>
      <w:b/>
      <w:bCs/>
      <w:color w:val="0000FF"/>
      <w:sz w:val="20"/>
      <w:szCs w:val="20"/>
      <w:u w:val="single"/>
      <w:lang w:val="en-GB"/>
    </w:rPr>
  </w:style>
  <w:style w:type="paragraph" w:customStyle="1" w:styleId="AHeader1">
    <w:name w:val="AHeader 1"/>
    <w:basedOn w:val="Normal"/>
    <w:uiPriority w:val="99"/>
    <w:rsid w:val="00CD5D42"/>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CD5D42"/>
    <w:pPr>
      <w:tabs>
        <w:tab w:val="clear" w:pos="720"/>
        <w:tab w:val="num" w:pos="360"/>
      </w:tabs>
      <w:ind w:left="709" w:hanging="425"/>
    </w:pPr>
    <w:rPr>
      <w:sz w:val="22"/>
    </w:rPr>
  </w:style>
  <w:style w:type="paragraph" w:customStyle="1" w:styleId="AHeader3">
    <w:name w:val="AHeader 3"/>
    <w:basedOn w:val="AHeader2"/>
    <w:uiPriority w:val="99"/>
    <w:rsid w:val="00CD5D42"/>
    <w:pPr>
      <w:ind w:left="1276" w:hanging="567"/>
    </w:pPr>
  </w:style>
  <w:style w:type="paragraph" w:customStyle="1" w:styleId="AHeader2abc">
    <w:name w:val="AHeader 2 abc"/>
    <w:basedOn w:val="AHeader3"/>
    <w:uiPriority w:val="99"/>
    <w:rsid w:val="00CD5D42"/>
    <w:pPr>
      <w:jc w:val="both"/>
    </w:pPr>
    <w:rPr>
      <w:b w:val="0"/>
      <w:bCs w:val="0"/>
    </w:rPr>
  </w:style>
  <w:style w:type="paragraph" w:customStyle="1" w:styleId="AHeader3abc">
    <w:name w:val="AHeader 3 abc"/>
    <w:basedOn w:val="AHeader2abc"/>
    <w:uiPriority w:val="99"/>
    <w:rsid w:val="00CD5D42"/>
    <w:pPr>
      <w:ind w:left="1701" w:hanging="425"/>
    </w:pPr>
  </w:style>
  <w:style w:type="paragraph" w:styleId="BodyTextIndent3">
    <w:name w:val="Body Text Indent 3"/>
    <w:basedOn w:val="Normal"/>
    <w:link w:val="BodyTextIndent3Char"/>
    <w:uiPriority w:val="99"/>
    <w:rsid w:val="00CD5D42"/>
    <w:pPr>
      <w:tabs>
        <w:tab w:val="left" w:pos="1134"/>
      </w:tabs>
      <w:autoSpaceDE w:val="0"/>
      <w:autoSpaceDN w:val="0"/>
      <w:adjustRightInd w:val="0"/>
      <w:ind w:left="633"/>
      <w:jc w:val="both"/>
    </w:pPr>
    <w:rPr>
      <w:rFonts w:eastAsia="SimSun"/>
      <w:snapToGrid/>
      <w:sz w:val="20"/>
      <w:szCs w:val="21"/>
    </w:rPr>
  </w:style>
  <w:style w:type="character" w:customStyle="1" w:styleId="BodyTextIndent3Char">
    <w:name w:val="Body Text Indent 3 Char"/>
    <w:basedOn w:val="DefaultParagraphFont"/>
    <w:link w:val="BodyTextIndent3"/>
    <w:uiPriority w:val="99"/>
    <w:rsid w:val="00CD5D42"/>
    <w:rPr>
      <w:rFonts w:ascii="Times New Roman" w:eastAsia="SimSun" w:hAnsi="Times New Roman" w:cs="Times New Roman"/>
      <w:sz w:val="20"/>
      <w:szCs w:val="21"/>
      <w:lang w:val="en-GB"/>
    </w:rPr>
  </w:style>
  <w:style w:type="character" w:styleId="FollowedHyperlink">
    <w:name w:val="FollowedHyperlink"/>
    <w:uiPriority w:val="99"/>
    <w:rsid w:val="00CD5D42"/>
    <w:rPr>
      <w:rFonts w:cs="Times New Roman"/>
      <w:color w:val="800080"/>
      <w:u w:val="single"/>
    </w:rPr>
  </w:style>
  <w:style w:type="character" w:styleId="Strong">
    <w:name w:val="Strong"/>
    <w:uiPriority w:val="99"/>
    <w:qFormat/>
    <w:rsid w:val="00CD5D42"/>
    <w:rPr>
      <w:rFonts w:cs="Times New Roman"/>
      <w:b/>
      <w:bCs/>
    </w:rPr>
  </w:style>
  <w:style w:type="character" w:customStyle="1" w:styleId="BodytextAgencyChar">
    <w:name w:val="Body text (Agency) Char"/>
    <w:link w:val="BodytextAgency"/>
    <w:uiPriority w:val="99"/>
    <w:locked/>
    <w:rsid w:val="00CD5D42"/>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CD5D42"/>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D5D42"/>
    <w:pPr>
      <w:keepNext/>
    </w:pPr>
    <w:rPr>
      <w:rFonts w:eastAsia="SimSun" w:cs="Verdana"/>
      <w:b/>
      <w:snapToGrid/>
      <w:szCs w:val="18"/>
      <w:lang w:eastAsia="en-GB"/>
    </w:rPr>
  </w:style>
  <w:style w:type="character" w:customStyle="1" w:styleId="NormalAgencyChar">
    <w:name w:val="Normal (Agency) Char"/>
    <w:link w:val="NormalAgency"/>
    <w:uiPriority w:val="99"/>
    <w:locked/>
    <w:rsid w:val="00CD5D42"/>
    <w:rPr>
      <w:rFonts w:ascii="Verdana" w:eastAsia="Times New Roman" w:hAnsi="Verdana" w:cs="Times New Roman"/>
      <w:snapToGrid w:val="0"/>
      <w:sz w:val="18"/>
      <w:lang w:val="en-GB" w:eastAsia="lt-LT"/>
    </w:rPr>
  </w:style>
  <w:style w:type="paragraph" w:styleId="PlainText">
    <w:name w:val="Plain Text"/>
    <w:basedOn w:val="Normal"/>
    <w:link w:val="PlainTextChar"/>
    <w:uiPriority w:val="99"/>
    <w:rsid w:val="00CD5D42"/>
    <w:pPr>
      <w:tabs>
        <w:tab w:val="clear" w:pos="567"/>
      </w:tabs>
      <w:spacing w:line="240" w:lineRule="auto"/>
    </w:pPr>
    <w:rPr>
      <w:rFonts w:ascii="Courier New" w:eastAsia="SimSun" w:hAnsi="Courier New"/>
      <w:snapToGrid/>
      <w:sz w:val="20"/>
      <w:lang w:val="en-US"/>
    </w:rPr>
  </w:style>
  <w:style w:type="character" w:customStyle="1" w:styleId="PlainTextChar">
    <w:name w:val="Plain Text Char"/>
    <w:basedOn w:val="DefaultParagraphFont"/>
    <w:link w:val="PlainText"/>
    <w:uiPriority w:val="99"/>
    <w:rsid w:val="00CD5D42"/>
    <w:rPr>
      <w:rFonts w:ascii="Courier New" w:eastAsia="SimSun" w:hAnsi="Courier New" w:cs="Times New Roman"/>
      <w:sz w:val="20"/>
      <w:szCs w:val="20"/>
    </w:rPr>
  </w:style>
  <w:style w:type="paragraph" w:customStyle="1" w:styleId="Default">
    <w:name w:val="Default"/>
    <w:rsid w:val="00CD5D42"/>
    <w:pPr>
      <w:autoSpaceDE w:val="0"/>
      <w:autoSpaceDN w:val="0"/>
      <w:adjustRightInd w:val="0"/>
      <w:spacing w:after="0" w:line="240" w:lineRule="auto"/>
    </w:pPr>
    <w:rPr>
      <w:rFonts w:ascii="Times New Roman" w:eastAsia="SimSun" w:hAnsi="Times New Roman" w:cs="Times New Roman"/>
      <w:color w:val="000000"/>
      <w:sz w:val="24"/>
      <w:szCs w:val="24"/>
      <w:lang w:eastAsia="zh-CN"/>
    </w:rPr>
  </w:style>
  <w:style w:type="paragraph" w:styleId="Title">
    <w:name w:val="Title"/>
    <w:basedOn w:val="Normal"/>
    <w:link w:val="TitleChar"/>
    <w:uiPriority w:val="99"/>
    <w:qFormat/>
    <w:rsid w:val="00CD5D42"/>
    <w:pPr>
      <w:tabs>
        <w:tab w:val="clear" w:pos="567"/>
      </w:tabs>
      <w:spacing w:line="240" w:lineRule="auto"/>
      <w:jc w:val="center"/>
    </w:pPr>
    <w:rPr>
      <w:rFonts w:eastAsia="SimSun"/>
      <w:b/>
      <w:snapToGrid/>
      <w:sz w:val="20"/>
    </w:rPr>
  </w:style>
  <w:style w:type="character" w:customStyle="1" w:styleId="TitleChar">
    <w:name w:val="Title Char"/>
    <w:basedOn w:val="DefaultParagraphFont"/>
    <w:link w:val="Title"/>
    <w:uiPriority w:val="99"/>
    <w:rsid w:val="00CD5D42"/>
    <w:rPr>
      <w:rFonts w:ascii="Times New Roman" w:eastAsia="SimSun" w:hAnsi="Times New Roman" w:cs="Times New Roman"/>
      <w:b/>
      <w:sz w:val="20"/>
      <w:szCs w:val="20"/>
      <w:lang w:val="en-GB"/>
    </w:rPr>
  </w:style>
  <w:style w:type="paragraph" w:styleId="EndnoteText">
    <w:name w:val="endnote text"/>
    <w:basedOn w:val="Normal"/>
    <w:link w:val="EndnoteTextChar"/>
    <w:uiPriority w:val="99"/>
    <w:rsid w:val="00CD5D42"/>
    <w:pPr>
      <w:spacing w:line="240" w:lineRule="auto"/>
    </w:pPr>
    <w:rPr>
      <w:rFonts w:eastAsia="SimSun"/>
      <w:snapToGrid/>
      <w:sz w:val="20"/>
    </w:rPr>
  </w:style>
  <w:style w:type="character" w:customStyle="1" w:styleId="EndnoteTextChar">
    <w:name w:val="Endnote Text Char"/>
    <w:basedOn w:val="DefaultParagraphFont"/>
    <w:link w:val="EndnoteText"/>
    <w:uiPriority w:val="99"/>
    <w:rsid w:val="00CD5D42"/>
    <w:rPr>
      <w:rFonts w:ascii="Times New Roman" w:eastAsia="SimSun" w:hAnsi="Times New Roman" w:cs="Times New Roman"/>
      <w:sz w:val="20"/>
      <w:szCs w:val="20"/>
      <w:lang w:val="en-GB"/>
    </w:rPr>
  </w:style>
  <w:style w:type="paragraph" w:customStyle="1" w:styleId="BTEMEASMCA">
    <w:name w:val="BT EMEA_SMCA"/>
    <w:basedOn w:val="Normal"/>
    <w:link w:val="BTEMEASMCAChar"/>
    <w:autoRedefine/>
    <w:rsid w:val="00CD5D42"/>
    <w:pPr>
      <w:tabs>
        <w:tab w:val="clear" w:pos="567"/>
      </w:tabs>
      <w:spacing w:line="240" w:lineRule="auto"/>
    </w:pPr>
    <w:rPr>
      <w:rFonts w:eastAsia="SimSun"/>
      <w:snapToGrid/>
      <w:szCs w:val="22"/>
    </w:rPr>
  </w:style>
  <w:style w:type="character" w:customStyle="1" w:styleId="BTEMEASMCAChar">
    <w:name w:val="BT EMEA_SMCA Char"/>
    <w:link w:val="BTEMEASMCA"/>
    <w:locked/>
    <w:rsid w:val="00CD5D42"/>
    <w:rPr>
      <w:rFonts w:ascii="Times New Roman" w:eastAsia="SimSun" w:hAnsi="Times New Roman" w:cs="Times New Roman"/>
      <w:lang w:val="en-GB"/>
    </w:rPr>
  </w:style>
  <w:style w:type="character" w:customStyle="1" w:styleId="CharChar12">
    <w:name w:val="Char Char12"/>
    <w:locked/>
    <w:rsid w:val="00CD5D42"/>
    <w:rPr>
      <w:snapToGrid w:val="0"/>
      <w:lang w:val="en-GB" w:eastAsia="en-US" w:bidi="ar-SA"/>
    </w:rPr>
  </w:style>
  <w:style w:type="paragraph" w:styleId="NormalIndent">
    <w:name w:val="Normal Indent"/>
    <w:basedOn w:val="Normal"/>
    <w:rsid w:val="00CD5D42"/>
    <w:pPr>
      <w:tabs>
        <w:tab w:val="clear" w:pos="567"/>
      </w:tabs>
      <w:spacing w:after="120" w:line="240" w:lineRule="auto"/>
      <w:ind w:left="720"/>
    </w:pPr>
    <w:rPr>
      <w:snapToGrid/>
      <w:lang w:eastAsia="en-GB"/>
    </w:rPr>
  </w:style>
  <w:style w:type="paragraph" w:styleId="ListParagraph">
    <w:name w:val="List Paragraph"/>
    <w:basedOn w:val="Normal"/>
    <w:uiPriority w:val="34"/>
    <w:qFormat/>
    <w:rsid w:val="00CD5D42"/>
    <w:pPr>
      <w:tabs>
        <w:tab w:val="clear" w:pos="567"/>
      </w:tabs>
      <w:suppressAutoHyphens/>
      <w:spacing w:line="240" w:lineRule="auto"/>
      <w:ind w:left="720"/>
      <w:contextualSpacing/>
    </w:pPr>
    <w:rPr>
      <w:snapToGrid/>
      <w:szCs w:val="24"/>
      <w:lang w:val="lt-LT" w:eastAsia="zh-CN"/>
    </w:rPr>
  </w:style>
  <w:style w:type="table" w:styleId="TableGrid">
    <w:name w:val="Table Grid"/>
    <w:basedOn w:val="TableNormal"/>
    <w:uiPriority w:val="59"/>
    <w:rsid w:val="00CD5D42"/>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D5D42"/>
  </w:style>
  <w:style w:type="paragraph" w:customStyle="1" w:styleId="lbltxt">
    <w:name w:val="lbltxt"/>
    <w:rsid w:val="00A71D50"/>
    <w:pPr>
      <w:spacing w:after="0" w:line="240" w:lineRule="auto"/>
    </w:pPr>
    <w:rPr>
      <w:rFonts w:ascii="Times New Roman" w:eastAsia="Times New Roman" w:hAnsi="Times New Roman" w:cs="Times New Roman"/>
      <w:szCs w:val="20"/>
      <w:lang w:val="lt-LT"/>
    </w:rPr>
  </w:style>
  <w:style w:type="paragraph" w:customStyle="1" w:styleId="11ptUnderlined">
    <w:name w:val="_11 pt Underlined"/>
    <w:basedOn w:val="lbltxt"/>
    <w:qFormat/>
    <w:rsid w:val="00A71D50"/>
    <w:rPr>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337482">
      <w:bodyDiv w:val="1"/>
      <w:marLeft w:val="0"/>
      <w:marRight w:val="0"/>
      <w:marTop w:val="0"/>
      <w:marBottom w:val="0"/>
      <w:divBdr>
        <w:top w:val="none" w:sz="0" w:space="0" w:color="auto"/>
        <w:left w:val="none" w:sz="0" w:space="0" w:color="auto"/>
        <w:bottom w:val="none" w:sz="0" w:space="0" w:color="auto"/>
        <w:right w:val="none" w:sz="0" w:space="0" w:color="auto"/>
      </w:divBdr>
    </w:div>
    <w:div w:id="1000505160">
      <w:bodyDiv w:val="1"/>
      <w:marLeft w:val="0"/>
      <w:marRight w:val="0"/>
      <w:marTop w:val="0"/>
      <w:marBottom w:val="0"/>
      <w:divBdr>
        <w:top w:val="none" w:sz="0" w:space="0" w:color="auto"/>
        <w:left w:val="none" w:sz="0" w:space="0" w:color="auto"/>
        <w:bottom w:val="none" w:sz="0" w:space="0" w:color="auto"/>
        <w:right w:val="none" w:sz="0" w:space="0" w:color="auto"/>
      </w:divBdr>
    </w:div>
    <w:div w:id="1056589771">
      <w:bodyDiv w:val="1"/>
      <w:marLeft w:val="0"/>
      <w:marRight w:val="0"/>
      <w:marTop w:val="0"/>
      <w:marBottom w:val="0"/>
      <w:divBdr>
        <w:top w:val="none" w:sz="0" w:space="0" w:color="auto"/>
        <w:left w:val="none" w:sz="0" w:space="0" w:color="auto"/>
        <w:bottom w:val="none" w:sz="0" w:space="0" w:color="auto"/>
        <w:right w:val="none" w:sz="0" w:space="0" w:color="auto"/>
      </w:divBdr>
    </w:div>
    <w:div w:id="1702897973">
      <w:bodyDiv w:val="1"/>
      <w:marLeft w:val="0"/>
      <w:marRight w:val="0"/>
      <w:marTop w:val="0"/>
      <w:marBottom w:val="0"/>
      <w:divBdr>
        <w:top w:val="none" w:sz="0" w:space="0" w:color="auto"/>
        <w:left w:val="none" w:sz="0" w:space="0" w:color="auto"/>
        <w:bottom w:val="none" w:sz="0" w:space="0" w:color="auto"/>
        <w:right w:val="none" w:sz="0" w:space="0" w:color="auto"/>
      </w:divBdr>
    </w:div>
    <w:div w:id="1818185355">
      <w:bodyDiv w:val="1"/>
      <w:marLeft w:val="0"/>
      <w:marRight w:val="0"/>
      <w:marTop w:val="0"/>
      <w:marBottom w:val="0"/>
      <w:divBdr>
        <w:top w:val="none" w:sz="0" w:space="0" w:color="auto"/>
        <w:left w:val="none" w:sz="0" w:space="0" w:color="auto"/>
        <w:bottom w:val="none" w:sz="0" w:space="0" w:color="auto"/>
        <w:right w:val="none" w:sz="0" w:space="0" w:color="auto"/>
      </w:divBdr>
    </w:div>
    <w:div w:id="18245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9059</Words>
  <Characters>5164</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eu_artwork1</dc:creator>
  <cp:keywords/>
  <dc:description/>
  <cp:lastModifiedBy>Birutė Valkauskaitė</cp:lastModifiedBy>
  <cp:revision>2</cp:revision>
  <dcterms:created xsi:type="dcterms:W3CDTF">2021-07-02T04:53:00Z</dcterms:created>
  <dcterms:modified xsi:type="dcterms:W3CDTF">2021-07-02T04:53:00Z</dcterms:modified>
</cp:coreProperties>
</file>