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BC9E6" w14:textId="77777777" w:rsidR="00250DCE" w:rsidRPr="00250DCE" w:rsidRDefault="00250DCE" w:rsidP="00250DCE">
      <w:pPr>
        <w:tabs>
          <w:tab w:val="clear" w:pos="567"/>
        </w:tabs>
        <w:autoSpaceDE w:val="0"/>
        <w:autoSpaceDN w:val="0"/>
        <w:adjustRightInd w:val="0"/>
        <w:spacing w:line="240" w:lineRule="auto"/>
        <w:jc w:val="center"/>
        <w:rPr>
          <w:rFonts w:eastAsia="TimesNewRoman,Bold"/>
          <w:b/>
          <w:bCs/>
          <w:snapToGrid/>
          <w:szCs w:val="22"/>
        </w:rPr>
      </w:pPr>
      <w:bookmarkStart w:id="0" w:name="_GoBack"/>
      <w:bookmarkEnd w:id="0"/>
      <w:r w:rsidRPr="00250DCE">
        <w:rPr>
          <w:rFonts w:eastAsia="TimesNewRoman,Bold"/>
          <w:b/>
          <w:bCs/>
          <w:snapToGrid/>
          <w:szCs w:val="22"/>
        </w:rPr>
        <w:t>Pakuotės lapelis: informacija pacientui</w:t>
      </w:r>
    </w:p>
    <w:p w14:paraId="4C5D3A38" w14:textId="77777777" w:rsidR="00250DCE" w:rsidRPr="00250DCE" w:rsidRDefault="00250DCE" w:rsidP="00250DCE">
      <w:pPr>
        <w:tabs>
          <w:tab w:val="clear" w:pos="567"/>
        </w:tabs>
        <w:autoSpaceDE w:val="0"/>
        <w:autoSpaceDN w:val="0"/>
        <w:adjustRightInd w:val="0"/>
        <w:spacing w:line="240" w:lineRule="auto"/>
        <w:jc w:val="center"/>
        <w:rPr>
          <w:rFonts w:eastAsia="TimesNewRoman,Bold"/>
          <w:b/>
          <w:bCs/>
          <w:snapToGrid/>
          <w:szCs w:val="22"/>
        </w:rPr>
      </w:pPr>
    </w:p>
    <w:p w14:paraId="2F8F62FE" w14:textId="77777777" w:rsidR="00250DCE" w:rsidRPr="00250DCE" w:rsidRDefault="00250DCE" w:rsidP="00250DCE">
      <w:pPr>
        <w:tabs>
          <w:tab w:val="clear" w:pos="567"/>
        </w:tabs>
        <w:autoSpaceDE w:val="0"/>
        <w:autoSpaceDN w:val="0"/>
        <w:adjustRightInd w:val="0"/>
        <w:spacing w:line="240" w:lineRule="auto"/>
        <w:jc w:val="center"/>
        <w:rPr>
          <w:rFonts w:eastAsia="TimesNewRoman,Bold"/>
          <w:b/>
          <w:bCs/>
          <w:snapToGrid/>
          <w:szCs w:val="22"/>
        </w:rPr>
      </w:pPr>
      <w:r w:rsidRPr="00250DCE">
        <w:rPr>
          <w:rFonts w:eastAsia="TimesNewRoman,Bold"/>
          <w:b/>
          <w:bCs/>
          <w:snapToGrid/>
          <w:szCs w:val="22"/>
        </w:rPr>
        <w:t>Cinacalcet Teva 30</w:t>
      </w:r>
      <w:r w:rsidR="00533C11">
        <w:rPr>
          <w:rFonts w:eastAsia="TimesNewRoman,Bold"/>
          <w:b/>
          <w:bCs/>
          <w:snapToGrid/>
          <w:szCs w:val="22"/>
        </w:rPr>
        <w:t> </w:t>
      </w:r>
      <w:r w:rsidRPr="00250DCE">
        <w:rPr>
          <w:rFonts w:eastAsia="TimesNewRoman,Bold"/>
          <w:b/>
          <w:bCs/>
          <w:snapToGrid/>
          <w:szCs w:val="22"/>
        </w:rPr>
        <w:t>mg plėvele dengtos tabletės</w:t>
      </w:r>
    </w:p>
    <w:p w14:paraId="2AD56C49" w14:textId="77777777" w:rsidR="00250DCE" w:rsidRPr="007D0562" w:rsidRDefault="00250DCE" w:rsidP="00250DCE">
      <w:pPr>
        <w:tabs>
          <w:tab w:val="clear" w:pos="567"/>
        </w:tabs>
        <w:autoSpaceDE w:val="0"/>
        <w:autoSpaceDN w:val="0"/>
        <w:adjustRightInd w:val="0"/>
        <w:spacing w:line="240" w:lineRule="auto"/>
        <w:jc w:val="center"/>
        <w:rPr>
          <w:rFonts w:eastAsia="TimesNewRoman,Bold"/>
          <w:b/>
          <w:highlight w:val="lightGray"/>
        </w:rPr>
      </w:pPr>
      <w:r w:rsidRPr="007D0562">
        <w:rPr>
          <w:rFonts w:eastAsia="TimesNewRoman,Bold"/>
          <w:b/>
          <w:highlight w:val="lightGray"/>
        </w:rPr>
        <w:t>Cinacalcet Teva 60</w:t>
      </w:r>
      <w:r w:rsidR="00533C11" w:rsidRPr="007D0562">
        <w:rPr>
          <w:rFonts w:eastAsia="TimesNewRoman,Bold"/>
          <w:b/>
          <w:highlight w:val="lightGray"/>
        </w:rPr>
        <w:t> </w:t>
      </w:r>
      <w:r w:rsidRPr="007D0562">
        <w:rPr>
          <w:rFonts w:eastAsia="TimesNewRoman,Bold"/>
          <w:b/>
          <w:highlight w:val="lightGray"/>
        </w:rPr>
        <w:t>mg plėvele dengtos tabletės</w:t>
      </w:r>
    </w:p>
    <w:p w14:paraId="58A80755" w14:textId="77777777" w:rsidR="00250DCE" w:rsidRPr="00250DCE" w:rsidRDefault="00250DCE" w:rsidP="00250DCE">
      <w:pPr>
        <w:tabs>
          <w:tab w:val="clear" w:pos="567"/>
        </w:tabs>
        <w:autoSpaceDE w:val="0"/>
        <w:autoSpaceDN w:val="0"/>
        <w:adjustRightInd w:val="0"/>
        <w:spacing w:line="240" w:lineRule="auto"/>
        <w:jc w:val="center"/>
        <w:rPr>
          <w:rFonts w:eastAsia="TimesNewRoman,Bold"/>
          <w:b/>
          <w:bCs/>
          <w:snapToGrid/>
          <w:szCs w:val="22"/>
        </w:rPr>
      </w:pPr>
      <w:r w:rsidRPr="007D0562">
        <w:rPr>
          <w:rFonts w:eastAsia="TimesNewRoman,Bold"/>
          <w:b/>
          <w:highlight w:val="lightGray"/>
        </w:rPr>
        <w:t>Cinacalcet Teva 90</w:t>
      </w:r>
      <w:r w:rsidR="00533C11" w:rsidRPr="007D0562">
        <w:rPr>
          <w:rFonts w:eastAsia="TimesNewRoman,Bold"/>
          <w:b/>
          <w:highlight w:val="lightGray"/>
        </w:rPr>
        <w:t> </w:t>
      </w:r>
      <w:r w:rsidRPr="007D0562">
        <w:rPr>
          <w:rFonts w:eastAsia="TimesNewRoman,Bold"/>
          <w:b/>
          <w:highlight w:val="lightGray"/>
        </w:rPr>
        <w:t>mg plėvele dengtos tabletės</w:t>
      </w:r>
    </w:p>
    <w:p w14:paraId="412E276A" w14:textId="4B83ECF8" w:rsidR="00250DCE" w:rsidRPr="00250DCE" w:rsidRDefault="007B3EA3" w:rsidP="00250DCE">
      <w:pPr>
        <w:tabs>
          <w:tab w:val="clear" w:pos="567"/>
        </w:tabs>
        <w:autoSpaceDE w:val="0"/>
        <w:autoSpaceDN w:val="0"/>
        <w:adjustRightInd w:val="0"/>
        <w:spacing w:line="240" w:lineRule="auto"/>
        <w:jc w:val="center"/>
        <w:rPr>
          <w:rFonts w:eastAsia="TimesNewRoman,Bold"/>
          <w:snapToGrid/>
          <w:szCs w:val="22"/>
        </w:rPr>
      </w:pPr>
      <w:r>
        <w:rPr>
          <w:rFonts w:eastAsia="TimesNewRoman,Bold"/>
          <w:snapToGrid/>
          <w:szCs w:val="22"/>
        </w:rPr>
        <w:t>c</w:t>
      </w:r>
      <w:r w:rsidR="00250DCE" w:rsidRPr="00250DCE">
        <w:rPr>
          <w:rFonts w:eastAsia="TimesNewRoman,Bold"/>
          <w:snapToGrid/>
          <w:szCs w:val="22"/>
        </w:rPr>
        <w:t xml:space="preserve">inakalcetas </w:t>
      </w:r>
    </w:p>
    <w:p w14:paraId="22AAD7B0"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p>
    <w:p w14:paraId="0F214E09" w14:textId="77777777" w:rsidR="00250DCE" w:rsidRPr="00250DCE" w:rsidRDefault="00250DCE" w:rsidP="00250DCE">
      <w:pPr>
        <w:tabs>
          <w:tab w:val="clear" w:pos="567"/>
        </w:tabs>
        <w:autoSpaceDE w:val="0"/>
        <w:autoSpaceDN w:val="0"/>
        <w:adjustRightInd w:val="0"/>
        <w:spacing w:line="240" w:lineRule="auto"/>
        <w:rPr>
          <w:rFonts w:eastAsia="TimesNewRoman,Bold"/>
          <w:b/>
          <w:bCs/>
          <w:snapToGrid/>
          <w:szCs w:val="22"/>
        </w:rPr>
      </w:pPr>
      <w:r w:rsidRPr="00250DCE">
        <w:rPr>
          <w:rFonts w:eastAsia="TimesNewRoman,Bold"/>
          <w:b/>
          <w:bCs/>
          <w:snapToGrid/>
          <w:szCs w:val="22"/>
        </w:rPr>
        <w:t>Atidžiai perskaitykite visą šį lapelį, prieš pradėdami vartoti vaistą, nes jame pateikiama Jums svarbi</w:t>
      </w:r>
      <w:r w:rsidR="00237517">
        <w:rPr>
          <w:rFonts w:eastAsia="TimesNewRoman,Bold"/>
          <w:b/>
          <w:bCs/>
          <w:snapToGrid/>
          <w:szCs w:val="22"/>
        </w:rPr>
        <w:t xml:space="preserve"> </w:t>
      </w:r>
      <w:r w:rsidRPr="00250DCE">
        <w:rPr>
          <w:rFonts w:eastAsia="TimesNewRoman,Bold"/>
          <w:b/>
          <w:bCs/>
          <w:snapToGrid/>
          <w:szCs w:val="22"/>
        </w:rPr>
        <w:t>informacija.</w:t>
      </w:r>
    </w:p>
    <w:p w14:paraId="0BBB739C"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r w:rsidRPr="00250DCE">
        <w:rPr>
          <w:rFonts w:eastAsia="TimesNewRoman,Bold"/>
          <w:snapToGrid/>
          <w:szCs w:val="22"/>
        </w:rPr>
        <w:t>- Neišmeskite šio lapelio, nes vėl gali prireikti jį perskaityti.</w:t>
      </w:r>
    </w:p>
    <w:p w14:paraId="314ECDF6"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r w:rsidRPr="00250DCE">
        <w:rPr>
          <w:rFonts w:eastAsia="TimesNewRoman,Bold"/>
          <w:snapToGrid/>
          <w:szCs w:val="22"/>
        </w:rPr>
        <w:t>- Jeigu kiltų daugiau klausimų, kreipkitės į gydytoją, vaistininką arba slaugytoją.</w:t>
      </w:r>
    </w:p>
    <w:p w14:paraId="3740293D"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r w:rsidRPr="00250DCE">
        <w:rPr>
          <w:rFonts w:eastAsia="TimesNewRoman,Bold"/>
          <w:snapToGrid/>
          <w:szCs w:val="22"/>
        </w:rPr>
        <w:t>- Šis vaistas skirtas tik Jums, todėl kitiems žmonėms jo duoti negalima. Vaistas gali jiems pakenkti (net</w:t>
      </w:r>
      <w:r w:rsidR="00237517">
        <w:rPr>
          <w:rFonts w:eastAsia="TimesNewRoman,Bold"/>
          <w:snapToGrid/>
          <w:szCs w:val="22"/>
        </w:rPr>
        <w:t xml:space="preserve"> </w:t>
      </w:r>
      <w:r w:rsidRPr="00250DCE">
        <w:rPr>
          <w:rFonts w:eastAsia="TimesNewRoman,Bold"/>
          <w:snapToGrid/>
          <w:szCs w:val="22"/>
        </w:rPr>
        <w:t>tiems, kurių ligos požymiai</w:t>
      </w:r>
      <w:r w:rsidR="00DA2789">
        <w:rPr>
          <w:rFonts w:eastAsia="TimesNewRoman,Bold"/>
          <w:snapToGrid/>
          <w:szCs w:val="22"/>
        </w:rPr>
        <w:t xml:space="preserve"> </w:t>
      </w:r>
      <w:r w:rsidRPr="00250DCE">
        <w:rPr>
          <w:rFonts w:eastAsia="TimesNewRoman,Bold"/>
          <w:snapToGrid/>
          <w:szCs w:val="22"/>
        </w:rPr>
        <w:t>yra tokie patys kaip Jūsų).</w:t>
      </w:r>
    </w:p>
    <w:p w14:paraId="337ADEF4"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r w:rsidRPr="00250DCE">
        <w:rPr>
          <w:rFonts w:eastAsia="TimesNewRoman,Bold"/>
          <w:snapToGrid/>
          <w:szCs w:val="22"/>
        </w:rPr>
        <w:t>- Jeigu pasireiškė šalutinis poveikis (net jeigu jis šiame lapelyje nenurodytas), kreipkitės į gydytoją,</w:t>
      </w:r>
      <w:r w:rsidR="00237517">
        <w:rPr>
          <w:rFonts w:eastAsia="TimesNewRoman,Bold"/>
          <w:snapToGrid/>
          <w:szCs w:val="22"/>
        </w:rPr>
        <w:t xml:space="preserve"> </w:t>
      </w:r>
      <w:r w:rsidRPr="00250DCE">
        <w:rPr>
          <w:rFonts w:eastAsia="TimesNewRoman,Bold"/>
          <w:snapToGrid/>
          <w:szCs w:val="22"/>
        </w:rPr>
        <w:t>vaistininką arba slaugytoją. Žr. 4 skyrių.</w:t>
      </w:r>
    </w:p>
    <w:p w14:paraId="0BC80FA9" w14:textId="77777777" w:rsidR="00250DCE" w:rsidRPr="00250DCE" w:rsidRDefault="00250DCE" w:rsidP="00250DCE">
      <w:pPr>
        <w:tabs>
          <w:tab w:val="clear" w:pos="567"/>
        </w:tabs>
        <w:autoSpaceDE w:val="0"/>
        <w:autoSpaceDN w:val="0"/>
        <w:adjustRightInd w:val="0"/>
        <w:spacing w:line="240" w:lineRule="auto"/>
        <w:rPr>
          <w:rFonts w:eastAsia="TimesNewRoman,Bold"/>
          <w:b/>
          <w:bCs/>
          <w:snapToGrid/>
          <w:szCs w:val="22"/>
        </w:rPr>
      </w:pPr>
    </w:p>
    <w:p w14:paraId="150D71C8" w14:textId="77777777" w:rsidR="00533C11" w:rsidRPr="00533C11" w:rsidRDefault="00533C11" w:rsidP="00533C11">
      <w:pPr>
        <w:keepNext/>
        <w:jc w:val="both"/>
        <w:outlineLvl w:val="3"/>
        <w:rPr>
          <w:b/>
          <w:bCs/>
          <w:szCs w:val="28"/>
          <w:lang w:eastAsia="x-none"/>
        </w:rPr>
      </w:pPr>
      <w:r w:rsidRPr="00533C11">
        <w:rPr>
          <w:b/>
          <w:bCs/>
          <w:szCs w:val="28"/>
          <w:lang w:eastAsia="x-none"/>
        </w:rPr>
        <w:t>Apie ką rašoma šiame lapelyje?</w:t>
      </w:r>
    </w:p>
    <w:p w14:paraId="3FD2BFA7"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r w:rsidRPr="00250DCE">
        <w:rPr>
          <w:rFonts w:eastAsia="TimesNewRoman,Bold"/>
          <w:snapToGrid/>
          <w:szCs w:val="22"/>
        </w:rPr>
        <w:t>1. Kas yra Cinacalcet Teva ir kam jis vartojamas</w:t>
      </w:r>
    </w:p>
    <w:p w14:paraId="130F33C6"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r w:rsidRPr="00250DCE">
        <w:rPr>
          <w:rFonts w:eastAsia="TimesNewRoman,Bold"/>
          <w:snapToGrid/>
          <w:szCs w:val="22"/>
        </w:rPr>
        <w:t>2. Kas žinotina prieš vartojant Cinacalcet Teva</w:t>
      </w:r>
    </w:p>
    <w:p w14:paraId="4941FF0E"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r w:rsidRPr="00250DCE">
        <w:rPr>
          <w:rFonts w:eastAsia="TimesNewRoman,Bold"/>
          <w:snapToGrid/>
          <w:szCs w:val="22"/>
        </w:rPr>
        <w:t>3. Kaip vartoti Cinacalcet Teva</w:t>
      </w:r>
    </w:p>
    <w:p w14:paraId="03E2AAE9"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r w:rsidRPr="00250DCE">
        <w:rPr>
          <w:rFonts w:eastAsia="TimesNewRoman,Bold"/>
          <w:snapToGrid/>
          <w:szCs w:val="22"/>
        </w:rPr>
        <w:t>4. Galimas šalutinis poveikis</w:t>
      </w:r>
    </w:p>
    <w:p w14:paraId="29C3528F"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r w:rsidRPr="00250DCE">
        <w:rPr>
          <w:rFonts w:eastAsia="TimesNewRoman,Bold"/>
          <w:snapToGrid/>
          <w:szCs w:val="22"/>
        </w:rPr>
        <w:t>5. Kaip laikyti Cinacalcet Teva</w:t>
      </w:r>
    </w:p>
    <w:p w14:paraId="45430E57"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r w:rsidRPr="00250DCE">
        <w:rPr>
          <w:rFonts w:eastAsia="TimesNewRoman,Bold"/>
          <w:snapToGrid/>
          <w:szCs w:val="22"/>
        </w:rPr>
        <w:t>6. Pakuotės turinys ir kita informacija</w:t>
      </w:r>
    </w:p>
    <w:p w14:paraId="388A0A01" w14:textId="77777777" w:rsidR="00250DCE" w:rsidRDefault="00250DCE" w:rsidP="00250DCE">
      <w:pPr>
        <w:tabs>
          <w:tab w:val="clear" w:pos="567"/>
        </w:tabs>
        <w:autoSpaceDE w:val="0"/>
        <w:autoSpaceDN w:val="0"/>
        <w:adjustRightInd w:val="0"/>
        <w:spacing w:line="240" w:lineRule="auto"/>
        <w:rPr>
          <w:rFonts w:eastAsia="TimesNewRoman,Bold"/>
          <w:b/>
          <w:bCs/>
          <w:snapToGrid/>
          <w:szCs w:val="22"/>
        </w:rPr>
      </w:pPr>
    </w:p>
    <w:p w14:paraId="22AE9F82" w14:textId="77777777" w:rsidR="00C3614E" w:rsidRPr="00250DCE" w:rsidRDefault="00C3614E" w:rsidP="00250DCE">
      <w:pPr>
        <w:tabs>
          <w:tab w:val="clear" w:pos="567"/>
        </w:tabs>
        <w:autoSpaceDE w:val="0"/>
        <w:autoSpaceDN w:val="0"/>
        <w:adjustRightInd w:val="0"/>
        <w:spacing w:line="240" w:lineRule="auto"/>
        <w:rPr>
          <w:rFonts w:eastAsia="TimesNewRoman,Bold"/>
          <w:b/>
          <w:bCs/>
          <w:snapToGrid/>
          <w:szCs w:val="22"/>
        </w:rPr>
      </w:pPr>
    </w:p>
    <w:p w14:paraId="2029FB38" w14:textId="77777777" w:rsidR="00250DCE" w:rsidRPr="00250DCE" w:rsidRDefault="00250DCE" w:rsidP="00250DCE">
      <w:pPr>
        <w:keepNext/>
        <w:numPr>
          <w:ilvl w:val="0"/>
          <w:numId w:val="9"/>
        </w:numPr>
        <w:tabs>
          <w:tab w:val="clear" w:pos="567"/>
        </w:tabs>
        <w:spacing w:after="200" w:line="276" w:lineRule="auto"/>
        <w:jc w:val="both"/>
        <w:outlineLvl w:val="3"/>
        <w:rPr>
          <w:b/>
          <w:bCs/>
          <w:szCs w:val="28"/>
          <w:lang w:eastAsia="x-none"/>
        </w:rPr>
      </w:pPr>
      <w:r w:rsidRPr="00250DCE">
        <w:rPr>
          <w:b/>
          <w:bCs/>
          <w:szCs w:val="28"/>
          <w:lang w:eastAsia="x-none"/>
        </w:rPr>
        <w:t>Kas yra Cinacalcet Teva ir kam jis vartojamas</w:t>
      </w:r>
    </w:p>
    <w:p w14:paraId="059767A4"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r w:rsidRPr="00250DCE">
        <w:rPr>
          <w:rFonts w:eastAsia="TimesNewRoman,Bold"/>
          <w:snapToGrid/>
          <w:szCs w:val="22"/>
        </w:rPr>
        <w:t xml:space="preserve">Cinacalcet Teva veikia kontroliuodamas paratiroidinio hormono (PTH), kalcio ir fosforo koncentraciją Jūsų organizme. Šio </w:t>
      </w:r>
      <w:r w:rsidR="00391912">
        <w:rPr>
          <w:rFonts w:eastAsia="TimesNewRoman,Bold"/>
          <w:snapToGrid/>
          <w:szCs w:val="22"/>
        </w:rPr>
        <w:t xml:space="preserve">vaistinio </w:t>
      </w:r>
      <w:r w:rsidRPr="00250DCE">
        <w:rPr>
          <w:rFonts w:eastAsia="TimesNewRoman,Bold"/>
          <w:snapToGrid/>
          <w:szCs w:val="22"/>
        </w:rPr>
        <w:t>preparato vartojama prieskydinėmis liaukomis vadinamo organo sutrikimams gydyti. Prieskydinės liaukos – tai keturios mažos kakle, šalia skydliaukės esančios liaukos, gaminančios paratiroidinį hormoną (PTH).</w:t>
      </w:r>
    </w:p>
    <w:p w14:paraId="1C6FBF52"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p>
    <w:p w14:paraId="060B5DDF"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Cinacalcet Teva vartojamas</w:t>
      </w:r>
      <w:r w:rsidR="00D52BEB">
        <w:rPr>
          <w:rFonts w:eastAsia="Calibri"/>
          <w:snapToGrid/>
          <w:szCs w:val="22"/>
        </w:rPr>
        <w:t xml:space="preserve"> suaugusiesiems</w:t>
      </w:r>
      <w:r w:rsidRPr="008E66BB">
        <w:rPr>
          <w:rFonts w:eastAsia="Calibri"/>
          <w:snapToGrid/>
          <w:szCs w:val="22"/>
        </w:rPr>
        <w:t>:</w:t>
      </w:r>
    </w:p>
    <w:p w14:paraId="7D1CE683" w14:textId="77777777" w:rsidR="00250DCE" w:rsidRPr="008E66BB" w:rsidRDefault="00250DCE" w:rsidP="00250DCE">
      <w:pPr>
        <w:numPr>
          <w:ilvl w:val="0"/>
          <w:numId w:val="6"/>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 xml:space="preserve">antrinei hiperparatirozei gydyti sunkia inkstų liga sergantiems </w:t>
      </w:r>
      <w:r w:rsidR="00D52BEB">
        <w:rPr>
          <w:rFonts w:eastAsia="Calibri"/>
          <w:snapToGrid/>
          <w:szCs w:val="22"/>
        </w:rPr>
        <w:t xml:space="preserve">suaugusiems </w:t>
      </w:r>
      <w:r w:rsidRPr="008E66BB">
        <w:rPr>
          <w:rFonts w:eastAsia="Calibri"/>
          <w:snapToGrid/>
          <w:szCs w:val="22"/>
        </w:rPr>
        <w:t>pacientams, kuriems reikalinga dializė, kad galima būtų išvalyti kraują nuo nereikalingų medžiagų</w:t>
      </w:r>
      <w:r w:rsidR="00237517" w:rsidRPr="008E66BB">
        <w:rPr>
          <w:rFonts w:eastAsia="Calibri"/>
          <w:snapToGrid/>
          <w:szCs w:val="22"/>
        </w:rPr>
        <w:t>;</w:t>
      </w:r>
    </w:p>
    <w:p w14:paraId="58C419C3" w14:textId="77777777" w:rsidR="00250DCE" w:rsidRPr="008E66BB" w:rsidRDefault="00250DCE" w:rsidP="00250DCE">
      <w:pPr>
        <w:numPr>
          <w:ilvl w:val="0"/>
          <w:numId w:val="6"/>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padidėjusiai kalcio koncentracijai kraujyje (hiperkalcemijai) mažinti prieskydinių liaukų vėžiu sergantiems</w:t>
      </w:r>
      <w:r w:rsidR="00D52BEB">
        <w:rPr>
          <w:rFonts w:eastAsia="Calibri"/>
          <w:snapToGrid/>
          <w:szCs w:val="22"/>
        </w:rPr>
        <w:t xml:space="preserve"> suaugusiems</w:t>
      </w:r>
      <w:r w:rsidRPr="008E66BB">
        <w:rPr>
          <w:rFonts w:eastAsia="Calibri"/>
          <w:snapToGrid/>
          <w:szCs w:val="22"/>
        </w:rPr>
        <w:t xml:space="preserve"> pacientams</w:t>
      </w:r>
      <w:r w:rsidR="00237517" w:rsidRPr="008E66BB">
        <w:rPr>
          <w:rFonts w:eastAsia="Calibri"/>
          <w:snapToGrid/>
          <w:szCs w:val="22"/>
        </w:rPr>
        <w:t>;</w:t>
      </w:r>
    </w:p>
    <w:p w14:paraId="761D3683" w14:textId="77777777" w:rsidR="00250DCE" w:rsidRDefault="00250DCE" w:rsidP="00506DA5">
      <w:pPr>
        <w:numPr>
          <w:ilvl w:val="0"/>
          <w:numId w:val="6"/>
        </w:numPr>
        <w:tabs>
          <w:tab w:val="clear" w:pos="567"/>
        </w:tabs>
        <w:autoSpaceDE w:val="0"/>
        <w:autoSpaceDN w:val="0"/>
        <w:adjustRightInd w:val="0"/>
        <w:spacing w:line="240" w:lineRule="auto"/>
        <w:contextualSpacing/>
        <w:rPr>
          <w:rFonts w:eastAsia="Calibri"/>
          <w:snapToGrid/>
          <w:szCs w:val="22"/>
        </w:rPr>
      </w:pPr>
      <w:r w:rsidRPr="008E66BB">
        <w:rPr>
          <w:rFonts w:eastAsia="Calibri"/>
          <w:snapToGrid/>
          <w:szCs w:val="22"/>
        </w:rPr>
        <w:t>padidėjusiai kalcio koncentracijai kraujyje (hiperkalcemijai) mažinti pirmine hiperparatiroze sergantiems</w:t>
      </w:r>
      <w:r w:rsidR="00D52BEB">
        <w:rPr>
          <w:rFonts w:eastAsia="Calibri"/>
          <w:snapToGrid/>
          <w:szCs w:val="22"/>
        </w:rPr>
        <w:t xml:space="preserve"> suaugusiems</w:t>
      </w:r>
      <w:r w:rsidRPr="008E66BB">
        <w:rPr>
          <w:rFonts w:eastAsia="Calibri"/>
          <w:snapToGrid/>
          <w:szCs w:val="22"/>
        </w:rPr>
        <w:t xml:space="preserve"> pacientams, kuriems negalima pašalinti prieskydinės liaukos.</w:t>
      </w:r>
    </w:p>
    <w:p w14:paraId="59C13646" w14:textId="77777777" w:rsidR="00D52BEB" w:rsidRDefault="00D52BEB" w:rsidP="00D42F2E">
      <w:pPr>
        <w:tabs>
          <w:tab w:val="clear" w:pos="567"/>
        </w:tabs>
        <w:autoSpaceDE w:val="0"/>
        <w:autoSpaceDN w:val="0"/>
        <w:adjustRightInd w:val="0"/>
        <w:spacing w:line="240" w:lineRule="auto"/>
        <w:contextualSpacing/>
        <w:rPr>
          <w:rFonts w:eastAsia="Calibri"/>
          <w:snapToGrid/>
          <w:szCs w:val="22"/>
        </w:rPr>
      </w:pPr>
    </w:p>
    <w:p w14:paraId="644C10D7" w14:textId="77777777" w:rsidR="00D52BEB" w:rsidRPr="00D52BEB" w:rsidRDefault="00D52BEB" w:rsidP="00D52BEB">
      <w:pPr>
        <w:tabs>
          <w:tab w:val="clear" w:pos="567"/>
        </w:tabs>
        <w:autoSpaceDE w:val="0"/>
        <w:autoSpaceDN w:val="0"/>
        <w:adjustRightInd w:val="0"/>
        <w:spacing w:line="240" w:lineRule="auto"/>
        <w:contextualSpacing/>
        <w:rPr>
          <w:rFonts w:eastAsia="Calibri"/>
          <w:snapToGrid/>
          <w:szCs w:val="22"/>
        </w:rPr>
      </w:pPr>
      <w:r>
        <w:rPr>
          <w:rFonts w:eastAsia="Calibri"/>
          <w:snapToGrid/>
          <w:szCs w:val="22"/>
        </w:rPr>
        <w:t>Cinacalcet Teva</w:t>
      </w:r>
      <w:r w:rsidRPr="00D52BEB">
        <w:rPr>
          <w:rFonts w:eastAsia="Calibri"/>
          <w:snapToGrid/>
          <w:szCs w:val="22"/>
        </w:rPr>
        <w:t xml:space="preserve"> vartojama vaikams nuo 3 iki 18 metų:</w:t>
      </w:r>
    </w:p>
    <w:p w14:paraId="552EFA25" w14:textId="77777777" w:rsidR="00D52BEB" w:rsidRPr="00D52BEB" w:rsidRDefault="00D52BEB" w:rsidP="00D42F2E">
      <w:pPr>
        <w:numPr>
          <w:ilvl w:val="0"/>
          <w:numId w:val="12"/>
        </w:numPr>
        <w:tabs>
          <w:tab w:val="clear" w:pos="567"/>
        </w:tabs>
        <w:autoSpaceDE w:val="0"/>
        <w:autoSpaceDN w:val="0"/>
        <w:adjustRightInd w:val="0"/>
        <w:spacing w:line="240" w:lineRule="auto"/>
        <w:ind w:left="709" w:hanging="283"/>
        <w:contextualSpacing/>
        <w:rPr>
          <w:rFonts w:eastAsia="Calibri"/>
          <w:snapToGrid/>
          <w:szCs w:val="22"/>
        </w:rPr>
      </w:pPr>
      <w:r w:rsidRPr="00D52BEB">
        <w:rPr>
          <w:rFonts w:eastAsia="Calibri"/>
          <w:snapToGrid/>
          <w:szCs w:val="22"/>
        </w:rPr>
        <w:t>antrinei hiperparatirozei gydyti sunkia inkstų liga sergantiems pacientams, kuriems reikalinga dializė, kad galima būtų išvalyti kraują nuo nereikalingų medžiagų ir kurių būklė nėra tinkamai</w:t>
      </w:r>
      <w:r>
        <w:rPr>
          <w:rFonts w:eastAsia="Calibri"/>
          <w:snapToGrid/>
          <w:szCs w:val="22"/>
        </w:rPr>
        <w:t xml:space="preserve"> </w:t>
      </w:r>
      <w:r w:rsidRPr="00D52BEB">
        <w:rPr>
          <w:rFonts w:eastAsia="Calibri"/>
          <w:snapToGrid/>
          <w:szCs w:val="22"/>
        </w:rPr>
        <w:t>kontroliuojama kitais gydymo būdais.</w:t>
      </w:r>
    </w:p>
    <w:p w14:paraId="063F48D1" w14:textId="77777777" w:rsidR="00250DCE" w:rsidRPr="008E66BB" w:rsidRDefault="00250DCE" w:rsidP="00237517">
      <w:pPr>
        <w:tabs>
          <w:tab w:val="clear" w:pos="567"/>
        </w:tabs>
        <w:autoSpaceDE w:val="0"/>
        <w:autoSpaceDN w:val="0"/>
        <w:adjustRightInd w:val="0"/>
        <w:spacing w:line="240" w:lineRule="auto"/>
        <w:rPr>
          <w:rFonts w:eastAsia="Calibri"/>
          <w:snapToGrid/>
          <w:szCs w:val="22"/>
        </w:rPr>
      </w:pPr>
    </w:p>
    <w:p w14:paraId="44D93891" w14:textId="77777777" w:rsidR="00250DCE" w:rsidRPr="008E66BB" w:rsidRDefault="00250DCE" w:rsidP="00777D09">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Pirminės ir antrinės hiperparatirozės metu prieskydinės liaukos gamina per daug PTH. „Pirminė“ reiškia, kad</w:t>
      </w:r>
      <w:r w:rsidR="00237517" w:rsidRPr="008E66BB">
        <w:rPr>
          <w:rFonts w:eastAsia="Calibri"/>
          <w:snapToGrid/>
          <w:szCs w:val="22"/>
        </w:rPr>
        <w:t xml:space="preserve"> </w:t>
      </w:r>
      <w:r w:rsidRPr="008E66BB">
        <w:rPr>
          <w:rFonts w:eastAsia="Calibri"/>
          <w:snapToGrid/>
          <w:szCs w:val="22"/>
        </w:rPr>
        <w:t>hiperparatirozės nesukelia jokia kita liga, o „antrinė“ reiškia, kad hiperparatirozę lemia kita būklė, pvz.,</w:t>
      </w:r>
      <w:r w:rsidR="00237517" w:rsidRPr="008E66BB">
        <w:rPr>
          <w:rFonts w:eastAsia="Calibri"/>
          <w:snapToGrid/>
          <w:szCs w:val="22"/>
        </w:rPr>
        <w:t xml:space="preserve"> </w:t>
      </w:r>
      <w:r w:rsidRPr="008E66BB">
        <w:rPr>
          <w:rFonts w:eastAsia="Calibri"/>
          <w:snapToGrid/>
          <w:szCs w:val="22"/>
        </w:rPr>
        <w:t>inkstų liga. Dėl abiejų, pirminės ir antrinės hiperparatirozės kauluose gali mažėti kalcio kiekis, todėl gali</w:t>
      </w:r>
      <w:r w:rsidR="00237517" w:rsidRPr="008E66BB">
        <w:rPr>
          <w:rFonts w:eastAsia="Calibri"/>
          <w:snapToGrid/>
          <w:szCs w:val="22"/>
        </w:rPr>
        <w:t xml:space="preserve"> </w:t>
      </w:r>
      <w:r w:rsidRPr="008E66BB">
        <w:rPr>
          <w:rFonts w:eastAsia="Calibri"/>
          <w:snapToGrid/>
          <w:szCs w:val="22"/>
        </w:rPr>
        <w:t>skaudėti kaulus, jie gali lūžti, gali atsirasti kraujo ir širdies kraujagyslių sutrikimų, akmenų inkstuose,</w:t>
      </w:r>
      <w:r w:rsidR="00237517" w:rsidRPr="008E66BB">
        <w:rPr>
          <w:rFonts w:eastAsia="Calibri"/>
          <w:snapToGrid/>
          <w:szCs w:val="22"/>
        </w:rPr>
        <w:t xml:space="preserve"> </w:t>
      </w:r>
      <w:r w:rsidRPr="008E66BB">
        <w:rPr>
          <w:rFonts w:eastAsia="Calibri"/>
          <w:snapToGrid/>
          <w:szCs w:val="22"/>
        </w:rPr>
        <w:t>pasireikšti psichinė liga, ištikti koma.</w:t>
      </w:r>
    </w:p>
    <w:p w14:paraId="5C5BE6D2"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4CB2DF74" w14:textId="77777777" w:rsidR="00C3614E" w:rsidRPr="008E66BB" w:rsidRDefault="00C3614E" w:rsidP="00250DCE">
      <w:pPr>
        <w:tabs>
          <w:tab w:val="clear" w:pos="567"/>
        </w:tabs>
        <w:autoSpaceDE w:val="0"/>
        <w:autoSpaceDN w:val="0"/>
        <w:adjustRightInd w:val="0"/>
        <w:spacing w:line="240" w:lineRule="auto"/>
        <w:rPr>
          <w:rFonts w:eastAsia="Calibri"/>
          <w:snapToGrid/>
          <w:szCs w:val="22"/>
        </w:rPr>
      </w:pPr>
    </w:p>
    <w:p w14:paraId="053344D4" w14:textId="77777777" w:rsidR="00250DCE" w:rsidRPr="008E66BB" w:rsidRDefault="00250DCE" w:rsidP="00250DCE">
      <w:pPr>
        <w:autoSpaceDE w:val="0"/>
        <w:autoSpaceDN w:val="0"/>
        <w:adjustRightInd w:val="0"/>
        <w:spacing w:line="240" w:lineRule="auto"/>
        <w:rPr>
          <w:rFonts w:eastAsia="Calibri"/>
          <w:b/>
          <w:snapToGrid/>
          <w:szCs w:val="22"/>
        </w:rPr>
      </w:pPr>
      <w:r w:rsidRPr="008E66BB">
        <w:rPr>
          <w:rFonts w:eastAsia="Calibri"/>
          <w:b/>
          <w:snapToGrid/>
          <w:szCs w:val="22"/>
        </w:rPr>
        <w:t>2.</w:t>
      </w:r>
      <w:r w:rsidRPr="008E66BB">
        <w:rPr>
          <w:rFonts w:eastAsia="Calibri"/>
          <w:b/>
          <w:snapToGrid/>
          <w:szCs w:val="22"/>
        </w:rPr>
        <w:tab/>
        <w:t>Kas žinotina prieš vartojant Cinacalcet Teva</w:t>
      </w:r>
    </w:p>
    <w:p w14:paraId="1AE42AC5"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3E49926C"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Cinacalcet Teva vartoti negalima:</w:t>
      </w:r>
    </w:p>
    <w:p w14:paraId="67635565" w14:textId="1F26BBAA"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 Jeigu yra alergija cinakalcetui arba bet kuriai pagalbinei šio vaisto medžiagai (jos išvardytos</w:t>
      </w:r>
      <w:r w:rsidR="00235662">
        <w:rPr>
          <w:rFonts w:eastAsia="Calibri"/>
          <w:snapToGrid/>
          <w:szCs w:val="22"/>
        </w:rPr>
        <w:t xml:space="preserve"> </w:t>
      </w:r>
      <w:r w:rsidRPr="008E66BB">
        <w:rPr>
          <w:rFonts w:eastAsia="Calibri"/>
          <w:snapToGrid/>
          <w:szCs w:val="22"/>
        </w:rPr>
        <w:t>6 skyriuje).</w:t>
      </w:r>
    </w:p>
    <w:p w14:paraId="68CFFA13" w14:textId="77777777" w:rsidR="00250DCE" w:rsidRDefault="00250DCE" w:rsidP="00250DCE">
      <w:pPr>
        <w:tabs>
          <w:tab w:val="clear" w:pos="567"/>
        </w:tabs>
        <w:autoSpaceDE w:val="0"/>
        <w:autoSpaceDN w:val="0"/>
        <w:adjustRightInd w:val="0"/>
        <w:spacing w:line="240" w:lineRule="auto"/>
        <w:rPr>
          <w:rFonts w:eastAsia="Calibri"/>
          <w:snapToGrid/>
          <w:szCs w:val="22"/>
        </w:rPr>
      </w:pPr>
    </w:p>
    <w:p w14:paraId="0DB9AACF" w14:textId="77777777" w:rsidR="00125667" w:rsidRDefault="00125667" w:rsidP="00125667">
      <w:pPr>
        <w:tabs>
          <w:tab w:val="clear" w:pos="567"/>
        </w:tabs>
        <w:autoSpaceDE w:val="0"/>
        <w:autoSpaceDN w:val="0"/>
        <w:adjustRightInd w:val="0"/>
        <w:spacing w:line="240" w:lineRule="auto"/>
        <w:rPr>
          <w:rFonts w:eastAsia="Calibri"/>
          <w:snapToGrid/>
          <w:szCs w:val="22"/>
        </w:rPr>
      </w:pPr>
      <w:r w:rsidRPr="00D42F2E">
        <w:rPr>
          <w:rFonts w:eastAsia="Calibri"/>
          <w:b/>
          <w:snapToGrid/>
          <w:szCs w:val="22"/>
        </w:rPr>
        <w:t>Cinacalcet Teva vartoti negalima</w:t>
      </w:r>
      <w:r w:rsidR="007947D0">
        <w:rPr>
          <w:rFonts w:eastAsia="Calibri"/>
          <w:b/>
          <w:snapToGrid/>
          <w:szCs w:val="22"/>
        </w:rPr>
        <w:t>,</w:t>
      </w:r>
      <w:r w:rsidRPr="00125667">
        <w:rPr>
          <w:rFonts w:eastAsia="Calibri"/>
          <w:snapToGrid/>
          <w:szCs w:val="22"/>
        </w:rPr>
        <w:t xml:space="preserve"> jeigu kalcio kiekis Jūsų kraujyje yra mažas. Jūsų gydytojas stebės kalcio</w:t>
      </w:r>
      <w:r>
        <w:rPr>
          <w:rFonts w:eastAsia="Calibri"/>
          <w:snapToGrid/>
          <w:szCs w:val="22"/>
        </w:rPr>
        <w:t xml:space="preserve"> </w:t>
      </w:r>
      <w:r w:rsidRPr="00125667">
        <w:rPr>
          <w:rFonts w:eastAsia="Calibri"/>
          <w:snapToGrid/>
          <w:szCs w:val="22"/>
        </w:rPr>
        <w:t>kiekį kraujyje.</w:t>
      </w:r>
    </w:p>
    <w:p w14:paraId="26DA7D00" w14:textId="77777777" w:rsidR="00125667" w:rsidRPr="008E66BB" w:rsidRDefault="00125667" w:rsidP="00250DCE">
      <w:pPr>
        <w:tabs>
          <w:tab w:val="clear" w:pos="567"/>
        </w:tabs>
        <w:autoSpaceDE w:val="0"/>
        <w:autoSpaceDN w:val="0"/>
        <w:adjustRightInd w:val="0"/>
        <w:spacing w:line="240" w:lineRule="auto"/>
        <w:rPr>
          <w:rFonts w:eastAsia="Calibri"/>
          <w:snapToGrid/>
          <w:szCs w:val="22"/>
        </w:rPr>
      </w:pPr>
    </w:p>
    <w:p w14:paraId="26FA2C83"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Įspėjimai ir atsargumo priemonės</w:t>
      </w:r>
    </w:p>
    <w:p w14:paraId="671D7F43"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Pasitarkite su gydytoju, vaistininku arba slaugytoju prieš vartojant Cinacalcet Teva.</w:t>
      </w:r>
    </w:p>
    <w:p w14:paraId="71A8255F"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5AAEAD43"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Prieš pradėdami vartoti Cinacalcet Teva, pasakykite gydytojui, jeigu Jums yra ar kada nors buvo:</w:t>
      </w:r>
    </w:p>
    <w:p w14:paraId="7A39D800" w14:textId="77777777" w:rsidR="00250DCE" w:rsidRPr="008E66BB" w:rsidRDefault="00250DCE" w:rsidP="00250DCE">
      <w:pPr>
        <w:numPr>
          <w:ilvl w:val="0"/>
          <w:numId w:val="7"/>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b/>
          <w:snapToGrid/>
          <w:szCs w:val="22"/>
        </w:rPr>
        <w:t>traukulių</w:t>
      </w:r>
      <w:r w:rsidRPr="008E66BB">
        <w:rPr>
          <w:rFonts w:eastAsia="Calibri"/>
          <w:snapToGrid/>
          <w:szCs w:val="22"/>
        </w:rPr>
        <w:t xml:space="preserve"> (priepuolių ar konvulsijų). Traukulių rizika yra didesnė pacientams, kuriems anksčiau jų yra buvę;</w:t>
      </w:r>
    </w:p>
    <w:p w14:paraId="18207116" w14:textId="77777777" w:rsidR="00250DCE" w:rsidRPr="008E66BB" w:rsidRDefault="00250DCE" w:rsidP="00250DCE">
      <w:pPr>
        <w:numPr>
          <w:ilvl w:val="0"/>
          <w:numId w:val="7"/>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b/>
          <w:snapToGrid/>
          <w:szCs w:val="22"/>
        </w:rPr>
        <w:t>kepenų sutrikimų</w:t>
      </w:r>
      <w:r w:rsidRPr="008E66BB">
        <w:rPr>
          <w:rFonts w:eastAsia="Calibri"/>
          <w:snapToGrid/>
          <w:szCs w:val="22"/>
        </w:rPr>
        <w:t>;</w:t>
      </w:r>
    </w:p>
    <w:p w14:paraId="2F9F20DA" w14:textId="77777777" w:rsidR="00250DCE" w:rsidRPr="008E66BB" w:rsidRDefault="00250DCE" w:rsidP="00250DCE">
      <w:pPr>
        <w:numPr>
          <w:ilvl w:val="0"/>
          <w:numId w:val="7"/>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b/>
          <w:snapToGrid/>
          <w:szCs w:val="22"/>
        </w:rPr>
        <w:t>širdies nepakankamumas</w:t>
      </w:r>
      <w:r w:rsidRPr="008E66BB">
        <w:rPr>
          <w:rFonts w:eastAsia="Calibri"/>
          <w:snapToGrid/>
          <w:szCs w:val="22"/>
        </w:rPr>
        <w:t>.</w:t>
      </w:r>
    </w:p>
    <w:p w14:paraId="06BC0618"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7642715A" w14:textId="77777777" w:rsidR="00250DCE" w:rsidRPr="008E66BB" w:rsidRDefault="00D85B17" w:rsidP="00250DCE">
      <w:pPr>
        <w:tabs>
          <w:tab w:val="clear" w:pos="567"/>
        </w:tabs>
        <w:autoSpaceDE w:val="0"/>
        <w:autoSpaceDN w:val="0"/>
        <w:adjustRightInd w:val="0"/>
        <w:spacing w:line="240" w:lineRule="auto"/>
        <w:rPr>
          <w:rFonts w:eastAsia="Calibri"/>
          <w:snapToGrid/>
          <w:szCs w:val="22"/>
        </w:rPr>
      </w:pPr>
      <w:r>
        <w:rPr>
          <w:rFonts w:eastAsia="Calibri"/>
          <w:snapToGrid/>
          <w:szCs w:val="22"/>
        </w:rPr>
        <w:t xml:space="preserve">Cinacalcet Teva mažina kalcio koncentraciją kraujyje. </w:t>
      </w:r>
      <w:r w:rsidR="00250DCE" w:rsidRPr="008E66BB">
        <w:rPr>
          <w:rFonts w:eastAsia="Calibri"/>
          <w:snapToGrid/>
          <w:szCs w:val="22"/>
        </w:rPr>
        <w:t>Buvo pranešta apie gyvybei grėsmingus reiškinius ir mirčių atvejus, susijusius su maža kalcio koncentracija</w:t>
      </w:r>
      <w:r w:rsidR="00785697" w:rsidRPr="008E66BB">
        <w:rPr>
          <w:rFonts w:eastAsia="Calibri"/>
          <w:snapToGrid/>
          <w:szCs w:val="22"/>
        </w:rPr>
        <w:t xml:space="preserve"> </w:t>
      </w:r>
      <w:r w:rsidR="00250DCE" w:rsidRPr="008E66BB">
        <w:rPr>
          <w:rFonts w:eastAsia="Calibri"/>
          <w:snapToGrid/>
          <w:szCs w:val="22"/>
        </w:rPr>
        <w:t xml:space="preserve">kraujyje (hipokalcemija) Cinakalcet Teva gydomiems </w:t>
      </w:r>
      <w:r>
        <w:rPr>
          <w:rFonts w:eastAsia="Calibri"/>
          <w:snapToGrid/>
          <w:szCs w:val="22"/>
        </w:rPr>
        <w:t xml:space="preserve">suaugusiems </w:t>
      </w:r>
      <w:r w:rsidR="00250DCE" w:rsidRPr="008E66BB">
        <w:rPr>
          <w:rFonts w:eastAsia="Calibri"/>
          <w:snapToGrid/>
          <w:szCs w:val="22"/>
        </w:rPr>
        <w:t>pacientams</w:t>
      </w:r>
      <w:r>
        <w:rPr>
          <w:rFonts w:eastAsia="Calibri"/>
          <w:snapToGrid/>
          <w:szCs w:val="22"/>
        </w:rPr>
        <w:t xml:space="preserve"> ir vaikams</w:t>
      </w:r>
      <w:r w:rsidR="00250DCE" w:rsidRPr="008E66BB">
        <w:rPr>
          <w:rFonts w:eastAsia="Calibri"/>
          <w:snapToGrid/>
          <w:szCs w:val="22"/>
        </w:rPr>
        <w:t>.</w:t>
      </w:r>
    </w:p>
    <w:p w14:paraId="6E037118" w14:textId="77777777" w:rsidR="00250DCE" w:rsidRDefault="00250DCE" w:rsidP="00250DCE">
      <w:pPr>
        <w:tabs>
          <w:tab w:val="clear" w:pos="567"/>
        </w:tabs>
        <w:autoSpaceDE w:val="0"/>
        <w:autoSpaceDN w:val="0"/>
        <w:adjustRightInd w:val="0"/>
        <w:spacing w:line="240" w:lineRule="auto"/>
        <w:rPr>
          <w:rFonts w:eastAsia="Calibri"/>
          <w:snapToGrid/>
          <w:szCs w:val="22"/>
        </w:rPr>
      </w:pPr>
    </w:p>
    <w:p w14:paraId="15169909" w14:textId="77777777" w:rsidR="00D85B17" w:rsidRDefault="00D85B17" w:rsidP="00D85B17">
      <w:pPr>
        <w:tabs>
          <w:tab w:val="clear" w:pos="567"/>
        </w:tabs>
        <w:autoSpaceDE w:val="0"/>
        <w:autoSpaceDN w:val="0"/>
        <w:adjustRightInd w:val="0"/>
        <w:spacing w:line="240" w:lineRule="auto"/>
        <w:rPr>
          <w:rFonts w:eastAsia="Calibri"/>
          <w:snapToGrid/>
          <w:szCs w:val="22"/>
        </w:rPr>
      </w:pPr>
      <w:r w:rsidRPr="00D85B17">
        <w:rPr>
          <w:rFonts w:eastAsia="Calibri"/>
          <w:snapToGrid/>
          <w:szCs w:val="22"/>
        </w:rPr>
        <w:t>Pasakykite gydytojui, jeigu pasireiškia bet kuris iš šių simptomų, kuris gali būti mažos kalcio</w:t>
      </w:r>
      <w:r>
        <w:rPr>
          <w:rFonts w:eastAsia="Calibri"/>
          <w:snapToGrid/>
          <w:szCs w:val="22"/>
        </w:rPr>
        <w:t xml:space="preserve"> </w:t>
      </w:r>
      <w:r w:rsidRPr="00D85B17">
        <w:rPr>
          <w:rFonts w:eastAsia="Calibri"/>
          <w:snapToGrid/>
          <w:szCs w:val="22"/>
        </w:rPr>
        <w:t>koncentracijos požymis: raumenų spazmai, trūkčiojimai, mėšlungis arba rankų, kojų pirštų ar aplink</w:t>
      </w:r>
      <w:r>
        <w:rPr>
          <w:rFonts w:eastAsia="Calibri"/>
          <w:snapToGrid/>
          <w:szCs w:val="22"/>
        </w:rPr>
        <w:t xml:space="preserve"> </w:t>
      </w:r>
      <w:r w:rsidRPr="00D85B17">
        <w:rPr>
          <w:rFonts w:eastAsia="Calibri"/>
          <w:snapToGrid/>
          <w:szCs w:val="22"/>
        </w:rPr>
        <w:t xml:space="preserve">burną tirpimas ar dilgčiojimas arba traukuliai, sumišimas arba sąmonės praradimas vartojant </w:t>
      </w:r>
      <w:r>
        <w:rPr>
          <w:rFonts w:eastAsia="Calibri"/>
          <w:snapToGrid/>
          <w:szCs w:val="22"/>
        </w:rPr>
        <w:t>Cinacalcet Teva</w:t>
      </w:r>
      <w:r w:rsidRPr="00D85B17">
        <w:rPr>
          <w:rFonts w:eastAsia="Calibri"/>
          <w:snapToGrid/>
          <w:szCs w:val="22"/>
        </w:rPr>
        <w:t>.</w:t>
      </w:r>
    </w:p>
    <w:p w14:paraId="1EF9B6BA" w14:textId="77777777" w:rsidR="00D85B17" w:rsidRPr="008E66BB" w:rsidRDefault="00D85B17" w:rsidP="00250DCE">
      <w:pPr>
        <w:tabs>
          <w:tab w:val="clear" w:pos="567"/>
        </w:tabs>
        <w:autoSpaceDE w:val="0"/>
        <w:autoSpaceDN w:val="0"/>
        <w:adjustRightInd w:val="0"/>
        <w:spacing w:line="240" w:lineRule="auto"/>
        <w:rPr>
          <w:rFonts w:eastAsia="Calibri"/>
          <w:snapToGrid/>
          <w:szCs w:val="22"/>
        </w:rPr>
      </w:pPr>
    </w:p>
    <w:p w14:paraId="6CE3C9D8"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Maža kalcio koncentracija gali turėti įtakos Jūsų širdies ritmui. Jei vartojant Cinacalcet Teva jaučiate</w:t>
      </w:r>
      <w:r w:rsidR="00785697" w:rsidRPr="008E66BB">
        <w:rPr>
          <w:rFonts w:eastAsia="Calibri"/>
          <w:snapToGrid/>
          <w:szCs w:val="22"/>
        </w:rPr>
        <w:t xml:space="preserve"> </w:t>
      </w:r>
      <w:r w:rsidRPr="008E66BB">
        <w:rPr>
          <w:rFonts w:eastAsia="Calibri"/>
          <w:snapToGrid/>
          <w:szCs w:val="22"/>
        </w:rPr>
        <w:t>neįprastai greitą, mušantį širdies plakimą, turite širdies ritmo sutrikimų arba vartojate vaistus, galinčius</w:t>
      </w:r>
      <w:r w:rsidR="00785697" w:rsidRPr="008E66BB">
        <w:rPr>
          <w:rFonts w:eastAsia="Calibri"/>
          <w:snapToGrid/>
          <w:szCs w:val="22"/>
        </w:rPr>
        <w:t xml:space="preserve"> </w:t>
      </w:r>
      <w:r w:rsidRPr="008E66BB">
        <w:rPr>
          <w:rFonts w:eastAsia="Calibri"/>
          <w:snapToGrid/>
          <w:szCs w:val="22"/>
        </w:rPr>
        <w:t>sukelti širdies ritmo sutrikimus, pasakykite gydytojui.</w:t>
      </w:r>
    </w:p>
    <w:p w14:paraId="79C36039"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574F552E"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Daugiau informacijos rasite 4 skyriuje.</w:t>
      </w:r>
    </w:p>
    <w:p w14:paraId="1983A3E6"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6A336E64"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Gydymo Cinacalcet Teva metu pasakykite gydytojui:</w:t>
      </w:r>
    </w:p>
    <w:p w14:paraId="521EE93D"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jei pradedate ar metate rūkyti, nes tai gali įtakoti Cinacalcet Teva poveikį.</w:t>
      </w:r>
    </w:p>
    <w:p w14:paraId="06E6AD1E"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5A8C1736"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Vaikams ir paaugliams</w:t>
      </w:r>
    </w:p>
    <w:p w14:paraId="4B635F1D" w14:textId="2BFA2CDF" w:rsidR="00250DCE" w:rsidRPr="00382558" w:rsidRDefault="00250DCE" w:rsidP="00D85B17">
      <w:pPr>
        <w:tabs>
          <w:tab w:val="clear" w:pos="567"/>
        </w:tabs>
        <w:autoSpaceDE w:val="0"/>
        <w:autoSpaceDN w:val="0"/>
        <w:adjustRightInd w:val="0"/>
        <w:spacing w:line="240" w:lineRule="auto"/>
        <w:rPr>
          <w:rFonts w:eastAsia="Calibri"/>
          <w:snapToGrid/>
          <w:szCs w:val="22"/>
        </w:rPr>
      </w:pPr>
      <w:r w:rsidRPr="00382558">
        <w:rPr>
          <w:rFonts w:eastAsia="Calibri"/>
          <w:snapToGrid/>
          <w:szCs w:val="22"/>
        </w:rPr>
        <w:t>Jaunesniems nei 18 metų vaikams</w:t>
      </w:r>
      <w:r w:rsidR="00D85B17" w:rsidRPr="00382558">
        <w:rPr>
          <w:rFonts w:eastAsia="Calibri"/>
          <w:snapToGrid/>
          <w:szCs w:val="22"/>
        </w:rPr>
        <w:t>, sergantiems prieskydinių liaukų vėžiu arba pirmine hiperparatiroze, Cinacalcet Teva vartoti negalima.</w:t>
      </w:r>
      <w:r w:rsidRPr="00382558">
        <w:rPr>
          <w:rFonts w:eastAsia="Calibri"/>
          <w:snapToGrid/>
          <w:szCs w:val="22"/>
        </w:rPr>
        <w:t xml:space="preserve"> </w:t>
      </w:r>
    </w:p>
    <w:p w14:paraId="3E44B5F9"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p>
    <w:p w14:paraId="6D05F483" w14:textId="77777777" w:rsidR="002F49CE" w:rsidRPr="00382558" w:rsidRDefault="002F49CE" w:rsidP="002F49CE">
      <w:pPr>
        <w:tabs>
          <w:tab w:val="clear" w:pos="567"/>
        </w:tabs>
        <w:autoSpaceDE w:val="0"/>
        <w:autoSpaceDN w:val="0"/>
        <w:adjustRightInd w:val="0"/>
        <w:spacing w:line="240" w:lineRule="auto"/>
        <w:rPr>
          <w:rFonts w:eastAsia="Calibri"/>
          <w:snapToGrid/>
          <w:szCs w:val="22"/>
        </w:rPr>
      </w:pPr>
      <w:r w:rsidRPr="00382558">
        <w:rPr>
          <w:rFonts w:eastAsia="Calibri"/>
          <w:snapToGrid/>
          <w:szCs w:val="22"/>
        </w:rPr>
        <w:t>Jeigu gydoma antrinė hiperparatirozė, prieš pradedant gydymą Cinacalcet Teva ir gydymo Cinacalcet Teva metu gydytojas tirs ir stebės kalcio kiekį</w:t>
      </w:r>
      <w:r w:rsidR="007947D0" w:rsidRPr="00382558">
        <w:rPr>
          <w:rFonts w:eastAsia="Calibri"/>
          <w:snapToGrid/>
          <w:szCs w:val="22"/>
        </w:rPr>
        <w:t xml:space="preserve"> kraujyje</w:t>
      </w:r>
      <w:r w:rsidRPr="00382558">
        <w:rPr>
          <w:rFonts w:eastAsia="Calibri"/>
          <w:snapToGrid/>
          <w:szCs w:val="22"/>
        </w:rPr>
        <w:t>. Pasakykite gydytojui, jei pasireiškia bet kokie anksčiau aprašyti mažos kalcio koncentracijos simptomai.</w:t>
      </w:r>
    </w:p>
    <w:p w14:paraId="18822460" w14:textId="77777777" w:rsidR="002F49CE" w:rsidRPr="00382558" w:rsidRDefault="002F49CE" w:rsidP="002F49CE">
      <w:pPr>
        <w:tabs>
          <w:tab w:val="clear" w:pos="567"/>
        </w:tabs>
        <w:autoSpaceDE w:val="0"/>
        <w:autoSpaceDN w:val="0"/>
        <w:adjustRightInd w:val="0"/>
        <w:spacing w:line="240" w:lineRule="auto"/>
        <w:rPr>
          <w:rFonts w:eastAsia="Calibri"/>
          <w:snapToGrid/>
          <w:szCs w:val="22"/>
        </w:rPr>
      </w:pPr>
    </w:p>
    <w:p w14:paraId="53BA482C" w14:textId="77777777" w:rsidR="002F49CE" w:rsidRPr="00382558" w:rsidRDefault="002F49CE" w:rsidP="002F49CE">
      <w:pPr>
        <w:tabs>
          <w:tab w:val="clear" w:pos="567"/>
        </w:tabs>
        <w:autoSpaceDE w:val="0"/>
        <w:autoSpaceDN w:val="0"/>
        <w:adjustRightInd w:val="0"/>
        <w:spacing w:line="240" w:lineRule="auto"/>
        <w:rPr>
          <w:rFonts w:eastAsia="Calibri"/>
          <w:snapToGrid/>
          <w:szCs w:val="22"/>
        </w:rPr>
      </w:pPr>
      <w:r w:rsidRPr="00382558">
        <w:rPr>
          <w:rFonts w:eastAsia="Calibri"/>
          <w:snapToGrid/>
          <w:szCs w:val="22"/>
        </w:rPr>
        <w:t>Svarbu, kad vartotumėte tokią Cinacalcet Teva dozę, kurią paskyrė gydytojas.</w:t>
      </w:r>
    </w:p>
    <w:p w14:paraId="2C6F9CE6" w14:textId="77777777" w:rsidR="002F49CE" w:rsidRPr="00382558" w:rsidRDefault="002F49CE" w:rsidP="00250DCE">
      <w:pPr>
        <w:tabs>
          <w:tab w:val="clear" w:pos="567"/>
        </w:tabs>
        <w:autoSpaceDE w:val="0"/>
        <w:autoSpaceDN w:val="0"/>
        <w:adjustRightInd w:val="0"/>
        <w:spacing w:line="240" w:lineRule="auto"/>
        <w:rPr>
          <w:rFonts w:eastAsia="Calibri"/>
          <w:snapToGrid/>
          <w:szCs w:val="22"/>
        </w:rPr>
      </w:pPr>
    </w:p>
    <w:p w14:paraId="50E2E005" w14:textId="77777777" w:rsidR="00250DCE" w:rsidRPr="00382558" w:rsidRDefault="00250DCE" w:rsidP="00250DCE">
      <w:pPr>
        <w:tabs>
          <w:tab w:val="clear" w:pos="567"/>
        </w:tabs>
        <w:autoSpaceDE w:val="0"/>
        <w:autoSpaceDN w:val="0"/>
        <w:adjustRightInd w:val="0"/>
        <w:spacing w:line="240" w:lineRule="auto"/>
        <w:rPr>
          <w:rFonts w:eastAsia="Calibri"/>
          <w:b/>
          <w:snapToGrid/>
          <w:szCs w:val="22"/>
        </w:rPr>
      </w:pPr>
      <w:r w:rsidRPr="00382558">
        <w:rPr>
          <w:rFonts w:eastAsia="Calibri"/>
          <w:b/>
          <w:snapToGrid/>
          <w:szCs w:val="22"/>
        </w:rPr>
        <w:t>Kiti vaistai ir Cinacalcet Teva</w:t>
      </w:r>
    </w:p>
    <w:p w14:paraId="18A9ED0A" w14:textId="37981EC2"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382558">
        <w:rPr>
          <w:rFonts w:eastAsia="Calibri"/>
          <w:snapToGrid/>
          <w:szCs w:val="22"/>
        </w:rPr>
        <w:t>Jeigu vartojate ar neseniai vartojote kitų vaistų arba dėl to nesate tikri, apie tai pasakykite gydytojui arba</w:t>
      </w:r>
      <w:r w:rsidR="00235662" w:rsidRPr="00382558">
        <w:rPr>
          <w:rFonts w:eastAsia="Calibri"/>
          <w:snapToGrid/>
          <w:szCs w:val="22"/>
        </w:rPr>
        <w:t xml:space="preserve"> </w:t>
      </w:r>
      <w:r w:rsidRPr="00382558">
        <w:rPr>
          <w:rFonts w:eastAsia="Calibri"/>
          <w:snapToGrid/>
          <w:szCs w:val="22"/>
        </w:rPr>
        <w:t>vaistininkui.</w:t>
      </w:r>
    </w:p>
    <w:p w14:paraId="49F74717"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2E6F0883"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Pasakykite gydytojui, jeigu vartojate toliau išvardytus vaistus.</w:t>
      </w:r>
    </w:p>
    <w:p w14:paraId="74A6442E"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29929A90"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Cinacalcet Teva poveikį gali veikti šie vaistai:</w:t>
      </w:r>
    </w:p>
    <w:p w14:paraId="784057E8"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 xml:space="preserve">vaistai </w:t>
      </w:r>
      <w:r w:rsidRPr="008E66BB">
        <w:rPr>
          <w:rFonts w:eastAsia="Calibri"/>
          <w:b/>
          <w:snapToGrid/>
          <w:szCs w:val="22"/>
        </w:rPr>
        <w:t>odos</w:t>
      </w:r>
      <w:r w:rsidRPr="008E66BB">
        <w:rPr>
          <w:rFonts w:eastAsia="Calibri"/>
          <w:snapToGrid/>
          <w:szCs w:val="22"/>
        </w:rPr>
        <w:t xml:space="preserve"> ir </w:t>
      </w:r>
      <w:r w:rsidRPr="008E66BB">
        <w:rPr>
          <w:rFonts w:eastAsia="Calibri"/>
          <w:b/>
          <w:snapToGrid/>
          <w:szCs w:val="22"/>
        </w:rPr>
        <w:t>grybelinėms</w:t>
      </w:r>
      <w:r w:rsidRPr="008E66BB">
        <w:rPr>
          <w:rFonts w:eastAsia="Calibri"/>
          <w:snapToGrid/>
          <w:szCs w:val="22"/>
        </w:rPr>
        <w:t xml:space="preserve"> ligoms gydyti (ketokonazolas, itrakonazolas ir vorikonazolas);</w:t>
      </w:r>
    </w:p>
    <w:p w14:paraId="57795811"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 xml:space="preserve">vaistai </w:t>
      </w:r>
      <w:r w:rsidRPr="008E66BB">
        <w:rPr>
          <w:rFonts w:eastAsia="Calibri"/>
          <w:b/>
          <w:snapToGrid/>
          <w:szCs w:val="22"/>
        </w:rPr>
        <w:t>bakterinėms ligoms</w:t>
      </w:r>
      <w:r w:rsidRPr="008E66BB">
        <w:rPr>
          <w:rFonts w:eastAsia="Calibri"/>
          <w:snapToGrid/>
          <w:szCs w:val="22"/>
        </w:rPr>
        <w:t xml:space="preserve"> gydyti (telitromicinas, rifampicinas ir ciprofloksacinas);</w:t>
      </w:r>
    </w:p>
    <w:p w14:paraId="65345685"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 xml:space="preserve">vaistas </w:t>
      </w:r>
      <w:r w:rsidRPr="008E66BB">
        <w:rPr>
          <w:rFonts w:eastAsia="Calibri"/>
          <w:b/>
          <w:snapToGrid/>
          <w:szCs w:val="22"/>
        </w:rPr>
        <w:t>ŽIV</w:t>
      </w:r>
      <w:r w:rsidRPr="008E66BB">
        <w:rPr>
          <w:rFonts w:eastAsia="Calibri"/>
          <w:snapToGrid/>
          <w:szCs w:val="22"/>
        </w:rPr>
        <w:t xml:space="preserve"> ligai ir AIDS gydyti (ritonaviras);</w:t>
      </w:r>
    </w:p>
    <w:p w14:paraId="23E81E0F"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 xml:space="preserve">vaistas </w:t>
      </w:r>
      <w:r w:rsidRPr="008E66BB">
        <w:rPr>
          <w:rFonts w:eastAsia="Calibri"/>
          <w:b/>
          <w:snapToGrid/>
          <w:szCs w:val="22"/>
        </w:rPr>
        <w:t>depresijai</w:t>
      </w:r>
      <w:r w:rsidRPr="008E66BB">
        <w:rPr>
          <w:rFonts w:eastAsia="Calibri"/>
          <w:snapToGrid/>
          <w:szCs w:val="22"/>
        </w:rPr>
        <w:t xml:space="preserve"> gydyti (fluvoksaminas).</w:t>
      </w:r>
    </w:p>
    <w:p w14:paraId="1AD5F4F3"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1D22DD67"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Cinacalcet Teva gali įtakoti šių vaistų poveikį:</w:t>
      </w:r>
    </w:p>
    <w:p w14:paraId="5D948B10" w14:textId="77777777" w:rsidR="00250DCE"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 xml:space="preserve">vaistų </w:t>
      </w:r>
      <w:r w:rsidRPr="008E66BB">
        <w:rPr>
          <w:rFonts w:eastAsia="Calibri"/>
          <w:b/>
          <w:snapToGrid/>
          <w:szCs w:val="22"/>
        </w:rPr>
        <w:t>depresijai</w:t>
      </w:r>
      <w:r w:rsidRPr="008E66BB">
        <w:rPr>
          <w:rFonts w:eastAsia="Calibri"/>
          <w:snapToGrid/>
          <w:szCs w:val="22"/>
        </w:rPr>
        <w:t xml:space="preserve"> gydyti (amitriptilino, dezipramino, nortriptilino ir klomipramino);</w:t>
      </w:r>
    </w:p>
    <w:p w14:paraId="26A7CC11" w14:textId="77777777" w:rsidR="00FE44BA" w:rsidRPr="008E66BB" w:rsidRDefault="00FE44BA" w:rsidP="00FE44BA">
      <w:pPr>
        <w:numPr>
          <w:ilvl w:val="0"/>
          <w:numId w:val="8"/>
        </w:numPr>
        <w:tabs>
          <w:tab w:val="clear" w:pos="567"/>
        </w:tabs>
        <w:autoSpaceDE w:val="0"/>
        <w:autoSpaceDN w:val="0"/>
        <w:adjustRightInd w:val="0"/>
        <w:spacing w:after="200" w:line="240" w:lineRule="auto"/>
        <w:contextualSpacing/>
        <w:rPr>
          <w:rFonts w:eastAsia="Calibri"/>
          <w:snapToGrid/>
          <w:szCs w:val="22"/>
        </w:rPr>
      </w:pPr>
      <w:r w:rsidRPr="00FE44BA">
        <w:rPr>
          <w:rFonts w:eastAsia="Calibri"/>
          <w:snapToGrid/>
          <w:szCs w:val="22"/>
        </w:rPr>
        <w:t>vaisto kosuliui palengvinti (dekstrometorfano);</w:t>
      </w:r>
    </w:p>
    <w:p w14:paraId="0E4C6732"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 xml:space="preserve">vaistų </w:t>
      </w:r>
      <w:r w:rsidRPr="008E66BB">
        <w:rPr>
          <w:rFonts w:eastAsia="Calibri"/>
          <w:b/>
          <w:snapToGrid/>
          <w:szCs w:val="22"/>
        </w:rPr>
        <w:t>sutrikusiam širdies ritmui</w:t>
      </w:r>
      <w:r w:rsidRPr="008E66BB">
        <w:rPr>
          <w:rFonts w:eastAsia="Calibri"/>
          <w:snapToGrid/>
          <w:szCs w:val="22"/>
        </w:rPr>
        <w:t xml:space="preserve"> gydyti (flekainido ir propafenono);</w:t>
      </w:r>
    </w:p>
    <w:p w14:paraId="241F936D"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 xml:space="preserve">vaisto </w:t>
      </w:r>
      <w:r w:rsidRPr="008E66BB">
        <w:rPr>
          <w:rFonts w:eastAsia="Calibri"/>
          <w:b/>
          <w:snapToGrid/>
          <w:szCs w:val="22"/>
        </w:rPr>
        <w:t>didelio kraujospūdžio</w:t>
      </w:r>
      <w:r w:rsidRPr="008E66BB">
        <w:rPr>
          <w:rFonts w:eastAsia="Calibri"/>
          <w:snapToGrid/>
          <w:szCs w:val="22"/>
        </w:rPr>
        <w:t xml:space="preserve"> ligai gydyti (metoprololio).</w:t>
      </w:r>
    </w:p>
    <w:p w14:paraId="6A678128"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1FD2BD17"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Cinacalcet Teva vartojimas su maistu</w:t>
      </w:r>
    </w:p>
    <w:p w14:paraId="72ACE1DC"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Cinacalcet Teva vartojamas valgant ar iš karto po valgio.</w:t>
      </w:r>
    </w:p>
    <w:p w14:paraId="6D61B233"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57FE4357"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Nėštumas, žindymo laikotarpis ir vaisingumas</w:t>
      </w:r>
    </w:p>
    <w:p w14:paraId="506A4156"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Jeigu esate nėščia, žindote kūdikį, manote, kad galbūt esate nėščia, arba planuojate pastoti, tai prieš vartodama šį vaistą, pasitarkite su gydytoju arba vaistininku.</w:t>
      </w:r>
    </w:p>
    <w:p w14:paraId="17596D31"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5CBEA852"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Cinakalcet Teva poveikis nėščiosioms netirtas. Nėštumo atveju jūsų gydytojas gali nuspręsti pakeisti gydymą, nes cinakalcetas gali pakenkti negimusiam kūdikiui.</w:t>
      </w:r>
    </w:p>
    <w:p w14:paraId="194C427C"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1D9F49B8"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Nežinoma, ar cinakalceto išsiskiria į motinos pieną. Gydytojas aptars su Jumis, ar turite nutraukti kūdikio</w:t>
      </w:r>
      <w:r w:rsidR="00785697" w:rsidRPr="008E66BB">
        <w:rPr>
          <w:rFonts w:eastAsia="Calibri"/>
          <w:snapToGrid/>
          <w:szCs w:val="22"/>
        </w:rPr>
        <w:t xml:space="preserve"> </w:t>
      </w:r>
      <w:r w:rsidRPr="008E66BB">
        <w:rPr>
          <w:rFonts w:eastAsia="Calibri"/>
          <w:snapToGrid/>
          <w:szCs w:val="22"/>
        </w:rPr>
        <w:t xml:space="preserve">žindymą, ar </w:t>
      </w:r>
      <w:r w:rsidRPr="00382558">
        <w:rPr>
          <w:rFonts w:eastAsia="Calibri"/>
          <w:snapToGrid/>
          <w:szCs w:val="22"/>
        </w:rPr>
        <w:t>Cinacalcet Teva vartojimą.</w:t>
      </w:r>
    </w:p>
    <w:p w14:paraId="02DBD3F1"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p>
    <w:p w14:paraId="465E6B97" w14:textId="77777777" w:rsidR="00250DCE" w:rsidRPr="00382558" w:rsidRDefault="00250DCE" w:rsidP="00250DCE">
      <w:pPr>
        <w:tabs>
          <w:tab w:val="clear" w:pos="567"/>
        </w:tabs>
        <w:autoSpaceDE w:val="0"/>
        <w:autoSpaceDN w:val="0"/>
        <w:adjustRightInd w:val="0"/>
        <w:spacing w:line="240" w:lineRule="auto"/>
        <w:rPr>
          <w:rFonts w:eastAsia="TimesNewRoman,Bold"/>
          <w:b/>
          <w:bCs/>
          <w:snapToGrid/>
          <w:szCs w:val="22"/>
        </w:rPr>
      </w:pPr>
      <w:r w:rsidRPr="00382558">
        <w:rPr>
          <w:rFonts w:eastAsia="TimesNewRoman,Bold"/>
          <w:b/>
          <w:bCs/>
          <w:snapToGrid/>
          <w:szCs w:val="22"/>
        </w:rPr>
        <w:t>Vairavimas ir mechanizmų valdymas</w:t>
      </w:r>
    </w:p>
    <w:p w14:paraId="2F524BB0" w14:textId="787F12C0" w:rsidR="00250DCE" w:rsidRPr="00382558" w:rsidRDefault="00FE44BA" w:rsidP="00FE44BA">
      <w:pPr>
        <w:tabs>
          <w:tab w:val="clear" w:pos="567"/>
        </w:tabs>
        <w:autoSpaceDE w:val="0"/>
        <w:autoSpaceDN w:val="0"/>
        <w:adjustRightInd w:val="0"/>
        <w:spacing w:line="240" w:lineRule="auto"/>
        <w:rPr>
          <w:rFonts w:eastAsia="Calibri"/>
        </w:rPr>
      </w:pPr>
      <w:r w:rsidRPr="00382558">
        <w:rPr>
          <w:rFonts w:eastAsia="Calibri"/>
        </w:rPr>
        <w:t xml:space="preserve">Gauta pranešimų, kad pacientams vartojantiems </w:t>
      </w:r>
      <w:r w:rsidR="005E52B4" w:rsidRPr="00382558">
        <w:rPr>
          <w:rFonts w:eastAsia="Calibri"/>
        </w:rPr>
        <w:t>Cinacalcet Teva</w:t>
      </w:r>
      <w:r w:rsidRPr="00382558">
        <w:rPr>
          <w:rFonts w:eastAsia="Calibri"/>
        </w:rPr>
        <w:t xml:space="preserve"> gali atsirasti </w:t>
      </w:r>
      <w:r w:rsidR="00C304DF" w:rsidRPr="00382558">
        <w:rPr>
          <w:rFonts w:eastAsia="Calibri"/>
        </w:rPr>
        <w:t>svaigulys</w:t>
      </w:r>
      <w:r w:rsidRPr="00382558">
        <w:rPr>
          <w:rFonts w:eastAsia="Calibri"/>
        </w:rPr>
        <w:t xml:space="preserve"> ar traukuliai. Jei Jūs patiriate šiuos reiškinius, vairuoti ir valdyti mechanizmų negalima.</w:t>
      </w:r>
    </w:p>
    <w:p w14:paraId="032E6287" w14:textId="77777777" w:rsidR="00785697" w:rsidRPr="00382558" w:rsidRDefault="00785697" w:rsidP="00250DCE">
      <w:pPr>
        <w:tabs>
          <w:tab w:val="clear" w:pos="567"/>
        </w:tabs>
        <w:autoSpaceDE w:val="0"/>
        <w:autoSpaceDN w:val="0"/>
        <w:adjustRightInd w:val="0"/>
        <w:spacing w:line="240" w:lineRule="auto"/>
        <w:rPr>
          <w:rFonts w:ascii="TimesNewRoman" w:eastAsia="TimesNewRoman,Bold" w:hAnsi="TimesNewRoman" w:cs="TimesNewRoman"/>
          <w:snapToGrid/>
          <w:szCs w:val="22"/>
        </w:rPr>
      </w:pPr>
    </w:p>
    <w:p w14:paraId="25868260" w14:textId="77777777" w:rsidR="00C3614E" w:rsidRPr="00382558" w:rsidRDefault="00C3614E" w:rsidP="00250DCE">
      <w:pPr>
        <w:tabs>
          <w:tab w:val="clear" w:pos="567"/>
        </w:tabs>
        <w:autoSpaceDE w:val="0"/>
        <w:autoSpaceDN w:val="0"/>
        <w:adjustRightInd w:val="0"/>
        <w:spacing w:line="240" w:lineRule="auto"/>
        <w:rPr>
          <w:rFonts w:ascii="TimesNewRoman" w:eastAsia="TimesNewRoman,Bold" w:hAnsi="TimesNewRoman" w:cs="TimesNewRoman"/>
          <w:snapToGrid/>
          <w:szCs w:val="22"/>
        </w:rPr>
      </w:pPr>
    </w:p>
    <w:p w14:paraId="34447299" w14:textId="77777777" w:rsidR="00250DCE" w:rsidRPr="00382558" w:rsidRDefault="00250DCE" w:rsidP="00250DCE">
      <w:pPr>
        <w:autoSpaceDE w:val="0"/>
        <w:autoSpaceDN w:val="0"/>
        <w:adjustRightInd w:val="0"/>
        <w:spacing w:line="240" w:lineRule="auto"/>
        <w:rPr>
          <w:rFonts w:eastAsia="Calibri"/>
          <w:b/>
          <w:snapToGrid/>
          <w:szCs w:val="22"/>
        </w:rPr>
      </w:pPr>
      <w:r w:rsidRPr="00382558">
        <w:rPr>
          <w:rFonts w:eastAsia="Calibri"/>
          <w:b/>
          <w:snapToGrid/>
          <w:szCs w:val="22"/>
        </w:rPr>
        <w:t>3.</w:t>
      </w:r>
      <w:r w:rsidRPr="00382558">
        <w:rPr>
          <w:rFonts w:eastAsia="Calibri"/>
          <w:b/>
          <w:snapToGrid/>
          <w:szCs w:val="22"/>
        </w:rPr>
        <w:tab/>
        <w:t>Kaip vartoti Cinacalcet Teva</w:t>
      </w:r>
    </w:p>
    <w:p w14:paraId="40ED1A45" w14:textId="77777777" w:rsidR="00250DCE" w:rsidRPr="00382558" w:rsidRDefault="00250DCE" w:rsidP="00250DCE">
      <w:pPr>
        <w:tabs>
          <w:tab w:val="clear" w:pos="567"/>
        </w:tabs>
        <w:autoSpaceDE w:val="0"/>
        <w:autoSpaceDN w:val="0"/>
        <w:adjustRightInd w:val="0"/>
        <w:spacing w:line="240" w:lineRule="auto"/>
        <w:rPr>
          <w:rFonts w:eastAsia="Calibri"/>
          <w:b/>
          <w:snapToGrid/>
          <w:szCs w:val="22"/>
        </w:rPr>
      </w:pPr>
    </w:p>
    <w:p w14:paraId="631595DE"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r w:rsidRPr="00382558">
        <w:rPr>
          <w:rFonts w:eastAsia="Calibri"/>
          <w:snapToGrid/>
          <w:szCs w:val="22"/>
        </w:rPr>
        <w:t>Šį vaistinį preparatą visada vartokite tiksliai taip, kaip nurodė gydytojas ar vaistininkas. Jeigu abejojate,</w:t>
      </w:r>
      <w:r w:rsidR="00785697" w:rsidRPr="00382558">
        <w:rPr>
          <w:rFonts w:eastAsia="Calibri"/>
          <w:snapToGrid/>
          <w:szCs w:val="22"/>
        </w:rPr>
        <w:t xml:space="preserve"> </w:t>
      </w:r>
      <w:r w:rsidRPr="00382558">
        <w:rPr>
          <w:rFonts w:eastAsia="Calibri"/>
          <w:snapToGrid/>
          <w:szCs w:val="22"/>
        </w:rPr>
        <w:t>kreipkitės į gydytoją arba vaistininką. Gydytojas nurodys, kiek Cinacalcet Teva vartoti.</w:t>
      </w:r>
    </w:p>
    <w:p w14:paraId="4E234675"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p>
    <w:p w14:paraId="3A52C40E"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r w:rsidRPr="00382558">
        <w:rPr>
          <w:rFonts w:eastAsia="Calibri"/>
          <w:snapToGrid/>
          <w:szCs w:val="22"/>
        </w:rPr>
        <w:t>Cinacalcet Teva yra geriamasis vaistas, vartojamas valgant ar iš karto pavalgius. Reikia nuryti visą tabletę, jos negalima</w:t>
      </w:r>
      <w:r w:rsidR="00AD1EFF" w:rsidRPr="00382558">
        <w:rPr>
          <w:rFonts w:eastAsia="Calibri"/>
          <w:snapToGrid/>
          <w:szCs w:val="22"/>
        </w:rPr>
        <w:t xml:space="preserve"> čiulpti, traiškyti arba</w:t>
      </w:r>
      <w:r w:rsidRPr="00382558">
        <w:rPr>
          <w:rFonts w:eastAsia="Calibri"/>
          <w:snapToGrid/>
          <w:szCs w:val="22"/>
        </w:rPr>
        <w:t xml:space="preserve"> dalyti.</w:t>
      </w:r>
    </w:p>
    <w:p w14:paraId="143826DA" w14:textId="77777777" w:rsidR="00AD1EFF" w:rsidRPr="00382558" w:rsidRDefault="00AD1EFF" w:rsidP="00250DCE">
      <w:pPr>
        <w:tabs>
          <w:tab w:val="clear" w:pos="567"/>
        </w:tabs>
        <w:autoSpaceDE w:val="0"/>
        <w:autoSpaceDN w:val="0"/>
        <w:adjustRightInd w:val="0"/>
        <w:spacing w:line="240" w:lineRule="auto"/>
        <w:rPr>
          <w:rFonts w:eastAsia="Calibri"/>
          <w:snapToGrid/>
          <w:szCs w:val="22"/>
        </w:rPr>
      </w:pPr>
    </w:p>
    <w:p w14:paraId="493743E6" w14:textId="77777777" w:rsidR="00AD1EFF" w:rsidRPr="00382558" w:rsidRDefault="00AD1EFF" w:rsidP="00AD1EFF">
      <w:pPr>
        <w:tabs>
          <w:tab w:val="clear" w:pos="567"/>
        </w:tabs>
        <w:autoSpaceDE w:val="0"/>
        <w:autoSpaceDN w:val="0"/>
        <w:adjustRightInd w:val="0"/>
        <w:spacing w:line="240" w:lineRule="auto"/>
        <w:rPr>
          <w:rFonts w:eastAsia="Calibri"/>
          <w:snapToGrid/>
          <w:szCs w:val="22"/>
        </w:rPr>
      </w:pPr>
      <w:r w:rsidRPr="00382558">
        <w:rPr>
          <w:rFonts w:eastAsia="Calibri"/>
          <w:snapToGrid/>
          <w:szCs w:val="22"/>
        </w:rPr>
        <w:t>Vaikai, kuriems reikalinga mažesnė nei 30 mg dozė arba kurie negali nuryti tabletės, gali vartoti kitas esančias farmacines formas.</w:t>
      </w:r>
    </w:p>
    <w:p w14:paraId="6834AC10"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p>
    <w:p w14:paraId="47B9D607"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r w:rsidRPr="00382558">
        <w:rPr>
          <w:rFonts w:eastAsia="Calibri"/>
          <w:snapToGrid/>
          <w:szCs w:val="22"/>
        </w:rPr>
        <w:t>Gydymo metu gydytojas reguliariai tirs Jūsų kraują, kad galėtų nustatyti, ar gerėja Jūsų būklė, ir prireikus</w:t>
      </w:r>
      <w:r w:rsidR="00785697" w:rsidRPr="00382558">
        <w:rPr>
          <w:rFonts w:eastAsia="Calibri"/>
          <w:snapToGrid/>
          <w:szCs w:val="22"/>
        </w:rPr>
        <w:t xml:space="preserve"> </w:t>
      </w:r>
      <w:r w:rsidRPr="00382558">
        <w:rPr>
          <w:rFonts w:eastAsia="Calibri"/>
          <w:snapToGrid/>
          <w:szCs w:val="22"/>
        </w:rPr>
        <w:t>koreguos dozę.</w:t>
      </w:r>
    </w:p>
    <w:p w14:paraId="3F5499D1"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p>
    <w:p w14:paraId="2B9DC783" w14:textId="77777777" w:rsidR="00250DCE" w:rsidRPr="00382558" w:rsidRDefault="00250DCE" w:rsidP="00250DCE">
      <w:pPr>
        <w:tabs>
          <w:tab w:val="clear" w:pos="567"/>
        </w:tabs>
        <w:autoSpaceDE w:val="0"/>
        <w:autoSpaceDN w:val="0"/>
        <w:adjustRightInd w:val="0"/>
        <w:spacing w:line="240" w:lineRule="auto"/>
        <w:rPr>
          <w:rFonts w:eastAsia="Calibri"/>
          <w:snapToGrid/>
          <w:szCs w:val="22"/>
          <w:u w:val="single"/>
        </w:rPr>
      </w:pPr>
      <w:r w:rsidRPr="00382558">
        <w:rPr>
          <w:rFonts w:eastAsia="Calibri"/>
          <w:snapToGrid/>
          <w:szCs w:val="22"/>
          <w:u w:val="single"/>
        </w:rPr>
        <w:t>Jei Jūs gydomas nuo antrinės hiperparatirozės</w:t>
      </w:r>
    </w:p>
    <w:p w14:paraId="5EFBA53C"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r w:rsidRPr="00382558">
        <w:rPr>
          <w:rFonts w:eastAsia="Calibri"/>
          <w:snapToGrid/>
          <w:szCs w:val="22"/>
        </w:rPr>
        <w:t xml:space="preserve">Įprastinė pradinė Cinacalcet Teva dozė </w:t>
      </w:r>
      <w:r w:rsidR="0027339F" w:rsidRPr="00382558">
        <w:rPr>
          <w:rFonts w:eastAsia="Calibri"/>
          <w:snapToGrid/>
          <w:szCs w:val="22"/>
        </w:rPr>
        <w:t xml:space="preserve">suaugusiems </w:t>
      </w:r>
      <w:r w:rsidRPr="00382558">
        <w:rPr>
          <w:rFonts w:eastAsia="Calibri"/>
          <w:snapToGrid/>
          <w:szCs w:val="22"/>
        </w:rPr>
        <w:t>yra 30</w:t>
      </w:r>
      <w:r w:rsidR="00785697" w:rsidRPr="00382558">
        <w:rPr>
          <w:rFonts w:eastAsia="Calibri"/>
          <w:snapToGrid/>
          <w:szCs w:val="22"/>
        </w:rPr>
        <w:t> </w:t>
      </w:r>
      <w:r w:rsidRPr="00382558">
        <w:rPr>
          <w:rFonts w:eastAsia="Calibri"/>
          <w:snapToGrid/>
          <w:szCs w:val="22"/>
        </w:rPr>
        <w:t>mg (viena tabletė) vieną kartą per parą.</w:t>
      </w:r>
    </w:p>
    <w:p w14:paraId="76FED4EC"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p>
    <w:p w14:paraId="293B51AE" w14:textId="3DFF4BC2" w:rsidR="0027339F" w:rsidRPr="00382558" w:rsidRDefault="0027339F" w:rsidP="00250DCE">
      <w:pPr>
        <w:tabs>
          <w:tab w:val="clear" w:pos="567"/>
        </w:tabs>
        <w:autoSpaceDE w:val="0"/>
        <w:autoSpaceDN w:val="0"/>
        <w:adjustRightInd w:val="0"/>
        <w:spacing w:line="240" w:lineRule="auto"/>
        <w:rPr>
          <w:rFonts w:eastAsia="Calibri"/>
          <w:snapToGrid/>
          <w:szCs w:val="22"/>
        </w:rPr>
      </w:pPr>
      <w:r w:rsidRPr="00382558">
        <w:rPr>
          <w:rFonts w:eastAsia="Calibri"/>
          <w:snapToGrid/>
          <w:szCs w:val="22"/>
        </w:rPr>
        <w:t xml:space="preserve">Įprastinė pradinė Cinacalcet Teva dozė vaikams nuo 3 iki 18 metų yra ne didesnė nei 0,20 mg/kg kūno svorio </w:t>
      </w:r>
      <w:r w:rsidR="00C304DF" w:rsidRPr="00382558">
        <w:rPr>
          <w:rFonts w:eastAsia="Calibri"/>
          <w:snapToGrid/>
          <w:szCs w:val="22"/>
        </w:rPr>
        <w:t>per parą</w:t>
      </w:r>
      <w:r w:rsidRPr="00382558">
        <w:rPr>
          <w:rFonts w:eastAsia="Calibri"/>
          <w:snapToGrid/>
          <w:szCs w:val="22"/>
        </w:rPr>
        <w:t>.</w:t>
      </w:r>
    </w:p>
    <w:p w14:paraId="63B94212" w14:textId="77777777" w:rsidR="0027339F" w:rsidRPr="00382558" w:rsidRDefault="0027339F" w:rsidP="00250DCE">
      <w:pPr>
        <w:tabs>
          <w:tab w:val="clear" w:pos="567"/>
        </w:tabs>
        <w:autoSpaceDE w:val="0"/>
        <w:autoSpaceDN w:val="0"/>
        <w:adjustRightInd w:val="0"/>
        <w:spacing w:line="240" w:lineRule="auto"/>
        <w:rPr>
          <w:rFonts w:eastAsia="Calibri"/>
          <w:snapToGrid/>
          <w:szCs w:val="22"/>
        </w:rPr>
      </w:pPr>
    </w:p>
    <w:p w14:paraId="55289FC7" w14:textId="77777777" w:rsidR="00250DCE" w:rsidRPr="00382558" w:rsidRDefault="00250DCE" w:rsidP="00250DCE">
      <w:pPr>
        <w:tabs>
          <w:tab w:val="clear" w:pos="567"/>
        </w:tabs>
        <w:autoSpaceDE w:val="0"/>
        <w:autoSpaceDN w:val="0"/>
        <w:adjustRightInd w:val="0"/>
        <w:spacing w:line="240" w:lineRule="auto"/>
        <w:rPr>
          <w:rFonts w:eastAsia="Calibri"/>
          <w:snapToGrid/>
          <w:szCs w:val="22"/>
          <w:u w:val="single"/>
        </w:rPr>
      </w:pPr>
      <w:r w:rsidRPr="00382558">
        <w:rPr>
          <w:rFonts w:eastAsia="Calibri"/>
          <w:snapToGrid/>
          <w:szCs w:val="22"/>
          <w:u w:val="single"/>
        </w:rPr>
        <w:t>Jei Jūs gydomas nuo prieskydinių liaukų vėžio ar pirminės hiperparatirozės</w:t>
      </w:r>
    </w:p>
    <w:p w14:paraId="12867D12"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r w:rsidRPr="00382558">
        <w:rPr>
          <w:rFonts w:eastAsia="Calibri"/>
          <w:snapToGrid/>
          <w:szCs w:val="22"/>
        </w:rPr>
        <w:t>Įprastinė pradinė Cinacalcet Teva dozė</w:t>
      </w:r>
      <w:r w:rsidR="00AD1EFF" w:rsidRPr="00382558">
        <w:rPr>
          <w:rFonts w:eastAsia="Calibri"/>
          <w:snapToGrid/>
          <w:szCs w:val="22"/>
        </w:rPr>
        <w:t xml:space="preserve"> suaugusiems</w:t>
      </w:r>
      <w:r w:rsidRPr="00382558">
        <w:rPr>
          <w:rFonts w:eastAsia="Calibri"/>
          <w:snapToGrid/>
          <w:szCs w:val="22"/>
        </w:rPr>
        <w:t xml:space="preserve"> yra 30</w:t>
      </w:r>
      <w:r w:rsidR="00785697" w:rsidRPr="00382558">
        <w:rPr>
          <w:rFonts w:eastAsia="Calibri"/>
          <w:snapToGrid/>
          <w:szCs w:val="22"/>
        </w:rPr>
        <w:t> </w:t>
      </w:r>
      <w:r w:rsidRPr="00382558">
        <w:rPr>
          <w:rFonts w:eastAsia="Calibri"/>
          <w:snapToGrid/>
          <w:szCs w:val="22"/>
        </w:rPr>
        <w:t>mg (viena tabletė) du kartus per parą.</w:t>
      </w:r>
    </w:p>
    <w:p w14:paraId="4C78E4F8" w14:textId="77777777" w:rsidR="00E47C40" w:rsidRPr="00382558" w:rsidRDefault="00E47C40" w:rsidP="00250DCE">
      <w:pPr>
        <w:tabs>
          <w:tab w:val="clear" w:pos="567"/>
        </w:tabs>
        <w:autoSpaceDE w:val="0"/>
        <w:autoSpaceDN w:val="0"/>
        <w:adjustRightInd w:val="0"/>
        <w:spacing w:line="240" w:lineRule="auto"/>
        <w:rPr>
          <w:rFonts w:eastAsia="Calibri"/>
          <w:snapToGrid/>
          <w:szCs w:val="22"/>
        </w:rPr>
      </w:pPr>
    </w:p>
    <w:p w14:paraId="50183CFA"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p>
    <w:p w14:paraId="4CE83217" w14:textId="77777777" w:rsidR="00250DCE" w:rsidRPr="00382558" w:rsidRDefault="00250DCE" w:rsidP="00250DCE">
      <w:pPr>
        <w:tabs>
          <w:tab w:val="clear" w:pos="567"/>
        </w:tabs>
        <w:autoSpaceDE w:val="0"/>
        <w:autoSpaceDN w:val="0"/>
        <w:adjustRightInd w:val="0"/>
        <w:spacing w:line="240" w:lineRule="auto"/>
        <w:rPr>
          <w:rFonts w:eastAsia="Calibri"/>
          <w:b/>
          <w:snapToGrid/>
          <w:szCs w:val="22"/>
        </w:rPr>
      </w:pPr>
      <w:r w:rsidRPr="00382558">
        <w:rPr>
          <w:rFonts w:eastAsia="Calibri"/>
          <w:b/>
          <w:snapToGrid/>
          <w:szCs w:val="22"/>
        </w:rPr>
        <w:t>Ką daryti pavartojus per didelę Cinacalcet Teva dozę?</w:t>
      </w:r>
    </w:p>
    <w:p w14:paraId="02D66C15"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382558">
        <w:rPr>
          <w:rFonts w:eastAsia="Calibri"/>
          <w:snapToGrid/>
          <w:szCs w:val="22"/>
        </w:rPr>
        <w:t>Jei išgėrėte per daug</w:t>
      </w:r>
      <w:r w:rsidRPr="008E66BB">
        <w:rPr>
          <w:rFonts w:eastAsia="Calibri"/>
          <w:snapToGrid/>
          <w:szCs w:val="22"/>
        </w:rPr>
        <w:t xml:space="preserve"> Cinacalcet Teva negu reikėjo, nedelsdami kreipkitės į gydytoją. Galimi perdozavimo</w:t>
      </w:r>
      <w:r w:rsidR="00785697" w:rsidRPr="008E66BB">
        <w:rPr>
          <w:rFonts w:eastAsia="Calibri"/>
          <w:snapToGrid/>
          <w:szCs w:val="22"/>
        </w:rPr>
        <w:t xml:space="preserve"> </w:t>
      </w:r>
      <w:r w:rsidRPr="008E66BB">
        <w:rPr>
          <w:rFonts w:eastAsia="Calibri"/>
          <w:snapToGrid/>
          <w:szCs w:val="22"/>
        </w:rPr>
        <w:t>požymiai: tirpimas arba dilgčiojimas apie burną, raumenų skausmas, mėšlungis arba traukuliai.</w:t>
      </w:r>
    </w:p>
    <w:p w14:paraId="76FD1F4B"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67A66CE4"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Pamiršus pavartoti Cinacalcet Teva</w:t>
      </w:r>
    </w:p>
    <w:p w14:paraId="76AC6647"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Negalima vartoti dvigubos dozės norint kompensuoti praleistą dozę.</w:t>
      </w:r>
    </w:p>
    <w:p w14:paraId="4EDCB0DF"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037A3741"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Jei pamiršote išgerti Cinacalcet Teva dozę, kitą dozę gerkite įprastu laiku.</w:t>
      </w:r>
    </w:p>
    <w:p w14:paraId="02A65CBC"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43403A8A"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Jeigu kiltų daugiau klausimų dėl šio vaistinio preparato vartojimo, kreipkitės į gydytoją, vaistininką ar</w:t>
      </w:r>
      <w:r w:rsidR="00785697" w:rsidRPr="008E66BB">
        <w:rPr>
          <w:rFonts w:eastAsia="Calibri"/>
          <w:snapToGrid/>
          <w:szCs w:val="22"/>
        </w:rPr>
        <w:t xml:space="preserve"> </w:t>
      </w:r>
      <w:r w:rsidRPr="008E66BB">
        <w:rPr>
          <w:rFonts w:eastAsia="Calibri"/>
          <w:snapToGrid/>
          <w:szCs w:val="22"/>
        </w:rPr>
        <w:t>slaugytoją.</w:t>
      </w:r>
    </w:p>
    <w:p w14:paraId="12129A5A"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6EB82D7C" w14:textId="77777777" w:rsidR="00C3614E" w:rsidRPr="008E66BB" w:rsidRDefault="00C3614E" w:rsidP="00250DCE">
      <w:pPr>
        <w:tabs>
          <w:tab w:val="clear" w:pos="567"/>
        </w:tabs>
        <w:autoSpaceDE w:val="0"/>
        <w:autoSpaceDN w:val="0"/>
        <w:adjustRightInd w:val="0"/>
        <w:spacing w:line="240" w:lineRule="auto"/>
        <w:rPr>
          <w:rFonts w:eastAsia="Calibri"/>
          <w:snapToGrid/>
          <w:szCs w:val="22"/>
        </w:rPr>
      </w:pPr>
    </w:p>
    <w:p w14:paraId="2AB5D021" w14:textId="77777777" w:rsidR="00250DCE" w:rsidRPr="008E66BB" w:rsidRDefault="00250DCE" w:rsidP="00250DCE">
      <w:pPr>
        <w:autoSpaceDE w:val="0"/>
        <w:autoSpaceDN w:val="0"/>
        <w:adjustRightInd w:val="0"/>
        <w:spacing w:line="240" w:lineRule="auto"/>
        <w:rPr>
          <w:rFonts w:eastAsia="Calibri"/>
          <w:snapToGrid/>
          <w:szCs w:val="22"/>
        </w:rPr>
      </w:pPr>
      <w:r w:rsidRPr="008E66BB">
        <w:rPr>
          <w:rFonts w:eastAsia="Calibri"/>
          <w:b/>
          <w:snapToGrid/>
          <w:szCs w:val="22"/>
        </w:rPr>
        <w:t>4.</w:t>
      </w:r>
      <w:r w:rsidRPr="008E66BB">
        <w:rPr>
          <w:rFonts w:eastAsia="Calibri"/>
          <w:b/>
          <w:snapToGrid/>
          <w:szCs w:val="22"/>
        </w:rPr>
        <w:tab/>
        <w:t>Galimas šalutinis poveikis</w:t>
      </w:r>
    </w:p>
    <w:p w14:paraId="1BFE52FD" w14:textId="77777777" w:rsidR="00785697" w:rsidRPr="008E66BB" w:rsidRDefault="00785697" w:rsidP="00250DCE">
      <w:pPr>
        <w:tabs>
          <w:tab w:val="clear" w:pos="567"/>
        </w:tabs>
        <w:autoSpaceDE w:val="0"/>
        <w:autoSpaceDN w:val="0"/>
        <w:adjustRightInd w:val="0"/>
        <w:spacing w:line="240" w:lineRule="auto"/>
        <w:rPr>
          <w:rFonts w:eastAsia="Calibri"/>
          <w:snapToGrid/>
          <w:szCs w:val="22"/>
        </w:rPr>
      </w:pPr>
    </w:p>
    <w:p w14:paraId="06C274F4"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Šis vaistinis preparatas, kaip ir kiti vaistai, gali sukelti šalutinį poveikį, nors jis pasireiškia ne visiems</w:t>
      </w:r>
      <w:r w:rsidR="008766B8" w:rsidRPr="008E66BB">
        <w:rPr>
          <w:rFonts w:eastAsia="Calibri"/>
          <w:snapToGrid/>
          <w:szCs w:val="22"/>
        </w:rPr>
        <w:t xml:space="preserve"> </w:t>
      </w:r>
      <w:r w:rsidRPr="008E66BB">
        <w:rPr>
          <w:rFonts w:eastAsia="Calibri"/>
          <w:snapToGrid/>
          <w:szCs w:val="22"/>
        </w:rPr>
        <w:t>žmonėms.</w:t>
      </w:r>
    </w:p>
    <w:p w14:paraId="6D0D5B3A"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3471AED1" w14:textId="77777777" w:rsidR="00E25898" w:rsidRPr="00D42F2E" w:rsidRDefault="00E25898" w:rsidP="00250DCE">
      <w:pPr>
        <w:tabs>
          <w:tab w:val="clear" w:pos="567"/>
        </w:tabs>
        <w:autoSpaceDE w:val="0"/>
        <w:autoSpaceDN w:val="0"/>
        <w:adjustRightInd w:val="0"/>
        <w:spacing w:line="240" w:lineRule="auto"/>
        <w:rPr>
          <w:rFonts w:eastAsia="Calibri"/>
          <w:b/>
          <w:snapToGrid/>
          <w:szCs w:val="22"/>
        </w:rPr>
      </w:pPr>
      <w:r w:rsidRPr="00D42F2E">
        <w:rPr>
          <w:rFonts w:eastAsia="Calibri"/>
          <w:b/>
          <w:snapToGrid/>
          <w:szCs w:val="22"/>
        </w:rPr>
        <w:t>Nedelsiant kreipkitės į gydytoją:</w:t>
      </w:r>
    </w:p>
    <w:p w14:paraId="084C4D63" w14:textId="77777777" w:rsidR="00E25898" w:rsidRDefault="00E25898" w:rsidP="00250DCE">
      <w:pPr>
        <w:tabs>
          <w:tab w:val="clear" w:pos="567"/>
        </w:tabs>
        <w:autoSpaceDE w:val="0"/>
        <w:autoSpaceDN w:val="0"/>
        <w:adjustRightInd w:val="0"/>
        <w:spacing w:line="240" w:lineRule="auto"/>
        <w:rPr>
          <w:rFonts w:eastAsia="Calibri"/>
          <w:snapToGrid/>
          <w:szCs w:val="22"/>
        </w:rPr>
      </w:pPr>
    </w:p>
    <w:p w14:paraId="7241910D" w14:textId="3D8A5E81" w:rsidR="00250DCE" w:rsidRPr="00382558" w:rsidRDefault="00E25898" w:rsidP="00D42F2E">
      <w:pPr>
        <w:numPr>
          <w:ilvl w:val="0"/>
          <w:numId w:val="13"/>
        </w:numPr>
        <w:tabs>
          <w:tab w:val="clear" w:pos="567"/>
        </w:tabs>
        <w:autoSpaceDE w:val="0"/>
        <w:autoSpaceDN w:val="0"/>
        <w:adjustRightInd w:val="0"/>
        <w:spacing w:line="240" w:lineRule="auto"/>
        <w:rPr>
          <w:rFonts w:eastAsia="Calibri"/>
          <w:snapToGrid/>
          <w:szCs w:val="22"/>
        </w:rPr>
      </w:pPr>
      <w:r>
        <w:rPr>
          <w:rFonts w:eastAsia="Calibri"/>
          <w:snapToGrid/>
          <w:szCs w:val="22"/>
        </w:rPr>
        <w:t>Jei atsiranda</w:t>
      </w:r>
      <w:r w:rsidR="00250DCE" w:rsidRPr="008E66BB">
        <w:rPr>
          <w:rFonts w:eastAsia="Calibri"/>
          <w:snapToGrid/>
          <w:szCs w:val="22"/>
        </w:rPr>
        <w:t xml:space="preserve"> tirpimas ar dilgčiojimas </w:t>
      </w:r>
      <w:r w:rsidRPr="008E66BB">
        <w:rPr>
          <w:rFonts w:eastAsia="Calibri"/>
          <w:snapToGrid/>
          <w:szCs w:val="22"/>
        </w:rPr>
        <w:t>ap</w:t>
      </w:r>
      <w:r>
        <w:rPr>
          <w:rFonts w:eastAsia="Calibri"/>
          <w:snapToGrid/>
          <w:szCs w:val="22"/>
        </w:rPr>
        <w:t>link</w:t>
      </w:r>
      <w:r w:rsidRPr="008E66BB">
        <w:rPr>
          <w:rFonts w:eastAsia="Calibri"/>
          <w:snapToGrid/>
          <w:szCs w:val="22"/>
        </w:rPr>
        <w:t xml:space="preserve"> </w:t>
      </w:r>
      <w:r w:rsidR="00250DCE" w:rsidRPr="008E66BB">
        <w:rPr>
          <w:rFonts w:eastAsia="Calibri"/>
          <w:snapToGrid/>
          <w:szCs w:val="22"/>
        </w:rPr>
        <w:t>burną, raumenų skausmas ar mėšlungis bei traukuliai</w:t>
      </w:r>
      <w:r>
        <w:rPr>
          <w:rFonts w:eastAsia="Calibri"/>
          <w:snapToGrid/>
          <w:szCs w:val="22"/>
        </w:rPr>
        <w:t>.</w:t>
      </w:r>
      <w:r w:rsidR="008766B8" w:rsidRPr="008E66BB">
        <w:rPr>
          <w:rFonts w:eastAsia="Calibri"/>
          <w:b/>
          <w:snapToGrid/>
          <w:szCs w:val="22"/>
        </w:rPr>
        <w:t xml:space="preserve"> </w:t>
      </w:r>
      <w:r w:rsidR="00250DCE" w:rsidRPr="00382558">
        <w:rPr>
          <w:rFonts w:eastAsia="Calibri"/>
          <w:snapToGrid/>
          <w:szCs w:val="22"/>
        </w:rPr>
        <w:t>Tai gali būti per mažos kalcio koncentracijos kraujyje (hipokalcemijos)</w:t>
      </w:r>
      <w:r w:rsidR="008766B8" w:rsidRPr="00382558">
        <w:rPr>
          <w:rFonts w:eastAsia="Calibri"/>
          <w:snapToGrid/>
          <w:szCs w:val="22"/>
        </w:rPr>
        <w:t xml:space="preserve"> </w:t>
      </w:r>
      <w:r w:rsidR="00250DCE" w:rsidRPr="00382558">
        <w:rPr>
          <w:rFonts w:eastAsia="Calibri"/>
          <w:snapToGrid/>
          <w:szCs w:val="22"/>
        </w:rPr>
        <w:t>požymiai.</w:t>
      </w:r>
    </w:p>
    <w:p w14:paraId="58668181" w14:textId="77777777" w:rsidR="00E25898" w:rsidRPr="00382558" w:rsidRDefault="00E25898" w:rsidP="00D42F2E">
      <w:pPr>
        <w:numPr>
          <w:ilvl w:val="0"/>
          <w:numId w:val="13"/>
        </w:numPr>
        <w:tabs>
          <w:tab w:val="clear" w:pos="567"/>
        </w:tabs>
        <w:autoSpaceDE w:val="0"/>
        <w:autoSpaceDN w:val="0"/>
        <w:adjustRightInd w:val="0"/>
        <w:spacing w:line="240" w:lineRule="auto"/>
        <w:rPr>
          <w:rFonts w:eastAsia="Calibri"/>
          <w:snapToGrid/>
          <w:szCs w:val="22"/>
        </w:rPr>
      </w:pPr>
      <w:r w:rsidRPr="00382558">
        <w:rPr>
          <w:rFonts w:eastAsia="Calibri"/>
          <w:snapToGrid/>
          <w:szCs w:val="22"/>
        </w:rPr>
        <w:t>Jei atsiranda veido, lūpų, burnos, liežuvio arba gerklės patinimas, kurie apsunkina rijimą arba kvėpavimą (angioneurozinė edema).</w:t>
      </w:r>
    </w:p>
    <w:p w14:paraId="6F830D59"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p>
    <w:p w14:paraId="11A40738" w14:textId="00585156" w:rsidR="00250DCE" w:rsidRPr="00382558" w:rsidRDefault="00250DCE" w:rsidP="00250DCE">
      <w:pPr>
        <w:tabs>
          <w:tab w:val="clear" w:pos="567"/>
        </w:tabs>
        <w:autoSpaceDE w:val="0"/>
        <w:autoSpaceDN w:val="0"/>
        <w:adjustRightInd w:val="0"/>
        <w:spacing w:line="240" w:lineRule="auto"/>
        <w:rPr>
          <w:rFonts w:eastAsia="Calibri"/>
          <w:b/>
          <w:snapToGrid/>
          <w:szCs w:val="22"/>
        </w:rPr>
      </w:pPr>
      <w:r w:rsidRPr="00382558">
        <w:rPr>
          <w:rFonts w:eastAsia="Calibri"/>
          <w:b/>
          <w:snapToGrid/>
          <w:szCs w:val="22"/>
        </w:rPr>
        <w:t xml:space="preserve">Labai dažnas šalutinis poveikis: gali pasireikšti </w:t>
      </w:r>
      <w:r w:rsidR="00493B5B" w:rsidRPr="00382558">
        <w:rPr>
          <w:rFonts w:eastAsia="Calibri"/>
          <w:b/>
          <w:snapToGrid/>
          <w:szCs w:val="22"/>
        </w:rPr>
        <w:t xml:space="preserve">dažniau </w:t>
      </w:r>
      <w:r w:rsidRPr="00382558">
        <w:rPr>
          <w:rFonts w:eastAsia="Calibri"/>
          <w:b/>
          <w:snapToGrid/>
          <w:szCs w:val="22"/>
        </w:rPr>
        <w:t>kaip 1 iš 10 žmonių</w:t>
      </w:r>
    </w:p>
    <w:p w14:paraId="5CB5BACC" w14:textId="77777777" w:rsidR="00250DCE" w:rsidRPr="00382558"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382558">
        <w:rPr>
          <w:rFonts w:eastAsia="Calibri"/>
          <w:snapToGrid/>
          <w:szCs w:val="22"/>
        </w:rPr>
        <w:t>pykinimas ir vėmimas. Šis šalutinis poveikis paprastai būna nesunkus ir trumpalaikis.</w:t>
      </w:r>
    </w:p>
    <w:p w14:paraId="42CBFA94"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p>
    <w:p w14:paraId="2658CAC5" w14:textId="06057862" w:rsidR="00250DCE" w:rsidRPr="00382558" w:rsidRDefault="00250DCE" w:rsidP="00250DCE">
      <w:pPr>
        <w:tabs>
          <w:tab w:val="clear" w:pos="567"/>
        </w:tabs>
        <w:autoSpaceDE w:val="0"/>
        <w:autoSpaceDN w:val="0"/>
        <w:adjustRightInd w:val="0"/>
        <w:spacing w:line="240" w:lineRule="auto"/>
        <w:rPr>
          <w:rFonts w:eastAsia="Calibri"/>
          <w:b/>
          <w:snapToGrid/>
          <w:szCs w:val="22"/>
        </w:rPr>
      </w:pPr>
      <w:r w:rsidRPr="00382558">
        <w:rPr>
          <w:rFonts w:eastAsia="Calibri"/>
          <w:b/>
          <w:snapToGrid/>
          <w:szCs w:val="22"/>
        </w:rPr>
        <w:t>Dažnas šalutinis poveikis: gali pasireikšti</w:t>
      </w:r>
      <w:r w:rsidR="00493B5B" w:rsidRPr="00382558">
        <w:rPr>
          <w:rFonts w:eastAsia="Calibri"/>
          <w:b/>
          <w:snapToGrid/>
          <w:szCs w:val="22"/>
        </w:rPr>
        <w:t xml:space="preserve"> rečiau </w:t>
      </w:r>
      <w:r w:rsidRPr="00382558">
        <w:rPr>
          <w:rFonts w:eastAsia="Calibri"/>
          <w:b/>
          <w:snapToGrid/>
          <w:szCs w:val="22"/>
        </w:rPr>
        <w:t>kaip 1 iš 10 žmonių</w:t>
      </w:r>
    </w:p>
    <w:p w14:paraId="3767BA96" w14:textId="77777777" w:rsidR="00250DCE" w:rsidRPr="00382558" w:rsidRDefault="006A37FC"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382558">
        <w:rPr>
          <w:rFonts w:eastAsia="Calibri"/>
          <w:snapToGrid/>
          <w:szCs w:val="22"/>
        </w:rPr>
        <w:t>svaigulys</w:t>
      </w:r>
      <w:r w:rsidR="00250DCE" w:rsidRPr="00382558">
        <w:rPr>
          <w:rFonts w:eastAsia="Calibri"/>
          <w:snapToGrid/>
          <w:szCs w:val="22"/>
        </w:rPr>
        <w:t>,</w:t>
      </w:r>
    </w:p>
    <w:p w14:paraId="216DF039" w14:textId="77777777" w:rsidR="00250DCE" w:rsidRPr="00382558"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382558">
        <w:rPr>
          <w:rFonts w:eastAsia="Calibri"/>
          <w:snapToGrid/>
          <w:szCs w:val="22"/>
        </w:rPr>
        <w:t>tirpimo ir dilgčiojimo pojūtis (parestezija),</w:t>
      </w:r>
    </w:p>
    <w:p w14:paraId="11A58B7C" w14:textId="77777777" w:rsidR="00250DCE" w:rsidRPr="00382558"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382558">
        <w:rPr>
          <w:rFonts w:eastAsia="Calibri"/>
          <w:snapToGrid/>
          <w:szCs w:val="22"/>
        </w:rPr>
        <w:t>apetito netekimas (anoreksija) arba sumažėjimas,</w:t>
      </w:r>
    </w:p>
    <w:p w14:paraId="16E4C02F" w14:textId="77777777" w:rsidR="00250DCE" w:rsidRPr="00382558"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382558">
        <w:rPr>
          <w:rFonts w:eastAsia="Calibri"/>
          <w:snapToGrid/>
          <w:szCs w:val="22"/>
        </w:rPr>
        <w:t>raumenų skausmas (mialgija),</w:t>
      </w:r>
    </w:p>
    <w:p w14:paraId="60AD7E06"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382558">
        <w:rPr>
          <w:rFonts w:eastAsia="Calibri"/>
          <w:snapToGrid/>
          <w:szCs w:val="22"/>
        </w:rPr>
        <w:t>silpnumas</w:t>
      </w:r>
      <w:r w:rsidRPr="008E66BB">
        <w:rPr>
          <w:rFonts w:eastAsia="Calibri"/>
          <w:snapToGrid/>
          <w:szCs w:val="22"/>
        </w:rPr>
        <w:t xml:space="preserve"> (astenija),</w:t>
      </w:r>
    </w:p>
    <w:p w14:paraId="7AC899CC"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išbėrimas,</w:t>
      </w:r>
    </w:p>
    <w:p w14:paraId="7CC11D58"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sumažėjęs testosterono kiekis,</w:t>
      </w:r>
    </w:p>
    <w:p w14:paraId="178FAB16"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didelis kalio kiekis kraujyje (hiperkalemija),</w:t>
      </w:r>
    </w:p>
    <w:p w14:paraId="7DA3370A"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alerginės reakcijos (padidėjęs jautrumas),</w:t>
      </w:r>
    </w:p>
    <w:p w14:paraId="798388D8"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galvos skausmas,</w:t>
      </w:r>
    </w:p>
    <w:p w14:paraId="4625BD61"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traukuliai (traukuliai arba priepuoliai),</w:t>
      </w:r>
    </w:p>
    <w:p w14:paraId="30DF1645"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žemas kraujospūdis (hipotenzija),</w:t>
      </w:r>
    </w:p>
    <w:p w14:paraId="79661B59"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viršutinių kvėpavimo takų infekcija,</w:t>
      </w:r>
    </w:p>
    <w:p w14:paraId="5D340DB5"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pasunkėjęs kvėpavimas (dispnėja),</w:t>
      </w:r>
    </w:p>
    <w:p w14:paraId="30FEB3A5"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kosulys,</w:t>
      </w:r>
    </w:p>
    <w:p w14:paraId="363E8115"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virškinimo sutrikimas (dispepsija),</w:t>
      </w:r>
    </w:p>
    <w:p w14:paraId="16EAC8B1"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viduriavimas,</w:t>
      </w:r>
    </w:p>
    <w:p w14:paraId="4821DB68"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pilvo skausmas, viršutinės pilvo dalies skausmas,</w:t>
      </w:r>
    </w:p>
    <w:p w14:paraId="55EB0BF5"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vidurių užkietėjimas,</w:t>
      </w:r>
    </w:p>
    <w:p w14:paraId="3536946A"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raumenų traukuliai,</w:t>
      </w:r>
    </w:p>
    <w:p w14:paraId="09E87B41"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nugaros skausmas,</w:t>
      </w:r>
    </w:p>
    <w:p w14:paraId="36CD30CD"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mažas kalcio kiekis kraujyje (hipokalcemija).</w:t>
      </w:r>
    </w:p>
    <w:p w14:paraId="78D5E72F"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4112F78D" w14:textId="1AE7ED38" w:rsidR="00250DCE" w:rsidRPr="00382558"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 xml:space="preserve">Dažnis nežinomas: </w:t>
      </w:r>
      <w:r w:rsidRPr="00382558">
        <w:rPr>
          <w:rFonts w:eastAsia="Calibri"/>
          <w:b/>
          <w:snapToGrid/>
          <w:szCs w:val="22"/>
        </w:rPr>
        <w:t xml:space="preserve">negali būti </w:t>
      </w:r>
      <w:r w:rsidR="00493B5B" w:rsidRPr="00382558">
        <w:rPr>
          <w:rFonts w:eastAsia="Calibri"/>
          <w:b/>
          <w:snapToGrid/>
          <w:szCs w:val="22"/>
        </w:rPr>
        <w:t xml:space="preserve">apskaičiuotas </w:t>
      </w:r>
      <w:r w:rsidRPr="00382558">
        <w:rPr>
          <w:rFonts w:eastAsia="Calibri"/>
          <w:b/>
          <w:snapToGrid/>
          <w:szCs w:val="22"/>
        </w:rPr>
        <w:t>pagal turimus duomenis</w:t>
      </w:r>
    </w:p>
    <w:p w14:paraId="0FAFB145" w14:textId="77777777" w:rsidR="00250DCE" w:rsidRPr="00382558"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382558">
        <w:rPr>
          <w:rFonts w:eastAsia="Calibri"/>
          <w:snapToGrid/>
          <w:szCs w:val="22"/>
        </w:rPr>
        <w:t>dilgėlinė (urtikarija),</w:t>
      </w:r>
    </w:p>
    <w:p w14:paraId="62305DC2" w14:textId="77777777" w:rsidR="00250DCE" w:rsidRPr="00382558"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382558">
        <w:rPr>
          <w:rFonts w:eastAsia="Calibri"/>
          <w:snapToGrid/>
          <w:szCs w:val="22"/>
        </w:rPr>
        <w:t>veido, lūpų, burnos, liežuvio ar ryklės patinimas, galintis apsunkinti rijimą ar kvėpavimą (angioneurozinė edema),</w:t>
      </w:r>
    </w:p>
    <w:p w14:paraId="7489D66E"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382558">
        <w:rPr>
          <w:rFonts w:eastAsia="Calibri"/>
          <w:snapToGrid/>
          <w:szCs w:val="22"/>
        </w:rPr>
        <w:t>neįprastas greitas ar mušantis širdies plakimas, kuris gali būti susijęs su maža kalcio koncentracija Jūsų kraujyje</w:t>
      </w:r>
      <w:r w:rsidRPr="008E66BB">
        <w:rPr>
          <w:rFonts w:eastAsia="Calibri"/>
          <w:snapToGrid/>
          <w:szCs w:val="22"/>
        </w:rPr>
        <w:t xml:space="preserve"> (dėl hipokalcemijos pasireiškęs QT pailgėjimas ir skilvelinė aritmija).</w:t>
      </w:r>
    </w:p>
    <w:p w14:paraId="66F43CEF"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42D28A25"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Labai nedaugelio širdies nepakankamumu sergančių pacientų būklė po Cinakalcet Teva pavartojimo pasunkėjo ir (arba) sumažėjo kraujospūdis (pasireiškė hipotenzija).</w:t>
      </w:r>
    </w:p>
    <w:p w14:paraId="220A87CF"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0908C5ED"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Vartojimas vaikams ir paaugliams</w:t>
      </w:r>
    </w:p>
    <w:p w14:paraId="309DD1A4"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Cinacalcet Teva vartojimas vaikams ir paaugliams yra nenustatytas. Aprašytas mirties atvejis klinikiniame</w:t>
      </w:r>
      <w:r w:rsidR="00315031" w:rsidRPr="008E66BB">
        <w:rPr>
          <w:rFonts w:eastAsia="Calibri"/>
          <w:snapToGrid/>
          <w:szCs w:val="22"/>
        </w:rPr>
        <w:t xml:space="preserve"> </w:t>
      </w:r>
      <w:r w:rsidRPr="008E66BB">
        <w:rPr>
          <w:rFonts w:eastAsia="Calibri"/>
          <w:snapToGrid/>
          <w:szCs w:val="22"/>
        </w:rPr>
        <w:t>tyrime dalyvavusiam paaugliui, kurio kraujyje buvo labai maža kalcio koncentracija (hipokalcemija).</w:t>
      </w:r>
    </w:p>
    <w:p w14:paraId="3180516D"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22C09C10"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Pranešimas apie šalutinį poveikį</w:t>
      </w:r>
    </w:p>
    <w:p w14:paraId="522FE701"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8" w:history="1">
        <w:r w:rsidR="00C304DF" w:rsidRPr="00E5623E">
          <w:rPr>
            <w:rStyle w:val="Hipersaitas"/>
            <w:rFonts w:eastAsia="Calibri"/>
            <w:snapToGrid/>
            <w:szCs w:val="22"/>
          </w:rPr>
          <w:t>www.vvkt.lt</w:t>
        </w:r>
      </w:hyperlink>
      <w:r w:rsidR="00C304DF">
        <w:rPr>
          <w:rFonts w:eastAsia="Calibri"/>
          <w:snapToGrid/>
          <w:szCs w:val="22"/>
        </w:rPr>
        <w:t xml:space="preserve"> </w:t>
      </w:r>
      <w:r w:rsidRPr="008E66BB">
        <w:rPr>
          <w:rFonts w:eastAsia="Calibri"/>
          <w:snapToGrid/>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8E66BB">
          <w:rPr>
            <w:rFonts w:eastAsia="Calibri"/>
            <w:snapToGrid/>
            <w:color w:val="0000FF"/>
            <w:szCs w:val="22"/>
            <w:u w:val="single"/>
          </w:rPr>
          <w:t>NepageidaujamaR@vvkt.lt</w:t>
        </w:r>
      </w:hyperlink>
      <w:r w:rsidRPr="008E66BB">
        <w:rPr>
          <w:rFonts w:eastAsia="Calibri"/>
          <w:snapToGrid/>
          <w:szCs w:val="22"/>
        </w:rPr>
        <w:t xml:space="preserve">, taip pat per Valstybinės vaistų kontrolės tarnybos prie Lietuvos Respublikos sveikatos apsaugos ministerijos interneto svetainę (adresu </w:t>
      </w:r>
      <w:hyperlink r:id="rId10" w:history="1">
        <w:r w:rsidRPr="008E66BB">
          <w:rPr>
            <w:rFonts w:eastAsia="Calibri"/>
            <w:snapToGrid/>
            <w:color w:val="0000FF"/>
            <w:szCs w:val="22"/>
            <w:u w:val="single"/>
          </w:rPr>
          <w:t>http://www.vvkt.lt</w:t>
        </w:r>
      </w:hyperlink>
      <w:r w:rsidRPr="008E66BB">
        <w:rPr>
          <w:rFonts w:eastAsia="Calibri"/>
          <w:snapToGrid/>
          <w:szCs w:val="22"/>
        </w:rPr>
        <w:t>). Pranešdami apie šalutinį poveikį galite mums padėti gauti daugiau informacijos apie šio vaisto saugumą.</w:t>
      </w:r>
    </w:p>
    <w:p w14:paraId="12BDFF5C"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1DFA38C7" w14:textId="77777777" w:rsidR="00533C11" w:rsidRPr="008E66BB" w:rsidRDefault="00533C11" w:rsidP="00250DCE">
      <w:pPr>
        <w:tabs>
          <w:tab w:val="clear" w:pos="567"/>
        </w:tabs>
        <w:autoSpaceDE w:val="0"/>
        <w:autoSpaceDN w:val="0"/>
        <w:adjustRightInd w:val="0"/>
        <w:spacing w:line="240" w:lineRule="auto"/>
        <w:rPr>
          <w:rFonts w:eastAsia="Calibri"/>
          <w:snapToGrid/>
          <w:szCs w:val="22"/>
        </w:rPr>
      </w:pPr>
    </w:p>
    <w:p w14:paraId="2360E14B" w14:textId="77777777" w:rsidR="00250DCE" w:rsidRPr="008E66BB" w:rsidRDefault="00250DCE" w:rsidP="00250DCE">
      <w:pPr>
        <w:autoSpaceDE w:val="0"/>
        <w:autoSpaceDN w:val="0"/>
        <w:adjustRightInd w:val="0"/>
        <w:spacing w:line="240" w:lineRule="auto"/>
        <w:rPr>
          <w:rFonts w:eastAsia="Calibri"/>
          <w:b/>
          <w:snapToGrid/>
          <w:szCs w:val="22"/>
        </w:rPr>
      </w:pPr>
      <w:r w:rsidRPr="008E66BB">
        <w:rPr>
          <w:rFonts w:eastAsia="Calibri"/>
          <w:b/>
          <w:snapToGrid/>
          <w:szCs w:val="22"/>
        </w:rPr>
        <w:t>5.</w:t>
      </w:r>
      <w:r w:rsidRPr="008E66BB">
        <w:rPr>
          <w:rFonts w:eastAsia="Calibri"/>
          <w:b/>
          <w:snapToGrid/>
          <w:szCs w:val="22"/>
        </w:rPr>
        <w:tab/>
        <w:t>Kaip laikyti Cinacalcet Teva</w:t>
      </w:r>
    </w:p>
    <w:p w14:paraId="56AFBA29" w14:textId="77777777" w:rsidR="00315031" w:rsidRPr="008E66BB" w:rsidRDefault="00315031" w:rsidP="00250DCE">
      <w:pPr>
        <w:tabs>
          <w:tab w:val="clear" w:pos="567"/>
        </w:tabs>
        <w:autoSpaceDE w:val="0"/>
        <w:autoSpaceDN w:val="0"/>
        <w:adjustRightInd w:val="0"/>
        <w:spacing w:line="240" w:lineRule="auto"/>
        <w:rPr>
          <w:rFonts w:eastAsia="Calibri"/>
          <w:snapToGrid/>
          <w:szCs w:val="22"/>
        </w:rPr>
      </w:pPr>
    </w:p>
    <w:p w14:paraId="2E858E6A"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Šį vaistą laiky</w:t>
      </w:r>
      <w:r w:rsidR="00533C11" w:rsidRPr="008E66BB">
        <w:rPr>
          <w:rFonts w:eastAsia="Calibri"/>
          <w:snapToGrid/>
          <w:szCs w:val="22"/>
        </w:rPr>
        <w:t>kite</w:t>
      </w:r>
      <w:r w:rsidRPr="008E66BB">
        <w:rPr>
          <w:rFonts w:eastAsia="Calibri"/>
          <w:snapToGrid/>
          <w:szCs w:val="22"/>
        </w:rPr>
        <w:t xml:space="preserve"> vaikams nepastebimoje ir nepasiekiamoje vietoje.</w:t>
      </w:r>
    </w:p>
    <w:p w14:paraId="54B531FA"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464B29DF" w14:textId="1832CD7B"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Ant dėžutės ir ant lizdinės plokštelės po „EXP“ nurodytam tinkamumo laikui pasibaigus, šio vaisto vartoti negalima. Vaistas tinkamas vartoti iki paskutinės nurodyto mėnesio dienos.</w:t>
      </w:r>
    </w:p>
    <w:p w14:paraId="4C9238FC" w14:textId="77777777" w:rsidR="001E4838" w:rsidRPr="007D0562" w:rsidRDefault="001E4838" w:rsidP="00250DCE">
      <w:pPr>
        <w:tabs>
          <w:tab w:val="clear" w:pos="567"/>
        </w:tabs>
        <w:autoSpaceDE w:val="0"/>
        <w:autoSpaceDN w:val="0"/>
        <w:adjustRightInd w:val="0"/>
        <w:spacing w:line="240" w:lineRule="auto"/>
        <w:rPr>
          <w:rFonts w:eastAsia="Calibri"/>
          <w:highlight w:val="lightGray"/>
        </w:rPr>
      </w:pPr>
    </w:p>
    <w:p w14:paraId="20A107BF" w14:textId="7001B2C2"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7D0562">
        <w:rPr>
          <w:rFonts w:eastAsia="Calibri"/>
          <w:highlight w:val="lightGray"/>
        </w:rPr>
        <w:t>Ant dėžutės ir buteliuko etiketės po „</w:t>
      </w:r>
      <w:r w:rsidR="00F87429">
        <w:rPr>
          <w:rFonts w:eastAsia="Calibri"/>
          <w:highlight w:val="lightGray"/>
        </w:rPr>
        <w:t>EXP</w:t>
      </w:r>
      <w:r w:rsidRPr="007D0562">
        <w:rPr>
          <w:rFonts w:eastAsia="Calibri"/>
          <w:highlight w:val="lightGray"/>
        </w:rPr>
        <w:t>“ nurodytam tinkamumo laikui pasibaigus, šio vaisto vartoti negalima. Vaistas tinkamas vartoti iki paskutinės nurodyto mėnesio dienos.</w:t>
      </w:r>
    </w:p>
    <w:p w14:paraId="5CB2E8F3"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569FA5D1" w14:textId="0C33BCD5"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Šiam vaist</w:t>
      </w:r>
      <w:r w:rsidR="004C06AE" w:rsidRPr="008E66BB">
        <w:rPr>
          <w:rFonts w:eastAsia="Calibri"/>
          <w:snapToGrid/>
          <w:szCs w:val="22"/>
        </w:rPr>
        <w:t>ui</w:t>
      </w:r>
      <w:r w:rsidRPr="008E66BB">
        <w:rPr>
          <w:rFonts w:eastAsia="Calibri"/>
          <w:snapToGrid/>
          <w:szCs w:val="22"/>
        </w:rPr>
        <w:t xml:space="preserve"> specialių laikymo sąlygų nereikia.</w:t>
      </w:r>
    </w:p>
    <w:p w14:paraId="45A92036"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044596EE"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Vaistų negalima išmesti į kanalizaciją arba su buitinėmis atliekomis. Kaip išmesti nereikalingus vaistus,</w:t>
      </w:r>
      <w:r w:rsidR="001E4838" w:rsidRPr="008E66BB">
        <w:rPr>
          <w:rFonts w:eastAsia="Calibri"/>
          <w:snapToGrid/>
          <w:szCs w:val="22"/>
        </w:rPr>
        <w:t xml:space="preserve"> </w:t>
      </w:r>
      <w:r w:rsidRPr="008E66BB">
        <w:rPr>
          <w:rFonts w:eastAsia="Calibri"/>
          <w:snapToGrid/>
          <w:szCs w:val="22"/>
        </w:rPr>
        <w:t>klauskite vaistininko. Šios priemonės padės apsaugoti aplinką.</w:t>
      </w:r>
    </w:p>
    <w:p w14:paraId="7CBBDDBB"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4E3654C1" w14:textId="77777777" w:rsidR="00533C11" w:rsidRPr="008E66BB" w:rsidRDefault="00533C11" w:rsidP="00250DCE">
      <w:pPr>
        <w:tabs>
          <w:tab w:val="clear" w:pos="567"/>
        </w:tabs>
        <w:autoSpaceDE w:val="0"/>
        <w:autoSpaceDN w:val="0"/>
        <w:adjustRightInd w:val="0"/>
        <w:spacing w:line="240" w:lineRule="auto"/>
        <w:rPr>
          <w:rFonts w:eastAsia="Calibri"/>
          <w:snapToGrid/>
          <w:szCs w:val="22"/>
        </w:rPr>
      </w:pPr>
    </w:p>
    <w:p w14:paraId="155E59D7" w14:textId="77777777" w:rsidR="00250DCE" w:rsidRPr="008E66BB" w:rsidRDefault="00250DCE" w:rsidP="00250DCE">
      <w:pPr>
        <w:autoSpaceDE w:val="0"/>
        <w:autoSpaceDN w:val="0"/>
        <w:adjustRightInd w:val="0"/>
        <w:spacing w:line="240" w:lineRule="auto"/>
        <w:rPr>
          <w:rFonts w:eastAsia="Calibri"/>
          <w:snapToGrid/>
          <w:szCs w:val="22"/>
        </w:rPr>
      </w:pPr>
      <w:r w:rsidRPr="008E66BB">
        <w:rPr>
          <w:rFonts w:eastAsia="Calibri"/>
          <w:b/>
          <w:snapToGrid/>
          <w:szCs w:val="22"/>
        </w:rPr>
        <w:t>6.</w:t>
      </w:r>
      <w:r w:rsidRPr="008E66BB">
        <w:rPr>
          <w:rFonts w:eastAsia="Calibri"/>
          <w:b/>
          <w:snapToGrid/>
          <w:szCs w:val="22"/>
        </w:rPr>
        <w:tab/>
        <w:t>Pakuotės turinys ir kita informacija</w:t>
      </w:r>
    </w:p>
    <w:p w14:paraId="5FA94BE5"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p>
    <w:p w14:paraId="7CD17245"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Cinacalcet Teva sudėtis</w:t>
      </w:r>
    </w:p>
    <w:p w14:paraId="0A19B85B"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 xml:space="preserve">- Veiklioji medžiaga yra cinakalcetas. </w:t>
      </w:r>
      <w:r w:rsidR="00533C11" w:rsidRPr="008E66BB">
        <w:rPr>
          <w:rFonts w:eastAsia="Calibri"/>
          <w:snapToGrid/>
          <w:szCs w:val="22"/>
        </w:rPr>
        <w:t xml:space="preserve">Kiekvienoje </w:t>
      </w:r>
      <w:r w:rsidRPr="008E66BB">
        <w:rPr>
          <w:rFonts w:eastAsia="Calibri"/>
          <w:snapToGrid/>
          <w:szCs w:val="22"/>
        </w:rPr>
        <w:t>plėvele dengtoje tabletėje yra 30</w:t>
      </w:r>
      <w:r w:rsidR="001E4838" w:rsidRPr="008E66BB">
        <w:rPr>
          <w:rFonts w:eastAsia="Calibri"/>
          <w:snapToGrid/>
          <w:szCs w:val="22"/>
        </w:rPr>
        <w:t> </w:t>
      </w:r>
      <w:r w:rsidRPr="008E66BB">
        <w:rPr>
          <w:rFonts w:eastAsia="Calibri"/>
          <w:snapToGrid/>
          <w:szCs w:val="22"/>
        </w:rPr>
        <w:t>mg, 60</w:t>
      </w:r>
      <w:r w:rsidR="001E4838" w:rsidRPr="008E66BB">
        <w:rPr>
          <w:rFonts w:eastAsia="Calibri"/>
          <w:snapToGrid/>
          <w:szCs w:val="22"/>
        </w:rPr>
        <w:t> </w:t>
      </w:r>
      <w:r w:rsidRPr="008E66BB">
        <w:rPr>
          <w:rFonts w:eastAsia="Calibri"/>
          <w:snapToGrid/>
          <w:szCs w:val="22"/>
        </w:rPr>
        <w:t>mg arba 90</w:t>
      </w:r>
      <w:r w:rsidR="001E4838" w:rsidRPr="008E66BB">
        <w:rPr>
          <w:rFonts w:eastAsia="Calibri"/>
          <w:snapToGrid/>
          <w:szCs w:val="22"/>
        </w:rPr>
        <w:t> </w:t>
      </w:r>
      <w:r w:rsidRPr="008E66BB">
        <w:rPr>
          <w:rFonts w:eastAsia="Calibri"/>
          <w:snapToGrid/>
          <w:szCs w:val="22"/>
        </w:rPr>
        <w:t>mg</w:t>
      </w:r>
      <w:r w:rsidR="00533C11" w:rsidRPr="008E66BB">
        <w:rPr>
          <w:rFonts w:eastAsia="Calibri"/>
          <w:snapToGrid/>
          <w:szCs w:val="22"/>
        </w:rPr>
        <w:t xml:space="preserve"> </w:t>
      </w:r>
      <w:r w:rsidRPr="008E66BB">
        <w:rPr>
          <w:rFonts w:eastAsia="Calibri"/>
          <w:snapToGrid/>
          <w:szCs w:val="22"/>
        </w:rPr>
        <w:t>cinakalceto (hidrochlorido pavidalu).</w:t>
      </w:r>
    </w:p>
    <w:p w14:paraId="17C23521"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107D0410"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 xml:space="preserve">- </w:t>
      </w:r>
      <w:r w:rsidR="00533C11" w:rsidRPr="008E66BB">
        <w:rPr>
          <w:rFonts w:eastAsia="Calibri"/>
          <w:snapToGrid/>
          <w:szCs w:val="22"/>
        </w:rPr>
        <w:t>P</w:t>
      </w:r>
      <w:r w:rsidRPr="008E66BB">
        <w:rPr>
          <w:rFonts w:eastAsia="Calibri"/>
          <w:snapToGrid/>
          <w:szCs w:val="22"/>
        </w:rPr>
        <w:t xml:space="preserve">agalbinės medžiagos yra: </w:t>
      </w:r>
    </w:p>
    <w:p w14:paraId="2711A1D2" w14:textId="77777777" w:rsidR="00250DCE" w:rsidRPr="008E66BB" w:rsidRDefault="00250DCE" w:rsidP="00250DCE">
      <w:pPr>
        <w:numPr>
          <w:ilvl w:val="0"/>
          <w:numId w:val="3"/>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pregelifikuotas kukurūzų krakmolas;</w:t>
      </w:r>
    </w:p>
    <w:p w14:paraId="6A79BE1E" w14:textId="77777777" w:rsidR="00250DCE" w:rsidRPr="008E66BB" w:rsidRDefault="00250DCE" w:rsidP="00250DCE">
      <w:pPr>
        <w:numPr>
          <w:ilvl w:val="0"/>
          <w:numId w:val="3"/>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 xml:space="preserve">mikrokristalinė celiuliozė; </w:t>
      </w:r>
    </w:p>
    <w:p w14:paraId="5B7F7404" w14:textId="77777777" w:rsidR="00250DCE" w:rsidRPr="008E66BB" w:rsidRDefault="00250DCE" w:rsidP="00250DCE">
      <w:pPr>
        <w:numPr>
          <w:ilvl w:val="0"/>
          <w:numId w:val="3"/>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krospovidonas;</w:t>
      </w:r>
    </w:p>
    <w:p w14:paraId="4392A59B" w14:textId="77777777" w:rsidR="00250DCE" w:rsidRPr="008E66BB" w:rsidRDefault="00250DCE" w:rsidP="00250DCE">
      <w:pPr>
        <w:numPr>
          <w:ilvl w:val="0"/>
          <w:numId w:val="3"/>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magnio stearatas;</w:t>
      </w:r>
    </w:p>
    <w:p w14:paraId="6BE7F137" w14:textId="77777777" w:rsidR="00250DCE" w:rsidRPr="008E66BB" w:rsidRDefault="00250DCE" w:rsidP="00250DCE">
      <w:pPr>
        <w:numPr>
          <w:ilvl w:val="0"/>
          <w:numId w:val="3"/>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bevandenis koloidinis silicio dioksidas.</w:t>
      </w:r>
    </w:p>
    <w:p w14:paraId="3C1DB6E1"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5AFD9ECB"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 Tablečių plėvelę sudaro:</w:t>
      </w:r>
    </w:p>
    <w:p w14:paraId="4EC1AF68"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i/>
          <w:snapToGrid/>
          <w:szCs w:val="22"/>
        </w:rPr>
        <w:t>Opadry</w:t>
      </w:r>
      <w:r w:rsidRPr="008E66BB">
        <w:rPr>
          <w:rFonts w:eastAsia="Calibri"/>
          <w:snapToGrid/>
          <w:szCs w:val="22"/>
        </w:rPr>
        <w:t xml:space="preserve"> žaliasis (kurio sudėtyje yra polivinil</w:t>
      </w:r>
      <w:r w:rsidR="00533C11" w:rsidRPr="008E66BB">
        <w:rPr>
          <w:rFonts w:eastAsia="Calibri"/>
          <w:snapToGrid/>
          <w:szCs w:val="22"/>
        </w:rPr>
        <w:t xml:space="preserve">o </w:t>
      </w:r>
      <w:r w:rsidRPr="008E66BB">
        <w:rPr>
          <w:rFonts w:eastAsia="Calibri"/>
          <w:snapToGrid/>
          <w:szCs w:val="22"/>
        </w:rPr>
        <w:t>alkoholio, titano dioksido (E171), makrogolio 3350, talko, geltonojo geležies oksido (E172), indigokarmin</w:t>
      </w:r>
      <w:r w:rsidR="00533C11" w:rsidRPr="008E66BB">
        <w:rPr>
          <w:rFonts w:eastAsia="Calibri"/>
          <w:snapToGrid/>
          <w:szCs w:val="22"/>
        </w:rPr>
        <w:t>o aliuminio dažalo</w:t>
      </w:r>
      <w:r w:rsidRPr="008E66BB">
        <w:rPr>
          <w:rFonts w:eastAsia="Calibri"/>
          <w:snapToGrid/>
          <w:szCs w:val="22"/>
        </w:rPr>
        <w:t xml:space="preserve"> (E132)).</w:t>
      </w:r>
    </w:p>
    <w:p w14:paraId="77730491"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12831C13"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Cinacalcet Teva išvaizda ir kiekis pakuotėje</w:t>
      </w:r>
    </w:p>
    <w:p w14:paraId="4AD8BFDF"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p>
    <w:p w14:paraId="7845A5F9"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 xml:space="preserve">Cinacalcet Teva yra nuo šviesiai žalios iki žalios spalvos plėvele dengtos tabletės. Jos yra ovalios formos, vienoje pusėje pažymėta „C30“, „C60“ arba „C90“, o kitoje pusėje nėra jokio ženklo. </w:t>
      </w:r>
    </w:p>
    <w:p w14:paraId="22FD4B1A"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 xml:space="preserve"> </w:t>
      </w:r>
    </w:p>
    <w:p w14:paraId="6A36F1D8" w14:textId="2521DB25"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Cinacalcet Teva 30</w:t>
      </w:r>
      <w:r w:rsidR="00533C11" w:rsidRPr="008E66BB">
        <w:rPr>
          <w:rFonts w:eastAsia="Calibri"/>
          <w:snapToGrid/>
          <w:szCs w:val="22"/>
        </w:rPr>
        <w:t> </w:t>
      </w:r>
      <w:r w:rsidRPr="008E66BB">
        <w:rPr>
          <w:rFonts w:eastAsia="Calibri"/>
          <w:snapToGrid/>
          <w:szCs w:val="22"/>
        </w:rPr>
        <w:t>mg, 60</w:t>
      </w:r>
      <w:r w:rsidR="00533C11" w:rsidRPr="008E66BB">
        <w:rPr>
          <w:rFonts w:eastAsia="Calibri"/>
          <w:snapToGrid/>
          <w:szCs w:val="22"/>
        </w:rPr>
        <w:t> </w:t>
      </w:r>
      <w:r w:rsidRPr="008E66BB">
        <w:rPr>
          <w:rFonts w:eastAsia="Calibri"/>
          <w:snapToGrid/>
          <w:szCs w:val="22"/>
        </w:rPr>
        <w:t>mg, 90</w:t>
      </w:r>
      <w:r w:rsidR="00533C11" w:rsidRPr="008E66BB">
        <w:rPr>
          <w:rFonts w:eastAsia="Calibri"/>
          <w:snapToGrid/>
          <w:szCs w:val="22"/>
        </w:rPr>
        <w:t> </w:t>
      </w:r>
      <w:r w:rsidRPr="008E66BB">
        <w:rPr>
          <w:rFonts w:eastAsia="Calibri"/>
          <w:snapToGrid/>
          <w:szCs w:val="22"/>
        </w:rPr>
        <w:t xml:space="preserve">mg plėvele dengtos tabletės tiekiamos lizdinėse plokštelėse. </w:t>
      </w:r>
      <w:r w:rsidR="00533C11" w:rsidRPr="008E66BB">
        <w:rPr>
          <w:rFonts w:eastAsia="Calibri"/>
          <w:snapToGrid/>
          <w:szCs w:val="22"/>
        </w:rPr>
        <w:t xml:space="preserve">Kiekvienoje </w:t>
      </w:r>
      <w:r w:rsidRPr="008E66BB">
        <w:rPr>
          <w:rFonts w:eastAsia="Calibri"/>
          <w:snapToGrid/>
          <w:szCs w:val="22"/>
        </w:rPr>
        <w:t xml:space="preserve">kartoninėje dėžutėje </w:t>
      </w:r>
      <w:r w:rsidR="00533C11" w:rsidRPr="008E66BB">
        <w:rPr>
          <w:rFonts w:eastAsia="Calibri"/>
          <w:snapToGrid/>
          <w:szCs w:val="22"/>
        </w:rPr>
        <w:t>yra</w:t>
      </w:r>
      <w:r w:rsidRPr="008E66BB">
        <w:rPr>
          <w:rFonts w:eastAsia="Calibri"/>
          <w:snapToGrid/>
          <w:szCs w:val="22"/>
        </w:rPr>
        <w:t xml:space="preserve"> 14, 28, 30</w:t>
      </w:r>
      <w:r w:rsidR="00385C79">
        <w:rPr>
          <w:rFonts w:eastAsia="Calibri"/>
          <w:snapToGrid/>
          <w:szCs w:val="22"/>
        </w:rPr>
        <w:t>,</w:t>
      </w:r>
      <w:r w:rsidRPr="008E66BB">
        <w:rPr>
          <w:rFonts w:eastAsia="Calibri"/>
          <w:snapToGrid/>
          <w:szCs w:val="22"/>
        </w:rPr>
        <w:t xml:space="preserve"> 84</w:t>
      </w:r>
      <w:r w:rsidR="007B25D8">
        <w:rPr>
          <w:rFonts w:eastAsia="Calibri"/>
          <w:snapToGrid/>
          <w:szCs w:val="22"/>
        </w:rPr>
        <w:t xml:space="preserve"> arba 98</w:t>
      </w:r>
      <w:r w:rsidRPr="008E66BB">
        <w:rPr>
          <w:rFonts w:eastAsia="Calibri"/>
          <w:snapToGrid/>
          <w:szCs w:val="22"/>
        </w:rPr>
        <w:t xml:space="preserve"> tabletės lizdinėse plokštelėse. </w:t>
      </w:r>
    </w:p>
    <w:p w14:paraId="58E8DDA9"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788C6F56" w14:textId="179C73AF" w:rsidR="00250DCE" w:rsidRPr="007D0562" w:rsidRDefault="00250DCE" w:rsidP="00250DCE">
      <w:pPr>
        <w:tabs>
          <w:tab w:val="clear" w:pos="567"/>
        </w:tabs>
        <w:autoSpaceDE w:val="0"/>
        <w:autoSpaceDN w:val="0"/>
        <w:adjustRightInd w:val="0"/>
        <w:spacing w:line="240" w:lineRule="auto"/>
        <w:rPr>
          <w:rFonts w:eastAsia="Calibri"/>
          <w:highlight w:val="lightGray"/>
        </w:rPr>
      </w:pPr>
      <w:r w:rsidRPr="007D0562">
        <w:rPr>
          <w:rFonts w:eastAsia="Calibri"/>
          <w:highlight w:val="lightGray"/>
        </w:rPr>
        <w:t>Cinacalcet Teva 30</w:t>
      </w:r>
      <w:r w:rsidR="00533C11" w:rsidRPr="007D0562">
        <w:rPr>
          <w:rFonts w:eastAsia="Calibri"/>
          <w:highlight w:val="lightGray"/>
        </w:rPr>
        <w:t> </w:t>
      </w:r>
      <w:r w:rsidRPr="007D0562">
        <w:rPr>
          <w:rFonts w:eastAsia="Calibri"/>
          <w:highlight w:val="lightGray"/>
        </w:rPr>
        <w:t>mg, 60</w:t>
      </w:r>
      <w:r w:rsidR="00533C11" w:rsidRPr="007D0562">
        <w:rPr>
          <w:rFonts w:eastAsia="Calibri"/>
          <w:highlight w:val="lightGray"/>
        </w:rPr>
        <w:t> </w:t>
      </w:r>
      <w:r w:rsidRPr="007D0562">
        <w:rPr>
          <w:rFonts w:eastAsia="Calibri"/>
          <w:highlight w:val="lightGray"/>
        </w:rPr>
        <w:t>mg, 90</w:t>
      </w:r>
      <w:r w:rsidR="00533C11" w:rsidRPr="007D0562">
        <w:rPr>
          <w:rFonts w:eastAsia="Calibri"/>
          <w:highlight w:val="lightGray"/>
        </w:rPr>
        <w:t> </w:t>
      </w:r>
      <w:r w:rsidRPr="007D0562">
        <w:rPr>
          <w:rFonts w:eastAsia="Calibri"/>
          <w:highlight w:val="lightGray"/>
        </w:rPr>
        <w:t xml:space="preserve">mg plėvele dengtos tabletės taip pat tiekiamos </w:t>
      </w:r>
      <w:r w:rsidR="004A7F74">
        <w:rPr>
          <w:rFonts w:eastAsia="Calibri"/>
          <w:highlight w:val="lightGray"/>
        </w:rPr>
        <w:t>dalomosiose</w:t>
      </w:r>
      <w:r w:rsidR="004A7F74" w:rsidRPr="007D0562">
        <w:rPr>
          <w:rFonts w:eastAsia="Calibri"/>
          <w:highlight w:val="lightGray"/>
        </w:rPr>
        <w:t xml:space="preserve"> </w:t>
      </w:r>
      <w:r w:rsidRPr="007D0562">
        <w:rPr>
          <w:rFonts w:eastAsia="Calibri"/>
          <w:highlight w:val="lightGray"/>
        </w:rPr>
        <w:t xml:space="preserve">lizdinėse plokštelėse. </w:t>
      </w:r>
      <w:r w:rsidR="00533C11" w:rsidRPr="007D0562">
        <w:rPr>
          <w:rFonts w:eastAsia="Calibri"/>
          <w:highlight w:val="lightGray"/>
        </w:rPr>
        <w:t xml:space="preserve">Kiekvienoje </w:t>
      </w:r>
      <w:r w:rsidRPr="007D0562">
        <w:rPr>
          <w:rFonts w:eastAsia="Calibri"/>
          <w:highlight w:val="lightGray"/>
        </w:rPr>
        <w:t xml:space="preserve">kartoninėje dėžutėje </w:t>
      </w:r>
      <w:r w:rsidR="00533C11" w:rsidRPr="007D0562">
        <w:rPr>
          <w:rFonts w:eastAsia="Calibri"/>
          <w:highlight w:val="lightGray"/>
        </w:rPr>
        <w:t>yra</w:t>
      </w:r>
      <w:r w:rsidRPr="007D0562">
        <w:rPr>
          <w:rFonts w:eastAsia="Calibri"/>
          <w:highlight w:val="lightGray"/>
        </w:rPr>
        <w:t xml:space="preserve"> 14, 28, 30</w:t>
      </w:r>
      <w:r w:rsidR="007B25D8" w:rsidRPr="007D0562">
        <w:rPr>
          <w:rFonts w:eastAsia="Calibri"/>
          <w:snapToGrid/>
          <w:szCs w:val="22"/>
          <w:highlight w:val="lightGray"/>
        </w:rPr>
        <w:t xml:space="preserve">, </w:t>
      </w:r>
      <w:r w:rsidRPr="007D0562">
        <w:rPr>
          <w:rFonts w:eastAsia="Calibri"/>
          <w:snapToGrid/>
          <w:szCs w:val="22"/>
          <w:highlight w:val="lightGray"/>
        </w:rPr>
        <w:t>84</w:t>
      </w:r>
      <w:r w:rsidR="007B25D8" w:rsidRPr="007D0562">
        <w:rPr>
          <w:rFonts w:eastAsia="Calibri"/>
          <w:snapToGrid/>
          <w:szCs w:val="22"/>
          <w:highlight w:val="lightGray"/>
        </w:rPr>
        <w:t xml:space="preserve">, </w:t>
      </w:r>
      <w:r w:rsidR="007B25D8" w:rsidRPr="007D0562">
        <w:rPr>
          <w:rFonts w:eastAsia="Calibri"/>
          <w:highlight w:val="lightGray"/>
        </w:rPr>
        <w:t xml:space="preserve">arba </w:t>
      </w:r>
      <w:r w:rsidR="007B25D8" w:rsidRPr="007D0562">
        <w:rPr>
          <w:rFonts w:eastAsia="Calibri"/>
          <w:snapToGrid/>
          <w:szCs w:val="22"/>
          <w:highlight w:val="lightGray"/>
        </w:rPr>
        <w:t>98</w:t>
      </w:r>
      <w:r w:rsidRPr="007D0562">
        <w:rPr>
          <w:rFonts w:eastAsia="Calibri"/>
          <w:highlight w:val="lightGray"/>
        </w:rPr>
        <w:t xml:space="preserve"> tabletės </w:t>
      </w:r>
      <w:r w:rsidR="004A7F74">
        <w:rPr>
          <w:rFonts w:eastAsia="Calibri"/>
          <w:highlight w:val="lightGray"/>
        </w:rPr>
        <w:t>dalomosiose</w:t>
      </w:r>
      <w:r w:rsidR="004A7F74" w:rsidRPr="007D0562">
        <w:rPr>
          <w:rFonts w:eastAsia="Calibri"/>
          <w:highlight w:val="lightGray"/>
        </w:rPr>
        <w:t xml:space="preserve"> </w:t>
      </w:r>
      <w:r w:rsidRPr="007D0562">
        <w:rPr>
          <w:rFonts w:eastAsia="Calibri"/>
          <w:highlight w:val="lightGray"/>
        </w:rPr>
        <w:t xml:space="preserve">lizdinėse plokštelėse. </w:t>
      </w:r>
    </w:p>
    <w:p w14:paraId="3E98395E" w14:textId="77777777" w:rsidR="00250DCE" w:rsidRPr="007D0562" w:rsidRDefault="00250DCE" w:rsidP="00250DCE">
      <w:pPr>
        <w:tabs>
          <w:tab w:val="clear" w:pos="567"/>
        </w:tabs>
        <w:autoSpaceDE w:val="0"/>
        <w:autoSpaceDN w:val="0"/>
        <w:adjustRightInd w:val="0"/>
        <w:spacing w:line="240" w:lineRule="auto"/>
        <w:rPr>
          <w:rFonts w:eastAsia="Calibri"/>
          <w:highlight w:val="lightGray"/>
        </w:rPr>
      </w:pPr>
    </w:p>
    <w:p w14:paraId="70DDA030"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7D0562">
        <w:rPr>
          <w:rFonts w:eastAsia="Calibri"/>
          <w:highlight w:val="lightGray"/>
        </w:rPr>
        <w:t>Cinacalcet Teva 30</w:t>
      </w:r>
      <w:r w:rsidR="00533C11" w:rsidRPr="007D0562">
        <w:rPr>
          <w:rFonts w:eastAsia="Calibri"/>
          <w:highlight w:val="lightGray"/>
        </w:rPr>
        <w:t> </w:t>
      </w:r>
      <w:r w:rsidRPr="007D0562">
        <w:rPr>
          <w:rFonts w:eastAsia="Calibri"/>
          <w:highlight w:val="lightGray"/>
        </w:rPr>
        <w:t>mg, 60</w:t>
      </w:r>
      <w:r w:rsidR="00533C11" w:rsidRPr="007D0562">
        <w:rPr>
          <w:rFonts w:eastAsia="Calibri"/>
          <w:highlight w:val="lightGray"/>
        </w:rPr>
        <w:t> </w:t>
      </w:r>
      <w:r w:rsidRPr="007D0562">
        <w:rPr>
          <w:rFonts w:eastAsia="Calibri"/>
          <w:highlight w:val="lightGray"/>
        </w:rPr>
        <w:t>mg, 90</w:t>
      </w:r>
      <w:r w:rsidR="00533C11" w:rsidRPr="007D0562">
        <w:rPr>
          <w:rFonts w:eastAsia="Calibri"/>
          <w:highlight w:val="lightGray"/>
        </w:rPr>
        <w:t> </w:t>
      </w:r>
      <w:r w:rsidRPr="007D0562">
        <w:rPr>
          <w:rFonts w:eastAsia="Calibri"/>
          <w:highlight w:val="lightGray"/>
        </w:rPr>
        <w:t xml:space="preserve">mg plėvele dengtos tabletės tiekiamos buteliukuose, įdėtuose į kartoninę dėžutę. Kiekviename buteliuke yra 30 tablečių. Buteliukai gali būti su arba be </w:t>
      </w:r>
      <w:r w:rsidR="00533C11" w:rsidRPr="007D0562">
        <w:rPr>
          <w:rFonts w:eastAsia="Calibri"/>
          <w:highlight w:val="lightGray"/>
        </w:rPr>
        <w:t>silika</w:t>
      </w:r>
      <w:r w:rsidRPr="007D0562">
        <w:rPr>
          <w:rFonts w:eastAsia="Calibri"/>
          <w:highlight w:val="lightGray"/>
        </w:rPr>
        <w:t>gelio sausiklio. Sausiklio negalima valgyti.</w:t>
      </w:r>
      <w:r w:rsidRPr="008E66BB">
        <w:rPr>
          <w:rFonts w:eastAsia="Calibri"/>
          <w:snapToGrid/>
          <w:szCs w:val="22"/>
        </w:rPr>
        <w:t xml:space="preserve"> </w:t>
      </w:r>
    </w:p>
    <w:p w14:paraId="015757DD"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0ED267AB"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Gali būti tiekiamos ne visų dydžių pakuotės.</w:t>
      </w:r>
    </w:p>
    <w:p w14:paraId="38DFCF4F"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7D20D3EA"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Registruotojas ir gamintojas</w:t>
      </w:r>
    </w:p>
    <w:p w14:paraId="6F6EA1CE"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p>
    <w:p w14:paraId="024247F6" w14:textId="77777777" w:rsidR="00250DCE" w:rsidRPr="008E66BB" w:rsidRDefault="00250DCE" w:rsidP="00250DCE">
      <w:pPr>
        <w:tabs>
          <w:tab w:val="clear" w:pos="567"/>
        </w:tabs>
        <w:autoSpaceDE w:val="0"/>
        <w:autoSpaceDN w:val="0"/>
        <w:adjustRightInd w:val="0"/>
        <w:spacing w:line="240" w:lineRule="auto"/>
        <w:rPr>
          <w:rFonts w:eastAsia="Calibri"/>
          <w:i/>
          <w:snapToGrid/>
          <w:szCs w:val="22"/>
        </w:rPr>
      </w:pPr>
      <w:r w:rsidRPr="008E66BB">
        <w:rPr>
          <w:rFonts w:eastAsia="Calibri"/>
          <w:i/>
          <w:snapToGrid/>
          <w:szCs w:val="22"/>
        </w:rPr>
        <w:t>Registruotojas</w:t>
      </w:r>
    </w:p>
    <w:p w14:paraId="43CF600A"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Teva B.V.</w:t>
      </w:r>
    </w:p>
    <w:p w14:paraId="05A437E8"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Swensweg 5</w:t>
      </w:r>
    </w:p>
    <w:p w14:paraId="0801625A"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2031 GA Haarlem</w:t>
      </w:r>
    </w:p>
    <w:p w14:paraId="3826CA79"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Nyderlandai</w:t>
      </w:r>
    </w:p>
    <w:p w14:paraId="43324B24"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7B796CFB" w14:textId="77777777" w:rsidR="00250DCE" w:rsidRPr="008E66BB" w:rsidRDefault="00250DCE" w:rsidP="00250DCE">
      <w:pPr>
        <w:tabs>
          <w:tab w:val="clear" w:pos="567"/>
        </w:tabs>
        <w:autoSpaceDE w:val="0"/>
        <w:autoSpaceDN w:val="0"/>
        <w:adjustRightInd w:val="0"/>
        <w:spacing w:line="240" w:lineRule="auto"/>
        <w:rPr>
          <w:rFonts w:eastAsia="Calibri"/>
          <w:i/>
          <w:snapToGrid/>
          <w:szCs w:val="22"/>
        </w:rPr>
      </w:pPr>
      <w:r w:rsidRPr="008E66BB">
        <w:rPr>
          <w:rFonts w:eastAsia="Calibri"/>
          <w:i/>
          <w:snapToGrid/>
          <w:szCs w:val="22"/>
        </w:rPr>
        <w:t>Gamintojai</w:t>
      </w:r>
    </w:p>
    <w:p w14:paraId="7C56CF44" w14:textId="77777777" w:rsidR="00EA7BA0" w:rsidRPr="008E66BB" w:rsidRDefault="00EA7BA0" w:rsidP="00EA7BA0">
      <w:pPr>
        <w:rPr>
          <w:rFonts w:eastAsia="Calibri"/>
          <w:snapToGrid/>
          <w:szCs w:val="22"/>
        </w:rPr>
      </w:pPr>
      <w:r w:rsidRPr="008E66BB">
        <w:rPr>
          <w:rFonts w:eastAsia="Calibri"/>
          <w:snapToGrid/>
          <w:szCs w:val="22"/>
        </w:rPr>
        <w:t>Teva Operations Poland Sp. z.o.o</w:t>
      </w:r>
    </w:p>
    <w:p w14:paraId="295A6E19" w14:textId="77777777" w:rsidR="00EA7BA0" w:rsidRPr="008E66BB" w:rsidRDefault="00EA7BA0" w:rsidP="00EA7BA0">
      <w:pPr>
        <w:rPr>
          <w:rFonts w:eastAsia="Calibri"/>
          <w:snapToGrid/>
          <w:szCs w:val="22"/>
        </w:rPr>
      </w:pPr>
      <w:r w:rsidRPr="008E66BB">
        <w:rPr>
          <w:rFonts w:eastAsia="Calibri"/>
          <w:snapToGrid/>
          <w:szCs w:val="22"/>
        </w:rPr>
        <w:t>ul. Mogilska 80</w:t>
      </w:r>
    </w:p>
    <w:p w14:paraId="0D3E7B71" w14:textId="77777777" w:rsidR="00EA7BA0" w:rsidRPr="008E66BB" w:rsidRDefault="00EA7BA0" w:rsidP="00EA7BA0">
      <w:pPr>
        <w:rPr>
          <w:rFonts w:eastAsia="Calibri"/>
          <w:snapToGrid/>
          <w:szCs w:val="22"/>
        </w:rPr>
      </w:pPr>
      <w:r w:rsidRPr="008E66BB">
        <w:rPr>
          <w:rFonts w:eastAsia="Calibri"/>
          <w:snapToGrid/>
          <w:szCs w:val="22"/>
        </w:rPr>
        <w:t>31-546 Krakow</w:t>
      </w:r>
    </w:p>
    <w:p w14:paraId="31126708" w14:textId="77777777" w:rsidR="00EA7BA0" w:rsidRPr="008E66BB" w:rsidRDefault="00EA7BA0" w:rsidP="00EA7BA0">
      <w:pPr>
        <w:rPr>
          <w:rFonts w:eastAsia="Calibri"/>
          <w:snapToGrid/>
          <w:szCs w:val="22"/>
        </w:rPr>
      </w:pPr>
      <w:r w:rsidRPr="008E66BB">
        <w:rPr>
          <w:rFonts w:eastAsia="Calibri"/>
          <w:snapToGrid/>
          <w:szCs w:val="22"/>
        </w:rPr>
        <w:t>Lenkija</w:t>
      </w:r>
    </w:p>
    <w:p w14:paraId="2A07749A" w14:textId="77777777" w:rsidR="00EA7BA0" w:rsidRPr="008E66BB" w:rsidRDefault="00EA7BA0" w:rsidP="00EA7BA0">
      <w:pPr>
        <w:rPr>
          <w:rFonts w:eastAsia="Calibri"/>
          <w:snapToGrid/>
          <w:szCs w:val="22"/>
        </w:rPr>
      </w:pPr>
    </w:p>
    <w:p w14:paraId="7B10F17D" w14:textId="77777777" w:rsidR="00EA7BA0" w:rsidRPr="008E66BB" w:rsidRDefault="00EA7BA0" w:rsidP="00EA7BA0">
      <w:pPr>
        <w:rPr>
          <w:rFonts w:eastAsia="Calibri"/>
          <w:snapToGrid/>
          <w:szCs w:val="22"/>
        </w:rPr>
      </w:pPr>
      <w:r w:rsidRPr="008E66BB">
        <w:rPr>
          <w:rFonts w:eastAsia="Calibri"/>
          <w:snapToGrid/>
          <w:szCs w:val="22"/>
        </w:rPr>
        <w:t>arba</w:t>
      </w:r>
    </w:p>
    <w:p w14:paraId="540D356E" w14:textId="77777777" w:rsidR="00EA7BA0" w:rsidRPr="008E66BB" w:rsidRDefault="00EA7BA0" w:rsidP="00EA7BA0">
      <w:pPr>
        <w:rPr>
          <w:rFonts w:eastAsia="Calibri"/>
          <w:snapToGrid/>
          <w:szCs w:val="22"/>
        </w:rPr>
      </w:pPr>
    </w:p>
    <w:p w14:paraId="19C7A1E4" w14:textId="77777777" w:rsidR="00EA7BA0" w:rsidRPr="008E66BB" w:rsidRDefault="00EA7BA0" w:rsidP="00EA7BA0">
      <w:pPr>
        <w:rPr>
          <w:rFonts w:eastAsia="Calibri"/>
          <w:snapToGrid/>
          <w:szCs w:val="22"/>
        </w:rPr>
      </w:pPr>
      <w:r w:rsidRPr="008E66BB">
        <w:rPr>
          <w:rFonts w:eastAsia="Calibri"/>
          <w:snapToGrid/>
          <w:szCs w:val="22"/>
        </w:rPr>
        <w:t>Teva Pharma B.V.</w:t>
      </w:r>
    </w:p>
    <w:p w14:paraId="1A9A7502" w14:textId="77777777" w:rsidR="00EA7BA0" w:rsidRPr="008E66BB" w:rsidRDefault="00EA7BA0" w:rsidP="00EA7BA0">
      <w:pPr>
        <w:rPr>
          <w:rFonts w:eastAsia="Calibri"/>
          <w:snapToGrid/>
          <w:szCs w:val="22"/>
        </w:rPr>
      </w:pPr>
      <w:r w:rsidRPr="008E66BB">
        <w:rPr>
          <w:rFonts w:eastAsia="Calibri"/>
          <w:snapToGrid/>
          <w:szCs w:val="22"/>
        </w:rPr>
        <w:t>Swensweg 5</w:t>
      </w:r>
    </w:p>
    <w:p w14:paraId="328784A6" w14:textId="77777777" w:rsidR="00EA7BA0" w:rsidRPr="008E66BB" w:rsidRDefault="00EA7BA0" w:rsidP="00EA7BA0">
      <w:pPr>
        <w:rPr>
          <w:rFonts w:eastAsia="Calibri"/>
          <w:snapToGrid/>
          <w:szCs w:val="22"/>
        </w:rPr>
      </w:pPr>
      <w:r w:rsidRPr="008E66BB">
        <w:rPr>
          <w:rFonts w:eastAsia="Calibri"/>
          <w:snapToGrid/>
          <w:szCs w:val="22"/>
        </w:rPr>
        <w:t>2031 GA Haarlem</w:t>
      </w:r>
    </w:p>
    <w:p w14:paraId="13F8B39E" w14:textId="77777777" w:rsidR="00EA7BA0" w:rsidRPr="008E66BB" w:rsidRDefault="00EA7BA0" w:rsidP="00EA7BA0">
      <w:pPr>
        <w:rPr>
          <w:rFonts w:eastAsia="Calibri"/>
          <w:snapToGrid/>
          <w:szCs w:val="22"/>
        </w:rPr>
      </w:pPr>
      <w:r w:rsidRPr="008E66BB">
        <w:rPr>
          <w:rFonts w:eastAsia="Calibri"/>
          <w:snapToGrid/>
          <w:szCs w:val="22"/>
        </w:rPr>
        <w:t>Nyderlandai</w:t>
      </w:r>
    </w:p>
    <w:p w14:paraId="470F69AC" w14:textId="77777777" w:rsidR="00EA7BA0" w:rsidRPr="008E66BB" w:rsidRDefault="00EA7BA0" w:rsidP="001E4838">
      <w:pPr>
        <w:rPr>
          <w:rFonts w:eastAsia="Calibri"/>
          <w:snapToGrid/>
          <w:szCs w:val="22"/>
        </w:rPr>
      </w:pPr>
    </w:p>
    <w:p w14:paraId="3555CAF2" w14:textId="77777777" w:rsidR="00EA7BA0" w:rsidRPr="008E66BB" w:rsidRDefault="00EA7BA0" w:rsidP="001E4838">
      <w:pPr>
        <w:rPr>
          <w:rFonts w:eastAsia="Calibri"/>
          <w:snapToGrid/>
          <w:szCs w:val="22"/>
        </w:rPr>
      </w:pPr>
      <w:r w:rsidRPr="008E66BB">
        <w:rPr>
          <w:rFonts w:eastAsia="Calibri"/>
          <w:snapToGrid/>
          <w:szCs w:val="22"/>
        </w:rPr>
        <w:t>arba</w:t>
      </w:r>
    </w:p>
    <w:p w14:paraId="37576920" w14:textId="77777777" w:rsidR="00EA7BA0" w:rsidRPr="008E66BB" w:rsidRDefault="00EA7BA0" w:rsidP="001E4838">
      <w:pPr>
        <w:rPr>
          <w:rFonts w:eastAsia="Calibri"/>
          <w:snapToGrid/>
          <w:szCs w:val="22"/>
        </w:rPr>
      </w:pPr>
    </w:p>
    <w:p w14:paraId="2F68C7D8" w14:textId="77777777" w:rsidR="001E4838" w:rsidRPr="008E66BB" w:rsidRDefault="001E4838" w:rsidP="001E4838">
      <w:pPr>
        <w:rPr>
          <w:rFonts w:eastAsia="Calibri"/>
          <w:snapToGrid/>
          <w:szCs w:val="22"/>
        </w:rPr>
      </w:pPr>
      <w:r w:rsidRPr="008E66BB">
        <w:rPr>
          <w:rFonts w:eastAsia="Calibri"/>
          <w:snapToGrid/>
          <w:szCs w:val="22"/>
        </w:rPr>
        <w:t>PLIVA Hrvatska d.o.o. (PLIVA Croatia Ltd.)</w:t>
      </w:r>
    </w:p>
    <w:p w14:paraId="61C76D6D" w14:textId="77777777" w:rsidR="001E4838" w:rsidRPr="008E66BB" w:rsidRDefault="001E4838" w:rsidP="001E4838">
      <w:pPr>
        <w:rPr>
          <w:rFonts w:eastAsia="Calibri"/>
          <w:snapToGrid/>
          <w:szCs w:val="22"/>
        </w:rPr>
      </w:pPr>
      <w:r w:rsidRPr="008E66BB">
        <w:rPr>
          <w:rFonts w:eastAsia="Calibri"/>
          <w:snapToGrid/>
          <w:szCs w:val="22"/>
        </w:rPr>
        <w:t>Prilaz baruna Filipovica 25</w:t>
      </w:r>
    </w:p>
    <w:p w14:paraId="3ABDE523" w14:textId="77777777" w:rsidR="001E4838" w:rsidRPr="008E66BB" w:rsidRDefault="001E4838" w:rsidP="001E4838">
      <w:pPr>
        <w:rPr>
          <w:rFonts w:eastAsia="Calibri"/>
          <w:snapToGrid/>
          <w:szCs w:val="22"/>
        </w:rPr>
      </w:pPr>
      <w:r w:rsidRPr="008E66BB">
        <w:rPr>
          <w:rFonts w:eastAsia="Calibri"/>
          <w:snapToGrid/>
          <w:szCs w:val="22"/>
        </w:rPr>
        <w:t>Zagreb 10000</w:t>
      </w:r>
    </w:p>
    <w:p w14:paraId="220C30D4" w14:textId="77777777" w:rsidR="001E4838" w:rsidRPr="008E66BB" w:rsidRDefault="001E4838" w:rsidP="001E4838">
      <w:pPr>
        <w:rPr>
          <w:rFonts w:eastAsia="Calibri"/>
          <w:snapToGrid/>
          <w:szCs w:val="22"/>
        </w:rPr>
      </w:pPr>
      <w:r w:rsidRPr="008E66BB">
        <w:rPr>
          <w:rFonts w:eastAsia="Calibri"/>
          <w:snapToGrid/>
          <w:szCs w:val="22"/>
        </w:rPr>
        <w:t>Kroatija</w:t>
      </w:r>
    </w:p>
    <w:p w14:paraId="48BA08EF" w14:textId="77777777" w:rsidR="001E4838" w:rsidRPr="008E66BB" w:rsidRDefault="001E4838" w:rsidP="001E4838">
      <w:pPr>
        <w:rPr>
          <w:rFonts w:eastAsia="Calibri"/>
          <w:snapToGrid/>
          <w:szCs w:val="22"/>
        </w:rPr>
      </w:pPr>
    </w:p>
    <w:p w14:paraId="23F5A373" w14:textId="77777777" w:rsidR="00EA7BA0" w:rsidRPr="008E66BB" w:rsidRDefault="00EA7BA0" w:rsidP="001E4838">
      <w:pPr>
        <w:rPr>
          <w:rFonts w:eastAsia="Calibri"/>
          <w:snapToGrid/>
          <w:szCs w:val="22"/>
        </w:rPr>
      </w:pPr>
      <w:r w:rsidRPr="008E66BB">
        <w:rPr>
          <w:rFonts w:eastAsia="Calibri"/>
          <w:snapToGrid/>
          <w:szCs w:val="22"/>
        </w:rPr>
        <w:t>arba</w:t>
      </w:r>
    </w:p>
    <w:p w14:paraId="218C3876" w14:textId="77777777" w:rsidR="00EA7BA0" w:rsidRPr="008E66BB" w:rsidRDefault="00EA7BA0" w:rsidP="001E4838">
      <w:pPr>
        <w:rPr>
          <w:rFonts w:eastAsia="Calibri"/>
          <w:snapToGrid/>
          <w:szCs w:val="22"/>
        </w:rPr>
      </w:pPr>
    </w:p>
    <w:p w14:paraId="1B5EDDDD" w14:textId="77777777" w:rsidR="001E4838" w:rsidRPr="008E66BB" w:rsidRDefault="001E4838" w:rsidP="001E4838">
      <w:pPr>
        <w:autoSpaceDE w:val="0"/>
        <w:autoSpaceDN w:val="0"/>
        <w:rPr>
          <w:rFonts w:eastAsia="Calibri"/>
          <w:snapToGrid/>
          <w:szCs w:val="22"/>
        </w:rPr>
      </w:pPr>
      <w:r w:rsidRPr="008E66BB">
        <w:rPr>
          <w:rFonts w:eastAsia="Calibri"/>
          <w:snapToGrid/>
          <w:szCs w:val="22"/>
        </w:rPr>
        <w:t>Merckle GmbH</w:t>
      </w:r>
    </w:p>
    <w:p w14:paraId="21721658" w14:textId="77777777" w:rsidR="001E4838" w:rsidRPr="008E66BB" w:rsidRDefault="001E4838" w:rsidP="001E4838">
      <w:pPr>
        <w:autoSpaceDE w:val="0"/>
        <w:autoSpaceDN w:val="0"/>
        <w:rPr>
          <w:rFonts w:eastAsia="Calibri"/>
          <w:snapToGrid/>
          <w:szCs w:val="22"/>
        </w:rPr>
      </w:pPr>
      <w:r w:rsidRPr="008E66BB">
        <w:rPr>
          <w:rFonts w:eastAsia="Calibri"/>
          <w:snapToGrid/>
          <w:szCs w:val="22"/>
        </w:rPr>
        <w:t>Ludwig-Merckle-Straße 3</w:t>
      </w:r>
    </w:p>
    <w:p w14:paraId="30CFE425" w14:textId="77777777" w:rsidR="001E4838" w:rsidRPr="008E66BB" w:rsidRDefault="001E4838" w:rsidP="001E4838">
      <w:pPr>
        <w:autoSpaceDE w:val="0"/>
        <w:autoSpaceDN w:val="0"/>
        <w:rPr>
          <w:rFonts w:eastAsia="Calibri"/>
          <w:snapToGrid/>
          <w:szCs w:val="22"/>
        </w:rPr>
      </w:pPr>
      <w:r w:rsidRPr="008E66BB">
        <w:rPr>
          <w:rFonts w:eastAsia="Calibri"/>
          <w:snapToGrid/>
          <w:szCs w:val="22"/>
        </w:rPr>
        <w:t>Blaubeuren 89143</w:t>
      </w:r>
    </w:p>
    <w:p w14:paraId="32701F6E" w14:textId="77777777" w:rsidR="001E4838" w:rsidRPr="008E66BB" w:rsidRDefault="001E4838" w:rsidP="001E4838">
      <w:pPr>
        <w:rPr>
          <w:rFonts w:eastAsia="Calibri"/>
          <w:snapToGrid/>
          <w:szCs w:val="22"/>
        </w:rPr>
      </w:pPr>
      <w:r w:rsidRPr="008E66BB">
        <w:rPr>
          <w:rFonts w:eastAsia="Calibri"/>
          <w:snapToGrid/>
          <w:szCs w:val="22"/>
        </w:rPr>
        <w:t>Vokietija</w:t>
      </w:r>
    </w:p>
    <w:p w14:paraId="12729D73" w14:textId="77777777" w:rsidR="001E4838" w:rsidRPr="001E4838" w:rsidRDefault="001E4838" w:rsidP="001E4838">
      <w:pPr>
        <w:numPr>
          <w:ilvl w:val="12"/>
          <w:numId w:val="0"/>
        </w:numPr>
        <w:tabs>
          <w:tab w:val="clear" w:pos="567"/>
        </w:tabs>
        <w:spacing w:line="240" w:lineRule="auto"/>
        <w:ind w:right="-2"/>
        <w:rPr>
          <w:szCs w:val="24"/>
        </w:rPr>
      </w:pPr>
    </w:p>
    <w:p w14:paraId="520EFA20" w14:textId="77777777" w:rsidR="001E4838" w:rsidRPr="001E4838" w:rsidRDefault="001E4838" w:rsidP="001E4838">
      <w:pPr>
        <w:numPr>
          <w:ilvl w:val="12"/>
          <w:numId w:val="0"/>
        </w:numPr>
        <w:spacing w:line="240" w:lineRule="auto"/>
        <w:ind w:right="-2"/>
        <w:rPr>
          <w:noProof/>
          <w:szCs w:val="24"/>
        </w:rPr>
      </w:pPr>
      <w:r w:rsidRPr="001E4838">
        <w:rPr>
          <w:noProof/>
          <w:szCs w:val="24"/>
        </w:rPr>
        <w:t>Jeigu apie šį vaistą norite sužinoti daugiau, kreipkitės į vietinį registruotojo atstovą.</w:t>
      </w:r>
    </w:p>
    <w:p w14:paraId="239E840E" w14:textId="680EB65F" w:rsidR="00777D09" w:rsidRPr="00777D09" w:rsidRDefault="00777D09" w:rsidP="00777D09">
      <w:pPr>
        <w:widowControl w:val="0"/>
        <w:tabs>
          <w:tab w:val="clear" w:pos="567"/>
        </w:tabs>
        <w:spacing w:line="240" w:lineRule="auto"/>
        <w:rPr>
          <w:snapToGrid/>
          <w:szCs w:val="22"/>
          <w:lang w:eastAsia="lt-LT"/>
        </w:rPr>
      </w:pPr>
      <w:r w:rsidRPr="00777D09">
        <w:rPr>
          <w:snapToGrid/>
          <w:szCs w:val="22"/>
          <w:lang w:eastAsia="lt-LT"/>
        </w:rPr>
        <w:t xml:space="preserve">UAB </w:t>
      </w:r>
      <w:r w:rsidR="00B13257">
        <w:rPr>
          <w:snapToGrid/>
          <w:szCs w:val="22"/>
          <w:lang w:eastAsia="lt-LT"/>
        </w:rPr>
        <w:t>Teva Baltics</w:t>
      </w:r>
    </w:p>
    <w:p w14:paraId="133CCC2E" w14:textId="77777777" w:rsidR="00777D09" w:rsidRPr="00777D09" w:rsidRDefault="00777D09" w:rsidP="00777D09">
      <w:pPr>
        <w:widowControl w:val="0"/>
        <w:tabs>
          <w:tab w:val="clear" w:pos="567"/>
        </w:tabs>
        <w:spacing w:line="240" w:lineRule="auto"/>
        <w:rPr>
          <w:snapToGrid/>
          <w:szCs w:val="22"/>
          <w:lang w:eastAsia="lt-LT"/>
        </w:rPr>
      </w:pPr>
      <w:r w:rsidRPr="00777D09">
        <w:rPr>
          <w:snapToGrid/>
          <w:szCs w:val="22"/>
          <w:lang w:eastAsia="lt-LT"/>
        </w:rPr>
        <w:t>Molėtų pl. 5,</w:t>
      </w:r>
    </w:p>
    <w:p w14:paraId="1E71B1F1" w14:textId="77777777" w:rsidR="00777D09" w:rsidRPr="00777D09" w:rsidRDefault="00777D09" w:rsidP="00777D09">
      <w:pPr>
        <w:widowControl w:val="0"/>
        <w:tabs>
          <w:tab w:val="clear" w:pos="567"/>
        </w:tabs>
        <w:spacing w:line="240" w:lineRule="auto"/>
        <w:rPr>
          <w:snapToGrid/>
          <w:szCs w:val="22"/>
          <w:lang w:eastAsia="lt-LT"/>
        </w:rPr>
      </w:pPr>
      <w:r w:rsidRPr="00777D09">
        <w:rPr>
          <w:snapToGrid/>
          <w:szCs w:val="22"/>
          <w:lang w:eastAsia="lt-LT"/>
        </w:rPr>
        <w:t>LT-08409 Vilnius</w:t>
      </w:r>
    </w:p>
    <w:p w14:paraId="0AC42AFE" w14:textId="77777777" w:rsidR="00777D09" w:rsidRPr="00777D09" w:rsidRDefault="00777D09" w:rsidP="00777D09">
      <w:pPr>
        <w:widowControl w:val="0"/>
        <w:tabs>
          <w:tab w:val="clear" w:pos="567"/>
        </w:tabs>
        <w:spacing w:line="240" w:lineRule="auto"/>
        <w:rPr>
          <w:snapToGrid/>
          <w:szCs w:val="22"/>
          <w:lang w:eastAsia="lt-LT"/>
        </w:rPr>
      </w:pPr>
      <w:r w:rsidRPr="00777D09">
        <w:rPr>
          <w:snapToGrid/>
          <w:szCs w:val="22"/>
          <w:lang w:eastAsia="lt-LT"/>
        </w:rPr>
        <w:t>Tel. +370 5 266 02 03</w:t>
      </w:r>
    </w:p>
    <w:p w14:paraId="22B20DD8" w14:textId="77777777" w:rsidR="001E4838" w:rsidRPr="001E4838" w:rsidRDefault="001E4838" w:rsidP="001E4838">
      <w:pPr>
        <w:spacing w:line="240" w:lineRule="auto"/>
        <w:rPr>
          <w:noProof/>
          <w:szCs w:val="24"/>
        </w:rPr>
      </w:pPr>
    </w:p>
    <w:p w14:paraId="23C9DA75"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Šis vaistas EEE valstybėse narėse registruotas tokiais pavadinimais:</w:t>
      </w:r>
    </w:p>
    <w:p w14:paraId="11CE7CD2" w14:textId="77777777" w:rsidR="00250DCE" w:rsidRPr="008E66BB" w:rsidRDefault="00250DCE" w:rsidP="00250DCE">
      <w:pPr>
        <w:tabs>
          <w:tab w:val="clear" w:pos="567"/>
        </w:tabs>
        <w:spacing w:line="240" w:lineRule="auto"/>
        <w:rPr>
          <w:rFonts w:eastAsia="Calibri"/>
          <w:b/>
          <w:noProof/>
          <w:snapToGrid/>
          <w:szCs w:val="22"/>
        </w:rPr>
      </w:pPr>
    </w:p>
    <w:p w14:paraId="39972E40" w14:textId="01B542EB" w:rsidR="00250DCE" w:rsidRPr="008E66BB" w:rsidRDefault="00250DCE" w:rsidP="00250DCE">
      <w:pPr>
        <w:tabs>
          <w:tab w:val="clear" w:pos="567"/>
        </w:tabs>
        <w:spacing w:line="240" w:lineRule="auto"/>
        <w:rPr>
          <w:rFonts w:eastAsia="Calibri"/>
          <w:noProof/>
          <w:snapToGrid/>
          <w:szCs w:val="22"/>
        </w:rPr>
      </w:pPr>
      <w:r w:rsidRPr="008E66BB">
        <w:rPr>
          <w:rFonts w:eastAsia="Calibri"/>
          <w:b/>
          <w:noProof/>
          <w:snapToGrid/>
          <w:szCs w:val="22"/>
        </w:rPr>
        <w:t>Austrija:</w:t>
      </w:r>
      <w:r w:rsidRPr="008E66BB">
        <w:rPr>
          <w:rFonts w:eastAsia="Calibri"/>
          <w:noProof/>
          <w:snapToGrid/>
          <w:szCs w:val="22"/>
        </w:rPr>
        <w:t xml:space="preserve"> Cinacalcet ratiopharm 30 mg Filmtabletten, Cinacalcet ratiopharm 60 mg Filmtabletten, Cinacalcet ratiopharm 90 mg Filmtabletten</w:t>
      </w:r>
      <w:r w:rsidR="001E4838" w:rsidRPr="008E66BB">
        <w:rPr>
          <w:rFonts w:eastAsia="Calibri"/>
          <w:b/>
          <w:noProof/>
          <w:snapToGrid/>
          <w:szCs w:val="22"/>
        </w:rPr>
        <w:t xml:space="preserve">; </w:t>
      </w:r>
      <w:r w:rsidRPr="008E66BB">
        <w:rPr>
          <w:rFonts w:eastAsia="Calibri"/>
          <w:b/>
          <w:noProof/>
          <w:snapToGrid/>
          <w:szCs w:val="22"/>
        </w:rPr>
        <w:t>Bulgarija:</w:t>
      </w:r>
      <w:r w:rsidRPr="008E66BB">
        <w:rPr>
          <w:rFonts w:eastAsia="Calibri"/>
          <w:snapToGrid/>
          <w:szCs w:val="22"/>
        </w:rPr>
        <w:t xml:space="preserve"> </w:t>
      </w:r>
      <w:r w:rsidRPr="008E66BB">
        <w:rPr>
          <w:rFonts w:eastAsia="Calibri"/>
          <w:noProof/>
          <w:snapToGrid/>
          <w:szCs w:val="22"/>
        </w:rPr>
        <w:t>Cinacalcet Teva 30 mg film-coated tablets</w:t>
      </w:r>
      <w:r w:rsidR="001E4838" w:rsidRPr="008E66BB">
        <w:rPr>
          <w:rFonts w:eastAsia="Calibri"/>
          <w:b/>
          <w:noProof/>
          <w:snapToGrid/>
          <w:szCs w:val="22"/>
        </w:rPr>
        <w:t xml:space="preserve">; </w:t>
      </w:r>
      <w:r w:rsidRPr="008E66BB">
        <w:rPr>
          <w:rFonts w:eastAsia="Calibri"/>
          <w:b/>
          <w:noProof/>
          <w:snapToGrid/>
          <w:szCs w:val="22"/>
        </w:rPr>
        <w:t>Danija:</w:t>
      </w:r>
      <w:r w:rsidRPr="008E66BB">
        <w:rPr>
          <w:rFonts w:eastAsia="Calibri"/>
          <w:noProof/>
          <w:snapToGrid/>
          <w:szCs w:val="22"/>
        </w:rPr>
        <w:t xml:space="preserve"> Cinacalcet Teva</w:t>
      </w:r>
      <w:r w:rsidR="001E4838" w:rsidRPr="008E66BB">
        <w:rPr>
          <w:rFonts w:eastAsia="Calibri"/>
          <w:b/>
          <w:noProof/>
          <w:snapToGrid/>
          <w:szCs w:val="22"/>
        </w:rPr>
        <w:t xml:space="preserve">; </w:t>
      </w:r>
      <w:r w:rsidRPr="008E66BB">
        <w:rPr>
          <w:rFonts w:eastAsia="Calibri"/>
          <w:b/>
          <w:noProof/>
          <w:snapToGrid/>
          <w:szCs w:val="22"/>
        </w:rPr>
        <w:t>Estija:</w:t>
      </w:r>
      <w:r w:rsidRPr="008E66BB">
        <w:rPr>
          <w:rFonts w:eastAsia="Calibri"/>
          <w:snapToGrid/>
          <w:szCs w:val="22"/>
        </w:rPr>
        <w:t xml:space="preserve"> Cinacalcet Teva</w:t>
      </w:r>
      <w:r w:rsidR="001E4838" w:rsidRPr="008E66BB">
        <w:rPr>
          <w:rFonts w:eastAsia="Calibri"/>
          <w:snapToGrid/>
          <w:szCs w:val="22"/>
        </w:rPr>
        <w:t>;</w:t>
      </w:r>
      <w:r w:rsidR="00385C79">
        <w:rPr>
          <w:rFonts w:eastAsia="Calibri"/>
          <w:snapToGrid/>
          <w:szCs w:val="22"/>
        </w:rPr>
        <w:t xml:space="preserve"> </w:t>
      </w:r>
      <w:r w:rsidRPr="008E66BB">
        <w:rPr>
          <w:rFonts w:eastAsia="Calibri"/>
          <w:b/>
          <w:noProof/>
          <w:snapToGrid/>
          <w:szCs w:val="22"/>
        </w:rPr>
        <w:t>Prancūzija:</w:t>
      </w:r>
      <w:r w:rsidRPr="008E66BB">
        <w:rPr>
          <w:rFonts w:eastAsia="Calibri"/>
          <w:noProof/>
          <w:snapToGrid/>
          <w:szCs w:val="22"/>
        </w:rPr>
        <w:t xml:space="preserve"> CINACALCET TEVA 30 mg, comprimé pelliculé, CINACALCET TEVA 60 mg, comprimé pelliculé, CINACALCET TEVA 90 mg, comprimé pelliculé</w:t>
      </w:r>
      <w:r w:rsidR="001E4838" w:rsidRPr="008E66BB">
        <w:rPr>
          <w:rFonts w:eastAsia="Calibri"/>
          <w:b/>
          <w:noProof/>
          <w:snapToGrid/>
          <w:szCs w:val="22"/>
        </w:rPr>
        <w:t xml:space="preserve">; </w:t>
      </w:r>
      <w:r w:rsidRPr="008E66BB">
        <w:rPr>
          <w:rFonts w:eastAsia="Calibri"/>
          <w:b/>
          <w:noProof/>
          <w:snapToGrid/>
          <w:szCs w:val="22"/>
        </w:rPr>
        <w:t>Suomija:</w:t>
      </w:r>
      <w:r w:rsidRPr="008E66BB">
        <w:rPr>
          <w:rFonts w:eastAsia="Calibri"/>
          <w:noProof/>
          <w:snapToGrid/>
          <w:szCs w:val="22"/>
        </w:rPr>
        <w:t xml:space="preserve"> Cinacalcet ratiopharm 30 mg tabletti, kalvopäällysteinen, Cinacalcet ratiopharm 60 mg tabletti, kalvopäällysteinen, Cinacalcet ratiopharm 90 mg tabletti, kalvopäällysteinen</w:t>
      </w:r>
      <w:r w:rsidR="001E4838" w:rsidRPr="008E66BB">
        <w:rPr>
          <w:rFonts w:eastAsia="Calibri"/>
          <w:b/>
          <w:noProof/>
          <w:snapToGrid/>
          <w:szCs w:val="22"/>
        </w:rPr>
        <w:t xml:space="preserve">; </w:t>
      </w:r>
      <w:r w:rsidRPr="008E66BB">
        <w:rPr>
          <w:rFonts w:eastAsia="Calibri"/>
          <w:b/>
          <w:noProof/>
          <w:snapToGrid/>
          <w:szCs w:val="22"/>
        </w:rPr>
        <w:t>Vokietija:</w:t>
      </w:r>
      <w:r w:rsidRPr="008E66BB">
        <w:rPr>
          <w:rFonts w:eastAsia="Calibri"/>
          <w:noProof/>
          <w:snapToGrid/>
          <w:szCs w:val="22"/>
        </w:rPr>
        <w:t xml:space="preserve"> Cinacalcet-ratiopharm 30 mg Filmtabletten, Cinacalcet-ratiopharm 60 mg Filmtabletten, Cinacalcet-ratiopharm 90 mg Filmtabletten</w:t>
      </w:r>
      <w:r w:rsidR="001E4838" w:rsidRPr="008E66BB">
        <w:rPr>
          <w:rFonts w:eastAsia="Calibri"/>
          <w:b/>
          <w:noProof/>
          <w:snapToGrid/>
          <w:szCs w:val="22"/>
        </w:rPr>
        <w:t xml:space="preserve">; </w:t>
      </w:r>
      <w:r w:rsidRPr="008E66BB">
        <w:rPr>
          <w:rFonts w:eastAsia="Calibri"/>
          <w:b/>
          <w:noProof/>
          <w:snapToGrid/>
          <w:szCs w:val="22"/>
        </w:rPr>
        <w:t>Graikija:</w:t>
      </w:r>
      <w:r w:rsidRPr="008E66BB">
        <w:rPr>
          <w:rFonts w:eastAsia="Calibri"/>
          <w:noProof/>
          <w:snapToGrid/>
          <w:szCs w:val="22"/>
        </w:rPr>
        <w:t xml:space="preserve"> Cinacalcet/Teva 30 mg Επικαλυμμένα με λεπτό υμένιο δισκία, Cinacalcet/Teva 60 mg Επικαλυμμένα με λεπτό υμένιο δισκία, Cinacalcet/Teva 90 mg Επικαλυμμένα με λεπτό υμένιο δισκία</w:t>
      </w:r>
      <w:r w:rsidR="001E4838" w:rsidRPr="008E66BB">
        <w:rPr>
          <w:rFonts w:eastAsia="Calibri"/>
          <w:b/>
          <w:noProof/>
          <w:snapToGrid/>
          <w:szCs w:val="22"/>
        </w:rPr>
        <w:t xml:space="preserve">; </w:t>
      </w:r>
      <w:r w:rsidRPr="008E66BB">
        <w:rPr>
          <w:rFonts w:eastAsia="Calibri"/>
          <w:b/>
          <w:noProof/>
          <w:snapToGrid/>
          <w:szCs w:val="22"/>
        </w:rPr>
        <w:t>Airija:</w:t>
      </w:r>
      <w:r w:rsidRPr="008E66BB">
        <w:rPr>
          <w:rFonts w:eastAsia="Calibri"/>
          <w:noProof/>
          <w:snapToGrid/>
          <w:szCs w:val="22"/>
        </w:rPr>
        <w:t xml:space="preserve"> Cinacalcet Teva 30 mg, 60 mg and 90 mg Film-coated Tablets</w:t>
      </w:r>
      <w:r w:rsidR="001E4838" w:rsidRPr="008E66BB">
        <w:rPr>
          <w:rFonts w:eastAsia="Calibri"/>
          <w:b/>
          <w:noProof/>
          <w:snapToGrid/>
          <w:szCs w:val="22"/>
        </w:rPr>
        <w:t xml:space="preserve">; </w:t>
      </w:r>
      <w:r w:rsidRPr="008E66BB">
        <w:rPr>
          <w:rFonts w:eastAsia="Calibri"/>
          <w:b/>
          <w:noProof/>
          <w:snapToGrid/>
          <w:szCs w:val="22"/>
        </w:rPr>
        <w:t>Italija:</w:t>
      </w:r>
      <w:r w:rsidRPr="008E66BB">
        <w:rPr>
          <w:rFonts w:eastAsia="Calibri"/>
          <w:noProof/>
          <w:snapToGrid/>
          <w:szCs w:val="22"/>
        </w:rPr>
        <w:t xml:space="preserve"> Cinacalcet Teva</w:t>
      </w:r>
      <w:r w:rsidR="001E4838" w:rsidRPr="008E66BB">
        <w:rPr>
          <w:rFonts w:eastAsia="Calibri"/>
          <w:b/>
          <w:noProof/>
          <w:snapToGrid/>
          <w:szCs w:val="22"/>
        </w:rPr>
        <w:t xml:space="preserve">; </w:t>
      </w:r>
      <w:r w:rsidRPr="008E66BB">
        <w:rPr>
          <w:rFonts w:eastAsia="Calibri"/>
          <w:b/>
          <w:noProof/>
          <w:snapToGrid/>
          <w:szCs w:val="22"/>
        </w:rPr>
        <w:t>Latvija:</w:t>
      </w:r>
      <w:r w:rsidRPr="008E66BB">
        <w:rPr>
          <w:rFonts w:eastAsia="Calibri"/>
          <w:noProof/>
          <w:snapToGrid/>
          <w:szCs w:val="22"/>
        </w:rPr>
        <w:t xml:space="preserve"> Cinacalcet Teva 30 mg apvalkotās tabletes, Cinacalcet Teva 60 mg apvalkotās tabletes</w:t>
      </w:r>
      <w:r w:rsidR="008E3DB5">
        <w:rPr>
          <w:rFonts w:eastAsia="Calibri"/>
          <w:noProof/>
          <w:snapToGrid/>
          <w:szCs w:val="22"/>
        </w:rPr>
        <w:t xml:space="preserve">; </w:t>
      </w:r>
      <w:r w:rsidRPr="008E66BB">
        <w:rPr>
          <w:rFonts w:eastAsia="Calibri"/>
          <w:b/>
          <w:noProof/>
          <w:snapToGrid/>
          <w:szCs w:val="22"/>
        </w:rPr>
        <w:t>Norvegija:</w:t>
      </w:r>
      <w:r w:rsidRPr="008E66BB">
        <w:rPr>
          <w:rFonts w:eastAsia="Calibri"/>
          <w:noProof/>
          <w:snapToGrid/>
          <w:szCs w:val="22"/>
        </w:rPr>
        <w:t xml:space="preserve"> Cinacalcet Teva</w:t>
      </w:r>
      <w:r w:rsidR="001E4838" w:rsidRPr="008E66BB">
        <w:rPr>
          <w:rFonts w:eastAsia="Calibri"/>
          <w:b/>
          <w:noProof/>
          <w:snapToGrid/>
          <w:szCs w:val="22"/>
        </w:rPr>
        <w:t xml:space="preserve">; </w:t>
      </w:r>
      <w:r w:rsidRPr="008E66BB">
        <w:rPr>
          <w:rFonts w:eastAsia="Calibri"/>
          <w:b/>
          <w:noProof/>
          <w:snapToGrid/>
          <w:szCs w:val="22"/>
        </w:rPr>
        <w:t>Portugalija:</w:t>
      </w:r>
      <w:r w:rsidRPr="008E66BB">
        <w:rPr>
          <w:rFonts w:eastAsia="Calibri"/>
          <w:noProof/>
          <w:snapToGrid/>
          <w:szCs w:val="22"/>
        </w:rPr>
        <w:t xml:space="preserve"> Cinacalcet Teva</w:t>
      </w:r>
      <w:r w:rsidR="001E4838" w:rsidRPr="008E66BB">
        <w:rPr>
          <w:rFonts w:eastAsia="Calibri"/>
          <w:noProof/>
          <w:snapToGrid/>
          <w:szCs w:val="22"/>
        </w:rPr>
        <w:t xml:space="preserve">; </w:t>
      </w:r>
      <w:r w:rsidRPr="008E66BB">
        <w:rPr>
          <w:rFonts w:eastAsia="Calibri"/>
          <w:b/>
          <w:noProof/>
          <w:snapToGrid/>
          <w:szCs w:val="22"/>
        </w:rPr>
        <w:t>Slovakija:</w:t>
      </w:r>
      <w:r w:rsidRPr="008E66BB">
        <w:rPr>
          <w:rFonts w:eastAsia="Calibri"/>
          <w:snapToGrid/>
          <w:szCs w:val="22"/>
        </w:rPr>
        <w:t xml:space="preserve"> </w:t>
      </w:r>
      <w:r w:rsidRPr="008E66BB">
        <w:rPr>
          <w:rFonts w:eastAsia="Calibri"/>
          <w:noProof/>
          <w:snapToGrid/>
          <w:szCs w:val="22"/>
        </w:rPr>
        <w:t>Cinacalcet Teva 30 mg filmom obalené tablety, Cinacalcet Teva 60 mg filmom obalené tablety, Cinacalcet Teva 90 mg filmom obalené tablety</w:t>
      </w:r>
      <w:r w:rsidR="001E4838" w:rsidRPr="008E66BB">
        <w:rPr>
          <w:rFonts w:eastAsia="Calibri"/>
          <w:b/>
          <w:noProof/>
          <w:snapToGrid/>
          <w:szCs w:val="22"/>
        </w:rPr>
        <w:t xml:space="preserve">; </w:t>
      </w:r>
      <w:r w:rsidRPr="008E66BB">
        <w:rPr>
          <w:rFonts w:eastAsia="Calibri"/>
          <w:b/>
          <w:noProof/>
          <w:snapToGrid/>
          <w:szCs w:val="22"/>
        </w:rPr>
        <w:t>Ispanija:</w:t>
      </w:r>
      <w:r w:rsidRPr="008E66BB">
        <w:rPr>
          <w:rFonts w:eastAsia="Calibri"/>
          <w:noProof/>
          <w:snapToGrid/>
          <w:szCs w:val="22"/>
        </w:rPr>
        <w:t xml:space="preserve"> Cinacalcet Teva 30 mg, 60 mg and 90 mg comprimidos recubiertos con película EFG</w:t>
      </w:r>
      <w:r w:rsidR="001E4838" w:rsidRPr="008E66BB">
        <w:rPr>
          <w:rFonts w:eastAsia="Calibri"/>
          <w:b/>
          <w:noProof/>
          <w:snapToGrid/>
          <w:szCs w:val="22"/>
        </w:rPr>
        <w:t xml:space="preserve">; </w:t>
      </w:r>
      <w:r w:rsidRPr="008E66BB">
        <w:rPr>
          <w:rFonts w:eastAsia="Calibri"/>
          <w:b/>
          <w:noProof/>
          <w:snapToGrid/>
          <w:szCs w:val="22"/>
        </w:rPr>
        <w:t>Švedija:</w:t>
      </w:r>
      <w:r w:rsidRPr="008E66BB">
        <w:rPr>
          <w:rFonts w:eastAsia="Calibri"/>
          <w:noProof/>
          <w:snapToGrid/>
          <w:szCs w:val="22"/>
        </w:rPr>
        <w:t xml:space="preserve"> Cinacalcet Teva</w:t>
      </w:r>
      <w:r w:rsidR="001E4838" w:rsidRPr="008E66BB">
        <w:rPr>
          <w:rFonts w:eastAsia="Calibri"/>
          <w:b/>
          <w:noProof/>
          <w:snapToGrid/>
          <w:szCs w:val="22"/>
        </w:rPr>
        <w:t xml:space="preserve">; </w:t>
      </w:r>
      <w:r w:rsidRPr="008E66BB">
        <w:rPr>
          <w:rFonts w:eastAsia="Calibri"/>
          <w:b/>
          <w:noProof/>
          <w:snapToGrid/>
          <w:szCs w:val="22"/>
        </w:rPr>
        <w:t>Nyderlandai:</w:t>
      </w:r>
      <w:r w:rsidRPr="008E66BB">
        <w:rPr>
          <w:rFonts w:eastAsia="Calibri"/>
          <w:noProof/>
          <w:snapToGrid/>
          <w:szCs w:val="22"/>
        </w:rPr>
        <w:t xml:space="preserve"> Cinacalcet HCl Teva 30 mg, 60 mg, 90 mg filmomhulde tabletten</w:t>
      </w:r>
      <w:r w:rsidR="001E4838" w:rsidRPr="008E66BB">
        <w:rPr>
          <w:rFonts w:eastAsia="Calibri"/>
          <w:b/>
          <w:noProof/>
          <w:snapToGrid/>
          <w:szCs w:val="22"/>
        </w:rPr>
        <w:t xml:space="preserve">; </w:t>
      </w:r>
      <w:r w:rsidRPr="008E66BB">
        <w:rPr>
          <w:rFonts w:eastAsia="Calibri"/>
          <w:b/>
          <w:noProof/>
          <w:snapToGrid/>
          <w:szCs w:val="22"/>
        </w:rPr>
        <w:t>Jungtinė Karalystė:</w:t>
      </w:r>
      <w:r w:rsidRPr="008E66BB">
        <w:rPr>
          <w:rFonts w:eastAsia="Calibri"/>
          <w:noProof/>
          <w:snapToGrid/>
          <w:szCs w:val="22"/>
        </w:rPr>
        <w:t xml:space="preserve"> Cinacalcet Teva 30 mg, 60 mg and 90 mg Film-coated tablets</w:t>
      </w:r>
    </w:p>
    <w:p w14:paraId="77D61C4C"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6C0881A6" w14:textId="19E6B4DC"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Šis pakuotės lapelis paskuti</w:t>
      </w:r>
      <w:r w:rsidR="00C3614E" w:rsidRPr="008E66BB">
        <w:rPr>
          <w:rFonts w:eastAsia="Calibri"/>
          <w:b/>
          <w:snapToGrid/>
          <w:szCs w:val="22"/>
        </w:rPr>
        <w:t>nį kartą peržiūrėtas</w:t>
      </w:r>
      <w:r w:rsidR="00965B41">
        <w:rPr>
          <w:rFonts w:eastAsia="Calibri"/>
          <w:b/>
          <w:snapToGrid/>
          <w:szCs w:val="22"/>
        </w:rPr>
        <w:t xml:space="preserve"> </w:t>
      </w:r>
      <w:r w:rsidR="008011AD">
        <w:rPr>
          <w:rFonts w:eastAsia="Calibri"/>
          <w:b/>
          <w:snapToGrid/>
          <w:szCs w:val="22"/>
        </w:rPr>
        <w:t>2020-07-30.</w:t>
      </w:r>
    </w:p>
    <w:p w14:paraId="1D62A8D4" w14:textId="77777777" w:rsidR="00250DCE" w:rsidRDefault="00250DCE" w:rsidP="00250DCE">
      <w:pPr>
        <w:rPr>
          <w:szCs w:val="24"/>
        </w:rPr>
      </w:pPr>
    </w:p>
    <w:p w14:paraId="6CF399AA" w14:textId="77777777" w:rsidR="00C3614E" w:rsidRDefault="00C3614E" w:rsidP="00250DCE">
      <w:pPr>
        <w:rPr>
          <w:szCs w:val="24"/>
        </w:rPr>
      </w:pPr>
    </w:p>
    <w:p w14:paraId="585B07FE" w14:textId="77777777" w:rsidR="001E4838" w:rsidRDefault="001E4838" w:rsidP="00250DCE">
      <w:r w:rsidRPr="001E4838">
        <w:t xml:space="preserve">Išsami informacija apie šį </w:t>
      </w:r>
      <w:r w:rsidRPr="001E4838">
        <w:rPr>
          <w:szCs w:val="24"/>
        </w:rPr>
        <w:t>vaistą</w:t>
      </w:r>
      <w:r w:rsidRPr="001E4838">
        <w:t xml:space="preserve"> pateikiama Valstybinės vaistų kontrolės tarnybos prie Lietuvos Respublikos sveikatos apsaugos ministerijos tinklalapyje</w:t>
      </w:r>
      <w:r w:rsidRPr="001E4838">
        <w:rPr>
          <w:i/>
          <w:szCs w:val="24"/>
        </w:rPr>
        <w:t xml:space="preserve"> </w:t>
      </w:r>
      <w:hyperlink r:id="rId11" w:history="1">
        <w:r w:rsidRPr="001E4838">
          <w:rPr>
            <w:rFonts w:eastAsia="SimSun"/>
            <w:color w:val="0000FF"/>
            <w:u w:val="single"/>
          </w:rPr>
          <w:t>http://www.vvkt.lt/</w:t>
        </w:r>
      </w:hyperlink>
      <w:r w:rsidRPr="001E4838">
        <w:t>.</w:t>
      </w:r>
    </w:p>
    <w:p w14:paraId="374E7138" w14:textId="77777777" w:rsidR="00B523CF" w:rsidRDefault="00B523CF" w:rsidP="00250DCE"/>
    <w:p w14:paraId="575A31EE" w14:textId="77777777" w:rsidR="00B523CF" w:rsidRPr="00250DCE" w:rsidRDefault="00B523CF" w:rsidP="00250DCE">
      <w:pPr>
        <w:rPr>
          <w:szCs w:val="24"/>
        </w:rPr>
      </w:pPr>
    </w:p>
    <w:sectPr w:rsidR="00B523CF" w:rsidRPr="00250DCE" w:rsidSect="00811A4B">
      <w:headerReference w:type="even" r:id="rId12"/>
      <w:headerReference w:type="default" r:id="rId13"/>
      <w:footerReference w:type="even" r:id="rId14"/>
      <w:footerReference w:type="default" r:id="rId15"/>
      <w:headerReference w:type="first" r:id="rId16"/>
      <w:footerReference w:type="first" r:id="rId17"/>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07B09" w14:textId="77777777" w:rsidR="006A39B4" w:rsidRDefault="006A39B4" w:rsidP="00831341">
      <w:pPr>
        <w:spacing w:line="240" w:lineRule="auto"/>
      </w:pPr>
      <w:r>
        <w:separator/>
      </w:r>
    </w:p>
  </w:endnote>
  <w:endnote w:type="continuationSeparator" w:id="0">
    <w:p w14:paraId="0C4B0330" w14:textId="77777777" w:rsidR="006A39B4" w:rsidRDefault="006A39B4" w:rsidP="00831341">
      <w:pPr>
        <w:spacing w:line="240" w:lineRule="auto"/>
      </w:pPr>
      <w:r>
        <w:continuationSeparator/>
      </w:r>
    </w:p>
  </w:endnote>
  <w:endnote w:type="continuationNotice" w:id="1">
    <w:p w14:paraId="2D40D072" w14:textId="77777777" w:rsidR="006A39B4" w:rsidRDefault="006A39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Bold">
    <w:altName w:val="Yu Gothic UI"/>
    <w:panose1 w:val="00000000000000000000"/>
    <w:charset w:val="80"/>
    <w:family w:val="auto"/>
    <w:notTrueType/>
    <w:pitch w:val="default"/>
    <w:sig w:usb0="00000000" w:usb1="08070000" w:usb2="00000010" w:usb3="00000000" w:csb0="00020002"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B461F" w14:textId="77777777" w:rsidR="006A39B4" w:rsidRDefault="006A39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A6978" w14:textId="3F7CA641" w:rsidR="006A39B4" w:rsidRDefault="006A39B4">
    <w:pPr>
      <w:pStyle w:val="Porat"/>
      <w:jc w:val="center"/>
    </w:pPr>
    <w:r>
      <w:fldChar w:fldCharType="begin"/>
    </w:r>
    <w:r>
      <w:instrText>PAGE   \* MERGEFORMAT</w:instrText>
    </w:r>
    <w:r>
      <w:fldChar w:fldCharType="separate"/>
    </w:r>
    <w:r w:rsidR="00A22A2A">
      <w:rPr>
        <w:noProof/>
      </w:rPr>
      <w:t>1</w:t>
    </w:r>
    <w:r>
      <w:fldChar w:fldCharType="end"/>
    </w:r>
  </w:p>
  <w:p w14:paraId="6D3CD5B7" w14:textId="77777777" w:rsidR="006A39B4" w:rsidRDefault="006A39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33184" w14:textId="77777777" w:rsidR="006A39B4" w:rsidRDefault="006A39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BB4E8" w14:textId="77777777" w:rsidR="006A39B4" w:rsidRDefault="006A39B4" w:rsidP="00831341">
      <w:pPr>
        <w:spacing w:line="240" w:lineRule="auto"/>
      </w:pPr>
      <w:r>
        <w:separator/>
      </w:r>
    </w:p>
  </w:footnote>
  <w:footnote w:type="continuationSeparator" w:id="0">
    <w:p w14:paraId="339DE231" w14:textId="77777777" w:rsidR="006A39B4" w:rsidRDefault="006A39B4" w:rsidP="00831341">
      <w:pPr>
        <w:spacing w:line="240" w:lineRule="auto"/>
      </w:pPr>
      <w:r>
        <w:continuationSeparator/>
      </w:r>
    </w:p>
  </w:footnote>
  <w:footnote w:type="continuationNotice" w:id="1">
    <w:p w14:paraId="24163553" w14:textId="77777777" w:rsidR="006A39B4" w:rsidRDefault="006A39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4D72F" w14:textId="77777777" w:rsidR="006A39B4" w:rsidRDefault="006A39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0DFEB" w14:textId="77777777" w:rsidR="006A39B4" w:rsidRPr="00565603" w:rsidRDefault="006A39B4" w:rsidP="0056560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3729B" w14:textId="77777777" w:rsidR="006A39B4" w:rsidRDefault="006A3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DC1737"/>
    <w:multiLevelType w:val="hybridMultilevel"/>
    <w:tmpl w:val="041861D4"/>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 w15:restartNumberingAfterBreak="0">
    <w:nsid w:val="062B3CC3"/>
    <w:multiLevelType w:val="hybridMultilevel"/>
    <w:tmpl w:val="BE94B07A"/>
    <w:lvl w:ilvl="0" w:tplc="94B094B8">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E6CDC"/>
    <w:multiLevelType w:val="hybridMultilevel"/>
    <w:tmpl w:val="121C0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E43980"/>
    <w:multiLevelType w:val="hybridMultilevel"/>
    <w:tmpl w:val="4FFCD7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E66082"/>
    <w:multiLevelType w:val="hybridMultilevel"/>
    <w:tmpl w:val="6C021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635707"/>
    <w:multiLevelType w:val="hybridMultilevel"/>
    <w:tmpl w:val="014652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2BF116D"/>
    <w:multiLevelType w:val="hybridMultilevel"/>
    <w:tmpl w:val="358C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16C23"/>
    <w:multiLevelType w:val="hybridMultilevel"/>
    <w:tmpl w:val="8EA26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E8570B"/>
    <w:multiLevelType w:val="hybridMultilevel"/>
    <w:tmpl w:val="0DB43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0D2AF5"/>
    <w:multiLevelType w:val="hybridMultilevel"/>
    <w:tmpl w:val="6BAAF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CD5341"/>
    <w:multiLevelType w:val="hybridMultilevel"/>
    <w:tmpl w:val="5DA4D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3"/>
  </w:num>
  <w:num w:numId="4">
    <w:abstractNumId w:val="9"/>
  </w:num>
  <w:num w:numId="5">
    <w:abstractNumId w:val="0"/>
    <w:lvlOverride w:ilvl="0">
      <w:lvl w:ilvl="0">
        <w:start w:val="1"/>
        <w:numFmt w:val="bullet"/>
        <w:lvlText w:val=""/>
        <w:lvlJc w:val="left"/>
        <w:pPr>
          <w:ind w:left="360" w:hanging="360"/>
        </w:pPr>
        <w:rPr>
          <w:rFonts w:ascii="Symbol" w:hAnsi="Symbol" w:hint="default"/>
        </w:rPr>
      </w:lvl>
    </w:lvlOverride>
  </w:num>
  <w:num w:numId="6">
    <w:abstractNumId w:val="11"/>
  </w:num>
  <w:num w:numId="7">
    <w:abstractNumId w:val="10"/>
  </w:num>
  <w:num w:numId="8">
    <w:abstractNumId w:val="1"/>
  </w:num>
  <w:num w:numId="9">
    <w:abstractNumId w:val="2"/>
  </w:num>
  <w:num w:numId="10">
    <w:abstractNumId w:val="4"/>
  </w:num>
  <w:num w:numId="11">
    <w:abstractNumId w:val="5"/>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AAC"/>
    <w:rsid w:val="00021A05"/>
    <w:rsid w:val="00046EBC"/>
    <w:rsid w:val="00057650"/>
    <w:rsid w:val="00060C77"/>
    <w:rsid w:val="00062000"/>
    <w:rsid w:val="00062B7B"/>
    <w:rsid w:val="00073C93"/>
    <w:rsid w:val="00081BD8"/>
    <w:rsid w:val="00082A72"/>
    <w:rsid w:val="00097465"/>
    <w:rsid w:val="000D2989"/>
    <w:rsid w:val="000D71F4"/>
    <w:rsid w:val="00117A6C"/>
    <w:rsid w:val="00125667"/>
    <w:rsid w:val="00134C29"/>
    <w:rsid w:val="0017558D"/>
    <w:rsid w:val="00182ED6"/>
    <w:rsid w:val="001A0C38"/>
    <w:rsid w:val="001A3787"/>
    <w:rsid w:val="001A535C"/>
    <w:rsid w:val="001C27EC"/>
    <w:rsid w:val="001D1CDB"/>
    <w:rsid w:val="001D4977"/>
    <w:rsid w:val="001E06A6"/>
    <w:rsid w:val="001E266E"/>
    <w:rsid w:val="001E4838"/>
    <w:rsid w:val="002108DE"/>
    <w:rsid w:val="00235662"/>
    <w:rsid w:val="00237517"/>
    <w:rsid w:val="0024200C"/>
    <w:rsid w:val="00244BBB"/>
    <w:rsid w:val="00250DCE"/>
    <w:rsid w:val="00254312"/>
    <w:rsid w:val="00261CCF"/>
    <w:rsid w:val="002623AA"/>
    <w:rsid w:val="0026284D"/>
    <w:rsid w:val="0027339F"/>
    <w:rsid w:val="00277020"/>
    <w:rsid w:val="0028276B"/>
    <w:rsid w:val="002850E5"/>
    <w:rsid w:val="00294BB3"/>
    <w:rsid w:val="002A6A8D"/>
    <w:rsid w:val="002B269C"/>
    <w:rsid w:val="002E689C"/>
    <w:rsid w:val="002E75C2"/>
    <w:rsid w:val="002F49CE"/>
    <w:rsid w:val="003027B7"/>
    <w:rsid w:val="00315031"/>
    <w:rsid w:val="00316F4E"/>
    <w:rsid w:val="003326B0"/>
    <w:rsid w:val="00334F1C"/>
    <w:rsid w:val="00350C05"/>
    <w:rsid w:val="003607B0"/>
    <w:rsid w:val="00363A4F"/>
    <w:rsid w:val="00382558"/>
    <w:rsid w:val="00385C79"/>
    <w:rsid w:val="00391912"/>
    <w:rsid w:val="00395052"/>
    <w:rsid w:val="003A3A4B"/>
    <w:rsid w:val="003A7C6B"/>
    <w:rsid w:val="003E0C6B"/>
    <w:rsid w:val="003E667B"/>
    <w:rsid w:val="004063F3"/>
    <w:rsid w:val="00430770"/>
    <w:rsid w:val="00436ECC"/>
    <w:rsid w:val="00482AAE"/>
    <w:rsid w:val="00493B5B"/>
    <w:rsid w:val="00496342"/>
    <w:rsid w:val="004A7F74"/>
    <w:rsid w:val="004C06AE"/>
    <w:rsid w:val="004C40C9"/>
    <w:rsid w:val="004C44BC"/>
    <w:rsid w:val="004E2EF1"/>
    <w:rsid w:val="004E5766"/>
    <w:rsid w:val="004F2DD5"/>
    <w:rsid w:val="004F4E5D"/>
    <w:rsid w:val="00503C0B"/>
    <w:rsid w:val="00506DA5"/>
    <w:rsid w:val="00532876"/>
    <w:rsid w:val="00533C11"/>
    <w:rsid w:val="00547A93"/>
    <w:rsid w:val="0055124C"/>
    <w:rsid w:val="00565603"/>
    <w:rsid w:val="005703F4"/>
    <w:rsid w:val="00575C08"/>
    <w:rsid w:val="0058254E"/>
    <w:rsid w:val="00591CFF"/>
    <w:rsid w:val="005A4828"/>
    <w:rsid w:val="005C245A"/>
    <w:rsid w:val="005C3A7B"/>
    <w:rsid w:val="005C6727"/>
    <w:rsid w:val="005D733F"/>
    <w:rsid w:val="005E52B4"/>
    <w:rsid w:val="005F4370"/>
    <w:rsid w:val="005F4A3F"/>
    <w:rsid w:val="00600CCE"/>
    <w:rsid w:val="00605D93"/>
    <w:rsid w:val="0060769A"/>
    <w:rsid w:val="00623478"/>
    <w:rsid w:val="00633158"/>
    <w:rsid w:val="0063369A"/>
    <w:rsid w:val="00645107"/>
    <w:rsid w:val="006612D6"/>
    <w:rsid w:val="006648FD"/>
    <w:rsid w:val="006933A6"/>
    <w:rsid w:val="0069370D"/>
    <w:rsid w:val="006A1C7B"/>
    <w:rsid w:val="006A37FC"/>
    <w:rsid w:val="006A39B4"/>
    <w:rsid w:val="006B53ED"/>
    <w:rsid w:val="006B6569"/>
    <w:rsid w:val="006C0637"/>
    <w:rsid w:val="006D15F6"/>
    <w:rsid w:val="006E378E"/>
    <w:rsid w:val="006F6E77"/>
    <w:rsid w:val="0070698B"/>
    <w:rsid w:val="0072097D"/>
    <w:rsid w:val="00733337"/>
    <w:rsid w:val="00740C58"/>
    <w:rsid w:val="007552F5"/>
    <w:rsid w:val="00774653"/>
    <w:rsid w:val="00777D09"/>
    <w:rsid w:val="00785697"/>
    <w:rsid w:val="007947D0"/>
    <w:rsid w:val="0079735B"/>
    <w:rsid w:val="007A1503"/>
    <w:rsid w:val="007A4ED3"/>
    <w:rsid w:val="007B0E11"/>
    <w:rsid w:val="007B24E3"/>
    <w:rsid w:val="007B25D8"/>
    <w:rsid w:val="007B286F"/>
    <w:rsid w:val="007B3D38"/>
    <w:rsid w:val="007B3EA3"/>
    <w:rsid w:val="007C1534"/>
    <w:rsid w:val="007D0562"/>
    <w:rsid w:val="007D2C32"/>
    <w:rsid w:val="007E1E5D"/>
    <w:rsid w:val="007F3282"/>
    <w:rsid w:val="008011AD"/>
    <w:rsid w:val="00811A4B"/>
    <w:rsid w:val="0081480F"/>
    <w:rsid w:val="00824372"/>
    <w:rsid w:val="00831341"/>
    <w:rsid w:val="008327F8"/>
    <w:rsid w:val="008524B3"/>
    <w:rsid w:val="0085318A"/>
    <w:rsid w:val="00855F36"/>
    <w:rsid w:val="00867AA0"/>
    <w:rsid w:val="008766B8"/>
    <w:rsid w:val="008905A4"/>
    <w:rsid w:val="008A20CA"/>
    <w:rsid w:val="008A590E"/>
    <w:rsid w:val="008C1568"/>
    <w:rsid w:val="008D340F"/>
    <w:rsid w:val="008D7A2A"/>
    <w:rsid w:val="008E0FF4"/>
    <w:rsid w:val="008E3DB5"/>
    <w:rsid w:val="008E66BB"/>
    <w:rsid w:val="008F32D5"/>
    <w:rsid w:val="009116E3"/>
    <w:rsid w:val="00922DC4"/>
    <w:rsid w:val="00965B41"/>
    <w:rsid w:val="00966F63"/>
    <w:rsid w:val="00991783"/>
    <w:rsid w:val="009923C2"/>
    <w:rsid w:val="00997347"/>
    <w:rsid w:val="009B75AF"/>
    <w:rsid w:val="009C4BB1"/>
    <w:rsid w:val="009D5271"/>
    <w:rsid w:val="009D65F0"/>
    <w:rsid w:val="009E066B"/>
    <w:rsid w:val="009E5FC3"/>
    <w:rsid w:val="009F51D3"/>
    <w:rsid w:val="00A116CF"/>
    <w:rsid w:val="00A152B4"/>
    <w:rsid w:val="00A21656"/>
    <w:rsid w:val="00A22A2A"/>
    <w:rsid w:val="00A25FCF"/>
    <w:rsid w:val="00A36C0E"/>
    <w:rsid w:val="00A50029"/>
    <w:rsid w:val="00A56738"/>
    <w:rsid w:val="00A826A5"/>
    <w:rsid w:val="00A86AFF"/>
    <w:rsid w:val="00AA0B61"/>
    <w:rsid w:val="00AA340E"/>
    <w:rsid w:val="00AC2632"/>
    <w:rsid w:val="00AC3C3B"/>
    <w:rsid w:val="00AD1EFF"/>
    <w:rsid w:val="00AE38FC"/>
    <w:rsid w:val="00AF027B"/>
    <w:rsid w:val="00AF5C92"/>
    <w:rsid w:val="00B01958"/>
    <w:rsid w:val="00B13257"/>
    <w:rsid w:val="00B16AAD"/>
    <w:rsid w:val="00B23882"/>
    <w:rsid w:val="00B2560E"/>
    <w:rsid w:val="00B311BF"/>
    <w:rsid w:val="00B35A00"/>
    <w:rsid w:val="00B43185"/>
    <w:rsid w:val="00B43B53"/>
    <w:rsid w:val="00B45370"/>
    <w:rsid w:val="00B523CF"/>
    <w:rsid w:val="00B64735"/>
    <w:rsid w:val="00B7096B"/>
    <w:rsid w:val="00B727D0"/>
    <w:rsid w:val="00B7372A"/>
    <w:rsid w:val="00B847BB"/>
    <w:rsid w:val="00B97FC5"/>
    <w:rsid w:val="00BA0E73"/>
    <w:rsid w:val="00BB5BD1"/>
    <w:rsid w:val="00BD3D8D"/>
    <w:rsid w:val="00BD61E8"/>
    <w:rsid w:val="00BE63BF"/>
    <w:rsid w:val="00BF4870"/>
    <w:rsid w:val="00C133CF"/>
    <w:rsid w:val="00C17679"/>
    <w:rsid w:val="00C304DF"/>
    <w:rsid w:val="00C31DAB"/>
    <w:rsid w:val="00C3614E"/>
    <w:rsid w:val="00C46F6B"/>
    <w:rsid w:val="00C550A8"/>
    <w:rsid w:val="00C62B96"/>
    <w:rsid w:val="00C848BF"/>
    <w:rsid w:val="00CA00ED"/>
    <w:rsid w:val="00CA093C"/>
    <w:rsid w:val="00CA3031"/>
    <w:rsid w:val="00CD1C12"/>
    <w:rsid w:val="00CD2D18"/>
    <w:rsid w:val="00CD66CD"/>
    <w:rsid w:val="00CE3181"/>
    <w:rsid w:val="00D163B0"/>
    <w:rsid w:val="00D200DB"/>
    <w:rsid w:val="00D2719C"/>
    <w:rsid w:val="00D40CF5"/>
    <w:rsid w:val="00D42F2E"/>
    <w:rsid w:val="00D52BEB"/>
    <w:rsid w:val="00D53710"/>
    <w:rsid w:val="00D71805"/>
    <w:rsid w:val="00D76258"/>
    <w:rsid w:val="00D77F6D"/>
    <w:rsid w:val="00D8434A"/>
    <w:rsid w:val="00D85B17"/>
    <w:rsid w:val="00DA2789"/>
    <w:rsid w:val="00DE00CE"/>
    <w:rsid w:val="00DF227F"/>
    <w:rsid w:val="00DF3EC5"/>
    <w:rsid w:val="00E25898"/>
    <w:rsid w:val="00E416A9"/>
    <w:rsid w:val="00E438EF"/>
    <w:rsid w:val="00E444A6"/>
    <w:rsid w:val="00E47C40"/>
    <w:rsid w:val="00E674BF"/>
    <w:rsid w:val="00E72561"/>
    <w:rsid w:val="00E90185"/>
    <w:rsid w:val="00E9143C"/>
    <w:rsid w:val="00E974BF"/>
    <w:rsid w:val="00EA17EE"/>
    <w:rsid w:val="00EA24BD"/>
    <w:rsid w:val="00EA4AAC"/>
    <w:rsid w:val="00EA7BA0"/>
    <w:rsid w:val="00EC27EC"/>
    <w:rsid w:val="00EF732F"/>
    <w:rsid w:val="00F124F8"/>
    <w:rsid w:val="00F156F4"/>
    <w:rsid w:val="00F34883"/>
    <w:rsid w:val="00F41E6A"/>
    <w:rsid w:val="00F44789"/>
    <w:rsid w:val="00F54265"/>
    <w:rsid w:val="00F64E28"/>
    <w:rsid w:val="00F6697B"/>
    <w:rsid w:val="00F66BA0"/>
    <w:rsid w:val="00F724F9"/>
    <w:rsid w:val="00F760A8"/>
    <w:rsid w:val="00F77E08"/>
    <w:rsid w:val="00F87429"/>
    <w:rsid w:val="00F94456"/>
    <w:rsid w:val="00F954C2"/>
    <w:rsid w:val="00FA6DBC"/>
    <w:rsid w:val="00FB546E"/>
    <w:rsid w:val="00FD5714"/>
    <w:rsid w:val="00FE44BA"/>
    <w:rsid w:val="00FF0999"/>
    <w:rsid w:val="00FF1C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2B69A"/>
  <w15:chartTrackingRefBased/>
  <w15:docId w15:val="{DFF9EC73-10CD-4D8B-93C9-145D5648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3C93"/>
    <w:pPr>
      <w:tabs>
        <w:tab w:val="left" w:pos="567"/>
      </w:tabs>
      <w:spacing w:line="260" w:lineRule="exact"/>
    </w:pPr>
    <w:rPr>
      <w:rFonts w:ascii="Times New Roman" w:eastAsia="Times New Roman" w:hAnsi="Times New Roman"/>
      <w:snapToGrid w:val="0"/>
      <w:sz w:val="22"/>
      <w:lang w:eastAsia="en-US"/>
    </w:rPr>
  </w:style>
  <w:style w:type="paragraph" w:styleId="Antrat3">
    <w:name w:val="heading 3"/>
    <w:basedOn w:val="prastasis"/>
    <w:next w:val="prastasis"/>
    <w:link w:val="Antrat3Diagrama"/>
    <w:uiPriority w:val="99"/>
    <w:qFormat/>
    <w:rsid w:val="00EA4AAC"/>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
    <w:semiHidden/>
    <w:unhideWhenUsed/>
    <w:qFormat/>
    <w:rsid w:val="00EA4AAC"/>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rsid w:val="00EA4AAC"/>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
    <w:semiHidden/>
    <w:rsid w:val="00EA4AAC"/>
    <w:rPr>
      <w:rFonts w:ascii="Cambria" w:eastAsia="Times New Roman" w:hAnsi="Cambria" w:cs="Times New Roman"/>
      <w:b/>
      <w:bCs/>
      <w:i/>
      <w:iCs/>
      <w:snapToGrid w:val="0"/>
      <w:color w:val="4F81BD"/>
      <w:szCs w:val="20"/>
      <w:lang w:val="en-GB"/>
    </w:rPr>
  </w:style>
  <w:style w:type="paragraph" w:styleId="Sraopastraipa">
    <w:name w:val="List Paragraph"/>
    <w:basedOn w:val="prastasis"/>
    <w:uiPriority w:val="34"/>
    <w:qFormat/>
    <w:rsid w:val="0063369A"/>
    <w:pPr>
      <w:ind w:left="720"/>
      <w:contextualSpacing/>
    </w:pPr>
  </w:style>
  <w:style w:type="table" w:styleId="Lentelstinklelis">
    <w:name w:val="Table Grid"/>
    <w:basedOn w:val="prastojilentel"/>
    <w:uiPriority w:val="59"/>
    <w:rsid w:val="00AE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31341"/>
    <w:pPr>
      <w:tabs>
        <w:tab w:val="clear" w:pos="567"/>
        <w:tab w:val="center" w:pos="4680"/>
        <w:tab w:val="right" w:pos="9360"/>
      </w:tabs>
      <w:spacing w:line="240" w:lineRule="auto"/>
    </w:pPr>
  </w:style>
  <w:style w:type="character" w:customStyle="1" w:styleId="AntratsDiagrama">
    <w:name w:val="Antraštės Diagrama"/>
    <w:link w:val="Antrats"/>
    <w:uiPriority w:val="99"/>
    <w:rsid w:val="00831341"/>
    <w:rPr>
      <w:rFonts w:ascii="Times New Roman" w:eastAsia="Times New Roman" w:hAnsi="Times New Roman" w:cs="Times New Roman"/>
      <w:snapToGrid w:val="0"/>
      <w:szCs w:val="20"/>
      <w:lang w:val="en-GB"/>
    </w:rPr>
  </w:style>
  <w:style w:type="paragraph" w:styleId="Porat">
    <w:name w:val="footer"/>
    <w:basedOn w:val="prastasis"/>
    <w:link w:val="PoratDiagrama"/>
    <w:uiPriority w:val="99"/>
    <w:unhideWhenUsed/>
    <w:rsid w:val="00831341"/>
    <w:pPr>
      <w:tabs>
        <w:tab w:val="clear" w:pos="567"/>
        <w:tab w:val="center" w:pos="4680"/>
        <w:tab w:val="right" w:pos="9360"/>
      </w:tabs>
      <w:spacing w:line="240" w:lineRule="auto"/>
    </w:pPr>
  </w:style>
  <w:style w:type="character" w:customStyle="1" w:styleId="PoratDiagrama">
    <w:name w:val="Poraštė Diagrama"/>
    <w:link w:val="Porat"/>
    <w:uiPriority w:val="99"/>
    <w:rsid w:val="00831341"/>
    <w:rPr>
      <w:rFonts w:ascii="Times New Roman" w:eastAsia="Times New Roman" w:hAnsi="Times New Roman" w:cs="Times New Roman"/>
      <w:snapToGrid w:val="0"/>
      <w:szCs w:val="20"/>
      <w:lang w:val="en-GB"/>
    </w:rPr>
  </w:style>
  <w:style w:type="character" w:styleId="Hipersaitas">
    <w:name w:val="Hyperlink"/>
    <w:uiPriority w:val="99"/>
    <w:unhideWhenUsed/>
    <w:rsid w:val="008524B3"/>
    <w:rPr>
      <w:color w:val="0000FF"/>
      <w:u w:val="single"/>
    </w:rPr>
  </w:style>
  <w:style w:type="paragraph" w:styleId="Debesliotekstas">
    <w:name w:val="Balloon Text"/>
    <w:basedOn w:val="prastasis"/>
    <w:link w:val="DebesliotekstasDiagrama"/>
    <w:uiPriority w:val="99"/>
    <w:semiHidden/>
    <w:unhideWhenUsed/>
    <w:rsid w:val="008A20CA"/>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8A20CA"/>
    <w:rPr>
      <w:rFonts w:ascii="Segoe UI" w:eastAsia="Times New Roman" w:hAnsi="Segoe UI" w:cs="Segoe UI"/>
      <w:snapToGrid w:val="0"/>
      <w:sz w:val="18"/>
      <w:szCs w:val="18"/>
      <w:lang w:val="lt-LT"/>
    </w:rPr>
  </w:style>
  <w:style w:type="character" w:styleId="Komentaronuoroda">
    <w:name w:val="annotation reference"/>
    <w:uiPriority w:val="99"/>
    <w:semiHidden/>
    <w:unhideWhenUsed/>
    <w:rsid w:val="00EA7BA0"/>
    <w:rPr>
      <w:sz w:val="16"/>
      <w:szCs w:val="16"/>
    </w:rPr>
  </w:style>
  <w:style w:type="paragraph" w:styleId="Komentarotekstas">
    <w:name w:val="annotation text"/>
    <w:basedOn w:val="prastasis"/>
    <w:link w:val="KomentarotekstasDiagrama"/>
    <w:uiPriority w:val="99"/>
    <w:semiHidden/>
    <w:unhideWhenUsed/>
    <w:rsid w:val="00EA7BA0"/>
    <w:pPr>
      <w:spacing w:line="240" w:lineRule="auto"/>
    </w:pPr>
    <w:rPr>
      <w:sz w:val="20"/>
    </w:rPr>
  </w:style>
  <w:style w:type="character" w:customStyle="1" w:styleId="KomentarotekstasDiagrama">
    <w:name w:val="Komentaro tekstas Diagrama"/>
    <w:link w:val="Komentarotekstas"/>
    <w:uiPriority w:val="99"/>
    <w:semiHidden/>
    <w:rsid w:val="00EA7BA0"/>
    <w:rPr>
      <w:rFonts w:ascii="Times New Roman" w:eastAsia="Times New Roman" w:hAnsi="Times New Roman" w:cs="Times New Roman"/>
      <w:snapToGrid w:val="0"/>
      <w:sz w:val="20"/>
      <w:szCs w:val="20"/>
      <w:lang w:val="lt-LT"/>
    </w:rPr>
  </w:style>
  <w:style w:type="paragraph" w:styleId="Komentarotema">
    <w:name w:val="annotation subject"/>
    <w:basedOn w:val="Komentarotekstas"/>
    <w:next w:val="Komentarotekstas"/>
    <w:link w:val="KomentarotemaDiagrama"/>
    <w:uiPriority w:val="99"/>
    <w:semiHidden/>
    <w:unhideWhenUsed/>
    <w:rsid w:val="00EA7BA0"/>
    <w:rPr>
      <w:b/>
      <w:bCs/>
    </w:rPr>
  </w:style>
  <w:style w:type="character" w:customStyle="1" w:styleId="KomentarotemaDiagrama">
    <w:name w:val="Komentaro tema Diagrama"/>
    <w:link w:val="Komentarotema"/>
    <w:uiPriority w:val="99"/>
    <w:semiHidden/>
    <w:rsid w:val="00EA7BA0"/>
    <w:rPr>
      <w:rFonts w:ascii="Times New Roman" w:eastAsia="Times New Roman" w:hAnsi="Times New Roman" w:cs="Times New Roman"/>
      <w:b/>
      <w:bCs/>
      <w:snapToGrid w:val="0"/>
      <w:sz w:val="20"/>
      <w:szCs w:val="20"/>
      <w:lang w:val="lt-LT"/>
    </w:rPr>
  </w:style>
  <w:style w:type="paragraph" w:styleId="Pataisymai">
    <w:name w:val="Revision"/>
    <w:hidden/>
    <w:uiPriority w:val="99"/>
    <w:semiHidden/>
    <w:rsid w:val="00073C93"/>
    <w:rPr>
      <w:rFonts w:ascii="Times New Roman" w:eastAsia="Times New Roman" w:hAnsi="Times New Roman"/>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542999">
      <w:bodyDiv w:val="1"/>
      <w:marLeft w:val="0"/>
      <w:marRight w:val="0"/>
      <w:marTop w:val="0"/>
      <w:marBottom w:val="0"/>
      <w:divBdr>
        <w:top w:val="none" w:sz="0" w:space="0" w:color="auto"/>
        <w:left w:val="none" w:sz="0" w:space="0" w:color="auto"/>
        <w:bottom w:val="none" w:sz="0" w:space="0" w:color="auto"/>
        <w:right w:val="none" w:sz="0" w:space="0" w:color="auto"/>
      </w:divBdr>
    </w:div>
    <w:div w:id="589586863">
      <w:bodyDiv w:val="1"/>
      <w:marLeft w:val="0"/>
      <w:marRight w:val="0"/>
      <w:marTop w:val="0"/>
      <w:marBottom w:val="0"/>
      <w:divBdr>
        <w:top w:val="none" w:sz="0" w:space="0" w:color="auto"/>
        <w:left w:val="none" w:sz="0" w:space="0" w:color="auto"/>
        <w:bottom w:val="none" w:sz="0" w:space="0" w:color="auto"/>
        <w:right w:val="none" w:sz="0" w:space="0" w:color="auto"/>
      </w:divBdr>
    </w:div>
    <w:div w:id="64153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FDBE0-3084-456C-A040-BD2E2A511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10284</Words>
  <Characters>5862</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16114</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dc:creator>
  <cp:keywords/>
  <cp:lastModifiedBy>Birutė Valkauskaitė</cp:lastModifiedBy>
  <cp:revision>2</cp:revision>
  <dcterms:created xsi:type="dcterms:W3CDTF">2020-07-30T10:39:00Z</dcterms:created>
  <dcterms:modified xsi:type="dcterms:W3CDTF">2020-07-30T10:39:00Z</dcterms:modified>
</cp:coreProperties>
</file>