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47B47" w14:textId="77777777" w:rsidR="00EA4AAC" w:rsidRPr="00EA4AAC" w:rsidRDefault="00EA4AAC" w:rsidP="00EA4AAC">
      <w:pPr>
        <w:tabs>
          <w:tab w:val="left" w:pos="-1440"/>
          <w:tab w:val="left" w:pos="-720"/>
        </w:tabs>
        <w:jc w:val="center"/>
        <w:rPr>
          <w:b/>
        </w:rPr>
      </w:pPr>
    </w:p>
    <w:p w14:paraId="680A5491" w14:textId="77777777" w:rsidR="00EA4AAC" w:rsidRPr="00EA4AAC" w:rsidRDefault="00EA4AAC" w:rsidP="00EA4AAC">
      <w:pPr>
        <w:tabs>
          <w:tab w:val="left" w:pos="-1440"/>
          <w:tab w:val="left" w:pos="-720"/>
        </w:tabs>
        <w:jc w:val="center"/>
        <w:rPr>
          <w:b/>
        </w:rPr>
      </w:pPr>
    </w:p>
    <w:p w14:paraId="6F5B2F97" w14:textId="77777777" w:rsidR="00EA4AAC" w:rsidRPr="00EA4AAC" w:rsidRDefault="00EA4AAC" w:rsidP="00EA4AAC">
      <w:pPr>
        <w:tabs>
          <w:tab w:val="left" w:pos="-1440"/>
          <w:tab w:val="left" w:pos="-720"/>
        </w:tabs>
        <w:jc w:val="center"/>
        <w:rPr>
          <w:b/>
        </w:rPr>
      </w:pPr>
    </w:p>
    <w:p w14:paraId="183DA9CC" w14:textId="77777777" w:rsidR="00EA4AAC" w:rsidRPr="00EA4AAC" w:rsidRDefault="00EA4AAC" w:rsidP="00EA4AAC">
      <w:pPr>
        <w:tabs>
          <w:tab w:val="left" w:pos="-1440"/>
          <w:tab w:val="left" w:pos="-720"/>
        </w:tabs>
        <w:jc w:val="center"/>
        <w:rPr>
          <w:b/>
        </w:rPr>
      </w:pPr>
    </w:p>
    <w:p w14:paraId="10A7A6FE" w14:textId="77777777" w:rsidR="00EA4AAC" w:rsidRPr="00EA4AAC" w:rsidRDefault="00EA4AAC" w:rsidP="00EA4AAC">
      <w:pPr>
        <w:tabs>
          <w:tab w:val="left" w:pos="-1440"/>
          <w:tab w:val="left" w:pos="-720"/>
        </w:tabs>
        <w:jc w:val="center"/>
        <w:rPr>
          <w:b/>
        </w:rPr>
      </w:pPr>
    </w:p>
    <w:p w14:paraId="0ABE1460" w14:textId="77777777" w:rsidR="00EA4AAC" w:rsidRPr="00EA4AAC" w:rsidRDefault="00EA4AAC" w:rsidP="00EA4AAC">
      <w:pPr>
        <w:tabs>
          <w:tab w:val="left" w:pos="-1440"/>
          <w:tab w:val="left" w:pos="-720"/>
        </w:tabs>
        <w:jc w:val="center"/>
        <w:rPr>
          <w:b/>
        </w:rPr>
      </w:pPr>
    </w:p>
    <w:p w14:paraId="39205FE5" w14:textId="77777777" w:rsidR="00EA4AAC" w:rsidRPr="00EA4AAC" w:rsidRDefault="00EA4AAC" w:rsidP="00EA4AAC">
      <w:pPr>
        <w:tabs>
          <w:tab w:val="left" w:pos="-1440"/>
          <w:tab w:val="left" w:pos="-720"/>
        </w:tabs>
        <w:jc w:val="center"/>
        <w:rPr>
          <w:b/>
        </w:rPr>
      </w:pPr>
    </w:p>
    <w:p w14:paraId="2A0BB6CC" w14:textId="77777777" w:rsidR="00EA4AAC" w:rsidRPr="00EA4AAC" w:rsidRDefault="00EA4AAC" w:rsidP="00EA4AAC">
      <w:pPr>
        <w:tabs>
          <w:tab w:val="left" w:pos="-1440"/>
          <w:tab w:val="left" w:pos="-720"/>
        </w:tabs>
        <w:jc w:val="center"/>
        <w:rPr>
          <w:b/>
        </w:rPr>
      </w:pPr>
    </w:p>
    <w:p w14:paraId="1E708B73" w14:textId="77777777" w:rsidR="00EA4AAC" w:rsidRPr="00EA4AAC" w:rsidRDefault="00EA4AAC" w:rsidP="00EA4AAC">
      <w:pPr>
        <w:tabs>
          <w:tab w:val="left" w:pos="-1440"/>
          <w:tab w:val="left" w:pos="-720"/>
        </w:tabs>
        <w:jc w:val="center"/>
        <w:rPr>
          <w:b/>
        </w:rPr>
      </w:pPr>
    </w:p>
    <w:p w14:paraId="5EA27E5C" w14:textId="77777777" w:rsidR="00EA4AAC" w:rsidRPr="00EA4AAC" w:rsidRDefault="00EA4AAC" w:rsidP="00EA4AAC">
      <w:pPr>
        <w:tabs>
          <w:tab w:val="left" w:pos="-1440"/>
          <w:tab w:val="left" w:pos="-720"/>
        </w:tabs>
        <w:jc w:val="center"/>
        <w:rPr>
          <w:b/>
        </w:rPr>
      </w:pPr>
    </w:p>
    <w:p w14:paraId="1AD6897C" w14:textId="77777777" w:rsidR="00EA4AAC" w:rsidRPr="00EA4AAC" w:rsidRDefault="00EA4AAC" w:rsidP="00EA4AAC">
      <w:pPr>
        <w:tabs>
          <w:tab w:val="left" w:pos="-1440"/>
          <w:tab w:val="left" w:pos="-720"/>
        </w:tabs>
        <w:jc w:val="center"/>
        <w:rPr>
          <w:b/>
        </w:rPr>
      </w:pPr>
    </w:p>
    <w:p w14:paraId="33650967" w14:textId="77777777" w:rsidR="00EA4AAC" w:rsidRPr="00EA4AAC" w:rsidRDefault="00EA4AAC" w:rsidP="00EA4AAC">
      <w:pPr>
        <w:tabs>
          <w:tab w:val="left" w:pos="-1440"/>
          <w:tab w:val="left" w:pos="-720"/>
        </w:tabs>
        <w:jc w:val="center"/>
        <w:rPr>
          <w:b/>
        </w:rPr>
      </w:pPr>
    </w:p>
    <w:p w14:paraId="46268677" w14:textId="77777777" w:rsidR="00EA4AAC" w:rsidRPr="00EA4AAC" w:rsidRDefault="00EA4AAC" w:rsidP="00EA4AAC">
      <w:pPr>
        <w:tabs>
          <w:tab w:val="left" w:pos="-1440"/>
          <w:tab w:val="left" w:pos="-720"/>
        </w:tabs>
        <w:jc w:val="center"/>
        <w:rPr>
          <w:b/>
        </w:rPr>
      </w:pPr>
    </w:p>
    <w:p w14:paraId="4F015919" w14:textId="77777777" w:rsidR="00EA4AAC" w:rsidRPr="00EA4AAC" w:rsidRDefault="00EA4AAC" w:rsidP="00EA4AAC">
      <w:pPr>
        <w:tabs>
          <w:tab w:val="left" w:pos="-1440"/>
          <w:tab w:val="left" w:pos="-720"/>
        </w:tabs>
        <w:jc w:val="center"/>
        <w:rPr>
          <w:b/>
        </w:rPr>
      </w:pPr>
    </w:p>
    <w:p w14:paraId="01C3F412" w14:textId="77777777" w:rsidR="00EA4AAC" w:rsidRPr="00EA4AAC" w:rsidRDefault="00EA4AAC" w:rsidP="00EA4AAC">
      <w:pPr>
        <w:tabs>
          <w:tab w:val="left" w:pos="-1440"/>
          <w:tab w:val="left" w:pos="-720"/>
        </w:tabs>
        <w:jc w:val="center"/>
        <w:rPr>
          <w:b/>
        </w:rPr>
      </w:pPr>
    </w:p>
    <w:p w14:paraId="5576FDCD" w14:textId="77777777" w:rsidR="00EA4AAC" w:rsidRPr="00EA4AAC" w:rsidRDefault="00EA4AAC" w:rsidP="00EA4AAC">
      <w:pPr>
        <w:tabs>
          <w:tab w:val="left" w:pos="-1440"/>
          <w:tab w:val="left" w:pos="-720"/>
        </w:tabs>
        <w:jc w:val="center"/>
        <w:rPr>
          <w:b/>
        </w:rPr>
      </w:pPr>
    </w:p>
    <w:p w14:paraId="50F38235" w14:textId="77777777" w:rsidR="00EA4AAC" w:rsidRPr="00EA4AAC" w:rsidRDefault="00EA4AAC" w:rsidP="00EA4AAC">
      <w:pPr>
        <w:tabs>
          <w:tab w:val="left" w:pos="-1440"/>
          <w:tab w:val="left" w:pos="-720"/>
        </w:tabs>
        <w:jc w:val="center"/>
        <w:rPr>
          <w:b/>
        </w:rPr>
      </w:pPr>
    </w:p>
    <w:p w14:paraId="28D708D7" w14:textId="77777777" w:rsidR="00EA4AAC" w:rsidRPr="00EA4AAC" w:rsidRDefault="00EA4AAC" w:rsidP="00EA4AAC">
      <w:pPr>
        <w:tabs>
          <w:tab w:val="left" w:pos="-1440"/>
          <w:tab w:val="left" w:pos="-720"/>
        </w:tabs>
        <w:jc w:val="center"/>
        <w:rPr>
          <w:b/>
        </w:rPr>
      </w:pPr>
    </w:p>
    <w:p w14:paraId="5C7AF4EC" w14:textId="77777777" w:rsidR="00EA4AAC" w:rsidRPr="00EA4AAC" w:rsidRDefault="00EA4AAC" w:rsidP="00EA4AAC">
      <w:pPr>
        <w:tabs>
          <w:tab w:val="left" w:pos="-1440"/>
          <w:tab w:val="left" w:pos="-720"/>
        </w:tabs>
        <w:jc w:val="center"/>
        <w:rPr>
          <w:b/>
        </w:rPr>
      </w:pPr>
    </w:p>
    <w:p w14:paraId="7412F33F" w14:textId="77777777" w:rsidR="00EA4AAC" w:rsidRPr="00EA4AAC" w:rsidRDefault="00EA4AAC" w:rsidP="00EA4AAC">
      <w:pPr>
        <w:tabs>
          <w:tab w:val="left" w:pos="-1440"/>
          <w:tab w:val="left" w:pos="-720"/>
        </w:tabs>
        <w:jc w:val="center"/>
        <w:rPr>
          <w:b/>
        </w:rPr>
      </w:pPr>
    </w:p>
    <w:p w14:paraId="160ABF36" w14:textId="77777777" w:rsidR="00EA4AAC" w:rsidRPr="00EA4AAC" w:rsidRDefault="00EA4AAC" w:rsidP="00EA4AAC">
      <w:pPr>
        <w:tabs>
          <w:tab w:val="left" w:pos="-1440"/>
          <w:tab w:val="left" w:pos="-720"/>
        </w:tabs>
        <w:jc w:val="center"/>
        <w:rPr>
          <w:b/>
        </w:rPr>
      </w:pPr>
    </w:p>
    <w:p w14:paraId="35562FE4" w14:textId="77777777" w:rsidR="00EA4AAC" w:rsidRPr="00EA4AAC" w:rsidRDefault="00EA4AAC" w:rsidP="00EA4AAC">
      <w:pPr>
        <w:tabs>
          <w:tab w:val="left" w:pos="-1440"/>
          <w:tab w:val="left" w:pos="-720"/>
        </w:tabs>
        <w:jc w:val="center"/>
        <w:rPr>
          <w:b/>
        </w:rPr>
      </w:pPr>
    </w:p>
    <w:p w14:paraId="46781D49" w14:textId="77777777" w:rsidR="00EA4AAC" w:rsidRPr="00EA4AAC" w:rsidRDefault="00EA4AAC" w:rsidP="00EA4AAC">
      <w:pPr>
        <w:tabs>
          <w:tab w:val="left" w:pos="-1440"/>
          <w:tab w:val="left" w:pos="-720"/>
        </w:tabs>
        <w:jc w:val="center"/>
        <w:rPr>
          <w:b/>
        </w:rPr>
      </w:pPr>
    </w:p>
    <w:p w14:paraId="09086319" w14:textId="77777777" w:rsidR="00D163B0" w:rsidRPr="00D163B0" w:rsidRDefault="00D163B0" w:rsidP="00D163B0">
      <w:pPr>
        <w:keepNext/>
        <w:spacing w:line="240" w:lineRule="auto"/>
        <w:jc w:val="center"/>
        <w:outlineLvl w:val="1"/>
        <w:rPr>
          <w:b/>
          <w:szCs w:val="24"/>
          <w:lang w:eastAsia="x-none"/>
        </w:rPr>
      </w:pPr>
      <w:r w:rsidRPr="00D163B0">
        <w:rPr>
          <w:b/>
          <w:bCs/>
          <w:iCs/>
          <w:szCs w:val="28"/>
          <w:lang w:eastAsia="x-none"/>
        </w:rPr>
        <w:t>I PRIEDAS</w:t>
      </w:r>
    </w:p>
    <w:p w14:paraId="21CE66F0" w14:textId="77777777" w:rsidR="00D163B0" w:rsidRDefault="00D163B0" w:rsidP="00EA4AAC">
      <w:pPr>
        <w:tabs>
          <w:tab w:val="left" w:pos="-1440"/>
          <w:tab w:val="left" w:pos="-720"/>
        </w:tabs>
        <w:jc w:val="center"/>
        <w:rPr>
          <w:b/>
        </w:rPr>
      </w:pPr>
    </w:p>
    <w:p w14:paraId="064FC927" w14:textId="77777777" w:rsidR="00EA4AAC" w:rsidRPr="00EA4AAC" w:rsidRDefault="00EA4AAC" w:rsidP="00EA4AAC">
      <w:pPr>
        <w:tabs>
          <w:tab w:val="left" w:pos="-1440"/>
          <w:tab w:val="left" w:pos="-720"/>
        </w:tabs>
        <w:jc w:val="center"/>
        <w:rPr>
          <w:b/>
        </w:rPr>
      </w:pPr>
      <w:r w:rsidRPr="00EA4AAC">
        <w:rPr>
          <w:b/>
        </w:rPr>
        <w:t>PREPARATO CHARAKTERISTIKŲ SANTRAUKA</w:t>
      </w:r>
    </w:p>
    <w:p w14:paraId="3DE486FA" w14:textId="77777777" w:rsidR="00EA4AAC" w:rsidRPr="00EA4AAC" w:rsidRDefault="00EA4AAC" w:rsidP="00EA4AAC">
      <w:pPr>
        <w:tabs>
          <w:tab w:val="left" w:pos="-1440"/>
          <w:tab w:val="left" w:pos="-720"/>
        </w:tabs>
        <w:jc w:val="center"/>
        <w:rPr>
          <w:b/>
        </w:rPr>
      </w:pPr>
    </w:p>
    <w:p w14:paraId="031B0C4D" w14:textId="77777777" w:rsidR="00EA4AAC" w:rsidRPr="00EA4AAC" w:rsidRDefault="00EA4AAC">
      <w:pPr>
        <w:tabs>
          <w:tab w:val="clear" w:pos="567"/>
        </w:tabs>
        <w:spacing w:after="200" w:line="276" w:lineRule="auto"/>
        <w:rPr>
          <w:b/>
        </w:rPr>
      </w:pPr>
      <w:r w:rsidRPr="00EA4AAC">
        <w:rPr>
          <w:b/>
        </w:rPr>
        <w:br w:type="page"/>
      </w:r>
    </w:p>
    <w:p w14:paraId="3FB39388" w14:textId="77777777" w:rsidR="00EA4AAC" w:rsidRPr="00EA4AAC" w:rsidRDefault="00EA4AAC" w:rsidP="00EA4AAC">
      <w:pPr>
        <w:pStyle w:val="Antrat3"/>
        <w:spacing w:before="0" w:after="0" w:line="240" w:lineRule="auto"/>
        <w:rPr>
          <w:rFonts w:ascii="Times New Roman" w:hAnsi="Times New Roman"/>
          <w:bCs w:val="0"/>
          <w:sz w:val="22"/>
          <w:szCs w:val="24"/>
        </w:rPr>
      </w:pPr>
      <w:r w:rsidRPr="00EA4AAC">
        <w:rPr>
          <w:rFonts w:ascii="Times New Roman" w:hAnsi="Times New Roman"/>
          <w:bCs w:val="0"/>
          <w:sz w:val="22"/>
          <w:szCs w:val="24"/>
        </w:rPr>
        <w:lastRenderedPageBreak/>
        <w:t>1.</w:t>
      </w:r>
      <w:r w:rsidRPr="00EA4AAC">
        <w:rPr>
          <w:rFonts w:ascii="Times New Roman" w:hAnsi="Times New Roman"/>
          <w:bCs w:val="0"/>
          <w:sz w:val="22"/>
          <w:szCs w:val="24"/>
        </w:rPr>
        <w:tab/>
      </w:r>
      <w:r w:rsidRPr="00EA4AAC">
        <w:rPr>
          <w:rFonts w:ascii="Times New Roman" w:hAnsi="Times New Roman"/>
          <w:sz w:val="22"/>
        </w:rPr>
        <w:t>VAISTINIO PREPARATO PAVADINIMAS</w:t>
      </w:r>
    </w:p>
    <w:p w14:paraId="672F8CAB" w14:textId="77777777" w:rsidR="00EA4AAC" w:rsidRPr="00EA4AAC" w:rsidRDefault="00EA4AAC" w:rsidP="00EA4AAC">
      <w:pPr>
        <w:tabs>
          <w:tab w:val="left" w:pos="-1440"/>
          <w:tab w:val="left" w:pos="-720"/>
        </w:tabs>
        <w:rPr>
          <w:b/>
        </w:rPr>
      </w:pPr>
    </w:p>
    <w:p w14:paraId="263458CF" w14:textId="77777777" w:rsidR="00EA4AAC" w:rsidRPr="00EA4AAC" w:rsidRDefault="007B0E11" w:rsidP="00EA4AAC">
      <w:pPr>
        <w:tabs>
          <w:tab w:val="left" w:pos="-1440"/>
          <w:tab w:val="left" w:pos="-720"/>
        </w:tabs>
      </w:pPr>
      <w:r>
        <w:t>Cinacalcet Teva 30 mg</w:t>
      </w:r>
      <w:r w:rsidR="00E674BF">
        <w:t xml:space="preserve"> </w:t>
      </w:r>
      <w:r w:rsidR="00EA4AAC" w:rsidRPr="00EA4AAC">
        <w:t>plėvele dengtos tabletės</w:t>
      </w:r>
    </w:p>
    <w:p w14:paraId="413FCB20" w14:textId="77777777" w:rsidR="00EA4AAC" w:rsidRPr="007D0562" w:rsidRDefault="00EA4AAC" w:rsidP="00EA4AAC">
      <w:pPr>
        <w:tabs>
          <w:tab w:val="left" w:pos="-1440"/>
          <w:tab w:val="left" w:pos="-720"/>
        </w:tabs>
        <w:rPr>
          <w:highlight w:val="lightGray"/>
        </w:rPr>
      </w:pPr>
      <w:r w:rsidRPr="007D0562">
        <w:rPr>
          <w:highlight w:val="lightGray"/>
        </w:rPr>
        <w:t>Cinacalcet Teva 60</w:t>
      </w:r>
      <w:r w:rsidR="007B0E11" w:rsidRPr="007D0562">
        <w:rPr>
          <w:highlight w:val="lightGray"/>
        </w:rPr>
        <w:t> </w:t>
      </w:r>
      <w:r w:rsidRPr="007D0562">
        <w:rPr>
          <w:highlight w:val="lightGray"/>
        </w:rPr>
        <w:t>mg plėvele dengtos tabletės</w:t>
      </w:r>
    </w:p>
    <w:p w14:paraId="476060DE" w14:textId="77777777" w:rsidR="00EA4AAC" w:rsidRPr="00EA4AAC" w:rsidRDefault="00EA4AAC" w:rsidP="00EA4AAC">
      <w:pPr>
        <w:tabs>
          <w:tab w:val="left" w:pos="-1440"/>
          <w:tab w:val="left" w:pos="-720"/>
        </w:tabs>
      </w:pPr>
      <w:r w:rsidRPr="007D0562">
        <w:rPr>
          <w:highlight w:val="lightGray"/>
        </w:rPr>
        <w:t>Cinacalcet Teva 90</w:t>
      </w:r>
      <w:r w:rsidR="007B0E11" w:rsidRPr="007D0562">
        <w:rPr>
          <w:highlight w:val="lightGray"/>
        </w:rPr>
        <w:t> </w:t>
      </w:r>
      <w:r w:rsidRPr="007D0562">
        <w:rPr>
          <w:highlight w:val="lightGray"/>
        </w:rPr>
        <w:t>mg plėvele dengtos tabletės</w:t>
      </w:r>
    </w:p>
    <w:p w14:paraId="5771011C" w14:textId="77777777" w:rsidR="00EA4AAC" w:rsidRPr="00EA4AAC" w:rsidRDefault="00EA4AAC" w:rsidP="00EA4AAC">
      <w:pPr>
        <w:tabs>
          <w:tab w:val="left" w:pos="-1440"/>
          <w:tab w:val="left" w:pos="-720"/>
        </w:tabs>
        <w:jc w:val="center"/>
      </w:pPr>
    </w:p>
    <w:p w14:paraId="25446E8F" w14:textId="77777777" w:rsidR="005703F4" w:rsidRPr="00EA4AAC" w:rsidRDefault="005703F4"/>
    <w:p w14:paraId="4D522031" w14:textId="77777777" w:rsidR="00EA4AAC" w:rsidRPr="00EA4AAC" w:rsidRDefault="00EA4AAC" w:rsidP="00EA4AAC">
      <w:pPr>
        <w:pStyle w:val="Antrat3"/>
        <w:spacing w:before="0" w:after="0" w:line="240" w:lineRule="auto"/>
        <w:rPr>
          <w:rFonts w:ascii="Times New Roman" w:hAnsi="Times New Roman"/>
          <w:bCs w:val="0"/>
          <w:sz w:val="22"/>
          <w:szCs w:val="24"/>
        </w:rPr>
      </w:pPr>
      <w:r w:rsidRPr="00EA4AAC">
        <w:rPr>
          <w:rFonts w:ascii="Times New Roman" w:hAnsi="Times New Roman"/>
          <w:bCs w:val="0"/>
          <w:sz w:val="22"/>
          <w:szCs w:val="24"/>
        </w:rPr>
        <w:t>2.</w:t>
      </w:r>
      <w:r w:rsidRPr="00EA4AAC">
        <w:rPr>
          <w:rFonts w:ascii="Times New Roman" w:hAnsi="Times New Roman"/>
          <w:bCs w:val="0"/>
          <w:sz w:val="22"/>
          <w:szCs w:val="24"/>
        </w:rPr>
        <w:tab/>
      </w:r>
      <w:r w:rsidRPr="00EA4AAC">
        <w:rPr>
          <w:rFonts w:ascii="Times New Roman" w:hAnsi="Times New Roman"/>
          <w:bCs w:val="0"/>
          <w:noProof/>
          <w:sz w:val="22"/>
          <w:szCs w:val="24"/>
        </w:rPr>
        <w:t>KOKYBINĖ IR KIEKYBINĖ SUDĖTIS</w:t>
      </w:r>
    </w:p>
    <w:p w14:paraId="62A9D323" w14:textId="77777777" w:rsidR="00EA4AAC" w:rsidRPr="00EA4AAC" w:rsidRDefault="00EA4AAC"/>
    <w:p w14:paraId="2815CFAA" w14:textId="77777777" w:rsidR="00EA4AAC" w:rsidRDefault="00EA4AAC">
      <w:r w:rsidRPr="00EA4AAC">
        <w:t>Kiekvienoje tabletėje yra 30</w:t>
      </w:r>
      <w:r w:rsidR="00A50029">
        <w:t> </w:t>
      </w:r>
      <w:r w:rsidRPr="00EA4AAC">
        <w:t>mg cinakalceto (hidrochlorido pavidalu)</w:t>
      </w:r>
      <w:r w:rsidR="00D163B0">
        <w:t>.</w:t>
      </w:r>
    </w:p>
    <w:p w14:paraId="67CC8073" w14:textId="77777777" w:rsidR="00EA4AAC" w:rsidRPr="007D0562" w:rsidRDefault="00EA4AAC" w:rsidP="00EA4AAC">
      <w:pPr>
        <w:rPr>
          <w:highlight w:val="lightGray"/>
        </w:rPr>
      </w:pPr>
      <w:r w:rsidRPr="007D0562">
        <w:rPr>
          <w:highlight w:val="lightGray"/>
        </w:rPr>
        <w:t>Kiekvienoje tabletėje yra 60</w:t>
      </w:r>
      <w:r w:rsidR="00A50029" w:rsidRPr="007D0562">
        <w:rPr>
          <w:highlight w:val="lightGray"/>
        </w:rPr>
        <w:t> </w:t>
      </w:r>
      <w:r w:rsidRPr="007D0562">
        <w:rPr>
          <w:highlight w:val="lightGray"/>
        </w:rPr>
        <w:t>mg cinakalceto (hidrochlorido pavidalu)</w:t>
      </w:r>
      <w:r w:rsidR="00D163B0" w:rsidRPr="007D0562">
        <w:rPr>
          <w:highlight w:val="lightGray"/>
        </w:rPr>
        <w:t>.</w:t>
      </w:r>
    </w:p>
    <w:p w14:paraId="2B68B7DC" w14:textId="77777777" w:rsidR="00EA4AAC" w:rsidRDefault="00EA4AAC" w:rsidP="00EA4AAC">
      <w:r w:rsidRPr="007D0562">
        <w:rPr>
          <w:highlight w:val="lightGray"/>
        </w:rPr>
        <w:t>Kiekvienoje tabletėje yra 90</w:t>
      </w:r>
      <w:r w:rsidR="00A50029" w:rsidRPr="007D0562">
        <w:rPr>
          <w:highlight w:val="lightGray"/>
        </w:rPr>
        <w:t> </w:t>
      </w:r>
      <w:r w:rsidRPr="007D0562">
        <w:rPr>
          <w:highlight w:val="lightGray"/>
        </w:rPr>
        <w:t>mg cinakalceto (hidrochlorido pavidalu)</w:t>
      </w:r>
      <w:r w:rsidR="00D163B0" w:rsidRPr="007D0562">
        <w:rPr>
          <w:highlight w:val="lightGray"/>
        </w:rPr>
        <w:t>.</w:t>
      </w:r>
    </w:p>
    <w:p w14:paraId="6B6244F7" w14:textId="77777777" w:rsidR="00EA4AAC" w:rsidRDefault="00EA4AAC" w:rsidP="00EA4AAC"/>
    <w:p w14:paraId="33FCB3F6" w14:textId="77777777" w:rsidR="00EA4AAC" w:rsidRDefault="00EA4AAC" w:rsidP="00EA4AAC">
      <w:r w:rsidRPr="00976D94">
        <w:rPr>
          <w:noProof/>
          <w:szCs w:val="24"/>
        </w:rPr>
        <w:t>Visos pagalbinės medžiagos išvardytos 6.1 skyriuje</w:t>
      </w:r>
    </w:p>
    <w:p w14:paraId="0090C481" w14:textId="77777777" w:rsidR="00EA4AAC" w:rsidRDefault="00EA4AAC"/>
    <w:p w14:paraId="4CCF3E10" w14:textId="77777777" w:rsidR="00EA4AAC" w:rsidRDefault="00EA4AAC"/>
    <w:p w14:paraId="458CC44E" w14:textId="77777777" w:rsidR="00EA4AAC" w:rsidRDefault="00EA4AAC" w:rsidP="00EA4AAC">
      <w:pPr>
        <w:pStyle w:val="Antrat3"/>
        <w:spacing w:before="0" w:after="0" w:line="240" w:lineRule="auto"/>
        <w:rPr>
          <w:rFonts w:ascii="Times New Roman" w:hAnsi="Times New Roman"/>
          <w:bCs w:val="0"/>
          <w:sz w:val="22"/>
          <w:szCs w:val="24"/>
        </w:rPr>
      </w:pPr>
      <w:r>
        <w:rPr>
          <w:rFonts w:ascii="Times New Roman" w:hAnsi="Times New Roman"/>
          <w:bCs w:val="0"/>
          <w:sz w:val="22"/>
          <w:szCs w:val="24"/>
        </w:rPr>
        <w:t>3.</w:t>
      </w:r>
      <w:r>
        <w:rPr>
          <w:rFonts w:ascii="Times New Roman" w:hAnsi="Times New Roman"/>
          <w:bCs w:val="0"/>
          <w:sz w:val="22"/>
          <w:szCs w:val="24"/>
        </w:rPr>
        <w:tab/>
      </w:r>
      <w:r w:rsidRPr="00976D94">
        <w:rPr>
          <w:rFonts w:ascii="Times New Roman" w:hAnsi="Times New Roman"/>
          <w:bCs w:val="0"/>
          <w:noProof/>
          <w:sz w:val="22"/>
          <w:szCs w:val="24"/>
        </w:rPr>
        <w:t>FARMACINĖ FORMA</w:t>
      </w:r>
    </w:p>
    <w:p w14:paraId="4453B722" w14:textId="77777777" w:rsidR="00EA4AAC" w:rsidRDefault="00EA4AAC"/>
    <w:p w14:paraId="5AA5622D" w14:textId="77777777" w:rsidR="00EA4AAC" w:rsidRDefault="00EA4AAC">
      <w:r>
        <w:t>Plėvele dengta tabletė (tabletė).</w:t>
      </w:r>
    </w:p>
    <w:p w14:paraId="15B4357D" w14:textId="77777777" w:rsidR="00EA4AAC" w:rsidRDefault="00EA4AAC"/>
    <w:p w14:paraId="3D74A76B" w14:textId="3D35F146" w:rsidR="00EA4AAC" w:rsidRDefault="00EA4AAC">
      <w:r>
        <w:t>30</w:t>
      </w:r>
      <w:r w:rsidR="0058254E">
        <w:t> </w:t>
      </w:r>
      <w:r>
        <w:t>mg tabletė: nuo šviesiai žalios iki žalios spalvos, dengta plėvele, ovalo formos tabletė (10</w:t>
      </w:r>
      <w:r w:rsidR="00A50029">
        <w:t> </w:t>
      </w:r>
      <w:r>
        <w:t>mm</w:t>
      </w:r>
      <w:r w:rsidR="00F87429">
        <w:t> x </w:t>
      </w:r>
      <w:r>
        <w:t>6</w:t>
      </w:r>
      <w:r w:rsidR="00A50029">
        <w:t> </w:t>
      </w:r>
      <w:r>
        <w:t>mm), vienoje pusėje įspausta žyma „C30“, kita tabletės pusė lygi.</w:t>
      </w:r>
    </w:p>
    <w:p w14:paraId="3F4797C0" w14:textId="77777777" w:rsidR="00EA4AAC" w:rsidRDefault="00EA4AAC"/>
    <w:p w14:paraId="38957F76" w14:textId="1ABA5D21" w:rsidR="00EA4AAC" w:rsidRPr="007D0562" w:rsidRDefault="00EA4AAC" w:rsidP="00EA4AAC">
      <w:pPr>
        <w:rPr>
          <w:highlight w:val="lightGray"/>
        </w:rPr>
      </w:pPr>
      <w:r w:rsidRPr="007D0562">
        <w:rPr>
          <w:highlight w:val="lightGray"/>
        </w:rPr>
        <w:t>60</w:t>
      </w:r>
      <w:r w:rsidR="0058254E" w:rsidRPr="007D0562">
        <w:rPr>
          <w:highlight w:val="lightGray"/>
        </w:rPr>
        <w:t> </w:t>
      </w:r>
      <w:r w:rsidRPr="007D0562">
        <w:rPr>
          <w:highlight w:val="lightGray"/>
        </w:rPr>
        <w:t>mg tabletė: nuo šviesiai žalios iki žalios spalvos, dengta plėvele, ovalo formos tabletė (13</w:t>
      </w:r>
      <w:r w:rsidR="00A50029" w:rsidRPr="007D0562">
        <w:rPr>
          <w:highlight w:val="lightGray"/>
        </w:rPr>
        <w:t> </w:t>
      </w:r>
      <w:r w:rsidRPr="007D0562">
        <w:rPr>
          <w:highlight w:val="lightGray"/>
        </w:rPr>
        <w:t>mm</w:t>
      </w:r>
      <w:r w:rsidR="00F87429">
        <w:rPr>
          <w:highlight w:val="lightGray"/>
        </w:rPr>
        <w:t> x </w:t>
      </w:r>
      <w:r w:rsidRPr="007D0562">
        <w:rPr>
          <w:highlight w:val="lightGray"/>
        </w:rPr>
        <w:t>8</w:t>
      </w:r>
      <w:r w:rsidR="00A50029" w:rsidRPr="007D0562">
        <w:rPr>
          <w:highlight w:val="lightGray"/>
        </w:rPr>
        <w:t> </w:t>
      </w:r>
      <w:r w:rsidRPr="007D0562">
        <w:rPr>
          <w:highlight w:val="lightGray"/>
        </w:rPr>
        <w:t>mm), vienoje pusėje įspausta žyma „C60“, kita tabletės pusė lygi.</w:t>
      </w:r>
    </w:p>
    <w:p w14:paraId="5A479C1F" w14:textId="77777777" w:rsidR="00EA4AAC" w:rsidRPr="007D0562" w:rsidRDefault="00EA4AAC">
      <w:pPr>
        <w:rPr>
          <w:highlight w:val="lightGray"/>
        </w:rPr>
      </w:pPr>
    </w:p>
    <w:p w14:paraId="083D2B54" w14:textId="06CAA858" w:rsidR="00EA4AAC" w:rsidRDefault="00EA4AAC" w:rsidP="00EA4AAC">
      <w:r w:rsidRPr="007D0562">
        <w:rPr>
          <w:highlight w:val="lightGray"/>
        </w:rPr>
        <w:t>90</w:t>
      </w:r>
      <w:r w:rsidR="0058254E" w:rsidRPr="007D0562">
        <w:rPr>
          <w:highlight w:val="lightGray"/>
        </w:rPr>
        <w:t> </w:t>
      </w:r>
      <w:r w:rsidRPr="007D0562">
        <w:rPr>
          <w:highlight w:val="lightGray"/>
        </w:rPr>
        <w:t>mg tabletė: nuo šviesiai žalios iki žalios spalvos, dengta plėvele, ovalo formos tabletė (15</w:t>
      </w:r>
      <w:r w:rsidR="00A50029" w:rsidRPr="007D0562">
        <w:rPr>
          <w:highlight w:val="lightGray"/>
        </w:rPr>
        <w:t> </w:t>
      </w:r>
      <w:r w:rsidRPr="007D0562">
        <w:rPr>
          <w:highlight w:val="lightGray"/>
        </w:rPr>
        <w:t>mm</w:t>
      </w:r>
      <w:r w:rsidR="00F87429">
        <w:rPr>
          <w:highlight w:val="lightGray"/>
        </w:rPr>
        <w:t> x </w:t>
      </w:r>
      <w:r w:rsidRPr="007D0562">
        <w:rPr>
          <w:highlight w:val="lightGray"/>
        </w:rPr>
        <w:t>9</w:t>
      </w:r>
      <w:r w:rsidR="00A50029" w:rsidRPr="007D0562">
        <w:rPr>
          <w:highlight w:val="lightGray"/>
        </w:rPr>
        <w:t> </w:t>
      </w:r>
      <w:r w:rsidRPr="007D0562">
        <w:rPr>
          <w:highlight w:val="lightGray"/>
        </w:rPr>
        <w:t>mm), vienoje pusėje įspausta žyma „C90“, kita tabletės pusė lygi.</w:t>
      </w:r>
    </w:p>
    <w:p w14:paraId="2DB3F5BB" w14:textId="77777777" w:rsidR="00EA4AAC" w:rsidRDefault="00EA4AAC"/>
    <w:p w14:paraId="6BE6D3F5" w14:textId="77777777" w:rsidR="00EA4AAC" w:rsidRDefault="00EA4AAC"/>
    <w:p w14:paraId="115E53B8" w14:textId="77777777" w:rsidR="00EA4AAC" w:rsidRDefault="00EA4AAC" w:rsidP="00EA4AAC">
      <w:pPr>
        <w:pStyle w:val="Antrat3"/>
        <w:spacing w:before="0" w:after="0" w:line="240" w:lineRule="auto"/>
        <w:rPr>
          <w:rFonts w:ascii="Times New Roman" w:hAnsi="Times New Roman"/>
          <w:bCs w:val="0"/>
          <w:sz w:val="22"/>
          <w:szCs w:val="24"/>
        </w:rPr>
      </w:pPr>
      <w:r>
        <w:rPr>
          <w:rFonts w:ascii="Times New Roman" w:hAnsi="Times New Roman"/>
          <w:bCs w:val="0"/>
          <w:sz w:val="22"/>
          <w:szCs w:val="24"/>
        </w:rPr>
        <w:t>4.</w:t>
      </w:r>
      <w:r>
        <w:rPr>
          <w:rFonts w:ascii="Times New Roman" w:hAnsi="Times New Roman"/>
          <w:bCs w:val="0"/>
          <w:sz w:val="22"/>
          <w:szCs w:val="24"/>
        </w:rPr>
        <w:tab/>
      </w:r>
      <w:r w:rsidRPr="00976D94">
        <w:rPr>
          <w:rFonts w:ascii="Times New Roman" w:hAnsi="Times New Roman"/>
          <w:bCs w:val="0"/>
          <w:noProof/>
          <w:sz w:val="22"/>
          <w:szCs w:val="24"/>
        </w:rPr>
        <w:t>KLINIKINĖ INFORMACIJA</w:t>
      </w:r>
    </w:p>
    <w:p w14:paraId="6ABE7B1B" w14:textId="77777777" w:rsidR="00EA4AAC" w:rsidRPr="00EA4AAC" w:rsidRDefault="00EA4AAC" w:rsidP="00EA4AAC">
      <w:pPr>
        <w:pStyle w:val="Antrat4"/>
        <w:rPr>
          <w:rFonts w:ascii="Times New Roman" w:hAnsi="Times New Roman"/>
          <w:bCs w:val="0"/>
          <w:i w:val="0"/>
          <w:color w:val="auto"/>
          <w:szCs w:val="24"/>
        </w:rPr>
      </w:pPr>
      <w:r w:rsidRPr="00EA4AAC">
        <w:rPr>
          <w:rFonts w:ascii="Times New Roman" w:hAnsi="Times New Roman"/>
          <w:bCs w:val="0"/>
          <w:i w:val="0"/>
          <w:color w:val="auto"/>
          <w:szCs w:val="24"/>
        </w:rPr>
        <w:t>4.1</w:t>
      </w:r>
      <w:r w:rsidRPr="00EA4AAC">
        <w:rPr>
          <w:rFonts w:ascii="Times New Roman" w:hAnsi="Times New Roman"/>
          <w:bCs w:val="0"/>
          <w:i w:val="0"/>
          <w:color w:val="auto"/>
          <w:szCs w:val="24"/>
        </w:rPr>
        <w:tab/>
      </w:r>
      <w:r w:rsidRPr="00EA4AAC">
        <w:rPr>
          <w:rFonts w:ascii="Times New Roman" w:hAnsi="Times New Roman"/>
          <w:bCs w:val="0"/>
          <w:i w:val="0"/>
          <w:noProof/>
          <w:color w:val="auto"/>
          <w:szCs w:val="24"/>
        </w:rPr>
        <w:t>Terapinės indikacijos</w:t>
      </w:r>
    </w:p>
    <w:p w14:paraId="28859CAB" w14:textId="77777777" w:rsidR="00EA4AAC" w:rsidRDefault="00EA4AAC"/>
    <w:p w14:paraId="28D80824" w14:textId="77777777" w:rsidR="00575C08" w:rsidRPr="00D42F2E" w:rsidRDefault="00575C08" w:rsidP="00575C08">
      <w:pPr>
        <w:tabs>
          <w:tab w:val="clear" w:pos="567"/>
        </w:tabs>
        <w:autoSpaceDE w:val="0"/>
        <w:autoSpaceDN w:val="0"/>
        <w:adjustRightInd w:val="0"/>
        <w:spacing w:line="240" w:lineRule="auto"/>
      </w:pPr>
      <w:r w:rsidRPr="00D42F2E">
        <w:t>Antrinė hiperparatirozė</w:t>
      </w:r>
    </w:p>
    <w:p w14:paraId="02BD1384" w14:textId="77777777" w:rsidR="00575C08" w:rsidRDefault="00575C08" w:rsidP="00575C08">
      <w:pPr>
        <w:rPr>
          <w:rFonts w:ascii="TimesNewRomanPS-ItalicMT" w:eastAsia="Calibri" w:hAnsi="TimesNewRomanPS-ItalicMT" w:cs="TimesNewRomanPS-ItalicMT"/>
          <w:i/>
          <w:iCs/>
          <w:snapToGrid/>
          <w:szCs w:val="22"/>
          <w:lang w:eastAsia="lt-LT"/>
        </w:rPr>
      </w:pPr>
    </w:p>
    <w:p w14:paraId="2AA2588A" w14:textId="77777777" w:rsidR="00575C08" w:rsidRDefault="00575C08" w:rsidP="00575C08">
      <w:pPr>
        <w:rPr>
          <w:szCs w:val="22"/>
        </w:rPr>
      </w:pPr>
      <w:r>
        <w:rPr>
          <w:rFonts w:ascii="TimesNewRomanPS-ItalicMT" w:eastAsia="Calibri" w:hAnsi="TimesNewRomanPS-ItalicMT" w:cs="TimesNewRomanPS-ItalicMT"/>
          <w:i/>
          <w:iCs/>
          <w:snapToGrid/>
          <w:szCs w:val="22"/>
          <w:lang w:eastAsia="lt-LT"/>
        </w:rPr>
        <w:t>Suaugusieji</w:t>
      </w:r>
    </w:p>
    <w:p w14:paraId="312B78B5" w14:textId="77777777" w:rsidR="0063369A" w:rsidRPr="0063369A" w:rsidRDefault="00F124F8" w:rsidP="0063369A">
      <w:r>
        <w:rPr>
          <w:szCs w:val="22"/>
        </w:rPr>
        <w:t>A</w:t>
      </w:r>
      <w:r w:rsidRPr="00051CA1">
        <w:rPr>
          <w:szCs w:val="22"/>
        </w:rPr>
        <w:t>ntrin</w:t>
      </w:r>
      <w:r>
        <w:rPr>
          <w:szCs w:val="22"/>
        </w:rPr>
        <w:t>ės</w:t>
      </w:r>
      <w:r w:rsidRPr="00051CA1">
        <w:rPr>
          <w:szCs w:val="22"/>
        </w:rPr>
        <w:t xml:space="preserve"> hiperparatiroz</w:t>
      </w:r>
      <w:r>
        <w:rPr>
          <w:szCs w:val="22"/>
        </w:rPr>
        <w:t xml:space="preserve">ės </w:t>
      </w:r>
      <w:r w:rsidRPr="00051CA1">
        <w:rPr>
          <w:szCs w:val="22"/>
        </w:rPr>
        <w:t xml:space="preserve">(HPT) </w:t>
      </w:r>
      <w:r>
        <w:rPr>
          <w:szCs w:val="22"/>
        </w:rPr>
        <w:t xml:space="preserve">gydymas </w:t>
      </w:r>
      <w:r w:rsidR="0063369A" w:rsidRPr="0063369A">
        <w:t>terminalinė</w:t>
      </w:r>
      <w:r w:rsidR="00DF3EC5">
        <w:t>s stadijos</w:t>
      </w:r>
      <w:r w:rsidR="0063369A" w:rsidRPr="0063369A">
        <w:t xml:space="preserve"> inkstų liga (TIL) </w:t>
      </w:r>
      <w:r>
        <w:rPr>
          <w:szCs w:val="22"/>
        </w:rPr>
        <w:t>sergantiems</w:t>
      </w:r>
      <w:r w:rsidR="005A4828">
        <w:rPr>
          <w:szCs w:val="22"/>
        </w:rPr>
        <w:t xml:space="preserve"> suaugusiems</w:t>
      </w:r>
      <w:r>
        <w:rPr>
          <w:szCs w:val="22"/>
        </w:rPr>
        <w:t xml:space="preserve"> pacientams</w:t>
      </w:r>
      <w:r w:rsidRPr="00051CA1">
        <w:rPr>
          <w:szCs w:val="22"/>
        </w:rPr>
        <w:t>,</w:t>
      </w:r>
      <w:r w:rsidR="0063369A" w:rsidRPr="0063369A">
        <w:t xml:space="preserve"> kuriems taikomas palaikomasis gydymas dialize</w:t>
      </w:r>
      <w:r>
        <w:t xml:space="preserve">. </w:t>
      </w:r>
    </w:p>
    <w:p w14:paraId="6BC288AD" w14:textId="77777777" w:rsidR="0063369A" w:rsidRDefault="0063369A" w:rsidP="0063369A"/>
    <w:p w14:paraId="21023548" w14:textId="77777777" w:rsidR="005A4828" w:rsidRPr="00382558" w:rsidRDefault="005A4828" w:rsidP="005A4828">
      <w:pPr>
        <w:rPr>
          <w:i/>
        </w:rPr>
      </w:pPr>
      <w:r w:rsidRPr="00382558">
        <w:rPr>
          <w:i/>
        </w:rPr>
        <w:t>Vaikų populiacija</w:t>
      </w:r>
    </w:p>
    <w:p w14:paraId="6CC2DC4D" w14:textId="42AF8C69" w:rsidR="005A4828" w:rsidRPr="00382558" w:rsidRDefault="005A4828" w:rsidP="005A4828">
      <w:r w:rsidRPr="00382558">
        <w:t xml:space="preserve">3-jų metų ir vyresnių vaikų, kuriems yra terminalinė inkstų ligos stadija (TILS) ir kuriems taikomas palaikomasis gydymas dialize antrinei hiperparatirozei </w:t>
      </w:r>
      <w:r w:rsidR="00F64E28" w:rsidRPr="00382558">
        <w:t xml:space="preserve">(HPT) </w:t>
      </w:r>
      <w:r w:rsidRPr="00382558">
        <w:t xml:space="preserve">gydyti, kai antrinė HPT nėra tinkamai </w:t>
      </w:r>
      <w:r w:rsidR="00F64E28" w:rsidRPr="00382558">
        <w:t>suvaldyta</w:t>
      </w:r>
      <w:r w:rsidRPr="00382558">
        <w:t xml:space="preserve"> taikant standartinį gydymą (žr. 4.4 skyrių).</w:t>
      </w:r>
    </w:p>
    <w:p w14:paraId="0A8A6B50" w14:textId="77777777" w:rsidR="005A4828" w:rsidRPr="00382558" w:rsidRDefault="005A4828" w:rsidP="0063369A"/>
    <w:p w14:paraId="7B43A0EB" w14:textId="77777777" w:rsidR="0063369A" w:rsidRPr="00382558" w:rsidRDefault="0063369A" w:rsidP="0063369A">
      <w:r w:rsidRPr="00382558">
        <w:t xml:space="preserve">Cinacalcet </w:t>
      </w:r>
      <w:r w:rsidR="0028276B" w:rsidRPr="00382558">
        <w:t>Teva</w:t>
      </w:r>
      <w:r w:rsidRPr="00382558">
        <w:t xml:space="preserve"> gali būti gydymo fosfato rišikliais ir (ar) vitamino D steroliais dalis (žr. 5.1 skyrių).</w:t>
      </w:r>
    </w:p>
    <w:p w14:paraId="6C8154CC" w14:textId="77777777" w:rsidR="005A4828" w:rsidRPr="00382558" w:rsidRDefault="005A4828" w:rsidP="0063369A"/>
    <w:p w14:paraId="389F1903" w14:textId="77777777" w:rsidR="005A4828" w:rsidRPr="00D42F2E" w:rsidRDefault="005A4828" w:rsidP="0063369A">
      <w:pPr>
        <w:rPr>
          <w:u w:val="single"/>
        </w:rPr>
      </w:pPr>
      <w:r w:rsidRPr="00382558">
        <w:rPr>
          <w:u w:val="single"/>
        </w:rPr>
        <w:t>Suaugusiųjų prieskydinių liaukų karcinoma ir pirminė hiperparatirozė</w:t>
      </w:r>
    </w:p>
    <w:p w14:paraId="4A8F4827" w14:textId="77777777" w:rsidR="0063369A" w:rsidRDefault="0063369A" w:rsidP="0063369A"/>
    <w:p w14:paraId="75CFE59E" w14:textId="77777777" w:rsidR="0063369A" w:rsidRPr="0063369A" w:rsidRDefault="0063369A" w:rsidP="0063369A">
      <w:r w:rsidRPr="0063369A">
        <w:t xml:space="preserve">Hiperkalcemijos mažinimas </w:t>
      </w:r>
      <w:r w:rsidR="005A4828">
        <w:t xml:space="preserve">suaugusiems </w:t>
      </w:r>
      <w:r w:rsidRPr="0063369A">
        <w:t>pacientams:</w:t>
      </w:r>
    </w:p>
    <w:p w14:paraId="43A8DC5A" w14:textId="77777777" w:rsidR="0063369A" w:rsidRPr="0063369A" w:rsidRDefault="0063369A" w:rsidP="0063369A">
      <w:pPr>
        <w:pStyle w:val="Sraopastraipa"/>
        <w:numPr>
          <w:ilvl w:val="0"/>
          <w:numId w:val="1"/>
        </w:numPr>
      </w:pPr>
      <w:r w:rsidRPr="0063369A">
        <w:t>sergantiems prieskydinių liaukų karcinoma</w:t>
      </w:r>
      <w:r w:rsidR="00A50029">
        <w:t>;</w:t>
      </w:r>
    </w:p>
    <w:p w14:paraId="401A4F92" w14:textId="77777777" w:rsidR="00EA4AAC" w:rsidRDefault="0063369A" w:rsidP="00506DA5">
      <w:pPr>
        <w:pStyle w:val="Sraopastraipa"/>
        <w:numPr>
          <w:ilvl w:val="0"/>
          <w:numId w:val="1"/>
        </w:numPr>
      </w:pPr>
      <w:r w:rsidRPr="0063369A">
        <w:lastRenderedPageBreak/>
        <w:t>sergantiems pirmine HPT, kuriems, atsižvelgiant į kalcio koncentraciją serume, yra reikalinga</w:t>
      </w:r>
      <w:r w:rsidR="00A50029">
        <w:t xml:space="preserve"> </w:t>
      </w:r>
      <w:r w:rsidRPr="0063369A">
        <w:t>paratiroidektomija (</w:t>
      </w:r>
      <w:r w:rsidR="009C4BB1">
        <w:t xml:space="preserve">nustatyta </w:t>
      </w:r>
      <w:r w:rsidRPr="0063369A">
        <w:t>pagal tinkamas gydymo gaires), tačiau kurios dėl klinikinių priežasčių arba</w:t>
      </w:r>
      <w:r w:rsidR="00A50029">
        <w:t xml:space="preserve"> </w:t>
      </w:r>
      <w:r w:rsidRPr="0063369A">
        <w:t>kontraindikacijų atlikti negalima.</w:t>
      </w:r>
    </w:p>
    <w:p w14:paraId="4C6B7CF0" w14:textId="77777777" w:rsidR="0063369A" w:rsidRDefault="0063369A" w:rsidP="0063369A">
      <w:pPr>
        <w:pStyle w:val="Antrat4"/>
        <w:rPr>
          <w:rFonts w:ascii="Times New Roman" w:hAnsi="Times New Roman"/>
          <w:bCs w:val="0"/>
          <w:i w:val="0"/>
          <w:noProof/>
          <w:color w:val="auto"/>
          <w:szCs w:val="24"/>
        </w:rPr>
      </w:pPr>
      <w:r w:rsidRPr="0063369A">
        <w:rPr>
          <w:rFonts w:ascii="Times New Roman" w:hAnsi="Times New Roman"/>
          <w:bCs w:val="0"/>
          <w:i w:val="0"/>
          <w:color w:val="auto"/>
          <w:szCs w:val="24"/>
        </w:rPr>
        <w:t>4.2</w:t>
      </w:r>
      <w:r w:rsidRPr="0063369A">
        <w:rPr>
          <w:rFonts w:ascii="Times New Roman" w:hAnsi="Times New Roman"/>
          <w:bCs w:val="0"/>
          <w:i w:val="0"/>
          <w:color w:val="auto"/>
          <w:szCs w:val="24"/>
        </w:rPr>
        <w:tab/>
      </w:r>
      <w:r w:rsidRPr="0063369A">
        <w:rPr>
          <w:rFonts w:ascii="Times New Roman" w:hAnsi="Times New Roman"/>
          <w:bCs w:val="0"/>
          <w:i w:val="0"/>
          <w:noProof/>
          <w:color w:val="auto"/>
          <w:szCs w:val="24"/>
        </w:rPr>
        <w:t>Dozavimas ir vartojimo metodas</w:t>
      </w:r>
    </w:p>
    <w:p w14:paraId="52A4E86A" w14:textId="77777777" w:rsidR="0063369A" w:rsidRDefault="0063369A" w:rsidP="0063369A"/>
    <w:p w14:paraId="1B75138F" w14:textId="77777777" w:rsidR="0063369A" w:rsidRDefault="0063369A" w:rsidP="0063369A">
      <w:pPr>
        <w:rPr>
          <w:u w:val="single"/>
        </w:rPr>
      </w:pPr>
      <w:r w:rsidRPr="0063369A">
        <w:rPr>
          <w:u w:val="single"/>
        </w:rPr>
        <w:t>Dozavimas</w:t>
      </w:r>
    </w:p>
    <w:p w14:paraId="757C21BF" w14:textId="77777777" w:rsidR="0063369A" w:rsidRPr="0063369A" w:rsidRDefault="0063369A" w:rsidP="0063369A"/>
    <w:p w14:paraId="3627A38F" w14:textId="77777777" w:rsidR="0063369A" w:rsidRDefault="0063369A" w:rsidP="0063369A">
      <w:pPr>
        <w:rPr>
          <w:u w:val="single"/>
        </w:rPr>
      </w:pPr>
      <w:r w:rsidRPr="0063369A">
        <w:rPr>
          <w:u w:val="single"/>
        </w:rPr>
        <w:t>Antrinė hiperparatirozė</w:t>
      </w:r>
    </w:p>
    <w:p w14:paraId="29BA7280" w14:textId="77777777" w:rsidR="0063369A" w:rsidRPr="0063369A" w:rsidRDefault="0063369A" w:rsidP="0063369A">
      <w:pPr>
        <w:rPr>
          <w:u w:val="single"/>
        </w:rPr>
      </w:pPr>
    </w:p>
    <w:p w14:paraId="70C77243" w14:textId="77777777" w:rsidR="0063369A" w:rsidRDefault="0063369A" w:rsidP="0063369A">
      <w:pPr>
        <w:rPr>
          <w:i/>
        </w:rPr>
      </w:pPr>
      <w:r w:rsidRPr="0063369A">
        <w:rPr>
          <w:i/>
        </w:rPr>
        <w:t>Suaugusie</w:t>
      </w:r>
      <w:r w:rsidR="00DF3EC5">
        <w:rPr>
          <w:i/>
        </w:rPr>
        <w:t>siems</w:t>
      </w:r>
      <w:r w:rsidRPr="0063369A">
        <w:rPr>
          <w:i/>
        </w:rPr>
        <w:t xml:space="preserve"> ir senyvi</w:t>
      </w:r>
      <w:r w:rsidR="00DF3EC5">
        <w:rPr>
          <w:i/>
        </w:rPr>
        <w:t>ems pacientams</w:t>
      </w:r>
      <w:r w:rsidRPr="0063369A">
        <w:rPr>
          <w:i/>
        </w:rPr>
        <w:t xml:space="preserve"> (&gt; 65 metų)</w:t>
      </w:r>
    </w:p>
    <w:p w14:paraId="2E776568" w14:textId="77777777" w:rsidR="0063369A" w:rsidRPr="0063369A" w:rsidRDefault="0063369A" w:rsidP="0063369A">
      <w:pPr>
        <w:rPr>
          <w:i/>
        </w:rPr>
      </w:pPr>
    </w:p>
    <w:p w14:paraId="357A245E" w14:textId="77777777" w:rsidR="0063369A" w:rsidRDefault="0063369A" w:rsidP="0063369A">
      <w:r w:rsidRPr="0063369A">
        <w:t>Rekomenduojama pradinė dozė suaugusiesiems yra 30</w:t>
      </w:r>
      <w:r w:rsidR="00A50029">
        <w:t> </w:t>
      </w:r>
      <w:r w:rsidRPr="0063369A">
        <w:t>mg v</w:t>
      </w:r>
      <w:r w:rsidR="0028276B">
        <w:t>ieną kartą per parą. Cinac</w:t>
      </w:r>
      <w:r>
        <w:t>alcet Teva</w:t>
      </w:r>
      <w:r w:rsidRPr="0063369A">
        <w:t xml:space="preserve"> dozę reikia</w:t>
      </w:r>
      <w:r>
        <w:t xml:space="preserve"> </w:t>
      </w:r>
      <w:r w:rsidRPr="0063369A">
        <w:t xml:space="preserve">koreguoti kas 2-4 savaites iki didžiausios </w:t>
      </w:r>
      <w:r w:rsidRPr="00A50029">
        <w:t>180</w:t>
      </w:r>
      <w:r w:rsidR="00A50029">
        <w:t> </w:t>
      </w:r>
      <w:r w:rsidRPr="00A50029">
        <w:t>mg</w:t>
      </w:r>
      <w:r w:rsidRPr="0063369A">
        <w:t xml:space="preserve"> vieną kartą per parą dozės, kad dializuojamiems</w:t>
      </w:r>
      <w:r w:rsidR="00A50029">
        <w:t xml:space="preserve"> </w:t>
      </w:r>
      <w:r w:rsidRPr="0063369A">
        <w:t>pacientams būtų pasiekta tikslinė PTH (paratiroidinio hormono) koncentracija 150-300</w:t>
      </w:r>
      <w:r w:rsidR="00A50029">
        <w:t> </w:t>
      </w:r>
      <w:r w:rsidRPr="0063369A">
        <w:t>pg/ml</w:t>
      </w:r>
      <w:r w:rsidR="00A50029">
        <w:t xml:space="preserve"> </w:t>
      </w:r>
      <w:r w:rsidRPr="0063369A">
        <w:t>(15,9-31,</w:t>
      </w:r>
      <w:r w:rsidRPr="00A50029">
        <w:t>8</w:t>
      </w:r>
      <w:r w:rsidR="00A50029">
        <w:t> </w:t>
      </w:r>
      <w:r w:rsidRPr="00A50029">
        <w:t>pmol</w:t>
      </w:r>
      <w:r w:rsidRPr="0063369A">
        <w:t>/l), nustatant intaktinį PTH (iPTH). PTH koncentracija turi bū</w:t>
      </w:r>
      <w:r>
        <w:t xml:space="preserve">ti nustatoma praėjus mažiausiai </w:t>
      </w:r>
      <w:r w:rsidRPr="0063369A">
        <w:t>1</w:t>
      </w:r>
      <w:r>
        <w:t xml:space="preserve">2 valandų po </w:t>
      </w:r>
      <w:r w:rsidR="0028276B">
        <w:t>Cinacalcet Teva</w:t>
      </w:r>
      <w:r w:rsidR="00A50029">
        <w:t xml:space="preserve"> </w:t>
      </w:r>
      <w:r w:rsidRPr="0063369A">
        <w:t>dozės</w:t>
      </w:r>
      <w:r w:rsidR="007A1503">
        <w:t xml:space="preserve"> pavartojimo</w:t>
      </w:r>
      <w:r w:rsidRPr="0063369A">
        <w:t xml:space="preserve">. Reikia vadovautis </w:t>
      </w:r>
      <w:r w:rsidR="00E674BF">
        <w:t>esamomis</w:t>
      </w:r>
      <w:r w:rsidRPr="0063369A">
        <w:t xml:space="preserve"> gydymo gairėmis.</w:t>
      </w:r>
    </w:p>
    <w:p w14:paraId="29D1FEF8" w14:textId="77777777" w:rsidR="0063369A" w:rsidRPr="0063369A" w:rsidRDefault="0063369A" w:rsidP="0063369A"/>
    <w:p w14:paraId="782F3B3E" w14:textId="77777777" w:rsidR="0063369A" w:rsidRDefault="0063369A" w:rsidP="0063369A">
      <w:r w:rsidRPr="0063369A">
        <w:t>PTH koncentraciją reikia tirti po 1-4</w:t>
      </w:r>
      <w:r>
        <w:t xml:space="preserve"> savaičių nuo gydymo </w:t>
      </w:r>
      <w:r w:rsidR="0028276B">
        <w:t>Cinacalcet Teva</w:t>
      </w:r>
      <w:r w:rsidR="00E674BF">
        <w:t xml:space="preserve"> </w:t>
      </w:r>
      <w:r w:rsidRPr="0063369A">
        <w:t>pradžios arba dozės koregavimo.</w:t>
      </w:r>
      <w:r>
        <w:t xml:space="preserve"> </w:t>
      </w:r>
      <w:r w:rsidRPr="0063369A">
        <w:t>Palaikomojo gydymo metu PTH reikia matuoti maždaug kas 1–3 mėnesius. PTH koncentracijai nustatyti</w:t>
      </w:r>
      <w:r>
        <w:t xml:space="preserve"> </w:t>
      </w:r>
      <w:r w:rsidRPr="0063369A">
        <w:t xml:space="preserve">galima analizuoti intaktinį PTH (iPTH) ar biointaktinį </w:t>
      </w:r>
      <w:r>
        <w:t xml:space="preserve">PTH (biPTH). Gydymas </w:t>
      </w:r>
      <w:r w:rsidR="0028276B">
        <w:t>Cinacalcet Teva</w:t>
      </w:r>
      <w:r w:rsidR="00B7372A">
        <w:t xml:space="preserve"> </w:t>
      </w:r>
      <w:r w:rsidRPr="0063369A">
        <w:t>neturi įtakos</w:t>
      </w:r>
      <w:r>
        <w:t xml:space="preserve"> </w:t>
      </w:r>
      <w:r w:rsidRPr="0063369A">
        <w:t>iPTH ir biPTH santykiui.</w:t>
      </w:r>
    </w:p>
    <w:p w14:paraId="4700C0D8" w14:textId="77777777" w:rsidR="005A4828" w:rsidRDefault="005A4828" w:rsidP="0063369A"/>
    <w:p w14:paraId="02F2FA1C" w14:textId="77777777" w:rsidR="005A4828" w:rsidRPr="00D42F2E" w:rsidRDefault="005A4828" w:rsidP="005A4828">
      <w:pPr>
        <w:rPr>
          <w:i/>
        </w:rPr>
      </w:pPr>
      <w:r w:rsidRPr="00D42F2E">
        <w:rPr>
          <w:i/>
        </w:rPr>
        <w:t>Dozės koregavimas pagal kalcio koncentraciją serume</w:t>
      </w:r>
    </w:p>
    <w:p w14:paraId="3E71BD45" w14:textId="77777777" w:rsidR="005A4828" w:rsidRDefault="005A4828" w:rsidP="005A4828">
      <w:r>
        <w:t>Prieš skiriant pirmąją Cinacalcet Teva dozę reikia tirti ir kontroliuoti koreguotą kalcio koncentraciją, kuri turi būti ties apatine normos riba arba didesnė (žr. 4.4 skyrių). Kalcio normos ribos gali skirtis priklausomai nuo jūsų vietinėje laboratorijoje taikomų metodų.</w:t>
      </w:r>
    </w:p>
    <w:p w14:paraId="2C76C348" w14:textId="77777777" w:rsidR="0063369A" w:rsidRPr="0063369A" w:rsidRDefault="0063369A" w:rsidP="0063369A"/>
    <w:p w14:paraId="632E6903" w14:textId="39A2994C" w:rsidR="0063369A" w:rsidRDefault="0063369A" w:rsidP="00CA093C">
      <w:r w:rsidRPr="0063369A">
        <w:t>Titruojant dozę, būtina dažnai nustatyti kalcio koncentraciją serume, taip pat reikia ją tirti vieną savaitę</w:t>
      </w:r>
      <w:r w:rsidR="00A50029">
        <w:t xml:space="preserve"> </w:t>
      </w:r>
      <w:r>
        <w:t xml:space="preserve">pradėjus gydyti </w:t>
      </w:r>
      <w:r w:rsidR="0028276B">
        <w:t>Cinacalcet Teva</w:t>
      </w:r>
      <w:r w:rsidRPr="0063369A">
        <w:t>ar pakoregavus jo dozę. Nustačius palaikomąją dozę, kalcio koncentraciją</w:t>
      </w:r>
      <w:r>
        <w:t xml:space="preserve"> </w:t>
      </w:r>
      <w:r w:rsidRPr="0063369A">
        <w:t xml:space="preserve">serume reikia matuoti maždaug kas mėnesį. </w:t>
      </w:r>
      <w:r w:rsidR="00CA093C">
        <w:t>Jei koreguota kalcio koncentracija serume tampa mažesnė nei 8,4</w:t>
      </w:r>
      <w:r w:rsidR="0072097D">
        <w:t> </w:t>
      </w:r>
      <w:r w:rsidR="00CA093C">
        <w:t>mg/dl (2,1 mmol/l) ir (arba) atsiranda hipokalcemijos simptomų, rekomenduojama elgtis kaip toliau aprašyta:</w:t>
      </w:r>
    </w:p>
    <w:p w14:paraId="067F795A" w14:textId="77777777" w:rsidR="0063369A" w:rsidRDefault="0063369A" w:rsidP="006336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699"/>
      </w:tblGrid>
      <w:tr w:rsidR="00CA093C" w14:paraId="5D596952" w14:textId="77777777" w:rsidTr="004E2EF1">
        <w:tc>
          <w:tcPr>
            <w:tcW w:w="4810" w:type="dxa"/>
            <w:shd w:val="clear" w:color="auto" w:fill="auto"/>
          </w:tcPr>
          <w:p w14:paraId="635F1C54" w14:textId="77777777" w:rsidR="00CA093C" w:rsidRPr="005C245A" w:rsidRDefault="00CA093C" w:rsidP="00CA093C">
            <w:pPr>
              <w:rPr>
                <w:b/>
              </w:rPr>
            </w:pPr>
            <w:r w:rsidRPr="005C245A">
              <w:rPr>
                <w:b/>
              </w:rPr>
              <w:t>Koreguota kalcio koncentracija serume arba klinikiniai hipokalcemijos simptomai</w:t>
            </w:r>
          </w:p>
        </w:tc>
        <w:tc>
          <w:tcPr>
            <w:tcW w:w="4810" w:type="dxa"/>
            <w:shd w:val="clear" w:color="auto" w:fill="auto"/>
          </w:tcPr>
          <w:p w14:paraId="52CEA9EA" w14:textId="77777777" w:rsidR="00CA093C" w:rsidRDefault="00CA093C" w:rsidP="004E2EF1">
            <w:pPr>
              <w:jc w:val="center"/>
            </w:pPr>
            <w:r w:rsidRPr="004E2EF1">
              <w:rPr>
                <w:rFonts w:ascii="TimesNewRomanPS-BoldMT" w:eastAsia="Calibri" w:hAnsi="TimesNewRomanPS-BoldMT" w:cs="TimesNewRomanPS-BoldMT"/>
                <w:b/>
                <w:bCs/>
                <w:snapToGrid/>
                <w:szCs w:val="22"/>
                <w:lang w:eastAsia="lt-LT"/>
              </w:rPr>
              <w:t>Rekomendacijos</w:t>
            </w:r>
          </w:p>
        </w:tc>
      </w:tr>
      <w:tr w:rsidR="00CA093C" w14:paraId="4C82D7C7" w14:textId="77777777" w:rsidTr="004E2EF1">
        <w:tc>
          <w:tcPr>
            <w:tcW w:w="4810" w:type="dxa"/>
            <w:shd w:val="clear" w:color="auto" w:fill="auto"/>
          </w:tcPr>
          <w:p w14:paraId="4A2A5D88" w14:textId="77777777" w:rsidR="00CA093C" w:rsidRDefault="00CA093C" w:rsidP="00CA093C">
            <w:r>
              <w:t>&lt;8,4 mg/dl (2,1 mmol/l) ir &gt;7,5 mg/dl (1,9 mmol/l), arba pasireiškus klinikiniams hipokalcemijos simptomams</w:t>
            </w:r>
          </w:p>
        </w:tc>
        <w:tc>
          <w:tcPr>
            <w:tcW w:w="4810" w:type="dxa"/>
            <w:shd w:val="clear" w:color="auto" w:fill="auto"/>
          </w:tcPr>
          <w:p w14:paraId="56531614" w14:textId="77777777" w:rsidR="00CA093C" w:rsidRDefault="00CA093C" w:rsidP="00CA093C">
            <w:r>
              <w:t>Atsižvelgiant į klinikinę situaciją galima skirti kalcio turinčių fosfatų rišiklių, vitamino D sterolių ir (arba) koreguoti kalcio koncentraciją dializės skystyje, kad kalcio koncentracija serume padidėtų.</w:t>
            </w:r>
          </w:p>
        </w:tc>
      </w:tr>
      <w:tr w:rsidR="00CA093C" w14:paraId="39B858F4" w14:textId="77777777" w:rsidTr="004E2EF1">
        <w:tc>
          <w:tcPr>
            <w:tcW w:w="4810" w:type="dxa"/>
            <w:shd w:val="clear" w:color="auto" w:fill="auto"/>
          </w:tcPr>
          <w:p w14:paraId="529CD751" w14:textId="77777777" w:rsidR="00CA093C" w:rsidRDefault="00CA093C" w:rsidP="00CA093C">
            <w:r>
              <w:t>&lt;8,4 mg/dl (2,1 mmol/l) ir &gt;7,5 mg/dl (1,9 mmol/l) arba išliekantys hipokalcemijos simptomai nepaisant mėginimų padidinti kalcio koncentraciją serume</w:t>
            </w:r>
          </w:p>
        </w:tc>
        <w:tc>
          <w:tcPr>
            <w:tcW w:w="4810" w:type="dxa"/>
            <w:shd w:val="clear" w:color="auto" w:fill="auto"/>
          </w:tcPr>
          <w:p w14:paraId="65FD1916" w14:textId="77777777" w:rsidR="00CA093C" w:rsidRDefault="00CA093C" w:rsidP="00CA093C">
            <w:r w:rsidRPr="00CA093C">
              <w:t xml:space="preserve">Sumažinti </w:t>
            </w:r>
            <w:r>
              <w:t>Cinacalcet Teva</w:t>
            </w:r>
            <w:r w:rsidRPr="00CA093C">
              <w:t xml:space="preserve"> dozę arba nutraukti vartojimą</w:t>
            </w:r>
          </w:p>
        </w:tc>
      </w:tr>
      <w:tr w:rsidR="00CA093C" w14:paraId="48C0527A" w14:textId="77777777" w:rsidTr="004E2EF1">
        <w:tc>
          <w:tcPr>
            <w:tcW w:w="4810" w:type="dxa"/>
            <w:shd w:val="clear" w:color="auto" w:fill="auto"/>
          </w:tcPr>
          <w:p w14:paraId="70395B0F" w14:textId="77777777" w:rsidR="00CA093C" w:rsidRDefault="00CA093C" w:rsidP="0063369A">
            <w:r>
              <w:t>≤7,5 mg/dl (1,9 mmol/l) arba išliekantys hipokalcemijos simptomai ir nėra galimybės padidinti vitamino D dozę</w:t>
            </w:r>
          </w:p>
        </w:tc>
        <w:tc>
          <w:tcPr>
            <w:tcW w:w="4810" w:type="dxa"/>
            <w:shd w:val="clear" w:color="auto" w:fill="auto"/>
          </w:tcPr>
          <w:p w14:paraId="63674728" w14:textId="77777777" w:rsidR="00CA093C" w:rsidRDefault="00CA093C" w:rsidP="00CA093C">
            <w:r>
              <w:t>Nutraukti Cinacalcet Teva vartojimą, kol kalcio koncentracija serume nepasieks 8,0 mg/dl (2,0 mmol/l) ir (arba) hipokalcemijos simptomai neišnyks.</w:t>
            </w:r>
          </w:p>
          <w:p w14:paraId="0C21BB5A" w14:textId="77777777" w:rsidR="00CA093C" w:rsidRDefault="00CA093C" w:rsidP="00CA093C">
            <w:r>
              <w:t>Gydymą vėl pradėti rekomenduojama kita mažiausia</w:t>
            </w:r>
          </w:p>
          <w:p w14:paraId="051D1BCE" w14:textId="77777777" w:rsidR="00CA093C" w:rsidRDefault="00CA093C" w:rsidP="00CA093C">
            <w:r w:rsidRPr="00CA093C">
              <w:t>Cinacalcet Teva</w:t>
            </w:r>
            <w:r>
              <w:t xml:space="preserve"> doze.</w:t>
            </w:r>
          </w:p>
        </w:tc>
      </w:tr>
    </w:tbl>
    <w:p w14:paraId="1528E558" w14:textId="77777777" w:rsidR="00CA093C" w:rsidRDefault="00CA093C" w:rsidP="0063369A"/>
    <w:p w14:paraId="75DF9A03" w14:textId="77777777" w:rsidR="008A590E" w:rsidRDefault="008A590E" w:rsidP="008A590E">
      <w:pPr>
        <w:rPr>
          <w:i/>
        </w:rPr>
      </w:pPr>
      <w:r w:rsidRPr="008A590E">
        <w:rPr>
          <w:i/>
        </w:rPr>
        <w:t>Vaikų populiacija</w:t>
      </w:r>
    </w:p>
    <w:p w14:paraId="1E245DF4" w14:textId="77777777" w:rsidR="008A590E" w:rsidRPr="008A590E" w:rsidRDefault="008A590E" w:rsidP="008A590E">
      <w:pPr>
        <w:rPr>
          <w:i/>
        </w:rPr>
      </w:pPr>
    </w:p>
    <w:p w14:paraId="3233CA59" w14:textId="71CD8735" w:rsidR="00EA17EE" w:rsidRDefault="00EA17EE" w:rsidP="00EA17EE">
      <w:r>
        <w:t>Prieš pradedant vartoti pirmąją Cinacalcet Teva dozę, koreguota kalcio koncentracija turi būti ties viršutine</w:t>
      </w:r>
      <w:r w:rsidR="00235662">
        <w:t xml:space="preserve"> </w:t>
      </w:r>
      <w:r>
        <w:t>paciento amžių atitinkančia normos riba arba didesnė, ją būtina atidžiai stebėti (žr. 4.4 skyrių). Kalcio</w:t>
      </w:r>
      <w:r w:rsidR="00235662">
        <w:t xml:space="preserve"> </w:t>
      </w:r>
      <w:r>
        <w:t>normos riba gali skirtis priklausomai nuo jūsų vietinėje laboratorijoje taikomų metodų ir vaiko</w:t>
      </w:r>
      <w:r w:rsidR="00235662">
        <w:t xml:space="preserve"> </w:t>
      </w:r>
      <w:r>
        <w:t>(paciento) amžiaus.</w:t>
      </w:r>
    </w:p>
    <w:p w14:paraId="07E68417" w14:textId="77777777" w:rsidR="00EA17EE" w:rsidRDefault="00EA17EE" w:rsidP="00EA17EE"/>
    <w:p w14:paraId="31660BF8" w14:textId="1BAFB558" w:rsidR="00EA17EE" w:rsidRDefault="00EA17EE" w:rsidP="00EA17EE">
      <w:r>
        <w:t>Rekomenduojama pradinė dozė vaikams nuo 3 metų iki 18 metų yra</w:t>
      </w:r>
      <w:r w:rsidR="00D71805">
        <w:t> </w:t>
      </w:r>
      <w:r>
        <w:t>≤0,20 mg/kg kartą per parą,</w:t>
      </w:r>
      <w:r w:rsidR="00235662">
        <w:t xml:space="preserve"> </w:t>
      </w:r>
      <w:r>
        <w:t>priklausomai nuo paciento sausojo svorio (žr. 1 lentelę).</w:t>
      </w:r>
    </w:p>
    <w:p w14:paraId="32E609FA" w14:textId="77777777" w:rsidR="00EA17EE" w:rsidRDefault="00EA17EE" w:rsidP="00EA17EE"/>
    <w:p w14:paraId="5BF87554" w14:textId="5B313A73" w:rsidR="008A590E" w:rsidRPr="008A590E" w:rsidRDefault="00EA17EE" w:rsidP="008A590E">
      <w:r>
        <w:t>Didinant dozę galima pasiekti tikslinę iPTH ribą. Dozę reikia didinti palaipsniui, atsižvelgiant į</w:t>
      </w:r>
      <w:r w:rsidR="00235662">
        <w:t xml:space="preserve"> </w:t>
      </w:r>
      <w:r>
        <w:t>tiekiamas dozes (žr. 1 lentelę) ir ne dažniau kaip kas 4 savaites. Dozę galima didinti iki maksimalios</w:t>
      </w:r>
      <w:r w:rsidR="007B286F">
        <w:t> </w:t>
      </w:r>
      <w:r>
        <w:t>2,5 mg/kg per parą dozės, bet neviršyti bendros 180</w:t>
      </w:r>
      <w:r w:rsidR="007B286F">
        <w:t> </w:t>
      </w:r>
      <w:r>
        <w:t>mg paros dozės.</w:t>
      </w:r>
      <w:r w:rsidDel="00EA17EE">
        <w:t xml:space="preserve"> </w:t>
      </w:r>
    </w:p>
    <w:p w14:paraId="65B9F1A7" w14:textId="77777777" w:rsidR="00EA17EE" w:rsidRPr="00D42F2E" w:rsidRDefault="00EA17EE" w:rsidP="008A590E"/>
    <w:p w14:paraId="29788137" w14:textId="77777777" w:rsidR="00EA17EE" w:rsidRPr="00D42F2E" w:rsidRDefault="00EA17EE" w:rsidP="00D42F2E">
      <w:pPr>
        <w:jc w:val="center"/>
        <w:rPr>
          <w:b/>
        </w:rPr>
      </w:pPr>
      <w:r w:rsidRPr="00D42F2E">
        <w:rPr>
          <w:b/>
        </w:rPr>
        <w:t>1 lentelė. Cinacalcet Teva paros dozė vaikams</w:t>
      </w:r>
    </w:p>
    <w:p w14:paraId="0F01E3E4" w14:textId="77777777" w:rsidR="00EA17EE" w:rsidRDefault="00EA17EE" w:rsidP="008A590E">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29"/>
        <w:gridCol w:w="3135"/>
      </w:tblGrid>
      <w:tr w:rsidR="00EA17EE" w:rsidRPr="004E2EF1" w14:paraId="03AF8AE7" w14:textId="77777777" w:rsidTr="004E2EF1">
        <w:tc>
          <w:tcPr>
            <w:tcW w:w="3206" w:type="dxa"/>
            <w:shd w:val="clear" w:color="auto" w:fill="auto"/>
          </w:tcPr>
          <w:p w14:paraId="56904B30" w14:textId="77777777" w:rsidR="00EA17EE" w:rsidRPr="005C245A" w:rsidRDefault="00EA17EE" w:rsidP="004E2EF1">
            <w:pPr>
              <w:jc w:val="center"/>
              <w:rPr>
                <w:b/>
              </w:rPr>
            </w:pPr>
            <w:r w:rsidRPr="005C245A">
              <w:rPr>
                <w:b/>
              </w:rPr>
              <w:t>Paciento sausasis svoris (kg)</w:t>
            </w:r>
          </w:p>
        </w:tc>
        <w:tc>
          <w:tcPr>
            <w:tcW w:w="3207" w:type="dxa"/>
            <w:shd w:val="clear" w:color="auto" w:fill="auto"/>
          </w:tcPr>
          <w:p w14:paraId="78A15477" w14:textId="77777777" w:rsidR="00EA17EE" w:rsidRPr="004E2EF1" w:rsidRDefault="00EA17EE" w:rsidP="008A590E">
            <w:pPr>
              <w:rPr>
                <w:u w:val="single"/>
              </w:rPr>
            </w:pPr>
            <w:r w:rsidRPr="004E2EF1">
              <w:rPr>
                <w:rFonts w:ascii="TimesNewRomanPS-BoldMT" w:eastAsia="Calibri" w:hAnsi="TimesNewRomanPS-BoldMT" w:cs="TimesNewRomanPS-BoldMT"/>
                <w:b/>
                <w:bCs/>
                <w:snapToGrid/>
                <w:szCs w:val="22"/>
                <w:lang w:eastAsia="lt-LT"/>
              </w:rPr>
              <w:t>Pradinė dozė (mg)</w:t>
            </w:r>
          </w:p>
        </w:tc>
        <w:tc>
          <w:tcPr>
            <w:tcW w:w="3207" w:type="dxa"/>
            <w:shd w:val="clear" w:color="auto" w:fill="auto"/>
          </w:tcPr>
          <w:p w14:paraId="603245E0" w14:textId="77777777" w:rsidR="00EA17EE" w:rsidRPr="005C245A" w:rsidRDefault="00EA17EE" w:rsidP="008A590E">
            <w:pPr>
              <w:rPr>
                <w:b/>
              </w:rPr>
            </w:pPr>
            <w:r w:rsidRPr="005C245A">
              <w:rPr>
                <w:b/>
              </w:rPr>
              <w:t>Tiekiamų dozių sekos (mg)</w:t>
            </w:r>
          </w:p>
        </w:tc>
      </w:tr>
      <w:tr w:rsidR="00EA17EE" w:rsidRPr="004E2EF1" w14:paraId="1B17C877" w14:textId="77777777" w:rsidTr="004E2EF1">
        <w:tc>
          <w:tcPr>
            <w:tcW w:w="3206" w:type="dxa"/>
            <w:shd w:val="clear" w:color="auto" w:fill="auto"/>
          </w:tcPr>
          <w:p w14:paraId="0070824F" w14:textId="77777777" w:rsidR="00EA17EE" w:rsidRPr="005C245A" w:rsidRDefault="00EA17EE" w:rsidP="004E2EF1">
            <w:pPr>
              <w:jc w:val="center"/>
            </w:pPr>
            <w:r w:rsidRPr="005C245A">
              <w:t>Nuo 10 iki &lt;12,5</w:t>
            </w:r>
          </w:p>
        </w:tc>
        <w:tc>
          <w:tcPr>
            <w:tcW w:w="3207" w:type="dxa"/>
            <w:shd w:val="clear" w:color="auto" w:fill="auto"/>
          </w:tcPr>
          <w:p w14:paraId="7743C1A0" w14:textId="77777777" w:rsidR="00EA17EE" w:rsidRPr="00350C05" w:rsidRDefault="00EA17EE" w:rsidP="004E2EF1">
            <w:pPr>
              <w:jc w:val="center"/>
            </w:pPr>
            <w:r w:rsidRPr="005C245A">
              <w:t>1</w:t>
            </w:r>
          </w:p>
        </w:tc>
        <w:tc>
          <w:tcPr>
            <w:tcW w:w="3207" w:type="dxa"/>
            <w:shd w:val="clear" w:color="auto" w:fill="auto"/>
          </w:tcPr>
          <w:p w14:paraId="7D68086A" w14:textId="77777777" w:rsidR="00EA17EE" w:rsidRPr="00482AAE" w:rsidRDefault="00EA17EE" w:rsidP="004E2EF1">
            <w:pPr>
              <w:jc w:val="center"/>
            </w:pPr>
            <w:r w:rsidRPr="00CD1C12">
              <w:t>1; 2,5; 5; 7,5; 10 ir 15</w:t>
            </w:r>
          </w:p>
        </w:tc>
      </w:tr>
      <w:tr w:rsidR="00EA17EE" w:rsidRPr="004E2EF1" w14:paraId="4F831A6B" w14:textId="77777777" w:rsidTr="004E2EF1">
        <w:tc>
          <w:tcPr>
            <w:tcW w:w="3206" w:type="dxa"/>
            <w:shd w:val="clear" w:color="auto" w:fill="auto"/>
          </w:tcPr>
          <w:p w14:paraId="7A723DBE" w14:textId="77777777" w:rsidR="00EA17EE" w:rsidRPr="005C245A" w:rsidRDefault="00EA17EE" w:rsidP="004E2EF1">
            <w:pPr>
              <w:jc w:val="center"/>
            </w:pPr>
            <w:r w:rsidRPr="005C245A">
              <w:t>Nuo ≥12,5 iki &lt;25</w:t>
            </w:r>
          </w:p>
        </w:tc>
        <w:tc>
          <w:tcPr>
            <w:tcW w:w="3207" w:type="dxa"/>
            <w:shd w:val="clear" w:color="auto" w:fill="auto"/>
          </w:tcPr>
          <w:p w14:paraId="0BB78AED" w14:textId="77777777" w:rsidR="00EA17EE" w:rsidRPr="00350C05" w:rsidRDefault="00EA17EE" w:rsidP="004E2EF1">
            <w:pPr>
              <w:jc w:val="center"/>
            </w:pPr>
            <w:r w:rsidRPr="005C245A">
              <w:t>2,5</w:t>
            </w:r>
          </w:p>
        </w:tc>
        <w:tc>
          <w:tcPr>
            <w:tcW w:w="3207" w:type="dxa"/>
            <w:shd w:val="clear" w:color="auto" w:fill="auto"/>
          </w:tcPr>
          <w:p w14:paraId="1B5964F7" w14:textId="77777777" w:rsidR="00EA17EE" w:rsidRPr="00482AAE" w:rsidRDefault="00EA17EE" w:rsidP="004E2EF1">
            <w:pPr>
              <w:jc w:val="center"/>
            </w:pPr>
            <w:r w:rsidRPr="00CD1C12">
              <w:t>2,5; 5; 7,5; 10; 15 ir 30</w:t>
            </w:r>
          </w:p>
        </w:tc>
      </w:tr>
      <w:tr w:rsidR="00EA17EE" w:rsidRPr="004E2EF1" w14:paraId="7E7D8FDF" w14:textId="77777777" w:rsidTr="004E2EF1">
        <w:tc>
          <w:tcPr>
            <w:tcW w:w="3206" w:type="dxa"/>
            <w:shd w:val="clear" w:color="auto" w:fill="auto"/>
          </w:tcPr>
          <w:p w14:paraId="739947AB" w14:textId="77777777" w:rsidR="00EA17EE" w:rsidRPr="005C245A" w:rsidRDefault="00EA17EE" w:rsidP="004E2EF1">
            <w:pPr>
              <w:jc w:val="center"/>
            </w:pPr>
            <w:r w:rsidRPr="005C245A">
              <w:t>Nuo ≥25 iki &lt;36</w:t>
            </w:r>
          </w:p>
        </w:tc>
        <w:tc>
          <w:tcPr>
            <w:tcW w:w="3207" w:type="dxa"/>
            <w:vMerge w:val="restart"/>
            <w:shd w:val="clear" w:color="auto" w:fill="auto"/>
          </w:tcPr>
          <w:p w14:paraId="5A5F724A" w14:textId="77777777" w:rsidR="00EA17EE" w:rsidRPr="00350C05" w:rsidRDefault="00EA17EE" w:rsidP="004E2EF1">
            <w:pPr>
              <w:jc w:val="center"/>
            </w:pPr>
            <w:r w:rsidRPr="005C245A">
              <w:t>5</w:t>
            </w:r>
          </w:p>
        </w:tc>
        <w:tc>
          <w:tcPr>
            <w:tcW w:w="3207" w:type="dxa"/>
            <w:shd w:val="clear" w:color="auto" w:fill="auto"/>
          </w:tcPr>
          <w:p w14:paraId="1AB074CD" w14:textId="77777777" w:rsidR="00EA17EE" w:rsidRPr="00482AAE" w:rsidRDefault="00EA17EE" w:rsidP="004E2EF1">
            <w:pPr>
              <w:jc w:val="center"/>
            </w:pPr>
            <w:r w:rsidRPr="00CD1C12">
              <w:t>5; 10; 15; 30 ir 60</w:t>
            </w:r>
          </w:p>
        </w:tc>
      </w:tr>
      <w:tr w:rsidR="00EA17EE" w:rsidRPr="004E2EF1" w14:paraId="11472B9C" w14:textId="77777777" w:rsidTr="004E2EF1">
        <w:tc>
          <w:tcPr>
            <w:tcW w:w="3206" w:type="dxa"/>
            <w:shd w:val="clear" w:color="auto" w:fill="auto"/>
          </w:tcPr>
          <w:p w14:paraId="32054F14" w14:textId="77777777" w:rsidR="00EA17EE" w:rsidRPr="005C245A" w:rsidRDefault="00EA17EE" w:rsidP="004E2EF1">
            <w:pPr>
              <w:jc w:val="center"/>
            </w:pPr>
            <w:r w:rsidRPr="005C245A">
              <w:t>Nuo ≥36 iki &lt;50</w:t>
            </w:r>
          </w:p>
        </w:tc>
        <w:tc>
          <w:tcPr>
            <w:tcW w:w="3207" w:type="dxa"/>
            <w:vMerge/>
            <w:shd w:val="clear" w:color="auto" w:fill="auto"/>
          </w:tcPr>
          <w:p w14:paraId="10B78FDB" w14:textId="77777777" w:rsidR="00EA17EE" w:rsidRPr="00D42F2E" w:rsidRDefault="00EA17EE" w:rsidP="004E2EF1">
            <w:pPr>
              <w:jc w:val="center"/>
            </w:pPr>
          </w:p>
        </w:tc>
        <w:tc>
          <w:tcPr>
            <w:tcW w:w="3207" w:type="dxa"/>
            <w:shd w:val="clear" w:color="auto" w:fill="auto"/>
          </w:tcPr>
          <w:p w14:paraId="6D167303" w14:textId="77777777" w:rsidR="00EA17EE" w:rsidRPr="00D42F2E" w:rsidRDefault="00EA17EE" w:rsidP="004E2EF1">
            <w:pPr>
              <w:jc w:val="center"/>
            </w:pPr>
            <w:r w:rsidRPr="00D42F2E">
              <w:t>5; 10; 15; 30; 60 ir 90</w:t>
            </w:r>
          </w:p>
        </w:tc>
      </w:tr>
      <w:tr w:rsidR="00EA17EE" w:rsidRPr="004E2EF1" w14:paraId="4AFC3E8D" w14:textId="77777777" w:rsidTr="004E2EF1">
        <w:tc>
          <w:tcPr>
            <w:tcW w:w="3206" w:type="dxa"/>
            <w:shd w:val="clear" w:color="auto" w:fill="auto"/>
          </w:tcPr>
          <w:p w14:paraId="7260BA57" w14:textId="77777777" w:rsidR="00EA17EE" w:rsidRPr="005C245A" w:rsidRDefault="00EA17EE" w:rsidP="004E2EF1">
            <w:pPr>
              <w:jc w:val="center"/>
            </w:pPr>
            <w:r w:rsidRPr="005C245A">
              <w:t>Nuo ≥50 iki &lt;75</w:t>
            </w:r>
          </w:p>
        </w:tc>
        <w:tc>
          <w:tcPr>
            <w:tcW w:w="3207" w:type="dxa"/>
            <w:shd w:val="clear" w:color="auto" w:fill="auto"/>
          </w:tcPr>
          <w:p w14:paraId="03D97E11" w14:textId="77777777" w:rsidR="00EA17EE" w:rsidRPr="00350C05" w:rsidRDefault="00EA17EE" w:rsidP="004E2EF1">
            <w:pPr>
              <w:jc w:val="center"/>
            </w:pPr>
            <w:r w:rsidRPr="005C245A">
              <w:t>10</w:t>
            </w:r>
          </w:p>
        </w:tc>
        <w:tc>
          <w:tcPr>
            <w:tcW w:w="3207" w:type="dxa"/>
            <w:shd w:val="clear" w:color="auto" w:fill="auto"/>
          </w:tcPr>
          <w:p w14:paraId="49C5F95D" w14:textId="77777777" w:rsidR="00EA17EE" w:rsidRPr="00482AAE" w:rsidRDefault="00EA17EE" w:rsidP="004E2EF1">
            <w:pPr>
              <w:jc w:val="center"/>
            </w:pPr>
            <w:r w:rsidRPr="00CD1C12">
              <w:t>10; 15; 30; 60; 90 ir 120</w:t>
            </w:r>
          </w:p>
        </w:tc>
      </w:tr>
      <w:tr w:rsidR="00EA17EE" w:rsidRPr="004E2EF1" w14:paraId="72D4F7F3" w14:textId="77777777" w:rsidTr="004E2EF1">
        <w:tc>
          <w:tcPr>
            <w:tcW w:w="3206" w:type="dxa"/>
            <w:shd w:val="clear" w:color="auto" w:fill="auto"/>
          </w:tcPr>
          <w:p w14:paraId="49F871ED" w14:textId="77777777" w:rsidR="00EA17EE" w:rsidRPr="005C245A" w:rsidRDefault="00EA17EE" w:rsidP="004E2EF1">
            <w:pPr>
              <w:jc w:val="center"/>
            </w:pPr>
            <w:r w:rsidRPr="005C245A">
              <w:t>≥75</w:t>
            </w:r>
          </w:p>
        </w:tc>
        <w:tc>
          <w:tcPr>
            <w:tcW w:w="3207" w:type="dxa"/>
            <w:shd w:val="clear" w:color="auto" w:fill="auto"/>
          </w:tcPr>
          <w:p w14:paraId="5B376E9B" w14:textId="77777777" w:rsidR="00EA17EE" w:rsidRPr="00350C05" w:rsidRDefault="00EA17EE" w:rsidP="004E2EF1">
            <w:pPr>
              <w:jc w:val="center"/>
            </w:pPr>
            <w:r w:rsidRPr="005C245A">
              <w:t>15</w:t>
            </w:r>
          </w:p>
        </w:tc>
        <w:tc>
          <w:tcPr>
            <w:tcW w:w="3207" w:type="dxa"/>
            <w:shd w:val="clear" w:color="auto" w:fill="auto"/>
          </w:tcPr>
          <w:p w14:paraId="789B2485" w14:textId="77777777" w:rsidR="00EA17EE" w:rsidRPr="00482AAE" w:rsidRDefault="00EA17EE" w:rsidP="004E2EF1">
            <w:pPr>
              <w:jc w:val="center"/>
            </w:pPr>
            <w:r w:rsidRPr="00CD1C12">
              <w:t>15; 30; 60; 90; 120 ir 180</w:t>
            </w:r>
          </w:p>
        </w:tc>
      </w:tr>
    </w:tbl>
    <w:p w14:paraId="6F392C5F" w14:textId="77777777" w:rsidR="00EA17EE" w:rsidRDefault="00EA17EE" w:rsidP="008A590E">
      <w:pPr>
        <w:rPr>
          <w:u w:val="single"/>
        </w:rPr>
      </w:pPr>
    </w:p>
    <w:p w14:paraId="7F682587" w14:textId="77777777" w:rsidR="00633158" w:rsidRPr="00D42F2E" w:rsidRDefault="00633158" w:rsidP="00633158">
      <w:pPr>
        <w:rPr>
          <w:i/>
        </w:rPr>
      </w:pPr>
      <w:r w:rsidRPr="00D42F2E">
        <w:rPr>
          <w:i/>
        </w:rPr>
        <w:t>Dozės koregavimas pagal PTH koncentraciją</w:t>
      </w:r>
    </w:p>
    <w:p w14:paraId="5974B755" w14:textId="77777777" w:rsidR="00EA17EE" w:rsidRPr="00D42F2E" w:rsidRDefault="00633158" w:rsidP="00633158">
      <w:r w:rsidRPr="00D42F2E">
        <w:t xml:space="preserve">PTH koncentraciją reikia tirti praėjus mažiausiai 12 valandų po </w:t>
      </w:r>
      <w:r>
        <w:t>Cinacalcet Teva</w:t>
      </w:r>
      <w:r w:rsidRPr="00D42F2E">
        <w:t xml:space="preserve"> vartojimo, iPTH reikia</w:t>
      </w:r>
      <w:r>
        <w:t xml:space="preserve"> </w:t>
      </w:r>
      <w:r w:rsidRPr="00D42F2E">
        <w:t xml:space="preserve">matuoti praėjus 1 – 4 savaitėms nuo </w:t>
      </w:r>
      <w:r>
        <w:t>Cinacalcet Teva</w:t>
      </w:r>
      <w:r w:rsidRPr="00D42F2E">
        <w:t xml:space="preserve"> vartojimo pradžios arba dozės koregavimo.</w:t>
      </w:r>
    </w:p>
    <w:p w14:paraId="6DAA2B7E" w14:textId="77777777" w:rsidR="00EA17EE" w:rsidRPr="00D42F2E" w:rsidRDefault="00EA17EE" w:rsidP="008A590E"/>
    <w:p w14:paraId="34536507" w14:textId="77777777" w:rsidR="00633158" w:rsidRDefault="00633158" w:rsidP="00633158">
      <w:r>
        <w:t>Pagal iPTH dozę reikia koreguoti taip, kaip žemiau aprašyta:</w:t>
      </w:r>
    </w:p>
    <w:p w14:paraId="7E5798E1" w14:textId="77777777" w:rsidR="00633158" w:rsidRDefault="00633158" w:rsidP="00D42F2E">
      <w:pPr>
        <w:numPr>
          <w:ilvl w:val="0"/>
          <w:numId w:val="10"/>
        </w:numPr>
        <w:tabs>
          <w:tab w:val="clear" w:pos="567"/>
          <w:tab w:val="left" w:pos="709"/>
        </w:tabs>
      </w:pPr>
      <w:r>
        <w:t>jeigu iPTH yra &lt;150 pg/ml (15,9 pmol/l) ir ≥100 pg/ml (10,6 pmol/l), Cinacalcet Teva dozę reikia sumažinti iki sekančios mažesnės dozės;</w:t>
      </w:r>
    </w:p>
    <w:p w14:paraId="0190D9B1" w14:textId="77777777" w:rsidR="00EA17EE" w:rsidRDefault="00633158" w:rsidP="00D42F2E">
      <w:pPr>
        <w:numPr>
          <w:ilvl w:val="0"/>
          <w:numId w:val="11"/>
        </w:numPr>
        <w:tabs>
          <w:tab w:val="clear" w:pos="567"/>
          <w:tab w:val="left" w:pos="709"/>
        </w:tabs>
      </w:pPr>
      <w:r>
        <w:t>jeigu iPTH yra &lt;100 pg/ml (10,6 pmol/l), nutraukti Cinacalcet Teva vartojimą ir vėl pradėti gydymą Cinacalcet Teva sekančia mažesne doze kai iPTH taps &gt;150 pg/ml (15,9 pmol/l). Jei gydymas Cinacalcet Teva buvo nutrauktas ilgiau nei 14 dienų, gydymą pradėti rekomenduojama pradine doze.</w:t>
      </w:r>
    </w:p>
    <w:p w14:paraId="2CFC08C9" w14:textId="77777777" w:rsidR="00633158" w:rsidRPr="00D42F2E" w:rsidRDefault="00633158" w:rsidP="008A590E"/>
    <w:p w14:paraId="5BE9C450" w14:textId="77777777" w:rsidR="00633158" w:rsidRPr="00D42F2E" w:rsidRDefault="00633158" w:rsidP="00633158">
      <w:pPr>
        <w:rPr>
          <w:i/>
        </w:rPr>
      </w:pPr>
      <w:r w:rsidRPr="00D42F2E">
        <w:rPr>
          <w:i/>
        </w:rPr>
        <w:t>Dozės koregavimas pagal kalcio koncentraciją serume</w:t>
      </w:r>
    </w:p>
    <w:p w14:paraId="321D065F" w14:textId="77777777" w:rsidR="00633158" w:rsidRDefault="00633158" w:rsidP="00633158">
      <w:r>
        <w:t xml:space="preserve">Kalcio koncentraciją serume reikia matuoti 1 savaitės laikotarpyje pradėjus gydyti </w:t>
      </w:r>
      <w:r w:rsidRPr="00633158">
        <w:t>Cinacalcet Teva</w:t>
      </w:r>
      <w:r>
        <w:t xml:space="preserve"> ar pakoregavus jo dozę.</w:t>
      </w:r>
    </w:p>
    <w:p w14:paraId="1E8A2974" w14:textId="77777777" w:rsidR="00633158" w:rsidRDefault="00633158" w:rsidP="00633158"/>
    <w:p w14:paraId="356510CC" w14:textId="5829997E" w:rsidR="00EA17EE" w:rsidRDefault="00633158" w:rsidP="00633158">
      <w:r>
        <w:t xml:space="preserve">Kai pasiekiama palaikomoji dozė, kalcio koncentraciją rekomenduojama matuoti kas savaitę. Kalcio </w:t>
      </w:r>
      <w:r w:rsidRPr="00382558">
        <w:t xml:space="preserve">koncentracija vaikams reikia palaikyti normos ribose. Jei kalcio koncentracija tampa mažesnė nei norma arba pasireiškia hipokalcemijos simptomų, reikia imtis tinkamų dozės koregavimo veiksmų, kaip nurodyta </w:t>
      </w:r>
      <w:r w:rsidR="00C62B96" w:rsidRPr="00382558">
        <w:t xml:space="preserve">toliau </w:t>
      </w:r>
      <w:r w:rsidRPr="00382558">
        <w:t>esančioje 2 lentelėje.</w:t>
      </w:r>
    </w:p>
    <w:p w14:paraId="01422ACB" w14:textId="77777777" w:rsidR="00633158" w:rsidRDefault="00633158" w:rsidP="008A590E"/>
    <w:p w14:paraId="62706890" w14:textId="77777777" w:rsidR="00633158" w:rsidRDefault="00633158" w:rsidP="008A590E"/>
    <w:p w14:paraId="0D684CB6" w14:textId="77777777" w:rsidR="00633158" w:rsidRDefault="00633158" w:rsidP="008A590E"/>
    <w:p w14:paraId="75538C60" w14:textId="77777777" w:rsidR="00633158" w:rsidRPr="00D42F2E" w:rsidRDefault="00633158" w:rsidP="00D42F2E">
      <w:pPr>
        <w:tabs>
          <w:tab w:val="left" w:pos="5445"/>
        </w:tabs>
        <w:jc w:val="center"/>
        <w:rPr>
          <w:b/>
        </w:rPr>
      </w:pPr>
      <w:r w:rsidRPr="00D42F2E">
        <w:rPr>
          <w:b/>
        </w:rPr>
        <w:t>2 lentelė. Dozės koregavimas vaikams nuo 3 iki 18 metų</w:t>
      </w:r>
    </w:p>
    <w:p w14:paraId="213D29CD" w14:textId="77777777" w:rsidR="00633158" w:rsidRPr="00D42F2E" w:rsidRDefault="00633158" w:rsidP="008A59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98"/>
      </w:tblGrid>
      <w:tr w:rsidR="00B45370" w:rsidRPr="004E2EF1" w14:paraId="4628A876" w14:textId="77777777" w:rsidTr="004E2EF1">
        <w:tc>
          <w:tcPr>
            <w:tcW w:w="4810" w:type="dxa"/>
            <w:shd w:val="clear" w:color="auto" w:fill="auto"/>
          </w:tcPr>
          <w:p w14:paraId="427958BE" w14:textId="77777777" w:rsidR="009923C2" w:rsidRPr="005C245A" w:rsidRDefault="009923C2" w:rsidP="004E2EF1">
            <w:pPr>
              <w:jc w:val="center"/>
              <w:rPr>
                <w:b/>
              </w:rPr>
            </w:pPr>
            <w:r w:rsidRPr="005C245A">
              <w:rPr>
                <w:b/>
              </w:rPr>
              <w:t>Koreguota kalcio koncentracija</w:t>
            </w:r>
          </w:p>
          <w:p w14:paraId="444E3E80" w14:textId="77777777" w:rsidR="009923C2" w:rsidRPr="005C245A" w:rsidRDefault="009923C2" w:rsidP="004E2EF1">
            <w:pPr>
              <w:jc w:val="center"/>
              <w:rPr>
                <w:b/>
              </w:rPr>
            </w:pPr>
            <w:r w:rsidRPr="005C245A">
              <w:rPr>
                <w:b/>
              </w:rPr>
              <w:t>serume arba klinikiniai</w:t>
            </w:r>
          </w:p>
          <w:p w14:paraId="08C0874D" w14:textId="77777777" w:rsidR="00B45370" w:rsidRPr="004E2EF1" w:rsidRDefault="009923C2" w:rsidP="004E2EF1">
            <w:pPr>
              <w:jc w:val="center"/>
              <w:rPr>
                <w:u w:val="single"/>
              </w:rPr>
            </w:pPr>
            <w:r w:rsidRPr="00350C05">
              <w:rPr>
                <w:b/>
              </w:rPr>
              <w:t>hipokalcemijos simptomai</w:t>
            </w:r>
          </w:p>
        </w:tc>
        <w:tc>
          <w:tcPr>
            <w:tcW w:w="4810" w:type="dxa"/>
            <w:shd w:val="clear" w:color="auto" w:fill="auto"/>
          </w:tcPr>
          <w:p w14:paraId="5D133D6F" w14:textId="77777777" w:rsidR="00B45370" w:rsidRPr="005C245A" w:rsidRDefault="009923C2" w:rsidP="004E2EF1">
            <w:pPr>
              <w:jc w:val="center"/>
              <w:rPr>
                <w:b/>
              </w:rPr>
            </w:pPr>
            <w:r w:rsidRPr="005C245A">
              <w:rPr>
                <w:b/>
              </w:rPr>
              <w:t>Dozavimo rekomendacijos</w:t>
            </w:r>
          </w:p>
        </w:tc>
      </w:tr>
      <w:tr w:rsidR="00B45370" w:rsidRPr="004E2EF1" w14:paraId="7A605024" w14:textId="77777777" w:rsidTr="004E2EF1">
        <w:tc>
          <w:tcPr>
            <w:tcW w:w="4810" w:type="dxa"/>
            <w:shd w:val="clear" w:color="auto" w:fill="auto"/>
          </w:tcPr>
          <w:p w14:paraId="20D3883E" w14:textId="77777777" w:rsidR="009923C2" w:rsidRPr="005C245A" w:rsidRDefault="009923C2" w:rsidP="009923C2">
            <w:r w:rsidRPr="005C245A">
              <w:t>Koreguota kalcio koncentracija serume</w:t>
            </w:r>
            <w:r>
              <w:t xml:space="preserve"> </w:t>
            </w:r>
            <w:r w:rsidRPr="005C245A">
              <w:t>yra ties apatine paciento amžių</w:t>
            </w:r>
            <w:r>
              <w:t xml:space="preserve"> </w:t>
            </w:r>
            <w:r w:rsidRPr="005C245A">
              <w:t>atitinkančia normos riba arba mažesnė</w:t>
            </w:r>
          </w:p>
          <w:p w14:paraId="6E1E7009" w14:textId="77777777" w:rsidR="009923C2" w:rsidRPr="004E2EF1" w:rsidRDefault="009923C2" w:rsidP="009923C2">
            <w:pPr>
              <w:rPr>
                <w:u w:val="single"/>
              </w:rPr>
            </w:pPr>
            <w:r w:rsidRPr="004E2EF1">
              <w:rPr>
                <w:u w:val="single"/>
              </w:rPr>
              <w:t>arba</w:t>
            </w:r>
          </w:p>
          <w:p w14:paraId="20BD0E58" w14:textId="77777777" w:rsidR="00B45370" w:rsidRPr="004E2EF1" w:rsidRDefault="009923C2" w:rsidP="009923C2">
            <w:pPr>
              <w:rPr>
                <w:u w:val="single"/>
              </w:rPr>
            </w:pPr>
            <w:r w:rsidRPr="005C245A">
              <w:t>pasireiškia hipokalcemijos simptomai</w:t>
            </w:r>
            <w:r>
              <w:t xml:space="preserve"> </w:t>
            </w:r>
            <w:r w:rsidRPr="005C245A">
              <w:t>nepriklausomai kokia yra kalcio</w:t>
            </w:r>
            <w:r>
              <w:t xml:space="preserve"> </w:t>
            </w:r>
            <w:r w:rsidRPr="005C245A">
              <w:t>koncentracija</w:t>
            </w:r>
          </w:p>
        </w:tc>
        <w:tc>
          <w:tcPr>
            <w:tcW w:w="4810" w:type="dxa"/>
            <w:shd w:val="clear" w:color="auto" w:fill="auto"/>
          </w:tcPr>
          <w:p w14:paraId="0FDC103A" w14:textId="77777777" w:rsidR="009923C2" w:rsidRPr="005C245A" w:rsidRDefault="009923C2" w:rsidP="009923C2">
            <w:r w:rsidRPr="005C245A">
              <w:t xml:space="preserve">Nutraukti gydymą </w:t>
            </w:r>
            <w:r w:rsidRPr="009923C2">
              <w:t>Cinacalcet Teva</w:t>
            </w:r>
            <w:r w:rsidRPr="005C245A">
              <w:t>.*</w:t>
            </w:r>
          </w:p>
          <w:p w14:paraId="086734C6" w14:textId="77777777" w:rsidR="00B45370" w:rsidRPr="004E2EF1" w:rsidRDefault="009923C2" w:rsidP="009923C2">
            <w:pPr>
              <w:rPr>
                <w:u w:val="single"/>
              </w:rPr>
            </w:pPr>
            <w:r w:rsidRPr="005C245A">
              <w:t>Atsižvelgiant į klinikinę situaciją s</w:t>
            </w:r>
            <w:r w:rsidRPr="00350C05">
              <w:t>kirti kalcio papildų,</w:t>
            </w:r>
            <w:r>
              <w:t xml:space="preserve"> </w:t>
            </w:r>
            <w:r w:rsidRPr="005C245A">
              <w:t>kalcio turinčių fosfatų rišiklių ir (arba) vitamino D</w:t>
            </w:r>
            <w:r>
              <w:t xml:space="preserve"> </w:t>
            </w:r>
            <w:r w:rsidRPr="005C245A">
              <w:t>sterolių.</w:t>
            </w:r>
          </w:p>
        </w:tc>
      </w:tr>
      <w:tr w:rsidR="00B45370" w:rsidRPr="004E2EF1" w14:paraId="4D0BA1DD" w14:textId="77777777" w:rsidTr="004E2EF1">
        <w:tc>
          <w:tcPr>
            <w:tcW w:w="4810" w:type="dxa"/>
            <w:shd w:val="clear" w:color="auto" w:fill="auto"/>
          </w:tcPr>
          <w:p w14:paraId="5BEF6877" w14:textId="77777777" w:rsidR="009923C2" w:rsidRDefault="009923C2" w:rsidP="009923C2">
            <w:r>
              <w:t>Koreguota kalcio koncentracija serume yra didesnė nei apatinė paciento amžių atitinkanti normos riba</w:t>
            </w:r>
          </w:p>
          <w:p w14:paraId="0A8792F2" w14:textId="77777777" w:rsidR="009923C2" w:rsidRPr="005C245A" w:rsidRDefault="009923C2" w:rsidP="009923C2">
            <w:pPr>
              <w:rPr>
                <w:u w:val="single"/>
              </w:rPr>
            </w:pPr>
            <w:r w:rsidRPr="005C245A">
              <w:rPr>
                <w:u w:val="single"/>
              </w:rPr>
              <w:t>ir</w:t>
            </w:r>
          </w:p>
          <w:p w14:paraId="0E1D0F1B" w14:textId="77777777" w:rsidR="00B45370" w:rsidRPr="004E2EF1" w:rsidRDefault="009923C2" w:rsidP="009923C2">
            <w:pPr>
              <w:rPr>
                <w:u w:val="single"/>
              </w:rPr>
            </w:pPr>
            <w:r>
              <w:t>Hiperkalcemijos simptomai išnyko.</w:t>
            </w:r>
          </w:p>
        </w:tc>
        <w:tc>
          <w:tcPr>
            <w:tcW w:w="4810" w:type="dxa"/>
            <w:shd w:val="clear" w:color="auto" w:fill="auto"/>
          </w:tcPr>
          <w:p w14:paraId="0BD93356" w14:textId="77777777" w:rsidR="009923C2" w:rsidRPr="005C245A" w:rsidRDefault="009923C2" w:rsidP="009923C2">
            <w:r w:rsidRPr="005C245A">
              <w:t>Vėl pradėti gydymą sekančia mažesne doze. Jei gydymas</w:t>
            </w:r>
            <w:r>
              <w:t xml:space="preserve"> </w:t>
            </w:r>
            <w:r w:rsidRPr="009923C2">
              <w:t>Cinacalcet Teva</w:t>
            </w:r>
            <w:r w:rsidRPr="005C245A">
              <w:t xml:space="preserve"> buvo nutrauktas ilgiau nei 14 dienų, gydymą</w:t>
            </w:r>
            <w:r>
              <w:t xml:space="preserve"> </w:t>
            </w:r>
            <w:r w:rsidRPr="005C245A">
              <w:t>pradėti rekomenduojama pradine doze.</w:t>
            </w:r>
          </w:p>
          <w:p w14:paraId="26932A62" w14:textId="77777777" w:rsidR="009923C2" w:rsidRDefault="009923C2" w:rsidP="009923C2"/>
          <w:p w14:paraId="76CDB7A8" w14:textId="77777777" w:rsidR="00B45370" w:rsidRPr="004E2EF1" w:rsidRDefault="009923C2" w:rsidP="009923C2">
            <w:pPr>
              <w:rPr>
                <w:u w:val="single"/>
              </w:rPr>
            </w:pPr>
            <w:r w:rsidRPr="005C245A">
              <w:t>Jei prieš nutraukimą pacientas vartojo mažiausią dozę(1 mg per parą), gydymą vėl pradėti ta pačia doze (1 mg</w:t>
            </w:r>
            <w:r>
              <w:t xml:space="preserve"> </w:t>
            </w:r>
            <w:r w:rsidRPr="005C245A">
              <w:t>per parą).</w:t>
            </w:r>
          </w:p>
        </w:tc>
      </w:tr>
    </w:tbl>
    <w:p w14:paraId="524D829C" w14:textId="77777777" w:rsidR="00633158" w:rsidRDefault="00F54265" w:rsidP="008A590E">
      <w:pPr>
        <w:rPr>
          <w:u w:val="single"/>
        </w:rPr>
      </w:pPr>
      <w:r w:rsidRPr="00F54265">
        <w:rPr>
          <w:u w:val="single"/>
        </w:rPr>
        <w:t>*Nutraukus gydymą, koreguotą kalcio koncentraciją serume reikia išmatuoti per 5 – 7 dienas</w:t>
      </w:r>
    </w:p>
    <w:p w14:paraId="02988706" w14:textId="77777777" w:rsidR="00633158" w:rsidRDefault="00633158" w:rsidP="008A590E">
      <w:pPr>
        <w:rPr>
          <w:u w:val="single"/>
        </w:rPr>
      </w:pPr>
    </w:p>
    <w:p w14:paraId="30809752" w14:textId="77777777" w:rsidR="00633158" w:rsidRDefault="00F54265" w:rsidP="00F54265">
      <w:pPr>
        <w:rPr>
          <w:u w:val="single"/>
        </w:rPr>
      </w:pPr>
      <w:r w:rsidRPr="00F54265">
        <w:rPr>
          <w:u w:val="single"/>
        </w:rPr>
        <w:t>Cinacalcet Teva saugumas ir veiksmingumas vaikams, jaunesniems nei 3 metų, antrinės hiperparatirozės</w:t>
      </w:r>
      <w:r>
        <w:rPr>
          <w:u w:val="single"/>
        </w:rPr>
        <w:t xml:space="preserve"> </w:t>
      </w:r>
      <w:r w:rsidRPr="00F54265">
        <w:rPr>
          <w:u w:val="single"/>
        </w:rPr>
        <w:t>gydymui neištirtas. Turima nepakankamai duomenų.</w:t>
      </w:r>
    </w:p>
    <w:p w14:paraId="5039E9BA" w14:textId="77777777" w:rsidR="00633158" w:rsidRDefault="00633158" w:rsidP="008A590E">
      <w:pPr>
        <w:rPr>
          <w:u w:val="single"/>
        </w:rPr>
      </w:pPr>
    </w:p>
    <w:p w14:paraId="58C8533E" w14:textId="77777777" w:rsidR="00633158" w:rsidRDefault="00F54265" w:rsidP="008A590E">
      <w:pPr>
        <w:rPr>
          <w:u w:val="single"/>
        </w:rPr>
      </w:pPr>
      <w:r w:rsidRPr="00F54265">
        <w:rPr>
          <w:u w:val="single"/>
        </w:rPr>
        <w:t>Etelkalcetido pakeitimas Cinacalcet Teva</w:t>
      </w:r>
    </w:p>
    <w:p w14:paraId="182E6717" w14:textId="77777777" w:rsidR="00F54265" w:rsidRDefault="00F54265" w:rsidP="008A590E">
      <w:pPr>
        <w:rPr>
          <w:u w:val="single"/>
        </w:rPr>
      </w:pPr>
    </w:p>
    <w:p w14:paraId="4735909B" w14:textId="4EF255A2" w:rsidR="00F54265" w:rsidRPr="00382558" w:rsidRDefault="00F54265" w:rsidP="00F54265">
      <w:pPr>
        <w:rPr>
          <w:u w:val="single"/>
        </w:rPr>
      </w:pPr>
      <w:r w:rsidRPr="00F54265">
        <w:rPr>
          <w:u w:val="single"/>
        </w:rPr>
        <w:t>Etelkalcetido pakeitimas Cinacalcet Teva ir tinkamas išplovimo laikotarpis su pacientais nebuvo tirti.</w:t>
      </w:r>
      <w:r>
        <w:rPr>
          <w:u w:val="single"/>
        </w:rPr>
        <w:t xml:space="preserve"> </w:t>
      </w:r>
      <w:r w:rsidRPr="00F54265">
        <w:rPr>
          <w:u w:val="single"/>
        </w:rPr>
        <w:t xml:space="preserve">Pacientų, kurie nutraukė etelkalcetido vartojimą, negalima pradėti gydyti Cinacalcet Teva, kol po </w:t>
      </w:r>
      <w:r w:rsidRPr="00382558">
        <w:rPr>
          <w:u w:val="single"/>
        </w:rPr>
        <w:t>nutraukimo nebus atlikti mažiausiai trys hemodializės seansai, o jų metu turi būti matuojama kalcio koncentracija serume. Prieš pradėdami gydymą Cinacalcet Teva įsitikinkite, kad kalcio koncentracija serume atitinka norm</w:t>
      </w:r>
      <w:r w:rsidR="0085318A" w:rsidRPr="00382558">
        <w:rPr>
          <w:u w:val="single"/>
        </w:rPr>
        <w:t>os ribas</w:t>
      </w:r>
      <w:r w:rsidRPr="00382558">
        <w:rPr>
          <w:u w:val="single"/>
        </w:rPr>
        <w:t xml:space="preserve"> (žr. 4.4 ir 4.8 skyrius).</w:t>
      </w:r>
    </w:p>
    <w:p w14:paraId="6CF96D70" w14:textId="77777777" w:rsidR="00F54265" w:rsidRPr="00382558" w:rsidRDefault="00F54265" w:rsidP="008A590E">
      <w:pPr>
        <w:rPr>
          <w:u w:val="single"/>
        </w:rPr>
      </w:pPr>
    </w:p>
    <w:p w14:paraId="37E84771" w14:textId="77777777" w:rsidR="008A590E" w:rsidRPr="00382558" w:rsidRDefault="008A590E" w:rsidP="008A590E">
      <w:pPr>
        <w:rPr>
          <w:i/>
          <w:u w:val="single"/>
        </w:rPr>
      </w:pPr>
      <w:r w:rsidRPr="00382558">
        <w:rPr>
          <w:i/>
          <w:u w:val="single"/>
        </w:rPr>
        <w:t>Prieskydinių liaukų karcinoma ir pirminė hiperparatirozė</w:t>
      </w:r>
    </w:p>
    <w:p w14:paraId="6509874D" w14:textId="77777777" w:rsidR="008A590E" w:rsidRPr="00382558" w:rsidRDefault="008A590E" w:rsidP="008A590E"/>
    <w:p w14:paraId="3998793A" w14:textId="77777777" w:rsidR="008A590E" w:rsidRDefault="008A590E" w:rsidP="008A590E">
      <w:pPr>
        <w:rPr>
          <w:i/>
        </w:rPr>
      </w:pPr>
      <w:r w:rsidRPr="00382558">
        <w:rPr>
          <w:i/>
        </w:rPr>
        <w:t>Suaugusie</w:t>
      </w:r>
      <w:r w:rsidR="006612D6" w:rsidRPr="00382558">
        <w:rPr>
          <w:i/>
        </w:rPr>
        <w:t>siems</w:t>
      </w:r>
      <w:r w:rsidRPr="008A590E">
        <w:rPr>
          <w:i/>
        </w:rPr>
        <w:t xml:space="preserve"> ir senyvi</w:t>
      </w:r>
      <w:r w:rsidR="006612D6">
        <w:rPr>
          <w:i/>
        </w:rPr>
        <w:t>ems pacientams</w:t>
      </w:r>
      <w:r w:rsidRPr="008A590E">
        <w:rPr>
          <w:i/>
        </w:rPr>
        <w:t xml:space="preserve"> (&gt; 65 metų)</w:t>
      </w:r>
    </w:p>
    <w:p w14:paraId="296F8142" w14:textId="77777777" w:rsidR="008A590E" w:rsidRPr="008A590E" w:rsidRDefault="008A590E" w:rsidP="008A590E">
      <w:pPr>
        <w:rPr>
          <w:i/>
        </w:rPr>
      </w:pPr>
    </w:p>
    <w:p w14:paraId="35BE9CFD" w14:textId="77777777" w:rsidR="008A590E" w:rsidRDefault="008A590E" w:rsidP="008A590E">
      <w:r w:rsidRPr="008A590E">
        <w:t xml:space="preserve">Rekomenduojama pradinė Cinacalcet </w:t>
      </w:r>
      <w:r w:rsidR="0028276B">
        <w:t>Teva</w:t>
      </w:r>
      <w:r w:rsidRPr="008A590E">
        <w:t xml:space="preserve"> dozė suaugusiesiems yra 30</w:t>
      </w:r>
      <w:r w:rsidR="0081480F">
        <w:t> </w:t>
      </w:r>
      <w:r w:rsidRPr="008A590E">
        <w:t>mg</w:t>
      </w:r>
      <w:r>
        <w:t xml:space="preserve"> du kartus per parą. </w:t>
      </w:r>
      <w:r w:rsidR="0028276B">
        <w:t>Cinacalcet Teva</w:t>
      </w:r>
      <w:r w:rsidR="0081480F">
        <w:t xml:space="preserve"> </w:t>
      </w:r>
      <w:r w:rsidRPr="008A590E">
        <w:t>dozę reikia titruoti kas 2-4 savaites tokia seka – 30</w:t>
      </w:r>
      <w:r w:rsidR="0081480F">
        <w:t> </w:t>
      </w:r>
      <w:r w:rsidRPr="008A590E">
        <w:t>mg du kartus per parą, 60</w:t>
      </w:r>
      <w:r w:rsidR="0081480F">
        <w:t> </w:t>
      </w:r>
      <w:r w:rsidRPr="008A590E">
        <w:t>mg du kartus per parą, 90</w:t>
      </w:r>
      <w:r w:rsidR="0081480F">
        <w:t> </w:t>
      </w:r>
      <w:r w:rsidRPr="008A590E">
        <w:t>mg</w:t>
      </w:r>
      <w:r>
        <w:t xml:space="preserve"> </w:t>
      </w:r>
      <w:r w:rsidRPr="008A590E">
        <w:t>du kartus per parą ir 90</w:t>
      </w:r>
      <w:r w:rsidR="0081480F">
        <w:t> </w:t>
      </w:r>
      <w:r w:rsidRPr="008A590E">
        <w:t>mg tris ar keturis kartus per parą, tiek kiek reikia, kad serumo kalcio koncentracija</w:t>
      </w:r>
      <w:r>
        <w:t xml:space="preserve"> </w:t>
      </w:r>
      <w:r w:rsidRPr="008A590E">
        <w:t>būtų mažesnė negu viršutinė normos riba ar lygi jai. Didžiausia klinikiniuose tyrimuose vartota dozė buvo</w:t>
      </w:r>
      <w:r>
        <w:t xml:space="preserve"> </w:t>
      </w:r>
      <w:r w:rsidRPr="008A590E">
        <w:t>90</w:t>
      </w:r>
      <w:r w:rsidR="0081480F">
        <w:t> </w:t>
      </w:r>
      <w:r w:rsidRPr="008A590E">
        <w:t>mg keturis kartus per parą.</w:t>
      </w:r>
    </w:p>
    <w:p w14:paraId="6C9971D8" w14:textId="77777777" w:rsidR="008A590E" w:rsidRPr="008A590E" w:rsidRDefault="008A590E" w:rsidP="008A590E"/>
    <w:p w14:paraId="55B166CD" w14:textId="77777777" w:rsidR="008A590E" w:rsidRDefault="008A590E" w:rsidP="008A590E">
      <w:r w:rsidRPr="008A590E">
        <w:t>Kalcio koncentraciją serume reikia mat</w:t>
      </w:r>
      <w:r>
        <w:t xml:space="preserve">uoti </w:t>
      </w:r>
      <w:r w:rsidR="0026284D">
        <w:t>vieną</w:t>
      </w:r>
      <w:r w:rsidR="00B7372A">
        <w:t xml:space="preserve"> </w:t>
      </w:r>
      <w:r>
        <w:t xml:space="preserve">savaitę pradėjus gydyti </w:t>
      </w:r>
      <w:r w:rsidR="0028276B">
        <w:t>Cinacalcet Teva</w:t>
      </w:r>
      <w:r w:rsidR="00B7372A">
        <w:t xml:space="preserve"> </w:t>
      </w:r>
      <w:r w:rsidRPr="008A590E">
        <w:t>ar pakoregavus jo dozę.</w:t>
      </w:r>
      <w:r>
        <w:t xml:space="preserve"> </w:t>
      </w:r>
      <w:r w:rsidRPr="008A590E">
        <w:t>Nustačius palaikomąją dozę, kalcio koncentraciją serume reikia tirti kas 2-3 mėnesius. Parinkus didžiausią</w:t>
      </w:r>
      <w:r>
        <w:t xml:space="preserve"> </w:t>
      </w:r>
      <w:r w:rsidR="0028276B">
        <w:t>Cinacalcet Teva</w:t>
      </w:r>
      <w:r w:rsidR="00B7372A">
        <w:t xml:space="preserve"> </w:t>
      </w:r>
      <w:r w:rsidRPr="008A590E">
        <w:t>dozę, būtina periodiškai nustatyti kalcio kiekį serume. Jei nepavyksta kliniškai reikšmingai</w:t>
      </w:r>
      <w:r>
        <w:t xml:space="preserve"> </w:t>
      </w:r>
      <w:r w:rsidRPr="008A590E">
        <w:t>sumažinti kalcio koncentracijos ser</w:t>
      </w:r>
      <w:r>
        <w:t xml:space="preserve">ume, reikia spręsti dėl gydymo </w:t>
      </w:r>
      <w:r w:rsidR="0028276B">
        <w:t>Cinacalcet Teva</w:t>
      </w:r>
      <w:r>
        <w:t xml:space="preserve"> </w:t>
      </w:r>
      <w:r w:rsidRPr="008A590E">
        <w:t>nutraukimo (žr. 5.1 skyrių).</w:t>
      </w:r>
      <w:r>
        <w:t xml:space="preserve"> </w:t>
      </w:r>
    </w:p>
    <w:p w14:paraId="11C19FB7" w14:textId="77777777" w:rsidR="008A590E" w:rsidRPr="008A590E" w:rsidRDefault="008A590E" w:rsidP="008A590E"/>
    <w:p w14:paraId="4C18EFC5" w14:textId="77777777" w:rsidR="008A590E" w:rsidRDefault="008A590E" w:rsidP="008A590E">
      <w:pPr>
        <w:rPr>
          <w:i/>
        </w:rPr>
      </w:pPr>
      <w:r w:rsidRPr="008A590E">
        <w:rPr>
          <w:i/>
        </w:rPr>
        <w:t>Vaikų populiacija</w:t>
      </w:r>
    </w:p>
    <w:p w14:paraId="73B32C8F" w14:textId="5CE2F823" w:rsidR="008A590E" w:rsidRPr="00D42F2E" w:rsidRDefault="003A7C6B" w:rsidP="003A7C6B">
      <w:r w:rsidRPr="003A7C6B">
        <w:t xml:space="preserve">Cinacalcet Teva </w:t>
      </w:r>
      <w:r w:rsidRPr="00D42F2E">
        <w:t>saugumas ir veiksmingumas vaikams prieskydinių liaukų karcinomos ir pirminės</w:t>
      </w:r>
      <w:r w:rsidR="00235662">
        <w:t xml:space="preserve"> </w:t>
      </w:r>
      <w:r w:rsidRPr="00D42F2E">
        <w:t>hiperparatirozės gydymui neištirtas. Duomenų nėra.</w:t>
      </w:r>
    </w:p>
    <w:p w14:paraId="03E1A510" w14:textId="77777777" w:rsidR="008A590E" w:rsidRDefault="008A590E" w:rsidP="008A590E"/>
    <w:p w14:paraId="028607D2" w14:textId="77777777" w:rsidR="008A590E" w:rsidRPr="00D42F2E" w:rsidRDefault="00057650" w:rsidP="008A590E">
      <w:pPr>
        <w:rPr>
          <w:i/>
          <w:u w:val="single"/>
        </w:rPr>
      </w:pPr>
      <w:r w:rsidRPr="00D42F2E">
        <w:rPr>
          <w:i/>
          <w:u w:val="single"/>
        </w:rPr>
        <w:t xml:space="preserve">Pacientams, kurių kepenų </w:t>
      </w:r>
      <w:r w:rsidR="006612D6" w:rsidRPr="00D42F2E">
        <w:rPr>
          <w:i/>
          <w:u w:val="single"/>
        </w:rPr>
        <w:t xml:space="preserve">funkcija </w:t>
      </w:r>
      <w:r w:rsidRPr="00D42F2E">
        <w:rPr>
          <w:i/>
          <w:u w:val="single"/>
        </w:rPr>
        <w:t xml:space="preserve">sutrikusi </w:t>
      </w:r>
    </w:p>
    <w:p w14:paraId="6AE6AED2" w14:textId="77777777" w:rsidR="008A590E" w:rsidRPr="008A590E" w:rsidRDefault="008A590E" w:rsidP="008A590E">
      <w:pPr>
        <w:rPr>
          <w:i/>
        </w:rPr>
      </w:pPr>
    </w:p>
    <w:p w14:paraId="2ECD9C96" w14:textId="77777777" w:rsidR="008A590E" w:rsidRPr="008A590E" w:rsidRDefault="008A590E" w:rsidP="008A590E">
      <w:r w:rsidRPr="008A590E">
        <w:t>Pradinės dozės keisti nereikia,</w:t>
      </w:r>
      <w:r w:rsidR="00277020">
        <w:t xml:space="preserve"> tačiau gydytojas, titruodamas </w:t>
      </w:r>
      <w:r w:rsidR="0028276B">
        <w:t>Cinacalcet Teva</w:t>
      </w:r>
      <w:r w:rsidR="00057650">
        <w:t xml:space="preserve"> </w:t>
      </w:r>
      <w:r w:rsidRPr="008A590E">
        <w:t>dozę ir tęsdamas gydymą, privalo</w:t>
      </w:r>
      <w:r>
        <w:t xml:space="preserve"> </w:t>
      </w:r>
      <w:r w:rsidRPr="008A590E">
        <w:t xml:space="preserve">atidžiai stebėti pacientus, kuriems yra vidutinio sunkumo ar sunkus kepenų </w:t>
      </w:r>
      <w:r w:rsidR="006612D6">
        <w:t xml:space="preserve">funkcijos sutrikimas </w:t>
      </w:r>
      <w:r w:rsidRPr="008A590E">
        <w:t>(žr. 4.4 ir</w:t>
      </w:r>
      <w:r w:rsidR="0081480F">
        <w:t xml:space="preserve"> </w:t>
      </w:r>
      <w:r w:rsidRPr="008A590E">
        <w:t>5.2 skyrius).</w:t>
      </w:r>
    </w:p>
    <w:p w14:paraId="20FCFF6F" w14:textId="77777777" w:rsidR="00277020" w:rsidRDefault="00277020" w:rsidP="008A590E"/>
    <w:p w14:paraId="24E0101B" w14:textId="77777777" w:rsidR="008A590E" w:rsidRPr="00277020" w:rsidRDefault="008A590E" w:rsidP="008A590E">
      <w:pPr>
        <w:rPr>
          <w:u w:val="single"/>
        </w:rPr>
      </w:pPr>
      <w:r w:rsidRPr="00277020">
        <w:rPr>
          <w:u w:val="single"/>
        </w:rPr>
        <w:t>Vartojimo metodas</w:t>
      </w:r>
    </w:p>
    <w:p w14:paraId="42D699ED" w14:textId="77777777" w:rsidR="00277020" w:rsidRDefault="00277020" w:rsidP="008A590E"/>
    <w:p w14:paraId="3DDBE2D4" w14:textId="77777777" w:rsidR="003A7C6B" w:rsidRDefault="008A590E" w:rsidP="008A590E">
      <w:r w:rsidRPr="008A590E">
        <w:t>Vartoti per burną.</w:t>
      </w:r>
      <w:r w:rsidR="00277020">
        <w:t xml:space="preserve"> </w:t>
      </w:r>
    </w:p>
    <w:p w14:paraId="3799AEAA" w14:textId="77777777" w:rsidR="003A7C6B" w:rsidRDefault="003A7C6B" w:rsidP="008A590E">
      <w:r w:rsidRPr="003A7C6B">
        <w:t>Tabletę reikia nuryti visą, jos negalima čiulpti, traiškyti ar dalinti.</w:t>
      </w:r>
    </w:p>
    <w:p w14:paraId="1DCE8CD2" w14:textId="77777777" w:rsidR="003A7C6B" w:rsidRDefault="003A7C6B" w:rsidP="008A590E"/>
    <w:p w14:paraId="17FD1EB2" w14:textId="600FF924" w:rsidR="008A590E" w:rsidRDefault="008A590E" w:rsidP="008A590E">
      <w:r w:rsidRPr="008A590E">
        <w:t xml:space="preserve">Cinacalcet </w:t>
      </w:r>
      <w:r w:rsidR="0028276B">
        <w:t>Teva</w:t>
      </w:r>
      <w:r w:rsidRPr="008A590E">
        <w:t xml:space="preserve"> rekomenduojama vartoti valgant ar iš karto po valgio, nes tyrimai parodė, kad su maistu</w:t>
      </w:r>
      <w:r w:rsidR="00277020">
        <w:t xml:space="preserve"> </w:t>
      </w:r>
      <w:r w:rsidRPr="008A590E">
        <w:t xml:space="preserve">vartojamo cinakalceto biologinis prieinamumas didėja (žr. 5.2 skyrių). </w:t>
      </w:r>
    </w:p>
    <w:p w14:paraId="648F544D" w14:textId="77777777" w:rsidR="003A7C6B" w:rsidRDefault="003A7C6B" w:rsidP="008A590E"/>
    <w:p w14:paraId="69A1EC4E" w14:textId="77777777" w:rsidR="003A7C6B" w:rsidRDefault="003A7C6B" w:rsidP="003A7C6B">
      <w:r>
        <w:t>Vaikai, kuriems reikia mažesnių nei 30 mg dozių ir kurie negali nuryti tablečių, gali vartoti kitas esančias farmacines formas.</w:t>
      </w:r>
    </w:p>
    <w:p w14:paraId="03F3607B" w14:textId="77777777" w:rsidR="003A7C6B" w:rsidRDefault="003A7C6B" w:rsidP="008A590E"/>
    <w:p w14:paraId="2AC8F0A1" w14:textId="77777777" w:rsidR="00277020" w:rsidRPr="00277020" w:rsidRDefault="00277020" w:rsidP="00277020">
      <w:pPr>
        <w:pStyle w:val="Antrat4"/>
        <w:rPr>
          <w:rFonts w:ascii="Times New Roman" w:hAnsi="Times New Roman"/>
          <w:bCs w:val="0"/>
          <w:i w:val="0"/>
          <w:color w:val="auto"/>
          <w:szCs w:val="24"/>
        </w:rPr>
      </w:pPr>
      <w:r w:rsidRPr="00277020">
        <w:rPr>
          <w:rFonts w:ascii="Times New Roman" w:hAnsi="Times New Roman"/>
          <w:bCs w:val="0"/>
          <w:i w:val="0"/>
          <w:color w:val="auto"/>
          <w:szCs w:val="24"/>
        </w:rPr>
        <w:t>4.3</w:t>
      </w:r>
      <w:r w:rsidRPr="00277020">
        <w:rPr>
          <w:rFonts w:ascii="Times New Roman" w:hAnsi="Times New Roman"/>
          <w:bCs w:val="0"/>
          <w:i w:val="0"/>
          <w:color w:val="auto"/>
          <w:szCs w:val="24"/>
        </w:rPr>
        <w:tab/>
      </w:r>
      <w:r w:rsidRPr="00277020">
        <w:rPr>
          <w:rFonts w:ascii="Times New Roman" w:hAnsi="Times New Roman"/>
          <w:bCs w:val="0"/>
          <w:i w:val="0"/>
          <w:noProof/>
          <w:color w:val="auto"/>
          <w:szCs w:val="24"/>
        </w:rPr>
        <w:t>Kontraindikacijos</w:t>
      </w:r>
    </w:p>
    <w:p w14:paraId="79C40ED3" w14:textId="77777777" w:rsidR="00277020" w:rsidRDefault="00277020" w:rsidP="008A590E"/>
    <w:p w14:paraId="7179B9A6" w14:textId="77777777" w:rsidR="00277020" w:rsidRDefault="00277020" w:rsidP="008A590E">
      <w:r w:rsidRPr="00277020">
        <w:t>Padidėjęs jautrumas veikliajai arba bet kuriai 6.1 skyriuje nurodytai pagalbinei medžiagai</w:t>
      </w:r>
      <w:r>
        <w:t>.</w:t>
      </w:r>
    </w:p>
    <w:p w14:paraId="65D3FF07" w14:textId="77777777" w:rsidR="006A1C7B" w:rsidRDefault="006A1C7B" w:rsidP="008A590E"/>
    <w:p w14:paraId="10EB94C6" w14:textId="77777777" w:rsidR="006A1C7B" w:rsidRDefault="006A1C7B" w:rsidP="008A590E">
      <w:r w:rsidRPr="006A1C7B">
        <w:t>Hipokalcemija (žr. skyrius 4.2 ir 4.4).</w:t>
      </w:r>
    </w:p>
    <w:p w14:paraId="38B7329E" w14:textId="77777777" w:rsidR="00277020" w:rsidRDefault="00277020" w:rsidP="008A590E"/>
    <w:p w14:paraId="671DA433" w14:textId="77777777" w:rsidR="00277020" w:rsidRDefault="00277020" w:rsidP="008A590E">
      <w:pPr>
        <w:rPr>
          <w:b/>
        </w:rPr>
      </w:pPr>
      <w:r w:rsidRPr="00277020">
        <w:rPr>
          <w:b/>
        </w:rPr>
        <w:t>4.4</w:t>
      </w:r>
      <w:r w:rsidRPr="00277020">
        <w:rPr>
          <w:b/>
        </w:rPr>
        <w:tab/>
        <w:t>Specialūs įspėjimai ir atsargumo priemonės</w:t>
      </w:r>
    </w:p>
    <w:p w14:paraId="77311955" w14:textId="77777777" w:rsidR="00277020" w:rsidRDefault="00277020" w:rsidP="008A590E">
      <w:pPr>
        <w:rPr>
          <w:b/>
        </w:rPr>
      </w:pPr>
    </w:p>
    <w:p w14:paraId="31A5C5CB" w14:textId="77777777" w:rsidR="00277020" w:rsidRDefault="00FF1CB9" w:rsidP="00277020">
      <w:pPr>
        <w:rPr>
          <w:u w:val="single"/>
        </w:rPr>
      </w:pPr>
      <w:r>
        <w:rPr>
          <w:u w:val="single"/>
        </w:rPr>
        <w:t>Kalcio koncentracija serume</w:t>
      </w:r>
    </w:p>
    <w:p w14:paraId="3FA1D696" w14:textId="77777777" w:rsidR="00277020" w:rsidRPr="00277020" w:rsidRDefault="00277020" w:rsidP="00277020">
      <w:pPr>
        <w:rPr>
          <w:u w:val="single"/>
        </w:rPr>
      </w:pPr>
    </w:p>
    <w:p w14:paraId="699D9C87" w14:textId="77777777" w:rsidR="00277020" w:rsidRDefault="00277020" w:rsidP="00277020">
      <w:r w:rsidRPr="00277020">
        <w:t xml:space="preserve">Buvo pranešta apie gyvybei </w:t>
      </w:r>
      <w:r>
        <w:t>pavojingus</w:t>
      </w:r>
      <w:r w:rsidRPr="00277020">
        <w:t xml:space="preserve"> ir mirties atvejus, susijusius su hipokalcemija, cinakalcetu gydytiems</w:t>
      </w:r>
      <w:r>
        <w:t xml:space="preserve"> </w:t>
      </w:r>
      <w:r w:rsidRPr="00277020">
        <w:t>suaugusiems ir pediatriniams pacientams.</w:t>
      </w:r>
      <w:r>
        <w:t xml:space="preserve"> </w:t>
      </w:r>
      <w:r w:rsidRPr="00277020">
        <w:t>Hipokalcemija gali pasireikšti parestezijomis, raumenų skausmais,</w:t>
      </w:r>
      <w:r>
        <w:t xml:space="preserve"> </w:t>
      </w:r>
      <w:r w:rsidRPr="00277020">
        <w:t>mėšlungiu, tetanija ir traukuliais. Kalcio koncentracijos serume sumažėjimas taip pat gali sukelti QT</w:t>
      </w:r>
      <w:r>
        <w:t xml:space="preserve"> </w:t>
      </w:r>
      <w:r w:rsidRPr="00277020">
        <w:t>intervalo pailgėjimą, kuris gali sukelti skilvelinę aritmiją. Registruoti QT intervalo pailgėjimo ir skilvelinės</w:t>
      </w:r>
      <w:r>
        <w:t xml:space="preserve"> </w:t>
      </w:r>
      <w:r w:rsidRPr="00277020">
        <w:t>aritmijos atvejai dėl hipokalcemijos, pacientams, kurie buvo gydomi cinakalcetu (žr. 4.8 skyrių). Patariama</w:t>
      </w:r>
      <w:r>
        <w:t xml:space="preserve"> </w:t>
      </w:r>
      <w:r w:rsidRPr="00277020">
        <w:t>laikytis atsargumo priemonių gydant pacientus, kurie turi kitų rizikos veiksnių lemiančių QT pailgėjimą,</w:t>
      </w:r>
      <w:r>
        <w:t xml:space="preserve"> </w:t>
      </w:r>
      <w:r w:rsidRPr="00277020">
        <w:t>pavyzdžiui įgimtas ilgo QT sindromas arba pacientai vartoja vaistinius preparatus, kurie sukelia QT</w:t>
      </w:r>
      <w:r>
        <w:t xml:space="preserve"> </w:t>
      </w:r>
      <w:r w:rsidRPr="00277020">
        <w:t>pailgėjimą.</w:t>
      </w:r>
    </w:p>
    <w:p w14:paraId="5E8AD928" w14:textId="77777777" w:rsidR="00277020" w:rsidRPr="00277020" w:rsidRDefault="00277020" w:rsidP="00277020"/>
    <w:p w14:paraId="64E8DCE4" w14:textId="65E0295E" w:rsidR="00277020" w:rsidRDefault="00277020" w:rsidP="00277020">
      <w:r w:rsidRPr="00277020">
        <w:t>Cinakalcetas mažina kalcio koncentraciją serume, todėl pacientus būtina atidžiai stebėti dėl galimos</w:t>
      </w:r>
      <w:r w:rsidR="0017558D">
        <w:t xml:space="preserve"> </w:t>
      </w:r>
      <w:r w:rsidRPr="00277020">
        <w:t>hipokalcemijos (žr. 4.2 skyrių). Kalcio koncentraciją serume reikia matuoti vieną savaitę pradėjus gydyti</w:t>
      </w:r>
      <w:r w:rsidR="0017558D">
        <w:t xml:space="preserve"> </w:t>
      </w:r>
      <w:r w:rsidR="0028276B">
        <w:t>Cinacalcet Teva</w:t>
      </w:r>
      <w:r w:rsidR="0026284D">
        <w:t xml:space="preserve"> </w:t>
      </w:r>
      <w:r w:rsidRPr="00277020">
        <w:t xml:space="preserve">ar pakoregavus jo dozę. </w:t>
      </w:r>
    </w:p>
    <w:p w14:paraId="546F11B6" w14:textId="77777777" w:rsidR="00350C05" w:rsidRPr="00277020" w:rsidRDefault="00350C05" w:rsidP="00277020"/>
    <w:p w14:paraId="7D5CC2C8" w14:textId="77777777" w:rsidR="00CD1C12" w:rsidRPr="00D42F2E" w:rsidRDefault="00CD1C12" w:rsidP="00CD1C12">
      <w:pPr>
        <w:rPr>
          <w:i/>
        </w:rPr>
      </w:pPr>
      <w:r w:rsidRPr="00D42F2E">
        <w:rPr>
          <w:i/>
        </w:rPr>
        <w:t>Suaugusieji</w:t>
      </w:r>
    </w:p>
    <w:p w14:paraId="6AA977F4" w14:textId="77777777" w:rsidR="00AE38FC" w:rsidRDefault="00CD1C12" w:rsidP="00CD1C12">
      <w:r>
        <w:t>Cinakalceto negalima skirti pacientams, kurių kalcio koncentracija serume (koreguota pagal albuminą) yra mažesnė už apatinę normos ribą.</w:t>
      </w:r>
    </w:p>
    <w:p w14:paraId="026BAAE1" w14:textId="77777777" w:rsidR="00CD1C12" w:rsidRDefault="00CD1C12" w:rsidP="00AE38FC"/>
    <w:p w14:paraId="7787280A" w14:textId="77777777" w:rsidR="00097465" w:rsidRDefault="0026284D" w:rsidP="00097465">
      <w:r>
        <w:t>M</w:t>
      </w:r>
      <w:r w:rsidRPr="00097465">
        <w:t xml:space="preserve">aždaug 30% </w:t>
      </w:r>
      <w:r>
        <w:t>d</w:t>
      </w:r>
      <w:r w:rsidR="00097465" w:rsidRPr="00097465">
        <w:t>ializuojamų lėtine inkstų liga (LIL)</w:t>
      </w:r>
      <w:r>
        <w:t xml:space="preserve"> </w:t>
      </w:r>
      <w:r w:rsidR="00097465" w:rsidRPr="00097465">
        <w:t>sergančių pacientų, kurie vartojo cinakalcetą, bent viena kalcio koncentracijos vertė buvo mažesnė nei 7,5</w:t>
      </w:r>
      <w:r w:rsidR="00E438EF">
        <w:t> </w:t>
      </w:r>
      <w:r w:rsidR="00097465" w:rsidRPr="00097465">
        <w:t>mg/dl (1,9</w:t>
      </w:r>
      <w:r w:rsidR="00E438EF">
        <w:t> </w:t>
      </w:r>
      <w:r w:rsidR="00097465" w:rsidRPr="00097465">
        <w:t>mmol/l).</w:t>
      </w:r>
    </w:p>
    <w:p w14:paraId="17181195" w14:textId="77777777" w:rsidR="00097465" w:rsidRDefault="00097465" w:rsidP="00097465"/>
    <w:p w14:paraId="1167349C" w14:textId="77777777" w:rsidR="00CD1C12" w:rsidRPr="00D42F2E" w:rsidRDefault="00CD1C12" w:rsidP="00CD1C12">
      <w:pPr>
        <w:rPr>
          <w:i/>
        </w:rPr>
      </w:pPr>
      <w:r w:rsidRPr="00D42F2E">
        <w:rPr>
          <w:i/>
        </w:rPr>
        <w:t>Vaikų populiacija</w:t>
      </w:r>
    </w:p>
    <w:p w14:paraId="3F59EFFB" w14:textId="22C2C110" w:rsidR="00CD1C12" w:rsidRDefault="00CD1C12" w:rsidP="00CD1C12">
      <w:r>
        <w:t>Cinakalceto galima skirti tik 3 metų ir vyresniems vaikams antrinės HPT gydymui, kuriems yra TILS ir</w:t>
      </w:r>
      <w:r w:rsidR="00235662">
        <w:t xml:space="preserve"> </w:t>
      </w:r>
      <w:r>
        <w:t>taikomas palaikomasis gydymas dialize ir kai antrinė HPT nėra tinkamai kontroliuojama taikant standartinį gydymą ir kai kalcio koncentracija serume yra ties viršutine paciento amžių atitinkančia normos riba arba didesnė.</w:t>
      </w:r>
    </w:p>
    <w:p w14:paraId="78584992" w14:textId="77777777" w:rsidR="00CD1C12" w:rsidRDefault="00CD1C12" w:rsidP="00CD1C12"/>
    <w:p w14:paraId="6E0B5AA0" w14:textId="58FB637A" w:rsidR="00CD1C12" w:rsidRPr="00382558" w:rsidRDefault="00CD1C12" w:rsidP="00CD1C12">
      <w:r>
        <w:t xml:space="preserve">Būtina atidžiai stebėti </w:t>
      </w:r>
      <w:r w:rsidRPr="00382558">
        <w:t>kalcio koncentraciją serume (žr. 4.2 skyrių) ir kaip pacientas laikosi paskirto gydymo cinakalcetu. Nepradėti gydymo ir nedidinti dozės, jei kyla įtarimų, kad pacientas nesilaik</w:t>
      </w:r>
      <w:r w:rsidR="00966F63" w:rsidRPr="00382558">
        <w:t>o</w:t>
      </w:r>
      <w:r w:rsidRPr="00382558">
        <w:t xml:space="preserve"> paskirto gydymo.</w:t>
      </w:r>
    </w:p>
    <w:p w14:paraId="44A09E3E" w14:textId="77777777" w:rsidR="00CD1C12" w:rsidRPr="00382558" w:rsidRDefault="00CD1C12" w:rsidP="00CD1C12"/>
    <w:p w14:paraId="60E37C93" w14:textId="77777777" w:rsidR="00CD1C12" w:rsidRPr="00382558" w:rsidRDefault="00CD1C12" w:rsidP="00CD1C12">
      <w:r w:rsidRPr="00382558">
        <w:t>Prieš pradedant gydymą cinakalcetu ir gydymo metu būtina įvertinti gydymo naudą ir riziką bei paciento gebėjimą laikytis hipokalcemijos rizikos stebėjimo ir valdymo rekomendacijų.</w:t>
      </w:r>
    </w:p>
    <w:p w14:paraId="122EFB42" w14:textId="77777777" w:rsidR="00CD1C12" w:rsidRPr="00382558" w:rsidRDefault="00CD1C12" w:rsidP="00CD1C12"/>
    <w:p w14:paraId="2F69BD03" w14:textId="77777777" w:rsidR="00CD1C12" w:rsidRDefault="00CD1C12" w:rsidP="00CD1C12">
      <w:r w:rsidRPr="00382558">
        <w:t>Informuokite vaikus ir (arba) jų globėjus apie hipokalcemijos simptomus ir kaip svarbu laikytis instrukcijų stebint kalcio koncentraciją serume</w:t>
      </w:r>
      <w:r>
        <w:t>, dozavimą ir vartojimo metodą.</w:t>
      </w:r>
    </w:p>
    <w:p w14:paraId="0684F21D" w14:textId="77777777" w:rsidR="00CD1C12" w:rsidRPr="00097465" w:rsidRDefault="00CD1C12" w:rsidP="00097465"/>
    <w:p w14:paraId="3548E3BB" w14:textId="77777777" w:rsidR="00CD1C12" w:rsidRDefault="00CD1C12" w:rsidP="00097465">
      <w:r>
        <w:rPr>
          <w:rFonts w:ascii="TimesNewRomanPS-ItalicMT" w:eastAsia="Calibri" w:hAnsi="TimesNewRomanPS-ItalicMT" w:cs="TimesNewRomanPS-ItalicMT"/>
          <w:i/>
          <w:iCs/>
          <w:snapToGrid/>
          <w:szCs w:val="22"/>
          <w:lang w:eastAsia="lt-LT"/>
        </w:rPr>
        <w:t>LIL sergantys pacientai, kuriems netaikoma dializė</w:t>
      </w:r>
    </w:p>
    <w:p w14:paraId="48554251" w14:textId="77777777" w:rsidR="00AE38FC" w:rsidRDefault="00097465" w:rsidP="00097465">
      <w:r w:rsidRPr="00097465">
        <w:t>Cinakalceto negalima skirti LIL sergantiems pacientams, kuriems nėra atliekama dializė. Tyrimų duomenys</w:t>
      </w:r>
      <w:r>
        <w:t xml:space="preserve"> </w:t>
      </w:r>
      <w:r w:rsidRPr="00097465">
        <w:t>rodo, kad cinakalcetą vartojantiems LIL sergantiems</w:t>
      </w:r>
      <w:r w:rsidR="00482AAE">
        <w:t xml:space="preserve"> suaugusiems</w:t>
      </w:r>
      <w:r w:rsidRPr="00097465">
        <w:t xml:space="preserve"> pacientams, kuriems nėra atliekama dializė, kyla</w:t>
      </w:r>
      <w:r>
        <w:t xml:space="preserve"> </w:t>
      </w:r>
      <w:r w:rsidRPr="00097465">
        <w:t>didesnė hipokalcemijos (kalcio koncentracija serume &lt; 8,4</w:t>
      </w:r>
      <w:r w:rsidR="00E438EF">
        <w:t> </w:t>
      </w:r>
      <w:r w:rsidRPr="00097465">
        <w:t>mg/dl (2,1</w:t>
      </w:r>
      <w:r w:rsidR="00E438EF">
        <w:t> </w:t>
      </w:r>
      <w:r w:rsidRPr="00097465">
        <w:t>mmol/l)) rizika, lyginant su</w:t>
      </w:r>
      <w:r>
        <w:t xml:space="preserve"> </w:t>
      </w:r>
      <w:r w:rsidRPr="00097465">
        <w:t>cinakalcetą vartojančiais LIL sergančiais pacientais, kuriems dializė atliekama. Taip gali būti dėl mažesnės</w:t>
      </w:r>
      <w:r>
        <w:t xml:space="preserve"> </w:t>
      </w:r>
      <w:r w:rsidRPr="00097465">
        <w:t>pradinės kalcio koncentracijos ir (arba) dėl išlikusios inkstų funkcijos.</w:t>
      </w:r>
    </w:p>
    <w:p w14:paraId="09DDFEE9" w14:textId="77777777" w:rsidR="00097465" w:rsidRDefault="00097465" w:rsidP="00097465"/>
    <w:p w14:paraId="2488F030" w14:textId="77777777" w:rsidR="00097465" w:rsidRDefault="00097465" w:rsidP="00097465">
      <w:r w:rsidRPr="00097465">
        <w:rPr>
          <w:u w:val="single"/>
        </w:rPr>
        <w:t>Traukuliai</w:t>
      </w:r>
    </w:p>
    <w:p w14:paraId="3473161D" w14:textId="77777777" w:rsidR="00097465" w:rsidRPr="00097465" w:rsidRDefault="00097465" w:rsidP="00097465"/>
    <w:p w14:paraId="3E24249C" w14:textId="238C73E4" w:rsidR="00097465" w:rsidRDefault="003A3A4B" w:rsidP="003A3A4B">
      <w:r>
        <w:t>Gauta pranešimų apie traukulių atvejus cinakalcetu gydytiems pacientams (žr. 4.8 skyrių). Reikšmingai sumažėjus kalcio koncentracijai serume, traukulių slenkstis mažėja. Todėl cinakalcetą vartojantiems pacientams reikia atidžiai stebėti kalcio koncentraciją serume, ypač tiems, kuriems praeityje yra buvę traukulių.</w:t>
      </w:r>
    </w:p>
    <w:p w14:paraId="0B9D58DB" w14:textId="77777777" w:rsidR="00097465" w:rsidRDefault="00097465" w:rsidP="00097465"/>
    <w:p w14:paraId="2E66776B" w14:textId="77777777" w:rsidR="00547A93" w:rsidRPr="00547A93" w:rsidRDefault="00547A93" w:rsidP="00547A93">
      <w:pPr>
        <w:rPr>
          <w:u w:val="single"/>
        </w:rPr>
      </w:pPr>
      <w:r w:rsidRPr="00547A93">
        <w:rPr>
          <w:u w:val="single"/>
        </w:rPr>
        <w:t>Hipotenzija ir (arba) širdies nepakankamumo pasunkėjimas</w:t>
      </w:r>
    </w:p>
    <w:p w14:paraId="2BFFFDA4" w14:textId="77777777" w:rsidR="00547A93" w:rsidRDefault="00547A93" w:rsidP="00547A93"/>
    <w:p w14:paraId="52EC3591" w14:textId="41E4B176" w:rsidR="00547A93" w:rsidRDefault="000D71F4" w:rsidP="00547A93">
      <w:r>
        <w:t>B</w:t>
      </w:r>
      <w:r w:rsidR="00547A93" w:rsidRPr="00547A93">
        <w:t>uvo pranešta apie pavienus idiosinkrazinius</w:t>
      </w:r>
      <w:r w:rsidR="00C46F6B">
        <w:t xml:space="preserve"> </w:t>
      </w:r>
      <w:r w:rsidR="00547A93" w:rsidRPr="00547A93">
        <w:t>hipotenzijos ir (arba) pasunkėjusio širdies nepakankamumo atvejus pacientams, kurių širdies funkcija buvo</w:t>
      </w:r>
      <w:r w:rsidR="00547A93">
        <w:t xml:space="preserve"> </w:t>
      </w:r>
      <w:r w:rsidR="00547A93" w:rsidRPr="00547A93">
        <w:t>sutrikusi. Šiais atvejais negalima visiškai paneigti priežastinio ryšio su cinakalceto vartojimu, tam įtakos gali</w:t>
      </w:r>
      <w:r w:rsidR="00547A93">
        <w:t xml:space="preserve"> </w:t>
      </w:r>
      <w:r w:rsidR="00547A93" w:rsidRPr="00547A93">
        <w:t>turėti kalcio kiekio sumažėjimai</w:t>
      </w:r>
      <w:r w:rsidR="00503C0B">
        <w:t xml:space="preserve"> </w:t>
      </w:r>
      <w:r w:rsidR="00503C0B" w:rsidRPr="00547A93">
        <w:t>serume</w:t>
      </w:r>
      <w:r w:rsidRPr="000D71F4">
        <w:t xml:space="preserve"> (žr. 4.8 skyrių).</w:t>
      </w:r>
      <w:r w:rsidRPr="000D71F4" w:rsidDel="000D71F4">
        <w:t xml:space="preserve"> </w:t>
      </w:r>
    </w:p>
    <w:p w14:paraId="4ACFE95F" w14:textId="77777777" w:rsidR="000D71F4" w:rsidRDefault="000D71F4" w:rsidP="00547A93">
      <w:pPr>
        <w:rPr>
          <w:u w:val="single"/>
        </w:rPr>
      </w:pPr>
    </w:p>
    <w:p w14:paraId="2538B85B" w14:textId="77777777" w:rsidR="00991783" w:rsidRPr="00991783" w:rsidRDefault="00991783" w:rsidP="00991783">
      <w:pPr>
        <w:rPr>
          <w:u w:val="single"/>
        </w:rPr>
      </w:pPr>
      <w:r w:rsidRPr="00991783">
        <w:rPr>
          <w:u w:val="single"/>
        </w:rPr>
        <w:t>Vartojimas derinyje su kitais vaistiniais preparatais</w:t>
      </w:r>
    </w:p>
    <w:p w14:paraId="0C05428B" w14:textId="77777777" w:rsidR="00991783" w:rsidRPr="00D42F2E" w:rsidRDefault="00991783" w:rsidP="00991783">
      <w:r>
        <w:t>Cinacalcet Teva</w:t>
      </w:r>
      <w:r w:rsidRPr="00D42F2E">
        <w:t xml:space="preserve"> atsargiai skirti pacientams, kurie vartoja bet kokius kitus vaistinius preparatus, mažinančius</w:t>
      </w:r>
      <w:r>
        <w:t xml:space="preserve"> </w:t>
      </w:r>
      <w:r w:rsidRPr="00D42F2E">
        <w:t>kalcio koncentraciją serume. Atidžiai stebėti kalcio koncentraciją serume (žr. 4.5 skyrių).</w:t>
      </w:r>
    </w:p>
    <w:p w14:paraId="40D68CE9" w14:textId="77777777" w:rsidR="00991783" w:rsidRDefault="00991783" w:rsidP="00991783"/>
    <w:p w14:paraId="01E8AC40" w14:textId="77777777" w:rsidR="000D71F4" w:rsidRPr="00D42F2E" w:rsidRDefault="00991783" w:rsidP="00991783">
      <w:r w:rsidRPr="00991783">
        <w:t>Cinacalcet Teva</w:t>
      </w:r>
      <w:r w:rsidRPr="00D42F2E">
        <w:t xml:space="preserve"> vartojantiems pacientams negalima skirti etelkalcetido. Šio derinio vartojimas gali sukelti</w:t>
      </w:r>
      <w:r>
        <w:t xml:space="preserve"> </w:t>
      </w:r>
      <w:r w:rsidRPr="00D42F2E">
        <w:t>sunkią hipokalcemiją.</w:t>
      </w:r>
    </w:p>
    <w:p w14:paraId="5624D26A" w14:textId="77777777" w:rsidR="000D71F4" w:rsidRDefault="000D71F4" w:rsidP="00547A93">
      <w:pPr>
        <w:rPr>
          <w:u w:val="single"/>
        </w:rPr>
      </w:pPr>
    </w:p>
    <w:p w14:paraId="5DA90B11" w14:textId="77777777" w:rsidR="00547A93" w:rsidRDefault="00547A93" w:rsidP="00547A93">
      <w:pPr>
        <w:rPr>
          <w:u w:val="single"/>
        </w:rPr>
      </w:pPr>
      <w:r w:rsidRPr="00547A93">
        <w:rPr>
          <w:u w:val="single"/>
        </w:rPr>
        <w:t>Bendrieji įspėjimai</w:t>
      </w:r>
    </w:p>
    <w:p w14:paraId="391A84DC" w14:textId="77777777" w:rsidR="00547A93" w:rsidRPr="00547A93" w:rsidRDefault="00547A93" w:rsidP="00547A93">
      <w:pPr>
        <w:rPr>
          <w:u w:val="single"/>
        </w:rPr>
      </w:pPr>
    </w:p>
    <w:p w14:paraId="4967C529" w14:textId="77777777" w:rsidR="00097465" w:rsidRDefault="00547A93" w:rsidP="00547A93">
      <w:r w:rsidRPr="00547A93">
        <w:t xml:space="preserve">Jei PTH koncentracija yra nuolat </w:t>
      </w:r>
      <w:r w:rsidR="003607B0">
        <w:t xml:space="preserve">palaikoma </w:t>
      </w:r>
      <w:r w:rsidRPr="00547A93">
        <w:t xml:space="preserve">mažesnė, negu maždaug 1,5 karto </w:t>
      </w:r>
      <w:r w:rsidR="003607B0">
        <w:t>nuo</w:t>
      </w:r>
      <w:r w:rsidR="003607B0" w:rsidRPr="00547A93">
        <w:t xml:space="preserve"> </w:t>
      </w:r>
      <w:r w:rsidRPr="00547A93">
        <w:t>viršutinė</w:t>
      </w:r>
      <w:r w:rsidR="003607B0">
        <w:t>s</w:t>
      </w:r>
      <w:r w:rsidRPr="00547A93">
        <w:t xml:space="preserve"> normos </w:t>
      </w:r>
      <w:r w:rsidR="003607B0" w:rsidRPr="00547A93">
        <w:t>rib</w:t>
      </w:r>
      <w:r w:rsidR="003607B0">
        <w:t>os</w:t>
      </w:r>
      <w:r w:rsidRPr="00547A93">
        <w:t>,</w:t>
      </w:r>
      <w:r w:rsidR="008A20CA">
        <w:t xml:space="preserve"> </w:t>
      </w:r>
      <w:r w:rsidR="003607B0" w:rsidRPr="00547A93">
        <w:t>nustatom</w:t>
      </w:r>
      <w:r w:rsidR="003607B0">
        <w:t>os</w:t>
      </w:r>
      <w:r w:rsidR="003607B0" w:rsidRPr="00547A93">
        <w:t xml:space="preserve"> </w:t>
      </w:r>
      <w:r w:rsidRPr="00547A93">
        <w:t>pagal iPTH, gali prasidėti adinaminė kaulų liga. Jei PTH koncentracija pasidaro mažesnė už</w:t>
      </w:r>
      <w:r w:rsidR="008A20CA">
        <w:t xml:space="preserve"> </w:t>
      </w:r>
      <w:r w:rsidRPr="00547A93">
        <w:t>r</w:t>
      </w:r>
      <w:r w:rsidR="00062B7B">
        <w:t xml:space="preserve">ekomenduojamas tikslines ribas </w:t>
      </w:r>
      <w:r w:rsidR="0028276B">
        <w:t>Cinacalcet Teva</w:t>
      </w:r>
      <w:r w:rsidR="003607B0">
        <w:t xml:space="preserve"> </w:t>
      </w:r>
      <w:r w:rsidR="00062B7B">
        <w:t xml:space="preserve">gydomiems pacientams, </w:t>
      </w:r>
      <w:r w:rsidR="0028276B">
        <w:t>Cinacalcet Teva</w:t>
      </w:r>
      <w:r w:rsidR="003607B0">
        <w:t xml:space="preserve"> </w:t>
      </w:r>
      <w:r w:rsidRPr="00547A93">
        <w:t>dozę ir (ar) vitamino D</w:t>
      </w:r>
      <w:r w:rsidR="00062B7B">
        <w:t xml:space="preserve"> </w:t>
      </w:r>
      <w:r w:rsidRPr="00547A93">
        <w:t>sterolių dozę reikia sumažinti arba gydymą nutraukti.</w:t>
      </w:r>
    </w:p>
    <w:p w14:paraId="2D039C8C" w14:textId="77777777" w:rsidR="00062B7B" w:rsidRDefault="00062B7B" w:rsidP="00547A93"/>
    <w:p w14:paraId="7E997ADA" w14:textId="77777777" w:rsidR="00062B7B" w:rsidRPr="00062B7B" w:rsidRDefault="00062B7B" w:rsidP="00062B7B">
      <w:pPr>
        <w:rPr>
          <w:u w:val="single"/>
        </w:rPr>
      </w:pPr>
      <w:r w:rsidRPr="00062B7B">
        <w:rPr>
          <w:u w:val="single"/>
        </w:rPr>
        <w:t>Testosterono koncentracija</w:t>
      </w:r>
    </w:p>
    <w:p w14:paraId="610AEEC9" w14:textId="77777777" w:rsidR="00062B7B" w:rsidRDefault="00062B7B" w:rsidP="00062B7B"/>
    <w:p w14:paraId="7B777CF1" w14:textId="77777777" w:rsidR="00062B7B" w:rsidRDefault="00062B7B" w:rsidP="00062B7B">
      <w:r w:rsidRPr="00062B7B">
        <w:t>Testosterono koncentracija dažnai yra mažesnė už normą</w:t>
      </w:r>
      <w:r w:rsidR="001A3787">
        <w:t xml:space="preserve"> </w:t>
      </w:r>
      <w:r w:rsidRPr="00062B7B">
        <w:t xml:space="preserve"> pacientams, kuriems yra terminalinė inkstų ligos</w:t>
      </w:r>
      <w:r>
        <w:t xml:space="preserve"> </w:t>
      </w:r>
      <w:r w:rsidRPr="00062B7B">
        <w:t>stadija. Klinikinio tyrimo, kuriame dalyvavo dializuojami terminalin</w:t>
      </w:r>
      <w:r w:rsidR="00EC27EC">
        <w:t>ės stadijos</w:t>
      </w:r>
      <w:r w:rsidRPr="00062B7B">
        <w:t xml:space="preserve"> inkstų liga sergantys </w:t>
      </w:r>
      <w:r w:rsidR="001A3787">
        <w:t xml:space="preserve">suaugusieji </w:t>
      </w:r>
      <w:r w:rsidRPr="00062B7B">
        <w:t>pacientai, metu</w:t>
      </w:r>
      <w:r>
        <w:t xml:space="preserve"> </w:t>
      </w:r>
      <w:r w:rsidRPr="00062B7B">
        <w:t>nustatyta, kad pacientų, 6 mėnesius gydytų cinakalcetu, laisvo testosterono koncentracijos sumažėjimo</w:t>
      </w:r>
      <w:r>
        <w:t xml:space="preserve"> </w:t>
      </w:r>
      <w:r w:rsidRPr="00062B7B">
        <w:t>mediana yra 31,3%, o vartojusiųjų placebą – 16,3%. Šio tyrimo tęsinio, atlikto atviru būdu, metu nustatyta,</w:t>
      </w:r>
      <w:r>
        <w:t xml:space="preserve"> </w:t>
      </w:r>
      <w:r w:rsidRPr="00062B7B">
        <w:t>kad cinakalcetu gydytiems pacientams per tolesnius 3 metus laisvo ar bendro testosterono koncentracija</w:t>
      </w:r>
      <w:r>
        <w:t xml:space="preserve"> </w:t>
      </w:r>
      <w:r w:rsidRPr="00062B7B">
        <w:t>daugiau nemažėjo. Klinikinė šio testosterono koncentracijos serume sumažėjimo reikšmė nežinoma.</w:t>
      </w:r>
      <w:r>
        <w:t xml:space="preserve"> </w:t>
      </w:r>
    </w:p>
    <w:p w14:paraId="32012748" w14:textId="77777777" w:rsidR="00062B7B" w:rsidRPr="00062B7B" w:rsidRDefault="00062B7B" w:rsidP="00062B7B"/>
    <w:p w14:paraId="714CC733" w14:textId="77777777" w:rsidR="00062B7B" w:rsidRPr="00062B7B" w:rsidRDefault="00062B7B" w:rsidP="00062B7B">
      <w:pPr>
        <w:rPr>
          <w:u w:val="single"/>
        </w:rPr>
      </w:pPr>
      <w:r w:rsidRPr="00062B7B">
        <w:rPr>
          <w:u w:val="single"/>
        </w:rPr>
        <w:t>Kepenų veiklos sutrikimas</w:t>
      </w:r>
    </w:p>
    <w:p w14:paraId="2982EBC3" w14:textId="77777777" w:rsidR="00062B7B" w:rsidRDefault="00062B7B" w:rsidP="00062B7B"/>
    <w:p w14:paraId="1E9B519D" w14:textId="77777777" w:rsidR="00062B7B" w:rsidRDefault="00062B7B" w:rsidP="00062B7B">
      <w:r w:rsidRPr="00062B7B">
        <w:t>Dėl galimai 2-4 kartus didesnės cinakalceto koncentracijos kraujo plazmoje pacientams, kuriems yra</w:t>
      </w:r>
      <w:r w:rsidR="00C46F6B">
        <w:t xml:space="preserve"> </w:t>
      </w:r>
      <w:r w:rsidRPr="00062B7B">
        <w:t>vidutinio sunkumo ar sunkus kepenų sutrikimas (pa</w:t>
      </w:r>
      <w:r>
        <w:t xml:space="preserve">gal </w:t>
      </w:r>
      <w:r w:rsidRPr="00811A4B">
        <w:rPr>
          <w:i/>
        </w:rPr>
        <w:t>Child-Pugh</w:t>
      </w:r>
      <w:r>
        <w:t xml:space="preserve"> klasifikaciją), </w:t>
      </w:r>
      <w:r w:rsidR="0028276B">
        <w:t>Cinacalcet Teva</w:t>
      </w:r>
      <w:r w:rsidR="003607B0">
        <w:t xml:space="preserve"> </w:t>
      </w:r>
      <w:r w:rsidRPr="00062B7B">
        <w:t>turi būti</w:t>
      </w:r>
      <w:r>
        <w:t xml:space="preserve"> </w:t>
      </w:r>
      <w:r w:rsidRPr="00062B7B">
        <w:t>skiriamas atsargiai ir gydytojas privalo atidžiai stebėti šiuos pacientus (žr. 4.2 ir 5.2 skyrius).</w:t>
      </w:r>
    </w:p>
    <w:p w14:paraId="4796A93C" w14:textId="77777777" w:rsidR="00062B7B" w:rsidRDefault="00062B7B" w:rsidP="00062B7B"/>
    <w:p w14:paraId="79E73B49" w14:textId="77777777" w:rsidR="00062B7B" w:rsidRDefault="008D7A2A" w:rsidP="00062B7B">
      <w:pPr>
        <w:rPr>
          <w:b/>
        </w:rPr>
      </w:pPr>
      <w:r w:rsidRPr="008D7A2A">
        <w:rPr>
          <w:b/>
        </w:rPr>
        <w:t>4.5</w:t>
      </w:r>
      <w:r w:rsidRPr="008D7A2A">
        <w:rPr>
          <w:b/>
        </w:rPr>
        <w:tab/>
        <w:t>Sąveika su kitais vaistiniais preparatais ir kitokia sąveika</w:t>
      </w:r>
    </w:p>
    <w:p w14:paraId="36DA4D37" w14:textId="77777777" w:rsidR="008D7A2A" w:rsidRDefault="008D7A2A" w:rsidP="00062B7B">
      <w:pPr>
        <w:rPr>
          <w:b/>
        </w:rPr>
      </w:pPr>
    </w:p>
    <w:p w14:paraId="6FD10DD2" w14:textId="77777777" w:rsidR="00E72561" w:rsidRPr="00E72561" w:rsidRDefault="00E72561" w:rsidP="00E72561">
      <w:pPr>
        <w:rPr>
          <w:u w:val="single"/>
        </w:rPr>
      </w:pPr>
      <w:r w:rsidRPr="00E72561">
        <w:rPr>
          <w:u w:val="single"/>
        </w:rPr>
        <w:t>Vaistiniai preparatai, mažinantys kalcio koncentraciją serume</w:t>
      </w:r>
    </w:p>
    <w:p w14:paraId="420C1F22" w14:textId="77777777" w:rsidR="00E72561" w:rsidRPr="00D42F2E" w:rsidRDefault="00E72561" w:rsidP="00E72561">
      <w:r w:rsidRPr="00D42F2E">
        <w:t xml:space="preserve">Kitų vaistinių preparatų, kurie mažina kalcio koncentraciją, vartojimas kartu su </w:t>
      </w:r>
      <w:r>
        <w:t>Cinacalcet Teva</w:t>
      </w:r>
      <w:r w:rsidRPr="00D42F2E">
        <w:t xml:space="preserve"> gali didinti</w:t>
      </w:r>
      <w:r>
        <w:t xml:space="preserve"> </w:t>
      </w:r>
      <w:r w:rsidRPr="00D42F2E">
        <w:t xml:space="preserve">hipokalcemijos riziką (žr. 4.4 skyrių). Pacientams, vartojantiems </w:t>
      </w:r>
      <w:r w:rsidRPr="00E72561">
        <w:t>Cinacalcet Teva</w:t>
      </w:r>
      <w:r w:rsidRPr="00D42F2E">
        <w:t xml:space="preserve"> negalima skirti</w:t>
      </w:r>
      <w:r>
        <w:t xml:space="preserve"> </w:t>
      </w:r>
      <w:r w:rsidRPr="00D42F2E">
        <w:t>etelkalcetido (žr. 4.4 skyrių).</w:t>
      </w:r>
    </w:p>
    <w:p w14:paraId="66134047" w14:textId="77777777" w:rsidR="00E72561" w:rsidRDefault="00E72561" w:rsidP="00D200DB">
      <w:pPr>
        <w:rPr>
          <w:u w:val="single"/>
        </w:rPr>
      </w:pPr>
    </w:p>
    <w:p w14:paraId="0B95D756" w14:textId="7D78E3A4" w:rsidR="00D200DB" w:rsidRPr="00D200DB" w:rsidRDefault="00D200DB" w:rsidP="00D200DB">
      <w:pPr>
        <w:rPr>
          <w:u w:val="single"/>
        </w:rPr>
      </w:pPr>
      <w:r w:rsidRPr="00D200DB">
        <w:rPr>
          <w:u w:val="single"/>
        </w:rPr>
        <w:t xml:space="preserve">Kitų </w:t>
      </w:r>
      <w:r w:rsidR="00D8434A">
        <w:rPr>
          <w:u w:val="single"/>
        </w:rPr>
        <w:t>vaistinių preparatų</w:t>
      </w:r>
      <w:r w:rsidR="00D8434A" w:rsidRPr="00D200DB">
        <w:rPr>
          <w:u w:val="single"/>
        </w:rPr>
        <w:t xml:space="preserve"> </w:t>
      </w:r>
      <w:r w:rsidRPr="00D200DB">
        <w:rPr>
          <w:u w:val="single"/>
        </w:rPr>
        <w:t>poveikis cinakalcetui</w:t>
      </w:r>
    </w:p>
    <w:p w14:paraId="0E72B52B" w14:textId="77777777" w:rsidR="00D200DB" w:rsidRDefault="00D200DB" w:rsidP="00D200DB"/>
    <w:p w14:paraId="619CEB91" w14:textId="77777777" w:rsidR="008D7A2A" w:rsidRDefault="00D200DB" w:rsidP="00D200DB">
      <w:r w:rsidRPr="00D200DB">
        <w:t>Cinakalcetą iš dalies metabolizuoja fermentas CYP3A4. Kai kartu vartojama stipraus CYP3A4 inhibitoriaus</w:t>
      </w:r>
      <w:r>
        <w:t xml:space="preserve"> </w:t>
      </w:r>
      <w:r w:rsidRPr="00D200DB">
        <w:t>ketokonazolo po 200</w:t>
      </w:r>
      <w:r w:rsidR="00C46F6B">
        <w:t> </w:t>
      </w:r>
      <w:r w:rsidRPr="00D200DB">
        <w:t>mg du kartus per parą, cinakalceto koncentracija padidėja maždaug 2 kartus.</w:t>
      </w:r>
      <w:r>
        <w:t xml:space="preserve"> </w:t>
      </w:r>
      <w:r w:rsidR="0028276B">
        <w:t>Cinacalcet Teva</w:t>
      </w:r>
      <w:r w:rsidRPr="00D200DB">
        <w:t xml:space="preserve"> dozę kartais tenka koreguoti, jei </w:t>
      </w:r>
      <w:r w:rsidR="0028276B">
        <w:t>Cinacalcet Teva</w:t>
      </w:r>
      <w:r w:rsidRPr="00D200DB">
        <w:t xml:space="preserve"> vartojantis pacientas pradės ar baigs gydytis stipriu šio</w:t>
      </w:r>
      <w:r w:rsidR="0028276B">
        <w:t xml:space="preserve"> </w:t>
      </w:r>
      <w:r w:rsidRPr="00D200DB">
        <w:t>fermento inhibitoriumi (pvz., ketokonazolu, itrakonazolu, telitromicinu, vorikonazolu, ritonaviru) ar</w:t>
      </w:r>
      <w:r w:rsidR="0028276B">
        <w:t xml:space="preserve"> </w:t>
      </w:r>
      <w:r w:rsidRPr="00D200DB">
        <w:t>induktoriumi (pvz., rifampicinu) (žr. 4.4 skyrių).</w:t>
      </w:r>
    </w:p>
    <w:p w14:paraId="5C05F550" w14:textId="77777777" w:rsidR="0028276B" w:rsidRDefault="0028276B" w:rsidP="00D200DB"/>
    <w:p w14:paraId="6BA0DD85" w14:textId="77777777" w:rsidR="0028276B" w:rsidRPr="0028276B" w:rsidRDefault="0028276B" w:rsidP="0028276B">
      <w:r w:rsidRPr="0028276B">
        <w:t xml:space="preserve">Tyrimų </w:t>
      </w:r>
      <w:r w:rsidRPr="002108DE">
        <w:rPr>
          <w:i/>
        </w:rPr>
        <w:t>in vitro</w:t>
      </w:r>
      <w:r w:rsidRPr="0028276B">
        <w:t xml:space="preserve"> duomenys rodo, kad cinakalcetą dalinai metabolizuoja CYP1A2. Rūkymas sužadina</w:t>
      </w:r>
      <w:r w:rsidR="00062000">
        <w:t xml:space="preserve"> </w:t>
      </w:r>
      <w:r w:rsidRPr="0028276B">
        <w:t>CYP1A2; nustatyta, kad rūkančiųjų cinakalceto klirensas buvo 36-38% didesnis lyginant su nerūkančiaisiais.</w:t>
      </w:r>
      <w:r>
        <w:t xml:space="preserve"> </w:t>
      </w:r>
      <w:r w:rsidRPr="0028276B">
        <w:t>Stiprių CYP1A2 inhibitorių (pvz., fluvoksamino, ciprofloksacino) poveikis cinakalceto koncentracijai</w:t>
      </w:r>
      <w:r>
        <w:t xml:space="preserve"> </w:t>
      </w:r>
      <w:r w:rsidRPr="0028276B">
        <w:t>plazmoje netirtas. Dozę gali tekti koreguoti, jei pacientas pradeda ar meta rūkyti, taip pat jei kartu</w:t>
      </w:r>
      <w:r>
        <w:t xml:space="preserve"> </w:t>
      </w:r>
      <w:r w:rsidRPr="0028276B">
        <w:t>pradedamas ar nutraukiamas gydymas stipriais CYP1A2 inhibitoriais.</w:t>
      </w:r>
    </w:p>
    <w:p w14:paraId="155F20E5" w14:textId="77777777" w:rsidR="0028276B" w:rsidRDefault="0028276B" w:rsidP="0028276B"/>
    <w:p w14:paraId="7D7DA21E" w14:textId="77777777" w:rsidR="0028276B" w:rsidRPr="0028276B" w:rsidRDefault="0028276B" w:rsidP="0028276B">
      <w:r w:rsidRPr="0028276B">
        <w:rPr>
          <w:i/>
        </w:rPr>
        <w:t>Kalcio</w:t>
      </w:r>
      <w:r w:rsidRPr="0028276B">
        <w:t xml:space="preserve"> </w:t>
      </w:r>
      <w:r w:rsidRPr="0028276B">
        <w:rPr>
          <w:i/>
        </w:rPr>
        <w:t>karbonatas</w:t>
      </w:r>
      <w:r>
        <w:t>: k</w:t>
      </w:r>
      <w:r w:rsidRPr="0028276B">
        <w:t>artu vartojamas kalcio karbonatas (vienkartinė 1500</w:t>
      </w:r>
      <w:r w:rsidR="00062000">
        <w:t> </w:t>
      </w:r>
      <w:r w:rsidRPr="0028276B">
        <w:t>mg dozė) nekeičia cinakalceto</w:t>
      </w:r>
      <w:r w:rsidR="00062000">
        <w:t> </w:t>
      </w:r>
      <w:r w:rsidRPr="0028276B">
        <w:t>farmakokinetikos.</w:t>
      </w:r>
    </w:p>
    <w:p w14:paraId="57C14A30" w14:textId="77777777" w:rsidR="0028276B" w:rsidRPr="0028276B" w:rsidRDefault="0028276B" w:rsidP="0028276B">
      <w:r w:rsidRPr="0028276B">
        <w:rPr>
          <w:i/>
        </w:rPr>
        <w:t>Sevelameras</w:t>
      </w:r>
      <w:r>
        <w:t>: k</w:t>
      </w:r>
      <w:r w:rsidRPr="0028276B">
        <w:t>artu vartojamas sevelameras (2400</w:t>
      </w:r>
      <w:r w:rsidR="00062000">
        <w:t> </w:t>
      </w:r>
      <w:r w:rsidRPr="0028276B">
        <w:t>mg tris kartus per parą) nekeičia cinakalceto</w:t>
      </w:r>
      <w:r w:rsidR="00062000">
        <w:t> </w:t>
      </w:r>
      <w:r w:rsidRPr="0028276B">
        <w:t>farmakokinetikos.</w:t>
      </w:r>
    </w:p>
    <w:p w14:paraId="2D4805DB" w14:textId="77777777" w:rsidR="0028276B" w:rsidRDefault="0028276B" w:rsidP="0028276B">
      <w:r w:rsidRPr="0028276B">
        <w:rPr>
          <w:i/>
        </w:rPr>
        <w:t>Pantoprazolas</w:t>
      </w:r>
      <w:r>
        <w:rPr>
          <w:i/>
        </w:rPr>
        <w:t>:</w:t>
      </w:r>
      <w:r>
        <w:t xml:space="preserve"> k</w:t>
      </w:r>
      <w:r w:rsidRPr="0028276B">
        <w:t>artu vartojamas pantoprazolas (80</w:t>
      </w:r>
      <w:r w:rsidR="00062000">
        <w:t xml:space="preserve"> </w:t>
      </w:r>
      <w:r w:rsidRPr="0028276B">
        <w:t>mg vieną kartą per parą) nekeičia cinakalceto</w:t>
      </w:r>
      <w:r w:rsidR="00062000">
        <w:t> </w:t>
      </w:r>
      <w:r w:rsidRPr="0028276B">
        <w:t>farmakokinetikos.</w:t>
      </w:r>
    </w:p>
    <w:p w14:paraId="3F15640C" w14:textId="77777777" w:rsidR="0028276B" w:rsidRDefault="0028276B" w:rsidP="0028276B"/>
    <w:p w14:paraId="32ABF0C2" w14:textId="21C1FA60" w:rsidR="00395052" w:rsidRPr="00395052" w:rsidRDefault="00395052" w:rsidP="00395052">
      <w:pPr>
        <w:rPr>
          <w:u w:val="single"/>
        </w:rPr>
      </w:pPr>
      <w:r w:rsidRPr="00395052">
        <w:rPr>
          <w:u w:val="single"/>
        </w:rPr>
        <w:t xml:space="preserve">Cinakalceto poveikis kitiems </w:t>
      </w:r>
      <w:r w:rsidR="00D8434A">
        <w:rPr>
          <w:u w:val="single"/>
        </w:rPr>
        <w:t>vaistiniams preparatams</w:t>
      </w:r>
    </w:p>
    <w:p w14:paraId="0940187F" w14:textId="77777777" w:rsidR="00395052" w:rsidRDefault="00395052" w:rsidP="00395052"/>
    <w:p w14:paraId="7AF887B1" w14:textId="77777777" w:rsidR="0028276B" w:rsidRDefault="00395052" w:rsidP="00395052">
      <w:r w:rsidRPr="00395052">
        <w:t>Vaistiniai preparatai, metabolizuojami fermento P450 2D6 (CYP2D6)</w:t>
      </w:r>
      <w:r w:rsidR="00B16AAD">
        <w:t>:</w:t>
      </w:r>
      <w:r w:rsidRPr="00395052">
        <w:t xml:space="preserve"> </w:t>
      </w:r>
      <w:r w:rsidR="00B16AAD">
        <w:t>c</w:t>
      </w:r>
      <w:r w:rsidRPr="00395052">
        <w:t>inakalcetas yra stiprus CYP2D6</w:t>
      </w:r>
      <w:r w:rsidR="00062000">
        <w:t xml:space="preserve"> </w:t>
      </w:r>
      <w:r w:rsidRPr="00395052">
        <w:t xml:space="preserve">inhibitorius. </w:t>
      </w:r>
      <w:r>
        <w:t xml:space="preserve">Gali tekti </w:t>
      </w:r>
      <w:r w:rsidRPr="00395052">
        <w:t xml:space="preserve">koreguoti kartu vartojamų </w:t>
      </w:r>
      <w:r w:rsidR="001D1CDB">
        <w:t xml:space="preserve">vaistinių preparatų </w:t>
      </w:r>
      <w:r w:rsidRPr="00395052">
        <w:t>dozes, kai cinakalcetas vartojamas kartu su</w:t>
      </w:r>
      <w:r w:rsidR="00062000">
        <w:t xml:space="preserve"> </w:t>
      </w:r>
      <w:r w:rsidRPr="00395052">
        <w:t>individualiai titruojam</w:t>
      </w:r>
      <w:r w:rsidR="001D1CDB">
        <w:t>omis</w:t>
      </w:r>
      <w:r w:rsidRPr="00395052">
        <w:t xml:space="preserve">, siauro terapinio indekso </w:t>
      </w:r>
      <w:r w:rsidR="001D1CDB">
        <w:t>medžiagomis</w:t>
      </w:r>
      <w:r w:rsidRPr="00395052">
        <w:t>, kur</w:t>
      </w:r>
      <w:r w:rsidR="001D1CDB">
        <w:t>ias</w:t>
      </w:r>
      <w:r w:rsidRPr="00395052">
        <w:t xml:space="preserve"> daugiausiai metabolizuoja CYP2D6 (pvz.,</w:t>
      </w:r>
      <w:r w:rsidR="00062000">
        <w:t xml:space="preserve"> </w:t>
      </w:r>
      <w:r w:rsidRPr="00395052">
        <w:t>flekainidu, propafenonu, metoprololiu, dezipraminu, nortriptilinu, klomipraminu) (žr. 4.4 skyrių).</w:t>
      </w:r>
    </w:p>
    <w:p w14:paraId="2B7A7D0D" w14:textId="77777777" w:rsidR="00D2719C" w:rsidRDefault="00D2719C" w:rsidP="00395052"/>
    <w:p w14:paraId="151C16FE" w14:textId="77777777" w:rsidR="00D2719C" w:rsidRDefault="00D2719C" w:rsidP="00D2719C">
      <w:r w:rsidRPr="00D2719C">
        <w:rPr>
          <w:i/>
        </w:rPr>
        <w:t>Dezipraminas</w:t>
      </w:r>
      <w:r>
        <w:t>: k</w:t>
      </w:r>
      <w:r w:rsidRPr="00D2719C">
        <w:t>artu su 90</w:t>
      </w:r>
      <w:r w:rsidR="00062000">
        <w:t> </w:t>
      </w:r>
      <w:r w:rsidRPr="00D2719C">
        <w:t>mg cinakalceto vieną kartą per parą vartojant 50</w:t>
      </w:r>
      <w:r w:rsidR="00062000">
        <w:t> </w:t>
      </w:r>
      <w:r w:rsidRPr="00D2719C">
        <w:t>mg dezipramino, daugiausiai</w:t>
      </w:r>
      <w:r w:rsidR="00062000">
        <w:t xml:space="preserve"> </w:t>
      </w:r>
      <w:r w:rsidRPr="00D2719C">
        <w:t>CYP2D6 metobolizuojamo triciklio antidepresanto, CYP2D6 ekstensyviems metabolizuotojams reikšmingai</w:t>
      </w:r>
      <w:r>
        <w:t xml:space="preserve">, </w:t>
      </w:r>
      <w:r w:rsidRPr="00D2719C">
        <w:t>t.y. 3,6 karto (90% PI 3,0; 4,4) padidėjo dezipramino ekspozicija.</w:t>
      </w:r>
    </w:p>
    <w:p w14:paraId="71AADBBF" w14:textId="77777777" w:rsidR="00D2719C" w:rsidRDefault="00D2719C" w:rsidP="00D2719C"/>
    <w:p w14:paraId="42BD278C" w14:textId="77777777" w:rsidR="00E9143C" w:rsidRPr="00D2719C" w:rsidRDefault="00E9143C" w:rsidP="00D2719C">
      <w:r>
        <w:t xml:space="preserve">Dekstrometorfanas. Kartotinės 50 mg cinakalceto dozės 11 kartų padidino 30 mg dekstrometorfano (daugiausiai metobolizuojamo CYP2D6) AUC ekstensyviems CYP2D6 metabolizuotojams. </w:t>
      </w:r>
    </w:p>
    <w:p w14:paraId="6DA2F4C2" w14:textId="77777777" w:rsidR="00E9143C" w:rsidRDefault="00E9143C" w:rsidP="00D2719C">
      <w:pPr>
        <w:rPr>
          <w:i/>
        </w:rPr>
      </w:pPr>
    </w:p>
    <w:p w14:paraId="1F949A95" w14:textId="77777777" w:rsidR="00D2719C" w:rsidRDefault="00D2719C" w:rsidP="00D2719C">
      <w:r w:rsidRPr="00D2719C">
        <w:rPr>
          <w:i/>
        </w:rPr>
        <w:t>Varfarinas</w:t>
      </w:r>
      <w:r>
        <w:t>: k</w:t>
      </w:r>
      <w:r w:rsidRPr="00D2719C">
        <w:t>artotinės geriamojo cinakalceto dozės neveikia varfarino farmakokinetikos ar</w:t>
      </w:r>
      <w:r w:rsidR="00062000">
        <w:t xml:space="preserve"> </w:t>
      </w:r>
      <w:r w:rsidRPr="00D2719C">
        <w:t>farmakodinamikos (vertinant pagal protrombino laiką ir VII krešėjimo faktorių).</w:t>
      </w:r>
    </w:p>
    <w:p w14:paraId="22FB1362" w14:textId="77777777" w:rsidR="00D2719C" w:rsidRPr="00D2719C" w:rsidRDefault="00D2719C" w:rsidP="00D2719C"/>
    <w:p w14:paraId="1523547F" w14:textId="77777777" w:rsidR="00D2719C" w:rsidRPr="00D2719C" w:rsidRDefault="00D2719C" w:rsidP="00D2719C">
      <w:r w:rsidRPr="00D2719C">
        <w:t>Cinakalcetas neveikia R- ir S-varfarino farmakokinetikos, taip pat vartojamas kartotinai nesukelia</w:t>
      </w:r>
      <w:r w:rsidR="00062000">
        <w:t xml:space="preserve"> </w:t>
      </w:r>
      <w:r w:rsidRPr="00D2719C">
        <w:t>autoindukcijos. Tai rodo, kad cinakalcetas nesužadina žmogaus CYP3A4, CYP1A2 ar CYP2C9</w:t>
      </w:r>
      <w:r w:rsidR="00B16AAD">
        <w:t xml:space="preserve"> izofermentų</w:t>
      </w:r>
      <w:r w:rsidRPr="00D2719C">
        <w:t>.</w:t>
      </w:r>
    </w:p>
    <w:p w14:paraId="076D40F7" w14:textId="77777777" w:rsidR="00062000" w:rsidRDefault="00062000" w:rsidP="00D2719C">
      <w:pPr>
        <w:rPr>
          <w:i/>
        </w:rPr>
      </w:pPr>
    </w:p>
    <w:p w14:paraId="0561F962" w14:textId="77777777" w:rsidR="00D2719C" w:rsidRDefault="00D2719C" w:rsidP="00D2719C">
      <w:r w:rsidRPr="00D2719C">
        <w:rPr>
          <w:i/>
        </w:rPr>
        <w:t>Midazolamas</w:t>
      </w:r>
      <w:r w:rsidRPr="00D2719C">
        <w:t>: kartu su cinakalcetu (90</w:t>
      </w:r>
      <w:r w:rsidR="00062000">
        <w:t> </w:t>
      </w:r>
      <w:r w:rsidRPr="00D2719C">
        <w:t>mg) vartojant geriamojo midazolamo (2</w:t>
      </w:r>
      <w:r w:rsidR="00062000">
        <w:t> </w:t>
      </w:r>
      <w:r w:rsidRPr="00D2719C">
        <w:t>mg), CYP3A4 ir CYP3A5</w:t>
      </w:r>
      <w:r>
        <w:t xml:space="preserve"> </w:t>
      </w:r>
      <w:r w:rsidRPr="00D2719C">
        <w:t>fermentų substrato, midazolamo farmakokinetika nepakito. Šie duomenys rodo, kad cinakalcetas neįtakoja</w:t>
      </w:r>
      <w:r>
        <w:t xml:space="preserve"> </w:t>
      </w:r>
      <w:r w:rsidRPr="00D2719C">
        <w:t>CYP3A4 ir CYP3A5 sistemoje metabolizuojamų vaistinių preparatų, pvz., kai kurių imunosupresantų,</w:t>
      </w:r>
      <w:r>
        <w:t xml:space="preserve"> </w:t>
      </w:r>
      <w:r w:rsidRPr="00D2719C">
        <w:t>įskaitant ciklosporiną ir takrolimuzą, farmakokinetikos.</w:t>
      </w:r>
    </w:p>
    <w:p w14:paraId="1AA8DA2E" w14:textId="77777777" w:rsidR="00D2719C" w:rsidRDefault="00D2719C" w:rsidP="00D2719C"/>
    <w:p w14:paraId="5AC6C551" w14:textId="77777777" w:rsidR="00D2719C" w:rsidRDefault="00D2719C" w:rsidP="00D2719C">
      <w:pPr>
        <w:rPr>
          <w:b/>
        </w:rPr>
      </w:pPr>
      <w:r w:rsidRPr="00D2719C">
        <w:rPr>
          <w:b/>
        </w:rPr>
        <w:t>4.6</w:t>
      </w:r>
      <w:r w:rsidRPr="00D2719C">
        <w:rPr>
          <w:b/>
        </w:rPr>
        <w:tab/>
        <w:t>Vaisingumas, nėštumo ir žindymo laikotarpis</w:t>
      </w:r>
    </w:p>
    <w:p w14:paraId="168C8D85" w14:textId="77777777" w:rsidR="00D2719C" w:rsidRDefault="00D2719C" w:rsidP="00D2719C">
      <w:pPr>
        <w:rPr>
          <w:b/>
        </w:rPr>
      </w:pPr>
    </w:p>
    <w:p w14:paraId="291DD9AC" w14:textId="77777777" w:rsidR="00D2719C" w:rsidRDefault="00D2719C" w:rsidP="00D2719C">
      <w:pPr>
        <w:rPr>
          <w:u w:val="single"/>
        </w:rPr>
      </w:pPr>
      <w:r w:rsidRPr="00D2719C">
        <w:rPr>
          <w:u w:val="single"/>
        </w:rPr>
        <w:t>Nėštumas</w:t>
      </w:r>
    </w:p>
    <w:p w14:paraId="7934515B" w14:textId="77777777" w:rsidR="00D2719C" w:rsidRPr="00D2719C" w:rsidRDefault="00D2719C" w:rsidP="00D2719C"/>
    <w:p w14:paraId="672200E6" w14:textId="77777777" w:rsidR="00D2719C" w:rsidRPr="00D2719C" w:rsidRDefault="00D2719C" w:rsidP="00D2719C">
      <w:r w:rsidRPr="00D2719C">
        <w:t>Nėra klinikinių duomenų apie cinakalceto vartojimą nėštumo metu. Tyrimų su gyvūnais metu tiesioginio</w:t>
      </w:r>
      <w:r w:rsidR="00062000">
        <w:t xml:space="preserve"> </w:t>
      </w:r>
      <w:r w:rsidRPr="00D2719C">
        <w:t>žalingo poveikio vaikingumui, jauniklių atsivedimui arba atsivestų jauniklių vystymuisi nenustatyta. Tiriant</w:t>
      </w:r>
      <w:r>
        <w:t xml:space="preserve"> </w:t>
      </w:r>
      <w:r w:rsidRPr="00D2719C">
        <w:t>apvaisintas žiurkių ir triušių pateles nenustatyta embriotoksinio/fetotoksinio poveikio, išskyrus sumažėjusį</w:t>
      </w:r>
      <w:r>
        <w:t xml:space="preserve"> </w:t>
      </w:r>
      <w:r w:rsidRPr="00D2719C">
        <w:t xml:space="preserve">žiurkių, kurių patelės gavo toksišką dozę, vaisių kūno svorį (žr. 5.3 skyrių). Cinacalcet </w:t>
      </w:r>
      <w:r w:rsidR="00EA24BD">
        <w:t>Teva</w:t>
      </w:r>
      <w:r w:rsidR="00EA24BD" w:rsidRPr="00D2719C">
        <w:t xml:space="preserve"> </w:t>
      </w:r>
      <w:r w:rsidRPr="00D2719C">
        <w:t>nėščiosioms</w:t>
      </w:r>
      <w:r>
        <w:t xml:space="preserve"> </w:t>
      </w:r>
      <w:r w:rsidRPr="00D2719C">
        <w:t>galima skirti tik tada, kai laukiama nauda pateisina galimą riziką vaisiui.</w:t>
      </w:r>
    </w:p>
    <w:p w14:paraId="1E8966AD" w14:textId="77777777" w:rsidR="00D2719C" w:rsidRDefault="00D2719C" w:rsidP="00D2719C"/>
    <w:p w14:paraId="1834BCA3" w14:textId="77777777" w:rsidR="00D2719C" w:rsidRPr="00D2719C" w:rsidRDefault="00D2719C" w:rsidP="00D2719C">
      <w:r w:rsidRPr="00D2719C">
        <w:rPr>
          <w:u w:val="single"/>
        </w:rPr>
        <w:t>Žindymas</w:t>
      </w:r>
    </w:p>
    <w:p w14:paraId="3A357F20" w14:textId="77777777" w:rsidR="00D2719C" w:rsidRDefault="00D2719C" w:rsidP="00D2719C"/>
    <w:p w14:paraId="315AB429" w14:textId="77777777" w:rsidR="00D2719C" w:rsidRPr="00D2719C" w:rsidRDefault="00D2719C" w:rsidP="00D2719C">
      <w:r w:rsidRPr="00D2719C">
        <w:t>Nežinoma, ar cinakalceto išsiskiria į motinos pieną. Cinakalceto išsiskiria į žiurkių pieną laktacijos</w:t>
      </w:r>
      <w:r w:rsidR="005C3A7B">
        <w:t xml:space="preserve"> </w:t>
      </w:r>
      <w:r w:rsidRPr="00D2719C">
        <w:t>laikotarpiu bei yra didelis jo koncentracijos piene ir plazmoje santykis. Sprendimas nutraukti kūdikio</w:t>
      </w:r>
      <w:r w:rsidR="005C3A7B">
        <w:t xml:space="preserve"> </w:t>
      </w:r>
      <w:r w:rsidRPr="00D2719C">
        <w:t xml:space="preserve">žindymą, ar Cinacalcet </w:t>
      </w:r>
      <w:r w:rsidR="00EA24BD">
        <w:t>Teva</w:t>
      </w:r>
      <w:r w:rsidR="00EA24BD" w:rsidRPr="00D2719C">
        <w:t xml:space="preserve"> </w:t>
      </w:r>
      <w:r w:rsidRPr="00D2719C">
        <w:t>vartojimą, priimamas tik atidžiai įvertinus naudos ir rizikos santykį.</w:t>
      </w:r>
    </w:p>
    <w:p w14:paraId="7FBE51F2" w14:textId="77777777" w:rsidR="00D2719C" w:rsidRDefault="00D2719C" w:rsidP="00D2719C"/>
    <w:p w14:paraId="435AB4F0" w14:textId="77777777" w:rsidR="00D2719C" w:rsidRPr="00D2719C" w:rsidRDefault="00D2719C" w:rsidP="00D2719C">
      <w:r w:rsidRPr="00D2719C">
        <w:rPr>
          <w:u w:val="single"/>
        </w:rPr>
        <w:t>Vaisingumas</w:t>
      </w:r>
    </w:p>
    <w:p w14:paraId="09DC3721" w14:textId="77777777" w:rsidR="00D2719C" w:rsidRDefault="00D2719C" w:rsidP="00D2719C"/>
    <w:p w14:paraId="603B9B98" w14:textId="77777777" w:rsidR="00D2719C" w:rsidRDefault="00D2719C" w:rsidP="00D2719C">
      <w:r w:rsidRPr="00D2719C">
        <w:t>Klinikinių duomenų apie cinakalceto poveikį vaisingumui nėra. Tyrimų su gyvūnais metu poveikio</w:t>
      </w:r>
      <w:r w:rsidR="005C3A7B">
        <w:t xml:space="preserve"> </w:t>
      </w:r>
      <w:r w:rsidRPr="00D2719C">
        <w:t>vaisingumui nepastebėta.</w:t>
      </w:r>
    </w:p>
    <w:p w14:paraId="69CCEF4E" w14:textId="77777777" w:rsidR="00D2719C" w:rsidRPr="00382558" w:rsidRDefault="00D2719C" w:rsidP="00D2719C">
      <w:pPr>
        <w:pStyle w:val="Antrat4"/>
        <w:rPr>
          <w:rFonts w:ascii="Times New Roman" w:hAnsi="Times New Roman"/>
          <w:bCs w:val="0"/>
          <w:i w:val="0"/>
          <w:color w:val="auto"/>
          <w:szCs w:val="24"/>
        </w:rPr>
      </w:pPr>
      <w:r w:rsidRPr="00D2719C">
        <w:rPr>
          <w:rFonts w:ascii="Times New Roman" w:hAnsi="Times New Roman"/>
          <w:bCs w:val="0"/>
          <w:i w:val="0"/>
          <w:color w:val="auto"/>
          <w:szCs w:val="24"/>
        </w:rPr>
        <w:t>4.7</w:t>
      </w:r>
      <w:r w:rsidRPr="00D2719C">
        <w:rPr>
          <w:rFonts w:ascii="Times New Roman" w:hAnsi="Times New Roman"/>
          <w:bCs w:val="0"/>
          <w:i w:val="0"/>
          <w:color w:val="auto"/>
          <w:szCs w:val="24"/>
        </w:rPr>
        <w:tab/>
      </w:r>
      <w:r w:rsidRPr="00382558">
        <w:rPr>
          <w:rFonts w:ascii="Times New Roman" w:hAnsi="Times New Roman"/>
          <w:bCs w:val="0"/>
          <w:i w:val="0"/>
          <w:noProof/>
          <w:color w:val="auto"/>
          <w:szCs w:val="24"/>
        </w:rPr>
        <w:t>Poveikis gebėjimui vairuoti ir valdyti mechanizmus</w:t>
      </w:r>
    </w:p>
    <w:p w14:paraId="76058269" w14:textId="77777777" w:rsidR="00D2719C" w:rsidRPr="00382558" w:rsidRDefault="00D2719C" w:rsidP="00D2719C"/>
    <w:p w14:paraId="4C68F8BE" w14:textId="137D562C" w:rsidR="00D2719C" w:rsidRPr="00382558" w:rsidRDefault="00B97FC5" w:rsidP="00B97FC5">
      <w:r w:rsidRPr="00382558">
        <w:t xml:space="preserve">Gauta pranešimų apie </w:t>
      </w:r>
      <w:r w:rsidR="0072097D" w:rsidRPr="00382558">
        <w:t>svaigulio</w:t>
      </w:r>
      <w:r w:rsidRPr="00382558">
        <w:t xml:space="preserve"> ir traukulių, galinčių turėti didelės įtakos vairavimui ir mechanizmų valdymui, atvejus Cinacalcet Teva vartojantiems pacientams (žr. 4.4 skyrių).</w:t>
      </w:r>
    </w:p>
    <w:p w14:paraId="721B81F0" w14:textId="77777777" w:rsidR="00D2719C" w:rsidRPr="00382558" w:rsidRDefault="00D2719C" w:rsidP="00D2719C"/>
    <w:p w14:paraId="2454CA20" w14:textId="77777777" w:rsidR="00D2719C" w:rsidRPr="00D27F86" w:rsidRDefault="00D2719C" w:rsidP="00D2719C">
      <w:pPr>
        <w:spacing w:line="240" w:lineRule="auto"/>
        <w:outlineLvl w:val="0"/>
      </w:pPr>
      <w:r w:rsidRPr="00382558">
        <w:rPr>
          <w:b/>
        </w:rPr>
        <w:t>4.8</w:t>
      </w:r>
      <w:r w:rsidRPr="00382558">
        <w:rPr>
          <w:b/>
        </w:rPr>
        <w:tab/>
        <w:t>Nepageidaujamas</w:t>
      </w:r>
      <w:r w:rsidRPr="003B2800">
        <w:rPr>
          <w:b/>
        </w:rPr>
        <w:t xml:space="preserve"> poveikis</w:t>
      </w:r>
    </w:p>
    <w:p w14:paraId="63DB03DE" w14:textId="77777777" w:rsidR="00D2719C" w:rsidRDefault="00D2719C" w:rsidP="00D2719C"/>
    <w:p w14:paraId="6430381C" w14:textId="4A5F93A6" w:rsidR="008905A4" w:rsidRPr="00D42F2E" w:rsidRDefault="008905A4" w:rsidP="00831341">
      <w:pPr>
        <w:rPr>
          <w:u w:val="single"/>
        </w:rPr>
      </w:pPr>
      <w:r w:rsidRPr="00D42F2E">
        <w:rPr>
          <w:u w:val="single"/>
        </w:rPr>
        <w:t>Saugumo duomenų santrauka</w:t>
      </w:r>
    </w:p>
    <w:p w14:paraId="28E5698F" w14:textId="77777777" w:rsidR="008905A4" w:rsidRDefault="008905A4" w:rsidP="008905A4"/>
    <w:p w14:paraId="040F4F32" w14:textId="77777777" w:rsidR="008905A4" w:rsidRPr="00D42F2E" w:rsidRDefault="008905A4" w:rsidP="008905A4">
      <w:pPr>
        <w:rPr>
          <w:i/>
          <w:u w:val="single"/>
        </w:rPr>
      </w:pPr>
      <w:r w:rsidRPr="00D42F2E">
        <w:rPr>
          <w:i/>
          <w:u w:val="single"/>
        </w:rPr>
        <w:t>Antrinė hiperparatirozė, prieskydinių liaukų karcinoma ir pirminė hiperparatirozė</w:t>
      </w:r>
    </w:p>
    <w:p w14:paraId="5A5DE623" w14:textId="77777777" w:rsidR="008905A4" w:rsidRDefault="008905A4" w:rsidP="008905A4"/>
    <w:p w14:paraId="5F52B6A9" w14:textId="77777777" w:rsidR="008905A4" w:rsidRPr="008905A4" w:rsidRDefault="008905A4" w:rsidP="008905A4">
      <w:r w:rsidRPr="008905A4">
        <w:t>Remiantis pacientų, vartojusių cinakalcetą placebu kontroliuojamuose tyrimuose ir vienos tiriamosios grupės</w:t>
      </w:r>
      <w:r>
        <w:t xml:space="preserve"> </w:t>
      </w:r>
      <w:r w:rsidRPr="008905A4">
        <w:t>tyrimuose, duomenimis, nepageidaujamos reakcijos, apie kurias pranešta dažniausiai, buvo pykinimas ir</w:t>
      </w:r>
      <w:r>
        <w:t xml:space="preserve"> </w:t>
      </w:r>
      <w:r w:rsidRPr="008905A4">
        <w:t>vėmimas. Daugumai pacientų pykinimas bei vėmimas buvo nesunkūs ar vidutinio sunkumo ir laikini.</w:t>
      </w:r>
      <w:r>
        <w:t xml:space="preserve"> </w:t>
      </w:r>
      <w:r w:rsidRPr="008905A4">
        <w:t>Dažniausiai gydymą reikėjo nutraukti dėl šio nepageidaujamo poveikio – pykinimo ir vėmimo.</w:t>
      </w:r>
    </w:p>
    <w:p w14:paraId="03366B75" w14:textId="77777777" w:rsidR="008905A4" w:rsidRDefault="008905A4" w:rsidP="008905A4"/>
    <w:p w14:paraId="59C516DB" w14:textId="4FB033F3" w:rsidR="008905A4" w:rsidRPr="00D42F2E" w:rsidRDefault="008905A4" w:rsidP="008905A4">
      <w:pPr>
        <w:rPr>
          <w:u w:val="single"/>
        </w:rPr>
      </w:pPr>
      <w:r w:rsidRPr="00D42F2E">
        <w:rPr>
          <w:u w:val="single"/>
        </w:rPr>
        <w:t>Nepageidaujamų reakcijų santrauka lentelėje</w:t>
      </w:r>
    </w:p>
    <w:p w14:paraId="790AC7F8" w14:textId="77777777" w:rsidR="008905A4" w:rsidRDefault="008905A4" w:rsidP="008905A4"/>
    <w:p w14:paraId="2DA661F7" w14:textId="7AD6569C" w:rsidR="00B97FC5" w:rsidRPr="00382558" w:rsidRDefault="00EA24BD" w:rsidP="008905A4">
      <w:r w:rsidRPr="008905A4">
        <w:t>Nepageidaujam</w:t>
      </w:r>
      <w:r>
        <w:t>ų</w:t>
      </w:r>
      <w:r w:rsidRPr="008905A4">
        <w:t xml:space="preserve"> </w:t>
      </w:r>
      <w:r w:rsidR="008905A4" w:rsidRPr="008905A4">
        <w:t>reakcijų atvejai, kurie bent jau galimai susiję su gydymu cinakalcetu placebu</w:t>
      </w:r>
      <w:r w:rsidR="005C3A7B">
        <w:t xml:space="preserve"> </w:t>
      </w:r>
      <w:r w:rsidR="008905A4" w:rsidRPr="008905A4">
        <w:t>kontroliuojamuose tyrimuose ir vienos tiriamosios grupės tyrimuose, remiantis geriausiais priežastingumo</w:t>
      </w:r>
      <w:r w:rsidR="005C3A7B">
        <w:t xml:space="preserve"> </w:t>
      </w:r>
      <w:r w:rsidR="008905A4" w:rsidRPr="008905A4">
        <w:t xml:space="preserve">įvertinimo </w:t>
      </w:r>
      <w:r w:rsidR="008905A4" w:rsidRPr="00382558">
        <w:t>įrodymais, išvardyti žemiau remiantis tokiu susitarimu: labai dažni (≥</w:t>
      </w:r>
      <w:r w:rsidR="00C17679" w:rsidRPr="00382558">
        <w:t> </w:t>
      </w:r>
      <w:r w:rsidR="008905A4" w:rsidRPr="00382558">
        <w:t>1/10), dažni (nuo ≥</w:t>
      </w:r>
      <w:r w:rsidR="00C17679" w:rsidRPr="00382558">
        <w:t> </w:t>
      </w:r>
      <w:r w:rsidR="008905A4" w:rsidRPr="00382558">
        <w:t>1/100 iki &lt;</w:t>
      </w:r>
      <w:r w:rsidR="00C17679" w:rsidRPr="00382558">
        <w:t> </w:t>
      </w:r>
      <w:r w:rsidR="008905A4" w:rsidRPr="00382558">
        <w:t>1/10), nedažni (nuo ≥</w:t>
      </w:r>
      <w:r w:rsidR="00C17679" w:rsidRPr="00382558">
        <w:t> </w:t>
      </w:r>
      <w:r w:rsidR="008905A4" w:rsidRPr="00382558">
        <w:t>1/1 000 iki &lt;</w:t>
      </w:r>
      <w:r w:rsidR="00C17679" w:rsidRPr="00382558">
        <w:t> </w:t>
      </w:r>
      <w:r w:rsidR="008905A4" w:rsidRPr="00382558">
        <w:t>1/100), reti (nuo ≥</w:t>
      </w:r>
      <w:r w:rsidR="00C17679" w:rsidRPr="00382558">
        <w:t> </w:t>
      </w:r>
      <w:r w:rsidR="008905A4" w:rsidRPr="00382558">
        <w:t>1/10 000 iki &lt;</w:t>
      </w:r>
      <w:r w:rsidR="00C17679" w:rsidRPr="00382558">
        <w:t> </w:t>
      </w:r>
      <w:r w:rsidR="008905A4" w:rsidRPr="00382558">
        <w:t>1/1000), labai reti (&lt;</w:t>
      </w:r>
      <w:r w:rsidR="00C17679" w:rsidRPr="00382558">
        <w:t> </w:t>
      </w:r>
      <w:r w:rsidR="008905A4" w:rsidRPr="00382558">
        <w:t>1/10 000)</w:t>
      </w:r>
      <w:r w:rsidR="00B97FC5" w:rsidRPr="00382558">
        <w:t xml:space="preserve">, dažnis nežinomas (negali būti </w:t>
      </w:r>
      <w:r w:rsidR="00C17679" w:rsidRPr="00382558">
        <w:t>ap</w:t>
      </w:r>
      <w:r w:rsidR="00B97FC5" w:rsidRPr="00382558">
        <w:t>skaičiuotas pagal turimus duomenis).</w:t>
      </w:r>
    </w:p>
    <w:p w14:paraId="630917B8" w14:textId="77777777" w:rsidR="00B97FC5" w:rsidRPr="00382558" w:rsidRDefault="00B97FC5" w:rsidP="008905A4"/>
    <w:p w14:paraId="1F127BAA" w14:textId="77777777" w:rsidR="008905A4" w:rsidRDefault="008905A4" w:rsidP="008905A4">
      <w:r w:rsidRPr="00382558">
        <w:t>Nepageidaujamų</w:t>
      </w:r>
      <w:r w:rsidRPr="008905A4">
        <w:t xml:space="preserve"> reakcijų atvejai, pastebėti kontroliuojamų klinikinių tyrimų metu ir duomenys, gauti</w:t>
      </w:r>
      <w:r w:rsidR="005C3A7B">
        <w:t xml:space="preserve"> </w:t>
      </w:r>
      <w:r w:rsidRPr="008905A4">
        <w:t>vaistinį preparatą pateikus į rinką, yra:</w:t>
      </w:r>
      <w:r w:rsidR="00B97FC5">
        <w:t xml:space="preserve"> </w:t>
      </w:r>
    </w:p>
    <w:p w14:paraId="231EE8D3" w14:textId="77777777" w:rsidR="00B97FC5" w:rsidRDefault="00B97FC5" w:rsidP="008905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3"/>
        <w:gridCol w:w="3143"/>
      </w:tblGrid>
      <w:tr w:rsidR="008905A4" w:rsidRPr="008905A4" w14:paraId="68D43AB9" w14:textId="77777777" w:rsidTr="00965B41">
        <w:tc>
          <w:tcPr>
            <w:tcW w:w="3192" w:type="dxa"/>
            <w:shd w:val="clear" w:color="auto" w:fill="auto"/>
          </w:tcPr>
          <w:p w14:paraId="73D6A5BD" w14:textId="77777777" w:rsidR="008905A4" w:rsidRPr="008E66BB" w:rsidRDefault="008905A4" w:rsidP="008905A4">
            <w:pPr>
              <w:rPr>
                <w:b/>
              </w:rPr>
            </w:pPr>
            <w:r w:rsidRPr="008E66BB">
              <w:rPr>
                <w:b/>
              </w:rPr>
              <w:t>MedDRA duomenų bazė</w:t>
            </w:r>
          </w:p>
          <w:p w14:paraId="0CA1419E" w14:textId="77777777" w:rsidR="008905A4" w:rsidRPr="008E66BB" w:rsidRDefault="008905A4" w:rsidP="008905A4">
            <w:pPr>
              <w:rPr>
                <w:b/>
              </w:rPr>
            </w:pPr>
            <w:r w:rsidRPr="008E66BB">
              <w:rPr>
                <w:b/>
              </w:rPr>
              <w:t>pagal organų sistemų klases</w:t>
            </w:r>
          </w:p>
        </w:tc>
        <w:tc>
          <w:tcPr>
            <w:tcW w:w="3192" w:type="dxa"/>
            <w:shd w:val="clear" w:color="auto" w:fill="auto"/>
          </w:tcPr>
          <w:p w14:paraId="215F0AEA" w14:textId="386C9D8A" w:rsidR="008905A4" w:rsidRPr="008E66BB" w:rsidRDefault="00B97FC5" w:rsidP="008905A4">
            <w:pPr>
              <w:rPr>
                <w:b/>
              </w:rPr>
            </w:pPr>
            <w:r>
              <w:rPr>
                <w:b/>
              </w:rPr>
              <w:t>Reakcijų</w:t>
            </w:r>
            <w:r w:rsidRPr="008E66BB">
              <w:rPr>
                <w:b/>
              </w:rPr>
              <w:t xml:space="preserve"> </w:t>
            </w:r>
            <w:r w:rsidR="008905A4" w:rsidRPr="008E66BB">
              <w:rPr>
                <w:b/>
              </w:rPr>
              <w:t>dažnis</w:t>
            </w:r>
          </w:p>
        </w:tc>
        <w:tc>
          <w:tcPr>
            <w:tcW w:w="3192" w:type="dxa"/>
            <w:shd w:val="clear" w:color="auto" w:fill="auto"/>
          </w:tcPr>
          <w:p w14:paraId="5632758B" w14:textId="77777777" w:rsidR="008905A4" w:rsidRPr="008E66BB" w:rsidRDefault="008905A4" w:rsidP="008905A4">
            <w:pPr>
              <w:rPr>
                <w:b/>
              </w:rPr>
            </w:pPr>
            <w:r w:rsidRPr="008E66BB">
              <w:rPr>
                <w:b/>
              </w:rPr>
              <w:t>Nepageidaujama reakcija</w:t>
            </w:r>
          </w:p>
        </w:tc>
      </w:tr>
      <w:tr w:rsidR="008905A4" w14:paraId="29DA6DFF" w14:textId="77777777" w:rsidTr="00965B41">
        <w:tc>
          <w:tcPr>
            <w:tcW w:w="3192" w:type="dxa"/>
            <w:shd w:val="clear" w:color="auto" w:fill="auto"/>
          </w:tcPr>
          <w:p w14:paraId="30DDB442" w14:textId="77777777" w:rsidR="008905A4" w:rsidRDefault="008905A4" w:rsidP="008905A4">
            <w:r>
              <w:t>Imuninės sistemos sutrikimai</w:t>
            </w:r>
          </w:p>
        </w:tc>
        <w:tc>
          <w:tcPr>
            <w:tcW w:w="3192" w:type="dxa"/>
            <w:shd w:val="clear" w:color="auto" w:fill="auto"/>
          </w:tcPr>
          <w:p w14:paraId="445914C7" w14:textId="77777777" w:rsidR="008905A4" w:rsidRDefault="008905A4" w:rsidP="008905A4">
            <w:r>
              <w:t>Da</w:t>
            </w:r>
            <w:r w:rsidR="00BD3D8D">
              <w:t>žn</w:t>
            </w:r>
            <w:r>
              <w:t>i</w:t>
            </w:r>
            <w:r w:rsidR="003E667B">
              <w:t>*</w:t>
            </w:r>
          </w:p>
        </w:tc>
        <w:tc>
          <w:tcPr>
            <w:tcW w:w="3192" w:type="dxa"/>
            <w:tcBorders>
              <w:bottom w:val="single" w:sz="4" w:space="0" w:color="auto"/>
            </w:tcBorders>
            <w:shd w:val="clear" w:color="auto" w:fill="auto"/>
          </w:tcPr>
          <w:p w14:paraId="287EF71A" w14:textId="77777777" w:rsidR="008905A4" w:rsidRDefault="008905A4" w:rsidP="005C3A7B">
            <w:r w:rsidRPr="008905A4">
              <w:t>Padidėjusio jautrumo</w:t>
            </w:r>
            <w:r w:rsidR="005C3A7B">
              <w:t xml:space="preserve"> </w:t>
            </w:r>
            <w:r w:rsidRPr="008905A4">
              <w:t>reakcijos</w:t>
            </w:r>
          </w:p>
        </w:tc>
      </w:tr>
      <w:tr w:rsidR="003E667B" w14:paraId="397B8AC9" w14:textId="77777777" w:rsidTr="00965B41">
        <w:trPr>
          <w:trHeight w:val="293"/>
        </w:trPr>
        <w:tc>
          <w:tcPr>
            <w:tcW w:w="3192" w:type="dxa"/>
            <w:vMerge w:val="restart"/>
            <w:shd w:val="clear" w:color="auto" w:fill="auto"/>
          </w:tcPr>
          <w:p w14:paraId="3BBAA967" w14:textId="77777777" w:rsidR="003E667B" w:rsidRDefault="003E667B" w:rsidP="005C3A7B">
            <w:r w:rsidRPr="008905A4">
              <w:t>Metabolizmo ir mitybos</w:t>
            </w:r>
            <w:r w:rsidR="005C3A7B">
              <w:t xml:space="preserve"> </w:t>
            </w:r>
            <w:r w:rsidRPr="008905A4">
              <w:t>sutrikimai</w:t>
            </w:r>
          </w:p>
        </w:tc>
        <w:tc>
          <w:tcPr>
            <w:tcW w:w="3192" w:type="dxa"/>
            <w:shd w:val="clear" w:color="auto" w:fill="auto"/>
          </w:tcPr>
          <w:p w14:paraId="03019F20" w14:textId="77777777" w:rsidR="003E667B" w:rsidRDefault="003E667B" w:rsidP="008905A4">
            <w:r>
              <w:t>D</w:t>
            </w:r>
            <w:r w:rsidR="00BD3D8D">
              <w:t>ažn</w:t>
            </w:r>
            <w:r>
              <w:t xml:space="preserve">i </w:t>
            </w:r>
          </w:p>
        </w:tc>
        <w:tc>
          <w:tcPr>
            <w:tcW w:w="3192" w:type="dxa"/>
            <w:shd w:val="clear" w:color="auto" w:fill="auto"/>
          </w:tcPr>
          <w:p w14:paraId="704245C5" w14:textId="77777777" w:rsidR="003E667B" w:rsidRDefault="003E667B" w:rsidP="003E667B">
            <w:r>
              <w:t>Anoreksija</w:t>
            </w:r>
          </w:p>
        </w:tc>
      </w:tr>
      <w:tr w:rsidR="003E667B" w14:paraId="4B013BBD" w14:textId="77777777" w:rsidTr="00965B41">
        <w:trPr>
          <w:trHeight w:val="293"/>
        </w:trPr>
        <w:tc>
          <w:tcPr>
            <w:tcW w:w="3192" w:type="dxa"/>
            <w:vMerge/>
            <w:shd w:val="clear" w:color="auto" w:fill="auto"/>
          </w:tcPr>
          <w:p w14:paraId="538800EF" w14:textId="77777777" w:rsidR="003E667B" w:rsidRPr="008905A4" w:rsidRDefault="003E667B" w:rsidP="008905A4"/>
        </w:tc>
        <w:tc>
          <w:tcPr>
            <w:tcW w:w="3192" w:type="dxa"/>
            <w:shd w:val="clear" w:color="auto" w:fill="auto"/>
          </w:tcPr>
          <w:p w14:paraId="2398A858" w14:textId="77777777" w:rsidR="003E667B" w:rsidRDefault="00BD3D8D" w:rsidP="008905A4">
            <w:r>
              <w:t>Dažn</w:t>
            </w:r>
            <w:r w:rsidR="003E667B">
              <w:t>i</w:t>
            </w:r>
          </w:p>
        </w:tc>
        <w:tc>
          <w:tcPr>
            <w:tcW w:w="3192" w:type="dxa"/>
            <w:shd w:val="clear" w:color="auto" w:fill="auto"/>
          </w:tcPr>
          <w:p w14:paraId="327EF171" w14:textId="77777777" w:rsidR="003E667B" w:rsidRDefault="003E667B" w:rsidP="008905A4">
            <w:r>
              <w:t>Sumažėjęs apetitas</w:t>
            </w:r>
          </w:p>
        </w:tc>
      </w:tr>
      <w:tr w:rsidR="003E667B" w14:paraId="6B348E0F" w14:textId="77777777" w:rsidTr="00965B41">
        <w:trPr>
          <w:trHeight w:val="291"/>
        </w:trPr>
        <w:tc>
          <w:tcPr>
            <w:tcW w:w="3192" w:type="dxa"/>
            <w:vMerge w:val="restart"/>
            <w:shd w:val="clear" w:color="auto" w:fill="auto"/>
          </w:tcPr>
          <w:p w14:paraId="095DAAA3" w14:textId="77777777" w:rsidR="003E667B" w:rsidRDefault="003E667B" w:rsidP="008905A4">
            <w:r>
              <w:t>Nervų sistemos sutrikimai</w:t>
            </w:r>
          </w:p>
        </w:tc>
        <w:tc>
          <w:tcPr>
            <w:tcW w:w="3192" w:type="dxa"/>
            <w:shd w:val="clear" w:color="auto" w:fill="auto"/>
          </w:tcPr>
          <w:p w14:paraId="6967F50C" w14:textId="77777777" w:rsidR="003E667B" w:rsidRDefault="003E667B" w:rsidP="008905A4">
            <w:r>
              <w:t>D</w:t>
            </w:r>
            <w:r w:rsidR="00BD3D8D">
              <w:t>ažn</w:t>
            </w:r>
            <w:r>
              <w:t xml:space="preserve">i </w:t>
            </w:r>
          </w:p>
        </w:tc>
        <w:tc>
          <w:tcPr>
            <w:tcW w:w="3192" w:type="dxa"/>
            <w:shd w:val="clear" w:color="auto" w:fill="auto"/>
          </w:tcPr>
          <w:p w14:paraId="5430B249" w14:textId="77777777" w:rsidR="003E667B" w:rsidRDefault="003E667B" w:rsidP="003E667B">
            <w:r>
              <w:t>Traukuliai</w:t>
            </w:r>
            <w:r w:rsidRPr="008E66BB">
              <w:rPr>
                <w:color w:val="000000"/>
                <w:szCs w:val="22"/>
                <w:vertAlign w:val="superscript"/>
                <w:lang w:eastAsia="en-GB"/>
              </w:rPr>
              <w:t>†</w:t>
            </w:r>
          </w:p>
        </w:tc>
      </w:tr>
      <w:tr w:rsidR="003E667B" w14:paraId="6A3F4B43" w14:textId="77777777" w:rsidTr="00965B41">
        <w:trPr>
          <w:trHeight w:val="288"/>
        </w:trPr>
        <w:tc>
          <w:tcPr>
            <w:tcW w:w="3192" w:type="dxa"/>
            <w:vMerge/>
            <w:shd w:val="clear" w:color="auto" w:fill="auto"/>
          </w:tcPr>
          <w:p w14:paraId="5A3AB2BC" w14:textId="77777777" w:rsidR="003E667B" w:rsidRDefault="003E667B" w:rsidP="008905A4"/>
        </w:tc>
        <w:tc>
          <w:tcPr>
            <w:tcW w:w="3192" w:type="dxa"/>
            <w:shd w:val="clear" w:color="auto" w:fill="auto"/>
          </w:tcPr>
          <w:p w14:paraId="18E7B5AF" w14:textId="77777777" w:rsidR="003E667B" w:rsidRDefault="003E667B" w:rsidP="008905A4">
            <w:r>
              <w:t>D</w:t>
            </w:r>
            <w:r w:rsidR="00BD3D8D">
              <w:t>ažn</w:t>
            </w:r>
            <w:r>
              <w:t>i</w:t>
            </w:r>
          </w:p>
        </w:tc>
        <w:tc>
          <w:tcPr>
            <w:tcW w:w="3192" w:type="dxa"/>
            <w:shd w:val="clear" w:color="auto" w:fill="auto"/>
          </w:tcPr>
          <w:p w14:paraId="0C31B6D2" w14:textId="77777777" w:rsidR="003E667B" w:rsidRDefault="003E667B" w:rsidP="003E667B">
            <w:r>
              <w:t>Svaigulys</w:t>
            </w:r>
          </w:p>
        </w:tc>
      </w:tr>
      <w:tr w:rsidR="003E667B" w14:paraId="53BE3718" w14:textId="77777777" w:rsidTr="00965B41">
        <w:trPr>
          <w:trHeight w:val="288"/>
        </w:trPr>
        <w:tc>
          <w:tcPr>
            <w:tcW w:w="3192" w:type="dxa"/>
            <w:vMerge/>
            <w:shd w:val="clear" w:color="auto" w:fill="auto"/>
          </w:tcPr>
          <w:p w14:paraId="1937334B" w14:textId="77777777" w:rsidR="003E667B" w:rsidRDefault="003E667B" w:rsidP="008905A4"/>
        </w:tc>
        <w:tc>
          <w:tcPr>
            <w:tcW w:w="3192" w:type="dxa"/>
            <w:shd w:val="clear" w:color="auto" w:fill="auto"/>
          </w:tcPr>
          <w:p w14:paraId="75B77193" w14:textId="77777777" w:rsidR="003E667B" w:rsidRDefault="003E667B" w:rsidP="008905A4">
            <w:r>
              <w:t>D</w:t>
            </w:r>
            <w:r w:rsidR="00BD3D8D">
              <w:t>ažn</w:t>
            </w:r>
            <w:r>
              <w:t>i</w:t>
            </w:r>
          </w:p>
        </w:tc>
        <w:tc>
          <w:tcPr>
            <w:tcW w:w="3192" w:type="dxa"/>
            <w:shd w:val="clear" w:color="auto" w:fill="auto"/>
          </w:tcPr>
          <w:p w14:paraId="198D107C" w14:textId="77777777" w:rsidR="003E667B" w:rsidRDefault="003E667B" w:rsidP="003E667B">
            <w:r>
              <w:t>Parestezija</w:t>
            </w:r>
          </w:p>
        </w:tc>
      </w:tr>
      <w:tr w:rsidR="003E667B" w14:paraId="6E7B7CA5" w14:textId="77777777" w:rsidTr="00965B41">
        <w:trPr>
          <w:trHeight w:val="288"/>
        </w:trPr>
        <w:tc>
          <w:tcPr>
            <w:tcW w:w="3192" w:type="dxa"/>
            <w:vMerge/>
            <w:shd w:val="clear" w:color="auto" w:fill="auto"/>
          </w:tcPr>
          <w:p w14:paraId="43546996" w14:textId="77777777" w:rsidR="003E667B" w:rsidRDefault="003E667B" w:rsidP="008905A4"/>
        </w:tc>
        <w:tc>
          <w:tcPr>
            <w:tcW w:w="3192" w:type="dxa"/>
            <w:shd w:val="clear" w:color="auto" w:fill="auto"/>
          </w:tcPr>
          <w:p w14:paraId="18637F7A" w14:textId="77777777" w:rsidR="003E667B" w:rsidRDefault="003E667B" w:rsidP="008905A4">
            <w:r>
              <w:t>D</w:t>
            </w:r>
            <w:r w:rsidR="00BD3D8D">
              <w:t>ažn</w:t>
            </w:r>
            <w:r>
              <w:t>i</w:t>
            </w:r>
          </w:p>
        </w:tc>
        <w:tc>
          <w:tcPr>
            <w:tcW w:w="3192" w:type="dxa"/>
            <w:shd w:val="clear" w:color="auto" w:fill="auto"/>
          </w:tcPr>
          <w:p w14:paraId="3C1E38F2" w14:textId="77777777" w:rsidR="003E667B" w:rsidRDefault="003E667B" w:rsidP="003E667B">
            <w:r w:rsidRPr="003E667B">
              <w:t>Galvos skausmas</w:t>
            </w:r>
          </w:p>
        </w:tc>
      </w:tr>
      <w:tr w:rsidR="003E667B" w14:paraId="6E7A5224" w14:textId="77777777" w:rsidTr="00965B41">
        <w:trPr>
          <w:trHeight w:val="143"/>
        </w:trPr>
        <w:tc>
          <w:tcPr>
            <w:tcW w:w="3192" w:type="dxa"/>
            <w:vMerge w:val="restart"/>
            <w:shd w:val="clear" w:color="auto" w:fill="auto"/>
          </w:tcPr>
          <w:p w14:paraId="1269B2E4" w14:textId="77777777" w:rsidR="003E667B" w:rsidRDefault="003E667B" w:rsidP="003E667B">
            <w:r>
              <w:t>Širdies sutrikimai</w:t>
            </w:r>
          </w:p>
        </w:tc>
        <w:tc>
          <w:tcPr>
            <w:tcW w:w="3192" w:type="dxa"/>
            <w:shd w:val="clear" w:color="auto" w:fill="auto"/>
          </w:tcPr>
          <w:p w14:paraId="7C008C7F" w14:textId="77777777" w:rsidR="003E667B" w:rsidRDefault="003E667B" w:rsidP="008905A4">
            <w:r>
              <w:t>Dažnis nežinomas*</w:t>
            </w:r>
          </w:p>
        </w:tc>
        <w:tc>
          <w:tcPr>
            <w:tcW w:w="3192" w:type="dxa"/>
            <w:shd w:val="clear" w:color="auto" w:fill="auto"/>
          </w:tcPr>
          <w:p w14:paraId="3C1AE2C4" w14:textId="77777777" w:rsidR="003E667B" w:rsidRDefault="003E667B" w:rsidP="005C3A7B">
            <w:r w:rsidRPr="003E667B">
              <w:t>Širdies</w:t>
            </w:r>
            <w:r w:rsidR="005C3A7B">
              <w:t xml:space="preserve"> </w:t>
            </w:r>
            <w:r w:rsidRPr="003E667B">
              <w:t>nepakankamumo</w:t>
            </w:r>
            <w:r w:rsidR="005C3A7B">
              <w:t xml:space="preserve"> </w:t>
            </w:r>
            <w:r w:rsidRPr="003E667B">
              <w:t>pasunkėjimas</w:t>
            </w:r>
            <w:r w:rsidRPr="008E66BB">
              <w:rPr>
                <w:color w:val="000000"/>
                <w:szCs w:val="22"/>
                <w:vertAlign w:val="superscript"/>
                <w:lang w:eastAsia="en-GB"/>
              </w:rPr>
              <w:t>†</w:t>
            </w:r>
          </w:p>
        </w:tc>
      </w:tr>
      <w:tr w:rsidR="003E667B" w14:paraId="057E4309" w14:textId="77777777" w:rsidTr="00965B41">
        <w:trPr>
          <w:trHeight w:val="142"/>
        </w:trPr>
        <w:tc>
          <w:tcPr>
            <w:tcW w:w="3192" w:type="dxa"/>
            <w:vMerge/>
            <w:shd w:val="clear" w:color="auto" w:fill="auto"/>
          </w:tcPr>
          <w:p w14:paraId="65AE2038" w14:textId="77777777" w:rsidR="003E667B" w:rsidRDefault="003E667B" w:rsidP="003E667B"/>
        </w:tc>
        <w:tc>
          <w:tcPr>
            <w:tcW w:w="3192" w:type="dxa"/>
            <w:shd w:val="clear" w:color="auto" w:fill="auto"/>
          </w:tcPr>
          <w:p w14:paraId="6416E8F8" w14:textId="77777777" w:rsidR="003E667B" w:rsidRDefault="003E667B" w:rsidP="008905A4">
            <w:r>
              <w:t>Dažnis nežinomas*</w:t>
            </w:r>
          </w:p>
        </w:tc>
        <w:tc>
          <w:tcPr>
            <w:tcW w:w="3192" w:type="dxa"/>
            <w:shd w:val="clear" w:color="auto" w:fill="auto"/>
          </w:tcPr>
          <w:p w14:paraId="5DF4701F" w14:textId="77777777" w:rsidR="003E667B" w:rsidRDefault="003E667B" w:rsidP="005C3A7B">
            <w:r w:rsidRPr="003E667B">
              <w:t>Dėl hipokalcemijos</w:t>
            </w:r>
            <w:r w:rsidR="005C3A7B">
              <w:t xml:space="preserve"> </w:t>
            </w:r>
            <w:r w:rsidRPr="003E667B">
              <w:t>pasireiškęs QT</w:t>
            </w:r>
            <w:r w:rsidR="005C3A7B">
              <w:t xml:space="preserve"> </w:t>
            </w:r>
            <w:r w:rsidRPr="003E667B">
              <w:t>pailgėjimas ir skilvelinė</w:t>
            </w:r>
            <w:r w:rsidR="005C3A7B">
              <w:t xml:space="preserve"> </w:t>
            </w:r>
            <w:r w:rsidRPr="003E667B">
              <w:t>aritmija</w:t>
            </w:r>
            <w:r w:rsidR="00BD3D8D" w:rsidRPr="008E66BB">
              <w:rPr>
                <w:color w:val="000000"/>
                <w:szCs w:val="22"/>
                <w:vertAlign w:val="superscript"/>
                <w:lang w:eastAsia="en-GB"/>
              </w:rPr>
              <w:t>†</w:t>
            </w:r>
          </w:p>
        </w:tc>
      </w:tr>
      <w:tr w:rsidR="008905A4" w14:paraId="24AC0114" w14:textId="77777777" w:rsidTr="00965B41">
        <w:tc>
          <w:tcPr>
            <w:tcW w:w="3192" w:type="dxa"/>
            <w:shd w:val="clear" w:color="auto" w:fill="auto"/>
          </w:tcPr>
          <w:p w14:paraId="57DE67B7" w14:textId="77777777" w:rsidR="008905A4" w:rsidRDefault="00BD3D8D" w:rsidP="008905A4">
            <w:r>
              <w:t>Kraujagyslių sutrikimai</w:t>
            </w:r>
          </w:p>
        </w:tc>
        <w:tc>
          <w:tcPr>
            <w:tcW w:w="3192" w:type="dxa"/>
            <w:shd w:val="clear" w:color="auto" w:fill="auto"/>
          </w:tcPr>
          <w:p w14:paraId="0A3DC135" w14:textId="77777777" w:rsidR="008905A4" w:rsidRDefault="00BD3D8D" w:rsidP="008905A4">
            <w:r>
              <w:t>Dažni</w:t>
            </w:r>
          </w:p>
        </w:tc>
        <w:tc>
          <w:tcPr>
            <w:tcW w:w="3192" w:type="dxa"/>
            <w:shd w:val="clear" w:color="auto" w:fill="auto"/>
          </w:tcPr>
          <w:p w14:paraId="7E29CD0A" w14:textId="77777777" w:rsidR="008905A4" w:rsidRDefault="00BD3D8D" w:rsidP="008905A4">
            <w:r>
              <w:t xml:space="preserve">Hipotenzija </w:t>
            </w:r>
          </w:p>
        </w:tc>
      </w:tr>
      <w:tr w:rsidR="00BD3D8D" w14:paraId="34016A34" w14:textId="77777777" w:rsidTr="00965B41">
        <w:trPr>
          <w:trHeight w:val="291"/>
        </w:trPr>
        <w:tc>
          <w:tcPr>
            <w:tcW w:w="3192" w:type="dxa"/>
            <w:vMerge w:val="restart"/>
            <w:shd w:val="clear" w:color="auto" w:fill="auto"/>
          </w:tcPr>
          <w:p w14:paraId="75B22D43" w14:textId="77777777" w:rsidR="00BD3D8D" w:rsidRDefault="00BD3D8D" w:rsidP="005C3A7B">
            <w:r w:rsidRPr="00BD3D8D">
              <w:t>Kvėpavimo sistemos, krūtinės</w:t>
            </w:r>
            <w:r w:rsidR="005C3A7B">
              <w:t xml:space="preserve"> </w:t>
            </w:r>
            <w:r w:rsidRPr="00BD3D8D">
              <w:t>ląstos ir tarpuplaučio</w:t>
            </w:r>
            <w:r w:rsidR="005C3A7B">
              <w:t xml:space="preserve"> </w:t>
            </w:r>
            <w:r w:rsidRPr="00BD3D8D">
              <w:t>sutrikimai</w:t>
            </w:r>
          </w:p>
        </w:tc>
        <w:tc>
          <w:tcPr>
            <w:tcW w:w="3192" w:type="dxa"/>
            <w:shd w:val="clear" w:color="auto" w:fill="auto"/>
          </w:tcPr>
          <w:p w14:paraId="4F7F4ABE" w14:textId="77777777" w:rsidR="00BD3D8D" w:rsidRDefault="00BD3D8D" w:rsidP="008905A4">
            <w:r>
              <w:t>Dažni</w:t>
            </w:r>
          </w:p>
        </w:tc>
        <w:tc>
          <w:tcPr>
            <w:tcW w:w="3192" w:type="dxa"/>
            <w:shd w:val="clear" w:color="auto" w:fill="auto"/>
          </w:tcPr>
          <w:p w14:paraId="616327F9" w14:textId="77777777" w:rsidR="00BD3D8D" w:rsidRDefault="00BD3D8D" w:rsidP="005C3A7B">
            <w:r w:rsidRPr="00BD3D8D">
              <w:t>Viršutinių kvėpavimo takų</w:t>
            </w:r>
            <w:r w:rsidR="005C3A7B">
              <w:t xml:space="preserve"> </w:t>
            </w:r>
            <w:r w:rsidRPr="00BD3D8D">
              <w:t>infekcija</w:t>
            </w:r>
          </w:p>
        </w:tc>
      </w:tr>
      <w:tr w:rsidR="00BD3D8D" w14:paraId="47873DC5" w14:textId="77777777" w:rsidTr="00965B41">
        <w:trPr>
          <w:trHeight w:val="290"/>
        </w:trPr>
        <w:tc>
          <w:tcPr>
            <w:tcW w:w="3192" w:type="dxa"/>
            <w:vMerge/>
            <w:shd w:val="clear" w:color="auto" w:fill="auto"/>
          </w:tcPr>
          <w:p w14:paraId="35541233" w14:textId="77777777" w:rsidR="00BD3D8D" w:rsidRPr="00BD3D8D" w:rsidRDefault="00BD3D8D" w:rsidP="00BD3D8D"/>
        </w:tc>
        <w:tc>
          <w:tcPr>
            <w:tcW w:w="3192" w:type="dxa"/>
            <w:shd w:val="clear" w:color="auto" w:fill="auto"/>
          </w:tcPr>
          <w:p w14:paraId="754B090A" w14:textId="77777777" w:rsidR="00BD3D8D" w:rsidRDefault="00BD3D8D" w:rsidP="008905A4">
            <w:r>
              <w:t>Dažni</w:t>
            </w:r>
          </w:p>
        </w:tc>
        <w:tc>
          <w:tcPr>
            <w:tcW w:w="3192" w:type="dxa"/>
            <w:shd w:val="clear" w:color="auto" w:fill="auto"/>
          </w:tcPr>
          <w:p w14:paraId="5AA6AEA8" w14:textId="77777777" w:rsidR="00BD3D8D" w:rsidRDefault="00BD3D8D" w:rsidP="008905A4">
            <w:r>
              <w:t>Dusulys</w:t>
            </w:r>
          </w:p>
        </w:tc>
      </w:tr>
      <w:tr w:rsidR="00BD3D8D" w14:paraId="3224D22F" w14:textId="77777777" w:rsidTr="00965B41">
        <w:trPr>
          <w:trHeight w:val="290"/>
        </w:trPr>
        <w:tc>
          <w:tcPr>
            <w:tcW w:w="3192" w:type="dxa"/>
            <w:vMerge/>
            <w:shd w:val="clear" w:color="auto" w:fill="auto"/>
          </w:tcPr>
          <w:p w14:paraId="2A598722" w14:textId="77777777" w:rsidR="00BD3D8D" w:rsidRPr="00BD3D8D" w:rsidRDefault="00BD3D8D" w:rsidP="00BD3D8D"/>
        </w:tc>
        <w:tc>
          <w:tcPr>
            <w:tcW w:w="3192" w:type="dxa"/>
            <w:shd w:val="clear" w:color="auto" w:fill="auto"/>
          </w:tcPr>
          <w:p w14:paraId="47A1F1A7" w14:textId="77777777" w:rsidR="00BD3D8D" w:rsidRDefault="00BD3D8D" w:rsidP="008905A4">
            <w:r>
              <w:t>Dažni</w:t>
            </w:r>
          </w:p>
        </w:tc>
        <w:tc>
          <w:tcPr>
            <w:tcW w:w="3192" w:type="dxa"/>
            <w:shd w:val="clear" w:color="auto" w:fill="auto"/>
          </w:tcPr>
          <w:p w14:paraId="2AC06664" w14:textId="77777777" w:rsidR="00BD3D8D" w:rsidRDefault="00BD3D8D" w:rsidP="008905A4">
            <w:r>
              <w:t>Kosulys</w:t>
            </w:r>
          </w:p>
        </w:tc>
      </w:tr>
      <w:tr w:rsidR="00BD3D8D" w14:paraId="5455FA3E" w14:textId="77777777" w:rsidTr="00965B41">
        <w:trPr>
          <w:trHeight w:val="45"/>
        </w:trPr>
        <w:tc>
          <w:tcPr>
            <w:tcW w:w="3192" w:type="dxa"/>
            <w:vMerge w:val="restart"/>
            <w:shd w:val="clear" w:color="auto" w:fill="auto"/>
          </w:tcPr>
          <w:p w14:paraId="49A03655" w14:textId="77777777" w:rsidR="00BD3D8D" w:rsidRDefault="00BD3D8D" w:rsidP="008905A4">
            <w:r w:rsidRPr="00BD3D8D">
              <w:t>Virškinimo trakto sutrikimai</w:t>
            </w:r>
          </w:p>
        </w:tc>
        <w:tc>
          <w:tcPr>
            <w:tcW w:w="3192" w:type="dxa"/>
            <w:shd w:val="clear" w:color="auto" w:fill="auto"/>
          </w:tcPr>
          <w:p w14:paraId="22512BE1" w14:textId="77777777" w:rsidR="00BD3D8D" w:rsidRDefault="00BD3D8D" w:rsidP="008905A4">
            <w:r>
              <w:t>Labai dažni</w:t>
            </w:r>
          </w:p>
        </w:tc>
        <w:tc>
          <w:tcPr>
            <w:tcW w:w="3192" w:type="dxa"/>
            <w:shd w:val="clear" w:color="auto" w:fill="auto"/>
          </w:tcPr>
          <w:p w14:paraId="1F0D17C7" w14:textId="77777777" w:rsidR="00BD3D8D" w:rsidRDefault="00BD3D8D" w:rsidP="008905A4">
            <w:r>
              <w:t>Pykinimas</w:t>
            </w:r>
          </w:p>
        </w:tc>
      </w:tr>
      <w:tr w:rsidR="00BD3D8D" w14:paraId="489E2787" w14:textId="77777777" w:rsidTr="00965B41">
        <w:trPr>
          <w:trHeight w:val="40"/>
        </w:trPr>
        <w:tc>
          <w:tcPr>
            <w:tcW w:w="3192" w:type="dxa"/>
            <w:vMerge/>
            <w:shd w:val="clear" w:color="auto" w:fill="auto"/>
          </w:tcPr>
          <w:p w14:paraId="016E0B46" w14:textId="77777777" w:rsidR="00BD3D8D" w:rsidRPr="00BD3D8D" w:rsidRDefault="00BD3D8D" w:rsidP="008905A4"/>
        </w:tc>
        <w:tc>
          <w:tcPr>
            <w:tcW w:w="3192" w:type="dxa"/>
            <w:shd w:val="clear" w:color="auto" w:fill="auto"/>
          </w:tcPr>
          <w:p w14:paraId="75B31B5F" w14:textId="77777777" w:rsidR="00BD3D8D" w:rsidRDefault="00BD3D8D" w:rsidP="008905A4">
            <w:r>
              <w:t>Labai dažni</w:t>
            </w:r>
          </w:p>
        </w:tc>
        <w:tc>
          <w:tcPr>
            <w:tcW w:w="3192" w:type="dxa"/>
            <w:shd w:val="clear" w:color="auto" w:fill="auto"/>
          </w:tcPr>
          <w:p w14:paraId="732E0C63" w14:textId="77777777" w:rsidR="00BD3D8D" w:rsidRDefault="00BD3D8D" w:rsidP="008905A4">
            <w:r>
              <w:t>Vėmimas</w:t>
            </w:r>
          </w:p>
        </w:tc>
      </w:tr>
      <w:tr w:rsidR="00BD3D8D" w14:paraId="489F6A9C" w14:textId="77777777" w:rsidTr="00965B41">
        <w:trPr>
          <w:trHeight w:val="40"/>
        </w:trPr>
        <w:tc>
          <w:tcPr>
            <w:tcW w:w="3192" w:type="dxa"/>
            <w:vMerge/>
            <w:shd w:val="clear" w:color="auto" w:fill="auto"/>
          </w:tcPr>
          <w:p w14:paraId="765F3FBB" w14:textId="77777777" w:rsidR="00BD3D8D" w:rsidRPr="00BD3D8D" w:rsidRDefault="00BD3D8D" w:rsidP="008905A4"/>
        </w:tc>
        <w:tc>
          <w:tcPr>
            <w:tcW w:w="3192" w:type="dxa"/>
            <w:shd w:val="clear" w:color="auto" w:fill="auto"/>
          </w:tcPr>
          <w:p w14:paraId="3F1CD308" w14:textId="77777777" w:rsidR="00BD3D8D" w:rsidRDefault="00BD3D8D" w:rsidP="008905A4">
            <w:r>
              <w:t>Dažni</w:t>
            </w:r>
          </w:p>
        </w:tc>
        <w:tc>
          <w:tcPr>
            <w:tcW w:w="3192" w:type="dxa"/>
            <w:shd w:val="clear" w:color="auto" w:fill="auto"/>
          </w:tcPr>
          <w:p w14:paraId="4FD8BB8A" w14:textId="77777777" w:rsidR="00BD3D8D" w:rsidRDefault="00BD3D8D" w:rsidP="008905A4">
            <w:r>
              <w:t>Dispepsija</w:t>
            </w:r>
          </w:p>
        </w:tc>
      </w:tr>
      <w:tr w:rsidR="00BD3D8D" w14:paraId="0157CF1A" w14:textId="77777777" w:rsidTr="00965B41">
        <w:trPr>
          <w:trHeight w:val="40"/>
        </w:trPr>
        <w:tc>
          <w:tcPr>
            <w:tcW w:w="3192" w:type="dxa"/>
            <w:vMerge/>
            <w:shd w:val="clear" w:color="auto" w:fill="auto"/>
          </w:tcPr>
          <w:p w14:paraId="26C9B578" w14:textId="77777777" w:rsidR="00BD3D8D" w:rsidRPr="00BD3D8D" w:rsidRDefault="00BD3D8D" w:rsidP="008905A4"/>
        </w:tc>
        <w:tc>
          <w:tcPr>
            <w:tcW w:w="3192" w:type="dxa"/>
            <w:shd w:val="clear" w:color="auto" w:fill="auto"/>
          </w:tcPr>
          <w:p w14:paraId="23438B6C" w14:textId="77777777" w:rsidR="00BD3D8D" w:rsidRDefault="00BD3D8D" w:rsidP="008905A4">
            <w:r>
              <w:t>Dažni</w:t>
            </w:r>
          </w:p>
        </w:tc>
        <w:tc>
          <w:tcPr>
            <w:tcW w:w="3192" w:type="dxa"/>
            <w:shd w:val="clear" w:color="auto" w:fill="auto"/>
          </w:tcPr>
          <w:p w14:paraId="71486501" w14:textId="77777777" w:rsidR="00BD3D8D" w:rsidRDefault="00BD3D8D" w:rsidP="008905A4">
            <w:r>
              <w:t>Viduriavimas</w:t>
            </w:r>
          </w:p>
        </w:tc>
      </w:tr>
      <w:tr w:rsidR="00BD3D8D" w14:paraId="7EB96EF8" w14:textId="77777777" w:rsidTr="00965B41">
        <w:trPr>
          <w:trHeight w:val="40"/>
        </w:trPr>
        <w:tc>
          <w:tcPr>
            <w:tcW w:w="3192" w:type="dxa"/>
            <w:vMerge/>
            <w:shd w:val="clear" w:color="auto" w:fill="auto"/>
          </w:tcPr>
          <w:p w14:paraId="20B0D61D" w14:textId="77777777" w:rsidR="00BD3D8D" w:rsidRPr="00BD3D8D" w:rsidRDefault="00BD3D8D" w:rsidP="008905A4"/>
        </w:tc>
        <w:tc>
          <w:tcPr>
            <w:tcW w:w="3192" w:type="dxa"/>
            <w:shd w:val="clear" w:color="auto" w:fill="auto"/>
          </w:tcPr>
          <w:p w14:paraId="3B12DCD2" w14:textId="77777777" w:rsidR="00BD3D8D" w:rsidRDefault="00BD3D8D" w:rsidP="008905A4">
            <w:r>
              <w:t>Dažni</w:t>
            </w:r>
          </w:p>
        </w:tc>
        <w:tc>
          <w:tcPr>
            <w:tcW w:w="3192" w:type="dxa"/>
            <w:shd w:val="clear" w:color="auto" w:fill="auto"/>
          </w:tcPr>
          <w:p w14:paraId="5DAE31CD" w14:textId="77777777" w:rsidR="00BD3D8D" w:rsidRDefault="00BD3D8D" w:rsidP="008905A4">
            <w:r>
              <w:t>Pilvo skausmas</w:t>
            </w:r>
          </w:p>
        </w:tc>
      </w:tr>
      <w:tr w:rsidR="00BD3D8D" w14:paraId="149A8D06" w14:textId="77777777" w:rsidTr="00965B41">
        <w:trPr>
          <w:trHeight w:val="40"/>
        </w:trPr>
        <w:tc>
          <w:tcPr>
            <w:tcW w:w="3192" w:type="dxa"/>
            <w:vMerge/>
            <w:shd w:val="clear" w:color="auto" w:fill="auto"/>
          </w:tcPr>
          <w:p w14:paraId="2AE316B5" w14:textId="77777777" w:rsidR="00BD3D8D" w:rsidRPr="00BD3D8D" w:rsidRDefault="00BD3D8D" w:rsidP="008905A4"/>
        </w:tc>
        <w:tc>
          <w:tcPr>
            <w:tcW w:w="3192" w:type="dxa"/>
            <w:shd w:val="clear" w:color="auto" w:fill="auto"/>
          </w:tcPr>
          <w:p w14:paraId="64EAE5E8" w14:textId="77777777" w:rsidR="00BD3D8D" w:rsidRDefault="00BD3D8D" w:rsidP="008905A4">
            <w:r>
              <w:t>Dažni</w:t>
            </w:r>
          </w:p>
        </w:tc>
        <w:tc>
          <w:tcPr>
            <w:tcW w:w="3192" w:type="dxa"/>
            <w:shd w:val="clear" w:color="auto" w:fill="auto"/>
          </w:tcPr>
          <w:p w14:paraId="2282F26A" w14:textId="77777777" w:rsidR="00BD3D8D" w:rsidRDefault="00BD3D8D" w:rsidP="008905A4">
            <w:r>
              <w:t>Viršutinės pilvo dalies skausmas</w:t>
            </w:r>
          </w:p>
        </w:tc>
      </w:tr>
      <w:tr w:rsidR="00BD3D8D" w14:paraId="3AC791CA" w14:textId="77777777" w:rsidTr="00965B41">
        <w:trPr>
          <w:trHeight w:val="40"/>
        </w:trPr>
        <w:tc>
          <w:tcPr>
            <w:tcW w:w="3192" w:type="dxa"/>
            <w:vMerge/>
            <w:shd w:val="clear" w:color="auto" w:fill="auto"/>
          </w:tcPr>
          <w:p w14:paraId="0820E1B8" w14:textId="77777777" w:rsidR="00BD3D8D" w:rsidRPr="00BD3D8D" w:rsidRDefault="00BD3D8D" w:rsidP="008905A4"/>
        </w:tc>
        <w:tc>
          <w:tcPr>
            <w:tcW w:w="3192" w:type="dxa"/>
            <w:shd w:val="clear" w:color="auto" w:fill="auto"/>
          </w:tcPr>
          <w:p w14:paraId="70800EB5" w14:textId="77777777" w:rsidR="00BD3D8D" w:rsidRDefault="00BD3D8D" w:rsidP="008905A4">
            <w:r>
              <w:t>Dažni</w:t>
            </w:r>
          </w:p>
        </w:tc>
        <w:tc>
          <w:tcPr>
            <w:tcW w:w="3192" w:type="dxa"/>
            <w:shd w:val="clear" w:color="auto" w:fill="auto"/>
          </w:tcPr>
          <w:p w14:paraId="7BC11ECD" w14:textId="77777777" w:rsidR="00BD3D8D" w:rsidRDefault="00BD3D8D" w:rsidP="008905A4">
            <w:r>
              <w:t>Vidurių užkietėjimas</w:t>
            </w:r>
          </w:p>
        </w:tc>
      </w:tr>
      <w:tr w:rsidR="00BD3D8D" w14:paraId="618011AB" w14:textId="77777777" w:rsidTr="00965B41">
        <w:tc>
          <w:tcPr>
            <w:tcW w:w="3192" w:type="dxa"/>
            <w:shd w:val="clear" w:color="auto" w:fill="auto"/>
          </w:tcPr>
          <w:p w14:paraId="1530BAD7" w14:textId="77777777" w:rsidR="00BD3D8D" w:rsidRDefault="00BD3D8D" w:rsidP="005C3A7B">
            <w:r w:rsidRPr="00BD3D8D">
              <w:t>Odos ir poodinio audinio</w:t>
            </w:r>
            <w:r w:rsidR="005C3A7B">
              <w:t xml:space="preserve"> </w:t>
            </w:r>
            <w:r w:rsidRPr="00BD3D8D">
              <w:t>sutrikimai</w:t>
            </w:r>
          </w:p>
        </w:tc>
        <w:tc>
          <w:tcPr>
            <w:tcW w:w="3192" w:type="dxa"/>
            <w:shd w:val="clear" w:color="auto" w:fill="auto"/>
          </w:tcPr>
          <w:p w14:paraId="097C9663" w14:textId="77777777" w:rsidR="00BD3D8D" w:rsidRDefault="00BD3D8D" w:rsidP="008905A4">
            <w:r>
              <w:t>Dažni</w:t>
            </w:r>
          </w:p>
        </w:tc>
        <w:tc>
          <w:tcPr>
            <w:tcW w:w="3192" w:type="dxa"/>
            <w:shd w:val="clear" w:color="auto" w:fill="auto"/>
          </w:tcPr>
          <w:p w14:paraId="0BA203FF" w14:textId="77777777" w:rsidR="00BD3D8D" w:rsidRDefault="00BD3D8D" w:rsidP="008905A4">
            <w:r>
              <w:t>Išbėrimas</w:t>
            </w:r>
          </w:p>
        </w:tc>
      </w:tr>
      <w:tr w:rsidR="00831341" w14:paraId="5D41CEFF" w14:textId="77777777" w:rsidTr="00965B41">
        <w:trPr>
          <w:trHeight w:val="196"/>
        </w:trPr>
        <w:tc>
          <w:tcPr>
            <w:tcW w:w="3192" w:type="dxa"/>
            <w:vMerge w:val="restart"/>
            <w:shd w:val="clear" w:color="auto" w:fill="auto"/>
          </w:tcPr>
          <w:p w14:paraId="0932CAA1" w14:textId="77777777" w:rsidR="00831341" w:rsidRDefault="00831341" w:rsidP="005C3A7B">
            <w:r w:rsidRPr="00831341">
              <w:t>Skeleto, raumenų ir</w:t>
            </w:r>
            <w:r w:rsidR="005C3A7B">
              <w:t xml:space="preserve"> </w:t>
            </w:r>
            <w:r w:rsidRPr="00831341">
              <w:t>jungiamojo audinio sutrikimai</w:t>
            </w:r>
          </w:p>
        </w:tc>
        <w:tc>
          <w:tcPr>
            <w:tcW w:w="3192" w:type="dxa"/>
            <w:shd w:val="clear" w:color="auto" w:fill="auto"/>
          </w:tcPr>
          <w:p w14:paraId="7C943F7A" w14:textId="77777777" w:rsidR="00831341" w:rsidRDefault="00831341" w:rsidP="008905A4">
            <w:r>
              <w:t>Dažni</w:t>
            </w:r>
          </w:p>
        </w:tc>
        <w:tc>
          <w:tcPr>
            <w:tcW w:w="3192" w:type="dxa"/>
            <w:shd w:val="clear" w:color="auto" w:fill="auto"/>
          </w:tcPr>
          <w:p w14:paraId="5E5425FA" w14:textId="77777777" w:rsidR="00831341" w:rsidRDefault="00831341" w:rsidP="008905A4">
            <w:r>
              <w:t>Mialgija</w:t>
            </w:r>
          </w:p>
        </w:tc>
      </w:tr>
      <w:tr w:rsidR="00831341" w14:paraId="3564285A" w14:textId="77777777" w:rsidTr="00965B41">
        <w:trPr>
          <w:trHeight w:val="195"/>
        </w:trPr>
        <w:tc>
          <w:tcPr>
            <w:tcW w:w="3192" w:type="dxa"/>
            <w:vMerge/>
            <w:shd w:val="clear" w:color="auto" w:fill="auto"/>
          </w:tcPr>
          <w:p w14:paraId="40AEEB0C" w14:textId="77777777" w:rsidR="00831341" w:rsidRPr="00831341" w:rsidRDefault="00831341" w:rsidP="00831341"/>
        </w:tc>
        <w:tc>
          <w:tcPr>
            <w:tcW w:w="3192" w:type="dxa"/>
            <w:shd w:val="clear" w:color="auto" w:fill="auto"/>
          </w:tcPr>
          <w:p w14:paraId="117C001B" w14:textId="77777777" w:rsidR="00831341" w:rsidRDefault="00831341" w:rsidP="008905A4">
            <w:r>
              <w:t>Dažni</w:t>
            </w:r>
          </w:p>
        </w:tc>
        <w:tc>
          <w:tcPr>
            <w:tcW w:w="3192" w:type="dxa"/>
            <w:shd w:val="clear" w:color="auto" w:fill="auto"/>
          </w:tcPr>
          <w:p w14:paraId="5D1CCFFE" w14:textId="77777777" w:rsidR="00831341" w:rsidRDefault="00831341" w:rsidP="008905A4">
            <w:r>
              <w:t>Raumenų spazmai</w:t>
            </w:r>
          </w:p>
        </w:tc>
      </w:tr>
      <w:tr w:rsidR="00831341" w14:paraId="4B24EFB9" w14:textId="77777777" w:rsidTr="00965B41">
        <w:trPr>
          <w:trHeight w:val="195"/>
        </w:trPr>
        <w:tc>
          <w:tcPr>
            <w:tcW w:w="3192" w:type="dxa"/>
            <w:vMerge/>
            <w:shd w:val="clear" w:color="auto" w:fill="auto"/>
          </w:tcPr>
          <w:p w14:paraId="5E6CDFCE" w14:textId="77777777" w:rsidR="00831341" w:rsidRPr="00831341" w:rsidRDefault="00831341" w:rsidP="00831341"/>
        </w:tc>
        <w:tc>
          <w:tcPr>
            <w:tcW w:w="3192" w:type="dxa"/>
            <w:shd w:val="clear" w:color="auto" w:fill="auto"/>
          </w:tcPr>
          <w:p w14:paraId="11D2DD3F" w14:textId="77777777" w:rsidR="00831341" w:rsidRDefault="00831341" w:rsidP="008905A4">
            <w:r>
              <w:t>Dažni</w:t>
            </w:r>
          </w:p>
        </w:tc>
        <w:tc>
          <w:tcPr>
            <w:tcW w:w="3192" w:type="dxa"/>
            <w:shd w:val="clear" w:color="auto" w:fill="auto"/>
          </w:tcPr>
          <w:p w14:paraId="617E7394" w14:textId="77777777" w:rsidR="00831341" w:rsidRDefault="00831341" w:rsidP="008905A4">
            <w:r>
              <w:t>Nugaros skausmas</w:t>
            </w:r>
          </w:p>
        </w:tc>
      </w:tr>
      <w:tr w:rsidR="00BD3D8D" w14:paraId="63153156" w14:textId="77777777" w:rsidTr="00965B41">
        <w:tc>
          <w:tcPr>
            <w:tcW w:w="3192" w:type="dxa"/>
            <w:shd w:val="clear" w:color="auto" w:fill="auto"/>
          </w:tcPr>
          <w:p w14:paraId="630D68D1" w14:textId="77777777" w:rsidR="00BD3D8D" w:rsidRDefault="00831341" w:rsidP="005C3A7B">
            <w:r w:rsidRPr="00831341">
              <w:t>Bendrieji sutrikimai ir</w:t>
            </w:r>
            <w:r w:rsidR="005C3A7B">
              <w:t xml:space="preserve"> </w:t>
            </w:r>
            <w:r w:rsidRPr="00831341">
              <w:t>vartojimo vietos pažeidimai</w:t>
            </w:r>
          </w:p>
        </w:tc>
        <w:tc>
          <w:tcPr>
            <w:tcW w:w="3192" w:type="dxa"/>
            <w:shd w:val="clear" w:color="auto" w:fill="auto"/>
          </w:tcPr>
          <w:p w14:paraId="147B0740" w14:textId="77777777" w:rsidR="00BD3D8D" w:rsidRDefault="00831341" w:rsidP="008905A4">
            <w:r>
              <w:t>Dažni</w:t>
            </w:r>
          </w:p>
        </w:tc>
        <w:tc>
          <w:tcPr>
            <w:tcW w:w="3192" w:type="dxa"/>
            <w:shd w:val="clear" w:color="auto" w:fill="auto"/>
          </w:tcPr>
          <w:p w14:paraId="4ED1D640" w14:textId="77777777" w:rsidR="00BD3D8D" w:rsidRDefault="00831341" w:rsidP="008905A4">
            <w:r>
              <w:t>Astenija</w:t>
            </w:r>
          </w:p>
        </w:tc>
      </w:tr>
      <w:tr w:rsidR="00831341" w14:paraId="67CB3E8B" w14:textId="77777777" w:rsidTr="00965B41">
        <w:trPr>
          <w:trHeight w:val="95"/>
        </w:trPr>
        <w:tc>
          <w:tcPr>
            <w:tcW w:w="3192" w:type="dxa"/>
            <w:vMerge w:val="restart"/>
            <w:shd w:val="clear" w:color="auto" w:fill="auto"/>
          </w:tcPr>
          <w:p w14:paraId="3F129326" w14:textId="77777777" w:rsidR="00831341" w:rsidRDefault="00831341" w:rsidP="008905A4">
            <w:r>
              <w:t>Tyrimai</w:t>
            </w:r>
          </w:p>
        </w:tc>
        <w:tc>
          <w:tcPr>
            <w:tcW w:w="3192" w:type="dxa"/>
            <w:shd w:val="clear" w:color="auto" w:fill="auto"/>
          </w:tcPr>
          <w:p w14:paraId="46A3E9A7" w14:textId="77777777" w:rsidR="00831341" w:rsidRDefault="00831341" w:rsidP="008905A4">
            <w:r>
              <w:t>Dažni</w:t>
            </w:r>
          </w:p>
        </w:tc>
        <w:tc>
          <w:tcPr>
            <w:tcW w:w="3192" w:type="dxa"/>
            <w:shd w:val="clear" w:color="auto" w:fill="auto"/>
          </w:tcPr>
          <w:p w14:paraId="19478523" w14:textId="77777777" w:rsidR="00831341" w:rsidRDefault="00831341" w:rsidP="008905A4">
            <w:r>
              <w:t>Hipokalcemija</w:t>
            </w:r>
            <w:r w:rsidRPr="008E66BB">
              <w:rPr>
                <w:color w:val="000000"/>
                <w:szCs w:val="22"/>
                <w:vertAlign w:val="superscript"/>
                <w:lang w:eastAsia="en-GB"/>
              </w:rPr>
              <w:t>†</w:t>
            </w:r>
          </w:p>
        </w:tc>
      </w:tr>
      <w:tr w:rsidR="00831341" w14:paraId="20FD97B2" w14:textId="77777777" w:rsidTr="00965B41">
        <w:trPr>
          <w:trHeight w:val="95"/>
        </w:trPr>
        <w:tc>
          <w:tcPr>
            <w:tcW w:w="3192" w:type="dxa"/>
            <w:vMerge/>
            <w:shd w:val="clear" w:color="auto" w:fill="auto"/>
          </w:tcPr>
          <w:p w14:paraId="7B2B487D" w14:textId="77777777" w:rsidR="00831341" w:rsidRDefault="00831341" w:rsidP="008905A4"/>
        </w:tc>
        <w:tc>
          <w:tcPr>
            <w:tcW w:w="3192" w:type="dxa"/>
            <w:shd w:val="clear" w:color="auto" w:fill="auto"/>
          </w:tcPr>
          <w:p w14:paraId="4688D620" w14:textId="77777777" w:rsidR="00831341" w:rsidRDefault="00831341" w:rsidP="008905A4">
            <w:r>
              <w:t>Dažni</w:t>
            </w:r>
          </w:p>
        </w:tc>
        <w:tc>
          <w:tcPr>
            <w:tcW w:w="3192" w:type="dxa"/>
            <w:shd w:val="clear" w:color="auto" w:fill="auto"/>
          </w:tcPr>
          <w:p w14:paraId="0A8B6710" w14:textId="77777777" w:rsidR="00831341" w:rsidRDefault="00831341" w:rsidP="008905A4">
            <w:r>
              <w:t>Hiperkalemija</w:t>
            </w:r>
          </w:p>
        </w:tc>
      </w:tr>
      <w:tr w:rsidR="00831341" w14:paraId="6280F9AE" w14:textId="77777777" w:rsidTr="00965B41">
        <w:trPr>
          <w:trHeight w:val="95"/>
        </w:trPr>
        <w:tc>
          <w:tcPr>
            <w:tcW w:w="3192" w:type="dxa"/>
            <w:vMerge/>
            <w:shd w:val="clear" w:color="auto" w:fill="auto"/>
          </w:tcPr>
          <w:p w14:paraId="3BB15B0F" w14:textId="77777777" w:rsidR="00831341" w:rsidRDefault="00831341" w:rsidP="008905A4"/>
        </w:tc>
        <w:tc>
          <w:tcPr>
            <w:tcW w:w="3192" w:type="dxa"/>
            <w:shd w:val="clear" w:color="auto" w:fill="auto"/>
          </w:tcPr>
          <w:p w14:paraId="1DFF2EA9" w14:textId="77777777" w:rsidR="00831341" w:rsidRDefault="00831341" w:rsidP="008905A4">
            <w:r>
              <w:t>Dažni</w:t>
            </w:r>
          </w:p>
        </w:tc>
        <w:tc>
          <w:tcPr>
            <w:tcW w:w="3192" w:type="dxa"/>
            <w:shd w:val="clear" w:color="auto" w:fill="auto"/>
          </w:tcPr>
          <w:p w14:paraId="61ADC58F" w14:textId="77777777" w:rsidR="00831341" w:rsidRDefault="00831341" w:rsidP="005C3A7B">
            <w:r w:rsidRPr="00831341">
              <w:t>Sumažėjęs testosterono</w:t>
            </w:r>
            <w:r w:rsidR="005C3A7B">
              <w:t xml:space="preserve"> </w:t>
            </w:r>
            <w:r w:rsidRPr="00831341">
              <w:t>kiekis</w:t>
            </w:r>
            <w:r w:rsidRPr="008E66BB">
              <w:rPr>
                <w:color w:val="000000"/>
                <w:szCs w:val="22"/>
                <w:vertAlign w:val="superscript"/>
                <w:lang w:eastAsia="en-GB"/>
              </w:rPr>
              <w:t>†</w:t>
            </w:r>
          </w:p>
        </w:tc>
      </w:tr>
    </w:tbl>
    <w:p w14:paraId="18817B7B" w14:textId="77777777" w:rsidR="00831341" w:rsidRDefault="00831341" w:rsidP="008905A4">
      <w:pPr>
        <w:rPr>
          <w:color w:val="000000"/>
          <w:szCs w:val="22"/>
          <w:lang w:eastAsia="en-GB"/>
        </w:rPr>
      </w:pPr>
      <w:r w:rsidRPr="002778EE">
        <w:rPr>
          <w:color w:val="000000"/>
          <w:szCs w:val="22"/>
          <w:vertAlign w:val="superscript"/>
          <w:lang w:eastAsia="en-GB"/>
        </w:rPr>
        <w:t>†</w:t>
      </w:r>
      <w:r>
        <w:rPr>
          <w:color w:val="000000"/>
          <w:szCs w:val="22"/>
          <w:vertAlign w:val="superscript"/>
          <w:lang w:eastAsia="en-GB"/>
        </w:rPr>
        <w:t xml:space="preserve"> </w:t>
      </w:r>
      <w:r>
        <w:rPr>
          <w:color w:val="000000"/>
          <w:szCs w:val="22"/>
          <w:lang w:eastAsia="en-GB"/>
        </w:rPr>
        <w:t>žiūrėti 4.4 skyrių;</w:t>
      </w:r>
    </w:p>
    <w:p w14:paraId="3A6AD090" w14:textId="0D503806" w:rsidR="00831341" w:rsidRDefault="00831341" w:rsidP="00831341">
      <w:r w:rsidRPr="00831341">
        <w:rPr>
          <w:color w:val="000000"/>
          <w:szCs w:val="22"/>
          <w:lang w:eastAsia="en-GB"/>
        </w:rPr>
        <w:t>*</w:t>
      </w:r>
      <w:r>
        <w:t xml:space="preserve"> </w:t>
      </w:r>
      <w:r w:rsidRPr="00831341">
        <w:t>žiūrėti</w:t>
      </w:r>
      <w:r>
        <w:t xml:space="preserve"> skyrių</w:t>
      </w:r>
      <w:r w:rsidR="00600CCE">
        <w:t xml:space="preserve"> „</w:t>
      </w:r>
      <w:r w:rsidR="00600CCE" w:rsidRPr="00600CCE">
        <w:t>Atrinktų nepageidaujamų reakcijų apibūdinimas</w:t>
      </w:r>
      <w:r w:rsidR="00600CCE">
        <w:t>“</w:t>
      </w:r>
    </w:p>
    <w:p w14:paraId="2ECFE49A" w14:textId="77777777" w:rsidR="00831341" w:rsidRDefault="00831341" w:rsidP="00831341"/>
    <w:p w14:paraId="7881BBF0" w14:textId="5982036A" w:rsidR="00831341" w:rsidRPr="00D42F2E" w:rsidRDefault="00831341" w:rsidP="00831341">
      <w:pPr>
        <w:rPr>
          <w:u w:val="single"/>
        </w:rPr>
      </w:pPr>
      <w:r w:rsidRPr="00D42F2E">
        <w:rPr>
          <w:u w:val="single"/>
        </w:rPr>
        <w:t>Atrinktų nepageidaujamų reakcijų apibūdinimas</w:t>
      </w:r>
    </w:p>
    <w:p w14:paraId="2413D7C8" w14:textId="77777777" w:rsidR="00600CCE" w:rsidRDefault="00600CCE" w:rsidP="00831341">
      <w:pPr>
        <w:rPr>
          <w:i/>
        </w:rPr>
      </w:pPr>
    </w:p>
    <w:p w14:paraId="2849D538" w14:textId="77777777" w:rsidR="00831341" w:rsidRPr="008524B3" w:rsidRDefault="00831341" w:rsidP="00831341">
      <w:pPr>
        <w:rPr>
          <w:i/>
        </w:rPr>
      </w:pPr>
      <w:r w:rsidRPr="008524B3">
        <w:rPr>
          <w:i/>
        </w:rPr>
        <w:t>Padidėjusio jautrumo reakcijos</w:t>
      </w:r>
    </w:p>
    <w:p w14:paraId="27D9C404" w14:textId="77777777" w:rsidR="00831341" w:rsidRDefault="00831341" w:rsidP="00831341">
      <w:r w:rsidRPr="00831341">
        <w:t>Cinakalcetui esant rinkoje nustatytos padidėjusio jautrumo reakcijos, įskaitant angioneurozinę edemą ir</w:t>
      </w:r>
      <w:r w:rsidR="005C3A7B">
        <w:t xml:space="preserve"> </w:t>
      </w:r>
      <w:r w:rsidRPr="00831341">
        <w:t>dilgėlinę. Atskirų tinkamiausių išsireiškimų, įskaitant angioneurozinę edemą ir dilgėlinę, dažnio apskaičiuoti</w:t>
      </w:r>
      <w:r w:rsidR="008524B3">
        <w:t xml:space="preserve"> </w:t>
      </w:r>
      <w:r w:rsidRPr="00831341">
        <w:t>pagal turimus duomenis neįmanoma.</w:t>
      </w:r>
    </w:p>
    <w:p w14:paraId="68419562" w14:textId="77777777" w:rsidR="008524B3" w:rsidRPr="00831341" w:rsidRDefault="008524B3" w:rsidP="00831341"/>
    <w:p w14:paraId="370CB8D4" w14:textId="77777777" w:rsidR="00831341" w:rsidRPr="008524B3" w:rsidRDefault="00831341" w:rsidP="00831341">
      <w:pPr>
        <w:rPr>
          <w:i/>
        </w:rPr>
      </w:pPr>
      <w:r w:rsidRPr="008524B3">
        <w:rPr>
          <w:i/>
        </w:rPr>
        <w:t>Hipotenzija ir (arba) širdies nepakankamumo pasunkėjimas</w:t>
      </w:r>
    </w:p>
    <w:p w14:paraId="7CBA379A" w14:textId="77777777" w:rsidR="00831341" w:rsidRDefault="00831341" w:rsidP="00831341">
      <w:r w:rsidRPr="00831341">
        <w:t>Rinkoje esančio vaisto saugumo stebėjimo tyrimų metu cinakalcetą vartojusiems pacientams, kurių širdies</w:t>
      </w:r>
      <w:r w:rsidR="005C3A7B">
        <w:t xml:space="preserve"> </w:t>
      </w:r>
      <w:r w:rsidRPr="00831341">
        <w:t>funkcija buvo sutrikusi, registruota idiosinkrazinių hipotenzijos ir (arba) širdies nepakankamumo</w:t>
      </w:r>
      <w:r w:rsidR="005C3A7B">
        <w:t xml:space="preserve"> </w:t>
      </w:r>
      <w:r w:rsidRPr="00831341">
        <w:t>pasunkėjimo atvejų, kurių dažnio apskaičiuoti pagal turimus duomenis neįmanoma.</w:t>
      </w:r>
    </w:p>
    <w:p w14:paraId="0EF3FED1" w14:textId="77777777" w:rsidR="008524B3" w:rsidRDefault="008524B3" w:rsidP="00831341"/>
    <w:p w14:paraId="418352BF" w14:textId="77777777" w:rsidR="008524B3" w:rsidRPr="008524B3" w:rsidRDefault="008524B3" w:rsidP="008524B3">
      <w:pPr>
        <w:rPr>
          <w:i/>
        </w:rPr>
      </w:pPr>
      <w:r w:rsidRPr="008524B3">
        <w:rPr>
          <w:i/>
        </w:rPr>
        <w:t>Dėl hipokalcemijos pasireiškęs QT pailgėjimas ir skilvelinė aritmija</w:t>
      </w:r>
    </w:p>
    <w:p w14:paraId="30635508" w14:textId="77777777" w:rsidR="008524B3" w:rsidRPr="008524B3" w:rsidRDefault="008524B3" w:rsidP="008524B3">
      <w:r w:rsidRPr="008524B3">
        <w:t>Cinakalcetui esant rinkoje nustatyti dėl hipokalcemijos pasireiškęs QT pailgėjimas ir skilvelinė aritmija</w:t>
      </w:r>
      <w:r w:rsidR="00CD2D18">
        <w:t xml:space="preserve">, </w:t>
      </w:r>
      <w:r w:rsidRPr="008524B3">
        <w:t>kurių dažnio apskaičiuoti pagal turimus duomenis neįmanoma (žr. 4.4 skyrių).</w:t>
      </w:r>
    </w:p>
    <w:p w14:paraId="6DC1E07B" w14:textId="77777777" w:rsidR="008524B3" w:rsidRDefault="008524B3" w:rsidP="008524B3"/>
    <w:p w14:paraId="41CDC0F3" w14:textId="6BC9CD0D" w:rsidR="008524B3" w:rsidRPr="00D42F2E" w:rsidRDefault="008524B3" w:rsidP="008524B3">
      <w:pPr>
        <w:rPr>
          <w:u w:val="single"/>
        </w:rPr>
      </w:pPr>
      <w:r w:rsidRPr="00D42F2E">
        <w:rPr>
          <w:u w:val="single"/>
        </w:rPr>
        <w:t>Vaikų populiacija</w:t>
      </w:r>
    </w:p>
    <w:p w14:paraId="0D700445" w14:textId="77777777" w:rsidR="008524B3" w:rsidRDefault="008524B3" w:rsidP="008524B3"/>
    <w:p w14:paraId="1D608450" w14:textId="35A07416" w:rsidR="009E066B" w:rsidRDefault="009E066B" w:rsidP="009E066B">
      <w:r>
        <w:t>Cinakalceto saugumas gydant antrinę HPT vaikams, kuriems yra TILS ir taikoma dializė, buvo vertintas dviejų atsitiktinės atrankos, kontroliuojamų tyrimų ir vieno vienos grupės tyrimo metu (žr. 5.1 skyrių). Iš visų tiriamųjų vaikų, kurie klinikinių tyrimų metu vartojo cinakalcetą, iš viso 19 tiriamųjų (24,1 %; 64,5 100-ui asmens metų) bent vieną kartą pasireiškė nepageidaujamas hipokalcemijos atvejis. Klinikiniame tyrime, atliktame su vaikais, aprašytas paciento su sunkia hipokalcemija mirties atvejis (žr. 4.4 skyrių).</w:t>
      </w:r>
    </w:p>
    <w:p w14:paraId="1AC0C236" w14:textId="77777777" w:rsidR="009E066B" w:rsidRDefault="009E066B" w:rsidP="009E066B"/>
    <w:p w14:paraId="6FE76097" w14:textId="2A065484" w:rsidR="008524B3" w:rsidRDefault="009E066B" w:rsidP="009E066B">
      <w:r>
        <w:t>Cinakalceto vaikams galima vartoti tik jei galima nauda viršija galimą riziką.</w:t>
      </w:r>
    </w:p>
    <w:p w14:paraId="1A716BEE" w14:textId="77777777" w:rsidR="008524B3" w:rsidRDefault="008524B3" w:rsidP="008524B3"/>
    <w:p w14:paraId="0C4652AB" w14:textId="77777777" w:rsidR="008524B3" w:rsidRPr="008524B3" w:rsidRDefault="008524B3" w:rsidP="008524B3">
      <w:pPr>
        <w:rPr>
          <w:u w:val="single"/>
        </w:rPr>
      </w:pPr>
      <w:r w:rsidRPr="008524B3">
        <w:rPr>
          <w:u w:val="single"/>
        </w:rPr>
        <w:t>Pranešimas apie įtariamas nepageidaujamas reakcijas</w:t>
      </w:r>
    </w:p>
    <w:p w14:paraId="00DE2F5C" w14:textId="77777777" w:rsidR="008524B3" w:rsidRDefault="008524B3" w:rsidP="008524B3">
      <w:r w:rsidRPr="008524B3">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1358E1">
          <w:rPr>
            <w:rStyle w:val="Hipersaitas"/>
          </w:rPr>
          <w:t>http://www.vvkt.lt</w:t>
        </w:r>
      </w:hyperlink>
      <w:r w:rsidRPr="008524B3">
        <w:t>).</w:t>
      </w:r>
    </w:p>
    <w:p w14:paraId="66CB899A" w14:textId="77777777" w:rsidR="008524B3" w:rsidRDefault="008524B3" w:rsidP="008524B3">
      <w:pPr>
        <w:pStyle w:val="Antrat4"/>
        <w:rPr>
          <w:rFonts w:ascii="Times New Roman" w:hAnsi="Times New Roman"/>
          <w:i w:val="0"/>
          <w:color w:val="auto"/>
        </w:rPr>
      </w:pPr>
      <w:r w:rsidRPr="008524B3">
        <w:rPr>
          <w:rFonts w:ascii="Times New Roman" w:hAnsi="Times New Roman"/>
          <w:i w:val="0"/>
          <w:color w:val="auto"/>
        </w:rPr>
        <w:t>4.9</w:t>
      </w:r>
      <w:r w:rsidRPr="008524B3">
        <w:rPr>
          <w:rFonts w:ascii="Times New Roman" w:hAnsi="Times New Roman"/>
          <w:i w:val="0"/>
          <w:color w:val="auto"/>
        </w:rPr>
        <w:tab/>
        <w:t>Perdozavimas</w:t>
      </w:r>
    </w:p>
    <w:p w14:paraId="296AC718" w14:textId="77777777" w:rsidR="008524B3" w:rsidRDefault="008524B3" w:rsidP="008524B3"/>
    <w:p w14:paraId="0064A31D" w14:textId="010BD02A" w:rsidR="008524B3" w:rsidRPr="00382558" w:rsidRDefault="008524B3" w:rsidP="00294BB3">
      <w:r w:rsidRPr="00382558">
        <w:t>Titruotos dozės iki 300</w:t>
      </w:r>
      <w:r w:rsidR="00CD2D18" w:rsidRPr="00382558">
        <w:t> </w:t>
      </w:r>
      <w:r w:rsidRPr="00382558">
        <w:t xml:space="preserve">mg vieną kartą per parą </w:t>
      </w:r>
      <w:r w:rsidR="00294BB3" w:rsidRPr="00382558">
        <w:t xml:space="preserve">suaugusiems dializuojamiems pacientams nepageidaujamo poveikio nesukėlė. Klinikinio tyrimo metu dializuojamam pacientui vaikui suleista 3,9 mg/kg paros dozė sukėlė </w:t>
      </w:r>
      <w:r w:rsidR="00605D93" w:rsidRPr="00382558">
        <w:t xml:space="preserve">silpną </w:t>
      </w:r>
      <w:r w:rsidR="00294BB3" w:rsidRPr="00382558">
        <w:t>pilvo skausmą, pykinimą ir vėmimą.</w:t>
      </w:r>
    </w:p>
    <w:p w14:paraId="2FD23646" w14:textId="77777777" w:rsidR="008524B3" w:rsidRPr="00382558" w:rsidRDefault="008524B3" w:rsidP="008524B3"/>
    <w:p w14:paraId="2E78F1C0" w14:textId="77777777" w:rsidR="008524B3" w:rsidRPr="008524B3" w:rsidRDefault="008524B3" w:rsidP="008524B3">
      <w:r w:rsidRPr="00382558">
        <w:t>Cinakalc</w:t>
      </w:r>
      <w:r w:rsidRPr="008524B3">
        <w:t>et</w:t>
      </w:r>
      <w:r>
        <w:t xml:space="preserve"> Teva</w:t>
      </w:r>
      <w:r w:rsidRPr="008524B3">
        <w:t xml:space="preserve"> perdozavimas gali sukelti hipokalcemiją. Vaistą perdozavusį pacientą reikia stebėti dėl</w:t>
      </w:r>
      <w:r w:rsidR="00CD2D18">
        <w:t xml:space="preserve"> </w:t>
      </w:r>
      <w:r w:rsidRPr="008524B3">
        <w:t>hipokalcemijos požymių ir taikyti simptominį bei palaikomąjį gydymą. Cinakalcetas labai gerai jungiasi su</w:t>
      </w:r>
      <w:r>
        <w:t xml:space="preserve"> </w:t>
      </w:r>
      <w:r w:rsidRPr="008524B3">
        <w:t>baltymais, todėl hemodializė neefektyvi gydant perdozavimą.</w:t>
      </w:r>
    </w:p>
    <w:p w14:paraId="70DF1E33" w14:textId="77777777" w:rsidR="008524B3" w:rsidRDefault="008524B3" w:rsidP="008524B3"/>
    <w:p w14:paraId="3A96875C" w14:textId="77777777" w:rsidR="008524B3" w:rsidRDefault="008524B3" w:rsidP="008524B3"/>
    <w:p w14:paraId="3BD39F93" w14:textId="77777777" w:rsidR="008524B3" w:rsidRPr="00B34FA1" w:rsidRDefault="008524B3" w:rsidP="008524B3">
      <w:pPr>
        <w:pStyle w:val="Antrat3"/>
        <w:spacing w:before="0" w:after="0" w:line="240" w:lineRule="auto"/>
        <w:rPr>
          <w:rFonts w:ascii="Times New Roman" w:hAnsi="Times New Roman"/>
          <w:sz w:val="22"/>
        </w:rPr>
      </w:pPr>
      <w:r w:rsidRPr="00B34FA1">
        <w:rPr>
          <w:rFonts w:ascii="Times New Roman" w:hAnsi="Times New Roman"/>
          <w:sz w:val="22"/>
        </w:rPr>
        <w:t>5.</w:t>
      </w:r>
      <w:r w:rsidRPr="00B34FA1">
        <w:rPr>
          <w:rFonts w:ascii="Times New Roman" w:hAnsi="Times New Roman"/>
          <w:sz w:val="22"/>
        </w:rPr>
        <w:tab/>
        <w:t>FARMAKOLOGINĖS SAVYBĖS</w:t>
      </w:r>
    </w:p>
    <w:p w14:paraId="409DAB5C" w14:textId="77777777" w:rsidR="008524B3" w:rsidRPr="008524B3" w:rsidRDefault="008524B3" w:rsidP="008524B3">
      <w:pPr>
        <w:pStyle w:val="Antrat4"/>
        <w:rPr>
          <w:rFonts w:ascii="Times New Roman" w:hAnsi="Times New Roman"/>
          <w:i w:val="0"/>
          <w:color w:val="auto"/>
        </w:rPr>
      </w:pPr>
      <w:r w:rsidRPr="008524B3">
        <w:rPr>
          <w:rFonts w:ascii="Times New Roman" w:hAnsi="Times New Roman"/>
          <w:i w:val="0"/>
          <w:color w:val="auto"/>
        </w:rPr>
        <w:t>5.1</w:t>
      </w:r>
      <w:r w:rsidRPr="008524B3">
        <w:rPr>
          <w:rFonts w:ascii="Times New Roman" w:hAnsi="Times New Roman"/>
          <w:bCs w:val="0"/>
          <w:i w:val="0"/>
          <w:color w:val="auto"/>
          <w:szCs w:val="24"/>
        </w:rPr>
        <w:t xml:space="preserve"> </w:t>
      </w:r>
      <w:r w:rsidRPr="008524B3">
        <w:rPr>
          <w:rFonts w:ascii="Times New Roman" w:hAnsi="Times New Roman"/>
          <w:i w:val="0"/>
          <w:color w:val="auto"/>
        </w:rPr>
        <w:tab/>
        <w:t>Farmakodinaminės savybės</w:t>
      </w:r>
    </w:p>
    <w:p w14:paraId="7BC3C3E8" w14:textId="77777777" w:rsidR="008524B3" w:rsidRDefault="008524B3" w:rsidP="008524B3"/>
    <w:p w14:paraId="203F932B" w14:textId="77777777" w:rsidR="008524B3" w:rsidRPr="008524B3" w:rsidRDefault="008524B3" w:rsidP="008524B3">
      <w:r w:rsidRPr="008524B3">
        <w:t>Farmakoterapinė grupė – kalcio homeostazė, antiparatiroidiniai vaistai, ATC kodas – H05B X01.</w:t>
      </w:r>
    </w:p>
    <w:p w14:paraId="41FDA413" w14:textId="77777777" w:rsidR="00B43185" w:rsidRDefault="00B43185" w:rsidP="008524B3"/>
    <w:p w14:paraId="3A8C435F" w14:textId="77777777" w:rsidR="008524B3" w:rsidRPr="00B43185" w:rsidRDefault="008524B3" w:rsidP="008524B3">
      <w:pPr>
        <w:rPr>
          <w:u w:val="single"/>
        </w:rPr>
      </w:pPr>
      <w:r w:rsidRPr="00B43185">
        <w:rPr>
          <w:u w:val="single"/>
        </w:rPr>
        <w:t>Veikimo mechanizmas</w:t>
      </w:r>
    </w:p>
    <w:p w14:paraId="32015E84" w14:textId="77777777" w:rsidR="008524B3" w:rsidRPr="008524B3" w:rsidRDefault="008524B3" w:rsidP="008524B3"/>
    <w:p w14:paraId="7993C0F8" w14:textId="77777777" w:rsidR="008524B3" w:rsidRPr="008524B3" w:rsidRDefault="008524B3" w:rsidP="008524B3">
      <w:r w:rsidRPr="008524B3">
        <w:t>Pagrindiniai PTH sekrecijos reguliatoriai yra kalcio koncentracijai jautrūs receptoriai, išsidėstę ant</w:t>
      </w:r>
      <w:r w:rsidR="00CD2D18">
        <w:t xml:space="preserve"> </w:t>
      </w:r>
      <w:r w:rsidRPr="008524B3">
        <w:t>prieskydinių liaukų pagrindinių ląstelių paviršiaus. Cinakalcetas yra kalcimimetikas, kuris tiesiogiai mažina</w:t>
      </w:r>
      <w:r w:rsidR="00B43185">
        <w:t xml:space="preserve"> </w:t>
      </w:r>
      <w:r w:rsidRPr="008524B3">
        <w:t>PTH koncentraciją didindamas kalcio koncentracijai jautrių receptorių jautrumą ekstraląsteliniam kalciui.</w:t>
      </w:r>
      <w:r w:rsidR="00B43185">
        <w:t xml:space="preserve"> </w:t>
      </w:r>
      <w:r w:rsidRPr="008524B3">
        <w:t>Sumažėjus PTH, kartu sumažėja kalcio koncentracija serume.</w:t>
      </w:r>
    </w:p>
    <w:p w14:paraId="345EF430" w14:textId="77777777" w:rsidR="00B43185" w:rsidRDefault="00B43185" w:rsidP="008524B3"/>
    <w:p w14:paraId="39CAA649" w14:textId="77777777" w:rsidR="008524B3" w:rsidRPr="008524B3" w:rsidRDefault="008524B3" w:rsidP="008524B3">
      <w:r w:rsidRPr="008524B3">
        <w:t>PTH koncentracijos sumažėjimas koreliuoja su cinakalceto koncentracija.</w:t>
      </w:r>
    </w:p>
    <w:p w14:paraId="2E5A17FC" w14:textId="77777777" w:rsidR="00B43185" w:rsidRDefault="00B43185" w:rsidP="008524B3"/>
    <w:p w14:paraId="5156F3BD" w14:textId="77777777" w:rsidR="008524B3" w:rsidRDefault="008524B3" w:rsidP="00B43185">
      <w:pPr>
        <w:tabs>
          <w:tab w:val="left" w:pos="8322"/>
        </w:tabs>
      </w:pPr>
      <w:r w:rsidRPr="008524B3">
        <w:t>Kai pasiekiama pastovi kalcio koncentracija serume, ji nekinta per visą dozavimo laiką.</w:t>
      </w:r>
    </w:p>
    <w:p w14:paraId="0FD187A8" w14:textId="77777777" w:rsidR="00B43185" w:rsidRDefault="00B43185" w:rsidP="00B43185">
      <w:pPr>
        <w:tabs>
          <w:tab w:val="left" w:pos="8322"/>
        </w:tabs>
      </w:pPr>
    </w:p>
    <w:p w14:paraId="744E0461" w14:textId="77777777" w:rsidR="00B43185" w:rsidRDefault="00B43185" w:rsidP="00B43185">
      <w:pPr>
        <w:tabs>
          <w:tab w:val="left" w:pos="8322"/>
        </w:tabs>
        <w:rPr>
          <w:u w:val="single"/>
        </w:rPr>
      </w:pPr>
      <w:r w:rsidRPr="00B43185">
        <w:rPr>
          <w:u w:val="single"/>
        </w:rPr>
        <w:t>Antrinė hiperparatirozė</w:t>
      </w:r>
    </w:p>
    <w:p w14:paraId="700B00F6" w14:textId="77777777" w:rsidR="00B43185" w:rsidRDefault="00B43185" w:rsidP="00B43185">
      <w:pPr>
        <w:tabs>
          <w:tab w:val="left" w:pos="8322"/>
        </w:tabs>
        <w:rPr>
          <w:u w:val="single"/>
        </w:rPr>
      </w:pPr>
    </w:p>
    <w:p w14:paraId="7130C3CB" w14:textId="77777777" w:rsidR="00733337" w:rsidRPr="00D42F2E" w:rsidRDefault="00733337" w:rsidP="00B43185">
      <w:pPr>
        <w:tabs>
          <w:tab w:val="left" w:pos="8322"/>
        </w:tabs>
        <w:rPr>
          <w:i/>
        </w:rPr>
      </w:pPr>
      <w:r w:rsidRPr="00D42F2E">
        <w:rPr>
          <w:i/>
        </w:rPr>
        <w:t>Suaugusieji</w:t>
      </w:r>
    </w:p>
    <w:p w14:paraId="76D42845" w14:textId="77777777" w:rsidR="00B43185" w:rsidRDefault="00B43185" w:rsidP="00B43185">
      <w:pPr>
        <w:tabs>
          <w:tab w:val="left" w:pos="8322"/>
        </w:tabs>
      </w:pPr>
      <w:r w:rsidRPr="00B43185">
        <w:t>Trys 6 mėnesių dvigubai akli, placebu kontroliuojami klinikiniai tyrimai buvo atlikti dializuojamiems TIL</w:t>
      </w:r>
      <w:r w:rsidR="00CD2D18">
        <w:t xml:space="preserve"> </w:t>
      </w:r>
      <w:r w:rsidRPr="00B43185">
        <w:t>sergantiems pacientams, kuriems nustatyta nekontroliuojama antrinė HPT (n=1</w:t>
      </w:r>
      <w:r w:rsidR="00733337">
        <w:t xml:space="preserve"> </w:t>
      </w:r>
      <w:r w:rsidRPr="00B43185">
        <w:t>136). Demografiniai ir</w:t>
      </w:r>
      <w:r w:rsidR="00CD2D18">
        <w:t xml:space="preserve"> </w:t>
      </w:r>
      <w:r w:rsidRPr="00B43185">
        <w:t>pradiniai duomenys atspindėjo dializuojamų pacientų su antrine HPT populiaciją. Vidutinė pradinė iPTH</w:t>
      </w:r>
      <w:r w:rsidR="00CD2D18">
        <w:t xml:space="preserve"> </w:t>
      </w:r>
      <w:r w:rsidRPr="00B43185">
        <w:t>koncentracija per visus 3 tyrimus buvo 733</w:t>
      </w:r>
      <w:r w:rsidR="00CD2D18">
        <w:t> </w:t>
      </w:r>
      <w:r w:rsidRPr="00B43185">
        <w:t>pg/ml ir 683</w:t>
      </w:r>
      <w:r w:rsidR="00CD2D18">
        <w:t> </w:t>
      </w:r>
      <w:r w:rsidRPr="00B43185">
        <w:t>pg/ml (77,8</w:t>
      </w:r>
      <w:r w:rsidR="00CD2D18">
        <w:t> </w:t>
      </w:r>
      <w:r w:rsidRPr="00B43185">
        <w:t>pmol/l ir 72,4</w:t>
      </w:r>
      <w:r w:rsidR="00CD2D18">
        <w:t> </w:t>
      </w:r>
      <w:r w:rsidRPr="00B43185">
        <w:t>pmol/l) atitinkamai</w:t>
      </w:r>
      <w:r w:rsidR="00CD2D18">
        <w:t xml:space="preserve"> </w:t>
      </w:r>
      <w:r w:rsidRPr="00B43185">
        <w:t>cinakalceto ir placebo grupių pacientams. Įtraukimo į tyrimą metu 66% pacientų vartojo vitamino D sterolių</w:t>
      </w:r>
      <w:r>
        <w:t xml:space="preserve"> </w:t>
      </w:r>
      <w:r w:rsidRPr="00B43185">
        <w:t>ir &gt; 90% – fosfato rišiklių. Reikšmingai sumažėjusi iPTH, kalcio-fosforo junginių (Ca x P), kalcio ir fosforo</w:t>
      </w:r>
      <w:r>
        <w:t xml:space="preserve"> </w:t>
      </w:r>
      <w:r w:rsidRPr="00B43185">
        <w:t>koncentracija serume stebėta cinakalcetą vartojusiems pacientams lyginant su placebą vartojusiaisiais,</w:t>
      </w:r>
      <w:r>
        <w:t xml:space="preserve"> </w:t>
      </w:r>
      <w:r w:rsidRPr="00B43185">
        <w:t>kuriems buvo taikoma įprastinė priežiūra. Šie rezultatai buvo panašūs visų trijų tyrimų metu. Kiekvieno</w:t>
      </w:r>
      <w:r>
        <w:t xml:space="preserve"> </w:t>
      </w:r>
      <w:r w:rsidRPr="00B43185">
        <w:t xml:space="preserve">tyrimo pagrindinis rezultatas (pacientų, kurių iPTH </w:t>
      </w:r>
      <w:r w:rsidR="00C133CF">
        <w:rPr>
          <w:color w:val="000000"/>
          <w:szCs w:val="22"/>
          <w:lang w:eastAsia="en-GB"/>
        </w:rPr>
        <w:t>≤</w:t>
      </w:r>
      <w:r w:rsidRPr="00B43185">
        <w:t xml:space="preserve"> 250</w:t>
      </w:r>
      <w:r w:rsidR="00CD2D18">
        <w:t> </w:t>
      </w:r>
      <w:r w:rsidRPr="00B43185">
        <w:t>pg/ml (</w:t>
      </w:r>
      <w:r w:rsidR="00C133CF">
        <w:rPr>
          <w:color w:val="000000"/>
          <w:szCs w:val="22"/>
          <w:lang w:eastAsia="en-GB"/>
        </w:rPr>
        <w:t>≤</w:t>
      </w:r>
      <w:r w:rsidRPr="00B43185">
        <w:t xml:space="preserve"> 26,5</w:t>
      </w:r>
      <w:r w:rsidR="00CD2D18">
        <w:t> </w:t>
      </w:r>
      <w:r w:rsidRPr="00B43185">
        <w:t>pmol/l), dalis) buvo pasiektas 41%,</w:t>
      </w:r>
      <w:r>
        <w:t xml:space="preserve"> </w:t>
      </w:r>
      <w:r w:rsidRPr="00B43185">
        <w:t>46% ir 35% pacientų, gavusių cinakalcetą, lyginant su 4%, 7% ir 6% placebą gavusiais pacientais. Maždaug</w:t>
      </w:r>
      <w:r>
        <w:t xml:space="preserve"> </w:t>
      </w:r>
      <w:r w:rsidRPr="00B43185">
        <w:t xml:space="preserve">60% cinakalcetu gydytų pacientų </w:t>
      </w:r>
      <w:r w:rsidR="00C133CF">
        <w:rPr>
          <w:color w:val="000000"/>
          <w:szCs w:val="22"/>
          <w:lang w:eastAsia="en-GB"/>
        </w:rPr>
        <w:t>≥</w:t>
      </w:r>
      <w:r w:rsidRPr="00B43185">
        <w:t xml:space="preserve"> 30% sumažėjo iPTH koncentracija. Šis poveikis nekito per visą pradinių</w:t>
      </w:r>
      <w:r>
        <w:t xml:space="preserve"> </w:t>
      </w:r>
      <w:r w:rsidRPr="00B43185">
        <w:t>iPTH koncentracijų spektrą. Ca x P, kalcio ir fosforo koncentracija serume vidutiniškai sumažėjo atitinkamai</w:t>
      </w:r>
      <w:r>
        <w:t xml:space="preserve"> </w:t>
      </w:r>
      <w:r w:rsidRPr="00B43185">
        <w:t>14%, 7% ir 8%.</w:t>
      </w:r>
    </w:p>
    <w:p w14:paraId="4419E410" w14:textId="77777777" w:rsidR="00B43185" w:rsidRDefault="00B43185" w:rsidP="00B43185">
      <w:pPr>
        <w:tabs>
          <w:tab w:val="left" w:pos="8322"/>
        </w:tabs>
      </w:pPr>
    </w:p>
    <w:p w14:paraId="304F238A" w14:textId="77777777" w:rsidR="00B43185" w:rsidRDefault="00B43185" w:rsidP="00B43185">
      <w:pPr>
        <w:tabs>
          <w:tab w:val="left" w:pos="8322"/>
        </w:tabs>
      </w:pPr>
      <w:r w:rsidRPr="00B43185">
        <w:t>Sumažėjusi iPTH ir Ca x P koncentracija išliko per 12 gydymo mėnesių. Cinakalcetas sumažino iPTH ir Ca</w:t>
      </w:r>
      <w:r>
        <w:t xml:space="preserve"> </w:t>
      </w:r>
      <w:r w:rsidRPr="00B43185">
        <w:t>x P, kalcio ir fosforo kiekį, nesvarbu, kokie buvo pradiniai iPTH ar Ca x P rodmenys, dializės rūšis</w:t>
      </w:r>
      <w:r>
        <w:t xml:space="preserve"> </w:t>
      </w:r>
      <w:r w:rsidRPr="00B43185">
        <w:t>(peritoninė dializė ar hemodializė), dializės trukmė, ar buvo vartojama vitamino D sterolių ar jų nebuvo</w:t>
      </w:r>
      <w:r w:rsidR="00CD2D18">
        <w:t xml:space="preserve"> </w:t>
      </w:r>
      <w:r w:rsidRPr="00B43185">
        <w:t>vartojama.</w:t>
      </w:r>
      <w:r>
        <w:t xml:space="preserve"> </w:t>
      </w:r>
    </w:p>
    <w:p w14:paraId="671323EC" w14:textId="77777777" w:rsidR="00B43185" w:rsidRDefault="00B43185" w:rsidP="00B43185">
      <w:pPr>
        <w:tabs>
          <w:tab w:val="left" w:pos="8322"/>
        </w:tabs>
      </w:pPr>
    </w:p>
    <w:p w14:paraId="6455F6D0" w14:textId="77777777" w:rsidR="00A116CF" w:rsidRDefault="00A116CF" w:rsidP="00A116CF">
      <w:pPr>
        <w:tabs>
          <w:tab w:val="left" w:pos="8322"/>
        </w:tabs>
      </w:pPr>
      <w:r w:rsidRPr="00A116CF">
        <w:t>Sumažėjusi PTH buvo susijusi su šiek tiek sumažėjusiais kaulų metabolizmo žymenimis (kaulams specifine</w:t>
      </w:r>
      <w:r>
        <w:t xml:space="preserve"> </w:t>
      </w:r>
      <w:r w:rsidRPr="00A116CF">
        <w:t>šarmine fosfataze, N-telopeptidu, kaulų apykaita ir kaulų fibroze). Įvertinus jungtinius 6 mėnesių ir</w:t>
      </w:r>
      <w:r>
        <w:t xml:space="preserve"> </w:t>
      </w:r>
      <w:r w:rsidRPr="00A116CF">
        <w:t xml:space="preserve">12 mėnesių klinikinių tyrimų duomenis, </w:t>
      </w:r>
      <w:r w:rsidRPr="00811A4B">
        <w:rPr>
          <w:i/>
        </w:rPr>
        <w:t>Kaplan-Meier</w:t>
      </w:r>
      <w:r w:rsidRPr="00A116CF">
        <w:t xml:space="preserve"> kaulų lūžių bei paratiroidektomijų rodikliai buvo kur</w:t>
      </w:r>
      <w:r>
        <w:t xml:space="preserve"> </w:t>
      </w:r>
      <w:r w:rsidRPr="00A116CF">
        <w:t>kas mažesni cinakalcetą vartojusių pacientų lyginant su kontrolinės grupės tiriamųjų rodikliais.</w:t>
      </w:r>
    </w:p>
    <w:p w14:paraId="50EA80D9" w14:textId="77777777" w:rsidR="00A116CF" w:rsidRPr="00A116CF" w:rsidRDefault="00A116CF" w:rsidP="00A116CF">
      <w:pPr>
        <w:tabs>
          <w:tab w:val="left" w:pos="8322"/>
        </w:tabs>
      </w:pPr>
    </w:p>
    <w:p w14:paraId="4F5DE544" w14:textId="77777777" w:rsidR="00A116CF" w:rsidRPr="00A116CF" w:rsidRDefault="00A116CF" w:rsidP="00A116CF">
      <w:pPr>
        <w:tabs>
          <w:tab w:val="left" w:pos="8322"/>
        </w:tabs>
      </w:pPr>
      <w:r w:rsidRPr="00A116CF">
        <w:t>Mokslinių tyrimų duomenys rodo, kad LIL sergantiems nedializuojamiems pacientams, kuriems buvo</w:t>
      </w:r>
      <w:r w:rsidR="00CA3031">
        <w:t xml:space="preserve"> </w:t>
      </w:r>
      <w:r w:rsidRPr="00A116CF">
        <w:t>nustatyta antrinė HPT, cinakalcetas sumažino PTH koncentraciją panašiai kaip ir dializuojamiems TIL ir</w:t>
      </w:r>
      <w:r w:rsidR="00CA3031">
        <w:t xml:space="preserve"> </w:t>
      </w:r>
      <w:r w:rsidRPr="00A116CF">
        <w:t>antrine HPT sergantiems pacientams. Tačiau nedializuojamiems pacientams, kuriems yra inkstų</w:t>
      </w:r>
      <w:r w:rsidR="00CA3031">
        <w:t xml:space="preserve"> </w:t>
      </w:r>
      <w:r w:rsidRPr="00A116CF">
        <w:t>nepakankamumas, gydymo efektyvumas, saugumas, optimalios dozės ir gydymo tikslas nenustatyti. Šie</w:t>
      </w:r>
      <w:r w:rsidR="00CA3031">
        <w:t xml:space="preserve"> </w:t>
      </w:r>
      <w:r w:rsidRPr="00A116CF">
        <w:t>tyrimai rodo, kad LIL sergantiems nedializuojamiems ir cinakalcetą vartojantiems pacientams</w:t>
      </w:r>
      <w:r w:rsidR="00CA3031">
        <w:t xml:space="preserve"> </w:t>
      </w:r>
      <w:r w:rsidRPr="00A116CF">
        <w:t>hipokalcemijos rizika yra padidėjusi, lyginant su TIL sergančiais dializuojamais ir cinakalcetą vartojančiais</w:t>
      </w:r>
      <w:r>
        <w:t xml:space="preserve"> </w:t>
      </w:r>
      <w:r w:rsidRPr="00A116CF">
        <w:t>pacientais. Tai gali būti dėl mažesnės pradinės kalcio koncentracijos ir (arba) likutinės inkstų funkcijos.</w:t>
      </w:r>
      <w:r w:rsidR="00CA3031">
        <w:t xml:space="preserve"> </w:t>
      </w:r>
    </w:p>
    <w:p w14:paraId="603132C6" w14:textId="77777777" w:rsidR="00CA3031" w:rsidRDefault="00CA3031" w:rsidP="00A116CF">
      <w:pPr>
        <w:tabs>
          <w:tab w:val="left" w:pos="8322"/>
        </w:tabs>
      </w:pPr>
    </w:p>
    <w:p w14:paraId="5A75C44C" w14:textId="77777777" w:rsidR="00B43185" w:rsidRDefault="00A116CF" w:rsidP="00A116CF">
      <w:pPr>
        <w:tabs>
          <w:tab w:val="left" w:pos="8322"/>
        </w:tabs>
      </w:pPr>
      <w:r w:rsidRPr="00A116CF">
        <w:t>Gydymo cinakalceto hidrochloridu įvertinimo mažinant širdies ir kraujagyslių sistemos reiškinius tyrimas</w:t>
      </w:r>
      <w:r w:rsidR="00CA3031" w:rsidRPr="00A116CF" w:rsidDel="00CA3031">
        <w:t xml:space="preserve"> </w:t>
      </w:r>
      <w:r w:rsidRPr="00A116CF">
        <w:t>(EVOLVE [</w:t>
      </w:r>
      <w:r w:rsidR="00391912">
        <w:t xml:space="preserve">angl. </w:t>
      </w:r>
      <w:r w:rsidRPr="00811A4B">
        <w:rPr>
          <w:i/>
        </w:rPr>
        <w:t>Evaluation Of Cinacalcet HCl Therapy to Lower CardioVascular Events</w:t>
      </w:r>
      <w:r w:rsidRPr="00A116CF">
        <w:t>]) buvo atsitiktinės</w:t>
      </w:r>
      <w:r w:rsidR="00CA3031">
        <w:t xml:space="preserve"> </w:t>
      </w:r>
      <w:r w:rsidRPr="00A116CF">
        <w:t>atrankos, dvigubo kodavimo klinikinis tyrimas, kuriuo tirtas cinakalceto hidrochlorido veiksmingumas,</w:t>
      </w:r>
      <w:r w:rsidR="00CA3031">
        <w:t xml:space="preserve"> </w:t>
      </w:r>
      <w:r w:rsidRPr="00A116CF">
        <w:t>lyginant su placebu, mažinant mirštamumo dėl visų priežasčių ir širdies ir kraujagyslių sistemos reiškinių</w:t>
      </w:r>
      <w:r w:rsidR="00CA3031">
        <w:t xml:space="preserve"> </w:t>
      </w:r>
      <w:r w:rsidRPr="00A116CF">
        <w:t>riziką 3883 dializuojamiems pacientams su antrine HPT ir LIL. Klinikiniame tyrime nebuvo pasiektas</w:t>
      </w:r>
      <w:r w:rsidR="00CA3031">
        <w:t xml:space="preserve"> </w:t>
      </w:r>
      <w:r w:rsidRPr="00A116CF">
        <w:t>pagrindinis tikslas, tai yra, nebuvo įrodytas mirštamumo dėl visų priežasčių ar širdies ir kraujagyslių</w:t>
      </w:r>
      <w:r w:rsidR="00CA3031">
        <w:t xml:space="preserve"> </w:t>
      </w:r>
      <w:r w:rsidRPr="00A116CF">
        <w:t>sistemos reiškinių, įskaitant miokardo infarktą, hospitalizavimą dėl nestabilios krūtinės anginos, širdies</w:t>
      </w:r>
      <w:r w:rsidR="00CA3031">
        <w:t xml:space="preserve"> </w:t>
      </w:r>
      <w:r w:rsidRPr="00A116CF">
        <w:t>nepakankamumą ar periferinių kraujagyslių reiškinius, rizikos sumažėjimas (Santykinė rizika [SR] 0,93;</w:t>
      </w:r>
      <w:r w:rsidR="00CA3031">
        <w:t xml:space="preserve"> </w:t>
      </w:r>
      <w:r w:rsidRPr="00A116CF">
        <w:t xml:space="preserve">95% PI: 0,85, 1,02; p = 0,112). </w:t>
      </w:r>
      <w:r w:rsidR="00AC2632">
        <w:t>Po</w:t>
      </w:r>
      <w:r w:rsidRPr="00A116CF">
        <w:t xml:space="preserve"> pradinių charakteristikų </w:t>
      </w:r>
      <w:r w:rsidR="00AC2632">
        <w:t xml:space="preserve">sureguliavimo </w:t>
      </w:r>
      <w:r w:rsidRPr="00A116CF">
        <w:t>antrinės analizės metu, SR</w:t>
      </w:r>
      <w:r w:rsidR="00CA3031">
        <w:t xml:space="preserve"> </w:t>
      </w:r>
      <w:r w:rsidRPr="00A116CF">
        <w:t>pagrindinei sudėtinei vertinamajai baigčiai buvo 0,88; 95% PI: 0,79, 0,97.</w:t>
      </w:r>
    </w:p>
    <w:p w14:paraId="72F886CD" w14:textId="77777777" w:rsidR="00A116CF" w:rsidRDefault="00A116CF" w:rsidP="00A116CF">
      <w:pPr>
        <w:tabs>
          <w:tab w:val="left" w:pos="8322"/>
        </w:tabs>
      </w:pPr>
    </w:p>
    <w:p w14:paraId="43585597" w14:textId="77777777" w:rsidR="00733337" w:rsidRPr="00D42F2E" w:rsidRDefault="00733337" w:rsidP="00733337">
      <w:pPr>
        <w:tabs>
          <w:tab w:val="left" w:pos="8322"/>
        </w:tabs>
        <w:rPr>
          <w:i/>
        </w:rPr>
      </w:pPr>
      <w:r w:rsidRPr="00D42F2E">
        <w:rPr>
          <w:i/>
        </w:rPr>
        <w:t>Vaikų populiacija</w:t>
      </w:r>
    </w:p>
    <w:p w14:paraId="2ED86A15" w14:textId="77777777" w:rsidR="00733337" w:rsidRPr="00382558" w:rsidRDefault="00733337" w:rsidP="00733337">
      <w:pPr>
        <w:tabs>
          <w:tab w:val="left" w:pos="8322"/>
        </w:tabs>
      </w:pPr>
      <w:r>
        <w:t>Cinakalceto veiksmingumas ir saugumas gydant antrinę HPT vaikams, kuriems yra TILS ir taikoma</w:t>
      </w:r>
      <w:r w:rsidR="00FA6DBC">
        <w:t xml:space="preserve"> </w:t>
      </w:r>
      <w:r w:rsidRPr="00382558">
        <w:t>dializė, buvo vertintas dviejų atsitiktinės atrankos, kontroliuojamų tyrimų ir vieno vienos grupės</w:t>
      </w:r>
      <w:r w:rsidR="00FA6DBC" w:rsidRPr="00382558">
        <w:t xml:space="preserve"> </w:t>
      </w:r>
      <w:r w:rsidRPr="00382558">
        <w:t>tyrimo metu.</w:t>
      </w:r>
    </w:p>
    <w:p w14:paraId="3F6A7481" w14:textId="77777777" w:rsidR="00733337" w:rsidRPr="00382558" w:rsidRDefault="00733337" w:rsidP="00733337">
      <w:pPr>
        <w:tabs>
          <w:tab w:val="left" w:pos="8322"/>
        </w:tabs>
      </w:pPr>
    </w:p>
    <w:p w14:paraId="720460A3" w14:textId="11D92533" w:rsidR="00733337" w:rsidRPr="00382558" w:rsidRDefault="005F4370" w:rsidP="00733337">
      <w:pPr>
        <w:tabs>
          <w:tab w:val="left" w:pos="8322"/>
        </w:tabs>
      </w:pPr>
      <w:r w:rsidRPr="00382558">
        <w:t>Pirmas</w:t>
      </w:r>
      <w:r w:rsidR="00733337" w:rsidRPr="00382558">
        <w:t xml:space="preserve"> tyrimas buvo dvigubai </w:t>
      </w:r>
      <w:r w:rsidR="0072097D" w:rsidRPr="00382558">
        <w:t>koduotas</w:t>
      </w:r>
      <w:r w:rsidR="00733337" w:rsidRPr="00382558">
        <w:t>, placebu kontroliuojamas tyrimas, kuriame dalyvavo 43 pacientai nuo</w:t>
      </w:r>
      <w:r w:rsidR="00FA6DBC" w:rsidRPr="00382558">
        <w:t xml:space="preserve"> </w:t>
      </w:r>
      <w:r w:rsidR="00733337" w:rsidRPr="00382558">
        <w:t>6 iki 18 metų</w:t>
      </w:r>
      <w:r w:rsidR="00740C58" w:rsidRPr="00382558">
        <w:t>,</w:t>
      </w:r>
      <w:r w:rsidR="00733337" w:rsidRPr="00382558">
        <w:t xml:space="preserve"> kurie atsitiktinės atrankos būdu vartojo cinakalcetą (n = 22) arba placebą (n</w:t>
      </w:r>
      <w:r w:rsidR="0072097D" w:rsidRPr="00382558">
        <w:t> </w:t>
      </w:r>
      <w:r w:rsidR="00733337" w:rsidRPr="00382558">
        <w:t>= 21).</w:t>
      </w:r>
      <w:r w:rsidR="00FA6DBC" w:rsidRPr="00382558">
        <w:t xml:space="preserve"> </w:t>
      </w:r>
      <w:r w:rsidR="00733337" w:rsidRPr="00382558">
        <w:t>Tyrimas buvo sudarytas iš 24 savaičių dozės titravimo laikotarpio, po kurio sekė 6 savaičių trukmės</w:t>
      </w:r>
      <w:r w:rsidR="00FA6DBC" w:rsidRPr="00382558">
        <w:t xml:space="preserve"> </w:t>
      </w:r>
      <w:r w:rsidR="00733337" w:rsidRPr="00382558">
        <w:t>veiksmingumo vertinimo fazė (VVF), po kurios 30 savaičių tyrimas buvo tęsiamas atviru būdu.</w:t>
      </w:r>
      <w:r w:rsidR="00FA6DBC" w:rsidRPr="00382558">
        <w:t xml:space="preserve"> </w:t>
      </w:r>
      <w:r w:rsidR="00733337" w:rsidRPr="00382558">
        <w:t>Vidutinis amžius tyrimo pradžioje buvo 13 metų (svyravo nuo 6 iki 18 metų). Dauguma pacientų</w:t>
      </w:r>
      <w:r w:rsidR="00FA6DBC" w:rsidRPr="00382558">
        <w:t xml:space="preserve"> </w:t>
      </w:r>
      <w:r w:rsidR="00733337" w:rsidRPr="00382558">
        <w:t>(91 %) tyrimo pradžioje vartojo vitamino D sterolių. Tyrimo pradžioje vidutinė (SN) iPTH</w:t>
      </w:r>
      <w:r w:rsidR="00FA6DBC" w:rsidRPr="00382558">
        <w:t xml:space="preserve"> </w:t>
      </w:r>
      <w:r w:rsidR="00733337" w:rsidRPr="00382558">
        <w:t>koncentracija cinakalceto grupėje buvo 757,1 (440,1) pg/ml ir 795,8 (537,9) pg/ml placebo grupėje.</w:t>
      </w:r>
      <w:r w:rsidR="00FA6DBC" w:rsidRPr="00382558">
        <w:t xml:space="preserve"> </w:t>
      </w:r>
      <w:r w:rsidR="00733337" w:rsidRPr="00382558">
        <w:t>Tyrimo pradžioje vidutinė (SN) bendra koreguota kalcio koncentracija serume cinakalceto grupėje</w:t>
      </w:r>
      <w:r w:rsidR="00FA6DBC" w:rsidRPr="00382558">
        <w:t xml:space="preserve"> </w:t>
      </w:r>
      <w:r w:rsidR="00733337" w:rsidRPr="00382558">
        <w:t>buvo 9,9 (0,5) mg/dl ir 9,9 (0,6) mg/dl placebo grupėje. Vidutinė didžiausia cinkalceto paros dozė</w:t>
      </w:r>
      <w:r w:rsidR="00FA6DBC" w:rsidRPr="00382558">
        <w:t xml:space="preserve"> </w:t>
      </w:r>
      <w:r w:rsidR="00733337" w:rsidRPr="00382558">
        <w:t>buvo 1,0 mg/kg per parą.</w:t>
      </w:r>
    </w:p>
    <w:p w14:paraId="2CFC3D02" w14:textId="77777777" w:rsidR="00733337" w:rsidRPr="00382558" w:rsidRDefault="00733337" w:rsidP="00A116CF">
      <w:pPr>
        <w:tabs>
          <w:tab w:val="left" w:pos="8322"/>
        </w:tabs>
      </w:pPr>
    </w:p>
    <w:p w14:paraId="63BD4FDD" w14:textId="77777777" w:rsidR="00733337" w:rsidRPr="00382558" w:rsidRDefault="00FA6DBC" w:rsidP="00FA6DBC">
      <w:pPr>
        <w:tabs>
          <w:tab w:val="left" w:pos="8322"/>
        </w:tabs>
      </w:pPr>
      <w:r w:rsidRPr="00382558">
        <w:t>Pirminė vertinamoji baigtis (vidutinis iPTH sumažėjimas plazmoje ≥30 % nuo pradinio lygio VVF laikotarpiu, nuo 25 iki 30 savaitės) nustatyta 55 % pacientų cinakalceto grupėje ir 19,0 % placebo grupėje (p = 0,02). Vidutinė kalcio koncentracija serume VVF laikotarpiu cinakalceto grupėje buvo normos ribose. Šis tyrimas buvo baigtas anksčiau dėl mirtingumo nuo sunkios hipokalcemijos cinakalceto grupėje (žr. 4.8 skyrių).</w:t>
      </w:r>
    </w:p>
    <w:p w14:paraId="70ADBED4" w14:textId="77777777" w:rsidR="00733337" w:rsidRPr="00382558" w:rsidRDefault="00733337" w:rsidP="00A116CF">
      <w:pPr>
        <w:tabs>
          <w:tab w:val="left" w:pos="8322"/>
        </w:tabs>
      </w:pPr>
    </w:p>
    <w:p w14:paraId="547EBA49" w14:textId="6594F9EE" w:rsidR="001E06A6" w:rsidRPr="00382558" w:rsidRDefault="005F4370" w:rsidP="001E06A6">
      <w:pPr>
        <w:tabs>
          <w:tab w:val="left" w:pos="8322"/>
        </w:tabs>
      </w:pPr>
      <w:r w:rsidRPr="00382558">
        <w:t>Antras</w:t>
      </w:r>
      <w:r w:rsidR="001E06A6" w:rsidRPr="00382558">
        <w:t xml:space="preserve"> tyrimas buvo atviras tyrimas, kuriame dalyvavo 55 pacientai nuo 6 iki 18 metų (amžiaus vidurkis 13 metų)</w:t>
      </w:r>
      <w:r w:rsidRPr="00382558">
        <w:t>,</w:t>
      </w:r>
      <w:r w:rsidR="001E06A6" w:rsidRPr="00382558">
        <w:t xml:space="preserve"> kurie atsitiktinės atrankos būdu vartojo cinakalcetą derinyje su standartiniu gydymu (SG, n = 27) arba buvo taikomas tik SG (n = 28). Dauguma pacientų (75 %) tyrimo pradžioje vartojo vitamino D sterolių. Tyrimo pradžioje vidutinė (SN) iPTH koncentracija cinakalceto+SG grupėje buvo 946 (635) pg/ml ir 1 228 (732) pg/ml SG grupėje. Tyrimo pradžioje vidutinė (SN) bendra koreguota kalcio koncentracija serume cinakalceto+SG grupėje buvo 9,8 (0,6) mg/dl ir 9,8 (0,6) mg/dl SG grupėje. 25 asmenys gavo mažiausiai vieną cinakalceto dozę, vidutinė didžiausia cinkalceto paros dozė buvo 0,55 mg/kg per parą. Tyrimo pirminė vertinamoj baigtis (vidutinis iPTH sumažėjimas plazmoje ≥30 % nuo pradinio lygio VVF laikotarpiu, nuo 17 iki 20 savaitės) nebuvo pasiekta. Vidutinis iPTH sumažėjimas plazmoje ≥30 % nuo pradinio lygio VVF laikotarpiu nustatytas 22 % pacientų cinakalceto+SG grupėje ir 32 % pacientų SG grupėje.</w:t>
      </w:r>
    </w:p>
    <w:p w14:paraId="1CBD5252" w14:textId="77777777" w:rsidR="001E06A6" w:rsidRPr="00382558" w:rsidRDefault="001E06A6" w:rsidP="00A116CF">
      <w:pPr>
        <w:tabs>
          <w:tab w:val="left" w:pos="8322"/>
        </w:tabs>
      </w:pPr>
    </w:p>
    <w:p w14:paraId="260BD86D" w14:textId="1F45090A" w:rsidR="00C31DAB" w:rsidRPr="00382558" w:rsidRDefault="005F4370" w:rsidP="00C31DAB">
      <w:pPr>
        <w:tabs>
          <w:tab w:val="left" w:pos="8322"/>
        </w:tabs>
      </w:pPr>
      <w:r w:rsidRPr="00382558">
        <w:t>Trečias</w:t>
      </w:r>
      <w:r w:rsidR="00C31DAB" w:rsidRPr="00382558">
        <w:t xml:space="preserve"> tyrimas buvo 26 savaičių, atviras, vienos grupės saugumo tyrimas, kuriame dalyvavo pacientai nuo 8 mėnesių iki 6 metų (amžiaus vidurkis 3 metai). Pacientai, vartoję vaistų, kurie žinoma, kad prailgina koreguotą QT intervalą į tyrimą įtraukti nebuvo. Vidutinis sausasis svoris tyrimo pradžioje buvo 12 kg. Pradinė cinakalceto dozė buvo 0,20 mg/kg. Dauguma pacientų (89 %) tyrimo pradžioje vartojo</w:t>
      </w:r>
      <w:r w:rsidRPr="00382558">
        <w:t xml:space="preserve"> </w:t>
      </w:r>
      <w:r w:rsidR="00C31DAB" w:rsidRPr="00382558">
        <w:t>vitamino D sterolių.</w:t>
      </w:r>
    </w:p>
    <w:p w14:paraId="2F7A8FC3" w14:textId="77777777" w:rsidR="00C31DAB" w:rsidRPr="00382558" w:rsidRDefault="00C31DAB" w:rsidP="00A116CF">
      <w:pPr>
        <w:tabs>
          <w:tab w:val="left" w:pos="8322"/>
        </w:tabs>
      </w:pPr>
    </w:p>
    <w:p w14:paraId="0BE9EE3B" w14:textId="3678757D" w:rsidR="00C31DAB" w:rsidRDefault="005F4370" w:rsidP="002B269C">
      <w:pPr>
        <w:tabs>
          <w:tab w:val="left" w:pos="8322"/>
        </w:tabs>
      </w:pPr>
      <w:r w:rsidRPr="00382558">
        <w:t xml:space="preserve">17 </w:t>
      </w:r>
      <w:r w:rsidR="002B269C" w:rsidRPr="00382558">
        <w:t>pacientų gavo mažiausiai vieną cinakalceto dozę ir 11 pacientų baigė mažiausiai 12 savaičių trukmės gydymo kursą. Nei vienam 2 – 5 metų pacientui koreguota kalcio koncentracija serume nebuvo &lt;8,4 mg/dl (2,1 mm</w:t>
      </w:r>
      <w:r w:rsidR="002B269C">
        <w:t>ol/l). 71 % tyrime dalyvavusių pacientų (12 iš 17 pacientų) iPTH koncentracija sumažėjo ≥30 %.</w:t>
      </w:r>
    </w:p>
    <w:p w14:paraId="2864FE5D" w14:textId="77777777" w:rsidR="00C31DAB" w:rsidRDefault="00C31DAB" w:rsidP="00A116CF">
      <w:pPr>
        <w:tabs>
          <w:tab w:val="left" w:pos="8322"/>
        </w:tabs>
      </w:pPr>
    </w:p>
    <w:p w14:paraId="457F00B7" w14:textId="77777777" w:rsidR="00733337" w:rsidRDefault="00733337" w:rsidP="00A116CF">
      <w:pPr>
        <w:tabs>
          <w:tab w:val="left" w:pos="8322"/>
        </w:tabs>
      </w:pPr>
    </w:p>
    <w:p w14:paraId="344B3889" w14:textId="77777777" w:rsidR="00363A4F" w:rsidRDefault="00363A4F" w:rsidP="00363A4F">
      <w:pPr>
        <w:tabs>
          <w:tab w:val="left" w:pos="8322"/>
        </w:tabs>
        <w:rPr>
          <w:u w:val="single"/>
        </w:rPr>
      </w:pPr>
      <w:r w:rsidRPr="00363A4F">
        <w:rPr>
          <w:u w:val="single"/>
        </w:rPr>
        <w:t>Prieskydinių liaukų karcinoma ir pirminė hiperparatirozė</w:t>
      </w:r>
    </w:p>
    <w:p w14:paraId="44C4A142" w14:textId="77777777" w:rsidR="00363A4F" w:rsidRPr="00363A4F" w:rsidRDefault="00363A4F" w:rsidP="00363A4F">
      <w:pPr>
        <w:tabs>
          <w:tab w:val="left" w:pos="8322"/>
        </w:tabs>
        <w:rPr>
          <w:u w:val="single"/>
        </w:rPr>
      </w:pPr>
    </w:p>
    <w:p w14:paraId="466B3160" w14:textId="77777777" w:rsidR="00A116CF" w:rsidRDefault="00363A4F" w:rsidP="00363A4F">
      <w:pPr>
        <w:tabs>
          <w:tab w:val="left" w:pos="8322"/>
        </w:tabs>
      </w:pPr>
      <w:r w:rsidRPr="00363A4F">
        <w:t xml:space="preserve">Vieno tyrimo metu 46 </w:t>
      </w:r>
      <w:r w:rsidR="004063F3">
        <w:t xml:space="preserve">suaugę </w:t>
      </w:r>
      <w:r w:rsidRPr="00363A4F">
        <w:t>pacientai (29 sirgo prieskydinių liaukų karcinoma, 17 – pirmine HPT ir sunkia</w:t>
      </w:r>
      <w:r w:rsidR="00CA3031">
        <w:t xml:space="preserve"> </w:t>
      </w:r>
      <w:r w:rsidRPr="00363A4F">
        <w:t>hiperkalcemija), kuriems paratiroidektomija buvo neveiksminga arba jai atlikti buvo kontraindikacijų, buvo</w:t>
      </w:r>
      <w:r>
        <w:t xml:space="preserve"> </w:t>
      </w:r>
      <w:r w:rsidRPr="00363A4F">
        <w:t>gydomi cinakalcetu iki 3 metų (prieskydinių liaukų karcinoma sergantys pacientai buvo gydomi vidutiniškai</w:t>
      </w:r>
      <w:r>
        <w:t xml:space="preserve"> </w:t>
      </w:r>
      <w:r w:rsidRPr="00363A4F">
        <w:t>328 dienas, pirmine HPT sergantys pacientai – vidutiniškai 347 dienas). Cinakalceto tiriamieji vartojo nuo</w:t>
      </w:r>
      <w:r>
        <w:t xml:space="preserve"> </w:t>
      </w:r>
      <w:r w:rsidRPr="00363A4F">
        <w:t>30</w:t>
      </w:r>
      <w:r w:rsidR="00CA3031">
        <w:t> </w:t>
      </w:r>
      <w:r w:rsidRPr="00363A4F">
        <w:t>mg du kartus per parą iki 90</w:t>
      </w:r>
      <w:r w:rsidR="00CA3031">
        <w:t> </w:t>
      </w:r>
      <w:r w:rsidRPr="00363A4F">
        <w:t>mg keturis kartus per parą. Pirminė tyrimo vertinamoji baigtis buvo kalcio</w:t>
      </w:r>
      <w:r>
        <w:t xml:space="preserve"> </w:t>
      </w:r>
      <w:r w:rsidRPr="00363A4F">
        <w:t>kiekio sumažėjimas serume ≥1</w:t>
      </w:r>
      <w:r w:rsidR="00CA3031">
        <w:t> </w:t>
      </w:r>
      <w:r w:rsidRPr="00363A4F">
        <w:t>mg/dl (≥ 0,25</w:t>
      </w:r>
      <w:r w:rsidR="00CA3031">
        <w:t> </w:t>
      </w:r>
      <w:r w:rsidRPr="00363A4F">
        <w:t>mmol/l). Prieskydinių liaukų karcinoma sergančių pacientų</w:t>
      </w:r>
      <w:r>
        <w:t xml:space="preserve"> </w:t>
      </w:r>
      <w:r w:rsidRPr="00363A4F">
        <w:t>vidutinė kalcio koncentracija serume sumažėjo nuo 14,1</w:t>
      </w:r>
      <w:r w:rsidR="00CA3031">
        <w:t> </w:t>
      </w:r>
      <w:r w:rsidRPr="00363A4F">
        <w:t>mg/dl iki 12,4</w:t>
      </w:r>
      <w:r w:rsidR="00CA3031">
        <w:t> </w:t>
      </w:r>
      <w:r w:rsidRPr="00363A4F">
        <w:t>mg/dl (nuo 3,5</w:t>
      </w:r>
      <w:r w:rsidR="00CA3031">
        <w:t> </w:t>
      </w:r>
      <w:r w:rsidRPr="00363A4F">
        <w:t>mmol/l iki</w:t>
      </w:r>
      <w:r>
        <w:t xml:space="preserve"> </w:t>
      </w:r>
      <w:r w:rsidRPr="00363A4F">
        <w:t>3,1</w:t>
      </w:r>
      <w:r w:rsidR="00CA3031">
        <w:t> </w:t>
      </w:r>
      <w:r w:rsidRPr="00363A4F">
        <w:t>mmol/l), o pirmine HPT sergančių pacientų kalcio koncentracija serume sumažėjo nuo 12,7</w:t>
      </w:r>
      <w:r w:rsidR="00CA3031">
        <w:t> </w:t>
      </w:r>
      <w:r w:rsidRPr="00363A4F">
        <w:t>mg/dl iki</w:t>
      </w:r>
      <w:r>
        <w:t xml:space="preserve"> </w:t>
      </w:r>
      <w:r w:rsidRPr="00363A4F">
        <w:t>10,4</w:t>
      </w:r>
      <w:r w:rsidR="00CA3031">
        <w:t> </w:t>
      </w:r>
      <w:r w:rsidRPr="00363A4F">
        <w:t>mg/dl (nuo 3,2</w:t>
      </w:r>
      <w:r w:rsidR="00CA3031">
        <w:t> </w:t>
      </w:r>
      <w:r w:rsidRPr="00363A4F">
        <w:t>mmol/l iki 2,6</w:t>
      </w:r>
      <w:r w:rsidR="00CA3031">
        <w:t> </w:t>
      </w:r>
      <w:r w:rsidRPr="00363A4F">
        <w:t>mmol/l). Aštuoniolikai iš 29 (62%) pacientų, sergančių prieskydinių</w:t>
      </w:r>
      <w:r>
        <w:t xml:space="preserve"> </w:t>
      </w:r>
      <w:r w:rsidRPr="00363A4F">
        <w:t>liaukų karcinoma, ir penkiolikai iš 17 (88%) pacientų, sergančių pirmine HPT, kalcio koncentracija serume</w:t>
      </w:r>
      <w:r>
        <w:t xml:space="preserve"> </w:t>
      </w:r>
      <w:r w:rsidRPr="00363A4F">
        <w:t xml:space="preserve">sumažėjo </w:t>
      </w:r>
      <w:r w:rsidR="00F44789" w:rsidRPr="0059527E">
        <w:rPr>
          <w:color w:val="000000"/>
          <w:szCs w:val="22"/>
          <w:lang w:eastAsia="en-GB"/>
        </w:rPr>
        <w:t>≥</w:t>
      </w:r>
      <w:r w:rsidRPr="00363A4F">
        <w:t xml:space="preserve"> 1</w:t>
      </w:r>
      <w:r w:rsidR="00CA3031">
        <w:t> </w:t>
      </w:r>
      <w:r w:rsidRPr="00363A4F">
        <w:t>mg/dl (</w:t>
      </w:r>
      <w:r w:rsidR="00F44789" w:rsidRPr="0059527E">
        <w:rPr>
          <w:color w:val="000000"/>
          <w:szCs w:val="22"/>
          <w:lang w:eastAsia="en-GB"/>
        </w:rPr>
        <w:t>≥</w:t>
      </w:r>
      <w:r w:rsidRPr="00363A4F">
        <w:t xml:space="preserve"> 0,25</w:t>
      </w:r>
      <w:r w:rsidR="00CA3031">
        <w:t> </w:t>
      </w:r>
      <w:r w:rsidRPr="00363A4F">
        <w:t>mmol/l).</w:t>
      </w:r>
    </w:p>
    <w:p w14:paraId="195205E5" w14:textId="77777777" w:rsidR="00F44789" w:rsidRDefault="00F44789" w:rsidP="00363A4F">
      <w:pPr>
        <w:tabs>
          <w:tab w:val="left" w:pos="8322"/>
        </w:tabs>
      </w:pPr>
    </w:p>
    <w:p w14:paraId="7AB8E9BF" w14:textId="77777777" w:rsidR="00F44789" w:rsidRDefault="00CD66CD" w:rsidP="00CD66CD">
      <w:pPr>
        <w:tabs>
          <w:tab w:val="left" w:pos="8322"/>
        </w:tabs>
      </w:pPr>
      <w:r w:rsidRPr="00CD66CD">
        <w:t>Į 28 savaičių trukmės placebu kontroliuojamą tyrimą buvo įtraukti 67 pirmine HPT sergantys</w:t>
      </w:r>
      <w:r w:rsidR="001A0C38">
        <w:t xml:space="preserve"> suaugę</w:t>
      </w:r>
      <w:r w:rsidRPr="00CD66CD">
        <w:t xml:space="preserve"> pacientai, kurie</w:t>
      </w:r>
      <w:r>
        <w:t xml:space="preserve"> </w:t>
      </w:r>
      <w:r w:rsidRPr="00CD66CD">
        <w:t>pagal koreguotą bendrą kalcio koncentraciją serume (&gt; 11,3</w:t>
      </w:r>
      <w:r w:rsidR="00CA3031">
        <w:t> </w:t>
      </w:r>
      <w:r w:rsidRPr="00CD66CD">
        <w:t>mg/dl (2,82</w:t>
      </w:r>
      <w:r w:rsidR="00CA3031">
        <w:t> </w:t>
      </w:r>
      <w:r w:rsidRPr="00CD66CD">
        <w:t>mmol/l), bet ≤ 12,5</w:t>
      </w:r>
      <w:r w:rsidR="00CA3031">
        <w:t xml:space="preserve"> </w:t>
      </w:r>
      <w:r w:rsidRPr="00CD66CD">
        <w:t>mg/dl</w:t>
      </w:r>
      <w:r w:rsidR="00CA3031">
        <w:t xml:space="preserve"> </w:t>
      </w:r>
      <w:r w:rsidRPr="00CD66CD">
        <w:t>(3,12</w:t>
      </w:r>
      <w:r w:rsidR="00CA3031">
        <w:t> </w:t>
      </w:r>
      <w:r w:rsidRPr="00CD66CD">
        <w:t>mmol/l)) atitiko kriterijus paratiroidektomijai, bet kuriems nebuvo galima jos atlikti. Pradinė</w:t>
      </w:r>
      <w:r w:rsidR="00CA3031">
        <w:t xml:space="preserve"> </w:t>
      </w:r>
      <w:r w:rsidRPr="00CD66CD">
        <w:t>cinakalceto dozė buvo 30</w:t>
      </w:r>
      <w:r w:rsidR="00CA3031">
        <w:t> </w:t>
      </w:r>
      <w:r w:rsidRPr="00CD66CD">
        <w:t xml:space="preserve">mg du kartus per parą ir titruota siekiant palaikyti koreguotą </w:t>
      </w:r>
      <w:r w:rsidR="0024200C" w:rsidRPr="00CD66CD">
        <w:t>bendr</w:t>
      </w:r>
      <w:r w:rsidR="0024200C">
        <w:t>ą</w:t>
      </w:r>
      <w:r w:rsidR="0024200C" w:rsidRPr="00CD66CD">
        <w:t xml:space="preserve">ją </w:t>
      </w:r>
      <w:r w:rsidRPr="00CD66CD">
        <w:t>kalcio</w:t>
      </w:r>
      <w:r w:rsidR="00CA3031">
        <w:t xml:space="preserve"> </w:t>
      </w:r>
      <w:r w:rsidRPr="00CD66CD">
        <w:t>koncentraciją serume normos ribose. Žymiai didesniam procentui cinakalcetu gydytų pacientų, palyginti su</w:t>
      </w:r>
      <w:r>
        <w:t xml:space="preserve"> </w:t>
      </w:r>
      <w:r w:rsidRPr="00CD66CD">
        <w:t>gydytais placebu, buvo pasiekta ≤ 10,3</w:t>
      </w:r>
      <w:r w:rsidR="00CA3031">
        <w:t> </w:t>
      </w:r>
      <w:r w:rsidRPr="00CD66CD">
        <w:t>mg/dl (2,57</w:t>
      </w:r>
      <w:r w:rsidR="00CA3031">
        <w:t> </w:t>
      </w:r>
      <w:r w:rsidRPr="00CD66CD">
        <w:t>mmol/l) vidutinė koreguota bendrojo kalcio</w:t>
      </w:r>
      <w:r w:rsidR="00CA3031">
        <w:t xml:space="preserve"> </w:t>
      </w:r>
      <w:r w:rsidRPr="00CD66CD">
        <w:t>koncentracija serume ir ≥ 1</w:t>
      </w:r>
      <w:r w:rsidR="00CA3031">
        <w:t> </w:t>
      </w:r>
      <w:r w:rsidRPr="00CD66CD">
        <w:t>mg/dl (0,25</w:t>
      </w:r>
      <w:r w:rsidR="00CA3031">
        <w:t> </w:t>
      </w:r>
      <w:r w:rsidRPr="00CD66CD">
        <w:t>mmol/l) koreguotos bendrojo kalcio koncentracijos serume</w:t>
      </w:r>
      <w:r w:rsidR="00CA3031">
        <w:t xml:space="preserve"> </w:t>
      </w:r>
      <w:r w:rsidRPr="00CD66CD">
        <w:t>sumažėjimas nuo pradinio lygio (atitinkamai 75,8%, palyginti su 0%, ir 84,8%, palyginti su 5,9%).</w:t>
      </w:r>
    </w:p>
    <w:p w14:paraId="22EC3023" w14:textId="77777777" w:rsidR="00F44789" w:rsidRDefault="00F44789" w:rsidP="00363A4F">
      <w:pPr>
        <w:tabs>
          <w:tab w:val="left" w:pos="8322"/>
        </w:tabs>
      </w:pPr>
    </w:p>
    <w:p w14:paraId="59FF69FB" w14:textId="77777777" w:rsidR="00CD66CD" w:rsidRPr="00CD66CD" w:rsidRDefault="00CD66CD" w:rsidP="00CD66CD">
      <w:pPr>
        <w:pStyle w:val="Antrat4"/>
        <w:rPr>
          <w:rFonts w:ascii="Times New Roman" w:hAnsi="Times New Roman"/>
          <w:i w:val="0"/>
          <w:color w:val="auto"/>
        </w:rPr>
      </w:pPr>
      <w:r w:rsidRPr="00CD66CD">
        <w:rPr>
          <w:rFonts w:ascii="Times New Roman" w:hAnsi="Times New Roman"/>
          <w:i w:val="0"/>
          <w:color w:val="auto"/>
        </w:rPr>
        <w:t>5.2</w:t>
      </w:r>
      <w:r w:rsidRPr="00CD66CD">
        <w:rPr>
          <w:rFonts w:ascii="Times New Roman" w:hAnsi="Times New Roman"/>
          <w:i w:val="0"/>
          <w:color w:val="auto"/>
        </w:rPr>
        <w:tab/>
        <w:t>Farmakokinetinės savybės</w:t>
      </w:r>
    </w:p>
    <w:p w14:paraId="3691B606" w14:textId="77777777" w:rsidR="00CD66CD" w:rsidRPr="00B34FA1" w:rsidRDefault="00CD66CD" w:rsidP="00CD66CD">
      <w:pPr>
        <w:tabs>
          <w:tab w:val="clear" w:pos="567"/>
        </w:tabs>
        <w:spacing w:line="240" w:lineRule="auto"/>
        <w:rPr>
          <w:szCs w:val="24"/>
        </w:rPr>
      </w:pPr>
    </w:p>
    <w:p w14:paraId="0F00D6FB" w14:textId="77777777" w:rsidR="00CD66CD" w:rsidRDefault="00CD66CD" w:rsidP="00363A4F">
      <w:pPr>
        <w:tabs>
          <w:tab w:val="left" w:pos="8322"/>
        </w:tabs>
        <w:rPr>
          <w:b/>
        </w:rPr>
      </w:pPr>
      <w:r w:rsidRPr="00CD66CD">
        <w:rPr>
          <w:u w:val="single"/>
        </w:rPr>
        <w:t>Absorbcija</w:t>
      </w:r>
      <w:r>
        <w:rPr>
          <w:b/>
        </w:rPr>
        <w:t xml:space="preserve"> </w:t>
      </w:r>
    </w:p>
    <w:p w14:paraId="2E4403A5" w14:textId="77777777" w:rsidR="00CD66CD" w:rsidRDefault="00CD66CD" w:rsidP="00363A4F">
      <w:pPr>
        <w:tabs>
          <w:tab w:val="left" w:pos="8322"/>
        </w:tabs>
        <w:rPr>
          <w:b/>
        </w:rPr>
      </w:pPr>
    </w:p>
    <w:p w14:paraId="024CAE15" w14:textId="77777777" w:rsidR="00CD66CD" w:rsidRDefault="00CD66CD" w:rsidP="00CD66CD">
      <w:pPr>
        <w:tabs>
          <w:tab w:val="left" w:pos="8322"/>
        </w:tabs>
      </w:pPr>
      <w:r w:rsidRPr="00CD66CD">
        <w:t>Išgėrus cinakalceto, didžiausia jo koncentracija kraujo plazmoje susidaro maždaug po 2-6 valandų. Palyginus</w:t>
      </w:r>
      <w:r>
        <w:t xml:space="preserve"> </w:t>
      </w:r>
      <w:r w:rsidRPr="00CD66CD">
        <w:t>tyrimus nustatyta, kad absoliutus nevalgiusių asmenų cinakalceto biologinis prieinamumas yra apie 20-25%.</w:t>
      </w:r>
      <w:r>
        <w:t xml:space="preserve"> </w:t>
      </w:r>
      <w:r w:rsidRPr="00CD66CD">
        <w:t>Kai cinakalcetas vartojamas su maistu, maždaug 50-80% padidėja cinakalceto biologinis prieinamumas.</w:t>
      </w:r>
      <w:r>
        <w:t xml:space="preserve"> </w:t>
      </w:r>
      <w:r w:rsidRPr="00CD66CD">
        <w:t>Cinakalceto koncentracijos plazmoje padidėjimas nepriklauso nuo riebalų kiekio maiste.</w:t>
      </w:r>
    </w:p>
    <w:p w14:paraId="52BF06A3" w14:textId="77777777" w:rsidR="009116E3" w:rsidRDefault="009116E3" w:rsidP="00CD66CD">
      <w:pPr>
        <w:tabs>
          <w:tab w:val="left" w:pos="8322"/>
        </w:tabs>
      </w:pPr>
    </w:p>
    <w:p w14:paraId="056E7F1A" w14:textId="77777777" w:rsidR="009116E3" w:rsidRPr="009116E3" w:rsidRDefault="009116E3" w:rsidP="009116E3">
      <w:pPr>
        <w:tabs>
          <w:tab w:val="left" w:pos="8322"/>
        </w:tabs>
      </w:pPr>
      <w:r w:rsidRPr="009116E3">
        <w:t>Didesnių nei 200</w:t>
      </w:r>
      <w:r w:rsidR="00B847BB">
        <w:t> </w:t>
      </w:r>
      <w:r w:rsidRPr="009116E3">
        <w:t>mg dozių absorbcija tapo prisotinta, greičiausiai dėl blogo tirpumo.</w:t>
      </w:r>
    </w:p>
    <w:p w14:paraId="7B0EB16E" w14:textId="77777777" w:rsidR="009116E3" w:rsidRDefault="009116E3" w:rsidP="009116E3">
      <w:pPr>
        <w:tabs>
          <w:tab w:val="left" w:pos="8322"/>
        </w:tabs>
      </w:pPr>
    </w:p>
    <w:p w14:paraId="7DB9B082" w14:textId="77777777" w:rsidR="009116E3" w:rsidRDefault="009116E3" w:rsidP="009116E3">
      <w:pPr>
        <w:tabs>
          <w:tab w:val="left" w:pos="8322"/>
        </w:tabs>
        <w:rPr>
          <w:u w:val="single"/>
        </w:rPr>
      </w:pPr>
      <w:r w:rsidRPr="009116E3">
        <w:rPr>
          <w:u w:val="single"/>
        </w:rPr>
        <w:t>Pasiskirstymas</w:t>
      </w:r>
    </w:p>
    <w:p w14:paraId="57B56CA0" w14:textId="77777777" w:rsidR="009116E3" w:rsidRPr="009116E3" w:rsidRDefault="009116E3" w:rsidP="009116E3">
      <w:pPr>
        <w:tabs>
          <w:tab w:val="left" w:pos="8322"/>
        </w:tabs>
      </w:pPr>
    </w:p>
    <w:p w14:paraId="66152AA3" w14:textId="77777777" w:rsidR="009116E3" w:rsidRPr="009116E3" w:rsidRDefault="009116E3" w:rsidP="009116E3">
      <w:pPr>
        <w:tabs>
          <w:tab w:val="left" w:pos="8322"/>
        </w:tabs>
      </w:pPr>
      <w:r w:rsidRPr="009116E3">
        <w:t>Pasiskirstymo tūris yra didelis (maždaug 1</w:t>
      </w:r>
      <w:r w:rsidR="00D77F6D">
        <w:t xml:space="preserve"> </w:t>
      </w:r>
      <w:r w:rsidRPr="009116E3">
        <w:t>000 litrų), kas rodo ekstensyvų pasiskirstymą. Cinakalceto</w:t>
      </w:r>
      <w:r w:rsidR="00B847BB">
        <w:t> </w:t>
      </w:r>
      <w:r w:rsidRPr="009116E3">
        <w:t>maždaug 97% susijungia su plazmos baltymais ir minimaliai pasiskirsto eritrocituose.</w:t>
      </w:r>
    </w:p>
    <w:p w14:paraId="55119A5D" w14:textId="77777777" w:rsidR="009116E3" w:rsidRDefault="009116E3" w:rsidP="009116E3">
      <w:pPr>
        <w:tabs>
          <w:tab w:val="left" w:pos="8322"/>
        </w:tabs>
      </w:pPr>
    </w:p>
    <w:p w14:paraId="1F5BB1E3" w14:textId="77777777" w:rsidR="009116E3" w:rsidRPr="009116E3" w:rsidRDefault="009116E3" w:rsidP="009116E3">
      <w:pPr>
        <w:tabs>
          <w:tab w:val="left" w:pos="8322"/>
        </w:tabs>
      </w:pPr>
      <w:r w:rsidRPr="009116E3">
        <w:t>Po absorbcijos cinakalceto koncentracija mažėja dviem fazėmis – pradinis pusinės eliminacijos periodas yra</w:t>
      </w:r>
      <w:r>
        <w:t xml:space="preserve"> </w:t>
      </w:r>
      <w:r w:rsidRPr="009116E3">
        <w:t>maždaug 6 valandos, o galutinis – nuo 30 iki 40 valandų. Pusiausvyrinė cinakalceto koncentracija nusistovi</w:t>
      </w:r>
      <w:r>
        <w:t xml:space="preserve"> </w:t>
      </w:r>
      <w:r w:rsidRPr="009116E3">
        <w:t>per 7 paras, esant minimaliam kaupimuisi. Laikui bėgant cinakalceto farmakokinetika nekinta.</w:t>
      </w:r>
    </w:p>
    <w:p w14:paraId="1BC40B9D" w14:textId="77777777" w:rsidR="009116E3" w:rsidRDefault="009116E3" w:rsidP="009116E3">
      <w:pPr>
        <w:tabs>
          <w:tab w:val="left" w:pos="8322"/>
        </w:tabs>
      </w:pPr>
    </w:p>
    <w:p w14:paraId="4AFE37B6" w14:textId="77777777" w:rsidR="009116E3" w:rsidRDefault="009116E3" w:rsidP="009116E3">
      <w:pPr>
        <w:tabs>
          <w:tab w:val="left" w:pos="8322"/>
        </w:tabs>
        <w:rPr>
          <w:u w:val="single"/>
        </w:rPr>
      </w:pPr>
      <w:r w:rsidRPr="009116E3">
        <w:rPr>
          <w:u w:val="single"/>
        </w:rPr>
        <w:t>Biotransformacija</w:t>
      </w:r>
    </w:p>
    <w:p w14:paraId="15AC2B5E" w14:textId="77777777" w:rsidR="009116E3" w:rsidRPr="009116E3" w:rsidRDefault="009116E3" w:rsidP="009116E3">
      <w:pPr>
        <w:tabs>
          <w:tab w:val="left" w:pos="8322"/>
        </w:tabs>
      </w:pPr>
    </w:p>
    <w:p w14:paraId="09087E5B" w14:textId="77777777" w:rsidR="009116E3" w:rsidRPr="00CD66CD" w:rsidRDefault="009116E3" w:rsidP="009116E3">
      <w:pPr>
        <w:tabs>
          <w:tab w:val="left" w:pos="8322"/>
        </w:tabs>
      </w:pPr>
      <w:r w:rsidRPr="009116E3">
        <w:t>Cinakalcetą metabolizuoja daugelis fermentų, daugiausiai CYP3A4 ir CYP1A2 (CYP1A2 dalyvavimas</w:t>
      </w:r>
      <w:r w:rsidR="00B847BB">
        <w:t xml:space="preserve"> </w:t>
      </w:r>
      <w:r w:rsidRPr="009116E3">
        <w:t>kliniškai necharakterizuotas). Dauguma cirkuliuojančių metabolitų yra neaktyvūs.</w:t>
      </w:r>
    </w:p>
    <w:p w14:paraId="25E42E4B" w14:textId="77777777" w:rsidR="00F44789" w:rsidRDefault="00F44789" w:rsidP="00363A4F">
      <w:pPr>
        <w:tabs>
          <w:tab w:val="left" w:pos="8322"/>
        </w:tabs>
      </w:pPr>
    </w:p>
    <w:p w14:paraId="3DD0C6CB" w14:textId="77777777" w:rsidR="009116E3" w:rsidRPr="009116E3" w:rsidRDefault="009116E3" w:rsidP="009116E3">
      <w:pPr>
        <w:tabs>
          <w:tab w:val="left" w:pos="8322"/>
        </w:tabs>
      </w:pPr>
      <w:r w:rsidRPr="009116E3">
        <w:t xml:space="preserve">Pagal </w:t>
      </w:r>
      <w:r w:rsidRPr="002108DE">
        <w:rPr>
          <w:i/>
        </w:rPr>
        <w:t>in vitro</w:t>
      </w:r>
      <w:r w:rsidRPr="009116E3">
        <w:t xml:space="preserve"> gautus duomenis nustatyta, kad cinakalcetas yra stiprus CYP2D6 inhibitorius, bet jis, esant</w:t>
      </w:r>
      <w:r w:rsidR="00B847BB">
        <w:t xml:space="preserve"> </w:t>
      </w:r>
      <w:r w:rsidRPr="009116E3">
        <w:t>tokioms koncentracijoms, kokios būna kliniškai, nei slopina kitus CYP fermentus, įskaitant CYP1A2,</w:t>
      </w:r>
      <w:r w:rsidR="00B847BB">
        <w:t xml:space="preserve"> </w:t>
      </w:r>
      <w:r w:rsidRPr="009116E3">
        <w:t>CYP2C8, CYP2C9, CYP2C19, ir CYP3A4, nei aktyvuoja CYP1A2, CYP2C19 ir CYP3A4 fermentus.</w:t>
      </w:r>
    </w:p>
    <w:p w14:paraId="0D672188" w14:textId="77777777" w:rsidR="009116E3" w:rsidRDefault="009116E3" w:rsidP="009116E3">
      <w:pPr>
        <w:tabs>
          <w:tab w:val="left" w:pos="8322"/>
        </w:tabs>
      </w:pPr>
    </w:p>
    <w:p w14:paraId="487E1255" w14:textId="77777777" w:rsidR="009116E3" w:rsidRDefault="009116E3" w:rsidP="009116E3">
      <w:pPr>
        <w:tabs>
          <w:tab w:val="left" w:pos="8322"/>
        </w:tabs>
        <w:rPr>
          <w:u w:val="single"/>
        </w:rPr>
      </w:pPr>
      <w:r w:rsidRPr="009116E3">
        <w:rPr>
          <w:u w:val="single"/>
        </w:rPr>
        <w:t>Eliminacija</w:t>
      </w:r>
    </w:p>
    <w:p w14:paraId="27921C00" w14:textId="77777777" w:rsidR="009116E3" w:rsidRPr="009116E3" w:rsidRDefault="009116E3" w:rsidP="009116E3">
      <w:pPr>
        <w:tabs>
          <w:tab w:val="left" w:pos="8322"/>
        </w:tabs>
      </w:pPr>
    </w:p>
    <w:p w14:paraId="2B48ECAA" w14:textId="77777777" w:rsidR="009116E3" w:rsidRPr="009116E3" w:rsidRDefault="009116E3" w:rsidP="009116E3">
      <w:pPr>
        <w:tabs>
          <w:tab w:val="left" w:pos="8322"/>
        </w:tabs>
      </w:pPr>
      <w:r w:rsidRPr="009116E3">
        <w:t>Sveikiems savanoriams paskyrus 75</w:t>
      </w:r>
      <w:r w:rsidR="00B847BB">
        <w:t> </w:t>
      </w:r>
      <w:r w:rsidRPr="009116E3">
        <w:t>mg radioaktyvumu žymėtą dozę, cinakalcetas greitai ir ekstensyviai</w:t>
      </w:r>
      <w:r w:rsidR="00B847BB">
        <w:t xml:space="preserve"> </w:t>
      </w:r>
      <w:r w:rsidRPr="009116E3">
        <w:t xml:space="preserve">metabolizuojamas oksidacijos būdu, po jos sekant konjugacijai. </w:t>
      </w:r>
      <w:r w:rsidR="0024200C" w:rsidRPr="009116E3">
        <w:t>Radioaktyv</w:t>
      </w:r>
      <w:r w:rsidR="0024200C">
        <w:t>ūs metabolitai</w:t>
      </w:r>
      <w:r w:rsidR="0024200C" w:rsidRPr="009116E3">
        <w:t xml:space="preserve"> </w:t>
      </w:r>
      <w:r w:rsidRPr="009116E3">
        <w:t>daugiausiai buvo šalinam</w:t>
      </w:r>
      <w:r w:rsidR="0024200C">
        <w:t>i</w:t>
      </w:r>
      <w:r w:rsidR="008A20CA">
        <w:t xml:space="preserve"> </w:t>
      </w:r>
      <w:r w:rsidRPr="009116E3">
        <w:t xml:space="preserve">per inkstus. Apytikriai 80% </w:t>
      </w:r>
      <w:r w:rsidR="0024200C">
        <w:t xml:space="preserve">vaisto </w:t>
      </w:r>
      <w:r w:rsidRPr="009116E3">
        <w:t>dozės rasta šlapime ir 15% išmatose.</w:t>
      </w:r>
    </w:p>
    <w:p w14:paraId="27AC063C" w14:textId="77777777" w:rsidR="009116E3" w:rsidRDefault="009116E3" w:rsidP="009116E3">
      <w:pPr>
        <w:tabs>
          <w:tab w:val="left" w:pos="8322"/>
        </w:tabs>
      </w:pPr>
    </w:p>
    <w:p w14:paraId="0D77E26C" w14:textId="77777777" w:rsidR="009116E3" w:rsidRPr="009116E3" w:rsidRDefault="009116E3" w:rsidP="009116E3">
      <w:pPr>
        <w:tabs>
          <w:tab w:val="left" w:pos="8322"/>
        </w:tabs>
        <w:rPr>
          <w:u w:val="single"/>
        </w:rPr>
      </w:pPr>
      <w:r w:rsidRPr="009116E3">
        <w:rPr>
          <w:u w:val="single"/>
        </w:rPr>
        <w:t>Tiesinis/netiesinis pobūdis</w:t>
      </w:r>
    </w:p>
    <w:p w14:paraId="4B360CAB" w14:textId="77777777" w:rsidR="009116E3" w:rsidRDefault="009116E3" w:rsidP="009116E3">
      <w:pPr>
        <w:tabs>
          <w:tab w:val="left" w:pos="8322"/>
        </w:tabs>
      </w:pPr>
    </w:p>
    <w:p w14:paraId="7390E83D" w14:textId="77777777" w:rsidR="009116E3" w:rsidRDefault="009116E3" w:rsidP="009116E3">
      <w:pPr>
        <w:tabs>
          <w:tab w:val="left" w:pos="8322"/>
        </w:tabs>
      </w:pPr>
      <w:r w:rsidRPr="009116E3">
        <w:t>Skiriant cinakalceto nuo 30 iki 180</w:t>
      </w:r>
      <w:r w:rsidR="00B847BB">
        <w:t> </w:t>
      </w:r>
      <w:r w:rsidRPr="009116E3">
        <w:t>mg dozes vieną kartą per parą, jo AUC ir C</w:t>
      </w:r>
      <w:r w:rsidRPr="00811A4B">
        <w:rPr>
          <w:vertAlign w:val="subscript"/>
        </w:rPr>
        <w:t>max</w:t>
      </w:r>
      <w:r w:rsidRPr="009116E3">
        <w:t xml:space="preserve"> didėjimas yra tiesinis.</w:t>
      </w:r>
    </w:p>
    <w:p w14:paraId="192A707C" w14:textId="77777777" w:rsidR="009116E3" w:rsidRDefault="009116E3" w:rsidP="009116E3">
      <w:pPr>
        <w:tabs>
          <w:tab w:val="left" w:pos="8322"/>
        </w:tabs>
      </w:pPr>
    </w:p>
    <w:p w14:paraId="0C2A167F" w14:textId="77777777" w:rsidR="009116E3" w:rsidRPr="009116E3" w:rsidRDefault="009116E3" w:rsidP="009116E3">
      <w:pPr>
        <w:tabs>
          <w:tab w:val="left" w:pos="8322"/>
        </w:tabs>
        <w:rPr>
          <w:u w:val="single"/>
        </w:rPr>
      </w:pPr>
      <w:r w:rsidRPr="009116E3">
        <w:rPr>
          <w:u w:val="single"/>
        </w:rPr>
        <w:t>Santykis tarp farmakokinetikos ir farmakodinamikos</w:t>
      </w:r>
    </w:p>
    <w:p w14:paraId="45ADCA9F" w14:textId="77777777" w:rsidR="009116E3" w:rsidRDefault="009116E3" w:rsidP="009116E3">
      <w:pPr>
        <w:tabs>
          <w:tab w:val="left" w:pos="8322"/>
        </w:tabs>
      </w:pPr>
    </w:p>
    <w:p w14:paraId="3743105A" w14:textId="77777777" w:rsidR="009116E3" w:rsidRDefault="009116E3" w:rsidP="009116E3">
      <w:pPr>
        <w:tabs>
          <w:tab w:val="left" w:pos="8322"/>
        </w:tabs>
      </w:pPr>
      <w:r w:rsidRPr="009116E3">
        <w:t xml:space="preserve">Netrukus po dozės pavartojimo </w:t>
      </w:r>
      <w:r w:rsidR="0024200C">
        <w:t xml:space="preserve">PTH </w:t>
      </w:r>
      <w:r w:rsidRPr="009116E3">
        <w:t>pradeda mažėti ir pasiekia žemiausią lygį praėjus maždaug 2 –</w:t>
      </w:r>
      <w:r w:rsidR="00B847BB">
        <w:t xml:space="preserve"> </w:t>
      </w:r>
      <w:r w:rsidRPr="009116E3">
        <w:t xml:space="preserve">6 valandoms, </w:t>
      </w:r>
      <w:r w:rsidR="00AA340E">
        <w:t>tai</w:t>
      </w:r>
      <w:r w:rsidR="00AA340E" w:rsidRPr="009116E3">
        <w:t xml:space="preserve"> </w:t>
      </w:r>
      <w:r w:rsidRPr="009116E3">
        <w:t>atitinka cinakalceto Cmax. Po to,</w:t>
      </w:r>
      <w:r w:rsidR="008A20CA">
        <w:t xml:space="preserve"> </w:t>
      </w:r>
      <w:r w:rsidR="00AA340E">
        <w:t>kai</w:t>
      </w:r>
      <w:r w:rsidRPr="009116E3">
        <w:t xml:space="preserve"> cinakalceto koncentracija</w:t>
      </w:r>
      <w:r w:rsidR="00AA340E">
        <w:t xml:space="preserve"> pradeda mažėti</w:t>
      </w:r>
      <w:r w:rsidRPr="009116E3">
        <w:t>, didėja PTH iki</w:t>
      </w:r>
      <w:r w:rsidR="00B847BB">
        <w:t xml:space="preserve"> </w:t>
      </w:r>
      <w:r w:rsidRPr="009116E3">
        <w:t xml:space="preserve">12 </w:t>
      </w:r>
      <w:r w:rsidR="00AA340E" w:rsidRPr="009116E3">
        <w:t>valand</w:t>
      </w:r>
      <w:r w:rsidR="00AA340E">
        <w:t>ų</w:t>
      </w:r>
      <w:r w:rsidR="00AA340E" w:rsidRPr="009116E3">
        <w:t xml:space="preserve"> </w:t>
      </w:r>
      <w:r w:rsidRPr="009116E3">
        <w:t>po dozės pavartojimo</w:t>
      </w:r>
      <w:r w:rsidR="00AA340E">
        <w:t>, o vėliau</w:t>
      </w:r>
      <w:r w:rsidRPr="009116E3">
        <w:t xml:space="preserve"> PTH slopinimas išlieka maždaug pastovus iki vieną kartą per parą</w:t>
      </w:r>
      <w:r>
        <w:t xml:space="preserve"> </w:t>
      </w:r>
      <w:r w:rsidRPr="009116E3">
        <w:t>dozavimo intervalo pabaigos. Cinakalceto klinikiniuose tyrimuose PTH lygis buvo matuojamas dozavimo</w:t>
      </w:r>
      <w:r>
        <w:t xml:space="preserve"> </w:t>
      </w:r>
      <w:r w:rsidRPr="009116E3">
        <w:t>intervalo pabaigoje.</w:t>
      </w:r>
    </w:p>
    <w:p w14:paraId="22D71753" w14:textId="77777777" w:rsidR="009116E3" w:rsidRDefault="009116E3" w:rsidP="009116E3">
      <w:pPr>
        <w:tabs>
          <w:tab w:val="left" w:pos="8322"/>
        </w:tabs>
      </w:pPr>
    </w:p>
    <w:p w14:paraId="30A6A1B2" w14:textId="77777777" w:rsidR="009116E3" w:rsidRPr="009116E3" w:rsidRDefault="009116E3" w:rsidP="009116E3">
      <w:pPr>
        <w:tabs>
          <w:tab w:val="left" w:pos="8322"/>
        </w:tabs>
        <w:rPr>
          <w:u w:val="single"/>
        </w:rPr>
      </w:pPr>
      <w:r w:rsidRPr="009116E3">
        <w:rPr>
          <w:u w:val="single"/>
        </w:rPr>
        <w:t>Ypatingos populiacijos</w:t>
      </w:r>
    </w:p>
    <w:p w14:paraId="0395FBA4" w14:textId="77777777" w:rsidR="009116E3" w:rsidRDefault="009116E3" w:rsidP="009116E3">
      <w:pPr>
        <w:tabs>
          <w:tab w:val="left" w:pos="8322"/>
        </w:tabs>
      </w:pPr>
    </w:p>
    <w:p w14:paraId="2BE36B1E" w14:textId="77777777" w:rsidR="009116E3" w:rsidRPr="009116E3" w:rsidRDefault="009116E3" w:rsidP="009116E3">
      <w:pPr>
        <w:tabs>
          <w:tab w:val="left" w:pos="8322"/>
        </w:tabs>
        <w:rPr>
          <w:i/>
        </w:rPr>
      </w:pPr>
      <w:r w:rsidRPr="009116E3">
        <w:rPr>
          <w:i/>
        </w:rPr>
        <w:t>Senyvi pacientai</w:t>
      </w:r>
    </w:p>
    <w:p w14:paraId="4E911BA4" w14:textId="77777777" w:rsidR="009116E3" w:rsidRDefault="009116E3" w:rsidP="009116E3">
      <w:pPr>
        <w:tabs>
          <w:tab w:val="left" w:pos="8322"/>
        </w:tabs>
      </w:pPr>
      <w:r w:rsidRPr="009116E3">
        <w:t>Nėra kliniškai reikšmingų amžiaus sąlygotų cinakalceto farmakokinetikos skirtumų.</w:t>
      </w:r>
    </w:p>
    <w:p w14:paraId="2FDE2FD5" w14:textId="77777777" w:rsidR="00CD66CD" w:rsidRDefault="00CD66CD" w:rsidP="00363A4F">
      <w:pPr>
        <w:tabs>
          <w:tab w:val="left" w:pos="8322"/>
        </w:tabs>
      </w:pPr>
    </w:p>
    <w:p w14:paraId="79DDBC44" w14:textId="77777777" w:rsidR="009116E3" w:rsidRPr="009116E3" w:rsidRDefault="00AA340E" w:rsidP="009116E3">
      <w:pPr>
        <w:tabs>
          <w:tab w:val="left" w:pos="8322"/>
        </w:tabs>
        <w:rPr>
          <w:i/>
        </w:rPr>
      </w:pPr>
      <w:r>
        <w:rPr>
          <w:i/>
        </w:rPr>
        <w:t>Sutrikusi inkstų funkcija</w:t>
      </w:r>
    </w:p>
    <w:p w14:paraId="4A8C7E41" w14:textId="77777777" w:rsidR="009116E3" w:rsidRDefault="009116E3" w:rsidP="009116E3">
      <w:pPr>
        <w:tabs>
          <w:tab w:val="left" w:pos="8322"/>
        </w:tabs>
      </w:pPr>
      <w:r w:rsidRPr="009116E3">
        <w:t>Pacientų, kuriems yra lengvas, vidutini</w:t>
      </w:r>
      <w:r w:rsidR="007B3D38">
        <w:t>s</w:t>
      </w:r>
      <w:r w:rsidRPr="009116E3">
        <w:t xml:space="preserve"> ir sunkus inkstų nepakankamumas, taip pat tų, kuriems</w:t>
      </w:r>
      <w:r w:rsidR="00B847BB">
        <w:t xml:space="preserve"> </w:t>
      </w:r>
      <w:r w:rsidRPr="009116E3">
        <w:t>taikoma hemodializė ar peritoninė dializė, cinakalceto farmakokinetika yra panaši į sveikų savanorių.</w:t>
      </w:r>
    </w:p>
    <w:p w14:paraId="0AD45FB4" w14:textId="77777777" w:rsidR="009116E3" w:rsidRDefault="009116E3" w:rsidP="009116E3">
      <w:pPr>
        <w:tabs>
          <w:tab w:val="left" w:pos="8322"/>
        </w:tabs>
      </w:pPr>
    </w:p>
    <w:p w14:paraId="106838F0" w14:textId="77777777" w:rsidR="009116E3" w:rsidRPr="009116E3" w:rsidRDefault="00AA340E" w:rsidP="009116E3">
      <w:pPr>
        <w:tabs>
          <w:tab w:val="left" w:pos="8322"/>
        </w:tabs>
        <w:rPr>
          <w:i/>
        </w:rPr>
      </w:pPr>
      <w:r>
        <w:rPr>
          <w:i/>
        </w:rPr>
        <w:t>Sutrikusi kepenų funkcija</w:t>
      </w:r>
    </w:p>
    <w:p w14:paraId="095CF9AD" w14:textId="77777777" w:rsidR="009116E3" w:rsidRPr="009116E3" w:rsidRDefault="007B3D38" w:rsidP="009116E3">
      <w:pPr>
        <w:tabs>
          <w:tab w:val="left" w:pos="8322"/>
        </w:tabs>
      </w:pPr>
      <w:r>
        <w:t xml:space="preserve">Lengvas </w:t>
      </w:r>
      <w:r w:rsidR="009116E3" w:rsidRPr="009116E3">
        <w:t>kepenų nepakankamumas reikšmingai neveikia cinakalceto farmakokinetikos. Lyginant su</w:t>
      </w:r>
      <w:r w:rsidR="00B847BB">
        <w:t xml:space="preserve"> </w:t>
      </w:r>
      <w:r w:rsidR="009116E3" w:rsidRPr="009116E3">
        <w:t>pacientais, kurių kepenų funkcija normali, vidutinis cinakalceto AUC buvo maždaug 2 kartus didesnis</w:t>
      </w:r>
      <w:r w:rsidR="00B847BB">
        <w:t xml:space="preserve"> </w:t>
      </w:r>
      <w:r w:rsidR="009116E3" w:rsidRPr="009116E3">
        <w:t>sergančiųjų vidutinio sunkumo kepenų nepakankamumu ir maždaug 4 kartus – sergančiųjų sunkiu kepenų</w:t>
      </w:r>
      <w:r w:rsidR="00B847BB">
        <w:t xml:space="preserve"> </w:t>
      </w:r>
      <w:r w:rsidR="009116E3" w:rsidRPr="009116E3">
        <w:t>nepakankamumu. Vidutinis cinakalceto pusinės eliminacijos periodas pailgėja 33% ir 70% pacientams,</w:t>
      </w:r>
      <w:r w:rsidR="00B847BB">
        <w:t xml:space="preserve"> </w:t>
      </w:r>
      <w:r w:rsidR="009116E3" w:rsidRPr="009116E3">
        <w:t>kuriems atitinkamai yra vidutinio sunkumo ir sunkus kepenų nepakankamumas. Cinakalceto jungimosi su</w:t>
      </w:r>
      <w:r w:rsidR="00B847BB">
        <w:t xml:space="preserve"> </w:t>
      </w:r>
      <w:r w:rsidR="009116E3" w:rsidRPr="009116E3">
        <w:t>baltymais neveikia sutrikusi kepenų funkcija. Dozė titruojama kiekvienam pacientui individualiai</w:t>
      </w:r>
      <w:r w:rsidR="00B847BB">
        <w:t xml:space="preserve"> </w:t>
      </w:r>
      <w:r w:rsidR="009116E3" w:rsidRPr="009116E3">
        <w:t>atsižvelgiant į saugumo ir efektyvumo rodiklius, todėl papildomai dozės koreguoti nereikia asmenims,</w:t>
      </w:r>
      <w:r w:rsidR="00B847BB">
        <w:t xml:space="preserve"> </w:t>
      </w:r>
      <w:r w:rsidR="009116E3" w:rsidRPr="009116E3">
        <w:t xml:space="preserve">kuriems yra kepenų </w:t>
      </w:r>
      <w:r w:rsidR="00AA340E">
        <w:t xml:space="preserve">funkcijos </w:t>
      </w:r>
      <w:r w:rsidR="009116E3" w:rsidRPr="009116E3">
        <w:t>sutrikimų (žr. 4.2 ir 4.4 skyrius).</w:t>
      </w:r>
    </w:p>
    <w:p w14:paraId="4EE314F3" w14:textId="77777777" w:rsidR="00B847BB" w:rsidRDefault="00B847BB" w:rsidP="009116E3">
      <w:pPr>
        <w:tabs>
          <w:tab w:val="left" w:pos="8322"/>
        </w:tabs>
        <w:rPr>
          <w:i/>
        </w:rPr>
      </w:pPr>
    </w:p>
    <w:p w14:paraId="78A78378" w14:textId="77777777" w:rsidR="009116E3" w:rsidRPr="009116E3" w:rsidRDefault="009116E3" w:rsidP="009116E3">
      <w:pPr>
        <w:tabs>
          <w:tab w:val="left" w:pos="8322"/>
        </w:tabs>
        <w:rPr>
          <w:i/>
        </w:rPr>
      </w:pPr>
      <w:r w:rsidRPr="009116E3">
        <w:rPr>
          <w:i/>
        </w:rPr>
        <w:t>Lytis</w:t>
      </w:r>
    </w:p>
    <w:p w14:paraId="4D6B8097" w14:textId="77777777" w:rsidR="009116E3" w:rsidRDefault="009116E3" w:rsidP="009116E3">
      <w:pPr>
        <w:tabs>
          <w:tab w:val="left" w:pos="8322"/>
        </w:tabs>
      </w:pPr>
      <w:r w:rsidRPr="009116E3">
        <w:t>Moterų cinakalceto klirensas gali būti mažesnis negu vyrų. Dozė yra titruojama kiekvienam pacientui, todėl</w:t>
      </w:r>
      <w:r>
        <w:t xml:space="preserve"> </w:t>
      </w:r>
      <w:r w:rsidRPr="009116E3">
        <w:t>pagal lytį papildomai dozės koreguoti nereikia.</w:t>
      </w:r>
    </w:p>
    <w:p w14:paraId="3030ED35" w14:textId="77777777" w:rsidR="009116E3" w:rsidRDefault="009116E3" w:rsidP="009116E3">
      <w:pPr>
        <w:tabs>
          <w:tab w:val="left" w:pos="8322"/>
        </w:tabs>
      </w:pPr>
    </w:p>
    <w:p w14:paraId="6008E79D" w14:textId="77777777" w:rsidR="009116E3" w:rsidRPr="00B727D0" w:rsidRDefault="009116E3" w:rsidP="009116E3">
      <w:pPr>
        <w:tabs>
          <w:tab w:val="left" w:pos="8322"/>
        </w:tabs>
        <w:rPr>
          <w:i/>
        </w:rPr>
      </w:pPr>
      <w:r w:rsidRPr="00B727D0">
        <w:rPr>
          <w:i/>
        </w:rPr>
        <w:t>Vaikų populiacija</w:t>
      </w:r>
    </w:p>
    <w:p w14:paraId="50AA5850" w14:textId="77777777" w:rsidR="00922DC4" w:rsidRDefault="00922DC4" w:rsidP="00922DC4">
      <w:pPr>
        <w:tabs>
          <w:tab w:val="left" w:pos="8322"/>
        </w:tabs>
      </w:pPr>
      <w:r>
        <w:t>Cinakalceto farmakokinetika buvo tirta vaikams nuo 3 iki 17 metų, sergantiems TILS ir kuriems taikoma dializė. Po vienkartinių ir kartotinių vieną kartą per parą per burną pavartotų cinakalceto dozių, cinakalceto koncentracija plazmoje (Cmax ir AUC reikšmes normalizavus pagal dozę ir svorį) buvo panaši, kuri buvo stebėta suaugusiems pacientams.</w:t>
      </w:r>
    </w:p>
    <w:p w14:paraId="320ACC94" w14:textId="77777777" w:rsidR="00922DC4" w:rsidRDefault="00922DC4" w:rsidP="00922DC4">
      <w:pPr>
        <w:tabs>
          <w:tab w:val="left" w:pos="8322"/>
        </w:tabs>
      </w:pPr>
    </w:p>
    <w:p w14:paraId="21E3B8A3" w14:textId="3EC9B0A1" w:rsidR="00B727D0" w:rsidRDefault="00922DC4" w:rsidP="00B727D0">
      <w:pPr>
        <w:tabs>
          <w:tab w:val="left" w:pos="8322"/>
        </w:tabs>
      </w:pPr>
      <w:r>
        <w:t>Atlikta populiacijos farmakokinetikos analizė siekiant įvertinti demografinių duomenų įtaką. Analizė parodė, kad amžius, lytis rasė, kūno paviršiaus plotas ir kūno svoris cinakalceto farmakokinetikai reikšmingos įtakos neturi.</w:t>
      </w:r>
    </w:p>
    <w:p w14:paraId="382F07D4" w14:textId="77777777" w:rsidR="00922DC4" w:rsidRDefault="00922DC4" w:rsidP="00B727D0">
      <w:pPr>
        <w:tabs>
          <w:tab w:val="left" w:pos="8322"/>
        </w:tabs>
        <w:rPr>
          <w:i/>
        </w:rPr>
      </w:pPr>
    </w:p>
    <w:p w14:paraId="7F4C15D8" w14:textId="77777777" w:rsidR="00B727D0" w:rsidRPr="00B727D0" w:rsidRDefault="00B727D0" w:rsidP="00B727D0">
      <w:pPr>
        <w:tabs>
          <w:tab w:val="left" w:pos="8322"/>
        </w:tabs>
      </w:pPr>
      <w:r w:rsidRPr="00B727D0">
        <w:rPr>
          <w:i/>
        </w:rPr>
        <w:t>Rūkymas</w:t>
      </w:r>
    </w:p>
    <w:p w14:paraId="24EF0AC3" w14:textId="77777777" w:rsidR="009116E3" w:rsidRDefault="00B727D0" w:rsidP="00B727D0">
      <w:pPr>
        <w:tabs>
          <w:tab w:val="left" w:pos="8322"/>
        </w:tabs>
      </w:pPr>
      <w:r w:rsidRPr="00B727D0">
        <w:t>Rūkančiųjų cinakalceto klirensas yra didesnis negu nerūkančiųjų, tikriausiai dėl CYP1A2 metabolizmo</w:t>
      </w:r>
      <w:r w:rsidR="00B847BB">
        <w:t xml:space="preserve"> </w:t>
      </w:r>
      <w:r w:rsidRPr="00B727D0">
        <w:t>indukcijos. Jeigu pacientas nustoja ar pradeda rūkyti, cinakalceto koncentracija plazmoje gali kisti ir gali</w:t>
      </w:r>
      <w:r w:rsidR="00B847BB">
        <w:t xml:space="preserve"> </w:t>
      </w:r>
      <w:r w:rsidRPr="00B727D0">
        <w:t>tekti koreguoti dozę.</w:t>
      </w:r>
    </w:p>
    <w:p w14:paraId="017CA818" w14:textId="77777777" w:rsidR="002108DE" w:rsidRPr="002108DE" w:rsidRDefault="002108DE" w:rsidP="002108DE">
      <w:pPr>
        <w:pStyle w:val="Antrat4"/>
        <w:rPr>
          <w:rFonts w:ascii="Times New Roman" w:hAnsi="Times New Roman"/>
          <w:i w:val="0"/>
          <w:color w:val="auto"/>
        </w:rPr>
      </w:pPr>
      <w:r w:rsidRPr="002108DE">
        <w:rPr>
          <w:rFonts w:ascii="Times New Roman" w:hAnsi="Times New Roman"/>
          <w:i w:val="0"/>
          <w:color w:val="auto"/>
        </w:rPr>
        <w:t>5.3</w:t>
      </w:r>
      <w:r w:rsidRPr="002108DE">
        <w:rPr>
          <w:rFonts w:ascii="Times New Roman" w:hAnsi="Times New Roman"/>
          <w:i w:val="0"/>
          <w:color w:val="auto"/>
        </w:rPr>
        <w:tab/>
        <w:t>Ikiklinikinių saugumo tyrimų duomenys</w:t>
      </w:r>
    </w:p>
    <w:p w14:paraId="26495E9D" w14:textId="77777777" w:rsidR="00B727D0" w:rsidRDefault="00B727D0" w:rsidP="00B727D0">
      <w:pPr>
        <w:tabs>
          <w:tab w:val="left" w:pos="8322"/>
        </w:tabs>
      </w:pPr>
    </w:p>
    <w:p w14:paraId="67BF61DC" w14:textId="77777777" w:rsidR="002108DE" w:rsidRPr="002108DE" w:rsidRDefault="002108DE" w:rsidP="002108DE">
      <w:pPr>
        <w:tabs>
          <w:tab w:val="left" w:pos="8322"/>
        </w:tabs>
      </w:pPr>
      <w:r w:rsidRPr="002108DE">
        <w:t xml:space="preserve">Cinakalcetas, kurio buvo skiriama 0,4 </w:t>
      </w:r>
      <w:r w:rsidR="00645107">
        <w:t xml:space="preserve">karto </w:t>
      </w:r>
      <w:r w:rsidRPr="002108DE">
        <w:t>(pagal AUC) didžiausios žmogaus dozės antrinei HPT (180</w:t>
      </w:r>
      <w:r w:rsidR="00B847BB">
        <w:t> </w:t>
      </w:r>
      <w:r w:rsidRPr="002108DE">
        <w:t>mg per</w:t>
      </w:r>
      <w:r w:rsidR="00B847BB">
        <w:t xml:space="preserve"> </w:t>
      </w:r>
      <w:r w:rsidRPr="002108DE">
        <w:t>parą) gydyti, triušių teratogeniškai neveikė. Neteratogeninė dozė žiurkėms buvo 4,4 karto (pagal AUC)</w:t>
      </w:r>
      <w:r w:rsidR="00B847BB">
        <w:t xml:space="preserve"> </w:t>
      </w:r>
      <w:r w:rsidRPr="002108DE">
        <w:t xml:space="preserve">didesnė negu didžiausia dozė antrinei HPT gydyti. </w:t>
      </w:r>
      <w:r w:rsidR="00645107">
        <w:t>P</w:t>
      </w:r>
      <w:r w:rsidR="00645107" w:rsidRPr="002108DE">
        <w:t>oveikio patinų ir patelių vaisingumui nenustatyta</w:t>
      </w:r>
      <w:r w:rsidR="00645107">
        <w:t>, v</w:t>
      </w:r>
      <w:r w:rsidRPr="002108DE">
        <w:t>artojant iki 4 kartų didesnę dozę negu žmogaus 180</w:t>
      </w:r>
      <w:r w:rsidR="00B847BB">
        <w:t> </w:t>
      </w:r>
      <w:r w:rsidRPr="002108DE">
        <w:t>mg</w:t>
      </w:r>
      <w:r>
        <w:t xml:space="preserve"> </w:t>
      </w:r>
      <w:r w:rsidRPr="002108DE">
        <w:t>per parą dozė (nedidelės pacientų, gavusių 360</w:t>
      </w:r>
      <w:r w:rsidR="00B847BB">
        <w:t> </w:t>
      </w:r>
      <w:r w:rsidRPr="002108DE">
        <w:t>mg per parą dozę, dalies saugumo ribos būtų maždaug pusė</w:t>
      </w:r>
      <w:r>
        <w:t xml:space="preserve"> </w:t>
      </w:r>
      <w:r w:rsidRPr="002108DE">
        <w:t xml:space="preserve">aukščiau nurodytų dozių), </w:t>
      </w:r>
    </w:p>
    <w:p w14:paraId="341A1C70" w14:textId="77777777" w:rsidR="002108DE" w:rsidRDefault="002108DE" w:rsidP="002108DE">
      <w:pPr>
        <w:tabs>
          <w:tab w:val="left" w:pos="8322"/>
        </w:tabs>
      </w:pPr>
    </w:p>
    <w:p w14:paraId="68C1B8DF" w14:textId="77777777" w:rsidR="002108DE" w:rsidRPr="002108DE" w:rsidRDefault="002108DE" w:rsidP="002108DE">
      <w:pPr>
        <w:tabs>
          <w:tab w:val="left" w:pos="8322"/>
        </w:tabs>
      </w:pPr>
      <w:r w:rsidRPr="002108DE">
        <w:t>Duodant didžiausias dozes, šiek tiek sumažėjo apvaisintų žiurkių kūno svoris bei jų suėdamo maisto kiekis.</w:t>
      </w:r>
      <w:r>
        <w:t xml:space="preserve"> </w:t>
      </w:r>
      <w:r w:rsidRPr="002108DE">
        <w:t>Kai buvo duodama dozė, sukelianti sunkią hipokalcemiją patelėms, stebėtas sumažėjęs vaisių svoris.</w:t>
      </w:r>
      <w:r>
        <w:t xml:space="preserve"> </w:t>
      </w:r>
      <w:r w:rsidRPr="002108DE">
        <w:t>Nustatyta, kad cinakalcetas praeina pro triušių placentos barjerą.</w:t>
      </w:r>
    </w:p>
    <w:p w14:paraId="6ADE2816" w14:textId="77777777" w:rsidR="002108DE" w:rsidRDefault="002108DE" w:rsidP="002108DE">
      <w:pPr>
        <w:tabs>
          <w:tab w:val="left" w:pos="8322"/>
        </w:tabs>
      </w:pPr>
    </w:p>
    <w:p w14:paraId="67B4D577" w14:textId="77777777" w:rsidR="002108DE" w:rsidRDefault="002108DE" w:rsidP="002108DE">
      <w:pPr>
        <w:tabs>
          <w:tab w:val="left" w:pos="8322"/>
        </w:tabs>
      </w:pPr>
      <w:r w:rsidRPr="002108DE">
        <w:t>Cinakalcetas neveikė genotoksiškai ar kancerogeniškai. Pagal toksikologinių tyrimų duomenis saugumo</w:t>
      </w:r>
      <w:r w:rsidR="00B847BB">
        <w:t xml:space="preserve"> </w:t>
      </w:r>
      <w:r w:rsidRPr="002108DE">
        <w:t>ribos yra siauros dėl nuo dozės priklausomos hipokalcemijos, stebėtos tiriant gyvūnų modelius. Katarakta ir</w:t>
      </w:r>
      <w:r>
        <w:t xml:space="preserve"> </w:t>
      </w:r>
      <w:r w:rsidRPr="002108DE">
        <w:t>lęšiuko drumstis buvo pastebėti graužikų pakartotinės dozės toksiškumo ir kancerogeniškumo tyrimuose,</w:t>
      </w:r>
      <w:r>
        <w:t xml:space="preserve"> </w:t>
      </w:r>
      <w:r w:rsidRPr="002108DE">
        <w:t>tačiau šios būklės nebuvo pastebėtos tiriant šunis ar beždžiones, taip pat klinikiniuose tyrimuose, kuriuose</w:t>
      </w:r>
      <w:r>
        <w:t xml:space="preserve"> </w:t>
      </w:r>
      <w:r w:rsidRPr="002108DE">
        <w:t>buvo stebimas ir kataraktos formavimasis. Žinoma, kad graužikams katarakta formuojasi dėl hipokalcemijos.</w:t>
      </w:r>
    </w:p>
    <w:p w14:paraId="1F6E31A4" w14:textId="77777777" w:rsidR="002108DE" w:rsidRPr="002108DE" w:rsidRDefault="002108DE" w:rsidP="002108DE">
      <w:pPr>
        <w:tabs>
          <w:tab w:val="left" w:pos="8322"/>
        </w:tabs>
      </w:pPr>
    </w:p>
    <w:p w14:paraId="61731A45" w14:textId="77777777" w:rsidR="002108DE" w:rsidRDefault="002108DE" w:rsidP="002108DE">
      <w:pPr>
        <w:tabs>
          <w:tab w:val="left" w:pos="8322"/>
        </w:tabs>
      </w:pPr>
      <w:r w:rsidRPr="002108DE">
        <w:rPr>
          <w:i/>
        </w:rPr>
        <w:t>In vitro</w:t>
      </w:r>
      <w:r w:rsidRPr="002108DE">
        <w:t xml:space="preserve"> tyrimų metu nustatyta, kad, esant vienodoms eksperimento sąlygoms, IC50 vertės serotonino</w:t>
      </w:r>
      <w:r w:rsidR="00B847BB">
        <w:t xml:space="preserve"> </w:t>
      </w:r>
      <w:r w:rsidRPr="002108DE">
        <w:t>pernešėja</w:t>
      </w:r>
      <w:r w:rsidR="00645107">
        <w:t>ms</w:t>
      </w:r>
      <w:r w:rsidRPr="002108DE">
        <w:t xml:space="preserve"> ir KATP kanalams buvo, atitinkamai, 7 ir 12 kartų didesnės už EC50 </w:t>
      </w:r>
      <w:r w:rsidR="00645107" w:rsidRPr="002108DE">
        <w:t>kalci</w:t>
      </w:r>
      <w:r w:rsidR="00645107">
        <w:t>ui</w:t>
      </w:r>
      <w:r w:rsidR="00645107" w:rsidRPr="002108DE">
        <w:t xml:space="preserve"> </w:t>
      </w:r>
      <w:r w:rsidRPr="002108DE">
        <w:t>jautri</w:t>
      </w:r>
      <w:r w:rsidR="00645107">
        <w:t>ų</w:t>
      </w:r>
      <w:r>
        <w:t xml:space="preserve"> </w:t>
      </w:r>
      <w:r w:rsidRPr="002108DE">
        <w:t>receptori</w:t>
      </w:r>
      <w:r w:rsidR="00645107">
        <w:t>ų</w:t>
      </w:r>
      <w:r w:rsidRPr="002108DE">
        <w:t xml:space="preserve"> vertę. Klinikinė reikšmė nežinoma, tačiau negalima visiškai paneigti galimybės, kad</w:t>
      </w:r>
      <w:r>
        <w:t xml:space="preserve"> </w:t>
      </w:r>
      <w:r w:rsidRPr="002108DE">
        <w:t>cinakalcetas veikia šiuos antrinius taikinius.</w:t>
      </w:r>
    </w:p>
    <w:p w14:paraId="17C3C407" w14:textId="77777777" w:rsidR="00F6697B" w:rsidRDefault="00F6697B" w:rsidP="002108DE">
      <w:pPr>
        <w:tabs>
          <w:tab w:val="left" w:pos="8322"/>
        </w:tabs>
      </w:pPr>
    </w:p>
    <w:p w14:paraId="4C43F6CA" w14:textId="77777777" w:rsidR="00F6697B" w:rsidRDefault="00F6697B" w:rsidP="00F6697B">
      <w:pPr>
        <w:tabs>
          <w:tab w:val="left" w:pos="8322"/>
        </w:tabs>
      </w:pPr>
      <w:r>
        <w:t>Toksinio poveikio tyrimų su jaunais šunimis metu, nustatytas tremoras dėl sumažėjusios kalcio koncentracijos serume, vėmimas, sumažėjęs kūno svoris ir sulėtėjęs svorio augimas, sumažėjęs raudonųjų kraujo ląstelių kiekis, kaulų densitometrinių parametrų nedidelis sumažėjimas, ilgųjų kaulų augimo plokštelių grižtamasis praplatėjimas ir histologiniai limfinio audinio pakitimai (daugiausia krūtinės ertmėje, atsiradę dėl lėtinio vėmimo). Visi šie pakitimai nustatyti, kai sisteminė ekspozicija, remiantis AUC, buvo beveik lygiavertė ekspozicijai pacientų, gaunančių didžiausias dozes antrinės HPT gydymui.</w:t>
      </w:r>
    </w:p>
    <w:p w14:paraId="665F90B4" w14:textId="77777777" w:rsidR="002108DE" w:rsidRDefault="002108DE" w:rsidP="002108DE">
      <w:pPr>
        <w:tabs>
          <w:tab w:val="left" w:pos="8322"/>
        </w:tabs>
      </w:pPr>
    </w:p>
    <w:p w14:paraId="7B3F23C0" w14:textId="77777777" w:rsidR="002108DE" w:rsidRDefault="002108DE" w:rsidP="002108DE">
      <w:pPr>
        <w:pStyle w:val="Antrat3"/>
        <w:spacing w:before="0" w:after="0" w:line="240" w:lineRule="auto"/>
        <w:rPr>
          <w:rFonts w:ascii="Times New Roman" w:hAnsi="Times New Roman"/>
          <w:sz w:val="22"/>
        </w:rPr>
      </w:pPr>
    </w:p>
    <w:p w14:paraId="404B7F33" w14:textId="77777777" w:rsidR="002108DE" w:rsidRPr="00B34FA1" w:rsidRDefault="002108DE" w:rsidP="00D163B0">
      <w:pPr>
        <w:pStyle w:val="Antrat3"/>
        <w:spacing w:before="0" w:after="0" w:line="240" w:lineRule="auto"/>
        <w:rPr>
          <w:rFonts w:ascii="Times New Roman" w:hAnsi="Times New Roman"/>
          <w:sz w:val="22"/>
        </w:rPr>
      </w:pPr>
      <w:r w:rsidRPr="00B34FA1">
        <w:rPr>
          <w:rFonts w:ascii="Times New Roman" w:hAnsi="Times New Roman"/>
          <w:sz w:val="22"/>
        </w:rPr>
        <w:t>6.</w:t>
      </w:r>
      <w:r w:rsidRPr="00B34FA1">
        <w:rPr>
          <w:rFonts w:ascii="Times New Roman" w:hAnsi="Times New Roman"/>
          <w:sz w:val="22"/>
        </w:rPr>
        <w:tab/>
        <w:t>FARMACINĖ INFORMACIJA</w:t>
      </w:r>
    </w:p>
    <w:p w14:paraId="2B5BAA82" w14:textId="77777777" w:rsidR="002108DE" w:rsidRPr="00B34FA1" w:rsidRDefault="002108DE" w:rsidP="00EA7BA0">
      <w:pPr>
        <w:tabs>
          <w:tab w:val="clear" w:pos="567"/>
        </w:tabs>
        <w:spacing w:line="240" w:lineRule="auto"/>
        <w:rPr>
          <w:szCs w:val="24"/>
        </w:rPr>
      </w:pPr>
    </w:p>
    <w:p w14:paraId="76A9150A" w14:textId="77777777" w:rsidR="002108DE" w:rsidRPr="002108DE" w:rsidRDefault="002108DE" w:rsidP="00811A4B">
      <w:pPr>
        <w:pStyle w:val="Antrat4"/>
        <w:spacing w:before="0" w:line="240" w:lineRule="auto"/>
        <w:rPr>
          <w:rFonts w:ascii="Times New Roman" w:hAnsi="Times New Roman"/>
          <w:i w:val="0"/>
          <w:color w:val="auto"/>
        </w:rPr>
      </w:pPr>
      <w:r w:rsidRPr="002108DE">
        <w:rPr>
          <w:rFonts w:ascii="Times New Roman" w:hAnsi="Times New Roman"/>
          <w:i w:val="0"/>
          <w:color w:val="auto"/>
        </w:rPr>
        <w:t>6.1</w:t>
      </w:r>
      <w:r w:rsidRPr="002108DE">
        <w:rPr>
          <w:rFonts w:ascii="Times New Roman" w:hAnsi="Times New Roman"/>
          <w:i w:val="0"/>
          <w:color w:val="auto"/>
        </w:rPr>
        <w:tab/>
        <w:t>Pagalbinių medžiagų sąrašas</w:t>
      </w:r>
    </w:p>
    <w:p w14:paraId="4F991C57" w14:textId="77777777" w:rsidR="002108DE" w:rsidRDefault="002108DE" w:rsidP="00811A4B">
      <w:pPr>
        <w:tabs>
          <w:tab w:val="left" w:pos="8322"/>
        </w:tabs>
        <w:spacing w:line="240" w:lineRule="auto"/>
      </w:pPr>
    </w:p>
    <w:p w14:paraId="3FE10B40" w14:textId="77777777" w:rsidR="002108DE" w:rsidRPr="00F954C2" w:rsidRDefault="00F954C2" w:rsidP="00811A4B">
      <w:pPr>
        <w:tabs>
          <w:tab w:val="left" w:pos="8322"/>
        </w:tabs>
        <w:spacing w:line="240" w:lineRule="auto"/>
        <w:rPr>
          <w:u w:val="single"/>
        </w:rPr>
      </w:pPr>
      <w:r w:rsidRPr="00F954C2">
        <w:rPr>
          <w:u w:val="single"/>
        </w:rPr>
        <w:t>Tabletės šerdis</w:t>
      </w:r>
    </w:p>
    <w:p w14:paraId="37796154" w14:textId="77777777" w:rsidR="00F954C2" w:rsidRDefault="00F954C2" w:rsidP="00D163B0">
      <w:pPr>
        <w:tabs>
          <w:tab w:val="clear" w:pos="567"/>
        </w:tabs>
        <w:autoSpaceDE w:val="0"/>
        <w:autoSpaceDN w:val="0"/>
        <w:adjustRightInd w:val="0"/>
        <w:spacing w:line="240" w:lineRule="auto"/>
      </w:pPr>
    </w:p>
    <w:p w14:paraId="4697AD81" w14:textId="77777777" w:rsidR="00F954C2" w:rsidRPr="00F954C2" w:rsidRDefault="00F954C2" w:rsidP="00EA7BA0">
      <w:pPr>
        <w:tabs>
          <w:tab w:val="clear" w:pos="567"/>
        </w:tabs>
        <w:autoSpaceDE w:val="0"/>
        <w:autoSpaceDN w:val="0"/>
        <w:adjustRightInd w:val="0"/>
        <w:spacing w:line="240" w:lineRule="auto"/>
      </w:pPr>
      <w:r>
        <w:t>P</w:t>
      </w:r>
      <w:r w:rsidRPr="00F954C2">
        <w:t>regelifikuotas</w:t>
      </w:r>
      <w:r>
        <w:t xml:space="preserve"> kukurūzų krakmolas</w:t>
      </w:r>
    </w:p>
    <w:p w14:paraId="43E80D79" w14:textId="77777777" w:rsidR="00F954C2" w:rsidRPr="00F954C2" w:rsidRDefault="00F954C2">
      <w:pPr>
        <w:tabs>
          <w:tab w:val="clear" w:pos="567"/>
        </w:tabs>
        <w:autoSpaceDE w:val="0"/>
        <w:autoSpaceDN w:val="0"/>
        <w:adjustRightInd w:val="0"/>
        <w:spacing w:line="240" w:lineRule="auto"/>
      </w:pPr>
      <w:r>
        <w:t>Mikrokristalinė celiuliozė</w:t>
      </w:r>
    </w:p>
    <w:p w14:paraId="3859AC1B" w14:textId="77777777" w:rsidR="00F954C2" w:rsidRPr="00F954C2" w:rsidRDefault="00F954C2">
      <w:pPr>
        <w:tabs>
          <w:tab w:val="clear" w:pos="567"/>
        </w:tabs>
        <w:autoSpaceDE w:val="0"/>
        <w:autoSpaceDN w:val="0"/>
        <w:adjustRightInd w:val="0"/>
        <w:spacing w:line="240" w:lineRule="auto"/>
      </w:pPr>
      <w:r>
        <w:t>Krospovidonas</w:t>
      </w:r>
      <w:r w:rsidR="00D163B0">
        <w:t xml:space="preserve"> (B tipo)</w:t>
      </w:r>
    </w:p>
    <w:p w14:paraId="632C56C8" w14:textId="77777777" w:rsidR="00F954C2" w:rsidRPr="00F954C2" w:rsidRDefault="00F954C2">
      <w:pPr>
        <w:tabs>
          <w:tab w:val="clear" w:pos="567"/>
        </w:tabs>
        <w:autoSpaceDE w:val="0"/>
        <w:autoSpaceDN w:val="0"/>
        <w:adjustRightInd w:val="0"/>
        <w:spacing w:line="240" w:lineRule="auto"/>
      </w:pPr>
      <w:r>
        <w:t>Magnio stearatas</w:t>
      </w:r>
    </w:p>
    <w:p w14:paraId="370A21BB" w14:textId="77777777" w:rsidR="00F954C2" w:rsidRDefault="00F954C2">
      <w:pPr>
        <w:tabs>
          <w:tab w:val="clear" w:pos="567"/>
        </w:tabs>
        <w:autoSpaceDE w:val="0"/>
        <w:autoSpaceDN w:val="0"/>
        <w:adjustRightInd w:val="0"/>
        <w:spacing w:line="240" w:lineRule="auto"/>
      </w:pPr>
      <w:r>
        <w:t>B</w:t>
      </w:r>
      <w:r w:rsidRPr="00F954C2">
        <w:t>evanden</w:t>
      </w:r>
      <w:r>
        <w:t>is koloidinis silicio dioksidas</w:t>
      </w:r>
    </w:p>
    <w:p w14:paraId="1ABCCC11" w14:textId="77777777" w:rsidR="00F954C2" w:rsidRDefault="00F954C2">
      <w:pPr>
        <w:tabs>
          <w:tab w:val="clear" w:pos="567"/>
        </w:tabs>
        <w:autoSpaceDE w:val="0"/>
        <w:autoSpaceDN w:val="0"/>
        <w:adjustRightInd w:val="0"/>
        <w:spacing w:line="240" w:lineRule="auto"/>
      </w:pPr>
    </w:p>
    <w:p w14:paraId="57ED6671" w14:textId="77777777" w:rsidR="00F954C2" w:rsidRDefault="00F954C2">
      <w:pPr>
        <w:tabs>
          <w:tab w:val="clear" w:pos="567"/>
        </w:tabs>
        <w:autoSpaceDE w:val="0"/>
        <w:autoSpaceDN w:val="0"/>
        <w:adjustRightInd w:val="0"/>
        <w:spacing w:line="240" w:lineRule="auto"/>
        <w:rPr>
          <w:u w:val="single"/>
        </w:rPr>
      </w:pPr>
      <w:r w:rsidRPr="00F954C2">
        <w:rPr>
          <w:u w:val="single"/>
        </w:rPr>
        <w:t xml:space="preserve">Tabletės </w:t>
      </w:r>
      <w:r w:rsidR="00D163B0">
        <w:rPr>
          <w:u w:val="single"/>
        </w:rPr>
        <w:t>plėvelė</w:t>
      </w:r>
    </w:p>
    <w:p w14:paraId="48105E40" w14:textId="77777777" w:rsidR="00F954C2" w:rsidRPr="00F954C2" w:rsidRDefault="00F954C2">
      <w:pPr>
        <w:tabs>
          <w:tab w:val="clear" w:pos="567"/>
        </w:tabs>
        <w:autoSpaceDE w:val="0"/>
        <w:autoSpaceDN w:val="0"/>
        <w:adjustRightInd w:val="0"/>
        <w:spacing w:line="240" w:lineRule="auto"/>
      </w:pPr>
      <w:r w:rsidRPr="00F954C2">
        <w:t>Polivinil</w:t>
      </w:r>
      <w:r w:rsidR="00D163B0">
        <w:t xml:space="preserve">o </w:t>
      </w:r>
      <w:r w:rsidRPr="00F954C2">
        <w:t>alkoholis</w:t>
      </w:r>
    </w:p>
    <w:p w14:paraId="36FC9B10" w14:textId="77777777" w:rsidR="00F954C2" w:rsidRPr="00F954C2" w:rsidRDefault="00F954C2">
      <w:pPr>
        <w:tabs>
          <w:tab w:val="clear" w:pos="567"/>
        </w:tabs>
        <w:autoSpaceDE w:val="0"/>
        <w:autoSpaceDN w:val="0"/>
        <w:adjustRightInd w:val="0"/>
        <w:spacing w:line="240" w:lineRule="auto"/>
      </w:pPr>
      <w:r w:rsidRPr="00F954C2">
        <w:t>Titano dioksidas (E171)</w:t>
      </w:r>
    </w:p>
    <w:p w14:paraId="13D5782D" w14:textId="77777777" w:rsidR="00F954C2" w:rsidRPr="00F954C2" w:rsidRDefault="00F954C2">
      <w:pPr>
        <w:tabs>
          <w:tab w:val="clear" w:pos="567"/>
        </w:tabs>
        <w:autoSpaceDE w:val="0"/>
        <w:autoSpaceDN w:val="0"/>
        <w:adjustRightInd w:val="0"/>
        <w:spacing w:line="240" w:lineRule="auto"/>
      </w:pPr>
      <w:r w:rsidRPr="00F954C2">
        <w:t>Makrogolis 3350</w:t>
      </w:r>
    </w:p>
    <w:p w14:paraId="7F701522" w14:textId="77777777" w:rsidR="00F954C2" w:rsidRPr="00F954C2" w:rsidRDefault="00F954C2">
      <w:pPr>
        <w:tabs>
          <w:tab w:val="clear" w:pos="567"/>
        </w:tabs>
        <w:autoSpaceDE w:val="0"/>
        <w:autoSpaceDN w:val="0"/>
        <w:adjustRightInd w:val="0"/>
        <w:spacing w:line="240" w:lineRule="auto"/>
      </w:pPr>
      <w:r w:rsidRPr="00F954C2">
        <w:t>Talkas</w:t>
      </w:r>
    </w:p>
    <w:p w14:paraId="09E7C1CD" w14:textId="77777777" w:rsidR="00F954C2" w:rsidRPr="00F954C2" w:rsidRDefault="00F954C2">
      <w:pPr>
        <w:tabs>
          <w:tab w:val="clear" w:pos="567"/>
        </w:tabs>
        <w:autoSpaceDE w:val="0"/>
        <w:autoSpaceDN w:val="0"/>
        <w:adjustRightInd w:val="0"/>
        <w:spacing w:line="240" w:lineRule="auto"/>
      </w:pPr>
      <w:r w:rsidRPr="00F954C2">
        <w:t>Geltonasis geležies oksidas (E172)</w:t>
      </w:r>
    </w:p>
    <w:p w14:paraId="1B02801C" w14:textId="77777777" w:rsidR="00F954C2" w:rsidRPr="00F954C2" w:rsidRDefault="00F954C2">
      <w:pPr>
        <w:tabs>
          <w:tab w:val="clear" w:pos="567"/>
        </w:tabs>
        <w:autoSpaceDE w:val="0"/>
        <w:autoSpaceDN w:val="0"/>
        <w:adjustRightInd w:val="0"/>
        <w:spacing w:line="240" w:lineRule="auto"/>
      </w:pPr>
      <w:r w:rsidRPr="00F954C2">
        <w:t>Indigokarmino aliumininio daž</w:t>
      </w:r>
      <w:r w:rsidR="00D163B0">
        <w:t>alas</w:t>
      </w:r>
      <w:r w:rsidRPr="00F954C2">
        <w:t xml:space="preserve"> (E132)</w:t>
      </w:r>
    </w:p>
    <w:p w14:paraId="49F97336" w14:textId="77777777" w:rsidR="00F954C2" w:rsidRDefault="00F954C2" w:rsidP="00811A4B">
      <w:pPr>
        <w:tabs>
          <w:tab w:val="left" w:pos="8322"/>
        </w:tabs>
        <w:spacing w:line="240" w:lineRule="auto"/>
      </w:pPr>
    </w:p>
    <w:p w14:paraId="01C5AB93" w14:textId="77777777" w:rsidR="00F954C2" w:rsidRPr="00F954C2" w:rsidRDefault="00F954C2" w:rsidP="00811A4B">
      <w:pPr>
        <w:pStyle w:val="Antrat4"/>
        <w:spacing w:before="0" w:line="240" w:lineRule="auto"/>
        <w:rPr>
          <w:rFonts w:ascii="Times New Roman" w:hAnsi="Times New Roman"/>
          <w:i w:val="0"/>
          <w:color w:val="auto"/>
        </w:rPr>
      </w:pPr>
      <w:r w:rsidRPr="00F954C2">
        <w:rPr>
          <w:rFonts w:ascii="Times New Roman" w:hAnsi="Times New Roman"/>
          <w:i w:val="0"/>
          <w:color w:val="auto"/>
        </w:rPr>
        <w:t>6.2</w:t>
      </w:r>
      <w:r w:rsidRPr="00F954C2">
        <w:rPr>
          <w:rFonts w:ascii="Times New Roman" w:hAnsi="Times New Roman"/>
          <w:i w:val="0"/>
          <w:color w:val="auto"/>
        </w:rPr>
        <w:tab/>
        <w:t>Nesuderinamumas</w:t>
      </w:r>
    </w:p>
    <w:p w14:paraId="1753C86C" w14:textId="77777777" w:rsidR="00F954C2" w:rsidRPr="00B34FA1" w:rsidRDefault="00F954C2" w:rsidP="00D163B0">
      <w:pPr>
        <w:tabs>
          <w:tab w:val="clear" w:pos="567"/>
        </w:tabs>
        <w:spacing w:line="240" w:lineRule="auto"/>
        <w:rPr>
          <w:szCs w:val="24"/>
        </w:rPr>
      </w:pPr>
    </w:p>
    <w:p w14:paraId="043C9C8D" w14:textId="77777777" w:rsidR="00F954C2" w:rsidRDefault="00F954C2" w:rsidP="00EA7BA0">
      <w:pPr>
        <w:tabs>
          <w:tab w:val="clear" w:pos="567"/>
        </w:tabs>
        <w:spacing w:line="240" w:lineRule="auto"/>
        <w:rPr>
          <w:noProof/>
          <w:szCs w:val="24"/>
        </w:rPr>
      </w:pPr>
      <w:r>
        <w:rPr>
          <w:noProof/>
          <w:szCs w:val="24"/>
        </w:rPr>
        <w:t>Duomenys nebūtini.</w:t>
      </w:r>
    </w:p>
    <w:p w14:paraId="244E7204" w14:textId="77777777" w:rsidR="00F954C2" w:rsidRDefault="00F954C2">
      <w:pPr>
        <w:tabs>
          <w:tab w:val="clear" w:pos="567"/>
        </w:tabs>
        <w:spacing w:line="240" w:lineRule="auto"/>
        <w:rPr>
          <w:noProof/>
          <w:szCs w:val="24"/>
        </w:rPr>
      </w:pPr>
    </w:p>
    <w:p w14:paraId="7078BE0B" w14:textId="77777777" w:rsidR="00F954C2" w:rsidRDefault="00F954C2" w:rsidP="00811A4B">
      <w:pPr>
        <w:pStyle w:val="Antrat4"/>
        <w:spacing w:before="0" w:line="240" w:lineRule="auto"/>
        <w:rPr>
          <w:rFonts w:ascii="Times New Roman" w:hAnsi="Times New Roman"/>
          <w:i w:val="0"/>
          <w:color w:val="auto"/>
        </w:rPr>
      </w:pPr>
      <w:r w:rsidRPr="00F954C2">
        <w:rPr>
          <w:rFonts w:ascii="Times New Roman" w:hAnsi="Times New Roman"/>
          <w:i w:val="0"/>
          <w:color w:val="auto"/>
        </w:rPr>
        <w:t>6.3</w:t>
      </w:r>
      <w:r w:rsidRPr="00F954C2">
        <w:rPr>
          <w:rFonts w:ascii="Times New Roman" w:hAnsi="Times New Roman"/>
          <w:i w:val="0"/>
          <w:color w:val="auto"/>
        </w:rPr>
        <w:tab/>
        <w:t>Tinkamumo laikas</w:t>
      </w:r>
    </w:p>
    <w:p w14:paraId="631FADD8" w14:textId="77777777" w:rsidR="00F954C2" w:rsidRDefault="00F954C2" w:rsidP="00811A4B">
      <w:pPr>
        <w:spacing w:line="240" w:lineRule="auto"/>
      </w:pPr>
    </w:p>
    <w:p w14:paraId="515D2F6E" w14:textId="77777777" w:rsidR="00F954C2" w:rsidRDefault="00F954C2" w:rsidP="00811A4B">
      <w:pPr>
        <w:spacing w:line="240" w:lineRule="auto"/>
      </w:pPr>
      <w:r>
        <w:t>2 metai</w:t>
      </w:r>
      <w:r w:rsidR="00777D09">
        <w:t>.</w:t>
      </w:r>
    </w:p>
    <w:p w14:paraId="7EF16161" w14:textId="77777777" w:rsidR="00F954C2" w:rsidRDefault="00F954C2" w:rsidP="00811A4B">
      <w:pPr>
        <w:spacing w:line="240" w:lineRule="auto"/>
      </w:pPr>
    </w:p>
    <w:p w14:paraId="0D31BEF4" w14:textId="77777777" w:rsidR="00F954C2" w:rsidRPr="00F954C2" w:rsidRDefault="00F954C2" w:rsidP="00811A4B">
      <w:pPr>
        <w:pStyle w:val="Antrat4"/>
        <w:spacing w:before="0" w:line="240" w:lineRule="auto"/>
        <w:rPr>
          <w:rFonts w:ascii="Times New Roman" w:hAnsi="Times New Roman"/>
          <w:i w:val="0"/>
          <w:color w:val="auto"/>
        </w:rPr>
      </w:pPr>
      <w:r w:rsidRPr="00F954C2">
        <w:rPr>
          <w:rFonts w:ascii="Times New Roman" w:hAnsi="Times New Roman"/>
          <w:i w:val="0"/>
          <w:color w:val="auto"/>
        </w:rPr>
        <w:t>6.4</w:t>
      </w:r>
      <w:r w:rsidRPr="00F954C2">
        <w:rPr>
          <w:rFonts w:ascii="Times New Roman" w:hAnsi="Times New Roman"/>
          <w:i w:val="0"/>
          <w:color w:val="auto"/>
        </w:rPr>
        <w:tab/>
        <w:t>Specialios laikymo sąlygos</w:t>
      </w:r>
    </w:p>
    <w:p w14:paraId="48773BBB" w14:textId="77777777" w:rsidR="00F954C2" w:rsidRPr="00F954C2" w:rsidRDefault="00F954C2" w:rsidP="00811A4B">
      <w:pPr>
        <w:spacing w:line="240" w:lineRule="auto"/>
      </w:pPr>
    </w:p>
    <w:p w14:paraId="213B4B67" w14:textId="77777777" w:rsidR="00F954C2" w:rsidRDefault="00F954C2" w:rsidP="00D163B0">
      <w:pPr>
        <w:tabs>
          <w:tab w:val="clear" w:pos="567"/>
        </w:tabs>
        <w:spacing w:line="240" w:lineRule="auto"/>
        <w:rPr>
          <w:szCs w:val="24"/>
        </w:rPr>
      </w:pPr>
      <w:r w:rsidRPr="00F954C2">
        <w:rPr>
          <w:szCs w:val="24"/>
        </w:rPr>
        <w:t>Šiam vaistiniam preparatui specialių laikymo sąlygų nereikia.</w:t>
      </w:r>
    </w:p>
    <w:p w14:paraId="7AC8796B" w14:textId="77777777" w:rsidR="00F954C2" w:rsidRDefault="00F954C2" w:rsidP="00EA7BA0">
      <w:pPr>
        <w:tabs>
          <w:tab w:val="clear" w:pos="567"/>
        </w:tabs>
        <w:spacing w:line="240" w:lineRule="auto"/>
        <w:rPr>
          <w:szCs w:val="24"/>
        </w:rPr>
      </w:pPr>
    </w:p>
    <w:p w14:paraId="77E6F740" w14:textId="77777777" w:rsidR="00F954C2" w:rsidRPr="00F954C2" w:rsidRDefault="00F954C2" w:rsidP="00811A4B">
      <w:pPr>
        <w:tabs>
          <w:tab w:val="clear" w:pos="567"/>
        </w:tabs>
        <w:spacing w:line="240" w:lineRule="auto"/>
        <w:rPr>
          <w:b/>
          <w:szCs w:val="24"/>
        </w:rPr>
      </w:pPr>
      <w:r w:rsidRPr="00F954C2">
        <w:rPr>
          <w:b/>
        </w:rPr>
        <w:t>6.5</w:t>
      </w:r>
      <w:r w:rsidRPr="00F954C2">
        <w:rPr>
          <w:b/>
        </w:rPr>
        <w:tab/>
        <w:t>Talpyklės pobūdis ir jos turinys</w:t>
      </w:r>
    </w:p>
    <w:p w14:paraId="72A85C57" w14:textId="77777777" w:rsidR="00F954C2" w:rsidRDefault="00F954C2" w:rsidP="00811A4B">
      <w:pPr>
        <w:tabs>
          <w:tab w:val="left" w:pos="8322"/>
        </w:tabs>
        <w:spacing w:line="240" w:lineRule="auto"/>
      </w:pPr>
    </w:p>
    <w:p w14:paraId="3FEB6CD1" w14:textId="77777777" w:rsidR="00F954C2" w:rsidRPr="005703F4" w:rsidRDefault="00F954C2" w:rsidP="00811A4B">
      <w:pPr>
        <w:tabs>
          <w:tab w:val="left" w:pos="8322"/>
        </w:tabs>
        <w:spacing w:line="240" w:lineRule="auto"/>
        <w:rPr>
          <w:i/>
          <w:u w:val="single"/>
        </w:rPr>
      </w:pPr>
      <w:r w:rsidRPr="005703F4">
        <w:rPr>
          <w:i/>
          <w:u w:val="single"/>
        </w:rPr>
        <w:t>Lizdinė</w:t>
      </w:r>
      <w:r w:rsidR="002E75C2">
        <w:rPr>
          <w:i/>
          <w:u w:val="single"/>
        </w:rPr>
        <w:t>s</w:t>
      </w:r>
      <w:r w:rsidRPr="005703F4">
        <w:rPr>
          <w:i/>
          <w:u w:val="single"/>
        </w:rPr>
        <w:t xml:space="preserve"> plokštelė</w:t>
      </w:r>
      <w:r w:rsidR="002E75C2">
        <w:rPr>
          <w:i/>
          <w:u w:val="single"/>
        </w:rPr>
        <w:t>s</w:t>
      </w:r>
    </w:p>
    <w:p w14:paraId="45BA6777" w14:textId="77777777" w:rsidR="00F954C2" w:rsidRDefault="00F954C2" w:rsidP="00811A4B">
      <w:pPr>
        <w:tabs>
          <w:tab w:val="left" w:pos="8322"/>
        </w:tabs>
        <w:spacing w:line="240" w:lineRule="auto"/>
      </w:pPr>
    </w:p>
    <w:p w14:paraId="1B201C65" w14:textId="77777777" w:rsidR="00F954C2" w:rsidRPr="00F954C2" w:rsidRDefault="00F954C2" w:rsidP="00811A4B">
      <w:pPr>
        <w:tabs>
          <w:tab w:val="left" w:pos="8322"/>
        </w:tabs>
        <w:spacing w:line="240" w:lineRule="auto"/>
      </w:pPr>
      <w:r>
        <w:t>PVC/ACLAR/PVC – aliuminio lizdinės plokštelės</w:t>
      </w:r>
      <w:r w:rsidR="002E75C2">
        <w:t xml:space="preserve"> po</w:t>
      </w:r>
      <w:r w:rsidR="00D163B0">
        <w:t xml:space="preserve"> </w:t>
      </w:r>
      <w:r w:rsidRPr="00F954C2">
        <w:t>14, 14x1, 28, 28x1, 30, 30x1, 84, 84x1</w:t>
      </w:r>
      <w:r w:rsidR="0055124C">
        <w:t>, 98, 98x1</w:t>
      </w:r>
      <w:r w:rsidRPr="00F954C2">
        <w:t xml:space="preserve"> </w:t>
      </w:r>
      <w:r>
        <w:t>tabletes kartoninėje dėžutėje</w:t>
      </w:r>
      <w:r w:rsidRPr="00F954C2">
        <w:t>.</w:t>
      </w:r>
    </w:p>
    <w:p w14:paraId="39EE1234" w14:textId="77777777" w:rsidR="005703F4" w:rsidRPr="00F954C2" w:rsidRDefault="00F954C2" w:rsidP="00811A4B">
      <w:pPr>
        <w:tabs>
          <w:tab w:val="left" w:pos="8322"/>
        </w:tabs>
        <w:spacing w:line="240" w:lineRule="auto"/>
      </w:pPr>
      <w:r w:rsidRPr="00F954C2">
        <w:t xml:space="preserve">PVC/ACLAR/PVdC/PVC - </w:t>
      </w:r>
      <w:r>
        <w:t>aliuminio lizdinės plokštelės</w:t>
      </w:r>
      <w:r w:rsidR="00D163B0">
        <w:t xml:space="preserve"> </w:t>
      </w:r>
      <w:r w:rsidR="002E75C2">
        <w:t>po</w:t>
      </w:r>
      <w:r>
        <w:t xml:space="preserve"> </w:t>
      </w:r>
      <w:r w:rsidRPr="00F954C2">
        <w:t>14, 14x1, 28, 28x1, 30, 30x1, 84, 84x1</w:t>
      </w:r>
      <w:r w:rsidR="0055124C">
        <w:t>, 98, 98x1</w:t>
      </w:r>
      <w:r w:rsidRPr="00F954C2">
        <w:t xml:space="preserve"> </w:t>
      </w:r>
      <w:r w:rsidR="005703F4">
        <w:t>tabletes kartoninėje dėžutėje</w:t>
      </w:r>
      <w:r w:rsidR="005703F4" w:rsidRPr="00F954C2">
        <w:t>.</w:t>
      </w:r>
    </w:p>
    <w:p w14:paraId="7D3D219D" w14:textId="77777777" w:rsidR="00F954C2" w:rsidRDefault="00F954C2" w:rsidP="00811A4B">
      <w:pPr>
        <w:tabs>
          <w:tab w:val="left" w:pos="8322"/>
        </w:tabs>
        <w:spacing w:line="240" w:lineRule="auto"/>
      </w:pPr>
    </w:p>
    <w:p w14:paraId="2D3F843D" w14:textId="77777777" w:rsidR="005703F4" w:rsidRDefault="005703F4" w:rsidP="00811A4B">
      <w:pPr>
        <w:tabs>
          <w:tab w:val="left" w:pos="8322"/>
        </w:tabs>
        <w:spacing w:line="240" w:lineRule="auto"/>
      </w:pPr>
      <w:r w:rsidRPr="00254312">
        <w:rPr>
          <w:i/>
          <w:u w:val="single"/>
        </w:rPr>
        <w:t>Buteliukai</w:t>
      </w:r>
    </w:p>
    <w:p w14:paraId="78C0E9E7" w14:textId="77777777" w:rsidR="005703F4" w:rsidRDefault="005703F4" w:rsidP="00811A4B">
      <w:pPr>
        <w:tabs>
          <w:tab w:val="left" w:pos="8322"/>
        </w:tabs>
        <w:spacing w:line="240" w:lineRule="auto"/>
      </w:pPr>
    </w:p>
    <w:p w14:paraId="1BDA49A4" w14:textId="77777777" w:rsidR="005703F4" w:rsidRDefault="005703F4" w:rsidP="00811A4B">
      <w:pPr>
        <w:tabs>
          <w:tab w:val="left" w:pos="8322"/>
        </w:tabs>
        <w:spacing w:line="240" w:lineRule="auto"/>
      </w:pPr>
      <w:r>
        <w:t>Baltas didelio tankio polietileno (DTPE) buteliukas su vaik</w:t>
      </w:r>
      <w:r w:rsidR="00D163B0">
        <w:t xml:space="preserve">ų sunkiai </w:t>
      </w:r>
      <w:r>
        <w:t>atidaromu polipropileno užsukamu</w:t>
      </w:r>
      <w:r w:rsidR="00D163B0">
        <w:t>oju</w:t>
      </w:r>
      <w:r>
        <w:t xml:space="preserve"> </w:t>
      </w:r>
      <w:r w:rsidR="00D163B0">
        <w:t>dangteliu</w:t>
      </w:r>
      <w:r w:rsidR="002E75C2">
        <w:t xml:space="preserve"> ir</w:t>
      </w:r>
      <w:r>
        <w:t xml:space="preserve"> šiluminiu sandarinimu.</w:t>
      </w:r>
    </w:p>
    <w:p w14:paraId="2047E2D6" w14:textId="77777777" w:rsidR="005703F4" w:rsidRDefault="005703F4" w:rsidP="00811A4B">
      <w:pPr>
        <w:tabs>
          <w:tab w:val="left" w:pos="8322"/>
        </w:tabs>
        <w:spacing w:line="240" w:lineRule="auto"/>
      </w:pPr>
      <w:r>
        <w:t xml:space="preserve">Baltas didelio tankio polietileno (DTPE) buteliukas, </w:t>
      </w:r>
      <w:r w:rsidR="00D163B0">
        <w:t xml:space="preserve">kuriame yra </w:t>
      </w:r>
      <w:r w:rsidR="00254312">
        <w:rPr>
          <w:szCs w:val="22"/>
          <w:lang w:eastAsia="he-IL" w:bidi="he-IL"/>
        </w:rPr>
        <w:t>balt</w:t>
      </w:r>
      <w:r w:rsidR="002E75C2">
        <w:rPr>
          <w:szCs w:val="22"/>
          <w:lang w:eastAsia="he-IL" w:bidi="he-IL"/>
        </w:rPr>
        <w:t>a</w:t>
      </w:r>
      <w:r w:rsidR="00254312">
        <w:rPr>
          <w:szCs w:val="22"/>
          <w:lang w:eastAsia="he-IL" w:bidi="he-IL"/>
        </w:rPr>
        <w:t xml:space="preserve"> DTPE </w:t>
      </w:r>
      <w:r w:rsidR="002E75C2">
        <w:rPr>
          <w:szCs w:val="22"/>
          <w:lang w:eastAsia="he-IL" w:bidi="he-IL"/>
        </w:rPr>
        <w:t xml:space="preserve">talpa </w:t>
      </w:r>
      <w:r w:rsidR="00254312">
        <w:rPr>
          <w:szCs w:val="22"/>
          <w:lang w:eastAsia="he-IL" w:bidi="he-IL"/>
        </w:rPr>
        <w:t xml:space="preserve">silikagelio sausiklio, su </w:t>
      </w:r>
      <w:r w:rsidR="00254312">
        <w:t>vaik</w:t>
      </w:r>
      <w:r w:rsidR="00D163B0">
        <w:t xml:space="preserve">ų sunkiai </w:t>
      </w:r>
      <w:r w:rsidR="00254312">
        <w:t>atidaromu polipropileno užsukamu</w:t>
      </w:r>
      <w:r w:rsidR="00D163B0">
        <w:t>oju</w:t>
      </w:r>
      <w:r w:rsidR="00254312">
        <w:t xml:space="preserve"> </w:t>
      </w:r>
      <w:r w:rsidR="00D163B0">
        <w:t>dangteliu</w:t>
      </w:r>
      <w:r w:rsidR="00254312">
        <w:t xml:space="preserve"> </w:t>
      </w:r>
      <w:r w:rsidR="004C06AE">
        <w:t xml:space="preserve">ir </w:t>
      </w:r>
      <w:r w:rsidR="00254312">
        <w:t>šiluminiu sandarinimu.</w:t>
      </w:r>
    </w:p>
    <w:p w14:paraId="00D5DF72" w14:textId="77777777" w:rsidR="00254312" w:rsidRDefault="00254312" w:rsidP="00811A4B">
      <w:pPr>
        <w:tabs>
          <w:tab w:val="left" w:pos="8322"/>
        </w:tabs>
        <w:spacing w:line="240" w:lineRule="auto"/>
      </w:pPr>
      <w:r>
        <w:t>Kiekviename buteliuke yra 30 tablečių.</w:t>
      </w:r>
    </w:p>
    <w:p w14:paraId="27E9D8A1" w14:textId="77777777" w:rsidR="00254312" w:rsidRDefault="00254312" w:rsidP="00811A4B">
      <w:pPr>
        <w:tabs>
          <w:tab w:val="left" w:pos="8322"/>
        </w:tabs>
        <w:spacing w:line="240" w:lineRule="auto"/>
      </w:pPr>
    </w:p>
    <w:p w14:paraId="51286584" w14:textId="77777777" w:rsidR="00254312" w:rsidRDefault="00254312" w:rsidP="00811A4B">
      <w:pPr>
        <w:tabs>
          <w:tab w:val="left" w:pos="8322"/>
        </w:tabs>
        <w:spacing w:line="240" w:lineRule="auto"/>
        <w:rPr>
          <w:noProof/>
        </w:rPr>
      </w:pPr>
      <w:r w:rsidRPr="00254312">
        <w:rPr>
          <w:noProof/>
        </w:rPr>
        <w:t>Gali būti tiekiamos ne visų dydžių pakuotės</w:t>
      </w:r>
      <w:r>
        <w:rPr>
          <w:noProof/>
        </w:rPr>
        <w:t>.</w:t>
      </w:r>
    </w:p>
    <w:p w14:paraId="15CB53CE" w14:textId="77777777" w:rsidR="00B847BB" w:rsidRDefault="00B847BB" w:rsidP="00811A4B">
      <w:pPr>
        <w:tabs>
          <w:tab w:val="left" w:pos="8322"/>
        </w:tabs>
        <w:spacing w:line="240" w:lineRule="auto"/>
        <w:rPr>
          <w:noProof/>
        </w:rPr>
      </w:pPr>
    </w:p>
    <w:p w14:paraId="345AD5B6" w14:textId="77777777" w:rsidR="00254312" w:rsidRDefault="00254312" w:rsidP="00811A4B">
      <w:pPr>
        <w:tabs>
          <w:tab w:val="left" w:pos="8322"/>
        </w:tabs>
        <w:spacing w:line="240" w:lineRule="auto"/>
        <w:rPr>
          <w:b/>
        </w:rPr>
      </w:pPr>
      <w:r w:rsidRPr="00254312">
        <w:rPr>
          <w:b/>
        </w:rPr>
        <w:t>6.6</w:t>
      </w:r>
      <w:r w:rsidRPr="00254312">
        <w:rPr>
          <w:b/>
        </w:rPr>
        <w:tab/>
        <w:t>Specialūs reikalavimai atliekoms tvarkyti</w:t>
      </w:r>
    </w:p>
    <w:p w14:paraId="1BC572B9" w14:textId="77777777" w:rsidR="00254312" w:rsidRDefault="00254312" w:rsidP="00811A4B">
      <w:pPr>
        <w:tabs>
          <w:tab w:val="left" w:pos="8322"/>
        </w:tabs>
        <w:spacing w:line="240" w:lineRule="auto"/>
        <w:rPr>
          <w:b/>
        </w:rPr>
      </w:pPr>
    </w:p>
    <w:p w14:paraId="00CEE140" w14:textId="77777777" w:rsidR="00254312" w:rsidRDefault="00254312" w:rsidP="00811A4B">
      <w:pPr>
        <w:tabs>
          <w:tab w:val="left" w:pos="8322"/>
        </w:tabs>
        <w:spacing w:line="240" w:lineRule="auto"/>
        <w:rPr>
          <w:noProof/>
        </w:rPr>
      </w:pPr>
      <w:r w:rsidRPr="00254312">
        <w:rPr>
          <w:noProof/>
        </w:rPr>
        <w:t>Nesuvartotą vaistinį preparatą ar atliekas reikia tvarkyti laikantis vietinių reikalavimų.</w:t>
      </w:r>
    </w:p>
    <w:p w14:paraId="1BA41703" w14:textId="77777777" w:rsidR="00254312" w:rsidRDefault="00254312" w:rsidP="00811A4B">
      <w:pPr>
        <w:tabs>
          <w:tab w:val="left" w:pos="8322"/>
        </w:tabs>
        <w:spacing w:line="240" w:lineRule="auto"/>
        <w:rPr>
          <w:noProof/>
        </w:rPr>
      </w:pPr>
    </w:p>
    <w:p w14:paraId="0113A1DD" w14:textId="77777777" w:rsidR="00254312" w:rsidRDefault="00254312" w:rsidP="00811A4B">
      <w:pPr>
        <w:tabs>
          <w:tab w:val="left" w:pos="8322"/>
        </w:tabs>
        <w:spacing w:line="240" w:lineRule="auto"/>
        <w:rPr>
          <w:noProof/>
        </w:rPr>
      </w:pPr>
    </w:p>
    <w:p w14:paraId="69355D1C" w14:textId="77777777" w:rsidR="00254312" w:rsidRPr="000A79DC" w:rsidRDefault="00254312" w:rsidP="00D163B0">
      <w:pPr>
        <w:pStyle w:val="Antrat3"/>
        <w:spacing w:before="0" w:after="0" w:line="240" w:lineRule="auto"/>
        <w:rPr>
          <w:rFonts w:ascii="Times New Roman" w:hAnsi="Times New Roman"/>
          <w:sz w:val="22"/>
        </w:rPr>
      </w:pPr>
      <w:r w:rsidRPr="00B34FA1">
        <w:rPr>
          <w:rFonts w:ascii="Times New Roman" w:hAnsi="Times New Roman"/>
          <w:sz w:val="22"/>
        </w:rPr>
        <w:t>7.</w:t>
      </w:r>
      <w:r w:rsidRPr="00B34FA1">
        <w:rPr>
          <w:rFonts w:ascii="Times New Roman" w:hAnsi="Times New Roman"/>
          <w:sz w:val="22"/>
        </w:rPr>
        <w:tab/>
      </w:r>
      <w:r w:rsidRPr="000A79DC">
        <w:rPr>
          <w:rFonts w:ascii="Times New Roman" w:hAnsi="Times New Roman"/>
          <w:sz w:val="22"/>
        </w:rPr>
        <w:t>REGISTRUOTOJAS</w:t>
      </w:r>
    </w:p>
    <w:p w14:paraId="3F41D7BF" w14:textId="77777777" w:rsidR="00254312" w:rsidRDefault="00254312" w:rsidP="00811A4B">
      <w:pPr>
        <w:tabs>
          <w:tab w:val="left" w:pos="8322"/>
        </w:tabs>
        <w:spacing w:line="240" w:lineRule="auto"/>
        <w:rPr>
          <w:noProof/>
        </w:rPr>
      </w:pPr>
    </w:p>
    <w:p w14:paraId="5BFE9C8B" w14:textId="77777777" w:rsidR="00254312" w:rsidRPr="00820D53" w:rsidRDefault="00254312" w:rsidP="00D163B0">
      <w:pPr>
        <w:autoSpaceDE w:val="0"/>
        <w:autoSpaceDN w:val="0"/>
        <w:adjustRightInd w:val="0"/>
        <w:spacing w:line="240" w:lineRule="auto"/>
      </w:pPr>
      <w:r w:rsidRPr="00820D53">
        <w:t>Teva B.V.</w:t>
      </w:r>
    </w:p>
    <w:p w14:paraId="51C85863" w14:textId="77777777" w:rsidR="00254312" w:rsidRPr="00820D53" w:rsidRDefault="00254312" w:rsidP="00EA7BA0">
      <w:pPr>
        <w:autoSpaceDE w:val="0"/>
        <w:autoSpaceDN w:val="0"/>
        <w:adjustRightInd w:val="0"/>
        <w:spacing w:line="240" w:lineRule="auto"/>
      </w:pPr>
      <w:r w:rsidRPr="00820D53">
        <w:t>Swensweg 5</w:t>
      </w:r>
    </w:p>
    <w:p w14:paraId="0DF3AA48" w14:textId="77777777" w:rsidR="00254312" w:rsidRPr="00820D53" w:rsidRDefault="00254312" w:rsidP="00EA7BA0">
      <w:pPr>
        <w:autoSpaceDE w:val="0"/>
        <w:autoSpaceDN w:val="0"/>
        <w:adjustRightInd w:val="0"/>
        <w:spacing w:line="240" w:lineRule="auto"/>
      </w:pPr>
      <w:r w:rsidRPr="00820D53">
        <w:t>2031 GA Haarlem</w:t>
      </w:r>
    </w:p>
    <w:p w14:paraId="57D8373D" w14:textId="77777777" w:rsidR="00254312" w:rsidRDefault="00254312">
      <w:pPr>
        <w:autoSpaceDE w:val="0"/>
        <w:autoSpaceDN w:val="0"/>
        <w:adjustRightInd w:val="0"/>
        <w:spacing w:line="240" w:lineRule="auto"/>
      </w:pPr>
      <w:r w:rsidRPr="00820D53">
        <w:t>Nyderlandai</w:t>
      </w:r>
    </w:p>
    <w:p w14:paraId="1CCC0A03" w14:textId="77777777" w:rsidR="00254312" w:rsidRDefault="00254312" w:rsidP="00811A4B">
      <w:pPr>
        <w:tabs>
          <w:tab w:val="left" w:pos="8322"/>
        </w:tabs>
        <w:spacing w:line="240" w:lineRule="auto"/>
        <w:rPr>
          <w:noProof/>
        </w:rPr>
      </w:pPr>
    </w:p>
    <w:p w14:paraId="5AA8C950" w14:textId="77777777" w:rsidR="00BD61E8" w:rsidRDefault="00BD61E8" w:rsidP="00811A4B">
      <w:pPr>
        <w:tabs>
          <w:tab w:val="left" w:pos="8322"/>
        </w:tabs>
        <w:spacing w:line="240" w:lineRule="auto"/>
        <w:rPr>
          <w:noProof/>
        </w:rPr>
      </w:pPr>
    </w:p>
    <w:p w14:paraId="183FF30F" w14:textId="77777777" w:rsidR="00254312" w:rsidRPr="000A79DC" w:rsidRDefault="00254312" w:rsidP="00D163B0">
      <w:pPr>
        <w:pStyle w:val="Antrat3"/>
        <w:spacing w:before="0" w:after="0" w:line="240" w:lineRule="auto"/>
        <w:rPr>
          <w:rFonts w:ascii="Times New Roman" w:hAnsi="Times New Roman"/>
          <w:sz w:val="22"/>
        </w:rPr>
      </w:pPr>
      <w:r w:rsidRPr="000A79DC">
        <w:rPr>
          <w:rFonts w:ascii="Times New Roman" w:hAnsi="Times New Roman"/>
          <w:sz w:val="22"/>
        </w:rPr>
        <w:t>8.</w:t>
      </w:r>
      <w:r w:rsidRPr="000A79DC">
        <w:rPr>
          <w:rFonts w:ascii="Times New Roman" w:hAnsi="Times New Roman"/>
          <w:sz w:val="22"/>
        </w:rPr>
        <w:tab/>
        <w:t xml:space="preserve">REGISTRACIJOS </w:t>
      </w:r>
      <w:r w:rsidRPr="000A79DC">
        <w:rPr>
          <w:rFonts w:ascii="Times New Roman" w:hAnsi="Times New Roman"/>
          <w:noProof/>
          <w:sz w:val="22"/>
          <w:szCs w:val="22"/>
        </w:rPr>
        <w:t>PAŽYMĖJIMO</w:t>
      </w:r>
      <w:r w:rsidRPr="000A79DC">
        <w:rPr>
          <w:rFonts w:ascii="Times New Roman" w:hAnsi="Times New Roman"/>
          <w:sz w:val="22"/>
        </w:rPr>
        <w:t xml:space="preserve"> NUMERIS (-IAI) </w:t>
      </w:r>
    </w:p>
    <w:p w14:paraId="685C36A0" w14:textId="77777777" w:rsidR="00254312" w:rsidRDefault="00254312" w:rsidP="00EA7BA0">
      <w:pPr>
        <w:tabs>
          <w:tab w:val="clear" w:pos="567"/>
        </w:tabs>
        <w:spacing w:line="240" w:lineRule="auto"/>
        <w:rPr>
          <w:szCs w:val="24"/>
        </w:rPr>
      </w:pPr>
    </w:p>
    <w:tbl>
      <w:tblPr>
        <w:tblW w:w="0" w:type="auto"/>
        <w:tblLook w:val="04A0" w:firstRow="1" w:lastRow="0" w:firstColumn="1" w:lastColumn="0" w:noHBand="0" w:noVBand="1"/>
      </w:tblPr>
      <w:tblGrid>
        <w:gridCol w:w="3131"/>
        <w:gridCol w:w="3131"/>
        <w:gridCol w:w="3132"/>
      </w:tblGrid>
      <w:tr w:rsidR="00B35A00" w14:paraId="337701DB" w14:textId="77777777" w:rsidTr="00965B41">
        <w:tc>
          <w:tcPr>
            <w:tcW w:w="3131" w:type="dxa"/>
            <w:shd w:val="clear" w:color="auto" w:fill="auto"/>
          </w:tcPr>
          <w:p w14:paraId="34A89076" w14:textId="037B65AE" w:rsidR="00B35A00" w:rsidRPr="008E66BB" w:rsidRDefault="00B35A00" w:rsidP="008E66BB">
            <w:pPr>
              <w:tabs>
                <w:tab w:val="clear" w:pos="567"/>
              </w:tabs>
              <w:spacing w:line="240" w:lineRule="auto"/>
              <w:rPr>
                <w:szCs w:val="24"/>
              </w:rPr>
            </w:pPr>
            <w:r w:rsidRPr="008E66BB">
              <w:rPr>
                <w:szCs w:val="24"/>
              </w:rPr>
              <w:t>30 mg</w:t>
            </w:r>
          </w:p>
          <w:p w14:paraId="41BACDC4" w14:textId="77777777" w:rsidR="00B35A00" w:rsidRPr="008E66BB" w:rsidRDefault="00B35A00" w:rsidP="008E66BB">
            <w:pPr>
              <w:tabs>
                <w:tab w:val="clear" w:pos="567"/>
              </w:tabs>
              <w:spacing w:line="240" w:lineRule="auto"/>
              <w:rPr>
                <w:szCs w:val="24"/>
                <w:u w:val="single"/>
              </w:rPr>
            </w:pPr>
            <w:r w:rsidRPr="008E66BB">
              <w:rPr>
                <w:bCs/>
                <w:snapToGrid/>
                <w:szCs w:val="24"/>
                <w:u w:val="single"/>
              </w:rPr>
              <w:t>Lizdinė plokštelė:</w:t>
            </w:r>
          </w:p>
          <w:p w14:paraId="113060FB" w14:textId="20F69DC7" w:rsidR="006A39B4" w:rsidRPr="003677FF" w:rsidRDefault="006A39B4" w:rsidP="006A39B4">
            <w:pPr>
              <w:rPr>
                <w:bCs/>
              </w:rPr>
            </w:pPr>
            <w:r>
              <w:rPr>
                <w:bCs/>
              </w:rPr>
              <w:t>LT/1/16</w:t>
            </w:r>
            <w:r w:rsidRPr="003677FF">
              <w:rPr>
                <w:bCs/>
              </w:rPr>
              <w:t>/</w:t>
            </w:r>
            <w:r>
              <w:rPr>
                <w:bCs/>
              </w:rPr>
              <w:t>3871/001 – N14</w:t>
            </w:r>
          </w:p>
          <w:p w14:paraId="08053097" w14:textId="6CAACB53" w:rsidR="006A39B4" w:rsidRPr="003677FF" w:rsidRDefault="006A39B4" w:rsidP="006A39B4">
            <w:pPr>
              <w:rPr>
                <w:bCs/>
              </w:rPr>
            </w:pPr>
            <w:r>
              <w:rPr>
                <w:bCs/>
              </w:rPr>
              <w:t>LT/1/16</w:t>
            </w:r>
            <w:r w:rsidRPr="003677FF">
              <w:rPr>
                <w:bCs/>
              </w:rPr>
              <w:t>/</w:t>
            </w:r>
            <w:r>
              <w:rPr>
                <w:bCs/>
              </w:rPr>
              <w:t>3871/002 – N14x1</w:t>
            </w:r>
          </w:p>
          <w:p w14:paraId="4A25B532" w14:textId="7265C058" w:rsidR="006A39B4" w:rsidRDefault="006A39B4" w:rsidP="006A39B4">
            <w:pPr>
              <w:rPr>
                <w:bCs/>
              </w:rPr>
            </w:pPr>
            <w:r>
              <w:rPr>
                <w:bCs/>
              </w:rPr>
              <w:t>LT/1/16</w:t>
            </w:r>
            <w:r w:rsidRPr="003677FF">
              <w:rPr>
                <w:bCs/>
              </w:rPr>
              <w:t>/</w:t>
            </w:r>
            <w:r>
              <w:rPr>
                <w:bCs/>
              </w:rPr>
              <w:t>3871/003 – N28</w:t>
            </w:r>
          </w:p>
          <w:p w14:paraId="23A51CAD" w14:textId="4CB02006" w:rsidR="006A39B4" w:rsidRDefault="006A39B4" w:rsidP="006A39B4">
            <w:pPr>
              <w:rPr>
                <w:bCs/>
              </w:rPr>
            </w:pPr>
            <w:r>
              <w:rPr>
                <w:bCs/>
              </w:rPr>
              <w:t>LT/1/16</w:t>
            </w:r>
            <w:r w:rsidRPr="003677FF">
              <w:rPr>
                <w:bCs/>
              </w:rPr>
              <w:t>/</w:t>
            </w:r>
            <w:r>
              <w:rPr>
                <w:bCs/>
              </w:rPr>
              <w:t>3871/004 – N28x1</w:t>
            </w:r>
          </w:p>
          <w:p w14:paraId="1049E6B4" w14:textId="63CF85A3" w:rsidR="006A39B4" w:rsidRDefault="006A39B4" w:rsidP="006A39B4">
            <w:pPr>
              <w:rPr>
                <w:bCs/>
              </w:rPr>
            </w:pPr>
            <w:r>
              <w:rPr>
                <w:bCs/>
              </w:rPr>
              <w:t>LT/1/16</w:t>
            </w:r>
            <w:r w:rsidRPr="003677FF">
              <w:rPr>
                <w:bCs/>
              </w:rPr>
              <w:t>/</w:t>
            </w:r>
            <w:r>
              <w:rPr>
                <w:bCs/>
              </w:rPr>
              <w:t>3871/005 – N30</w:t>
            </w:r>
          </w:p>
          <w:p w14:paraId="7E24304C" w14:textId="5664192E" w:rsidR="006A39B4" w:rsidRDefault="006A39B4" w:rsidP="006A39B4">
            <w:pPr>
              <w:rPr>
                <w:bCs/>
              </w:rPr>
            </w:pPr>
            <w:r>
              <w:rPr>
                <w:bCs/>
              </w:rPr>
              <w:t>LT/1/16</w:t>
            </w:r>
            <w:r w:rsidRPr="003677FF">
              <w:rPr>
                <w:bCs/>
              </w:rPr>
              <w:t>/</w:t>
            </w:r>
            <w:r>
              <w:rPr>
                <w:bCs/>
              </w:rPr>
              <w:t>3871/006 – N30x1</w:t>
            </w:r>
          </w:p>
          <w:p w14:paraId="4D5DDA8E" w14:textId="514775BA" w:rsidR="006A39B4" w:rsidRDefault="006A39B4" w:rsidP="006A39B4">
            <w:pPr>
              <w:rPr>
                <w:bCs/>
              </w:rPr>
            </w:pPr>
            <w:r>
              <w:rPr>
                <w:bCs/>
              </w:rPr>
              <w:t>LT/1/16</w:t>
            </w:r>
            <w:r w:rsidRPr="003677FF">
              <w:rPr>
                <w:bCs/>
              </w:rPr>
              <w:t>/</w:t>
            </w:r>
            <w:r>
              <w:rPr>
                <w:bCs/>
              </w:rPr>
              <w:t>3871/007 – N84</w:t>
            </w:r>
          </w:p>
          <w:p w14:paraId="249658AC" w14:textId="65685D5A" w:rsidR="006A39B4" w:rsidRDefault="006A39B4" w:rsidP="006A39B4">
            <w:pPr>
              <w:rPr>
                <w:bCs/>
              </w:rPr>
            </w:pPr>
            <w:r>
              <w:rPr>
                <w:bCs/>
              </w:rPr>
              <w:t>LT/1/16</w:t>
            </w:r>
            <w:r w:rsidRPr="003677FF">
              <w:rPr>
                <w:bCs/>
              </w:rPr>
              <w:t>/</w:t>
            </w:r>
            <w:r>
              <w:rPr>
                <w:bCs/>
              </w:rPr>
              <w:t>3871/008 – N84x1</w:t>
            </w:r>
          </w:p>
          <w:p w14:paraId="5BFB3FF3" w14:textId="4F77CB7F" w:rsidR="006A39B4" w:rsidRDefault="006A39B4" w:rsidP="006A39B4">
            <w:pPr>
              <w:rPr>
                <w:bCs/>
              </w:rPr>
            </w:pPr>
            <w:r>
              <w:rPr>
                <w:bCs/>
              </w:rPr>
              <w:t>LT/1/16</w:t>
            </w:r>
            <w:r w:rsidRPr="003677FF">
              <w:rPr>
                <w:bCs/>
              </w:rPr>
              <w:t>/</w:t>
            </w:r>
            <w:r>
              <w:rPr>
                <w:bCs/>
              </w:rPr>
              <w:t>3871/028 – N98</w:t>
            </w:r>
          </w:p>
          <w:p w14:paraId="1A0A06C7" w14:textId="0F793C81" w:rsidR="006A39B4" w:rsidRDefault="006A39B4" w:rsidP="006A39B4">
            <w:pPr>
              <w:rPr>
                <w:bCs/>
              </w:rPr>
            </w:pPr>
            <w:r>
              <w:rPr>
                <w:bCs/>
              </w:rPr>
              <w:t>LT/1/16</w:t>
            </w:r>
            <w:r w:rsidRPr="003677FF">
              <w:rPr>
                <w:bCs/>
              </w:rPr>
              <w:t>/</w:t>
            </w:r>
            <w:r>
              <w:rPr>
                <w:bCs/>
              </w:rPr>
              <w:t>3871/029 – N98x1</w:t>
            </w:r>
          </w:p>
          <w:p w14:paraId="73C9CE14" w14:textId="77777777" w:rsidR="00B35A00" w:rsidRPr="008E66BB" w:rsidRDefault="00B35A00" w:rsidP="008E66BB">
            <w:pPr>
              <w:tabs>
                <w:tab w:val="clear" w:pos="567"/>
              </w:tabs>
              <w:spacing w:line="240" w:lineRule="auto"/>
              <w:rPr>
                <w:bCs/>
                <w:snapToGrid/>
                <w:szCs w:val="24"/>
                <w:u w:val="single"/>
              </w:rPr>
            </w:pPr>
            <w:r w:rsidRPr="008E66BB">
              <w:rPr>
                <w:bCs/>
                <w:snapToGrid/>
                <w:szCs w:val="24"/>
                <w:u w:val="single"/>
              </w:rPr>
              <w:t>Buteliukas:</w:t>
            </w:r>
          </w:p>
          <w:p w14:paraId="1FF3C49D" w14:textId="7B7B0430" w:rsidR="00B35A00" w:rsidRPr="008E66BB" w:rsidRDefault="00B35A00" w:rsidP="008E66BB">
            <w:pPr>
              <w:tabs>
                <w:tab w:val="clear" w:pos="567"/>
              </w:tabs>
              <w:spacing w:line="240" w:lineRule="auto"/>
              <w:rPr>
                <w:szCs w:val="24"/>
              </w:rPr>
            </w:pPr>
            <w:r w:rsidRPr="008E66BB">
              <w:rPr>
                <w:bCs/>
                <w:snapToGrid/>
                <w:szCs w:val="24"/>
              </w:rPr>
              <w:t xml:space="preserve">N30 - LT/1/16/3871/009 </w:t>
            </w:r>
            <w:r w:rsidR="006A39B4">
              <w:rPr>
                <w:bCs/>
                <w:snapToGrid/>
                <w:szCs w:val="24"/>
              </w:rPr>
              <w:t>– N30</w:t>
            </w:r>
          </w:p>
        </w:tc>
        <w:tc>
          <w:tcPr>
            <w:tcW w:w="3131" w:type="dxa"/>
            <w:shd w:val="clear" w:color="auto" w:fill="auto"/>
          </w:tcPr>
          <w:p w14:paraId="65CA6B83" w14:textId="4913E4A2" w:rsidR="00B35A00" w:rsidRPr="008E66BB" w:rsidRDefault="00B35A00" w:rsidP="008E66BB">
            <w:pPr>
              <w:tabs>
                <w:tab w:val="clear" w:pos="567"/>
              </w:tabs>
              <w:spacing w:line="240" w:lineRule="auto"/>
              <w:rPr>
                <w:szCs w:val="24"/>
              </w:rPr>
            </w:pPr>
            <w:r w:rsidRPr="008E66BB">
              <w:rPr>
                <w:szCs w:val="24"/>
              </w:rPr>
              <w:t>60 mg</w:t>
            </w:r>
          </w:p>
          <w:p w14:paraId="218B6E70" w14:textId="77777777" w:rsidR="00B35A00" w:rsidRPr="008E66BB" w:rsidRDefault="00B35A00" w:rsidP="008E66BB">
            <w:pPr>
              <w:tabs>
                <w:tab w:val="clear" w:pos="567"/>
              </w:tabs>
              <w:spacing w:line="240" w:lineRule="auto"/>
              <w:rPr>
                <w:szCs w:val="24"/>
                <w:u w:val="single"/>
              </w:rPr>
            </w:pPr>
            <w:r w:rsidRPr="008E66BB">
              <w:rPr>
                <w:bCs/>
                <w:snapToGrid/>
                <w:szCs w:val="24"/>
                <w:u w:val="single"/>
              </w:rPr>
              <w:t>Lizdinė plokštelė:</w:t>
            </w:r>
          </w:p>
          <w:p w14:paraId="0AEEB4BF" w14:textId="7B43A766" w:rsidR="00AF027B" w:rsidRPr="003677FF" w:rsidRDefault="00AF027B" w:rsidP="00AF027B">
            <w:pPr>
              <w:rPr>
                <w:bCs/>
              </w:rPr>
            </w:pPr>
            <w:r>
              <w:rPr>
                <w:bCs/>
              </w:rPr>
              <w:t>LT/1/16</w:t>
            </w:r>
            <w:r w:rsidRPr="003677FF">
              <w:rPr>
                <w:bCs/>
              </w:rPr>
              <w:t>/</w:t>
            </w:r>
            <w:r>
              <w:rPr>
                <w:bCs/>
              </w:rPr>
              <w:t>3871/010 – N14</w:t>
            </w:r>
          </w:p>
          <w:p w14:paraId="0298AD0D" w14:textId="7D250C4B" w:rsidR="00AF027B" w:rsidRPr="003677FF" w:rsidRDefault="00AF027B" w:rsidP="00AF027B">
            <w:pPr>
              <w:rPr>
                <w:bCs/>
              </w:rPr>
            </w:pPr>
            <w:r>
              <w:rPr>
                <w:bCs/>
              </w:rPr>
              <w:t>LT/1/16</w:t>
            </w:r>
            <w:r w:rsidRPr="003677FF">
              <w:rPr>
                <w:bCs/>
              </w:rPr>
              <w:t>/</w:t>
            </w:r>
            <w:r>
              <w:rPr>
                <w:bCs/>
              </w:rPr>
              <w:t>3871/011 – N14x1</w:t>
            </w:r>
          </w:p>
          <w:p w14:paraId="36337EE6" w14:textId="54F47D7A" w:rsidR="00AF027B" w:rsidRDefault="00AF027B" w:rsidP="00AF027B">
            <w:pPr>
              <w:rPr>
                <w:bCs/>
              </w:rPr>
            </w:pPr>
            <w:r>
              <w:rPr>
                <w:bCs/>
              </w:rPr>
              <w:t>LT/1/16</w:t>
            </w:r>
            <w:r w:rsidRPr="003677FF">
              <w:rPr>
                <w:bCs/>
              </w:rPr>
              <w:t>/</w:t>
            </w:r>
            <w:r>
              <w:rPr>
                <w:bCs/>
              </w:rPr>
              <w:t>3871/012 – N28</w:t>
            </w:r>
          </w:p>
          <w:p w14:paraId="709819B7" w14:textId="0FC7AFA2" w:rsidR="00AF027B" w:rsidRDefault="00AF027B" w:rsidP="00AF027B">
            <w:pPr>
              <w:rPr>
                <w:bCs/>
              </w:rPr>
            </w:pPr>
            <w:r>
              <w:rPr>
                <w:bCs/>
              </w:rPr>
              <w:t>LT/1/16</w:t>
            </w:r>
            <w:r w:rsidRPr="003677FF">
              <w:rPr>
                <w:bCs/>
              </w:rPr>
              <w:t>/</w:t>
            </w:r>
            <w:r>
              <w:rPr>
                <w:bCs/>
              </w:rPr>
              <w:t>3871/013 – N28x1</w:t>
            </w:r>
          </w:p>
          <w:p w14:paraId="161F825C" w14:textId="0A9F0D35" w:rsidR="00AF027B" w:rsidRDefault="00AF027B" w:rsidP="00AF027B">
            <w:pPr>
              <w:rPr>
                <w:bCs/>
              </w:rPr>
            </w:pPr>
            <w:r>
              <w:rPr>
                <w:bCs/>
              </w:rPr>
              <w:t>LT/1/16</w:t>
            </w:r>
            <w:r w:rsidRPr="003677FF">
              <w:rPr>
                <w:bCs/>
              </w:rPr>
              <w:t>/</w:t>
            </w:r>
            <w:r>
              <w:rPr>
                <w:bCs/>
              </w:rPr>
              <w:t>3871/014 – N30</w:t>
            </w:r>
          </w:p>
          <w:p w14:paraId="51D8C715" w14:textId="54F3A713" w:rsidR="00AF027B" w:rsidRDefault="00AF027B" w:rsidP="00AF027B">
            <w:pPr>
              <w:rPr>
                <w:bCs/>
              </w:rPr>
            </w:pPr>
            <w:r>
              <w:rPr>
                <w:bCs/>
              </w:rPr>
              <w:t>LT/1/16</w:t>
            </w:r>
            <w:r w:rsidRPr="003677FF">
              <w:rPr>
                <w:bCs/>
              </w:rPr>
              <w:t>/</w:t>
            </w:r>
            <w:r>
              <w:rPr>
                <w:bCs/>
              </w:rPr>
              <w:t>3871/015 – N30x1</w:t>
            </w:r>
          </w:p>
          <w:p w14:paraId="045A4B4C" w14:textId="101C7F68" w:rsidR="00AF027B" w:rsidRDefault="00AF027B" w:rsidP="00AF027B">
            <w:pPr>
              <w:rPr>
                <w:bCs/>
              </w:rPr>
            </w:pPr>
            <w:r>
              <w:rPr>
                <w:bCs/>
              </w:rPr>
              <w:t>LT/1/16</w:t>
            </w:r>
            <w:r w:rsidRPr="003677FF">
              <w:rPr>
                <w:bCs/>
              </w:rPr>
              <w:t>/</w:t>
            </w:r>
            <w:r>
              <w:rPr>
                <w:bCs/>
              </w:rPr>
              <w:t>3871/016 – N84</w:t>
            </w:r>
          </w:p>
          <w:p w14:paraId="17074DD9" w14:textId="79C6BE66" w:rsidR="00AF027B" w:rsidRDefault="00AF027B" w:rsidP="00AF027B">
            <w:pPr>
              <w:rPr>
                <w:bCs/>
              </w:rPr>
            </w:pPr>
            <w:r>
              <w:rPr>
                <w:bCs/>
              </w:rPr>
              <w:t>LT/1/16</w:t>
            </w:r>
            <w:r w:rsidRPr="003677FF">
              <w:rPr>
                <w:bCs/>
              </w:rPr>
              <w:t>/</w:t>
            </w:r>
            <w:r>
              <w:rPr>
                <w:bCs/>
              </w:rPr>
              <w:t>3871/017 – N84x1</w:t>
            </w:r>
          </w:p>
          <w:p w14:paraId="1B4DE22D" w14:textId="248F00F0" w:rsidR="00AF027B" w:rsidRDefault="00AF027B" w:rsidP="00AF027B">
            <w:pPr>
              <w:rPr>
                <w:bCs/>
              </w:rPr>
            </w:pPr>
            <w:r>
              <w:rPr>
                <w:bCs/>
              </w:rPr>
              <w:t>LT/1/16</w:t>
            </w:r>
            <w:r w:rsidRPr="003677FF">
              <w:rPr>
                <w:bCs/>
              </w:rPr>
              <w:t>/</w:t>
            </w:r>
            <w:r>
              <w:rPr>
                <w:bCs/>
              </w:rPr>
              <w:t>3871/030 – N98</w:t>
            </w:r>
          </w:p>
          <w:p w14:paraId="75EB5FD5" w14:textId="77777777" w:rsidR="00B64735" w:rsidRDefault="00AF027B" w:rsidP="00AF027B">
            <w:pPr>
              <w:tabs>
                <w:tab w:val="clear" w:pos="567"/>
              </w:tabs>
              <w:spacing w:line="240" w:lineRule="auto"/>
              <w:rPr>
                <w:bCs/>
              </w:rPr>
            </w:pPr>
            <w:r>
              <w:rPr>
                <w:bCs/>
              </w:rPr>
              <w:t>LT/1/16</w:t>
            </w:r>
            <w:r w:rsidRPr="003677FF">
              <w:rPr>
                <w:bCs/>
              </w:rPr>
              <w:t>/</w:t>
            </w:r>
            <w:r>
              <w:rPr>
                <w:bCs/>
              </w:rPr>
              <w:t>3871/031 – N98x1</w:t>
            </w:r>
          </w:p>
          <w:p w14:paraId="006A3F6C" w14:textId="34352579" w:rsidR="00B35A00" w:rsidRPr="008E66BB" w:rsidRDefault="00B35A00" w:rsidP="00AF027B">
            <w:pPr>
              <w:tabs>
                <w:tab w:val="clear" w:pos="567"/>
              </w:tabs>
              <w:spacing w:line="240" w:lineRule="auto"/>
              <w:rPr>
                <w:bCs/>
                <w:snapToGrid/>
                <w:szCs w:val="24"/>
                <w:u w:val="single"/>
              </w:rPr>
            </w:pPr>
            <w:r w:rsidRPr="008E66BB">
              <w:rPr>
                <w:bCs/>
                <w:snapToGrid/>
                <w:szCs w:val="24"/>
                <w:u w:val="single"/>
              </w:rPr>
              <w:t>Buteliukas:</w:t>
            </w:r>
          </w:p>
          <w:p w14:paraId="070FCB55" w14:textId="28F0BD2F" w:rsidR="00B35A00" w:rsidRPr="008E66BB" w:rsidRDefault="00B35A00" w:rsidP="008E66BB">
            <w:pPr>
              <w:tabs>
                <w:tab w:val="clear" w:pos="567"/>
              </w:tabs>
              <w:spacing w:line="240" w:lineRule="auto"/>
              <w:rPr>
                <w:szCs w:val="24"/>
              </w:rPr>
            </w:pPr>
            <w:r w:rsidRPr="008E66BB">
              <w:rPr>
                <w:bCs/>
                <w:snapToGrid/>
                <w:szCs w:val="24"/>
              </w:rPr>
              <w:t>LT/1/16/3871/018</w:t>
            </w:r>
            <w:r w:rsidR="00AF027B">
              <w:rPr>
                <w:bCs/>
                <w:snapToGrid/>
                <w:szCs w:val="24"/>
              </w:rPr>
              <w:t xml:space="preserve"> – N30</w:t>
            </w:r>
          </w:p>
        </w:tc>
        <w:tc>
          <w:tcPr>
            <w:tcW w:w="3132" w:type="dxa"/>
            <w:shd w:val="clear" w:color="auto" w:fill="auto"/>
          </w:tcPr>
          <w:p w14:paraId="03F83F18" w14:textId="7D5858D5" w:rsidR="00B35A00" w:rsidRPr="008E66BB" w:rsidRDefault="00B35A00" w:rsidP="008E66BB">
            <w:pPr>
              <w:tabs>
                <w:tab w:val="clear" w:pos="567"/>
              </w:tabs>
              <w:spacing w:line="240" w:lineRule="auto"/>
              <w:rPr>
                <w:szCs w:val="24"/>
              </w:rPr>
            </w:pPr>
            <w:r w:rsidRPr="008E66BB">
              <w:rPr>
                <w:szCs w:val="24"/>
              </w:rPr>
              <w:t>90 mg</w:t>
            </w:r>
          </w:p>
          <w:p w14:paraId="65993812" w14:textId="77777777" w:rsidR="00B35A00" w:rsidRPr="008E66BB" w:rsidRDefault="00B35A00" w:rsidP="008E66BB">
            <w:pPr>
              <w:tabs>
                <w:tab w:val="clear" w:pos="567"/>
              </w:tabs>
              <w:spacing w:line="240" w:lineRule="auto"/>
              <w:rPr>
                <w:szCs w:val="24"/>
                <w:u w:val="single"/>
              </w:rPr>
            </w:pPr>
            <w:r w:rsidRPr="008E66BB">
              <w:rPr>
                <w:bCs/>
                <w:snapToGrid/>
                <w:szCs w:val="24"/>
                <w:u w:val="single"/>
              </w:rPr>
              <w:t>Lizdinė plokštelė:</w:t>
            </w:r>
          </w:p>
          <w:p w14:paraId="24537F2D" w14:textId="0104E6FE" w:rsidR="00B64735" w:rsidRPr="003677FF" w:rsidRDefault="00B64735" w:rsidP="00B64735">
            <w:pPr>
              <w:rPr>
                <w:bCs/>
              </w:rPr>
            </w:pPr>
            <w:r>
              <w:rPr>
                <w:bCs/>
              </w:rPr>
              <w:t>LT/1/16</w:t>
            </w:r>
            <w:r w:rsidRPr="003677FF">
              <w:rPr>
                <w:bCs/>
              </w:rPr>
              <w:t>/</w:t>
            </w:r>
            <w:r>
              <w:rPr>
                <w:bCs/>
              </w:rPr>
              <w:t>3871/019 – N14</w:t>
            </w:r>
          </w:p>
          <w:p w14:paraId="3242B365" w14:textId="47E2571E" w:rsidR="00B64735" w:rsidRPr="003677FF" w:rsidRDefault="00B64735" w:rsidP="00B64735">
            <w:pPr>
              <w:rPr>
                <w:bCs/>
              </w:rPr>
            </w:pPr>
            <w:r>
              <w:rPr>
                <w:bCs/>
              </w:rPr>
              <w:t>LT/1/16</w:t>
            </w:r>
            <w:r w:rsidRPr="003677FF">
              <w:rPr>
                <w:bCs/>
              </w:rPr>
              <w:t>/</w:t>
            </w:r>
            <w:r>
              <w:rPr>
                <w:bCs/>
              </w:rPr>
              <w:t>3871/020 – N14x1</w:t>
            </w:r>
          </w:p>
          <w:p w14:paraId="43E8FF8F" w14:textId="328901DB" w:rsidR="00B64735" w:rsidRDefault="00B64735" w:rsidP="00B64735">
            <w:pPr>
              <w:rPr>
                <w:bCs/>
              </w:rPr>
            </w:pPr>
            <w:r>
              <w:rPr>
                <w:bCs/>
              </w:rPr>
              <w:t>LT/1/16</w:t>
            </w:r>
            <w:r w:rsidRPr="003677FF">
              <w:rPr>
                <w:bCs/>
              </w:rPr>
              <w:t>/</w:t>
            </w:r>
            <w:r>
              <w:rPr>
                <w:bCs/>
              </w:rPr>
              <w:t>3871/021 – N28</w:t>
            </w:r>
          </w:p>
          <w:p w14:paraId="5CA0F0EE" w14:textId="6EE7B05C" w:rsidR="00B64735" w:rsidRDefault="00B64735" w:rsidP="00B64735">
            <w:pPr>
              <w:rPr>
                <w:bCs/>
              </w:rPr>
            </w:pPr>
            <w:r>
              <w:rPr>
                <w:bCs/>
              </w:rPr>
              <w:t>LT/1/16</w:t>
            </w:r>
            <w:r w:rsidRPr="003677FF">
              <w:rPr>
                <w:bCs/>
              </w:rPr>
              <w:t>/</w:t>
            </w:r>
            <w:r>
              <w:rPr>
                <w:bCs/>
              </w:rPr>
              <w:t>3871/022 – N28x1</w:t>
            </w:r>
          </w:p>
          <w:p w14:paraId="2547CE74" w14:textId="4622E030" w:rsidR="00B64735" w:rsidRDefault="00B64735" w:rsidP="00B64735">
            <w:pPr>
              <w:rPr>
                <w:bCs/>
              </w:rPr>
            </w:pPr>
            <w:r>
              <w:rPr>
                <w:bCs/>
              </w:rPr>
              <w:t>LT/1/16</w:t>
            </w:r>
            <w:r w:rsidRPr="003677FF">
              <w:rPr>
                <w:bCs/>
              </w:rPr>
              <w:t>/</w:t>
            </w:r>
            <w:r>
              <w:rPr>
                <w:bCs/>
              </w:rPr>
              <w:t>3871/023 – N30</w:t>
            </w:r>
          </w:p>
          <w:p w14:paraId="4EC7F282" w14:textId="3CED34C0" w:rsidR="00B64735" w:rsidRDefault="00B64735" w:rsidP="00B64735">
            <w:pPr>
              <w:rPr>
                <w:bCs/>
              </w:rPr>
            </w:pPr>
            <w:r>
              <w:rPr>
                <w:bCs/>
              </w:rPr>
              <w:t>LT/1/16</w:t>
            </w:r>
            <w:r w:rsidRPr="003677FF">
              <w:rPr>
                <w:bCs/>
              </w:rPr>
              <w:t>/</w:t>
            </w:r>
            <w:r>
              <w:rPr>
                <w:bCs/>
              </w:rPr>
              <w:t>3871/024 – N30x1</w:t>
            </w:r>
          </w:p>
          <w:p w14:paraId="67AF522C" w14:textId="02ACB4A2" w:rsidR="00B64735" w:rsidRDefault="00B64735" w:rsidP="00B64735">
            <w:pPr>
              <w:rPr>
                <w:bCs/>
              </w:rPr>
            </w:pPr>
            <w:r>
              <w:rPr>
                <w:bCs/>
              </w:rPr>
              <w:t>LT/1/16</w:t>
            </w:r>
            <w:r w:rsidRPr="003677FF">
              <w:rPr>
                <w:bCs/>
              </w:rPr>
              <w:t>/</w:t>
            </w:r>
            <w:r>
              <w:rPr>
                <w:bCs/>
              </w:rPr>
              <w:t>3871/025 – N84</w:t>
            </w:r>
          </w:p>
          <w:p w14:paraId="4BF03FDE" w14:textId="4D087520" w:rsidR="00B64735" w:rsidRDefault="00B64735" w:rsidP="00B64735">
            <w:pPr>
              <w:rPr>
                <w:bCs/>
              </w:rPr>
            </w:pPr>
            <w:r>
              <w:rPr>
                <w:bCs/>
              </w:rPr>
              <w:t>LT/1/16</w:t>
            </w:r>
            <w:r w:rsidRPr="003677FF">
              <w:rPr>
                <w:bCs/>
              </w:rPr>
              <w:t>/</w:t>
            </w:r>
            <w:r>
              <w:rPr>
                <w:bCs/>
              </w:rPr>
              <w:t>3871/026 – N84x1</w:t>
            </w:r>
          </w:p>
          <w:p w14:paraId="55E5A2A3" w14:textId="31A53D56" w:rsidR="00B64735" w:rsidRDefault="00B64735" w:rsidP="00B64735">
            <w:pPr>
              <w:rPr>
                <w:bCs/>
              </w:rPr>
            </w:pPr>
            <w:r>
              <w:rPr>
                <w:bCs/>
              </w:rPr>
              <w:t>LT/1/16</w:t>
            </w:r>
            <w:r w:rsidRPr="003677FF">
              <w:rPr>
                <w:bCs/>
              </w:rPr>
              <w:t>/</w:t>
            </w:r>
            <w:r>
              <w:rPr>
                <w:bCs/>
              </w:rPr>
              <w:t>3871/032 – N98</w:t>
            </w:r>
          </w:p>
          <w:p w14:paraId="2E6298BD" w14:textId="69503039" w:rsidR="00AF027B" w:rsidRDefault="00B64735" w:rsidP="00B64735">
            <w:pPr>
              <w:tabs>
                <w:tab w:val="clear" w:pos="567"/>
              </w:tabs>
              <w:spacing w:line="240" w:lineRule="auto"/>
              <w:rPr>
                <w:bCs/>
                <w:snapToGrid/>
                <w:szCs w:val="24"/>
                <w:u w:val="single"/>
              </w:rPr>
            </w:pPr>
            <w:r>
              <w:rPr>
                <w:bCs/>
              </w:rPr>
              <w:t>LT/1/16</w:t>
            </w:r>
            <w:r w:rsidRPr="003677FF">
              <w:rPr>
                <w:bCs/>
              </w:rPr>
              <w:t>/</w:t>
            </w:r>
            <w:r>
              <w:rPr>
                <w:bCs/>
              </w:rPr>
              <w:t>3871/033 – N98x1</w:t>
            </w:r>
          </w:p>
          <w:p w14:paraId="171E6A35" w14:textId="2A0C2134" w:rsidR="00B35A00" w:rsidRPr="008E66BB" w:rsidRDefault="00B35A00" w:rsidP="008E66BB">
            <w:pPr>
              <w:tabs>
                <w:tab w:val="clear" w:pos="567"/>
              </w:tabs>
              <w:spacing w:line="240" w:lineRule="auto"/>
              <w:rPr>
                <w:bCs/>
                <w:snapToGrid/>
                <w:szCs w:val="24"/>
                <w:u w:val="single"/>
              </w:rPr>
            </w:pPr>
            <w:r w:rsidRPr="008E66BB">
              <w:rPr>
                <w:bCs/>
                <w:snapToGrid/>
                <w:szCs w:val="24"/>
                <w:u w:val="single"/>
              </w:rPr>
              <w:t>Buteliukas:</w:t>
            </w:r>
          </w:p>
          <w:p w14:paraId="04DD28E8" w14:textId="2EE28680" w:rsidR="00B35A00" w:rsidRPr="008E66BB" w:rsidRDefault="00B35A00" w:rsidP="008E66BB">
            <w:pPr>
              <w:tabs>
                <w:tab w:val="clear" w:pos="567"/>
              </w:tabs>
              <w:spacing w:line="240" w:lineRule="auto"/>
              <w:rPr>
                <w:szCs w:val="24"/>
              </w:rPr>
            </w:pPr>
            <w:r w:rsidRPr="008E66BB">
              <w:rPr>
                <w:bCs/>
                <w:snapToGrid/>
                <w:szCs w:val="24"/>
              </w:rPr>
              <w:t>LT/1/16/3871/027</w:t>
            </w:r>
            <w:r w:rsidR="00AF027B">
              <w:rPr>
                <w:bCs/>
                <w:snapToGrid/>
                <w:szCs w:val="24"/>
              </w:rPr>
              <w:t xml:space="preserve"> – N30</w:t>
            </w:r>
          </w:p>
        </w:tc>
      </w:tr>
    </w:tbl>
    <w:p w14:paraId="778F0386" w14:textId="77777777" w:rsidR="00B35A00" w:rsidRDefault="00B35A00" w:rsidP="00EA7BA0">
      <w:pPr>
        <w:tabs>
          <w:tab w:val="clear" w:pos="567"/>
        </w:tabs>
        <w:spacing w:line="240" w:lineRule="auto"/>
        <w:rPr>
          <w:szCs w:val="24"/>
        </w:rPr>
      </w:pPr>
    </w:p>
    <w:p w14:paraId="44872B22" w14:textId="77777777" w:rsidR="003326B0" w:rsidRDefault="003326B0" w:rsidP="00EA7BA0">
      <w:pPr>
        <w:tabs>
          <w:tab w:val="clear" w:pos="567"/>
        </w:tabs>
        <w:spacing w:line="240" w:lineRule="auto"/>
        <w:rPr>
          <w:szCs w:val="24"/>
        </w:rPr>
      </w:pPr>
    </w:p>
    <w:p w14:paraId="108E9025" w14:textId="77777777" w:rsidR="00254312" w:rsidRPr="000A79DC" w:rsidRDefault="00254312">
      <w:pPr>
        <w:pStyle w:val="Antrat3"/>
        <w:spacing w:before="0" w:after="0" w:line="240" w:lineRule="auto"/>
        <w:rPr>
          <w:rFonts w:ascii="Times New Roman" w:hAnsi="Times New Roman"/>
          <w:sz w:val="22"/>
        </w:rPr>
      </w:pPr>
      <w:r w:rsidRPr="000A79DC">
        <w:rPr>
          <w:rFonts w:ascii="Times New Roman" w:hAnsi="Times New Roman"/>
          <w:sz w:val="22"/>
        </w:rPr>
        <w:t>9.</w:t>
      </w:r>
      <w:r w:rsidRPr="000A79DC">
        <w:rPr>
          <w:rFonts w:ascii="Times New Roman" w:hAnsi="Times New Roman"/>
          <w:sz w:val="22"/>
        </w:rPr>
        <w:tab/>
        <w:t>REGISTRAVIMO / PERREGISTRAVIMO DATA</w:t>
      </w:r>
    </w:p>
    <w:p w14:paraId="483C9848" w14:textId="77777777" w:rsidR="00254312" w:rsidRPr="000A79DC" w:rsidRDefault="00254312">
      <w:pPr>
        <w:tabs>
          <w:tab w:val="clear" w:pos="567"/>
        </w:tabs>
        <w:spacing w:line="240" w:lineRule="auto"/>
        <w:rPr>
          <w:szCs w:val="24"/>
        </w:rPr>
      </w:pPr>
    </w:p>
    <w:p w14:paraId="57AAEEE0" w14:textId="5A89E096" w:rsidR="003326B0" w:rsidRPr="003326B0" w:rsidRDefault="003326B0" w:rsidP="003326B0">
      <w:pPr>
        <w:spacing w:line="240" w:lineRule="auto"/>
        <w:rPr>
          <w:szCs w:val="22"/>
        </w:rPr>
      </w:pPr>
      <w:r w:rsidRPr="003326B0">
        <w:rPr>
          <w:noProof/>
          <w:szCs w:val="22"/>
        </w:rPr>
        <w:t>Registravimo data 2016 m. sausio 26 d.</w:t>
      </w:r>
    </w:p>
    <w:p w14:paraId="539AF6B8" w14:textId="2C5C8F92" w:rsidR="002E75C2" w:rsidRDefault="00F87429">
      <w:pPr>
        <w:tabs>
          <w:tab w:val="clear" w:pos="567"/>
        </w:tabs>
        <w:spacing w:line="240" w:lineRule="auto"/>
        <w:rPr>
          <w:noProof/>
          <w:szCs w:val="24"/>
        </w:rPr>
      </w:pPr>
      <w:r>
        <w:rPr>
          <w:noProof/>
          <w:szCs w:val="24"/>
        </w:rPr>
        <w:t>Paskutinio perregistravimo data</w:t>
      </w:r>
      <w:r w:rsidR="00B64735">
        <w:rPr>
          <w:noProof/>
          <w:szCs w:val="24"/>
        </w:rPr>
        <w:t xml:space="preserve"> 2020 m. liepos 30 d.</w:t>
      </w:r>
    </w:p>
    <w:p w14:paraId="7AF7C788" w14:textId="77777777" w:rsidR="00F87429" w:rsidRDefault="00F87429">
      <w:pPr>
        <w:tabs>
          <w:tab w:val="clear" w:pos="567"/>
        </w:tabs>
        <w:spacing w:line="240" w:lineRule="auto"/>
        <w:rPr>
          <w:noProof/>
          <w:szCs w:val="24"/>
        </w:rPr>
      </w:pPr>
    </w:p>
    <w:p w14:paraId="0EAEB2AE" w14:textId="77777777" w:rsidR="00254312" w:rsidRPr="00B34FA1" w:rsidRDefault="00254312">
      <w:pPr>
        <w:tabs>
          <w:tab w:val="clear" w:pos="567"/>
        </w:tabs>
        <w:spacing w:line="240" w:lineRule="auto"/>
        <w:rPr>
          <w:szCs w:val="24"/>
        </w:rPr>
      </w:pPr>
    </w:p>
    <w:p w14:paraId="5F0983DE" w14:textId="77777777" w:rsidR="00254312" w:rsidRPr="00B34FA1" w:rsidRDefault="00254312">
      <w:pPr>
        <w:pStyle w:val="Antrat3"/>
        <w:spacing w:before="0" w:after="0" w:line="240" w:lineRule="auto"/>
        <w:rPr>
          <w:rFonts w:ascii="Times New Roman" w:hAnsi="Times New Roman"/>
          <w:sz w:val="22"/>
        </w:rPr>
      </w:pPr>
      <w:r w:rsidRPr="00B34FA1">
        <w:rPr>
          <w:rFonts w:ascii="Times New Roman" w:hAnsi="Times New Roman"/>
          <w:sz w:val="22"/>
        </w:rPr>
        <w:t>10.</w:t>
      </w:r>
      <w:r w:rsidRPr="00B34FA1">
        <w:rPr>
          <w:rFonts w:ascii="Times New Roman" w:hAnsi="Times New Roman"/>
          <w:sz w:val="22"/>
        </w:rPr>
        <w:tab/>
        <w:t>TEKSTO PERŽIŪROS DATA</w:t>
      </w:r>
    </w:p>
    <w:p w14:paraId="0B14C081" w14:textId="77777777" w:rsidR="00254312" w:rsidRPr="00B34FA1" w:rsidRDefault="00254312">
      <w:pPr>
        <w:tabs>
          <w:tab w:val="clear" w:pos="567"/>
        </w:tabs>
        <w:spacing w:line="240" w:lineRule="auto"/>
        <w:rPr>
          <w:szCs w:val="24"/>
        </w:rPr>
      </w:pPr>
    </w:p>
    <w:p w14:paraId="3629DB12" w14:textId="067E3B78" w:rsidR="00965B41" w:rsidRDefault="00B64735" w:rsidP="007E1E5D">
      <w:pPr>
        <w:spacing w:line="240" w:lineRule="auto"/>
        <w:rPr>
          <w:noProof/>
          <w:szCs w:val="22"/>
        </w:rPr>
      </w:pPr>
      <w:r>
        <w:rPr>
          <w:noProof/>
          <w:szCs w:val="22"/>
        </w:rPr>
        <w:t>2020 m. liepos 30 d.</w:t>
      </w:r>
    </w:p>
    <w:p w14:paraId="7EC622F1" w14:textId="77777777" w:rsidR="00D163B0" w:rsidRDefault="00D163B0">
      <w:pPr>
        <w:tabs>
          <w:tab w:val="clear" w:pos="567"/>
          <w:tab w:val="left" w:pos="5954"/>
          <w:tab w:val="left" w:pos="6237"/>
          <w:tab w:val="left" w:pos="6663"/>
          <w:tab w:val="left" w:pos="6946"/>
        </w:tabs>
        <w:spacing w:line="240" w:lineRule="auto"/>
        <w:rPr>
          <w:rFonts w:eastAsia="SimSun"/>
          <w:noProof/>
          <w:snapToGrid/>
          <w:szCs w:val="22"/>
        </w:rPr>
      </w:pPr>
    </w:p>
    <w:p w14:paraId="12377CDA" w14:textId="77777777" w:rsidR="003326B0" w:rsidRDefault="003326B0">
      <w:pPr>
        <w:tabs>
          <w:tab w:val="clear" w:pos="567"/>
          <w:tab w:val="left" w:pos="5954"/>
          <w:tab w:val="left" w:pos="6237"/>
          <w:tab w:val="left" w:pos="6663"/>
          <w:tab w:val="left" w:pos="6946"/>
        </w:tabs>
        <w:spacing w:line="240" w:lineRule="auto"/>
        <w:rPr>
          <w:rFonts w:eastAsia="SimSun"/>
          <w:noProof/>
          <w:snapToGrid/>
          <w:szCs w:val="22"/>
        </w:rPr>
      </w:pPr>
    </w:p>
    <w:p w14:paraId="75BD7010" w14:textId="77777777" w:rsidR="00D163B0" w:rsidRPr="00D163B0" w:rsidRDefault="00D163B0">
      <w:pPr>
        <w:tabs>
          <w:tab w:val="clear" w:pos="567"/>
          <w:tab w:val="left" w:pos="5954"/>
          <w:tab w:val="left" w:pos="6237"/>
          <w:tab w:val="left" w:pos="6663"/>
          <w:tab w:val="left" w:pos="6946"/>
        </w:tabs>
        <w:spacing w:line="240" w:lineRule="auto"/>
        <w:rPr>
          <w:rFonts w:eastAsia="SimSun"/>
          <w:snapToGrid/>
          <w:szCs w:val="22"/>
        </w:rPr>
      </w:pPr>
      <w:r w:rsidRPr="00D163B0">
        <w:rPr>
          <w:rFonts w:eastAsia="SimSun"/>
          <w:noProof/>
          <w:snapToGrid/>
          <w:szCs w:val="22"/>
        </w:rPr>
        <w:t>Išsami informacija apie šį vaistinį preparatą pateikiama Valstybinės vaistų kontrolės tarnybos prie Lietuvos Respublikos sveikatos apsaugos ministerijos tinklalapyje</w:t>
      </w:r>
      <w:r w:rsidRPr="00D163B0">
        <w:rPr>
          <w:rFonts w:eastAsia="SimSun"/>
          <w:i/>
          <w:noProof/>
          <w:snapToGrid/>
          <w:szCs w:val="22"/>
        </w:rPr>
        <w:t xml:space="preserve"> </w:t>
      </w:r>
      <w:hyperlink r:id="rId9" w:history="1">
        <w:r w:rsidRPr="00D163B0">
          <w:rPr>
            <w:rFonts w:eastAsia="SimSun"/>
            <w:noProof/>
            <w:snapToGrid/>
            <w:color w:val="0000FF"/>
            <w:szCs w:val="22"/>
            <w:u w:val="single"/>
          </w:rPr>
          <w:t>http://www.</w:t>
        </w:r>
        <w:r w:rsidRPr="00D163B0">
          <w:rPr>
            <w:rFonts w:eastAsia="SimSun"/>
            <w:snapToGrid/>
            <w:color w:val="0000FF"/>
            <w:szCs w:val="22"/>
            <w:u w:val="single"/>
          </w:rPr>
          <w:t>vvkt.lt</w:t>
        </w:r>
      </w:hyperlink>
    </w:p>
    <w:p w14:paraId="7F8110D7" w14:textId="77777777" w:rsidR="00D163B0" w:rsidRDefault="00D163B0" w:rsidP="00811A4B">
      <w:pPr>
        <w:tabs>
          <w:tab w:val="clear" w:pos="567"/>
        </w:tabs>
        <w:spacing w:line="240" w:lineRule="auto"/>
        <w:rPr>
          <w:noProof/>
        </w:rPr>
      </w:pPr>
    </w:p>
    <w:p w14:paraId="15701234" w14:textId="77777777" w:rsidR="00250DCE" w:rsidRDefault="00250DCE" w:rsidP="00811A4B">
      <w:pPr>
        <w:tabs>
          <w:tab w:val="clear" w:pos="567"/>
        </w:tabs>
        <w:spacing w:line="240" w:lineRule="auto"/>
        <w:rPr>
          <w:noProof/>
        </w:rPr>
      </w:pPr>
      <w:r>
        <w:rPr>
          <w:noProof/>
        </w:rPr>
        <w:br w:type="page"/>
      </w:r>
    </w:p>
    <w:p w14:paraId="0776FF61" w14:textId="77777777" w:rsidR="00250DCE" w:rsidRDefault="00250DCE" w:rsidP="00250DCE">
      <w:pPr>
        <w:jc w:val="center"/>
        <w:rPr>
          <w:b/>
        </w:rPr>
      </w:pPr>
    </w:p>
    <w:p w14:paraId="7B2FDF56" w14:textId="77777777" w:rsidR="00250DCE" w:rsidRDefault="00250DCE" w:rsidP="00250DCE">
      <w:pPr>
        <w:jc w:val="center"/>
        <w:rPr>
          <w:b/>
        </w:rPr>
      </w:pPr>
    </w:p>
    <w:p w14:paraId="7697E1CC" w14:textId="77777777" w:rsidR="00250DCE" w:rsidRDefault="00250DCE" w:rsidP="00250DCE">
      <w:pPr>
        <w:jc w:val="center"/>
        <w:rPr>
          <w:b/>
        </w:rPr>
      </w:pPr>
    </w:p>
    <w:p w14:paraId="3BBE3D2E" w14:textId="77777777" w:rsidR="00250DCE" w:rsidRDefault="00250DCE" w:rsidP="00250DCE">
      <w:pPr>
        <w:jc w:val="center"/>
        <w:rPr>
          <w:b/>
        </w:rPr>
      </w:pPr>
    </w:p>
    <w:p w14:paraId="0C3DE11C" w14:textId="77777777" w:rsidR="00250DCE" w:rsidRDefault="00250DCE" w:rsidP="00250DCE">
      <w:pPr>
        <w:jc w:val="center"/>
        <w:rPr>
          <w:b/>
        </w:rPr>
      </w:pPr>
    </w:p>
    <w:p w14:paraId="3CF1A904" w14:textId="77777777" w:rsidR="00250DCE" w:rsidRDefault="00250DCE" w:rsidP="00250DCE">
      <w:pPr>
        <w:jc w:val="center"/>
        <w:rPr>
          <w:b/>
        </w:rPr>
      </w:pPr>
    </w:p>
    <w:p w14:paraId="1DEDE0FC" w14:textId="77777777" w:rsidR="00250DCE" w:rsidRDefault="00250DCE" w:rsidP="00250DCE">
      <w:pPr>
        <w:jc w:val="center"/>
        <w:rPr>
          <w:b/>
        </w:rPr>
      </w:pPr>
    </w:p>
    <w:p w14:paraId="49DCF7EA" w14:textId="77777777" w:rsidR="00250DCE" w:rsidRDefault="00250DCE" w:rsidP="00250DCE">
      <w:pPr>
        <w:jc w:val="center"/>
        <w:rPr>
          <w:b/>
        </w:rPr>
      </w:pPr>
    </w:p>
    <w:p w14:paraId="3D1FBA14" w14:textId="77777777" w:rsidR="00250DCE" w:rsidRDefault="00250DCE" w:rsidP="00250DCE">
      <w:pPr>
        <w:jc w:val="center"/>
        <w:rPr>
          <w:b/>
        </w:rPr>
      </w:pPr>
    </w:p>
    <w:p w14:paraId="05326497" w14:textId="77777777" w:rsidR="00250DCE" w:rsidRDefault="00250DCE" w:rsidP="00250DCE">
      <w:pPr>
        <w:jc w:val="center"/>
        <w:rPr>
          <w:b/>
        </w:rPr>
      </w:pPr>
    </w:p>
    <w:p w14:paraId="7949A7BB" w14:textId="77777777" w:rsidR="00250DCE" w:rsidRDefault="00250DCE" w:rsidP="00250DCE">
      <w:pPr>
        <w:jc w:val="center"/>
        <w:rPr>
          <w:b/>
        </w:rPr>
      </w:pPr>
    </w:p>
    <w:p w14:paraId="19B49797" w14:textId="77777777" w:rsidR="00250DCE" w:rsidRDefault="00250DCE" w:rsidP="00250DCE">
      <w:pPr>
        <w:jc w:val="center"/>
        <w:rPr>
          <w:b/>
        </w:rPr>
      </w:pPr>
    </w:p>
    <w:p w14:paraId="402829A3" w14:textId="77777777" w:rsidR="00250DCE" w:rsidRDefault="00250DCE" w:rsidP="00250DCE">
      <w:pPr>
        <w:jc w:val="center"/>
        <w:rPr>
          <w:b/>
        </w:rPr>
      </w:pPr>
    </w:p>
    <w:p w14:paraId="5FD22B61" w14:textId="77777777" w:rsidR="00250DCE" w:rsidRDefault="00250DCE" w:rsidP="00250DCE">
      <w:pPr>
        <w:jc w:val="center"/>
        <w:rPr>
          <w:b/>
        </w:rPr>
      </w:pPr>
    </w:p>
    <w:p w14:paraId="1CD707ED" w14:textId="77777777" w:rsidR="00D163B0" w:rsidRDefault="00D163B0" w:rsidP="00250DCE">
      <w:pPr>
        <w:jc w:val="center"/>
        <w:rPr>
          <w:b/>
        </w:rPr>
      </w:pPr>
    </w:p>
    <w:p w14:paraId="0057C0DB" w14:textId="77777777" w:rsidR="00D163B0" w:rsidRDefault="00D163B0" w:rsidP="00250DCE">
      <w:pPr>
        <w:jc w:val="center"/>
        <w:rPr>
          <w:b/>
        </w:rPr>
      </w:pPr>
    </w:p>
    <w:p w14:paraId="418E360D" w14:textId="77777777" w:rsidR="00D163B0" w:rsidRDefault="00D163B0" w:rsidP="00250DCE">
      <w:pPr>
        <w:jc w:val="center"/>
        <w:rPr>
          <w:b/>
        </w:rPr>
      </w:pPr>
    </w:p>
    <w:p w14:paraId="07BC55D0" w14:textId="77777777" w:rsidR="00D163B0" w:rsidRDefault="00D163B0" w:rsidP="00250DCE">
      <w:pPr>
        <w:jc w:val="center"/>
        <w:rPr>
          <w:b/>
        </w:rPr>
      </w:pPr>
    </w:p>
    <w:p w14:paraId="5F34BA31" w14:textId="77777777" w:rsidR="00D163B0" w:rsidRDefault="00D163B0" w:rsidP="00250DCE">
      <w:pPr>
        <w:jc w:val="center"/>
        <w:rPr>
          <w:b/>
        </w:rPr>
      </w:pPr>
    </w:p>
    <w:p w14:paraId="04D7DB65" w14:textId="77777777" w:rsidR="00D163B0" w:rsidRDefault="00D163B0" w:rsidP="00250DCE">
      <w:pPr>
        <w:jc w:val="center"/>
        <w:rPr>
          <w:b/>
        </w:rPr>
      </w:pPr>
    </w:p>
    <w:p w14:paraId="68087340" w14:textId="77777777" w:rsidR="00D163B0" w:rsidRDefault="00D163B0" w:rsidP="00250DCE">
      <w:pPr>
        <w:jc w:val="center"/>
        <w:rPr>
          <w:b/>
        </w:rPr>
      </w:pPr>
    </w:p>
    <w:p w14:paraId="273A5BFB" w14:textId="77777777" w:rsidR="00D163B0" w:rsidRDefault="00D163B0" w:rsidP="00250DCE">
      <w:pPr>
        <w:jc w:val="center"/>
        <w:rPr>
          <w:b/>
        </w:rPr>
      </w:pPr>
    </w:p>
    <w:p w14:paraId="3FDCB38F" w14:textId="77777777" w:rsidR="00250DCE" w:rsidRPr="00250DCE" w:rsidRDefault="00250DCE" w:rsidP="00250DCE">
      <w:pPr>
        <w:jc w:val="center"/>
        <w:rPr>
          <w:b/>
        </w:rPr>
      </w:pPr>
      <w:r w:rsidRPr="00250DCE">
        <w:rPr>
          <w:b/>
        </w:rPr>
        <w:t>II PRIEDAS</w:t>
      </w:r>
    </w:p>
    <w:p w14:paraId="10E15D2D" w14:textId="77777777" w:rsidR="00250DCE" w:rsidRPr="00250DCE" w:rsidRDefault="00250DCE" w:rsidP="00250DCE">
      <w:pPr>
        <w:ind w:left="1701" w:right="1416" w:hanging="567"/>
      </w:pPr>
    </w:p>
    <w:p w14:paraId="30C0543A" w14:textId="77777777" w:rsidR="00250DCE" w:rsidRPr="00250DCE" w:rsidRDefault="00250DCE" w:rsidP="00250DCE">
      <w:pPr>
        <w:jc w:val="center"/>
        <w:rPr>
          <w:i/>
        </w:rPr>
      </w:pPr>
      <w:r w:rsidRPr="00250DCE">
        <w:rPr>
          <w:b/>
        </w:rPr>
        <w:t>REGISTRACIJOS SĄLYGOS</w:t>
      </w:r>
    </w:p>
    <w:p w14:paraId="5D6BF67B" w14:textId="77777777" w:rsidR="00250DCE" w:rsidRPr="00250DCE" w:rsidRDefault="00250DCE" w:rsidP="00250DCE"/>
    <w:p w14:paraId="11DBBC7B" w14:textId="77777777" w:rsidR="00250DCE" w:rsidRPr="00250DCE" w:rsidRDefault="00250DCE" w:rsidP="00250DCE">
      <w:pPr>
        <w:tabs>
          <w:tab w:val="clear" w:pos="567"/>
          <w:tab w:val="left" w:pos="1701"/>
        </w:tabs>
        <w:ind w:left="1701" w:right="567" w:hanging="567"/>
        <w:rPr>
          <w:b/>
          <w:noProof/>
          <w:szCs w:val="24"/>
        </w:rPr>
      </w:pPr>
      <w:r w:rsidRPr="00250DCE">
        <w:rPr>
          <w:b/>
          <w:noProof/>
          <w:szCs w:val="24"/>
        </w:rPr>
        <w:t>A.</w:t>
      </w:r>
      <w:r w:rsidRPr="00250DCE">
        <w:rPr>
          <w:b/>
          <w:noProof/>
          <w:szCs w:val="24"/>
        </w:rPr>
        <w:tab/>
        <w:t>GAMINTOJAS (-AI), ATSAKINGAS (-I) UŽ SERIJŲ IŠLEIDIMĄ</w:t>
      </w:r>
    </w:p>
    <w:p w14:paraId="35DA6E76" w14:textId="77777777" w:rsidR="00250DCE" w:rsidRPr="00250DCE" w:rsidRDefault="00250DCE" w:rsidP="00250DCE">
      <w:pPr>
        <w:tabs>
          <w:tab w:val="clear" w:pos="567"/>
          <w:tab w:val="left" w:pos="1701"/>
        </w:tabs>
        <w:ind w:left="567" w:right="567" w:hanging="567"/>
        <w:rPr>
          <w:noProof/>
          <w:szCs w:val="24"/>
        </w:rPr>
      </w:pPr>
    </w:p>
    <w:p w14:paraId="17CC6C0D" w14:textId="77777777" w:rsidR="00250DCE" w:rsidRPr="00250DCE" w:rsidRDefault="00250DCE" w:rsidP="00250DCE">
      <w:pPr>
        <w:tabs>
          <w:tab w:val="clear" w:pos="567"/>
          <w:tab w:val="left" w:pos="1701"/>
        </w:tabs>
        <w:ind w:left="1701" w:right="567" w:hanging="567"/>
        <w:rPr>
          <w:b/>
        </w:rPr>
      </w:pPr>
      <w:r w:rsidRPr="00250DCE">
        <w:rPr>
          <w:b/>
        </w:rPr>
        <w:t>B.</w:t>
      </w:r>
      <w:r w:rsidRPr="00250DCE">
        <w:rPr>
          <w:b/>
        </w:rPr>
        <w:tab/>
        <w:t>TIEKIMO IR VARTOJIMO SĄLYGOS AR APRIBOJIMAI</w:t>
      </w:r>
    </w:p>
    <w:p w14:paraId="1859F7A1" w14:textId="77777777" w:rsidR="00250DCE" w:rsidRPr="00250DCE" w:rsidRDefault="00250DCE" w:rsidP="00250DCE">
      <w:pPr>
        <w:tabs>
          <w:tab w:val="clear" w:pos="567"/>
          <w:tab w:val="left" w:pos="1701"/>
        </w:tabs>
        <w:ind w:left="567" w:right="567" w:hanging="567"/>
      </w:pPr>
    </w:p>
    <w:p w14:paraId="4E7DAB36" w14:textId="77777777" w:rsidR="00250DCE" w:rsidRPr="00250DCE" w:rsidRDefault="00250DCE" w:rsidP="00250DCE">
      <w:pPr>
        <w:ind w:left="1701" w:right="1558" w:hanging="850"/>
        <w:rPr>
          <w:b/>
        </w:rPr>
      </w:pPr>
    </w:p>
    <w:p w14:paraId="461E1AA5" w14:textId="77777777" w:rsidR="00250DCE" w:rsidRPr="00250DCE" w:rsidRDefault="00250DCE" w:rsidP="00250DCE">
      <w:pPr>
        <w:ind w:left="567" w:hanging="567"/>
      </w:pPr>
    </w:p>
    <w:p w14:paraId="0BF11897" w14:textId="77777777" w:rsidR="00250DCE" w:rsidRPr="00250DCE" w:rsidRDefault="00250DCE" w:rsidP="00250DCE">
      <w:pPr>
        <w:ind w:right="-1"/>
      </w:pPr>
    </w:p>
    <w:p w14:paraId="3B491ADE" w14:textId="77777777" w:rsidR="00250DCE" w:rsidRPr="00250DCE" w:rsidRDefault="00250DCE" w:rsidP="00250DCE">
      <w:pPr>
        <w:ind w:left="567" w:hanging="567"/>
        <w:rPr>
          <w:b/>
          <w:szCs w:val="24"/>
        </w:rPr>
      </w:pPr>
      <w:r w:rsidRPr="00250DCE">
        <w:br w:type="page"/>
      </w:r>
      <w:r w:rsidRPr="00250DCE">
        <w:rPr>
          <w:b/>
        </w:rPr>
        <w:t>A.</w:t>
      </w:r>
      <w:r w:rsidRPr="00250DCE">
        <w:rPr>
          <w:b/>
          <w:szCs w:val="24"/>
        </w:rPr>
        <w:tab/>
      </w:r>
      <w:r w:rsidRPr="00250DCE">
        <w:rPr>
          <w:b/>
        </w:rPr>
        <w:t>GAMINTOJAS (-AI), ATSAKINGAS (-I) UŽ SERIJŲ IŠLEIDIMĄ</w:t>
      </w:r>
    </w:p>
    <w:p w14:paraId="7E989175" w14:textId="77777777" w:rsidR="00250DCE" w:rsidRPr="00250DCE" w:rsidRDefault="00250DCE" w:rsidP="00250DCE">
      <w:pPr>
        <w:rPr>
          <w:szCs w:val="24"/>
        </w:rPr>
      </w:pPr>
    </w:p>
    <w:p w14:paraId="3E113B67" w14:textId="77777777" w:rsidR="00250DCE" w:rsidRPr="00250DCE" w:rsidRDefault="00250DCE" w:rsidP="00250DCE">
      <w:pPr>
        <w:spacing w:line="240" w:lineRule="auto"/>
        <w:jc w:val="both"/>
        <w:rPr>
          <w:szCs w:val="24"/>
        </w:rPr>
      </w:pPr>
      <w:r w:rsidRPr="00250DCE">
        <w:rPr>
          <w:noProof/>
          <w:szCs w:val="24"/>
          <w:u w:val="single"/>
        </w:rPr>
        <w:t>Gamintojo (-ų), atsakingo (-ų) už serijų išleidimą, pavadinimas (-ai) ir adresas (-ai)</w:t>
      </w:r>
    </w:p>
    <w:p w14:paraId="3620A8AC" w14:textId="77777777" w:rsidR="00250DCE" w:rsidRDefault="00250DCE" w:rsidP="00250DCE">
      <w:pPr>
        <w:rPr>
          <w:szCs w:val="24"/>
        </w:rPr>
      </w:pPr>
    </w:p>
    <w:p w14:paraId="1DF3A88D" w14:textId="77777777" w:rsidR="00D163B0" w:rsidRPr="00D163B0" w:rsidRDefault="00D163B0" w:rsidP="00D163B0">
      <w:pPr>
        <w:rPr>
          <w:szCs w:val="24"/>
        </w:rPr>
      </w:pPr>
      <w:r w:rsidRPr="00D163B0">
        <w:rPr>
          <w:szCs w:val="24"/>
        </w:rPr>
        <w:t>Teva Operations Poland Sp. z.o.o</w:t>
      </w:r>
    </w:p>
    <w:p w14:paraId="2795E970" w14:textId="77777777" w:rsidR="00D163B0" w:rsidRPr="00D163B0" w:rsidRDefault="00D163B0" w:rsidP="00D163B0">
      <w:pPr>
        <w:rPr>
          <w:szCs w:val="24"/>
        </w:rPr>
      </w:pPr>
      <w:r w:rsidRPr="00D163B0">
        <w:rPr>
          <w:szCs w:val="24"/>
        </w:rPr>
        <w:t>ul. Mogilska 80</w:t>
      </w:r>
    </w:p>
    <w:p w14:paraId="3D293AB7" w14:textId="77777777" w:rsidR="00D163B0" w:rsidRPr="00D163B0" w:rsidRDefault="00D163B0" w:rsidP="00D163B0">
      <w:pPr>
        <w:rPr>
          <w:szCs w:val="24"/>
        </w:rPr>
      </w:pPr>
      <w:r w:rsidRPr="00D163B0">
        <w:rPr>
          <w:szCs w:val="24"/>
        </w:rPr>
        <w:t>31-546 Krakow</w:t>
      </w:r>
    </w:p>
    <w:p w14:paraId="71BE4DD4" w14:textId="77777777" w:rsidR="00D163B0" w:rsidRPr="00D163B0" w:rsidRDefault="00D163B0" w:rsidP="00D163B0">
      <w:pPr>
        <w:rPr>
          <w:szCs w:val="24"/>
        </w:rPr>
      </w:pPr>
      <w:r>
        <w:rPr>
          <w:szCs w:val="24"/>
        </w:rPr>
        <w:t>Lenkija</w:t>
      </w:r>
    </w:p>
    <w:p w14:paraId="2CBCA591" w14:textId="77777777" w:rsidR="00D163B0" w:rsidRDefault="00D163B0" w:rsidP="00D163B0">
      <w:pPr>
        <w:rPr>
          <w:szCs w:val="24"/>
        </w:rPr>
      </w:pPr>
    </w:p>
    <w:p w14:paraId="5C2886B6" w14:textId="77777777" w:rsidR="00D163B0" w:rsidRDefault="00D163B0" w:rsidP="00D163B0">
      <w:pPr>
        <w:rPr>
          <w:szCs w:val="24"/>
        </w:rPr>
      </w:pPr>
      <w:r>
        <w:rPr>
          <w:szCs w:val="24"/>
        </w:rPr>
        <w:t>arba</w:t>
      </w:r>
    </w:p>
    <w:p w14:paraId="19C4E88F" w14:textId="77777777" w:rsidR="00D163B0" w:rsidRDefault="00D163B0" w:rsidP="00D163B0">
      <w:pPr>
        <w:rPr>
          <w:szCs w:val="24"/>
        </w:rPr>
      </w:pPr>
    </w:p>
    <w:p w14:paraId="321A73C4" w14:textId="77777777" w:rsidR="00D163B0" w:rsidRPr="00D163B0" w:rsidRDefault="00D163B0" w:rsidP="00D163B0">
      <w:pPr>
        <w:rPr>
          <w:szCs w:val="24"/>
        </w:rPr>
      </w:pPr>
      <w:r w:rsidRPr="00D163B0">
        <w:rPr>
          <w:szCs w:val="24"/>
        </w:rPr>
        <w:t>Merckle GmbH</w:t>
      </w:r>
    </w:p>
    <w:p w14:paraId="3BD7FA6C" w14:textId="77777777" w:rsidR="00D163B0" w:rsidRPr="00D163B0" w:rsidRDefault="00D163B0" w:rsidP="00D163B0">
      <w:pPr>
        <w:rPr>
          <w:szCs w:val="24"/>
        </w:rPr>
      </w:pPr>
      <w:r w:rsidRPr="00D163B0">
        <w:rPr>
          <w:szCs w:val="24"/>
        </w:rPr>
        <w:t>Ludwig-Merckle-Straße 3</w:t>
      </w:r>
    </w:p>
    <w:p w14:paraId="67AEE15E" w14:textId="77777777" w:rsidR="00D163B0" w:rsidRPr="00D163B0" w:rsidRDefault="00D163B0" w:rsidP="00D163B0">
      <w:pPr>
        <w:rPr>
          <w:szCs w:val="24"/>
        </w:rPr>
      </w:pPr>
      <w:r w:rsidRPr="00D163B0">
        <w:rPr>
          <w:szCs w:val="24"/>
        </w:rPr>
        <w:t>89143 Blaubeuren</w:t>
      </w:r>
    </w:p>
    <w:p w14:paraId="3B08AEB6" w14:textId="77777777" w:rsidR="00D163B0" w:rsidRPr="00D163B0" w:rsidRDefault="00D163B0" w:rsidP="00D163B0">
      <w:pPr>
        <w:rPr>
          <w:szCs w:val="24"/>
        </w:rPr>
      </w:pPr>
      <w:r>
        <w:rPr>
          <w:szCs w:val="24"/>
        </w:rPr>
        <w:t>Vokietija</w:t>
      </w:r>
    </w:p>
    <w:p w14:paraId="5723549B" w14:textId="77777777" w:rsidR="00D163B0" w:rsidRDefault="00D163B0" w:rsidP="00D163B0">
      <w:pPr>
        <w:rPr>
          <w:szCs w:val="24"/>
        </w:rPr>
      </w:pPr>
    </w:p>
    <w:p w14:paraId="0171AC02" w14:textId="77777777" w:rsidR="00D163B0" w:rsidRDefault="00D163B0" w:rsidP="00D163B0">
      <w:pPr>
        <w:rPr>
          <w:szCs w:val="24"/>
        </w:rPr>
      </w:pPr>
      <w:r>
        <w:rPr>
          <w:szCs w:val="24"/>
        </w:rPr>
        <w:t>arba</w:t>
      </w:r>
    </w:p>
    <w:p w14:paraId="00E07936" w14:textId="77777777" w:rsidR="00D163B0" w:rsidRDefault="00D163B0" w:rsidP="00D163B0">
      <w:pPr>
        <w:rPr>
          <w:szCs w:val="24"/>
        </w:rPr>
      </w:pPr>
    </w:p>
    <w:p w14:paraId="3E96ADBD" w14:textId="77777777" w:rsidR="00D163B0" w:rsidRPr="00D163B0" w:rsidRDefault="00D163B0" w:rsidP="00D163B0">
      <w:pPr>
        <w:rPr>
          <w:szCs w:val="24"/>
        </w:rPr>
      </w:pPr>
      <w:r w:rsidRPr="00D163B0">
        <w:rPr>
          <w:szCs w:val="24"/>
        </w:rPr>
        <w:t>Teva Pharma B.V.</w:t>
      </w:r>
    </w:p>
    <w:p w14:paraId="3593F593" w14:textId="77777777" w:rsidR="00D163B0" w:rsidRPr="00D163B0" w:rsidRDefault="00D163B0" w:rsidP="00D163B0">
      <w:pPr>
        <w:rPr>
          <w:szCs w:val="24"/>
        </w:rPr>
      </w:pPr>
      <w:r w:rsidRPr="00D163B0">
        <w:rPr>
          <w:szCs w:val="24"/>
        </w:rPr>
        <w:t>Swensweg 5</w:t>
      </w:r>
    </w:p>
    <w:p w14:paraId="0840E5B1" w14:textId="77777777" w:rsidR="00D163B0" w:rsidRPr="00D163B0" w:rsidRDefault="00D163B0" w:rsidP="00D163B0">
      <w:pPr>
        <w:rPr>
          <w:szCs w:val="24"/>
        </w:rPr>
      </w:pPr>
      <w:r w:rsidRPr="00D163B0">
        <w:rPr>
          <w:szCs w:val="24"/>
        </w:rPr>
        <w:t>2031 GA Haarlem</w:t>
      </w:r>
    </w:p>
    <w:p w14:paraId="3CB8703F" w14:textId="77777777" w:rsidR="00D163B0" w:rsidRPr="00D163B0" w:rsidRDefault="00D163B0" w:rsidP="00D163B0">
      <w:pPr>
        <w:rPr>
          <w:szCs w:val="24"/>
        </w:rPr>
      </w:pPr>
      <w:r>
        <w:rPr>
          <w:szCs w:val="24"/>
        </w:rPr>
        <w:t>Nyderlandai</w:t>
      </w:r>
    </w:p>
    <w:p w14:paraId="0AB6FC87" w14:textId="77777777" w:rsidR="00D163B0" w:rsidRDefault="00D163B0" w:rsidP="00D163B0">
      <w:pPr>
        <w:rPr>
          <w:szCs w:val="24"/>
        </w:rPr>
      </w:pPr>
    </w:p>
    <w:p w14:paraId="29028024" w14:textId="77777777" w:rsidR="00D163B0" w:rsidRDefault="00D163B0" w:rsidP="00D163B0">
      <w:pPr>
        <w:rPr>
          <w:szCs w:val="24"/>
        </w:rPr>
      </w:pPr>
      <w:r>
        <w:rPr>
          <w:szCs w:val="24"/>
        </w:rPr>
        <w:t>arba</w:t>
      </w:r>
    </w:p>
    <w:p w14:paraId="5FFAA84A" w14:textId="77777777" w:rsidR="00D163B0" w:rsidRDefault="00D163B0" w:rsidP="00D163B0">
      <w:pPr>
        <w:rPr>
          <w:szCs w:val="24"/>
        </w:rPr>
      </w:pPr>
    </w:p>
    <w:p w14:paraId="2E16F61A" w14:textId="77777777" w:rsidR="00D163B0" w:rsidRPr="00D163B0" w:rsidRDefault="00D163B0" w:rsidP="00D163B0">
      <w:pPr>
        <w:rPr>
          <w:szCs w:val="24"/>
        </w:rPr>
      </w:pPr>
      <w:r w:rsidRPr="00D163B0">
        <w:rPr>
          <w:szCs w:val="24"/>
        </w:rPr>
        <w:t>PLIVA Hrvatska d.o.o. (PLIVA Croatia Ltd.)</w:t>
      </w:r>
    </w:p>
    <w:p w14:paraId="41EC0768" w14:textId="77777777" w:rsidR="00D163B0" w:rsidRPr="00D163B0" w:rsidRDefault="00D163B0" w:rsidP="00D163B0">
      <w:pPr>
        <w:rPr>
          <w:szCs w:val="24"/>
        </w:rPr>
      </w:pPr>
      <w:r w:rsidRPr="00D163B0">
        <w:rPr>
          <w:szCs w:val="24"/>
        </w:rPr>
        <w:t>Prilaz baruna Filipovica 25</w:t>
      </w:r>
    </w:p>
    <w:p w14:paraId="16E4F0F5" w14:textId="77777777" w:rsidR="00D163B0" w:rsidRPr="00D163B0" w:rsidRDefault="00D163B0" w:rsidP="00D163B0">
      <w:pPr>
        <w:rPr>
          <w:szCs w:val="24"/>
        </w:rPr>
      </w:pPr>
      <w:r w:rsidRPr="00D163B0">
        <w:rPr>
          <w:szCs w:val="24"/>
        </w:rPr>
        <w:t>10000 Zagreb</w:t>
      </w:r>
    </w:p>
    <w:p w14:paraId="67FCA81D" w14:textId="77777777" w:rsidR="00250DCE" w:rsidRDefault="00D163B0" w:rsidP="00D163B0">
      <w:pPr>
        <w:rPr>
          <w:szCs w:val="24"/>
        </w:rPr>
      </w:pPr>
      <w:r>
        <w:rPr>
          <w:szCs w:val="24"/>
        </w:rPr>
        <w:t>Kroatija</w:t>
      </w:r>
    </w:p>
    <w:p w14:paraId="62CA5AD1" w14:textId="77777777" w:rsidR="00250DCE" w:rsidRDefault="00250DCE" w:rsidP="00250DCE">
      <w:pPr>
        <w:rPr>
          <w:szCs w:val="24"/>
        </w:rPr>
      </w:pPr>
    </w:p>
    <w:p w14:paraId="080AEE8D" w14:textId="77777777" w:rsidR="00D163B0" w:rsidRPr="00D163B0" w:rsidRDefault="00D163B0" w:rsidP="00D163B0">
      <w:pPr>
        <w:spacing w:line="240" w:lineRule="auto"/>
        <w:jc w:val="both"/>
        <w:rPr>
          <w:szCs w:val="24"/>
        </w:rPr>
      </w:pPr>
      <w:r w:rsidRPr="00D163B0">
        <w:rPr>
          <w:noProof/>
          <w:szCs w:val="24"/>
        </w:rPr>
        <w:t>Su pakuote pateikiamame lapelyje nurodomas gamintojo, atsakingo už konkrečios serijos išl</w:t>
      </w:r>
      <w:r>
        <w:rPr>
          <w:noProof/>
          <w:szCs w:val="24"/>
        </w:rPr>
        <w:t>eidimą, pavadinimas ir adresas.</w:t>
      </w:r>
    </w:p>
    <w:p w14:paraId="266E5CE8" w14:textId="77777777" w:rsidR="00250DCE" w:rsidRPr="00250DCE" w:rsidRDefault="00250DCE" w:rsidP="00250DCE">
      <w:pPr>
        <w:rPr>
          <w:szCs w:val="24"/>
        </w:rPr>
      </w:pPr>
    </w:p>
    <w:p w14:paraId="72EF0745" w14:textId="77777777" w:rsidR="00250DCE" w:rsidRPr="00250DCE" w:rsidRDefault="00250DCE" w:rsidP="00250DCE">
      <w:pPr>
        <w:rPr>
          <w:szCs w:val="24"/>
        </w:rPr>
      </w:pPr>
    </w:p>
    <w:p w14:paraId="56F6DDD9" w14:textId="77777777" w:rsidR="00250DCE" w:rsidRPr="00250DCE" w:rsidRDefault="00250DCE" w:rsidP="00250DCE">
      <w:pPr>
        <w:spacing w:line="240" w:lineRule="auto"/>
        <w:ind w:left="567" w:hanging="567"/>
        <w:rPr>
          <w:szCs w:val="24"/>
        </w:rPr>
      </w:pPr>
      <w:r w:rsidRPr="00250DCE">
        <w:rPr>
          <w:b/>
          <w:noProof/>
          <w:szCs w:val="24"/>
        </w:rPr>
        <w:t>B.</w:t>
      </w:r>
      <w:r w:rsidRPr="00250DCE">
        <w:rPr>
          <w:b/>
          <w:szCs w:val="24"/>
        </w:rPr>
        <w:tab/>
      </w:r>
      <w:r w:rsidRPr="00250DCE">
        <w:rPr>
          <w:b/>
          <w:noProof/>
          <w:szCs w:val="24"/>
        </w:rPr>
        <w:t>TIEKIMO IR VARTOJIMO SĄLYGOS AR APRIBOJIMAI</w:t>
      </w:r>
    </w:p>
    <w:p w14:paraId="57A9AA5E" w14:textId="77777777" w:rsidR="00250DCE" w:rsidRPr="00250DCE" w:rsidRDefault="00250DCE" w:rsidP="00250DCE">
      <w:pPr>
        <w:rPr>
          <w:szCs w:val="24"/>
        </w:rPr>
      </w:pPr>
    </w:p>
    <w:p w14:paraId="22F9BE81" w14:textId="77777777" w:rsidR="00250DCE" w:rsidRDefault="00250DCE" w:rsidP="00250DCE">
      <w:r w:rsidRPr="00250DCE">
        <w:t>Receptinis vaistinis preparatas.</w:t>
      </w:r>
    </w:p>
    <w:p w14:paraId="620E12FC" w14:textId="77777777" w:rsidR="00250DCE" w:rsidRDefault="00250DCE" w:rsidP="00250DCE"/>
    <w:p w14:paraId="50FB2942" w14:textId="77777777" w:rsidR="00250DCE" w:rsidRDefault="00250DCE">
      <w:pPr>
        <w:tabs>
          <w:tab w:val="clear" w:pos="567"/>
        </w:tabs>
        <w:spacing w:after="200" w:line="276" w:lineRule="auto"/>
      </w:pPr>
      <w:r>
        <w:br w:type="page"/>
      </w:r>
    </w:p>
    <w:p w14:paraId="4E6AAF67" w14:textId="77777777" w:rsidR="00250DCE" w:rsidRDefault="00250DCE" w:rsidP="00250DCE"/>
    <w:p w14:paraId="6DD7E7DE" w14:textId="77777777" w:rsidR="00250DCE" w:rsidRDefault="00250DCE" w:rsidP="00250DCE">
      <w:pPr>
        <w:keepNext/>
        <w:spacing w:line="240" w:lineRule="auto"/>
        <w:jc w:val="center"/>
        <w:outlineLvl w:val="1"/>
        <w:rPr>
          <w:b/>
          <w:bCs/>
          <w:iCs/>
          <w:szCs w:val="28"/>
          <w:lang w:eastAsia="x-none"/>
        </w:rPr>
      </w:pPr>
    </w:p>
    <w:p w14:paraId="0EE72D9B" w14:textId="77777777" w:rsidR="00250DCE" w:rsidRDefault="00250DCE" w:rsidP="00250DCE">
      <w:pPr>
        <w:keepNext/>
        <w:spacing w:line="240" w:lineRule="auto"/>
        <w:jc w:val="center"/>
        <w:outlineLvl w:val="1"/>
        <w:rPr>
          <w:b/>
          <w:bCs/>
          <w:iCs/>
          <w:szCs w:val="28"/>
          <w:lang w:eastAsia="x-none"/>
        </w:rPr>
      </w:pPr>
    </w:p>
    <w:p w14:paraId="55CD53D2" w14:textId="77777777" w:rsidR="00250DCE" w:rsidRDefault="00250DCE" w:rsidP="00250DCE">
      <w:pPr>
        <w:keepNext/>
        <w:spacing w:line="240" w:lineRule="auto"/>
        <w:jc w:val="center"/>
        <w:outlineLvl w:val="1"/>
        <w:rPr>
          <w:b/>
          <w:bCs/>
          <w:iCs/>
          <w:szCs w:val="28"/>
          <w:lang w:eastAsia="x-none"/>
        </w:rPr>
      </w:pPr>
    </w:p>
    <w:p w14:paraId="41158830" w14:textId="77777777" w:rsidR="00250DCE" w:rsidRDefault="00250DCE" w:rsidP="00250DCE">
      <w:pPr>
        <w:keepNext/>
        <w:spacing w:line="240" w:lineRule="auto"/>
        <w:jc w:val="center"/>
        <w:outlineLvl w:val="1"/>
        <w:rPr>
          <w:b/>
          <w:bCs/>
          <w:iCs/>
          <w:szCs w:val="28"/>
          <w:lang w:eastAsia="x-none"/>
        </w:rPr>
      </w:pPr>
    </w:p>
    <w:p w14:paraId="72167EAA" w14:textId="77777777" w:rsidR="00250DCE" w:rsidRDefault="00250DCE" w:rsidP="00250DCE">
      <w:pPr>
        <w:keepNext/>
        <w:spacing w:line="240" w:lineRule="auto"/>
        <w:jc w:val="center"/>
        <w:outlineLvl w:val="1"/>
        <w:rPr>
          <w:b/>
          <w:bCs/>
          <w:iCs/>
          <w:szCs w:val="28"/>
          <w:lang w:eastAsia="x-none"/>
        </w:rPr>
      </w:pPr>
    </w:p>
    <w:p w14:paraId="640628CE" w14:textId="77777777" w:rsidR="00250DCE" w:rsidRDefault="00250DCE" w:rsidP="00250DCE">
      <w:pPr>
        <w:keepNext/>
        <w:spacing w:line="240" w:lineRule="auto"/>
        <w:jc w:val="center"/>
        <w:outlineLvl w:val="1"/>
        <w:rPr>
          <w:b/>
          <w:bCs/>
          <w:iCs/>
          <w:szCs w:val="28"/>
          <w:lang w:eastAsia="x-none"/>
        </w:rPr>
      </w:pPr>
    </w:p>
    <w:p w14:paraId="5B585A26" w14:textId="77777777" w:rsidR="00250DCE" w:rsidRDefault="00250DCE" w:rsidP="00250DCE">
      <w:pPr>
        <w:keepNext/>
        <w:spacing w:line="240" w:lineRule="auto"/>
        <w:jc w:val="center"/>
        <w:outlineLvl w:val="1"/>
        <w:rPr>
          <w:b/>
          <w:bCs/>
          <w:iCs/>
          <w:szCs w:val="28"/>
          <w:lang w:eastAsia="x-none"/>
        </w:rPr>
      </w:pPr>
    </w:p>
    <w:p w14:paraId="6787528C" w14:textId="77777777" w:rsidR="00250DCE" w:rsidRDefault="00250DCE" w:rsidP="00250DCE">
      <w:pPr>
        <w:keepNext/>
        <w:spacing w:line="240" w:lineRule="auto"/>
        <w:jc w:val="center"/>
        <w:outlineLvl w:val="1"/>
        <w:rPr>
          <w:b/>
          <w:bCs/>
          <w:iCs/>
          <w:szCs w:val="28"/>
          <w:lang w:eastAsia="x-none"/>
        </w:rPr>
      </w:pPr>
    </w:p>
    <w:p w14:paraId="4D76B088" w14:textId="77777777" w:rsidR="00250DCE" w:rsidRDefault="00250DCE" w:rsidP="00250DCE">
      <w:pPr>
        <w:keepNext/>
        <w:spacing w:line="240" w:lineRule="auto"/>
        <w:jc w:val="center"/>
        <w:outlineLvl w:val="1"/>
        <w:rPr>
          <w:b/>
          <w:bCs/>
          <w:iCs/>
          <w:szCs w:val="28"/>
          <w:lang w:eastAsia="x-none"/>
        </w:rPr>
      </w:pPr>
    </w:p>
    <w:p w14:paraId="5D5F2BEB" w14:textId="77777777" w:rsidR="00250DCE" w:rsidRDefault="00250DCE" w:rsidP="00250DCE">
      <w:pPr>
        <w:keepNext/>
        <w:spacing w:line="240" w:lineRule="auto"/>
        <w:jc w:val="center"/>
        <w:outlineLvl w:val="1"/>
        <w:rPr>
          <w:b/>
          <w:bCs/>
          <w:iCs/>
          <w:szCs w:val="28"/>
          <w:lang w:eastAsia="x-none"/>
        </w:rPr>
      </w:pPr>
    </w:p>
    <w:p w14:paraId="2724C065" w14:textId="77777777" w:rsidR="00250DCE" w:rsidRDefault="00250DCE" w:rsidP="00250DCE">
      <w:pPr>
        <w:keepNext/>
        <w:spacing w:line="240" w:lineRule="auto"/>
        <w:jc w:val="center"/>
        <w:outlineLvl w:val="1"/>
        <w:rPr>
          <w:b/>
          <w:bCs/>
          <w:iCs/>
          <w:szCs w:val="28"/>
          <w:lang w:eastAsia="x-none"/>
        </w:rPr>
      </w:pPr>
    </w:p>
    <w:p w14:paraId="47F5BD5B" w14:textId="77777777" w:rsidR="00250DCE" w:rsidRDefault="00250DCE" w:rsidP="00250DCE">
      <w:pPr>
        <w:keepNext/>
        <w:spacing w:line="240" w:lineRule="auto"/>
        <w:jc w:val="center"/>
        <w:outlineLvl w:val="1"/>
        <w:rPr>
          <w:b/>
          <w:bCs/>
          <w:iCs/>
          <w:szCs w:val="28"/>
          <w:lang w:eastAsia="x-none"/>
        </w:rPr>
      </w:pPr>
    </w:p>
    <w:p w14:paraId="396E1DA8" w14:textId="77777777" w:rsidR="00250DCE" w:rsidRDefault="00250DCE" w:rsidP="00250DCE">
      <w:pPr>
        <w:keepNext/>
        <w:spacing w:line="240" w:lineRule="auto"/>
        <w:jc w:val="center"/>
        <w:outlineLvl w:val="1"/>
        <w:rPr>
          <w:b/>
          <w:bCs/>
          <w:iCs/>
          <w:szCs w:val="28"/>
          <w:lang w:eastAsia="x-none"/>
        </w:rPr>
      </w:pPr>
    </w:p>
    <w:p w14:paraId="50748874" w14:textId="77777777" w:rsidR="00250DCE" w:rsidRDefault="00250DCE" w:rsidP="00250DCE">
      <w:pPr>
        <w:keepNext/>
        <w:spacing w:line="240" w:lineRule="auto"/>
        <w:jc w:val="center"/>
        <w:outlineLvl w:val="1"/>
        <w:rPr>
          <w:b/>
          <w:bCs/>
          <w:iCs/>
          <w:szCs w:val="28"/>
          <w:lang w:eastAsia="x-none"/>
        </w:rPr>
      </w:pPr>
    </w:p>
    <w:p w14:paraId="21A39C7D" w14:textId="77777777" w:rsidR="00250DCE" w:rsidRDefault="00250DCE" w:rsidP="00250DCE">
      <w:pPr>
        <w:keepNext/>
        <w:spacing w:line="240" w:lineRule="auto"/>
        <w:jc w:val="center"/>
        <w:outlineLvl w:val="1"/>
        <w:rPr>
          <w:b/>
          <w:bCs/>
          <w:iCs/>
          <w:szCs w:val="28"/>
          <w:lang w:eastAsia="x-none"/>
        </w:rPr>
      </w:pPr>
    </w:p>
    <w:p w14:paraId="1CB732CA" w14:textId="77777777" w:rsidR="00250DCE" w:rsidRDefault="00250DCE" w:rsidP="00250DCE">
      <w:pPr>
        <w:keepNext/>
        <w:spacing w:line="240" w:lineRule="auto"/>
        <w:jc w:val="center"/>
        <w:outlineLvl w:val="1"/>
        <w:rPr>
          <w:b/>
          <w:bCs/>
          <w:iCs/>
          <w:szCs w:val="28"/>
          <w:lang w:eastAsia="x-none"/>
        </w:rPr>
      </w:pPr>
    </w:p>
    <w:p w14:paraId="3B243EE2" w14:textId="77777777" w:rsidR="00250DCE" w:rsidRDefault="00250DCE" w:rsidP="00250DCE">
      <w:pPr>
        <w:keepNext/>
        <w:spacing w:line="240" w:lineRule="auto"/>
        <w:jc w:val="center"/>
        <w:outlineLvl w:val="1"/>
        <w:rPr>
          <w:b/>
          <w:bCs/>
          <w:iCs/>
          <w:szCs w:val="28"/>
          <w:lang w:eastAsia="x-none"/>
        </w:rPr>
      </w:pPr>
    </w:p>
    <w:p w14:paraId="788D3339" w14:textId="77777777" w:rsidR="00EA7BA0" w:rsidRDefault="00EA7BA0" w:rsidP="00250DCE">
      <w:pPr>
        <w:keepNext/>
        <w:spacing w:line="240" w:lineRule="auto"/>
        <w:jc w:val="center"/>
        <w:outlineLvl w:val="1"/>
        <w:rPr>
          <w:b/>
          <w:bCs/>
          <w:iCs/>
          <w:szCs w:val="28"/>
          <w:lang w:eastAsia="x-none"/>
        </w:rPr>
      </w:pPr>
    </w:p>
    <w:p w14:paraId="5BF30AB7" w14:textId="77777777" w:rsidR="00EA7BA0" w:rsidRDefault="00EA7BA0" w:rsidP="00250DCE">
      <w:pPr>
        <w:keepNext/>
        <w:spacing w:line="240" w:lineRule="auto"/>
        <w:jc w:val="center"/>
        <w:outlineLvl w:val="1"/>
        <w:rPr>
          <w:b/>
          <w:bCs/>
          <w:iCs/>
          <w:szCs w:val="28"/>
          <w:lang w:eastAsia="x-none"/>
        </w:rPr>
      </w:pPr>
    </w:p>
    <w:p w14:paraId="15EEF5CF" w14:textId="77777777" w:rsidR="00EA7BA0" w:rsidRDefault="00EA7BA0" w:rsidP="00250DCE">
      <w:pPr>
        <w:keepNext/>
        <w:spacing w:line="240" w:lineRule="auto"/>
        <w:jc w:val="center"/>
        <w:outlineLvl w:val="1"/>
        <w:rPr>
          <w:b/>
          <w:bCs/>
          <w:iCs/>
          <w:szCs w:val="28"/>
          <w:lang w:eastAsia="x-none"/>
        </w:rPr>
      </w:pPr>
    </w:p>
    <w:p w14:paraId="0B58CC30" w14:textId="77777777" w:rsidR="00EA7BA0" w:rsidRDefault="00EA7BA0" w:rsidP="00250DCE">
      <w:pPr>
        <w:keepNext/>
        <w:spacing w:line="240" w:lineRule="auto"/>
        <w:jc w:val="center"/>
        <w:outlineLvl w:val="1"/>
        <w:rPr>
          <w:b/>
          <w:bCs/>
          <w:iCs/>
          <w:szCs w:val="28"/>
          <w:lang w:eastAsia="x-none"/>
        </w:rPr>
      </w:pPr>
    </w:p>
    <w:p w14:paraId="0E9639B4" w14:textId="77777777" w:rsidR="00250DCE" w:rsidRPr="00250DCE" w:rsidRDefault="00250DCE" w:rsidP="00250DCE">
      <w:pPr>
        <w:keepNext/>
        <w:spacing w:line="240" w:lineRule="auto"/>
        <w:jc w:val="center"/>
        <w:outlineLvl w:val="1"/>
        <w:rPr>
          <w:b/>
          <w:szCs w:val="24"/>
          <w:lang w:eastAsia="x-none"/>
        </w:rPr>
      </w:pPr>
      <w:r w:rsidRPr="00250DCE">
        <w:rPr>
          <w:b/>
          <w:bCs/>
          <w:iCs/>
          <w:szCs w:val="28"/>
          <w:lang w:eastAsia="x-none"/>
        </w:rPr>
        <w:t>III PRIEDAS</w:t>
      </w:r>
    </w:p>
    <w:p w14:paraId="34306610" w14:textId="77777777" w:rsidR="00250DCE" w:rsidRPr="00250DCE" w:rsidRDefault="00250DCE" w:rsidP="00250DCE">
      <w:pPr>
        <w:rPr>
          <w:szCs w:val="24"/>
        </w:rPr>
      </w:pPr>
    </w:p>
    <w:p w14:paraId="3FC84C14" w14:textId="77777777" w:rsidR="00250DCE" w:rsidRPr="00250DCE" w:rsidRDefault="00250DCE" w:rsidP="00250DCE">
      <w:pPr>
        <w:keepNext/>
        <w:spacing w:line="240" w:lineRule="auto"/>
        <w:jc w:val="center"/>
        <w:outlineLvl w:val="1"/>
        <w:rPr>
          <w:b/>
          <w:szCs w:val="24"/>
          <w:lang w:eastAsia="x-none"/>
        </w:rPr>
      </w:pPr>
      <w:r w:rsidRPr="00250DCE">
        <w:rPr>
          <w:b/>
          <w:bCs/>
          <w:iCs/>
          <w:szCs w:val="28"/>
          <w:lang w:eastAsia="x-none"/>
        </w:rPr>
        <w:t>ŽENKLINIMAS IR PAKUOTĖS LAPELIS</w:t>
      </w:r>
    </w:p>
    <w:p w14:paraId="021B740F" w14:textId="77777777" w:rsidR="00250DCE" w:rsidRPr="00250DCE" w:rsidRDefault="00250DCE" w:rsidP="00250DCE">
      <w:pPr>
        <w:rPr>
          <w:szCs w:val="24"/>
        </w:rPr>
      </w:pPr>
      <w:r w:rsidRPr="00250DCE">
        <w:rPr>
          <w:szCs w:val="24"/>
        </w:rPr>
        <w:br w:type="page"/>
      </w:r>
    </w:p>
    <w:p w14:paraId="7240204A" w14:textId="77777777" w:rsidR="00250DCE" w:rsidRDefault="00250DCE" w:rsidP="00250DCE"/>
    <w:p w14:paraId="2123A39C" w14:textId="77777777" w:rsidR="00250DCE" w:rsidRDefault="00250DCE" w:rsidP="00250DCE"/>
    <w:p w14:paraId="6F48514A" w14:textId="77777777" w:rsidR="00250DCE" w:rsidRDefault="00250DCE" w:rsidP="00250DCE">
      <w:pPr>
        <w:keepNext/>
        <w:spacing w:line="240" w:lineRule="auto"/>
        <w:jc w:val="center"/>
        <w:outlineLvl w:val="1"/>
        <w:rPr>
          <w:b/>
          <w:bCs/>
          <w:iCs/>
          <w:szCs w:val="28"/>
          <w:lang w:eastAsia="x-none"/>
        </w:rPr>
      </w:pPr>
    </w:p>
    <w:p w14:paraId="446377DF" w14:textId="77777777" w:rsidR="00250DCE" w:rsidRDefault="00250DCE" w:rsidP="00250DCE">
      <w:pPr>
        <w:keepNext/>
        <w:spacing w:line="240" w:lineRule="auto"/>
        <w:jc w:val="center"/>
        <w:outlineLvl w:val="1"/>
        <w:rPr>
          <w:b/>
          <w:bCs/>
          <w:iCs/>
          <w:szCs w:val="28"/>
          <w:lang w:eastAsia="x-none"/>
        </w:rPr>
      </w:pPr>
    </w:p>
    <w:p w14:paraId="36FA86BF" w14:textId="77777777" w:rsidR="00250DCE" w:rsidRDefault="00250DCE" w:rsidP="00250DCE">
      <w:pPr>
        <w:keepNext/>
        <w:spacing w:line="240" w:lineRule="auto"/>
        <w:jc w:val="center"/>
        <w:outlineLvl w:val="1"/>
        <w:rPr>
          <w:b/>
          <w:bCs/>
          <w:iCs/>
          <w:szCs w:val="28"/>
          <w:lang w:eastAsia="x-none"/>
        </w:rPr>
      </w:pPr>
    </w:p>
    <w:p w14:paraId="441013F8" w14:textId="77777777" w:rsidR="00250DCE" w:rsidRDefault="00250DCE" w:rsidP="00250DCE">
      <w:pPr>
        <w:keepNext/>
        <w:spacing w:line="240" w:lineRule="auto"/>
        <w:jc w:val="center"/>
        <w:outlineLvl w:val="1"/>
        <w:rPr>
          <w:b/>
          <w:bCs/>
          <w:iCs/>
          <w:szCs w:val="28"/>
          <w:lang w:eastAsia="x-none"/>
        </w:rPr>
      </w:pPr>
    </w:p>
    <w:p w14:paraId="37DAEEFB" w14:textId="77777777" w:rsidR="00250DCE" w:rsidRDefault="00250DCE" w:rsidP="00250DCE">
      <w:pPr>
        <w:keepNext/>
        <w:spacing w:line="240" w:lineRule="auto"/>
        <w:jc w:val="center"/>
        <w:outlineLvl w:val="1"/>
        <w:rPr>
          <w:b/>
          <w:bCs/>
          <w:iCs/>
          <w:szCs w:val="28"/>
          <w:lang w:eastAsia="x-none"/>
        </w:rPr>
      </w:pPr>
    </w:p>
    <w:p w14:paraId="650EDD83" w14:textId="77777777" w:rsidR="00250DCE" w:rsidRDefault="00250DCE" w:rsidP="00250DCE">
      <w:pPr>
        <w:keepNext/>
        <w:spacing w:line="240" w:lineRule="auto"/>
        <w:jc w:val="center"/>
        <w:outlineLvl w:val="1"/>
        <w:rPr>
          <w:b/>
          <w:bCs/>
          <w:iCs/>
          <w:szCs w:val="28"/>
          <w:lang w:eastAsia="x-none"/>
        </w:rPr>
      </w:pPr>
    </w:p>
    <w:p w14:paraId="0654CBA0" w14:textId="77777777" w:rsidR="00250DCE" w:rsidRDefault="00250DCE" w:rsidP="00250DCE">
      <w:pPr>
        <w:keepNext/>
        <w:spacing w:line="240" w:lineRule="auto"/>
        <w:jc w:val="center"/>
        <w:outlineLvl w:val="1"/>
        <w:rPr>
          <w:b/>
          <w:bCs/>
          <w:iCs/>
          <w:szCs w:val="28"/>
          <w:lang w:eastAsia="x-none"/>
        </w:rPr>
      </w:pPr>
    </w:p>
    <w:p w14:paraId="7E147537" w14:textId="77777777" w:rsidR="00250DCE" w:rsidRDefault="00250DCE" w:rsidP="00250DCE">
      <w:pPr>
        <w:keepNext/>
        <w:spacing w:line="240" w:lineRule="auto"/>
        <w:jc w:val="center"/>
        <w:outlineLvl w:val="1"/>
        <w:rPr>
          <w:b/>
          <w:bCs/>
          <w:iCs/>
          <w:szCs w:val="28"/>
          <w:lang w:eastAsia="x-none"/>
        </w:rPr>
      </w:pPr>
    </w:p>
    <w:p w14:paraId="71E1B2BE" w14:textId="77777777" w:rsidR="00250DCE" w:rsidRDefault="00250DCE" w:rsidP="00250DCE">
      <w:pPr>
        <w:keepNext/>
        <w:spacing w:line="240" w:lineRule="auto"/>
        <w:jc w:val="center"/>
        <w:outlineLvl w:val="1"/>
        <w:rPr>
          <w:b/>
          <w:bCs/>
          <w:iCs/>
          <w:szCs w:val="28"/>
          <w:lang w:eastAsia="x-none"/>
        </w:rPr>
      </w:pPr>
    </w:p>
    <w:p w14:paraId="7A931549" w14:textId="77777777" w:rsidR="00250DCE" w:rsidRDefault="00250DCE" w:rsidP="00250DCE">
      <w:pPr>
        <w:keepNext/>
        <w:spacing w:line="240" w:lineRule="auto"/>
        <w:jc w:val="center"/>
        <w:outlineLvl w:val="1"/>
        <w:rPr>
          <w:b/>
          <w:bCs/>
          <w:iCs/>
          <w:szCs w:val="28"/>
          <w:lang w:eastAsia="x-none"/>
        </w:rPr>
      </w:pPr>
    </w:p>
    <w:p w14:paraId="77A491DE" w14:textId="77777777" w:rsidR="00250DCE" w:rsidRDefault="00250DCE" w:rsidP="00250DCE">
      <w:pPr>
        <w:keepNext/>
        <w:spacing w:line="240" w:lineRule="auto"/>
        <w:jc w:val="center"/>
        <w:outlineLvl w:val="1"/>
        <w:rPr>
          <w:b/>
          <w:bCs/>
          <w:iCs/>
          <w:szCs w:val="28"/>
          <w:lang w:eastAsia="x-none"/>
        </w:rPr>
      </w:pPr>
    </w:p>
    <w:p w14:paraId="7F7CF7B1" w14:textId="77777777" w:rsidR="00250DCE" w:rsidRDefault="00250DCE" w:rsidP="00250DCE">
      <w:pPr>
        <w:keepNext/>
        <w:spacing w:line="240" w:lineRule="auto"/>
        <w:jc w:val="center"/>
        <w:outlineLvl w:val="1"/>
        <w:rPr>
          <w:b/>
          <w:bCs/>
          <w:iCs/>
          <w:szCs w:val="28"/>
          <w:lang w:eastAsia="x-none"/>
        </w:rPr>
      </w:pPr>
    </w:p>
    <w:p w14:paraId="78373FDA" w14:textId="77777777" w:rsidR="00250DCE" w:rsidRDefault="00250DCE" w:rsidP="00250DCE">
      <w:pPr>
        <w:keepNext/>
        <w:spacing w:line="240" w:lineRule="auto"/>
        <w:jc w:val="center"/>
        <w:outlineLvl w:val="1"/>
        <w:rPr>
          <w:b/>
          <w:bCs/>
          <w:iCs/>
          <w:szCs w:val="28"/>
          <w:lang w:eastAsia="x-none"/>
        </w:rPr>
      </w:pPr>
    </w:p>
    <w:p w14:paraId="7A998674" w14:textId="77777777" w:rsidR="00250DCE" w:rsidRDefault="00250DCE" w:rsidP="00250DCE">
      <w:pPr>
        <w:keepNext/>
        <w:spacing w:line="240" w:lineRule="auto"/>
        <w:jc w:val="center"/>
        <w:outlineLvl w:val="1"/>
        <w:rPr>
          <w:b/>
          <w:bCs/>
          <w:iCs/>
          <w:szCs w:val="28"/>
          <w:lang w:eastAsia="x-none"/>
        </w:rPr>
      </w:pPr>
    </w:p>
    <w:p w14:paraId="6EC7FE82" w14:textId="77777777" w:rsidR="00250DCE" w:rsidRDefault="00250DCE" w:rsidP="00250DCE">
      <w:pPr>
        <w:keepNext/>
        <w:spacing w:line="240" w:lineRule="auto"/>
        <w:jc w:val="center"/>
        <w:outlineLvl w:val="1"/>
        <w:rPr>
          <w:b/>
          <w:bCs/>
          <w:iCs/>
          <w:szCs w:val="28"/>
          <w:lang w:eastAsia="x-none"/>
        </w:rPr>
      </w:pPr>
    </w:p>
    <w:p w14:paraId="097BB080" w14:textId="77777777" w:rsidR="00250DCE" w:rsidRDefault="00250DCE" w:rsidP="00250DCE">
      <w:pPr>
        <w:keepNext/>
        <w:spacing w:line="240" w:lineRule="auto"/>
        <w:jc w:val="center"/>
        <w:outlineLvl w:val="1"/>
        <w:rPr>
          <w:b/>
          <w:bCs/>
          <w:iCs/>
          <w:szCs w:val="28"/>
          <w:lang w:eastAsia="x-none"/>
        </w:rPr>
      </w:pPr>
    </w:p>
    <w:p w14:paraId="692EC7EF" w14:textId="77777777" w:rsidR="00EA7BA0" w:rsidRDefault="00EA7BA0" w:rsidP="00250DCE">
      <w:pPr>
        <w:keepNext/>
        <w:spacing w:line="240" w:lineRule="auto"/>
        <w:jc w:val="center"/>
        <w:outlineLvl w:val="1"/>
        <w:rPr>
          <w:b/>
          <w:bCs/>
          <w:iCs/>
          <w:szCs w:val="28"/>
          <w:lang w:eastAsia="x-none"/>
        </w:rPr>
      </w:pPr>
    </w:p>
    <w:p w14:paraId="42B906D2" w14:textId="77777777" w:rsidR="00EA7BA0" w:rsidRDefault="00EA7BA0" w:rsidP="00250DCE">
      <w:pPr>
        <w:keepNext/>
        <w:spacing w:line="240" w:lineRule="auto"/>
        <w:jc w:val="center"/>
        <w:outlineLvl w:val="1"/>
        <w:rPr>
          <w:b/>
          <w:bCs/>
          <w:iCs/>
          <w:szCs w:val="28"/>
          <w:lang w:eastAsia="x-none"/>
        </w:rPr>
      </w:pPr>
    </w:p>
    <w:p w14:paraId="4F478ED0" w14:textId="77777777" w:rsidR="00EA7BA0" w:rsidRDefault="00EA7BA0" w:rsidP="00250DCE">
      <w:pPr>
        <w:keepNext/>
        <w:spacing w:line="240" w:lineRule="auto"/>
        <w:jc w:val="center"/>
        <w:outlineLvl w:val="1"/>
        <w:rPr>
          <w:b/>
          <w:bCs/>
          <w:iCs/>
          <w:szCs w:val="28"/>
          <w:lang w:eastAsia="x-none"/>
        </w:rPr>
      </w:pPr>
    </w:p>
    <w:p w14:paraId="073EAA51" w14:textId="77777777" w:rsidR="00EA7BA0" w:rsidRDefault="00EA7BA0" w:rsidP="00250DCE">
      <w:pPr>
        <w:keepNext/>
        <w:spacing w:line="240" w:lineRule="auto"/>
        <w:jc w:val="center"/>
        <w:outlineLvl w:val="1"/>
        <w:rPr>
          <w:b/>
          <w:bCs/>
          <w:iCs/>
          <w:szCs w:val="28"/>
          <w:lang w:eastAsia="x-none"/>
        </w:rPr>
      </w:pPr>
    </w:p>
    <w:p w14:paraId="6C4CEBFC" w14:textId="77777777" w:rsidR="00250DCE" w:rsidRPr="00250DCE" w:rsidRDefault="00250DCE" w:rsidP="00250DCE">
      <w:pPr>
        <w:keepNext/>
        <w:spacing w:line="240" w:lineRule="auto"/>
        <w:jc w:val="center"/>
        <w:outlineLvl w:val="1"/>
        <w:rPr>
          <w:b/>
          <w:szCs w:val="24"/>
          <w:lang w:eastAsia="x-none"/>
        </w:rPr>
      </w:pPr>
      <w:r w:rsidRPr="00250DCE">
        <w:rPr>
          <w:b/>
          <w:bCs/>
          <w:iCs/>
          <w:szCs w:val="28"/>
          <w:lang w:eastAsia="x-none"/>
        </w:rPr>
        <w:t>A. ŽENKLINIMAS</w:t>
      </w:r>
    </w:p>
    <w:p w14:paraId="5E0614F6" w14:textId="77777777" w:rsidR="00250DCE" w:rsidRDefault="00250DCE">
      <w:pPr>
        <w:tabs>
          <w:tab w:val="clear" w:pos="567"/>
        </w:tabs>
        <w:spacing w:after="200" w:line="276" w:lineRule="auto"/>
        <w:rPr>
          <w:szCs w:val="24"/>
        </w:rPr>
      </w:pPr>
      <w:r>
        <w:rPr>
          <w:szCs w:val="24"/>
        </w:rPr>
        <w:br w:type="page"/>
      </w:r>
    </w:p>
    <w:p w14:paraId="2A5F094B" w14:textId="77777777" w:rsidR="00250DCE" w:rsidRPr="00B34FA1" w:rsidRDefault="00250DCE" w:rsidP="00250DCE">
      <w:pPr>
        <w:pBdr>
          <w:top w:val="single" w:sz="4" w:space="1" w:color="auto"/>
          <w:left w:val="single" w:sz="4" w:space="4" w:color="auto"/>
          <w:bottom w:val="single" w:sz="4" w:space="0" w:color="auto"/>
          <w:right w:val="single" w:sz="4" w:space="4" w:color="auto"/>
        </w:pBdr>
        <w:spacing w:line="240" w:lineRule="auto"/>
        <w:rPr>
          <w:b/>
          <w:szCs w:val="24"/>
        </w:rPr>
      </w:pPr>
      <w:r>
        <w:rPr>
          <w:b/>
          <w:noProof/>
          <w:szCs w:val="24"/>
        </w:rPr>
        <w:t>INFORMACIJA ANT IŠORINĖS</w:t>
      </w:r>
      <w:r w:rsidRPr="00B34FA1">
        <w:rPr>
          <w:b/>
          <w:noProof/>
          <w:szCs w:val="24"/>
        </w:rPr>
        <w:t xml:space="preserve"> PAKUOTĖS</w:t>
      </w:r>
    </w:p>
    <w:p w14:paraId="1AF4599D" w14:textId="77777777" w:rsidR="00250DCE" w:rsidRPr="00B34FA1" w:rsidRDefault="00250DCE" w:rsidP="00250DCE">
      <w:pPr>
        <w:pBdr>
          <w:top w:val="single" w:sz="4" w:space="1" w:color="auto"/>
          <w:left w:val="single" w:sz="4" w:space="4" w:color="auto"/>
          <w:bottom w:val="single" w:sz="4" w:space="0" w:color="auto"/>
          <w:right w:val="single" w:sz="4" w:space="4" w:color="auto"/>
        </w:pBdr>
        <w:spacing w:line="240" w:lineRule="auto"/>
        <w:ind w:left="567" w:hanging="567"/>
        <w:rPr>
          <w:b/>
          <w:szCs w:val="24"/>
        </w:rPr>
      </w:pPr>
    </w:p>
    <w:p w14:paraId="2B1EADEF" w14:textId="77777777" w:rsidR="00250DCE" w:rsidRPr="00B34FA1" w:rsidRDefault="00250DCE" w:rsidP="00250DCE">
      <w:pPr>
        <w:pBdr>
          <w:top w:val="single" w:sz="4" w:space="1" w:color="auto"/>
          <w:left w:val="single" w:sz="4" w:space="4" w:color="auto"/>
          <w:bottom w:val="single" w:sz="4" w:space="0" w:color="auto"/>
          <w:right w:val="single" w:sz="4" w:space="4" w:color="auto"/>
        </w:pBdr>
        <w:spacing w:line="240" w:lineRule="auto"/>
        <w:rPr>
          <w:b/>
          <w:szCs w:val="24"/>
        </w:rPr>
      </w:pPr>
      <w:r>
        <w:rPr>
          <w:b/>
          <w:noProof/>
          <w:szCs w:val="24"/>
        </w:rPr>
        <w:t>KARTONINĖ DĖŽUTĖ LIZDINĖMS PLOKŠTELĖMS</w:t>
      </w:r>
    </w:p>
    <w:p w14:paraId="530371C1" w14:textId="77777777" w:rsidR="00250DCE" w:rsidRPr="00B34FA1" w:rsidRDefault="00250DCE" w:rsidP="00250DCE">
      <w:pPr>
        <w:rPr>
          <w:szCs w:val="24"/>
        </w:rPr>
      </w:pPr>
    </w:p>
    <w:p w14:paraId="462FE157" w14:textId="77777777" w:rsidR="00250DCE" w:rsidRPr="00B34FA1" w:rsidRDefault="00250DCE" w:rsidP="00250DCE">
      <w:pPr>
        <w:rPr>
          <w:szCs w:val="24"/>
        </w:rPr>
      </w:pPr>
    </w:p>
    <w:p w14:paraId="35E4937C"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1.</w:t>
      </w:r>
      <w:r w:rsidRPr="00B34FA1">
        <w:rPr>
          <w:b/>
          <w:szCs w:val="24"/>
        </w:rPr>
        <w:tab/>
      </w:r>
      <w:r w:rsidRPr="00B34FA1">
        <w:rPr>
          <w:b/>
          <w:caps/>
          <w:noProof/>
          <w:szCs w:val="24"/>
        </w:rPr>
        <w:t>VAISTINIO</w:t>
      </w:r>
      <w:r w:rsidRPr="00B34FA1">
        <w:rPr>
          <w:b/>
          <w:noProof/>
          <w:szCs w:val="24"/>
        </w:rPr>
        <w:t xml:space="preserve"> PREPARATO PAVADINIMAS</w:t>
      </w:r>
    </w:p>
    <w:p w14:paraId="1CFABD76" w14:textId="77777777" w:rsidR="00250DCE" w:rsidRPr="00B34FA1" w:rsidRDefault="00250DCE" w:rsidP="00250DCE">
      <w:pPr>
        <w:rPr>
          <w:szCs w:val="24"/>
        </w:rPr>
      </w:pPr>
    </w:p>
    <w:p w14:paraId="5A43214C" w14:textId="77777777" w:rsidR="00250DCE" w:rsidRPr="0062792C" w:rsidRDefault="00250DCE" w:rsidP="00250DCE">
      <w:pPr>
        <w:rPr>
          <w:noProof/>
          <w:szCs w:val="24"/>
        </w:rPr>
      </w:pPr>
      <w:r w:rsidRPr="0062792C">
        <w:rPr>
          <w:noProof/>
          <w:szCs w:val="24"/>
        </w:rPr>
        <w:t>Cinacalcet Teva 30</w:t>
      </w:r>
      <w:r w:rsidR="00533C11">
        <w:rPr>
          <w:noProof/>
          <w:szCs w:val="24"/>
        </w:rPr>
        <w:t> </w:t>
      </w:r>
      <w:r w:rsidRPr="0062792C">
        <w:rPr>
          <w:noProof/>
          <w:szCs w:val="24"/>
        </w:rPr>
        <w:t>mg plėvele dengtos tabletės</w:t>
      </w:r>
    </w:p>
    <w:p w14:paraId="5C613ABF" w14:textId="77777777" w:rsidR="00250DCE" w:rsidRPr="007D0562" w:rsidRDefault="00250DCE" w:rsidP="00250DCE">
      <w:pPr>
        <w:rPr>
          <w:highlight w:val="lightGray"/>
        </w:rPr>
      </w:pPr>
      <w:r w:rsidRPr="007D0562">
        <w:rPr>
          <w:highlight w:val="lightGray"/>
        </w:rPr>
        <w:t>Cinacalcet Teva 60</w:t>
      </w:r>
      <w:r w:rsidR="00533C11" w:rsidRPr="007D0562">
        <w:rPr>
          <w:highlight w:val="lightGray"/>
        </w:rPr>
        <w:t> </w:t>
      </w:r>
      <w:r w:rsidRPr="007D0562">
        <w:rPr>
          <w:highlight w:val="lightGray"/>
        </w:rPr>
        <w:t>mg plėvele dengtos tabletės</w:t>
      </w:r>
    </w:p>
    <w:p w14:paraId="19179EEF" w14:textId="77777777" w:rsidR="00250DCE" w:rsidRPr="0062792C" w:rsidRDefault="00250DCE" w:rsidP="00250DCE">
      <w:pPr>
        <w:rPr>
          <w:noProof/>
          <w:szCs w:val="24"/>
        </w:rPr>
      </w:pPr>
      <w:r w:rsidRPr="007D0562">
        <w:rPr>
          <w:highlight w:val="lightGray"/>
        </w:rPr>
        <w:t>Cinacalcet Teva 90</w:t>
      </w:r>
      <w:r w:rsidR="00533C11" w:rsidRPr="007D0562">
        <w:rPr>
          <w:highlight w:val="lightGray"/>
        </w:rPr>
        <w:t> </w:t>
      </w:r>
      <w:r w:rsidRPr="007D0562">
        <w:rPr>
          <w:highlight w:val="lightGray"/>
        </w:rPr>
        <w:t>mg plėvele dengtos tabletės</w:t>
      </w:r>
    </w:p>
    <w:p w14:paraId="3A38FFBB" w14:textId="77777777" w:rsidR="00250DCE" w:rsidRPr="00B34FA1" w:rsidRDefault="008E66BB" w:rsidP="00250DCE">
      <w:pPr>
        <w:rPr>
          <w:szCs w:val="24"/>
        </w:rPr>
      </w:pPr>
      <w:r>
        <w:rPr>
          <w:noProof/>
          <w:szCs w:val="24"/>
        </w:rPr>
        <w:t>c</w:t>
      </w:r>
      <w:r w:rsidRPr="0062792C">
        <w:rPr>
          <w:noProof/>
          <w:szCs w:val="24"/>
        </w:rPr>
        <w:t>ina</w:t>
      </w:r>
      <w:r>
        <w:rPr>
          <w:noProof/>
          <w:szCs w:val="24"/>
        </w:rPr>
        <w:t>calcetum</w:t>
      </w:r>
    </w:p>
    <w:p w14:paraId="37B778A8" w14:textId="77777777" w:rsidR="00250DCE" w:rsidRPr="00B34FA1" w:rsidRDefault="00250DCE" w:rsidP="00250DCE">
      <w:pPr>
        <w:rPr>
          <w:szCs w:val="24"/>
        </w:rPr>
      </w:pPr>
    </w:p>
    <w:p w14:paraId="149CA910" w14:textId="77777777" w:rsidR="00250DCE" w:rsidRPr="00B34FA1" w:rsidRDefault="00250DCE" w:rsidP="00250DCE">
      <w:pPr>
        <w:rPr>
          <w:szCs w:val="24"/>
        </w:rPr>
      </w:pPr>
    </w:p>
    <w:p w14:paraId="590E9118"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14:paraId="1EE12E19" w14:textId="77777777" w:rsidR="00250DCE" w:rsidRPr="00B34FA1" w:rsidRDefault="00250DCE" w:rsidP="00250DCE">
      <w:pPr>
        <w:rPr>
          <w:szCs w:val="24"/>
        </w:rPr>
      </w:pPr>
    </w:p>
    <w:p w14:paraId="3FB22988" w14:textId="77777777" w:rsidR="00250DCE" w:rsidRDefault="00533C11" w:rsidP="00250DCE">
      <w:pPr>
        <w:rPr>
          <w:noProof/>
          <w:szCs w:val="24"/>
        </w:rPr>
      </w:pPr>
      <w:r>
        <w:rPr>
          <w:noProof/>
          <w:szCs w:val="24"/>
        </w:rPr>
        <w:t>Kiek</w:t>
      </w:r>
      <w:r w:rsidRPr="0062792C">
        <w:rPr>
          <w:noProof/>
          <w:szCs w:val="24"/>
        </w:rPr>
        <w:t xml:space="preserve">vienoje </w:t>
      </w:r>
      <w:r w:rsidR="00250DCE" w:rsidRPr="0062792C">
        <w:rPr>
          <w:noProof/>
          <w:szCs w:val="24"/>
        </w:rPr>
        <w:t>t</w:t>
      </w:r>
      <w:r w:rsidR="00250DCE">
        <w:rPr>
          <w:noProof/>
          <w:szCs w:val="24"/>
        </w:rPr>
        <w:t>abletėje yra 30</w:t>
      </w:r>
      <w:r>
        <w:rPr>
          <w:noProof/>
          <w:szCs w:val="24"/>
        </w:rPr>
        <w:t> </w:t>
      </w:r>
      <w:r w:rsidR="00250DCE">
        <w:rPr>
          <w:noProof/>
          <w:szCs w:val="24"/>
        </w:rPr>
        <w:t xml:space="preserve">mg </w:t>
      </w:r>
      <w:r w:rsidR="00250DCE" w:rsidRPr="0062792C">
        <w:rPr>
          <w:noProof/>
          <w:szCs w:val="24"/>
        </w:rPr>
        <w:t>cinakalceto (hidrochlorido pavidalu).</w:t>
      </w:r>
    </w:p>
    <w:p w14:paraId="30F025F1" w14:textId="77777777" w:rsidR="00250DCE" w:rsidRPr="007D0562" w:rsidRDefault="00533C11" w:rsidP="00250DCE">
      <w:pPr>
        <w:rPr>
          <w:highlight w:val="lightGray"/>
        </w:rPr>
      </w:pPr>
      <w:r w:rsidRPr="007D0562">
        <w:rPr>
          <w:highlight w:val="lightGray"/>
        </w:rPr>
        <w:t xml:space="preserve">Kiekvienoje </w:t>
      </w:r>
      <w:r w:rsidR="00250DCE" w:rsidRPr="007D0562">
        <w:rPr>
          <w:highlight w:val="lightGray"/>
        </w:rPr>
        <w:t>tabletėje yra 60</w:t>
      </w:r>
      <w:r w:rsidRPr="007D0562">
        <w:rPr>
          <w:highlight w:val="lightGray"/>
        </w:rPr>
        <w:t> </w:t>
      </w:r>
      <w:r w:rsidR="00250DCE" w:rsidRPr="007D0562">
        <w:rPr>
          <w:highlight w:val="lightGray"/>
        </w:rPr>
        <w:t>mg cinakalceto (hidrochlorido pavidalu).</w:t>
      </w:r>
    </w:p>
    <w:p w14:paraId="07EC58BC" w14:textId="77777777" w:rsidR="00250DCE" w:rsidRPr="0062792C" w:rsidRDefault="00533C11" w:rsidP="00250DCE">
      <w:pPr>
        <w:rPr>
          <w:noProof/>
          <w:szCs w:val="24"/>
        </w:rPr>
      </w:pPr>
      <w:r w:rsidRPr="007D0562">
        <w:rPr>
          <w:highlight w:val="lightGray"/>
        </w:rPr>
        <w:t xml:space="preserve">Kiekvienoje </w:t>
      </w:r>
      <w:r w:rsidR="00250DCE" w:rsidRPr="007D0562">
        <w:rPr>
          <w:highlight w:val="lightGray"/>
        </w:rPr>
        <w:t>tabletėje yra 90</w:t>
      </w:r>
      <w:r w:rsidRPr="007D0562">
        <w:rPr>
          <w:highlight w:val="lightGray"/>
        </w:rPr>
        <w:t> </w:t>
      </w:r>
      <w:r w:rsidR="00250DCE" w:rsidRPr="007D0562">
        <w:rPr>
          <w:highlight w:val="lightGray"/>
        </w:rPr>
        <w:t>mg cinakalceto (hidrochlorido pavidalu).</w:t>
      </w:r>
    </w:p>
    <w:p w14:paraId="1114D108" w14:textId="77777777" w:rsidR="00250DCE" w:rsidRPr="00B34FA1" w:rsidRDefault="00250DCE" w:rsidP="00250DCE">
      <w:pPr>
        <w:rPr>
          <w:szCs w:val="24"/>
        </w:rPr>
      </w:pPr>
    </w:p>
    <w:p w14:paraId="66A3E43D" w14:textId="77777777" w:rsidR="00250DCE" w:rsidRPr="00B34FA1" w:rsidRDefault="00250DCE" w:rsidP="00250DCE">
      <w:pPr>
        <w:rPr>
          <w:szCs w:val="24"/>
        </w:rPr>
      </w:pPr>
    </w:p>
    <w:p w14:paraId="3877EB2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3.</w:t>
      </w:r>
      <w:r w:rsidRPr="00B34FA1">
        <w:rPr>
          <w:b/>
          <w:szCs w:val="24"/>
        </w:rPr>
        <w:tab/>
      </w:r>
      <w:r w:rsidRPr="00B34FA1">
        <w:rPr>
          <w:b/>
          <w:noProof/>
          <w:szCs w:val="24"/>
        </w:rPr>
        <w:t>PAGALBINIŲ MEDŽIAGŲ SĄRAŠAS</w:t>
      </w:r>
    </w:p>
    <w:p w14:paraId="6B85F037" w14:textId="77777777" w:rsidR="00250DCE" w:rsidRPr="00B34FA1" w:rsidRDefault="00250DCE" w:rsidP="00250DCE">
      <w:pPr>
        <w:rPr>
          <w:szCs w:val="24"/>
        </w:rPr>
      </w:pPr>
    </w:p>
    <w:p w14:paraId="0C5D6A24" w14:textId="77777777" w:rsidR="00250DCE" w:rsidRPr="00B34FA1" w:rsidRDefault="00250DCE" w:rsidP="00250DCE">
      <w:pPr>
        <w:rPr>
          <w:szCs w:val="24"/>
        </w:rPr>
      </w:pPr>
    </w:p>
    <w:p w14:paraId="76BD99C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4.</w:t>
      </w:r>
      <w:r w:rsidRPr="00B34FA1">
        <w:rPr>
          <w:b/>
          <w:szCs w:val="24"/>
        </w:rPr>
        <w:tab/>
      </w:r>
      <w:r w:rsidRPr="00B34FA1">
        <w:rPr>
          <w:b/>
          <w:noProof/>
          <w:szCs w:val="24"/>
        </w:rPr>
        <w:t>FARMACINĖ FORMA IR KIEKIS PAKUOTĖJE</w:t>
      </w:r>
    </w:p>
    <w:p w14:paraId="62C24C8D" w14:textId="77777777" w:rsidR="00250DCE" w:rsidRPr="00B34FA1" w:rsidRDefault="00250DCE" w:rsidP="00250DCE">
      <w:pPr>
        <w:rPr>
          <w:szCs w:val="24"/>
        </w:rPr>
      </w:pPr>
    </w:p>
    <w:p w14:paraId="52FF9975" w14:textId="77777777" w:rsidR="00250DCE" w:rsidRDefault="00250DCE" w:rsidP="00250DCE">
      <w:pPr>
        <w:rPr>
          <w:szCs w:val="24"/>
        </w:rPr>
      </w:pPr>
      <w:r>
        <w:rPr>
          <w:szCs w:val="24"/>
        </w:rPr>
        <w:t>Plėvele dengta tabletė</w:t>
      </w:r>
    </w:p>
    <w:p w14:paraId="32AF0E59" w14:textId="77777777" w:rsidR="00250DCE" w:rsidRDefault="00250DCE" w:rsidP="00250DCE">
      <w:pPr>
        <w:rPr>
          <w:szCs w:val="24"/>
        </w:rPr>
      </w:pPr>
    </w:p>
    <w:p w14:paraId="00C634F1" w14:textId="77777777" w:rsidR="00250DCE" w:rsidRPr="003845D7" w:rsidRDefault="00250DCE" w:rsidP="00250DCE">
      <w:pPr>
        <w:rPr>
          <w:szCs w:val="24"/>
        </w:rPr>
      </w:pPr>
      <w:r w:rsidRPr="003845D7">
        <w:rPr>
          <w:szCs w:val="24"/>
        </w:rPr>
        <w:t>14 table</w:t>
      </w:r>
      <w:r w:rsidR="00533C11">
        <w:rPr>
          <w:szCs w:val="24"/>
        </w:rPr>
        <w:t>čių</w:t>
      </w:r>
    </w:p>
    <w:p w14:paraId="4EE9B567" w14:textId="77777777" w:rsidR="00250DCE" w:rsidRPr="007D0562" w:rsidRDefault="00250DCE" w:rsidP="00250DCE">
      <w:pPr>
        <w:rPr>
          <w:highlight w:val="lightGray"/>
        </w:rPr>
      </w:pPr>
      <w:r w:rsidRPr="007D0562">
        <w:rPr>
          <w:highlight w:val="lightGray"/>
        </w:rPr>
        <w:t>28 tabletės</w:t>
      </w:r>
    </w:p>
    <w:p w14:paraId="76E0FE91" w14:textId="77777777" w:rsidR="00250DCE" w:rsidRPr="007D0562" w:rsidRDefault="00250DCE" w:rsidP="00250DCE">
      <w:pPr>
        <w:rPr>
          <w:highlight w:val="lightGray"/>
        </w:rPr>
      </w:pPr>
      <w:r w:rsidRPr="007D0562">
        <w:rPr>
          <w:highlight w:val="lightGray"/>
        </w:rPr>
        <w:t>30 tablečių</w:t>
      </w:r>
    </w:p>
    <w:p w14:paraId="3092F74A" w14:textId="77777777" w:rsidR="00250DCE" w:rsidRPr="007D0562" w:rsidRDefault="00250DCE" w:rsidP="00250DCE">
      <w:pPr>
        <w:rPr>
          <w:highlight w:val="lightGray"/>
        </w:rPr>
      </w:pPr>
      <w:r w:rsidRPr="007D0562">
        <w:rPr>
          <w:highlight w:val="lightGray"/>
        </w:rPr>
        <w:t>84 tabletės</w:t>
      </w:r>
    </w:p>
    <w:p w14:paraId="11259A0B" w14:textId="77777777" w:rsidR="00261CCF" w:rsidRPr="007D0562" w:rsidRDefault="00261CCF" w:rsidP="00250DCE">
      <w:pPr>
        <w:rPr>
          <w:highlight w:val="lightGray"/>
        </w:rPr>
      </w:pPr>
      <w:r w:rsidRPr="007D0562">
        <w:rPr>
          <w:highlight w:val="lightGray"/>
        </w:rPr>
        <w:t>98 tabletės</w:t>
      </w:r>
    </w:p>
    <w:p w14:paraId="6A934866" w14:textId="77777777" w:rsidR="00250DCE" w:rsidRPr="007D0562" w:rsidRDefault="00250DCE" w:rsidP="00250DCE">
      <w:pPr>
        <w:rPr>
          <w:highlight w:val="lightGray"/>
        </w:rPr>
      </w:pPr>
      <w:r w:rsidRPr="007D0562">
        <w:rPr>
          <w:highlight w:val="lightGray"/>
        </w:rPr>
        <w:t>14x1</w:t>
      </w:r>
      <w:r w:rsidR="00F87429">
        <w:rPr>
          <w:highlight w:val="lightGray"/>
        </w:rPr>
        <w:t xml:space="preserve"> </w:t>
      </w:r>
      <w:r w:rsidRPr="007D0562">
        <w:rPr>
          <w:highlight w:val="lightGray"/>
        </w:rPr>
        <w:t>table</w:t>
      </w:r>
      <w:r w:rsidR="00533C11" w:rsidRPr="007D0562">
        <w:rPr>
          <w:highlight w:val="lightGray"/>
        </w:rPr>
        <w:t>čių</w:t>
      </w:r>
    </w:p>
    <w:p w14:paraId="2F4D57EF" w14:textId="77777777" w:rsidR="00250DCE" w:rsidRPr="007D0562" w:rsidRDefault="00250DCE" w:rsidP="00250DCE">
      <w:pPr>
        <w:rPr>
          <w:highlight w:val="lightGray"/>
        </w:rPr>
      </w:pPr>
      <w:r w:rsidRPr="007D0562">
        <w:rPr>
          <w:highlight w:val="lightGray"/>
        </w:rPr>
        <w:t>28x1</w:t>
      </w:r>
      <w:r w:rsidR="00F87429">
        <w:rPr>
          <w:highlight w:val="lightGray"/>
        </w:rPr>
        <w:t xml:space="preserve"> </w:t>
      </w:r>
      <w:r w:rsidRPr="007D0562">
        <w:rPr>
          <w:highlight w:val="lightGray"/>
        </w:rPr>
        <w:t>tabletės</w:t>
      </w:r>
    </w:p>
    <w:p w14:paraId="45332E5C" w14:textId="77777777" w:rsidR="00250DCE" w:rsidRPr="007D0562" w:rsidRDefault="00250DCE" w:rsidP="00250DCE">
      <w:pPr>
        <w:rPr>
          <w:highlight w:val="lightGray"/>
        </w:rPr>
      </w:pPr>
      <w:r w:rsidRPr="007D0562">
        <w:rPr>
          <w:highlight w:val="lightGray"/>
        </w:rPr>
        <w:t>30x1</w:t>
      </w:r>
      <w:r w:rsidR="00F87429">
        <w:rPr>
          <w:highlight w:val="lightGray"/>
        </w:rPr>
        <w:t xml:space="preserve"> </w:t>
      </w:r>
      <w:r w:rsidRPr="007D0562">
        <w:rPr>
          <w:highlight w:val="lightGray"/>
        </w:rPr>
        <w:t>tablečių</w:t>
      </w:r>
    </w:p>
    <w:p w14:paraId="578664A6" w14:textId="77777777" w:rsidR="00250DCE" w:rsidRDefault="00250DCE" w:rsidP="00250DCE">
      <w:r w:rsidRPr="007D0562">
        <w:rPr>
          <w:highlight w:val="lightGray"/>
        </w:rPr>
        <w:t>84x1</w:t>
      </w:r>
      <w:r w:rsidR="00F87429">
        <w:rPr>
          <w:highlight w:val="lightGray"/>
        </w:rPr>
        <w:t xml:space="preserve"> </w:t>
      </w:r>
      <w:r w:rsidRPr="007D0562">
        <w:rPr>
          <w:highlight w:val="lightGray"/>
        </w:rPr>
        <w:t>tabletės</w:t>
      </w:r>
    </w:p>
    <w:p w14:paraId="59D01D5A" w14:textId="77777777" w:rsidR="00261CCF" w:rsidRDefault="00261CCF" w:rsidP="00250DCE">
      <w:pPr>
        <w:rPr>
          <w:szCs w:val="24"/>
        </w:rPr>
      </w:pPr>
      <w:r w:rsidRPr="007D0562">
        <w:rPr>
          <w:highlight w:val="lightGray"/>
        </w:rPr>
        <w:t>98x1 tabletės</w:t>
      </w:r>
    </w:p>
    <w:p w14:paraId="2002F8DD" w14:textId="77777777" w:rsidR="00250DCE" w:rsidRDefault="00250DCE" w:rsidP="00250DCE">
      <w:pPr>
        <w:rPr>
          <w:szCs w:val="24"/>
        </w:rPr>
      </w:pPr>
    </w:p>
    <w:p w14:paraId="2D11F0BB" w14:textId="77777777" w:rsidR="004C06AE" w:rsidRPr="00B34FA1" w:rsidRDefault="004C06AE" w:rsidP="00250DCE">
      <w:pPr>
        <w:rPr>
          <w:szCs w:val="24"/>
        </w:rPr>
      </w:pPr>
    </w:p>
    <w:p w14:paraId="244D037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14:paraId="398B85D0" w14:textId="77777777" w:rsidR="00250DCE" w:rsidRPr="00B34FA1" w:rsidRDefault="00250DCE" w:rsidP="00250DCE">
      <w:pPr>
        <w:rPr>
          <w:szCs w:val="24"/>
        </w:rPr>
      </w:pPr>
    </w:p>
    <w:p w14:paraId="38994744" w14:textId="77777777" w:rsidR="00250DCE" w:rsidRPr="00B34FA1" w:rsidRDefault="00250DCE" w:rsidP="00250DCE">
      <w:pPr>
        <w:rPr>
          <w:szCs w:val="24"/>
        </w:rPr>
      </w:pPr>
      <w:r w:rsidRPr="00B34FA1">
        <w:rPr>
          <w:noProof/>
          <w:szCs w:val="24"/>
        </w:rPr>
        <w:t>Prieš vartojimą perskaitykite pakuotės lapelį.</w:t>
      </w:r>
    </w:p>
    <w:p w14:paraId="6B4FD936" w14:textId="77777777" w:rsidR="00250DCE" w:rsidRPr="00B34FA1" w:rsidRDefault="00250DCE" w:rsidP="00250DCE">
      <w:pPr>
        <w:rPr>
          <w:szCs w:val="24"/>
        </w:rPr>
      </w:pPr>
      <w:r>
        <w:rPr>
          <w:szCs w:val="24"/>
        </w:rPr>
        <w:t>Vartoti per burną</w:t>
      </w:r>
      <w:r w:rsidR="00237517">
        <w:rPr>
          <w:szCs w:val="24"/>
        </w:rPr>
        <w:t>.</w:t>
      </w:r>
    </w:p>
    <w:p w14:paraId="714CE0D4" w14:textId="77777777" w:rsidR="00250DCE" w:rsidRDefault="00250DCE" w:rsidP="00250DCE">
      <w:pPr>
        <w:rPr>
          <w:szCs w:val="24"/>
        </w:rPr>
      </w:pPr>
    </w:p>
    <w:p w14:paraId="2D5A1ABB" w14:textId="77777777" w:rsidR="00533C11" w:rsidRPr="00B34FA1" w:rsidRDefault="00533C11" w:rsidP="00250DCE">
      <w:pPr>
        <w:rPr>
          <w:szCs w:val="24"/>
        </w:rPr>
      </w:pPr>
    </w:p>
    <w:p w14:paraId="74C03931"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6.</w:t>
      </w:r>
      <w:r w:rsidRPr="00B34FA1">
        <w:rPr>
          <w:b/>
          <w:szCs w:val="24"/>
        </w:rPr>
        <w:tab/>
      </w:r>
      <w:r w:rsidRPr="00B34FA1">
        <w:rPr>
          <w:b/>
          <w:noProof/>
          <w:szCs w:val="24"/>
        </w:rPr>
        <w:t>SPECIALUS ĮSPĖJIMAS, KAD VAISTINĮ PREPARATĄ BŪTINA LAIKYTI VAIKAMS NEPASTEBIMOJE IR  NEPASIEKIAMOJE VIETOJE</w:t>
      </w:r>
    </w:p>
    <w:p w14:paraId="0D5F1506" w14:textId="77777777" w:rsidR="00250DCE" w:rsidRPr="00B34FA1" w:rsidRDefault="00250DCE" w:rsidP="00250DCE">
      <w:pPr>
        <w:rPr>
          <w:szCs w:val="24"/>
        </w:rPr>
      </w:pPr>
    </w:p>
    <w:p w14:paraId="13B6435A" w14:textId="77777777" w:rsidR="00250DCE" w:rsidRPr="00B34FA1" w:rsidRDefault="00250DCE" w:rsidP="00250DCE">
      <w:pPr>
        <w:rPr>
          <w:szCs w:val="24"/>
        </w:rPr>
      </w:pPr>
      <w:r w:rsidRPr="00B34FA1">
        <w:rPr>
          <w:noProof/>
          <w:szCs w:val="24"/>
        </w:rPr>
        <w:t>Laikyti vaikams nepastebimoje ir nepasiekiamoje vietoje.</w:t>
      </w:r>
    </w:p>
    <w:p w14:paraId="524281B3" w14:textId="77777777" w:rsidR="00250DCE" w:rsidRPr="00B34FA1" w:rsidRDefault="00250DCE" w:rsidP="00250DCE">
      <w:pPr>
        <w:rPr>
          <w:szCs w:val="24"/>
        </w:rPr>
      </w:pPr>
    </w:p>
    <w:p w14:paraId="5C769E18" w14:textId="77777777" w:rsidR="00250DCE" w:rsidRPr="00B34FA1" w:rsidRDefault="00250DCE" w:rsidP="00250DCE">
      <w:pPr>
        <w:rPr>
          <w:szCs w:val="24"/>
        </w:rPr>
      </w:pPr>
    </w:p>
    <w:p w14:paraId="4D9BF86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14:paraId="739560A8" w14:textId="77777777" w:rsidR="00250DCE" w:rsidRPr="00B34FA1" w:rsidRDefault="00250DCE" w:rsidP="00250DCE">
      <w:pPr>
        <w:rPr>
          <w:szCs w:val="24"/>
        </w:rPr>
      </w:pPr>
    </w:p>
    <w:p w14:paraId="44A9F3AF" w14:textId="77777777" w:rsidR="00250DCE" w:rsidRPr="00B34FA1" w:rsidRDefault="00250DCE" w:rsidP="00250DCE">
      <w:pPr>
        <w:rPr>
          <w:szCs w:val="24"/>
        </w:rPr>
      </w:pPr>
    </w:p>
    <w:p w14:paraId="46F654B8"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8.</w:t>
      </w:r>
      <w:r w:rsidRPr="00B34FA1">
        <w:rPr>
          <w:b/>
          <w:szCs w:val="24"/>
        </w:rPr>
        <w:tab/>
      </w:r>
      <w:r w:rsidRPr="00B34FA1">
        <w:rPr>
          <w:b/>
          <w:noProof/>
          <w:szCs w:val="24"/>
        </w:rPr>
        <w:t>TINKAMUMO LAIKAS</w:t>
      </w:r>
    </w:p>
    <w:p w14:paraId="731CF001" w14:textId="77777777" w:rsidR="00250DCE" w:rsidRPr="00B34FA1" w:rsidRDefault="00250DCE" w:rsidP="00250DCE">
      <w:pPr>
        <w:rPr>
          <w:szCs w:val="24"/>
        </w:rPr>
      </w:pPr>
    </w:p>
    <w:p w14:paraId="32560056" w14:textId="406BB4F5" w:rsidR="00250DCE" w:rsidRPr="00B34FA1" w:rsidRDefault="005D733F" w:rsidP="00250DCE">
      <w:r>
        <w:t>EXP</w:t>
      </w:r>
      <w:r w:rsidR="00250DCE">
        <w:t xml:space="preserve"> </w:t>
      </w:r>
      <w:r w:rsidR="00FF1CB9">
        <w:t>mm MMMM</w:t>
      </w:r>
    </w:p>
    <w:p w14:paraId="2857B511" w14:textId="77777777" w:rsidR="00250DCE" w:rsidRDefault="00250DCE" w:rsidP="00250DCE">
      <w:pPr>
        <w:rPr>
          <w:szCs w:val="24"/>
        </w:rPr>
      </w:pPr>
    </w:p>
    <w:p w14:paraId="47CA0E23" w14:textId="77777777" w:rsidR="00533C11" w:rsidRPr="00B34FA1" w:rsidRDefault="00533C11" w:rsidP="00250DCE">
      <w:pPr>
        <w:rPr>
          <w:szCs w:val="24"/>
        </w:rPr>
      </w:pPr>
    </w:p>
    <w:p w14:paraId="2D8D4110" w14:textId="77777777" w:rsidR="00250DCE" w:rsidRPr="00B34FA1" w:rsidRDefault="00250DCE" w:rsidP="00250DC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9.</w:t>
      </w:r>
      <w:r w:rsidRPr="00B34FA1">
        <w:rPr>
          <w:b/>
          <w:szCs w:val="24"/>
        </w:rPr>
        <w:tab/>
      </w:r>
      <w:r w:rsidRPr="00B34FA1">
        <w:rPr>
          <w:b/>
          <w:noProof/>
          <w:szCs w:val="24"/>
        </w:rPr>
        <w:t>SPECIALIOS LAIKYMO SĄLYGOS</w:t>
      </w:r>
    </w:p>
    <w:p w14:paraId="1F05CF51" w14:textId="77777777" w:rsidR="00250DCE" w:rsidRPr="00B34FA1" w:rsidRDefault="00250DCE" w:rsidP="00250DCE">
      <w:pPr>
        <w:rPr>
          <w:szCs w:val="24"/>
        </w:rPr>
      </w:pPr>
    </w:p>
    <w:p w14:paraId="3CEF1B5C" w14:textId="77777777" w:rsidR="00250DCE" w:rsidRPr="00B34FA1" w:rsidRDefault="00250DCE" w:rsidP="00250DCE">
      <w:pPr>
        <w:rPr>
          <w:szCs w:val="24"/>
        </w:rPr>
      </w:pPr>
    </w:p>
    <w:p w14:paraId="3BF97675"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10.</w:t>
      </w:r>
      <w:r w:rsidRPr="00B34FA1">
        <w:rPr>
          <w:b/>
          <w:szCs w:val="24"/>
        </w:rPr>
        <w:tab/>
      </w:r>
      <w:r w:rsidRPr="00B34FA1">
        <w:rPr>
          <w:b/>
          <w:noProof/>
          <w:szCs w:val="24"/>
        </w:rPr>
        <w:t>SPECIALIOS ATSARGUMO PRIEMONĖS DĖL NESUVARTOTO VAISTINIO PREPARATO AR JO ATLIEKŲ TVARKYMO (JEI REIKIA)</w:t>
      </w:r>
    </w:p>
    <w:p w14:paraId="6C423EC4" w14:textId="77777777" w:rsidR="00250DCE" w:rsidRPr="00B34FA1" w:rsidRDefault="00250DCE" w:rsidP="00250DCE">
      <w:pPr>
        <w:rPr>
          <w:szCs w:val="24"/>
        </w:rPr>
      </w:pPr>
    </w:p>
    <w:p w14:paraId="446EE45B" w14:textId="77777777" w:rsidR="00250DCE" w:rsidRPr="00B34FA1" w:rsidRDefault="00250DCE" w:rsidP="00250DCE">
      <w:pPr>
        <w:rPr>
          <w:szCs w:val="24"/>
        </w:rPr>
      </w:pPr>
    </w:p>
    <w:p w14:paraId="6D3B5A56"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11.</w:t>
      </w:r>
      <w:r w:rsidRPr="00B34FA1">
        <w:rPr>
          <w:b/>
          <w:szCs w:val="24"/>
        </w:rPr>
        <w:tab/>
      </w:r>
      <w:r>
        <w:rPr>
          <w:b/>
          <w:caps/>
          <w:noProof/>
          <w:szCs w:val="24"/>
        </w:rPr>
        <w:t xml:space="preserve"> REGISTRUOTOJO</w:t>
      </w:r>
      <w:r w:rsidRPr="00B34FA1">
        <w:rPr>
          <w:b/>
          <w:caps/>
          <w:noProof/>
          <w:szCs w:val="24"/>
        </w:rPr>
        <w:t xml:space="preserve"> PAVADINIMAS IR ADRESAS</w:t>
      </w:r>
    </w:p>
    <w:p w14:paraId="190588EF" w14:textId="77777777" w:rsidR="00250DCE" w:rsidRPr="00B34FA1" w:rsidRDefault="00250DCE" w:rsidP="00250DCE">
      <w:pPr>
        <w:rPr>
          <w:szCs w:val="24"/>
        </w:rPr>
      </w:pPr>
    </w:p>
    <w:p w14:paraId="0462FDB0" w14:textId="77777777" w:rsidR="00250DCE" w:rsidRPr="0062792C" w:rsidRDefault="00250DCE" w:rsidP="00250DCE">
      <w:pPr>
        <w:rPr>
          <w:szCs w:val="24"/>
        </w:rPr>
      </w:pPr>
      <w:r w:rsidRPr="0062792C">
        <w:rPr>
          <w:szCs w:val="24"/>
        </w:rPr>
        <w:t>Teva B.V.</w:t>
      </w:r>
    </w:p>
    <w:p w14:paraId="64AAF9A4" w14:textId="77777777" w:rsidR="00250DCE" w:rsidRPr="0062792C" w:rsidRDefault="00250DCE" w:rsidP="00250DCE">
      <w:pPr>
        <w:rPr>
          <w:szCs w:val="24"/>
        </w:rPr>
      </w:pPr>
      <w:r w:rsidRPr="0062792C">
        <w:rPr>
          <w:szCs w:val="24"/>
        </w:rPr>
        <w:t>Swensweg 5</w:t>
      </w:r>
    </w:p>
    <w:p w14:paraId="0E37E4F8" w14:textId="77777777" w:rsidR="00250DCE" w:rsidRPr="0062792C" w:rsidRDefault="00250DCE" w:rsidP="00250DCE">
      <w:pPr>
        <w:rPr>
          <w:szCs w:val="24"/>
        </w:rPr>
      </w:pPr>
      <w:r w:rsidRPr="0062792C">
        <w:rPr>
          <w:szCs w:val="24"/>
        </w:rPr>
        <w:t>2031 GA Haarlem</w:t>
      </w:r>
    </w:p>
    <w:p w14:paraId="1157B026" w14:textId="77777777" w:rsidR="00250DCE" w:rsidRPr="00B34FA1" w:rsidRDefault="00250DCE" w:rsidP="00250DCE">
      <w:pPr>
        <w:rPr>
          <w:szCs w:val="24"/>
        </w:rPr>
      </w:pPr>
      <w:r w:rsidRPr="0062792C">
        <w:rPr>
          <w:szCs w:val="24"/>
        </w:rPr>
        <w:t>Nyderlandai</w:t>
      </w:r>
    </w:p>
    <w:p w14:paraId="6C0D622A" w14:textId="77777777" w:rsidR="00250DCE" w:rsidRPr="00B34FA1" w:rsidRDefault="00250DCE" w:rsidP="00250DCE">
      <w:pPr>
        <w:rPr>
          <w:szCs w:val="24"/>
        </w:rPr>
      </w:pPr>
    </w:p>
    <w:p w14:paraId="587BE695" w14:textId="77777777" w:rsidR="00250DCE" w:rsidRPr="00B34FA1" w:rsidRDefault="00250DCE" w:rsidP="00250DCE">
      <w:pPr>
        <w:rPr>
          <w:szCs w:val="24"/>
        </w:rPr>
      </w:pPr>
    </w:p>
    <w:p w14:paraId="2449CFC0"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12.</w:t>
      </w:r>
      <w:r w:rsidRPr="00B34FA1">
        <w:rPr>
          <w:b/>
          <w:szCs w:val="24"/>
        </w:rPr>
        <w:tab/>
      </w:r>
      <w:r>
        <w:rPr>
          <w:b/>
          <w:noProof/>
          <w:szCs w:val="24"/>
        </w:rPr>
        <w:t xml:space="preserve">REGISTRACIJOS </w:t>
      </w:r>
      <w:r w:rsidRPr="00B34FA1">
        <w:rPr>
          <w:b/>
          <w:noProof/>
          <w:szCs w:val="24"/>
        </w:rPr>
        <w:t>PAŽYMĖJIMO NUMERIS (-IAI)</w:t>
      </w:r>
      <w:r w:rsidRPr="00B34FA1">
        <w:rPr>
          <w:b/>
          <w:szCs w:val="24"/>
        </w:rPr>
        <w:t xml:space="preserve"> </w:t>
      </w:r>
    </w:p>
    <w:p w14:paraId="3EB3C8A0" w14:textId="77777777" w:rsidR="00250DCE" w:rsidRPr="00B34FA1" w:rsidRDefault="00250DCE" w:rsidP="00250DCE">
      <w:pPr>
        <w:rPr>
          <w:szCs w:val="24"/>
        </w:rPr>
      </w:pPr>
    </w:p>
    <w:p w14:paraId="5D8C0057" w14:textId="77777777" w:rsidR="00774653" w:rsidRPr="00774653" w:rsidRDefault="00774653" w:rsidP="00774653">
      <w:pPr>
        <w:rPr>
          <w:bCs/>
          <w:snapToGrid/>
          <w:szCs w:val="24"/>
        </w:rPr>
      </w:pPr>
      <w:r w:rsidRPr="00081BD8">
        <w:rPr>
          <w:bCs/>
          <w:snapToGrid/>
          <w:szCs w:val="24"/>
          <w:highlight w:val="lightGray"/>
        </w:rPr>
        <w:t>30 mg</w:t>
      </w:r>
    </w:p>
    <w:p w14:paraId="1CD81EEC" w14:textId="77777777" w:rsidR="00774653" w:rsidRPr="00081BD8" w:rsidRDefault="00774653" w:rsidP="00774653">
      <w:pPr>
        <w:rPr>
          <w:bCs/>
          <w:snapToGrid/>
          <w:szCs w:val="24"/>
          <w:highlight w:val="lightGray"/>
        </w:rPr>
      </w:pPr>
      <w:r w:rsidRPr="00774653">
        <w:rPr>
          <w:bCs/>
          <w:snapToGrid/>
          <w:szCs w:val="24"/>
        </w:rPr>
        <w:t xml:space="preserve">LT/1/16/3871/001 </w:t>
      </w:r>
      <w:r w:rsidRPr="00081BD8">
        <w:rPr>
          <w:bCs/>
          <w:snapToGrid/>
          <w:szCs w:val="24"/>
          <w:highlight w:val="lightGray"/>
        </w:rPr>
        <w:t>– N14</w:t>
      </w:r>
    </w:p>
    <w:p w14:paraId="2A26FB08" w14:textId="77777777" w:rsidR="00774653" w:rsidRPr="00081BD8" w:rsidRDefault="00774653" w:rsidP="00774653">
      <w:pPr>
        <w:rPr>
          <w:bCs/>
          <w:snapToGrid/>
          <w:szCs w:val="24"/>
          <w:highlight w:val="lightGray"/>
        </w:rPr>
      </w:pPr>
      <w:r w:rsidRPr="00081BD8">
        <w:rPr>
          <w:bCs/>
          <w:snapToGrid/>
          <w:szCs w:val="24"/>
          <w:highlight w:val="lightGray"/>
        </w:rPr>
        <w:t>LT/1/16/3871/002 – N14x1</w:t>
      </w:r>
    </w:p>
    <w:p w14:paraId="34793DB2" w14:textId="77777777" w:rsidR="00774653" w:rsidRPr="00081BD8" w:rsidRDefault="00774653" w:rsidP="00774653">
      <w:pPr>
        <w:rPr>
          <w:bCs/>
          <w:snapToGrid/>
          <w:szCs w:val="24"/>
          <w:highlight w:val="lightGray"/>
        </w:rPr>
      </w:pPr>
      <w:r w:rsidRPr="00081BD8">
        <w:rPr>
          <w:bCs/>
          <w:snapToGrid/>
          <w:szCs w:val="24"/>
          <w:highlight w:val="lightGray"/>
        </w:rPr>
        <w:t>LT/1/16/3871/003 – N28</w:t>
      </w:r>
    </w:p>
    <w:p w14:paraId="2A409CB3" w14:textId="77777777" w:rsidR="00774653" w:rsidRPr="00081BD8" w:rsidRDefault="00774653" w:rsidP="00774653">
      <w:pPr>
        <w:rPr>
          <w:bCs/>
          <w:snapToGrid/>
          <w:szCs w:val="24"/>
          <w:highlight w:val="lightGray"/>
        </w:rPr>
      </w:pPr>
      <w:r w:rsidRPr="00081BD8">
        <w:rPr>
          <w:bCs/>
          <w:snapToGrid/>
          <w:szCs w:val="24"/>
          <w:highlight w:val="lightGray"/>
        </w:rPr>
        <w:t>LT/1/16/3871/004 – N28x1</w:t>
      </w:r>
    </w:p>
    <w:p w14:paraId="0BC83A00" w14:textId="77777777" w:rsidR="00774653" w:rsidRPr="00081BD8" w:rsidRDefault="00774653" w:rsidP="00774653">
      <w:pPr>
        <w:rPr>
          <w:bCs/>
          <w:snapToGrid/>
          <w:szCs w:val="24"/>
          <w:highlight w:val="lightGray"/>
        </w:rPr>
      </w:pPr>
      <w:r w:rsidRPr="00081BD8">
        <w:rPr>
          <w:bCs/>
          <w:snapToGrid/>
          <w:szCs w:val="24"/>
          <w:highlight w:val="lightGray"/>
        </w:rPr>
        <w:t>LT/1/16/3871/005 – N30</w:t>
      </w:r>
    </w:p>
    <w:p w14:paraId="1B65C39B" w14:textId="77777777" w:rsidR="00774653" w:rsidRPr="00081BD8" w:rsidRDefault="00774653" w:rsidP="00774653">
      <w:pPr>
        <w:rPr>
          <w:bCs/>
          <w:snapToGrid/>
          <w:szCs w:val="24"/>
          <w:highlight w:val="lightGray"/>
        </w:rPr>
      </w:pPr>
      <w:r w:rsidRPr="00081BD8">
        <w:rPr>
          <w:bCs/>
          <w:snapToGrid/>
          <w:szCs w:val="24"/>
          <w:highlight w:val="lightGray"/>
        </w:rPr>
        <w:t>LT/1/16/3871/006 – N30x1</w:t>
      </w:r>
    </w:p>
    <w:p w14:paraId="2A0DCE3A" w14:textId="77777777" w:rsidR="00774653" w:rsidRPr="00081BD8" w:rsidRDefault="00774653" w:rsidP="00774653">
      <w:pPr>
        <w:rPr>
          <w:bCs/>
          <w:snapToGrid/>
          <w:szCs w:val="24"/>
          <w:highlight w:val="lightGray"/>
        </w:rPr>
      </w:pPr>
      <w:r w:rsidRPr="00081BD8">
        <w:rPr>
          <w:bCs/>
          <w:snapToGrid/>
          <w:szCs w:val="24"/>
          <w:highlight w:val="lightGray"/>
        </w:rPr>
        <w:t>LT/1/16/3871/007 – N84</w:t>
      </w:r>
    </w:p>
    <w:p w14:paraId="6EAD5465" w14:textId="77777777" w:rsidR="00774653" w:rsidRPr="00081BD8" w:rsidRDefault="00774653" w:rsidP="00774653">
      <w:pPr>
        <w:rPr>
          <w:bCs/>
          <w:snapToGrid/>
          <w:szCs w:val="24"/>
          <w:highlight w:val="lightGray"/>
        </w:rPr>
      </w:pPr>
      <w:r w:rsidRPr="00081BD8">
        <w:rPr>
          <w:bCs/>
          <w:snapToGrid/>
          <w:szCs w:val="24"/>
          <w:highlight w:val="lightGray"/>
        </w:rPr>
        <w:t>LT/1/16/3871/008 – N84x1</w:t>
      </w:r>
    </w:p>
    <w:p w14:paraId="0A8B91EB" w14:textId="77777777" w:rsidR="00774653" w:rsidRPr="00081BD8" w:rsidRDefault="00774653" w:rsidP="00774653">
      <w:pPr>
        <w:rPr>
          <w:bCs/>
          <w:snapToGrid/>
          <w:szCs w:val="24"/>
          <w:highlight w:val="lightGray"/>
        </w:rPr>
      </w:pPr>
      <w:r w:rsidRPr="00081BD8">
        <w:rPr>
          <w:bCs/>
          <w:snapToGrid/>
          <w:szCs w:val="24"/>
          <w:highlight w:val="lightGray"/>
        </w:rPr>
        <w:t>LT/1/16/3871/028 – N98</w:t>
      </w:r>
    </w:p>
    <w:p w14:paraId="27699527" w14:textId="77777777" w:rsidR="00774653" w:rsidRPr="00774653" w:rsidRDefault="00774653" w:rsidP="00774653">
      <w:pPr>
        <w:rPr>
          <w:bCs/>
          <w:snapToGrid/>
          <w:szCs w:val="24"/>
        </w:rPr>
      </w:pPr>
      <w:r w:rsidRPr="00081BD8">
        <w:rPr>
          <w:bCs/>
          <w:snapToGrid/>
          <w:szCs w:val="24"/>
          <w:highlight w:val="lightGray"/>
        </w:rPr>
        <w:t>LT/1/16/3871/029 – N98x1</w:t>
      </w:r>
    </w:p>
    <w:p w14:paraId="0C4F03BF" w14:textId="77777777" w:rsidR="00081BD8" w:rsidRDefault="00081BD8" w:rsidP="00774653">
      <w:pPr>
        <w:rPr>
          <w:bCs/>
          <w:snapToGrid/>
          <w:szCs w:val="24"/>
        </w:rPr>
      </w:pPr>
    </w:p>
    <w:p w14:paraId="42D81730" w14:textId="1B28EE69" w:rsidR="00774653" w:rsidRPr="00774653" w:rsidRDefault="00774653" w:rsidP="00774653">
      <w:pPr>
        <w:rPr>
          <w:bCs/>
          <w:snapToGrid/>
          <w:szCs w:val="24"/>
        </w:rPr>
      </w:pPr>
      <w:r w:rsidRPr="00081BD8">
        <w:rPr>
          <w:bCs/>
          <w:snapToGrid/>
          <w:szCs w:val="24"/>
          <w:highlight w:val="lightGray"/>
        </w:rPr>
        <w:t>60 mg</w:t>
      </w:r>
    </w:p>
    <w:p w14:paraId="1AA34C94" w14:textId="77777777" w:rsidR="00774653" w:rsidRPr="008011AD" w:rsidRDefault="00774653" w:rsidP="00774653">
      <w:pPr>
        <w:rPr>
          <w:bCs/>
          <w:snapToGrid/>
          <w:szCs w:val="24"/>
          <w:highlight w:val="lightGray"/>
        </w:rPr>
      </w:pPr>
      <w:r w:rsidRPr="00774653">
        <w:rPr>
          <w:bCs/>
          <w:snapToGrid/>
          <w:szCs w:val="24"/>
        </w:rPr>
        <w:t xml:space="preserve">LT/1/16/3871/010 </w:t>
      </w:r>
      <w:r w:rsidRPr="008011AD">
        <w:rPr>
          <w:bCs/>
          <w:snapToGrid/>
          <w:szCs w:val="24"/>
          <w:highlight w:val="lightGray"/>
        </w:rPr>
        <w:t>– N14</w:t>
      </w:r>
    </w:p>
    <w:p w14:paraId="05BD7C59" w14:textId="77777777" w:rsidR="00774653" w:rsidRPr="008011AD" w:rsidRDefault="00774653" w:rsidP="00774653">
      <w:pPr>
        <w:rPr>
          <w:bCs/>
          <w:snapToGrid/>
          <w:szCs w:val="24"/>
          <w:highlight w:val="lightGray"/>
        </w:rPr>
      </w:pPr>
      <w:r w:rsidRPr="008011AD">
        <w:rPr>
          <w:bCs/>
          <w:snapToGrid/>
          <w:szCs w:val="24"/>
          <w:highlight w:val="lightGray"/>
        </w:rPr>
        <w:t>LT/1/16/3871/011 – N14x1</w:t>
      </w:r>
    </w:p>
    <w:p w14:paraId="515806BF" w14:textId="77777777" w:rsidR="00774653" w:rsidRPr="008011AD" w:rsidRDefault="00774653" w:rsidP="00774653">
      <w:pPr>
        <w:rPr>
          <w:bCs/>
          <w:snapToGrid/>
          <w:szCs w:val="24"/>
          <w:highlight w:val="lightGray"/>
        </w:rPr>
      </w:pPr>
      <w:r w:rsidRPr="008011AD">
        <w:rPr>
          <w:bCs/>
          <w:snapToGrid/>
          <w:szCs w:val="24"/>
          <w:highlight w:val="lightGray"/>
        </w:rPr>
        <w:t>LT/1/16/3871/012 – N28</w:t>
      </w:r>
    </w:p>
    <w:p w14:paraId="3907B1DE" w14:textId="77777777" w:rsidR="00774653" w:rsidRPr="008011AD" w:rsidRDefault="00774653" w:rsidP="00774653">
      <w:pPr>
        <w:rPr>
          <w:bCs/>
          <w:snapToGrid/>
          <w:szCs w:val="24"/>
          <w:highlight w:val="lightGray"/>
        </w:rPr>
      </w:pPr>
      <w:r w:rsidRPr="008011AD">
        <w:rPr>
          <w:bCs/>
          <w:snapToGrid/>
          <w:szCs w:val="24"/>
          <w:highlight w:val="lightGray"/>
        </w:rPr>
        <w:t>LT/1/16/3871/013 – N28x1</w:t>
      </w:r>
    </w:p>
    <w:p w14:paraId="773F5B60" w14:textId="77777777" w:rsidR="00774653" w:rsidRPr="008011AD" w:rsidRDefault="00774653" w:rsidP="00774653">
      <w:pPr>
        <w:rPr>
          <w:bCs/>
          <w:snapToGrid/>
          <w:szCs w:val="24"/>
          <w:highlight w:val="lightGray"/>
        </w:rPr>
      </w:pPr>
      <w:r w:rsidRPr="008011AD">
        <w:rPr>
          <w:bCs/>
          <w:snapToGrid/>
          <w:szCs w:val="24"/>
          <w:highlight w:val="lightGray"/>
        </w:rPr>
        <w:t>LT/1/16/3871/014 – N30</w:t>
      </w:r>
    </w:p>
    <w:p w14:paraId="54A167E3" w14:textId="77777777" w:rsidR="00774653" w:rsidRPr="008011AD" w:rsidRDefault="00774653" w:rsidP="00774653">
      <w:pPr>
        <w:rPr>
          <w:bCs/>
          <w:snapToGrid/>
          <w:szCs w:val="24"/>
          <w:highlight w:val="lightGray"/>
        </w:rPr>
      </w:pPr>
      <w:r w:rsidRPr="008011AD">
        <w:rPr>
          <w:bCs/>
          <w:snapToGrid/>
          <w:szCs w:val="24"/>
          <w:highlight w:val="lightGray"/>
        </w:rPr>
        <w:t>LT/1/16/3871/015 – N30x1</w:t>
      </w:r>
    </w:p>
    <w:p w14:paraId="4F1B4C9A" w14:textId="77777777" w:rsidR="00774653" w:rsidRPr="008011AD" w:rsidRDefault="00774653" w:rsidP="00774653">
      <w:pPr>
        <w:rPr>
          <w:bCs/>
          <w:snapToGrid/>
          <w:szCs w:val="24"/>
          <w:highlight w:val="lightGray"/>
        </w:rPr>
      </w:pPr>
      <w:r w:rsidRPr="008011AD">
        <w:rPr>
          <w:bCs/>
          <w:snapToGrid/>
          <w:szCs w:val="24"/>
          <w:highlight w:val="lightGray"/>
        </w:rPr>
        <w:t>LT/1/16/3871/016 – N84</w:t>
      </w:r>
    </w:p>
    <w:p w14:paraId="65568151" w14:textId="77777777" w:rsidR="00774653" w:rsidRPr="008011AD" w:rsidRDefault="00774653" w:rsidP="00774653">
      <w:pPr>
        <w:rPr>
          <w:bCs/>
          <w:snapToGrid/>
          <w:szCs w:val="24"/>
          <w:highlight w:val="lightGray"/>
        </w:rPr>
      </w:pPr>
      <w:r w:rsidRPr="008011AD">
        <w:rPr>
          <w:bCs/>
          <w:snapToGrid/>
          <w:szCs w:val="24"/>
          <w:highlight w:val="lightGray"/>
        </w:rPr>
        <w:t>LT/1/16/3871/017 – N84x1</w:t>
      </w:r>
    </w:p>
    <w:p w14:paraId="42ABE44E" w14:textId="77777777" w:rsidR="00774653" w:rsidRPr="008011AD" w:rsidRDefault="00774653" w:rsidP="00774653">
      <w:pPr>
        <w:rPr>
          <w:bCs/>
          <w:snapToGrid/>
          <w:szCs w:val="24"/>
          <w:highlight w:val="lightGray"/>
        </w:rPr>
      </w:pPr>
      <w:r w:rsidRPr="008011AD">
        <w:rPr>
          <w:bCs/>
          <w:snapToGrid/>
          <w:szCs w:val="24"/>
          <w:highlight w:val="lightGray"/>
        </w:rPr>
        <w:t>LT/1/16/3871/030 – N98</w:t>
      </w:r>
    </w:p>
    <w:p w14:paraId="5762630B" w14:textId="77777777" w:rsidR="00774653" w:rsidRPr="00774653" w:rsidRDefault="00774653" w:rsidP="00774653">
      <w:pPr>
        <w:rPr>
          <w:bCs/>
          <w:snapToGrid/>
          <w:szCs w:val="24"/>
        </w:rPr>
      </w:pPr>
      <w:r w:rsidRPr="008011AD">
        <w:rPr>
          <w:bCs/>
          <w:snapToGrid/>
          <w:szCs w:val="24"/>
          <w:highlight w:val="lightGray"/>
        </w:rPr>
        <w:t>LT/1/16/3871/031 – N98x1</w:t>
      </w:r>
    </w:p>
    <w:p w14:paraId="7A4C07B4" w14:textId="5A647567" w:rsidR="00081BD8" w:rsidRDefault="00774653" w:rsidP="00774653">
      <w:pPr>
        <w:rPr>
          <w:bCs/>
          <w:snapToGrid/>
          <w:szCs w:val="24"/>
        </w:rPr>
      </w:pPr>
      <w:r w:rsidRPr="00774653">
        <w:rPr>
          <w:bCs/>
          <w:snapToGrid/>
          <w:szCs w:val="24"/>
        </w:rPr>
        <w:tab/>
      </w:r>
    </w:p>
    <w:p w14:paraId="360B9A1A" w14:textId="46D87D4F" w:rsidR="00774653" w:rsidRPr="00774653" w:rsidRDefault="00774653" w:rsidP="00774653">
      <w:pPr>
        <w:rPr>
          <w:bCs/>
          <w:snapToGrid/>
          <w:szCs w:val="24"/>
        </w:rPr>
      </w:pPr>
      <w:r w:rsidRPr="008011AD">
        <w:rPr>
          <w:bCs/>
          <w:snapToGrid/>
          <w:szCs w:val="24"/>
          <w:highlight w:val="lightGray"/>
        </w:rPr>
        <w:t>90 mg</w:t>
      </w:r>
    </w:p>
    <w:p w14:paraId="4E83BB29" w14:textId="77777777" w:rsidR="00774653" w:rsidRPr="008011AD" w:rsidRDefault="00774653" w:rsidP="00774653">
      <w:pPr>
        <w:rPr>
          <w:bCs/>
          <w:snapToGrid/>
          <w:szCs w:val="24"/>
          <w:highlight w:val="lightGray"/>
        </w:rPr>
      </w:pPr>
      <w:r w:rsidRPr="00774653">
        <w:rPr>
          <w:bCs/>
          <w:snapToGrid/>
          <w:szCs w:val="24"/>
        </w:rPr>
        <w:t xml:space="preserve">LT/1/16/3871/019 </w:t>
      </w:r>
      <w:r w:rsidRPr="008011AD">
        <w:rPr>
          <w:bCs/>
          <w:snapToGrid/>
          <w:szCs w:val="24"/>
          <w:highlight w:val="lightGray"/>
        </w:rPr>
        <w:t>– N14</w:t>
      </w:r>
    </w:p>
    <w:p w14:paraId="2EB00184" w14:textId="77777777" w:rsidR="00774653" w:rsidRPr="008011AD" w:rsidRDefault="00774653" w:rsidP="00774653">
      <w:pPr>
        <w:rPr>
          <w:bCs/>
          <w:snapToGrid/>
          <w:szCs w:val="24"/>
          <w:highlight w:val="lightGray"/>
        </w:rPr>
      </w:pPr>
      <w:r w:rsidRPr="008011AD">
        <w:rPr>
          <w:bCs/>
          <w:snapToGrid/>
          <w:szCs w:val="24"/>
          <w:highlight w:val="lightGray"/>
        </w:rPr>
        <w:t>LT/1/16/3871/020 – N14x1</w:t>
      </w:r>
    </w:p>
    <w:p w14:paraId="3136F4D4" w14:textId="77777777" w:rsidR="00774653" w:rsidRPr="008011AD" w:rsidRDefault="00774653" w:rsidP="00774653">
      <w:pPr>
        <w:rPr>
          <w:bCs/>
          <w:snapToGrid/>
          <w:szCs w:val="24"/>
          <w:highlight w:val="lightGray"/>
        </w:rPr>
      </w:pPr>
      <w:r w:rsidRPr="008011AD">
        <w:rPr>
          <w:bCs/>
          <w:snapToGrid/>
          <w:szCs w:val="24"/>
          <w:highlight w:val="lightGray"/>
        </w:rPr>
        <w:t>LT/1/16/3871/021 – N28</w:t>
      </w:r>
    </w:p>
    <w:p w14:paraId="245B349F" w14:textId="77777777" w:rsidR="00774653" w:rsidRPr="008011AD" w:rsidRDefault="00774653" w:rsidP="00774653">
      <w:pPr>
        <w:rPr>
          <w:bCs/>
          <w:snapToGrid/>
          <w:szCs w:val="24"/>
          <w:highlight w:val="lightGray"/>
        </w:rPr>
      </w:pPr>
      <w:r w:rsidRPr="008011AD">
        <w:rPr>
          <w:bCs/>
          <w:snapToGrid/>
          <w:szCs w:val="24"/>
          <w:highlight w:val="lightGray"/>
        </w:rPr>
        <w:t>LT/1/16/3871/022 – N28x1</w:t>
      </w:r>
    </w:p>
    <w:p w14:paraId="59FE75CD" w14:textId="77777777" w:rsidR="00774653" w:rsidRPr="008011AD" w:rsidRDefault="00774653" w:rsidP="00774653">
      <w:pPr>
        <w:rPr>
          <w:bCs/>
          <w:snapToGrid/>
          <w:szCs w:val="24"/>
          <w:highlight w:val="lightGray"/>
        </w:rPr>
      </w:pPr>
      <w:r w:rsidRPr="008011AD">
        <w:rPr>
          <w:bCs/>
          <w:snapToGrid/>
          <w:szCs w:val="24"/>
          <w:highlight w:val="lightGray"/>
        </w:rPr>
        <w:t>LT/1/16/3871/023 – N30</w:t>
      </w:r>
    </w:p>
    <w:p w14:paraId="11FA229A" w14:textId="77777777" w:rsidR="00774653" w:rsidRPr="008011AD" w:rsidRDefault="00774653" w:rsidP="00774653">
      <w:pPr>
        <w:rPr>
          <w:bCs/>
          <w:snapToGrid/>
          <w:szCs w:val="24"/>
          <w:highlight w:val="lightGray"/>
        </w:rPr>
      </w:pPr>
      <w:r w:rsidRPr="008011AD">
        <w:rPr>
          <w:bCs/>
          <w:snapToGrid/>
          <w:szCs w:val="24"/>
          <w:highlight w:val="lightGray"/>
        </w:rPr>
        <w:t>LT/1/16/3871/024 – N30x1</w:t>
      </w:r>
    </w:p>
    <w:p w14:paraId="440E1B5A" w14:textId="77777777" w:rsidR="00774653" w:rsidRPr="008011AD" w:rsidRDefault="00774653" w:rsidP="00774653">
      <w:pPr>
        <w:rPr>
          <w:bCs/>
          <w:snapToGrid/>
          <w:szCs w:val="24"/>
          <w:highlight w:val="lightGray"/>
        </w:rPr>
      </w:pPr>
      <w:r w:rsidRPr="008011AD">
        <w:rPr>
          <w:bCs/>
          <w:snapToGrid/>
          <w:szCs w:val="24"/>
          <w:highlight w:val="lightGray"/>
        </w:rPr>
        <w:t>LT/1/16/3871/025 – N84</w:t>
      </w:r>
    </w:p>
    <w:p w14:paraId="6C3C2861" w14:textId="77777777" w:rsidR="00774653" w:rsidRPr="008011AD" w:rsidRDefault="00774653" w:rsidP="00774653">
      <w:pPr>
        <w:rPr>
          <w:bCs/>
          <w:snapToGrid/>
          <w:szCs w:val="24"/>
          <w:highlight w:val="lightGray"/>
        </w:rPr>
      </w:pPr>
      <w:r w:rsidRPr="008011AD">
        <w:rPr>
          <w:bCs/>
          <w:snapToGrid/>
          <w:szCs w:val="24"/>
          <w:highlight w:val="lightGray"/>
        </w:rPr>
        <w:t>LT/1/16/3871/026 – N84x1</w:t>
      </w:r>
    </w:p>
    <w:p w14:paraId="5AE60587" w14:textId="77777777" w:rsidR="00774653" w:rsidRPr="008011AD" w:rsidRDefault="00774653" w:rsidP="00774653">
      <w:pPr>
        <w:rPr>
          <w:bCs/>
          <w:snapToGrid/>
          <w:szCs w:val="24"/>
          <w:highlight w:val="lightGray"/>
        </w:rPr>
      </w:pPr>
      <w:r w:rsidRPr="008011AD">
        <w:rPr>
          <w:bCs/>
          <w:snapToGrid/>
          <w:szCs w:val="24"/>
          <w:highlight w:val="lightGray"/>
        </w:rPr>
        <w:t>LT/1/16/3871/032 – N98</w:t>
      </w:r>
    </w:p>
    <w:p w14:paraId="456EE249" w14:textId="77777777" w:rsidR="00774653" w:rsidRPr="00774653" w:rsidRDefault="00774653" w:rsidP="00774653">
      <w:pPr>
        <w:rPr>
          <w:bCs/>
          <w:snapToGrid/>
          <w:szCs w:val="24"/>
        </w:rPr>
      </w:pPr>
      <w:r w:rsidRPr="008011AD">
        <w:rPr>
          <w:bCs/>
          <w:snapToGrid/>
          <w:szCs w:val="24"/>
          <w:highlight w:val="lightGray"/>
        </w:rPr>
        <w:t>LT/1/16/3871/033 – N98x1</w:t>
      </w:r>
    </w:p>
    <w:p w14:paraId="4ECF4C40" w14:textId="59986DFF" w:rsidR="00250DCE" w:rsidRDefault="00250DCE" w:rsidP="00250DCE">
      <w:pPr>
        <w:rPr>
          <w:szCs w:val="24"/>
        </w:rPr>
      </w:pPr>
    </w:p>
    <w:p w14:paraId="47C0C559" w14:textId="77777777" w:rsidR="00081BD8" w:rsidRPr="00B34FA1" w:rsidRDefault="00081BD8" w:rsidP="00250DCE">
      <w:pPr>
        <w:rPr>
          <w:szCs w:val="24"/>
        </w:rPr>
      </w:pPr>
    </w:p>
    <w:p w14:paraId="01AD0886"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13.</w:t>
      </w:r>
      <w:r w:rsidRPr="00B34FA1">
        <w:rPr>
          <w:b/>
          <w:szCs w:val="24"/>
        </w:rPr>
        <w:tab/>
      </w:r>
      <w:r w:rsidRPr="00B34FA1">
        <w:rPr>
          <w:b/>
          <w:noProof/>
          <w:szCs w:val="24"/>
        </w:rPr>
        <w:t xml:space="preserve">SERIJOS NUMERIS </w:t>
      </w:r>
    </w:p>
    <w:p w14:paraId="662CA4EA" w14:textId="77777777" w:rsidR="00250DCE" w:rsidRPr="00B34FA1" w:rsidRDefault="00250DCE" w:rsidP="00250DCE"/>
    <w:p w14:paraId="258E6FAF" w14:textId="3A9004D3" w:rsidR="00250DCE" w:rsidRPr="00B34FA1" w:rsidRDefault="005D733F" w:rsidP="00250DCE">
      <w:r>
        <w:t>Lot</w:t>
      </w:r>
    </w:p>
    <w:p w14:paraId="645F6643" w14:textId="77777777" w:rsidR="00250DCE" w:rsidRPr="00B34FA1" w:rsidRDefault="00250DCE" w:rsidP="00250DCE">
      <w:pPr>
        <w:rPr>
          <w:szCs w:val="24"/>
        </w:rPr>
      </w:pPr>
    </w:p>
    <w:p w14:paraId="3AE30270" w14:textId="77777777" w:rsidR="00250DCE" w:rsidRPr="00B34FA1" w:rsidRDefault="00250DCE" w:rsidP="00250DCE">
      <w:pPr>
        <w:rPr>
          <w:szCs w:val="24"/>
        </w:rPr>
      </w:pPr>
    </w:p>
    <w:p w14:paraId="31E16452"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14.</w:t>
      </w:r>
      <w:r w:rsidRPr="00B34FA1">
        <w:rPr>
          <w:b/>
          <w:szCs w:val="24"/>
        </w:rPr>
        <w:tab/>
      </w:r>
      <w:r w:rsidRPr="00B34FA1">
        <w:rPr>
          <w:b/>
          <w:noProof/>
          <w:szCs w:val="24"/>
        </w:rPr>
        <w:t>PARDAVIMO (IŠDAVIMO) TVARKA</w:t>
      </w:r>
    </w:p>
    <w:p w14:paraId="2ED26B44" w14:textId="77777777" w:rsidR="00250DCE" w:rsidRPr="00B34FA1" w:rsidRDefault="00250DCE" w:rsidP="00250DCE">
      <w:pPr>
        <w:rPr>
          <w:szCs w:val="24"/>
        </w:rPr>
      </w:pPr>
    </w:p>
    <w:p w14:paraId="5969E27F" w14:textId="77777777" w:rsidR="00250DCE" w:rsidRPr="00B34FA1" w:rsidRDefault="00237517" w:rsidP="00250DCE">
      <w:pPr>
        <w:rPr>
          <w:szCs w:val="24"/>
        </w:rPr>
      </w:pPr>
      <w:r>
        <w:rPr>
          <w:szCs w:val="24"/>
        </w:rPr>
        <w:t xml:space="preserve">Receptinis </w:t>
      </w:r>
      <w:r w:rsidR="005D733F">
        <w:rPr>
          <w:szCs w:val="24"/>
        </w:rPr>
        <w:t>vaistas</w:t>
      </w:r>
      <w:r w:rsidR="00777D09">
        <w:rPr>
          <w:szCs w:val="24"/>
        </w:rPr>
        <w:t>.</w:t>
      </w:r>
    </w:p>
    <w:p w14:paraId="4E231753" w14:textId="77777777" w:rsidR="00250DCE" w:rsidRDefault="00250DCE" w:rsidP="00250DCE">
      <w:pPr>
        <w:rPr>
          <w:szCs w:val="24"/>
        </w:rPr>
      </w:pPr>
    </w:p>
    <w:p w14:paraId="3342A84A" w14:textId="77777777" w:rsidR="00533C11" w:rsidRPr="00B34FA1" w:rsidRDefault="00533C11" w:rsidP="00250DCE">
      <w:pPr>
        <w:rPr>
          <w:szCs w:val="24"/>
        </w:rPr>
      </w:pPr>
    </w:p>
    <w:p w14:paraId="1F3EF042" w14:textId="77777777" w:rsidR="00250DCE" w:rsidRPr="00B34FA1" w:rsidRDefault="00250DCE" w:rsidP="00250DCE">
      <w:pPr>
        <w:pBdr>
          <w:top w:val="single" w:sz="4" w:space="2" w:color="auto"/>
          <w:left w:val="single" w:sz="4" w:space="4" w:color="auto"/>
          <w:bottom w:val="single" w:sz="4" w:space="1" w:color="auto"/>
          <w:right w:val="single" w:sz="4" w:space="4" w:color="auto"/>
        </w:pBdr>
        <w:spacing w:line="240" w:lineRule="auto"/>
        <w:outlineLvl w:val="0"/>
        <w:rPr>
          <w:szCs w:val="24"/>
        </w:rPr>
      </w:pPr>
      <w:r w:rsidRPr="00B34FA1">
        <w:rPr>
          <w:b/>
          <w:szCs w:val="24"/>
        </w:rPr>
        <w:t>15.</w:t>
      </w:r>
      <w:r w:rsidRPr="00B34FA1">
        <w:rPr>
          <w:b/>
          <w:szCs w:val="24"/>
        </w:rPr>
        <w:tab/>
      </w:r>
      <w:r w:rsidRPr="00B34FA1">
        <w:rPr>
          <w:b/>
          <w:noProof/>
          <w:szCs w:val="24"/>
        </w:rPr>
        <w:t>VARTOJIMO INSTRUKCIJA</w:t>
      </w:r>
    </w:p>
    <w:p w14:paraId="4C93D17E" w14:textId="77777777" w:rsidR="00250DCE" w:rsidRPr="00B34FA1" w:rsidRDefault="00250DCE" w:rsidP="00250DCE">
      <w:pPr>
        <w:rPr>
          <w:szCs w:val="24"/>
        </w:rPr>
      </w:pPr>
    </w:p>
    <w:p w14:paraId="5DD8AD7B" w14:textId="77777777" w:rsidR="00250DCE" w:rsidRPr="00B34FA1" w:rsidRDefault="00250DCE" w:rsidP="00250DCE">
      <w:pPr>
        <w:rPr>
          <w:szCs w:val="24"/>
        </w:rPr>
      </w:pPr>
    </w:p>
    <w:p w14:paraId="5C84384D" w14:textId="77777777" w:rsidR="00250DCE" w:rsidRPr="00D42F2E" w:rsidRDefault="00250DCE" w:rsidP="00250DCE">
      <w:pPr>
        <w:pBdr>
          <w:top w:val="single" w:sz="4" w:space="1" w:color="auto"/>
          <w:left w:val="single" w:sz="4" w:space="4" w:color="auto"/>
          <w:bottom w:val="single" w:sz="4" w:space="0" w:color="auto"/>
          <w:right w:val="single" w:sz="4" w:space="4" w:color="auto"/>
        </w:pBdr>
        <w:spacing w:line="240" w:lineRule="auto"/>
        <w:rPr>
          <w:szCs w:val="24"/>
        </w:rPr>
      </w:pPr>
      <w:r w:rsidRPr="00B34FA1">
        <w:rPr>
          <w:b/>
          <w:szCs w:val="24"/>
        </w:rPr>
        <w:t>16.</w:t>
      </w:r>
      <w:r w:rsidRPr="00B34FA1">
        <w:rPr>
          <w:b/>
          <w:szCs w:val="24"/>
        </w:rPr>
        <w:tab/>
      </w:r>
      <w:r w:rsidRPr="00B34FA1">
        <w:rPr>
          <w:b/>
          <w:noProof/>
          <w:szCs w:val="24"/>
        </w:rPr>
        <w:t xml:space="preserve">INFORMACIJA </w:t>
      </w:r>
      <w:r w:rsidRPr="00855F36">
        <w:rPr>
          <w:b/>
          <w:noProof/>
          <w:szCs w:val="24"/>
        </w:rPr>
        <w:t>BRAILIO RAŠTU</w:t>
      </w:r>
    </w:p>
    <w:p w14:paraId="5770BC09" w14:textId="77777777" w:rsidR="00250DCE" w:rsidRPr="00B34FA1" w:rsidRDefault="00250DCE" w:rsidP="00250DCE">
      <w:pPr>
        <w:rPr>
          <w:szCs w:val="24"/>
        </w:rPr>
      </w:pPr>
    </w:p>
    <w:p w14:paraId="1AEA8BD9" w14:textId="77777777" w:rsidR="00250DCE" w:rsidRDefault="00250DCE" w:rsidP="00250DCE">
      <w:r>
        <w:t>Cinacalcet Teva 30</w:t>
      </w:r>
      <w:r w:rsidR="00533C11">
        <w:t> </w:t>
      </w:r>
      <w:r>
        <w:t xml:space="preserve">mg </w:t>
      </w:r>
    </w:p>
    <w:p w14:paraId="3303D0DC" w14:textId="77777777" w:rsidR="00250DCE" w:rsidRPr="007D0562" w:rsidRDefault="00250DCE" w:rsidP="00250DCE">
      <w:pPr>
        <w:rPr>
          <w:highlight w:val="lightGray"/>
        </w:rPr>
      </w:pPr>
      <w:r w:rsidRPr="007D0562">
        <w:rPr>
          <w:highlight w:val="lightGray"/>
        </w:rPr>
        <w:t>Cinacalcet Teva 60</w:t>
      </w:r>
      <w:r w:rsidR="00533C11" w:rsidRPr="007D0562">
        <w:rPr>
          <w:highlight w:val="lightGray"/>
        </w:rPr>
        <w:t> </w:t>
      </w:r>
      <w:r w:rsidRPr="007D0562">
        <w:rPr>
          <w:highlight w:val="lightGray"/>
        </w:rPr>
        <w:t xml:space="preserve">mg </w:t>
      </w:r>
    </w:p>
    <w:p w14:paraId="34705746" w14:textId="77777777" w:rsidR="00250DCE" w:rsidRDefault="00250DCE" w:rsidP="00250DCE">
      <w:r w:rsidRPr="007D0562">
        <w:rPr>
          <w:highlight w:val="lightGray"/>
        </w:rPr>
        <w:t>Cinacalcet Teva 90</w:t>
      </w:r>
      <w:r w:rsidR="00533C11" w:rsidRPr="007D0562">
        <w:rPr>
          <w:highlight w:val="lightGray"/>
        </w:rPr>
        <w:t> </w:t>
      </w:r>
      <w:r w:rsidRPr="007D0562">
        <w:rPr>
          <w:highlight w:val="lightGray"/>
        </w:rPr>
        <w:t>mg</w:t>
      </w:r>
      <w:r>
        <w:t xml:space="preserve"> </w:t>
      </w:r>
    </w:p>
    <w:p w14:paraId="54D0D99E" w14:textId="77777777" w:rsidR="005D733F" w:rsidRDefault="005D733F" w:rsidP="005D733F">
      <w:pPr>
        <w:tabs>
          <w:tab w:val="left" w:pos="9072"/>
        </w:tabs>
        <w:rPr>
          <w:szCs w:val="24"/>
        </w:rPr>
      </w:pPr>
    </w:p>
    <w:p w14:paraId="6B395D49" w14:textId="77777777" w:rsidR="008327F8" w:rsidRPr="002E7B7C" w:rsidRDefault="008327F8" w:rsidP="005D733F">
      <w:pPr>
        <w:tabs>
          <w:tab w:val="left" w:pos="9072"/>
        </w:tabs>
      </w:pPr>
    </w:p>
    <w:p w14:paraId="12BCA006" w14:textId="77777777" w:rsidR="005D733F" w:rsidRPr="002E7B7C" w:rsidRDefault="005D733F" w:rsidP="005D733F">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6953CC3C" w14:textId="77777777" w:rsidR="005D733F" w:rsidRPr="00743731" w:rsidRDefault="005D733F" w:rsidP="005D733F">
      <w:pPr>
        <w:tabs>
          <w:tab w:val="left" w:pos="9072"/>
        </w:tabs>
        <w:rPr>
          <w:szCs w:val="22"/>
        </w:rPr>
      </w:pPr>
    </w:p>
    <w:p w14:paraId="4ECF13A1" w14:textId="77777777" w:rsidR="005D733F" w:rsidRPr="007D0562" w:rsidRDefault="005D733F" w:rsidP="005D733F">
      <w:pPr>
        <w:rPr>
          <w:highlight w:val="lightGray"/>
        </w:rPr>
      </w:pPr>
      <w:r w:rsidRPr="007D0562">
        <w:rPr>
          <w:highlight w:val="lightGray"/>
        </w:rPr>
        <w:t>2D brūkšninis kodas su nurodytu unikaliu identifikatoriumi.</w:t>
      </w:r>
    </w:p>
    <w:p w14:paraId="7930EEA9" w14:textId="77777777" w:rsidR="005D733F" w:rsidRPr="007D0562" w:rsidRDefault="005D733F" w:rsidP="005D733F">
      <w:pPr>
        <w:rPr>
          <w:highlight w:val="lightGray"/>
        </w:rPr>
      </w:pPr>
    </w:p>
    <w:p w14:paraId="6540CE2A" w14:textId="77777777" w:rsidR="005D733F" w:rsidRPr="002E7B7C" w:rsidRDefault="005D733F" w:rsidP="005D733F">
      <w:pPr>
        <w:tabs>
          <w:tab w:val="left" w:pos="9072"/>
        </w:tabs>
      </w:pPr>
    </w:p>
    <w:p w14:paraId="02321C5E" w14:textId="77777777" w:rsidR="005D733F" w:rsidRPr="002E7B7C" w:rsidRDefault="005D733F" w:rsidP="005D733F">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57770655" w14:textId="77777777" w:rsidR="005D733F" w:rsidRPr="002E7B7C" w:rsidRDefault="005D733F" w:rsidP="005D733F">
      <w:pPr>
        <w:tabs>
          <w:tab w:val="left" w:pos="9072"/>
        </w:tabs>
      </w:pPr>
    </w:p>
    <w:p w14:paraId="0C3ACFF7" w14:textId="77777777" w:rsidR="005D733F" w:rsidRPr="002E7B7C" w:rsidRDefault="005D733F" w:rsidP="005D733F">
      <w:pPr>
        <w:rPr>
          <w:color w:val="008000"/>
        </w:rPr>
      </w:pPr>
      <w:r w:rsidRPr="002E7B7C">
        <w:t>PC: {numeris}</w:t>
      </w:r>
    </w:p>
    <w:p w14:paraId="4748DC1F" w14:textId="77777777" w:rsidR="005D733F" w:rsidRPr="002E7B7C" w:rsidRDefault="005D733F" w:rsidP="005D733F">
      <w:r w:rsidRPr="002E7B7C">
        <w:t>SN: {numeris}</w:t>
      </w:r>
    </w:p>
    <w:p w14:paraId="51315D3D" w14:textId="77777777" w:rsidR="005D733F" w:rsidRPr="007D0562" w:rsidRDefault="005D733F" w:rsidP="005D733F">
      <w:pPr>
        <w:rPr>
          <w:highlight w:val="lightGray"/>
        </w:rPr>
      </w:pPr>
      <w:r w:rsidRPr="002E7B7C">
        <w:t>NN: {numeris}</w:t>
      </w:r>
    </w:p>
    <w:p w14:paraId="6DD2CE0A" w14:textId="77777777" w:rsidR="005D733F" w:rsidRPr="001219FB" w:rsidRDefault="005D733F" w:rsidP="00082A72">
      <w:pPr>
        <w:tabs>
          <w:tab w:val="left" w:pos="9072"/>
        </w:tabs>
      </w:pPr>
      <w:r w:rsidRPr="002E7B7C">
        <w:t xml:space="preserve"> </w:t>
      </w:r>
    </w:p>
    <w:p w14:paraId="4B375084" w14:textId="77777777" w:rsidR="00250DCE" w:rsidRDefault="00250DCE">
      <w:pPr>
        <w:tabs>
          <w:tab w:val="clear" w:pos="567"/>
        </w:tabs>
        <w:spacing w:after="200" w:line="276" w:lineRule="auto"/>
        <w:rPr>
          <w:szCs w:val="24"/>
        </w:rPr>
      </w:pPr>
      <w:r>
        <w:rPr>
          <w:szCs w:val="24"/>
        </w:rPr>
        <w:br w:type="page"/>
      </w:r>
    </w:p>
    <w:p w14:paraId="2418AD99" w14:textId="77777777" w:rsidR="00250DCE" w:rsidRPr="00B34FA1" w:rsidRDefault="00250DCE" w:rsidP="00506DA5">
      <w:pPr>
        <w:pBdr>
          <w:top w:val="single" w:sz="4" w:space="1" w:color="auto"/>
          <w:left w:val="single" w:sz="4" w:space="4" w:color="auto"/>
          <w:bottom w:val="single" w:sz="4" w:space="1" w:color="auto"/>
          <w:right w:val="single" w:sz="4" w:space="4" w:color="auto"/>
        </w:pBdr>
        <w:tabs>
          <w:tab w:val="clear" w:pos="567"/>
          <w:tab w:val="left" w:pos="0"/>
        </w:tabs>
        <w:rPr>
          <w:b/>
          <w:noProof/>
          <w:szCs w:val="24"/>
        </w:rPr>
      </w:pPr>
      <w:r w:rsidRPr="00B34FA1">
        <w:rPr>
          <w:b/>
          <w:noProof/>
          <w:szCs w:val="24"/>
        </w:rPr>
        <w:t>MINIMALI INFORMACIJA ANT LIZDINIŲ PLOKŠTELIŲ ARBA DVISLUOKSNIŲ JUOSTELIŲ</w:t>
      </w:r>
    </w:p>
    <w:p w14:paraId="61C891A9" w14:textId="77777777" w:rsidR="00250DCE" w:rsidRPr="00B34FA1" w:rsidRDefault="00250DCE" w:rsidP="00250DCE">
      <w:pPr>
        <w:pBdr>
          <w:top w:val="single" w:sz="4" w:space="1" w:color="auto"/>
          <w:left w:val="single" w:sz="4" w:space="4" w:color="auto"/>
          <w:bottom w:val="single" w:sz="4" w:space="1" w:color="auto"/>
          <w:right w:val="single" w:sz="4" w:space="4" w:color="auto"/>
        </w:pBdr>
        <w:ind w:left="567" w:hanging="567"/>
        <w:rPr>
          <w:b/>
          <w:noProof/>
          <w:szCs w:val="24"/>
        </w:rPr>
      </w:pPr>
    </w:p>
    <w:p w14:paraId="6688DA62" w14:textId="77777777" w:rsidR="00250DCE" w:rsidRPr="00B34FA1" w:rsidRDefault="00250DCE" w:rsidP="00250DCE">
      <w:pPr>
        <w:pBdr>
          <w:top w:val="single" w:sz="4" w:space="1" w:color="auto"/>
          <w:left w:val="single" w:sz="4" w:space="4" w:color="auto"/>
          <w:bottom w:val="single" w:sz="4" w:space="1" w:color="auto"/>
          <w:right w:val="single" w:sz="4" w:space="4" w:color="auto"/>
        </w:pBdr>
        <w:ind w:left="567" w:hanging="567"/>
        <w:rPr>
          <w:b/>
        </w:rPr>
      </w:pPr>
      <w:r>
        <w:rPr>
          <w:b/>
        </w:rPr>
        <w:t>LIZDINĖ PLOKŠTELĖ</w:t>
      </w:r>
    </w:p>
    <w:p w14:paraId="2B2EC136" w14:textId="77777777" w:rsidR="00250DCE" w:rsidRPr="00B34FA1" w:rsidRDefault="00250DCE" w:rsidP="00250DCE"/>
    <w:p w14:paraId="3BB705C4" w14:textId="77777777" w:rsidR="00250DCE" w:rsidRPr="00B34FA1" w:rsidRDefault="00250DCE" w:rsidP="00250DCE">
      <w:pPr>
        <w:rPr>
          <w:szCs w:val="24"/>
        </w:rPr>
      </w:pPr>
    </w:p>
    <w:p w14:paraId="7764FF2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w:t>
      </w:r>
      <w:r w:rsidRPr="00B34FA1">
        <w:rPr>
          <w:b/>
          <w:szCs w:val="24"/>
        </w:rPr>
        <w:tab/>
      </w:r>
      <w:r w:rsidRPr="00B34FA1">
        <w:rPr>
          <w:b/>
          <w:caps/>
          <w:noProof/>
          <w:szCs w:val="24"/>
        </w:rPr>
        <w:t>VAISTINIO</w:t>
      </w:r>
      <w:r w:rsidRPr="00B34FA1">
        <w:rPr>
          <w:b/>
          <w:noProof/>
          <w:szCs w:val="24"/>
        </w:rPr>
        <w:t xml:space="preserve"> PREPARATO PAVADINIMAS</w:t>
      </w:r>
    </w:p>
    <w:p w14:paraId="789E4C6B" w14:textId="77777777" w:rsidR="00250DCE" w:rsidRPr="00B34FA1" w:rsidRDefault="00250DCE" w:rsidP="00250DCE">
      <w:pPr>
        <w:rPr>
          <w:szCs w:val="24"/>
        </w:rPr>
      </w:pPr>
    </w:p>
    <w:p w14:paraId="6BE69470" w14:textId="77777777" w:rsidR="00250DCE" w:rsidRPr="0004329E" w:rsidRDefault="00250DCE" w:rsidP="00250DCE">
      <w:pPr>
        <w:rPr>
          <w:noProof/>
          <w:szCs w:val="24"/>
        </w:rPr>
      </w:pPr>
      <w:r w:rsidRPr="0004329E">
        <w:rPr>
          <w:noProof/>
          <w:szCs w:val="24"/>
        </w:rPr>
        <w:t>Cinacalcet Teva 30</w:t>
      </w:r>
      <w:r w:rsidR="00533C11">
        <w:rPr>
          <w:noProof/>
          <w:szCs w:val="24"/>
        </w:rPr>
        <w:t> </w:t>
      </w:r>
      <w:r w:rsidRPr="0004329E">
        <w:rPr>
          <w:noProof/>
          <w:szCs w:val="24"/>
        </w:rPr>
        <w:t>mg plėvele dengtos tabletės</w:t>
      </w:r>
    </w:p>
    <w:p w14:paraId="07D9785D" w14:textId="77777777" w:rsidR="00250DCE" w:rsidRPr="007D0562" w:rsidRDefault="00250DCE" w:rsidP="00250DCE">
      <w:pPr>
        <w:rPr>
          <w:highlight w:val="lightGray"/>
        </w:rPr>
      </w:pPr>
      <w:r w:rsidRPr="007D0562">
        <w:rPr>
          <w:highlight w:val="lightGray"/>
        </w:rPr>
        <w:t>Cinacalcet Teva 60</w:t>
      </w:r>
      <w:r w:rsidR="00533C11" w:rsidRPr="007D0562">
        <w:rPr>
          <w:highlight w:val="lightGray"/>
        </w:rPr>
        <w:t> </w:t>
      </w:r>
      <w:r w:rsidRPr="007D0562">
        <w:rPr>
          <w:highlight w:val="lightGray"/>
        </w:rPr>
        <w:t>mg plėvele dengtos tabletės</w:t>
      </w:r>
    </w:p>
    <w:p w14:paraId="3CEB3C03" w14:textId="77777777" w:rsidR="00250DCE" w:rsidRDefault="00250DCE" w:rsidP="00250DCE">
      <w:pPr>
        <w:rPr>
          <w:noProof/>
          <w:szCs w:val="24"/>
        </w:rPr>
      </w:pPr>
      <w:r w:rsidRPr="007D0562">
        <w:rPr>
          <w:highlight w:val="lightGray"/>
        </w:rPr>
        <w:t>Cinacalcet Teva 90</w:t>
      </w:r>
      <w:r w:rsidR="00533C11" w:rsidRPr="007D0562">
        <w:rPr>
          <w:highlight w:val="lightGray"/>
        </w:rPr>
        <w:t> </w:t>
      </w:r>
      <w:r w:rsidRPr="007D0562">
        <w:rPr>
          <w:highlight w:val="lightGray"/>
        </w:rPr>
        <w:t>mg plėvele dengtos tabletės</w:t>
      </w:r>
    </w:p>
    <w:p w14:paraId="276A09B8" w14:textId="77777777" w:rsidR="00250DCE" w:rsidRPr="00B34FA1" w:rsidRDefault="008E66BB" w:rsidP="00250DCE">
      <w:pPr>
        <w:rPr>
          <w:szCs w:val="24"/>
        </w:rPr>
      </w:pPr>
      <w:r>
        <w:rPr>
          <w:szCs w:val="24"/>
        </w:rPr>
        <w:t>c</w:t>
      </w:r>
      <w:r w:rsidRPr="0004329E">
        <w:rPr>
          <w:szCs w:val="24"/>
        </w:rPr>
        <w:t>ina</w:t>
      </w:r>
      <w:r>
        <w:rPr>
          <w:szCs w:val="24"/>
        </w:rPr>
        <w:t>calcetum</w:t>
      </w:r>
    </w:p>
    <w:p w14:paraId="2A03AE63" w14:textId="77777777" w:rsidR="00250DCE" w:rsidRPr="00B34FA1" w:rsidRDefault="00250DCE" w:rsidP="00250DCE">
      <w:pPr>
        <w:rPr>
          <w:szCs w:val="24"/>
        </w:rPr>
      </w:pPr>
    </w:p>
    <w:p w14:paraId="6A45DDEF" w14:textId="77777777" w:rsidR="00250DCE" w:rsidRPr="00B34FA1" w:rsidRDefault="00250DCE" w:rsidP="00250DCE">
      <w:pPr>
        <w:rPr>
          <w:szCs w:val="24"/>
        </w:rPr>
      </w:pPr>
    </w:p>
    <w:p w14:paraId="15600F1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2.</w:t>
      </w:r>
      <w:r w:rsidRPr="00B34FA1">
        <w:rPr>
          <w:b/>
          <w:szCs w:val="24"/>
        </w:rPr>
        <w:tab/>
      </w:r>
      <w:r>
        <w:rPr>
          <w:b/>
          <w:caps/>
          <w:noProof/>
          <w:szCs w:val="24"/>
        </w:rPr>
        <w:t>REGISTRUOTOJO</w:t>
      </w:r>
      <w:r w:rsidRPr="00B34FA1">
        <w:rPr>
          <w:b/>
          <w:caps/>
          <w:noProof/>
          <w:szCs w:val="24"/>
        </w:rPr>
        <w:t xml:space="preserve"> pavadinimas</w:t>
      </w:r>
    </w:p>
    <w:p w14:paraId="212FA319" w14:textId="77777777" w:rsidR="00250DCE" w:rsidRPr="00B34FA1" w:rsidRDefault="00250DCE" w:rsidP="00250DCE">
      <w:pPr>
        <w:rPr>
          <w:szCs w:val="24"/>
        </w:rPr>
      </w:pPr>
    </w:p>
    <w:p w14:paraId="3B90C355" w14:textId="77777777" w:rsidR="00250DCE" w:rsidRPr="00B34FA1" w:rsidRDefault="00250DCE" w:rsidP="00250DCE">
      <w:pPr>
        <w:rPr>
          <w:szCs w:val="24"/>
        </w:rPr>
      </w:pPr>
      <w:r w:rsidRPr="00863A6C">
        <w:rPr>
          <w:szCs w:val="24"/>
        </w:rPr>
        <w:t>Teva B.V.</w:t>
      </w:r>
    </w:p>
    <w:p w14:paraId="3BA27822" w14:textId="77777777" w:rsidR="00250DCE" w:rsidRPr="00B34FA1" w:rsidRDefault="00250DCE" w:rsidP="00250DCE">
      <w:pPr>
        <w:rPr>
          <w:szCs w:val="24"/>
        </w:rPr>
      </w:pPr>
      <w:r w:rsidRPr="00B34FA1">
        <w:rPr>
          <w:szCs w:val="24"/>
        </w:rPr>
        <w:t xml:space="preserve"> </w:t>
      </w:r>
    </w:p>
    <w:p w14:paraId="62E78B8A" w14:textId="77777777" w:rsidR="00250DCE" w:rsidRPr="00B34FA1" w:rsidRDefault="00250DCE" w:rsidP="00250DCE">
      <w:pPr>
        <w:rPr>
          <w:szCs w:val="24"/>
        </w:rPr>
      </w:pPr>
    </w:p>
    <w:p w14:paraId="67E10925" w14:textId="77777777" w:rsidR="00250DCE" w:rsidRPr="00B34FA1" w:rsidRDefault="00250DCE" w:rsidP="00250DCE">
      <w:pPr>
        <w:pBdr>
          <w:top w:val="single" w:sz="4" w:space="1" w:color="auto"/>
          <w:left w:val="single" w:sz="4" w:space="4" w:color="auto"/>
          <w:bottom w:val="single" w:sz="4" w:space="2" w:color="auto"/>
          <w:right w:val="single" w:sz="4" w:space="4" w:color="auto"/>
        </w:pBdr>
        <w:spacing w:line="240" w:lineRule="auto"/>
        <w:outlineLvl w:val="0"/>
        <w:rPr>
          <w:b/>
          <w:szCs w:val="24"/>
        </w:rPr>
      </w:pPr>
      <w:r w:rsidRPr="00B34FA1">
        <w:rPr>
          <w:b/>
          <w:szCs w:val="24"/>
        </w:rPr>
        <w:t>3.</w:t>
      </w:r>
      <w:r w:rsidRPr="00B34FA1">
        <w:rPr>
          <w:b/>
          <w:szCs w:val="24"/>
        </w:rPr>
        <w:tab/>
      </w:r>
      <w:r w:rsidRPr="00B34FA1">
        <w:rPr>
          <w:b/>
          <w:noProof/>
          <w:szCs w:val="24"/>
        </w:rPr>
        <w:t>TINKAMUMO LAIKAS</w:t>
      </w:r>
    </w:p>
    <w:p w14:paraId="3F28AC61" w14:textId="77777777" w:rsidR="00250DCE" w:rsidRPr="00B34FA1" w:rsidRDefault="00250DCE" w:rsidP="00250DCE">
      <w:pPr>
        <w:rPr>
          <w:szCs w:val="24"/>
        </w:rPr>
      </w:pPr>
    </w:p>
    <w:p w14:paraId="1669DA36" w14:textId="77777777" w:rsidR="00250DCE" w:rsidRPr="00B34FA1" w:rsidRDefault="00250DCE" w:rsidP="00250DCE">
      <w:r>
        <w:t xml:space="preserve">EXP </w:t>
      </w:r>
      <w:r w:rsidR="00FF1CB9">
        <w:t xml:space="preserve"> mm MMMM</w:t>
      </w:r>
    </w:p>
    <w:p w14:paraId="75E4FC57" w14:textId="77777777" w:rsidR="00250DCE" w:rsidRDefault="00250DCE" w:rsidP="00250DCE"/>
    <w:p w14:paraId="6CB194AE" w14:textId="77777777" w:rsidR="00533C11" w:rsidRPr="00B34FA1" w:rsidRDefault="00533C11" w:rsidP="00250DCE"/>
    <w:p w14:paraId="73A1D9CF" w14:textId="77777777" w:rsidR="00250DCE" w:rsidRPr="00B34FA1" w:rsidRDefault="00250DCE" w:rsidP="00250DCE">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4.</w:t>
      </w:r>
      <w:r w:rsidRPr="00B34FA1">
        <w:rPr>
          <w:b/>
          <w:szCs w:val="24"/>
        </w:rPr>
        <w:tab/>
      </w:r>
      <w:r w:rsidRPr="00B34FA1">
        <w:rPr>
          <w:b/>
          <w:noProof/>
          <w:szCs w:val="24"/>
        </w:rPr>
        <w:t>SERIJOS NUMERIS</w:t>
      </w:r>
    </w:p>
    <w:p w14:paraId="232DCB1E" w14:textId="77777777" w:rsidR="00250DCE" w:rsidRPr="00B34FA1" w:rsidRDefault="00250DCE" w:rsidP="00250DCE"/>
    <w:p w14:paraId="2ED60D8C" w14:textId="77777777" w:rsidR="00250DCE" w:rsidRPr="00B34FA1" w:rsidRDefault="00250DCE" w:rsidP="00250DCE">
      <w:pPr>
        <w:spacing w:line="240" w:lineRule="auto"/>
        <w:outlineLvl w:val="0"/>
        <w:rPr>
          <w:b/>
        </w:rPr>
      </w:pPr>
      <w:r w:rsidRPr="00B34FA1">
        <w:t>Lot</w:t>
      </w:r>
    </w:p>
    <w:p w14:paraId="64D290EB" w14:textId="77777777" w:rsidR="00250DCE" w:rsidRPr="00B34FA1" w:rsidRDefault="00250DCE" w:rsidP="00250DCE">
      <w:pPr>
        <w:rPr>
          <w:szCs w:val="24"/>
        </w:rPr>
      </w:pPr>
    </w:p>
    <w:p w14:paraId="7D0E7823" w14:textId="77777777" w:rsidR="00250DCE" w:rsidRPr="00B34FA1" w:rsidRDefault="00250DCE" w:rsidP="00250DCE">
      <w:pPr>
        <w:rPr>
          <w:szCs w:val="24"/>
        </w:rPr>
      </w:pPr>
    </w:p>
    <w:p w14:paraId="2F23BEB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5.</w:t>
      </w:r>
      <w:r w:rsidRPr="00B34FA1">
        <w:rPr>
          <w:b/>
          <w:szCs w:val="24"/>
        </w:rPr>
        <w:tab/>
      </w:r>
      <w:r w:rsidRPr="00B34FA1">
        <w:rPr>
          <w:b/>
          <w:noProof/>
          <w:szCs w:val="24"/>
        </w:rPr>
        <w:t>KITA</w:t>
      </w:r>
    </w:p>
    <w:p w14:paraId="095850D2" w14:textId="77777777" w:rsidR="00250DCE" w:rsidRDefault="00250DCE" w:rsidP="00250DCE">
      <w:pPr>
        <w:rPr>
          <w:szCs w:val="24"/>
        </w:rPr>
      </w:pPr>
    </w:p>
    <w:p w14:paraId="1C212FB4" w14:textId="77777777" w:rsidR="00250DCE" w:rsidRDefault="00250DCE">
      <w:pPr>
        <w:tabs>
          <w:tab w:val="clear" w:pos="567"/>
        </w:tabs>
        <w:spacing w:after="200" w:line="276" w:lineRule="auto"/>
        <w:rPr>
          <w:szCs w:val="24"/>
        </w:rPr>
      </w:pPr>
      <w:r>
        <w:rPr>
          <w:szCs w:val="24"/>
        </w:rPr>
        <w:br w:type="page"/>
      </w:r>
    </w:p>
    <w:p w14:paraId="402FD4B2"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INFORMACIJA ANT IŠORINĖS</w:t>
      </w:r>
      <w:r w:rsidRPr="00B34FA1">
        <w:rPr>
          <w:b/>
          <w:noProof/>
          <w:szCs w:val="24"/>
        </w:rPr>
        <w:t xml:space="preserve"> PAKUOTĖS</w:t>
      </w:r>
    </w:p>
    <w:p w14:paraId="05FF955F"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91215C9"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KARTONINĖ DĖŽUTĖ BUTELIUKUI</w:t>
      </w:r>
    </w:p>
    <w:p w14:paraId="05DA834F" w14:textId="77777777" w:rsidR="00250DCE" w:rsidRPr="00B34FA1" w:rsidRDefault="00250DCE" w:rsidP="00250DCE">
      <w:pPr>
        <w:rPr>
          <w:szCs w:val="24"/>
        </w:rPr>
      </w:pPr>
    </w:p>
    <w:p w14:paraId="2AEC2586" w14:textId="77777777" w:rsidR="00250DCE" w:rsidRPr="00B34FA1" w:rsidRDefault="00250DCE" w:rsidP="00250DCE">
      <w:pPr>
        <w:rPr>
          <w:szCs w:val="24"/>
        </w:rPr>
      </w:pPr>
    </w:p>
    <w:p w14:paraId="40684585"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1.</w:t>
      </w:r>
      <w:r w:rsidRPr="00B34FA1">
        <w:rPr>
          <w:b/>
          <w:szCs w:val="24"/>
        </w:rPr>
        <w:tab/>
      </w:r>
      <w:r w:rsidRPr="00B34FA1">
        <w:rPr>
          <w:b/>
          <w:caps/>
          <w:noProof/>
          <w:szCs w:val="24"/>
        </w:rPr>
        <w:t>VAISTINIO</w:t>
      </w:r>
      <w:r w:rsidRPr="00B34FA1">
        <w:rPr>
          <w:b/>
          <w:noProof/>
          <w:szCs w:val="24"/>
        </w:rPr>
        <w:t xml:space="preserve"> PREPARATO PAVADINIMAS</w:t>
      </w:r>
    </w:p>
    <w:p w14:paraId="7B3FCFDC" w14:textId="77777777" w:rsidR="00250DCE" w:rsidRPr="00B34FA1" w:rsidRDefault="00250DCE" w:rsidP="00250DCE">
      <w:pPr>
        <w:rPr>
          <w:szCs w:val="24"/>
        </w:rPr>
      </w:pPr>
    </w:p>
    <w:p w14:paraId="5A16353D" w14:textId="77777777" w:rsidR="00250DCE" w:rsidRPr="0062792C" w:rsidRDefault="00250DCE" w:rsidP="00250DCE">
      <w:pPr>
        <w:rPr>
          <w:noProof/>
          <w:szCs w:val="24"/>
        </w:rPr>
      </w:pPr>
      <w:r w:rsidRPr="0062792C">
        <w:rPr>
          <w:noProof/>
          <w:szCs w:val="24"/>
        </w:rPr>
        <w:t>Cinacalcet Teva 30</w:t>
      </w:r>
      <w:r w:rsidR="00533C11">
        <w:rPr>
          <w:noProof/>
          <w:szCs w:val="24"/>
        </w:rPr>
        <w:t> </w:t>
      </w:r>
      <w:r w:rsidRPr="0062792C">
        <w:rPr>
          <w:noProof/>
          <w:szCs w:val="24"/>
        </w:rPr>
        <w:t>mg plėvele dengtos tabletės</w:t>
      </w:r>
    </w:p>
    <w:p w14:paraId="21054AFD" w14:textId="77777777" w:rsidR="00250DCE" w:rsidRPr="007D0562" w:rsidRDefault="00250DCE" w:rsidP="00250DCE">
      <w:pPr>
        <w:rPr>
          <w:highlight w:val="lightGray"/>
        </w:rPr>
      </w:pPr>
      <w:r w:rsidRPr="007D0562">
        <w:rPr>
          <w:highlight w:val="lightGray"/>
        </w:rPr>
        <w:t>Cinacalcet Teva 60</w:t>
      </w:r>
      <w:r w:rsidR="00533C11" w:rsidRPr="007D0562">
        <w:rPr>
          <w:highlight w:val="lightGray"/>
        </w:rPr>
        <w:t> </w:t>
      </w:r>
      <w:r w:rsidRPr="007D0562">
        <w:rPr>
          <w:highlight w:val="lightGray"/>
        </w:rPr>
        <w:t>mg plėvele dengtos tabletės</w:t>
      </w:r>
    </w:p>
    <w:p w14:paraId="631A9FFA" w14:textId="77777777" w:rsidR="00250DCE" w:rsidRPr="0062792C" w:rsidRDefault="00250DCE" w:rsidP="00250DCE">
      <w:pPr>
        <w:rPr>
          <w:noProof/>
          <w:szCs w:val="24"/>
        </w:rPr>
      </w:pPr>
      <w:r w:rsidRPr="007D0562">
        <w:rPr>
          <w:highlight w:val="lightGray"/>
        </w:rPr>
        <w:t>Cinacalcet Teva 90</w:t>
      </w:r>
      <w:r w:rsidR="00533C11" w:rsidRPr="007D0562">
        <w:rPr>
          <w:highlight w:val="lightGray"/>
        </w:rPr>
        <w:t> </w:t>
      </w:r>
      <w:r w:rsidRPr="007D0562">
        <w:rPr>
          <w:highlight w:val="lightGray"/>
        </w:rPr>
        <w:t>mg plėvele dengtos tabletės</w:t>
      </w:r>
    </w:p>
    <w:p w14:paraId="0F783262" w14:textId="77777777" w:rsidR="00250DCE" w:rsidRPr="00B34FA1" w:rsidRDefault="008E66BB" w:rsidP="00250DCE">
      <w:pPr>
        <w:rPr>
          <w:szCs w:val="24"/>
        </w:rPr>
      </w:pPr>
      <w:r>
        <w:rPr>
          <w:noProof/>
          <w:szCs w:val="24"/>
        </w:rPr>
        <w:t>c</w:t>
      </w:r>
      <w:r w:rsidRPr="0062792C">
        <w:rPr>
          <w:noProof/>
          <w:szCs w:val="24"/>
        </w:rPr>
        <w:t>ina</w:t>
      </w:r>
      <w:r>
        <w:rPr>
          <w:noProof/>
          <w:szCs w:val="24"/>
        </w:rPr>
        <w:t>calcetum</w:t>
      </w:r>
    </w:p>
    <w:p w14:paraId="1131970C" w14:textId="77777777" w:rsidR="00250DCE" w:rsidRPr="00B34FA1" w:rsidRDefault="00250DCE" w:rsidP="00250DCE">
      <w:pPr>
        <w:rPr>
          <w:szCs w:val="24"/>
        </w:rPr>
      </w:pPr>
    </w:p>
    <w:p w14:paraId="367C58BD" w14:textId="77777777" w:rsidR="00250DCE" w:rsidRPr="00B34FA1" w:rsidRDefault="00250DCE" w:rsidP="00250DCE">
      <w:pPr>
        <w:rPr>
          <w:szCs w:val="24"/>
        </w:rPr>
      </w:pPr>
    </w:p>
    <w:p w14:paraId="5B651909"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14:paraId="507E47F5" w14:textId="77777777" w:rsidR="00250DCE" w:rsidRPr="00B34FA1" w:rsidRDefault="00250DCE" w:rsidP="00250DCE">
      <w:pPr>
        <w:rPr>
          <w:szCs w:val="24"/>
        </w:rPr>
      </w:pPr>
    </w:p>
    <w:p w14:paraId="179B6C1B" w14:textId="77777777" w:rsidR="00250DCE" w:rsidRDefault="00533C11" w:rsidP="00250DCE">
      <w:pPr>
        <w:rPr>
          <w:noProof/>
          <w:szCs w:val="24"/>
        </w:rPr>
      </w:pPr>
      <w:r>
        <w:rPr>
          <w:noProof/>
          <w:szCs w:val="24"/>
        </w:rPr>
        <w:t>Kiek</w:t>
      </w:r>
      <w:r w:rsidRPr="0062792C">
        <w:rPr>
          <w:noProof/>
          <w:szCs w:val="24"/>
        </w:rPr>
        <w:t xml:space="preserve">vienoje </w:t>
      </w:r>
      <w:r w:rsidR="00250DCE" w:rsidRPr="0062792C">
        <w:rPr>
          <w:noProof/>
          <w:szCs w:val="24"/>
        </w:rPr>
        <w:t>t</w:t>
      </w:r>
      <w:r w:rsidR="00250DCE">
        <w:rPr>
          <w:noProof/>
          <w:szCs w:val="24"/>
        </w:rPr>
        <w:t>abletėje yra 30</w:t>
      </w:r>
      <w:r>
        <w:rPr>
          <w:noProof/>
          <w:szCs w:val="24"/>
        </w:rPr>
        <w:t> </w:t>
      </w:r>
      <w:r w:rsidR="00250DCE">
        <w:rPr>
          <w:noProof/>
          <w:szCs w:val="24"/>
        </w:rPr>
        <w:t xml:space="preserve">mg </w:t>
      </w:r>
      <w:r w:rsidR="00250DCE" w:rsidRPr="0062792C">
        <w:rPr>
          <w:noProof/>
          <w:szCs w:val="24"/>
        </w:rPr>
        <w:t>cinakalceto (hidrochlorido pavidalu).</w:t>
      </w:r>
    </w:p>
    <w:p w14:paraId="408F0314" w14:textId="77777777" w:rsidR="00250DCE" w:rsidRPr="007D0562" w:rsidRDefault="00533C11" w:rsidP="00250DCE">
      <w:pPr>
        <w:rPr>
          <w:highlight w:val="lightGray"/>
        </w:rPr>
      </w:pPr>
      <w:r w:rsidRPr="007D0562">
        <w:rPr>
          <w:highlight w:val="lightGray"/>
        </w:rPr>
        <w:t xml:space="preserve">Kiekvienoje </w:t>
      </w:r>
      <w:r w:rsidR="00250DCE" w:rsidRPr="007D0562">
        <w:rPr>
          <w:highlight w:val="lightGray"/>
        </w:rPr>
        <w:t>tabletėje yra 60</w:t>
      </w:r>
      <w:r w:rsidRPr="007D0562">
        <w:rPr>
          <w:highlight w:val="lightGray"/>
        </w:rPr>
        <w:t> </w:t>
      </w:r>
      <w:r w:rsidR="00250DCE" w:rsidRPr="007D0562">
        <w:rPr>
          <w:highlight w:val="lightGray"/>
        </w:rPr>
        <w:t>mg cinakalceto (hidrochlorido pavidalu).</w:t>
      </w:r>
    </w:p>
    <w:p w14:paraId="4975E3BE" w14:textId="77777777" w:rsidR="00250DCE" w:rsidRPr="0062792C" w:rsidRDefault="00533C11" w:rsidP="00250DCE">
      <w:pPr>
        <w:rPr>
          <w:noProof/>
          <w:szCs w:val="24"/>
        </w:rPr>
      </w:pPr>
      <w:r w:rsidRPr="007D0562">
        <w:rPr>
          <w:highlight w:val="lightGray"/>
        </w:rPr>
        <w:t xml:space="preserve">Kiekvienoje </w:t>
      </w:r>
      <w:r w:rsidR="00250DCE" w:rsidRPr="007D0562">
        <w:rPr>
          <w:highlight w:val="lightGray"/>
        </w:rPr>
        <w:t>tabletėje yra 90</w:t>
      </w:r>
      <w:r w:rsidRPr="007D0562">
        <w:rPr>
          <w:highlight w:val="lightGray"/>
        </w:rPr>
        <w:t> </w:t>
      </w:r>
      <w:r w:rsidR="00250DCE" w:rsidRPr="007D0562">
        <w:rPr>
          <w:highlight w:val="lightGray"/>
        </w:rPr>
        <w:t>mg cinakalceto (hidrochlorido pavidalu).</w:t>
      </w:r>
    </w:p>
    <w:p w14:paraId="4AAEC2D2" w14:textId="77777777" w:rsidR="00250DCE" w:rsidRPr="00B34FA1" w:rsidRDefault="00250DCE" w:rsidP="00250DCE">
      <w:pPr>
        <w:rPr>
          <w:szCs w:val="24"/>
        </w:rPr>
      </w:pPr>
    </w:p>
    <w:p w14:paraId="2D74C11D" w14:textId="77777777" w:rsidR="00250DCE" w:rsidRPr="00B34FA1" w:rsidRDefault="00250DCE" w:rsidP="00250DCE">
      <w:pPr>
        <w:rPr>
          <w:szCs w:val="24"/>
        </w:rPr>
      </w:pPr>
    </w:p>
    <w:p w14:paraId="732152AB"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3.</w:t>
      </w:r>
      <w:r w:rsidRPr="00B34FA1">
        <w:rPr>
          <w:b/>
          <w:szCs w:val="24"/>
        </w:rPr>
        <w:tab/>
      </w:r>
      <w:r w:rsidRPr="00B34FA1">
        <w:rPr>
          <w:b/>
          <w:noProof/>
          <w:szCs w:val="24"/>
        </w:rPr>
        <w:t>PAGALBINIŲ MEDŽIAGŲ SĄRAŠAS</w:t>
      </w:r>
    </w:p>
    <w:p w14:paraId="606D61DB" w14:textId="77777777" w:rsidR="00250DCE" w:rsidRPr="00B34FA1" w:rsidRDefault="00250DCE" w:rsidP="00250DCE">
      <w:pPr>
        <w:rPr>
          <w:szCs w:val="24"/>
        </w:rPr>
      </w:pPr>
    </w:p>
    <w:p w14:paraId="5F4FF296" w14:textId="77777777" w:rsidR="00250DCE" w:rsidRPr="00B34FA1" w:rsidRDefault="00250DCE" w:rsidP="00250DCE">
      <w:pPr>
        <w:rPr>
          <w:szCs w:val="24"/>
        </w:rPr>
      </w:pPr>
    </w:p>
    <w:p w14:paraId="191A5124"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4.</w:t>
      </w:r>
      <w:r w:rsidRPr="00B34FA1">
        <w:rPr>
          <w:b/>
          <w:szCs w:val="24"/>
        </w:rPr>
        <w:tab/>
      </w:r>
      <w:r w:rsidRPr="00B34FA1">
        <w:rPr>
          <w:b/>
          <w:noProof/>
          <w:szCs w:val="24"/>
        </w:rPr>
        <w:t>FARMACINĖ FORMA IR KIEKIS PAKUOTĖJE</w:t>
      </w:r>
    </w:p>
    <w:p w14:paraId="21A79418" w14:textId="77777777" w:rsidR="00250DCE" w:rsidRPr="00B34FA1" w:rsidRDefault="00250DCE" w:rsidP="00250DCE">
      <w:pPr>
        <w:rPr>
          <w:szCs w:val="24"/>
        </w:rPr>
      </w:pPr>
    </w:p>
    <w:p w14:paraId="34E9112B" w14:textId="77777777" w:rsidR="00250DCE" w:rsidRDefault="00250DCE" w:rsidP="00250DCE">
      <w:pPr>
        <w:rPr>
          <w:szCs w:val="24"/>
        </w:rPr>
      </w:pPr>
      <w:r w:rsidRPr="007D0562">
        <w:rPr>
          <w:highlight w:val="lightGray"/>
        </w:rPr>
        <w:t>Plėvele dengta tabletė</w:t>
      </w:r>
    </w:p>
    <w:p w14:paraId="6C447E27" w14:textId="77777777" w:rsidR="00250DCE" w:rsidRDefault="00250DCE" w:rsidP="00250DCE">
      <w:pPr>
        <w:rPr>
          <w:szCs w:val="24"/>
        </w:rPr>
      </w:pPr>
    </w:p>
    <w:p w14:paraId="1AA88EB6" w14:textId="77777777" w:rsidR="00250DCE" w:rsidRDefault="00250DCE" w:rsidP="00250DCE">
      <w:pPr>
        <w:rPr>
          <w:szCs w:val="24"/>
        </w:rPr>
      </w:pPr>
      <w:r>
        <w:rPr>
          <w:szCs w:val="24"/>
        </w:rPr>
        <w:t>30 tablečių</w:t>
      </w:r>
    </w:p>
    <w:p w14:paraId="4F77AF5D" w14:textId="77777777" w:rsidR="00250DCE" w:rsidRDefault="00250DCE" w:rsidP="00250DCE">
      <w:pPr>
        <w:rPr>
          <w:szCs w:val="24"/>
        </w:rPr>
      </w:pPr>
    </w:p>
    <w:p w14:paraId="3D8F550F" w14:textId="77777777" w:rsidR="00533C11" w:rsidRPr="00B34FA1" w:rsidRDefault="00533C11" w:rsidP="00250DCE">
      <w:pPr>
        <w:rPr>
          <w:szCs w:val="24"/>
        </w:rPr>
      </w:pPr>
    </w:p>
    <w:p w14:paraId="3EBEE4DC"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14:paraId="3C5E9F8B" w14:textId="77777777" w:rsidR="00250DCE" w:rsidRPr="00B34FA1" w:rsidRDefault="00250DCE" w:rsidP="00250DCE">
      <w:pPr>
        <w:rPr>
          <w:szCs w:val="24"/>
        </w:rPr>
      </w:pPr>
    </w:p>
    <w:p w14:paraId="151B6640" w14:textId="77777777" w:rsidR="00250DCE" w:rsidRPr="00B34FA1" w:rsidRDefault="00250DCE" w:rsidP="00250DCE">
      <w:pPr>
        <w:rPr>
          <w:szCs w:val="24"/>
        </w:rPr>
      </w:pPr>
      <w:r w:rsidRPr="00B34FA1">
        <w:rPr>
          <w:noProof/>
          <w:szCs w:val="24"/>
        </w:rPr>
        <w:t>Prieš vartojimą perskaitykite pakuotės lapelį.</w:t>
      </w:r>
    </w:p>
    <w:p w14:paraId="572E550E" w14:textId="77777777" w:rsidR="00250DCE" w:rsidRPr="00B34FA1" w:rsidRDefault="00250DCE" w:rsidP="00250DCE">
      <w:pPr>
        <w:rPr>
          <w:szCs w:val="24"/>
        </w:rPr>
      </w:pPr>
      <w:r>
        <w:rPr>
          <w:szCs w:val="24"/>
        </w:rPr>
        <w:t>Vartoti per burną</w:t>
      </w:r>
      <w:r w:rsidR="00237517">
        <w:rPr>
          <w:szCs w:val="24"/>
        </w:rPr>
        <w:t>.</w:t>
      </w:r>
    </w:p>
    <w:p w14:paraId="2781CF95" w14:textId="77777777" w:rsidR="00250DCE" w:rsidRDefault="00250DCE" w:rsidP="00250DCE">
      <w:pPr>
        <w:rPr>
          <w:szCs w:val="24"/>
        </w:rPr>
      </w:pPr>
    </w:p>
    <w:p w14:paraId="3A054445" w14:textId="77777777" w:rsidR="00533C11" w:rsidRPr="00B34FA1" w:rsidRDefault="00533C11" w:rsidP="00250DCE">
      <w:pPr>
        <w:rPr>
          <w:szCs w:val="24"/>
        </w:rPr>
      </w:pPr>
    </w:p>
    <w:p w14:paraId="7718ED4B"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6.</w:t>
      </w:r>
      <w:r w:rsidRPr="00B34FA1">
        <w:rPr>
          <w:b/>
          <w:szCs w:val="24"/>
        </w:rPr>
        <w:tab/>
      </w:r>
      <w:r w:rsidRPr="00B34FA1">
        <w:rPr>
          <w:b/>
          <w:noProof/>
          <w:szCs w:val="24"/>
        </w:rPr>
        <w:t>SPECIALUS ĮSPĖJIMAS, KAD VAISTINĮ PREPARATĄ BŪTINA LAIKYTI VAIKAMS NEPASTEBIMOJE IR  NEPASIEKIAMOJE VIETOJE</w:t>
      </w:r>
    </w:p>
    <w:p w14:paraId="12545B79" w14:textId="77777777" w:rsidR="00250DCE" w:rsidRPr="00B34FA1" w:rsidRDefault="00250DCE" w:rsidP="00250DCE">
      <w:pPr>
        <w:rPr>
          <w:szCs w:val="24"/>
        </w:rPr>
      </w:pPr>
    </w:p>
    <w:p w14:paraId="4945E2EF" w14:textId="77777777" w:rsidR="00250DCE" w:rsidRPr="00B34FA1" w:rsidRDefault="00250DCE" w:rsidP="00250DCE">
      <w:pPr>
        <w:rPr>
          <w:szCs w:val="24"/>
        </w:rPr>
      </w:pPr>
      <w:r w:rsidRPr="00B34FA1">
        <w:rPr>
          <w:noProof/>
          <w:szCs w:val="24"/>
        </w:rPr>
        <w:t>Laikyti vaikams nepastebimoje ir nepasiekiamoje vietoje.</w:t>
      </w:r>
    </w:p>
    <w:p w14:paraId="191FCA96" w14:textId="77777777" w:rsidR="00250DCE" w:rsidRPr="00B34FA1" w:rsidRDefault="00250DCE" w:rsidP="00250DCE">
      <w:pPr>
        <w:rPr>
          <w:szCs w:val="24"/>
        </w:rPr>
      </w:pPr>
    </w:p>
    <w:p w14:paraId="73AB9536" w14:textId="77777777" w:rsidR="00250DCE" w:rsidRPr="00B34FA1" w:rsidRDefault="00250DCE" w:rsidP="00250DCE">
      <w:pPr>
        <w:rPr>
          <w:szCs w:val="24"/>
        </w:rPr>
      </w:pPr>
    </w:p>
    <w:p w14:paraId="188825B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14:paraId="3A1BA2F1" w14:textId="77777777" w:rsidR="00250DCE" w:rsidRPr="00B34FA1" w:rsidRDefault="00250DCE" w:rsidP="00250DCE">
      <w:pPr>
        <w:rPr>
          <w:szCs w:val="24"/>
        </w:rPr>
      </w:pPr>
    </w:p>
    <w:p w14:paraId="5146B9A3" w14:textId="77777777" w:rsidR="00250DCE" w:rsidRPr="00B34FA1" w:rsidRDefault="00250DCE" w:rsidP="00250DCE">
      <w:pPr>
        <w:rPr>
          <w:szCs w:val="24"/>
        </w:rPr>
      </w:pPr>
    </w:p>
    <w:p w14:paraId="214C8400"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8.</w:t>
      </w:r>
      <w:r w:rsidRPr="00B34FA1">
        <w:rPr>
          <w:b/>
          <w:szCs w:val="24"/>
        </w:rPr>
        <w:tab/>
      </w:r>
      <w:r w:rsidRPr="00B34FA1">
        <w:rPr>
          <w:b/>
          <w:noProof/>
          <w:szCs w:val="24"/>
        </w:rPr>
        <w:t>TINKAMUMO LAIKAS</w:t>
      </w:r>
    </w:p>
    <w:p w14:paraId="0F70A90D" w14:textId="77777777" w:rsidR="00250DCE" w:rsidRPr="00B34FA1" w:rsidRDefault="00250DCE" w:rsidP="00250DCE">
      <w:pPr>
        <w:rPr>
          <w:szCs w:val="24"/>
        </w:rPr>
      </w:pPr>
    </w:p>
    <w:p w14:paraId="02B9CD5F" w14:textId="3731FE55" w:rsidR="00250DCE" w:rsidRPr="00B34FA1" w:rsidRDefault="008327F8" w:rsidP="00250DCE">
      <w:r>
        <w:t>EXP</w:t>
      </w:r>
      <w:r w:rsidR="00F87429">
        <w:t xml:space="preserve"> </w:t>
      </w:r>
      <w:r w:rsidR="00FF1CB9">
        <w:t>mm MMMM</w:t>
      </w:r>
    </w:p>
    <w:p w14:paraId="2D086564" w14:textId="77777777" w:rsidR="00250DCE" w:rsidRPr="00B34FA1" w:rsidRDefault="00250DCE" w:rsidP="00250DCE">
      <w:pPr>
        <w:rPr>
          <w:szCs w:val="24"/>
        </w:rPr>
      </w:pPr>
    </w:p>
    <w:p w14:paraId="362689CB" w14:textId="77777777" w:rsidR="00250DCE" w:rsidRPr="00B34FA1" w:rsidRDefault="00250DCE" w:rsidP="00250DC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9.</w:t>
      </w:r>
      <w:r w:rsidRPr="00B34FA1">
        <w:rPr>
          <w:b/>
          <w:szCs w:val="24"/>
        </w:rPr>
        <w:tab/>
      </w:r>
      <w:r w:rsidRPr="00B34FA1">
        <w:rPr>
          <w:b/>
          <w:noProof/>
          <w:szCs w:val="24"/>
        </w:rPr>
        <w:t>SPECIALIOS LAIKYMO SĄLYGOS</w:t>
      </w:r>
    </w:p>
    <w:p w14:paraId="7F8100C4" w14:textId="77777777" w:rsidR="00250DCE" w:rsidRPr="00B34FA1" w:rsidRDefault="00250DCE" w:rsidP="00250DCE">
      <w:pPr>
        <w:rPr>
          <w:szCs w:val="24"/>
        </w:rPr>
      </w:pPr>
    </w:p>
    <w:p w14:paraId="13075F1C" w14:textId="77777777" w:rsidR="00250DCE" w:rsidRPr="00B34FA1" w:rsidRDefault="00250DCE" w:rsidP="00250DCE">
      <w:pPr>
        <w:rPr>
          <w:szCs w:val="24"/>
        </w:rPr>
      </w:pPr>
    </w:p>
    <w:p w14:paraId="1CD86B0C"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10.</w:t>
      </w:r>
      <w:r w:rsidRPr="00B34FA1">
        <w:rPr>
          <w:b/>
          <w:szCs w:val="24"/>
        </w:rPr>
        <w:tab/>
      </w:r>
      <w:r w:rsidRPr="00B34FA1">
        <w:rPr>
          <w:b/>
          <w:noProof/>
          <w:szCs w:val="24"/>
        </w:rPr>
        <w:t>SPECIALIOS ATSARGUMO PRIEMONĖS DĖL NESUVARTOTO VAISTINIO PREPARATO AR JO ATLIEKŲ TVARKYMO (JEI REIKIA)</w:t>
      </w:r>
    </w:p>
    <w:p w14:paraId="358F75D7" w14:textId="77777777" w:rsidR="00250DCE" w:rsidRPr="00B34FA1" w:rsidRDefault="00250DCE" w:rsidP="00250DCE">
      <w:pPr>
        <w:rPr>
          <w:szCs w:val="24"/>
        </w:rPr>
      </w:pPr>
    </w:p>
    <w:p w14:paraId="5BA881B6" w14:textId="77777777" w:rsidR="00250DCE" w:rsidRPr="00B34FA1" w:rsidRDefault="00250DCE" w:rsidP="00250DCE">
      <w:pPr>
        <w:rPr>
          <w:szCs w:val="24"/>
        </w:rPr>
      </w:pPr>
    </w:p>
    <w:p w14:paraId="6A84FD54"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11.</w:t>
      </w:r>
      <w:r w:rsidRPr="00B34FA1">
        <w:rPr>
          <w:b/>
          <w:szCs w:val="24"/>
        </w:rPr>
        <w:tab/>
      </w:r>
      <w:r>
        <w:rPr>
          <w:b/>
          <w:caps/>
          <w:noProof/>
          <w:szCs w:val="24"/>
        </w:rPr>
        <w:t xml:space="preserve"> REGISTRUOTOJO</w:t>
      </w:r>
      <w:r w:rsidRPr="00B34FA1">
        <w:rPr>
          <w:b/>
          <w:caps/>
          <w:noProof/>
          <w:szCs w:val="24"/>
        </w:rPr>
        <w:t xml:space="preserve"> PAVADINIMAS IR ADRESAS</w:t>
      </w:r>
    </w:p>
    <w:p w14:paraId="0AF77408" w14:textId="77777777" w:rsidR="00250DCE" w:rsidRPr="00B34FA1" w:rsidRDefault="00250DCE" w:rsidP="00250DCE">
      <w:pPr>
        <w:rPr>
          <w:szCs w:val="24"/>
        </w:rPr>
      </w:pPr>
    </w:p>
    <w:p w14:paraId="522B1BB1" w14:textId="77777777" w:rsidR="00250DCE" w:rsidRPr="0062792C" w:rsidRDefault="00250DCE" w:rsidP="00250DCE">
      <w:pPr>
        <w:rPr>
          <w:szCs w:val="24"/>
        </w:rPr>
      </w:pPr>
      <w:r w:rsidRPr="0062792C">
        <w:rPr>
          <w:szCs w:val="24"/>
        </w:rPr>
        <w:t>Teva B.V.</w:t>
      </w:r>
    </w:p>
    <w:p w14:paraId="5AD22566" w14:textId="77777777" w:rsidR="00250DCE" w:rsidRPr="0062792C" w:rsidRDefault="00250DCE" w:rsidP="00250DCE">
      <w:pPr>
        <w:rPr>
          <w:szCs w:val="24"/>
        </w:rPr>
      </w:pPr>
      <w:r w:rsidRPr="0062792C">
        <w:rPr>
          <w:szCs w:val="24"/>
        </w:rPr>
        <w:t>Swensweg 5</w:t>
      </w:r>
    </w:p>
    <w:p w14:paraId="4AF19A90" w14:textId="77777777" w:rsidR="00250DCE" w:rsidRPr="0062792C" w:rsidRDefault="00250DCE" w:rsidP="00250DCE">
      <w:pPr>
        <w:rPr>
          <w:szCs w:val="24"/>
        </w:rPr>
      </w:pPr>
      <w:r w:rsidRPr="0062792C">
        <w:rPr>
          <w:szCs w:val="24"/>
        </w:rPr>
        <w:t>2031 GA Haarlem</w:t>
      </w:r>
    </w:p>
    <w:p w14:paraId="31C35E5B" w14:textId="77777777" w:rsidR="00250DCE" w:rsidRPr="00B34FA1" w:rsidRDefault="00250DCE" w:rsidP="00250DCE">
      <w:pPr>
        <w:rPr>
          <w:szCs w:val="24"/>
        </w:rPr>
      </w:pPr>
      <w:r w:rsidRPr="0062792C">
        <w:rPr>
          <w:szCs w:val="24"/>
        </w:rPr>
        <w:t>Nyderlandai</w:t>
      </w:r>
    </w:p>
    <w:p w14:paraId="2F078CF2" w14:textId="77777777" w:rsidR="00250DCE" w:rsidRPr="00B34FA1" w:rsidRDefault="00250DCE" w:rsidP="00250DCE">
      <w:pPr>
        <w:rPr>
          <w:szCs w:val="24"/>
        </w:rPr>
      </w:pPr>
    </w:p>
    <w:p w14:paraId="4FB6E91E" w14:textId="77777777" w:rsidR="00250DCE" w:rsidRPr="00B34FA1" w:rsidRDefault="00250DCE" w:rsidP="00250DCE">
      <w:pPr>
        <w:rPr>
          <w:szCs w:val="24"/>
        </w:rPr>
      </w:pPr>
    </w:p>
    <w:p w14:paraId="371A0F7F"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12.</w:t>
      </w:r>
      <w:r w:rsidRPr="00B34FA1">
        <w:rPr>
          <w:b/>
          <w:szCs w:val="24"/>
        </w:rPr>
        <w:tab/>
      </w:r>
      <w:r>
        <w:rPr>
          <w:b/>
          <w:noProof/>
          <w:szCs w:val="24"/>
        </w:rPr>
        <w:t xml:space="preserve">REGISTRACIJOS </w:t>
      </w:r>
      <w:r w:rsidRPr="00B34FA1">
        <w:rPr>
          <w:b/>
          <w:noProof/>
          <w:szCs w:val="24"/>
        </w:rPr>
        <w:t>PAŽYMĖJIMO NUMERIS (-IAI)</w:t>
      </w:r>
      <w:r w:rsidRPr="00B34FA1">
        <w:rPr>
          <w:b/>
          <w:szCs w:val="24"/>
        </w:rPr>
        <w:t xml:space="preserve"> </w:t>
      </w:r>
    </w:p>
    <w:p w14:paraId="7DD14EAE" w14:textId="77777777" w:rsidR="00250DCE" w:rsidRPr="00B34FA1" w:rsidRDefault="00250DCE" w:rsidP="00250DCE">
      <w:pPr>
        <w:rPr>
          <w:szCs w:val="24"/>
        </w:rPr>
      </w:pPr>
    </w:p>
    <w:p w14:paraId="61C4575B" w14:textId="72DF90D2" w:rsidR="003326B0" w:rsidRDefault="003326B0" w:rsidP="003326B0">
      <w:pPr>
        <w:tabs>
          <w:tab w:val="clear" w:pos="567"/>
        </w:tabs>
        <w:spacing w:line="240" w:lineRule="auto"/>
        <w:rPr>
          <w:szCs w:val="24"/>
        </w:rPr>
      </w:pPr>
      <w:r w:rsidRPr="00D76258">
        <w:rPr>
          <w:szCs w:val="24"/>
          <w:highlight w:val="lightGray"/>
        </w:rPr>
        <w:t>30 mg</w:t>
      </w:r>
    </w:p>
    <w:p w14:paraId="4458187F" w14:textId="73C95145" w:rsidR="003326B0" w:rsidRPr="003326B0" w:rsidRDefault="003326B0" w:rsidP="003326B0">
      <w:pPr>
        <w:tabs>
          <w:tab w:val="clear" w:pos="567"/>
        </w:tabs>
        <w:spacing w:line="240" w:lineRule="auto"/>
        <w:rPr>
          <w:bCs/>
          <w:snapToGrid/>
          <w:szCs w:val="24"/>
        </w:rPr>
      </w:pPr>
      <w:r w:rsidRPr="003326B0">
        <w:rPr>
          <w:bCs/>
          <w:snapToGrid/>
          <w:szCs w:val="24"/>
        </w:rPr>
        <w:t xml:space="preserve">LT/1/16/3871/009 </w:t>
      </w:r>
      <w:r w:rsidR="00774653" w:rsidRPr="00D76258">
        <w:rPr>
          <w:bCs/>
          <w:snapToGrid/>
          <w:szCs w:val="24"/>
          <w:highlight w:val="lightGray"/>
        </w:rPr>
        <w:t xml:space="preserve">– </w:t>
      </w:r>
      <w:r w:rsidR="00774653" w:rsidRPr="00D76258">
        <w:rPr>
          <w:bCs/>
          <w:snapToGrid/>
          <w:szCs w:val="24"/>
          <w:highlight w:val="lightGray"/>
        </w:rPr>
        <w:t>N30</w:t>
      </w:r>
    </w:p>
    <w:p w14:paraId="4D716D96" w14:textId="6F9808A6" w:rsidR="003326B0" w:rsidRPr="00D76258" w:rsidRDefault="003326B0" w:rsidP="003326B0">
      <w:pPr>
        <w:tabs>
          <w:tab w:val="clear" w:pos="567"/>
        </w:tabs>
        <w:spacing w:line="240" w:lineRule="auto"/>
        <w:rPr>
          <w:bCs/>
          <w:snapToGrid/>
          <w:szCs w:val="24"/>
        </w:rPr>
      </w:pPr>
      <w:r w:rsidRPr="00D76258">
        <w:rPr>
          <w:bCs/>
          <w:snapToGrid/>
          <w:szCs w:val="24"/>
          <w:highlight w:val="lightGray"/>
        </w:rPr>
        <w:t>60 mg</w:t>
      </w:r>
    </w:p>
    <w:p w14:paraId="1385E4B8" w14:textId="2953C8B3" w:rsidR="003326B0" w:rsidRPr="003326B0" w:rsidRDefault="003326B0" w:rsidP="003326B0">
      <w:pPr>
        <w:tabs>
          <w:tab w:val="clear" w:pos="567"/>
        </w:tabs>
        <w:spacing w:line="240" w:lineRule="auto"/>
        <w:rPr>
          <w:bCs/>
          <w:snapToGrid/>
          <w:szCs w:val="24"/>
        </w:rPr>
      </w:pPr>
      <w:r w:rsidRPr="003326B0">
        <w:rPr>
          <w:bCs/>
          <w:snapToGrid/>
          <w:szCs w:val="24"/>
        </w:rPr>
        <w:t>LT/1/16/</w:t>
      </w:r>
      <w:r>
        <w:rPr>
          <w:bCs/>
          <w:snapToGrid/>
          <w:szCs w:val="24"/>
        </w:rPr>
        <w:t>3871/018</w:t>
      </w:r>
      <w:r w:rsidR="00774653">
        <w:rPr>
          <w:bCs/>
          <w:snapToGrid/>
          <w:szCs w:val="24"/>
        </w:rPr>
        <w:t xml:space="preserve"> </w:t>
      </w:r>
      <w:r w:rsidR="00774653" w:rsidRPr="00D76258">
        <w:rPr>
          <w:bCs/>
          <w:snapToGrid/>
          <w:szCs w:val="24"/>
          <w:highlight w:val="lightGray"/>
        </w:rPr>
        <w:t>– N30</w:t>
      </w:r>
    </w:p>
    <w:p w14:paraId="3F6F8C7C" w14:textId="5621861F" w:rsidR="003326B0" w:rsidRDefault="003326B0" w:rsidP="003326B0">
      <w:pPr>
        <w:tabs>
          <w:tab w:val="clear" w:pos="567"/>
        </w:tabs>
        <w:spacing w:line="240" w:lineRule="auto"/>
        <w:rPr>
          <w:szCs w:val="24"/>
        </w:rPr>
      </w:pPr>
      <w:r w:rsidRPr="00D76258">
        <w:rPr>
          <w:szCs w:val="24"/>
          <w:highlight w:val="lightGray"/>
        </w:rPr>
        <w:t>90 mg</w:t>
      </w:r>
    </w:p>
    <w:p w14:paraId="356D3B60" w14:textId="34F86CB6" w:rsidR="003326B0" w:rsidRPr="003326B0" w:rsidRDefault="003326B0" w:rsidP="003326B0">
      <w:pPr>
        <w:tabs>
          <w:tab w:val="clear" w:pos="567"/>
        </w:tabs>
        <w:spacing w:line="240" w:lineRule="auto"/>
        <w:rPr>
          <w:bCs/>
          <w:snapToGrid/>
          <w:szCs w:val="24"/>
        </w:rPr>
      </w:pPr>
      <w:r w:rsidRPr="003326B0">
        <w:rPr>
          <w:bCs/>
          <w:snapToGrid/>
          <w:szCs w:val="24"/>
        </w:rPr>
        <w:t>LT/1/16/</w:t>
      </w:r>
      <w:r>
        <w:rPr>
          <w:bCs/>
          <w:snapToGrid/>
          <w:szCs w:val="24"/>
        </w:rPr>
        <w:t>3871/027</w:t>
      </w:r>
      <w:r w:rsidR="00774653">
        <w:rPr>
          <w:bCs/>
          <w:snapToGrid/>
          <w:szCs w:val="24"/>
        </w:rPr>
        <w:t xml:space="preserve"> </w:t>
      </w:r>
      <w:r w:rsidR="00774653" w:rsidRPr="00D76258">
        <w:rPr>
          <w:bCs/>
          <w:snapToGrid/>
          <w:szCs w:val="24"/>
          <w:highlight w:val="lightGray"/>
        </w:rPr>
        <w:t>– N30</w:t>
      </w:r>
    </w:p>
    <w:p w14:paraId="3A8BB2E8" w14:textId="77777777" w:rsidR="00250DCE" w:rsidRPr="00B34FA1" w:rsidRDefault="00250DCE" w:rsidP="00250DCE">
      <w:pPr>
        <w:rPr>
          <w:szCs w:val="24"/>
        </w:rPr>
      </w:pPr>
    </w:p>
    <w:p w14:paraId="1C5B50BD" w14:textId="77777777" w:rsidR="00250DCE" w:rsidRPr="00B34FA1" w:rsidRDefault="00250DCE" w:rsidP="00250DCE">
      <w:pPr>
        <w:rPr>
          <w:szCs w:val="24"/>
        </w:rPr>
      </w:pPr>
    </w:p>
    <w:p w14:paraId="7635300F"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13.</w:t>
      </w:r>
      <w:r w:rsidRPr="00B34FA1">
        <w:rPr>
          <w:b/>
          <w:szCs w:val="24"/>
        </w:rPr>
        <w:tab/>
      </w:r>
      <w:r w:rsidRPr="00B34FA1">
        <w:rPr>
          <w:b/>
          <w:noProof/>
          <w:szCs w:val="24"/>
        </w:rPr>
        <w:t xml:space="preserve">SERIJOS NUMERIS </w:t>
      </w:r>
    </w:p>
    <w:p w14:paraId="7181A1A3" w14:textId="77777777" w:rsidR="00250DCE" w:rsidRPr="00B34FA1" w:rsidRDefault="00250DCE" w:rsidP="00250DCE"/>
    <w:p w14:paraId="767F6883" w14:textId="001F74CA" w:rsidR="00250DCE" w:rsidRPr="00B34FA1" w:rsidRDefault="008327F8" w:rsidP="00250DCE">
      <w:r>
        <w:t>Lot</w:t>
      </w:r>
    </w:p>
    <w:p w14:paraId="10D96BD2" w14:textId="77777777" w:rsidR="00250DCE" w:rsidRPr="00B34FA1" w:rsidRDefault="00250DCE" w:rsidP="00250DCE">
      <w:pPr>
        <w:rPr>
          <w:szCs w:val="24"/>
        </w:rPr>
      </w:pPr>
    </w:p>
    <w:p w14:paraId="0009FF15" w14:textId="77777777" w:rsidR="00250DCE" w:rsidRPr="00B34FA1" w:rsidRDefault="00250DCE" w:rsidP="00250DCE">
      <w:pPr>
        <w:rPr>
          <w:szCs w:val="24"/>
        </w:rPr>
      </w:pPr>
    </w:p>
    <w:p w14:paraId="1A8B670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14.</w:t>
      </w:r>
      <w:r w:rsidRPr="00B34FA1">
        <w:rPr>
          <w:b/>
          <w:szCs w:val="24"/>
        </w:rPr>
        <w:tab/>
      </w:r>
      <w:r w:rsidRPr="00B34FA1">
        <w:rPr>
          <w:b/>
          <w:noProof/>
          <w:szCs w:val="24"/>
        </w:rPr>
        <w:t>PARDAVIMO (IŠDAVIMO) TVARKA</w:t>
      </w:r>
    </w:p>
    <w:p w14:paraId="70FD2DD2" w14:textId="77777777" w:rsidR="00250DCE" w:rsidRPr="00B34FA1" w:rsidRDefault="00250DCE" w:rsidP="00250DCE">
      <w:pPr>
        <w:rPr>
          <w:szCs w:val="24"/>
        </w:rPr>
      </w:pPr>
    </w:p>
    <w:p w14:paraId="3BD3BF74" w14:textId="77777777" w:rsidR="00250DCE" w:rsidRPr="00B34FA1" w:rsidRDefault="003E0C6B" w:rsidP="00250DCE">
      <w:pPr>
        <w:rPr>
          <w:szCs w:val="24"/>
        </w:rPr>
      </w:pPr>
      <w:r>
        <w:rPr>
          <w:szCs w:val="24"/>
        </w:rPr>
        <w:t xml:space="preserve">Receptinis </w:t>
      </w:r>
      <w:r w:rsidR="008327F8">
        <w:rPr>
          <w:szCs w:val="24"/>
        </w:rPr>
        <w:t>vaistas</w:t>
      </w:r>
      <w:r>
        <w:rPr>
          <w:szCs w:val="24"/>
        </w:rPr>
        <w:t>.</w:t>
      </w:r>
    </w:p>
    <w:p w14:paraId="456497A3" w14:textId="77777777" w:rsidR="00250DCE" w:rsidRDefault="00250DCE" w:rsidP="00250DCE">
      <w:pPr>
        <w:rPr>
          <w:szCs w:val="24"/>
        </w:rPr>
      </w:pPr>
    </w:p>
    <w:p w14:paraId="3F1A2188" w14:textId="77777777" w:rsidR="004C06AE" w:rsidRPr="00B34FA1" w:rsidRDefault="004C06AE" w:rsidP="00250DCE">
      <w:pPr>
        <w:rPr>
          <w:szCs w:val="24"/>
        </w:rPr>
      </w:pPr>
    </w:p>
    <w:p w14:paraId="688525A9" w14:textId="77777777" w:rsidR="00250DCE" w:rsidRPr="00B34FA1" w:rsidRDefault="00250DCE" w:rsidP="00250DCE">
      <w:pPr>
        <w:pBdr>
          <w:top w:val="single" w:sz="4" w:space="2" w:color="auto"/>
          <w:left w:val="single" w:sz="4" w:space="4" w:color="auto"/>
          <w:bottom w:val="single" w:sz="4" w:space="1" w:color="auto"/>
          <w:right w:val="single" w:sz="4" w:space="4" w:color="auto"/>
        </w:pBdr>
        <w:spacing w:line="240" w:lineRule="auto"/>
        <w:outlineLvl w:val="0"/>
        <w:rPr>
          <w:szCs w:val="24"/>
        </w:rPr>
      </w:pPr>
      <w:r w:rsidRPr="00B34FA1">
        <w:rPr>
          <w:b/>
          <w:szCs w:val="24"/>
        </w:rPr>
        <w:t>15.</w:t>
      </w:r>
      <w:r w:rsidRPr="00B34FA1">
        <w:rPr>
          <w:b/>
          <w:szCs w:val="24"/>
        </w:rPr>
        <w:tab/>
      </w:r>
      <w:r w:rsidRPr="00B34FA1">
        <w:rPr>
          <w:b/>
          <w:noProof/>
          <w:szCs w:val="24"/>
        </w:rPr>
        <w:t>VARTOJIMO INSTRUKCIJA</w:t>
      </w:r>
    </w:p>
    <w:p w14:paraId="5702BAA1" w14:textId="77777777" w:rsidR="00250DCE" w:rsidRPr="00B34FA1" w:rsidRDefault="00250DCE" w:rsidP="00250DCE">
      <w:pPr>
        <w:rPr>
          <w:szCs w:val="24"/>
        </w:rPr>
      </w:pPr>
    </w:p>
    <w:p w14:paraId="1EBEA475" w14:textId="77777777" w:rsidR="00250DCE" w:rsidRPr="00B34FA1" w:rsidRDefault="00250DCE" w:rsidP="00250DCE">
      <w:pPr>
        <w:rPr>
          <w:szCs w:val="24"/>
        </w:rPr>
      </w:pPr>
    </w:p>
    <w:p w14:paraId="12B7DA8C" w14:textId="77777777" w:rsidR="00250DCE" w:rsidRPr="00D42F2E" w:rsidRDefault="00250DCE" w:rsidP="00250DCE">
      <w:pPr>
        <w:pBdr>
          <w:top w:val="single" w:sz="4" w:space="1" w:color="auto"/>
          <w:left w:val="single" w:sz="4" w:space="4" w:color="auto"/>
          <w:bottom w:val="single" w:sz="4" w:space="0" w:color="auto"/>
          <w:right w:val="single" w:sz="4" w:space="4" w:color="auto"/>
        </w:pBdr>
        <w:spacing w:line="240" w:lineRule="auto"/>
        <w:rPr>
          <w:szCs w:val="24"/>
        </w:rPr>
      </w:pPr>
      <w:r w:rsidRPr="00B34FA1">
        <w:rPr>
          <w:b/>
          <w:szCs w:val="24"/>
        </w:rPr>
        <w:t>16.</w:t>
      </w:r>
      <w:r w:rsidRPr="00B34FA1">
        <w:rPr>
          <w:b/>
          <w:szCs w:val="24"/>
        </w:rPr>
        <w:tab/>
      </w:r>
      <w:r w:rsidRPr="00B34FA1">
        <w:rPr>
          <w:b/>
          <w:noProof/>
          <w:szCs w:val="24"/>
        </w:rPr>
        <w:t xml:space="preserve">INFORMACIJA </w:t>
      </w:r>
      <w:r w:rsidRPr="00855F36">
        <w:rPr>
          <w:b/>
          <w:noProof/>
          <w:szCs w:val="24"/>
        </w:rPr>
        <w:t>BRAILIO RAŠTU</w:t>
      </w:r>
    </w:p>
    <w:p w14:paraId="3247EF9F" w14:textId="77777777" w:rsidR="00250DCE" w:rsidRPr="00B34FA1" w:rsidRDefault="00250DCE" w:rsidP="00250DCE">
      <w:pPr>
        <w:rPr>
          <w:szCs w:val="24"/>
        </w:rPr>
      </w:pPr>
    </w:p>
    <w:p w14:paraId="0CC07A89" w14:textId="77777777" w:rsidR="00250DCE" w:rsidRDefault="00250DCE" w:rsidP="00250DCE">
      <w:r>
        <w:t>Cinacalcet Teva 30</w:t>
      </w:r>
      <w:r w:rsidR="00533C11">
        <w:t> </w:t>
      </w:r>
      <w:r>
        <w:t xml:space="preserve">mg </w:t>
      </w:r>
    </w:p>
    <w:p w14:paraId="4F299018" w14:textId="77777777" w:rsidR="00250DCE" w:rsidRPr="007D0562" w:rsidRDefault="00250DCE" w:rsidP="00250DCE">
      <w:pPr>
        <w:rPr>
          <w:highlight w:val="lightGray"/>
        </w:rPr>
      </w:pPr>
      <w:r w:rsidRPr="007D0562">
        <w:rPr>
          <w:highlight w:val="lightGray"/>
        </w:rPr>
        <w:t>Cinacalcet Teva 60</w:t>
      </w:r>
      <w:r w:rsidR="00533C11" w:rsidRPr="007D0562">
        <w:rPr>
          <w:highlight w:val="lightGray"/>
        </w:rPr>
        <w:t> </w:t>
      </w:r>
      <w:r w:rsidRPr="007D0562">
        <w:rPr>
          <w:highlight w:val="lightGray"/>
        </w:rPr>
        <w:t xml:space="preserve">mg </w:t>
      </w:r>
    </w:p>
    <w:p w14:paraId="0889B6A6" w14:textId="77777777" w:rsidR="00250DCE" w:rsidRDefault="00250DCE" w:rsidP="00250DCE">
      <w:r w:rsidRPr="007D0562">
        <w:rPr>
          <w:highlight w:val="lightGray"/>
        </w:rPr>
        <w:t>Cinacalcet Teva 90</w:t>
      </w:r>
      <w:r w:rsidR="00533C11" w:rsidRPr="007D0562">
        <w:rPr>
          <w:highlight w:val="lightGray"/>
        </w:rPr>
        <w:t> </w:t>
      </w:r>
      <w:r w:rsidRPr="007D0562">
        <w:rPr>
          <w:highlight w:val="lightGray"/>
        </w:rPr>
        <w:t>mg</w:t>
      </w:r>
      <w:r>
        <w:t xml:space="preserve"> </w:t>
      </w:r>
    </w:p>
    <w:p w14:paraId="2630AE30" w14:textId="77777777" w:rsidR="0070698B" w:rsidRDefault="0070698B" w:rsidP="00250DCE"/>
    <w:p w14:paraId="34971D89" w14:textId="77777777" w:rsidR="008327F8" w:rsidRPr="002E7B7C" w:rsidRDefault="008327F8" w:rsidP="008327F8">
      <w:pPr>
        <w:tabs>
          <w:tab w:val="left" w:pos="9072"/>
        </w:tabs>
      </w:pPr>
    </w:p>
    <w:p w14:paraId="2454F028" w14:textId="77777777" w:rsidR="008327F8" w:rsidRPr="002E7B7C" w:rsidRDefault="008327F8" w:rsidP="008327F8">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698DEAC5" w14:textId="77777777" w:rsidR="008327F8" w:rsidRPr="00743731" w:rsidRDefault="008327F8" w:rsidP="008327F8">
      <w:pPr>
        <w:tabs>
          <w:tab w:val="left" w:pos="9072"/>
        </w:tabs>
        <w:rPr>
          <w:szCs w:val="22"/>
        </w:rPr>
      </w:pPr>
    </w:p>
    <w:p w14:paraId="04748945" w14:textId="77777777" w:rsidR="008327F8" w:rsidRPr="007D0562" w:rsidRDefault="008327F8" w:rsidP="008327F8">
      <w:pPr>
        <w:rPr>
          <w:highlight w:val="lightGray"/>
        </w:rPr>
      </w:pPr>
      <w:r w:rsidRPr="007D0562">
        <w:rPr>
          <w:highlight w:val="lightGray"/>
        </w:rPr>
        <w:t>2D brūkšninis kodas su nurodytu unikaliu identifikatoriumi.</w:t>
      </w:r>
    </w:p>
    <w:p w14:paraId="05C2DFA8" w14:textId="77777777" w:rsidR="008327F8" w:rsidRPr="007D0562" w:rsidRDefault="008327F8" w:rsidP="008327F8">
      <w:pPr>
        <w:rPr>
          <w:highlight w:val="lightGray"/>
        </w:rPr>
      </w:pPr>
    </w:p>
    <w:p w14:paraId="200ADD5D" w14:textId="77777777" w:rsidR="008327F8" w:rsidRPr="002E7B7C" w:rsidRDefault="008327F8" w:rsidP="008327F8">
      <w:pPr>
        <w:tabs>
          <w:tab w:val="left" w:pos="9072"/>
        </w:tabs>
      </w:pPr>
    </w:p>
    <w:p w14:paraId="5BDB0E80" w14:textId="77777777" w:rsidR="008327F8" w:rsidRPr="002E7B7C" w:rsidRDefault="008327F8" w:rsidP="008327F8">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7DC83CE8" w14:textId="77777777" w:rsidR="008327F8" w:rsidRPr="002E7B7C" w:rsidRDefault="008327F8" w:rsidP="008327F8">
      <w:pPr>
        <w:tabs>
          <w:tab w:val="left" w:pos="9072"/>
        </w:tabs>
      </w:pPr>
    </w:p>
    <w:p w14:paraId="05D58C84" w14:textId="77777777" w:rsidR="008327F8" w:rsidRPr="00D42F2E" w:rsidRDefault="008327F8" w:rsidP="008327F8">
      <w:r w:rsidRPr="00855F36">
        <w:t>PC: {numeris}</w:t>
      </w:r>
    </w:p>
    <w:p w14:paraId="6C7C5DB8" w14:textId="77777777" w:rsidR="008327F8" w:rsidRPr="002E7B7C" w:rsidRDefault="008327F8" w:rsidP="008327F8">
      <w:r w:rsidRPr="002E7B7C">
        <w:t>SN: {numeris}</w:t>
      </w:r>
    </w:p>
    <w:p w14:paraId="7A245DC4" w14:textId="77777777" w:rsidR="008327F8" w:rsidRPr="00F87429" w:rsidRDefault="008327F8" w:rsidP="008327F8">
      <w:pPr>
        <w:rPr>
          <w:highlight w:val="lightGray"/>
        </w:rPr>
      </w:pPr>
      <w:r w:rsidRPr="00D42F2E">
        <w:rPr>
          <w:highlight w:val="lightGray"/>
        </w:rPr>
        <w:t>NN: {numeris}</w:t>
      </w:r>
    </w:p>
    <w:p w14:paraId="602E2734" w14:textId="77777777" w:rsidR="008327F8" w:rsidRPr="001219FB" w:rsidRDefault="008327F8" w:rsidP="008327F8">
      <w:pPr>
        <w:tabs>
          <w:tab w:val="left" w:pos="9072"/>
        </w:tabs>
      </w:pPr>
      <w:r w:rsidRPr="002E7B7C">
        <w:t xml:space="preserve"> </w:t>
      </w:r>
    </w:p>
    <w:p w14:paraId="65A2F198" w14:textId="77777777" w:rsidR="00250DCE" w:rsidRDefault="00250DCE">
      <w:pPr>
        <w:tabs>
          <w:tab w:val="clear" w:pos="567"/>
        </w:tabs>
        <w:spacing w:after="200" w:line="276" w:lineRule="auto"/>
        <w:rPr>
          <w:szCs w:val="24"/>
        </w:rPr>
      </w:pPr>
      <w:r>
        <w:rPr>
          <w:szCs w:val="24"/>
        </w:rPr>
        <w:br w:type="page"/>
      </w:r>
    </w:p>
    <w:p w14:paraId="371B5027" w14:textId="77777777" w:rsidR="00250DCE" w:rsidRPr="00B34FA1" w:rsidRDefault="00250DCE" w:rsidP="00250DCE">
      <w:pPr>
        <w:rPr>
          <w:szCs w:val="24"/>
        </w:rPr>
      </w:pPr>
    </w:p>
    <w:p w14:paraId="2DDEAC4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rPr>
          <w:b/>
          <w:szCs w:val="24"/>
        </w:rPr>
      </w:pPr>
      <w:r w:rsidRPr="00B34FA1">
        <w:rPr>
          <w:b/>
          <w:noProof/>
          <w:szCs w:val="24"/>
        </w:rPr>
        <w:t>INFORMACIJA ANT VIDINĖS PAKUOTĖS</w:t>
      </w:r>
    </w:p>
    <w:p w14:paraId="5283FDE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2CB06627"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BUTELIUKAS</w:t>
      </w:r>
    </w:p>
    <w:p w14:paraId="064BBAD7" w14:textId="77777777" w:rsidR="00250DCE" w:rsidRPr="00B34FA1" w:rsidRDefault="00250DCE" w:rsidP="00250DCE">
      <w:pPr>
        <w:rPr>
          <w:szCs w:val="24"/>
        </w:rPr>
      </w:pPr>
    </w:p>
    <w:p w14:paraId="224B8753" w14:textId="77777777" w:rsidR="00250DCE" w:rsidRPr="00B34FA1" w:rsidRDefault="00250DCE" w:rsidP="00250DCE">
      <w:pPr>
        <w:rPr>
          <w:szCs w:val="24"/>
        </w:rPr>
      </w:pPr>
    </w:p>
    <w:p w14:paraId="46933DF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1.</w:t>
      </w:r>
      <w:r w:rsidRPr="00B34FA1">
        <w:rPr>
          <w:b/>
          <w:szCs w:val="24"/>
        </w:rPr>
        <w:tab/>
      </w:r>
      <w:r w:rsidRPr="00B34FA1">
        <w:rPr>
          <w:b/>
          <w:caps/>
          <w:noProof/>
          <w:szCs w:val="24"/>
        </w:rPr>
        <w:t>VAISTINIO</w:t>
      </w:r>
      <w:r w:rsidRPr="00B34FA1">
        <w:rPr>
          <w:b/>
          <w:noProof/>
          <w:szCs w:val="24"/>
        </w:rPr>
        <w:t xml:space="preserve"> PREPARATO PAVADINIMAS</w:t>
      </w:r>
    </w:p>
    <w:p w14:paraId="19BDEDA7" w14:textId="77777777" w:rsidR="00250DCE" w:rsidRPr="00B34FA1" w:rsidRDefault="00250DCE" w:rsidP="00250DCE">
      <w:pPr>
        <w:rPr>
          <w:szCs w:val="24"/>
        </w:rPr>
      </w:pPr>
    </w:p>
    <w:p w14:paraId="2652D1DF" w14:textId="77777777" w:rsidR="00250DCE" w:rsidRPr="0062792C" w:rsidRDefault="00250DCE" w:rsidP="00250DCE">
      <w:pPr>
        <w:rPr>
          <w:noProof/>
          <w:szCs w:val="24"/>
        </w:rPr>
      </w:pPr>
      <w:r w:rsidRPr="0062792C">
        <w:rPr>
          <w:noProof/>
          <w:szCs w:val="24"/>
        </w:rPr>
        <w:t>Cinacalcet Teva 30</w:t>
      </w:r>
      <w:r w:rsidR="00533C11">
        <w:rPr>
          <w:noProof/>
          <w:szCs w:val="24"/>
        </w:rPr>
        <w:t> </w:t>
      </w:r>
      <w:r w:rsidRPr="0062792C">
        <w:rPr>
          <w:noProof/>
          <w:szCs w:val="24"/>
        </w:rPr>
        <w:t>mg plėvele dengtos tabletės</w:t>
      </w:r>
    </w:p>
    <w:p w14:paraId="524A2650" w14:textId="77777777" w:rsidR="00250DCE" w:rsidRPr="007D0562" w:rsidRDefault="00250DCE" w:rsidP="00250DCE">
      <w:pPr>
        <w:rPr>
          <w:highlight w:val="lightGray"/>
        </w:rPr>
      </w:pPr>
      <w:r w:rsidRPr="007D0562">
        <w:rPr>
          <w:highlight w:val="lightGray"/>
        </w:rPr>
        <w:t>Cinacalcet Teva 60</w:t>
      </w:r>
      <w:r w:rsidR="00533C11" w:rsidRPr="007D0562">
        <w:rPr>
          <w:highlight w:val="lightGray"/>
        </w:rPr>
        <w:t> </w:t>
      </w:r>
      <w:r w:rsidRPr="007D0562">
        <w:rPr>
          <w:highlight w:val="lightGray"/>
        </w:rPr>
        <w:t>mg plėvele dengtos tabletės</w:t>
      </w:r>
    </w:p>
    <w:p w14:paraId="01AC9DCA" w14:textId="77777777" w:rsidR="00250DCE" w:rsidRPr="0062792C" w:rsidRDefault="00250DCE" w:rsidP="00250DCE">
      <w:pPr>
        <w:rPr>
          <w:noProof/>
          <w:szCs w:val="24"/>
        </w:rPr>
      </w:pPr>
      <w:r w:rsidRPr="007D0562">
        <w:rPr>
          <w:highlight w:val="lightGray"/>
        </w:rPr>
        <w:t>Cinacalcet Teva 90</w:t>
      </w:r>
      <w:r w:rsidR="00533C11" w:rsidRPr="007D0562">
        <w:rPr>
          <w:highlight w:val="lightGray"/>
        </w:rPr>
        <w:t> </w:t>
      </w:r>
      <w:r w:rsidRPr="007D0562">
        <w:rPr>
          <w:highlight w:val="lightGray"/>
        </w:rPr>
        <w:t>mg plėvele dengtos tabletės</w:t>
      </w:r>
    </w:p>
    <w:p w14:paraId="562DEFE0" w14:textId="77777777" w:rsidR="00250DCE" w:rsidRPr="00B34FA1" w:rsidRDefault="008E66BB" w:rsidP="00250DCE">
      <w:pPr>
        <w:rPr>
          <w:szCs w:val="24"/>
        </w:rPr>
      </w:pPr>
      <w:r>
        <w:rPr>
          <w:noProof/>
          <w:szCs w:val="24"/>
        </w:rPr>
        <w:t>c</w:t>
      </w:r>
      <w:r w:rsidRPr="0062792C">
        <w:rPr>
          <w:noProof/>
          <w:szCs w:val="24"/>
        </w:rPr>
        <w:t>ina</w:t>
      </w:r>
      <w:r>
        <w:rPr>
          <w:noProof/>
          <w:szCs w:val="24"/>
        </w:rPr>
        <w:t>calcetum</w:t>
      </w:r>
    </w:p>
    <w:p w14:paraId="3B5845A3" w14:textId="77777777" w:rsidR="00250DCE" w:rsidRDefault="00250DCE" w:rsidP="00250DCE">
      <w:pPr>
        <w:rPr>
          <w:szCs w:val="24"/>
        </w:rPr>
      </w:pPr>
    </w:p>
    <w:p w14:paraId="44743FDA" w14:textId="77777777" w:rsidR="00533C11" w:rsidRPr="00B34FA1" w:rsidRDefault="00533C11" w:rsidP="00250DCE">
      <w:pPr>
        <w:rPr>
          <w:szCs w:val="24"/>
        </w:rPr>
      </w:pPr>
    </w:p>
    <w:p w14:paraId="3AC26C88"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14:paraId="4FCA6B2E" w14:textId="77777777" w:rsidR="00250DCE" w:rsidRPr="00B34FA1" w:rsidRDefault="00250DCE" w:rsidP="00250DCE">
      <w:pPr>
        <w:rPr>
          <w:szCs w:val="24"/>
        </w:rPr>
      </w:pPr>
    </w:p>
    <w:p w14:paraId="237EB262" w14:textId="77777777" w:rsidR="00250DCE" w:rsidRDefault="00533C11" w:rsidP="00250DCE">
      <w:pPr>
        <w:rPr>
          <w:noProof/>
          <w:szCs w:val="24"/>
        </w:rPr>
      </w:pPr>
      <w:r>
        <w:rPr>
          <w:noProof/>
          <w:szCs w:val="24"/>
        </w:rPr>
        <w:t>Kiek</w:t>
      </w:r>
      <w:r w:rsidRPr="0062792C">
        <w:rPr>
          <w:noProof/>
          <w:szCs w:val="24"/>
        </w:rPr>
        <w:t xml:space="preserve">vienoje </w:t>
      </w:r>
      <w:r w:rsidR="00250DCE" w:rsidRPr="0062792C">
        <w:rPr>
          <w:noProof/>
          <w:szCs w:val="24"/>
        </w:rPr>
        <w:t>t</w:t>
      </w:r>
      <w:r w:rsidR="00250DCE">
        <w:rPr>
          <w:noProof/>
          <w:szCs w:val="24"/>
        </w:rPr>
        <w:t>abletėje yra 30</w:t>
      </w:r>
      <w:r>
        <w:rPr>
          <w:noProof/>
          <w:szCs w:val="24"/>
        </w:rPr>
        <w:t> </w:t>
      </w:r>
      <w:r w:rsidR="00250DCE">
        <w:rPr>
          <w:noProof/>
          <w:szCs w:val="24"/>
        </w:rPr>
        <w:t xml:space="preserve">mg </w:t>
      </w:r>
      <w:r w:rsidR="00250DCE" w:rsidRPr="0062792C">
        <w:rPr>
          <w:noProof/>
          <w:szCs w:val="24"/>
        </w:rPr>
        <w:t>cinakalceto (hidrochlorido pavidalu).</w:t>
      </w:r>
    </w:p>
    <w:p w14:paraId="4E8E17F1" w14:textId="77777777" w:rsidR="00250DCE" w:rsidRPr="007D0562" w:rsidRDefault="00533C11" w:rsidP="00250DCE">
      <w:pPr>
        <w:rPr>
          <w:highlight w:val="lightGray"/>
        </w:rPr>
      </w:pPr>
      <w:r w:rsidRPr="007D0562">
        <w:rPr>
          <w:highlight w:val="lightGray"/>
        </w:rPr>
        <w:t xml:space="preserve">Kiekvienoje </w:t>
      </w:r>
      <w:r w:rsidR="00250DCE" w:rsidRPr="007D0562">
        <w:rPr>
          <w:highlight w:val="lightGray"/>
        </w:rPr>
        <w:t>tabletėje yra 60</w:t>
      </w:r>
      <w:r w:rsidRPr="007D0562">
        <w:rPr>
          <w:highlight w:val="lightGray"/>
        </w:rPr>
        <w:t> </w:t>
      </w:r>
      <w:r w:rsidR="00250DCE" w:rsidRPr="007D0562">
        <w:rPr>
          <w:highlight w:val="lightGray"/>
        </w:rPr>
        <w:t>mg cinakalceto (hidrochlorido pavidalu).</w:t>
      </w:r>
    </w:p>
    <w:p w14:paraId="3C395730" w14:textId="77777777" w:rsidR="00250DCE" w:rsidRPr="0062792C" w:rsidRDefault="00533C11" w:rsidP="00250DCE">
      <w:pPr>
        <w:rPr>
          <w:noProof/>
          <w:szCs w:val="24"/>
        </w:rPr>
      </w:pPr>
      <w:r w:rsidRPr="007D0562">
        <w:rPr>
          <w:highlight w:val="lightGray"/>
        </w:rPr>
        <w:t xml:space="preserve">Kiekvienoje </w:t>
      </w:r>
      <w:r w:rsidR="00250DCE" w:rsidRPr="007D0562">
        <w:rPr>
          <w:highlight w:val="lightGray"/>
        </w:rPr>
        <w:t>tabletėje yra 90</w:t>
      </w:r>
      <w:r w:rsidRPr="007D0562">
        <w:rPr>
          <w:highlight w:val="lightGray"/>
        </w:rPr>
        <w:t> </w:t>
      </w:r>
      <w:r w:rsidR="00250DCE" w:rsidRPr="007D0562">
        <w:rPr>
          <w:highlight w:val="lightGray"/>
        </w:rPr>
        <w:t>mg cinakalceto (hidrochlorido pavidalu).</w:t>
      </w:r>
    </w:p>
    <w:p w14:paraId="7ED28FB8" w14:textId="77777777" w:rsidR="00250DCE" w:rsidRPr="00B34FA1" w:rsidRDefault="00250DCE" w:rsidP="00250DCE">
      <w:pPr>
        <w:rPr>
          <w:szCs w:val="24"/>
        </w:rPr>
      </w:pPr>
    </w:p>
    <w:p w14:paraId="6EE08A64" w14:textId="77777777" w:rsidR="00250DCE" w:rsidRPr="00B34FA1" w:rsidRDefault="00250DCE" w:rsidP="00250DCE">
      <w:pPr>
        <w:rPr>
          <w:szCs w:val="24"/>
        </w:rPr>
      </w:pPr>
    </w:p>
    <w:p w14:paraId="372A049B"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3.</w:t>
      </w:r>
      <w:r w:rsidRPr="00B34FA1">
        <w:rPr>
          <w:b/>
          <w:szCs w:val="24"/>
        </w:rPr>
        <w:tab/>
      </w:r>
      <w:r w:rsidRPr="00B34FA1">
        <w:rPr>
          <w:b/>
          <w:noProof/>
          <w:szCs w:val="24"/>
        </w:rPr>
        <w:t>PAGALBINIŲ MEDŽIAGŲ SĄRAŠAS</w:t>
      </w:r>
    </w:p>
    <w:p w14:paraId="61FF85E6" w14:textId="77777777" w:rsidR="00250DCE" w:rsidRPr="00B34FA1" w:rsidRDefault="00250DCE" w:rsidP="00250DCE">
      <w:pPr>
        <w:rPr>
          <w:szCs w:val="24"/>
        </w:rPr>
      </w:pPr>
    </w:p>
    <w:p w14:paraId="22C0AF5C" w14:textId="77777777" w:rsidR="00250DCE" w:rsidRPr="00B34FA1" w:rsidRDefault="00250DCE" w:rsidP="00250DCE">
      <w:pPr>
        <w:rPr>
          <w:szCs w:val="24"/>
        </w:rPr>
      </w:pPr>
    </w:p>
    <w:p w14:paraId="551417F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4.</w:t>
      </w:r>
      <w:r w:rsidRPr="00B34FA1">
        <w:rPr>
          <w:b/>
          <w:szCs w:val="24"/>
        </w:rPr>
        <w:tab/>
      </w:r>
      <w:r w:rsidRPr="00B34FA1">
        <w:rPr>
          <w:b/>
          <w:noProof/>
          <w:szCs w:val="24"/>
        </w:rPr>
        <w:t>FARMACINĖ FORMA IR KIEKIS PAKUOTĖJE</w:t>
      </w:r>
    </w:p>
    <w:p w14:paraId="7EE92E41" w14:textId="77777777" w:rsidR="00250DCE" w:rsidRDefault="00250DCE" w:rsidP="00250DCE">
      <w:pPr>
        <w:rPr>
          <w:szCs w:val="24"/>
        </w:rPr>
      </w:pPr>
    </w:p>
    <w:p w14:paraId="52A082A7" w14:textId="77777777" w:rsidR="00250DCE" w:rsidRDefault="00250DCE" w:rsidP="00250DCE">
      <w:pPr>
        <w:rPr>
          <w:szCs w:val="24"/>
        </w:rPr>
      </w:pPr>
      <w:r w:rsidRPr="007D0562">
        <w:rPr>
          <w:highlight w:val="lightGray"/>
        </w:rPr>
        <w:t>Plėvele dengta tabletė</w:t>
      </w:r>
    </w:p>
    <w:p w14:paraId="72C11110" w14:textId="77777777" w:rsidR="00250DCE" w:rsidRDefault="00250DCE" w:rsidP="00250DCE">
      <w:pPr>
        <w:rPr>
          <w:szCs w:val="24"/>
        </w:rPr>
      </w:pPr>
    </w:p>
    <w:p w14:paraId="73B88F31" w14:textId="77777777" w:rsidR="00250DCE" w:rsidRPr="00B34FA1" w:rsidRDefault="00250DCE" w:rsidP="00250DCE">
      <w:pPr>
        <w:rPr>
          <w:szCs w:val="24"/>
        </w:rPr>
      </w:pPr>
      <w:r>
        <w:rPr>
          <w:szCs w:val="24"/>
        </w:rPr>
        <w:t>30 tablečių</w:t>
      </w:r>
    </w:p>
    <w:p w14:paraId="0A5A38B9" w14:textId="77777777" w:rsidR="00250DCE" w:rsidRDefault="00250DCE" w:rsidP="00250DCE">
      <w:pPr>
        <w:rPr>
          <w:szCs w:val="24"/>
        </w:rPr>
      </w:pPr>
    </w:p>
    <w:p w14:paraId="423ED6AA" w14:textId="77777777" w:rsidR="00533C11" w:rsidRPr="00B34FA1" w:rsidRDefault="00533C11" w:rsidP="00250DCE">
      <w:pPr>
        <w:rPr>
          <w:szCs w:val="24"/>
        </w:rPr>
      </w:pPr>
    </w:p>
    <w:p w14:paraId="7FBE2034"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14:paraId="3BE67309" w14:textId="77777777" w:rsidR="00250DCE" w:rsidRPr="00B34FA1" w:rsidRDefault="00250DCE" w:rsidP="00250DCE">
      <w:pPr>
        <w:rPr>
          <w:szCs w:val="24"/>
        </w:rPr>
      </w:pPr>
    </w:p>
    <w:p w14:paraId="12D7FBC3" w14:textId="77777777" w:rsidR="00250DCE" w:rsidRPr="00B34FA1" w:rsidRDefault="00250DCE" w:rsidP="00250DCE">
      <w:pPr>
        <w:rPr>
          <w:szCs w:val="24"/>
        </w:rPr>
      </w:pPr>
      <w:r w:rsidRPr="00B34FA1">
        <w:rPr>
          <w:noProof/>
          <w:szCs w:val="24"/>
        </w:rPr>
        <w:t>Prieš vartojimą perskaitykite pakuotės lapelį.</w:t>
      </w:r>
    </w:p>
    <w:p w14:paraId="02E21301" w14:textId="77777777" w:rsidR="00250DCE" w:rsidRPr="00B34FA1" w:rsidRDefault="00250DCE" w:rsidP="00250DCE">
      <w:pPr>
        <w:rPr>
          <w:szCs w:val="24"/>
        </w:rPr>
      </w:pPr>
      <w:r>
        <w:rPr>
          <w:szCs w:val="24"/>
        </w:rPr>
        <w:t>Vartoti per burną</w:t>
      </w:r>
      <w:r w:rsidR="00237517">
        <w:rPr>
          <w:szCs w:val="24"/>
        </w:rPr>
        <w:t>.</w:t>
      </w:r>
    </w:p>
    <w:p w14:paraId="35FFB274" w14:textId="77777777" w:rsidR="00250DCE" w:rsidRDefault="00250DCE" w:rsidP="00250DCE">
      <w:pPr>
        <w:rPr>
          <w:szCs w:val="24"/>
        </w:rPr>
      </w:pPr>
    </w:p>
    <w:p w14:paraId="2D6DE29D" w14:textId="77777777" w:rsidR="004C06AE" w:rsidRPr="00B34FA1" w:rsidRDefault="004C06AE" w:rsidP="00250DCE">
      <w:pPr>
        <w:rPr>
          <w:szCs w:val="24"/>
        </w:rPr>
      </w:pPr>
    </w:p>
    <w:p w14:paraId="6B9B5CA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6.</w:t>
      </w:r>
      <w:r w:rsidRPr="00B34FA1">
        <w:rPr>
          <w:b/>
          <w:szCs w:val="24"/>
        </w:rPr>
        <w:tab/>
      </w:r>
      <w:r w:rsidRPr="00B34FA1">
        <w:rPr>
          <w:b/>
          <w:noProof/>
          <w:szCs w:val="24"/>
        </w:rPr>
        <w:t>SPECIALUS ĮSPĖJIMAS, KAD VAISTINĮ PREPARATĄ BŪTINA LAIKYTI VAIKAMS NEPASTEBIMOJE IR  NEPASIEKIAMOJE VIETOJE</w:t>
      </w:r>
    </w:p>
    <w:p w14:paraId="423F492A" w14:textId="77777777" w:rsidR="00250DCE" w:rsidRPr="00B34FA1" w:rsidRDefault="00250DCE" w:rsidP="00250DCE">
      <w:pPr>
        <w:rPr>
          <w:szCs w:val="24"/>
        </w:rPr>
      </w:pPr>
    </w:p>
    <w:p w14:paraId="10E6B4E4" w14:textId="77777777" w:rsidR="00250DCE" w:rsidRPr="00B34FA1" w:rsidRDefault="00250DCE" w:rsidP="00250DCE">
      <w:pPr>
        <w:rPr>
          <w:szCs w:val="24"/>
        </w:rPr>
      </w:pPr>
      <w:r w:rsidRPr="00B34FA1">
        <w:rPr>
          <w:noProof/>
          <w:szCs w:val="24"/>
        </w:rPr>
        <w:t>Laikyti vaikams nepastebimoje ir nepasiekiamoje vietoje.</w:t>
      </w:r>
    </w:p>
    <w:p w14:paraId="7DB64021" w14:textId="77777777" w:rsidR="00250DCE" w:rsidRPr="00B34FA1" w:rsidRDefault="00250DCE" w:rsidP="00250DCE">
      <w:pPr>
        <w:rPr>
          <w:szCs w:val="24"/>
        </w:rPr>
      </w:pPr>
    </w:p>
    <w:p w14:paraId="53C71FC2" w14:textId="77777777" w:rsidR="00250DCE" w:rsidRPr="00B34FA1" w:rsidRDefault="00250DCE" w:rsidP="00250DCE">
      <w:pPr>
        <w:rPr>
          <w:szCs w:val="24"/>
        </w:rPr>
      </w:pPr>
    </w:p>
    <w:p w14:paraId="191A335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14:paraId="1D31411E" w14:textId="77777777" w:rsidR="00250DCE" w:rsidRPr="00B34FA1" w:rsidRDefault="00250DCE" w:rsidP="00250DCE">
      <w:pPr>
        <w:rPr>
          <w:szCs w:val="24"/>
        </w:rPr>
      </w:pPr>
    </w:p>
    <w:p w14:paraId="059BD692" w14:textId="77777777" w:rsidR="00250DCE" w:rsidRPr="00B34FA1" w:rsidRDefault="00250DCE" w:rsidP="00250DCE">
      <w:pPr>
        <w:rPr>
          <w:szCs w:val="24"/>
        </w:rPr>
      </w:pPr>
    </w:p>
    <w:p w14:paraId="46835B22"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8.</w:t>
      </w:r>
      <w:r w:rsidRPr="00B34FA1">
        <w:rPr>
          <w:b/>
          <w:szCs w:val="24"/>
        </w:rPr>
        <w:tab/>
      </w:r>
      <w:r w:rsidRPr="00B34FA1">
        <w:rPr>
          <w:b/>
          <w:noProof/>
          <w:szCs w:val="24"/>
        </w:rPr>
        <w:t>TINKAMUMO LAIKAS</w:t>
      </w:r>
    </w:p>
    <w:p w14:paraId="384BF4C1" w14:textId="77777777" w:rsidR="00250DCE" w:rsidRPr="00B34FA1" w:rsidRDefault="00250DCE" w:rsidP="00250DCE">
      <w:pPr>
        <w:rPr>
          <w:szCs w:val="24"/>
        </w:rPr>
      </w:pPr>
    </w:p>
    <w:p w14:paraId="7D48FF7E" w14:textId="17F0D421" w:rsidR="00250DCE" w:rsidRDefault="008327F8" w:rsidP="00250DCE">
      <w:r>
        <w:t>EXP</w:t>
      </w:r>
      <w:r w:rsidR="00F87429">
        <w:t xml:space="preserve"> </w:t>
      </w:r>
      <w:r w:rsidR="00FF1CB9">
        <w:t>mm MMMM</w:t>
      </w:r>
    </w:p>
    <w:p w14:paraId="747E87E5" w14:textId="77777777" w:rsidR="00855F36" w:rsidRPr="00B34FA1" w:rsidRDefault="00855F36" w:rsidP="00250DCE"/>
    <w:p w14:paraId="35305799" w14:textId="77777777" w:rsidR="00250DCE" w:rsidRPr="00B34FA1" w:rsidRDefault="00250DCE" w:rsidP="00250DCE">
      <w:pPr>
        <w:rPr>
          <w:szCs w:val="24"/>
        </w:rPr>
      </w:pPr>
    </w:p>
    <w:p w14:paraId="1A9D68B8" w14:textId="77777777" w:rsidR="00250DCE" w:rsidRPr="00B34FA1" w:rsidRDefault="00250DCE" w:rsidP="00250DC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34FA1">
        <w:rPr>
          <w:b/>
          <w:szCs w:val="24"/>
        </w:rPr>
        <w:t>9.</w:t>
      </w:r>
      <w:r w:rsidRPr="00B34FA1">
        <w:rPr>
          <w:b/>
          <w:szCs w:val="24"/>
        </w:rPr>
        <w:tab/>
      </w:r>
      <w:r w:rsidRPr="00B34FA1">
        <w:rPr>
          <w:b/>
          <w:noProof/>
          <w:szCs w:val="24"/>
        </w:rPr>
        <w:t>SPECIALIOS LAIKYMO SĄLYGOS</w:t>
      </w:r>
    </w:p>
    <w:p w14:paraId="23C7100B" w14:textId="77777777" w:rsidR="00250DCE" w:rsidRPr="00B34FA1" w:rsidRDefault="00250DCE" w:rsidP="00250DCE">
      <w:pPr>
        <w:rPr>
          <w:szCs w:val="24"/>
        </w:rPr>
      </w:pPr>
    </w:p>
    <w:p w14:paraId="26BF4E7D" w14:textId="77777777" w:rsidR="00250DCE" w:rsidRPr="00B34FA1" w:rsidRDefault="00250DCE" w:rsidP="00250DCE">
      <w:pPr>
        <w:rPr>
          <w:szCs w:val="24"/>
        </w:rPr>
      </w:pPr>
    </w:p>
    <w:p w14:paraId="1432D8BF"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10.</w:t>
      </w:r>
      <w:r w:rsidRPr="00B34FA1">
        <w:rPr>
          <w:b/>
          <w:szCs w:val="24"/>
        </w:rPr>
        <w:tab/>
      </w:r>
      <w:r w:rsidRPr="00B34FA1">
        <w:rPr>
          <w:b/>
          <w:noProof/>
          <w:szCs w:val="24"/>
        </w:rPr>
        <w:t>SPECIALIOS ATSARGUMO PRIEMONĖS DĖL NESUVARTOTO VAISTINIO PREPARATO AR JO ATLIEKŲ TVARKYMO (JEI REIKIA)</w:t>
      </w:r>
    </w:p>
    <w:p w14:paraId="7DB1C7DD" w14:textId="77777777" w:rsidR="00250DCE" w:rsidRPr="00B34FA1" w:rsidRDefault="00250DCE" w:rsidP="00250DCE">
      <w:pPr>
        <w:rPr>
          <w:szCs w:val="24"/>
        </w:rPr>
      </w:pPr>
    </w:p>
    <w:p w14:paraId="284D5722" w14:textId="77777777" w:rsidR="00250DCE" w:rsidRPr="00B34FA1" w:rsidRDefault="00250DCE" w:rsidP="00250DCE">
      <w:pPr>
        <w:rPr>
          <w:szCs w:val="24"/>
        </w:rPr>
      </w:pPr>
    </w:p>
    <w:p w14:paraId="3A1471EB"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b/>
          <w:szCs w:val="24"/>
        </w:rPr>
      </w:pPr>
      <w:r w:rsidRPr="00B34FA1">
        <w:rPr>
          <w:b/>
          <w:szCs w:val="24"/>
        </w:rPr>
        <w:t>11.</w:t>
      </w:r>
      <w:r w:rsidRPr="00B34FA1">
        <w:rPr>
          <w:b/>
          <w:szCs w:val="24"/>
        </w:rPr>
        <w:tab/>
      </w:r>
      <w:r>
        <w:rPr>
          <w:b/>
          <w:caps/>
          <w:noProof/>
          <w:szCs w:val="24"/>
        </w:rPr>
        <w:t xml:space="preserve"> REGISTRUOTOJO</w:t>
      </w:r>
      <w:r w:rsidRPr="00B34FA1">
        <w:rPr>
          <w:b/>
          <w:caps/>
          <w:noProof/>
          <w:szCs w:val="24"/>
        </w:rPr>
        <w:t xml:space="preserve"> PAVADINIMAS IR ADRESAS</w:t>
      </w:r>
    </w:p>
    <w:p w14:paraId="3D63118C" w14:textId="77777777" w:rsidR="00250DCE" w:rsidRPr="00B34FA1" w:rsidRDefault="00250DCE" w:rsidP="00250DCE">
      <w:pPr>
        <w:rPr>
          <w:szCs w:val="24"/>
        </w:rPr>
      </w:pPr>
    </w:p>
    <w:p w14:paraId="1CA50526" w14:textId="77777777" w:rsidR="00F87429" w:rsidRPr="0062792C" w:rsidRDefault="00F87429" w:rsidP="00F87429">
      <w:pPr>
        <w:rPr>
          <w:szCs w:val="24"/>
        </w:rPr>
      </w:pPr>
      <w:r w:rsidRPr="0062792C">
        <w:rPr>
          <w:szCs w:val="24"/>
        </w:rPr>
        <w:t>Teva B.V.</w:t>
      </w:r>
    </w:p>
    <w:p w14:paraId="01C33BC1" w14:textId="77777777" w:rsidR="00F87429" w:rsidRPr="0062792C" w:rsidRDefault="00F87429" w:rsidP="00F87429">
      <w:pPr>
        <w:rPr>
          <w:szCs w:val="24"/>
        </w:rPr>
      </w:pPr>
      <w:r w:rsidRPr="0062792C">
        <w:rPr>
          <w:szCs w:val="24"/>
        </w:rPr>
        <w:t>Swensweg 5</w:t>
      </w:r>
    </w:p>
    <w:p w14:paraId="39D81063" w14:textId="77777777" w:rsidR="00F87429" w:rsidRPr="0062792C" w:rsidRDefault="00F87429" w:rsidP="00F87429">
      <w:pPr>
        <w:rPr>
          <w:szCs w:val="24"/>
        </w:rPr>
      </w:pPr>
      <w:r w:rsidRPr="0062792C">
        <w:rPr>
          <w:szCs w:val="24"/>
        </w:rPr>
        <w:t>2031 GA Haarlem</w:t>
      </w:r>
    </w:p>
    <w:p w14:paraId="30F9856D" w14:textId="77777777" w:rsidR="00F87429" w:rsidRPr="00B34FA1" w:rsidRDefault="00F87429" w:rsidP="00F87429">
      <w:pPr>
        <w:rPr>
          <w:szCs w:val="24"/>
        </w:rPr>
      </w:pPr>
      <w:r w:rsidRPr="0062792C">
        <w:rPr>
          <w:szCs w:val="24"/>
        </w:rPr>
        <w:t>Nyderlandai</w:t>
      </w:r>
    </w:p>
    <w:p w14:paraId="2FDA79B7" w14:textId="77777777" w:rsidR="00250DCE" w:rsidRDefault="00250DCE" w:rsidP="00250DCE">
      <w:pPr>
        <w:rPr>
          <w:szCs w:val="24"/>
        </w:rPr>
      </w:pPr>
    </w:p>
    <w:p w14:paraId="6B7C2656" w14:textId="77777777" w:rsidR="006C0637" w:rsidRPr="00B34FA1" w:rsidRDefault="006C0637" w:rsidP="00250DCE">
      <w:pPr>
        <w:rPr>
          <w:szCs w:val="24"/>
        </w:rPr>
      </w:pPr>
    </w:p>
    <w:p w14:paraId="14D7AEAD"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12.</w:t>
      </w:r>
      <w:r w:rsidRPr="00B34FA1">
        <w:rPr>
          <w:b/>
          <w:szCs w:val="24"/>
        </w:rPr>
        <w:tab/>
      </w:r>
      <w:r>
        <w:rPr>
          <w:b/>
          <w:noProof/>
          <w:szCs w:val="24"/>
        </w:rPr>
        <w:t xml:space="preserve">REGISTRACIJOS </w:t>
      </w:r>
      <w:r w:rsidRPr="00B34FA1">
        <w:rPr>
          <w:b/>
          <w:noProof/>
          <w:szCs w:val="24"/>
        </w:rPr>
        <w:t>PAŽYMĖJIMO NUMERIS (-IAI)</w:t>
      </w:r>
      <w:r w:rsidRPr="00B34FA1">
        <w:rPr>
          <w:b/>
          <w:szCs w:val="24"/>
        </w:rPr>
        <w:t xml:space="preserve"> </w:t>
      </w:r>
    </w:p>
    <w:p w14:paraId="3154D906" w14:textId="77777777" w:rsidR="00250DCE" w:rsidRPr="00B34FA1" w:rsidRDefault="00250DCE" w:rsidP="00250DCE">
      <w:pPr>
        <w:rPr>
          <w:szCs w:val="24"/>
        </w:rPr>
      </w:pPr>
    </w:p>
    <w:p w14:paraId="47925616" w14:textId="77777777" w:rsidR="008011AD" w:rsidRDefault="008011AD" w:rsidP="008011AD">
      <w:pPr>
        <w:tabs>
          <w:tab w:val="clear" w:pos="567"/>
        </w:tabs>
        <w:spacing w:line="240" w:lineRule="auto"/>
        <w:rPr>
          <w:szCs w:val="24"/>
        </w:rPr>
      </w:pPr>
      <w:r w:rsidRPr="00D76258">
        <w:rPr>
          <w:szCs w:val="24"/>
          <w:highlight w:val="lightGray"/>
        </w:rPr>
        <w:t>30 mg</w:t>
      </w:r>
    </w:p>
    <w:p w14:paraId="53FD5359" w14:textId="77777777" w:rsidR="008011AD" w:rsidRPr="003326B0" w:rsidRDefault="008011AD" w:rsidP="008011AD">
      <w:pPr>
        <w:tabs>
          <w:tab w:val="clear" w:pos="567"/>
        </w:tabs>
        <w:spacing w:line="240" w:lineRule="auto"/>
        <w:rPr>
          <w:bCs/>
          <w:snapToGrid/>
          <w:szCs w:val="24"/>
        </w:rPr>
      </w:pPr>
      <w:r w:rsidRPr="003326B0">
        <w:rPr>
          <w:bCs/>
          <w:snapToGrid/>
          <w:szCs w:val="24"/>
        </w:rPr>
        <w:t xml:space="preserve">LT/1/16/3871/009 </w:t>
      </w:r>
      <w:r w:rsidRPr="00D76258">
        <w:rPr>
          <w:bCs/>
          <w:snapToGrid/>
          <w:szCs w:val="24"/>
          <w:highlight w:val="lightGray"/>
        </w:rPr>
        <w:t>– N30</w:t>
      </w:r>
    </w:p>
    <w:p w14:paraId="3AE4302B" w14:textId="77777777" w:rsidR="008011AD" w:rsidRPr="00D76258" w:rsidRDefault="008011AD" w:rsidP="008011AD">
      <w:pPr>
        <w:tabs>
          <w:tab w:val="clear" w:pos="567"/>
        </w:tabs>
        <w:spacing w:line="240" w:lineRule="auto"/>
        <w:rPr>
          <w:bCs/>
          <w:snapToGrid/>
          <w:szCs w:val="24"/>
        </w:rPr>
      </w:pPr>
      <w:r w:rsidRPr="00D76258">
        <w:rPr>
          <w:bCs/>
          <w:snapToGrid/>
          <w:szCs w:val="24"/>
          <w:highlight w:val="lightGray"/>
        </w:rPr>
        <w:t>60 mg</w:t>
      </w:r>
    </w:p>
    <w:p w14:paraId="5F18AA26" w14:textId="77777777" w:rsidR="008011AD" w:rsidRPr="003326B0" w:rsidRDefault="008011AD" w:rsidP="008011AD">
      <w:pPr>
        <w:tabs>
          <w:tab w:val="clear" w:pos="567"/>
        </w:tabs>
        <w:spacing w:line="240" w:lineRule="auto"/>
        <w:rPr>
          <w:bCs/>
          <w:snapToGrid/>
          <w:szCs w:val="24"/>
        </w:rPr>
      </w:pPr>
      <w:r w:rsidRPr="003326B0">
        <w:rPr>
          <w:bCs/>
          <w:snapToGrid/>
          <w:szCs w:val="24"/>
        </w:rPr>
        <w:t>LT/1/16/</w:t>
      </w:r>
      <w:r>
        <w:rPr>
          <w:bCs/>
          <w:snapToGrid/>
          <w:szCs w:val="24"/>
        </w:rPr>
        <w:t xml:space="preserve">3871/018 </w:t>
      </w:r>
      <w:r w:rsidRPr="00D76258">
        <w:rPr>
          <w:bCs/>
          <w:snapToGrid/>
          <w:szCs w:val="24"/>
          <w:highlight w:val="lightGray"/>
        </w:rPr>
        <w:t>– N30</w:t>
      </w:r>
    </w:p>
    <w:p w14:paraId="6C264DC7" w14:textId="77777777" w:rsidR="008011AD" w:rsidRDefault="008011AD" w:rsidP="008011AD">
      <w:pPr>
        <w:tabs>
          <w:tab w:val="clear" w:pos="567"/>
        </w:tabs>
        <w:spacing w:line="240" w:lineRule="auto"/>
        <w:rPr>
          <w:szCs w:val="24"/>
        </w:rPr>
      </w:pPr>
      <w:r w:rsidRPr="00D76258">
        <w:rPr>
          <w:szCs w:val="24"/>
          <w:highlight w:val="lightGray"/>
        </w:rPr>
        <w:t>90 mg</w:t>
      </w:r>
    </w:p>
    <w:p w14:paraId="1482B612" w14:textId="77777777" w:rsidR="008011AD" w:rsidRPr="003326B0" w:rsidRDefault="008011AD" w:rsidP="008011AD">
      <w:pPr>
        <w:tabs>
          <w:tab w:val="clear" w:pos="567"/>
        </w:tabs>
        <w:spacing w:line="240" w:lineRule="auto"/>
        <w:rPr>
          <w:bCs/>
          <w:snapToGrid/>
          <w:szCs w:val="24"/>
        </w:rPr>
      </w:pPr>
      <w:r w:rsidRPr="003326B0">
        <w:rPr>
          <w:bCs/>
          <w:snapToGrid/>
          <w:szCs w:val="24"/>
        </w:rPr>
        <w:t>LT/1/16/</w:t>
      </w:r>
      <w:r>
        <w:rPr>
          <w:bCs/>
          <w:snapToGrid/>
          <w:szCs w:val="24"/>
        </w:rPr>
        <w:t xml:space="preserve">3871/027 </w:t>
      </w:r>
      <w:r w:rsidRPr="00D76258">
        <w:rPr>
          <w:bCs/>
          <w:snapToGrid/>
          <w:szCs w:val="24"/>
          <w:highlight w:val="lightGray"/>
        </w:rPr>
        <w:t>– N30</w:t>
      </w:r>
    </w:p>
    <w:p w14:paraId="1D860452" w14:textId="77777777" w:rsidR="00250DCE" w:rsidRPr="00B34FA1" w:rsidRDefault="00250DCE" w:rsidP="00250DCE">
      <w:pPr>
        <w:rPr>
          <w:szCs w:val="24"/>
        </w:rPr>
      </w:pPr>
    </w:p>
    <w:p w14:paraId="3960801A" w14:textId="77777777" w:rsidR="00250DCE" w:rsidRPr="00B34FA1" w:rsidRDefault="00250DCE" w:rsidP="00250DCE">
      <w:pPr>
        <w:rPr>
          <w:szCs w:val="24"/>
        </w:rPr>
      </w:pPr>
    </w:p>
    <w:p w14:paraId="461F35C5"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13.</w:t>
      </w:r>
      <w:r w:rsidRPr="00B34FA1">
        <w:rPr>
          <w:b/>
          <w:szCs w:val="24"/>
        </w:rPr>
        <w:tab/>
      </w:r>
      <w:r w:rsidRPr="00B34FA1">
        <w:rPr>
          <w:b/>
          <w:noProof/>
          <w:szCs w:val="24"/>
        </w:rPr>
        <w:t xml:space="preserve">SERIJOS NUMERIS </w:t>
      </w:r>
    </w:p>
    <w:p w14:paraId="365E959E" w14:textId="77777777" w:rsidR="00250DCE" w:rsidRPr="00B34FA1" w:rsidRDefault="00250DCE" w:rsidP="00250DCE"/>
    <w:p w14:paraId="1089B647" w14:textId="54FEBC20" w:rsidR="00250DCE" w:rsidRPr="00B34FA1" w:rsidRDefault="008327F8" w:rsidP="00250DCE">
      <w:r>
        <w:t>Lot</w:t>
      </w:r>
      <w:r w:rsidR="00F87429">
        <w:t xml:space="preserve"> </w:t>
      </w:r>
    </w:p>
    <w:p w14:paraId="0E228070" w14:textId="77777777" w:rsidR="00250DCE" w:rsidRPr="00B34FA1" w:rsidRDefault="00250DCE" w:rsidP="00250DCE">
      <w:pPr>
        <w:rPr>
          <w:szCs w:val="24"/>
        </w:rPr>
      </w:pPr>
    </w:p>
    <w:p w14:paraId="5CA5F678" w14:textId="77777777" w:rsidR="00250DCE" w:rsidRPr="00B34FA1" w:rsidRDefault="00250DCE" w:rsidP="00250DCE">
      <w:pPr>
        <w:rPr>
          <w:szCs w:val="24"/>
        </w:rPr>
      </w:pPr>
    </w:p>
    <w:p w14:paraId="65ED32C2" w14:textId="77777777" w:rsidR="00250DCE" w:rsidRPr="00B34FA1" w:rsidRDefault="00250DCE" w:rsidP="00250DCE">
      <w:pPr>
        <w:pBdr>
          <w:top w:val="single" w:sz="4" w:space="1" w:color="auto"/>
          <w:left w:val="single" w:sz="4" w:space="4" w:color="auto"/>
          <w:bottom w:val="single" w:sz="4" w:space="1" w:color="auto"/>
          <w:right w:val="single" w:sz="4" w:space="4" w:color="auto"/>
        </w:pBdr>
        <w:spacing w:line="240" w:lineRule="auto"/>
        <w:outlineLvl w:val="0"/>
        <w:rPr>
          <w:szCs w:val="24"/>
        </w:rPr>
      </w:pPr>
      <w:r w:rsidRPr="00B34FA1">
        <w:rPr>
          <w:b/>
          <w:szCs w:val="24"/>
        </w:rPr>
        <w:t>14.</w:t>
      </w:r>
      <w:r w:rsidRPr="00B34FA1">
        <w:rPr>
          <w:b/>
          <w:szCs w:val="24"/>
        </w:rPr>
        <w:tab/>
      </w:r>
      <w:r w:rsidRPr="00B34FA1">
        <w:rPr>
          <w:b/>
          <w:noProof/>
          <w:szCs w:val="24"/>
        </w:rPr>
        <w:t>PARDAVIMO (IŠDAVIMO) TVARKA</w:t>
      </w:r>
    </w:p>
    <w:p w14:paraId="57C11C29" w14:textId="77777777" w:rsidR="00250DCE" w:rsidRPr="00B34FA1" w:rsidRDefault="00250DCE" w:rsidP="00250DCE">
      <w:pPr>
        <w:rPr>
          <w:szCs w:val="24"/>
        </w:rPr>
      </w:pPr>
    </w:p>
    <w:p w14:paraId="26622903" w14:textId="77777777" w:rsidR="00250DCE" w:rsidRPr="00B34FA1" w:rsidRDefault="00250DCE" w:rsidP="00250DCE">
      <w:pPr>
        <w:rPr>
          <w:szCs w:val="24"/>
        </w:rPr>
      </w:pPr>
      <w:r w:rsidRPr="00B34FA1">
        <w:t xml:space="preserve">Receptinis </w:t>
      </w:r>
      <w:r w:rsidR="008327F8">
        <w:t>vaistas</w:t>
      </w:r>
    </w:p>
    <w:p w14:paraId="1ECC22F2" w14:textId="77777777" w:rsidR="00250DCE" w:rsidRPr="00B34FA1" w:rsidRDefault="00250DCE" w:rsidP="00250DCE">
      <w:pPr>
        <w:rPr>
          <w:szCs w:val="24"/>
        </w:rPr>
      </w:pPr>
    </w:p>
    <w:p w14:paraId="18656300" w14:textId="77777777" w:rsidR="00250DCE" w:rsidRPr="00B34FA1" w:rsidRDefault="00250DCE" w:rsidP="00250DCE">
      <w:pPr>
        <w:rPr>
          <w:szCs w:val="24"/>
        </w:rPr>
      </w:pPr>
    </w:p>
    <w:p w14:paraId="0493BC9D" w14:textId="77777777" w:rsidR="00250DCE" w:rsidRPr="00B34FA1" w:rsidRDefault="00250DCE" w:rsidP="00250DCE">
      <w:pPr>
        <w:pBdr>
          <w:top w:val="single" w:sz="4" w:space="2" w:color="auto"/>
          <w:left w:val="single" w:sz="4" w:space="4" w:color="auto"/>
          <w:bottom w:val="single" w:sz="4" w:space="1" w:color="auto"/>
          <w:right w:val="single" w:sz="4" w:space="4" w:color="auto"/>
        </w:pBdr>
        <w:spacing w:line="240" w:lineRule="auto"/>
        <w:outlineLvl w:val="0"/>
        <w:rPr>
          <w:szCs w:val="24"/>
        </w:rPr>
      </w:pPr>
      <w:r w:rsidRPr="00B34FA1">
        <w:rPr>
          <w:b/>
          <w:szCs w:val="24"/>
        </w:rPr>
        <w:t>15.</w:t>
      </w:r>
      <w:r w:rsidRPr="00B34FA1">
        <w:rPr>
          <w:b/>
          <w:szCs w:val="24"/>
        </w:rPr>
        <w:tab/>
      </w:r>
      <w:r w:rsidRPr="00B34FA1">
        <w:rPr>
          <w:b/>
          <w:noProof/>
          <w:szCs w:val="24"/>
        </w:rPr>
        <w:t>VARTOJIMO INSTRUKCIJA</w:t>
      </w:r>
    </w:p>
    <w:p w14:paraId="32B77CB2" w14:textId="77777777" w:rsidR="00250DCE" w:rsidRPr="00B34FA1" w:rsidRDefault="00250DCE" w:rsidP="00250DCE">
      <w:pPr>
        <w:rPr>
          <w:szCs w:val="24"/>
        </w:rPr>
      </w:pPr>
    </w:p>
    <w:p w14:paraId="44379234" w14:textId="77777777" w:rsidR="00250DCE" w:rsidRPr="00B34FA1" w:rsidRDefault="00250DCE" w:rsidP="00250DCE">
      <w:pPr>
        <w:rPr>
          <w:szCs w:val="24"/>
        </w:rPr>
      </w:pPr>
    </w:p>
    <w:p w14:paraId="22F0B10E" w14:textId="77777777" w:rsidR="00250DCE" w:rsidRPr="00D42F2E" w:rsidRDefault="00250DCE" w:rsidP="00250DCE">
      <w:pPr>
        <w:pBdr>
          <w:top w:val="single" w:sz="4" w:space="1" w:color="auto"/>
          <w:left w:val="single" w:sz="4" w:space="4" w:color="auto"/>
          <w:bottom w:val="single" w:sz="4" w:space="0" w:color="auto"/>
          <w:right w:val="single" w:sz="4" w:space="4" w:color="auto"/>
        </w:pBdr>
        <w:spacing w:line="240" w:lineRule="auto"/>
        <w:rPr>
          <w:szCs w:val="24"/>
        </w:rPr>
      </w:pPr>
      <w:r w:rsidRPr="00B34FA1">
        <w:rPr>
          <w:b/>
          <w:szCs w:val="24"/>
        </w:rPr>
        <w:t>16.</w:t>
      </w:r>
      <w:r w:rsidRPr="00B34FA1">
        <w:rPr>
          <w:b/>
          <w:szCs w:val="24"/>
        </w:rPr>
        <w:tab/>
      </w:r>
      <w:r w:rsidRPr="00B34FA1">
        <w:rPr>
          <w:b/>
          <w:noProof/>
          <w:szCs w:val="24"/>
        </w:rPr>
        <w:t xml:space="preserve">INFORMACIJA BRAILIO </w:t>
      </w:r>
      <w:r w:rsidRPr="00855F36">
        <w:rPr>
          <w:b/>
          <w:noProof/>
          <w:szCs w:val="24"/>
        </w:rPr>
        <w:t>RAŠTU</w:t>
      </w:r>
    </w:p>
    <w:p w14:paraId="06C5299A" w14:textId="77777777" w:rsidR="00250DCE" w:rsidRDefault="00250DCE" w:rsidP="00250DCE"/>
    <w:p w14:paraId="54D99F4F" w14:textId="77777777" w:rsidR="008327F8" w:rsidRPr="0070698B" w:rsidRDefault="008327F8" w:rsidP="008327F8">
      <w:pPr>
        <w:tabs>
          <w:tab w:val="left" w:pos="9072"/>
        </w:tabs>
        <w:rPr>
          <w:b/>
        </w:rPr>
      </w:pPr>
      <w:r w:rsidRPr="007D0562">
        <w:rPr>
          <w:b/>
          <w:highlight w:val="lightGray"/>
        </w:rPr>
        <w:t>Jeigu nėra išorinės dėžutės</w:t>
      </w:r>
    </w:p>
    <w:p w14:paraId="3BC1738A" w14:textId="77777777" w:rsidR="008327F8" w:rsidRDefault="008327F8" w:rsidP="008327F8">
      <w:r>
        <w:t xml:space="preserve">Cinacalcet Teva 30 mg </w:t>
      </w:r>
    </w:p>
    <w:p w14:paraId="077A46CF" w14:textId="77777777" w:rsidR="008327F8" w:rsidRPr="007D0562" w:rsidRDefault="008327F8" w:rsidP="008327F8">
      <w:pPr>
        <w:rPr>
          <w:highlight w:val="lightGray"/>
        </w:rPr>
      </w:pPr>
      <w:r w:rsidRPr="007D0562">
        <w:rPr>
          <w:highlight w:val="lightGray"/>
        </w:rPr>
        <w:t xml:space="preserve">Cinacalcet Teva 60 mg </w:t>
      </w:r>
    </w:p>
    <w:p w14:paraId="78FB2639" w14:textId="77777777" w:rsidR="008327F8" w:rsidRDefault="008327F8" w:rsidP="008327F8">
      <w:pPr>
        <w:tabs>
          <w:tab w:val="left" w:pos="9072"/>
        </w:tabs>
      </w:pPr>
      <w:r w:rsidRPr="007D0562">
        <w:rPr>
          <w:highlight w:val="lightGray"/>
        </w:rPr>
        <w:t>Cinacalcet Teva 90 mg</w:t>
      </w:r>
    </w:p>
    <w:p w14:paraId="55F64D4B" w14:textId="77777777" w:rsidR="00965B41" w:rsidRDefault="00965B41" w:rsidP="008327F8">
      <w:pPr>
        <w:tabs>
          <w:tab w:val="left" w:pos="9072"/>
        </w:tabs>
      </w:pPr>
    </w:p>
    <w:p w14:paraId="6500285C" w14:textId="77777777" w:rsidR="008327F8" w:rsidRPr="00855F36" w:rsidRDefault="008327F8" w:rsidP="008327F8">
      <w:pPr>
        <w:tabs>
          <w:tab w:val="left" w:pos="9072"/>
        </w:tabs>
      </w:pPr>
    </w:p>
    <w:p w14:paraId="521943C3" w14:textId="77777777" w:rsidR="008327F8" w:rsidRPr="00D42F2E" w:rsidRDefault="008327F8" w:rsidP="008327F8">
      <w:pPr>
        <w:pBdr>
          <w:top w:val="single" w:sz="4" w:space="1" w:color="auto"/>
          <w:left w:val="single" w:sz="4" w:space="4" w:color="auto"/>
          <w:bottom w:val="single" w:sz="4" w:space="0" w:color="auto"/>
          <w:right w:val="single" w:sz="4" w:space="4" w:color="auto"/>
        </w:pBdr>
        <w:tabs>
          <w:tab w:val="left" w:pos="9072"/>
        </w:tabs>
      </w:pPr>
      <w:r w:rsidRPr="00855F36">
        <w:rPr>
          <w:b/>
        </w:rPr>
        <w:t>17. UNIKALUS IDENTIFIKATORIUS – 2D BRŪKŠNINIS KODAS</w:t>
      </w:r>
    </w:p>
    <w:p w14:paraId="2E4970B9" w14:textId="77777777" w:rsidR="008327F8" w:rsidRPr="00855F36" w:rsidRDefault="008327F8" w:rsidP="008327F8">
      <w:pPr>
        <w:tabs>
          <w:tab w:val="left" w:pos="9072"/>
        </w:tabs>
        <w:rPr>
          <w:szCs w:val="22"/>
        </w:rPr>
      </w:pPr>
    </w:p>
    <w:p w14:paraId="52763DBA" w14:textId="77777777" w:rsidR="008327F8" w:rsidRPr="007D0562" w:rsidRDefault="008327F8" w:rsidP="008327F8">
      <w:pPr>
        <w:rPr>
          <w:highlight w:val="lightGray"/>
        </w:rPr>
      </w:pPr>
      <w:r w:rsidRPr="007D0562">
        <w:rPr>
          <w:b/>
          <w:highlight w:val="lightGray"/>
        </w:rPr>
        <w:t>Jeigu nėra išorinės dėžutės</w:t>
      </w:r>
    </w:p>
    <w:p w14:paraId="1D2ADE37" w14:textId="77777777" w:rsidR="008327F8" w:rsidRPr="007D0562" w:rsidRDefault="008327F8" w:rsidP="008327F8">
      <w:pPr>
        <w:rPr>
          <w:highlight w:val="lightGray"/>
        </w:rPr>
      </w:pPr>
      <w:r w:rsidRPr="007D0562">
        <w:rPr>
          <w:highlight w:val="lightGray"/>
        </w:rPr>
        <w:t>2D brūkšninis kodas su nurodytu unikaliu identifikatoriumi.</w:t>
      </w:r>
    </w:p>
    <w:p w14:paraId="109BAF10" w14:textId="77777777" w:rsidR="008327F8" w:rsidRPr="007D0562" w:rsidRDefault="008327F8" w:rsidP="008327F8">
      <w:pPr>
        <w:rPr>
          <w:highlight w:val="lightGray"/>
        </w:rPr>
      </w:pPr>
    </w:p>
    <w:p w14:paraId="3F97AC70" w14:textId="77777777" w:rsidR="008327F8" w:rsidRPr="002E7B7C" w:rsidRDefault="008327F8" w:rsidP="008327F8">
      <w:pPr>
        <w:tabs>
          <w:tab w:val="left" w:pos="9072"/>
        </w:tabs>
      </w:pPr>
    </w:p>
    <w:p w14:paraId="38BF244C" w14:textId="77777777" w:rsidR="008327F8" w:rsidRPr="002E7B7C" w:rsidRDefault="008327F8" w:rsidP="008327F8">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17E048C2" w14:textId="77777777" w:rsidR="008327F8" w:rsidRPr="002E7B7C" w:rsidRDefault="008327F8" w:rsidP="008327F8">
      <w:pPr>
        <w:tabs>
          <w:tab w:val="left" w:pos="9072"/>
        </w:tabs>
      </w:pPr>
    </w:p>
    <w:p w14:paraId="12540974" w14:textId="77777777" w:rsidR="008327F8" w:rsidRDefault="008327F8" w:rsidP="008327F8">
      <w:r w:rsidRPr="007D0562">
        <w:rPr>
          <w:b/>
          <w:highlight w:val="lightGray"/>
        </w:rPr>
        <w:t>Jeigu nėra išorinės dėžutės</w:t>
      </w:r>
    </w:p>
    <w:p w14:paraId="3CFB6BDA" w14:textId="77777777" w:rsidR="008327F8" w:rsidRPr="00D42F2E" w:rsidRDefault="008327F8" w:rsidP="008327F8">
      <w:r w:rsidRPr="00855F36">
        <w:t>PC: {numeris}</w:t>
      </w:r>
    </w:p>
    <w:p w14:paraId="14655354" w14:textId="77777777" w:rsidR="008327F8" w:rsidRPr="002E7B7C" w:rsidRDefault="008327F8" w:rsidP="008327F8">
      <w:r w:rsidRPr="002E7B7C">
        <w:t>SN: {numeris}</w:t>
      </w:r>
    </w:p>
    <w:p w14:paraId="0E3A7BC9" w14:textId="77777777" w:rsidR="008327F8" w:rsidRPr="00F87429" w:rsidRDefault="008327F8" w:rsidP="008327F8">
      <w:pPr>
        <w:rPr>
          <w:highlight w:val="lightGray"/>
        </w:rPr>
      </w:pPr>
      <w:r w:rsidRPr="00D42F2E">
        <w:rPr>
          <w:highlight w:val="lightGray"/>
        </w:rPr>
        <w:t>NN: {numeris}</w:t>
      </w:r>
    </w:p>
    <w:p w14:paraId="74AB7F52" w14:textId="77777777" w:rsidR="008327F8" w:rsidRPr="001219FB" w:rsidRDefault="008327F8" w:rsidP="008327F8">
      <w:pPr>
        <w:tabs>
          <w:tab w:val="left" w:pos="9072"/>
        </w:tabs>
      </w:pPr>
      <w:r w:rsidRPr="002E7B7C">
        <w:t xml:space="preserve"> </w:t>
      </w:r>
    </w:p>
    <w:p w14:paraId="72405A8E" w14:textId="77777777" w:rsidR="00250DCE" w:rsidRDefault="00250DCE">
      <w:pPr>
        <w:tabs>
          <w:tab w:val="clear" w:pos="567"/>
        </w:tabs>
        <w:spacing w:after="200" w:line="276" w:lineRule="auto"/>
        <w:rPr>
          <w:szCs w:val="24"/>
        </w:rPr>
      </w:pPr>
      <w:r>
        <w:rPr>
          <w:szCs w:val="24"/>
        </w:rPr>
        <w:br w:type="page"/>
      </w:r>
    </w:p>
    <w:p w14:paraId="29DEFDD6" w14:textId="77777777" w:rsidR="00250DCE" w:rsidRPr="00250DCE" w:rsidRDefault="00250DCE" w:rsidP="00811A4B">
      <w:pPr>
        <w:tabs>
          <w:tab w:val="clear" w:pos="567"/>
        </w:tabs>
        <w:spacing w:line="240" w:lineRule="auto"/>
        <w:jc w:val="center"/>
        <w:rPr>
          <w:rFonts w:eastAsia="TimesNewRoman,Bold"/>
          <w:b/>
          <w:bCs/>
          <w:snapToGrid/>
          <w:szCs w:val="22"/>
        </w:rPr>
      </w:pPr>
    </w:p>
    <w:p w14:paraId="6ABCC525" w14:textId="77777777" w:rsidR="00250DCE" w:rsidRPr="00250DCE" w:rsidRDefault="00250DCE" w:rsidP="00811A4B">
      <w:pPr>
        <w:tabs>
          <w:tab w:val="clear" w:pos="567"/>
        </w:tabs>
        <w:spacing w:line="240" w:lineRule="auto"/>
        <w:jc w:val="center"/>
        <w:rPr>
          <w:rFonts w:eastAsia="TimesNewRoman,Bold"/>
          <w:b/>
          <w:bCs/>
          <w:snapToGrid/>
          <w:szCs w:val="22"/>
        </w:rPr>
      </w:pPr>
    </w:p>
    <w:p w14:paraId="66E40471" w14:textId="77777777" w:rsidR="00250DCE" w:rsidRPr="00250DCE" w:rsidRDefault="00250DCE" w:rsidP="00811A4B">
      <w:pPr>
        <w:tabs>
          <w:tab w:val="clear" w:pos="567"/>
        </w:tabs>
        <w:spacing w:line="240" w:lineRule="auto"/>
        <w:jc w:val="center"/>
        <w:rPr>
          <w:rFonts w:eastAsia="TimesNewRoman,Bold"/>
          <w:b/>
          <w:bCs/>
          <w:snapToGrid/>
          <w:szCs w:val="22"/>
        </w:rPr>
      </w:pPr>
    </w:p>
    <w:p w14:paraId="548B4162" w14:textId="77777777" w:rsidR="00250DCE" w:rsidRPr="00250DCE" w:rsidRDefault="00250DCE" w:rsidP="00811A4B">
      <w:pPr>
        <w:tabs>
          <w:tab w:val="clear" w:pos="567"/>
        </w:tabs>
        <w:spacing w:line="240" w:lineRule="auto"/>
        <w:jc w:val="center"/>
        <w:rPr>
          <w:rFonts w:eastAsia="TimesNewRoman,Bold"/>
          <w:b/>
          <w:bCs/>
          <w:snapToGrid/>
          <w:szCs w:val="22"/>
        </w:rPr>
      </w:pPr>
    </w:p>
    <w:p w14:paraId="7D5840BD" w14:textId="77777777" w:rsidR="00250DCE" w:rsidRPr="00250DCE" w:rsidRDefault="00250DCE" w:rsidP="00811A4B">
      <w:pPr>
        <w:tabs>
          <w:tab w:val="clear" w:pos="567"/>
        </w:tabs>
        <w:spacing w:line="240" w:lineRule="auto"/>
        <w:jc w:val="center"/>
        <w:rPr>
          <w:rFonts w:eastAsia="TimesNewRoman,Bold"/>
          <w:b/>
          <w:bCs/>
          <w:snapToGrid/>
          <w:szCs w:val="22"/>
        </w:rPr>
      </w:pPr>
    </w:p>
    <w:p w14:paraId="3DB88154" w14:textId="77777777" w:rsidR="00250DCE" w:rsidRPr="00250DCE" w:rsidRDefault="00250DCE" w:rsidP="00811A4B">
      <w:pPr>
        <w:tabs>
          <w:tab w:val="clear" w:pos="567"/>
        </w:tabs>
        <w:spacing w:line="240" w:lineRule="auto"/>
        <w:jc w:val="center"/>
        <w:rPr>
          <w:rFonts w:eastAsia="TimesNewRoman,Bold"/>
          <w:b/>
          <w:bCs/>
          <w:snapToGrid/>
          <w:szCs w:val="22"/>
        </w:rPr>
      </w:pPr>
    </w:p>
    <w:p w14:paraId="6A46584B" w14:textId="77777777" w:rsidR="00250DCE" w:rsidRPr="00250DCE" w:rsidRDefault="00250DCE" w:rsidP="00811A4B">
      <w:pPr>
        <w:tabs>
          <w:tab w:val="clear" w:pos="567"/>
        </w:tabs>
        <w:spacing w:line="240" w:lineRule="auto"/>
        <w:jc w:val="center"/>
        <w:rPr>
          <w:rFonts w:eastAsia="TimesNewRoman,Bold"/>
          <w:b/>
          <w:bCs/>
          <w:snapToGrid/>
          <w:szCs w:val="22"/>
        </w:rPr>
      </w:pPr>
    </w:p>
    <w:p w14:paraId="27B61ADA" w14:textId="77777777" w:rsidR="00250DCE" w:rsidRPr="00250DCE" w:rsidRDefault="00250DCE" w:rsidP="00811A4B">
      <w:pPr>
        <w:tabs>
          <w:tab w:val="clear" w:pos="567"/>
        </w:tabs>
        <w:spacing w:line="240" w:lineRule="auto"/>
        <w:jc w:val="center"/>
        <w:rPr>
          <w:rFonts w:eastAsia="TimesNewRoman,Bold"/>
          <w:b/>
          <w:bCs/>
          <w:snapToGrid/>
          <w:szCs w:val="22"/>
        </w:rPr>
      </w:pPr>
    </w:p>
    <w:p w14:paraId="1030DC5D" w14:textId="77777777" w:rsidR="00250DCE" w:rsidRPr="00250DCE" w:rsidRDefault="00250DCE" w:rsidP="00811A4B">
      <w:pPr>
        <w:tabs>
          <w:tab w:val="clear" w:pos="567"/>
        </w:tabs>
        <w:spacing w:line="240" w:lineRule="auto"/>
        <w:jc w:val="center"/>
        <w:rPr>
          <w:rFonts w:eastAsia="TimesNewRoman,Bold"/>
          <w:b/>
          <w:bCs/>
          <w:snapToGrid/>
          <w:szCs w:val="22"/>
        </w:rPr>
      </w:pPr>
    </w:p>
    <w:p w14:paraId="3D8293FB" w14:textId="77777777" w:rsidR="00250DCE" w:rsidRPr="00250DCE" w:rsidRDefault="00250DCE" w:rsidP="00811A4B">
      <w:pPr>
        <w:tabs>
          <w:tab w:val="clear" w:pos="567"/>
        </w:tabs>
        <w:spacing w:line="240" w:lineRule="auto"/>
        <w:jc w:val="center"/>
        <w:rPr>
          <w:rFonts w:eastAsia="TimesNewRoman,Bold"/>
          <w:b/>
          <w:bCs/>
          <w:snapToGrid/>
          <w:szCs w:val="22"/>
        </w:rPr>
      </w:pPr>
    </w:p>
    <w:p w14:paraId="5573E6DD" w14:textId="77777777" w:rsidR="00250DCE" w:rsidRPr="00250DCE" w:rsidRDefault="00250DCE" w:rsidP="00811A4B">
      <w:pPr>
        <w:tabs>
          <w:tab w:val="clear" w:pos="567"/>
        </w:tabs>
        <w:spacing w:line="240" w:lineRule="auto"/>
        <w:jc w:val="center"/>
        <w:rPr>
          <w:rFonts w:eastAsia="TimesNewRoman,Bold"/>
          <w:b/>
          <w:bCs/>
          <w:snapToGrid/>
          <w:szCs w:val="22"/>
        </w:rPr>
      </w:pPr>
    </w:p>
    <w:p w14:paraId="5A6C8E97" w14:textId="77777777" w:rsidR="00250DCE" w:rsidRPr="00250DCE" w:rsidRDefault="00250DCE" w:rsidP="00811A4B">
      <w:pPr>
        <w:tabs>
          <w:tab w:val="clear" w:pos="567"/>
        </w:tabs>
        <w:spacing w:line="240" w:lineRule="auto"/>
        <w:jc w:val="center"/>
        <w:rPr>
          <w:rFonts w:eastAsia="TimesNewRoman,Bold"/>
          <w:b/>
          <w:bCs/>
          <w:snapToGrid/>
          <w:szCs w:val="22"/>
        </w:rPr>
      </w:pPr>
    </w:p>
    <w:p w14:paraId="11A71CB0" w14:textId="77777777" w:rsidR="00533C11" w:rsidRDefault="00533C11" w:rsidP="00811A4B">
      <w:pPr>
        <w:tabs>
          <w:tab w:val="clear" w:pos="567"/>
        </w:tabs>
        <w:spacing w:line="240" w:lineRule="auto"/>
        <w:jc w:val="center"/>
        <w:rPr>
          <w:rFonts w:eastAsia="TimesNewRoman,Bold"/>
          <w:b/>
          <w:bCs/>
          <w:snapToGrid/>
          <w:szCs w:val="22"/>
        </w:rPr>
      </w:pPr>
    </w:p>
    <w:p w14:paraId="530439A5" w14:textId="77777777" w:rsidR="00533C11" w:rsidRDefault="00533C11" w:rsidP="00811A4B">
      <w:pPr>
        <w:tabs>
          <w:tab w:val="clear" w:pos="567"/>
        </w:tabs>
        <w:spacing w:line="240" w:lineRule="auto"/>
        <w:jc w:val="center"/>
        <w:rPr>
          <w:rFonts w:eastAsia="TimesNewRoman,Bold"/>
          <w:b/>
          <w:bCs/>
          <w:snapToGrid/>
          <w:szCs w:val="22"/>
        </w:rPr>
      </w:pPr>
    </w:p>
    <w:p w14:paraId="64244123" w14:textId="77777777" w:rsidR="00533C11" w:rsidRDefault="00533C11" w:rsidP="00811A4B">
      <w:pPr>
        <w:tabs>
          <w:tab w:val="clear" w:pos="567"/>
        </w:tabs>
        <w:spacing w:line="240" w:lineRule="auto"/>
        <w:jc w:val="center"/>
        <w:rPr>
          <w:rFonts w:eastAsia="TimesNewRoman,Bold"/>
          <w:b/>
          <w:bCs/>
          <w:snapToGrid/>
          <w:szCs w:val="22"/>
        </w:rPr>
      </w:pPr>
    </w:p>
    <w:p w14:paraId="5DE3BF85" w14:textId="77777777" w:rsidR="00533C11" w:rsidRDefault="00533C11" w:rsidP="00811A4B">
      <w:pPr>
        <w:tabs>
          <w:tab w:val="clear" w:pos="567"/>
        </w:tabs>
        <w:spacing w:line="240" w:lineRule="auto"/>
        <w:jc w:val="center"/>
        <w:rPr>
          <w:rFonts w:eastAsia="TimesNewRoman,Bold"/>
          <w:b/>
          <w:bCs/>
          <w:snapToGrid/>
          <w:szCs w:val="22"/>
        </w:rPr>
      </w:pPr>
    </w:p>
    <w:p w14:paraId="05372910" w14:textId="77777777" w:rsidR="00533C11" w:rsidRDefault="00533C11" w:rsidP="00811A4B">
      <w:pPr>
        <w:tabs>
          <w:tab w:val="clear" w:pos="567"/>
        </w:tabs>
        <w:spacing w:line="240" w:lineRule="auto"/>
        <w:jc w:val="center"/>
        <w:rPr>
          <w:rFonts w:eastAsia="TimesNewRoman,Bold"/>
          <w:b/>
          <w:bCs/>
          <w:snapToGrid/>
          <w:szCs w:val="22"/>
        </w:rPr>
      </w:pPr>
    </w:p>
    <w:p w14:paraId="302EF2D3" w14:textId="77777777" w:rsidR="00533C11" w:rsidRDefault="00533C11" w:rsidP="00811A4B">
      <w:pPr>
        <w:tabs>
          <w:tab w:val="clear" w:pos="567"/>
        </w:tabs>
        <w:spacing w:line="240" w:lineRule="auto"/>
        <w:jc w:val="center"/>
        <w:rPr>
          <w:rFonts w:eastAsia="TimesNewRoman,Bold"/>
          <w:b/>
          <w:bCs/>
          <w:snapToGrid/>
          <w:szCs w:val="22"/>
        </w:rPr>
      </w:pPr>
    </w:p>
    <w:p w14:paraId="14266258" w14:textId="77777777" w:rsidR="00533C11" w:rsidRDefault="00533C11" w:rsidP="00811A4B">
      <w:pPr>
        <w:tabs>
          <w:tab w:val="clear" w:pos="567"/>
        </w:tabs>
        <w:spacing w:line="240" w:lineRule="auto"/>
        <w:jc w:val="center"/>
        <w:rPr>
          <w:rFonts w:eastAsia="TimesNewRoman,Bold"/>
          <w:b/>
          <w:bCs/>
          <w:snapToGrid/>
          <w:szCs w:val="22"/>
        </w:rPr>
      </w:pPr>
    </w:p>
    <w:p w14:paraId="1F978DB5" w14:textId="77777777" w:rsidR="00533C11" w:rsidRDefault="00533C11" w:rsidP="00811A4B">
      <w:pPr>
        <w:tabs>
          <w:tab w:val="clear" w:pos="567"/>
        </w:tabs>
        <w:spacing w:line="240" w:lineRule="auto"/>
        <w:jc w:val="center"/>
        <w:rPr>
          <w:rFonts w:eastAsia="TimesNewRoman,Bold"/>
          <w:b/>
          <w:bCs/>
          <w:snapToGrid/>
          <w:szCs w:val="22"/>
        </w:rPr>
      </w:pPr>
    </w:p>
    <w:p w14:paraId="14241406" w14:textId="77777777" w:rsidR="00533C11" w:rsidRDefault="00533C11" w:rsidP="00811A4B">
      <w:pPr>
        <w:tabs>
          <w:tab w:val="clear" w:pos="567"/>
        </w:tabs>
        <w:spacing w:line="240" w:lineRule="auto"/>
        <w:jc w:val="center"/>
        <w:rPr>
          <w:rFonts w:eastAsia="TimesNewRoman,Bold"/>
          <w:b/>
          <w:bCs/>
          <w:snapToGrid/>
          <w:szCs w:val="22"/>
        </w:rPr>
      </w:pPr>
    </w:p>
    <w:p w14:paraId="4720F7A8" w14:textId="77777777" w:rsidR="00533C11" w:rsidRDefault="00533C11" w:rsidP="00811A4B">
      <w:pPr>
        <w:tabs>
          <w:tab w:val="clear" w:pos="567"/>
        </w:tabs>
        <w:spacing w:line="240" w:lineRule="auto"/>
        <w:jc w:val="center"/>
        <w:rPr>
          <w:rFonts w:eastAsia="TimesNewRoman,Bold"/>
          <w:b/>
          <w:bCs/>
          <w:snapToGrid/>
          <w:szCs w:val="22"/>
        </w:rPr>
      </w:pPr>
    </w:p>
    <w:p w14:paraId="141125D8" w14:textId="77777777" w:rsidR="00250DCE" w:rsidRPr="00250DCE" w:rsidRDefault="00250DCE" w:rsidP="00811A4B">
      <w:pPr>
        <w:tabs>
          <w:tab w:val="clear" w:pos="567"/>
        </w:tabs>
        <w:spacing w:line="240" w:lineRule="auto"/>
        <w:jc w:val="center"/>
        <w:rPr>
          <w:rFonts w:eastAsia="TimesNewRoman,Bold"/>
          <w:b/>
          <w:bCs/>
          <w:snapToGrid/>
          <w:szCs w:val="22"/>
        </w:rPr>
      </w:pPr>
      <w:r w:rsidRPr="00250DCE">
        <w:rPr>
          <w:rFonts w:eastAsia="TimesNewRoman,Bold"/>
          <w:b/>
          <w:bCs/>
          <w:snapToGrid/>
          <w:szCs w:val="22"/>
        </w:rPr>
        <w:t>B. PAKUOTĖS LAPELIS</w:t>
      </w:r>
    </w:p>
    <w:p w14:paraId="70E5863D" w14:textId="77777777" w:rsidR="00250DCE" w:rsidRPr="00250DCE" w:rsidRDefault="00250DCE" w:rsidP="00811A4B">
      <w:pPr>
        <w:tabs>
          <w:tab w:val="clear" w:pos="567"/>
        </w:tabs>
        <w:spacing w:line="240" w:lineRule="auto"/>
        <w:rPr>
          <w:rFonts w:eastAsia="TimesNewRoman,Bold"/>
          <w:b/>
          <w:bCs/>
          <w:snapToGrid/>
          <w:szCs w:val="22"/>
        </w:rPr>
      </w:pPr>
      <w:r w:rsidRPr="00250DCE">
        <w:rPr>
          <w:rFonts w:eastAsia="TimesNewRoman,Bold"/>
          <w:b/>
          <w:bCs/>
          <w:snapToGrid/>
          <w:szCs w:val="22"/>
        </w:rPr>
        <w:br w:type="page"/>
      </w:r>
    </w:p>
    <w:p w14:paraId="305BC9E6"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r w:rsidRPr="00250DCE">
        <w:rPr>
          <w:rFonts w:eastAsia="TimesNewRoman,Bold"/>
          <w:b/>
          <w:bCs/>
          <w:snapToGrid/>
          <w:szCs w:val="22"/>
        </w:rPr>
        <w:t>Pakuotės lapelis: informacija pacientui</w:t>
      </w:r>
    </w:p>
    <w:p w14:paraId="4C5D3A38"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p>
    <w:p w14:paraId="2F8F62FE"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r w:rsidRPr="00250DCE">
        <w:rPr>
          <w:rFonts w:eastAsia="TimesNewRoman,Bold"/>
          <w:b/>
          <w:bCs/>
          <w:snapToGrid/>
          <w:szCs w:val="22"/>
        </w:rPr>
        <w:t>Cinacalcet Teva 30</w:t>
      </w:r>
      <w:r w:rsidR="00533C11">
        <w:rPr>
          <w:rFonts w:eastAsia="TimesNewRoman,Bold"/>
          <w:b/>
          <w:bCs/>
          <w:snapToGrid/>
          <w:szCs w:val="22"/>
        </w:rPr>
        <w:t> </w:t>
      </w:r>
      <w:r w:rsidRPr="00250DCE">
        <w:rPr>
          <w:rFonts w:eastAsia="TimesNewRoman,Bold"/>
          <w:b/>
          <w:bCs/>
          <w:snapToGrid/>
          <w:szCs w:val="22"/>
        </w:rPr>
        <w:t>mg plėvele dengtos tabletės</w:t>
      </w:r>
    </w:p>
    <w:p w14:paraId="2AD56C49" w14:textId="77777777" w:rsidR="00250DCE" w:rsidRPr="007D0562" w:rsidRDefault="00250DCE" w:rsidP="00250DCE">
      <w:pPr>
        <w:tabs>
          <w:tab w:val="clear" w:pos="567"/>
        </w:tabs>
        <w:autoSpaceDE w:val="0"/>
        <w:autoSpaceDN w:val="0"/>
        <w:adjustRightInd w:val="0"/>
        <w:spacing w:line="240" w:lineRule="auto"/>
        <w:jc w:val="center"/>
        <w:rPr>
          <w:rFonts w:eastAsia="TimesNewRoman,Bold"/>
          <w:b/>
          <w:highlight w:val="lightGray"/>
        </w:rPr>
      </w:pPr>
      <w:r w:rsidRPr="007D0562">
        <w:rPr>
          <w:rFonts w:eastAsia="TimesNewRoman,Bold"/>
          <w:b/>
          <w:highlight w:val="lightGray"/>
        </w:rPr>
        <w:t>Cinacalcet Teva 60</w:t>
      </w:r>
      <w:r w:rsidR="00533C11" w:rsidRPr="007D0562">
        <w:rPr>
          <w:rFonts w:eastAsia="TimesNewRoman,Bold"/>
          <w:b/>
          <w:highlight w:val="lightGray"/>
        </w:rPr>
        <w:t> </w:t>
      </w:r>
      <w:r w:rsidRPr="007D0562">
        <w:rPr>
          <w:rFonts w:eastAsia="TimesNewRoman,Bold"/>
          <w:b/>
          <w:highlight w:val="lightGray"/>
        </w:rPr>
        <w:t>mg plėvele dengtos tabletės</w:t>
      </w:r>
    </w:p>
    <w:p w14:paraId="58A80755" w14:textId="77777777" w:rsidR="00250DCE" w:rsidRPr="00250DCE" w:rsidRDefault="00250DCE" w:rsidP="00250DCE">
      <w:pPr>
        <w:tabs>
          <w:tab w:val="clear" w:pos="567"/>
        </w:tabs>
        <w:autoSpaceDE w:val="0"/>
        <w:autoSpaceDN w:val="0"/>
        <w:adjustRightInd w:val="0"/>
        <w:spacing w:line="240" w:lineRule="auto"/>
        <w:jc w:val="center"/>
        <w:rPr>
          <w:rFonts w:eastAsia="TimesNewRoman,Bold"/>
          <w:b/>
          <w:bCs/>
          <w:snapToGrid/>
          <w:szCs w:val="22"/>
        </w:rPr>
      </w:pPr>
      <w:r w:rsidRPr="007D0562">
        <w:rPr>
          <w:rFonts w:eastAsia="TimesNewRoman,Bold"/>
          <w:b/>
          <w:highlight w:val="lightGray"/>
        </w:rPr>
        <w:t>Cinacalcet Teva 90</w:t>
      </w:r>
      <w:r w:rsidR="00533C11" w:rsidRPr="007D0562">
        <w:rPr>
          <w:rFonts w:eastAsia="TimesNewRoman,Bold"/>
          <w:b/>
          <w:highlight w:val="lightGray"/>
        </w:rPr>
        <w:t> </w:t>
      </w:r>
      <w:r w:rsidRPr="007D0562">
        <w:rPr>
          <w:rFonts w:eastAsia="TimesNewRoman,Bold"/>
          <w:b/>
          <w:highlight w:val="lightGray"/>
        </w:rPr>
        <w:t>mg plėvele dengtos tabletės</w:t>
      </w:r>
    </w:p>
    <w:p w14:paraId="412E276A" w14:textId="4B83ECF8" w:rsidR="00250DCE" w:rsidRPr="00250DCE" w:rsidRDefault="007B3EA3" w:rsidP="00250DCE">
      <w:pPr>
        <w:tabs>
          <w:tab w:val="clear" w:pos="567"/>
        </w:tabs>
        <w:autoSpaceDE w:val="0"/>
        <w:autoSpaceDN w:val="0"/>
        <w:adjustRightInd w:val="0"/>
        <w:spacing w:line="240" w:lineRule="auto"/>
        <w:jc w:val="center"/>
        <w:rPr>
          <w:rFonts w:eastAsia="TimesNewRoman,Bold"/>
          <w:snapToGrid/>
          <w:szCs w:val="22"/>
        </w:rPr>
      </w:pPr>
      <w:r>
        <w:rPr>
          <w:rFonts w:eastAsia="TimesNewRoman,Bold"/>
          <w:snapToGrid/>
          <w:szCs w:val="22"/>
        </w:rPr>
        <w:t>c</w:t>
      </w:r>
      <w:r w:rsidR="00250DCE" w:rsidRPr="00250DCE">
        <w:rPr>
          <w:rFonts w:eastAsia="TimesNewRoman,Bold"/>
          <w:snapToGrid/>
          <w:szCs w:val="22"/>
        </w:rPr>
        <w:t xml:space="preserve">inakalcetas </w:t>
      </w:r>
    </w:p>
    <w:p w14:paraId="22AAD7B0"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p>
    <w:p w14:paraId="0F214E09" w14:textId="77777777" w:rsidR="00250DCE" w:rsidRPr="00250DCE" w:rsidRDefault="00250DCE" w:rsidP="00250DCE">
      <w:pPr>
        <w:tabs>
          <w:tab w:val="clear" w:pos="567"/>
        </w:tabs>
        <w:autoSpaceDE w:val="0"/>
        <w:autoSpaceDN w:val="0"/>
        <w:adjustRightInd w:val="0"/>
        <w:spacing w:line="240" w:lineRule="auto"/>
        <w:rPr>
          <w:rFonts w:eastAsia="TimesNewRoman,Bold"/>
          <w:b/>
          <w:bCs/>
          <w:snapToGrid/>
          <w:szCs w:val="22"/>
        </w:rPr>
      </w:pPr>
      <w:r w:rsidRPr="00250DCE">
        <w:rPr>
          <w:rFonts w:eastAsia="TimesNewRoman,Bold"/>
          <w:b/>
          <w:bCs/>
          <w:snapToGrid/>
          <w:szCs w:val="22"/>
        </w:rPr>
        <w:t>Atidžiai perskaitykite visą šį lapelį, prieš pradėdami vartoti vaistą, nes jame pateikiama Jums svarbi</w:t>
      </w:r>
      <w:r w:rsidR="00237517">
        <w:rPr>
          <w:rFonts w:eastAsia="TimesNewRoman,Bold"/>
          <w:b/>
          <w:bCs/>
          <w:snapToGrid/>
          <w:szCs w:val="22"/>
        </w:rPr>
        <w:t xml:space="preserve"> </w:t>
      </w:r>
      <w:r w:rsidRPr="00250DCE">
        <w:rPr>
          <w:rFonts w:eastAsia="TimesNewRoman,Bold"/>
          <w:b/>
          <w:bCs/>
          <w:snapToGrid/>
          <w:szCs w:val="22"/>
        </w:rPr>
        <w:t>informacija.</w:t>
      </w:r>
    </w:p>
    <w:p w14:paraId="0BBB739C"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Neišmeskite šio lapelio, nes vėl gali prireikti jį perskaityti.</w:t>
      </w:r>
    </w:p>
    <w:p w14:paraId="314ECDF6"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Jeigu kiltų daugiau klausimų, kreipkitės į gydytoją, vaistininką arba slaugytoją.</w:t>
      </w:r>
    </w:p>
    <w:p w14:paraId="3740293D"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Šis vaistas skirtas tik Jums, todėl kitiems žmonėms jo duoti negalima. Vaistas gali jiems pakenkti (net</w:t>
      </w:r>
      <w:r w:rsidR="00237517">
        <w:rPr>
          <w:rFonts w:eastAsia="TimesNewRoman,Bold"/>
          <w:snapToGrid/>
          <w:szCs w:val="22"/>
        </w:rPr>
        <w:t xml:space="preserve"> </w:t>
      </w:r>
      <w:r w:rsidRPr="00250DCE">
        <w:rPr>
          <w:rFonts w:eastAsia="TimesNewRoman,Bold"/>
          <w:snapToGrid/>
          <w:szCs w:val="22"/>
        </w:rPr>
        <w:t>tiems, kurių ligos požymiai</w:t>
      </w:r>
      <w:r w:rsidR="00DA2789">
        <w:rPr>
          <w:rFonts w:eastAsia="TimesNewRoman,Bold"/>
          <w:snapToGrid/>
          <w:szCs w:val="22"/>
        </w:rPr>
        <w:t xml:space="preserve"> </w:t>
      </w:r>
      <w:r w:rsidRPr="00250DCE">
        <w:rPr>
          <w:rFonts w:eastAsia="TimesNewRoman,Bold"/>
          <w:snapToGrid/>
          <w:szCs w:val="22"/>
        </w:rPr>
        <w:t>yra tokie patys kaip Jūsų).</w:t>
      </w:r>
    </w:p>
    <w:p w14:paraId="337ADEF4"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Jeigu pasireiškė šalutinis poveikis (net jeigu jis šiame lapelyje nenurodytas), kreipkitės į gydytoją,</w:t>
      </w:r>
      <w:r w:rsidR="00237517">
        <w:rPr>
          <w:rFonts w:eastAsia="TimesNewRoman,Bold"/>
          <w:snapToGrid/>
          <w:szCs w:val="22"/>
        </w:rPr>
        <w:t xml:space="preserve"> </w:t>
      </w:r>
      <w:r w:rsidRPr="00250DCE">
        <w:rPr>
          <w:rFonts w:eastAsia="TimesNewRoman,Bold"/>
          <w:snapToGrid/>
          <w:szCs w:val="22"/>
        </w:rPr>
        <w:t>vaistininką arba slaugytoją. Žr. 4 skyrių.</w:t>
      </w:r>
    </w:p>
    <w:p w14:paraId="0BC80FA9" w14:textId="77777777" w:rsidR="00250DCE" w:rsidRPr="00250DCE" w:rsidRDefault="00250DCE" w:rsidP="00250DCE">
      <w:pPr>
        <w:tabs>
          <w:tab w:val="clear" w:pos="567"/>
        </w:tabs>
        <w:autoSpaceDE w:val="0"/>
        <w:autoSpaceDN w:val="0"/>
        <w:adjustRightInd w:val="0"/>
        <w:spacing w:line="240" w:lineRule="auto"/>
        <w:rPr>
          <w:rFonts w:eastAsia="TimesNewRoman,Bold"/>
          <w:b/>
          <w:bCs/>
          <w:snapToGrid/>
          <w:szCs w:val="22"/>
        </w:rPr>
      </w:pPr>
    </w:p>
    <w:p w14:paraId="150D71C8" w14:textId="77777777" w:rsidR="00533C11" w:rsidRPr="00533C11" w:rsidRDefault="00533C11" w:rsidP="00533C11">
      <w:pPr>
        <w:keepNext/>
        <w:jc w:val="both"/>
        <w:outlineLvl w:val="3"/>
        <w:rPr>
          <w:b/>
          <w:bCs/>
          <w:szCs w:val="28"/>
          <w:lang w:eastAsia="x-none"/>
        </w:rPr>
      </w:pPr>
      <w:r w:rsidRPr="00533C11">
        <w:rPr>
          <w:b/>
          <w:bCs/>
          <w:szCs w:val="28"/>
          <w:lang w:eastAsia="x-none"/>
        </w:rPr>
        <w:t>Apie ką rašoma šiame lapelyje?</w:t>
      </w:r>
    </w:p>
    <w:p w14:paraId="3FD2BFA7"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1. Kas yra Cinacalcet Teva ir kam jis vartojamas</w:t>
      </w:r>
    </w:p>
    <w:p w14:paraId="130F33C6"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2. Kas žinotina prieš vartojant Cinacalcet Teva</w:t>
      </w:r>
    </w:p>
    <w:p w14:paraId="4941FF0E"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3. Kaip vartoti Cinacalcet Teva</w:t>
      </w:r>
    </w:p>
    <w:p w14:paraId="03E2AAE9"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4. Galimas šalutinis poveikis</w:t>
      </w:r>
    </w:p>
    <w:p w14:paraId="29C3528F"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5. Kaip laikyti Cinacalcet Teva</w:t>
      </w:r>
    </w:p>
    <w:p w14:paraId="45430E57"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6. Pakuotės turinys ir kita informacija</w:t>
      </w:r>
    </w:p>
    <w:p w14:paraId="388A0A01" w14:textId="77777777" w:rsidR="00250DCE" w:rsidRDefault="00250DCE" w:rsidP="00250DCE">
      <w:pPr>
        <w:tabs>
          <w:tab w:val="clear" w:pos="567"/>
        </w:tabs>
        <w:autoSpaceDE w:val="0"/>
        <w:autoSpaceDN w:val="0"/>
        <w:adjustRightInd w:val="0"/>
        <w:spacing w:line="240" w:lineRule="auto"/>
        <w:rPr>
          <w:rFonts w:eastAsia="TimesNewRoman,Bold"/>
          <w:b/>
          <w:bCs/>
          <w:snapToGrid/>
          <w:szCs w:val="22"/>
        </w:rPr>
      </w:pPr>
    </w:p>
    <w:p w14:paraId="22AE9F82" w14:textId="77777777" w:rsidR="00C3614E" w:rsidRPr="00250DCE" w:rsidRDefault="00C3614E" w:rsidP="00250DCE">
      <w:pPr>
        <w:tabs>
          <w:tab w:val="clear" w:pos="567"/>
        </w:tabs>
        <w:autoSpaceDE w:val="0"/>
        <w:autoSpaceDN w:val="0"/>
        <w:adjustRightInd w:val="0"/>
        <w:spacing w:line="240" w:lineRule="auto"/>
        <w:rPr>
          <w:rFonts w:eastAsia="TimesNewRoman,Bold"/>
          <w:b/>
          <w:bCs/>
          <w:snapToGrid/>
          <w:szCs w:val="22"/>
        </w:rPr>
      </w:pPr>
    </w:p>
    <w:p w14:paraId="2029FB38" w14:textId="77777777" w:rsidR="00250DCE" w:rsidRPr="00250DCE" w:rsidRDefault="00250DCE" w:rsidP="00250DCE">
      <w:pPr>
        <w:keepNext/>
        <w:numPr>
          <w:ilvl w:val="0"/>
          <w:numId w:val="9"/>
        </w:numPr>
        <w:tabs>
          <w:tab w:val="clear" w:pos="567"/>
        </w:tabs>
        <w:spacing w:after="200" w:line="276" w:lineRule="auto"/>
        <w:jc w:val="both"/>
        <w:outlineLvl w:val="3"/>
        <w:rPr>
          <w:b/>
          <w:bCs/>
          <w:szCs w:val="28"/>
          <w:lang w:eastAsia="x-none"/>
        </w:rPr>
      </w:pPr>
      <w:r w:rsidRPr="00250DCE">
        <w:rPr>
          <w:b/>
          <w:bCs/>
          <w:szCs w:val="28"/>
          <w:lang w:eastAsia="x-none"/>
        </w:rPr>
        <w:t>Kas yra Cinacalcet Teva ir kam jis vartojamas</w:t>
      </w:r>
    </w:p>
    <w:p w14:paraId="059767A4"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r w:rsidRPr="00250DCE">
        <w:rPr>
          <w:rFonts w:eastAsia="TimesNewRoman,Bold"/>
          <w:snapToGrid/>
          <w:szCs w:val="22"/>
        </w:rPr>
        <w:t xml:space="preserve">Cinacalcet Teva veikia kontroliuodamas paratiroidinio hormono (PTH), kalcio ir fosforo koncentraciją Jūsų organizme. Šio </w:t>
      </w:r>
      <w:r w:rsidR="00391912">
        <w:rPr>
          <w:rFonts w:eastAsia="TimesNewRoman,Bold"/>
          <w:snapToGrid/>
          <w:szCs w:val="22"/>
        </w:rPr>
        <w:t xml:space="preserve">vaistinio </w:t>
      </w:r>
      <w:r w:rsidRPr="00250DCE">
        <w:rPr>
          <w:rFonts w:eastAsia="TimesNewRoman,Bold"/>
          <w:snapToGrid/>
          <w:szCs w:val="22"/>
        </w:rPr>
        <w:t>preparato vartojama prieskydinėmis liaukomis vadinamo organo sutrikimams gydyti. Prieskydinės liaukos – tai keturios mažos kakle, šalia skydliaukės esančios liaukos, gaminančios paratiroidinį hormoną (PTH).</w:t>
      </w:r>
    </w:p>
    <w:p w14:paraId="1C6FBF52" w14:textId="77777777" w:rsidR="00250DCE" w:rsidRPr="00250DCE" w:rsidRDefault="00250DCE" w:rsidP="00250DCE">
      <w:pPr>
        <w:tabs>
          <w:tab w:val="clear" w:pos="567"/>
        </w:tabs>
        <w:autoSpaceDE w:val="0"/>
        <w:autoSpaceDN w:val="0"/>
        <w:adjustRightInd w:val="0"/>
        <w:spacing w:line="240" w:lineRule="auto"/>
        <w:rPr>
          <w:rFonts w:eastAsia="TimesNewRoman,Bold"/>
          <w:snapToGrid/>
          <w:szCs w:val="22"/>
        </w:rPr>
      </w:pPr>
    </w:p>
    <w:p w14:paraId="060B5DD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vartojamas</w:t>
      </w:r>
      <w:r w:rsidR="00D52BEB">
        <w:rPr>
          <w:rFonts w:eastAsia="Calibri"/>
          <w:snapToGrid/>
          <w:szCs w:val="22"/>
        </w:rPr>
        <w:t xml:space="preserve"> suaugusiesiems</w:t>
      </w:r>
      <w:r w:rsidRPr="008E66BB">
        <w:rPr>
          <w:rFonts w:eastAsia="Calibri"/>
          <w:snapToGrid/>
          <w:szCs w:val="22"/>
        </w:rPr>
        <w:t>:</w:t>
      </w:r>
    </w:p>
    <w:p w14:paraId="7D1CE683" w14:textId="77777777" w:rsidR="00250DCE" w:rsidRPr="008E66BB" w:rsidRDefault="00250DCE" w:rsidP="00250DCE">
      <w:pPr>
        <w:numPr>
          <w:ilvl w:val="0"/>
          <w:numId w:val="6"/>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antrinei hiperparatirozei gydyti sunkia inkstų liga sergantiems </w:t>
      </w:r>
      <w:r w:rsidR="00D52BEB">
        <w:rPr>
          <w:rFonts w:eastAsia="Calibri"/>
          <w:snapToGrid/>
          <w:szCs w:val="22"/>
        </w:rPr>
        <w:t xml:space="preserve">suaugusiems </w:t>
      </w:r>
      <w:r w:rsidRPr="008E66BB">
        <w:rPr>
          <w:rFonts w:eastAsia="Calibri"/>
          <w:snapToGrid/>
          <w:szCs w:val="22"/>
        </w:rPr>
        <w:t>pacientams, kuriems reikalinga dializė, kad galima būtų išvalyti kraują nuo nereikalingų medžiagų</w:t>
      </w:r>
      <w:r w:rsidR="00237517" w:rsidRPr="008E66BB">
        <w:rPr>
          <w:rFonts w:eastAsia="Calibri"/>
          <w:snapToGrid/>
          <w:szCs w:val="22"/>
        </w:rPr>
        <w:t>;</w:t>
      </w:r>
    </w:p>
    <w:p w14:paraId="58C419C3" w14:textId="77777777" w:rsidR="00250DCE" w:rsidRPr="008E66BB" w:rsidRDefault="00250DCE" w:rsidP="00250DCE">
      <w:pPr>
        <w:numPr>
          <w:ilvl w:val="0"/>
          <w:numId w:val="6"/>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padidėjusiai kalcio koncentracijai kraujyje (hiperkalcemijai) mažinti prieskydinių liaukų vėžiu sergantiems</w:t>
      </w:r>
      <w:r w:rsidR="00D52BEB">
        <w:rPr>
          <w:rFonts w:eastAsia="Calibri"/>
          <w:snapToGrid/>
          <w:szCs w:val="22"/>
        </w:rPr>
        <w:t xml:space="preserve"> suaugusiems</w:t>
      </w:r>
      <w:r w:rsidRPr="008E66BB">
        <w:rPr>
          <w:rFonts w:eastAsia="Calibri"/>
          <w:snapToGrid/>
          <w:szCs w:val="22"/>
        </w:rPr>
        <w:t xml:space="preserve"> pacientams</w:t>
      </w:r>
      <w:r w:rsidR="00237517" w:rsidRPr="008E66BB">
        <w:rPr>
          <w:rFonts w:eastAsia="Calibri"/>
          <w:snapToGrid/>
          <w:szCs w:val="22"/>
        </w:rPr>
        <w:t>;</w:t>
      </w:r>
    </w:p>
    <w:p w14:paraId="761D3683" w14:textId="77777777" w:rsidR="00250DCE" w:rsidRDefault="00250DCE" w:rsidP="00506DA5">
      <w:pPr>
        <w:numPr>
          <w:ilvl w:val="0"/>
          <w:numId w:val="6"/>
        </w:numPr>
        <w:tabs>
          <w:tab w:val="clear" w:pos="567"/>
        </w:tabs>
        <w:autoSpaceDE w:val="0"/>
        <w:autoSpaceDN w:val="0"/>
        <w:adjustRightInd w:val="0"/>
        <w:spacing w:line="240" w:lineRule="auto"/>
        <w:contextualSpacing/>
        <w:rPr>
          <w:rFonts w:eastAsia="Calibri"/>
          <w:snapToGrid/>
          <w:szCs w:val="22"/>
        </w:rPr>
      </w:pPr>
      <w:r w:rsidRPr="008E66BB">
        <w:rPr>
          <w:rFonts w:eastAsia="Calibri"/>
          <w:snapToGrid/>
          <w:szCs w:val="22"/>
        </w:rPr>
        <w:t>padidėjusiai kalcio koncentracijai kraujyje (hiperkalcemijai) mažinti pirmine hiperparatiroze sergantiems</w:t>
      </w:r>
      <w:r w:rsidR="00D52BEB">
        <w:rPr>
          <w:rFonts w:eastAsia="Calibri"/>
          <w:snapToGrid/>
          <w:szCs w:val="22"/>
        </w:rPr>
        <w:t xml:space="preserve"> suaugusiems</w:t>
      </w:r>
      <w:r w:rsidRPr="008E66BB">
        <w:rPr>
          <w:rFonts w:eastAsia="Calibri"/>
          <w:snapToGrid/>
          <w:szCs w:val="22"/>
        </w:rPr>
        <w:t xml:space="preserve"> pacientams, kuriems negalima pašalinti prieskydinės liaukos.</w:t>
      </w:r>
    </w:p>
    <w:p w14:paraId="59C13646" w14:textId="77777777" w:rsidR="00D52BEB" w:rsidRDefault="00D52BEB" w:rsidP="00D42F2E">
      <w:pPr>
        <w:tabs>
          <w:tab w:val="clear" w:pos="567"/>
        </w:tabs>
        <w:autoSpaceDE w:val="0"/>
        <w:autoSpaceDN w:val="0"/>
        <w:adjustRightInd w:val="0"/>
        <w:spacing w:line="240" w:lineRule="auto"/>
        <w:contextualSpacing/>
        <w:rPr>
          <w:rFonts w:eastAsia="Calibri"/>
          <w:snapToGrid/>
          <w:szCs w:val="22"/>
        </w:rPr>
      </w:pPr>
    </w:p>
    <w:p w14:paraId="644C10D7" w14:textId="77777777" w:rsidR="00D52BEB" w:rsidRPr="00D52BEB" w:rsidRDefault="00D52BEB" w:rsidP="00D52BEB">
      <w:pPr>
        <w:tabs>
          <w:tab w:val="clear" w:pos="567"/>
        </w:tabs>
        <w:autoSpaceDE w:val="0"/>
        <w:autoSpaceDN w:val="0"/>
        <w:adjustRightInd w:val="0"/>
        <w:spacing w:line="240" w:lineRule="auto"/>
        <w:contextualSpacing/>
        <w:rPr>
          <w:rFonts w:eastAsia="Calibri"/>
          <w:snapToGrid/>
          <w:szCs w:val="22"/>
        </w:rPr>
      </w:pPr>
      <w:r>
        <w:rPr>
          <w:rFonts w:eastAsia="Calibri"/>
          <w:snapToGrid/>
          <w:szCs w:val="22"/>
        </w:rPr>
        <w:t>Cinacalcet Teva</w:t>
      </w:r>
      <w:r w:rsidRPr="00D52BEB">
        <w:rPr>
          <w:rFonts w:eastAsia="Calibri"/>
          <w:snapToGrid/>
          <w:szCs w:val="22"/>
        </w:rPr>
        <w:t xml:space="preserve"> vartojama vaikams nuo 3 iki 18 metų:</w:t>
      </w:r>
    </w:p>
    <w:p w14:paraId="552EFA25" w14:textId="77777777" w:rsidR="00D52BEB" w:rsidRPr="00D52BEB" w:rsidRDefault="00D52BEB" w:rsidP="00D42F2E">
      <w:pPr>
        <w:numPr>
          <w:ilvl w:val="0"/>
          <w:numId w:val="12"/>
        </w:numPr>
        <w:tabs>
          <w:tab w:val="clear" w:pos="567"/>
        </w:tabs>
        <w:autoSpaceDE w:val="0"/>
        <w:autoSpaceDN w:val="0"/>
        <w:adjustRightInd w:val="0"/>
        <w:spacing w:line="240" w:lineRule="auto"/>
        <w:ind w:left="709" w:hanging="283"/>
        <w:contextualSpacing/>
        <w:rPr>
          <w:rFonts w:eastAsia="Calibri"/>
          <w:snapToGrid/>
          <w:szCs w:val="22"/>
        </w:rPr>
      </w:pPr>
      <w:r w:rsidRPr="00D52BEB">
        <w:rPr>
          <w:rFonts w:eastAsia="Calibri"/>
          <w:snapToGrid/>
          <w:szCs w:val="22"/>
        </w:rPr>
        <w:t>antrinei hiperparatirozei gydyti sunkia inkstų liga sergantiems pacientams, kuriems reikalinga dializė, kad galima būtų išvalyti kraują nuo nereikalingų medžiagų ir kurių būklė nėra tinkamai</w:t>
      </w:r>
      <w:r>
        <w:rPr>
          <w:rFonts w:eastAsia="Calibri"/>
          <w:snapToGrid/>
          <w:szCs w:val="22"/>
        </w:rPr>
        <w:t xml:space="preserve"> </w:t>
      </w:r>
      <w:r w:rsidRPr="00D52BEB">
        <w:rPr>
          <w:rFonts w:eastAsia="Calibri"/>
          <w:snapToGrid/>
          <w:szCs w:val="22"/>
        </w:rPr>
        <w:t>kontroliuojama kitais gydymo būdais.</w:t>
      </w:r>
    </w:p>
    <w:p w14:paraId="063F48D1" w14:textId="77777777" w:rsidR="00250DCE" w:rsidRPr="008E66BB" w:rsidRDefault="00250DCE" w:rsidP="00237517">
      <w:pPr>
        <w:tabs>
          <w:tab w:val="clear" w:pos="567"/>
        </w:tabs>
        <w:autoSpaceDE w:val="0"/>
        <w:autoSpaceDN w:val="0"/>
        <w:adjustRightInd w:val="0"/>
        <w:spacing w:line="240" w:lineRule="auto"/>
        <w:rPr>
          <w:rFonts w:eastAsia="Calibri"/>
          <w:snapToGrid/>
          <w:szCs w:val="22"/>
        </w:rPr>
      </w:pPr>
    </w:p>
    <w:p w14:paraId="44D93891" w14:textId="77777777" w:rsidR="00250DCE" w:rsidRPr="008E66BB" w:rsidRDefault="00250DCE" w:rsidP="00777D09">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Pirminės ir antrinės hiperparatirozės metu prieskydinės liaukos gamina per daug PTH. „Pirminė“ reiškia, kad</w:t>
      </w:r>
      <w:r w:rsidR="00237517" w:rsidRPr="008E66BB">
        <w:rPr>
          <w:rFonts w:eastAsia="Calibri"/>
          <w:snapToGrid/>
          <w:szCs w:val="22"/>
        </w:rPr>
        <w:t xml:space="preserve"> </w:t>
      </w:r>
      <w:r w:rsidRPr="008E66BB">
        <w:rPr>
          <w:rFonts w:eastAsia="Calibri"/>
          <w:snapToGrid/>
          <w:szCs w:val="22"/>
        </w:rPr>
        <w:t>hiperparatirozės nesukelia jokia kita liga, o „antrinė“ reiškia, kad hiperparatirozę lemia kita būklė, pvz.,</w:t>
      </w:r>
      <w:r w:rsidR="00237517" w:rsidRPr="008E66BB">
        <w:rPr>
          <w:rFonts w:eastAsia="Calibri"/>
          <w:snapToGrid/>
          <w:szCs w:val="22"/>
        </w:rPr>
        <w:t xml:space="preserve"> </w:t>
      </w:r>
      <w:r w:rsidRPr="008E66BB">
        <w:rPr>
          <w:rFonts w:eastAsia="Calibri"/>
          <w:snapToGrid/>
          <w:szCs w:val="22"/>
        </w:rPr>
        <w:t>inkstų liga. Dėl abiejų, pirminės ir antrinės hiperparatirozės kauluose gali mažėti kalcio kiekis, todėl gali</w:t>
      </w:r>
      <w:r w:rsidR="00237517" w:rsidRPr="008E66BB">
        <w:rPr>
          <w:rFonts w:eastAsia="Calibri"/>
          <w:snapToGrid/>
          <w:szCs w:val="22"/>
        </w:rPr>
        <w:t xml:space="preserve"> </w:t>
      </w:r>
      <w:r w:rsidRPr="008E66BB">
        <w:rPr>
          <w:rFonts w:eastAsia="Calibri"/>
          <w:snapToGrid/>
          <w:szCs w:val="22"/>
        </w:rPr>
        <w:t>skaudėti kaulus, jie gali lūžti, gali atsirasti kraujo ir širdies kraujagyslių sutrikimų, akmenų inkstuose,</w:t>
      </w:r>
      <w:r w:rsidR="00237517" w:rsidRPr="008E66BB">
        <w:rPr>
          <w:rFonts w:eastAsia="Calibri"/>
          <w:snapToGrid/>
          <w:szCs w:val="22"/>
        </w:rPr>
        <w:t xml:space="preserve"> </w:t>
      </w:r>
      <w:r w:rsidRPr="008E66BB">
        <w:rPr>
          <w:rFonts w:eastAsia="Calibri"/>
          <w:snapToGrid/>
          <w:szCs w:val="22"/>
        </w:rPr>
        <w:t>pasireikšti psichinė liga, ištikti koma.</w:t>
      </w:r>
    </w:p>
    <w:p w14:paraId="5C5BE6D2"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CB2DF74" w14:textId="77777777" w:rsidR="00C3614E" w:rsidRPr="008E66BB" w:rsidRDefault="00C3614E" w:rsidP="00250DCE">
      <w:pPr>
        <w:tabs>
          <w:tab w:val="clear" w:pos="567"/>
        </w:tabs>
        <w:autoSpaceDE w:val="0"/>
        <w:autoSpaceDN w:val="0"/>
        <w:adjustRightInd w:val="0"/>
        <w:spacing w:line="240" w:lineRule="auto"/>
        <w:rPr>
          <w:rFonts w:eastAsia="Calibri"/>
          <w:snapToGrid/>
          <w:szCs w:val="22"/>
        </w:rPr>
      </w:pPr>
    </w:p>
    <w:p w14:paraId="053344D4" w14:textId="77777777" w:rsidR="00250DCE" w:rsidRPr="008E66BB" w:rsidRDefault="00250DCE" w:rsidP="00250DCE">
      <w:pPr>
        <w:autoSpaceDE w:val="0"/>
        <w:autoSpaceDN w:val="0"/>
        <w:adjustRightInd w:val="0"/>
        <w:spacing w:line="240" w:lineRule="auto"/>
        <w:rPr>
          <w:rFonts w:eastAsia="Calibri"/>
          <w:b/>
          <w:snapToGrid/>
          <w:szCs w:val="22"/>
        </w:rPr>
      </w:pPr>
      <w:r w:rsidRPr="008E66BB">
        <w:rPr>
          <w:rFonts w:eastAsia="Calibri"/>
          <w:b/>
          <w:snapToGrid/>
          <w:szCs w:val="22"/>
        </w:rPr>
        <w:t>2.</w:t>
      </w:r>
      <w:r w:rsidRPr="008E66BB">
        <w:rPr>
          <w:rFonts w:eastAsia="Calibri"/>
          <w:b/>
          <w:snapToGrid/>
          <w:szCs w:val="22"/>
        </w:rPr>
        <w:tab/>
        <w:t>Kas žinotina prieš vartojant Cinacalcet Teva</w:t>
      </w:r>
    </w:p>
    <w:p w14:paraId="1AE42AC5"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3E49926C"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vartoti negalima:</w:t>
      </w:r>
    </w:p>
    <w:p w14:paraId="67635565" w14:textId="1F26BBAA"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Jeigu yra alergija cinakalcetui arba bet kuriai pagalbinei šio vaisto medžiagai (jos išvardytos</w:t>
      </w:r>
      <w:r w:rsidR="00235662">
        <w:rPr>
          <w:rFonts w:eastAsia="Calibri"/>
          <w:snapToGrid/>
          <w:szCs w:val="22"/>
        </w:rPr>
        <w:t xml:space="preserve"> </w:t>
      </w:r>
      <w:r w:rsidRPr="008E66BB">
        <w:rPr>
          <w:rFonts w:eastAsia="Calibri"/>
          <w:snapToGrid/>
          <w:szCs w:val="22"/>
        </w:rPr>
        <w:t>6 skyriuje).</w:t>
      </w:r>
    </w:p>
    <w:p w14:paraId="68CFFA13" w14:textId="77777777" w:rsidR="00250DCE" w:rsidRDefault="00250DCE" w:rsidP="00250DCE">
      <w:pPr>
        <w:tabs>
          <w:tab w:val="clear" w:pos="567"/>
        </w:tabs>
        <w:autoSpaceDE w:val="0"/>
        <w:autoSpaceDN w:val="0"/>
        <w:adjustRightInd w:val="0"/>
        <w:spacing w:line="240" w:lineRule="auto"/>
        <w:rPr>
          <w:rFonts w:eastAsia="Calibri"/>
          <w:snapToGrid/>
          <w:szCs w:val="22"/>
        </w:rPr>
      </w:pPr>
    </w:p>
    <w:p w14:paraId="0DB9AACF" w14:textId="77777777" w:rsidR="00125667" w:rsidRDefault="00125667" w:rsidP="00125667">
      <w:pPr>
        <w:tabs>
          <w:tab w:val="clear" w:pos="567"/>
        </w:tabs>
        <w:autoSpaceDE w:val="0"/>
        <w:autoSpaceDN w:val="0"/>
        <w:adjustRightInd w:val="0"/>
        <w:spacing w:line="240" w:lineRule="auto"/>
        <w:rPr>
          <w:rFonts w:eastAsia="Calibri"/>
          <w:snapToGrid/>
          <w:szCs w:val="22"/>
        </w:rPr>
      </w:pPr>
      <w:r w:rsidRPr="00D42F2E">
        <w:rPr>
          <w:rFonts w:eastAsia="Calibri"/>
          <w:b/>
          <w:snapToGrid/>
          <w:szCs w:val="22"/>
        </w:rPr>
        <w:t>Cinacalcet Teva vartoti negalima</w:t>
      </w:r>
      <w:r w:rsidR="007947D0">
        <w:rPr>
          <w:rFonts w:eastAsia="Calibri"/>
          <w:b/>
          <w:snapToGrid/>
          <w:szCs w:val="22"/>
        </w:rPr>
        <w:t>,</w:t>
      </w:r>
      <w:r w:rsidRPr="00125667">
        <w:rPr>
          <w:rFonts w:eastAsia="Calibri"/>
          <w:snapToGrid/>
          <w:szCs w:val="22"/>
        </w:rPr>
        <w:t xml:space="preserve"> jeigu kalcio kiekis Jūsų kraujyje yra mažas. Jūsų gydytojas stebės kalcio</w:t>
      </w:r>
      <w:r>
        <w:rPr>
          <w:rFonts w:eastAsia="Calibri"/>
          <w:snapToGrid/>
          <w:szCs w:val="22"/>
        </w:rPr>
        <w:t xml:space="preserve"> </w:t>
      </w:r>
      <w:r w:rsidRPr="00125667">
        <w:rPr>
          <w:rFonts w:eastAsia="Calibri"/>
          <w:snapToGrid/>
          <w:szCs w:val="22"/>
        </w:rPr>
        <w:t>kiekį kraujyje.</w:t>
      </w:r>
    </w:p>
    <w:p w14:paraId="26DA7D00" w14:textId="77777777" w:rsidR="00125667" w:rsidRPr="008E66BB" w:rsidRDefault="00125667" w:rsidP="00250DCE">
      <w:pPr>
        <w:tabs>
          <w:tab w:val="clear" w:pos="567"/>
        </w:tabs>
        <w:autoSpaceDE w:val="0"/>
        <w:autoSpaceDN w:val="0"/>
        <w:adjustRightInd w:val="0"/>
        <w:spacing w:line="240" w:lineRule="auto"/>
        <w:rPr>
          <w:rFonts w:eastAsia="Calibri"/>
          <w:snapToGrid/>
          <w:szCs w:val="22"/>
        </w:rPr>
      </w:pPr>
    </w:p>
    <w:p w14:paraId="26FA2C83"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Įspėjimai ir atsargumo priemonės</w:t>
      </w:r>
    </w:p>
    <w:p w14:paraId="671D7F4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Pasitarkite su gydytoju, vaistininku arba slaugytoju prieš vartojant Cinacalcet Teva.</w:t>
      </w:r>
    </w:p>
    <w:p w14:paraId="71A8255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AAEAD4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Prieš pradėdami vartoti Cinacalcet Teva, pasakykite gydytojui, jeigu Jums yra ar kada nors buvo:</w:t>
      </w:r>
    </w:p>
    <w:p w14:paraId="7A39D800" w14:textId="77777777" w:rsidR="00250DCE" w:rsidRPr="008E66BB" w:rsidRDefault="00250DCE" w:rsidP="00250DCE">
      <w:pPr>
        <w:numPr>
          <w:ilvl w:val="0"/>
          <w:numId w:val="7"/>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b/>
          <w:snapToGrid/>
          <w:szCs w:val="22"/>
        </w:rPr>
        <w:t>traukulių</w:t>
      </w:r>
      <w:r w:rsidRPr="008E66BB">
        <w:rPr>
          <w:rFonts w:eastAsia="Calibri"/>
          <w:snapToGrid/>
          <w:szCs w:val="22"/>
        </w:rPr>
        <w:t xml:space="preserve"> (priepuolių ar konvulsijų). Traukulių rizika yra didesnė pacientams, kuriems anksčiau jų yra buvę;</w:t>
      </w:r>
    </w:p>
    <w:p w14:paraId="18207116" w14:textId="77777777" w:rsidR="00250DCE" w:rsidRPr="008E66BB" w:rsidRDefault="00250DCE" w:rsidP="00250DCE">
      <w:pPr>
        <w:numPr>
          <w:ilvl w:val="0"/>
          <w:numId w:val="7"/>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b/>
          <w:snapToGrid/>
          <w:szCs w:val="22"/>
        </w:rPr>
        <w:t>kepenų sutrikimų</w:t>
      </w:r>
      <w:r w:rsidRPr="008E66BB">
        <w:rPr>
          <w:rFonts w:eastAsia="Calibri"/>
          <w:snapToGrid/>
          <w:szCs w:val="22"/>
        </w:rPr>
        <w:t>;</w:t>
      </w:r>
    </w:p>
    <w:p w14:paraId="2F9F20DA" w14:textId="77777777" w:rsidR="00250DCE" w:rsidRPr="008E66BB" w:rsidRDefault="00250DCE" w:rsidP="00250DCE">
      <w:pPr>
        <w:numPr>
          <w:ilvl w:val="0"/>
          <w:numId w:val="7"/>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b/>
          <w:snapToGrid/>
          <w:szCs w:val="22"/>
        </w:rPr>
        <w:t>širdies nepakankamumas</w:t>
      </w:r>
      <w:r w:rsidRPr="008E66BB">
        <w:rPr>
          <w:rFonts w:eastAsia="Calibri"/>
          <w:snapToGrid/>
          <w:szCs w:val="22"/>
        </w:rPr>
        <w:t>.</w:t>
      </w:r>
    </w:p>
    <w:p w14:paraId="06BC061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642715A" w14:textId="77777777" w:rsidR="00250DCE" w:rsidRPr="008E66BB" w:rsidRDefault="00D85B17" w:rsidP="00250DCE">
      <w:pPr>
        <w:tabs>
          <w:tab w:val="clear" w:pos="567"/>
        </w:tabs>
        <w:autoSpaceDE w:val="0"/>
        <w:autoSpaceDN w:val="0"/>
        <w:adjustRightInd w:val="0"/>
        <w:spacing w:line="240" w:lineRule="auto"/>
        <w:rPr>
          <w:rFonts w:eastAsia="Calibri"/>
          <w:snapToGrid/>
          <w:szCs w:val="22"/>
        </w:rPr>
      </w:pPr>
      <w:r>
        <w:rPr>
          <w:rFonts w:eastAsia="Calibri"/>
          <w:snapToGrid/>
          <w:szCs w:val="22"/>
        </w:rPr>
        <w:t xml:space="preserve">Cinacalcet Teva mažina kalcio koncentraciją kraujyje. </w:t>
      </w:r>
      <w:r w:rsidR="00250DCE" w:rsidRPr="008E66BB">
        <w:rPr>
          <w:rFonts w:eastAsia="Calibri"/>
          <w:snapToGrid/>
          <w:szCs w:val="22"/>
        </w:rPr>
        <w:t>Buvo pranešta apie gyvybei grėsmingus reiškinius ir mirčių atvejus, susijusius su maža kalcio koncentracija</w:t>
      </w:r>
      <w:r w:rsidR="00785697" w:rsidRPr="008E66BB">
        <w:rPr>
          <w:rFonts w:eastAsia="Calibri"/>
          <w:snapToGrid/>
          <w:szCs w:val="22"/>
        </w:rPr>
        <w:t xml:space="preserve"> </w:t>
      </w:r>
      <w:r w:rsidR="00250DCE" w:rsidRPr="008E66BB">
        <w:rPr>
          <w:rFonts w:eastAsia="Calibri"/>
          <w:snapToGrid/>
          <w:szCs w:val="22"/>
        </w:rPr>
        <w:t xml:space="preserve">kraujyje (hipokalcemija) Cinakalcet Teva gydomiems </w:t>
      </w:r>
      <w:r>
        <w:rPr>
          <w:rFonts w:eastAsia="Calibri"/>
          <w:snapToGrid/>
          <w:szCs w:val="22"/>
        </w:rPr>
        <w:t xml:space="preserve">suaugusiems </w:t>
      </w:r>
      <w:r w:rsidR="00250DCE" w:rsidRPr="008E66BB">
        <w:rPr>
          <w:rFonts w:eastAsia="Calibri"/>
          <w:snapToGrid/>
          <w:szCs w:val="22"/>
        </w:rPr>
        <w:t>pacientams</w:t>
      </w:r>
      <w:r>
        <w:rPr>
          <w:rFonts w:eastAsia="Calibri"/>
          <w:snapToGrid/>
          <w:szCs w:val="22"/>
        </w:rPr>
        <w:t xml:space="preserve"> ir vaikams</w:t>
      </w:r>
      <w:r w:rsidR="00250DCE" w:rsidRPr="008E66BB">
        <w:rPr>
          <w:rFonts w:eastAsia="Calibri"/>
          <w:snapToGrid/>
          <w:szCs w:val="22"/>
        </w:rPr>
        <w:t>.</w:t>
      </w:r>
    </w:p>
    <w:p w14:paraId="6E037118" w14:textId="77777777" w:rsidR="00250DCE" w:rsidRDefault="00250DCE" w:rsidP="00250DCE">
      <w:pPr>
        <w:tabs>
          <w:tab w:val="clear" w:pos="567"/>
        </w:tabs>
        <w:autoSpaceDE w:val="0"/>
        <w:autoSpaceDN w:val="0"/>
        <w:adjustRightInd w:val="0"/>
        <w:spacing w:line="240" w:lineRule="auto"/>
        <w:rPr>
          <w:rFonts w:eastAsia="Calibri"/>
          <w:snapToGrid/>
          <w:szCs w:val="22"/>
        </w:rPr>
      </w:pPr>
    </w:p>
    <w:p w14:paraId="15169909" w14:textId="77777777" w:rsidR="00D85B17" w:rsidRDefault="00D85B17" w:rsidP="00D85B17">
      <w:pPr>
        <w:tabs>
          <w:tab w:val="clear" w:pos="567"/>
        </w:tabs>
        <w:autoSpaceDE w:val="0"/>
        <w:autoSpaceDN w:val="0"/>
        <w:adjustRightInd w:val="0"/>
        <w:spacing w:line="240" w:lineRule="auto"/>
        <w:rPr>
          <w:rFonts w:eastAsia="Calibri"/>
          <w:snapToGrid/>
          <w:szCs w:val="22"/>
        </w:rPr>
      </w:pPr>
      <w:r w:rsidRPr="00D85B17">
        <w:rPr>
          <w:rFonts w:eastAsia="Calibri"/>
          <w:snapToGrid/>
          <w:szCs w:val="22"/>
        </w:rPr>
        <w:t>Pasakykite gydytojui, jeigu pasireiškia bet kuris iš šių simptomų, kuris gali būti mažos kalcio</w:t>
      </w:r>
      <w:r>
        <w:rPr>
          <w:rFonts w:eastAsia="Calibri"/>
          <w:snapToGrid/>
          <w:szCs w:val="22"/>
        </w:rPr>
        <w:t xml:space="preserve"> </w:t>
      </w:r>
      <w:r w:rsidRPr="00D85B17">
        <w:rPr>
          <w:rFonts w:eastAsia="Calibri"/>
          <w:snapToGrid/>
          <w:szCs w:val="22"/>
        </w:rPr>
        <w:t>koncentracijos požymis: raumenų spazmai, trūkčiojimai, mėšlungis arba rankų, kojų pirštų ar aplink</w:t>
      </w:r>
      <w:r>
        <w:rPr>
          <w:rFonts w:eastAsia="Calibri"/>
          <w:snapToGrid/>
          <w:szCs w:val="22"/>
        </w:rPr>
        <w:t xml:space="preserve"> </w:t>
      </w:r>
      <w:r w:rsidRPr="00D85B17">
        <w:rPr>
          <w:rFonts w:eastAsia="Calibri"/>
          <w:snapToGrid/>
          <w:szCs w:val="22"/>
        </w:rPr>
        <w:t xml:space="preserve">burną tirpimas ar dilgčiojimas arba traukuliai, sumišimas arba sąmonės praradimas vartojant </w:t>
      </w:r>
      <w:r>
        <w:rPr>
          <w:rFonts w:eastAsia="Calibri"/>
          <w:snapToGrid/>
          <w:szCs w:val="22"/>
        </w:rPr>
        <w:t>Cinacalcet Teva</w:t>
      </w:r>
      <w:r w:rsidRPr="00D85B17">
        <w:rPr>
          <w:rFonts w:eastAsia="Calibri"/>
          <w:snapToGrid/>
          <w:szCs w:val="22"/>
        </w:rPr>
        <w:t>.</w:t>
      </w:r>
    </w:p>
    <w:p w14:paraId="1EF9B6BA" w14:textId="77777777" w:rsidR="00D85B17" w:rsidRPr="008E66BB" w:rsidRDefault="00D85B17" w:rsidP="00250DCE">
      <w:pPr>
        <w:tabs>
          <w:tab w:val="clear" w:pos="567"/>
        </w:tabs>
        <w:autoSpaceDE w:val="0"/>
        <w:autoSpaceDN w:val="0"/>
        <w:adjustRightInd w:val="0"/>
        <w:spacing w:line="240" w:lineRule="auto"/>
        <w:rPr>
          <w:rFonts w:eastAsia="Calibri"/>
          <w:snapToGrid/>
          <w:szCs w:val="22"/>
        </w:rPr>
      </w:pPr>
    </w:p>
    <w:p w14:paraId="6CE3C9D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Maža kalcio koncentracija gali turėti įtakos Jūsų širdies ritmui. Jei vartojant Cinacalcet Teva jaučiate</w:t>
      </w:r>
      <w:r w:rsidR="00785697" w:rsidRPr="008E66BB">
        <w:rPr>
          <w:rFonts w:eastAsia="Calibri"/>
          <w:snapToGrid/>
          <w:szCs w:val="22"/>
        </w:rPr>
        <w:t xml:space="preserve"> </w:t>
      </w:r>
      <w:r w:rsidRPr="008E66BB">
        <w:rPr>
          <w:rFonts w:eastAsia="Calibri"/>
          <w:snapToGrid/>
          <w:szCs w:val="22"/>
        </w:rPr>
        <w:t>neįprastai greitą, mušantį širdies plakimą, turite širdies ritmo sutrikimų arba vartojate vaistus, galinčius</w:t>
      </w:r>
      <w:r w:rsidR="00785697" w:rsidRPr="008E66BB">
        <w:rPr>
          <w:rFonts w:eastAsia="Calibri"/>
          <w:snapToGrid/>
          <w:szCs w:val="22"/>
        </w:rPr>
        <w:t xml:space="preserve"> </w:t>
      </w:r>
      <w:r w:rsidRPr="008E66BB">
        <w:rPr>
          <w:rFonts w:eastAsia="Calibri"/>
          <w:snapToGrid/>
          <w:szCs w:val="22"/>
        </w:rPr>
        <w:t>sukelti širdies ritmo sutrikimus, pasakykite gydytojui.</w:t>
      </w:r>
    </w:p>
    <w:p w14:paraId="79C3603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74F552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Daugiau informacijos rasite 4 skyriuje.</w:t>
      </w:r>
    </w:p>
    <w:p w14:paraId="1983A3E6"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A336E6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Gydymo Cinacalcet Teva metu pasakykite gydytojui:</w:t>
      </w:r>
    </w:p>
    <w:p w14:paraId="521EE93D"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jei pradedate ar metate rūkyti, nes tai gali įtakoti Cinacalcet Teva poveikį.</w:t>
      </w:r>
    </w:p>
    <w:p w14:paraId="06E6AD1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A8C1736"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Vaikams ir paaugliams</w:t>
      </w:r>
    </w:p>
    <w:p w14:paraId="4B635F1D" w14:textId="2BFA2CDF" w:rsidR="00250DCE" w:rsidRPr="00382558" w:rsidRDefault="00250DCE" w:rsidP="00D85B17">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Jaunesniems nei 18 metų vaikams</w:t>
      </w:r>
      <w:r w:rsidR="00D85B17" w:rsidRPr="00382558">
        <w:rPr>
          <w:rFonts w:eastAsia="Calibri"/>
          <w:snapToGrid/>
          <w:szCs w:val="22"/>
        </w:rPr>
        <w:t>, sergantiems prieskydinių liaukų vėžiu arba pirmine hiperparatiroze, Cinacalcet Teva vartoti negalima.</w:t>
      </w:r>
      <w:r w:rsidRPr="00382558">
        <w:rPr>
          <w:rFonts w:eastAsia="Calibri"/>
          <w:snapToGrid/>
          <w:szCs w:val="22"/>
        </w:rPr>
        <w:t xml:space="preserve"> </w:t>
      </w:r>
    </w:p>
    <w:p w14:paraId="3E44B5F9"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6D05F483" w14:textId="77777777" w:rsidR="002F49CE" w:rsidRPr="00382558" w:rsidRDefault="002F49CE" w:rsidP="002F49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Jeigu gydoma antrinė hiperparatirozė, prieš pradedant gydymą Cinacalcet Teva ir gydymo Cinacalcet Teva metu gydytojas tirs ir stebės kalcio kiekį</w:t>
      </w:r>
      <w:r w:rsidR="007947D0" w:rsidRPr="00382558">
        <w:rPr>
          <w:rFonts w:eastAsia="Calibri"/>
          <w:snapToGrid/>
          <w:szCs w:val="22"/>
        </w:rPr>
        <w:t xml:space="preserve"> kraujyje</w:t>
      </w:r>
      <w:r w:rsidRPr="00382558">
        <w:rPr>
          <w:rFonts w:eastAsia="Calibri"/>
          <w:snapToGrid/>
          <w:szCs w:val="22"/>
        </w:rPr>
        <w:t>. Pasakykite gydytojui, jei pasireiškia bet kokie anksčiau aprašyti mažos kalcio koncentracijos simptomai.</w:t>
      </w:r>
    </w:p>
    <w:p w14:paraId="18822460" w14:textId="77777777" w:rsidR="002F49CE" w:rsidRPr="00382558" w:rsidRDefault="002F49CE" w:rsidP="002F49CE">
      <w:pPr>
        <w:tabs>
          <w:tab w:val="clear" w:pos="567"/>
        </w:tabs>
        <w:autoSpaceDE w:val="0"/>
        <w:autoSpaceDN w:val="0"/>
        <w:adjustRightInd w:val="0"/>
        <w:spacing w:line="240" w:lineRule="auto"/>
        <w:rPr>
          <w:rFonts w:eastAsia="Calibri"/>
          <w:snapToGrid/>
          <w:szCs w:val="22"/>
        </w:rPr>
      </w:pPr>
    </w:p>
    <w:p w14:paraId="53BA482C" w14:textId="77777777" w:rsidR="002F49CE" w:rsidRPr="00382558" w:rsidRDefault="002F49CE" w:rsidP="002F49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Svarbu, kad vartotumėte tokią Cinacalcet Teva dozę, kurią paskyrė gydytojas.</w:t>
      </w:r>
    </w:p>
    <w:p w14:paraId="2C6F9CE6" w14:textId="77777777" w:rsidR="002F49CE" w:rsidRPr="00382558" w:rsidRDefault="002F49CE" w:rsidP="00250DCE">
      <w:pPr>
        <w:tabs>
          <w:tab w:val="clear" w:pos="567"/>
        </w:tabs>
        <w:autoSpaceDE w:val="0"/>
        <w:autoSpaceDN w:val="0"/>
        <w:adjustRightInd w:val="0"/>
        <w:spacing w:line="240" w:lineRule="auto"/>
        <w:rPr>
          <w:rFonts w:eastAsia="Calibri"/>
          <w:snapToGrid/>
          <w:szCs w:val="22"/>
        </w:rPr>
      </w:pPr>
    </w:p>
    <w:p w14:paraId="50E2E005" w14:textId="77777777"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Kiti vaistai ir Cinacalcet Teva</w:t>
      </w:r>
    </w:p>
    <w:p w14:paraId="18A9ED0A" w14:textId="37981EC2"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Jeigu vartojate ar neseniai vartojote kitų vaistų arba dėl to nesate tikri, apie tai pasakykite gydytojui arba</w:t>
      </w:r>
      <w:r w:rsidR="00235662" w:rsidRPr="00382558">
        <w:rPr>
          <w:rFonts w:eastAsia="Calibri"/>
          <w:snapToGrid/>
          <w:szCs w:val="22"/>
        </w:rPr>
        <w:t xml:space="preserve"> </w:t>
      </w:r>
      <w:r w:rsidRPr="00382558">
        <w:rPr>
          <w:rFonts w:eastAsia="Calibri"/>
          <w:snapToGrid/>
          <w:szCs w:val="22"/>
        </w:rPr>
        <w:t>vaistininkui.</w:t>
      </w:r>
    </w:p>
    <w:p w14:paraId="49F74717"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2E6F088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Pasakykite gydytojui, jeigu vartojate toliau išvardytus vaistus.</w:t>
      </w:r>
    </w:p>
    <w:p w14:paraId="74A6442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29929A90"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poveikį gali veikti šie vaistai:</w:t>
      </w:r>
    </w:p>
    <w:p w14:paraId="784057E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vaistai </w:t>
      </w:r>
      <w:r w:rsidRPr="008E66BB">
        <w:rPr>
          <w:rFonts w:eastAsia="Calibri"/>
          <w:b/>
          <w:snapToGrid/>
          <w:szCs w:val="22"/>
        </w:rPr>
        <w:t>odos</w:t>
      </w:r>
      <w:r w:rsidRPr="008E66BB">
        <w:rPr>
          <w:rFonts w:eastAsia="Calibri"/>
          <w:snapToGrid/>
          <w:szCs w:val="22"/>
        </w:rPr>
        <w:t xml:space="preserve"> ir </w:t>
      </w:r>
      <w:r w:rsidRPr="008E66BB">
        <w:rPr>
          <w:rFonts w:eastAsia="Calibri"/>
          <w:b/>
          <w:snapToGrid/>
          <w:szCs w:val="22"/>
        </w:rPr>
        <w:t>grybelinėms</w:t>
      </w:r>
      <w:r w:rsidRPr="008E66BB">
        <w:rPr>
          <w:rFonts w:eastAsia="Calibri"/>
          <w:snapToGrid/>
          <w:szCs w:val="22"/>
        </w:rPr>
        <w:t xml:space="preserve"> ligoms gydyti (ketokonazolas, itrakonazolas ir vorikonazolas);</w:t>
      </w:r>
    </w:p>
    <w:p w14:paraId="5779581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vaistai </w:t>
      </w:r>
      <w:r w:rsidRPr="008E66BB">
        <w:rPr>
          <w:rFonts w:eastAsia="Calibri"/>
          <w:b/>
          <w:snapToGrid/>
          <w:szCs w:val="22"/>
        </w:rPr>
        <w:t>bakterinėms ligoms</w:t>
      </w:r>
      <w:r w:rsidRPr="008E66BB">
        <w:rPr>
          <w:rFonts w:eastAsia="Calibri"/>
          <w:snapToGrid/>
          <w:szCs w:val="22"/>
        </w:rPr>
        <w:t xml:space="preserve"> gydyti (telitromicinas, rifampicinas ir ciprofloksacinas);</w:t>
      </w:r>
    </w:p>
    <w:p w14:paraId="6534568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vaistas </w:t>
      </w:r>
      <w:r w:rsidRPr="008E66BB">
        <w:rPr>
          <w:rFonts w:eastAsia="Calibri"/>
          <w:b/>
          <w:snapToGrid/>
          <w:szCs w:val="22"/>
        </w:rPr>
        <w:t>ŽIV</w:t>
      </w:r>
      <w:r w:rsidRPr="008E66BB">
        <w:rPr>
          <w:rFonts w:eastAsia="Calibri"/>
          <w:snapToGrid/>
          <w:szCs w:val="22"/>
        </w:rPr>
        <w:t xml:space="preserve"> ligai ir AIDS gydyti (ritonaviras);</w:t>
      </w:r>
    </w:p>
    <w:p w14:paraId="23E81E0F"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vaistas </w:t>
      </w:r>
      <w:r w:rsidRPr="008E66BB">
        <w:rPr>
          <w:rFonts w:eastAsia="Calibri"/>
          <w:b/>
          <w:snapToGrid/>
          <w:szCs w:val="22"/>
        </w:rPr>
        <w:t>depresijai</w:t>
      </w:r>
      <w:r w:rsidRPr="008E66BB">
        <w:rPr>
          <w:rFonts w:eastAsia="Calibri"/>
          <w:snapToGrid/>
          <w:szCs w:val="22"/>
        </w:rPr>
        <w:t xml:space="preserve"> gydyti (fluvoksaminas).</w:t>
      </w:r>
    </w:p>
    <w:p w14:paraId="1AD5F4F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D22DD67"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gali įtakoti šių vaistų poveikį:</w:t>
      </w:r>
    </w:p>
    <w:p w14:paraId="5D948B10" w14:textId="77777777" w:rsidR="00250DCE"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vaistų </w:t>
      </w:r>
      <w:r w:rsidRPr="008E66BB">
        <w:rPr>
          <w:rFonts w:eastAsia="Calibri"/>
          <w:b/>
          <w:snapToGrid/>
          <w:szCs w:val="22"/>
        </w:rPr>
        <w:t>depresijai</w:t>
      </w:r>
      <w:r w:rsidRPr="008E66BB">
        <w:rPr>
          <w:rFonts w:eastAsia="Calibri"/>
          <w:snapToGrid/>
          <w:szCs w:val="22"/>
        </w:rPr>
        <w:t xml:space="preserve"> gydyti (amitriptilino, dezipramino, nortriptilino ir klomipramino);</w:t>
      </w:r>
    </w:p>
    <w:p w14:paraId="26A7CC11" w14:textId="77777777" w:rsidR="00FE44BA" w:rsidRPr="008E66BB" w:rsidRDefault="00FE44BA" w:rsidP="00FE44BA">
      <w:pPr>
        <w:numPr>
          <w:ilvl w:val="0"/>
          <w:numId w:val="8"/>
        </w:numPr>
        <w:tabs>
          <w:tab w:val="clear" w:pos="567"/>
        </w:tabs>
        <w:autoSpaceDE w:val="0"/>
        <w:autoSpaceDN w:val="0"/>
        <w:adjustRightInd w:val="0"/>
        <w:spacing w:after="200" w:line="240" w:lineRule="auto"/>
        <w:contextualSpacing/>
        <w:rPr>
          <w:rFonts w:eastAsia="Calibri"/>
          <w:snapToGrid/>
          <w:szCs w:val="22"/>
        </w:rPr>
      </w:pPr>
      <w:r w:rsidRPr="00FE44BA">
        <w:rPr>
          <w:rFonts w:eastAsia="Calibri"/>
          <w:snapToGrid/>
          <w:szCs w:val="22"/>
        </w:rPr>
        <w:t>vaisto kosuliui palengvinti (dekstrometorfano);</w:t>
      </w:r>
    </w:p>
    <w:p w14:paraId="0E4C6732"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vaistų </w:t>
      </w:r>
      <w:r w:rsidRPr="008E66BB">
        <w:rPr>
          <w:rFonts w:eastAsia="Calibri"/>
          <w:b/>
          <w:snapToGrid/>
          <w:szCs w:val="22"/>
        </w:rPr>
        <w:t>sutrikusiam širdies ritmui</w:t>
      </w:r>
      <w:r w:rsidRPr="008E66BB">
        <w:rPr>
          <w:rFonts w:eastAsia="Calibri"/>
          <w:snapToGrid/>
          <w:szCs w:val="22"/>
        </w:rPr>
        <w:t xml:space="preserve"> gydyti (flekainido ir propafenono);</w:t>
      </w:r>
    </w:p>
    <w:p w14:paraId="241F936D"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vaisto </w:t>
      </w:r>
      <w:r w:rsidRPr="008E66BB">
        <w:rPr>
          <w:rFonts w:eastAsia="Calibri"/>
          <w:b/>
          <w:snapToGrid/>
          <w:szCs w:val="22"/>
        </w:rPr>
        <w:t>didelio kraujospūdžio</w:t>
      </w:r>
      <w:r w:rsidRPr="008E66BB">
        <w:rPr>
          <w:rFonts w:eastAsia="Calibri"/>
          <w:snapToGrid/>
          <w:szCs w:val="22"/>
        </w:rPr>
        <w:t xml:space="preserve"> ligai gydyti (metoprololio).</w:t>
      </w:r>
    </w:p>
    <w:p w14:paraId="6A67812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FD2BD17"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vartojimas su maistu</w:t>
      </w:r>
    </w:p>
    <w:p w14:paraId="72ACE1D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vartojamas valgant ar iš karto po valgio.</w:t>
      </w:r>
    </w:p>
    <w:p w14:paraId="6D61B23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7FE4357"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Nėštumas, žindymo laikotarpis ir vaisingumas</w:t>
      </w:r>
    </w:p>
    <w:p w14:paraId="506A4156"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Jeigu esate nėščia, žindote kūdikį, manote, kad galbūt esate nėščia, arba planuojate pastoti, tai prieš vartodama šį vaistą, pasitarkite su gydytoju arba vaistininku.</w:t>
      </w:r>
    </w:p>
    <w:p w14:paraId="17596D3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CBEA852"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Cinakalcet Teva poveikis nėščiosioms netirtas. Nėštumo atveju jūsų gydytojas gali nuspręsti pakeisti gydymą, nes cinakalcetas gali pakenkti negimusiam kūdikiui.</w:t>
      </w:r>
    </w:p>
    <w:p w14:paraId="194C427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D9F49B8"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Nežinoma, ar cinakalceto išsiskiria į motinos pieną. Gydytojas aptars su Jumis, ar turite nutraukti kūdikio</w:t>
      </w:r>
      <w:r w:rsidR="00785697" w:rsidRPr="008E66BB">
        <w:rPr>
          <w:rFonts w:eastAsia="Calibri"/>
          <w:snapToGrid/>
          <w:szCs w:val="22"/>
        </w:rPr>
        <w:t xml:space="preserve"> </w:t>
      </w:r>
      <w:r w:rsidRPr="008E66BB">
        <w:rPr>
          <w:rFonts w:eastAsia="Calibri"/>
          <w:snapToGrid/>
          <w:szCs w:val="22"/>
        </w:rPr>
        <w:t xml:space="preserve">žindymą, ar </w:t>
      </w:r>
      <w:r w:rsidRPr="00382558">
        <w:rPr>
          <w:rFonts w:eastAsia="Calibri"/>
          <w:snapToGrid/>
          <w:szCs w:val="22"/>
        </w:rPr>
        <w:t>Cinacalcet Teva vartojimą.</w:t>
      </w:r>
    </w:p>
    <w:p w14:paraId="02DBD3F1"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465E6B97" w14:textId="77777777" w:rsidR="00250DCE" w:rsidRPr="00382558" w:rsidRDefault="00250DCE" w:rsidP="00250DCE">
      <w:pPr>
        <w:tabs>
          <w:tab w:val="clear" w:pos="567"/>
        </w:tabs>
        <w:autoSpaceDE w:val="0"/>
        <w:autoSpaceDN w:val="0"/>
        <w:adjustRightInd w:val="0"/>
        <w:spacing w:line="240" w:lineRule="auto"/>
        <w:rPr>
          <w:rFonts w:eastAsia="TimesNewRoman,Bold"/>
          <w:b/>
          <w:bCs/>
          <w:snapToGrid/>
          <w:szCs w:val="22"/>
        </w:rPr>
      </w:pPr>
      <w:r w:rsidRPr="00382558">
        <w:rPr>
          <w:rFonts w:eastAsia="TimesNewRoman,Bold"/>
          <w:b/>
          <w:bCs/>
          <w:snapToGrid/>
          <w:szCs w:val="22"/>
        </w:rPr>
        <w:t>Vairavimas ir mechanizmų valdymas</w:t>
      </w:r>
    </w:p>
    <w:p w14:paraId="2F524BB0" w14:textId="787F12C0" w:rsidR="00250DCE" w:rsidRPr="00382558" w:rsidRDefault="00FE44BA" w:rsidP="00FE44BA">
      <w:pPr>
        <w:tabs>
          <w:tab w:val="clear" w:pos="567"/>
        </w:tabs>
        <w:autoSpaceDE w:val="0"/>
        <w:autoSpaceDN w:val="0"/>
        <w:adjustRightInd w:val="0"/>
        <w:spacing w:line="240" w:lineRule="auto"/>
        <w:rPr>
          <w:rFonts w:eastAsia="Calibri"/>
        </w:rPr>
      </w:pPr>
      <w:r w:rsidRPr="00382558">
        <w:rPr>
          <w:rFonts w:eastAsia="Calibri"/>
        </w:rPr>
        <w:t xml:space="preserve">Gauta pranešimų, kad pacientams vartojantiems </w:t>
      </w:r>
      <w:r w:rsidR="005E52B4" w:rsidRPr="00382558">
        <w:rPr>
          <w:rFonts w:eastAsia="Calibri"/>
        </w:rPr>
        <w:t>Cinacalcet Teva</w:t>
      </w:r>
      <w:r w:rsidRPr="00382558">
        <w:rPr>
          <w:rFonts w:eastAsia="Calibri"/>
        </w:rPr>
        <w:t xml:space="preserve"> gali atsirasti </w:t>
      </w:r>
      <w:r w:rsidR="00C304DF" w:rsidRPr="00382558">
        <w:rPr>
          <w:rFonts w:eastAsia="Calibri"/>
        </w:rPr>
        <w:t>svaigulys</w:t>
      </w:r>
      <w:r w:rsidRPr="00382558">
        <w:rPr>
          <w:rFonts w:eastAsia="Calibri"/>
        </w:rPr>
        <w:t xml:space="preserve"> ar traukuliai. Jei Jūs patiriate šiuos reiškinius, vairuoti ir valdyti mechanizmų negalima.</w:t>
      </w:r>
    </w:p>
    <w:p w14:paraId="032E6287" w14:textId="77777777" w:rsidR="00785697" w:rsidRPr="00382558" w:rsidRDefault="00785697" w:rsidP="00250DCE">
      <w:pPr>
        <w:tabs>
          <w:tab w:val="clear" w:pos="567"/>
        </w:tabs>
        <w:autoSpaceDE w:val="0"/>
        <w:autoSpaceDN w:val="0"/>
        <w:adjustRightInd w:val="0"/>
        <w:spacing w:line="240" w:lineRule="auto"/>
        <w:rPr>
          <w:rFonts w:ascii="TimesNewRoman" w:eastAsia="TimesNewRoman,Bold" w:hAnsi="TimesNewRoman" w:cs="TimesNewRoman"/>
          <w:snapToGrid/>
          <w:szCs w:val="22"/>
        </w:rPr>
      </w:pPr>
    </w:p>
    <w:p w14:paraId="25868260" w14:textId="77777777" w:rsidR="00C3614E" w:rsidRPr="00382558" w:rsidRDefault="00C3614E" w:rsidP="00250DCE">
      <w:pPr>
        <w:tabs>
          <w:tab w:val="clear" w:pos="567"/>
        </w:tabs>
        <w:autoSpaceDE w:val="0"/>
        <w:autoSpaceDN w:val="0"/>
        <w:adjustRightInd w:val="0"/>
        <w:spacing w:line="240" w:lineRule="auto"/>
        <w:rPr>
          <w:rFonts w:ascii="TimesNewRoman" w:eastAsia="TimesNewRoman,Bold" w:hAnsi="TimesNewRoman" w:cs="TimesNewRoman"/>
          <w:snapToGrid/>
          <w:szCs w:val="22"/>
        </w:rPr>
      </w:pPr>
    </w:p>
    <w:p w14:paraId="34447299" w14:textId="77777777" w:rsidR="00250DCE" w:rsidRPr="00382558" w:rsidRDefault="00250DCE" w:rsidP="00250DCE">
      <w:pPr>
        <w:autoSpaceDE w:val="0"/>
        <w:autoSpaceDN w:val="0"/>
        <w:adjustRightInd w:val="0"/>
        <w:spacing w:line="240" w:lineRule="auto"/>
        <w:rPr>
          <w:rFonts w:eastAsia="Calibri"/>
          <w:b/>
          <w:snapToGrid/>
          <w:szCs w:val="22"/>
        </w:rPr>
      </w:pPr>
      <w:r w:rsidRPr="00382558">
        <w:rPr>
          <w:rFonts w:eastAsia="Calibri"/>
          <w:b/>
          <w:snapToGrid/>
          <w:szCs w:val="22"/>
        </w:rPr>
        <w:t>3.</w:t>
      </w:r>
      <w:r w:rsidRPr="00382558">
        <w:rPr>
          <w:rFonts w:eastAsia="Calibri"/>
          <w:b/>
          <w:snapToGrid/>
          <w:szCs w:val="22"/>
        </w:rPr>
        <w:tab/>
        <w:t>Kaip vartoti Cinacalcet Teva</w:t>
      </w:r>
    </w:p>
    <w:p w14:paraId="40ED1A45" w14:textId="77777777" w:rsidR="00250DCE" w:rsidRPr="00382558" w:rsidRDefault="00250DCE" w:rsidP="00250DCE">
      <w:pPr>
        <w:tabs>
          <w:tab w:val="clear" w:pos="567"/>
        </w:tabs>
        <w:autoSpaceDE w:val="0"/>
        <w:autoSpaceDN w:val="0"/>
        <w:adjustRightInd w:val="0"/>
        <w:spacing w:line="240" w:lineRule="auto"/>
        <w:rPr>
          <w:rFonts w:eastAsia="Calibri"/>
          <w:b/>
          <w:snapToGrid/>
          <w:szCs w:val="22"/>
        </w:rPr>
      </w:pPr>
    </w:p>
    <w:p w14:paraId="631595DE"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Šį vaistinį preparatą visada vartokite tiksliai taip, kaip nurodė gydytojas ar vaistininkas. Jeigu abejojate,</w:t>
      </w:r>
      <w:r w:rsidR="00785697" w:rsidRPr="00382558">
        <w:rPr>
          <w:rFonts w:eastAsia="Calibri"/>
          <w:snapToGrid/>
          <w:szCs w:val="22"/>
        </w:rPr>
        <w:t xml:space="preserve"> </w:t>
      </w:r>
      <w:r w:rsidRPr="00382558">
        <w:rPr>
          <w:rFonts w:eastAsia="Calibri"/>
          <w:snapToGrid/>
          <w:szCs w:val="22"/>
        </w:rPr>
        <w:t>kreipkitės į gydytoją arba vaistininką. Gydytojas nurodys, kiek Cinacalcet Teva vartoti.</w:t>
      </w:r>
    </w:p>
    <w:p w14:paraId="4E234675"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3A52C40E"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Cinacalcet Teva yra geriamasis vaistas, vartojamas valgant ar iš karto pavalgius. Reikia nuryti visą tabletę, jos negalima</w:t>
      </w:r>
      <w:r w:rsidR="00AD1EFF" w:rsidRPr="00382558">
        <w:rPr>
          <w:rFonts w:eastAsia="Calibri"/>
          <w:snapToGrid/>
          <w:szCs w:val="22"/>
        </w:rPr>
        <w:t xml:space="preserve"> čiulpti, traiškyti arba</w:t>
      </w:r>
      <w:r w:rsidRPr="00382558">
        <w:rPr>
          <w:rFonts w:eastAsia="Calibri"/>
          <w:snapToGrid/>
          <w:szCs w:val="22"/>
        </w:rPr>
        <w:t xml:space="preserve"> dalyti.</w:t>
      </w:r>
    </w:p>
    <w:p w14:paraId="143826DA" w14:textId="77777777" w:rsidR="00AD1EFF" w:rsidRPr="00382558" w:rsidRDefault="00AD1EFF" w:rsidP="00250DCE">
      <w:pPr>
        <w:tabs>
          <w:tab w:val="clear" w:pos="567"/>
        </w:tabs>
        <w:autoSpaceDE w:val="0"/>
        <w:autoSpaceDN w:val="0"/>
        <w:adjustRightInd w:val="0"/>
        <w:spacing w:line="240" w:lineRule="auto"/>
        <w:rPr>
          <w:rFonts w:eastAsia="Calibri"/>
          <w:snapToGrid/>
          <w:szCs w:val="22"/>
        </w:rPr>
      </w:pPr>
    </w:p>
    <w:p w14:paraId="493743E6" w14:textId="77777777" w:rsidR="00AD1EFF" w:rsidRPr="00382558" w:rsidRDefault="00AD1EFF" w:rsidP="00AD1EFF">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Vaikai, kuriems reikalinga mažesnė nei 30 mg dozė arba kurie negali nuryti tabletės, gali vartoti kitas esančias farmacines formas.</w:t>
      </w:r>
    </w:p>
    <w:p w14:paraId="6834AC10"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47B9D607"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Gydymo metu gydytojas reguliariai tirs Jūsų kraują, kad galėtų nustatyti, ar gerėja Jūsų būklė, ir prireikus</w:t>
      </w:r>
      <w:r w:rsidR="00785697" w:rsidRPr="00382558">
        <w:rPr>
          <w:rFonts w:eastAsia="Calibri"/>
          <w:snapToGrid/>
          <w:szCs w:val="22"/>
        </w:rPr>
        <w:t xml:space="preserve"> </w:t>
      </w:r>
      <w:r w:rsidRPr="00382558">
        <w:rPr>
          <w:rFonts w:eastAsia="Calibri"/>
          <w:snapToGrid/>
          <w:szCs w:val="22"/>
        </w:rPr>
        <w:t>koreguos dozę.</w:t>
      </w:r>
    </w:p>
    <w:p w14:paraId="3F5499D1"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2B9DC783" w14:textId="77777777" w:rsidR="00250DCE" w:rsidRPr="00382558" w:rsidRDefault="00250DCE" w:rsidP="00250DCE">
      <w:pPr>
        <w:tabs>
          <w:tab w:val="clear" w:pos="567"/>
        </w:tabs>
        <w:autoSpaceDE w:val="0"/>
        <w:autoSpaceDN w:val="0"/>
        <w:adjustRightInd w:val="0"/>
        <w:spacing w:line="240" w:lineRule="auto"/>
        <w:rPr>
          <w:rFonts w:eastAsia="Calibri"/>
          <w:snapToGrid/>
          <w:szCs w:val="22"/>
          <w:u w:val="single"/>
        </w:rPr>
      </w:pPr>
      <w:r w:rsidRPr="00382558">
        <w:rPr>
          <w:rFonts w:eastAsia="Calibri"/>
          <w:snapToGrid/>
          <w:szCs w:val="22"/>
          <w:u w:val="single"/>
        </w:rPr>
        <w:t>Jei Jūs gydomas nuo antrinės hiperparatirozės</w:t>
      </w:r>
    </w:p>
    <w:p w14:paraId="5EFBA53C"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 xml:space="preserve">Įprastinė pradinė Cinacalcet Teva dozė </w:t>
      </w:r>
      <w:r w:rsidR="0027339F" w:rsidRPr="00382558">
        <w:rPr>
          <w:rFonts w:eastAsia="Calibri"/>
          <w:snapToGrid/>
          <w:szCs w:val="22"/>
        </w:rPr>
        <w:t xml:space="preserve">suaugusiems </w:t>
      </w:r>
      <w:r w:rsidRPr="00382558">
        <w:rPr>
          <w:rFonts w:eastAsia="Calibri"/>
          <w:snapToGrid/>
          <w:szCs w:val="22"/>
        </w:rPr>
        <w:t>yra 30</w:t>
      </w:r>
      <w:r w:rsidR="00785697" w:rsidRPr="00382558">
        <w:rPr>
          <w:rFonts w:eastAsia="Calibri"/>
          <w:snapToGrid/>
          <w:szCs w:val="22"/>
        </w:rPr>
        <w:t> </w:t>
      </w:r>
      <w:r w:rsidRPr="00382558">
        <w:rPr>
          <w:rFonts w:eastAsia="Calibri"/>
          <w:snapToGrid/>
          <w:szCs w:val="22"/>
        </w:rPr>
        <w:t>mg (viena tabletė) vieną kartą per parą.</w:t>
      </w:r>
    </w:p>
    <w:p w14:paraId="76FED4EC"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293B51AE" w14:textId="3DFF4BC2" w:rsidR="0027339F" w:rsidRPr="00382558" w:rsidRDefault="0027339F"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 xml:space="preserve">Įprastinė pradinė Cinacalcet Teva dozė vaikams nuo 3 iki 18 metų yra ne didesnė nei 0,20 mg/kg kūno svorio </w:t>
      </w:r>
      <w:r w:rsidR="00C304DF" w:rsidRPr="00382558">
        <w:rPr>
          <w:rFonts w:eastAsia="Calibri"/>
          <w:snapToGrid/>
          <w:szCs w:val="22"/>
        </w:rPr>
        <w:t>per parą</w:t>
      </w:r>
      <w:r w:rsidRPr="00382558">
        <w:rPr>
          <w:rFonts w:eastAsia="Calibri"/>
          <w:snapToGrid/>
          <w:szCs w:val="22"/>
        </w:rPr>
        <w:t>.</w:t>
      </w:r>
    </w:p>
    <w:p w14:paraId="63B94212" w14:textId="77777777" w:rsidR="0027339F" w:rsidRPr="00382558" w:rsidRDefault="0027339F" w:rsidP="00250DCE">
      <w:pPr>
        <w:tabs>
          <w:tab w:val="clear" w:pos="567"/>
        </w:tabs>
        <w:autoSpaceDE w:val="0"/>
        <w:autoSpaceDN w:val="0"/>
        <w:adjustRightInd w:val="0"/>
        <w:spacing w:line="240" w:lineRule="auto"/>
        <w:rPr>
          <w:rFonts w:eastAsia="Calibri"/>
          <w:snapToGrid/>
          <w:szCs w:val="22"/>
        </w:rPr>
      </w:pPr>
    </w:p>
    <w:p w14:paraId="55289FC7" w14:textId="77777777" w:rsidR="00250DCE" w:rsidRPr="00382558" w:rsidRDefault="00250DCE" w:rsidP="00250DCE">
      <w:pPr>
        <w:tabs>
          <w:tab w:val="clear" w:pos="567"/>
        </w:tabs>
        <w:autoSpaceDE w:val="0"/>
        <w:autoSpaceDN w:val="0"/>
        <w:adjustRightInd w:val="0"/>
        <w:spacing w:line="240" w:lineRule="auto"/>
        <w:rPr>
          <w:rFonts w:eastAsia="Calibri"/>
          <w:snapToGrid/>
          <w:szCs w:val="22"/>
          <w:u w:val="single"/>
        </w:rPr>
      </w:pPr>
      <w:r w:rsidRPr="00382558">
        <w:rPr>
          <w:rFonts w:eastAsia="Calibri"/>
          <w:snapToGrid/>
          <w:szCs w:val="22"/>
          <w:u w:val="single"/>
        </w:rPr>
        <w:t>Jei Jūs gydomas nuo prieskydinių liaukų vėžio ar pirminės hiperparatirozės</w:t>
      </w:r>
    </w:p>
    <w:p w14:paraId="12867D12"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Įprastinė pradinė Cinacalcet Teva dozė</w:t>
      </w:r>
      <w:r w:rsidR="00AD1EFF" w:rsidRPr="00382558">
        <w:rPr>
          <w:rFonts w:eastAsia="Calibri"/>
          <w:snapToGrid/>
          <w:szCs w:val="22"/>
        </w:rPr>
        <w:t xml:space="preserve"> suaugusiems</w:t>
      </w:r>
      <w:r w:rsidRPr="00382558">
        <w:rPr>
          <w:rFonts w:eastAsia="Calibri"/>
          <w:snapToGrid/>
          <w:szCs w:val="22"/>
        </w:rPr>
        <w:t xml:space="preserve"> yra 30</w:t>
      </w:r>
      <w:r w:rsidR="00785697" w:rsidRPr="00382558">
        <w:rPr>
          <w:rFonts w:eastAsia="Calibri"/>
          <w:snapToGrid/>
          <w:szCs w:val="22"/>
        </w:rPr>
        <w:t> </w:t>
      </w:r>
      <w:r w:rsidRPr="00382558">
        <w:rPr>
          <w:rFonts w:eastAsia="Calibri"/>
          <w:snapToGrid/>
          <w:szCs w:val="22"/>
        </w:rPr>
        <w:t>mg (viena tabletė) du kartus per parą.</w:t>
      </w:r>
    </w:p>
    <w:p w14:paraId="4C78E4F8" w14:textId="77777777" w:rsidR="00E47C40" w:rsidRPr="00382558" w:rsidRDefault="00E47C40" w:rsidP="00250DCE">
      <w:pPr>
        <w:tabs>
          <w:tab w:val="clear" w:pos="567"/>
        </w:tabs>
        <w:autoSpaceDE w:val="0"/>
        <w:autoSpaceDN w:val="0"/>
        <w:adjustRightInd w:val="0"/>
        <w:spacing w:line="240" w:lineRule="auto"/>
        <w:rPr>
          <w:rFonts w:eastAsia="Calibri"/>
          <w:snapToGrid/>
          <w:szCs w:val="22"/>
        </w:rPr>
      </w:pPr>
    </w:p>
    <w:p w14:paraId="50183CFA"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4CE83217" w14:textId="77777777"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Ką daryti pavartojus per didelę Cinacalcet Teva dozę?</w:t>
      </w:r>
    </w:p>
    <w:p w14:paraId="02D66C15"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 išgėrėte per daug</w:t>
      </w:r>
      <w:r w:rsidRPr="008E66BB">
        <w:rPr>
          <w:rFonts w:eastAsia="Calibri"/>
          <w:snapToGrid/>
          <w:szCs w:val="22"/>
        </w:rPr>
        <w:t xml:space="preserve"> Cinacalcet Teva negu reikėjo, nedelsdami kreipkitės į gydytoją. Galimi perdozavimo</w:t>
      </w:r>
      <w:r w:rsidR="00785697" w:rsidRPr="008E66BB">
        <w:rPr>
          <w:rFonts w:eastAsia="Calibri"/>
          <w:snapToGrid/>
          <w:szCs w:val="22"/>
        </w:rPr>
        <w:t xml:space="preserve"> </w:t>
      </w:r>
      <w:r w:rsidRPr="008E66BB">
        <w:rPr>
          <w:rFonts w:eastAsia="Calibri"/>
          <w:snapToGrid/>
          <w:szCs w:val="22"/>
        </w:rPr>
        <w:t>požymiai: tirpimas arba dilgčiojimas apie burną, raumenų skausmas, mėšlungis arba traukuliai.</w:t>
      </w:r>
    </w:p>
    <w:p w14:paraId="76FD1F4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7A66CE4"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Pamiršus pavartoti Cinacalcet Teva</w:t>
      </w:r>
    </w:p>
    <w:p w14:paraId="76AC6647"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Negalima vartoti dvigubos dozės norint kompensuoti praleistą dozę.</w:t>
      </w:r>
    </w:p>
    <w:p w14:paraId="4EDCB0D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37A374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Jei pamiršote išgerti Cinacalcet Teva dozę, kitą dozę gerkite įprastu laiku.</w:t>
      </w:r>
    </w:p>
    <w:p w14:paraId="02A65CB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3403A8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Jeigu kiltų daugiau klausimų dėl šio vaistinio preparato vartojimo, kreipkitės į gydytoją, vaistininką ar</w:t>
      </w:r>
      <w:r w:rsidR="00785697" w:rsidRPr="008E66BB">
        <w:rPr>
          <w:rFonts w:eastAsia="Calibri"/>
          <w:snapToGrid/>
          <w:szCs w:val="22"/>
        </w:rPr>
        <w:t xml:space="preserve"> </w:t>
      </w:r>
      <w:r w:rsidRPr="008E66BB">
        <w:rPr>
          <w:rFonts w:eastAsia="Calibri"/>
          <w:snapToGrid/>
          <w:szCs w:val="22"/>
        </w:rPr>
        <w:t>slaugytoją.</w:t>
      </w:r>
    </w:p>
    <w:p w14:paraId="12129A5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EB82D7C" w14:textId="77777777" w:rsidR="00C3614E" w:rsidRPr="008E66BB" w:rsidRDefault="00C3614E" w:rsidP="00250DCE">
      <w:pPr>
        <w:tabs>
          <w:tab w:val="clear" w:pos="567"/>
        </w:tabs>
        <w:autoSpaceDE w:val="0"/>
        <w:autoSpaceDN w:val="0"/>
        <w:adjustRightInd w:val="0"/>
        <w:spacing w:line="240" w:lineRule="auto"/>
        <w:rPr>
          <w:rFonts w:eastAsia="Calibri"/>
          <w:snapToGrid/>
          <w:szCs w:val="22"/>
        </w:rPr>
      </w:pPr>
    </w:p>
    <w:p w14:paraId="2AB5D021" w14:textId="77777777" w:rsidR="00250DCE" w:rsidRPr="008E66BB" w:rsidRDefault="00250DCE" w:rsidP="00250DCE">
      <w:pPr>
        <w:autoSpaceDE w:val="0"/>
        <w:autoSpaceDN w:val="0"/>
        <w:adjustRightInd w:val="0"/>
        <w:spacing w:line="240" w:lineRule="auto"/>
        <w:rPr>
          <w:rFonts w:eastAsia="Calibri"/>
          <w:snapToGrid/>
          <w:szCs w:val="22"/>
        </w:rPr>
      </w:pPr>
      <w:r w:rsidRPr="008E66BB">
        <w:rPr>
          <w:rFonts w:eastAsia="Calibri"/>
          <w:b/>
          <w:snapToGrid/>
          <w:szCs w:val="22"/>
        </w:rPr>
        <w:t>4.</w:t>
      </w:r>
      <w:r w:rsidRPr="008E66BB">
        <w:rPr>
          <w:rFonts w:eastAsia="Calibri"/>
          <w:b/>
          <w:snapToGrid/>
          <w:szCs w:val="22"/>
        </w:rPr>
        <w:tab/>
        <w:t>Galimas šalutinis poveikis</w:t>
      </w:r>
    </w:p>
    <w:p w14:paraId="1BFE52FD" w14:textId="77777777" w:rsidR="00785697" w:rsidRPr="008E66BB" w:rsidRDefault="00785697" w:rsidP="00250DCE">
      <w:pPr>
        <w:tabs>
          <w:tab w:val="clear" w:pos="567"/>
        </w:tabs>
        <w:autoSpaceDE w:val="0"/>
        <w:autoSpaceDN w:val="0"/>
        <w:adjustRightInd w:val="0"/>
        <w:spacing w:line="240" w:lineRule="auto"/>
        <w:rPr>
          <w:rFonts w:eastAsia="Calibri"/>
          <w:snapToGrid/>
          <w:szCs w:val="22"/>
        </w:rPr>
      </w:pPr>
    </w:p>
    <w:p w14:paraId="06C274F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Šis vaistinis preparatas, kaip ir kiti vaistai, gali sukelti šalutinį poveikį, nors jis pasireiškia ne visiems</w:t>
      </w:r>
      <w:r w:rsidR="008766B8" w:rsidRPr="008E66BB">
        <w:rPr>
          <w:rFonts w:eastAsia="Calibri"/>
          <w:snapToGrid/>
          <w:szCs w:val="22"/>
        </w:rPr>
        <w:t xml:space="preserve"> </w:t>
      </w:r>
      <w:r w:rsidRPr="008E66BB">
        <w:rPr>
          <w:rFonts w:eastAsia="Calibri"/>
          <w:snapToGrid/>
          <w:szCs w:val="22"/>
        </w:rPr>
        <w:t>žmonėms.</w:t>
      </w:r>
    </w:p>
    <w:p w14:paraId="6D0D5B3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3471AED1" w14:textId="77777777" w:rsidR="00E25898" w:rsidRPr="00D42F2E" w:rsidRDefault="00E25898" w:rsidP="00250DCE">
      <w:pPr>
        <w:tabs>
          <w:tab w:val="clear" w:pos="567"/>
        </w:tabs>
        <w:autoSpaceDE w:val="0"/>
        <w:autoSpaceDN w:val="0"/>
        <w:adjustRightInd w:val="0"/>
        <w:spacing w:line="240" w:lineRule="auto"/>
        <w:rPr>
          <w:rFonts w:eastAsia="Calibri"/>
          <w:b/>
          <w:snapToGrid/>
          <w:szCs w:val="22"/>
        </w:rPr>
      </w:pPr>
      <w:r w:rsidRPr="00D42F2E">
        <w:rPr>
          <w:rFonts w:eastAsia="Calibri"/>
          <w:b/>
          <w:snapToGrid/>
          <w:szCs w:val="22"/>
        </w:rPr>
        <w:t>Nedelsiant kreipkitės į gydytoją:</w:t>
      </w:r>
    </w:p>
    <w:p w14:paraId="084C4D63" w14:textId="77777777" w:rsidR="00E25898" w:rsidRDefault="00E25898" w:rsidP="00250DCE">
      <w:pPr>
        <w:tabs>
          <w:tab w:val="clear" w:pos="567"/>
        </w:tabs>
        <w:autoSpaceDE w:val="0"/>
        <w:autoSpaceDN w:val="0"/>
        <w:adjustRightInd w:val="0"/>
        <w:spacing w:line="240" w:lineRule="auto"/>
        <w:rPr>
          <w:rFonts w:eastAsia="Calibri"/>
          <w:snapToGrid/>
          <w:szCs w:val="22"/>
        </w:rPr>
      </w:pPr>
    </w:p>
    <w:p w14:paraId="7241910D" w14:textId="3D8A5E81" w:rsidR="00250DCE" w:rsidRPr="00382558" w:rsidRDefault="00E25898" w:rsidP="00D42F2E">
      <w:pPr>
        <w:numPr>
          <w:ilvl w:val="0"/>
          <w:numId w:val="13"/>
        </w:numPr>
        <w:tabs>
          <w:tab w:val="clear" w:pos="567"/>
        </w:tabs>
        <w:autoSpaceDE w:val="0"/>
        <w:autoSpaceDN w:val="0"/>
        <w:adjustRightInd w:val="0"/>
        <w:spacing w:line="240" w:lineRule="auto"/>
        <w:rPr>
          <w:rFonts w:eastAsia="Calibri"/>
          <w:snapToGrid/>
          <w:szCs w:val="22"/>
        </w:rPr>
      </w:pPr>
      <w:r>
        <w:rPr>
          <w:rFonts w:eastAsia="Calibri"/>
          <w:snapToGrid/>
          <w:szCs w:val="22"/>
        </w:rPr>
        <w:t>Jei atsiranda</w:t>
      </w:r>
      <w:r w:rsidR="00250DCE" w:rsidRPr="008E66BB">
        <w:rPr>
          <w:rFonts w:eastAsia="Calibri"/>
          <w:snapToGrid/>
          <w:szCs w:val="22"/>
        </w:rPr>
        <w:t xml:space="preserve"> tirpimas ar dilgčiojimas </w:t>
      </w:r>
      <w:r w:rsidRPr="008E66BB">
        <w:rPr>
          <w:rFonts w:eastAsia="Calibri"/>
          <w:snapToGrid/>
          <w:szCs w:val="22"/>
        </w:rPr>
        <w:t>ap</w:t>
      </w:r>
      <w:r>
        <w:rPr>
          <w:rFonts w:eastAsia="Calibri"/>
          <w:snapToGrid/>
          <w:szCs w:val="22"/>
        </w:rPr>
        <w:t>link</w:t>
      </w:r>
      <w:r w:rsidRPr="008E66BB">
        <w:rPr>
          <w:rFonts w:eastAsia="Calibri"/>
          <w:snapToGrid/>
          <w:szCs w:val="22"/>
        </w:rPr>
        <w:t xml:space="preserve"> </w:t>
      </w:r>
      <w:r w:rsidR="00250DCE" w:rsidRPr="008E66BB">
        <w:rPr>
          <w:rFonts w:eastAsia="Calibri"/>
          <w:snapToGrid/>
          <w:szCs w:val="22"/>
        </w:rPr>
        <w:t>burną, raumenų skausmas ar mėšlungis bei traukuliai</w:t>
      </w:r>
      <w:r>
        <w:rPr>
          <w:rFonts w:eastAsia="Calibri"/>
          <w:snapToGrid/>
          <w:szCs w:val="22"/>
        </w:rPr>
        <w:t>.</w:t>
      </w:r>
      <w:r w:rsidR="008766B8" w:rsidRPr="008E66BB">
        <w:rPr>
          <w:rFonts w:eastAsia="Calibri"/>
          <w:b/>
          <w:snapToGrid/>
          <w:szCs w:val="22"/>
        </w:rPr>
        <w:t xml:space="preserve"> </w:t>
      </w:r>
      <w:r w:rsidR="00250DCE" w:rsidRPr="00382558">
        <w:rPr>
          <w:rFonts w:eastAsia="Calibri"/>
          <w:snapToGrid/>
          <w:szCs w:val="22"/>
        </w:rPr>
        <w:t>Tai gali būti per mažos kalcio koncentracijos kraujyje (hipokalcemijos)</w:t>
      </w:r>
      <w:r w:rsidR="008766B8" w:rsidRPr="00382558">
        <w:rPr>
          <w:rFonts w:eastAsia="Calibri"/>
          <w:snapToGrid/>
          <w:szCs w:val="22"/>
        </w:rPr>
        <w:t xml:space="preserve"> </w:t>
      </w:r>
      <w:r w:rsidR="00250DCE" w:rsidRPr="00382558">
        <w:rPr>
          <w:rFonts w:eastAsia="Calibri"/>
          <w:snapToGrid/>
          <w:szCs w:val="22"/>
        </w:rPr>
        <w:t>požymiai.</w:t>
      </w:r>
    </w:p>
    <w:p w14:paraId="58668181" w14:textId="77777777" w:rsidR="00E25898" w:rsidRPr="00382558" w:rsidRDefault="00E25898" w:rsidP="00D42F2E">
      <w:pPr>
        <w:numPr>
          <w:ilvl w:val="0"/>
          <w:numId w:val="13"/>
        </w:numPr>
        <w:tabs>
          <w:tab w:val="clear" w:pos="567"/>
        </w:tabs>
        <w:autoSpaceDE w:val="0"/>
        <w:autoSpaceDN w:val="0"/>
        <w:adjustRightInd w:val="0"/>
        <w:spacing w:line="240" w:lineRule="auto"/>
        <w:rPr>
          <w:rFonts w:eastAsia="Calibri"/>
          <w:snapToGrid/>
          <w:szCs w:val="22"/>
        </w:rPr>
      </w:pPr>
      <w:r w:rsidRPr="00382558">
        <w:rPr>
          <w:rFonts w:eastAsia="Calibri"/>
          <w:snapToGrid/>
          <w:szCs w:val="22"/>
        </w:rPr>
        <w:t>Jei atsiranda veido, lūpų, burnos, liežuvio arba gerklės patinimas, kurie apsunkina rijimą arba kvėpavimą (angioneurozinė edema).</w:t>
      </w:r>
    </w:p>
    <w:p w14:paraId="6F830D59"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11A40738" w14:textId="00585156"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 xml:space="preserve">Labai dažnas šalutinis poveikis: gali pasireikšti </w:t>
      </w:r>
      <w:r w:rsidR="00493B5B" w:rsidRPr="00382558">
        <w:rPr>
          <w:rFonts w:eastAsia="Calibri"/>
          <w:b/>
          <w:snapToGrid/>
          <w:szCs w:val="22"/>
        </w:rPr>
        <w:t xml:space="preserve">dažniau </w:t>
      </w:r>
      <w:r w:rsidRPr="00382558">
        <w:rPr>
          <w:rFonts w:eastAsia="Calibri"/>
          <w:b/>
          <w:snapToGrid/>
          <w:szCs w:val="22"/>
        </w:rPr>
        <w:t>kaip 1 iš 10 žmonių</w:t>
      </w:r>
    </w:p>
    <w:p w14:paraId="5CB5BACC"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pykinimas ir vėmimas. Šis šalutinis poveikis paprastai būna nesunkus ir trumpalaikis.</w:t>
      </w:r>
    </w:p>
    <w:p w14:paraId="42CBFA94" w14:textId="77777777" w:rsidR="00250DCE" w:rsidRPr="00382558" w:rsidRDefault="00250DCE" w:rsidP="00250DCE">
      <w:pPr>
        <w:tabs>
          <w:tab w:val="clear" w:pos="567"/>
        </w:tabs>
        <w:autoSpaceDE w:val="0"/>
        <w:autoSpaceDN w:val="0"/>
        <w:adjustRightInd w:val="0"/>
        <w:spacing w:line="240" w:lineRule="auto"/>
        <w:rPr>
          <w:rFonts w:eastAsia="Calibri"/>
          <w:snapToGrid/>
          <w:szCs w:val="22"/>
        </w:rPr>
      </w:pPr>
    </w:p>
    <w:p w14:paraId="2658CAC5" w14:textId="06057862"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382558">
        <w:rPr>
          <w:rFonts w:eastAsia="Calibri"/>
          <w:b/>
          <w:snapToGrid/>
          <w:szCs w:val="22"/>
        </w:rPr>
        <w:t>Dažnas šalutinis poveikis: gali pasireikšti</w:t>
      </w:r>
      <w:r w:rsidR="00493B5B" w:rsidRPr="00382558">
        <w:rPr>
          <w:rFonts w:eastAsia="Calibri"/>
          <w:b/>
          <w:snapToGrid/>
          <w:szCs w:val="22"/>
        </w:rPr>
        <w:t xml:space="preserve"> rečiau </w:t>
      </w:r>
      <w:r w:rsidRPr="00382558">
        <w:rPr>
          <w:rFonts w:eastAsia="Calibri"/>
          <w:b/>
          <w:snapToGrid/>
          <w:szCs w:val="22"/>
        </w:rPr>
        <w:t>kaip 1 iš 10 žmonių</w:t>
      </w:r>
    </w:p>
    <w:p w14:paraId="3767BA96" w14:textId="77777777" w:rsidR="00250DCE" w:rsidRPr="00382558" w:rsidRDefault="006A37FC"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svaigulys</w:t>
      </w:r>
      <w:r w:rsidR="00250DCE" w:rsidRPr="00382558">
        <w:rPr>
          <w:rFonts w:eastAsia="Calibri"/>
          <w:snapToGrid/>
          <w:szCs w:val="22"/>
        </w:rPr>
        <w:t>,</w:t>
      </w:r>
    </w:p>
    <w:p w14:paraId="216DF039"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tirpimo ir dilgčiojimo pojūtis (parestezija),</w:t>
      </w:r>
    </w:p>
    <w:p w14:paraId="11A58B7C"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apetito netekimas (anoreksija) arba sumažėjimas,</w:t>
      </w:r>
    </w:p>
    <w:p w14:paraId="16E4C02F"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raumenų skausmas (mialgija),</w:t>
      </w:r>
    </w:p>
    <w:p w14:paraId="60AD7E06"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silpnumas</w:t>
      </w:r>
      <w:r w:rsidRPr="008E66BB">
        <w:rPr>
          <w:rFonts w:eastAsia="Calibri"/>
          <w:snapToGrid/>
          <w:szCs w:val="22"/>
        </w:rPr>
        <w:t xml:space="preserve"> (astenija),</w:t>
      </w:r>
    </w:p>
    <w:p w14:paraId="7AC899CC"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išbėrimas,</w:t>
      </w:r>
    </w:p>
    <w:p w14:paraId="7CC11D5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sumažėjęs testosterono kiekis,</w:t>
      </w:r>
    </w:p>
    <w:p w14:paraId="178FAB16"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didelis kalio kiekis kraujyje (hiperkalemija),</w:t>
      </w:r>
    </w:p>
    <w:p w14:paraId="7DA3370A"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alerginės reakcijos (padidėjęs jautrumas),</w:t>
      </w:r>
    </w:p>
    <w:p w14:paraId="798388D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galvos skausmas,</w:t>
      </w:r>
    </w:p>
    <w:p w14:paraId="4625BD6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traukuliai (traukuliai arba priepuoliai),</w:t>
      </w:r>
    </w:p>
    <w:p w14:paraId="30DF164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žemas kraujospūdis (hipotenzija),</w:t>
      </w:r>
    </w:p>
    <w:p w14:paraId="79661B59"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viršutinių kvėpavimo takų infekcija,</w:t>
      </w:r>
    </w:p>
    <w:p w14:paraId="5D340DB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pasunkėjęs kvėpavimas (dispnėja),</w:t>
      </w:r>
    </w:p>
    <w:p w14:paraId="30FEB3A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kosulys,</w:t>
      </w:r>
    </w:p>
    <w:p w14:paraId="363E811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virškinimo sutrikimas (dispepsija),</w:t>
      </w:r>
    </w:p>
    <w:p w14:paraId="16EAC8B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viduriavimas,</w:t>
      </w:r>
    </w:p>
    <w:p w14:paraId="4821DB68"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pilvo skausmas, viršutinės pilvo dalies skausmas,</w:t>
      </w:r>
    </w:p>
    <w:p w14:paraId="55EB0BF5"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vidurių užkietėjimas,</w:t>
      </w:r>
    </w:p>
    <w:p w14:paraId="3536946A"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raumenų traukuliai,</w:t>
      </w:r>
    </w:p>
    <w:p w14:paraId="09E87B41"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nugaros skausmas,</w:t>
      </w:r>
    </w:p>
    <w:p w14:paraId="36CD30CD"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mažas kalcio kiekis kraujyje (hipokalcemija).</w:t>
      </w:r>
    </w:p>
    <w:p w14:paraId="78D5E72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112F78D" w14:textId="1AE7ED38" w:rsidR="00250DCE" w:rsidRPr="00382558"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 xml:space="preserve">Dažnis nežinomas: </w:t>
      </w:r>
      <w:r w:rsidRPr="00382558">
        <w:rPr>
          <w:rFonts w:eastAsia="Calibri"/>
          <w:b/>
          <w:snapToGrid/>
          <w:szCs w:val="22"/>
        </w:rPr>
        <w:t xml:space="preserve">negali būti </w:t>
      </w:r>
      <w:r w:rsidR="00493B5B" w:rsidRPr="00382558">
        <w:rPr>
          <w:rFonts w:eastAsia="Calibri"/>
          <w:b/>
          <w:snapToGrid/>
          <w:szCs w:val="22"/>
        </w:rPr>
        <w:t xml:space="preserve">apskaičiuotas </w:t>
      </w:r>
      <w:r w:rsidRPr="00382558">
        <w:rPr>
          <w:rFonts w:eastAsia="Calibri"/>
          <w:b/>
          <w:snapToGrid/>
          <w:szCs w:val="22"/>
        </w:rPr>
        <w:t>pagal turimus duomenis</w:t>
      </w:r>
    </w:p>
    <w:p w14:paraId="0FAFB145"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dilgėlinė (urtikarija),</w:t>
      </w:r>
    </w:p>
    <w:p w14:paraId="62305DC2" w14:textId="77777777" w:rsidR="00250DCE" w:rsidRPr="00382558"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veido, lūpų, burnos, liežuvio ar ryklės patinimas, galintis apsunkinti rijimą ar kvėpavimą (angioneurozinė edema),</w:t>
      </w:r>
    </w:p>
    <w:p w14:paraId="7489D66E" w14:textId="77777777" w:rsidR="00250DCE" w:rsidRPr="008E66BB" w:rsidRDefault="00250DCE" w:rsidP="00250DCE">
      <w:pPr>
        <w:numPr>
          <w:ilvl w:val="0"/>
          <w:numId w:val="8"/>
        </w:numPr>
        <w:tabs>
          <w:tab w:val="clear" w:pos="567"/>
        </w:tabs>
        <w:autoSpaceDE w:val="0"/>
        <w:autoSpaceDN w:val="0"/>
        <w:adjustRightInd w:val="0"/>
        <w:spacing w:after="200" w:line="240" w:lineRule="auto"/>
        <w:contextualSpacing/>
        <w:rPr>
          <w:rFonts w:eastAsia="Calibri"/>
          <w:snapToGrid/>
          <w:szCs w:val="22"/>
        </w:rPr>
      </w:pPr>
      <w:r w:rsidRPr="00382558">
        <w:rPr>
          <w:rFonts w:eastAsia="Calibri"/>
          <w:snapToGrid/>
          <w:szCs w:val="22"/>
        </w:rPr>
        <w:t>neįprastas greitas ar mušantis širdies plakimas, kuris gali būti susijęs su maža kalcio koncentracija Jūsų kraujyje</w:t>
      </w:r>
      <w:r w:rsidRPr="008E66BB">
        <w:rPr>
          <w:rFonts w:eastAsia="Calibri"/>
          <w:snapToGrid/>
          <w:szCs w:val="22"/>
        </w:rPr>
        <w:t xml:space="preserve"> (dėl hipokalcemijos pasireiškęs QT pailgėjimas ir skilvelinė aritmija).</w:t>
      </w:r>
    </w:p>
    <w:p w14:paraId="66F43CE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2D28A25"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Labai nedaugelio širdies nepakankamumu sergančių pacientų būklė po Cinakalcet Teva pavartojimo pasunkėjo ir (arba) sumažėjo kraujospūdis (pasireiškė hipotenzija).</w:t>
      </w:r>
    </w:p>
    <w:p w14:paraId="220A87C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908C5ED"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Vartojimas vaikams ir paaugliams</w:t>
      </w:r>
    </w:p>
    <w:p w14:paraId="309DD1A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vartojimas vaikams ir paaugliams yra nenustatytas. Aprašytas mirties atvejis klinikiniame</w:t>
      </w:r>
      <w:r w:rsidR="00315031" w:rsidRPr="008E66BB">
        <w:rPr>
          <w:rFonts w:eastAsia="Calibri"/>
          <w:snapToGrid/>
          <w:szCs w:val="22"/>
        </w:rPr>
        <w:t xml:space="preserve"> </w:t>
      </w:r>
      <w:r w:rsidRPr="008E66BB">
        <w:rPr>
          <w:rFonts w:eastAsia="Calibri"/>
          <w:snapToGrid/>
          <w:szCs w:val="22"/>
        </w:rPr>
        <w:t>tyrime dalyvavusiam paaugliui, kurio kraujyje buvo labai maža kalcio koncentracija (hipokalcemija).</w:t>
      </w:r>
    </w:p>
    <w:p w14:paraId="3180516D"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22C09C10"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Pranešimas apie šalutinį poveikį</w:t>
      </w:r>
    </w:p>
    <w:p w14:paraId="522FE70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0" w:history="1">
        <w:r w:rsidR="00C304DF" w:rsidRPr="00E5623E">
          <w:rPr>
            <w:rStyle w:val="Hipersaitas"/>
            <w:rFonts w:eastAsia="Calibri"/>
            <w:snapToGrid/>
            <w:szCs w:val="22"/>
          </w:rPr>
          <w:t>www.vvkt.lt</w:t>
        </w:r>
      </w:hyperlink>
      <w:r w:rsidR="00C304DF">
        <w:rPr>
          <w:rFonts w:eastAsia="Calibri"/>
          <w:snapToGrid/>
          <w:szCs w:val="22"/>
        </w:rPr>
        <w:t xml:space="preserve"> </w:t>
      </w:r>
      <w:r w:rsidRPr="008E66BB">
        <w:rPr>
          <w:rFonts w:eastAsia="Calibri"/>
          <w:snapToGrid/>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8E66BB">
          <w:rPr>
            <w:rFonts w:eastAsia="Calibri"/>
            <w:snapToGrid/>
            <w:color w:val="0000FF"/>
            <w:szCs w:val="22"/>
            <w:u w:val="single"/>
          </w:rPr>
          <w:t>NepageidaujamaR@vvkt.lt</w:t>
        </w:r>
      </w:hyperlink>
      <w:r w:rsidRPr="008E66BB">
        <w:rPr>
          <w:rFonts w:eastAsia="Calibri"/>
          <w:snapToGrid/>
          <w:szCs w:val="22"/>
        </w:rPr>
        <w:t xml:space="preserve">, taip pat per Valstybinės vaistų kontrolės tarnybos prie Lietuvos Respublikos sveikatos apsaugos ministerijos interneto svetainę (adresu </w:t>
      </w:r>
      <w:hyperlink r:id="rId12" w:history="1">
        <w:r w:rsidRPr="008E66BB">
          <w:rPr>
            <w:rFonts w:eastAsia="Calibri"/>
            <w:snapToGrid/>
            <w:color w:val="0000FF"/>
            <w:szCs w:val="22"/>
            <w:u w:val="single"/>
          </w:rPr>
          <w:t>http://www.vvkt.lt</w:t>
        </w:r>
      </w:hyperlink>
      <w:r w:rsidRPr="008E66BB">
        <w:rPr>
          <w:rFonts w:eastAsia="Calibri"/>
          <w:snapToGrid/>
          <w:szCs w:val="22"/>
        </w:rPr>
        <w:t>). Pranešdami apie šalutinį poveikį galite mums padėti gauti daugiau informacijos apie šio vaisto saugumą.</w:t>
      </w:r>
    </w:p>
    <w:p w14:paraId="12BDFF5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DFA38C7" w14:textId="77777777" w:rsidR="00533C11" w:rsidRPr="008E66BB" w:rsidRDefault="00533C11" w:rsidP="00250DCE">
      <w:pPr>
        <w:tabs>
          <w:tab w:val="clear" w:pos="567"/>
        </w:tabs>
        <w:autoSpaceDE w:val="0"/>
        <w:autoSpaceDN w:val="0"/>
        <w:adjustRightInd w:val="0"/>
        <w:spacing w:line="240" w:lineRule="auto"/>
        <w:rPr>
          <w:rFonts w:eastAsia="Calibri"/>
          <w:snapToGrid/>
          <w:szCs w:val="22"/>
        </w:rPr>
      </w:pPr>
    </w:p>
    <w:p w14:paraId="2360E14B" w14:textId="77777777" w:rsidR="00250DCE" w:rsidRPr="008E66BB" w:rsidRDefault="00250DCE" w:rsidP="00250DCE">
      <w:pPr>
        <w:autoSpaceDE w:val="0"/>
        <w:autoSpaceDN w:val="0"/>
        <w:adjustRightInd w:val="0"/>
        <w:spacing w:line="240" w:lineRule="auto"/>
        <w:rPr>
          <w:rFonts w:eastAsia="Calibri"/>
          <w:b/>
          <w:snapToGrid/>
          <w:szCs w:val="22"/>
        </w:rPr>
      </w:pPr>
      <w:r w:rsidRPr="008E66BB">
        <w:rPr>
          <w:rFonts w:eastAsia="Calibri"/>
          <w:b/>
          <w:snapToGrid/>
          <w:szCs w:val="22"/>
        </w:rPr>
        <w:t>5.</w:t>
      </w:r>
      <w:r w:rsidRPr="008E66BB">
        <w:rPr>
          <w:rFonts w:eastAsia="Calibri"/>
          <w:b/>
          <w:snapToGrid/>
          <w:szCs w:val="22"/>
        </w:rPr>
        <w:tab/>
        <w:t>Kaip laikyti Cinacalcet Teva</w:t>
      </w:r>
    </w:p>
    <w:p w14:paraId="56AFBA29" w14:textId="77777777" w:rsidR="00315031" w:rsidRPr="008E66BB" w:rsidRDefault="00315031" w:rsidP="00250DCE">
      <w:pPr>
        <w:tabs>
          <w:tab w:val="clear" w:pos="567"/>
        </w:tabs>
        <w:autoSpaceDE w:val="0"/>
        <w:autoSpaceDN w:val="0"/>
        <w:adjustRightInd w:val="0"/>
        <w:spacing w:line="240" w:lineRule="auto"/>
        <w:rPr>
          <w:rFonts w:eastAsia="Calibri"/>
          <w:snapToGrid/>
          <w:szCs w:val="22"/>
        </w:rPr>
      </w:pPr>
    </w:p>
    <w:p w14:paraId="2E858E6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Šį vaistą laiky</w:t>
      </w:r>
      <w:r w:rsidR="00533C11" w:rsidRPr="008E66BB">
        <w:rPr>
          <w:rFonts w:eastAsia="Calibri"/>
          <w:snapToGrid/>
          <w:szCs w:val="22"/>
        </w:rPr>
        <w:t>kite</w:t>
      </w:r>
      <w:r w:rsidRPr="008E66BB">
        <w:rPr>
          <w:rFonts w:eastAsia="Calibri"/>
          <w:snapToGrid/>
          <w:szCs w:val="22"/>
        </w:rPr>
        <w:t xml:space="preserve"> vaikams nepastebimoje ir nepasiekiamoje vietoje.</w:t>
      </w:r>
    </w:p>
    <w:p w14:paraId="54B531F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64B29DF" w14:textId="1832CD7B"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Ant dėžutės ir ant lizdinės plokštelės po „EXP“ nurodytam tinkamumo laikui pasibaigus, šio vaisto vartoti negalima. Vaistas tinkamas vartoti iki paskutinės nurodyto mėnesio dienos.</w:t>
      </w:r>
    </w:p>
    <w:p w14:paraId="4C9238FC" w14:textId="77777777" w:rsidR="001E4838" w:rsidRPr="007D0562" w:rsidRDefault="001E4838" w:rsidP="00250DCE">
      <w:pPr>
        <w:tabs>
          <w:tab w:val="clear" w:pos="567"/>
        </w:tabs>
        <w:autoSpaceDE w:val="0"/>
        <w:autoSpaceDN w:val="0"/>
        <w:adjustRightInd w:val="0"/>
        <w:spacing w:line="240" w:lineRule="auto"/>
        <w:rPr>
          <w:rFonts w:eastAsia="Calibri"/>
          <w:highlight w:val="lightGray"/>
        </w:rPr>
      </w:pPr>
    </w:p>
    <w:p w14:paraId="20A107BF" w14:textId="7001B2C2"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7D0562">
        <w:rPr>
          <w:rFonts w:eastAsia="Calibri"/>
          <w:highlight w:val="lightGray"/>
        </w:rPr>
        <w:t>Ant dėžutės ir buteliuko etiketės po „</w:t>
      </w:r>
      <w:r w:rsidR="00F87429">
        <w:rPr>
          <w:rFonts w:eastAsia="Calibri"/>
          <w:highlight w:val="lightGray"/>
        </w:rPr>
        <w:t>EXP</w:t>
      </w:r>
      <w:r w:rsidRPr="007D0562">
        <w:rPr>
          <w:rFonts w:eastAsia="Calibri"/>
          <w:highlight w:val="lightGray"/>
        </w:rPr>
        <w:t>“ nurodytam tinkamumo laikui pasibaigus, šio vaisto vartoti negalima. Vaistas tinkamas vartoti iki paskutinės nurodyto mėnesio dienos.</w:t>
      </w:r>
    </w:p>
    <w:p w14:paraId="5CB2E8F3"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69FA5D1" w14:textId="0C33BCD5"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Šiam vaist</w:t>
      </w:r>
      <w:r w:rsidR="004C06AE" w:rsidRPr="008E66BB">
        <w:rPr>
          <w:rFonts w:eastAsia="Calibri"/>
          <w:snapToGrid/>
          <w:szCs w:val="22"/>
        </w:rPr>
        <w:t>ui</w:t>
      </w:r>
      <w:r w:rsidRPr="008E66BB">
        <w:rPr>
          <w:rFonts w:eastAsia="Calibri"/>
          <w:snapToGrid/>
          <w:szCs w:val="22"/>
        </w:rPr>
        <w:t xml:space="preserve"> specialių laikymo sąlygų nereikia.</w:t>
      </w:r>
    </w:p>
    <w:p w14:paraId="45A92036"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44596EE"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Vaistų negalima išmesti į kanalizaciją arba su buitinėmis atliekomis. Kaip išmesti nereikalingus vaistus,</w:t>
      </w:r>
      <w:r w:rsidR="001E4838" w:rsidRPr="008E66BB">
        <w:rPr>
          <w:rFonts w:eastAsia="Calibri"/>
          <w:snapToGrid/>
          <w:szCs w:val="22"/>
        </w:rPr>
        <w:t xml:space="preserve"> </w:t>
      </w:r>
      <w:r w:rsidRPr="008E66BB">
        <w:rPr>
          <w:rFonts w:eastAsia="Calibri"/>
          <w:snapToGrid/>
          <w:szCs w:val="22"/>
        </w:rPr>
        <w:t>klauskite vaistininko. Šios priemonės padės apsaugoti aplinką.</w:t>
      </w:r>
    </w:p>
    <w:p w14:paraId="7CBBDDB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4E3654C1" w14:textId="77777777" w:rsidR="00533C11" w:rsidRPr="008E66BB" w:rsidRDefault="00533C11" w:rsidP="00250DCE">
      <w:pPr>
        <w:tabs>
          <w:tab w:val="clear" w:pos="567"/>
        </w:tabs>
        <w:autoSpaceDE w:val="0"/>
        <w:autoSpaceDN w:val="0"/>
        <w:adjustRightInd w:val="0"/>
        <w:spacing w:line="240" w:lineRule="auto"/>
        <w:rPr>
          <w:rFonts w:eastAsia="Calibri"/>
          <w:snapToGrid/>
          <w:szCs w:val="22"/>
        </w:rPr>
      </w:pPr>
    </w:p>
    <w:p w14:paraId="155E59D7" w14:textId="77777777" w:rsidR="00250DCE" w:rsidRPr="008E66BB" w:rsidRDefault="00250DCE" w:rsidP="00250DCE">
      <w:pPr>
        <w:autoSpaceDE w:val="0"/>
        <w:autoSpaceDN w:val="0"/>
        <w:adjustRightInd w:val="0"/>
        <w:spacing w:line="240" w:lineRule="auto"/>
        <w:rPr>
          <w:rFonts w:eastAsia="Calibri"/>
          <w:snapToGrid/>
          <w:szCs w:val="22"/>
        </w:rPr>
      </w:pPr>
      <w:r w:rsidRPr="008E66BB">
        <w:rPr>
          <w:rFonts w:eastAsia="Calibri"/>
          <w:b/>
          <w:snapToGrid/>
          <w:szCs w:val="22"/>
        </w:rPr>
        <w:t>6.</w:t>
      </w:r>
      <w:r w:rsidRPr="008E66BB">
        <w:rPr>
          <w:rFonts w:eastAsia="Calibri"/>
          <w:b/>
          <w:snapToGrid/>
          <w:szCs w:val="22"/>
        </w:rPr>
        <w:tab/>
        <w:t>Pakuotės turinys ir kita informacija</w:t>
      </w:r>
    </w:p>
    <w:p w14:paraId="5FA94BE5"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p>
    <w:p w14:paraId="7CD17245"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sudėtis</w:t>
      </w:r>
    </w:p>
    <w:p w14:paraId="0A19B85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 Veiklioji medžiaga yra cinakalcetas. </w:t>
      </w:r>
      <w:r w:rsidR="00533C11" w:rsidRPr="008E66BB">
        <w:rPr>
          <w:rFonts w:eastAsia="Calibri"/>
          <w:snapToGrid/>
          <w:szCs w:val="22"/>
        </w:rPr>
        <w:t xml:space="preserve">Kiekvienoje </w:t>
      </w:r>
      <w:r w:rsidRPr="008E66BB">
        <w:rPr>
          <w:rFonts w:eastAsia="Calibri"/>
          <w:snapToGrid/>
          <w:szCs w:val="22"/>
        </w:rPr>
        <w:t>plėvele dengtoje tabletėje yra 30</w:t>
      </w:r>
      <w:r w:rsidR="001E4838" w:rsidRPr="008E66BB">
        <w:rPr>
          <w:rFonts w:eastAsia="Calibri"/>
          <w:snapToGrid/>
          <w:szCs w:val="22"/>
        </w:rPr>
        <w:t> </w:t>
      </w:r>
      <w:r w:rsidRPr="008E66BB">
        <w:rPr>
          <w:rFonts w:eastAsia="Calibri"/>
          <w:snapToGrid/>
          <w:szCs w:val="22"/>
        </w:rPr>
        <w:t>mg, 60</w:t>
      </w:r>
      <w:r w:rsidR="001E4838" w:rsidRPr="008E66BB">
        <w:rPr>
          <w:rFonts w:eastAsia="Calibri"/>
          <w:snapToGrid/>
          <w:szCs w:val="22"/>
        </w:rPr>
        <w:t> </w:t>
      </w:r>
      <w:r w:rsidRPr="008E66BB">
        <w:rPr>
          <w:rFonts w:eastAsia="Calibri"/>
          <w:snapToGrid/>
          <w:szCs w:val="22"/>
        </w:rPr>
        <w:t>mg arba 90</w:t>
      </w:r>
      <w:r w:rsidR="001E4838" w:rsidRPr="008E66BB">
        <w:rPr>
          <w:rFonts w:eastAsia="Calibri"/>
          <w:snapToGrid/>
          <w:szCs w:val="22"/>
        </w:rPr>
        <w:t> </w:t>
      </w:r>
      <w:r w:rsidRPr="008E66BB">
        <w:rPr>
          <w:rFonts w:eastAsia="Calibri"/>
          <w:snapToGrid/>
          <w:szCs w:val="22"/>
        </w:rPr>
        <w:t>mg</w:t>
      </w:r>
      <w:r w:rsidR="00533C11" w:rsidRPr="008E66BB">
        <w:rPr>
          <w:rFonts w:eastAsia="Calibri"/>
          <w:snapToGrid/>
          <w:szCs w:val="22"/>
        </w:rPr>
        <w:t xml:space="preserve"> </w:t>
      </w:r>
      <w:r w:rsidRPr="008E66BB">
        <w:rPr>
          <w:rFonts w:eastAsia="Calibri"/>
          <w:snapToGrid/>
          <w:szCs w:val="22"/>
        </w:rPr>
        <w:t>cinakalceto (hidrochlorido pavidalu).</w:t>
      </w:r>
    </w:p>
    <w:p w14:paraId="17C2352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07D0410"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 </w:t>
      </w:r>
      <w:r w:rsidR="00533C11" w:rsidRPr="008E66BB">
        <w:rPr>
          <w:rFonts w:eastAsia="Calibri"/>
          <w:snapToGrid/>
          <w:szCs w:val="22"/>
        </w:rPr>
        <w:t>P</w:t>
      </w:r>
      <w:r w:rsidRPr="008E66BB">
        <w:rPr>
          <w:rFonts w:eastAsia="Calibri"/>
          <w:snapToGrid/>
          <w:szCs w:val="22"/>
        </w:rPr>
        <w:t xml:space="preserve">agalbinės medžiagos yra: </w:t>
      </w:r>
    </w:p>
    <w:p w14:paraId="2711A1D2"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pregelifikuotas kukurūzų krakmolas;</w:t>
      </w:r>
    </w:p>
    <w:p w14:paraId="6A79BE1E"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 xml:space="preserve">mikrokristalinė celiuliozė; </w:t>
      </w:r>
    </w:p>
    <w:p w14:paraId="5B7F7404"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krospovidonas;</w:t>
      </w:r>
    </w:p>
    <w:p w14:paraId="4392A59B"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magnio stearatas;</w:t>
      </w:r>
    </w:p>
    <w:p w14:paraId="6BE7F137" w14:textId="77777777" w:rsidR="00250DCE" w:rsidRPr="008E66BB" w:rsidRDefault="00250DCE" w:rsidP="00250DCE">
      <w:pPr>
        <w:numPr>
          <w:ilvl w:val="0"/>
          <w:numId w:val="3"/>
        </w:numPr>
        <w:tabs>
          <w:tab w:val="clear" w:pos="567"/>
        </w:tabs>
        <w:autoSpaceDE w:val="0"/>
        <w:autoSpaceDN w:val="0"/>
        <w:adjustRightInd w:val="0"/>
        <w:spacing w:after="200" w:line="240" w:lineRule="auto"/>
        <w:contextualSpacing/>
        <w:rPr>
          <w:rFonts w:eastAsia="Calibri"/>
          <w:snapToGrid/>
          <w:szCs w:val="22"/>
        </w:rPr>
      </w:pPr>
      <w:r w:rsidRPr="008E66BB">
        <w:rPr>
          <w:rFonts w:eastAsia="Calibri"/>
          <w:snapToGrid/>
          <w:szCs w:val="22"/>
        </w:rPr>
        <w:t>bevandenis koloidinis silicio dioksidas.</w:t>
      </w:r>
    </w:p>
    <w:p w14:paraId="3C1DB6E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5AFD9EC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Tablečių plėvelę sudaro:</w:t>
      </w:r>
    </w:p>
    <w:p w14:paraId="4EC1AF6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i/>
          <w:snapToGrid/>
          <w:szCs w:val="22"/>
        </w:rPr>
        <w:t>Opadry</w:t>
      </w:r>
      <w:r w:rsidRPr="008E66BB">
        <w:rPr>
          <w:rFonts w:eastAsia="Calibri"/>
          <w:snapToGrid/>
          <w:szCs w:val="22"/>
        </w:rPr>
        <w:t xml:space="preserve"> žaliasis (kurio sudėtyje yra polivinil</w:t>
      </w:r>
      <w:r w:rsidR="00533C11" w:rsidRPr="008E66BB">
        <w:rPr>
          <w:rFonts w:eastAsia="Calibri"/>
          <w:snapToGrid/>
          <w:szCs w:val="22"/>
        </w:rPr>
        <w:t xml:space="preserve">o </w:t>
      </w:r>
      <w:r w:rsidRPr="008E66BB">
        <w:rPr>
          <w:rFonts w:eastAsia="Calibri"/>
          <w:snapToGrid/>
          <w:szCs w:val="22"/>
        </w:rPr>
        <w:t>alkoholio, titano dioksido (E171), makrogolio 3350, talko, geltonojo geležies oksido (E172), indigokarmin</w:t>
      </w:r>
      <w:r w:rsidR="00533C11" w:rsidRPr="008E66BB">
        <w:rPr>
          <w:rFonts w:eastAsia="Calibri"/>
          <w:snapToGrid/>
          <w:szCs w:val="22"/>
        </w:rPr>
        <w:t>o aliuminio dažalo</w:t>
      </w:r>
      <w:r w:rsidRPr="008E66BB">
        <w:rPr>
          <w:rFonts w:eastAsia="Calibri"/>
          <w:snapToGrid/>
          <w:szCs w:val="22"/>
        </w:rPr>
        <w:t xml:space="preserve"> (E132)).</w:t>
      </w:r>
    </w:p>
    <w:p w14:paraId="77730491"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12831C13"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Cinacalcet Teva išvaizda ir kiekis pakuotėje</w:t>
      </w:r>
    </w:p>
    <w:p w14:paraId="4AD8BFDF"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p>
    <w:p w14:paraId="7845A5F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Cinacalcet Teva yra nuo šviesiai žalios iki žalios spalvos plėvele dengtos tabletės. Jos yra ovalios formos, vienoje pusėje pažymėta „C30“, „C60“ arba „C90“, o kitoje pusėje nėra jokio ženklo. </w:t>
      </w:r>
    </w:p>
    <w:p w14:paraId="22FD4B1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 xml:space="preserve"> </w:t>
      </w:r>
    </w:p>
    <w:p w14:paraId="6A36F1D8" w14:textId="2521DB25"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Cinacalcet Teva 30</w:t>
      </w:r>
      <w:r w:rsidR="00533C11" w:rsidRPr="008E66BB">
        <w:rPr>
          <w:rFonts w:eastAsia="Calibri"/>
          <w:snapToGrid/>
          <w:szCs w:val="22"/>
        </w:rPr>
        <w:t> </w:t>
      </w:r>
      <w:r w:rsidRPr="008E66BB">
        <w:rPr>
          <w:rFonts w:eastAsia="Calibri"/>
          <w:snapToGrid/>
          <w:szCs w:val="22"/>
        </w:rPr>
        <w:t>mg, 60</w:t>
      </w:r>
      <w:r w:rsidR="00533C11" w:rsidRPr="008E66BB">
        <w:rPr>
          <w:rFonts w:eastAsia="Calibri"/>
          <w:snapToGrid/>
          <w:szCs w:val="22"/>
        </w:rPr>
        <w:t> </w:t>
      </w:r>
      <w:r w:rsidRPr="008E66BB">
        <w:rPr>
          <w:rFonts w:eastAsia="Calibri"/>
          <w:snapToGrid/>
          <w:szCs w:val="22"/>
        </w:rPr>
        <w:t>mg, 90</w:t>
      </w:r>
      <w:r w:rsidR="00533C11" w:rsidRPr="008E66BB">
        <w:rPr>
          <w:rFonts w:eastAsia="Calibri"/>
          <w:snapToGrid/>
          <w:szCs w:val="22"/>
        </w:rPr>
        <w:t> </w:t>
      </w:r>
      <w:r w:rsidRPr="008E66BB">
        <w:rPr>
          <w:rFonts w:eastAsia="Calibri"/>
          <w:snapToGrid/>
          <w:szCs w:val="22"/>
        </w:rPr>
        <w:t xml:space="preserve">mg plėvele dengtos tabletės tiekiamos lizdinėse plokštelėse. </w:t>
      </w:r>
      <w:r w:rsidR="00533C11" w:rsidRPr="008E66BB">
        <w:rPr>
          <w:rFonts w:eastAsia="Calibri"/>
          <w:snapToGrid/>
          <w:szCs w:val="22"/>
        </w:rPr>
        <w:t xml:space="preserve">Kiekvienoje </w:t>
      </w:r>
      <w:r w:rsidRPr="008E66BB">
        <w:rPr>
          <w:rFonts w:eastAsia="Calibri"/>
          <w:snapToGrid/>
          <w:szCs w:val="22"/>
        </w:rPr>
        <w:t xml:space="preserve">kartoninėje dėžutėje </w:t>
      </w:r>
      <w:r w:rsidR="00533C11" w:rsidRPr="008E66BB">
        <w:rPr>
          <w:rFonts w:eastAsia="Calibri"/>
          <w:snapToGrid/>
          <w:szCs w:val="22"/>
        </w:rPr>
        <w:t>yra</w:t>
      </w:r>
      <w:r w:rsidRPr="008E66BB">
        <w:rPr>
          <w:rFonts w:eastAsia="Calibri"/>
          <w:snapToGrid/>
          <w:szCs w:val="22"/>
        </w:rPr>
        <w:t xml:space="preserve"> 14, 28, 30</w:t>
      </w:r>
      <w:r w:rsidR="00385C79">
        <w:rPr>
          <w:rFonts w:eastAsia="Calibri"/>
          <w:snapToGrid/>
          <w:szCs w:val="22"/>
        </w:rPr>
        <w:t>,</w:t>
      </w:r>
      <w:r w:rsidRPr="008E66BB">
        <w:rPr>
          <w:rFonts w:eastAsia="Calibri"/>
          <w:snapToGrid/>
          <w:szCs w:val="22"/>
        </w:rPr>
        <w:t xml:space="preserve"> 84</w:t>
      </w:r>
      <w:r w:rsidR="007B25D8">
        <w:rPr>
          <w:rFonts w:eastAsia="Calibri"/>
          <w:snapToGrid/>
          <w:szCs w:val="22"/>
        </w:rPr>
        <w:t xml:space="preserve"> arba 98</w:t>
      </w:r>
      <w:r w:rsidRPr="008E66BB">
        <w:rPr>
          <w:rFonts w:eastAsia="Calibri"/>
          <w:snapToGrid/>
          <w:szCs w:val="22"/>
        </w:rPr>
        <w:t xml:space="preserve"> tabletės lizdinėse plokštelėse. </w:t>
      </w:r>
    </w:p>
    <w:p w14:paraId="58E8DDA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88C6F56" w14:textId="179C73AF" w:rsidR="00250DCE" w:rsidRPr="007D0562" w:rsidRDefault="00250DCE" w:rsidP="00250DCE">
      <w:pPr>
        <w:tabs>
          <w:tab w:val="clear" w:pos="567"/>
        </w:tabs>
        <w:autoSpaceDE w:val="0"/>
        <w:autoSpaceDN w:val="0"/>
        <w:adjustRightInd w:val="0"/>
        <w:spacing w:line="240" w:lineRule="auto"/>
        <w:rPr>
          <w:rFonts w:eastAsia="Calibri"/>
          <w:highlight w:val="lightGray"/>
        </w:rPr>
      </w:pPr>
      <w:r w:rsidRPr="007D0562">
        <w:rPr>
          <w:rFonts w:eastAsia="Calibri"/>
          <w:highlight w:val="lightGray"/>
        </w:rPr>
        <w:t>Cinacalcet Teva 30</w:t>
      </w:r>
      <w:r w:rsidR="00533C11" w:rsidRPr="007D0562">
        <w:rPr>
          <w:rFonts w:eastAsia="Calibri"/>
          <w:highlight w:val="lightGray"/>
        </w:rPr>
        <w:t> </w:t>
      </w:r>
      <w:r w:rsidRPr="007D0562">
        <w:rPr>
          <w:rFonts w:eastAsia="Calibri"/>
          <w:highlight w:val="lightGray"/>
        </w:rPr>
        <w:t>mg, 60</w:t>
      </w:r>
      <w:r w:rsidR="00533C11" w:rsidRPr="007D0562">
        <w:rPr>
          <w:rFonts w:eastAsia="Calibri"/>
          <w:highlight w:val="lightGray"/>
        </w:rPr>
        <w:t> </w:t>
      </w:r>
      <w:r w:rsidRPr="007D0562">
        <w:rPr>
          <w:rFonts w:eastAsia="Calibri"/>
          <w:highlight w:val="lightGray"/>
        </w:rPr>
        <w:t>mg, 90</w:t>
      </w:r>
      <w:r w:rsidR="00533C11" w:rsidRPr="007D0562">
        <w:rPr>
          <w:rFonts w:eastAsia="Calibri"/>
          <w:highlight w:val="lightGray"/>
        </w:rPr>
        <w:t> </w:t>
      </w:r>
      <w:r w:rsidRPr="007D0562">
        <w:rPr>
          <w:rFonts w:eastAsia="Calibri"/>
          <w:highlight w:val="lightGray"/>
        </w:rPr>
        <w:t xml:space="preserve">mg plėvele dengtos tabletės taip pat tiekiamos </w:t>
      </w:r>
      <w:r w:rsidR="004A7F74">
        <w:rPr>
          <w:rFonts w:eastAsia="Calibri"/>
          <w:highlight w:val="lightGray"/>
        </w:rPr>
        <w:t>dalomosiose</w:t>
      </w:r>
      <w:r w:rsidR="004A7F74" w:rsidRPr="007D0562">
        <w:rPr>
          <w:rFonts w:eastAsia="Calibri"/>
          <w:highlight w:val="lightGray"/>
        </w:rPr>
        <w:t xml:space="preserve"> </w:t>
      </w:r>
      <w:r w:rsidRPr="007D0562">
        <w:rPr>
          <w:rFonts w:eastAsia="Calibri"/>
          <w:highlight w:val="lightGray"/>
        </w:rPr>
        <w:t xml:space="preserve">lizdinėse plokštelėse. </w:t>
      </w:r>
      <w:r w:rsidR="00533C11" w:rsidRPr="007D0562">
        <w:rPr>
          <w:rFonts w:eastAsia="Calibri"/>
          <w:highlight w:val="lightGray"/>
        </w:rPr>
        <w:t xml:space="preserve">Kiekvienoje </w:t>
      </w:r>
      <w:r w:rsidRPr="007D0562">
        <w:rPr>
          <w:rFonts w:eastAsia="Calibri"/>
          <w:highlight w:val="lightGray"/>
        </w:rPr>
        <w:t xml:space="preserve">kartoninėje dėžutėje </w:t>
      </w:r>
      <w:r w:rsidR="00533C11" w:rsidRPr="007D0562">
        <w:rPr>
          <w:rFonts w:eastAsia="Calibri"/>
          <w:highlight w:val="lightGray"/>
        </w:rPr>
        <w:t>yra</w:t>
      </w:r>
      <w:r w:rsidRPr="007D0562">
        <w:rPr>
          <w:rFonts w:eastAsia="Calibri"/>
          <w:highlight w:val="lightGray"/>
        </w:rPr>
        <w:t xml:space="preserve"> 14, 28, 30</w:t>
      </w:r>
      <w:r w:rsidR="007B25D8" w:rsidRPr="007D0562">
        <w:rPr>
          <w:rFonts w:eastAsia="Calibri"/>
          <w:snapToGrid/>
          <w:szCs w:val="22"/>
          <w:highlight w:val="lightGray"/>
        </w:rPr>
        <w:t xml:space="preserve">, </w:t>
      </w:r>
      <w:r w:rsidRPr="007D0562">
        <w:rPr>
          <w:rFonts w:eastAsia="Calibri"/>
          <w:snapToGrid/>
          <w:szCs w:val="22"/>
          <w:highlight w:val="lightGray"/>
        </w:rPr>
        <w:t>84</w:t>
      </w:r>
      <w:r w:rsidR="007B25D8" w:rsidRPr="007D0562">
        <w:rPr>
          <w:rFonts w:eastAsia="Calibri"/>
          <w:snapToGrid/>
          <w:szCs w:val="22"/>
          <w:highlight w:val="lightGray"/>
        </w:rPr>
        <w:t xml:space="preserve">, </w:t>
      </w:r>
      <w:r w:rsidR="007B25D8" w:rsidRPr="007D0562">
        <w:rPr>
          <w:rFonts w:eastAsia="Calibri"/>
          <w:highlight w:val="lightGray"/>
        </w:rPr>
        <w:t xml:space="preserve">arba </w:t>
      </w:r>
      <w:r w:rsidR="007B25D8" w:rsidRPr="007D0562">
        <w:rPr>
          <w:rFonts w:eastAsia="Calibri"/>
          <w:snapToGrid/>
          <w:szCs w:val="22"/>
          <w:highlight w:val="lightGray"/>
        </w:rPr>
        <w:t>98</w:t>
      </w:r>
      <w:r w:rsidRPr="007D0562">
        <w:rPr>
          <w:rFonts w:eastAsia="Calibri"/>
          <w:highlight w:val="lightGray"/>
        </w:rPr>
        <w:t xml:space="preserve"> tabletės </w:t>
      </w:r>
      <w:r w:rsidR="004A7F74">
        <w:rPr>
          <w:rFonts w:eastAsia="Calibri"/>
          <w:highlight w:val="lightGray"/>
        </w:rPr>
        <w:t>dalomosiose</w:t>
      </w:r>
      <w:r w:rsidR="004A7F74" w:rsidRPr="007D0562">
        <w:rPr>
          <w:rFonts w:eastAsia="Calibri"/>
          <w:highlight w:val="lightGray"/>
        </w:rPr>
        <w:t xml:space="preserve"> </w:t>
      </w:r>
      <w:r w:rsidRPr="007D0562">
        <w:rPr>
          <w:rFonts w:eastAsia="Calibri"/>
          <w:highlight w:val="lightGray"/>
        </w:rPr>
        <w:t xml:space="preserve">lizdinėse plokštelėse. </w:t>
      </w:r>
    </w:p>
    <w:p w14:paraId="3E98395E" w14:textId="77777777" w:rsidR="00250DCE" w:rsidRPr="007D0562" w:rsidRDefault="00250DCE" w:rsidP="00250DCE">
      <w:pPr>
        <w:tabs>
          <w:tab w:val="clear" w:pos="567"/>
        </w:tabs>
        <w:autoSpaceDE w:val="0"/>
        <w:autoSpaceDN w:val="0"/>
        <w:adjustRightInd w:val="0"/>
        <w:spacing w:line="240" w:lineRule="auto"/>
        <w:rPr>
          <w:rFonts w:eastAsia="Calibri"/>
          <w:highlight w:val="lightGray"/>
        </w:rPr>
      </w:pPr>
    </w:p>
    <w:p w14:paraId="70DDA030"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7D0562">
        <w:rPr>
          <w:rFonts w:eastAsia="Calibri"/>
          <w:highlight w:val="lightGray"/>
        </w:rPr>
        <w:t>Cinacalcet Teva 30</w:t>
      </w:r>
      <w:r w:rsidR="00533C11" w:rsidRPr="007D0562">
        <w:rPr>
          <w:rFonts w:eastAsia="Calibri"/>
          <w:highlight w:val="lightGray"/>
        </w:rPr>
        <w:t> </w:t>
      </w:r>
      <w:r w:rsidRPr="007D0562">
        <w:rPr>
          <w:rFonts w:eastAsia="Calibri"/>
          <w:highlight w:val="lightGray"/>
        </w:rPr>
        <w:t>mg, 60</w:t>
      </w:r>
      <w:r w:rsidR="00533C11" w:rsidRPr="007D0562">
        <w:rPr>
          <w:rFonts w:eastAsia="Calibri"/>
          <w:highlight w:val="lightGray"/>
        </w:rPr>
        <w:t> </w:t>
      </w:r>
      <w:r w:rsidRPr="007D0562">
        <w:rPr>
          <w:rFonts w:eastAsia="Calibri"/>
          <w:highlight w:val="lightGray"/>
        </w:rPr>
        <w:t>mg, 90</w:t>
      </w:r>
      <w:r w:rsidR="00533C11" w:rsidRPr="007D0562">
        <w:rPr>
          <w:rFonts w:eastAsia="Calibri"/>
          <w:highlight w:val="lightGray"/>
        </w:rPr>
        <w:t> </w:t>
      </w:r>
      <w:r w:rsidRPr="007D0562">
        <w:rPr>
          <w:rFonts w:eastAsia="Calibri"/>
          <w:highlight w:val="lightGray"/>
        </w:rPr>
        <w:t xml:space="preserve">mg plėvele dengtos tabletės tiekiamos buteliukuose, įdėtuose į kartoninę dėžutę. Kiekviename buteliuke yra 30 tablečių. Buteliukai gali būti su arba be </w:t>
      </w:r>
      <w:r w:rsidR="00533C11" w:rsidRPr="007D0562">
        <w:rPr>
          <w:rFonts w:eastAsia="Calibri"/>
          <w:highlight w:val="lightGray"/>
        </w:rPr>
        <w:t>silika</w:t>
      </w:r>
      <w:r w:rsidRPr="007D0562">
        <w:rPr>
          <w:rFonts w:eastAsia="Calibri"/>
          <w:highlight w:val="lightGray"/>
        </w:rPr>
        <w:t>gelio sausiklio. Sausiklio negalima valgyti.</w:t>
      </w:r>
      <w:r w:rsidRPr="008E66BB">
        <w:rPr>
          <w:rFonts w:eastAsia="Calibri"/>
          <w:snapToGrid/>
          <w:szCs w:val="22"/>
        </w:rPr>
        <w:t xml:space="preserve"> </w:t>
      </w:r>
    </w:p>
    <w:p w14:paraId="015757DD"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0ED267AB"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Gali būti tiekiamos ne visų dydžių pakuotės.</w:t>
      </w:r>
    </w:p>
    <w:p w14:paraId="38DFCF4F"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D20D3EA"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Registruotojas ir gamintojas</w:t>
      </w:r>
    </w:p>
    <w:p w14:paraId="6F6EA1CE"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p>
    <w:p w14:paraId="024247F6" w14:textId="77777777" w:rsidR="00250DCE" w:rsidRPr="008E66BB" w:rsidRDefault="00250DCE" w:rsidP="00250DCE">
      <w:pPr>
        <w:tabs>
          <w:tab w:val="clear" w:pos="567"/>
        </w:tabs>
        <w:autoSpaceDE w:val="0"/>
        <w:autoSpaceDN w:val="0"/>
        <w:adjustRightInd w:val="0"/>
        <w:spacing w:line="240" w:lineRule="auto"/>
        <w:rPr>
          <w:rFonts w:eastAsia="Calibri"/>
          <w:i/>
          <w:snapToGrid/>
          <w:szCs w:val="22"/>
        </w:rPr>
      </w:pPr>
      <w:r w:rsidRPr="008E66BB">
        <w:rPr>
          <w:rFonts w:eastAsia="Calibri"/>
          <w:i/>
          <w:snapToGrid/>
          <w:szCs w:val="22"/>
        </w:rPr>
        <w:t>Registruotojas</w:t>
      </w:r>
    </w:p>
    <w:p w14:paraId="43CF600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Teva B.V.</w:t>
      </w:r>
    </w:p>
    <w:p w14:paraId="05A437E8"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Swensweg 5</w:t>
      </w:r>
    </w:p>
    <w:p w14:paraId="0801625A"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2031 GA Haarlem</w:t>
      </w:r>
    </w:p>
    <w:p w14:paraId="3826CA79"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r w:rsidRPr="008E66BB">
        <w:rPr>
          <w:rFonts w:eastAsia="Calibri"/>
          <w:snapToGrid/>
          <w:szCs w:val="22"/>
        </w:rPr>
        <w:t>Nyderlandai</w:t>
      </w:r>
    </w:p>
    <w:p w14:paraId="43324B24"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7B796CFB" w14:textId="77777777" w:rsidR="00250DCE" w:rsidRPr="008E66BB" w:rsidRDefault="00250DCE" w:rsidP="00250DCE">
      <w:pPr>
        <w:tabs>
          <w:tab w:val="clear" w:pos="567"/>
        </w:tabs>
        <w:autoSpaceDE w:val="0"/>
        <w:autoSpaceDN w:val="0"/>
        <w:adjustRightInd w:val="0"/>
        <w:spacing w:line="240" w:lineRule="auto"/>
        <w:rPr>
          <w:rFonts w:eastAsia="Calibri"/>
          <w:i/>
          <w:snapToGrid/>
          <w:szCs w:val="22"/>
        </w:rPr>
      </w:pPr>
      <w:r w:rsidRPr="008E66BB">
        <w:rPr>
          <w:rFonts w:eastAsia="Calibri"/>
          <w:i/>
          <w:snapToGrid/>
          <w:szCs w:val="22"/>
        </w:rPr>
        <w:t>Gamintojai</w:t>
      </w:r>
    </w:p>
    <w:p w14:paraId="7C56CF44" w14:textId="77777777" w:rsidR="00EA7BA0" w:rsidRPr="008E66BB" w:rsidRDefault="00EA7BA0" w:rsidP="00EA7BA0">
      <w:pPr>
        <w:rPr>
          <w:rFonts w:eastAsia="Calibri"/>
          <w:snapToGrid/>
          <w:szCs w:val="22"/>
        </w:rPr>
      </w:pPr>
      <w:r w:rsidRPr="008E66BB">
        <w:rPr>
          <w:rFonts w:eastAsia="Calibri"/>
          <w:snapToGrid/>
          <w:szCs w:val="22"/>
        </w:rPr>
        <w:t>Teva Operations Poland Sp. z.o.o</w:t>
      </w:r>
    </w:p>
    <w:p w14:paraId="295A6E19" w14:textId="77777777" w:rsidR="00EA7BA0" w:rsidRPr="008E66BB" w:rsidRDefault="00EA7BA0" w:rsidP="00EA7BA0">
      <w:pPr>
        <w:rPr>
          <w:rFonts w:eastAsia="Calibri"/>
          <w:snapToGrid/>
          <w:szCs w:val="22"/>
        </w:rPr>
      </w:pPr>
      <w:r w:rsidRPr="008E66BB">
        <w:rPr>
          <w:rFonts w:eastAsia="Calibri"/>
          <w:snapToGrid/>
          <w:szCs w:val="22"/>
        </w:rPr>
        <w:t>ul. Mogilska 80</w:t>
      </w:r>
    </w:p>
    <w:p w14:paraId="0D3E7B71" w14:textId="77777777" w:rsidR="00EA7BA0" w:rsidRPr="008E66BB" w:rsidRDefault="00EA7BA0" w:rsidP="00EA7BA0">
      <w:pPr>
        <w:rPr>
          <w:rFonts w:eastAsia="Calibri"/>
          <w:snapToGrid/>
          <w:szCs w:val="22"/>
        </w:rPr>
      </w:pPr>
      <w:r w:rsidRPr="008E66BB">
        <w:rPr>
          <w:rFonts w:eastAsia="Calibri"/>
          <w:snapToGrid/>
          <w:szCs w:val="22"/>
        </w:rPr>
        <w:t>31-546 Krakow</w:t>
      </w:r>
    </w:p>
    <w:p w14:paraId="31126708" w14:textId="77777777" w:rsidR="00EA7BA0" w:rsidRPr="008E66BB" w:rsidRDefault="00EA7BA0" w:rsidP="00EA7BA0">
      <w:pPr>
        <w:rPr>
          <w:rFonts w:eastAsia="Calibri"/>
          <w:snapToGrid/>
          <w:szCs w:val="22"/>
        </w:rPr>
      </w:pPr>
      <w:r w:rsidRPr="008E66BB">
        <w:rPr>
          <w:rFonts w:eastAsia="Calibri"/>
          <w:snapToGrid/>
          <w:szCs w:val="22"/>
        </w:rPr>
        <w:t>Lenkija</w:t>
      </w:r>
    </w:p>
    <w:p w14:paraId="2A07749A" w14:textId="77777777" w:rsidR="00EA7BA0" w:rsidRPr="008E66BB" w:rsidRDefault="00EA7BA0" w:rsidP="00EA7BA0">
      <w:pPr>
        <w:rPr>
          <w:rFonts w:eastAsia="Calibri"/>
          <w:snapToGrid/>
          <w:szCs w:val="22"/>
        </w:rPr>
      </w:pPr>
    </w:p>
    <w:p w14:paraId="7B10F17D" w14:textId="77777777" w:rsidR="00EA7BA0" w:rsidRPr="008E66BB" w:rsidRDefault="00EA7BA0" w:rsidP="00EA7BA0">
      <w:pPr>
        <w:rPr>
          <w:rFonts w:eastAsia="Calibri"/>
          <w:snapToGrid/>
          <w:szCs w:val="22"/>
        </w:rPr>
      </w:pPr>
      <w:r w:rsidRPr="008E66BB">
        <w:rPr>
          <w:rFonts w:eastAsia="Calibri"/>
          <w:snapToGrid/>
          <w:szCs w:val="22"/>
        </w:rPr>
        <w:t>arba</w:t>
      </w:r>
    </w:p>
    <w:p w14:paraId="540D356E" w14:textId="77777777" w:rsidR="00EA7BA0" w:rsidRPr="008E66BB" w:rsidRDefault="00EA7BA0" w:rsidP="00EA7BA0">
      <w:pPr>
        <w:rPr>
          <w:rFonts w:eastAsia="Calibri"/>
          <w:snapToGrid/>
          <w:szCs w:val="22"/>
        </w:rPr>
      </w:pPr>
    </w:p>
    <w:p w14:paraId="19C7A1E4" w14:textId="77777777" w:rsidR="00EA7BA0" w:rsidRPr="008E66BB" w:rsidRDefault="00EA7BA0" w:rsidP="00EA7BA0">
      <w:pPr>
        <w:rPr>
          <w:rFonts w:eastAsia="Calibri"/>
          <w:snapToGrid/>
          <w:szCs w:val="22"/>
        </w:rPr>
      </w:pPr>
      <w:r w:rsidRPr="008E66BB">
        <w:rPr>
          <w:rFonts w:eastAsia="Calibri"/>
          <w:snapToGrid/>
          <w:szCs w:val="22"/>
        </w:rPr>
        <w:t>Teva Pharma B.V.</w:t>
      </w:r>
    </w:p>
    <w:p w14:paraId="1A9A7502" w14:textId="77777777" w:rsidR="00EA7BA0" w:rsidRPr="008E66BB" w:rsidRDefault="00EA7BA0" w:rsidP="00EA7BA0">
      <w:pPr>
        <w:rPr>
          <w:rFonts w:eastAsia="Calibri"/>
          <w:snapToGrid/>
          <w:szCs w:val="22"/>
        </w:rPr>
      </w:pPr>
      <w:r w:rsidRPr="008E66BB">
        <w:rPr>
          <w:rFonts w:eastAsia="Calibri"/>
          <w:snapToGrid/>
          <w:szCs w:val="22"/>
        </w:rPr>
        <w:t>Swensweg 5</w:t>
      </w:r>
    </w:p>
    <w:p w14:paraId="328784A6" w14:textId="77777777" w:rsidR="00EA7BA0" w:rsidRPr="008E66BB" w:rsidRDefault="00EA7BA0" w:rsidP="00EA7BA0">
      <w:pPr>
        <w:rPr>
          <w:rFonts w:eastAsia="Calibri"/>
          <w:snapToGrid/>
          <w:szCs w:val="22"/>
        </w:rPr>
      </w:pPr>
      <w:r w:rsidRPr="008E66BB">
        <w:rPr>
          <w:rFonts w:eastAsia="Calibri"/>
          <w:snapToGrid/>
          <w:szCs w:val="22"/>
        </w:rPr>
        <w:t>2031 GA Haarlem</w:t>
      </w:r>
    </w:p>
    <w:p w14:paraId="13F8B39E" w14:textId="77777777" w:rsidR="00EA7BA0" w:rsidRPr="008E66BB" w:rsidRDefault="00EA7BA0" w:rsidP="00EA7BA0">
      <w:pPr>
        <w:rPr>
          <w:rFonts w:eastAsia="Calibri"/>
          <w:snapToGrid/>
          <w:szCs w:val="22"/>
        </w:rPr>
      </w:pPr>
      <w:r w:rsidRPr="008E66BB">
        <w:rPr>
          <w:rFonts w:eastAsia="Calibri"/>
          <w:snapToGrid/>
          <w:szCs w:val="22"/>
        </w:rPr>
        <w:t>Nyderlandai</w:t>
      </w:r>
    </w:p>
    <w:p w14:paraId="470F69AC" w14:textId="77777777" w:rsidR="00EA7BA0" w:rsidRPr="008E66BB" w:rsidRDefault="00EA7BA0" w:rsidP="001E4838">
      <w:pPr>
        <w:rPr>
          <w:rFonts w:eastAsia="Calibri"/>
          <w:snapToGrid/>
          <w:szCs w:val="22"/>
        </w:rPr>
      </w:pPr>
    </w:p>
    <w:p w14:paraId="3555CAF2" w14:textId="77777777" w:rsidR="00EA7BA0" w:rsidRPr="008E66BB" w:rsidRDefault="00EA7BA0" w:rsidP="001E4838">
      <w:pPr>
        <w:rPr>
          <w:rFonts w:eastAsia="Calibri"/>
          <w:snapToGrid/>
          <w:szCs w:val="22"/>
        </w:rPr>
      </w:pPr>
      <w:r w:rsidRPr="008E66BB">
        <w:rPr>
          <w:rFonts w:eastAsia="Calibri"/>
          <w:snapToGrid/>
          <w:szCs w:val="22"/>
        </w:rPr>
        <w:t>arba</w:t>
      </w:r>
    </w:p>
    <w:p w14:paraId="37576920" w14:textId="77777777" w:rsidR="00EA7BA0" w:rsidRPr="008E66BB" w:rsidRDefault="00EA7BA0" w:rsidP="001E4838">
      <w:pPr>
        <w:rPr>
          <w:rFonts w:eastAsia="Calibri"/>
          <w:snapToGrid/>
          <w:szCs w:val="22"/>
        </w:rPr>
      </w:pPr>
    </w:p>
    <w:p w14:paraId="2F68C7D8" w14:textId="77777777" w:rsidR="001E4838" w:rsidRPr="008E66BB" w:rsidRDefault="001E4838" w:rsidP="001E4838">
      <w:pPr>
        <w:rPr>
          <w:rFonts w:eastAsia="Calibri"/>
          <w:snapToGrid/>
          <w:szCs w:val="22"/>
        </w:rPr>
      </w:pPr>
      <w:r w:rsidRPr="008E66BB">
        <w:rPr>
          <w:rFonts w:eastAsia="Calibri"/>
          <w:snapToGrid/>
          <w:szCs w:val="22"/>
        </w:rPr>
        <w:t>PLIVA Hrvatska d.o.o. (PLIVA Croatia Ltd.)</w:t>
      </w:r>
    </w:p>
    <w:p w14:paraId="61C76D6D" w14:textId="77777777" w:rsidR="001E4838" w:rsidRPr="008E66BB" w:rsidRDefault="001E4838" w:rsidP="001E4838">
      <w:pPr>
        <w:rPr>
          <w:rFonts w:eastAsia="Calibri"/>
          <w:snapToGrid/>
          <w:szCs w:val="22"/>
        </w:rPr>
      </w:pPr>
      <w:r w:rsidRPr="008E66BB">
        <w:rPr>
          <w:rFonts w:eastAsia="Calibri"/>
          <w:snapToGrid/>
          <w:szCs w:val="22"/>
        </w:rPr>
        <w:t>Prilaz baruna Filipovica 25</w:t>
      </w:r>
    </w:p>
    <w:p w14:paraId="3ABDE523" w14:textId="77777777" w:rsidR="001E4838" w:rsidRPr="008E66BB" w:rsidRDefault="001E4838" w:rsidP="001E4838">
      <w:pPr>
        <w:rPr>
          <w:rFonts w:eastAsia="Calibri"/>
          <w:snapToGrid/>
          <w:szCs w:val="22"/>
        </w:rPr>
      </w:pPr>
      <w:r w:rsidRPr="008E66BB">
        <w:rPr>
          <w:rFonts w:eastAsia="Calibri"/>
          <w:snapToGrid/>
          <w:szCs w:val="22"/>
        </w:rPr>
        <w:t>Zagreb 10000</w:t>
      </w:r>
    </w:p>
    <w:p w14:paraId="220C30D4" w14:textId="77777777" w:rsidR="001E4838" w:rsidRPr="008E66BB" w:rsidRDefault="001E4838" w:rsidP="001E4838">
      <w:pPr>
        <w:rPr>
          <w:rFonts w:eastAsia="Calibri"/>
          <w:snapToGrid/>
          <w:szCs w:val="22"/>
        </w:rPr>
      </w:pPr>
      <w:r w:rsidRPr="008E66BB">
        <w:rPr>
          <w:rFonts w:eastAsia="Calibri"/>
          <w:snapToGrid/>
          <w:szCs w:val="22"/>
        </w:rPr>
        <w:t>Kroatija</w:t>
      </w:r>
    </w:p>
    <w:p w14:paraId="48BA08EF" w14:textId="77777777" w:rsidR="001E4838" w:rsidRPr="008E66BB" w:rsidRDefault="001E4838" w:rsidP="001E4838">
      <w:pPr>
        <w:rPr>
          <w:rFonts w:eastAsia="Calibri"/>
          <w:snapToGrid/>
          <w:szCs w:val="22"/>
        </w:rPr>
      </w:pPr>
    </w:p>
    <w:p w14:paraId="23F5A373" w14:textId="77777777" w:rsidR="00EA7BA0" w:rsidRPr="008E66BB" w:rsidRDefault="00EA7BA0" w:rsidP="001E4838">
      <w:pPr>
        <w:rPr>
          <w:rFonts w:eastAsia="Calibri"/>
          <w:snapToGrid/>
          <w:szCs w:val="22"/>
        </w:rPr>
      </w:pPr>
      <w:r w:rsidRPr="008E66BB">
        <w:rPr>
          <w:rFonts w:eastAsia="Calibri"/>
          <w:snapToGrid/>
          <w:szCs w:val="22"/>
        </w:rPr>
        <w:t>arba</w:t>
      </w:r>
    </w:p>
    <w:p w14:paraId="218C3876" w14:textId="77777777" w:rsidR="00EA7BA0" w:rsidRPr="008E66BB" w:rsidRDefault="00EA7BA0" w:rsidP="001E4838">
      <w:pPr>
        <w:rPr>
          <w:rFonts w:eastAsia="Calibri"/>
          <w:snapToGrid/>
          <w:szCs w:val="22"/>
        </w:rPr>
      </w:pPr>
    </w:p>
    <w:p w14:paraId="1B5EDDDD" w14:textId="77777777" w:rsidR="001E4838" w:rsidRPr="008E66BB" w:rsidRDefault="001E4838" w:rsidP="001E4838">
      <w:pPr>
        <w:autoSpaceDE w:val="0"/>
        <w:autoSpaceDN w:val="0"/>
        <w:rPr>
          <w:rFonts w:eastAsia="Calibri"/>
          <w:snapToGrid/>
          <w:szCs w:val="22"/>
        </w:rPr>
      </w:pPr>
      <w:r w:rsidRPr="008E66BB">
        <w:rPr>
          <w:rFonts w:eastAsia="Calibri"/>
          <w:snapToGrid/>
          <w:szCs w:val="22"/>
        </w:rPr>
        <w:t>Merckle GmbH</w:t>
      </w:r>
    </w:p>
    <w:p w14:paraId="21721658" w14:textId="77777777" w:rsidR="001E4838" w:rsidRPr="008E66BB" w:rsidRDefault="001E4838" w:rsidP="001E4838">
      <w:pPr>
        <w:autoSpaceDE w:val="0"/>
        <w:autoSpaceDN w:val="0"/>
        <w:rPr>
          <w:rFonts w:eastAsia="Calibri"/>
          <w:snapToGrid/>
          <w:szCs w:val="22"/>
        </w:rPr>
      </w:pPr>
      <w:r w:rsidRPr="008E66BB">
        <w:rPr>
          <w:rFonts w:eastAsia="Calibri"/>
          <w:snapToGrid/>
          <w:szCs w:val="22"/>
        </w:rPr>
        <w:t>Ludwig-Merckle-Straße 3</w:t>
      </w:r>
    </w:p>
    <w:p w14:paraId="30CFE425" w14:textId="77777777" w:rsidR="001E4838" w:rsidRPr="008E66BB" w:rsidRDefault="001E4838" w:rsidP="001E4838">
      <w:pPr>
        <w:autoSpaceDE w:val="0"/>
        <w:autoSpaceDN w:val="0"/>
        <w:rPr>
          <w:rFonts w:eastAsia="Calibri"/>
          <w:snapToGrid/>
          <w:szCs w:val="22"/>
        </w:rPr>
      </w:pPr>
      <w:r w:rsidRPr="008E66BB">
        <w:rPr>
          <w:rFonts w:eastAsia="Calibri"/>
          <w:snapToGrid/>
          <w:szCs w:val="22"/>
        </w:rPr>
        <w:t>Blaubeuren 89143</w:t>
      </w:r>
    </w:p>
    <w:p w14:paraId="32701F6E" w14:textId="77777777" w:rsidR="001E4838" w:rsidRPr="008E66BB" w:rsidRDefault="001E4838" w:rsidP="001E4838">
      <w:pPr>
        <w:rPr>
          <w:rFonts w:eastAsia="Calibri"/>
          <w:snapToGrid/>
          <w:szCs w:val="22"/>
        </w:rPr>
      </w:pPr>
      <w:r w:rsidRPr="008E66BB">
        <w:rPr>
          <w:rFonts w:eastAsia="Calibri"/>
          <w:snapToGrid/>
          <w:szCs w:val="22"/>
        </w:rPr>
        <w:t>Vokietija</w:t>
      </w:r>
    </w:p>
    <w:p w14:paraId="12729D73" w14:textId="77777777" w:rsidR="001E4838" w:rsidRPr="001E4838" w:rsidRDefault="001E4838" w:rsidP="001E4838">
      <w:pPr>
        <w:numPr>
          <w:ilvl w:val="12"/>
          <w:numId w:val="0"/>
        </w:numPr>
        <w:tabs>
          <w:tab w:val="clear" w:pos="567"/>
        </w:tabs>
        <w:spacing w:line="240" w:lineRule="auto"/>
        <w:ind w:right="-2"/>
        <w:rPr>
          <w:szCs w:val="24"/>
        </w:rPr>
      </w:pPr>
    </w:p>
    <w:p w14:paraId="520EFA20" w14:textId="77777777" w:rsidR="001E4838" w:rsidRPr="001E4838" w:rsidRDefault="001E4838" w:rsidP="001E4838">
      <w:pPr>
        <w:numPr>
          <w:ilvl w:val="12"/>
          <w:numId w:val="0"/>
        </w:numPr>
        <w:spacing w:line="240" w:lineRule="auto"/>
        <w:ind w:right="-2"/>
        <w:rPr>
          <w:noProof/>
          <w:szCs w:val="24"/>
        </w:rPr>
      </w:pPr>
      <w:r w:rsidRPr="001E4838">
        <w:rPr>
          <w:noProof/>
          <w:szCs w:val="24"/>
        </w:rPr>
        <w:t>Jeigu apie šį vaistą norite sužinoti daugiau, kreipkitės į vietinį registruotojo atstovą.</w:t>
      </w:r>
    </w:p>
    <w:p w14:paraId="239E840E" w14:textId="680EB65F"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 xml:space="preserve">UAB </w:t>
      </w:r>
      <w:r w:rsidR="00B13257">
        <w:rPr>
          <w:snapToGrid/>
          <w:szCs w:val="22"/>
          <w:lang w:eastAsia="lt-LT"/>
        </w:rPr>
        <w:t>Teva Baltics</w:t>
      </w:r>
    </w:p>
    <w:p w14:paraId="133CCC2E" w14:textId="77777777"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Molėtų pl. 5,</w:t>
      </w:r>
    </w:p>
    <w:p w14:paraId="1E71B1F1" w14:textId="77777777"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LT-08409 Vilnius</w:t>
      </w:r>
    </w:p>
    <w:p w14:paraId="0AC42AFE" w14:textId="77777777" w:rsidR="00777D09" w:rsidRPr="00777D09" w:rsidRDefault="00777D09" w:rsidP="00777D09">
      <w:pPr>
        <w:widowControl w:val="0"/>
        <w:tabs>
          <w:tab w:val="clear" w:pos="567"/>
        </w:tabs>
        <w:spacing w:line="240" w:lineRule="auto"/>
        <w:rPr>
          <w:snapToGrid/>
          <w:szCs w:val="22"/>
          <w:lang w:eastAsia="lt-LT"/>
        </w:rPr>
      </w:pPr>
      <w:r w:rsidRPr="00777D09">
        <w:rPr>
          <w:snapToGrid/>
          <w:szCs w:val="22"/>
          <w:lang w:eastAsia="lt-LT"/>
        </w:rPr>
        <w:t>Tel. +370 5 266 02 03</w:t>
      </w:r>
    </w:p>
    <w:p w14:paraId="22B20DD8" w14:textId="77777777" w:rsidR="001E4838" w:rsidRPr="001E4838" w:rsidRDefault="001E4838" w:rsidP="001E4838">
      <w:pPr>
        <w:spacing w:line="240" w:lineRule="auto"/>
        <w:rPr>
          <w:noProof/>
          <w:szCs w:val="24"/>
        </w:rPr>
      </w:pPr>
    </w:p>
    <w:p w14:paraId="23C9DA75" w14:textId="77777777"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Šis vaistas EEE valstybėse narėse registruotas tokiais pavadinimais:</w:t>
      </w:r>
    </w:p>
    <w:p w14:paraId="11CE7CD2" w14:textId="77777777" w:rsidR="00250DCE" w:rsidRPr="008E66BB" w:rsidRDefault="00250DCE" w:rsidP="00250DCE">
      <w:pPr>
        <w:tabs>
          <w:tab w:val="clear" w:pos="567"/>
        </w:tabs>
        <w:spacing w:line="240" w:lineRule="auto"/>
        <w:rPr>
          <w:rFonts w:eastAsia="Calibri"/>
          <w:b/>
          <w:noProof/>
          <w:snapToGrid/>
          <w:szCs w:val="22"/>
        </w:rPr>
      </w:pPr>
    </w:p>
    <w:p w14:paraId="39972E40" w14:textId="01B542EB" w:rsidR="00250DCE" w:rsidRPr="008E66BB" w:rsidRDefault="00250DCE" w:rsidP="00250DCE">
      <w:pPr>
        <w:tabs>
          <w:tab w:val="clear" w:pos="567"/>
        </w:tabs>
        <w:spacing w:line="240" w:lineRule="auto"/>
        <w:rPr>
          <w:rFonts w:eastAsia="Calibri"/>
          <w:noProof/>
          <w:snapToGrid/>
          <w:szCs w:val="22"/>
        </w:rPr>
      </w:pPr>
      <w:r w:rsidRPr="008E66BB">
        <w:rPr>
          <w:rFonts w:eastAsia="Calibri"/>
          <w:b/>
          <w:noProof/>
          <w:snapToGrid/>
          <w:szCs w:val="22"/>
        </w:rPr>
        <w:t>Austrija:</w:t>
      </w:r>
      <w:r w:rsidRPr="008E66BB">
        <w:rPr>
          <w:rFonts w:eastAsia="Calibri"/>
          <w:noProof/>
          <w:snapToGrid/>
          <w:szCs w:val="22"/>
        </w:rPr>
        <w:t xml:space="preserve"> Cinacalcet ratiopharm 30 mg Filmtabletten, Cinacalcet ratiopharm 60 mg Filmtabletten, Cinacalcet ratiopharm 90 mg Filmtabletten</w:t>
      </w:r>
      <w:r w:rsidR="001E4838" w:rsidRPr="008E66BB">
        <w:rPr>
          <w:rFonts w:eastAsia="Calibri"/>
          <w:b/>
          <w:noProof/>
          <w:snapToGrid/>
          <w:szCs w:val="22"/>
        </w:rPr>
        <w:t xml:space="preserve">; </w:t>
      </w:r>
      <w:r w:rsidRPr="008E66BB">
        <w:rPr>
          <w:rFonts w:eastAsia="Calibri"/>
          <w:b/>
          <w:noProof/>
          <w:snapToGrid/>
          <w:szCs w:val="22"/>
        </w:rPr>
        <w:t>Bulgarija:</w:t>
      </w:r>
      <w:r w:rsidRPr="008E66BB">
        <w:rPr>
          <w:rFonts w:eastAsia="Calibri"/>
          <w:snapToGrid/>
          <w:szCs w:val="22"/>
        </w:rPr>
        <w:t xml:space="preserve"> </w:t>
      </w:r>
      <w:r w:rsidRPr="008E66BB">
        <w:rPr>
          <w:rFonts w:eastAsia="Calibri"/>
          <w:noProof/>
          <w:snapToGrid/>
          <w:szCs w:val="22"/>
        </w:rPr>
        <w:t>Cinacalcet Teva 30 mg film-coated tablets</w:t>
      </w:r>
      <w:r w:rsidR="001E4838" w:rsidRPr="008E66BB">
        <w:rPr>
          <w:rFonts w:eastAsia="Calibri"/>
          <w:b/>
          <w:noProof/>
          <w:snapToGrid/>
          <w:szCs w:val="22"/>
        </w:rPr>
        <w:t xml:space="preserve">; </w:t>
      </w:r>
      <w:r w:rsidRPr="008E66BB">
        <w:rPr>
          <w:rFonts w:eastAsia="Calibri"/>
          <w:b/>
          <w:noProof/>
          <w:snapToGrid/>
          <w:szCs w:val="22"/>
        </w:rPr>
        <w:t>Danija: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Estija:</w:t>
      </w:r>
      <w:r w:rsidRPr="008E66BB">
        <w:rPr>
          <w:rFonts w:eastAsia="Calibri"/>
          <w:snapToGrid/>
          <w:szCs w:val="22"/>
        </w:rPr>
        <w:t xml:space="preserve"> Cinacalcet Teva</w:t>
      </w:r>
      <w:r w:rsidR="001E4838" w:rsidRPr="008E66BB">
        <w:rPr>
          <w:rFonts w:eastAsia="Calibri"/>
          <w:snapToGrid/>
          <w:szCs w:val="22"/>
        </w:rPr>
        <w:t>;</w:t>
      </w:r>
      <w:r w:rsidR="00385C79">
        <w:rPr>
          <w:rFonts w:eastAsia="Calibri"/>
          <w:snapToGrid/>
          <w:szCs w:val="22"/>
        </w:rPr>
        <w:t xml:space="preserve"> </w:t>
      </w:r>
      <w:r w:rsidRPr="008E66BB">
        <w:rPr>
          <w:rFonts w:eastAsia="Calibri"/>
          <w:b/>
          <w:noProof/>
          <w:snapToGrid/>
          <w:szCs w:val="22"/>
        </w:rPr>
        <w:t>Prancūzija:</w:t>
      </w:r>
      <w:r w:rsidRPr="008E66BB">
        <w:rPr>
          <w:rFonts w:eastAsia="Calibri"/>
          <w:noProof/>
          <w:snapToGrid/>
          <w:szCs w:val="22"/>
        </w:rPr>
        <w:t xml:space="preserve"> CINACALCET TEVA 30 mg, comprimé pelliculé, CINACALCET TEVA 60 mg, comprimé pelliculé, CINACALCET TEVA 90 mg, comprimé pelliculé</w:t>
      </w:r>
      <w:r w:rsidR="001E4838" w:rsidRPr="008E66BB">
        <w:rPr>
          <w:rFonts w:eastAsia="Calibri"/>
          <w:b/>
          <w:noProof/>
          <w:snapToGrid/>
          <w:szCs w:val="22"/>
        </w:rPr>
        <w:t xml:space="preserve">; </w:t>
      </w:r>
      <w:r w:rsidRPr="008E66BB">
        <w:rPr>
          <w:rFonts w:eastAsia="Calibri"/>
          <w:b/>
          <w:noProof/>
          <w:snapToGrid/>
          <w:szCs w:val="22"/>
        </w:rPr>
        <w:t>Suomija:</w:t>
      </w:r>
      <w:r w:rsidRPr="008E66BB">
        <w:rPr>
          <w:rFonts w:eastAsia="Calibri"/>
          <w:noProof/>
          <w:snapToGrid/>
          <w:szCs w:val="22"/>
        </w:rPr>
        <w:t xml:space="preserve"> Cinacalcet ratiopharm 30 mg tabletti, kalvopäällysteinen, Cinacalcet ratiopharm 60 mg tabletti, kalvopäällysteinen, Cinacalcet ratiopharm 90 mg tabletti, kalvopäällysteinen</w:t>
      </w:r>
      <w:r w:rsidR="001E4838" w:rsidRPr="008E66BB">
        <w:rPr>
          <w:rFonts w:eastAsia="Calibri"/>
          <w:b/>
          <w:noProof/>
          <w:snapToGrid/>
          <w:szCs w:val="22"/>
        </w:rPr>
        <w:t xml:space="preserve">; </w:t>
      </w:r>
      <w:r w:rsidRPr="008E66BB">
        <w:rPr>
          <w:rFonts w:eastAsia="Calibri"/>
          <w:b/>
          <w:noProof/>
          <w:snapToGrid/>
          <w:szCs w:val="22"/>
        </w:rPr>
        <w:t>Vokietija:</w:t>
      </w:r>
      <w:r w:rsidRPr="008E66BB">
        <w:rPr>
          <w:rFonts w:eastAsia="Calibri"/>
          <w:noProof/>
          <w:snapToGrid/>
          <w:szCs w:val="22"/>
        </w:rPr>
        <w:t xml:space="preserve"> Cinacalcet-ratiopharm 30 mg Filmtabletten, Cinacalcet-ratiopharm 60 mg Filmtabletten, Cinacalcet-ratiopharm 90 mg Filmtabletten</w:t>
      </w:r>
      <w:r w:rsidR="001E4838" w:rsidRPr="008E66BB">
        <w:rPr>
          <w:rFonts w:eastAsia="Calibri"/>
          <w:b/>
          <w:noProof/>
          <w:snapToGrid/>
          <w:szCs w:val="22"/>
        </w:rPr>
        <w:t xml:space="preserve">; </w:t>
      </w:r>
      <w:r w:rsidRPr="008E66BB">
        <w:rPr>
          <w:rFonts w:eastAsia="Calibri"/>
          <w:b/>
          <w:noProof/>
          <w:snapToGrid/>
          <w:szCs w:val="22"/>
        </w:rPr>
        <w:t>Graikija:</w:t>
      </w:r>
      <w:r w:rsidRPr="008E66BB">
        <w:rPr>
          <w:rFonts w:eastAsia="Calibri"/>
          <w:noProof/>
          <w:snapToGrid/>
          <w:szCs w:val="22"/>
        </w:rPr>
        <w:t xml:space="preserve"> Cinacalcet/Teva 30 mg Επικαλυμμένα με λεπτό υμένιο δισκία, Cinacalcet/Teva 60 mg Επικαλυμμένα με λεπτό υμένιο δισκία, Cinacalcet/Teva 90 mg Επικαλυμμένα με λεπτό υμένιο δισκία</w:t>
      </w:r>
      <w:r w:rsidR="001E4838" w:rsidRPr="008E66BB">
        <w:rPr>
          <w:rFonts w:eastAsia="Calibri"/>
          <w:b/>
          <w:noProof/>
          <w:snapToGrid/>
          <w:szCs w:val="22"/>
        </w:rPr>
        <w:t xml:space="preserve">; </w:t>
      </w:r>
      <w:r w:rsidRPr="008E66BB">
        <w:rPr>
          <w:rFonts w:eastAsia="Calibri"/>
          <w:b/>
          <w:noProof/>
          <w:snapToGrid/>
          <w:szCs w:val="22"/>
        </w:rPr>
        <w:t>Airija:</w:t>
      </w:r>
      <w:r w:rsidRPr="008E66BB">
        <w:rPr>
          <w:rFonts w:eastAsia="Calibri"/>
          <w:noProof/>
          <w:snapToGrid/>
          <w:szCs w:val="22"/>
        </w:rPr>
        <w:t xml:space="preserve"> Cinacalcet Teva 30 mg, 60 mg and 90 mg Film-coated Tablets</w:t>
      </w:r>
      <w:r w:rsidR="001E4838" w:rsidRPr="008E66BB">
        <w:rPr>
          <w:rFonts w:eastAsia="Calibri"/>
          <w:b/>
          <w:noProof/>
          <w:snapToGrid/>
          <w:szCs w:val="22"/>
        </w:rPr>
        <w:t xml:space="preserve">; </w:t>
      </w:r>
      <w:r w:rsidRPr="008E66BB">
        <w:rPr>
          <w:rFonts w:eastAsia="Calibri"/>
          <w:b/>
          <w:noProof/>
          <w:snapToGrid/>
          <w:szCs w:val="22"/>
        </w:rPr>
        <w:t>Italija: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Latvija:</w:t>
      </w:r>
      <w:r w:rsidRPr="008E66BB">
        <w:rPr>
          <w:rFonts w:eastAsia="Calibri"/>
          <w:noProof/>
          <w:snapToGrid/>
          <w:szCs w:val="22"/>
        </w:rPr>
        <w:t xml:space="preserve"> Cinacalcet Teva 30 mg apvalkotās tabletes, Cinacalcet Teva 60 mg apvalkotās tabletes</w:t>
      </w:r>
      <w:r w:rsidR="008E3DB5">
        <w:rPr>
          <w:rFonts w:eastAsia="Calibri"/>
          <w:noProof/>
          <w:snapToGrid/>
          <w:szCs w:val="22"/>
        </w:rPr>
        <w:t xml:space="preserve">; </w:t>
      </w:r>
      <w:r w:rsidRPr="008E66BB">
        <w:rPr>
          <w:rFonts w:eastAsia="Calibri"/>
          <w:b/>
          <w:noProof/>
          <w:snapToGrid/>
          <w:szCs w:val="22"/>
        </w:rPr>
        <w:t>Norvegija: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Portugalija:</w:t>
      </w:r>
      <w:r w:rsidRPr="008E66BB">
        <w:rPr>
          <w:rFonts w:eastAsia="Calibri"/>
          <w:noProof/>
          <w:snapToGrid/>
          <w:szCs w:val="22"/>
        </w:rPr>
        <w:t xml:space="preserve"> Cinacalcet Teva</w:t>
      </w:r>
      <w:r w:rsidR="001E4838" w:rsidRPr="008E66BB">
        <w:rPr>
          <w:rFonts w:eastAsia="Calibri"/>
          <w:noProof/>
          <w:snapToGrid/>
          <w:szCs w:val="22"/>
        </w:rPr>
        <w:t xml:space="preserve">; </w:t>
      </w:r>
      <w:r w:rsidRPr="008E66BB">
        <w:rPr>
          <w:rFonts w:eastAsia="Calibri"/>
          <w:b/>
          <w:noProof/>
          <w:snapToGrid/>
          <w:szCs w:val="22"/>
        </w:rPr>
        <w:t>Slovakija:</w:t>
      </w:r>
      <w:r w:rsidRPr="008E66BB">
        <w:rPr>
          <w:rFonts w:eastAsia="Calibri"/>
          <w:snapToGrid/>
          <w:szCs w:val="22"/>
        </w:rPr>
        <w:t xml:space="preserve"> </w:t>
      </w:r>
      <w:r w:rsidRPr="008E66BB">
        <w:rPr>
          <w:rFonts w:eastAsia="Calibri"/>
          <w:noProof/>
          <w:snapToGrid/>
          <w:szCs w:val="22"/>
        </w:rPr>
        <w:t>Cinacalcet Teva 30 mg filmom obalené tablety, Cinacalcet Teva 60 mg filmom obalené tablety, Cinacalcet Teva 90 mg filmom obalené tablety</w:t>
      </w:r>
      <w:r w:rsidR="001E4838" w:rsidRPr="008E66BB">
        <w:rPr>
          <w:rFonts w:eastAsia="Calibri"/>
          <w:b/>
          <w:noProof/>
          <w:snapToGrid/>
          <w:szCs w:val="22"/>
        </w:rPr>
        <w:t xml:space="preserve">; </w:t>
      </w:r>
      <w:r w:rsidRPr="008E66BB">
        <w:rPr>
          <w:rFonts w:eastAsia="Calibri"/>
          <w:b/>
          <w:noProof/>
          <w:snapToGrid/>
          <w:szCs w:val="22"/>
        </w:rPr>
        <w:t>Ispanija:</w:t>
      </w:r>
      <w:r w:rsidRPr="008E66BB">
        <w:rPr>
          <w:rFonts w:eastAsia="Calibri"/>
          <w:noProof/>
          <w:snapToGrid/>
          <w:szCs w:val="22"/>
        </w:rPr>
        <w:t xml:space="preserve"> Cinacalcet Teva 30 mg, 60 mg and 90 mg comprimidos recubiertos con película EFG</w:t>
      </w:r>
      <w:r w:rsidR="001E4838" w:rsidRPr="008E66BB">
        <w:rPr>
          <w:rFonts w:eastAsia="Calibri"/>
          <w:b/>
          <w:noProof/>
          <w:snapToGrid/>
          <w:szCs w:val="22"/>
        </w:rPr>
        <w:t xml:space="preserve">; </w:t>
      </w:r>
      <w:r w:rsidRPr="008E66BB">
        <w:rPr>
          <w:rFonts w:eastAsia="Calibri"/>
          <w:b/>
          <w:noProof/>
          <w:snapToGrid/>
          <w:szCs w:val="22"/>
        </w:rPr>
        <w:t>Švedija:</w:t>
      </w:r>
      <w:r w:rsidRPr="008E66BB">
        <w:rPr>
          <w:rFonts w:eastAsia="Calibri"/>
          <w:noProof/>
          <w:snapToGrid/>
          <w:szCs w:val="22"/>
        </w:rPr>
        <w:t xml:space="preserve"> Cinacalcet Teva</w:t>
      </w:r>
      <w:r w:rsidR="001E4838" w:rsidRPr="008E66BB">
        <w:rPr>
          <w:rFonts w:eastAsia="Calibri"/>
          <w:b/>
          <w:noProof/>
          <w:snapToGrid/>
          <w:szCs w:val="22"/>
        </w:rPr>
        <w:t xml:space="preserve">; </w:t>
      </w:r>
      <w:r w:rsidRPr="008E66BB">
        <w:rPr>
          <w:rFonts w:eastAsia="Calibri"/>
          <w:b/>
          <w:noProof/>
          <w:snapToGrid/>
          <w:szCs w:val="22"/>
        </w:rPr>
        <w:t>Nyderlandai:</w:t>
      </w:r>
      <w:r w:rsidRPr="008E66BB">
        <w:rPr>
          <w:rFonts w:eastAsia="Calibri"/>
          <w:noProof/>
          <w:snapToGrid/>
          <w:szCs w:val="22"/>
        </w:rPr>
        <w:t xml:space="preserve"> Cinacalcet HCl Teva 30 mg, 60 mg, 90 mg filmomhulde tabletten</w:t>
      </w:r>
      <w:r w:rsidR="001E4838" w:rsidRPr="008E66BB">
        <w:rPr>
          <w:rFonts w:eastAsia="Calibri"/>
          <w:b/>
          <w:noProof/>
          <w:snapToGrid/>
          <w:szCs w:val="22"/>
        </w:rPr>
        <w:t xml:space="preserve">; </w:t>
      </w:r>
      <w:r w:rsidRPr="008E66BB">
        <w:rPr>
          <w:rFonts w:eastAsia="Calibri"/>
          <w:b/>
          <w:noProof/>
          <w:snapToGrid/>
          <w:szCs w:val="22"/>
        </w:rPr>
        <w:t>Jungtinė Karalystė:</w:t>
      </w:r>
      <w:r w:rsidRPr="008E66BB">
        <w:rPr>
          <w:rFonts w:eastAsia="Calibri"/>
          <w:noProof/>
          <w:snapToGrid/>
          <w:szCs w:val="22"/>
        </w:rPr>
        <w:t xml:space="preserve"> Cinacalcet Teva 30 mg, 60 mg and 90 mg Film-coated tablets</w:t>
      </w:r>
    </w:p>
    <w:p w14:paraId="77D61C4C" w14:textId="77777777" w:rsidR="00250DCE" w:rsidRPr="008E66BB" w:rsidRDefault="00250DCE" w:rsidP="00250DCE">
      <w:pPr>
        <w:tabs>
          <w:tab w:val="clear" w:pos="567"/>
        </w:tabs>
        <w:autoSpaceDE w:val="0"/>
        <w:autoSpaceDN w:val="0"/>
        <w:adjustRightInd w:val="0"/>
        <w:spacing w:line="240" w:lineRule="auto"/>
        <w:rPr>
          <w:rFonts w:eastAsia="Calibri"/>
          <w:snapToGrid/>
          <w:szCs w:val="22"/>
        </w:rPr>
      </w:pPr>
    </w:p>
    <w:p w14:paraId="6C0881A6" w14:textId="19E6B4DC" w:rsidR="00250DCE" w:rsidRPr="008E66BB" w:rsidRDefault="00250DCE" w:rsidP="00250DCE">
      <w:pPr>
        <w:tabs>
          <w:tab w:val="clear" w:pos="567"/>
        </w:tabs>
        <w:autoSpaceDE w:val="0"/>
        <w:autoSpaceDN w:val="0"/>
        <w:adjustRightInd w:val="0"/>
        <w:spacing w:line="240" w:lineRule="auto"/>
        <w:rPr>
          <w:rFonts w:eastAsia="Calibri"/>
          <w:b/>
          <w:snapToGrid/>
          <w:szCs w:val="22"/>
        </w:rPr>
      </w:pPr>
      <w:r w:rsidRPr="008E66BB">
        <w:rPr>
          <w:rFonts w:eastAsia="Calibri"/>
          <w:b/>
          <w:snapToGrid/>
          <w:szCs w:val="22"/>
        </w:rPr>
        <w:t>Šis pakuotės lapelis paskuti</w:t>
      </w:r>
      <w:r w:rsidR="00C3614E" w:rsidRPr="008E66BB">
        <w:rPr>
          <w:rFonts w:eastAsia="Calibri"/>
          <w:b/>
          <w:snapToGrid/>
          <w:szCs w:val="22"/>
        </w:rPr>
        <w:t>nį kartą peržiūrėtas</w:t>
      </w:r>
      <w:r w:rsidR="00965B41">
        <w:rPr>
          <w:rFonts w:eastAsia="Calibri"/>
          <w:b/>
          <w:snapToGrid/>
          <w:szCs w:val="22"/>
        </w:rPr>
        <w:t xml:space="preserve"> </w:t>
      </w:r>
      <w:r w:rsidR="008011AD">
        <w:rPr>
          <w:rFonts w:eastAsia="Calibri"/>
          <w:b/>
          <w:snapToGrid/>
          <w:szCs w:val="22"/>
        </w:rPr>
        <w:t>2020-07-30.</w:t>
      </w:r>
      <w:bookmarkStart w:id="0" w:name="_GoBack"/>
      <w:bookmarkEnd w:id="0"/>
    </w:p>
    <w:p w14:paraId="1D62A8D4" w14:textId="77777777" w:rsidR="00250DCE" w:rsidRDefault="00250DCE" w:rsidP="00250DCE">
      <w:pPr>
        <w:rPr>
          <w:szCs w:val="24"/>
        </w:rPr>
      </w:pPr>
    </w:p>
    <w:p w14:paraId="6CF399AA" w14:textId="77777777" w:rsidR="00C3614E" w:rsidRDefault="00C3614E" w:rsidP="00250DCE">
      <w:pPr>
        <w:rPr>
          <w:szCs w:val="24"/>
        </w:rPr>
      </w:pPr>
    </w:p>
    <w:p w14:paraId="585B07FE" w14:textId="77777777" w:rsidR="001E4838" w:rsidRDefault="001E4838" w:rsidP="00250DCE">
      <w:r w:rsidRPr="001E4838">
        <w:t xml:space="preserve">Išsami informacija apie šį </w:t>
      </w:r>
      <w:r w:rsidRPr="001E4838">
        <w:rPr>
          <w:szCs w:val="24"/>
        </w:rPr>
        <w:t>vaistą</w:t>
      </w:r>
      <w:r w:rsidRPr="001E4838">
        <w:t xml:space="preserve"> pateikiama Valstybinės vaistų kontrolės tarnybos prie Lietuvos Respublikos sveikatos apsaugos ministerijos tinklalapyje</w:t>
      </w:r>
      <w:r w:rsidRPr="001E4838">
        <w:rPr>
          <w:i/>
          <w:szCs w:val="24"/>
        </w:rPr>
        <w:t xml:space="preserve"> </w:t>
      </w:r>
      <w:hyperlink r:id="rId13" w:history="1">
        <w:r w:rsidRPr="001E4838">
          <w:rPr>
            <w:rFonts w:eastAsia="SimSun"/>
            <w:color w:val="0000FF"/>
            <w:u w:val="single"/>
          </w:rPr>
          <w:t>http://www.vvkt.lt/</w:t>
        </w:r>
      </w:hyperlink>
      <w:r w:rsidRPr="001E4838">
        <w:t>.</w:t>
      </w:r>
    </w:p>
    <w:p w14:paraId="374E7138" w14:textId="77777777" w:rsidR="00B523CF" w:rsidRDefault="00B523CF" w:rsidP="00250DCE"/>
    <w:p w14:paraId="575A31EE" w14:textId="77777777" w:rsidR="00B523CF" w:rsidRPr="00250DCE" w:rsidRDefault="00B523CF" w:rsidP="00250DCE">
      <w:pPr>
        <w:rPr>
          <w:szCs w:val="24"/>
        </w:rPr>
      </w:pPr>
    </w:p>
    <w:sectPr w:rsidR="00B523CF" w:rsidRPr="00250DCE" w:rsidSect="00811A4B">
      <w:headerReference w:type="even" r:id="rId14"/>
      <w:headerReference w:type="default" r:id="rId15"/>
      <w:footerReference w:type="even" r:id="rId16"/>
      <w:footerReference w:type="default" r:id="rId17"/>
      <w:headerReference w:type="first" r:id="rId18"/>
      <w:footerReference w:type="firs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07B09" w14:textId="77777777" w:rsidR="006A39B4" w:rsidRDefault="006A39B4" w:rsidP="00831341">
      <w:pPr>
        <w:spacing w:line="240" w:lineRule="auto"/>
      </w:pPr>
      <w:r>
        <w:separator/>
      </w:r>
    </w:p>
  </w:endnote>
  <w:endnote w:type="continuationSeparator" w:id="0">
    <w:p w14:paraId="0C4B0330" w14:textId="77777777" w:rsidR="006A39B4" w:rsidRDefault="006A39B4" w:rsidP="00831341">
      <w:pPr>
        <w:spacing w:line="240" w:lineRule="auto"/>
      </w:pPr>
      <w:r>
        <w:continuationSeparator/>
      </w:r>
    </w:p>
  </w:endnote>
  <w:endnote w:type="continuationNotice" w:id="1">
    <w:p w14:paraId="2D40D072" w14:textId="77777777" w:rsidR="006A39B4" w:rsidRDefault="006A39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Yu Gothic UI"/>
    <w:panose1 w:val="00000000000000000000"/>
    <w:charset w:val="80"/>
    <w:family w:val="auto"/>
    <w:notTrueType/>
    <w:pitch w:val="default"/>
    <w:sig w:usb0="00000000" w:usb1="08070000" w:usb2="00000010" w:usb3="00000000" w:csb0="00020002"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461F" w14:textId="77777777" w:rsidR="006A39B4" w:rsidRDefault="006A39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978" w14:textId="633E37DD" w:rsidR="006A39B4" w:rsidRDefault="006A39B4">
    <w:pPr>
      <w:pStyle w:val="Porat"/>
      <w:jc w:val="center"/>
    </w:pPr>
    <w:r>
      <w:fldChar w:fldCharType="begin"/>
    </w:r>
    <w:r>
      <w:instrText>PAGE   \* MERGEFORMAT</w:instrText>
    </w:r>
    <w:r>
      <w:fldChar w:fldCharType="separate"/>
    </w:r>
    <w:r w:rsidR="008011AD">
      <w:rPr>
        <w:noProof/>
      </w:rPr>
      <w:t>40</w:t>
    </w:r>
    <w:r>
      <w:fldChar w:fldCharType="end"/>
    </w:r>
  </w:p>
  <w:p w14:paraId="6D3CD5B7" w14:textId="77777777" w:rsidR="006A39B4" w:rsidRDefault="006A39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3184" w14:textId="77777777" w:rsidR="006A39B4" w:rsidRDefault="006A39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BB4E8" w14:textId="77777777" w:rsidR="006A39B4" w:rsidRDefault="006A39B4" w:rsidP="00831341">
      <w:pPr>
        <w:spacing w:line="240" w:lineRule="auto"/>
      </w:pPr>
      <w:r>
        <w:separator/>
      </w:r>
    </w:p>
  </w:footnote>
  <w:footnote w:type="continuationSeparator" w:id="0">
    <w:p w14:paraId="339DE231" w14:textId="77777777" w:rsidR="006A39B4" w:rsidRDefault="006A39B4" w:rsidP="00831341">
      <w:pPr>
        <w:spacing w:line="240" w:lineRule="auto"/>
      </w:pPr>
      <w:r>
        <w:continuationSeparator/>
      </w:r>
    </w:p>
  </w:footnote>
  <w:footnote w:type="continuationNotice" w:id="1">
    <w:p w14:paraId="24163553" w14:textId="77777777" w:rsidR="006A39B4" w:rsidRDefault="006A39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D72F" w14:textId="77777777" w:rsidR="006A39B4" w:rsidRDefault="006A3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DFEB" w14:textId="77777777" w:rsidR="006A39B4" w:rsidRPr="00565603" w:rsidRDefault="006A39B4" w:rsidP="005656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729B" w14:textId="77777777" w:rsidR="006A39B4" w:rsidRDefault="006A3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C1737"/>
    <w:multiLevelType w:val="hybridMultilevel"/>
    <w:tmpl w:val="041861D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062B3CC3"/>
    <w:multiLevelType w:val="hybridMultilevel"/>
    <w:tmpl w:val="BE94B07A"/>
    <w:lvl w:ilvl="0" w:tplc="94B094B8">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6CDC"/>
    <w:multiLevelType w:val="hybridMultilevel"/>
    <w:tmpl w:val="121C0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43980"/>
    <w:multiLevelType w:val="hybridMultilevel"/>
    <w:tmpl w:val="4FFCD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66082"/>
    <w:multiLevelType w:val="hybridMultilevel"/>
    <w:tmpl w:val="6C021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635707"/>
    <w:multiLevelType w:val="hybridMultilevel"/>
    <w:tmpl w:val="01465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BF116D"/>
    <w:multiLevelType w:val="hybridMultilevel"/>
    <w:tmpl w:val="358C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16C23"/>
    <w:multiLevelType w:val="hybridMultilevel"/>
    <w:tmpl w:val="8EA26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8570B"/>
    <w:multiLevelType w:val="hybridMultilevel"/>
    <w:tmpl w:val="0DB43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0D2AF5"/>
    <w:multiLevelType w:val="hybridMultilevel"/>
    <w:tmpl w:val="6BAAF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CD5341"/>
    <w:multiLevelType w:val="hybridMultilevel"/>
    <w:tmpl w:val="5DA4D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9"/>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11"/>
  </w:num>
  <w:num w:numId="7">
    <w:abstractNumId w:val="10"/>
  </w:num>
  <w:num w:numId="8">
    <w:abstractNumId w:val="1"/>
  </w:num>
  <w:num w:numId="9">
    <w:abstractNumId w:val="2"/>
  </w:num>
  <w:num w:numId="10">
    <w:abstractNumId w:val="4"/>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AC"/>
    <w:rsid w:val="00021A05"/>
    <w:rsid w:val="00046EBC"/>
    <w:rsid w:val="00057650"/>
    <w:rsid w:val="00060C77"/>
    <w:rsid w:val="00062000"/>
    <w:rsid w:val="00062B7B"/>
    <w:rsid w:val="00073C93"/>
    <w:rsid w:val="00081BD8"/>
    <w:rsid w:val="00082A72"/>
    <w:rsid w:val="00097465"/>
    <w:rsid w:val="000D2989"/>
    <w:rsid w:val="000D71F4"/>
    <w:rsid w:val="00117A6C"/>
    <w:rsid w:val="00125667"/>
    <w:rsid w:val="00134C29"/>
    <w:rsid w:val="0017558D"/>
    <w:rsid w:val="00182ED6"/>
    <w:rsid w:val="001A0C38"/>
    <w:rsid w:val="001A3787"/>
    <w:rsid w:val="001A535C"/>
    <w:rsid w:val="001C27EC"/>
    <w:rsid w:val="001D1CDB"/>
    <w:rsid w:val="001D4977"/>
    <w:rsid w:val="001E06A6"/>
    <w:rsid w:val="001E266E"/>
    <w:rsid w:val="001E4838"/>
    <w:rsid w:val="002108DE"/>
    <w:rsid w:val="00235662"/>
    <w:rsid w:val="00237517"/>
    <w:rsid w:val="0024200C"/>
    <w:rsid w:val="00244BBB"/>
    <w:rsid w:val="00250DCE"/>
    <w:rsid w:val="00254312"/>
    <w:rsid w:val="00261CCF"/>
    <w:rsid w:val="002623AA"/>
    <w:rsid w:val="0026284D"/>
    <w:rsid w:val="0027339F"/>
    <w:rsid w:val="00277020"/>
    <w:rsid w:val="0028276B"/>
    <w:rsid w:val="002850E5"/>
    <w:rsid w:val="00294BB3"/>
    <w:rsid w:val="002A6A8D"/>
    <w:rsid w:val="002B269C"/>
    <w:rsid w:val="002E689C"/>
    <w:rsid w:val="002E75C2"/>
    <w:rsid w:val="002F49CE"/>
    <w:rsid w:val="003027B7"/>
    <w:rsid w:val="00315031"/>
    <w:rsid w:val="00316F4E"/>
    <w:rsid w:val="003326B0"/>
    <w:rsid w:val="00334F1C"/>
    <w:rsid w:val="00350C05"/>
    <w:rsid w:val="003607B0"/>
    <w:rsid w:val="00363A4F"/>
    <w:rsid w:val="00382558"/>
    <w:rsid w:val="00385C79"/>
    <w:rsid w:val="00391912"/>
    <w:rsid w:val="00395052"/>
    <w:rsid w:val="003A3A4B"/>
    <w:rsid w:val="003A7C6B"/>
    <w:rsid w:val="003E0C6B"/>
    <w:rsid w:val="003E667B"/>
    <w:rsid w:val="004063F3"/>
    <w:rsid w:val="00430770"/>
    <w:rsid w:val="00436ECC"/>
    <w:rsid w:val="00482AAE"/>
    <w:rsid w:val="00493B5B"/>
    <w:rsid w:val="00496342"/>
    <w:rsid w:val="004A7F74"/>
    <w:rsid w:val="004C06AE"/>
    <w:rsid w:val="004C40C9"/>
    <w:rsid w:val="004C44BC"/>
    <w:rsid w:val="004E2EF1"/>
    <w:rsid w:val="004E5766"/>
    <w:rsid w:val="004F2DD5"/>
    <w:rsid w:val="004F4E5D"/>
    <w:rsid w:val="00503C0B"/>
    <w:rsid w:val="00506DA5"/>
    <w:rsid w:val="00532876"/>
    <w:rsid w:val="00533C11"/>
    <w:rsid w:val="00547A93"/>
    <w:rsid w:val="0055124C"/>
    <w:rsid w:val="00565603"/>
    <w:rsid w:val="005703F4"/>
    <w:rsid w:val="00575C08"/>
    <w:rsid w:val="0058254E"/>
    <w:rsid w:val="00591CFF"/>
    <w:rsid w:val="005A4828"/>
    <w:rsid w:val="005C245A"/>
    <w:rsid w:val="005C3A7B"/>
    <w:rsid w:val="005C6727"/>
    <w:rsid w:val="005D733F"/>
    <w:rsid w:val="005E52B4"/>
    <w:rsid w:val="005F4370"/>
    <w:rsid w:val="005F4A3F"/>
    <w:rsid w:val="00600CCE"/>
    <w:rsid w:val="00605D93"/>
    <w:rsid w:val="0060769A"/>
    <w:rsid w:val="00623478"/>
    <w:rsid w:val="00633158"/>
    <w:rsid w:val="0063369A"/>
    <w:rsid w:val="00645107"/>
    <w:rsid w:val="006612D6"/>
    <w:rsid w:val="006648FD"/>
    <w:rsid w:val="006933A6"/>
    <w:rsid w:val="0069370D"/>
    <w:rsid w:val="006A1C7B"/>
    <w:rsid w:val="006A37FC"/>
    <w:rsid w:val="006A39B4"/>
    <w:rsid w:val="006B53ED"/>
    <w:rsid w:val="006B6569"/>
    <w:rsid w:val="006C0637"/>
    <w:rsid w:val="006D15F6"/>
    <w:rsid w:val="006E378E"/>
    <w:rsid w:val="006F6E77"/>
    <w:rsid w:val="0070698B"/>
    <w:rsid w:val="0072097D"/>
    <w:rsid w:val="00733337"/>
    <w:rsid w:val="00740C58"/>
    <w:rsid w:val="007552F5"/>
    <w:rsid w:val="00774653"/>
    <w:rsid w:val="00777D09"/>
    <w:rsid w:val="00785697"/>
    <w:rsid w:val="007947D0"/>
    <w:rsid w:val="0079735B"/>
    <w:rsid w:val="007A1503"/>
    <w:rsid w:val="007A4ED3"/>
    <w:rsid w:val="007B0E11"/>
    <w:rsid w:val="007B24E3"/>
    <w:rsid w:val="007B25D8"/>
    <w:rsid w:val="007B286F"/>
    <w:rsid w:val="007B3D38"/>
    <w:rsid w:val="007B3EA3"/>
    <w:rsid w:val="007C1534"/>
    <w:rsid w:val="007D0562"/>
    <w:rsid w:val="007D2C32"/>
    <w:rsid w:val="007E1E5D"/>
    <w:rsid w:val="007F3282"/>
    <w:rsid w:val="008011AD"/>
    <w:rsid w:val="00811A4B"/>
    <w:rsid w:val="0081480F"/>
    <w:rsid w:val="00824372"/>
    <w:rsid w:val="00831341"/>
    <w:rsid w:val="008327F8"/>
    <w:rsid w:val="008524B3"/>
    <w:rsid w:val="0085318A"/>
    <w:rsid w:val="00855F36"/>
    <w:rsid w:val="00867AA0"/>
    <w:rsid w:val="008766B8"/>
    <w:rsid w:val="008905A4"/>
    <w:rsid w:val="008A20CA"/>
    <w:rsid w:val="008A590E"/>
    <w:rsid w:val="008C1568"/>
    <w:rsid w:val="008D340F"/>
    <w:rsid w:val="008D7A2A"/>
    <w:rsid w:val="008E0FF4"/>
    <w:rsid w:val="008E3DB5"/>
    <w:rsid w:val="008E66BB"/>
    <w:rsid w:val="008F32D5"/>
    <w:rsid w:val="009116E3"/>
    <w:rsid w:val="00922DC4"/>
    <w:rsid w:val="00965B41"/>
    <w:rsid w:val="00966F63"/>
    <w:rsid w:val="00991783"/>
    <w:rsid w:val="009923C2"/>
    <w:rsid w:val="00997347"/>
    <w:rsid w:val="009B75AF"/>
    <w:rsid w:val="009C4BB1"/>
    <w:rsid w:val="009D5271"/>
    <w:rsid w:val="009D65F0"/>
    <w:rsid w:val="009E066B"/>
    <w:rsid w:val="009E5FC3"/>
    <w:rsid w:val="009F51D3"/>
    <w:rsid w:val="00A116CF"/>
    <w:rsid w:val="00A152B4"/>
    <w:rsid w:val="00A21656"/>
    <w:rsid w:val="00A25FCF"/>
    <w:rsid w:val="00A36C0E"/>
    <w:rsid w:val="00A50029"/>
    <w:rsid w:val="00A56738"/>
    <w:rsid w:val="00A826A5"/>
    <w:rsid w:val="00A86AFF"/>
    <w:rsid w:val="00AA0B61"/>
    <w:rsid w:val="00AA340E"/>
    <w:rsid w:val="00AC2632"/>
    <w:rsid w:val="00AC3C3B"/>
    <w:rsid w:val="00AD1EFF"/>
    <w:rsid w:val="00AE38FC"/>
    <w:rsid w:val="00AF027B"/>
    <w:rsid w:val="00AF5C92"/>
    <w:rsid w:val="00B01958"/>
    <w:rsid w:val="00B13257"/>
    <w:rsid w:val="00B16AAD"/>
    <w:rsid w:val="00B23882"/>
    <w:rsid w:val="00B2560E"/>
    <w:rsid w:val="00B311BF"/>
    <w:rsid w:val="00B35A00"/>
    <w:rsid w:val="00B43185"/>
    <w:rsid w:val="00B43B53"/>
    <w:rsid w:val="00B45370"/>
    <w:rsid w:val="00B523CF"/>
    <w:rsid w:val="00B64735"/>
    <w:rsid w:val="00B7096B"/>
    <w:rsid w:val="00B727D0"/>
    <w:rsid w:val="00B7372A"/>
    <w:rsid w:val="00B847BB"/>
    <w:rsid w:val="00B97FC5"/>
    <w:rsid w:val="00BA0E73"/>
    <w:rsid w:val="00BB5BD1"/>
    <w:rsid w:val="00BD3D8D"/>
    <w:rsid w:val="00BD61E8"/>
    <w:rsid w:val="00BE63BF"/>
    <w:rsid w:val="00BF4870"/>
    <w:rsid w:val="00C133CF"/>
    <w:rsid w:val="00C17679"/>
    <w:rsid w:val="00C304DF"/>
    <w:rsid w:val="00C31DAB"/>
    <w:rsid w:val="00C3614E"/>
    <w:rsid w:val="00C46F6B"/>
    <w:rsid w:val="00C550A8"/>
    <w:rsid w:val="00C62B96"/>
    <w:rsid w:val="00C848BF"/>
    <w:rsid w:val="00CA00ED"/>
    <w:rsid w:val="00CA093C"/>
    <w:rsid w:val="00CA3031"/>
    <w:rsid w:val="00CD1C12"/>
    <w:rsid w:val="00CD2D18"/>
    <w:rsid w:val="00CD66CD"/>
    <w:rsid w:val="00CE3181"/>
    <w:rsid w:val="00D163B0"/>
    <w:rsid w:val="00D200DB"/>
    <w:rsid w:val="00D2719C"/>
    <w:rsid w:val="00D40CF5"/>
    <w:rsid w:val="00D42F2E"/>
    <w:rsid w:val="00D52BEB"/>
    <w:rsid w:val="00D53710"/>
    <w:rsid w:val="00D71805"/>
    <w:rsid w:val="00D76258"/>
    <w:rsid w:val="00D77F6D"/>
    <w:rsid w:val="00D8434A"/>
    <w:rsid w:val="00D85B17"/>
    <w:rsid w:val="00DA2789"/>
    <w:rsid w:val="00DE00CE"/>
    <w:rsid w:val="00DF227F"/>
    <w:rsid w:val="00DF3EC5"/>
    <w:rsid w:val="00E25898"/>
    <w:rsid w:val="00E416A9"/>
    <w:rsid w:val="00E438EF"/>
    <w:rsid w:val="00E444A6"/>
    <w:rsid w:val="00E47C40"/>
    <w:rsid w:val="00E674BF"/>
    <w:rsid w:val="00E72561"/>
    <w:rsid w:val="00E90185"/>
    <w:rsid w:val="00E9143C"/>
    <w:rsid w:val="00E974BF"/>
    <w:rsid w:val="00EA17EE"/>
    <w:rsid w:val="00EA24BD"/>
    <w:rsid w:val="00EA4AAC"/>
    <w:rsid w:val="00EA7BA0"/>
    <w:rsid w:val="00EC27EC"/>
    <w:rsid w:val="00EF732F"/>
    <w:rsid w:val="00F124F8"/>
    <w:rsid w:val="00F156F4"/>
    <w:rsid w:val="00F34883"/>
    <w:rsid w:val="00F41E6A"/>
    <w:rsid w:val="00F44789"/>
    <w:rsid w:val="00F54265"/>
    <w:rsid w:val="00F64E28"/>
    <w:rsid w:val="00F6697B"/>
    <w:rsid w:val="00F66BA0"/>
    <w:rsid w:val="00F724F9"/>
    <w:rsid w:val="00F760A8"/>
    <w:rsid w:val="00F77E08"/>
    <w:rsid w:val="00F87429"/>
    <w:rsid w:val="00F94456"/>
    <w:rsid w:val="00F954C2"/>
    <w:rsid w:val="00FA6DBC"/>
    <w:rsid w:val="00FB546E"/>
    <w:rsid w:val="00FD5714"/>
    <w:rsid w:val="00FE44BA"/>
    <w:rsid w:val="00FF0999"/>
    <w:rsid w:val="00FF1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B69A"/>
  <w15:chartTrackingRefBased/>
  <w15:docId w15:val="{DFF9EC73-10CD-4D8B-93C9-145D5648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C93"/>
    <w:pPr>
      <w:tabs>
        <w:tab w:val="left" w:pos="567"/>
      </w:tabs>
      <w:spacing w:line="260" w:lineRule="exact"/>
    </w:pPr>
    <w:rPr>
      <w:rFonts w:ascii="Times New Roman" w:eastAsia="Times New Roman" w:hAnsi="Times New Roman"/>
      <w:snapToGrid w:val="0"/>
      <w:sz w:val="22"/>
      <w:lang w:eastAsia="en-US"/>
    </w:rPr>
  </w:style>
  <w:style w:type="paragraph" w:styleId="Antrat3">
    <w:name w:val="heading 3"/>
    <w:basedOn w:val="prastasis"/>
    <w:next w:val="prastasis"/>
    <w:link w:val="Antrat3Diagrama"/>
    <w:uiPriority w:val="99"/>
    <w:qFormat/>
    <w:rsid w:val="00EA4AAC"/>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
    <w:semiHidden/>
    <w:unhideWhenUsed/>
    <w:qFormat/>
    <w:rsid w:val="00EA4AAC"/>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rsid w:val="00EA4AAC"/>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
    <w:semiHidden/>
    <w:rsid w:val="00EA4AAC"/>
    <w:rPr>
      <w:rFonts w:ascii="Cambria" w:eastAsia="Times New Roman" w:hAnsi="Cambria" w:cs="Times New Roman"/>
      <w:b/>
      <w:bCs/>
      <w:i/>
      <w:iCs/>
      <w:snapToGrid w:val="0"/>
      <w:color w:val="4F81BD"/>
      <w:szCs w:val="20"/>
      <w:lang w:val="en-GB"/>
    </w:rPr>
  </w:style>
  <w:style w:type="paragraph" w:styleId="Sraopastraipa">
    <w:name w:val="List Paragraph"/>
    <w:basedOn w:val="prastasis"/>
    <w:uiPriority w:val="34"/>
    <w:qFormat/>
    <w:rsid w:val="0063369A"/>
    <w:pPr>
      <w:ind w:left="720"/>
      <w:contextualSpacing/>
    </w:pPr>
  </w:style>
  <w:style w:type="table" w:styleId="Lentelstinklelis">
    <w:name w:val="Table Grid"/>
    <w:basedOn w:val="prastojilentel"/>
    <w:uiPriority w:val="59"/>
    <w:rsid w:val="00AE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31341"/>
    <w:pPr>
      <w:tabs>
        <w:tab w:val="clear" w:pos="567"/>
        <w:tab w:val="center" w:pos="4680"/>
        <w:tab w:val="right" w:pos="9360"/>
      </w:tabs>
      <w:spacing w:line="240" w:lineRule="auto"/>
    </w:pPr>
  </w:style>
  <w:style w:type="character" w:customStyle="1" w:styleId="AntratsDiagrama">
    <w:name w:val="Antraštės Diagrama"/>
    <w:link w:val="Antrats"/>
    <w:uiPriority w:val="99"/>
    <w:rsid w:val="00831341"/>
    <w:rPr>
      <w:rFonts w:ascii="Times New Roman" w:eastAsia="Times New Roman" w:hAnsi="Times New Roman" w:cs="Times New Roman"/>
      <w:snapToGrid w:val="0"/>
      <w:szCs w:val="20"/>
      <w:lang w:val="en-GB"/>
    </w:rPr>
  </w:style>
  <w:style w:type="paragraph" w:styleId="Porat">
    <w:name w:val="footer"/>
    <w:basedOn w:val="prastasis"/>
    <w:link w:val="PoratDiagrama"/>
    <w:uiPriority w:val="99"/>
    <w:unhideWhenUsed/>
    <w:rsid w:val="00831341"/>
    <w:pPr>
      <w:tabs>
        <w:tab w:val="clear" w:pos="567"/>
        <w:tab w:val="center" w:pos="4680"/>
        <w:tab w:val="right" w:pos="9360"/>
      </w:tabs>
      <w:spacing w:line="240" w:lineRule="auto"/>
    </w:pPr>
  </w:style>
  <w:style w:type="character" w:customStyle="1" w:styleId="PoratDiagrama">
    <w:name w:val="Poraštė Diagrama"/>
    <w:link w:val="Porat"/>
    <w:uiPriority w:val="99"/>
    <w:rsid w:val="00831341"/>
    <w:rPr>
      <w:rFonts w:ascii="Times New Roman" w:eastAsia="Times New Roman" w:hAnsi="Times New Roman" w:cs="Times New Roman"/>
      <w:snapToGrid w:val="0"/>
      <w:szCs w:val="20"/>
      <w:lang w:val="en-GB"/>
    </w:rPr>
  </w:style>
  <w:style w:type="character" w:styleId="Hipersaitas">
    <w:name w:val="Hyperlink"/>
    <w:uiPriority w:val="99"/>
    <w:unhideWhenUsed/>
    <w:rsid w:val="008524B3"/>
    <w:rPr>
      <w:color w:val="0000FF"/>
      <w:u w:val="single"/>
    </w:rPr>
  </w:style>
  <w:style w:type="paragraph" w:styleId="Debesliotekstas">
    <w:name w:val="Balloon Text"/>
    <w:basedOn w:val="prastasis"/>
    <w:link w:val="DebesliotekstasDiagrama"/>
    <w:uiPriority w:val="99"/>
    <w:semiHidden/>
    <w:unhideWhenUsed/>
    <w:rsid w:val="008A20CA"/>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A20CA"/>
    <w:rPr>
      <w:rFonts w:ascii="Segoe UI" w:eastAsia="Times New Roman" w:hAnsi="Segoe UI" w:cs="Segoe UI"/>
      <w:snapToGrid w:val="0"/>
      <w:sz w:val="18"/>
      <w:szCs w:val="18"/>
      <w:lang w:val="lt-LT"/>
    </w:rPr>
  </w:style>
  <w:style w:type="character" w:styleId="Komentaronuoroda">
    <w:name w:val="annotation reference"/>
    <w:uiPriority w:val="99"/>
    <w:semiHidden/>
    <w:unhideWhenUsed/>
    <w:rsid w:val="00EA7BA0"/>
    <w:rPr>
      <w:sz w:val="16"/>
      <w:szCs w:val="16"/>
    </w:rPr>
  </w:style>
  <w:style w:type="paragraph" w:styleId="Komentarotekstas">
    <w:name w:val="annotation text"/>
    <w:basedOn w:val="prastasis"/>
    <w:link w:val="KomentarotekstasDiagrama"/>
    <w:uiPriority w:val="99"/>
    <w:semiHidden/>
    <w:unhideWhenUsed/>
    <w:rsid w:val="00EA7BA0"/>
    <w:pPr>
      <w:spacing w:line="240" w:lineRule="auto"/>
    </w:pPr>
    <w:rPr>
      <w:sz w:val="20"/>
    </w:rPr>
  </w:style>
  <w:style w:type="character" w:customStyle="1" w:styleId="KomentarotekstasDiagrama">
    <w:name w:val="Komentaro tekstas Diagrama"/>
    <w:link w:val="Komentarotekstas"/>
    <w:uiPriority w:val="99"/>
    <w:semiHidden/>
    <w:rsid w:val="00EA7BA0"/>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uiPriority w:val="99"/>
    <w:semiHidden/>
    <w:unhideWhenUsed/>
    <w:rsid w:val="00EA7BA0"/>
    <w:rPr>
      <w:b/>
      <w:bCs/>
    </w:rPr>
  </w:style>
  <w:style w:type="character" w:customStyle="1" w:styleId="KomentarotemaDiagrama">
    <w:name w:val="Komentaro tema Diagrama"/>
    <w:link w:val="Komentarotema"/>
    <w:uiPriority w:val="99"/>
    <w:semiHidden/>
    <w:rsid w:val="00EA7BA0"/>
    <w:rPr>
      <w:rFonts w:ascii="Times New Roman" w:eastAsia="Times New Roman" w:hAnsi="Times New Roman" w:cs="Times New Roman"/>
      <w:b/>
      <w:bCs/>
      <w:snapToGrid w:val="0"/>
      <w:sz w:val="20"/>
      <w:szCs w:val="20"/>
      <w:lang w:val="lt-LT"/>
    </w:rPr>
  </w:style>
  <w:style w:type="paragraph" w:styleId="Pataisymai">
    <w:name w:val="Revision"/>
    <w:hidden/>
    <w:uiPriority w:val="99"/>
    <w:semiHidden/>
    <w:rsid w:val="00073C93"/>
    <w:rPr>
      <w:rFonts w:ascii="Times New Roman" w:eastAsia="Times New Roman" w:hAnsi="Times New Roman"/>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2999">
      <w:bodyDiv w:val="1"/>
      <w:marLeft w:val="0"/>
      <w:marRight w:val="0"/>
      <w:marTop w:val="0"/>
      <w:marBottom w:val="0"/>
      <w:divBdr>
        <w:top w:val="none" w:sz="0" w:space="0" w:color="auto"/>
        <w:left w:val="none" w:sz="0" w:space="0" w:color="auto"/>
        <w:bottom w:val="none" w:sz="0" w:space="0" w:color="auto"/>
        <w:right w:val="none" w:sz="0" w:space="0" w:color="auto"/>
      </w:divBdr>
    </w:div>
    <w:div w:id="589586863">
      <w:bodyDiv w:val="1"/>
      <w:marLeft w:val="0"/>
      <w:marRight w:val="0"/>
      <w:marTop w:val="0"/>
      <w:marBottom w:val="0"/>
      <w:divBdr>
        <w:top w:val="none" w:sz="0" w:space="0" w:color="auto"/>
        <w:left w:val="none" w:sz="0" w:space="0" w:color="auto"/>
        <w:bottom w:val="none" w:sz="0" w:space="0" w:color="auto"/>
        <w:right w:val="none" w:sz="0" w:space="0" w:color="auto"/>
      </w:divBdr>
    </w:div>
    <w:div w:id="6415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1C1B-B265-4390-AC53-62C88F26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44321</Words>
  <Characters>25263</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69446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cp:lastModifiedBy>Birutė Valkauskaitė</cp:lastModifiedBy>
  <cp:revision>2</cp:revision>
  <dcterms:created xsi:type="dcterms:W3CDTF">2020-07-30T10:38:00Z</dcterms:created>
  <dcterms:modified xsi:type="dcterms:W3CDTF">2020-07-30T10:38:00Z</dcterms:modified>
</cp:coreProperties>
</file>