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4740C8" w14:textId="77777777" w:rsidR="00E07ACB" w:rsidRPr="00E07ACB" w:rsidRDefault="00E07ACB" w:rsidP="00E07ACB">
      <w:pPr>
        <w:spacing w:after="0" w:line="240" w:lineRule="auto"/>
        <w:rPr>
          <w:rFonts w:ascii="Times New Roman" w:eastAsia="Times New Roman" w:hAnsi="Times New Roman" w:cs="Times New Roman"/>
          <w:noProof w:val="0"/>
        </w:rPr>
      </w:pPr>
    </w:p>
    <w:p w14:paraId="258CF13B" w14:textId="77777777" w:rsidR="00E07ACB" w:rsidRPr="00E07ACB" w:rsidRDefault="00E07ACB" w:rsidP="00E07ACB">
      <w:pPr>
        <w:spacing w:after="0" w:line="240" w:lineRule="auto"/>
        <w:rPr>
          <w:rFonts w:ascii="Times New Roman" w:eastAsia="Times New Roman" w:hAnsi="Times New Roman" w:cs="Times New Roman"/>
          <w:noProof w:val="0"/>
        </w:rPr>
      </w:pPr>
    </w:p>
    <w:p w14:paraId="2B0F1D3B" w14:textId="77777777" w:rsidR="00E07ACB" w:rsidRPr="00E07ACB" w:rsidRDefault="00E07ACB" w:rsidP="00E07ACB">
      <w:pPr>
        <w:spacing w:after="0" w:line="240" w:lineRule="auto"/>
        <w:rPr>
          <w:rFonts w:ascii="Times New Roman" w:eastAsia="Times New Roman" w:hAnsi="Times New Roman" w:cs="Times New Roman"/>
          <w:noProof w:val="0"/>
        </w:rPr>
      </w:pPr>
    </w:p>
    <w:p w14:paraId="7DE139A2" w14:textId="77777777" w:rsidR="00E07ACB" w:rsidRPr="00E07ACB" w:rsidRDefault="00E07ACB" w:rsidP="00E07ACB">
      <w:pPr>
        <w:spacing w:after="0" w:line="240" w:lineRule="auto"/>
        <w:rPr>
          <w:rFonts w:ascii="Times New Roman" w:eastAsia="Times New Roman" w:hAnsi="Times New Roman" w:cs="Times New Roman"/>
          <w:noProof w:val="0"/>
        </w:rPr>
      </w:pPr>
    </w:p>
    <w:p w14:paraId="446CF233" w14:textId="77777777" w:rsidR="00E07ACB" w:rsidRPr="00E07ACB" w:rsidRDefault="00E07ACB" w:rsidP="00E07ACB">
      <w:pPr>
        <w:spacing w:after="0" w:line="240" w:lineRule="auto"/>
        <w:rPr>
          <w:rFonts w:ascii="Times New Roman" w:eastAsia="Times New Roman" w:hAnsi="Times New Roman" w:cs="Times New Roman"/>
          <w:noProof w:val="0"/>
        </w:rPr>
      </w:pPr>
    </w:p>
    <w:p w14:paraId="229477CE" w14:textId="77777777" w:rsidR="00E07ACB" w:rsidRPr="00E07ACB" w:rsidRDefault="00E07ACB" w:rsidP="00E07ACB">
      <w:pPr>
        <w:spacing w:after="0" w:line="240" w:lineRule="auto"/>
        <w:rPr>
          <w:rFonts w:ascii="Times New Roman" w:eastAsia="Times New Roman" w:hAnsi="Times New Roman" w:cs="Times New Roman"/>
          <w:noProof w:val="0"/>
        </w:rPr>
      </w:pPr>
    </w:p>
    <w:p w14:paraId="34C4D52E" w14:textId="77777777" w:rsidR="00E07ACB" w:rsidRPr="00E07ACB" w:rsidRDefault="00E07ACB" w:rsidP="00E07ACB">
      <w:pPr>
        <w:spacing w:after="0" w:line="240" w:lineRule="auto"/>
        <w:rPr>
          <w:rFonts w:ascii="Times New Roman" w:eastAsia="Times New Roman" w:hAnsi="Times New Roman" w:cs="Times New Roman"/>
          <w:noProof w:val="0"/>
        </w:rPr>
      </w:pPr>
    </w:p>
    <w:p w14:paraId="7E331A27" w14:textId="77777777" w:rsidR="00E07ACB" w:rsidRPr="00E07ACB" w:rsidRDefault="00E07ACB" w:rsidP="00E07ACB">
      <w:pPr>
        <w:spacing w:after="0" w:line="240" w:lineRule="auto"/>
        <w:rPr>
          <w:rFonts w:ascii="Times New Roman" w:eastAsia="Times New Roman" w:hAnsi="Times New Roman" w:cs="Times New Roman"/>
          <w:noProof w:val="0"/>
        </w:rPr>
      </w:pPr>
    </w:p>
    <w:p w14:paraId="097F3F36" w14:textId="77777777" w:rsidR="00E07ACB" w:rsidRPr="00E07ACB" w:rsidRDefault="00E07ACB" w:rsidP="00E07ACB">
      <w:pPr>
        <w:spacing w:after="0" w:line="240" w:lineRule="auto"/>
        <w:rPr>
          <w:rFonts w:ascii="Times New Roman" w:eastAsia="Times New Roman" w:hAnsi="Times New Roman" w:cs="Times New Roman"/>
          <w:noProof w:val="0"/>
        </w:rPr>
      </w:pPr>
    </w:p>
    <w:p w14:paraId="71A8A39A" w14:textId="77777777" w:rsidR="00E07ACB" w:rsidRPr="00E07ACB" w:rsidRDefault="00E07ACB" w:rsidP="00E07ACB">
      <w:pPr>
        <w:spacing w:after="0" w:line="240" w:lineRule="auto"/>
        <w:rPr>
          <w:rFonts w:ascii="Times New Roman" w:eastAsia="Times New Roman" w:hAnsi="Times New Roman" w:cs="Times New Roman"/>
          <w:noProof w:val="0"/>
        </w:rPr>
      </w:pPr>
    </w:p>
    <w:p w14:paraId="6D99327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9330D2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68D458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4B0044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FA1349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66C71E8"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95AA95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61E990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EE1DDD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A08465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A7F4B2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072DEF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1DFEA9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63691CC" w14:textId="77777777" w:rsidR="00E07ACB" w:rsidRPr="00E07ACB" w:rsidRDefault="00E07ACB" w:rsidP="00E07ACB">
      <w:pPr>
        <w:tabs>
          <w:tab w:val="left" w:pos="567"/>
        </w:tabs>
        <w:spacing w:after="0" w:line="240" w:lineRule="auto"/>
        <w:ind w:left="567" w:hanging="567"/>
        <w:jc w:val="center"/>
        <w:outlineLvl w:val="0"/>
        <w:rPr>
          <w:rFonts w:ascii="Times New Roman" w:eastAsia="Calibri" w:hAnsi="Times New Roman" w:cs="Times New Roman"/>
          <w:b/>
          <w:caps/>
          <w:noProof w:val="0"/>
          <w:lang w:eastAsia="de-DE"/>
        </w:rPr>
      </w:pPr>
      <w:bookmarkStart w:id="0" w:name="_Toc129243096"/>
      <w:bookmarkStart w:id="1" w:name="_Toc129243221"/>
      <w:r w:rsidRPr="00E07ACB">
        <w:rPr>
          <w:rFonts w:ascii="Times New Roman" w:eastAsia="Calibri" w:hAnsi="Times New Roman" w:cs="Times New Roman"/>
          <w:b/>
          <w:caps/>
          <w:noProof w:val="0"/>
          <w:lang w:eastAsia="de-DE"/>
        </w:rPr>
        <w:t>I PRIEDAS</w:t>
      </w:r>
      <w:bookmarkEnd w:id="0"/>
      <w:bookmarkEnd w:id="1"/>
    </w:p>
    <w:p w14:paraId="6683FFC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0F81F66" w14:textId="77777777" w:rsidR="00E07ACB" w:rsidRPr="00E07ACB" w:rsidRDefault="00E07ACB" w:rsidP="00E07ACB">
      <w:pPr>
        <w:tabs>
          <w:tab w:val="left" w:pos="567"/>
        </w:tabs>
        <w:spacing w:after="0" w:line="240" w:lineRule="auto"/>
        <w:ind w:left="567" w:hanging="567"/>
        <w:jc w:val="center"/>
        <w:outlineLvl w:val="0"/>
        <w:rPr>
          <w:rFonts w:ascii="Times New Roman" w:eastAsia="Calibri" w:hAnsi="Times New Roman" w:cs="Times New Roman"/>
          <w:b/>
          <w:caps/>
          <w:noProof w:val="0"/>
          <w:lang w:eastAsia="de-DE"/>
        </w:rPr>
      </w:pPr>
      <w:bookmarkStart w:id="2" w:name="_Toc129243097"/>
      <w:bookmarkStart w:id="3" w:name="_Toc129243222"/>
      <w:r w:rsidRPr="00E07ACB">
        <w:rPr>
          <w:rFonts w:ascii="Times New Roman" w:eastAsia="Calibri" w:hAnsi="Times New Roman" w:cs="Times New Roman"/>
          <w:b/>
          <w:caps/>
          <w:noProof w:val="0"/>
          <w:lang w:eastAsia="de-DE"/>
        </w:rPr>
        <w:t>PREPARATO CHARAKTERISTIKŲ SANTRAUKA</w:t>
      </w:r>
      <w:bookmarkEnd w:id="2"/>
      <w:bookmarkEnd w:id="3"/>
    </w:p>
    <w:p w14:paraId="79D98F67"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r w:rsidRPr="00E07ACB">
        <w:rPr>
          <w:rFonts w:ascii="Times New Roman" w:eastAsia="Times New Roman" w:hAnsi="Times New Roman" w:cs="Times New Roman"/>
          <w:bCs/>
          <w:iCs/>
          <w:noProof w:val="0"/>
        </w:rPr>
        <w:br w:type="page"/>
      </w:r>
      <w:bookmarkStart w:id="4" w:name="_Toc129243098"/>
      <w:bookmarkStart w:id="5" w:name="_Toc129243223"/>
      <w:r w:rsidRPr="00E07ACB">
        <w:rPr>
          <w:rFonts w:ascii="Times New Roman" w:eastAsia="Times New Roman" w:hAnsi="Times New Roman" w:cs="Times New Roman"/>
          <w:b/>
          <w:noProof w:val="0"/>
        </w:rPr>
        <w:lastRenderedPageBreak/>
        <w:t>1.</w:t>
      </w:r>
      <w:r w:rsidRPr="00E07ACB">
        <w:rPr>
          <w:rFonts w:ascii="Times New Roman" w:eastAsia="Times New Roman" w:hAnsi="Times New Roman" w:cs="Times New Roman"/>
          <w:b/>
          <w:noProof w:val="0"/>
        </w:rPr>
        <w:tab/>
        <w:t>VAISTINIO PREPARATO PAVADINIMAS</w:t>
      </w:r>
      <w:bookmarkEnd w:id="4"/>
      <w:bookmarkEnd w:id="5"/>
    </w:p>
    <w:p w14:paraId="2A5F4C4B"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4FEA60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25 mg plėvele dengtos tabletės</w:t>
      </w:r>
      <w:bookmarkStart w:id="6" w:name="_GoBack"/>
      <w:bookmarkEnd w:id="6"/>
    </w:p>
    <w:p w14:paraId="5834FB2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3946E2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05367BF"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bookmarkStart w:id="7" w:name="_Toc129243099"/>
      <w:bookmarkStart w:id="8" w:name="_Toc129243224"/>
      <w:r w:rsidRPr="00E07ACB">
        <w:rPr>
          <w:rFonts w:ascii="Times New Roman" w:eastAsia="Times New Roman" w:hAnsi="Times New Roman" w:cs="Times New Roman"/>
          <w:b/>
          <w:noProof w:val="0"/>
        </w:rPr>
        <w:t>2.</w:t>
      </w:r>
      <w:r w:rsidRPr="00E07ACB">
        <w:rPr>
          <w:rFonts w:ascii="Times New Roman" w:eastAsia="Times New Roman" w:hAnsi="Times New Roman" w:cs="Times New Roman"/>
          <w:b/>
          <w:noProof w:val="0"/>
        </w:rPr>
        <w:tab/>
        <w:t>KOKYBINĖ IR KIEKYBINĖ SUDĖTIS</w:t>
      </w:r>
      <w:bookmarkEnd w:id="7"/>
      <w:bookmarkEnd w:id="8"/>
    </w:p>
    <w:p w14:paraId="4ABFFB7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421E6EB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1 plėvele dengtoje tabletėje yra 25 mg azatioprino.</w:t>
      </w:r>
    </w:p>
    <w:p w14:paraId="248AAA6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6B7897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1 plėvele dengtoje tabletėje yra 34,36 mg – 35,25 mg laktozės monohidrato.</w:t>
      </w:r>
    </w:p>
    <w:p w14:paraId="7A2214A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87EB338"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Visos pagalbinės medžiagos išvardytos 6.1 skyriuje.</w:t>
      </w:r>
    </w:p>
    <w:p w14:paraId="7FAE248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6BBA62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7E13998"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bookmarkStart w:id="9" w:name="_Toc129243100"/>
      <w:bookmarkStart w:id="10" w:name="_Toc129243225"/>
      <w:r w:rsidRPr="00E07ACB">
        <w:rPr>
          <w:rFonts w:ascii="Times New Roman" w:eastAsia="Times New Roman" w:hAnsi="Times New Roman" w:cs="Times New Roman"/>
          <w:b/>
          <w:noProof w:val="0"/>
        </w:rPr>
        <w:t>3.</w:t>
      </w:r>
      <w:r w:rsidRPr="00E07ACB">
        <w:rPr>
          <w:rFonts w:ascii="Times New Roman" w:eastAsia="Times New Roman" w:hAnsi="Times New Roman" w:cs="Times New Roman"/>
          <w:b/>
          <w:noProof w:val="0"/>
        </w:rPr>
        <w:tab/>
        <w:t>FARMACINĖ FORMA</w:t>
      </w:r>
      <w:bookmarkEnd w:id="9"/>
      <w:bookmarkEnd w:id="10"/>
    </w:p>
    <w:p w14:paraId="166B74DB"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36EBA1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Plėvele dengta tabletė.</w:t>
      </w:r>
    </w:p>
    <w:p w14:paraId="39E6F27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Oranžiniai rudos spalvos, plėvele dengtos, apvalios, abipus išgaubtos tabletės, kurių vienoje pusėje įspausta „AZ25“, o kita pusė lygi.</w:t>
      </w:r>
    </w:p>
    <w:p w14:paraId="6BF0390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9C7FF01"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Tabletės storio ribos (2,3 – 2,7 mm)</w:t>
      </w:r>
    </w:p>
    <w:p w14:paraId="088EBE2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Diametras – 6,0 mm</w:t>
      </w:r>
    </w:p>
    <w:p w14:paraId="6722A51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723DD3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5EA3E80"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bookmarkStart w:id="11" w:name="_Toc129243101"/>
      <w:bookmarkStart w:id="12" w:name="_Toc129243226"/>
      <w:r w:rsidRPr="00E07ACB">
        <w:rPr>
          <w:rFonts w:ascii="Times New Roman" w:eastAsia="Times New Roman" w:hAnsi="Times New Roman" w:cs="Times New Roman"/>
          <w:b/>
          <w:noProof w:val="0"/>
        </w:rPr>
        <w:t>4.</w:t>
      </w:r>
      <w:r w:rsidRPr="00E07ACB">
        <w:rPr>
          <w:rFonts w:ascii="Times New Roman" w:eastAsia="Times New Roman" w:hAnsi="Times New Roman" w:cs="Times New Roman"/>
          <w:b/>
          <w:noProof w:val="0"/>
        </w:rPr>
        <w:tab/>
        <w:t>KLINIKINĖ INFORMACIJA</w:t>
      </w:r>
      <w:bookmarkEnd w:id="11"/>
      <w:bookmarkEnd w:id="12"/>
    </w:p>
    <w:p w14:paraId="366CA531"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10A29D6"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bookmarkStart w:id="13" w:name="_Toc129243102"/>
      <w:bookmarkStart w:id="14" w:name="_Toc129243227"/>
      <w:r w:rsidRPr="00E07ACB">
        <w:rPr>
          <w:rFonts w:ascii="Times New Roman" w:eastAsia="Times New Roman" w:hAnsi="Times New Roman" w:cs="Times New Roman"/>
          <w:b/>
          <w:noProof w:val="0"/>
          <w:kern w:val="28"/>
        </w:rPr>
        <w:t>4.1</w:t>
      </w:r>
      <w:r w:rsidRPr="00E07ACB">
        <w:rPr>
          <w:rFonts w:ascii="Times New Roman" w:eastAsia="Times New Roman" w:hAnsi="Times New Roman" w:cs="Times New Roman"/>
          <w:b/>
          <w:noProof w:val="0"/>
          <w:kern w:val="28"/>
        </w:rPr>
        <w:tab/>
        <w:t>Terapinės indikacijos</w:t>
      </w:r>
      <w:bookmarkEnd w:id="13"/>
      <w:bookmarkEnd w:id="14"/>
    </w:p>
    <w:p w14:paraId="7DF3B2D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920892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Imunosupresinio gydymo pagrindiniais imunosupresantais (bazinės imunosupresijos) papildymas.</w:t>
      </w:r>
    </w:p>
    <w:p w14:paraId="403A27E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218E1F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Alogeninio inkstų, kepenų, širdies, plaučių ar kasos transplantato atmetimo profilaktika, derinant su kitais imunosupresantais. </w:t>
      </w:r>
    </w:p>
    <w:p w14:paraId="5FA1AAE7" w14:textId="77777777" w:rsidR="00E07ACB" w:rsidRPr="00E07ACB" w:rsidRDefault="00E07ACB" w:rsidP="00E07ACB">
      <w:pPr>
        <w:spacing w:after="0" w:line="240" w:lineRule="auto"/>
        <w:rPr>
          <w:rFonts w:ascii="Times New Roman" w:eastAsia="Times New Roman" w:hAnsi="Times New Roman" w:cs="Times New Roman"/>
          <w:noProof w:val="0"/>
        </w:rPr>
      </w:pPr>
    </w:p>
    <w:p w14:paraId="5826488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Imuninės sistemos slopinimas vartojant šį imunosupresinio poveikio antimetabolitą vieną arba (dažniau) derinyje su kitais vaistiniais preparatais (dažniausiai kortikosteroidais) ir procedūromis, veikiančiomis imuninį atsaką. Terapinis poveikis gali tapti akivaizdžiu tik po kelių savaičių ar mėnesių ir pasireikšti steroidus taupančiu poveikiu, todėl gali silpnėti toksinis poveikis, susijęs su didelės kortikosteroidų dozės vartojimu ir ilgalaikiu gydymu. </w:t>
      </w:r>
    </w:p>
    <w:p w14:paraId="4FB8DFAC" w14:textId="77777777" w:rsidR="00E07ACB" w:rsidRPr="00E07ACB" w:rsidRDefault="00E07ACB" w:rsidP="00E07ACB">
      <w:pPr>
        <w:spacing w:after="0" w:line="240" w:lineRule="auto"/>
        <w:rPr>
          <w:rFonts w:ascii="Times New Roman" w:eastAsia="Times New Roman" w:hAnsi="Times New Roman" w:cs="Times New Roman"/>
          <w:noProof w:val="0"/>
        </w:rPr>
      </w:pPr>
    </w:p>
    <w:p w14:paraId="02699CA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Sunkių toliau išvardintų ligų gydymas vien tik šiuo vaistiniu preparatu arba derinyje su kortikosteroidais ir (arba) kitais vaistiniais preparatais ir procedūromis pacientams, kurie netoleruoja steroidų, yra nuo jų priklausomi arba kurių atsakas į gydymą didele steroidų doze yra nepakankamas, sergant:</w:t>
      </w:r>
    </w:p>
    <w:p w14:paraId="28ABA456" w14:textId="77777777" w:rsidR="00E07ACB" w:rsidRPr="00E07ACB" w:rsidRDefault="00E07ACB" w:rsidP="00E07ACB">
      <w:pPr>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sunkiu aktyviu reumatoidiniu artritu, kurio neįmanoma valdyti mažiau toksiškais vaistiniais preparatais (ligą modifikuojančiais antireumatiniais vaistiniais preparatais; LMAVP);</w:t>
      </w:r>
    </w:p>
    <w:p w14:paraId="5BCC3FC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sunkia arba vidutinio sunkumo uždegimine žarnų liga (Krono (</w:t>
      </w:r>
      <w:r w:rsidRPr="00E07ACB">
        <w:rPr>
          <w:rFonts w:ascii="Times New Roman" w:eastAsia="Times New Roman" w:hAnsi="Times New Roman" w:cs="Times New Roman"/>
          <w:i/>
          <w:noProof w:val="0"/>
        </w:rPr>
        <w:t>Crohn</w:t>
      </w:r>
      <w:r w:rsidRPr="00E07ACB">
        <w:rPr>
          <w:rFonts w:ascii="Times New Roman" w:eastAsia="Times New Roman" w:hAnsi="Times New Roman" w:cs="Times New Roman"/>
          <w:noProof w:val="0"/>
        </w:rPr>
        <w:t>) liga ar opiniu kolitu);</w:t>
      </w:r>
    </w:p>
    <w:p w14:paraId="45B7792E"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sistemine raudonąja vilklige (</w:t>
      </w:r>
      <w:r w:rsidRPr="00E07ACB">
        <w:rPr>
          <w:rFonts w:ascii="Times New Roman" w:eastAsia="Times New Roman" w:hAnsi="Times New Roman" w:cs="Times New Roman"/>
          <w:i/>
          <w:noProof w:val="0"/>
        </w:rPr>
        <w:t>Lupus erythematosus</w:t>
      </w:r>
      <w:r w:rsidRPr="00E07ACB">
        <w:rPr>
          <w:rFonts w:ascii="Times New Roman" w:eastAsia="Times New Roman" w:hAnsi="Times New Roman" w:cs="Times New Roman"/>
          <w:noProof w:val="0"/>
        </w:rPr>
        <w:t>);</w:t>
      </w:r>
    </w:p>
    <w:p w14:paraId="2AB0A2EB"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dermatomiozitu arba polimiozitu;</w:t>
      </w:r>
    </w:p>
    <w:p w14:paraId="5566D69B"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autoimuniniu lėtiniu aktyviu hepatitu;</w:t>
      </w:r>
    </w:p>
    <w:p w14:paraId="6543CBDA"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mazginiu poliarteritu;</w:t>
      </w:r>
    </w:p>
    <w:p w14:paraId="74F0585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autoimunine hemolizine anemija;</w:t>
      </w:r>
    </w:p>
    <w:p w14:paraId="4379DBE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lėtine gydymui nepasiduodančia idiopatine trombocitopenine purpura.</w:t>
      </w:r>
    </w:p>
    <w:p w14:paraId="34F5B56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13C5E98"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bookmarkStart w:id="15" w:name="_Toc129243103"/>
      <w:bookmarkStart w:id="16" w:name="_Toc129243228"/>
      <w:r w:rsidRPr="00E07ACB">
        <w:rPr>
          <w:rFonts w:ascii="Times New Roman" w:eastAsia="Times New Roman" w:hAnsi="Times New Roman" w:cs="Times New Roman"/>
          <w:b/>
          <w:noProof w:val="0"/>
          <w:kern w:val="28"/>
        </w:rPr>
        <w:t>4.2</w:t>
      </w:r>
      <w:r w:rsidRPr="00E07ACB">
        <w:rPr>
          <w:rFonts w:ascii="Times New Roman" w:eastAsia="Times New Roman" w:hAnsi="Times New Roman" w:cs="Times New Roman"/>
          <w:b/>
          <w:noProof w:val="0"/>
          <w:kern w:val="28"/>
        </w:rPr>
        <w:tab/>
        <w:t>Dozavimas ir vartojimo metodas</w:t>
      </w:r>
      <w:bookmarkEnd w:id="15"/>
      <w:bookmarkEnd w:id="16"/>
    </w:p>
    <w:p w14:paraId="1405DFF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406CB12F" w14:textId="77777777" w:rsidR="00E07ACB" w:rsidRPr="00E07ACB" w:rsidRDefault="00E07ACB" w:rsidP="00E07ACB">
      <w:pPr>
        <w:spacing w:after="0" w:line="240" w:lineRule="auto"/>
        <w:rPr>
          <w:rFonts w:ascii="Times New Roman" w:eastAsia="Calibri" w:hAnsi="Times New Roman" w:cs="Times New Roman"/>
          <w:u w:val="single"/>
        </w:rPr>
      </w:pPr>
      <w:r w:rsidRPr="00E07ACB">
        <w:rPr>
          <w:rFonts w:ascii="Times New Roman" w:eastAsia="Calibri" w:hAnsi="Times New Roman" w:cs="Times New Roman"/>
          <w:u w:val="single"/>
        </w:rPr>
        <w:t>Dozavimas</w:t>
      </w:r>
    </w:p>
    <w:p w14:paraId="24D63E5A" w14:textId="77777777" w:rsidR="00E07ACB" w:rsidRPr="00E07ACB" w:rsidRDefault="00E07ACB" w:rsidP="00E07ACB">
      <w:pPr>
        <w:spacing w:after="0" w:line="240" w:lineRule="auto"/>
        <w:rPr>
          <w:rFonts w:ascii="Times New Roman" w:eastAsia="Times New Roman" w:hAnsi="Times New Roman" w:cs="Times New Roman"/>
          <w:noProof w:val="0"/>
          <w:szCs w:val="20"/>
        </w:rPr>
      </w:pPr>
    </w:p>
    <w:p w14:paraId="4A22DA36" w14:textId="77777777" w:rsidR="00E07ACB" w:rsidRPr="00E07ACB" w:rsidRDefault="00E07ACB" w:rsidP="00E07ACB">
      <w:pPr>
        <w:spacing w:after="0" w:line="240" w:lineRule="auto"/>
        <w:rPr>
          <w:rFonts w:ascii="Times New Roman" w:eastAsia="Times New Roman" w:hAnsi="Times New Roman" w:cs="Times New Roman"/>
          <w:i/>
          <w:noProof w:val="0"/>
          <w:color w:val="008000"/>
          <w:szCs w:val="20"/>
          <w:lang w:val="pt-PT"/>
        </w:rPr>
      </w:pPr>
    </w:p>
    <w:p w14:paraId="361A2974"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Transplantacija</w:t>
      </w:r>
    </w:p>
    <w:p w14:paraId="24B506D5"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Priklausomai nuo pasirinkto imunosupresijos būdo pirmą gydymo parą galima skirti gerti ne didesnę kaip 5 mg/kg kūno svorio paros dozę. Palaikomoji paros dozė yra 1 – 4 mg/kg kūno svorio. Ją reikia nustatyti atsižvelgiant į klinikinę paciento būklę ir į tai, kaip vaistinį preparatą toleruoja kraujas.</w:t>
      </w:r>
    </w:p>
    <w:p w14:paraId="4FD3DBFD" w14:textId="77777777" w:rsidR="00E07ACB" w:rsidRPr="00E07ACB" w:rsidRDefault="00E07ACB" w:rsidP="00E07ACB">
      <w:pPr>
        <w:spacing w:after="0" w:line="240" w:lineRule="auto"/>
        <w:rPr>
          <w:rFonts w:ascii="Times New Roman" w:eastAsia="Times New Roman" w:hAnsi="Times New Roman" w:cs="Times New Roman"/>
          <w:noProof w:val="0"/>
        </w:rPr>
      </w:pPr>
    </w:p>
    <w:p w14:paraId="0DAB651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Turimi duomenys rodo, kad gydymo azatioprinu trukmės riboti nereikia net tada, kai būtina tik maža jo dozė, kadangi yra transplantato atmetimo rizika. </w:t>
      </w:r>
    </w:p>
    <w:p w14:paraId="0352A1BE" w14:textId="77777777" w:rsidR="00E07ACB" w:rsidRPr="00E07ACB" w:rsidRDefault="00E07ACB" w:rsidP="00E07ACB">
      <w:pPr>
        <w:spacing w:after="0" w:line="240" w:lineRule="auto"/>
        <w:rPr>
          <w:rFonts w:ascii="Times New Roman" w:eastAsia="Times New Roman" w:hAnsi="Times New Roman" w:cs="Times New Roman"/>
          <w:noProof w:val="0"/>
        </w:rPr>
      </w:pPr>
    </w:p>
    <w:p w14:paraId="14139CD7"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Calibri" w:hAnsi="Times New Roman" w:cs="Times New Roman"/>
          <w:i/>
        </w:rPr>
        <w:t>Kitos būklės</w:t>
      </w:r>
    </w:p>
    <w:p w14:paraId="4F749B0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Įprastinė pradinė paros dozė yra 1 – 3 mg/kg kūno svorio. Ją reikia didinti, atsižvelgiant į klinikinį atsaką (jis gali būti nepastebimas kelias savaites arba kelis mėnesius) ir į tai, kaip vaistinį preparatą toleruoja kraujas. </w:t>
      </w:r>
    </w:p>
    <w:p w14:paraId="476C51D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po 3 – 6 gydymo mėnesių paciento būklė nepagerėja, svarstytinas vaistinio preparato vartojimo nutraukimas.</w:t>
      </w:r>
    </w:p>
    <w:p w14:paraId="218D112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Priklausomai nuo gydomos klinikinės būklės, individualios paciento reakcijos ir nuo to, kaip vaistinį preparatą toleruoja kraujas, palaikomoji paros dozė svyruoja nuo mažesnės kaip  1 mg/kg kūno svorio iki 3 mg/kg kūno svorio.</w:t>
      </w:r>
    </w:p>
    <w:p w14:paraId="3BD6FF46" w14:textId="77777777" w:rsidR="00E07ACB" w:rsidRPr="00E07ACB" w:rsidRDefault="00E07ACB" w:rsidP="00E07ACB">
      <w:pPr>
        <w:spacing w:after="0" w:line="240" w:lineRule="auto"/>
        <w:rPr>
          <w:rFonts w:ascii="Times New Roman" w:eastAsia="Times New Roman" w:hAnsi="Times New Roman" w:cs="Times New Roman"/>
          <w:noProof w:val="0"/>
        </w:rPr>
      </w:pPr>
    </w:p>
    <w:p w14:paraId="420BE39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Lėtiniam aktyviam autoimuniniam hepatitui gydyti įprastinė paros dozė yra 1 – 1,5 mg/kg kūno svorio.</w:t>
      </w:r>
    </w:p>
    <w:p w14:paraId="5D2601EC" w14:textId="77777777" w:rsidR="00E07ACB" w:rsidRPr="00E07ACB" w:rsidRDefault="00E07ACB" w:rsidP="00E07ACB">
      <w:pPr>
        <w:spacing w:after="0" w:line="240" w:lineRule="auto"/>
        <w:rPr>
          <w:rFonts w:ascii="Times New Roman" w:eastAsia="Times New Roman" w:hAnsi="Times New Roman" w:cs="Times New Roman"/>
          <w:noProof w:val="0"/>
        </w:rPr>
      </w:pPr>
    </w:p>
    <w:p w14:paraId="1624A92E"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Pacientams, kurių kepenų ir (arba) inkstų funkcija sutrikusi</w:t>
      </w:r>
    </w:p>
    <w:p w14:paraId="177B198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Pacientus, kuriems yra inkstų ir (arba) kepenų veiklos nepakankamumas, reikia gydyti mažiausia įprastine terapine doze. Pacientus, kuriems yra sunkus kepenų funkcijos sutrikimas, Atsimutin vartoti draudžiama (žr. 4.3 skyrių). </w:t>
      </w:r>
    </w:p>
    <w:p w14:paraId="688E7B39" w14:textId="77777777" w:rsidR="00E07ACB" w:rsidRPr="00E07ACB" w:rsidRDefault="00E07ACB" w:rsidP="00E07ACB">
      <w:pPr>
        <w:spacing w:after="0" w:line="240" w:lineRule="auto"/>
        <w:rPr>
          <w:rFonts w:ascii="Times New Roman" w:eastAsia="Times New Roman" w:hAnsi="Times New Roman" w:cs="Times New Roman"/>
          <w:noProof w:val="0"/>
        </w:rPr>
      </w:pPr>
    </w:p>
    <w:p w14:paraId="3D1A223C"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 xml:space="preserve">Vaikų populiacija </w:t>
      </w:r>
    </w:p>
    <w:p w14:paraId="2EA01A2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Duomenų, kuriais remiantis būtų galima rekomenduoti Atsimutin lėtinio jaunatvinio artrito, sisteminės raudonosios vilkligės (</w:t>
      </w:r>
      <w:r w:rsidRPr="00E07ACB">
        <w:rPr>
          <w:rFonts w:ascii="Times New Roman" w:eastAsia="Times New Roman" w:hAnsi="Times New Roman" w:cs="Times New Roman"/>
          <w:i/>
          <w:noProof w:val="0"/>
        </w:rPr>
        <w:t>Lupus erythematosus</w:t>
      </w:r>
      <w:r w:rsidRPr="00E07ACB">
        <w:rPr>
          <w:rFonts w:ascii="Times New Roman" w:eastAsia="Times New Roman" w:hAnsi="Times New Roman" w:cs="Times New Roman"/>
          <w:noProof w:val="0"/>
        </w:rPr>
        <w:t xml:space="preserve">), dermatomiozito ar mazginio poliarterito gydymui nepakanka. </w:t>
      </w:r>
    </w:p>
    <w:p w14:paraId="4F19545D" w14:textId="77777777" w:rsidR="00E07ACB" w:rsidRPr="00E07ACB" w:rsidRDefault="00E07ACB" w:rsidP="00E07ACB">
      <w:pPr>
        <w:spacing w:after="0" w:line="240" w:lineRule="auto"/>
        <w:rPr>
          <w:rFonts w:ascii="Times New Roman" w:eastAsia="Times New Roman" w:hAnsi="Times New Roman" w:cs="Times New Roman"/>
          <w:noProof w:val="0"/>
        </w:rPr>
      </w:pPr>
    </w:p>
    <w:p w14:paraId="19C6651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Kitų indikacijų atveju vaikus ir paauglius galima gydyti rekomenduojama suaugusiųjų doze. </w:t>
      </w:r>
    </w:p>
    <w:p w14:paraId="6B207C51" w14:textId="77777777" w:rsidR="00E07ACB" w:rsidRPr="00E07ACB" w:rsidRDefault="00E07ACB" w:rsidP="00E07ACB">
      <w:pPr>
        <w:spacing w:after="0" w:line="240" w:lineRule="auto"/>
        <w:rPr>
          <w:rFonts w:ascii="Times New Roman" w:eastAsia="Times New Roman" w:hAnsi="Times New Roman" w:cs="Times New Roman"/>
          <w:noProof w:val="0"/>
        </w:rPr>
      </w:pPr>
    </w:p>
    <w:p w14:paraId="584E1746"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Senyviems pacientams</w:t>
      </w:r>
    </w:p>
    <w:p w14:paraId="46DFCF57" w14:textId="7CDB172B"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Nėra specifinės informacijos, kaip Atsimutin toleruoja senyvi žmonės. Juos rekomenduojama gydyti mažiausia įprastine terapine doze (kaip kontroliuoti kraujo ląstelių kiekį, žr. </w:t>
      </w:r>
      <w:r w:rsidR="002275AF">
        <w:rPr>
          <w:rFonts w:ascii="Times New Roman" w:eastAsia="Times New Roman" w:hAnsi="Times New Roman" w:cs="Times New Roman"/>
          <w:noProof w:val="0"/>
        </w:rPr>
        <w:t>4.4</w:t>
      </w:r>
      <w:r w:rsidRPr="00E07ACB">
        <w:rPr>
          <w:rFonts w:ascii="Times New Roman" w:eastAsia="Times New Roman" w:hAnsi="Times New Roman" w:cs="Times New Roman"/>
          <w:noProof w:val="0"/>
        </w:rPr>
        <w:t xml:space="preserve"> skyrių). </w:t>
      </w:r>
    </w:p>
    <w:p w14:paraId="13222090" w14:textId="77777777" w:rsidR="00E07ACB" w:rsidRPr="00E07ACB" w:rsidRDefault="00E07ACB" w:rsidP="00E07ACB">
      <w:pPr>
        <w:spacing w:after="0" w:line="240" w:lineRule="auto"/>
        <w:rPr>
          <w:rFonts w:ascii="Times New Roman" w:eastAsia="Times New Roman" w:hAnsi="Times New Roman" w:cs="Times New Roman"/>
          <w:noProof w:val="0"/>
        </w:rPr>
      </w:pPr>
    </w:p>
    <w:p w14:paraId="6C95073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Kol terapinis poveikis tampa pastebimas, gali praeiti kelios savaitės arba keli mėnesiai.</w:t>
      </w:r>
    </w:p>
    <w:p w14:paraId="2C421296" w14:textId="77777777" w:rsidR="00E07ACB" w:rsidRPr="00E07ACB" w:rsidRDefault="00E07ACB" w:rsidP="00E07ACB">
      <w:pPr>
        <w:spacing w:after="0" w:line="240" w:lineRule="auto"/>
        <w:rPr>
          <w:rFonts w:ascii="Times New Roman" w:eastAsia="Times New Roman" w:hAnsi="Times New Roman" w:cs="Times New Roman"/>
          <w:noProof w:val="0"/>
        </w:rPr>
      </w:pPr>
    </w:p>
    <w:p w14:paraId="7DCFBD0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Vaistiniu preparatu galima gydyti ilgai, išskyrus atvejį, kai pacientas jo netoleruoja.</w:t>
      </w:r>
    </w:p>
    <w:p w14:paraId="2594EDF9" w14:textId="77777777" w:rsidR="00E07ACB" w:rsidRPr="00E07ACB" w:rsidRDefault="00E07ACB" w:rsidP="00E07ACB">
      <w:pPr>
        <w:spacing w:after="0" w:line="240" w:lineRule="auto"/>
        <w:rPr>
          <w:rFonts w:ascii="Times New Roman" w:eastAsia="Times New Roman" w:hAnsi="Times New Roman" w:cs="Times New Roman"/>
          <w:noProof w:val="0"/>
        </w:rPr>
      </w:pPr>
    </w:p>
    <w:p w14:paraId="5D7A374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Azatioprino vartojimą visada reikia nutraukti palaipsniui mažinant dozę ir atidžiai gydytojui prižiūrint. </w:t>
      </w:r>
    </w:p>
    <w:p w14:paraId="34A8A0F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Reikia vengti tabletės laužymo ar sutrupinimo. </w:t>
      </w:r>
    </w:p>
    <w:p w14:paraId="4434510A" w14:textId="77777777" w:rsidR="00E07ACB" w:rsidRPr="00E07ACB" w:rsidRDefault="00E07ACB" w:rsidP="00E07ACB">
      <w:pPr>
        <w:spacing w:after="0" w:line="240" w:lineRule="auto"/>
        <w:rPr>
          <w:rFonts w:ascii="Times New Roman" w:eastAsia="Times New Roman" w:hAnsi="Times New Roman" w:cs="Times New Roman"/>
          <w:noProof w:val="0"/>
        </w:rPr>
      </w:pPr>
    </w:p>
    <w:p w14:paraId="2615CBA5" w14:textId="77777777" w:rsidR="00E07ACB" w:rsidRPr="00E07ACB" w:rsidRDefault="00E07ACB" w:rsidP="00E07ACB">
      <w:pPr>
        <w:spacing w:after="0" w:line="240" w:lineRule="auto"/>
        <w:rPr>
          <w:rFonts w:ascii="Times New Roman" w:eastAsia="Times New Roman" w:hAnsi="Times New Roman" w:cs="Times New Roman"/>
          <w:i/>
          <w:iCs/>
        </w:rPr>
      </w:pPr>
      <w:r w:rsidRPr="00E07ACB">
        <w:rPr>
          <w:rFonts w:ascii="Times New Roman" w:eastAsia="Times New Roman" w:hAnsi="Times New Roman" w:cs="Times New Roman"/>
          <w:i/>
          <w:iCs/>
        </w:rPr>
        <w:t>Pacientai, turintys NUDT15 variantą</w:t>
      </w:r>
    </w:p>
    <w:p w14:paraId="2D3238B5" w14:textId="77777777" w:rsidR="00E07ACB" w:rsidRPr="00E07ACB" w:rsidRDefault="00E07ACB" w:rsidP="00E07ACB">
      <w:pPr>
        <w:spacing w:after="0" w:line="240" w:lineRule="auto"/>
        <w:rPr>
          <w:rFonts w:ascii="Times New Roman" w:eastAsia="Times New Roman" w:hAnsi="Times New Roman" w:cs="Times New Roman"/>
        </w:rPr>
      </w:pPr>
      <w:r w:rsidRPr="00E07ACB">
        <w:rPr>
          <w:rFonts w:ascii="Times New Roman" w:eastAsia="Times New Roman" w:hAnsi="Times New Roman" w:cs="Times New Roman"/>
        </w:rPr>
        <w:t>Pacientams, turintiems įgimtą mutavusį NUDT15 geną, gresia didesnė sunkaus azatioprino</w:t>
      </w:r>
    </w:p>
    <w:p w14:paraId="7AB64155" w14:textId="77777777" w:rsidR="00E07ACB" w:rsidRPr="00E07ACB" w:rsidRDefault="00E07ACB" w:rsidP="00E07ACB">
      <w:pPr>
        <w:spacing w:after="0" w:line="240" w:lineRule="auto"/>
        <w:rPr>
          <w:rFonts w:ascii="Times New Roman" w:eastAsia="Times New Roman" w:hAnsi="Times New Roman" w:cs="Times New Roman"/>
        </w:rPr>
      </w:pPr>
      <w:r w:rsidRPr="00E07ACB">
        <w:rPr>
          <w:rFonts w:ascii="Times New Roman" w:eastAsia="Times New Roman" w:hAnsi="Times New Roman" w:cs="Times New Roman"/>
        </w:rPr>
        <w:t>toksinio poveikio rizika (žr. 4.4 skyrių). Šiems pacientams paprastai reikia mažinti dozę, ypač tiems,</w:t>
      </w:r>
    </w:p>
    <w:p w14:paraId="3CF541F4" w14:textId="77777777" w:rsidR="00E07ACB" w:rsidRPr="00E07ACB" w:rsidRDefault="00E07ACB" w:rsidP="00E07ACB">
      <w:pPr>
        <w:spacing w:after="0" w:line="240" w:lineRule="auto"/>
        <w:rPr>
          <w:rFonts w:ascii="Times New Roman" w:eastAsia="Times New Roman" w:hAnsi="Times New Roman" w:cs="Times New Roman"/>
          <w:noProof w:val="0"/>
        </w:rPr>
      </w:pPr>
      <w:r w:rsidRPr="003F0C62">
        <w:rPr>
          <w:rFonts w:ascii="Times New Roman" w:eastAsia="Times New Roman" w:hAnsi="Times New Roman" w:cs="Times New Roman"/>
        </w:rPr>
        <w:t>kuriems NUDT15 variantas yra homozigotinis (žr. 4.4 skyrių). Prieš pradedant gydyti azatioprinu reikėtų apsvarstyti galimybę atlikti NUDT15 variantų genotipo testą. Visais atvejais reikia atidžiai stebėti kraujo ląstelių skaičių.</w:t>
      </w:r>
    </w:p>
    <w:p w14:paraId="27F01305" w14:textId="77777777" w:rsidR="00E07ACB" w:rsidRPr="00E07ACB" w:rsidRDefault="00E07ACB" w:rsidP="00E07ACB">
      <w:pPr>
        <w:spacing w:after="0" w:line="240" w:lineRule="auto"/>
        <w:rPr>
          <w:rFonts w:ascii="Times New Roman" w:eastAsia="Times New Roman" w:hAnsi="Times New Roman" w:cs="Times New Roman"/>
          <w:noProof w:val="0"/>
        </w:rPr>
      </w:pPr>
    </w:p>
    <w:p w14:paraId="40167771"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Vartojimo metodas</w:t>
      </w:r>
    </w:p>
    <w:p w14:paraId="38F0EE9C" w14:textId="77777777" w:rsidR="00E07ACB" w:rsidRPr="00E07ACB" w:rsidRDefault="00E07ACB" w:rsidP="00E07ACB">
      <w:pPr>
        <w:spacing w:after="0" w:line="240" w:lineRule="auto"/>
        <w:rPr>
          <w:rFonts w:ascii="Times New Roman" w:eastAsia="Times New Roman" w:hAnsi="Times New Roman" w:cs="Times New Roman"/>
          <w:noProof w:val="0"/>
        </w:rPr>
      </w:pPr>
    </w:p>
    <w:p w14:paraId="0DFEB83B" w14:textId="77777777" w:rsidR="00E07ACB" w:rsidRPr="00E07ACB" w:rsidRDefault="00E07ACB" w:rsidP="00E07ACB">
      <w:pPr>
        <w:spacing w:after="0" w:line="240" w:lineRule="auto"/>
        <w:rPr>
          <w:rFonts w:ascii="Times New Roman" w:eastAsia="Calibri" w:hAnsi="Times New Roman" w:cs="Times New Roman"/>
        </w:rPr>
      </w:pPr>
      <w:r w:rsidRPr="00E07ACB">
        <w:rPr>
          <w:rFonts w:ascii="Times New Roman" w:eastAsia="Calibri" w:hAnsi="Times New Roman" w:cs="Times New Roman"/>
        </w:rPr>
        <w:t>Vartojamas per burną.</w:t>
      </w:r>
    </w:p>
    <w:p w14:paraId="7FEE75F0" w14:textId="77777777" w:rsidR="00E07ACB" w:rsidRPr="00E07ACB" w:rsidRDefault="00E07ACB" w:rsidP="00E07ACB">
      <w:pPr>
        <w:spacing w:after="0" w:line="240" w:lineRule="auto"/>
        <w:rPr>
          <w:rFonts w:ascii="Times New Roman" w:eastAsia="Calibri" w:hAnsi="Times New Roman" w:cs="Times New Roman"/>
        </w:rPr>
      </w:pPr>
      <w:r w:rsidRPr="00E07ACB">
        <w:rPr>
          <w:rFonts w:ascii="Times New Roman" w:eastAsia="Calibri" w:hAnsi="Times New Roman" w:cs="Times New Roman"/>
        </w:rPr>
        <w:t>Tabletę(-es) reikia užgerti mažiausiai stikline (200 ml) skysčio.</w:t>
      </w:r>
    </w:p>
    <w:p w14:paraId="7A2F7577" w14:textId="77777777" w:rsidR="00E07ACB" w:rsidRPr="00E07ACB" w:rsidRDefault="00E07ACB" w:rsidP="00E07ACB">
      <w:pPr>
        <w:spacing w:after="0" w:line="240" w:lineRule="auto"/>
        <w:rPr>
          <w:rFonts w:ascii="Times New Roman" w:eastAsia="Calibri" w:hAnsi="Times New Roman" w:cs="Times New Roman"/>
        </w:rPr>
      </w:pPr>
      <w:r w:rsidRPr="00E07ACB">
        <w:rPr>
          <w:rFonts w:ascii="Times New Roman" w:eastAsia="Calibri" w:hAnsi="Times New Roman" w:cs="Times New Roman"/>
        </w:rPr>
        <w:t>Siekiant sumažinti pykinimo pavojų, tabletę(-es) reikia gerti valgio metu.</w:t>
      </w:r>
    </w:p>
    <w:p w14:paraId="09BA4B0C" w14:textId="77777777" w:rsidR="00E07ACB" w:rsidRPr="00E07ACB" w:rsidRDefault="00E07ACB" w:rsidP="00E07ACB">
      <w:pPr>
        <w:spacing w:after="0" w:line="240" w:lineRule="auto"/>
        <w:rPr>
          <w:rFonts w:ascii="Times New Roman" w:eastAsia="Calibri" w:hAnsi="Times New Roman" w:cs="Times New Roman"/>
        </w:rPr>
      </w:pPr>
    </w:p>
    <w:p w14:paraId="4ADDC5BA"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bookmarkStart w:id="17" w:name="_Toc129243104"/>
      <w:bookmarkStart w:id="18" w:name="_Toc129243229"/>
      <w:r w:rsidRPr="00E07ACB">
        <w:rPr>
          <w:rFonts w:ascii="Times New Roman" w:eastAsia="Times New Roman" w:hAnsi="Times New Roman" w:cs="Times New Roman"/>
          <w:b/>
          <w:noProof w:val="0"/>
          <w:kern w:val="28"/>
        </w:rPr>
        <w:t>4.3</w:t>
      </w:r>
      <w:r w:rsidRPr="00E07ACB">
        <w:rPr>
          <w:rFonts w:ascii="Times New Roman" w:eastAsia="Times New Roman" w:hAnsi="Times New Roman" w:cs="Times New Roman"/>
          <w:b/>
          <w:noProof w:val="0"/>
          <w:kern w:val="28"/>
        </w:rPr>
        <w:tab/>
        <w:t>Kontraindikacijos</w:t>
      </w:r>
      <w:bookmarkEnd w:id="17"/>
      <w:bookmarkEnd w:id="18"/>
    </w:p>
    <w:p w14:paraId="38F75D8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4CB6ED8"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Padidėjęs jautrumas veikliajai medžiagai, 6-merkaptopurinui (azatioprino metabolitui) arba bet kuriai 6.1 skyriuje nurodytai pagalbinei medžiagai.</w:t>
      </w:r>
    </w:p>
    <w:p w14:paraId="0B67F870"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Sunkios infekcinės ligos.</w:t>
      </w:r>
    </w:p>
    <w:p w14:paraId="2EB29B5C"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Sunkus kepenų arba kaulų čiulpų funkcijos sutrikimas. </w:t>
      </w:r>
    </w:p>
    <w:p w14:paraId="14FED484"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Pankreatitas.</w:t>
      </w:r>
    </w:p>
    <w:p w14:paraId="0F2B995B"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Vakcinacija bet kokia gyvąja vakcina, ypač BCG, raupų ar geltonosios karštligės vakcina.</w:t>
      </w:r>
    </w:p>
    <w:p w14:paraId="16A703E4"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Nėštumas, išskyrus atvejus, kai nauda yra didesnė už riziką (žr. 4.6 skyrių).</w:t>
      </w:r>
    </w:p>
    <w:p w14:paraId="204CEE6A"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Žindymo laikotarpis (žr. 4.6 skyrių).</w:t>
      </w:r>
    </w:p>
    <w:p w14:paraId="42630EE8"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D3FAF2C" w14:textId="77777777" w:rsidR="00E07ACB" w:rsidRPr="00E07ACB" w:rsidRDefault="00E07ACB" w:rsidP="00E07ACB">
      <w:pPr>
        <w:keepNext/>
        <w:keepLines/>
        <w:numPr>
          <w:ilvl w:val="1"/>
          <w:numId w:val="2"/>
        </w:numPr>
        <w:spacing w:after="0" w:line="240" w:lineRule="auto"/>
        <w:outlineLvl w:val="2"/>
        <w:rPr>
          <w:rFonts w:ascii="Times New Roman" w:eastAsia="Times New Roman" w:hAnsi="Times New Roman" w:cs="Times New Roman"/>
          <w:b/>
          <w:noProof w:val="0"/>
          <w:kern w:val="28"/>
        </w:rPr>
      </w:pPr>
      <w:bookmarkStart w:id="19" w:name="_Toc129243105"/>
      <w:bookmarkStart w:id="20" w:name="_Toc129243230"/>
      <w:r w:rsidRPr="00E07ACB">
        <w:rPr>
          <w:rFonts w:ascii="Times New Roman" w:eastAsia="Times New Roman" w:hAnsi="Times New Roman" w:cs="Times New Roman"/>
          <w:b/>
          <w:noProof w:val="0"/>
          <w:kern w:val="28"/>
        </w:rPr>
        <w:t>Specialūs įspėjimai ir atsargumo priemonės</w:t>
      </w:r>
      <w:bookmarkEnd w:id="19"/>
      <w:bookmarkEnd w:id="20"/>
    </w:p>
    <w:p w14:paraId="3F302378" w14:textId="77777777" w:rsidR="00E07ACB" w:rsidRDefault="00E07ACB" w:rsidP="00E07ACB">
      <w:pPr>
        <w:keepNext/>
        <w:keepLines/>
        <w:tabs>
          <w:tab w:val="left" w:pos="567"/>
        </w:tabs>
        <w:spacing w:after="0" w:line="240" w:lineRule="auto"/>
        <w:outlineLvl w:val="2"/>
        <w:rPr>
          <w:rFonts w:ascii="Times New Roman" w:eastAsia="Times New Roman" w:hAnsi="Times New Roman" w:cs="Times New Roman"/>
          <w:b/>
          <w:noProof w:val="0"/>
          <w:kern w:val="28"/>
        </w:rPr>
      </w:pPr>
    </w:p>
    <w:p w14:paraId="6CC10732" w14:textId="15104D67" w:rsidR="00874D37" w:rsidRPr="003F0C62" w:rsidRDefault="00874D37" w:rsidP="00E07ACB">
      <w:pPr>
        <w:keepNext/>
        <w:keepLines/>
        <w:tabs>
          <w:tab w:val="left" w:pos="567"/>
        </w:tabs>
        <w:spacing w:after="0" w:line="240" w:lineRule="auto"/>
        <w:outlineLvl w:val="2"/>
        <w:rPr>
          <w:rFonts w:ascii="Times New Roman" w:eastAsia="Times New Roman" w:hAnsi="Times New Roman" w:cs="Times New Roman"/>
          <w:bCs/>
          <w:noProof w:val="0"/>
          <w:kern w:val="28"/>
        </w:rPr>
      </w:pPr>
      <w:r w:rsidRPr="003F0C62">
        <w:rPr>
          <w:rFonts w:ascii="Times New Roman" w:eastAsia="Times New Roman" w:hAnsi="Times New Roman" w:cs="Times New Roman"/>
          <w:bCs/>
          <w:noProof w:val="0"/>
          <w:kern w:val="28"/>
        </w:rPr>
        <w:t xml:space="preserve">Stebėsena </w:t>
      </w:r>
    </w:p>
    <w:p w14:paraId="04EDEF61" w14:textId="77777777" w:rsidR="00874D37" w:rsidRPr="00E07ACB" w:rsidRDefault="00874D37" w:rsidP="00E07ACB">
      <w:pPr>
        <w:keepNext/>
        <w:keepLines/>
        <w:tabs>
          <w:tab w:val="left" w:pos="567"/>
        </w:tabs>
        <w:spacing w:after="0" w:line="240" w:lineRule="auto"/>
        <w:outlineLvl w:val="2"/>
        <w:rPr>
          <w:rFonts w:ascii="Times New Roman" w:eastAsia="Times New Roman" w:hAnsi="Times New Roman" w:cs="Times New Roman"/>
          <w:b/>
          <w:noProof w:val="0"/>
          <w:kern w:val="28"/>
        </w:rPr>
      </w:pPr>
    </w:p>
    <w:p w14:paraId="34CD8F6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Gydymas azatiopirinu gali būti pavojingas, todėl jo skirti negalima, išskyrus atvejus, kai visu gydymo laikotarpiu pacientas bus tinkamai stebimas dėl galimo toksinio poveikio.</w:t>
      </w:r>
    </w:p>
    <w:p w14:paraId="4D044AD3" w14:textId="77777777" w:rsidR="00E07ACB" w:rsidRPr="00E07ACB" w:rsidRDefault="00E07ACB" w:rsidP="00E07ACB">
      <w:pPr>
        <w:spacing w:after="0" w:line="240" w:lineRule="auto"/>
        <w:rPr>
          <w:rFonts w:ascii="Times New Roman" w:eastAsia="Times New Roman" w:hAnsi="Times New Roman" w:cs="Times New Roman"/>
          <w:noProof w:val="0"/>
        </w:rPr>
      </w:pPr>
    </w:p>
    <w:p w14:paraId="38B74EA7"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sym w:font="Symbol" w:char="F0B7"/>
      </w:r>
      <w:r w:rsidRPr="00E07ACB">
        <w:rPr>
          <w:rFonts w:ascii="Times New Roman" w:eastAsia="Times New Roman" w:hAnsi="Times New Roman" w:cs="Times New Roman"/>
          <w:noProof w:val="0"/>
        </w:rPr>
        <w:tab/>
        <w:t>Pirmųjų 8 gydymo savaičių laikotarpiu būtina mažiausiai kartą per savaitę pamatuoti visų kraujo ląstelių, tarp jų trombocitų, kiekį. Jį reikia matuoti dažniau, jeigu:</w:t>
      </w:r>
    </w:p>
    <w:p w14:paraId="6B5139E0"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pacientas gydomas didele doze;</w:t>
      </w:r>
    </w:p>
    <w:p w14:paraId="26264515"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pacientas senyvas;</w:t>
      </w:r>
    </w:p>
    <w:p w14:paraId="2534F01A"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sutrikusi inkstų funkcija;</w:t>
      </w:r>
    </w:p>
    <w:p w14:paraId="7AEBD522" w14:textId="77777777" w:rsidR="00E07ACB" w:rsidRPr="00E07ACB" w:rsidRDefault="00E07ACB" w:rsidP="00E07ACB">
      <w:pPr>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lengvas arba vidutinio sunkumo kepenų funkcijos sutrikimas (žr. 4.2 ir 5.2 skyrius);</w:t>
      </w:r>
    </w:p>
    <w:p w14:paraId="445C6253"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lengvas arba vidutinio sunkumo kaulų čiulpų funkcijos sutrikimas (žr. 4.2 skyrių);</w:t>
      </w:r>
    </w:p>
    <w:p w14:paraId="2734F66D"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pacientui yra hipersplenizmas.</w:t>
      </w:r>
    </w:p>
    <w:p w14:paraId="35DE7922" w14:textId="77777777" w:rsidR="00E07ACB" w:rsidRPr="00E07ACB" w:rsidRDefault="00E07ACB" w:rsidP="00E07ACB">
      <w:pPr>
        <w:spacing w:after="0" w:line="240" w:lineRule="auto"/>
        <w:rPr>
          <w:rFonts w:ascii="Times New Roman" w:eastAsia="Times New Roman" w:hAnsi="Times New Roman" w:cs="Times New Roman"/>
          <w:noProof w:val="0"/>
        </w:rPr>
      </w:pPr>
    </w:p>
    <w:p w14:paraId="32D9D66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Po 8 gydymo savaičių bendrą kraujo tyrimą (BKT) galima atlikti rečiau. BKT patariama atlikti kas mėnesį, bet ne rečiau nei kas tris mėnesius. </w:t>
      </w:r>
    </w:p>
    <w:p w14:paraId="6A033170" w14:textId="77777777" w:rsidR="00E07ACB" w:rsidRPr="00E07ACB" w:rsidRDefault="00E07ACB" w:rsidP="00E07ACB">
      <w:pPr>
        <w:spacing w:after="0" w:line="240" w:lineRule="auto"/>
        <w:rPr>
          <w:rFonts w:ascii="Times New Roman" w:eastAsia="Times New Roman" w:hAnsi="Times New Roman" w:cs="Times New Roman"/>
          <w:noProof w:val="0"/>
        </w:rPr>
      </w:pPr>
    </w:p>
    <w:p w14:paraId="178C97D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Pacientą reikia įspėti, kad atsiradus gerklės išopėjimui, karščiavimui, infekcinei ligai, kraujosruvoms, kraujavimui arba kitokių mielosupresijos požymių, būtina nedelsiant informuoti gydytoją.</w:t>
      </w:r>
    </w:p>
    <w:p w14:paraId="07A9DA24" w14:textId="77777777" w:rsidR="00E07ACB" w:rsidRPr="00E07ACB" w:rsidRDefault="00E07ACB" w:rsidP="00E07ACB">
      <w:pPr>
        <w:spacing w:after="0" w:line="240" w:lineRule="auto"/>
        <w:rPr>
          <w:rFonts w:ascii="Times New Roman" w:eastAsia="Times New Roman" w:hAnsi="Times New Roman" w:cs="Times New Roman"/>
          <w:noProof w:val="0"/>
        </w:rPr>
      </w:pPr>
    </w:p>
    <w:p w14:paraId="1A22520D" w14:textId="13932928" w:rsidR="00E07ACB" w:rsidRPr="008857B6" w:rsidRDefault="00E07ACB" w:rsidP="00AE36CA">
      <w:pPr>
        <w:tabs>
          <w:tab w:val="left" w:pos="540"/>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sym w:font="Symbol" w:char="F0B7"/>
      </w:r>
      <w:r w:rsidRPr="00E07ACB">
        <w:rPr>
          <w:rFonts w:ascii="Times New Roman" w:eastAsia="Times New Roman" w:hAnsi="Times New Roman" w:cs="Times New Roman"/>
          <w:noProof w:val="0"/>
        </w:rPr>
        <w:tab/>
      </w:r>
      <w:r w:rsidR="008857B6" w:rsidRPr="008857B6">
        <w:rPr>
          <w:rFonts w:ascii="Times New Roman" w:eastAsia="Times New Roman" w:hAnsi="Times New Roman" w:cs="Times New Roman"/>
          <w:noProof w:val="0"/>
        </w:rPr>
        <w:t>Azatioprinas yra hepatotoksiškas, todėl gydymo laikotarpiu turėtų būti nuolat atliekami tyrimai kepenų veiklai įvertinti. Pacientams, kuriems jau diagnozuota kepenų liga arba kurie vartoja vaistus, galinčius turėti toksinį poveikį kepenims, galima rekomenduoti dažniau atlikti tokius tyrimus. Gauta pranešimų apie necirozinės vartų venos hipertenzijos ir (arba) portosinusoidinių kraujagyslių ligos atvejus. Ankstyvieji klinikiniai požymiai apima kepenų fermentų tyrimų rezultatų nukrypimą nuo normos, nedidelę geltą, trombocitopeniją ir splenomegaliją (žr. 4.8 skyrių). Pacientus reikėtų informuoti apie kepenų pažeidimo simptomus ir patarti jiems nedelsiant kreiptis į gydytoją, jei atsirastų tokie simpt</w:t>
      </w:r>
      <w:r w:rsidR="00AE36CA">
        <w:rPr>
          <w:rFonts w:ascii="Times New Roman" w:eastAsia="Times New Roman" w:hAnsi="Times New Roman" w:cs="Times New Roman"/>
          <w:noProof w:val="0"/>
        </w:rPr>
        <w:t>omai</w:t>
      </w:r>
      <w:r w:rsidR="008857B6" w:rsidRPr="008857B6">
        <w:rPr>
          <w:rFonts w:ascii="Times New Roman" w:eastAsia="Times New Roman" w:hAnsi="Times New Roman" w:cs="Times New Roman"/>
          <w:noProof w:val="0"/>
        </w:rPr>
        <w:t>.</w:t>
      </w:r>
    </w:p>
    <w:p w14:paraId="31B26E54" w14:textId="77777777" w:rsidR="00E07ACB" w:rsidRPr="00E07ACB" w:rsidRDefault="00E07ACB" w:rsidP="00E07ACB">
      <w:pPr>
        <w:tabs>
          <w:tab w:val="left" w:pos="1296"/>
        </w:tabs>
        <w:spacing w:after="0" w:line="240" w:lineRule="auto"/>
        <w:ind w:left="360"/>
        <w:rPr>
          <w:rFonts w:ascii="Times New Roman" w:eastAsia="Times New Roman" w:hAnsi="Times New Roman" w:cs="Times New Roman"/>
          <w:noProof w:val="0"/>
        </w:rPr>
      </w:pPr>
    </w:p>
    <w:p w14:paraId="253F496F" w14:textId="77777777" w:rsidR="00E07ACB" w:rsidRPr="00E07ACB" w:rsidRDefault="00E07ACB" w:rsidP="00E07ACB">
      <w:pPr>
        <w:numPr>
          <w:ilvl w:val="0"/>
          <w:numId w:val="3"/>
        </w:numPr>
        <w:tabs>
          <w:tab w:val="num" w:pos="540"/>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Kai kurie asmenys, kuriems yra paveldėta fermento tiopurino metiltransferazės (TPMT) stoka, gali būti labai jautrūs mielosupresiniam azatioprino poveikiui, todėl, pradėjus juos gydyti azatioprinu, gali greitai atsirasti kaulų čiulpų slopinimo reiškinių. Šis poveikis gali sustiprėti, kartu su azatioprinu vartojant vaistų, kurie slopina TPMT, pavyzdžiui, olsalazino, mesalazino arba sulfasalazino. Yra duomenų, kad pacientams, gydomiems 6-merkaptopurinu (aktyviu azatioprino metabolitu) kartu su kitais citotoksiniais vaistais, pasireiškęs TPMT aktyvumo sumažėjimas gali būti susijęs su antrinėmis leukemijomis ir mielodisplazija (žr.4.8 skyrių).</w:t>
      </w:r>
    </w:p>
    <w:p w14:paraId="07F0F4A7" w14:textId="77777777" w:rsidR="00E07ACB" w:rsidRPr="00E07ACB" w:rsidRDefault="00E07ACB" w:rsidP="00E07ACB">
      <w:pPr>
        <w:spacing w:after="0" w:line="240" w:lineRule="auto"/>
        <w:rPr>
          <w:rFonts w:ascii="Times New Roman" w:eastAsia="Times New Roman" w:hAnsi="Times New Roman" w:cs="Times New Roman"/>
          <w:noProof w:val="0"/>
        </w:rPr>
      </w:pPr>
    </w:p>
    <w:p w14:paraId="41E66F87" w14:textId="77777777" w:rsidR="00E07ACB" w:rsidRPr="00E07ACB" w:rsidRDefault="00E07ACB" w:rsidP="00E07ACB">
      <w:pPr>
        <w:numPr>
          <w:ilvl w:val="0"/>
          <w:numId w:val="4"/>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Turimi riboti duomenys rodo, kad azatioprinas yra neveiksmingas asmenims, kuriems yra paveldėtas hipoksantinguanino fosforiboziltransferazės trūkumas (Lešo-Nyhano </w:t>
      </w:r>
      <w:r w:rsidRPr="00E07ACB">
        <w:rPr>
          <w:rFonts w:ascii="Times New Roman" w:eastAsia="Times New Roman" w:hAnsi="Times New Roman" w:cs="Times New Roman"/>
          <w:i/>
          <w:iCs/>
          <w:noProof w:val="0"/>
        </w:rPr>
        <w:t>[</w:t>
      </w:r>
      <w:r w:rsidRPr="00E07ACB">
        <w:rPr>
          <w:rFonts w:ascii="Times New Roman" w:eastAsia="Times New Roman" w:hAnsi="Times New Roman" w:cs="Times New Roman"/>
          <w:i/>
          <w:noProof w:val="0"/>
        </w:rPr>
        <w:t>Lesch-Nyhan]</w:t>
      </w:r>
      <w:r w:rsidRPr="00E07ACB">
        <w:rPr>
          <w:rFonts w:ascii="Times New Roman" w:eastAsia="Times New Roman" w:hAnsi="Times New Roman" w:cs="Times New Roman"/>
          <w:noProof w:val="0"/>
        </w:rPr>
        <w:t xml:space="preserve"> sindromas), todėl tokių pacientų šiuo vaistiniu preparatu gydyti negalima. </w:t>
      </w:r>
    </w:p>
    <w:p w14:paraId="4051651C" w14:textId="77777777" w:rsidR="00E07ACB" w:rsidRPr="00E07ACB" w:rsidRDefault="00E07ACB" w:rsidP="00E07ACB">
      <w:pPr>
        <w:spacing w:after="0" w:line="240" w:lineRule="auto"/>
        <w:rPr>
          <w:rFonts w:ascii="Times New Roman" w:eastAsia="Times New Roman" w:hAnsi="Times New Roman" w:cs="Times New Roman"/>
          <w:noProof w:val="0"/>
        </w:rPr>
      </w:pPr>
    </w:p>
    <w:p w14:paraId="0DA0BF90"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azatioprinas vartojamas su kumarinų grupės antikoaguliantais, būtina atidžiai matuoti kraujo krešėjimą (žr. 4. 5 skyrių). </w:t>
      </w:r>
    </w:p>
    <w:p w14:paraId="6AE1A95D" w14:textId="77777777" w:rsidR="00E07ACB" w:rsidRPr="00E07ACB" w:rsidRDefault="00E07ACB" w:rsidP="00E07ACB">
      <w:pPr>
        <w:spacing w:after="0" w:line="240" w:lineRule="auto"/>
        <w:rPr>
          <w:rFonts w:ascii="Times New Roman" w:eastAsia="Times New Roman" w:hAnsi="Times New Roman" w:cs="Times New Roman"/>
          <w:noProof w:val="0"/>
        </w:rPr>
      </w:pPr>
    </w:p>
    <w:p w14:paraId="6E2B3B82"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Gydymą azatioprinu nutraukus, gali labai pasunkėti pacientų, sergančių, pvz., su nefritu susijusia sistemine raudonąja vilklige (</w:t>
      </w:r>
      <w:r w:rsidRPr="00E07ACB">
        <w:rPr>
          <w:rFonts w:ascii="Times New Roman" w:eastAsia="Times New Roman" w:hAnsi="Times New Roman" w:cs="Times New Roman"/>
          <w:i/>
          <w:noProof w:val="0"/>
        </w:rPr>
        <w:t>Lupus erythematosus</w:t>
      </w:r>
      <w:r w:rsidRPr="00E07ACB">
        <w:rPr>
          <w:rFonts w:ascii="Times New Roman" w:eastAsia="Times New Roman" w:hAnsi="Times New Roman" w:cs="Times New Roman"/>
          <w:noProof w:val="0"/>
        </w:rPr>
        <w:t>), dermatomiozitu ir polimiozitu; Krono (</w:t>
      </w:r>
      <w:r w:rsidRPr="00E07ACB">
        <w:rPr>
          <w:rFonts w:ascii="Times New Roman" w:eastAsia="Times New Roman" w:hAnsi="Times New Roman" w:cs="Times New Roman"/>
          <w:i/>
          <w:noProof w:val="0"/>
        </w:rPr>
        <w:t>Crohn</w:t>
      </w:r>
      <w:r w:rsidRPr="00E07ACB">
        <w:rPr>
          <w:rFonts w:ascii="Times New Roman" w:eastAsia="Times New Roman" w:hAnsi="Times New Roman" w:cs="Times New Roman"/>
          <w:noProof w:val="0"/>
        </w:rPr>
        <w:t>) liga, opiniu kolitu; mazginiu poliarteritu; lėtine gydymui nepasiduodančia idiopatine trombocitopenine purpura; autoimunine hemolizine anemija; sunkiu reumatoidiniu artritu arba autoimuniniu hepatitu būklė.</w:t>
      </w:r>
    </w:p>
    <w:p w14:paraId="0B96EBA2" w14:textId="77777777" w:rsidR="00E07ACB" w:rsidRPr="00E07ACB" w:rsidRDefault="00E07ACB" w:rsidP="00E07ACB">
      <w:pPr>
        <w:spacing w:after="0" w:line="240" w:lineRule="auto"/>
        <w:rPr>
          <w:rFonts w:ascii="Times New Roman" w:eastAsia="Times New Roman" w:hAnsi="Times New Roman" w:cs="Times New Roman"/>
          <w:noProof w:val="0"/>
        </w:rPr>
      </w:pPr>
    </w:p>
    <w:p w14:paraId="37DA4DA4"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Azatioprino vartojimą visada reikia nutraukti palaipsniui mažinant dozę ir atidžiai gydytojui prižiūrint. </w:t>
      </w:r>
    </w:p>
    <w:p w14:paraId="4CE1515D" w14:textId="77777777" w:rsidR="00E07ACB" w:rsidRPr="00E07ACB" w:rsidRDefault="00E07ACB" w:rsidP="00E07ACB">
      <w:pPr>
        <w:spacing w:after="0" w:line="240" w:lineRule="auto"/>
        <w:rPr>
          <w:rFonts w:ascii="Times New Roman" w:eastAsia="Times New Roman" w:hAnsi="Times New Roman" w:cs="Times New Roman"/>
          <w:noProof w:val="0"/>
        </w:rPr>
      </w:pPr>
    </w:p>
    <w:p w14:paraId="7AFB2CE1"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kartu su azatioprinu vartojama inaktyvintų vakcinų arba anatoksinų (toksoidų), visada reikia kontroliuoti imuninį atsaką, atsižvelgiant į titro duomenis. </w:t>
      </w:r>
    </w:p>
    <w:p w14:paraId="10F5BA9D" w14:textId="77777777" w:rsidR="00E07ACB" w:rsidRPr="00E07ACB" w:rsidRDefault="00E07ACB" w:rsidP="00E07ACB">
      <w:pPr>
        <w:spacing w:after="0" w:line="240" w:lineRule="auto"/>
        <w:rPr>
          <w:rFonts w:ascii="Times New Roman" w:eastAsia="Times New Roman" w:hAnsi="Times New Roman" w:cs="Times New Roman"/>
          <w:noProof w:val="0"/>
        </w:rPr>
      </w:pPr>
    </w:p>
    <w:p w14:paraId="3E04CAB7"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Azatioprinu gydomiems pacientams padidėjo odos navikų dažnis. Jų atsirado daugiausia tose odos vietose, kurios buvo neapsaugotos nuo saulės šviesos poveikio. Pacientą reikia įspėti, kad vengtų pernelyg didelės tiesioginių saulės spindulių ir ultravioletinių spindulių ekspozicijos, ir reguliariai atlikti odos tyrimus (žr. ir 4.8 skyrių). </w:t>
      </w:r>
    </w:p>
    <w:p w14:paraId="58E1925D" w14:textId="77777777" w:rsidR="00E07ACB" w:rsidRPr="00E07ACB" w:rsidRDefault="00E07ACB" w:rsidP="00E07ACB">
      <w:pPr>
        <w:spacing w:after="0" w:line="240" w:lineRule="auto"/>
        <w:rPr>
          <w:rFonts w:ascii="Times New Roman" w:eastAsia="Times New Roman" w:hAnsi="Times New Roman" w:cs="Times New Roman"/>
          <w:noProof w:val="0"/>
        </w:rPr>
      </w:pPr>
    </w:p>
    <w:p w14:paraId="60B8E95A"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Pacientus, sergančius negydoma ūmine infekcine liga, azatioprinu reikia gydyti itin atsargiai (žr. 4.3 skyrių).</w:t>
      </w:r>
    </w:p>
    <w:p w14:paraId="30DD0D4B" w14:textId="77777777" w:rsidR="00E07ACB" w:rsidRPr="00E07ACB" w:rsidRDefault="00E07ACB" w:rsidP="00E07ACB">
      <w:pPr>
        <w:spacing w:after="0" w:line="240" w:lineRule="auto"/>
        <w:rPr>
          <w:rFonts w:ascii="Times New Roman" w:eastAsia="Times New Roman" w:hAnsi="Times New Roman" w:cs="Times New Roman"/>
          <w:noProof w:val="0"/>
        </w:rPr>
      </w:pPr>
    </w:p>
    <w:p w14:paraId="2B53C9CB"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Citotoksinių vaistinių preparatų vartojančius pacientus azatioprino galima gydyti tik gydytojui prižiūrint.</w:t>
      </w:r>
    </w:p>
    <w:p w14:paraId="48713887"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3A926D55" w14:textId="77777777" w:rsidR="00E07ACB" w:rsidRPr="00E07ACB" w:rsidRDefault="00E07ACB" w:rsidP="00E07ACB">
      <w:pPr>
        <w:spacing w:after="0" w:line="240" w:lineRule="auto"/>
        <w:rPr>
          <w:rFonts w:ascii="Times New Roman" w:eastAsia="Times New Roman" w:hAnsi="Times New Roman" w:cs="Times New Roman"/>
          <w:iCs/>
          <w:szCs w:val="20"/>
          <w:u w:val="single"/>
          <w:lang w:eastAsia="lt-LT" w:bidi="lt-LT"/>
        </w:rPr>
      </w:pPr>
      <w:r w:rsidRPr="00E07ACB">
        <w:rPr>
          <w:rFonts w:ascii="Times New Roman" w:eastAsia="Times New Roman" w:hAnsi="Times New Roman" w:cs="Times New Roman"/>
          <w:iCs/>
          <w:szCs w:val="20"/>
          <w:u w:val="single"/>
          <w:lang w:eastAsia="lt-LT" w:bidi="lt-LT"/>
        </w:rPr>
        <w:t>Pacientai, turintys NUDT15 variantą</w:t>
      </w:r>
    </w:p>
    <w:p w14:paraId="1E792B00"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Įprastas tiopurinų dozes vartojantiems pacientams, turintiems įgimtą mutavusį NUDT15 geną, gresia</w:t>
      </w:r>
    </w:p>
    <w:p w14:paraId="29735FAA"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didesnė sunkaus azatioprino toksinio poveikio, pavyzdžiui, leukopenijos ir alopecijos, rizika.</w:t>
      </w:r>
    </w:p>
    <w:p w14:paraId="4A29CD3B"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Šiems pacientams paprastai reikia mažinti dozę, ypač tiems, kuriems NUDT15 variantas yra</w:t>
      </w:r>
    </w:p>
    <w:p w14:paraId="40B32D6B"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homozigotinis (žr. 4.2 skyrių). NUDT15 c.415C&gt;T dažnis yra nevienodas įvairiose etninėse grupėse –</w:t>
      </w:r>
    </w:p>
    <w:p w14:paraId="34E24BAC" w14:textId="6CC53C2F"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maždaug 10</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tarp Rytų Azijos, 4</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Lotynų Amerikos, 0,2</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europiečių ir 0</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iš Afrikos kilusių</w:t>
      </w:r>
    </w:p>
    <w:p w14:paraId="687DCB3E" w14:textId="77777777" w:rsidR="00E07ACB" w:rsidRPr="00E07ACB" w:rsidRDefault="00E07ACB" w:rsidP="00E07ACB">
      <w:pPr>
        <w:spacing w:after="0" w:line="240" w:lineRule="auto"/>
        <w:ind w:left="567" w:hanging="567"/>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pacientų. Visais atvejais reikia atidžiai stebėti kraujo ląstelių skaičių.</w:t>
      </w:r>
    </w:p>
    <w:p w14:paraId="3CEAE77C"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1ABF5159" w14:textId="77777777" w:rsidR="00E07ACB" w:rsidRPr="00E07ACB" w:rsidRDefault="00E07ACB" w:rsidP="00E07ACB">
      <w:pPr>
        <w:spacing w:after="0" w:line="240" w:lineRule="auto"/>
        <w:ind w:left="567" w:hanging="567"/>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Progresuojanti daugiažidininė leukoencefalopatija (PDL)</w:t>
      </w:r>
    </w:p>
    <w:p w14:paraId="38A079E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Pacientams, kurie vartojo azatiopriną kartu su kitais imunosupresantais, pasireiškė PDL, JC (</w:t>
      </w:r>
      <w:r w:rsidRPr="00E07ACB">
        <w:rPr>
          <w:rFonts w:ascii="Times New Roman" w:eastAsia="Times New Roman" w:hAnsi="Times New Roman" w:cs="Times New Roman"/>
          <w:i/>
          <w:noProof w:val="0"/>
        </w:rPr>
        <w:t>John Cunningham</w:t>
      </w:r>
      <w:r w:rsidRPr="00E07ACB">
        <w:rPr>
          <w:rFonts w:ascii="Times New Roman" w:eastAsia="Times New Roman" w:hAnsi="Times New Roman" w:cs="Times New Roman"/>
          <w:noProof w:val="0"/>
        </w:rPr>
        <w:t>) viruso sukeliama oportunistinė infekcija. Pastebėjus pirmuosius PDL požymius ar simptomus, reikia nutraukti imunosupresinį gydymą ir imtis tinkamų priemonių diagnozės patvirtinimui (žr. 4.8 skyrių).</w:t>
      </w:r>
    </w:p>
    <w:p w14:paraId="7F708F91"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1C409DE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u w:val="single"/>
        </w:rPr>
        <w:t>Mutageniškumas</w:t>
      </w:r>
    </w:p>
    <w:p w14:paraId="75F71E1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Pastebėta, kad pacientų, gydytų azatioprinu, palikuonių limfocituose atsiranda chromosomų anomalijų. Sunku nustatyti azatioprino vaidmenį šių anomalijų formavimuisi.</w:t>
      </w:r>
    </w:p>
    <w:p w14:paraId="244AD49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5C981B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u w:val="single"/>
        </w:rPr>
        <w:t>Kancerogeniškumas</w:t>
      </w:r>
      <w:r w:rsidRPr="00E07ACB">
        <w:rPr>
          <w:rFonts w:ascii="Times New Roman" w:eastAsia="Times New Roman" w:hAnsi="Times New Roman" w:cs="Times New Roman"/>
          <w:noProof w:val="0"/>
        </w:rPr>
        <w:t xml:space="preserve"> (žr. 4.8 skyrių)</w:t>
      </w:r>
    </w:p>
    <w:p w14:paraId="7E82F8F0"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sz w:val="24"/>
          <w:szCs w:val="24"/>
        </w:rPr>
      </w:pPr>
      <w:r w:rsidRPr="00E07ACB">
        <w:rPr>
          <w:rFonts w:ascii="Times New Roman" w:eastAsia="Calibri" w:hAnsi="Times New Roman" w:cs="Times New Roman"/>
          <w:noProof w:val="0"/>
          <w:color w:val="000000"/>
          <w:szCs w:val="24"/>
        </w:rPr>
        <w:t xml:space="preserve">Pacientams, </w:t>
      </w:r>
      <w:r w:rsidRPr="00E07ACB">
        <w:rPr>
          <w:rFonts w:ascii="Times New Roman" w:eastAsia="Calibri" w:hAnsi="Times New Roman" w:cs="Times New Roman"/>
          <w:noProof w:val="0"/>
          <w:color w:val="000000"/>
        </w:rPr>
        <w:t xml:space="preserve">vartojantiems imunosupresantus, įskaitant </w:t>
      </w:r>
      <w:r w:rsidRPr="00E07ACB">
        <w:rPr>
          <w:rFonts w:ascii="Times New Roman" w:eastAsia="Calibri" w:hAnsi="Times New Roman" w:cs="Times New Roman"/>
          <w:iCs/>
          <w:noProof w:val="0"/>
          <w:color w:val="000000"/>
        </w:rPr>
        <w:t>azatiopriną</w:t>
      </w:r>
      <w:r w:rsidRPr="00E07ACB">
        <w:rPr>
          <w:rFonts w:ascii="Times New Roman" w:eastAsia="Calibri" w:hAnsi="Times New Roman" w:cs="Times New Roman"/>
          <w:noProof w:val="0"/>
          <w:color w:val="000000"/>
        </w:rPr>
        <w:t>, kyla didesnė limfoproliferacinių sutrikimų</w:t>
      </w:r>
      <w:r w:rsidRPr="00E07ACB">
        <w:rPr>
          <w:rFonts w:ascii="Times New Roman" w:eastAsia="Calibri" w:hAnsi="Times New Roman" w:cs="Times New Roman"/>
          <w:noProof w:val="0"/>
          <w:color w:val="000000"/>
          <w:szCs w:val="24"/>
        </w:rPr>
        <w:t xml:space="preserve"> ir </w:t>
      </w:r>
      <w:r w:rsidRPr="00E07ACB">
        <w:rPr>
          <w:rFonts w:ascii="Times New Roman" w:eastAsia="Calibri" w:hAnsi="Times New Roman" w:cs="Times New Roman"/>
          <w:noProof w:val="0"/>
          <w:color w:val="000000"/>
        </w:rPr>
        <w:t>kitų piktybinių ligų</w:t>
      </w:r>
      <w:r w:rsidRPr="00E07ACB">
        <w:rPr>
          <w:rFonts w:ascii="Times New Roman" w:eastAsia="Calibri" w:hAnsi="Times New Roman" w:cs="Times New Roman"/>
          <w:noProof w:val="0"/>
          <w:color w:val="000000"/>
          <w:szCs w:val="24"/>
        </w:rPr>
        <w:t xml:space="preserve">, ypač odos </w:t>
      </w:r>
      <w:r w:rsidRPr="00E07ACB">
        <w:rPr>
          <w:rFonts w:ascii="Times New Roman" w:eastAsia="Calibri" w:hAnsi="Times New Roman" w:cs="Times New Roman"/>
          <w:noProof w:val="0"/>
          <w:color w:val="000000"/>
        </w:rPr>
        <w:t>vėžio (melanomos</w:t>
      </w:r>
      <w:r w:rsidRPr="00E07ACB">
        <w:rPr>
          <w:rFonts w:ascii="Times New Roman" w:eastAsia="Calibri" w:hAnsi="Times New Roman" w:cs="Times New Roman"/>
          <w:noProof w:val="0"/>
          <w:color w:val="000000"/>
          <w:szCs w:val="24"/>
        </w:rPr>
        <w:t xml:space="preserve"> ir </w:t>
      </w:r>
      <w:r w:rsidRPr="00E07ACB">
        <w:rPr>
          <w:rFonts w:ascii="Times New Roman" w:eastAsia="Calibri" w:hAnsi="Times New Roman" w:cs="Times New Roman"/>
          <w:noProof w:val="0"/>
          <w:color w:val="000000"/>
        </w:rPr>
        <w:t>nemelanomos), sarkomos</w:t>
      </w:r>
      <w:r w:rsidRPr="00E07ACB">
        <w:rPr>
          <w:rFonts w:ascii="Times New Roman" w:eastAsia="Calibri" w:hAnsi="Times New Roman" w:cs="Times New Roman"/>
          <w:noProof w:val="0"/>
          <w:color w:val="000000"/>
          <w:szCs w:val="24"/>
        </w:rPr>
        <w:t xml:space="preserve"> (Kapoši ir </w:t>
      </w:r>
      <w:r w:rsidRPr="00E07ACB">
        <w:rPr>
          <w:rFonts w:ascii="Times New Roman" w:eastAsia="Calibri" w:hAnsi="Times New Roman" w:cs="Times New Roman"/>
          <w:noProof w:val="0"/>
          <w:color w:val="000000"/>
        </w:rPr>
        <w:t>ne Kapoši)</w:t>
      </w:r>
      <w:r w:rsidRPr="00E07ACB">
        <w:rPr>
          <w:rFonts w:ascii="Times New Roman" w:eastAsia="Calibri" w:hAnsi="Times New Roman" w:cs="Times New Roman"/>
          <w:noProof w:val="0"/>
          <w:color w:val="000000"/>
          <w:szCs w:val="24"/>
        </w:rPr>
        <w:t xml:space="preserve"> ir gimdos kaklelio </w:t>
      </w:r>
      <w:r w:rsidRPr="00E07ACB">
        <w:rPr>
          <w:rFonts w:ascii="Times New Roman" w:eastAsia="Calibri" w:hAnsi="Times New Roman" w:cs="Times New Roman"/>
          <w:noProof w:val="0"/>
          <w:color w:val="000000"/>
        </w:rPr>
        <w:t>vėžio</w:t>
      </w:r>
      <w:r w:rsidRPr="00E07ACB">
        <w:rPr>
          <w:rFonts w:ascii="Times New Roman" w:eastAsia="Calibri" w:hAnsi="Times New Roman" w:cs="Times New Roman"/>
          <w:noProof w:val="0"/>
          <w:color w:val="000000"/>
          <w:szCs w:val="24"/>
        </w:rPr>
        <w:t xml:space="preserve"> </w:t>
      </w:r>
      <w:r w:rsidRPr="00E07ACB">
        <w:rPr>
          <w:rFonts w:ascii="Times New Roman" w:eastAsia="Calibri" w:hAnsi="Times New Roman" w:cs="Times New Roman"/>
          <w:i/>
          <w:noProof w:val="0"/>
          <w:color w:val="000000"/>
          <w:szCs w:val="24"/>
        </w:rPr>
        <w:t>in situ</w:t>
      </w:r>
      <w:r w:rsidRPr="00E07ACB">
        <w:rPr>
          <w:rFonts w:ascii="Times New Roman" w:eastAsia="Calibri" w:hAnsi="Times New Roman" w:cs="Times New Roman"/>
          <w:i/>
          <w:iCs/>
          <w:noProof w:val="0"/>
          <w:color w:val="000000"/>
        </w:rPr>
        <w:t xml:space="preserve"> </w:t>
      </w:r>
      <w:r w:rsidRPr="00E07ACB">
        <w:rPr>
          <w:rFonts w:ascii="Times New Roman" w:eastAsia="Calibri" w:hAnsi="Times New Roman" w:cs="Times New Roman"/>
          <w:noProof w:val="0"/>
          <w:color w:val="000000"/>
        </w:rPr>
        <w:t>rizika</w:t>
      </w:r>
      <w:r w:rsidRPr="00E07ACB">
        <w:rPr>
          <w:rFonts w:ascii="Times New Roman" w:eastAsia="Calibri" w:hAnsi="Times New Roman" w:cs="Times New Roman"/>
          <w:noProof w:val="0"/>
          <w:color w:val="000000"/>
          <w:szCs w:val="24"/>
        </w:rPr>
        <w:t xml:space="preserve">. Atrodo, kad </w:t>
      </w:r>
      <w:r w:rsidRPr="00E07ACB">
        <w:rPr>
          <w:rFonts w:ascii="Times New Roman" w:eastAsia="Calibri" w:hAnsi="Times New Roman" w:cs="Times New Roman"/>
          <w:noProof w:val="0"/>
          <w:color w:val="000000"/>
        </w:rPr>
        <w:t xml:space="preserve">ši padidėjusi </w:t>
      </w:r>
      <w:r w:rsidRPr="00E07ACB">
        <w:rPr>
          <w:rFonts w:ascii="Times New Roman" w:eastAsia="Calibri" w:hAnsi="Times New Roman" w:cs="Times New Roman"/>
          <w:noProof w:val="0"/>
          <w:color w:val="000000"/>
          <w:szCs w:val="24"/>
        </w:rPr>
        <w:t xml:space="preserve">rizika susijusi su </w:t>
      </w:r>
      <w:r w:rsidRPr="00E07ACB">
        <w:rPr>
          <w:rFonts w:ascii="Times New Roman" w:eastAsia="Calibri" w:hAnsi="Times New Roman" w:cs="Times New Roman"/>
          <w:noProof w:val="0"/>
          <w:color w:val="000000"/>
        </w:rPr>
        <w:t>imunosupresijos stiprumu</w:t>
      </w:r>
      <w:r w:rsidRPr="00E07ACB">
        <w:rPr>
          <w:rFonts w:ascii="Times New Roman" w:eastAsia="Calibri" w:hAnsi="Times New Roman" w:cs="Times New Roman"/>
          <w:noProof w:val="0"/>
          <w:color w:val="000000"/>
          <w:szCs w:val="24"/>
        </w:rPr>
        <w:t xml:space="preserve"> ir trukme</w:t>
      </w:r>
      <w:r w:rsidRPr="00E07ACB">
        <w:rPr>
          <w:rFonts w:ascii="Times New Roman" w:eastAsia="Calibri" w:hAnsi="Times New Roman" w:cs="Times New Roman"/>
          <w:noProof w:val="0"/>
          <w:color w:val="000000"/>
        </w:rPr>
        <w:t xml:space="preserve">. </w:t>
      </w:r>
      <w:r w:rsidRPr="00E07ACB">
        <w:rPr>
          <w:rFonts w:ascii="Times New Roman" w:eastAsia="Calibri" w:hAnsi="Times New Roman" w:cs="Times New Roman"/>
          <w:noProof w:val="0"/>
          <w:color w:val="000000"/>
          <w:szCs w:val="24"/>
        </w:rPr>
        <w:t xml:space="preserve">Gauta </w:t>
      </w:r>
      <w:r w:rsidRPr="00E07ACB">
        <w:rPr>
          <w:rFonts w:ascii="Times New Roman" w:eastAsia="Calibri" w:hAnsi="Times New Roman" w:cs="Times New Roman"/>
          <w:noProof w:val="0"/>
          <w:color w:val="000000"/>
        </w:rPr>
        <w:t>informacijos</w:t>
      </w:r>
      <w:r w:rsidRPr="00E07ACB">
        <w:rPr>
          <w:rFonts w:ascii="Times New Roman" w:eastAsia="Calibri" w:hAnsi="Times New Roman" w:cs="Times New Roman"/>
          <w:noProof w:val="0"/>
          <w:color w:val="000000"/>
          <w:szCs w:val="24"/>
        </w:rPr>
        <w:t xml:space="preserve">, kad nutraukus </w:t>
      </w:r>
      <w:r w:rsidRPr="00E07ACB">
        <w:rPr>
          <w:rFonts w:ascii="Times New Roman" w:eastAsia="Calibri" w:hAnsi="Times New Roman" w:cs="Times New Roman"/>
          <w:noProof w:val="0"/>
          <w:color w:val="000000"/>
        </w:rPr>
        <w:t>imunosupresinę terapiją, limfoproliferacinis sutrikimas</w:t>
      </w:r>
      <w:r w:rsidRPr="00E07ACB">
        <w:rPr>
          <w:rFonts w:ascii="Times New Roman" w:eastAsia="Calibri" w:hAnsi="Times New Roman" w:cs="Times New Roman"/>
          <w:noProof w:val="0"/>
          <w:color w:val="000000"/>
          <w:szCs w:val="24"/>
        </w:rPr>
        <w:t xml:space="preserve"> gali iš dalies </w:t>
      </w:r>
      <w:r w:rsidRPr="00E07ACB">
        <w:rPr>
          <w:rFonts w:ascii="Times New Roman" w:eastAsia="Calibri" w:hAnsi="Times New Roman" w:cs="Times New Roman"/>
          <w:noProof w:val="0"/>
          <w:color w:val="000000"/>
        </w:rPr>
        <w:t xml:space="preserve">regresuoti. </w:t>
      </w:r>
    </w:p>
    <w:p w14:paraId="019501C2" w14:textId="77777777" w:rsidR="00E07ACB" w:rsidRPr="00E07ACB" w:rsidRDefault="00E07ACB" w:rsidP="00E07ACB">
      <w:pPr>
        <w:tabs>
          <w:tab w:val="left" w:pos="567"/>
        </w:tabs>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Todėl gydymą keliais imunosupresantais (įskaitant tiopurinus) reikėtų taikyti atsargiai, nes tai gali sukelti limfoproliferacinius sutrikimus, kurie kai kuriais atvejais baigiasi pacientų mirtimi. Tuo pat metu vartojant kelių imunosupresantų derinį, didėja Epštein-Baro viruso (EBV) sukeliamų limfoprofileracinių sutrikmų rizika. </w:t>
      </w:r>
    </w:p>
    <w:p w14:paraId="4C71189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9CA0E2A" w14:textId="77777777" w:rsidR="00E07ACB" w:rsidRPr="00E07ACB" w:rsidRDefault="00E07ACB" w:rsidP="00E07ACB">
      <w:pPr>
        <w:spacing w:after="0" w:line="240" w:lineRule="auto"/>
        <w:ind w:left="567" w:hanging="567"/>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Pastabos dėl darbo su vaistiniu preparatu</w:t>
      </w:r>
    </w:p>
    <w:p w14:paraId="478E190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Azatioprinas daro mutageninį poveikį ir gali sukelti kancerogeninį poveikį. Dirbant su šiuo vaistiniu preparatu, būtinos tinkamos atsargumo priemonės. Tai labiausiai taikytina nėščioms slaugytojoms (žr. 6.6 skyrių).</w:t>
      </w:r>
    </w:p>
    <w:p w14:paraId="31621A99" w14:textId="77777777" w:rsidR="00E07ACB" w:rsidRPr="00E07ACB" w:rsidRDefault="00E07ACB" w:rsidP="00E07ACB">
      <w:pPr>
        <w:tabs>
          <w:tab w:val="left" w:pos="0"/>
        </w:tabs>
        <w:spacing w:after="0" w:line="240" w:lineRule="auto"/>
        <w:rPr>
          <w:rFonts w:ascii="Times New Roman" w:eastAsia="Times New Roman" w:hAnsi="Times New Roman" w:cs="Times New Roman"/>
          <w:noProof w:val="0"/>
        </w:rPr>
      </w:pPr>
    </w:p>
    <w:p w14:paraId="1BA33441"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u w:val="single"/>
        </w:rPr>
      </w:pPr>
      <w:r w:rsidRPr="00E07ACB">
        <w:rPr>
          <w:rFonts w:ascii="Times New Roman" w:eastAsia="Calibri" w:hAnsi="Times New Roman" w:cs="Times New Roman"/>
          <w:noProof w:val="0"/>
          <w:color w:val="000000"/>
          <w:u w:val="single"/>
        </w:rPr>
        <w:t xml:space="preserve">Makrofagų aktyvacijos sindromas </w:t>
      </w:r>
    </w:p>
    <w:p w14:paraId="5F185ED4" w14:textId="77777777" w:rsidR="00E07ACB" w:rsidRPr="00E07ACB" w:rsidRDefault="00E07ACB" w:rsidP="00E07ACB">
      <w:pPr>
        <w:tabs>
          <w:tab w:val="left" w:pos="0"/>
        </w:tabs>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Makrofagų aktyvacijos sindromas (MAS) yra žinomas, grėsmę gyvybei keliantis sutrikimas, kuris gali pasireikšti pacientams, sergantiems autoimuninėmis ligomis, ypač uždegimine žarnų liga (UŽL), ir vartojant azatiopriną, polinkis susirgti šiuo sutrikimu gali būti padidėjęs. Susirgus MAS arba įtarus šį sindromą, reikia kuo greičiau įvertinti paciento būklę ir pradėti gydymą, o gydymą aziatioprinu reikia nutraukti. Bendrosios praktikos gydytojai turėtų įdėmiai stebėti, ar pacientui nepasireiškia infekcijos, pvz., EBV ir citomegalo viruso (CMV) infekcijos, simptomai, nes žinoma, kad šie virusai gali paskatinti MAS.</w:t>
      </w:r>
    </w:p>
    <w:p w14:paraId="44FAD437" w14:textId="0148B556" w:rsidR="00E07ACB" w:rsidRDefault="00E07ACB" w:rsidP="00E07ACB">
      <w:pPr>
        <w:tabs>
          <w:tab w:val="left" w:pos="0"/>
        </w:tabs>
        <w:spacing w:after="0" w:line="240" w:lineRule="auto"/>
        <w:rPr>
          <w:rFonts w:ascii="Times New Roman" w:eastAsia="Times New Roman" w:hAnsi="Times New Roman" w:cs="Times New Roman"/>
          <w:noProof w:val="0"/>
        </w:rPr>
      </w:pPr>
    </w:p>
    <w:p w14:paraId="30908046" w14:textId="47F60E47" w:rsidR="00EC4AAC" w:rsidRPr="00EC4AAC" w:rsidRDefault="00946F09" w:rsidP="00EC4AAC">
      <w:pPr>
        <w:tabs>
          <w:tab w:val="left" w:pos="0"/>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Neuroraumeninę jungtį blokuojančios medžiagos</w:t>
      </w:r>
      <w:r w:rsidR="00EC4AAC">
        <w:rPr>
          <w:rFonts w:ascii="Times New Roman" w:eastAsia="Times New Roman" w:hAnsi="Times New Roman" w:cs="Times New Roman"/>
          <w:noProof w:val="0"/>
        </w:rPr>
        <w:t xml:space="preserve"> </w:t>
      </w:r>
    </w:p>
    <w:p w14:paraId="5D614A14" w14:textId="0415AB15" w:rsidR="00EC4AAC" w:rsidRDefault="00946F09" w:rsidP="00EC4AAC">
      <w:pPr>
        <w:tabs>
          <w:tab w:val="left" w:pos="0"/>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Azatiopriną vartojant kartu su</w:t>
      </w:r>
      <w:r w:rsidR="00EC4AAC" w:rsidRPr="00EC4AAC">
        <w:rPr>
          <w:rFonts w:ascii="Times New Roman" w:eastAsia="Times New Roman" w:hAnsi="Times New Roman" w:cs="Times New Roman"/>
          <w:noProof w:val="0"/>
        </w:rPr>
        <w:t xml:space="preserve"> </w:t>
      </w:r>
      <w:r>
        <w:rPr>
          <w:rFonts w:ascii="Times New Roman" w:eastAsia="Times New Roman" w:hAnsi="Times New Roman" w:cs="Times New Roman"/>
          <w:noProof w:val="0"/>
        </w:rPr>
        <w:t>neuroraumeninę jungtį blokuojančiomis medžiagomis, tokiomis kaip atrakuris, rokuronis, cisatrakuris ar suksametonis (dar žinomas kaip sukcinilcholinas</w:t>
      </w:r>
      <w:r w:rsidR="00EC4AAC" w:rsidRPr="00EC4AAC">
        <w:rPr>
          <w:rFonts w:ascii="Times New Roman" w:eastAsia="Times New Roman" w:hAnsi="Times New Roman" w:cs="Times New Roman"/>
          <w:noProof w:val="0"/>
        </w:rPr>
        <w:t>)</w:t>
      </w:r>
      <w:r>
        <w:rPr>
          <w:rFonts w:ascii="Times New Roman" w:eastAsia="Times New Roman" w:hAnsi="Times New Roman" w:cs="Times New Roman"/>
          <w:noProof w:val="0"/>
        </w:rPr>
        <w:t xml:space="preserve">, reikalinga ypatinga priežiūra (žr. </w:t>
      </w:r>
      <w:r w:rsidR="00EC4AAC" w:rsidRPr="00EC4AAC">
        <w:rPr>
          <w:rFonts w:ascii="Times New Roman" w:eastAsia="Times New Roman" w:hAnsi="Times New Roman" w:cs="Times New Roman"/>
          <w:noProof w:val="0"/>
        </w:rPr>
        <w:t xml:space="preserve"> 4.5</w:t>
      </w:r>
      <w:r>
        <w:rPr>
          <w:rFonts w:ascii="Times New Roman" w:eastAsia="Times New Roman" w:hAnsi="Times New Roman" w:cs="Times New Roman"/>
          <w:noProof w:val="0"/>
        </w:rPr>
        <w:t xml:space="preserve"> skyrių</w:t>
      </w:r>
      <w:r w:rsidR="00EC4AAC" w:rsidRPr="00EC4AAC">
        <w:rPr>
          <w:rFonts w:ascii="Times New Roman" w:eastAsia="Times New Roman" w:hAnsi="Times New Roman" w:cs="Times New Roman"/>
          <w:noProof w:val="0"/>
        </w:rPr>
        <w:t xml:space="preserve">). </w:t>
      </w:r>
      <w:r>
        <w:rPr>
          <w:rFonts w:ascii="Times New Roman" w:eastAsia="Times New Roman" w:hAnsi="Times New Roman" w:cs="Times New Roman"/>
          <w:noProof w:val="0"/>
        </w:rPr>
        <w:t>Anesteziologai turėtų patikrinti, ar jų pacientams buvo skiriama azatioprino prieš operaciją.</w:t>
      </w:r>
    </w:p>
    <w:p w14:paraId="74261B8D" w14:textId="77777777" w:rsidR="00EC4AAC" w:rsidRPr="00E07ACB" w:rsidRDefault="00EC4AAC" w:rsidP="00EC4AAC">
      <w:pPr>
        <w:tabs>
          <w:tab w:val="left" w:pos="0"/>
        </w:tabs>
        <w:spacing w:after="0" w:line="240" w:lineRule="auto"/>
        <w:rPr>
          <w:rFonts w:ascii="Times New Roman" w:eastAsia="Times New Roman" w:hAnsi="Times New Roman" w:cs="Times New Roman"/>
          <w:noProof w:val="0"/>
        </w:rPr>
      </w:pPr>
    </w:p>
    <w:p w14:paraId="65AC1CB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Laktozė</w:t>
      </w:r>
    </w:p>
    <w:p w14:paraId="16D69769" w14:textId="09622E8D" w:rsid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Šio vaistinio preparato negalima vartoti pacientams, kuriems nustatytas retas paveldimas sutrikimas – galaktozės netoleravimas, visiškas laktazės stygius arba gliukozės ir galaktozės malabsorbcija.</w:t>
      </w:r>
    </w:p>
    <w:p w14:paraId="16A0836F" w14:textId="26DEF33F" w:rsidR="00967B5C" w:rsidRDefault="00967B5C" w:rsidP="00E07ACB">
      <w:pPr>
        <w:spacing w:after="0" w:line="240" w:lineRule="auto"/>
        <w:rPr>
          <w:rFonts w:ascii="Times New Roman" w:eastAsia="Times New Roman" w:hAnsi="Times New Roman" w:cs="Times New Roman"/>
          <w:noProof w:val="0"/>
        </w:rPr>
      </w:pPr>
    </w:p>
    <w:p w14:paraId="205ECDC9" w14:textId="77777777" w:rsidR="00967B5C" w:rsidRDefault="00967B5C" w:rsidP="00967B5C">
      <w:pPr>
        <w:spacing w:after="0" w:line="240" w:lineRule="auto"/>
        <w:rPr>
          <w:rFonts w:ascii="Times New Roman" w:eastAsia="Times New Roman" w:hAnsi="Times New Roman" w:cs="Times New Roman"/>
          <w:noProof w:val="0"/>
          <w:u w:val="single"/>
        </w:rPr>
      </w:pPr>
      <w:r>
        <w:rPr>
          <w:rFonts w:ascii="Times New Roman" w:eastAsia="Times New Roman" w:hAnsi="Times New Roman" w:cs="Times New Roman"/>
          <w:noProof w:val="0"/>
          <w:u w:val="single"/>
        </w:rPr>
        <w:t>Natris</w:t>
      </w:r>
    </w:p>
    <w:p w14:paraId="70095A67" w14:textId="695E4011" w:rsidR="00967B5C" w:rsidRDefault="00967B5C" w:rsidP="00967B5C">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Vienoje šio vaistinio preparato tabletėje yra mažiau kaip 1 mmol (23 mg) natrio, t.</w:t>
      </w:r>
      <w:r w:rsidR="00237E89">
        <w:rPr>
          <w:rFonts w:ascii="Times New Roman" w:eastAsia="Times New Roman" w:hAnsi="Times New Roman" w:cs="Times New Roman"/>
          <w:noProof w:val="0"/>
        </w:rPr>
        <w:t> </w:t>
      </w:r>
      <w:r>
        <w:rPr>
          <w:rFonts w:ascii="Times New Roman" w:eastAsia="Times New Roman" w:hAnsi="Times New Roman" w:cs="Times New Roman"/>
          <w:noProof w:val="0"/>
        </w:rPr>
        <w:t>y. jis beveik neturi reikšmės.</w:t>
      </w:r>
    </w:p>
    <w:p w14:paraId="52267B06" w14:textId="77777777" w:rsidR="00967B5C" w:rsidRPr="00E07ACB" w:rsidRDefault="00967B5C" w:rsidP="00E07ACB">
      <w:pPr>
        <w:spacing w:after="0" w:line="240" w:lineRule="auto"/>
        <w:rPr>
          <w:rFonts w:ascii="Times New Roman" w:eastAsia="Times New Roman" w:hAnsi="Times New Roman" w:cs="Times New Roman"/>
          <w:noProof w:val="0"/>
        </w:rPr>
      </w:pPr>
    </w:p>
    <w:p w14:paraId="417B657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5EF9923"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bookmarkStart w:id="21" w:name="_Toc129243106"/>
      <w:bookmarkStart w:id="22" w:name="_Toc129243231"/>
      <w:r w:rsidRPr="00E07ACB">
        <w:rPr>
          <w:rFonts w:ascii="Times New Roman" w:eastAsia="Times New Roman" w:hAnsi="Times New Roman" w:cs="Times New Roman"/>
          <w:b/>
          <w:noProof w:val="0"/>
          <w:kern w:val="28"/>
        </w:rPr>
        <w:t>4.5</w:t>
      </w:r>
      <w:r w:rsidRPr="00E07ACB">
        <w:rPr>
          <w:rFonts w:ascii="Times New Roman" w:eastAsia="Times New Roman" w:hAnsi="Times New Roman" w:cs="Times New Roman"/>
          <w:b/>
          <w:noProof w:val="0"/>
          <w:kern w:val="28"/>
        </w:rPr>
        <w:tab/>
        <w:t>Sąveika su kitais vaistiniais preparatais ir kitokia sąveika</w:t>
      </w:r>
      <w:bookmarkEnd w:id="21"/>
      <w:bookmarkEnd w:id="22"/>
    </w:p>
    <w:p w14:paraId="43D29B9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D6EA84E" w14:textId="16B273CA" w:rsidR="00EC4AAC" w:rsidRDefault="00EC4AAC" w:rsidP="00E07ACB">
      <w:pPr>
        <w:numPr>
          <w:ilvl w:val="0"/>
          <w:numId w:val="6"/>
        </w:numPr>
        <w:spacing w:after="0" w:line="240" w:lineRule="auto"/>
        <w:ind w:left="567" w:hanging="567"/>
        <w:contextualSpacing/>
        <w:rPr>
          <w:rFonts w:ascii="Times New Roman" w:eastAsia="Times New Roman" w:hAnsi="Times New Roman" w:cs="Times New Roman"/>
          <w:noProof w:val="0"/>
        </w:rPr>
      </w:pPr>
      <w:bookmarkStart w:id="23" w:name="_Toc129243115"/>
      <w:bookmarkStart w:id="24" w:name="_Toc129243240"/>
      <w:r>
        <w:rPr>
          <w:rFonts w:ascii="Times New Roman" w:eastAsia="Times New Roman" w:hAnsi="Times New Roman" w:cs="Times New Roman"/>
          <w:noProof w:val="0"/>
        </w:rPr>
        <w:t>Alopurinolis, oksipurinolis</w:t>
      </w:r>
      <w:r w:rsidR="00B34D42">
        <w:rPr>
          <w:rFonts w:ascii="Times New Roman" w:eastAsia="Times New Roman" w:hAnsi="Times New Roman" w:cs="Times New Roman"/>
          <w:noProof w:val="0"/>
        </w:rPr>
        <w:t>, tiopurinolis ir kiti ksantin</w:t>
      </w:r>
      <w:r>
        <w:rPr>
          <w:rFonts w:ascii="Times New Roman" w:eastAsia="Times New Roman" w:hAnsi="Times New Roman" w:cs="Times New Roman"/>
          <w:noProof w:val="0"/>
        </w:rPr>
        <w:t>oksidazės inhibitoriai.</w:t>
      </w:r>
    </w:p>
    <w:p w14:paraId="1695B849" w14:textId="24B87346" w:rsidR="00EC4AAC" w:rsidRDefault="00FA43A6" w:rsidP="003436DC">
      <w:pPr>
        <w:spacing w:after="0" w:line="240" w:lineRule="auto"/>
        <w:ind w:left="567"/>
        <w:contextualSpacing/>
        <w:rPr>
          <w:rFonts w:ascii="Times New Roman" w:eastAsia="Times New Roman" w:hAnsi="Times New Roman" w:cs="Times New Roman"/>
          <w:noProof w:val="0"/>
        </w:rPr>
      </w:pPr>
      <w:r>
        <w:rPr>
          <w:rFonts w:ascii="Times New Roman" w:eastAsia="Times New Roman" w:hAnsi="Times New Roman" w:cs="Times New Roman"/>
          <w:noProof w:val="0"/>
        </w:rPr>
        <w:t>Remiantis ikiklinikiniais</w:t>
      </w:r>
      <w:r w:rsidR="00527F4F">
        <w:rPr>
          <w:rFonts w:ascii="Times New Roman" w:eastAsia="Times New Roman" w:hAnsi="Times New Roman" w:cs="Times New Roman"/>
          <w:noProof w:val="0"/>
        </w:rPr>
        <w:t xml:space="preserve"> duomenimis, kiti ksantino</w:t>
      </w:r>
      <w:r w:rsidR="00EC4AAC">
        <w:rPr>
          <w:rFonts w:ascii="Times New Roman" w:eastAsia="Times New Roman" w:hAnsi="Times New Roman" w:cs="Times New Roman"/>
          <w:noProof w:val="0"/>
        </w:rPr>
        <w:t>ksidazės inhibitoriai, tokie kaip febuksostatas, gali prailginti azatioprino aktyvumą, dėl</w:t>
      </w:r>
      <w:r w:rsidR="00527F4F">
        <w:rPr>
          <w:rFonts w:ascii="Times New Roman" w:eastAsia="Times New Roman" w:hAnsi="Times New Roman" w:cs="Times New Roman"/>
          <w:noProof w:val="0"/>
        </w:rPr>
        <w:t xml:space="preserve"> kurio gali padidėti kaulų čiulpų slopinimas. Kadangi duomenų nustatyti pakankamam azatioprino dozės sumažinimui nepakanka, kartu vartoti nerekomenduojama.</w:t>
      </w:r>
    </w:p>
    <w:p w14:paraId="3BE32791" w14:textId="77777777" w:rsidR="00AB2D34" w:rsidRDefault="00AB2D34" w:rsidP="003436DC">
      <w:pPr>
        <w:spacing w:after="0" w:line="240" w:lineRule="auto"/>
        <w:ind w:left="567"/>
        <w:contextualSpacing/>
        <w:rPr>
          <w:rFonts w:ascii="Times New Roman" w:eastAsia="Times New Roman" w:hAnsi="Times New Roman" w:cs="Times New Roman"/>
          <w:noProof w:val="0"/>
        </w:rPr>
      </w:pPr>
    </w:p>
    <w:p w14:paraId="5D605EB6" w14:textId="36EFD0C7" w:rsidR="00E07ACB" w:rsidRPr="00E07ACB" w:rsidRDefault="00E07ACB" w:rsidP="00E07ACB">
      <w:pPr>
        <w:numPr>
          <w:ilvl w:val="0"/>
          <w:numId w:val="6"/>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Yra klinikinių duomenų, kad azatioprinas </w:t>
      </w:r>
      <w:r w:rsidR="00F02D97">
        <w:rPr>
          <w:rFonts w:ascii="Times New Roman" w:eastAsia="Times New Roman" w:hAnsi="Times New Roman" w:cs="Times New Roman"/>
          <w:noProof w:val="0"/>
        </w:rPr>
        <w:t>slop</w:t>
      </w:r>
      <w:r w:rsidRPr="00E07ACB">
        <w:rPr>
          <w:rFonts w:ascii="Times New Roman" w:eastAsia="Times New Roman" w:hAnsi="Times New Roman" w:cs="Times New Roman"/>
          <w:noProof w:val="0"/>
        </w:rPr>
        <w:t>ina nedepoliarizuoja</w:t>
      </w:r>
      <w:r w:rsidR="00295219">
        <w:rPr>
          <w:rFonts w:ascii="Times New Roman" w:eastAsia="Times New Roman" w:hAnsi="Times New Roman" w:cs="Times New Roman"/>
          <w:noProof w:val="0"/>
        </w:rPr>
        <w:t>nčių raumenis atpalaiduojančių</w:t>
      </w:r>
      <w:r w:rsidRPr="00E07ACB">
        <w:rPr>
          <w:rFonts w:ascii="Times New Roman" w:eastAsia="Times New Roman" w:hAnsi="Times New Roman" w:cs="Times New Roman"/>
          <w:noProof w:val="0"/>
        </w:rPr>
        <w:t xml:space="preserve"> </w:t>
      </w:r>
      <w:r w:rsidR="00295219">
        <w:rPr>
          <w:rFonts w:ascii="Times New Roman" w:eastAsia="Times New Roman" w:hAnsi="Times New Roman" w:cs="Times New Roman"/>
          <w:noProof w:val="0"/>
        </w:rPr>
        <w:t>vaistinių preparatų</w:t>
      </w:r>
      <w:r w:rsidRPr="00E07ACB">
        <w:rPr>
          <w:rFonts w:ascii="Times New Roman" w:eastAsia="Times New Roman" w:hAnsi="Times New Roman" w:cs="Times New Roman"/>
          <w:noProof w:val="0"/>
        </w:rPr>
        <w:t xml:space="preserve"> poveikį. Eksperimentiniai</w:t>
      </w:r>
      <w:r w:rsidR="00295219">
        <w:rPr>
          <w:rFonts w:ascii="Times New Roman" w:eastAsia="Times New Roman" w:hAnsi="Times New Roman" w:cs="Times New Roman"/>
          <w:noProof w:val="0"/>
        </w:rPr>
        <w:t>s</w:t>
      </w:r>
      <w:r w:rsidRPr="00E07ACB">
        <w:rPr>
          <w:rFonts w:ascii="Times New Roman" w:eastAsia="Times New Roman" w:hAnsi="Times New Roman" w:cs="Times New Roman"/>
          <w:noProof w:val="0"/>
        </w:rPr>
        <w:t xml:space="preserve"> duomen</w:t>
      </w:r>
      <w:r w:rsidR="00295219">
        <w:rPr>
          <w:rFonts w:ascii="Times New Roman" w:eastAsia="Times New Roman" w:hAnsi="Times New Roman" w:cs="Times New Roman"/>
          <w:noProof w:val="0"/>
        </w:rPr>
        <w:t>imis</w:t>
      </w:r>
      <w:r w:rsidRPr="00E07ACB">
        <w:rPr>
          <w:rFonts w:ascii="Times New Roman" w:eastAsia="Times New Roman" w:hAnsi="Times New Roman" w:cs="Times New Roman"/>
          <w:noProof w:val="0"/>
        </w:rPr>
        <w:t xml:space="preserve"> patvirtin</w:t>
      </w:r>
      <w:r w:rsidR="00295219">
        <w:rPr>
          <w:rFonts w:ascii="Times New Roman" w:eastAsia="Times New Roman" w:hAnsi="Times New Roman" w:cs="Times New Roman"/>
          <w:noProof w:val="0"/>
        </w:rPr>
        <w:t>t</w:t>
      </w:r>
      <w:r w:rsidRPr="00E07ACB">
        <w:rPr>
          <w:rFonts w:ascii="Times New Roman" w:eastAsia="Times New Roman" w:hAnsi="Times New Roman" w:cs="Times New Roman"/>
          <w:noProof w:val="0"/>
        </w:rPr>
        <w:t xml:space="preserve">a, kad azatioprinas panaikina </w:t>
      </w:r>
      <w:r w:rsidR="00295219">
        <w:rPr>
          <w:rFonts w:ascii="Times New Roman" w:eastAsia="Times New Roman" w:hAnsi="Times New Roman" w:cs="Times New Roman"/>
          <w:noProof w:val="0"/>
        </w:rPr>
        <w:t>nedepoliarizuojančių medžiagų</w:t>
      </w:r>
      <w:r w:rsidRPr="00E07ACB">
        <w:rPr>
          <w:rFonts w:ascii="Times New Roman" w:eastAsia="Times New Roman" w:hAnsi="Times New Roman" w:cs="Times New Roman"/>
          <w:noProof w:val="0"/>
        </w:rPr>
        <w:t xml:space="preserve"> sukeltą ne</w:t>
      </w:r>
      <w:r w:rsidR="00295219">
        <w:rPr>
          <w:rFonts w:ascii="Times New Roman" w:eastAsia="Times New Roman" w:hAnsi="Times New Roman" w:cs="Times New Roman"/>
          <w:noProof w:val="0"/>
        </w:rPr>
        <w:t>uro</w:t>
      </w:r>
      <w:r w:rsidRPr="00E07ACB">
        <w:rPr>
          <w:rFonts w:ascii="Times New Roman" w:eastAsia="Times New Roman" w:hAnsi="Times New Roman" w:cs="Times New Roman"/>
          <w:noProof w:val="0"/>
        </w:rPr>
        <w:t>raumen</w:t>
      </w:r>
      <w:r w:rsidR="00295219">
        <w:rPr>
          <w:rFonts w:ascii="Times New Roman" w:eastAsia="Times New Roman" w:hAnsi="Times New Roman" w:cs="Times New Roman"/>
          <w:noProof w:val="0"/>
        </w:rPr>
        <w:t>inę</w:t>
      </w:r>
      <w:r w:rsidRPr="00E07ACB">
        <w:rPr>
          <w:rFonts w:ascii="Times New Roman" w:eastAsia="Times New Roman" w:hAnsi="Times New Roman" w:cs="Times New Roman"/>
          <w:noProof w:val="0"/>
        </w:rPr>
        <w:t xml:space="preserve"> blokadą</w:t>
      </w:r>
      <w:r w:rsidR="00295219">
        <w:rPr>
          <w:rFonts w:ascii="Times New Roman" w:eastAsia="Times New Roman" w:hAnsi="Times New Roman" w:cs="Times New Roman"/>
          <w:noProof w:val="0"/>
        </w:rPr>
        <w:t>; taip pat parodyta, kad azatioprinas</w:t>
      </w:r>
      <w:r w:rsidRPr="00E07ACB">
        <w:rPr>
          <w:rFonts w:ascii="Times New Roman" w:eastAsia="Times New Roman" w:hAnsi="Times New Roman" w:cs="Times New Roman"/>
          <w:noProof w:val="0"/>
        </w:rPr>
        <w:t xml:space="preserve"> </w:t>
      </w:r>
      <w:r w:rsidR="00295219">
        <w:rPr>
          <w:rFonts w:ascii="Times New Roman" w:eastAsia="Times New Roman" w:hAnsi="Times New Roman" w:cs="Times New Roman"/>
          <w:noProof w:val="0"/>
        </w:rPr>
        <w:t>su</w:t>
      </w:r>
      <w:r w:rsidRPr="00E07ACB">
        <w:rPr>
          <w:rFonts w:ascii="Times New Roman" w:eastAsia="Times New Roman" w:hAnsi="Times New Roman" w:cs="Times New Roman"/>
          <w:noProof w:val="0"/>
        </w:rPr>
        <w:t xml:space="preserve">stiprina </w:t>
      </w:r>
      <w:r w:rsidR="00295219">
        <w:rPr>
          <w:rFonts w:ascii="Times New Roman" w:eastAsia="Times New Roman" w:hAnsi="Times New Roman" w:cs="Times New Roman"/>
          <w:noProof w:val="0"/>
        </w:rPr>
        <w:t>depoliarizuojančių medžiagų</w:t>
      </w:r>
      <w:r w:rsidRPr="00E07ACB">
        <w:rPr>
          <w:rFonts w:ascii="Times New Roman" w:eastAsia="Times New Roman" w:hAnsi="Times New Roman" w:cs="Times New Roman"/>
          <w:noProof w:val="0"/>
        </w:rPr>
        <w:t xml:space="preserve"> sukel</w:t>
      </w:r>
      <w:r w:rsidR="00295219">
        <w:rPr>
          <w:rFonts w:ascii="Times New Roman" w:eastAsia="Times New Roman" w:hAnsi="Times New Roman" w:cs="Times New Roman"/>
          <w:noProof w:val="0"/>
        </w:rPr>
        <w:t>iamą</w:t>
      </w:r>
      <w:r w:rsidRPr="00E07ACB">
        <w:rPr>
          <w:rFonts w:ascii="Times New Roman" w:eastAsia="Times New Roman" w:hAnsi="Times New Roman" w:cs="Times New Roman"/>
          <w:noProof w:val="0"/>
        </w:rPr>
        <w:t xml:space="preserve"> ne</w:t>
      </w:r>
      <w:r w:rsidR="00295219">
        <w:rPr>
          <w:rFonts w:ascii="Times New Roman" w:eastAsia="Times New Roman" w:hAnsi="Times New Roman" w:cs="Times New Roman"/>
          <w:noProof w:val="0"/>
        </w:rPr>
        <w:t>uro</w:t>
      </w:r>
      <w:r w:rsidRPr="00E07ACB">
        <w:rPr>
          <w:rFonts w:ascii="Times New Roman" w:eastAsia="Times New Roman" w:hAnsi="Times New Roman" w:cs="Times New Roman"/>
          <w:noProof w:val="0"/>
        </w:rPr>
        <w:t>raumen</w:t>
      </w:r>
      <w:r w:rsidR="00295219">
        <w:rPr>
          <w:rFonts w:ascii="Times New Roman" w:eastAsia="Times New Roman" w:hAnsi="Times New Roman" w:cs="Times New Roman"/>
          <w:noProof w:val="0"/>
        </w:rPr>
        <w:t>inę</w:t>
      </w:r>
      <w:r w:rsidRPr="00E07ACB">
        <w:rPr>
          <w:rFonts w:ascii="Times New Roman" w:eastAsia="Times New Roman" w:hAnsi="Times New Roman" w:cs="Times New Roman"/>
          <w:noProof w:val="0"/>
        </w:rPr>
        <w:t xml:space="preserve"> blokadą (žr. 4.4 skyrių). Pacientams patariama prieš operaciją informuoti anesteziologą, kad jie vartoja </w:t>
      </w:r>
      <w:r w:rsidRPr="00E07ACB">
        <w:rPr>
          <w:rFonts w:ascii="Times New Roman" w:eastAsia="Times New Roman" w:hAnsi="Times New Roman" w:cs="Times New Roman"/>
          <w:noProof w:val="0"/>
          <w:szCs w:val="20"/>
        </w:rPr>
        <w:t>azatioprino</w:t>
      </w:r>
      <w:r w:rsidRPr="00E07ACB">
        <w:rPr>
          <w:rFonts w:ascii="Times New Roman" w:eastAsia="Times New Roman" w:hAnsi="Times New Roman" w:cs="Times New Roman"/>
          <w:noProof w:val="0"/>
        </w:rPr>
        <w:t>.</w:t>
      </w:r>
    </w:p>
    <w:p w14:paraId="551E4491" w14:textId="77777777" w:rsidR="00E07ACB" w:rsidRPr="00E07ACB" w:rsidRDefault="00E07ACB" w:rsidP="00E07ACB">
      <w:pPr>
        <w:spacing w:after="0" w:line="240" w:lineRule="auto"/>
        <w:ind w:left="540" w:hanging="540"/>
        <w:rPr>
          <w:rFonts w:ascii="Times New Roman" w:eastAsia="Times New Roman" w:hAnsi="Times New Roman" w:cs="Times New Roman"/>
          <w:noProof w:val="0"/>
        </w:rPr>
      </w:pPr>
    </w:p>
    <w:p w14:paraId="0539551B" w14:textId="77777777" w:rsidR="00E07ACB" w:rsidRPr="00E07ACB" w:rsidRDefault="00E07ACB" w:rsidP="00E07ACB">
      <w:pPr>
        <w:numPr>
          <w:ilvl w:val="0"/>
          <w:numId w:val="7"/>
        </w:numPr>
        <w:tabs>
          <w:tab w:val="num" w:pos="567"/>
        </w:tabs>
        <w:spacing w:after="0" w:line="240" w:lineRule="auto"/>
        <w:ind w:left="567" w:hanging="49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Azatiopriną derinant su kitais imunosupresantais, pvz., ciklosporinu ar takrolimuzu, būtina turėti omenyje, kad gali padidėti per didelės imunosupresijos rizika.</w:t>
      </w:r>
    </w:p>
    <w:p w14:paraId="0382ABE7" w14:textId="77777777" w:rsidR="00E07ACB" w:rsidRPr="00E07ACB" w:rsidRDefault="00E07ACB" w:rsidP="00E07ACB">
      <w:pPr>
        <w:tabs>
          <w:tab w:val="num" w:pos="567"/>
        </w:tabs>
        <w:spacing w:after="0" w:line="240" w:lineRule="auto"/>
        <w:rPr>
          <w:rFonts w:ascii="Times New Roman" w:eastAsia="Times New Roman" w:hAnsi="Times New Roman" w:cs="Times New Roman"/>
          <w:noProof w:val="0"/>
        </w:rPr>
      </w:pPr>
    </w:p>
    <w:p w14:paraId="47096E25" w14:textId="77777777" w:rsidR="00E07ACB" w:rsidRPr="00E07ACB" w:rsidRDefault="00E07ACB" w:rsidP="00E07ACB">
      <w:pPr>
        <w:numPr>
          <w:ilvl w:val="0"/>
          <w:numId w:val="7"/>
        </w:numPr>
        <w:tabs>
          <w:tab w:val="num" w:pos="567"/>
        </w:tabs>
        <w:spacing w:after="0" w:line="240" w:lineRule="auto"/>
        <w:ind w:left="567" w:hanging="49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Gydant Krono ligą, pastebėta sąveika tarp azatioprino ir infliksimabo. Azatioprino vartojantiems pacientams pirmosiomis savaitėmis po infliksimabo infuzijos laikinai padidėdavo aktyvaus azatioprino metabolito 6-tioguanino nukleotido (6-TGN) kiekis ir sumažėdavo vidutinis leukocitų kiekis. Po 3 mėnesių minėti parametrai tapdavo tokie, kokie buvo prieš infuziją.</w:t>
      </w:r>
    </w:p>
    <w:p w14:paraId="4FD3683E" w14:textId="77777777" w:rsidR="00E07ACB" w:rsidRPr="00E07ACB" w:rsidRDefault="00E07ACB" w:rsidP="00E07ACB">
      <w:pPr>
        <w:spacing w:after="0" w:line="240" w:lineRule="auto"/>
        <w:rPr>
          <w:rFonts w:ascii="Times New Roman" w:eastAsia="Times New Roman" w:hAnsi="Times New Roman" w:cs="Times New Roman"/>
          <w:noProof w:val="0"/>
        </w:rPr>
      </w:pPr>
    </w:p>
    <w:p w14:paraId="7C52F474" w14:textId="77777777" w:rsidR="00E07ACB" w:rsidRPr="00E07ACB" w:rsidRDefault="00E07ACB" w:rsidP="00E07ACB">
      <w:pPr>
        <w:numPr>
          <w:ilvl w:val="0"/>
          <w:numId w:val="7"/>
        </w:numPr>
        <w:spacing w:after="0" w:line="240" w:lineRule="auto"/>
        <w:ind w:hanging="644"/>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Azatiopriną derinant su aminosalicilo rūgšties dariniais, pvz., olsalazinu, mesalazinu ar sulfasalazinu, kyla mielosupresinio azatioprino poveikio sustiprėjimo rizika, kadangi slopinamas jo metabolizmas kepenyse (žr. 4.4 skyrių). </w:t>
      </w:r>
    </w:p>
    <w:p w14:paraId="1578EF7E" w14:textId="77777777" w:rsidR="00E07ACB" w:rsidRPr="00E07ACB" w:rsidRDefault="00E07ACB" w:rsidP="00E07ACB">
      <w:pPr>
        <w:spacing w:after="0" w:line="240" w:lineRule="auto"/>
        <w:rPr>
          <w:rFonts w:ascii="Times New Roman" w:eastAsia="Times New Roman" w:hAnsi="Times New Roman" w:cs="Times New Roman"/>
          <w:noProof w:val="0"/>
        </w:rPr>
      </w:pPr>
    </w:p>
    <w:p w14:paraId="5B88773C" w14:textId="77777777" w:rsidR="00E07ACB" w:rsidRPr="00E07ACB" w:rsidRDefault="00E07ACB" w:rsidP="00E07ACB">
      <w:pPr>
        <w:numPr>
          <w:ilvl w:val="0"/>
          <w:numId w:val="7"/>
        </w:numPr>
        <w:spacing w:after="0" w:line="240" w:lineRule="auto"/>
        <w:ind w:hanging="644"/>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Kartu su azatioprinu vartojant varfarino ar fenprokumono, pastebėtas pastarųjų dviejų preparatų antikoaguliacinio poveikio silpnėjimas, todėl reikia atidžiai sekti krešėjimo funkciją. </w:t>
      </w:r>
    </w:p>
    <w:p w14:paraId="1D53170F" w14:textId="77777777" w:rsidR="00E07ACB" w:rsidRPr="00E07ACB" w:rsidRDefault="00E07ACB" w:rsidP="00E07ACB">
      <w:pPr>
        <w:spacing w:after="0" w:line="240" w:lineRule="auto"/>
        <w:rPr>
          <w:rFonts w:ascii="Times New Roman" w:eastAsia="Times New Roman" w:hAnsi="Times New Roman" w:cs="Times New Roman"/>
          <w:noProof w:val="0"/>
        </w:rPr>
      </w:pPr>
    </w:p>
    <w:p w14:paraId="17A86142" w14:textId="77777777" w:rsidR="00E07ACB" w:rsidRPr="00E07ACB" w:rsidRDefault="00E07ACB" w:rsidP="00E07ACB">
      <w:pPr>
        <w:numPr>
          <w:ilvl w:val="0"/>
          <w:numId w:val="7"/>
        </w:numPr>
        <w:spacing w:after="0" w:line="240" w:lineRule="auto"/>
        <w:ind w:hanging="644"/>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Azatiopriną vartojant kartu su AKF inhibitoriais, trimetoprimu/sulfametoksazolu, cimetidinu ar indometacinu, didėja mielosupresijos rizika (žr. 4.4 skyrių).</w:t>
      </w:r>
    </w:p>
    <w:p w14:paraId="31A7ED68" w14:textId="77777777" w:rsidR="00E07ACB" w:rsidRPr="00E07ACB" w:rsidRDefault="00E07ACB" w:rsidP="00E07ACB">
      <w:pPr>
        <w:spacing w:after="0" w:line="240" w:lineRule="auto"/>
        <w:rPr>
          <w:rFonts w:ascii="Times New Roman" w:eastAsia="Times New Roman" w:hAnsi="Times New Roman" w:cs="Times New Roman"/>
          <w:noProof w:val="0"/>
        </w:rPr>
      </w:pPr>
    </w:p>
    <w:p w14:paraId="124B6CC0" w14:textId="77777777" w:rsidR="00E07ACB" w:rsidRPr="00E07ACB" w:rsidRDefault="00E07ACB" w:rsidP="00E07ACB">
      <w:pPr>
        <w:numPr>
          <w:ilvl w:val="0"/>
          <w:numId w:val="7"/>
        </w:numPr>
        <w:spacing w:after="0" w:line="240" w:lineRule="auto"/>
        <w:ind w:hanging="644"/>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Gydant azatioprinu ir vaistiniais preparatais, kuriems būdingos mieloidinio audinio funkcijos slopinamosios ar citotoksinės savybės, gali stiprėti toksinis poveikis mieloidiniam audiniui. Tai tinka ir tuo atveju, kai mielosupresinė terapija baigiama likus mažai laiko iki gydymo azatioprinu (žr. 4.4 skyrių). </w:t>
      </w:r>
    </w:p>
    <w:p w14:paraId="7297BD8A" w14:textId="77777777" w:rsidR="00E07ACB" w:rsidRPr="00E07ACB" w:rsidRDefault="00E07ACB" w:rsidP="00E07ACB">
      <w:pPr>
        <w:spacing w:after="0" w:line="240" w:lineRule="auto"/>
        <w:rPr>
          <w:rFonts w:ascii="Times New Roman" w:eastAsia="Times New Roman" w:hAnsi="Times New Roman" w:cs="Times New Roman"/>
          <w:noProof w:val="0"/>
        </w:rPr>
      </w:pPr>
    </w:p>
    <w:p w14:paraId="424F5563" w14:textId="77777777" w:rsidR="00E07ACB" w:rsidRPr="00E07ACB" w:rsidRDefault="00E07ACB" w:rsidP="00E07ACB">
      <w:pPr>
        <w:numPr>
          <w:ilvl w:val="0"/>
          <w:numId w:val="7"/>
        </w:numPr>
        <w:spacing w:after="0" w:line="240" w:lineRule="auto"/>
        <w:ind w:hanging="644"/>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Tyrimais </w:t>
      </w:r>
      <w:r w:rsidRPr="00E07ACB">
        <w:rPr>
          <w:rFonts w:ascii="Times New Roman" w:eastAsia="Times New Roman" w:hAnsi="Times New Roman" w:cs="Times New Roman"/>
          <w:i/>
          <w:noProof w:val="0"/>
        </w:rPr>
        <w:t xml:space="preserve">in vitro </w:t>
      </w:r>
      <w:r w:rsidRPr="00E07ACB">
        <w:rPr>
          <w:rFonts w:ascii="Times New Roman" w:eastAsia="Times New Roman" w:hAnsi="Times New Roman" w:cs="Times New Roman"/>
          <w:noProof w:val="0"/>
        </w:rPr>
        <w:t>su žmogaus kepenų audiniu įrodyta, kad furozemidas mažina azatioprino metabolizmą. Klinikinė reikšmė nėra žinoma.</w:t>
      </w:r>
    </w:p>
    <w:p w14:paraId="788B9359" w14:textId="77777777" w:rsidR="00E07ACB" w:rsidRPr="00E07ACB" w:rsidRDefault="00E07ACB" w:rsidP="00E07ACB">
      <w:pPr>
        <w:spacing w:after="0" w:line="240" w:lineRule="auto"/>
        <w:rPr>
          <w:rFonts w:ascii="Times New Roman" w:eastAsia="Times New Roman" w:hAnsi="Times New Roman" w:cs="Times New Roman"/>
          <w:noProof w:val="0"/>
        </w:rPr>
      </w:pPr>
    </w:p>
    <w:p w14:paraId="1DA0BC1D" w14:textId="77777777" w:rsidR="00E07ACB" w:rsidRPr="00E07ACB" w:rsidRDefault="00E07ACB" w:rsidP="00E07ACB">
      <w:pPr>
        <w:numPr>
          <w:ilvl w:val="0"/>
          <w:numId w:val="8"/>
        </w:numPr>
        <w:spacing w:after="0" w:line="240" w:lineRule="auto"/>
        <w:ind w:left="709" w:hanging="709"/>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Imunosupresinis azatioprino aktyvumas gali lemti neįprastą, net pavojingą atsaką į gyvąsias vakcinas, todėl remiantis teorine priežastimi, azatioprino vartojančius pacientus gyvosiomis vakcinomis skiepyti draudžiama (žr. 4.3 skyrių). </w:t>
      </w:r>
    </w:p>
    <w:p w14:paraId="3A5D64E6" w14:textId="77777777" w:rsidR="00E07ACB" w:rsidRPr="00E07ACB" w:rsidRDefault="00E07ACB" w:rsidP="00E07ACB">
      <w:pPr>
        <w:spacing w:after="0" w:line="240" w:lineRule="auto"/>
        <w:ind w:left="709"/>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Silpnesnis atsakas į negyvąsias vakcinas tikėtinas ir pacientų, gydomų azatioprino ir kortikosteroidų deriniu, atsakas į hepatito B vakciną buvo silpnesnis. </w:t>
      </w:r>
    </w:p>
    <w:p w14:paraId="2BF4A685" w14:textId="77777777" w:rsidR="00E07ACB" w:rsidRPr="00E07ACB" w:rsidRDefault="00E07ACB" w:rsidP="00E07ACB">
      <w:pPr>
        <w:spacing w:after="0" w:line="240" w:lineRule="auto"/>
        <w:ind w:left="709"/>
        <w:rPr>
          <w:rFonts w:ascii="Times New Roman" w:eastAsia="Times New Roman" w:hAnsi="Times New Roman" w:cs="Times New Roman"/>
          <w:noProof w:val="0"/>
        </w:rPr>
      </w:pPr>
      <w:r w:rsidRPr="00E07ACB">
        <w:rPr>
          <w:rFonts w:ascii="Times New Roman" w:eastAsia="Times New Roman" w:hAnsi="Times New Roman" w:cs="Times New Roman"/>
          <w:noProof w:val="0"/>
        </w:rPr>
        <w:t>Mažos apimties klinikinio tyrimo duomenys rodo, kad įprastinė terapinė azatioprino dozė, atsižvelgiant į vidutinę specifinių antikūnų prieš kapsulę koncentraciją, žalingos įtakos atsakui į polivalentinę pneumokokinę vakciną nedaro (žr. 4.4 skyrių).</w:t>
      </w:r>
    </w:p>
    <w:p w14:paraId="63A5036C" w14:textId="77777777" w:rsidR="00E07ACB" w:rsidRPr="00E07ACB" w:rsidRDefault="00E07ACB" w:rsidP="00E07ACB">
      <w:pPr>
        <w:spacing w:after="0" w:line="240" w:lineRule="auto"/>
        <w:ind w:left="540"/>
        <w:rPr>
          <w:rFonts w:ascii="Times New Roman" w:eastAsia="Times New Roman" w:hAnsi="Times New Roman" w:cs="Times New Roman"/>
          <w:noProof w:val="0"/>
        </w:rPr>
      </w:pPr>
    </w:p>
    <w:p w14:paraId="4C812E89" w14:textId="77777777" w:rsidR="00E07ACB" w:rsidRPr="00E07ACB" w:rsidRDefault="00E07ACB" w:rsidP="00E07ACB">
      <w:pPr>
        <w:numPr>
          <w:ilvl w:val="0"/>
          <w:numId w:val="9"/>
        </w:numPr>
        <w:spacing w:after="0" w:line="240" w:lineRule="auto"/>
        <w:ind w:hanging="72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Geriamos 20 mg/m² vaistinio preparato dozės padidino 6-merkaptopurino AUC apytiksliai 31 %, o leidžiamos į veną 2 g/m² ir 5 g/m² metotreksato dozės padidino 6-merkaptopurino AUC atitinkamai 69 % ir 93 %. Jeigu azatioprinas skiriamas kartu su didelėmis metotreksato dozėmis, dozę reikia koreguoti taip, kad būtų palaikomas tinkamas leukocitų skaičius.</w:t>
      </w:r>
    </w:p>
    <w:p w14:paraId="12E3119E" w14:textId="77777777" w:rsidR="00E07ACB" w:rsidRPr="00E07ACB" w:rsidRDefault="00E07ACB" w:rsidP="00E07ACB">
      <w:pPr>
        <w:spacing w:after="0" w:line="240" w:lineRule="auto"/>
        <w:rPr>
          <w:rFonts w:ascii="Times New Roman" w:eastAsia="Times New Roman" w:hAnsi="Times New Roman" w:cs="Times New Roman"/>
          <w:noProof w:val="0"/>
        </w:rPr>
      </w:pPr>
    </w:p>
    <w:p w14:paraId="2C2797B1"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4.6</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Vaisingumas, nėštumo ir žindymo laikotarpis</w:t>
      </w:r>
    </w:p>
    <w:p w14:paraId="05F32B1C" w14:textId="77777777" w:rsidR="00E07ACB" w:rsidRPr="00E07ACB" w:rsidRDefault="00E07ACB" w:rsidP="00E07ACB">
      <w:pPr>
        <w:spacing w:after="0" w:line="240" w:lineRule="auto"/>
        <w:rPr>
          <w:rFonts w:ascii="Times New Roman" w:eastAsia="Times New Roman" w:hAnsi="Times New Roman" w:cs="Times New Roman"/>
          <w:noProof w:val="0"/>
        </w:rPr>
      </w:pPr>
    </w:p>
    <w:p w14:paraId="5CC9816D"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Nėštumas</w:t>
      </w:r>
    </w:p>
    <w:p w14:paraId="39770B8A"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rizikos ir naudos santykis atidžiai neįvertintas, nėščias moteris azatioprinu gydyti draudžiama (žr. 4.3 skyrių).</w:t>
      </w:r>
    </w:p>
    <w:p w14:paraId="270277EA"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Tyrimų metu gyvūnams azatioprinas darė teratogeninį ir embriotoksinį poveikį (žr. 5.3 skyrių). </w:t>
      </w:r>
    </w:p>
    <w:p w14:paraId="24BF0A2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Azatioprino pavartojusių moterų vaisiaus kraujyje ir amniono skystyje rasta maža azatioprino ir jo metabolitų koncentracija. Kai kuriems nėštumo periodu azatioprinu gydytų moterų naujagimiams pasireiškė leukopenija ir (arba) trombocitopenija. Būtina itin atidžiai sekti azatioprinu gydomų nėščių moterų kraują. Pasireiškus leukopenijai, gydymą patariama nutraukti. </w:t>
      </w:r>
    </w:p>
    <w:p w14:paraId="4FF4375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Gydymo azatioprinu metu ir mažiausiai 3 mėn. po jo vaisingiems vyrams ir moterims būtina naudotis kontraceptinėmis priemonėmis. </w:t>
      </w:r>
    </w:p>
    <w:p w14:paraId="66FC6DB5"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Tai taikytina ir pacientams, kurių vaisingumas sutrikęs dėl lėtinės uremijos, kadangi po inkstų persodinimo šlapalo kiekis paprastai sunormalėja.</w:t>
      </w:r>
    </w:p>
    <w:p w14:paraId="7D0995D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Pastebėta, kad azatioprinas trikdo kontraceptinių gimdos priemonių veiksmingumą, todėl patariama vartoti arba papildomas, arba kitokias kontraceptines priemones. </w:t>
      </w:r>
    </w:p>
    <w:p w14:paraId="73C53D54" w14:textId="77777777" w:rsidR="00E07ACB" w:rsidRPr="00E07ACB" w:rsidRDefault="00E07ACB" w:rsidP="00E07ACB">
      <w:pPr>
        <w:spacing w:after="0" w:line="240" w:lineRule="auto"/>
        <w:rPr>
          <w:rFonts w:ascii="Times New Roman" w:eastAsia="Times New Roman" w:hAnsi="Times New Roman" w:cs="Times New Roman"/>
          <w:noProof w:val="0"/>
        </w:rPr>
      </w:pPr>
    </w:p>
    <w:p w14:paraId="70CEA79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Naujagimiams, kurie </w:t>
      </w:r>
      <w:r w:rsidRPr="00E07ACB">
        <w:rPr>
          <w:rFonts w:ascii="Times New Roman" w:eastAsia="Times New Roman" w:hAnsi="Times New Roman" w:cs="Times New Roman"/>
          <w:iCs/>
          <w:noProof w:val="0"/>
        </w:rPr>
        <w:t>gimdoje</w:t>
      </w:r>
      <w:r w:rsidRPr="00E07ACB">
        <w:rPr>
          <w:rFonts w:ascii="Times New Roman" w:eastAsia="Times New Roman" w:hAnsi="Times New Roman" w:cs="Times New Roman"/>
          <w:noProof w:val="0"/>
        </w:rPr>
        <w:t xml:space="preserve"> buvo paveikti azatioprino ir prednizolono derinio, pastebėtas laikinas imuninės funkcijos susilpnėjimas. Moterims, nėštumo metu gydomoms azatioprino ir prednizolono deriniu, buvo vaisiaus augimo gimdoje sulėtėjimo ir priešlaikinio gimdymo atvejų. Ilgalaikės šių azatioprino savybių pasekmės nežinomos, tačiau daug vaikų, kurių motinos nėštumo metu vartojo azatioprino, jau 10 metų išgyveno be komplikacijų. </w:t>
      </w:r>
    </w:p>
    <w:p w14:paraId="4300313C" w14:textId="77777777" w:rsidR="00E07ACB" w:rsidRPr="00E07ACB" w:rsidRDefault="00E07ACB" w:rsidP="00E07ACB">
      <w:pPr>
        <w:spacing w:after="0" w:line="240" w:lineRule="auto"/>
        <w:rPr>
          <w:rFonts w:ascii="Times New Roman" w:eastAsia="Times New Roman" w:hAnsi="Times New Roman" w:cs="Times New Roman"/>
          <w:noProof w:val="0"/>
        </w:rPr>
      </w:pPr>
    </w:p>
    <w:p w14:paraId="796D9B7E"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Žindymas</w:t>
      </w:r>
    </w:p>
    <w:p w14:paraId="7CF322A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Azatioprinu gydomų moterų priešpienyje ir piene rasta aktyvaus azatioprino metabolito 6-merkaptopurino. Žindymo laikotarpiu azatioprino vartoti draudžiama (žr. 4.3 skyrių).</w:t>
      </w:r>
    </w:p>
    <w:p w14:paraId="1685B132" w14:textId="77777777" w:rsidR="00E07ACB" w:rsidRPr="00E07ACB" w:rsidRDefault="00E07ACB" w:rsidP="00E07ACB">
      <w:pPr>
        <w:spacing w:after="0" w:line="240" w:lineRule="auto"/>
        <w:rPr>
          <w:rFonts w:ascii="Times New Roman" w:eastAsia="Times New Roman" w:hAnsi="Times New Roman" w:cs="Times New Roman"/>
          <w:noProof w:val="0"/>
        </w:rPr>
      </w:pPr>
    </w:p>
    <w:p w14:paraId="21EB9220"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Vaisingumas</w:t>
      </w:r>
    </w:p>
    <w:p w14:paraId="655189A0" w14:textId="77777777" w:rsidR="00E07ACB" w:rsidRPr="00E07ACB" w:rsidRDefault="00E07ACB" w:rsidP="00E07ACB">
      <w:pPr>
        <w:spacing w:after="0" w:line="240" w:lineRule="auto"/>
        <w:rPr>
          <w:rFonts w:ascii="Times New Roman" w:eastAsia="Times New Roman" w:hAnsi="Times New Roman" w:cs="Times New Roman"/>
          <w:i/>
          <w:noProof w:val="0"/>
          <w:color w:val="008000"/>
        </w:rPr>
      </w:pPr>
      <w:r w:rsidRPr="00E07ACB">
        <w:rPr>
          <w:rFonts w:ascii="Times New Roman" w:eastAsia="Times New Roman" w:hAnsi="Times New Roman" w:cs="Times New Roman"/>
          <w:noProof w:val="0"/>
        </w:rPr>
        <w:t>Lėtinio inkstų nepakankamumo simptomų pagerėjimas, įvykęs dėl inkstų transplantacijos ir azatioprino vartojimo, buvo lydimas vyrų ir moterų, kuriems buvo įvykdyta transplantacija, vaisingumo padidėjimo (aukščiau žiūrėkite vartotinus kontracepcijos būdus).</w:t>
      </w:r>
    </w:p>
    <w:p w14:paraId="04199B37" w14:textId="77777777" w:rsidR="00E07ACB" w:rsidRPr="00E07ACB" w:rsidRDefault="00E07ACB" w:rsidP="00E07ACB">
      <w:pPr>
        <w:spacing w:after="0" w:line="240" w:lineRule="auto"/>
        <w:rPr>
          <w:rFonts w:ascii="Times New Roman" w:eastAsia="Times New Roman" w:hAnsi="Times New Roman" w:cs="Times New Roman"/>
          <w:noProof w:val="0"/>
        </w:rPr>
      </w:pPr>
    </w:p>
    <w:p w14:paraId="6564498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lastRenderedPageBreak/>
        <w:t>4.7</w:t>
      </w:r>
      <w:r w:rsidRPr="00E07ACB">
        <w:rPr>
          <w:rFonts w:ascii="Times New Roman" w:eastAsia="Times New Roman" w:hAnsi="Times New Roman" w:cs="Times New Roman"/>
          <w:b/>
          <w:noProof w:val="0"/>
        </w:rPr>
        <w:tab/>
        <w:t>Poveikis gebėjimui vairuoti ir valdyti mechanizmus</w:t>
      </w:r>
    </w:p>
    <w:p w14:paraId="53656A87" w14:textId="77777777" w:rsidR="00E07ACB" w:rsidRPr="00E07ACB" w:rsidRDefault="00E07ACB" w:rsidP="00E07ACB">
      <w:pPr>
        <w:spacing w:after="0" w:line="240" w:lineRule="auto"/>
        <w:rPr>
          <w:rFonts w:ascii="Times New Roman" w:eastAsia="Times New Roman" w:hAnsi="Times New Roman" w:cs="Times New Roman"/>
          <w:noProof w:val="0"/>
        </w:rPr>
      </w:pPr>
    </w:p>
    <w:p w14:paraId="74B49681" w14:textId="77777777" w:rsidR="00E07ACB" w:rsidRPr="00E07ACB" w:rsidRDefault="00E07ACB" w:rsidP="00E07ACB">
      <w:pPr>
        <w:tabs>
          <w:tab w:val="left" w:pos="567"/>
        </w:tabs>
        <w:autoSpaceDE w:val="0"/>
        <w:autoSpaceDN w:val="0"/>
        <w:adjustRightInd w:val="0"/>
        <w:spacing w:after="12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Gydymas azatioprinu dėl nepageidaujamų reakcijų, tokių kaip svaigulys, ir įvairių individualių reakcijų galimybės gali veikti gebėjimą vairuoti ir valdyti mechanizmus. Ypač intensyviai šie poveikiai pasireiškia kartu vartojant alkoholio.</w:t>
      </w:r>
    </w:p>
    <w:p w14:paraId="4EFECE6B" w14:textId="77777777" w:rsidR="00E07ACB" w:rsidRPr="00E07ACB" w:rsidRDefault="00E07ACB" w:rsidP="00E07ACB">
      <w:pPr>
        <w:spacing w:after="0" w:line="240" w:lineRule="auto"/>
        <w:rPr>
          <w:rFonts w:ascii="Times New Roman" w:eastAsia="Times New Roman" w:hAnsi="Times New Roman" w:cs="Times New Roman"/>
          <w:noProof w:val="0"/>
        </w:rPr>
      </w:pPr>
    </w:p>
    <w:p w14:paraId="2041CCF1" w14:textId="77777777" w:rsidR="00E07ACB" w:rsidRPr="00E07ACB" w:rsidRDefault="00E07ACB" w:rsidP="00E07ACB">
      <w:pPr>
        <w:tabs>
          <w:tab w:val="left" w:pos="540"/>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4.8</w:t>
      </w:r>
      <w:r w:rsidRPr="00E07ACB">
        <w:rPr>
          <w:rFonts w:ascii="Times New Roman" w:eastAsia="Times New Roman" w:hAnsi="Times New Roman" w:cs="Times New Roman"/>
          <w:b/>
          <w:noProof w:val="0"/>
        </w:rPr>
        <w:tab/>
        <w:t>Nepageidaujamas poveikis</w:t>
      </w:r>
    </w:p>
    <w:p w14:paraId="17600CE0" w14:textId="77777777" w:rsidR="00E07ACB" w:rsidRPr="00E07ACB" w:rsidRDefault="00E07ACB" w:rsidP="00E07ACB">
      <w:pPr>
        <w:spacing w:after="0" w:line="240" w:lineRule="auto"/>
        <w:rPr>
          <w:rFonts w:ascii="Times New Roman" w:eastAsia="Times New Roman" w:hAnsi="Times New Roman" w:cs="Times New Roman"/>
          <w:noProof w:val="0"/>
        </w:rPr>
      </w:pPr>
    </w:p>
    <w:p w14:paraId="5ADAA040" w14:textId="65A2D6C0"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Nepageidaujamas azatioprino poveikis tikėtinas maždaug 15</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pacientų. Nepageidaujamų reakcijų pobūdis, stiprumas ir dažnis gali priklausyti nuo azatioprino dozės dydžio, gydymo trukmės, gydomos ligos bei kitų kartu vartojamų vaistinių preparatų. </w:t>
      </w:r>
    </w:p>
    <w:p w14:paraId="10429DE8" w14:textId="77777777" w:rsidR="00E07ACB" w:rsidRPr="00E07ACB" w:rsidRDefault="00E07ACB" w:rsidP="00E07ACB">
      <w:pPr>
        <w:spacing w:after="0" w:line="240" w:lineRule="auto"/>
        <w:rPr>
          <w:rFonts w:ascii="Times New Roman" w:eastAsia="Times New Roman" w:hAnsi="Times New Roman" w:cs="Times New Roman"/>
          <w:noProof w:val="0"/>
        </w:rPr>
      </w:pPr>
    </w:p>
    <w:p w14:paraId="66B07AE9" w14:textId="3315715F"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Svarbiausias nepageidaujamas azatioprino poveikis yra nuo dozės dydžio priklausomas, dažniausiai laikinas kaulų čiulpų funkcijos slopinimas, pasireiškiantis leukopenija, trombocitopenija ir anemija. Leukopenija gali pasireikšti 50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įprastine terapine azatioprino doze gydomų pacientų. </w:t>
      </w:r>
    </w:p>
    <w:p w14:paraId="1B682E3D" w14:textId="77777777" w:rsidR="00E07ACB" w:rsidRPr="00E07ACB" w:rsidRDefault="00E07ACB" w:rsidP="00E07ACB">
      <w:pPr>
        <w:spacing w:after="0" w:line="240" w:lineRule="auto"/>
        <w:rPr>
          <w:rFonts w:ascii="Times New Roman" w:eastAsia="Times New Roman" w:hAnsi="Times New Roman" w:cs="Times New Roman"/>
          <w:noProof w:val="0"/>
        </w:rPr>
      </w:pPr>
    </w:p>
    <w:p w14:paraId="06C29BBA"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Nepageidaujamo poveikio dažnis apibūdinamas</w:t>
      </w:r>
      <w:r w:rsidRPr="00E07ACB">
        <w:rPr>
          <w:rFonts w:ascii="Calibri" w:eastAsia="Calibri" w:hAnsi="Calibri" w:cs="Times New Roman"/>
        </w:rPr>
        <w:t xml:space="preserve"> </w:t>
      </w:r>
      <w:r w:rsidRPr="00E07ACB">
        <w:rPr>
          <w:rFonts w:ascii="Times New Roman" w:eastAsia="Times New Roman" w:hAnsi="Times New Roman" w:cs="Times New Roman"/>
          <w:b/>
          <w:noProof w:val="0"/>
        </w:rPr>
        <w:t xml:space="preserve">taip: </w:t>
      </w:r>
    </w:p>
    <w:p w14:paraId="72DCDF9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dažnas ( ≥ 1/10); </w:t>
      </w:r>
    </w:p>
    <w:p w14:paraId="1E79DC4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dažnas (nuo ≥ 1/100 iki &lt; 1/10); </w:t>
      </w:r>
    </w:p>
    <w:p w14:paraId="44053DFB" w14:textId="58AB1962"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nedažnas (nuo ≥ 1/1</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t xml:space="preserve">000 iki &lt; 1/100); </w:t>
      </w:r>
    </w:p>
    <w:p w14:paraId="18278F04" w14:textId="24DDBD15"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retas (nuo ≥ 1/10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t>000 iki &lt; 1/1</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t xml:space="preserve">000); </w:t>
      </w:r>
    </w:p>
    <w:p w14:paraId="40A65535" w14:textId="69AB9163"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retas ( &lt; 1/10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t>000);</w:t>
      </w:r>
    </w:p>
    <w:p w14:paraId="481FBA6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nežinomas (negali būti apskaičiuotas pagal turimus duomenis).</w:t>
      </w:r>
    </w:p>
    <w:p w14:paraId="043EEDB1" w14:textId="77777777" w:rsidR="00E07ACB" w:rsidRPr="00E07ACB" w:rsidRDefault="00E07ACB" w:rsidP="00E07ACB">
      <w:pPr>
        <w:spacing w:after="0" w:line="240" w:lineRule="auto"/>
        <w:rPr>
          <w:rFonts w:ascii="Times New Roman" w:eastAsia="Times New Roman" w:hAnsi="Times New Roman" w:cs="Times New Roman"/>
          <w:noProof w:val="0"/>
        </w:rPr>
      </w:pPr>
    </w:p>
    <w:p w14:paraId="7D3164D5"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Infekcijos ir infestacijos</w:t>
      </w:r>
    </w:p>
    <w:p w14:paraId="6AF62EC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16E25D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Pacientai po transplantacijos, gydomi azatioprinu kartu su kitais imunosupresantais.</w:t>
      </w:r>
    </w:p>
    <w:p w14:paraId="79AEB24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DFAFDD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dažnos. </w:t>
      </w:r>
      <w:r w:rsidRPr="00E07ACB">
        <w:rPr>
          <w:rFonts w:ascii="Times New Roman" w:eastAsia="Times New Roman" w:hAnsi="Times New Roman" w:cs="Times New Roman"/>
          <w:noProof w:val="0"/>
        </w:rPr>
        <w:tab/>
        <w:t>Virusinės, grybelinės ir bakterinės infekcinės ligos.</w:t>
      </w:r>
    </w:p>
    <w:p w14:paraId="60E97D5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879868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Kitos indikacijos</w:t>
      </w:r>
    </w:p>
    <w:p w14:paraId="692BF8A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6EE533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Nedažnos. </w:t>
      </w:r>
      <w:r w:rsidRPr="00E07ACB">
        <w:rPr>
          <w:rFonts w:ascii="Times New Roman" w:eastAsia="Times New Roman" w:hAnsi="Times New Roman" w:cs="Times New Roman"/>
          <w:noProof w:val="0"/>
        </w:rPr>
        <w:tab/>
        <w:t>Virusinės, grybelinės ir bakterinės infekcinės ligos.</w:t>
      </w:r>
    </w:p>
    <w:p w14:paraId="0FFB423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5272A2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Pacientai, gydomi vien tik azatioprinu arba azatioprinu kartu su kitais imunosupresantais, ypač kortikosteroidais, pasižymi padidėjusiu imlumu virusinėms, grybelinėms ir bakterinėms infekcijoms. </w:t>
      </w:r>
    </w:p>
    <w:p w14:paraId="3A8886D6" w14:textId="77777777" w:rsidR="00E07ACB" w:rsidRPr="00E07ACB" w:rsidRDefault="00E07ACB" w:rsidP="00E07ACB">
      <w:pPr>
        <w:spacing w:after="0" w:line="240" w:lineRule="auto"/>
        <w:rPr>
          <w:rFonts w:ascii="Times New Roman" w:eastAsia="Times New Roman" w:hAnsi="Times New Roman" w:cs="Times New Roman"/>
          <w:noProof w:val="0"/>
        </w:rPr>
      </w:pPr>
    </w:p>
    <w:p w14:paraId="22A99ED4" w14:textId="77777777" w:rsidR="00E07ACB" w:rsidRPr="00E07ACB" w:rsidRDefault="00E07ACB" w:rsidP="00E07ACB">
      <w:pPr>
        <w:spacing w:after="0" w:line="240" w:lineRule="auto"/>
        <w:ind w:left="1276" w:hanging="1276"/>
        <w:rPr>
          <w:rFonts w:ascii="Times New Roman" w:eastAsia="Times New Roman" w:hAnsi="Times New Roman" w:cs="Times New Roman"/>
          <w:noProof w:val="0"/>
        </w:rPr>
      </w:pPr>
      <w:r w:rsidRPr="00E07ACB">
        <w:rPr>
          <w:rFonts w:ascii="Times New Roman" w:eastAsia="Times New Roman" w:hAnsi="Times New Roman" w:cs="Times New Roman"/>
          <w:noProof w:val="0"/>
        </w:rPr>
        <w:t>Labai retos.    Pacientams, kurie vartojo azatiopriną kartu su kitais imunosupresantais, pasireiškė JC viruso sukelta PDL (žr. 4.4 skyriuje).</w:t>
      </w:r>
    </w:p>
    <w:p w14:paraId="603EF1BF" w14:textId="77777777" w:rsidR="00E07ACB" w:rsidRPr="00E07ACB" w:rsidRDefault="00E07ACB" w:rsidP="00E07ACB">
      <w:pPr>
        <w:spacing w:after="0" w:line="240" w:lineRule="auto"/>
        <w:rPr>
          <w:rFonts w:ascii="Times New Roman" w:eastAsia="Times New Roman" w:hAnsi="Times New Roman" w:cs="Times New Roman"/>
          <w:noProof w:val="0"/>
        </w:rPr>
      </w:pPr>
    </w:p>
    <w:p w14:paraId="69CD1835"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Gerybiniai, piktybiniai ir nepatikslinti navikai (tarp jų cistos ir polipai)</w:t>
      </w:r>
    </w:p>
    <w:p w14:paraId="7C2691B3" w14:textId="77777777" w:rsidR="00E07ACB" w:rsidRPr="00E07ACB" w:rsidRDefault="00E07ACB" w:rsidP="00E07ACB">
      <w:pPr>
        <w:spacing w:after="0" w:line="240" w:lineRule="auto"/>
        <w:rPr>
          <w:rFonts w:ascii="Times New Roman" w:eastAsia="Times New Roman" w:hAnsi="Times New Roman" w:cs="Times New Roman"/>
          <w:noProof w:val="0"/>
          <w:highlight w:val="yellow"/>
          <w:u w:val="single"/>
        </w:rPr>
      </w:pPr>
    </w:p>
    <w:p w14:paraId="6EB0882B" w14:textId="77777777" w:rsidR="00E07ACB" w:rsidRPr="00E07ACB" w:rsidRDefault="00E07ACB" w:rsidP="00E07ACB">
      <w:pPr>
        <w:spacing w:after="0" w:line="240" w:lineRule="auto"/>
        <w:ind w:left="1276" w:hanging="1276"/>
        <w:rPr>
          <w:rFonts w:ascii="Times New Roman" w:eastAsia="Times New Roman" w:hAnsi="Times New Roman" w:cs="Times New Roman"/>
          <w:noProof w:val="0"/>
          <w:highlight w:val="yellow"/>
          <w:u w:val="single"/>
        </w:rPr>
      </w:pPr>
      <w:r w:rsidRPr="00E07ACB">
        <w:rPr>
          <w:rFonts w:ascii="Times New Roman" w:eastAsia="Times New Roman" w:hAnsi="Times New Roman" w:cs="Times New Roman"/>
          <w:noProof w:val="0"/>
        </w:rPr>
        <w:t xml:space="preserve">Retos. </w:t>
      </w:r>
      <w:r w:rsidRPr="00E07ACB">
        <w:rPr>
          <w:rFonts w:ascii="Times New Roman" w:eastAsia="Times New Roman" w:hAnsi="Times New Roman" w:cs="Times New Roman"/>
          <w:noProof w:val="0"/>
        </w:rPr>
        <w:tab/>
        <w:t>Navikai, įskaitant ne limfoproliferacinius sutrikimus, odos vėžį, sarkomas (Kapoši [</w:t>
      </w:r>
      <w:r w:rsidRPr="00E07ACB">
        <w:rPr>
          <w:rFonts w:ascii="Times New Roman" w:eastAsia="Times New Roman" w:hAnsi="Times New Roman" w:cs="Times New Roman"/>
          <w:i/>
          <w:iCs/>
          <w:noProof w:val="0"/>
        </w:rPr>
        <w:t>Kaposi</w:t>
      </w:r>
      <w:r w:rsidRPr="00E07ACB">
        <w:rPr>
          <w:rFonts w:ascii="Times New Roman" w:eastAsia="Times New Roman" w:hAnsi="Times New Roman" w:cs="Times New Roman"/>
          <w:noProof w:val="0"/>
        </w:rPr>
        <w:t xml:space="preserve">] ir kt.), gimdos kaklelio vėžį </w:t>
      </w:r>
      <w:r w:rsidRPr="00E07ACB">
        <w:rPr>
          <w:rFonts w:ascii="Times New Roman" w:eastAsia="Times New Roman" w:hAnsi="Times New Roman" w:cs="Times New Roman"/>
          <w:i/>
          <w:noProof w:val="0"/>
        </w:rPr>
        <w:t>in  situ</w:t>
      </w:r>
      <w:r w:rsidRPr="00E07ACB">
        <w:rPr>
          <w:rFonts w:ascii="Times New Roman" w:eastAsia="Times New Roman" w:hAnsi="Times New Roman" w:cs="Times New Roman"/>
          <w:noProof w:val="0"/>
        </w:rPr>
        <w:t>, ūminę mieloidinę leukemiją ir mielodisplaziją (žr. 4.4 skyrių).</w:t>
      </w:r>
    </w:p>
    <w:p w14:paraId="0564DB7A" w14:textId="77777777" w:rsidR="00E07ACB" w:rsidRPr="00E07ACB" w:rsidRDefault="00E07ACB" w:rsidP="00E07ACB">
      <w:pPr>
        <w:spacing w:after="0" w:line="240" w:lineRule="auto"/>
        <w:rPr>
          <w:rFonts w:ascii="Times New Roman" w:eastAsia="Times New Roman" w:hAnsi="Times New Roman" w:cs="Times New Roman"/>
          <w:noProof w:val="0"/>
          <w:highlight w:val="yellow"/>
          <w:u w:val="single"/>
        </w:rPr>
      </w:pPr>
    </w:p>
    <w:p w14:paraId="0944828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 Hodžkino (</w:t>
      </w:r>
      <w:r w:rsidRPr="00E07ACB">
        <w:rPr>
          <w:rFonts w:ascii="Times New Roman" w:eastAsia="Times New Roman" w:hAnsi="Times New Roman" w:cs="Times New Roman"/>
          <w:i/>
          <w:iCs/>
          <w:noProof w:val="0"/>
        </w:rPr>
        <w:t>non-Hodgkin</w:t>
      </w:r>
      <w:r w:rsidRPr="00E07ACB">
        <w:rPr>
          <w:rFonts w:ascii="Times New Roman" w:eastAsia="Times New Roman" w:hAnsi="Times New Roman" w:cs="Times New Roman"/>
          <w:noProof w:val="0"/>
        </w:rPr>
        <w:t>) limfomų ir kitų piktybinių auglių, ypač odos vėžio, sarkomų (Kapoši [</w:t>
      </w:r>
      <w:r w:rsidRPr="00E07ACB">
        <w:rPr>
          <w:rFonts w:ascii="Times New Roman" w:eastAsia="Times New Roman" w:hAnsi="Times New Roman" w:cs="Times New Roman"/>
          <w:i/>
          <w:iCs/>
          <w:noProof w:val="0"/>
        </w:rPr>
        <w:t>Kaposi</w:t>
      </w:r>
      <w:r w:rsidRPr="00E07ACB">
        <w:rPr>
          <w:rFonts w:ascii="Times New Roman" w:eastAsia="Times New Roman" w:hAnsi="Times New Roman" w:cs="Times New Roman"/>
          <w:noProof w:val="0"/>
        </w:rPr>
        <w:t xml:space="preserve">] ir kt.) ir gimdos kaklelio </w:t>
      </w:r>
      <w:r w:rsidRPr="00E07ACB">
        <w:rPr>
          <w:rFonts w:ascii="Times New Roman" w:eastAsia="Times New Roman" w:hAnsi="Times New Roman" w:cs="Times New Roman"/>
          <w:i/>
          <w:noProof w:val="0"/>
        </w:rPr>
        <w:t>in situ</w:t>
      </w:r>
      <w:r w:rsidRPr="00E07ACB">
        <w:rPr>
          <w:rFonts w:ascii="Times New Roman" w:eastAsia="Times New Roman" w:hAnsi="Times New Roman" w:cs="Times New Roman"/>
          <w:noProof w:val="0"/>
        </w:rPr>
        <w:t xml:space="preserve"> vėžio, atsiradimo rizika didesnė pacientams, kurie gydomi imunosupresiniais vaistais, ypač transplantato recipientams, gaunantiems agresyvų gydymą, todėl reikia taikyti patį silpniausią veiksmingą gydymą. Padidėjusi ne Hodžkino (</w:t>
      </w:r>
      <w:r w:rsidRPr="00E07ACB">
        <w:rPr>
          <w:rFonts w:ascii="Times New Roman" w:eastAsia="Times New Roman" w:hAnsi="Times New Roman" w:cs="Times New Roman"/>
          <w:i/>
          <w:iCs/>
          <w:noProof w:val="0"/>
        </w:rPr>
        <w:t>non-Hodgkin</w:t>
      </w:r>
      <w:r w:rsidRPr="00E07ACB">
        <w:rPr>
          <w:rFonts w:ascii="Times New Roman" w:eastAsia="Times New Roman" w:hAnsi="Times New Roman" w:cs="Times New Roman"/>
          <w:noProof w:val="0"/>
        </w:rPr>
        <w:t>) limfomų atsiradimo rizika imunosupresiniams pacientams, sergantiems reumatoidiniu artritu, palyginti su bendra populiacija, greičiausiai bent iš dalies yra susijusi su pačia liga.</w:t>
      </w:r>
    </w:p>
    <w:p w14:paraId="2451540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Aprašyta retų ūminės mieloidinės leukemijos ir mielodisplazijos atvejų (kai kurie iš jų susiję su chromosomų anomalijomis).</w:t>
      </w:r>
    </w:p>
    <w:p w14:paraId="5F10A312" w14:textId="77777777" w:rsidR="00E07ACB" w:rsidRPr="00E07ACB" w:rsidRDefault="00E07ACB" w:rsidP="00E07ACB">
      <w:pPr>
        <w:spacing w:after="0" w:line="240" w:lineRule="auto"/>
        <w:rPr>
          <w:rFonts w:ascii="Times New Roman" w:eastAsia="Times New Roman" w:hAnsi="Times New Roman" w:cs="Times New Roman"/>
          <w:noProof w:val="0"/>
        </w:rPr>
      </w:pPr>
    </w:p>
    <w:p w14:paraId="1C4CDB4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Kraujo ir limfinės sistemos sutrikimai</w:t>
      </w:r>
    </w:p>
    <w:p w14:paraId="4B8528A8"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4E75842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dažni.</w:t>
      </w:r>
      <w:r w:rsidRPr="00E07ACB">
        <w:rPr>
          <w:rFonts w:ascii="Times New Roman" w:eastAsia="Times New Roman" w:hAnsi="Times New Roman" w:cs="Times New Roman"/>
          <w:noProof w:val="0"/>
        </w:rPr>
        <w:tab/>
        <w:t>Kaulų čiulpų funkcijos slopinimas, leukopenija.</w:t>
      </w:r>
    </w:p>
    <w:p w14:paraId="0D5BC52E" w14:textId="77777777" w:rsidR="00E07ACB" w:rsidRPr="00E07ACB" w:rsidRDefault="00E07ACB" w:rsidP="00E07ACB">
      <w:pPr>
        <w:spacing w:after="0" w:line="240" w:lineRule="auto"/>
        <w:rPr>
          <w:rFonts w:ascii="Times New Roman" w:eastAsia="Times New Roman" w:hAnsi="Times New Roman" w:cs="Times New Roman"/>
          <w:noProof w:val="0"/>
        </w:rPr>
      </w:pPr>
    </w:p>
    <w:p w14:paraId="14A8369A"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Dažni.</w:t>
      </w:r>
      <w:r w:rsidRPr="00E07ACB">
        <w:rPr>
          <w:rFonts w:ascii="Times New Roman" w:eastAsia="Times New Roman" w:hAnsi="Times New Roman" w:cs="Times New Roman"/>
          <w:noProof w:val="0"/>
        </w:rPr>
        <w:tab/>
        <w:t>Trombocitopenija.</w:t>
      </w:r>
    </w:p>
    <w:p w14:paraId="144370F7" w14:textId="77777777" w:rsidR="00E07ACB" w:rsidRPr="00E07ACB" w:rsidRDefault="00E07ACB" w:rsidP="00E07ACB">
      <w:pPr>
        <w:spacing w:after="0" w:line="240" w:lineRule="auto"/>
        <w:rPr>
          <w:rFonts w:ascii="Times New Roman" w:eastAsia="Times New Roman" w:hAnsi="Times New Roman" w:cs="Times New Roman"/>
          <w:noProof w:val="0"/>
        </w:rPr>
      </w:pPr>
    </w:p>
    <w:p w14:paraId="7A515DF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Nedažni.</w:t>
      </w:r>
      <w:r w:rsidRPr="00E07ACB">
        <w:rPr>
          <w:rFonts w:ascii="Times New Roman" w:eastAsia="Times New Roman" w:hAnsi="Times New Roman" w:cs="Times New Roman"/>
          <w:noProof w:val="0"/>
        </w:rPr>
        <w:tab/>
        <w:t>Anemija.</w:t>
      </w:r>
    </w:p>
    <w:p w14:paraId="1E8F9DD6" w14:textId="77777777" w:rsidR="00E07ACB" w:rsidRPr="00E07ACB" w:rsidRDefault="00E07ACB" w:rsidP="00E07ACB">
      <w:pPr>
        <w:spacing w:after="0" w:line="240" w:lineRule="auto"/>
        <w:rPr>
          <w:rFonts w:ascii="Times New Roman" w:eastAsia="Times New Roman" w:hAnsi="Times New Roman" w:cs="Times New Roman"/>
          <w:noProof w:val="0"/>
        </w:rPr>
      </w:pPr>
    </w:p>
    <w:p w14:paraId="06A6D604" w14:textId="77777777" w:rsidR="00E07ACB" w:rsidRPr="00E07ACB" w:rsidRDefault="00E07ACB" w:rsidP="00E07ACB">
      <w:pPr>
        <w:spacing w:after="0" w:line="240" w:lineRule="auto"/>
        <w:ind w:left="1276" w:hanging="1276"/>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t>Reti.</w:t>
      </w:r>
      <w:r w:rsidRPr="00E07ACB">
        <w:rPr>
          <w:rFonts w:ascii="Times New Roman" w:eastAsia="Times New Roman" w:hAnsi="Times New Roman" w:cs="Times New Roman"/>
          <w:noProof w:val="0"/>
        </w:rPr>
        <w:tab/>
        <w:t>Agranulocitozė, pancitopenija, aplazinė anemija, megaloblastinė anemija, eritroidinė hipoplazija.</w:t>
      </w:r>
    </w:p>
    <w:p w14:paraId="496CFE91" w14:textId="77777777" w:rsidR="00E07ACB" w:rsidRPr="00E07ACB" w:rsidRDefault="00E07ACB" w:rsidP="00E07ACB">
      <w:pPr>
        <w:spacing w:after="0" w:line="240" w:lineRule="auto"/>
        <w:rPr>
          <w:rFonts w:ascii="Times New Roman" w:eastAsia="Times New Roman" w:hAnsi="Times New Roman" w:cs="Times New Roman"/>
          <w:noProof w:val="0"/>
        </w:rPr>
      </w:pPr>
    </w:p>
    <w:p w14:paraId="756ED37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Su azatioprinu vartojimu gali būti susijęs nuo dozės priklausomas, paprastai grįžtamas kaulų čiulpų funkcijos slopinimas, kuris dažniausiai pasireiškia leukopenija, bet kartais ir anemija, trombocitopenija, retais atvejais – agranulocitoze, pancitopenija ir aplazine anemija. Šie reiškiniai ypač būdingi pacientams, linkusiems į mielotoksiškumą, kuriems yra TPMP stoka, inkstų arba kepenų nepakankamumas, taip pat pacientams, kurie tuo pačiu metu gydomi alopurinoliu, tačiau jiems negalima sumažinti azatioprino dozės.</w:t>
      </w:r>
    </w:p>
    <w:p w14:paraId="37B397C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Gydant azatioprinu, pasireiškia grįžtamas, su doze susijęs vidutinio eritrocito tūrio ir hemoglobino kiekio eritrocite padidėjimas. Taip pat stebėta megaloblastinių kaulų čiulpų pokyčių, tačiau sunki megaloblastinė anemija ir eritroidinė hipoplazija pasireiškia retai.</w:t>
      </w:r>
    </w:p>
    <w:p w14:paraId="7FD2B0CA" w14:textId="77777777" w:rsidR="00E07ACB" w:rsidRPr="00E07ACB" w:rsidRDefault="00E07ACB" w:rsidP="00E07ACB">
      <w:pPr>
        <w:spacing w:after="0" w:line="240" w:lineRule="auto"/>
        <w:rPr>
          <w:rFonts w:ascii="Times New Roman" w:eastAsia="Times New Roman" w:hAnsi="Times New Roman" w:cs="Times New Roman"/>
          <w:noProof w:val="0"/>
        </w:rPr>
      </w:pPr>
    </w:p>
    <w:p w14:paraId="50D52D1E"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Imuninės sistemos sutrikimai</w:t>
      </w:r>
    </w:p>
    <w:p w14:paraId="1D30BBEE"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71A65FB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Nedažni. </w:t>
      </w:r>
      <w:r w:rsidRPr="00E07ACB">
        <w:rPr>
          <w:rFonts w:ascii="Times New Roman" w:eastAsia="Times New Roman" w:hAnsi="Times New Roman" w:cs="Times New Roman"/>
          <w:noProof w:val="0"/>
        </w:rPr>
        <w:tab/>
        <w:t>Padidėjusio jautrumo reakcijos.</w:t>
      </w:r>
    </w:p>
    <w:p w14:paraId="16B3E467" w14:textId="77777777" w:rsidR="00E07ACB" w:rsidRPr="00E07ACB" w:rsidRDefault="00E07ACB" w:rsidP="00E07ACB">
      <w:pPr>
        <w:spacing w:after="0" w:line="240" w:lineRule="auto"/>
        <w:rPr>
          <w:rFonts w:ascii="Times New Roman" w:eastAsia="Times New Roman" w:hAnsi="Times New Roman" w:cs="Times New Roman"/>
          <w:noProof w:val="0"/>
        </w:rPr>
      </w:pPr>
    </w:p>
    <w:p w14:paraId="0E4DF7F2"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t xml:space="preserve">Labai reti. </w:t>
      </w:r>
      <w:r w:rsidRPr="00E07ACB">
        <w:rPr>
          <w:rFonts w:ascii="Times New Roman" w:eastAsia="Times New Roman" w:hAnsi="Times New Roman" w:cs="Times New Roman"/>
          <w:noProof w:val="0"/>
        </w:rPr>
        <w:tab/>
        <w:t>Stivenso-Džonsono (</w:t>
      </w:r>
      <w:r w:rsidRPr="00E07ACB">
        <w:rPr>
          <w:rFonts w:ascii="Times New Roman" w:eastAsia="Times New Roman" w:hAnsi="Times New Roman" w:cs="Times New Roman"/>
          <w:i/>
          <w:iCs/>
          <w:noProof w:val="0"/>
        </w:rPr>
        <w:t>Stevens-Johnson</w:t>
      </w:r>
      <w:r w:rsidRPr="00E07ACB">
        <w:rPr>
          <w:rFonts w:ascii="Times New Roman" w:eastAsia="Times New Roman" w:hAnsi="Times New Roman" w:cs="Times New Roman"/>
          <w:noProof w:val="0"/>
        </w:rPr>
        <w:t>) sindromas bei toksinė epidermio nekrolizė [Lajelio (</w:t>
      </w:r>
      <w:r w:rsidRPr="00E07ACB">
        <w:rPr>
          <w:rFonts w:ascii="Times New Roman" w:eastAsia="Times New Roman" w:hAnsi="Times New Roman" w:cs="Times New Roman"/>
          <w:i/>
          <w:noProof w:val="0"/>
        </w:rPr>
        <w:t>Lyell</w:t>
      </w:r>
      <w:r w:rsidRPr="00E07ACB">
        <w:rPr>
          <w:rFonts w:ascii="Times New Roman" w:eastAsia="Times New Roman" w:hAnsi="Times New Roman" w:cs="Times New Roman"/>
          <w:noProof w:val="0"/>
        </w:rPr>
        <w:t>) sindromas].</w:t>
      </w:r>
    </w:p>
    <w:p w14:paraId="602DBF0D" w14:textId="77777777" w:rsidR="00E07ACB" w:rsidRPr="00E07ACB" w:rsidRDefault="00E07ACB" w:rsidP="00E07ACB">
      <w:pPr>
        <w:spacing w:after="0" w:line="240" w:lineRule="auto"/>
        <w:rPr>
          <w:rFonts w:ascii="Times New Roman" w:eastAsia="Times New Roman" w:hAnsi="Times New Roman" w:cs="Times New Roman"/>
          <w:noProof w:val="0"/>
        </w:rPr>
      </w:pPr>
    </w:p>
    <w:p w14:paraId="56074225" w14:textId="65CD04C4"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Aprašyti keli skirtingi klinikiniai sindromai, pastebėti vartojantiesiems azatioprino. Greičiausiai tai idiosinkrazinės padidėjusio jautrumo reakcijos, kurios gali pasireikšti bendru negalavimu, svaiguliu, pykinimu, vėmimu, viduriavimu, karščiavimu, sustingimu, egzantema, bėrimu, </w:t>
      </w:r>
      <w:r w:rsidR="00296BF7">
        <w:rPr>
          <w:rFonts w:ascii="Times New Roman" w:eastAsia="Times New Roman" w:hAnsi="Times New Roman" w:cs="Times New Roman"/>
          <w:noProof w:val="0"/>
        </w:rPr>
        <w:t xml:space="preserve">mazgine eritema, </w:t>
      </w:r>
      <w:r w:rsidRPr="00E07ACB">
        <w:rPr>
          <w:rFonts w:ascii="Times New Roman" w:eastAsia="Times New Roman" w:hAnsi="Times New Roman" w:cs="Times New Roman"/>
          <w:noProof w:val="0"/>
        </w:rPr>
        <w:t xml:space="preserve">vaskulitu, raumenų ir sąnarių skausmais, hipotenzija, inkstų ir kepenų funkcijos sutrikimu, cholestaze (žr. </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Kepenų, tulžies pūslės ir latakų sutrikimai</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 xml:space="preserve">). </w:t>
      </w:r>
    </w:p>
    <w:p w14:paraId="6F8158E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Daugeliu atvejų pakartotinai išskyrus azatioprino, reiškiniai pasikartojo – taip įrodyta sąsaja su šiuo vaistu.</w:t>
      </w:r>
    </w:p>
    <w:p w14:paraId="503CC9D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Daugeliu atvejų nepageidaujamas poveikis išnykdavo iškart po azatioprino vartojimo nutraukimo ir, esant reikalui, sureguliavus kraujotaką. Aprašyta labai retų mirties atvejų, susijusių su kita sunkia liga.</w:t>
      </w:r>
    </w:p>
    <w:p w14:paraId="47175BC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Pastebėjus padidėjusio jautrumo reakciją į azatiopriną, kiekvienu atveju reikia atidžiai apsvarstyti, ar būtina tęsti gydymą šiuo preparatu.</w:t>
      </w:r>
    </w:p>
    <w:p w14:paraId="662896A4" w14:textId="77777777" w:rsidR="00E07ACB" w:rsidRPr="00E07ACB" w:rsidRDefault="00E07ACB" w:rsidP="00E07ACB">
      <w:pPr>
        <w:spacing w:after="0" w:line="240" w:lineRule="auto"/>
        <w:rPr>
          <w:rFonts w:ascii="Times New Roman" w:eastAsia="Times New Roman" w:hAnsi="Times New Roman" w:cs="Times New Roman"/>
          <w:noProof w:val="0"/>
        </w:rPr>
      </w:pPr>
    </w:p>
    <w:p w14:paraId="3E27F801"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Kvėpavimo sistemos, krūtinės ląstos ir tarpuplaučio sutrikimai</w:t>
      </w:r>
    </w:p>
    <w:p w14:paraId="1E6223D2" w14:textId="77777777" w:rsidR="00E07ACB" w:rsidRPr="00E07ACB" w:rsidRDefault="00E07ACB" w:rsidP="00E07ACB">
      <w:pPr>
        <w:spacing w:after="0" w:line="240" w:lineRule="auto"/>
        <w:rPr>
          <w:rFonts w:ascii="Times New Roman" w:eastAsia="Times New Roman" w:hAnsi="Times New Roman" w:cs="Times New Roman"/>
          <w:noProof w:val="0"/>
        </w:rPr>
      </w:pPr>
    </w:p>
    <w:p w14:paraId="3604E085"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reti. </w:t>
      </w:r>
      <w:r w:rsidRPr="00E07ACB">
        <w:rPr>
          <w:rFonts w:ascii="Times New Roman" w:eastAsia="Times New Roman" w:hAnsi="Times New Roman" w:cs="Times New Roman"/>
          <w:noProof w:val="0"/>
        </w:rPr>
        <w:tab/>
        <w:t>Grįžtamas pneumonitas.</w:t>
      </w:r>
    </w:p>
    <w:p w14:paraId="74260EC0" w14:textId="77777777" w:rsidR="00E07ACB" w:rsidRPr="00E07ACB" w:rsidRDefault="00E07ACB" w:rsidP="00E07ACB">
      <w:pPr>
        <w:spacing w:after="0" w:line="240" w:lineRule="auto"/>
        <w:rPr>
          <w:rFonts w:ascii="Times New Roman" w:eastAsia="Times New Roman" w:hAnsi="Times New Roman" w:cs="Times New Roman"/>
          <w:noProof w:val="0"/>
        </w:rPr>
      </w:pPr>
    </w:p>
    <w:p w14:paraId="7310E40B"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Virškinimo trakto sutrikimai</w:t>
      </w:r>
    </w:p>
    <w:p w14:paraId="6A09636B" w14:textId="77777777" w:rsidR="00E07ACB" w:rsidRPr="00E07ACB" w:rsidRDefault="00E07ACB" w:rsidP="00E07ACB">
      <w:pPr>
        <w:spacing w:after="0" w:line="240" w:lineRule="auto"/>
        <w:rPr>
          <w:rFonts w:ascii="Times New Roman" w:eastAsia="Times New Roman" w:hAnsi="Times New Roman" w:cs="Times New Roman"/>
          <w:noProof w:val="0"/>
          <w:u w:val="single"/>
        </w:rPr>
      </w:pPr>
    </w:p>
    <w:tbl>
      <w:tblPr>
        <w:tblW w:w="8490" w:type="dxa"/>
        <w:tblLook w:val="04A0" w:firstRow="1" w:lastRow="0" w:firstColumn="1" w:lastColumn="0" w:noHBand="0" w:noVBand="1"/>
      </w:tblPr>
      <w:tblGrid>
        <w:gridCol w:w="1688"/>
        <w:gridCol w:w="6802"/>
      </w:tblGrid>
      <w:tr w:rsidR="00E07ACB" w:rsidRPr="00E07ACB" w14:paraId="6F84A2D8" w14:textId="77777777" w:rsidTr="00E07ACB">
        <w:trPr>
          <w:trHeight w:val="315"/>
        </w:trPr>
        <w:tc>
          <w:tcPr>
            <w:tcW w:w="1688" w:type="dxa"/>
            <w:vAlign w:val="center"/>
            <w:hideMark/>
          </w:tcPr>
          <w:p w14:paraId="0537EF98"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Labai dažni.</w:t>
            </w:r>
          </w:p>
        </w:tc>
        <w:tc>
          <w:tcPr>
            <w:tcW w:w="6803" w:type="dxa"/>
            <w:vAlign w:val="center"/>
            <w:hideMark/>
          </w:tcPr>
          <w:p w14:paraId="4DEF4706"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Pykinimas ir anoreksija su retkarčiais pasitaikančiu vėmimu</w:t>
            </w:r>
          </w:p>
        </w:tc>
      </w:tr>
      <w:tr w:rsidR="00E07ACB" w:rsidRPr="00E07ACB" w14:paraId="7A4A7B2D" w14:textId="77777777" w:rsidTr="00E07ACB">
        <w:trPr>
          <w:trHeight w:val="705"/>
        </w:trPr>
        <w:tc>
          <w:tcPr>
            <w:tcW w:w="1688" w:type="dxa"/>
            <w:vAlign w:val="center"/>
            <w:hideMark/>
          </w:tcPr>
          <w:p w14:paraId="4E68275D"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Nedažni.</w:t>
            </w:r>
          </w:p>
        </w:tc>
        <w:tc>
          <w:tcPr>
            <w:tcW w:w="6803" w:type="dxa"/>
            <w:vAlign w:val="center"/>
            <w:hideMark/>
          </w:tcPr>
          <w:p w14:paraId="0CBAEE09"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 xml:space="preserve">Pankreatitas </w:t>
            </w:r>
          </w:p>
        </w:tc>
      </w:tr>
      <w:tr w:rsidR="00E07ACB" w:rsidRPr="00E07ACB" w14:paraId="5A1B3CB8" w14:textId="77777777" w:rsidTr="00E07ACB">
        <w:trPr>
          <w:trHeight w:val="549"/>
        </w:trPr>
        <w:tc>
          <w:tcPr>
            <w:tcW w:w="1688" w:type="dxa"/>
            <w:vAlign w:val="center"/>
            <w:hideMark/>
          </w:tcPr>
          <w:p w14:paraId="16645820"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Reti.</w:t>
            </w:r>
          </w:p>
        </w:tc>
        <w:tc>
          <w:tcPr>
            <w:tcW w:w="6803" w:type="dxa"/>
            <w:vAlign w:val="center"/>
            <w:hideMark/>
          </w:tcPr>
          <w:p w14:paraId="229570F5"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Transplantato recipientams pasitaikė kolito, divertikulito ir žarnų perforacijos atvejų, sergantiesiems uždegiminėmis žarnų ligomis - sunkus viduriavimas</w:t>
            </w:r>
          </w:p>
        </w:tc>
      </w:tr>
    </w:tbl>
    <w:p w14:paraId="61F55740" w14:textId="77777777" w:rsidR="00E07ACB" w:rsidRPr="00E07ACB" w:rsidRDefault="00E07ACB" w:rsidP="00E07ACB">
      <w:pPr>
        <w:spacing w:after="0" w:line="240" w:lineRule="auto"/>
        <w:rPr>
          <w:rFonts w:ascii="Times New Roman" w:eastAsia="Times New Roman" w:hAnsi="Times New Roman" w:cs="Times New Roman"/>
          <w:noProof w:val="0"/>
          <w:szCs w:val="24"/>
          <w:u w:val="single"/>
        </w:rPr>
      </w:pPr>
    </w:p>
    <w:p w14:paraId="1C212E7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Pirmą kartą pavartojus azatioprino, nedidelei daliai pacientų pasireiškia pykinimas. To galima išvengti, tabletes geriant po valgio.</w:t>
      </w:r>
    </w:p>
    <w:p w14:paraId="400104A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Imunosupresiniais vaistais gydant transplantato recipientus, gali atsirasti sunkių komplikacijų, tokių kaip kolitas, divertikulitas ir žarnų perforacija. Tačiau jų priežastis nėra aiški – komplikacijas gali </w:t>
      </w:r>
      <w:r w:rsidRPr="00E07ACB">
        <w:rPr>
          <w:rFonts w:ascii="Times New Roman" w:eastAsia="Times New Roman" w:hAnsi="Times New Roman" w:cs="Times New Roman"/>
          <w:noProof w:val="0"/>
        </w:rPr>
        <w:lastRenderedPageBreak/>
        <w:t xml:space="preserve">sukelti ir didelės kortikosteroidų dozės. Aprašyta sunkaus viduriavimo, kuris pasikartojo dar kartą skyrus vaisto, atvejų pacientams, sergantiems uždegimine žarnų liga ir gydomiems azatioprinu. </w:t>
      </w:r>
    </w:p>
    <w:p w14:paraId="021CE1C0" w14:textId="77777777" w:rsidR="00E07ACB" w:rsidRPr="00E07ACB" w:rsidRDefault="00E07ACB" w:rsidP="00E07ACB">
      <w:pPr>
        <w:spacing w:after="0" w:line="240" w:lineRule="auto"/>
        <w:rPr>
          <w:rFonts w:ascii="Times New Roman" w:eastAsia="Times New Roman" w:hAnsi="Times New Roman" w:cs="Times New Roman"/>
          <w:noProof w:val="0"/>
        </w:rPr>
      </w:pPr>
    </w:p>
    <w:p w14:paraId="290D3D1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Kai kuriems pacientams, gydomiems azatioprinu, ypač pacientams po inkstų transplantacijos ir sergantiems uždegimine žarnų liga, prasidėjo pankreatitas. Sunku susieti pankreatitą su vieno tam tikro vaistinio preparato vartojimu, tačiau kai kuriais atvejais, pakartotinai skyrus azatioprino, ši komplikacija pasikartojo.</w:t>
      </w:r>
    </w:p>
    <w:p w14:paraId="7BEE94D8" w14:textId="77777777" w:rsidR="00E07ACB" w:rsidRPr="00E07ACB" w:rsidRDefault="00E07ACB" w:rsidP="00E07ACB">
      <w:pPr>
        <w:spacing w:after="0" w:line="240" w:lineRule="auto"/>
        <w:rPr>
          <w:rFonts w:ascii="Times New Roman" w:eastAsia="Times New Roman" w:hAnsi="Times New Roman" w:cs="Times New Roman"/>
          <w:noProof w:val="0"/>
        </w:rPr>
      </w:pPr>
    </w:p>
    <w:p w14:paraId="0AD1175C"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Kepenų, tulžies pūslės ir latakų sutrikimai</w:t>
      </w:r>
    </w:p>
    <w:p w14:paraId="1279E5B0" w14:textId="77777777" w:rsidR="00E07ACB" w:rsidRPr="00E07ACB" w:rsidRDefault="00E07ACB" w:rsidP="00E07ACB">
      <w:pPr>
        <w:spacing w:after="0" w:line="240" w:lineRule="auto"/>
        <w:rPr>
          <w:rFonts w:ascii="Times New Roman" w:eastAsia="Times New Roman" w:hAnsi="Times New Roman" w:cs="Times New Roman"/>
          <w:noProof w:val="0"/>
        </w:rPr>
      </w:pPr>
    </w:p>
    <w:p w14:paraId="696D4C6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Nedažni. </w:t>
      </w:r>
      <w:r w:rsidRPr="00E07ACB">
        <w:rPr>
          <w:rFonts w:ascii="Times New Roman" w:eastAsia="Times New Roman" w:hAnsi="Times New Roman" w:cs="Times New Roman"/>
          <w:noProof w:val="0"/>
        </w:rPr>
        <w:tab/>
        <w:t xml:space="preserve">Cholestazė ir kepenų funkcijos sutrikimai. </w:t>
      </w:r>
    </w:p>
    <w:p w14:paraId="2119FA58" w14:textId="77777777" w:rsidR="00E07ACB" w:rsidRPr="00E07ACB" w:rsidRDefault="00E07ACB" w:rsidP="00E07ACB">
      <w:pPr>
        <w:spacing w:after="0" w:line="240" w:lineRule="auto"/>
        <w:rPr>
          <w:rFonts w:ascii="Times New Roman" w:eastAsia="Times New Roman" w:hAnsi="Times New Roman" w:cs="Times New Roman"/>
          <w:noProof w:val="0"/>
        </w:rPr>
      </w:pPr>
    </w:p>
    <w:p w14:paraId="7CA5C866" w14:textId="77777777" w:rsid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Reti. </w:t>
      </w:r>
      <w:r w:rsidRPr="00E07ACB">
        <w:rPr>
          <w:rFonts w:ascii="Times New Roman" w:eastAsia="Times New Roman" w:hAnsi="Times New Roman" w:cs="Times New Roman"/>
          <w:noProof w:val="0"/>
        </w:rPr>
        <w:tab/>
        <w:t>Gyvybei pavojingas kepenų pažeidimas.</w:t>
      </w:r>
    </w:p>
    <w:p w14:paraId="237303B5" w14:textId="77777777" w:rsidR="00AE36CA" w:rsidRDefault="00AE36CA" w:rsidP="00E07ACB">
      <w:pPr>
        <w:spacing w:after="0" w:line="240" w:lineRule="auto"/>
        <w:rPr>
          <w:rFonts w:ascii="Times New Roman" w:eastAsia="Times New Roman" w:hAnsi="Times New Roman" w:cs="Times New Roman"/>
          <w:noProof w:val="0"/>
        </w:rPr>
      </w:pPr>
    </w:p>
    <w:p w14:paraId="5BB8A9AD" w14:textId="56ACEE94" w:rsidR="00AE36CA" w:rsidRDefault="00AE36CA" w:rsidP="00AE36CA">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u w:val="single"/>
        </w:rPr>
        <w:t>Dažnis nežinomas</w:t>
      </w:r>
      <w:r w:rsidR="00191493">
        <w:rPr>
          <w:rFonts w:ascii="Times New Roman" w:eastAsia="Times New Roman" w:hAnsi="Times New Roman" w:cs="Times New Roman"/>
          <w:noProof w:val="0"/>
        </w:rPr>
        <w:t>.</w:t>
      </w:r>
      <w:r w:rsidRPr="00E07ACB">
        <w:rPr>
          <w:rFonts w:ascii="Times New Roman" w:eastAsia="Times New Roman" w:hAnsi="Times New Roman" w:cs="Times New Roman"/>
          <w:noProof w:val="0"/>
        </w:rPr>
        <w:t xml:space="preserve"> </w:t>
      </w:r>
      <w:r w:rsidR="00191493">
        <w:rPr>
          <w:rFonts w:ascii="Times New Roman" w:eastAsia="Times New Roman" w:hAnsi="Times New Roman" w:cs="Times New Roman"/>
          <w:noProof w:val="0"/>
          <w:u w:val="single"/>
        </w:rPr>
        <w:t>N</w:t>
      </w:r>
      <w:r w:rsidRPr="00AE36CA">
        <w:rPr>
          <w:rFonts w:ascii="Times New Roman" w:eastAsia="Times New Roman" w:hAnsi="Times New Roman" w:cs="Times New Roman"/>
          <w:noProof w:val="0"/>
          <w:u w:val="single"/>
        </w:rPr>
        <w:t>ecirozinė vartų venos hipertenzija, portosinusoidinių kraujagyslių liga</w:t>
      </w:r>
      <w:r w:rsidRPr="00E07ACB">
        <w:rPr>
          <w:rFonts w:ascii="Times New Roman" w:eastAsia="Times New Roman" w:hAnsi="Times New Roman" w:cs="Times New Roman"/>
          <w:noProof w:val="0"/>
        </w:rPr>
        <w:t>.</w:t>
      </w:r>
    </w:p>
    <w:p w14:paraId="55060124" w14:textId="77777777" w:rsidR="00D524C9" w:rsidRDefault="00D524C9" w:rsidP="00D524C9">
      <w:pPr>
        <w:spacing w:after="0" w:line="240" w:lineRule="auto"/>
        <w:rPr>
          <w:rFonts w:ascii="Times New Roman" w:eastAsia="Times New Roman" w:hAnsi="Times New Roman" w:cs="Times New Roman"/>
          <w:noProof w:val="0"/>
        </w:rPr>
      </w:pPr>
    </w:p>
    <w:p w14:paraId="60A86AE2" w14:textId="562142A1" w:rsidR="00D524C9" w:rsidRPr="0088739C" w:rsidRDefault="00D524C9" w:rsidP="00D524C9">
      <w:pPr>
        <w:spacing w:after="0" w:line="240" w:lineRule="auto"/>
        <w:rPr>
          <w:rFonts w:ascii="Times New Roman" w:eastAsia="Times New Roman" w:hAnsi="Times New Roman" w:cs="Times New Roman"/>
          <w:noProof w:val="0"/>
        </w:rPr>
      </w:pPr>
      <w:r w:rsidRPr="0088739C">
        <w:rPr>
          <w:rFonts w:ascii="Times New Roman" w:eastAsia="Times New Roman" w:hAnsi="Times New Roman" w:cs="Times New Roman"/>
          <w:noProof w:val="0"/>
        </w:rPr>
        <w:t xml:space="preserve">Kai kurių nepageidaujamų reakcijų aprašymas </w:t>
      </w:r>
    </w:p>
    <w:p w14:paraId="38195105" w14:textId="77777777" w:rsidR="00D524C9" w:rsidRPr="0088739C" w:rsidRDefault="00D524C9" w:rsidP="00D524C9">
      <w:pPr>
        <w:spacing w:after="0" w:line="240" w:lineRule="auto"/>
        <w:rPr>
          <w:rFonts w:ascii="Times New Roman" w:eastAsia="Times New Roman" w:hAnsi="Times New Roman" w:cs="Times New Roman"/>
          <w:noProof w:val="0"/>
        </w:rPr>
      </w:pPr>
      <w:r w:rsidRPr="0088739C">
        <w:rPr>
          <w:rFonts w:ascii="Times New Roman" w:eastAsia="Times New Roman" w:hAnsi="Times New Roman" w:cs="Times New Roman"/>
          <w:noProof w:val="0"/>
        </w:rPr>
        <w:t xml:space="preserve">Kepenų, tulžies pūslės ir latakų sutrikimai </w:t>
      </w:r>
    </w:p>
    <w:p w14:paraId="7F05E75D" w14:textId="77777777" w:rsidR="00E07ACB" w:rsidRPr="00E07ACB" w:rsidRDefault="00E07ACB" w:rsidP="00E07ACB">
      <w:pPr>
        <w:spacing w:after="0" w:line="240" w:lineRule="auto"/>
        <w:rPr>
          <w:rFonts w:ascii="Times New Roman" w:eastAsia="Times New Roman" w:hAnsi="Times New Roman" w:cs="Times New Roman"/>
          <w:noProof w:val="0"/>
        </w:rPr>
      </w:pPr>
    </w:p>
    <w:p w14:paraId="2089D3CC" w14:textId="07C0E2E4"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Aprašyta atvejų, kai gydant azatioprinu atsiranda cholestazė ir sutrinka kepenų veikla. Šie pokyčiai paprastai išnyksta, nutraukus vaisto vartojimą. Tai gali būti susiję su padidėjusio jautrumo reakcija (žr. </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Imuninės sistemos sutrikimai/Padidėjusio jautrumo reakcijos</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w:t>
      </w:r>
    </w:p>
    <w:p w14:paraId="57A9E38A" w14:textId="77777777" w:rsidR="00AE36CA" w:rsidRDefault="00AE36CA" w:rsidP="00AE36CA">
      <w:pPr>
        <w:spacing w:after="0" w:line="240" w:lineRule="auto"/>
        <w:rPr>
          <w:rFonts w:ascii="Times New Roman" w:eastAsia="Times New Roman" w:hAnsi="Times New Roman" w:cs="Times New Roman"/>
          <w:noProof w:val="0"/>
        </w:rPr>
      </w:pPr>
    </w:p>
    <w:p w14:paraId="2A5F872E" w14:textId="4B7EC111" w:rsidR="00AE36CA" w:rsidRPr="00AE36CA" w:rsidRDefault="00AE36CA" w:rsidP="00AE36CA">
      <w:pPr>
        <w:spacing w:after="0" w:line="240" w:lineRule="auto"/>
        <w:rPr>
          <w:rFonts w:ascii="Times New Roman" w:eastAsia="Times New Roman" w:hAnsi="Times New Roman" w:cs="Times New Roman"/>
          <w:noProof w:val="0"/>
        </w:rPr>
      </w:pPr>
      <w:r w:rsidRPr="0088739C">
        <w:rPr>
          <w:rFonts w:ascii="Times New Roman" w:eastAsia="Times New Roman" w:hAnsi="Times New Roman" w:cs="Times New Roman"/>
          <w:noProof w:val="0"/>
        </w:rPr>
        <w:t>Pacientams, visų pirma tiems, kuriems atlikta transplantacija, nustatomas retas, bet gyvybei pavojingas kepenų pažeidimas, siejamas su ilgalaikiu azatioprino vartojimu. Atlikus histologinius tyrimus, nustatoma sinusoidų dilatacija, hepatinė peliozė, venų okliuzinė liga ir mazginė regeneracinė hiperplazija. Kai kuriais atvejais nutraukus gydymą azatioprinu kepenų histologinių tyrimų rezultatai laikinai arba visam laikui pagerėja, o simptomai palengvėja.</w:t>
      </w:r>
    </w:p>
    <w:p w14:paraId="382380F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Odos ir poodinio audinio sutrikimai</w:t>
      </w:r>
    </w:p>
    <w:p w14:paraId="45176F07"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2F0B3D94"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t xml:space="preserve">Reti. </w:t>
      </w:r>
      <w:r w:rsidRPr="00E07ACB">
        <w:rPr>
          <w:rFonts w:ascii="Times New Roman" w:eastAsia="Times New Roman" w:hAnsi="Times New Roman" w:cs="Times New Roman"/>
          <w:noProof w:val="0"/>
        </w:rPr>
        <w:tab/>
        <w:t>Alopecija.</w:t>
      </w:r>
    </w:p>
    <w:p w14:paraId="5D462F08"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68871EB2" w14:textId="50F654DA" w:rsid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Pastebėta, kad kai kuriems pacientams, gydomiems azatioprinu ir kitais imunosupresiniais vaistais, nuslenka plaukai. Daugeliu atvejų tai praeina savaime, net ir tęsiant gydymą. Nežinoma, ar yra sąsaja tarp nuplikimo ir azatioprino.</w:t>
      </w:r>
    </w:p>
    <w:p w14:paraId="15220D15" w14:textId="565CA8F5" w:rsidR="00032BE2" w:rsidRDefault="00032BE2" w:rsidP="00E07ACB">
      <w:pPr>
        <w:tabs>
          <w:tab w:val="left" w:pos="567"/>
        </w:tabs>
        <w:spacing w:after="0" w:line="240" w:lineRule="auto"/>
        <w:rPr>
          <w:rFonts w:ascii="Times New Roman" w:eastAsia="Times New Roman" w:hAnsi="Times New Roman" w:cs="Times New Roman"/>
          <w:noProof w:val="0"/>
        </w:rPr>
      </w:pPr>
    </w:p>
    <w:p w14:paraId="3BCAA009" w14:textId="5AA719CA" w:rsidR="00032BE2" w:rsidRPr="00E07ACB" w:rsidRDefault="00AC4051" w:rsidP="00E07ACB">
      <w:pPr>
        <w:tabs>
          <w:tab w:val="left" w:pos="567"/>
        </w:tabs>
        <w:spacing w:after="0" w:line="240" w:lineRule="auto"/>
        <w:rPr>
          <w:rFonts w:ascii="Times New Roman" w:eastAsia="Times New Roman" w:hAnsi="Times New Roman" w:cs="Times New Roman"/>
          <w:noProof w:val="0"/>
        </w:rPr>
      </w:pPr>
      <w:bookmarkStart w:id="25" w:name="_Hlk20212485"/>
      <w:r>
        <w:rPr>
          <w:rFonts w:ascii="Times New Roman" w:eastAsia="Times New Roman" w:hAnsi="Times New Roman" w:cs="Times New Roman"/>
          <w:noProof w:val="0"/>
        </w:rPr>
        <w:t>Dažnis nežinomas</w:t>
      </w:r>
      <w:r w:rsidR="00032BE2">
        <w:rPr>
          <w:rFonts w:ascii="Times New Roman" w:eastAsia="Times New Roman" w:hAnsi="Times New Roman" w:cs="Times New Roman"/>
          <w:noProof w:val="0"/>
        </w:rPr>
        <w:t>.   Ūminė febrilinė neutrofilinė dermatozė (Svyto [</w:t>
      </w:r>
      <w:r w:rsidR="00032BE2" w:rsidRPr="003436DC">
        <w:rPr>
          <w:rFonts w:ascii="Times New Roman" w:eastAsia="Times New Roman" w:hAnsi="Times New Roman" w:cs="Times New Roman"/>
          <w:i/>
          <w:noProof w:val="0"/>
        </w:rPr>
        <w:t>Sweet</w:t>
      </w:r>
      <w:r w:rsidR="00032BE2">
        <w:rPr>
          <w:rFonts w:ascii="Times New Roman" w:eastAsia="Times New Roman" w:hAnsi="Times New Roman" w:cs="Times New Roman"/>
          <w:noProof w:val="0"/>
        </w:rPr>
        <w:t>] sindromas)</w:t>
      </w:r>
      <w:r w:rsidR="00032BE2" w:rsidRPr="00E07ACB">
        <w:rPr>
          <w:rFonts w:ascii="Times New Roman" w:eastAsia="Times New Roman" w:hAnsi="Times New Roman" w:cs="Times New Roman"/>
          <w:noProof w:val="0"/>
        </w:rPr>
        <w:t>.</w:t>
      </w:r>
      <w:bookmarkEnd w:id="25"/>
    </w:p>
    <w:p w14:paraId="22B175DF" w14:textId="77777777" w:rsidR="00E07ACB" w:rsidRPr="00E07ACB" w:rsidRDefault="00E07ACB" w:rsidP="00E07ACB">
      <w:pPr>
        <w:spacing w:after="0" w:line="240" w:lineRule="auto"/>
        <w:rPr>
          <w:rFonts w:ascii="Times New Roman" w:eastAsia="Times New Roman" w:hAnsi="Times New Roman" w:cs="Times New Roman"/>
          <w:noProof w:val="0"/>
        </w:rPr>
      </w:pPr>
    </w:p>
    <w:p w14:paraId="0D03B25F"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Pranešimas apie įtariamas nepageidaujamas reakcijas</w:t>
      </w:r>
    </w:p>
    <w:p w14:paraId="61DEAF7D" w14:textId="5DF60605" w:rsidR="00E07ACB" w:rsidRPr="00E07ACB" w:rsidRDefault="00E07ACB" w:rsidP="00E07ACB">
      <w:pPr>
        <w:autoSpaceDE w:val="0"/>
        <w:autoSpaceDN w:val="0"/>
        <w:adjustRightInd w:val="0"/>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Svarbu pranešti apie įtariamas nepageidaujamas reakcijas, pastebėtas po vaistinio preparato registracijos, nes tai leidžia nuolat stebėti vaistinio preparato naudos ir rizikos santykį. </w:t>
      </w:r>
      <w:r w:rsidR="00191493" w:rsidRPr="00191493">
        <w:rPr>
          <w:rFonts w:ascii="Times New Roman" w:hAnsi="Times New Roman" w:cs="Times New Roman"/>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191493" w:rsidRPr="00191493">
        <w:rPr>
          <w:rFonts w:ascii="Times New Roman" w:hAnsi="Times New Roman" w:cs="Times New Roman"/>
          <w:u w:val="single"/>
        </w:rPr>
        <w:t>https://vvkt.lrv.lt/lt/</w:t>
      </w:r>
      <w:r w:rsidR="00191493" w:rsidRPr="00191493">
        <w:rPr>
          <w:rFonts w:ascii="Times New Roman" w:hAnsi="Times New Roman" w:cs="Times New Roman"/>
        </w:rPr>
        <w:t xml:space="preserve"> nurodytais būdais.</w:t>
      </w:r>
    </w:p>
    <w:p w14:paraId="36FF4B77" w14:textId="77777777" w:rsidR="00E07ACB" w:rsidRPr="00E07ACB" w:rsidRDefault="00E07ACB" w:rsidP="00E07ACB">
      <w:pPr>
        <w:spacing w:after="0" w:line="240" w:lineRule="auto"/>
        <w:rPr>
          <w:rFonts w:ascii="Times New Roman" w:eastAsia="Times New Roman" w:hAnsi="Times New Roman" w:cs="Times New Roman"/>
          <w:noProof w:val="0"/>
        </w:rPr>
      </w:pPr>
    </w:p>
    <w:p w14:paraId="7AFEF42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4.9</w:t>
      </w:r>
      <w:r w:rsidRPr="00E07ACB">
        <w:rPr>
          <w:rFonts w:ascii="Times New Roman" w:eastAsia="Times New Roman" w:hAnsi="Times New Roman" w:cs="Times New Roman"/>
          <w:b/>
          <w:noProof w:val="0"/>
        </w:rPr>
        <w:tab/>
        <w:t>Perdozavimas</w:t>
      </w:r>
    </w:p>
    <w:p w14:paraId="21E8CFBD" w14:textId="77777777" w:rsidR="00E07ACB" w:rsidRPr="00E07ACB" w:rsidRDefault="00E07ACB" w:rsidP="00E07ACB">
      <w:pPr>
        <w:spacing w:after="0" w:line="240" w:lineRule="auto"/>
        <w:rPr>
          <w:rFonts w:ascii="Times New Roman" w:eastAsia="Times New Roman" w:hAnsi="Times New Roman" w:cs="Times New Roman"/>
          <w:noProof w:val="0"/>
        </w:rPr>
      </w:pPr>
    </w:p>
    <w:p w14:paraId="7B764439"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Simptomai ir požymiai</w:t>
      </w:r>
    </w:p>
    <w:p w14:paraId="03243240" w14:textId="573A0022"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Pagrindiniai azatioprino perdozavimo požymiai, atsirandantys dėl kaulų čiulpų funkcijos slopinimo (jis būna didžiausias, praėjus 9-14 parų), – tai neaiškios kilmės infekcija, gerklės išopėjimas, kraujosruvos ir kraujavimas. Šie požymiai dažniausiai atsiranda dėl lėtinio vaisto perdozavimo, o ne vienkartinio pernelyg didelės dozės suvartojimo. Aprašytas atvejis, kai pacientas apsinuodijo viena 7,5 g azatioprino doze. Iškart po apsinuodijimo pasireiškė tokie toksiniai reiškiniai kaip pykinimas, vėmimas ir viduriavimas, po to atsirado nesunki leukopenija ir nesunkių kepenų funkcijos sutrikimų. Galiausiai visi pokyčiai išnyko.</w:t>
      </w:r>
    </w:p>
    <w:p w14:paraId="1EA87853" w14:textId="77777777" w:rsidR="00E07ACB" w:rsidRPr="00E07ACB" w:rsidRDefault="00E07ACB" w:rsidP="00E07ACB">
      <w:pPr>
        <w:spacing w:after="0" w:line="240" w:lineRule="auto"/>
        <w:rPr>
          <w:rFonts w:ascii="Times New Roman" w:eastAsia="Times New Roman" w:hAnsi="Times New Roman" w:cs="Times New Roman"/>
          <w:noProof w:val="0"/>
        </w:rPr>
      </w:pPr>
    </w:p>
    <w:p w14:paraId="401CCF0A"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Gydymas</w:t>
      </w:r>
    </w:p>
    <w:p w14:paraId="2C3F76A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Specifinio azatioprino priešnuodžio nėra. Būtina išplauti skrandį, po to stebėti paciento būklę, įskaitant kraujo pokyčius, kad būtų galima tinkamai gydyti bet kokius atsiradusius nepageidaujamus reiškinius. Nežinoma, ar verta dializuoti ligonį, perdozavusį azatioprino, nors azatioprinas iš dalies pašalinamas dializės būdu.</w:t>
      </w:r>
    </w:p>
    <w:p w14:paraId="19B85544" w14:textId="77777777" w:rsidR="00E07ACB" w:rsidRPr="00E07ACB" w:rsidRDefault="00E07ACB" w:rsidP="00E07ACB">
      <w:pPr>
        <w:spacing w:after="0" w:line="240" w:lineRule="auto"/>
        <w:rPr>
          <w:rFonts w:ascii="Times New Roman" w:eastAsia="Times New Roman" w:hAnsi="Times New Roman" w:cs="Times New Roman"/>
          <w:noProof w:val="0"/>
        </w:rPr>
      </w:pPr>
    </w:p>
    <w:p w14:paraId="4FABCEB2" w14:textId="77777777" w:rsidR="00E07ACB" w:rsidRPr="00E07ACB" w:rsidRDefault="00E07ACB" w:rsidP="00E07ACB">
      <w:pPr>
        <w:spacing w:after="0" w:line="240" w:lineRule="auto"/>
        <w:rPr>
          <w:rFonts w:ascii="Times New Roman" w:eastAsia="Times New Roman" w:hAnsi="Times New Roman" w:cs="Times New Roman"/>
          <w:noProof w:val="0"/>
        </w:rPr>
      </w:pPr>
    </w:p>
    <w:p w14:paraId="0D2556F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w:t>
      </w:r>
      <w:r w:rsidRPr="00E07ACB">
        <w:rPr>
          <w:rFonts w:ascii="Times New Roman" w:eastAsia="Times New Roman" w:hAnsi="Times New Roman" w:cs="Times New Roman"/>
          <w:b/>
          <w:noProof w:val="0"/>
        </w:rPr>
        <w:tab/>
        <w:t xml:space="preserve">FARMAKOLOGINĖS </w:t>
      </w:r>
      <w:r w:rsidRPr="00E07ACB">
        <w:rPr>
          <w:rFonts w:ascii="Times New Roman" w:eastAsia="Times New Roman" w:hAnsi="Times New Roman" w:cs="Times New Roman"/>
          <w:b/>
          <w:caps/>
          <w:noProof w:val="0"/>
        </w:rPr>
        <w:t>savybės</w:t>
      </w:r>
    </w:p>
    <w:p w14:paraId="6C85DC1A" w14:textId="77777777" w:rsidR="00E07ACB" w:rsidRPr="00E07ACB" w:rsidRDefault="00E07ACB" w:rsidP="00E07ACB">
      <w:pPr>
        <w:spacing w:after="0" w:line="240" w:lineRule="auto"/>
        <w:rPr>
          <w:rFonts w:ascii="Times New Roman" w:eastAsia="Times New Roman" w:hAnsi="Times New Roman" w:cs="Times New Roman"/>
          <w:noProof w:val="0"/>
        </w:rPr>
      </w:pPr>
    </w:p>
    <w:p w14:paraId="6659CF3F"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5.1</w:t>
      </w:r>
      <w:r w:rsidRPr="00E07ACB">
        <w:rPr>
          <w:rFonts w:ascii="Times New Roman" w:eastAsia="Times New Roman" w:hAnsi="Times New Roman" w:cs="Times New Roman"/>
          <w:b/>
          <w:noProof w:val="0"/>
        </w:rPr>
        <w:tab/>
        <w:t>Farmakodinaminės savybės</w:t>
      </w:r>
    </w:p>
    <w:p w14:paraId="1E70A331" w14:textId="77777777" w:rsidR="00E07ACB" w:rsidRPr="00E07ACB" w:rsidRDefault="00E07ACB" w:rsidP="00E07ACB">
      <w:pPr>
        <w:spacing w:after="0" w:line="240" w:lineRule="auto"/>
        <w:rPr>
          <w:rFonts w:ascii="Times New Roman" w:eastAsia="Times New Roman" w:hAnsi="Times New Roman" w:cs="Times New Roman"/>
          <w:noProof w:val="0"/>
        </w:rPr>
      </w:pPr>
    </w:p>
    <w:p w14:paraId="6231599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Farmakoterapinė grupė – kiti imunosupresantai, ATC kodas – L04AX01.</w:t>
      </w:r>
    </w:p>
    <w:p w14:paraId="1A46673F" w14:textId="77777777" w:rsidR="00E07ACB" w:rsidRPr="00E07ACB" w:rsidRDefault="00E07ACB" w:rsidP="00E07ACB">
      <w:pPr>
        <w:spacing w:after="0" w:line="240" w:lineRule="auto"/>
        <w:rPr>
          <w:rFonts w:ascii="Times New Roman" w:eastAsia="Times New Roman" w:hAnsi="Times New Roman" w:cs="Times New Roman"/>
          <w:noProof w:val="0"/>
        </w:rPr>
      </w:pPr>
    </w:p>
    <w:p w14:paraId="19F3A59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Azatioprinas yra 6-merkaptopurino (6-MP) imidazolo darinys. </w:t>
      </w:r>
      <w:r w:rsidRPr="00E07ACB">
        <w:rPr>
          <w:rFonts w:ascii="Times New Roman" w:eastAsia="Times New Roman" w:hAnsi="Times New Roman" w:cs="Times New Roman"/>
          <w:i/>
          <w:noProof w:val="0"/>
        </w:rPr>
        <w:t>In vivo</w:t>
      </w:r>
      <w:r w:rsidRPr="00E07ACB">
        <w:rPr>
          <w:rFonts w:ascii="Times New Roman" w:eastAsia="Times New Roman" w:hAnsi="Times New Roman" w:cs="Times New Roman"/>
          <w:noProof w:val="0"/>
        </w:rPr>
        <w:t xml:space="preserve"> jis greitai skaldomas į 6-MP ir 1-metil-4-nitro-5-tioimidazolą.</w:t>
      </w:r>
    </w:p>
    <w:p w14:paraId="33256E0C" w14:textId="77777777" w:rsidR="00E07ACB" w:rsidRPr="00E07ACB" w:rsidRDefault="00E07ACB" w:rsidP="00E07ACB">
      <w:pPr>
        <w:spacing w:after="0" w:line="240" w:lineRule="auto"/>
        <w:rPr>
          <w:rFonts w:ascii="Times New Roman" w:eastAsia="Times New Roman" w:hAnsi="Times New Roman" w:cs="Times New Roman"/>
          <w:noProof w:val="0"/>
        </w:rPr>
      </w:pPr>
    </w:p>
    <w:p w14:paraId="3DFB9F6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6-MP lengvai prasiskverbia per ląstelės membraną ir ląstelėse verčiamas įvairiais purino tioanalogais, tarp kurių yra svarbiausias aktyvus nukleotidas tioinozino rūgštis. Šių virsmų greitis kiekvienam asmeniui skirtingas. Nukleotidai ląstelių membranų nepereina, todėl organizmo skysčiuose necirkuliuoja. Nepaisant to, ar 6-MP patenka į organizmą tiesiogiai, ar </w:t>
      </w:r>
      <w:r w:rsidRPr="00E07ACB">
        <w:rPr>
          <w:rFonts w:ascii="Times New Roman" w:eastAsia="Times New Roman" w:hAnsi="Times New Roman" w:cs="Times New Roman"/>
          <w:i/>
          <w:noProof w:val="0"/>
        </w:rPr>
        <w:t>in vivo</w:t>
      </w:r>
      <w:r w:rsidRPr="00E07ACB">
        <w:rPr>
          <w:rFonts w:ascii="Times New Roman" w:eastAsia="Times New Roman" w:hAnsi="Times New Roman" w:cs="Times New Roman"/>
          <w:noProof w:val="0"/>
        </w:rPr>
        <w:t xml:space="preserve"> susidaro iš azatioprino, jo didžioji dalis pašalinama neaktyvaus oksiduoto metabolito – tiokarbamido rūgšties – pavidalu. Šią oksidacijos reakciją skatina ksantinoksidazė - fermentas, kurį slopina alopurinolis. Metilnitroimidazolo aktyvumas nėra aiškiai apibrėžtas, tačiau panašu, jog kai kuriose sistemose jis keičia azatioprino aktyvumą, lyginant su 6-MP aktyvumu. Azatioprino ar 6-MP koncentracijos plazmoje nustatymas neturi prognostinės vertės, vertinant šių junginių veiksmingumą ar toksiškumą.</w:t>
      </w:r>
    </w:p>
    <w:p w14:paraId="791FBCA3" w14:textId="77777777" w:rsidR="00E07ACB" w:rsidRPr="00E07ACB" w:rsidRDefault="00E07ACB" w:rsidP="00E07ACB">
      <w:pPr>
        <w:spacing w:after="0" w:line="240" w:lineRule="auto"/>
        <w:rPr>
          <w:rFonts w:ascii="Times New Roman" w:eastAsia="Times New Roman" w:hAnsi="Times New Roman" w:cs="Times New Roman"/>
          <w:noProof w:val="0"/>
        </w:rPr>
      </w:pPr>
    </w:p>
    <w:p w14:paraId="5194A13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Azatioprinas veikia imunologinę reakciją ir naviko augimą. Svarbiausias jo poveikis </w:t>
      </w:r>
      <w:r w:rsidRPr="00E07ACB">
        <w:rPr>
          <w:rFonts w:ascii="Times New Roman" w:eastAsia="Times New Roman" w:hAnsi="Times New Roman" w:cs="Times New Roman"/>
          <w:noProof w:val="0"/>
        </w:rPr>
        <w:sym w:font="Symbol" w:char="F02D"/>
      </w:r>
      <w:r w:rsidRPr="00E07ACB">
        <w:rPr>
          <w:rFonts w:ascii="Times New Roman" w:eastAsia="Times New Roman" w:hAnsi="Times New Roman" w:cs="Times New Roman"/>
          <w:noProof w:val="0"/>
        </w:rPr>
        <w:t xml:space="preserve"> imunologinio atsako slopinimas. Tikslus šio poveikio būdas neaiškus, tačiau gali būti įtrauktas žemiau išvardytas poveikis.</w:t>
      </w:r>
    </w:p>
    <w:p w14:paraId="4DF99951" w14:textId="77777777" w:rsidR="00E07ACB" w:rsidRPr="00E07ACB" w:rsidRDefault="00E07ACB" w:rsidP="00E07ACB">
      <w:pPr>
        <w:numPr>
          <w:ilvl w:val="0"/>
          <w:numId w:val="10"/>
        </w:numPr>
        <w:tabs>
          <w:tab w:val="num" w:pos="567"/>
        </w:tabs>
        <w:spacing w:after="0" w:line="240" w:lineRule="auto"/>
        <w:ind w:hanging="108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Purino antimetabolito 6-MP atpalaidavimas.</w:t>
      </w:r>
    </w:p>
    <w:p w14:paraId="7B7B8633" w14:textId="77777777" w:rsidR="00E07ACB" w:rsidRPr="00E07ACB" w:rsidRDefault="00E07ACB" w:rsidP="00E07ACB">
      <w:pPr>
        <w:numPr>
          <w:ilvl w:val="0"/>
          <w:numId w:val="10"/>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-SH grupių blokada alkilinimo metu.</w:t>
      </w:r>
    </w:p>
    <w:p w14:paraId="4CD84132" w14:textId="77777777" w:rsidR="00E07ACB" w:rsidRPr="00E07ACB" w:rsidRDefault="00E07ACB" w:rsidP="00E07ACB">
      <w:pPr>
        <w:numPr>
          <w:ilvl w:val="0"/>
          <w:numId w:val="10"/>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Daugelio nukleorūgščių sintezės grandžių blokavimas, todėl imunologinį atsaką medijuojančių ląstelių (B ir T limfocitų) proliferacijos ir aktyvumo slopinimas.</w:t>
      </w:r>
    </w:p>
    <w:p w14:paraId="1F49FFF2" w14:textId="77777777" w:rsidR="00E07ACB" w:rsidRPr="00E07ACB" w:rsidRDefault="00E07ACB" w:rsidP="00E07ACB">
      <w:pPr>
        <w:numPr>
          <w:ilvl w:val="0"/>
          <w:numId w:val="10"/>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Dezoksiribonukleino rūgšties (DNR) pažaida dėl purino tioanalogų įtraukimo. </w:t>
      </w:r>
    </w:p>
    <w:p w14:paraId="74ECA627" w14:textId="77777777" w:rsidR="00E07ACB" w:rsidRPr="00E07ACB" w:rsidRDefault="00E07ACB" w:rsidP="00E07ACB">
      <w:pPr>
        <w:spacing w:after="0" w:line="240" w:lineRule="auto"/>
        <w:rPr>
          <w:rFonts w:ascii="Times New Roman" w:eastAsia="Times New Roman" w:hAnsi="Times New Roman" w:cs="Times New Roman"/>
          <w:noProof w:val="0"/>
        </w:rPr>
      </w:pPr>
    </w:p>
    <w:p w14:paraId="35AF0BB2"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5.2</w:t>
      </w:r>
      <w:r w:rsidRPr="00E07ACB">
        <w:rPr>
          <w:rFonts w:ascii="Times New Roman" w:eastAsia="Times New Roman" w:hAnsi="Times New Roman" w:cs="Times New Roman"/>
          <w:b/>
          <w:noProof w:val="0"/>
        </w:rPr>
        <w:tab/>
        <w:t>Farmakokinetinės savybės</w:t>
      </w:r>
    </w:p>
    <w:p w14:paraId="17608A4D" w14:textId="77777777" w:rsidR="00E07ACB" w:rsidRPr="00E07ACB" w:rsidRDefault="00E07ACB" w:rsidP="00E07ACB">
      <w:pPr>
        <w:spacing w:after="0" w:line="240" w:lineRule="auto"/>
        <w:rPr>
          <w:rFonts w:ascii="Times New Roman" w:eastAsia="Times New Roman" w:hAnsi="Times New Roman" w:cs="Times New Roman"/>
          <w:b/>
          <w:noProof w:val="0"/>
          <w:szCs w:val="24"/>
        </w:rPr>
      </w:pPr>
    </w:p>
    <w:p w14:paraId="6DA66F41"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Absorbcija</w:t>
      </w:r>
    </w:p>
    <w:p w14:paraId="2507152A" w14:textId="77777777" w:rsidR="00E07ACB" w:rsidRPr="00E07ACB" w:rsidRDefault="00E07ACB" w:rsidP="00E07ACB">
      <w:pPr>
        <w:spacing w:after="0" w:line="240" w:lineRule="auto"/>
        <w:rPr>
          <w:rFonts w:ascii="Times New Roman" w:eastAsia="Times New Roman" w:hAnsi="Times New Roman" w:cs="Times New Roman"/>
          <w:noProof w:val="0"/>
        </w:rPr>
      </w:pPr>
    </w:p>
    <w:p w14:paraId="1BC3AC2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Išgertas azatioprinas absorbuojamas gerai, didžiausia koncentracija kraujo plazmoje atsiranda po 1 –2 val. </w:t>
      </w:r>
    </w:p>
    <w:p w14:paraId="3CB0EB80"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6A476D55"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Pasiskirstymas</w:t>
      </w:r>
    </w:p>
    <w:p w14:paraId="513A3BEE"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421A0270" w14:textId="694890E2"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Organizme pasiskirsto greitai. Pusinė eliminacija kraujo plazmoje trunka 3 – 5 val. Prie kraujo plazmos baltymų prisijungia tik 30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azatioprino, 12,5</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patenka į smegenų skystį.</w:t>
      </w:r>
    </w:p>
    <w:p w14:paraId="7ADC4884" w14:textId="77777777" w:rsidR="00E07ACB" w:rsidRPr="00E07ACB" w:rsidRDefault="00E07ACB" w:rsidP="00E07ACB">
      <w:pPr>
        <w:spacing w:after="0" w:line="240" w:lineRule="auto"/>
        <w:rPr>
          <w:rFonts w:ascii="Times New Roman" w:eastAsia="Times New Roman" w:hAnsi="Times New Roman" w:cs="Times New Roman"/>
          <w:noProof w:val="0"/>
        </w:rPr>
      </w:pPr>
    </w:p>
    <w:p w14:paraId="6FD6FB3E"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Biotransformacija</w:t>
      </w:r>
    </w:p>
    <w:p w14:paraId="25716D24" w14:textId="77777777" w:rsidR="00E07ACB" w:rsidRPr="00E07ACB" w:rsidRDefault="00E07ACB" w:rsidP="00E07ACB">
      <w:pPr>
        <w:spacing w:after="0" w:line="240" w:lineRule="auto"/>
        <w:rPr>
          <w:rFonts w:ascii="Times New Roman" w:eastAsia="Times New Roman" w:hAnsi="Times New Roman" w:cs="Times New Roman"/>
          <w:noProof w:val="0"/>
        </w:rPr>
      </w:pPr>
    </w:p>
    <w:p w14:paraId="0B74BC0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Daug azatioprino metabolizuojama į 6-tioinozino rūgštį ir metilmerkaptopurino ribonukleotidą, nuo kurio iš dalies priklauso vaistinio preparato poveikis.</w:t>
      </w:r>
    </w:p>
    <w:p w14:paraId="185ED428" w14:textId="77777777" w:rsidR="00E07ACB" w:rsidRPr="00E07ACB" w:rsidRDefault="00E07ACB" w:rsidP="00E07ACB">
      <w:pPr>
        <w:spacing w:after="0" w:line="240" w:lineRule="auto"/>
        <w:rPr>
          <w:rFonts w:ascii="Times New Roman" w:eastAsia="Times New Roman" w:hAnsi="Times New Roman" w:cs="Times New Roman"/>
          <w:noProof w:val="0"/>
        </w:rPr>
      </w:pPr>
    </w:p>
    <w:p w14:paraId="08FDB41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i/>
          <w:noProof w:val="0"/>
        </w:rPr>
        <w:t>In vivo</w:t>
      </w:r>
      <w:r w:rsidRPr="00E07ACB">
        <w:rPr>
          <w:rFonts w:ascii="Times New Roman" w:eastAsia="Times New Roman" w:hAnsi="Times New Roman" w:cs="Times New Roman"/>
          <w:noProof w:val="0"/>
        </w:rPr>
        <w:t xml:space="preserve"> veikimas yra sudėtingas dėl metilnitroimidazolo, kurio irgi atsiranda, poveikio.  </w:t>
      </w:r>
    </w:p>
    <w:p w14:paraId="07F17FC4" w14:textId="77777777" w:rsidR="00E07ACB" w:rsidRPr="00E07ACB" w:rsidRDefault="00E07ACB" w:rsidP="00E07ACB">
      <w:pPr>
        <w:spacing w:after="0" w:line="240" w:lineRule="auto"/>
        <w:rPr>
          <w:rFonts w:ascii="Times New Roman" w:eastAsia="Times New Roman" w:hAnsi="Times New Roman" w:cs="Times New Roman"/>
          <w:noProof w:val="0"/>
        </w:rPr>
      </w:pPr>
    </w:p>
    <w:p w14:paraId="56BF2D49" w14:textId="77777777" w:rsidR="00E07ACB" w:rsidRPr="00E07ACB" w:rsidRDefault="00E07ACB" w:rsidP="00E07ACB">
      <w:pPr>
        <w:keepNext/>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lastRenderedPageBreak/>
        <w:t>Eliminacija</w:t>
      </w:r>
    </w:p>
    <w:p w14:paraId="7F39345D" w14:textId="77777777" w:rsidR="00E07ACB" w:rsidRPr="00E07ACB" w:rsidRDefault="00E07ACB" w:rsidP="00E07ACB">
      <w:pPr>
        <w:keepNext/>
        <w:spacing w:after="0" w:line="240" w:lineRule="auto"/>
        <w:rPr>
          <w:rFonts w:ascii="Times New Roman" w:eastAsia="Times New Roman" w:hAnsi="Times New Roman" w:cs="Times New Roman"/>
          <w:noProof w:val="0"/>
        </w:rPr>
      </w:pPr>
    </w:p>
    <w:p w14:paraId="509AD4BC" w14:textId="464F9315" w:rsidR="00E07ACB" w:rsidRPr="00E07ACB" w:rsidRDefault="00E07ACB" w:rsidP="00E07ACB">
      <w:pPr>
        <w:keepNext/>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Maždaug 50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dozės iš organizmo išsiskiria su šlapimu per pirmas 24 val. po pavartojimo. 10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to kiekio išsiskiria nepakitusio preparato pavidalu. Su išmatomis per 48 val. išsiskiria tik 12,6</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dozės. </w:t>
      </w:r>
    </w:p>
    <w:p w14:paraId="5EE0215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Kad preparato patektų į kepenų ir žarnyno kraujotakos ratą, įrodymų nėra.</w:t>
      </w:r>
    </w:p>
    <w:p w14:paraId="576CCA4B"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03999377"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Ypatingos populiacijos</w:t>
      </w:r>
    </w:p>
    <w:p w14:paraId="35BAE524" w14:textId="77777777" w:rsidR="00E07ACB" w:rsidRPr="00E07ACB" w:rsidRDefault="00E07ACB" w:rsidP="00E07ACB">
      <w:pPr>
        <w:spacing w:after="0" w:line="240" w:lineRule="auto"/>
        <w:rPr>
          <w:rFonts w:ascii="Times New Roman" w:eastAsia="Calibri" w:hAnsi="Times New Roman" w:cs="Times New Roman"/>
        </w:rPr>
      </w:pPr>
    </w:p>
    <w:p w14:paraId="5DF576A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Pacientams, kurių inkstų funkcija susilpnėjusi, gali reikėti mažesnės dozės, tikriausiai dėl aktyvaus azatioprino metabolito eliminacijos sumažėjimo. </w:t>
      </w:r>
    </w:p>
    <w:p w14:paraId="2CD61068" w14:textId="77777777" w:rsidR="00E07ACB" w:rsidRPr="00E07ACB" w:rsidRDefault="00E07ACB" w:rsidP="00E07ACB">
      <w:pPr>
        <w:spacing w:after="0" w:line="240" w:lineRule="auto"/>
        <w:rPr>
          <w:rFonts w:ascii="Times New Roman" w:eastAsia="Times New Roman" w:hAnsi="Times New Roman" w:cs="Times New Roman"/>
          <w:noProof w:val="0"/>
        </w:rPr>
      </w:pPr>
    </w:p>
    <w:p w14:paraId="2B40258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Pacientų, kurių kepenų funkcija sutrikusi, organizme azatioprino metabolizmas pakinta: sumažėja virtimas veiklia forma ir ypač sumažėja skaldymas į eliminuojamus metabolitus (žr. 4.2 ir 4.4 skyrius). </w:t>
      </w:r>
    </w:p>
    <w:p w14:paraId="56ED3570" w14:textId="77777777" w:rsidR="00E07ACB" w:rsidRPr="00E07ACB" w:rsidRDefault="00E07ACB" w:rsidP="00E07ACB">
      <w:pPr>
        <w:spacing w:after="0" w:line="240" w:lineRule="auto"/>
        <w:rPr>
          <w:rFonts w:ascii="Times New Roman" w:eastAsia="Times New Roman" w:hAnsi="Times New Roman" w:cs="Times New Roman"/>
          <w:noProof w:val="0"/>
        </w:rPr>
      </w:pPr>
    </w:p>
    <w:p w14:paraId="6527F1C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Azatioprino metabolito merkaptopurino rasta azatioprinu gydomų moterų priešpienyje ir piene. </w:t>
      </w:r>
    </w:p>
    <w:p w14:paraId="4872AB25" w14:textId="77777777" w:rsidR="00E07ACB" w:rsidRPr="00E07ACB" w:rsidRDefault="00E07ACB" w:rsidP="00E07ACB">
      <w:pPr>
        <w:spacing w:after="0" w:line="240" w:lineRule="auto"/>
        <w:rPr>
          <w:rFonts w:ascii="Times New Roman" w:eastAsia="Times New Roman" w:hAnsi="Times New Roman" w:cs="Times New Roman"/>
          <w:noProof w:val="0"/>
        </w:rPr>
      </w:pPr>
    </w:p>
    <w:p w14:paraId="721C741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5.3</w:t>
      </w:r>
      <w:r w:rsidRPr="00E07ACB">
        <w:rPr>
          <w:rFonts w:ascii="Times New Roman" w:eastAsia="Times New Roman" w:hAnsi="Times New Roman" w:cs="Times New Roman"/>
          <w:b/>
          <w:noProof w:val="0"/>
        </w:rPr>
        <w:tab/>
        <w:t>Ikiklinikinių saugumo tyrimų duomenys</w:t>
      </w:r>
    </w:p>
    <w:p w14:paraId="489EABC3" w14:textId="77777777" w:rsidR="00E07ACB" w:rsidRPr="00E07ACB" w:rsidRDefault="00E07ACB" w:rsidP="00E07ACB">
      <w:pPr>
        <w:spacing w:after="0" w:line="240" w:lineRule="auto"/>
        <w:rPr>
          <w:rFonts w:ascii="Times New Roman" w:eastAsia="Times New Roman" w:hAnsi="Times New Roman" w:cs="Times New Roman"/>
          <w:noProof w:val="0"/>
        </w:rPr>
      </w:pPr>
    </w:p>
    <w:p w14:paraId="0A30392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Tyrimų metu įvairių rūšių gyvūnams, kurių jautrumas skirtingas, azatioprinas darė teratogeninį ir embrioletalinį poveikį. Triušių patelėms, 6 – 14 vaikingumo parą vartojusioms 5 – 15 mg/kg kūno svorio paros dozė, vaisiui atsirado skeleto sklaidos trūkumų. Pelėms ir žiurkėms 3 – 12 vaikingumo parą vartojamos 1 – 2 mg/kg kūno svorio paros dozės darė letalinį poveikį embrionui. </w:t>
      </w:r>
    </w:p>
    <w:p w14:paraId="770E24F2" w14:textId="77777777" w:rsidR="00E07ACB" w:rsidRPr="00E07ACB" w:rsidRDefault="00E07ACB" w:rsidP="00E07ACB">
      <w:pPr>
        <w:spacing w:after="0" w:line="240" w:lineRule="auto"/>
        <w:rPr>
          <w:rFonts w:ascii="Times New Roman" w:eastAsia="Times New Roman" w:hAnsi="Times New Roman" w:cs="Times New Roman"/>
          <w:noProof w:val="0"/>
        </w:rPr>
      </w:pPr>
    </w:p>
    <w:p w14:paraId="74AC618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Įvairių tyrimų </w:t>
      </w:r>
      <w:r w:rsidRPr="00E07ACB">
        <w:rPr>
          <w:rFonts w:ascii="Times New Roman" w:eastAsia="Times New Roman" w:hAnsi="Times New Roman" w:cs="Times New Roman"/>
          <w:i/>
          <w:noProof w:val="0"/>
        </w:rPr>
        <w:t xml:space="preserve">in vitro </w:t>
      </w:r>
      <w:r w:rsidRPr="00E07ACB">
        <w:rPr>
          <w:rFonts w:ascii="Times New Roman" w:eastAsia="Times New Roman" w:hAnsi="Times New Roman" w:cs="Times New Roman"/>
          <w:noProof w:val="0"/>
        </w:rPr>
        <w:t xml:space="preserve">ir genotoksinio poveikio tyrimų </w:t>
      </w:r>
      <w:r w:rsidRPr="00E07ACB">
        <w:rPr>
          <w:rFonts w:ascii="Times New Roman" w:eastAsia="Times New Roman" w:hAnsi="Times New Roman" w:cs="Times New Roman"/>
          <w:i/>
          <w:noProof w:val="0"/>
        </w:rPr>
        <w:t xml:space="preserve">in vivo </w:t>
      </w:r>
      <w:r w:rsidRPr="00E07ACB">
        <w:rPr>
          <w:rFonts w:ascii="Times New Roman" w:eastAsia="Times New Roman" w:hAnsi="Times New Roman" w:cs="Times New Roman"/>
          <w:noProof w:val="0"/>
        </w:rPr>
        <w:t xml:space="preserve">metu azatioprinas sukėlė mutageninį poveikį. </w:t>
      </w:r>
    </w:p>
    <w:p w14:paraId="1427785A" w14:textId="77777777" w:rsidR="00E07ACB" w:rsidRPr="00E07ACB" w:rsidRDefault="00E07ACB" w:rsidP="00E07ACB">
      <w:pPr>
        <w:spacing w:after="0" w:line="240" w:lineRule="auto"/>
        <w:rPr>
          <w:rFonts w:ascii="Times New Roman" w:eastAsia="Times New Roman" w:hAnsi="Times New Roman" w:cs="Times New Roman"/>
          <w:noProof w:val="0"/>
        </w:rPr>
      </w:pPr>
    </w:p>
    <w:p w14:paraId="4940E09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Ilgalaikių kancerogeninio poveikio tyrimų metu nuo tokių azatioprino dozių, kurios yra iki 2 kartų didesnės už terapinę dozę, rekomenduojamą vartoti žmogui, pelėms padidėjo limfosarkomos, žiurkėms </w:t>
      </w:r>
      <w:r w:rsidRPr="00E07ACB">
        <w:rPr>
          <w:rFonts w:ascii="Times New Roman" w:eastAsia="Times New Roman" w:hAnsi="Times New Roman" w:cs="Times New Roman"/>
          <w:noProof w:val="0"/>
        </w:rPr>
        <w:sym w:font="Symbol" w:char="F02D"/>
      </w:r>
      <w:r w:rsidRPr="00E07ACB">
        <w:rPr>
          <w:rFonts w:ascii="Times New Roman" w:eastAsia="Times New Roman" w:hAnsi="Times New Roman" w:cs="Times New Roman"/>
          <w:noProof w:val="0"/>
        </w:rPr>
        <w:t xml:space="preserve"> epitelinių navikų bei karcinomos dažnis. </w:t>
      </w:r>
    </w:p>
    <w:p w14:paraId="58F5277F"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p>
    <w:p w14:paraId="4FF90BC7"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p>
    <w:bookmarkEnd w:id="23"/>
    <w:bookmarkEnd w:id="24"/>
    <w:p w14:paraId="2045A690"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6.</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farmacinė informacija</w:t>
      </w:r>
    </w:p>
    <w:p w14:paraId="2B13B0E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D76C93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6.1</w:t>
      </w:r>
      <w:r w:rsidRPr="00E07ACB">
        <w:rPr>
          <w:rFonts w:ascii="Times New Roman" w:eastAsia="Times New Roman" w:hAnsi="Times New Roman" w:cs="Times New Roman"/>
          <w:b/>
          <w:noProof w:val="0"/>
        </w:rPr>
        <w:tab/>
        <w:t>Pagalbinių medžiagų sąrašas</w:t>
      </w:r>
    </w:p>
    <w:p w14:paraId="411306E5"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11FC61F3"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u w:val="single"/>
        </w:rPr>
      </w:pPr>
      <w:r w:rsidRPr="00E07ACB">
        <w:rPr>
          <w:rFonts w:ascii="Times New Roman" w:eastAsia="Times New Roman" w:hAnsi="Times New Roman" w:cs="Times New Roman"/>
          <w:iCs/>
          <w:noProof w:val="0"/>
          <w:u w:val="single"/>
        </w:rPr>
        <w:t>Tabletės branduolys</w:t>
      </w:r>
    </w:p>
    <w:p w14:paraId="1A466A31"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Laktozė monohidratas</w:t>
      </w:r>
    </w:p>
    <w:p w14:paraId="1A649526"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Mikrokristalinė celiuliozė</w:t>
      </w:r>
    </w:p>
    <w:p w14:paraId="1FBA80E3"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Karboksimetilkrakmolo A natrio druska (Ph.Eur.)</w:t>
      </w:r>
    </w:p>
    <w:p w14:paraId="50EF5324"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Pregelifikuotas krakmolas (kukurūzų)</w:t>
      </w:r>
    </w:p>
    <w:p w14:paraId="08555B48"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Polisorbatas 80</w:t>
      </w:r>
    </w:p>
    <w:p w14:paraId="4D9B8C68"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Povidonas K30</w:t>
      </w:r>
    </w:p>
    <w:p w14:paraId="636654E9"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Magnio stearatas (Ph. Eur.) [augalinis]</w:t>
      </w:r>
    </w:p>
    <w:p w14:paraId="67D45465"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57B69A28" w14:textId="77777777" w:rsidR="00E07ACB" w:rsidRPr="00E07ACB" w:rsidRDefault="00E07ACB" w:rsidP="00E07ACB">
      <w:pPr>
        <w:tabs>
          <w:tab w:val="left" w:pos="567"/>
        </w:tabs>
        <w:spacing w:after="0" w:line="240" w:lineRule="auto"/>
        <w:rPr>
          <w:rFonts w:ascii="Times New Roman" w:eastAsia="Times New Roman" w:hAnsi="Times New Roman" w:cs="Times New Roman"/>
          <w:i/>
          <w:iCs/>
          <w:noProof w:val="0"/>
        </w:rPr>
      </w:pPr>
      <w:r w:rsidRPr="00E07ACB">
        <w:rPr>
          <w:rFonts w:ascii="Times New Roman" w:eastAsia="Times New Roman" w:hAnsi="Times New Roman" w:cs="Times New Roman"/>
          <w:iCs/>
          <w:noProof w:val="0"/>
          <w:u w:val="single"/>
        </w:rPr>
        <w:t>Tabletės plėvelė</w:t>
      </w:r>
    </w:p>
    <w:p w14:paraId="1344C6D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Opadry 02G56674 rudas:</w:t>
      </w:r>
    </w:p>
    <w:p w14:paraId="508D564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933239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Hipromeliozė</w:t>
      </w:r>
    </w:p>
    <w:p w14:paraId="19E9ADE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Titano dioksidas (E171)</w:t>
      </w:r>
    </w:p>
    <w:p w14:paraId="34C234E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Makrogolis 400</w:t>
      </w:r>
    </w:p>
    <w:p w14:paraId="1974CA5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Makrogolis 6000</w:t>
      </w:r>
    </w:p>
    <w:p w14:paraId="3083B44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Geltonasis geležies oksidas (E172)</w:t>
      </w:r>
    </w:p>
    <w:p w14:paraId="47A758D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Raudonasis geležies oksidas (E172)</w:t>
      </w:r>
    </w:p>
    <w:p w14:paraId="7A0701A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Juodasis geležies oksidas (E172)</w:t>
      </w:r>
    </w:p>
    <w:p w14:paraId="79D802B7" w14:textId="77777777" w:rsidR="00E07ACB" w:rsidRPr="00E07ACB" w:rsidRDefault="00E07ACB" w:rsidP="00E07ACB">
      <w:pPr>
        <w:tabs>
          <w:tab w:val="left" w:pos="567"/>
        </w:tabs>
        <w:spacing w:after="0" w:line="240" w:lineRule="auto"/>
        <w:rPr>
          <w:rFonts w:ascii="Times New Roman" w:eastAsia="Times New Roman" w:hAnsi="Times New Roman" w:cs="Times New Roman"/>
          <w:i/>
          <w:iCs/>
          <w:noProof w:val="0"/>
        </w:rPr>
      </w:pPr>
    </w:p>
    <w:p w14:paraId="6EED219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6.2</w:t>
      </w:r>
      <w:r w:rsidRPr="00E07ACB">
        <w:rPr>
          <w:rFonts w:ascii="Times New Roman" w:eastAsia="Times New Roman" w:hAnsi="Times New Roman" w:cs="Times New Roman"/>
          <w:b/>
          <w:noProof w:val="0"/>
        </w:rPr>
        <w:tab/>
        <w:t>Nesuderinamumas</w:t>
      </w:r>
    </w:p>
    <w:p w14:paraId="1A2E621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076DEA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Duomenys nebūtini.</w:t>
      </w:r>
    </w:p>
    <w:p w14:paraId="6B48B0F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EBAD19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6.3</w:t>
      </w:r>
      <w:r w:rsidRPr="00E07ACB">
        <w:rPr>
          <w:rFonts w:ascii="Times New Roman" w:eastAsia="Times New Roman" w:hAnsi="Times New Roman" w:cs="Times New Roman"/>
          <w:b/>
          <w:noProof w:val="0"/>
        </w:rPr>
        <w:tab/>
        <w:t>Tinkamumo laikas</w:t>
      </w:r>
    </w:p>
    <w:p w14:paraId="4006B69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C969B10" w14:textId="7EAA5DD1" w:rsidR="00E07ACB" w:rsidRPr="00E07ACB" w:rsidRDefault="00264762" w:rsidP="00E07ACB">
      <w:pPr>
        <w:tabs>
          <w:tab w:val="left" w:pos="567"/>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4 metai</w:t>
      </w:r>
      <w:r w:rsidR="00E07ACB" w:rsidRPr="00E07ACB">
        <w:rPr>
          <w:rFonts w:ascii="Times New Roman" w:eastAsia="Times New Roman" w:hAnsi="Times New Roman" w:cs="Times New Roman"/>
          <w:noProof w:val="0"/>
        </w:rPr>
        <w:t>.</w:t>
      </w:r>
    </w:p>
    <w:p w14:paraId="18C78C1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A56B2B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6.4</w:t>
      </w:r>
      <w:r w:rsidRPr="00E07ACB">
        <w:rPr>
          <w:rFonts w:ascii="Times New Roman" w:eastAsia="Times New Roman" w:hAnsi="Times New Roman" w:cs="Times New Roman"/>
          <w:b/>
          <w:noProof w:val="0"/>
        </w:rPr>
        <w:tab/>
        <w:t>Specialios laikymo sąlygos</w:t>
      </w:r>
    </w:p>
    <w:p w14:paraId="2B13C8B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107D5F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Laikyti gamintojo pakuotėje, kad vaistinis preparatas būtų apsaugotas nuo šviesos.</w:t>
      </w:r>
    </w:p>
    <w:p w14:paraId="14A85B7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9CAC6CB"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bCs/>
          <w:noProof w:val="0"/>
        </w:rPr>
        <w:t>6.5</w:t>
      </w:r>
      <w:r w:rsidRPr="00E07ACB">
        <w:rPr>
          <w:rFonts w:ascii="Times New Roman" w:eastAsia="Times New Roman" w:hAnsi="Times New Roman" w:cs="Times New Roman"/>
          <w:b/>
          <w:bCs/>
          <w:noProof w:val="0"/>
        </w:rPr>
        <w:tab/>
        <w:t>Talpyklės pobūdis ir jos</w:t>
      </w:r>
      <w:r w:rsidRPr="00E07ACB">
        <w:rPr>
          <w:rFonts w:ascii="Times New Roman" w:eastAsia="Times New Roman" w:hAnsi="Times New Roman" w:cs="Times New Roman"/>
          <w:noProof w:val="0"/>
        </w:rPr>
        <w:t xml:space="preserve"> </w:t>
      </w:r>
      <w:r w:rsidRPr="00E07ACB">
        <w:rPr>
          <w:rFonts w:ascii="Times New Roman" w:eastAsia="Times New Roman" w:hAnsi="Times New Roman" w:cs="Times New Roman"/>
          <w:b/>
          <w:noProof w:val="0"/>
        </w:rPr>
        <w:t>turinys</w:t>
      </w:r>
    </w:p>
    <w:p w14:paraId="1339214E"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11BF72B9"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 xml:space="preserve">Plėvele dengtos tabletės yra supakuotos lizdinėse plokštelėse (skaidri, bespalvė </w:t>
      </w:r>
      <w:r w:rsidRPr="00E07ACB">
        <w:rPr>
          <w:rFonts w:ascii="Times New Roman" w:eastAsia="Times New Roman" w:hAnsi="Times New Roman" w:cs="Times New Roman"/>
          <w:noProof w:val="0"/>
        </w:rPr>
        <w:t>PVC-PVdC</w:t>
      </w:r>
      <w:r w:rsidRPr="00E07ACB">
        <w:rPr>
          <w:rFonts w:ascii="Times New Roman" w:eastAsia="Times New Roman" w:hAnsi="Times New Roman" w:cs="Times New Roman"/>
          <w:iCs/>
          <w:noProof w:val="0"/>
        </w:rPr>
        <w:t xml:space="preserve"> plėvelė ir grūdinta aliuminio folija su VMCH karščiu užsandarintu laku) kartono dėžutėje.</w:t>
      </w:r>
    </w:p>
    <w:p w14:paraId="78A0DE53"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4E7DFC0E"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u w:val="single"/>
        </w:rPr>
        <w:t>Pakuočių dydžiai</w:t>
      </w:r>
      <w:r w:rsidRPr="00E07ACB">
        <w:rPr>
          <w:rFonts w:ascii="Times New Roman" w:eastAsia="Times New Roman" w:hAnsi="Times New Roman" w:cs="Times New Roman"/>
          <w:iCs/>
          <w:noProof w:val="0"/>
        </w:rPr>
        <w:t xml:space="preserve">: </w:t>
      </w:r>
      <w:r w:rsidRPr="00E07ACB">
        <w:rPr>
          <w:rFonts w:ascii="Times New Roman" w:eastAsia="Times New Roman" w:hAnsi="Times New Roman" w:cs="Times New Roman"/>
          <w:noProof w:val="0"/>
        </w:rPr>
        <w:t xml:space="preserve">28, </w:t>
      </w:r>
      <w:r w:rsidRPr="00E07ACB">
        <w:rPr>
          <w:rFonts w:ascii="Times New Roman" w:eastAsia="Times New Roman" w:hAnsi="Times New Roman" w:cs="Times New Roman"/>
          <w:noProof w:val="0"/>
          <w:highlight w:val="lightGray"/>
        </w:rPr>
        <w:t xml:space="preserve">30, </w:t>
      </w:r>
      <w:r w:rsidRPr="00E07ACB">
        <w:rPr>
          <w:rFonts w:ascii="Times New Roman" w:eastAsia="Times New Roman" w:hAnsi="Times New Roman" w:cs="Times New Roman"/>
          <w:iCs/>
          <w:noProof w:val="0"/>
          <w:highlight w:val="lightGray"/>
        </w:rPr>
        <w:t>50, 56, 90 ir 100</w:t>
      </w:r>
      <w:r w:rsidRPr="00E07ACB">
        <w:rPr>
          <w:rFonts w:ascii="Times New Roman" w:eastAsia="Times New Roman" w:hAnsi="Times New Roman" w:cs="Times New Roman"/>
          <w:iCs/>
          <w:noProof w:val="0"/>
        </w:rPr>
        <w:t xml:space="preserve"> plėvele dengtų tablečių.</w:t>
      </w:r>
    </w:p>
    <w:p w14:paraId="523B801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FAF19B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Gali būti tiekiamos ne visų dydžių pakuotės.</w:t>
      </w:r>
    </w:p>
    <w:p w14:paraId="0B79CC3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A9BE17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6.6</w:t>
      </w:r>
      <w:r w:rsidRPr="00E07ACB">
        <w:rPr>
          <w:rFonts w:ascii="Times New Roman" w:eastAsia="Times New Roman" w:hAnsi="Times New Roman" w:cs="Times New Roman"/>
          <w:b/>
          <w:noProof w:val="0"/>
        </w:rPr>
        <w:tab/>
      </w:r>
      <w:r w:rsidRPr="00E07ACB">
        <w:rPr>
          <w:rFonts w:ascii="Times New Roman" w:eastAsia="Calibri" w:hAnsi="Times New Roman" w:cs="Times New Roman"/>
          <w:b/>
          <w:bCs/>
          <w:noProof w:val="0"/>
        </w:rPr>
        <w:t xml:space="preserve">Specialūs reikalavimai atliekoms tvarkyti </w:t>
      </w:r>
      <w:r w:rsidRPr="00E07ACB">
        <w:rPr>
          <w:rFonts w:ascii="Times New Roman" w:eastAsia="Times New Roman" w:hAnsi="Times New Roman" w:cs="Times New Roman"/>
          <w:b/>
          <w:noProof w:val="0"/>
        </w:rPr>
        <w:t>ir vaistiniam preparatui ruošti</w:t>
      </w:r>
    </w:p>
    <w:p w14:paraId="2925BF1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820B0E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tablečių plėvelė nepažeista, darbo su azatioprino plėvele dengtomis tabletėmis metu rizikos nekyla, todėl dėl saugumo specialios atsargumo priemonės nereikalingos. Vis dėlto, jei plėvele dengtos tabletės sutraiškomos, Atsimutin 25 mg plėvele dengtos tabletės turi būti tvarkomos, griežtai laikantis darbo su citotoksiniais vaistiniais preparatais instrukcijos. </w:t>
      </w:r>
    </w:p>
    <w:p w14:paraId="092FFFD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177889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Vaistinio preparato likučius ir užterštas priemones laikinai reikia laikyti aiškiai paženklintoje talpyklėje ir tik tuomet saugiai sunaikinti. Rekomenduojamas sudeginimas aukštoje temperatūroje.</w:t>
      </w:r>
    </w:p>
    <w:p w14:paraId="31C0EC3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133CE0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B72E12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7.</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REGISTRUOTOJAS</w:t>
      </w:r>
    </w:p>
    <w:p w14:paraId="113407A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EE24666"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09B38FED"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3013 Lake Drive</w:t>
      </w:r>
    </w:p>
    <w:p w14:paraId="48A522EE"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Citywest Business Campus</w:t>
      </w:r>
    </w:p>
    <w:p w14:paraId="0239E845"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Dublin 24, D24PPT3</w:t>
      </w:r>
    </w:p>
    <w:p w14:paraId="02905073"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Airija</w:t>
      </w:r>
    </w:p>
    <w:p w14:paraId="42EDC9E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7666A7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F0E699C"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8.</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registracijos pažymėjimo numeriAI</w:t>
      </w:r>
    </w:p>
    <w:p w14:paraId="16F6697B" w14:textId="77777777" w:rsidR="00E07ACB" w:rsidRPr="00E07ACB" w:rsidRDefault="00E07ACB" w:rsidP="00E07ACB">
      <w:pPr>
        <w:spacing w:after="0" w:line="240" w:lineRule="auto"/>
        <w:rPr>
          <w:rFonts w:ascii="Times New Roman" w:eastAsia="Times New Roman" w:hAnsi="Times New Roman" w:cs="Times New Roman"/>
          <w:noProof w:val="0"/>
        </w:rPr>
      </w:pPr>
    </w:p>
    <w:p w14:paraId="06394511" w14:textId="77777777" w:rsidR="00E07ACB" w:rsidRPr="00E07ACB" w:rsidRDefault="00E07ACB" w:rsidP="00E07ACB">
      <w:pPr>
        <w:spacing w:after="0" w:line="240" w:lineRule="auto"/>
        <w:rPr>
          <w:rFonts w:ascii="Times New Roman" w:eastAsia="Times New Roman" w:hAnsi="Times New Roman" w:cs="Times New Roman"/>
          <w:bCs/>
          <w:noProof w:val="0"/>
        </w:rPr>
      </w:pPr>
      <w:r w:rsidRPr="00E07ACB">
        <w:rPr>
          <w:rFonts w:ascii="Times New Roman" w:eastAsia="Times New Roman" w:hAnsi="Times New Roman" w:cs="Times New Roman"/>
          <w:bCs/>
          <w:noProof w:val="0"/>
        </w:rPr>
        <w:t>LT/1/15/3834/001 – N28</w:t>
      </w:r>
    </w:p>
    <w:p w14:paraId="5E1B4530" w14:textId="77777777" w:rsidR="00E07ACB" w:rsidRPr="00E07ACB" w:rsidRDefault="00E07ACB" w:rsidP="00E07ACB">
      <w:pPr>
        <w:spacing w:after="0" w:line="240" w:lineRule="auto"/>
        <w:rPr>
          <w:rFonts w:ascii="Times New Roman" w:eastAsia="Times New Roman" w:hAnsi="Times New Roman" w:cs="Times New Roman"/>
          <w:bCs/>
          <w:noProof w:val="0"/>
        </w:rPr>
      </w:pPr>
      <w:r w:rsidRPr="00E07ACB">
        <w:rPr>
          <w:rFonts w:ascii="Times New Roman" w:eastAsia="Times New Roman" w:hAnsi="Times New Roman" w:cs="Times New Roman"/>
          <w:bCs/>
          <w:noProof w:val="0"/>
        </w:rPr>
        <w:t>LT/1/15/3834/002 – N30</w:t>
      </w:r>
    </w:p>
    <w:p w14:paraId="573A1C20" w14:textId="77777777" w:rsidR="00E07ACB" w:rsidRPr="00E07ACB" w:rsidRDefault="00E07ACB" w:rsidP="00E07ACB">
      <w:pPr>
        <w:spacing w:after="0" w:line="240" w:lineRule="auto"/>
        <w:rPr>
          <w:rFonts w:ascii="Times New Roman" w:eastAsia="Times New Roman" w:hAnsi="Times New Roman" w:cs="Times New Roman"/>
          <w:bCs/>
          <w:noProof w:val="0"/>
        </w:rPr>
      </w:pPr>
      <w:r w:rsidRPr="00E07ACB">
        <w:rPr>
          <w:rFonts w:ascii="Times New Roman" w:eastAsia="Times New Roman" w:hAnsi="Times New Roman" w:cs="Times New Roman"/>
          <w:bCs/>
          <w:noProof w:val="0"/>
        </w:rPr>
        <w:t>LT/1/15/3834/003 – N50</w:t>
      </w:r>
    </w:p>
    <w:p w14:paraId="6B55E1B9" w14:textId="77777777" w:rsidR="00E07ACB" w:rsidRPr="00E07ACB" w:rsidRDefault="00E07ACB" w:rsidP="00E07ACB">
      <w:pPr>
        <w:spacing w:after="0" w:line="240" w:lineRule="auto"/>
        <w:rPr>
          <w:rFonts w:ascii="Times New Roman" w:eastAsia="Times New Roman" w:hAnsi="Times New Roman" w:cs="Times New Roman"/>
          <w:bCs/>
          <w:noProof w:val="0"/>
        </w:rPr>
      </w:pPr>
      <w:r w:rsidRPr="00E07ACB">
        <w:rPr>
          <w:rFonts w:ascii="Times New Roman" w:eastAsia="Times New Roman" w:hAnsi="Times New Roman" w:cs="Times New Roman"/>
          <w:bCs/>
          <w:noProof w:val="0"/>
        </w:rPr>
        <w:t>LT/1/15/3834/004 – N56</w:t>
      </w:r>
    </w:p>
    <w:p w14:paraId="58C157D6" w14:textId="77777777" w:rsidR="00E07ACB" w:rsidRPr="00E07ACB" w:rsidRDefault="00E07ACB" w:rsidP="00E07ACB">
      <w:pPr>
        <w:spacing w:after="0" w:line="240" w:lineRule="auto"/>
        <w:rPr>
          <w:rFonts w:ascii="Times New Roman" w:eastAsia="Times New Roman" w:hAnsi="Times New Roman" w:cs="Times New Roman"/>
          <w:bCs/>
          <w:noProof w:val="0"/>
        </w:rPr>
      </w:pPr>
      <w:r w:rsidRPr="00E07ACB">
        <w:rPr>
          <w:rFonts w:ascii="Times New Roman" w:eastAsia="Times New Roman" w:hAnsi="Times New Roman" w:cs="Times New Roman"/>
          <w:bCs/>
          <w:noProof w:val="0"/>
        </w:rPr>
        <w:t>LT/1/15/3834/005 – N90</w:t>
      </w:r>
    </w:p>
    <w:p w14:paraId="0C53A0A9" w14:textId="77777777" w:rsidR="00E07ACB" w:rsidRPr="00E07ACB" w:rsidRDefault="00E07ACB" w:rsidP="00E07ACB">
      <w:pPr>
        <w:spacing w:after="0" w:line="240" w:lineRule="auto"/>
        <w:rPr>
          <w:rFonts w:ascii="Times New Roman" w:eastAsia="Times New Roman" w:hAnsi="Times New Roman" w:cs="Times New Roman"/>
          <w:bCs/>
          <w:noProof w:val="0"/>
        </w:rPr>
      </w:pPr>
      <w:r w:rsidRPr="00E07ACB">
        <w:rPr>
          <w:rFonts w:ascii="Times New Roman" w:eastAsia="Times New Roman" w:hAnsi="Times New Roman" w:cs="Times New Roman"/>
          <w:bCs/>
          <w:noProof w:val="0"/>
        </w:rPr>
        <w:t>LT/1/15/3834/006 – N100</w:t>
      </w:r>
    </w:p>
    <w:p w14:paraId="7F4726CB" w14:textId="77777777" w:rsidR="00E07ACB" w:rsidRPr="00E07ACB" w:rsidRDefault="00E07ACB" w:rsidP="00E07ACB">
      <w:pPr>
        <w:spacing w:after="0" w:line="240" w:lineRule="auto"/>
        <w:rPr>
          <w:rFonts w:ascii="Times New Roman" w:eastAsia="Times New Roman" w:hAnsi="Times New Roman" w:cs="Times New Roman"/>
          <w:noProof w:val="0"/>
        </w:rPr>
      </w:pPr>
    </w:p>
    <w:p w14:paraId="67A82AD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97F4B2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9.</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registravimo / perregistravimo data</w:t>
      </w:r>
    </w:p>
    <w:p w14:paraId="6372C59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514564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Registravimo data 2015 m. lapkričio 18 d.</w:t>
      </w:r>
    </w:p>
    <w:p w14:paraId="383EC2C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Paskutinio perregistravimo data 2018 m. rugsėjo 10 d.</w:t>
      </w:r>
    </w:p>
    <w:p w14:paraId="5AC21B3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39BC4A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9D53906"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10.</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teksto peržiūros data</w:t>
      </w:r>
    </w:p>
    <w:p w14:paraId="33F9980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9497619" w14:textId="31F1EA9A" w:rsidR="00E07ACB" w:rsidRPr="00E07ACB" w:rsidRDefault="00FF3049" w:rsidP="00E07ACB">
      <w:pPr>
        <w:tabs>
          <w:tab w:val="left" w:pos="567"/>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lastRenderedPageBreak/>
        <w:t>2025 m. kovo 7 d.</w:t>
      </w:r>
    </w:p>
    <w:p w14:paraId="624449B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0CDBB63" w14:textId="28C1E5AC" w:rsidR="00E07ACB" w:rsidRPr="00E07ACB" w:rsidRDefault="00E07ACB" w:rsidP="00E07ACB">
      <w:pPr>
        <w:tabs>
          <w:tab w:val="left" w:pos="567"/>
          <w:tab w:val="center" w:pos="4153"/>
          <w:tab w:val="right" w:pos="8306"/>
        </w:tabs>
        <w:spacing w:after="0" w:line="240" w:lineRule="auto"/>
        <w:rPr>
          <w:rFonts w:ascii="Times New Roman" w:eastAsia="SimSun" w:hAnsi="Times New Roman" w:cs="Times New Roman"/>
          <w:noProof w:val="0"/>
          <w:u w:val="single"/>
        </w:rPr>
      </w:pPr>
      <w:r w:rsidRPr="00E07ACB">
        <w:rPr>
          <w:rFonts w:ascii="Times New Roman" w:eastAsia="SimSun" w:hAnsi="Times New Roman" w:cs="Times New Roman"/>
          <w:noProof w:val="0"/>
        </w:rPr>
        <w:t xml:space="preserve">Išsami informacija apie šį vaistinį preparatą pateikiama Valstybinės vaistų kontrolės tarnybos prie Lietuvos Respublikos sveikatos apsaugos ministerijos tinklalapyje </w:t>
      </w:r>
      <w:r w:rsidR="00191493" w:rsidRPr="003F0C62">
        <w:rPr>
          <w:rFonts w:ascii="Times New Roman" w:hAnsi="Times New Roman" w:cs="Times New Roman"/>
          <w:color w:val="0000EE"/>
          <w:u w:val="single"/>
          <w:lang w:eastAsia="lt-LT"/>
        </w:rPr>
        <w:t>https://vvkt.lrv.lt/lt/</w:t>
      </w:r>
      <w:r w:rsidRPr="00E07ACB">
        <w:rPr>
          <w:rFonts w:ascii="Times New Roman" w:eastAsia="SimSun" w:hAnsi="Times New Roman" w:cs="Times New Roman"/>
          <w:noProof w:val="0"/>
        </w:rPr>
        <w:t xml:space="preserve">. </w:t>
      </w:r>
    </w:p>
    <w:p w14:paraId="1F9ABC1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E2F041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br w:type="page"/>
      </w:r>
    </w:p>
    <w:p w14:paraId="3CBCCD9B"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r w:rsidRPr="00E07ACB">
        <w:rPr>
          <w:rFonts w:ascii="Times New Roman" w:eastAsia="Times New Roman" w:hAnsi="Times New Roman" w:cs="Times New Roman"/>
          <w:b/>
          <w:noProof w:val="0"/>
        </w:rPr>
        <w:lastRenderedPageBreak/>
        <w:t>1.</w:t>
      </w:r>
      <w:r w:rsidRPr="00E07ACB">
        <w:rPr>
          <w:rFonts w:ascii="Times New Roman" w:eastAsia="Times New Roman" w:hAnsi="Times New Roman" w:cs="Times New Roman"/>
          <w:b/>
          <w:noProof w:val="0"/>
        </w:rPr>
        <w:tab/>
        <w:t>VAISTINIO PREPARATO PAVADINIMAS</w:t>
      </w:r>
    </w:p>
    <w:p w14:paraId="322898B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A76688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50 mg plėvele dengtos tabletės</w:t>
      </w:r>
    </w:p>
    <w:p w14:paraId="0B9620E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977EC9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8BB638C"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r w:rsidRPr="00E07ACB">
        <w:rPr>
          <w:rFonts w:ascii="Times New Roman" w:eastAsia="Times New Roman" w:hAnsi="Times New Roman" w:cs="Times New Roman"/>
          <w:b/>
          <w:noProof w:val="0"/>
        </w:rPr>
        <w:t>2.</w:t>
      </w:r>
      <w:r w:rsidRPr="00E07ACB">
        <w:rPr>
          <w:rFonts w:ascii="Times New Roman" w:eastAsia="Times New Roman" w:hAnsi="Times New Roman" w:cs="Times New Roman"/>
          <w:b/>
          <w:noProof w:val="0"/>
        </w:rPr>
        <w:tab/>
        <w:t>KOKYBINĖ IR KIEKYBINĖ SUDĖTIS</w:t>
      </w:r>
    </w:p>
    <w:p w14:paraId="37E6C8C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BB148B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1 plėvele dengtoje tabletėje yra 50 mg azatioprino.</w:t>
      </w:r>
    </w:p>
    <w:p w14:paraId="4B4081A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4BBD631"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1 plėvele dengtoje tabletėje yra 68,72 mg – 70,50 mg laktozės monohidrato.</w:t>
      </w:r>
    </w:p>
    <w:p w14:paraId="3514D17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AB3CC5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Visos pagalbinės medžiagos išvardytos 6.1 skyriuje.</w:t>
      </w:r>
    </w:p>
    <w:p w14:paraId="5EB416B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DD7C83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A29A5A1"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r w:rsidRPr="00E07ACB">
        <w:rPr>
          <w:rFonts w:ascii="Times New Roman" w:eastAsia="Times New Roman" w:hAnsi="Times New Roman" w:cs="Times New Roman"/>
          <w:b/>
          <w:noProof w:val="0"/>
        </w:rPr>
        <w:t>3.</w:t>
      </w:r>
      <w:r w:rsidRPr="00E07ACB">
        <w:rPr>
          <w:rFonts w:ascii="Times New Roman" w:eastAsia="Times New Roman" w:hAnsi="Times New Roman" w:cs="Times New Roman"/>
          <w:b/>
          <w:noProof w:val="0"/>
        </w:rPr>
        <w:tab/>
        <w:t>FARMACINĖ FORMA</w:t>
      </w:r>
    </w:p>
    <w:p w14:paraId="4AC3C051"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2B5D16B"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Plėvele dengta tabletė.</w:t>
      </w:r>
    </w:p>
    <w:p w14:paraId="242FE89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CFA9FD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Blyškiai geltonos spalvos, plėvele dengtos, apvalios, abipus išgaubtos tabletės, kurių vienoje pusėje įspausta „AZ50“, o kitoje pusėje įrėžta vagelė.</w:t>
      </w:r>
    </w:p>
    <w:p w14:paraId="15D3547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75C7D79"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Tabletę galima padalyti į lygias dozes.</w:t>
      </w:r>
    </w:p>
    <w:p w14:paraId="62466AC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427BAD6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Tabletės storio ribos (3,0 – 3,6 mm)</w:t>
      </w:r>
    </w:p>
    <w:p w14:paraId="1DB9644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Diametras – 8,0 mm</w:t>
      </w:r>
    </w:p>
    <w:p w14:paraId="6C49A3C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01DFAC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929FE73"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r w:rsidRPr="00E07ACB">
        <w:rPr>
          <w:rFonts w:ascii="Times New Roman" w:eastAsia="Times New Roman" w:hAnsi="Times New Roman" w:cs="Times New Roman"/>
          <w:b/>
          <w:noProof w:val="0"/>
        </w:rPr>
        <w:t>4.</w:t>
      </w:r>
      <w:r w:rsidRPr="00E07ACB">
        <w:rPr>
          <w:rFonts w:ascii="Times New Roman" w:eastAsia="Times New Roman" w:hAnsi="Times New Roman" w:cs="Times New Roman"/>
          <w:b/>
          <w:noProof w:val="0"/>
        </w:rPr>
        <w:tab/>
        <w:t>KLINIKINĖ INFORMACIJA</w:t>
      </w:r>
    </w:p>
    <w:p w14:paraId="5B138C6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7FDDA08"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r w:rsidRPr="00E07ACB">
        <w:rPr>
          <w:rFonts w:ascii="Times New Roman" w:eastAsia="Times New Roman" w:hAnsi="Times New Roman" w:cs="Times New Roman"/>
          <w:b/>
          <w:noProof w:val="0"/>
          <w:kern w:val="28"/>
        </w:rPr>
        <w:t>4.1</w:t>
      </w:r>
      <w:r w:rsidRPr="00E07ACB">
        <w:rPr>
          <w:rFonts w:ascii="Times New Roman" w:eastAsia="Times New Roman" w:hAnsi="Times New Roman" w:cs="Times New Roman"/>
          <w:b/>
          <w:noProof w:val="0"/>
          <w:kern w:val="28"/>
        </w:rPr>
        <w:tab/>
        <w:t>Terapinės indikacijos</w:t>
      </w:r>
    </w:p>
    <w:p w14:paraId="00A2287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7F83D7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Imunosupresinio gydymo pagrindiniais imunosupresantais (bazinės imunosupresijos) papildymas.</w:t>
      </w:r>
    </w:p>
    <w:p w14:paraId="395AFA5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241AC9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Alogeninio inkstų, kepenų, širdies, plaučių ar kasos transplantato atmetimo profilaktika, derinant su kitais imunosupresantais. </w:t>
      </w:r>
    </w:p>
    <w:p w14:paraId="5C865140" w14:textId="77777777" w:rsidR="00E07ACB" w:rsidRPr="00E07ACB" w:rsidRDefault="00E07ACB" w:rsidP="00E07ACB">
      <w:pPr>
        <w:spacing w:after="0" w:line="240" w:lineRule="auto"/>
        <w:rPr>
          <w:rFonts w:ascii="Times New Roman" w:eastAsia="Times New Roman" w:hAnsi="Times New Roman" w:cs="Times New Roman"/>
          <w:noProof w:val="0"/>
        </w:rPr>
      </w:pPr>
    </w:p>
    <w:p w14:paraId="27E7F9F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Imuninės sistemos slopinimas vartojant šį imunosupresinio poveikio antimetabolitą vieną arba (dažniau) derinyje su kitais vaistiniais preparatais (dažniausiai kortikosteroidais) ir procedūromis, veikiančiomis imuninį atsaką. Terapinis poveikis gali tapti akivaizdžiu tik po kelių savaičių ar mėnesių ir pasireikšti steroidus taupančiu poveikiu, todėl gali silpnėti toksinis poveikis, susijęs su didelės kortikosteroidų dozės vartojimu ir ilgalaikiu gydymu. </w:t>
      </w:r>
    </w:p>
    <w:p w14:paraId="096D39EC" w14:textId="77777777" w:rsidR="00E07ACB" w:rsidRPr="00E07ACB" w:rsidRDefault="00E07ACB" w:rsidP="00E07ACB">
      <w:pPr>
        <w:spacing w:after="0" w:line="240" w:lineRule="auto"/>
        <w:rPr>
          <w:rFonts w:ascii="Times New Roman" w:eastAsia="Times New Roman" w:hAnsi="Times New Roman" w:cs="Times New Roman"/>
          <w:noProof w:val="0"/>
        </w:rPr>
      </w:pPr>
    </w:p>
    <w:p w14:paraId="3E53C74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Sunkių toliau išvardintų ligų gydymas vien tik šiuo vaistiniu preparatu arba derinyje su kortikosteroidais ir (arba) kitais vaistiniais preparatais ir procedūromis pacientams, kurie netoleruoja steroidų, yra nuo jų priklausomi arba kurių atsakas į gydymą didele steroidų doze yra nepakankamas, sergant:</w:t>
      </w:r>
    </w:p>
    <w:p w14:paraId="2F10157B" w14:textId="77777777" w:rsidR="00E07ACB" w:rsidRPr="00E07ACB" w:rsidRDefault="00E07ACB" w:rsidP="00E07ACB">
      <w:pPr>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sunkiu aktyviu reumatoidiniu artritu, kurio neįmanoma valdyti mažiau toksiškais vaistiniais preparatais (ligą modifikuojančiais antireumatiniais vaistiniais preparatais; LMAVP);</w:t>
      </w:r>
    </w:p>
    <w:p w14:paraId="1714D5BF"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sunkia arba vidutinio sunkumo uždegimine žarnų liga (Krono (</w:t>
      </w:r>
      <w:r w:rsidRPr="00E07ACB">
        <w:rPr>
          <w:rFonts w:ascii="Times New Roman" w:eastAsia="Times New Roman" w:hAnsi="Times New Roman" w:cs="Times New Roman"/>
          <w:i/>
          <w:noProof w:val="0"/>
        </w:rPr>
        <w:t>Crohn</w:t>
      </w:r>
      <w:r w:rsidRPr="00E07ACB">
        <w:rPr>
          <w:rFonts w:ascii="Times New Roman" w:eastAsia="Times New Roman" w:hAnsi="Times New Roman" w:cs="Times New Roman"/>
          <w:noProof w:val="0"/>
        </w:rPr>
        <w:t>) liga ar opiniu kolitu);</w:t>
      </w:r>
    </w:p>
    <w:p w14:paraId="1558AD7F"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sistemine raudonąja vilklige (</w:t>
      </w:r>
      <w:r w:rsidRPr="00E07ACB">
        <w:rPr>
          <w:rFonts w:ascii="Times New Roman" w:eastAsia="Times New Roman" w:hAnsi="Times New Roman" w:cs="Times New Roman"/>
          <w:i/>
          <w:noProof w:val="0"/>
        </w:rPr>
        <w:t>Lupus erythematosus</w:t>
      </w:r>
      <w:r w:rsidRPr="00E07ACB">
        <w:rPr>
          <w:rFonts w:ascii="Times New Roman" w:eastAsia="Times New Roman" w:hAnsi="Times New Roman" w:cs="Times New Roman"/>
          <w:noProof w:val="0"/>
        </w:rPr>
        <w:t>);</w:t>
      </w:r>
    </w:p>
    <w:p w14:paraId="0604A1F4"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dermatomiozitu arba polimiozitu;</w:t>
      </w:r>
    </w:p>
    <w:p w14:paraId="7AC5C5AF"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autoimuniniu lėtiniu aktyviu hepatitu;</w:t>
      </w:r>
    </w:p>
    <w:p w14:paraId="103DC5AF"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mazginiu poliarteritu;</w:t>
      </w:r>
    </w:p>
    <w:p w14:paraId="2CD58ED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autoimunine hemolizine anemija;</w:t>
      </w:r>
    </w:p>
    <w:p w14:paraId="17D56D6E"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lėtine gydymui nepasiduodančia idiopatine trombocitopenine purpura.</w:t>
      </w:r>
    </w:p>
    <w:p w14:paraId="71D3C59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4500746"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r w:rsidRPr="00E07ACB">
        <w:rPr>
          <w:rFonts w:ascii="Times New Roman" w:eastAsia="Times New Roman" w:hAnsi="Times New Roman" w:cs="Times New Roman"/>
          <w:b/>
          <w:noProof w:val="0"/>
          <w:kern w:val="28"/>
        </w:rPr>
        <w:lastRenderedPageBreak/>
        <w:t>4.2</w:t>
      </w:r>
      <w:r w:rsidRPr="00E07ACB">
        <w:rPr>
          <w:rFonts w:ascii="Times New Roman" w:eastAsia="Times New Roman" w:hAnsi="Times New Roman" w:cs="Times New Roman"/>
          <w:b/>
          <w:noProof w:val="0"/>
          <w:kern w:val="28"/>
        </w:rPr>
        <w:tab/>
        <w:t>Dozavimas ir vartojimo metodas</w:t>
      </w:r>
    </w:p>
    <w:p w14:paraId="6D33E4F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AE3BE14" w14:textId="77777777" w:rsidR="00E07ACB" w:rsidRPr="00E07ACB" w:rsidRDefault="00E07ACB" w:rsidP="00E07ACB">
      <w:pPr>
        <w:spacing w:after="0" w:line="240" w:lineRule="auto"/>
        <w:rPr>
          <w:rFonts w:ascii="Times New Roman" w:eastAsia="Calibri" w:hAnsi="Times New Roman" w:cs="Times New Roman"/>
          <w:u w:val="single"/>
        </w:rPr>
      </w:pPr>
      <w:r w:rsidRPr="00E07ACB">
        <w:rPr>
          <w:rFonts w:ascii="Times New Roman" w:eastAsia="Calibri" w:hAnsi="Times New Roman" w:cs="Times New Roman"/>
          <w:u w:val="single"/>
        </w:rPr>
        <w:t>Dozavimas</w:t>
      </w:r>
    </w:p>
    <w:p w14:paraId="0E000A44" w14:textId="77777777" w:rsidR="00E07ACB" w:rsidRPr="00E07ACB" w:rsidRDefault="00E07ACB" w:rsidP="00E07ACB">
      <w:pPr>
        <w:spacing w:after="0" w:line="240" w:lineRule="auto"/>
        <w:rPr>
          <w:rFonts w:ascii="Times New Roman" w:eastAsia="Times New Roman" w:hAnsi="Times New Roman" w:cs="Times New Roman"/>
          <w:noProof w:val="0"/>
          <w:szCs w:val="20"/>
        </w:rPr>
      </w:pPr>
    </w:p>
    <w:p w14:paraId="32969611" w14:textId="77777777" w:rsidR="00E07ACB" w:rsidRPr="00E07ACB" w:rsidRDefault="00E07ACB" w:rsidP="00E07ACB">
      <w:pPr>
        <w:spacing w:after="0" w:line="240" w:lineRule="auto"/>
        <w:rPr>
          <w:rFonts w:ascii="Times New Roman" w:eastAsia="Times New Roman" w:hAnsi="Times New Roman" w:cs="Times New Roman"/>
          <w:i/>
          <w:noProof w:val="0"/>
          <w:color w:val="008000"/>
          <w:szCs w:val="20"/>
        </w:rPr>
      </w:pPr>
    </w:p>
    <w:p w14:paraId="5607C8F7"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Transplantacija</w:t>
      </w:r>
    </w:p>
    <w:p w14:paraId="03B58DD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Priklausomai nuo pasirinkto imunosupresijos būdo pirmą gydymo parą galima skirti gerti ne didesnę kaip 5 mg/kg kūno svorio paros dozę. Palaikomoji paros dozė yra 1 – 4 mg/kg kūno svorio. Ją reikia nustatyti atsižvelgiant į klinikinę paciento būklę ir į tai, kaip vaistinį preparatą toleruoja kraujas.</w:t>
      </w:r>
    </w:p>
    <w:p w14:paraId="670E357C" w14:textId="77777777" w:rsidR="00E07ACB" w:rsidRPr="00E07ACB" w:rsidRDefault="00E07ACB" w:rsidP="00E07ACB">
      <w:pPr>
        <w:spacing w:after="0" w:line="240" w:lineRule="auto"/>
        <w:rPr>
          <w:rFonts w:ascii="Times New Roman" w:eastAsia="Times New Roman" w:hAnsi="Times New Roman" w:cs="Times New Roman"/>
          <w:noProof w:val="0"/>
        </w:rPr>
      </w:pPr>
    </w:p>
    <w:p w14:paraId="2726B67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Turimi duomenys rodo, kad gydymo azatioprinu trukmės riboti nereikia net tada, kai būtina tik maža jo dozė, kadangi yra transplantato atmetimo rizika. </w:t>
      </w:r>
    </w:p>
    <w:p w14:paraId="13335DC2" w14:textId="77777777" w:rsidR="00E07ACB" w:rsidRPr="00E07ACB" w:rsidRDefault="00E07ACB" w:rsidP="00E07ACB">
      <w:pPr>
        <w:spacing w:after="0" w:line="240" w:lineRule="auto"/>
        <w:rPr>
          <w:rFonts w:ascii="Times New Roman" w:eastAsia="Times New Roman" w:hAnsi="Times New Roman" w:cs="Times New Roman"/>
          <w:noProof w:val="0"/>
        </w:rPr>
      </w:pPr>
    </w:p>
    <w:p w14:paraId="34A0A37C"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Kitos būklės</w:t>
      </w:r>
    </w:p>
    <w:p w14:paraId="11AC94E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Įprastinė pradinė paros dozė yra 1 – 3 mg/kg kūno svorio. Ją reikia didinti, atsižvelgiant į klinikinį atsaką (jis gali būti nepastebimas kelias savaites arba kelis mėnesius) ir į tai, kaip vaistinį preparatą toleruoja kraujas. </w:t>
      </w:r>
    </w:p>
    <w:p w14:paraId="24D8447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po 3 – 6 gydymo mėnesių paciento būklė nepagerėja, svarstytinas vaistinio preparato vartojimo nutraukimas.</w:t>
      </w:r>
    </w:p>
    <w:p w14:paraId="17C87DE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Priklausomai nuo gydomos klinikinės būklės, individualios paciento reakcijos ir nuo to, kaip vaistinį preparatą toleruoja kraujas, palaikomoji paros dozė svyruoja nuo mažesnės kaip  1 mg/kg kūno svorio iki 3 mg/kg kūno svorio.</w:t>
      </w:r>
    </w:p>
    <w:p w14:paraId="0193B303" w14:textId="77777777" w:rsidR="00E07ACB" w:rsidRPr="00E07ACB" w:rsidRDefault="00E07ACB" w:rsidP="00E07ACB">
      <w:pPr>
        <w:spacing w:after="0" w:line="240" w:lineRule="auto"/>
        <w:rPr>
          <w:rFonts w:ascii="Times New Roman" w:eastAsia="Times New Roman" w:hAnsi="Times New Roman" w:cs="Times New Roman"/>
          <w:noProof w:val="0"/>
        </w:rPr>
      </w:pPr>
    </w:p>
    <w:p w14:paraId="1A47194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Lėtiniam aktyviam autoimuniniam hepatitui gydyti įprastinė paros dozė yra 1 – 1,5 mg/kg kūno svorio.</w:t>
      </w:r>
    </w:p>
    <w:p w14:paraId="34A0E866" w14:textId="77777777" w:rsidR="00E07ACB" w:rsidRPr="00E07ACB" w:rsidRDefault="00E07ACB" w:rsidP="00E07ACB">
      <w:pPr>
        <w:spacing w:after="0" w:line="240" w:lineRule="auto"/>
        <w:rPr>
          <w:rFonts w:ascii="Times New Roman" w:eastAsia="Times New Roman" w:hAnsi="Times New Roman" w:cs="Times New Roman"/>
          <w:noProof w:val="0"/>
        </w:rPr>
      </w:pPr>
    </w:p>
    <w:p w14:paraId="1C0053DB"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Pacientams, kurių kepenų ir (arba) inkstų funkcija sutrikusi</w:t>
      </w:r>
    </w:p>
    <w:p w14:paraId="539DBCA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Pacientus, kuriems yra inkstų ir (arba) kepenų veiklos nepakankamumas, reikia gydyti mažiausia įprastine terapine doze. Pacientus, kuriems yra sunkus kepenų funkcijos sutrikimas, Atsimutin vartoti draudžiama (žr. 4.3 skyrių). </w:t>
      </w:r>
    </w:p>
    <w:p w14:paraId="655A5A4B" w14:textId="77777777" w:rsidR="00E07ACB" w:rsidRPr="00E07ACB" w:rsidRDefault="00E07ACB" w:rsidP="00E07ACB">
      <w:pPr>
        <w:spacing w:after="0" w:line="240" w:lineRule="auto"/>
        <w:rPr>
          <w:rFonts w:ascii="Times New Roman" w:eastAsia="Times New Roman" w:hAnsi="Times New Roman" w:cs="Times New Roman"/>
          <w:noProof w:val="0"/>
        </w:rPr>
      </w:pPr>
    </w:p>
    <w:p w14:paraId="5646E3AF"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 xml:space="preserve">Vaikų populiacija </w:t>
      </w:r>
    </w:p>
    <w:p w14:paraId="789994C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Duomenų, kuriais remiantis būtų galima rekomenduoti Atsimutin lėtinio jaunatvinio artrito, sisteminės raudonosios vilkligės (</w:t>
      </w:r>
      <w:r w:rsidRPr="00E07ACB">
        <w:rPr>
          <w:rFonts w:ascii="Times New Roman" w:eastAsia="Times New Roman" w:hAnsi="Times New Roman" w:cs="Times New Roman"/>
          <w:i/>
          <w:noProof w:val="0"/>
        </w:rPr>
        <w:t>Lupus erythematosus</w:t>
      </w:r>
      <w:r w:rsidRPr="00E07ACB">
        <w:rPr>
          <w:rFonts w:ascii="Times New Roman" w:eastAsia="Times New Roman" w:hAnsi="Times New Roman" w:cs="Times New Roman"/>
          <w:noProof w:val="0"/>
        </w:rPr>
        <w:t xml:space="preserve">), dermatomiozito ar mazginio poliarterito gydymui nepakanka. </w:t>
      </w:r>
    </w:p>
    <w:p w14:paraId="36EC8455" w14:textId="77777777" w:rsidR="00E07ACB" w:rsidRPr="00E07ACB" w:rsidRDefault="00E07ACB" w:rsidP="00E07ACB">
      <w:pPr>
        <w:spacing w:after="0" w:line="240" w:lineRule="auto"/>
        <w:rPr>
          <w:rFonts w:ascii="Times New Roman" w:eastAsia="Times New Roman" w:hAnsi="Times New Roman" w:cs="Times New Roman"/>
          <w:noProof w:val="0"/>
        </w:rPr>
      </w:pPr>
    </w:p>
    <w:p w14:paraId="2A9D910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Kitų indikacijų atveju vaikus ir paauglius galima gydyti rekomenduojama suaugusiųjų doze. </w:t>
      </w:r>
    </w:p>
    <w:p w14:paraId="79D0FBA6" w14:textId="77777777" w:rsidR="00E07ACB" w:rsidRPr="00E07ACB" w:rsidRDefault="00E07ACB" w:rsidP="00E07ACB">
      <w:pPr>
        <w:spacing w:after="0" w:line="240" w:lineRule="auto"/>
        <w:rPr>
          <w:rFonts w:ascii="Times New Roman" w:eastAsia="Times New Roman" w:hAnsi="Times New Roman" w:cs="Times New Roman"/>
          <w:noProof w:val="0"/>
        </w:rPr>
      </w:pPr>
    </w:p>
    <w:p w14:paraId="61530E28" w14:textId="77777777" w:rsidR="00E07ACB" w:rsidRPr="00E07ACB" w:rsidRDefault="00E07ACB" w:rsidP="00E07ACB">
      <w:pPr>
        <w:spacing w:after="0" w:line="240" w:lineRule="auto"/>
        <w:rPr>
          <w:rFonts w:ascii="Times New Roman" w:eastAsia="Calibri" w:hAnsi="Times New Roman" w:cs="Times New Roman"/>
          <w:i/>
        </w:rPr>
      </w:pPr>
      <w:r w:rsidRPr="00E07ACB">
        <w:rPr>
          <w:rFonts w:ascii="Times New Roman" w:eastAsia="Calibri" w:hAnsi="Times New Roman" w:cs="Times New Roman"/>
          <w:i/>
        </w:rPr>
        <w:t>Senyviems pacientams</w:t>
      </w:r>
    </w:p>
    <w:p w14:paraId="4A53024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Nėra specifinės informacijos, kaip Atsimutin toleruoja senyvi žmonės. Juos rekomenduojama gydyti mažiausia įprastine terapine doze (kaip kontroliuoti kraujo ląstelių kiekį, žr. 4.4 skyrių). </w:t>
      </w:r>
    </w:p>
    <w:p w14:paraId="6D8C21C8" w14:textId="77777777" w:rsidR="00E07ACB" w:rsidRPr="00E07ACB" w:rsidRDefault="00E07ACB" w:rsidP="00E07ACB">
      <w:pPr>
        <w:spacing w:after="0" w:line="240" w:lineRule="auto"/>
        <w:rPr>
          <w:rFonts w:ascii="Times New Roman" w:eastAsia="Times New Roman" w:hAnsi="Times New Roman" w:cs="Times New Roman"/>
          <w:noProof w:val="0"/>
        </w:rPr>
      </w:pPr>
    </w:p>
    <w:p w14:paraId="7273CB4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Kol terapinis poveikis tampa pastebimas, gali praeiti kelios savaitės arba keli mėnesiai.</w:t>
      </w:r>
    </w:p>
    <w:p w14:paraId="5F4A561B" w14:textId="77777777" w:rsidR="00E07ACB" w:rsidRPr="00E07ACB" w:rsidRDefault="00E07ACB" w:rsidP="00E07ACB">
      <w:pPr>
        <w:spacing w:after="0" w:line="240" w:lineRule="auto"/>
        <w:rPr>
          <w:rFonts w:ascii="Times New Roman" w:eastAsia="Times New Roman" w:hAnsi="Times New Roman" w:cs="Times New Roman"/>
          <w:noProof w:val="0"/>
        </w:rPr>
      </w:pPr>
    </w:p>
    <w:p w14:paraId="41D638A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Vaistiniu preparatu galima gydyti ilgai, išskyrus atvejį, kai pacientas jo netoleruoja.</w:t>
      </w:r>
    </w:p>
    <w:p w14:paraId="524744C4" w14:textId="77777777" w:rsidR="00E07ACB" w:rsidRPr="00E07ACB" w:rsidRDefault="00E07ACB" w:rsidP="00E07ACB">
      <w:pPr>
        <w:spacing w:after="0" w:line="240" w:lineRule="auto"/>
        <w:rPr>
          <w:rFonts w:ascii="Times New Roman" w:eastAsia="Times New Roman" w:hAnsi="Times New Roman" w:cs="Times New Roman"/>
          <w:noProof w:val="0"/>
        </w:rPr>
      </w:pPr>
    </w:p>
    <w:p w14:paraId="1325E99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Azatioprino vartojimą visada reikia nutraukti palaipsniui mažinant dozę ir atidžiai gydytojui prižiūrint. </w:t>
      </w:r>
    </w:p>
    <w:p w14:paraId="307F569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Reikia vengti tabletės laužymo ar sutrupinimo. </w:t>
      </w:r>
    </w:p>
    <w:p w14:paraId="202AC28B" w14:textId="77777777" w:rsidR="00E07ACB" w:rsidRPr="00E07ACB" w:rsidRDefault="00E07ACB" w:rsidP="00E07ACB">
      <w:pPr>
        <w:spacing w:after="0" w:line="240" w:lineRule="auto"/>
        <w:rPr>
          <w:rFonts w:ascii="Times New Roman" w:eastAsia="Times New Roman" w:hAnsi="Times New Roman" w:cs="Times New Roman"/>
          <w:noProof w:val="0"/>
        </w:rPr>
      </w:pPr>
    </w:p>
    <w:p w14:paraId="23760B7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Tabletę galima dalyti į lygias dozes. Jei prireiktų tabletę perskirti, venkite užteršimo tabletės dalelėmis ir jų įkvėpimo (žr. 4.4 ir 6.6 skyrius). Reikia vengti tablečių sutraiškymo. Tinkamam ilgalaikiam dozavimui, reikia vartoti 25 mg (Atsimutin 25 mg plėvele dengtos tabletės) stiprumo tabletes.</w:t>
      </w:r>
    </w:p>
    <w:p w14:paraId="02A38EB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7A6767E" w14:textId="77777777" w:rsidR="00E07ACB" w:rsidRPr="00E07ACB" w:rsidRDefault="00E07ACB" w:rsidP="00E07ACB">
      <w:pPr>
        <w:spacing w:after="0" w:line="240" w:lineRule="auto"/>
        <w:rPr>
          <w:rFonts w:ascii="Times New Roman" w:eastAsia="Times New Roman" w:hAnsi="Times New Roman" w:cs="Times New Roman"/>
          <w:i/>
          <w:iCs/>
        </w:rPr>
      </w:pPr>
      <w:r w:rsidRPr="00E07ACB">
        <w:rPr>
          <w:rFonts w:ascii="Times New Roman" w:eastAsia="Times New Roman" w:hAnsi="Times New Roman" w:cs="Times New Roman"/>
          <w:i/>
          <w:iCs/>
        </w:rPr>
        <w:t>Pacientai, turintys NUDT15 variantą</w:t>
      </w:r>
    </w:p>
    <w:p w14:paraId="281C9738" w14:textId="77777777" w:rsidR="00E07ACB" w:rsidRPr="00E07ACB" w:rsidRDefault="00E07ACB" w:rsidP="00E07ACB">
      <w:pPr>
        <w:spacing w:after="0" w:line="240" w:lineRule="auto"/>
        <w:rPr>
          <w:rFonts w:ascii="Times New Roman" w:eastAsia="Times New Roman" w:hAnsi="Times New Roman" w:cs="Times New Roman"/>
        </w:rPr>
      </w:pPr>
      <w:r w:rsidRPr="00E07ACB">
        <w:rPr>
          <w:rFonts w:ascii="Times New Roman" w:eastAsia="Times New Roman" w:hAnsi="Times New Roman" w:cs="Times New Roman"/>
        </w:rPr>
        <w:t>Pacientams, turintiems įgimtą mutavusį NUDT15 geną, gresia didesnė sunkaus azatioprino</w:t>
      </w:r>
    </w:p>
    <w:p w14:paraId="6BE208D9" w14:textId="77777777" w:rsidR="00E07ACB" w:rsidRPr="00E07ACB" w:rsidRDefault="00E07ACB" w:rsidP="00E07ACB">
      <w:pPr>
        <w:spacing w:after="0" w:line="240" w:lineRule="auto"/>
        <w:rPr>
          <w:rFonts w:ascii="Times New Roman" w:eastAsia="Times New Roman" w:hAnsi="Times New Roman" w:cs="Times New Roman"/>
        </w:rPr>
      </w:pPr>
      <w:r w:rsidRPr="00E07ACB">
        <w:rPr>
          <w:rFonts w:ascii="Times New Roman" w:eastAsia="Times New Roman" w:hAnsi="Times New Roman" w:cs="Times New Roman"/>
        </w:rPr>
        <w:t>toksinio poveikio rizika (žr. 4.4 skyrių). Šiems pacientams paprastai reikia mažinti dozę, ypač tiems,</w:t>
      </w:r>
    </w:p>
    <w:p w14:paraId="597A4DF0" w14:textId="77777777" w:rsidR="00E07ACB" w:rsidRPr="00E07ACB" w:rsidRDefault="00E07ACB" w:rsidP="00E07ACB">
      <w:pPr>
        <w:spacing w:after="0" w:line="240" w:lineRule="auto"/>
        <w:rPr>
          <w:rFonts w:ascii="Times New Roman" w:eastAsia="Times New Roman" w:hAnsi="Times New Roman" w:cs="Times New Roman"/>
          <w:noProof w:val="0"/>
        </w:rPr>
      </w:pPr>
      <w:r w:rsidRPr="003F0C62">
        <w:rPr>
          <w:rFonts w:ascii="Times New Roman" w:eastAsia="Times New Roman" w:hAnsi="Times New Roman" w:cs="Times New Roman"/>
        </w:rPr>
        <w:lastRenderedPageBreak/>
        <w:t>kuriems NUDT15 variantas yra homozigotinis (žr. 4.4 skyrių). Prieš pradedant gydyti azatioprinu reikėtų apsvarstyti galimybę atlikti NUDT15 variantų genotipo testą. Visais atvejais reikia atidžiai stebėti kraujo ląstelių skaičių.</w:t>
      </w:r>
    </w:p>
    <w:p w14:paraId="440CD99D" w14:textId="77777777" w:rsidR="00E07ACB" w:rsidRPr="00E07ACB" w:rsidRDefault="00E07ACB" w:rsidP="00E07ACB">
      <w:pPr>
        <w:spacing w:after="0" w:line="240" w:lineRule="auto"/>
        <w:rPr>
          <w:rFonts w:ascii="Times New Roman" w:eastAsia="Times New Roman" w:hAnsi="Times New Roman" w:cs="Times New Roman"/>
          <w:noProof w:val="0"/>
        </w:rPr>
      </w:pPr>
    </w:p>
    <w:p w14:paraId="3C052551"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Vartojimo metodas</w:t>
      </w:r>
    </w:p>
    <w:p w14:paraId="2C7560A1" w14:textId="77777777" w:rsidR="00E07ACB" w:rsidRPr="00E07ACB" w:rsidRDefault="00E07ACB" w:rsidP="00E07ACB">
      <w:pPr>
        <w:spacing w:after="0" w:line="240" w:lineRule="auto"/>
        <w:rPr>
          <w:rFonts w:ascii="Times New Roman" w:eastAsia="Times New Roman" w:hAnsi="Times New Roman" w:cs="Times New Roman"/>
          <w:noProof w:val="0"/>
        </w:rPr>
      </w:pPr>
    </w:p>
    <w:p w14:paraId="2E08CFEA" w14:textId="77777777" w:rsidR="00E07ACB" w:rsidRPr="00E07ACB" w:rsidRDefault="00E07ACB" w:rsidP="00E07ACB">
      <w:pPr>
        <w:spacing w:after="0" w:line="240" w:lineRule="auto"/>
        <w:rPr>
          <w:rFonts w:ascii="Times New Roman" w:eastAsia="Calibri" w:hAnsi="Times New Roman" w:cs="Times New Roman"/>
        </w:rPr>
      </w:pPr>
      <w:r w:rsidRPr="00E07ACB">
        <w:rPr>
          <w:rFonts w:ascii="Times New Roman" w:eastAsia="Calibri" w:hAnsi="Times New Roman" w:cs="Times New Roman"/>
        </w:rPr>
        <w:t>Vartojamas per burną.</w:t>
      </w:r>
    </w:p>
    <w:p w14:paraId="231D0C2A" w14:textId="77777777" w:rsidR="00E07ACB" w:rsidRPr="00E07ACB" w:rsidRDefault="00E07ACB" w:rsidP="00E07ACB">
      <w:pPr>
        <w:spacing w:after="0" w:line="240" w:lineRule="auto"/>
        <w:rPr>
          <w:rFonts w:ascii="Times New Roman" w:eastAsia="Calibri" w:hAnsi="Times New Roman" w:cs="Times New Roman"/>
        </w:rPr>
      </w:pPr>
      <w:r w:rsidRPr="00E07ACB">
        <w:rPr>
          <w:rFonts w:ascii="Times New Roman" w:eastAsia="Calibri" w:hAnsi="Times New Roman" w:cs="Times New Roman"/>
        </w:rPr>
        <w:t>Tabletę(-es) reikia užgerti mažiausiai stikline (200 ml) skysčio.</w:t>
      </w:r>
    </w:p>
    <w:p w14:paraId="2C687E0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Calibri" w:hAnsi="Times New Roman" w:cs="Times New Roman"/>
        </w:rPr>
        <w:t>Siekiant sumažinti pykinimo pavojų, tabletę(-es) reikia gerti valgio metu.</w:t>
      </w:r>
    </w:p>
    <w:p w14:paraId="3FB7930E" w14:textId="77777777" w:rsidR="00E07ACB" w:rsidRPr="00E07ACB" w:rsidRDefault="00E07ACB" w:rsidP="00E07ACB">
      <w:pPr>
        <w:spacing w:after="0" w:line="240" w:lineRule="auto"/>
        <w:rPr>
          <w:rFonts w:ascii="Times New Roman" w:eastAsia="Times New Roman" w:hAnsi="Times New Roman" w:cs="Times New Roman"/>
          <w:noProof w:val="0"/>
        </w:rPr>
      </w:pPr>
    </w:p>
    <w:p w14:paraId="009168F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57570C6"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r w:rsidRPr="00E07ACB">
        <w:rPr>
          <w:rFonts w:ascii="Times New Roman" w:eastAsia="Times New Roman" w:hAnsi="Times New Roman" w:cs="Times New Roman"/>
          <w:b/>
          <w:noProof w:val="0"/>
          <w:kern w:val="28"/>
        </w:rPr>
        <w:t>4.3</w:t>
      </w:r>
      <w:r w:rsidRPr="00E07ACB">
        <w:rPr>
          <w:rFonts w:ascii="Times New Roman" w:eastAsia="Times New Roman" w:hAnsi="Times New Roman" w:cs="Times New Roman"/>
          <w:b/>
          <w:noProof w:val="0"/>
          <w:kern w:val="28"/>
        </w:rPr>
        <w:tab/>
        <w:t>Kontraindikacijos</w:t>
      </w:r>
    </w:p>
    <w:p w14:paraId="657444F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8872973"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Padidėjęs jautrumas veikliajai, 6-merkaptopurinui (azatioprino metabolitui) arba bet kuriai 6.1 skyriuje nurodytai pagalbinei medžiagai.</w:t>
      </w:r>
    </w:p>
    <w:p w14:paraId="344DF992"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Sunkios infekcinės ligos.</w:t>
      </w:r>
    </w:p>
    <w:p w14:paraId="2E6C12E2"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Sunkus kepenų arba kaulų čiulpų funkcijos sutrikimas. </w:t>
      </w:r>
    </w:p>
    <w:p w14:paraId="031D2E77"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Pankreatitas.</w:t>
      </w:r>
    </w:p>
    <w:p w14:paraId="118C2DDA"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Vakcinacija bet kokia gyvąja vakcina, ypač BCG, raupų ar geltonosios karštligės vakcina.</w:t>
      </w:r>
    </w:p>
    <w:p w14:paraId="49C7B487"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Nėštumas, išskyrus atvejus, kai nauda yra didesnė už riziką (žr. 4.6 skyrių).</w:t>
      </w:r>
    </w:p>
    <w:p w14:paraId="0D656F9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Žindymo laikotarpis (žr. 4.6 skyrių).</w:t>
      </w:r>
    </w:p>
    <w:p w14:paraId="0776D7D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54205E0" w14:textId="77777777" w:rsidR="00E07ACB" w:rsidRPr="00E07ACB" w:rsidRDefault="00E07ACB" w:rsidP="00E07ACB">
      <w:pPr>
        <w:keepNext/>
        <w:keepLines/>
        <w:numPr>
          <w:ilvl w:val="1"/>
          <w:numId w:val="11"/>
        </w:numPr>
        <w:tabs>
          <w:tab w:val="left" w:pos="1296"/>
        </w:tabs>
        <w:spacing w:after="0" w:line="240" w:lineRule="auto"/>
        <w:ind w:left="567" w:hanging="567"/>
        <w:outlineLvl w:val="2"/>
        <w:rPr>
          <w:rFonts w:ascii="Times New Roman" w:eastAsia="Times New Roman" w:hAnsi="Times New Roman" w:cs="Times New Roman"/>
          <w:b/>
          <w:noProof w:val="0"/>
          <w:kern w:val="28"/>
        </w:rPr>
      </w:pPr>
      <w:r w:rsidRPr="00E07ACB">
        <w:rPr>
          <w:rFonts w:ascii="Times New Roman" w:eastAsia="Times New Roman" w:hAnsi="Times New Roman" w:cs="Times New Roman"/>
          <w:b/>
          <w:noProof w:val="0"/>
          <w:kern w:val="28"/>
        </w:rPr>
        <w:t>Specialūs įspėjimai ir atsargumo priemonės</w:t>
      </w:r>
    </w:p>
    <w:p w14:paraId="00E84EE0" w14:textId="77777777" w:rsidR="00E07ACB" w:rsidRDefault="00E07ACB" w:rsidP="00E07ACB">
      <w:pPr>
        <w:keepNext/>
        <w:keepLines/>
        <w:tabs>
          <w:tab w:val="left" w:pos="567"/>
        </w:tabs>
        <w:spacing w:after="0" w:line="240" w:lineRule="auto"/>
        <w:outlineLvl w:val="2"/>
        <w:rPr>
          <w:rFonts w:ascii="Times New Roman" w:eastAsia="Times New Roman" w:hAnsi="Times New Roman" w:cs="Times New Roman"/>
          <w:b/>
          <w:noProof w:val="0"/>
          <w:kern w:val="28"/>
        </w:rPr>
      </w:pPr>
    </w:p>
    <w:p w14:paraId="6E0151FF" w14:textId="5109E965" w:rsidR="007157D7" w:rsidRPr="003F0C62" w:rsidRDefault="007157D7" w:rsidP="00E07ACB">
      <w:pPr>
        <w:keepNext/>
        <w:keepLines/>
        <w:tabs>
          <w:tab w:val="left" w:pos="567"/>
        </w:tabs>
        <w:spacing w:after="0" w:line="240" w:lineRule="auto"/>
        <w:outlineLvl w:val="2"/>
        <w:rPr>
          <w:rFonts w:ascii="Times New Roman" w:eastAsia="Times New Roman" w:hAnsi="Times New Roman" w:cs="Times New Roman"/>
          <w:bCs/>
          <w:noProof w:val="0"/>
          <w:kern w:val="28"/>
        </w:rPr>
      </w:pPr>
      <w:r w:rsidRPr="003F0C62">
        <w:rPr>
          <w:rFonts w:ascii="Times New Roman" w:eastAsia="Times New Roman" w:hAnsi="Times New Roman" w:cs="Times New Roman"/>
          <w:bCs/>
          <w:noProof w:val="0"/>
          <w:kern w:val="28"/>
        </w:rPr>
        <w:t>Stebėsena</w:t>
      </w:r>
    </w:p>
    <w:p w14:paraId="0C99C644" w14:textId="77777777" w:rsidR="007157D7" w:rsidRPr="00E07ACB" w:rsidRDefault="007157D7" w:rsidP="00E07ACB">
      <w:pPr>
        <w:keepNext/>
        <w:keepLines/>
        <w:tabs>
          <w:tab w:val="left" w:pos="567"/>
        </w:tabs>
        <w:spacing w:after="0" w:line="240" w:lineRule="auto"/>
        <w:outlineLvl w:val="2"/>
        <w:rPr>
          <w:rFonts w:ascii="Times New Roman" w:eastAsia="Times New Roman" w:hAnsi="Times New Roman" w:cs="Times New Roman"/>
          <w:b/>
          <w:noProof w:val="0"/>
          <w:kern w:val="28"/>
        </w:rPr>
      </w:pPr>
    </w:p>
    <w:p w14:paraId="6B269B7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Gydymas azatiopirinu gali būti pavojingas, todėl jo skirti negalima, išskyrus atvejus, kai visu gydymo laikotarpiu pacientas bus tinkamai stebimas dėl galimo toksinio poveikio.</w:t>
      </w:r>
    </w:p>
    <w:p w14:paraId="43266DD5" w14:textId="77777777" w:rsidR="00E07ACB" w:rsidRPr="00E07ACB" w:rsidRDefault="00E07ACB" w:rsidP="00E07ACB">
      <w:pPr>
        <w:spacing w:after="0" w:line="240" w:lineRule="auto"/>
        <w:rPr>
          <w:rFonts w:ascii="Times New Roman" w:eastAsia="Times New Roman" w:hAnsi="Times New Roman" w:cs="Times New Roman"/>
          <w:noProof w:val="0"/>
        </w:rPr>
      </w:pPr>
    </w:p>
    <w:p w14:paraId="34506EB4"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sym w:font="Symbol" w:char="F0B7"/>
      </w:r>
      <w:r w:rsidRPr="00E07ACB">
        <w:rPr>
          <w:rFonts w:ascii="Times New Roman" w:eastAsia="Times New Roman" w:hAnsi="Times New Roman" w:cs="Times New Roman"/>
          <w:noProof w:val="0"/>
        </w:rPr>
        <w:tab/>
        <w:t>Pirmųjų 8 gydymo savaičių laikotarpiu būtina mažiausiai kartą per savaitę pamatuoti visų kraujo ląstelių, tarp jų trombocitų, kiekį. Jį reikia matuoti dažniau, jeigu:</w:t>
      </w:r>
    </w:p>
    <w:p w14:paraId="0CB3BF91"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pacientas gydomas didele doze;</w:t>
      </w:r>
    </w:p>
    <w:p w14:paraId="66C8DEC9"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pacientas senyvas;</w:t>
      </w:r>
    </w:p>
    <w:p w14:paraId="4317BF4D"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sutrikusi inkstų funkcija;</w:t>
      </w:r>
    </w:p>
    <w:p w14:paraId="0112D79A" w14:textId="77777777" w:rsidR="00E07ACB" w:rsidRPr="00E07ACB" w:rsidRDefault="00E07ACB" w:rsidP="00E07ACB">
      <w:pPr>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lengvas arba vidutinio sunkumo kepenų funkcijos sutrikimas (žr. 4.2 ir 5.2 skyrius);</w:t>
      </w:r>
    </w:p>
    <w:p w14:paraId="4AE5CE44"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lengvas arba vidutinio sunkumo kaulų čiulpų funkcijos sutrikimas (žr. 4.2 skyrių);</w:t>
      </w:r>
    </w:p>
    <w:p w14:paraId="6D26DDB2" w14:textId="77777777" w:rsidR="00E07ACB" w:rsidRPr="00E07ACB" w:rsidRDefault="00E07ACB" w:rsidP="00E07ACB">
      <w:pPr>
        <w:tabs>
          <w:tab w:val="left" w:pos="540"/>
        </w:tabs>
        <w:spacing w:after="0" w:line="240" w:lineRule="auto"/>
        <w:ind w:left="540"/>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pacientui yra hipersplenizmas.</w:t>
      </w:r>
    </w:p>
    <w:p w14:paraId="0713D68D" w14:textId="77777777" w:rsidR="00E07ACB" w:rsidRPr="00E07ACB" w:rsidRDefault="00E07ACB" w:rsidP="00E07ACB">
      <w:pPr>
        <w:spacing w:after="0" w:line="240" w:lineRule="auto"/>
        <w:rPr>
          <w:rFonts w:ascii="Times New Roman" w:eastAsia="Times New Roman" w:hAnsi="Times New Roman" w:cs="Times New Roman"/>
          <w:noProof w:val="0"/>
        </w:rPr>
      </w:pPr>
    </w:p>
    <w:p w14:paraId="1F1A8D75"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Po 8 gydymo savaičių bendrą kraujo tyrimą (BKT) galima atlikti rečiau. BKT patariama atlikti kas mėnesį, bet ne rečiau nei kas tris mėnesius. </w:t>
      </w:r>
    </w:p>
    <w:p w14:paraId="58B177C0" w14:textId="77777777" w:rsidR="00E07ACB" w:rsidRPr="00E07ACB" w:rsidRDefault="00E07ACB" w:rsidP="00E07ACB">
      <w:pPr>
        <w:spacing w:after="0" w:line="240" w:lineRule="auto"/>
        <w:rPr>
          <w:rFonts w:ascii="Times New Roman" w:eastAsia="Times New Roman" w:hAnsi="Times New Roman" w:cs="Times New Roman"/>
          <w:noProof w:val="0"/>
        </w:rPr>
      </w:pPr>
    </w:p>
    <w:p w14:paraId="2B4BEE1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Pacientą reikia įspėti, kad atsiradus gerklės išopėjimui, karščiavimui, infekcinei ligai, kraujosruvoms, kraujavimui arba kitokių mielosupresijos požymių, būtina nedelsiant informuoti gydytoją.</w:t>
      </w:r>
    </w:p>
    <w:p w14:paraId="1AF902E8" w14:textId="77777777" w:rsidR="00E07ACB" w:rsidRPr="00E07ACB" w:rsidRDefault="00E07ACB" w:rsidP="00E07ACB">
      <w:pPr>
        <w:spacing w:after="0" w:line="240" w:lineRule="auto"/>
        <w:rPr>
          <w:rFonts w:ascii="Times New Roman" w:eastAsia="Times New Roman" w:hAnsi="Times New Roman" w:cs="Times New Roman"/>
          <w:noProof w:val="0"/>
        </w:rPr>
      </w:pPr>
    </w:p>
    <w:p w14:paraId="7DE736B7" w14:textId="3194B527" w:rsidR="00E37B21" w:rsidRPr="008857B6" w:rsidRDefault="00E07ACB" w:rsidP="00E37B21">
      <w:pPr>
        <w:tabs>
          <w:tab w:val="left" w:pos="540"/>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sym w:font="Symbol" w:char="F0B7"/>
      </w:r>
      <w:r w:rsidRPr="00E07ACB">
        <w:rPr>
          <w:rFonts w:ascii="Times New Roman" w:eastAsia="Times New Roman" w:hAnsi="Times New Roman" w:cs="Times New Roman"/>
          <w:noProof w:val="0"/>
        </w:rPr>
        <w:tab/>
      </w:r>
      <w:r w:rsidR="00E37B21" w:rsidRPr="008857B6">
        <w:rPr>
          <w:rFonts w:ascii="Times New Roman" w:eastAsia="Times New Roman" w:hAnsi="Times New Roman" w:cs="Times New Roman"/>
          <w:noProof w:val="0"/>
        </w:rPr>
        <w:t>Azatioprinas yra hepatotoksiškas, todėl gydymo laikotarpiu turėtų būti nuolat atliekami tyrimai kepenų veiklai įvertinti. Pacientams, kuriems jau diagnozuota kepenų liga arba kurie vartoja vaistus, galinčius turėti toksinį poveikį kepenims, galima rekomenduoti dažniau atlikti tokius tyrimus. Gauta pranešimų apie necirozinės vartų venos hipertenzijos ir (arba) portosinusoidinių kraujagyslių ligos atvejus. Ankstyvieji klinikiniai požymiai apima kepenų fermentų tyrimų rezultatų nukrypimą nuo normos, nedidelę geltą, trombocitopeniją ir splenomegaliją (žr. 4.8 skyrių). Pacientus reikėtų informuoti apie kepenų pažeidimo simptomus ir patarti jiems nedelsiant kreiptis į gydytoją, jei atsirastų tokie simpt</w:t>
      </w:r>
      <w:r w:rsidR="00E37B21">
        <w:rPr>
          <w:rFonts w:ascii="Times New Roman" w:eastAsia="Times New Roman" w:hAnsi="Times New Roman" w:cs="Times New Roman"/>
          <w:noProof w:val="0"/>
        </w:rPr>
        <w:t>omai</w:t>
      </w:r>
      <w:r w:rsidR="00E37B21" w:rsidRPr="008857B6">
        <w:rPr>
          <w:rFonts w:ascii="Times New Roman" w:eastAsia="Times New Roman" w:hAnsi="Times New Roman" w:cs="Times New Roman"/>
          <w:noProof w:val="0"/>
        </w:rPr>
        <w:t>.</w:t>
      </w:r>
    </w:p>
    <w:p w14:paraId="5DF13401" w14:textId="2A2AFCBF" w:rsidR="00E07ACB" w:rsidRPr="00E07ACB" w:rsidRDefault="00E07ACB" w:rsidP="00E07ACB">
      <w:pPr>
        <w:tabs>
          <w:tab w:val="left" w:pos="540"/>
        </w:tabs>
        <w:spacing w:after="0" w:line="240" w:lineRule="auto"/>
        <w:rPr>
          <w:rFonts w:ascii="Times New Roman" w:eastAsia="Times New Roman" w:hAnsi="Times New Roman" w:cs="Times New Roman"/>
          <w:noProof w:val="0"/>
        </w:rPr>
      </w:pPr>
    </w:p>
    <w:p w14:paraId="0964ED46" w14:textId="77777777" w:rsidR="00E07ACB" w:rsidRPr="00E07ACB" w:rsidRDefault="00E07ACB" w:rsidP="00E07ACB">
      <w:pPr>
        <w:tabs>
          <w:tab w:val="left" w:pos="1296"/>
        </w:tabs>
        <w:spacing w:after="0" w:line="240" w:lineRule="auto"/>
        <w:ind w:left="360"/>
        <w:rPr>
          <w:rFonts w:ascii="Times New Roman" w:eastAsia="Times New Roman" w:hAnsi="Times New Roman" w:cs="Times New Roman"/>
          <w:noProof w:val="0"/>
        </w:rPr>
      </w:pPr>
    </w:p>
    <w:p w14:paraId="7FEF40E9" w14:textId="77777777" w:rsidR="00E07ACB" w:rsidRPr="00E07ACB" w:rsidRDefault="00E07ACB" w:rsidP="00E07ACB">
      <w:pPr>
        <w:numPr>
          <w:ilvl w:val="0"/>
          <w:numId w:val="3"/>
        </w:numPr>
        <w:tabs>
          <w:tab w:val="num" w:pos="540"/>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Kai kurie asmenys, kuriems yra paveldėta fermento tiopurino metiltransferazės (TPMT) stoka, gali būti labai jautrūs mielosupresiniam azatioprino poveikiui, todėl, pradėjus juos gydyti azatioprinu, gali greitai atsirasti kaulų čiulpų slopinimo reiškinių. Šis poveikis gali sustiprėti, </w:t>
      </w:r>
      <w:r w:rsidRPr="00E07ACB">
        <w:rPr>
          <w:rFonts w:ascii="Times New Roman" w:eastAsia="Times New Roman" w:hAnsi="Times New Roman" w:cs="Times New Roman"/>
          <w:noProof w:val="0"/>
        </w:rPr>
        <w:lastRenderedPageBreak/>
        <w:t>kartu su azatioprinu vartojant vaistų, kurie slopina TPMT, pavyzdžiui, olsalazino, mesalazino arba sulfasalazino. Yra duomenų, kad pacientams, gydomiems 6-merkaptopurinu (aktyviu azatioprino metabolitu) kartu su kitais citotoksiniais vaistais, pasireiškęs TPMT aktyvumo sumažėjimas gali būti susijęs su antrinėmis leukemijomis ir mielodisplazija (žr.4.8 skyrių).</w:t>
      </w:r>
    </w:p>
    <w:p w14:paraId="189A2A7A" w14:textId="77777777" w:rsidR="00E07ACB" w:rsidRPr="00E07ACB" w:rsidRDefault="00E07ACB" w:rsidP="00E07ACB">
      <w:pPr>
        <w:spacing w:after="0" w:line="240" w:lineRule="auto"/>
        <w:rPr>
          <w:rFonts w:ascii="Times New Roman" w:eastAsia="Times New Roman" w:hAnsi="Times New Roman" w:cs="Times New Roman"/>
          <w:noProof w:val="0"/>
        </w:rPr>
      </w:pPr>
    </w:p>
    <w:p w14:paraId="6D5C394C" w14:textId="77777777" w:rsidR="00E07ACB" w:rsidRPr="00E07ACB" w:rsidRDefault="00E07ACB" w:rsidP="00E07ACB">
      <w:pPr>
        <w:numPr>
          <w:ilvl w:val="0"/>
          <w:numId w:val="4"/>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Turimi riboti duomenys rodo, kad azatioprinas yra neveiksmingas asmenims, kuriems yra paveldėtas hipoksantinguanino fosforiboziltransferazės trūkumas (Lešo-Nyhano </w:t>
      </w:r>
      <w:r w:rsidRPr="00E07ACB">
        <w:rPr>
          <w:rFonts w:ascii="Times New Roman" w:eastAsia="Times New Roman" w:hAnsi="Times New Roman" w:cs="Times New Roman"/>
          <w:i/>
          <w:iCs/>
          <w:noProof w:val="0"/>
        </w:rPr>
        <w:t>[</w:t>
      </w:r>
      <w:r w:rsidRPr="00E07ACB">
        <w:rPr>
          <w:rFonts w:ascii="Times New Roman" w:eastAsia="Times New Roman" w:hAnsi="Times New Roman" w:cs="Times New Roman"/>
          <w:i/>
          <w:noProof w:val="0"/>
        </w:rPr>
        <w:t>Lesch-Nyhan]</w:t>
      </w:r>
      <w:r w:rsidRPr="00E07ACB">
        <w:rPr>
          <w:rFonts w:ascii="Times New Roman" w:eastAsia="Times New Roman" w:hAnsi="Times New Roman" w:cs="Times New Roman"/>
          <w:noProof w:val="0"/>
        </w:rPr>
        <w:t xml:space="preserve"> sindromas), todėl tokių pacientų šiuo vaistiniu preparatu gydyti negalima. </w:t>
      </w:r>
    </w:p>
    <w:p w14:paraId="060F148B" w14:textId="77777777" w:rsidR="00E07ACB" w:rsidRPr="00E07ACB" w:rsidRDefault="00E07ACB" w:rsidP="00E07ACB">
      <w:pPr>
        <w:spacing w:after="0" w:line="240" w:lineRule="auto"/>
        <w:rPr>
          <w:rFonts w:ascii="Times New Roman" w:eastAsia="Times New Roman" w:hAnsi="Times New Roman" w:cs="Times New Roman"/>
          <w:noProof w:val="0"/>
        </w:rPr>
      </w:pPr>
    </w:p>
    <w:p w14:paraId="0B93DCC2"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azatioprinas vartojamas su kumarinų grupės antikoaguliantais, būtina atidžiai matuoti kraujo krešėjimą (žr. 4. 5 skyrių). </w:t>
      </w:r>
    </w:p>
    <w:p w14:paraId="4288C429" w14:textId="77777777" w:rsidR="00E07ACB" w:rsidRPr="00E07ACB" w:rsidRDefault="00E07ACB" w:rsidP="00E07ACB">
      <w:pPr>
        <w:spacing w:after="0" w:line="240" w:lineRule="auto"/>
        <w:rPr>
          <w:rFonts w:ascii="Times New Roman" w:eastAsia="Times New Roman" w:hAnsi="Times New Roman" w:cs="Times New Roman"/>
          <w:noProof w:val="0"/>
        </w:rPr>
      </w:pPr>
    </w:p>
    <w:p w14:paraId="13DA2FE4"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Gydymą azatioprinu nutraukus, gali labai pasunkėti pacientų, sergančių, pvz., su nefritu susijusia sistemine raudonąja vilklige (</w:t>
      </w:r>
      <w:r w:rsidRPr="00E07ACB">
        <w:rPr>
          <w:rFonts w:ascii="Times New Roman" w:eastAsia="Times New Roman" w:hAnsi="Times New Roman" w:cs="Times New Roman"/>
          <w:i/>
          <w:noProof w:val="0"/>
        </w:rPr>
        <w:t>Lupus erythematosus</w:t>
      </w:r>
      <w:r w:rsidRPr="00E07ACB">
        <w:rPr>
          <w:rFonts w:ascii="Times New Roman" w:eastAsia="Times New Roman" w:hAnsi="Times New Roman" w:cs="Times New Roman"/>
          <w:noProof w:val="0"/>
        </w:rPr>
        <w:t>), dermatomiozitu ir polimiozitu; Krono (</w:t>
      </w:r>
      <w:r w:rsidRPr="00E07ACB">
        <w:rPr>
          <w:rFonts w:ascii="Times New Roman" w:eastAsia="Times New Roman" w:hAnsi="Times New Roman" w:cs="Times New Roman"/>
          <w:i/>
          <w:noProof w:val="0"/>
        </w:rPr>
        <w:t>Crohn</w:t>
      </w:r>
      <w:r w:rsidRPr="00E07ACB">
        <w:rPr>
          <w:rFonts w:ascii="Times New Roman" w:eastAsia="Times New Roman" w:hAnsi="Times New Roman" w:cs="Times New Roman"/>
          <w:noProof w:val="0"/>
        </w:rPr>
        <w:t>)liga [regioniniu enteritu], opiniu kolitu; mazginiu poliarteritu; lėtine gydymui nepasiduodančia idiopatine trombocitopenine purpura; autoimunine hemolizine anemija; sunkiu reumatoidiniu artritu arba autoimuniniu hepatitu būklė.</w:t>
      </w:r>
    </w:p>
    <w:p w14:paraId="346BECE2" w14:textId="77777777" w:rsidR="00E07ACB" w:rsidRPr="00E07ACB" w:rsidRDefault="00E07ACB" w:rsidP="00E07ACB">
      <w:pPr>
        <w:spacing w:after="0" w:line="240" w:lineRule="auto"/>
        <w:rPr>
          <w:rFonts w:ascii="Times New Roman" w:eastAsia="Times New Roman" w:hAnsi="Times New Roman" w:cs="Times New Roman"/>
          <w:noProof w:val="0"/>
        </w:rPr>
      </w:pPr>
    </w:p>
    <w:p w14:paraId="2B6B76A4"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Azatioprino vartojimą visada reikia nutraukti palaipsniui mažinant dozę ir atidžiai gydytojui prižiūrint. </w:t>
      </w:r>
    </w:p>
    <w:p w14:paraId="54B33191" w14:textId="77777777" w:rsidR="00E07ACB" w:rsidRPr="00E07ACB" w:rsidRDefault="00E07ACB" w:rsidP="00E07ACB">
      <w:pPr>
        <w:spacing w:after="0" w:line="240" w:lineRule="auto"/>
        <w:rPr>
          <w:rFonts w:ascii="Times New Roman" w:eastAsia="Times New Roman" w:hAnsi="Times New Roman" w:cs="Times New Roman"/>
          <w:noProof w:val="0"/>
        </w:rPr>
      </w:pPr>
    </w:p>
    <w:p w14:paraId="79816628"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kartu su Atsimutin vartojama inaktyvintų vakcinų arba anatoksinų (toksoidų), visada reikia kontroliuoti imuninį atsaką, atsižvelgiant į titro duomenis. </w:t>
      </w:r>
    </w:p>
    <w:p w14:paraId="74390E9B" w14:textId="77777777" w:rsidR="00E07ACB" w:rsidRPr="00E07ACB" w:rsidRDefault="00E07ACB" w:rsidP="00E07ACB">
      <w:pPr>
        <w:spacing w:after="0" w:line="240" w:lineRule="auto"/>
        <w:rPr>
          <w:rFonts w:ascii="Times New Roman" w:eastAsia="Times New Roman" w:hAnsi="Times New Roman" w:cs="Times New Roman"/>
          <w:noProof w:val="0"/>
        </w:rPr>
      </w:pPr>
    </w:p>
    <w:p w14:paraId="4BF236BC"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Azatioprinu gydomiems pacientams padidėjo odos navikų dažnis. Jų atsirado daugiausia tose odos vietose, kurios buvo neapsaugotos nuo saulės šviesos poveikio. Pacientą reikia įspėti, kad vengtų pernelyg didelės tiesioginių saulės spindulių ir ultravioletinių spindulių ekspozicijos, ir reguliariai atlikti odos tyrimus (žr. ir 4.8 skyrių). </w:t>
      </w:r>
    </w:p>
    <w:p w14:paraId="262AAFD4" w14:textId="77777777" w:rsidR="00E07ACB" w:rsidRPr="00E07ACB" w:rsidRDefault="00E07ACB" w:rsidP="00E07ACB">
      <w:pPr>
        <w:spacing w:after="0" w:line="240" w:lineRule="auto"/>
        <w:rPr>
          <w:rFonts w:ascii="Times New Roman" w:eastAsia="Times New Roman" w:hAnsi="Times New Roman" w:cs="Times New Roman"/>
          <w:noProof w:val="0"/>
        </w:rPr>
      </w:pPr>
    </w:p>
    <w:p w14:paraId="4EA81036"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Pacientus, sergančius negydoma ūmine infekcine liga, azatioprinu reikia gydyti itin atsargiai (žr. 4.3 skyrių).</w:t>
      </w:r>
    </w:p>
    <w:p w14:paraId="2082CA4D" w14:textId="77777777" w:rsidR="00E07ACB" w:rsidRPr="00E07ACB" w:rsidRDefault="00E07ACB" w:rsidP="00E07ACB">
      <w:pPr>
        <w:spacing w:after="0" w:line="240" w:lineRule="auto"/>
        <w:rPr>
          <w:rFonts w:ascii="Times New Roman" w:eastAsia="Times New Roman" w:hAnsi="Times New Roman" w:cs="Times New Roman"/>
          <w:noProof w:val="0"/>
        </w:rPr>
      </w:pPr>
    </w:p>
    <w:p w14:paraId="5497A7EA" w14:textId="77777777" w:rsidR="00E07ACB" w:rsidRPr="00E07ACB" w:rsidRDefault="00E07ACB" w:rsidP="00E07ACB">
      <w:pPr>
        <w:numPr>
          <w:ilvl w:val="0"/>
          <w:numId w:val="5"/>
        </w:numPr>
        <w:tabs>
          <w:tab w:val="left" w:pos="567"/>
        </w:tabs>
        <w:spacing w:after="0" w:line="260" w:lineRule="exact"/>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Citotoksinių vaistinių preparatų vartojančius pacientus Atsimutin galima gydyti tik gydytojui prižiūrint.</w:t>
      </w:r>
    </w:p>
    <w:p w14:paraId="5911A1D6"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147A62D1" w14:textId="77777777" w:rsidR="00E07ACB" w:rsidRPr="00E07ACB" w:rsidRDefault="00E07ACB" w:rsidP="00E07ACB">
      <w:pPr>
        <w:spacing w:after="0" w:line="240" w:lineRule="auto"/>
        <w:rPr>
          <w:rFonts w:ascii="Times New Roman" w:eastAsia="Times New Roman" w:hAnsi="Times New Roman" w:cs="Times New Roman"/>
          <w:iCs/>
          <w:szCs w:val="20"/>
          <w:u w:val="single"/>
          <w:lang w:eastAsia="lt-LT" w:bidi="lt-LT"/>
        </w:rPr>
      </w:pPr>
      <w:r w:rsidRPr="00E07ACB">
        <w:rPr>
          <w:rFonts w:ascii="Times New Roman" w:eastAsia="Times New Roman" w:hAnsi="Times New Roman" w:cs="Times New Roman"/>
          <w:iCs/>
          <w:szCs w:val="20"/>
          <w:u w:val="single"/>
          <w:lang w:eastAsia="lt-LT" w:bidi="lt-LT"/>
        </w:rPr>
        <w:t>Pacientai, turintys NUDT15 variantą</w:t>
      </w:r>
    </w:p>
    <w:p w14:paraId="362D97C2"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Įprastas tiopurinų dozes vartojantiems pacientams, turintiems įgimtą mutavusį NUDT15 geną, gresia</w:t>
      </w:r>
    </w:p>
    <w:p w14:paraId="0E23D149"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didesnė sunkaus azatioprino toksinio poveikio, pavyzdžiui, leukopenijos ir alopecijos, rizika.</w:t>
      </w:r>
    </w:p>
    <w:p w14:paraId="0F208EE7"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Šiems pacientams paprastai reikia mažinti dozę, ypač tiems, kuriems NUDT15 variantas yra</w:t>
      </w:r>
    </w:p>
    <w:p w14:paraId="6F16DBED"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homozigotinis (žr. 4.2 skyrių). NUDT15 c.415C&gt;T dažnis yra nevienodas įvairiose etninėse grupėse –</w:t>
      </w:r>
    </w:p>
    <w:p w14:paraId="5B001326" w14:textId="5AAF45B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maždaug 10</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tarp Rytų Azijos, 4</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Lotynų Amerikos, 0,2</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europiečių ir 0</w:t>
      </w:r>
      <w:r w:rsidR="00237E89">
        <w:rPr>
          <w:rFonts w:ascii="Times New Roman" w:eastAsia="Times New Roman" w:hAnsi="Times New Roman" w:cs="Times New Roman"/>
          <w:szCs w:val="20"/>
          <w:lang w:eastAsia="lt-LT" w:bidi="lt-LT"/>
        </w:rPr>
        <w:t> </w:t>
      </w:r>
      <w:r w:rsidRPr="00E07ACB">
        <w:rPr>
          <w:rFonts w:ascii="Times New Roman" w:eastAsia="Times New Roman" w:hAnsi="Times New Roman" w:cs="Times New Roman"/>
          <w:szCs w:val="20"/>
          <w:lang w:eastAsia="lt-LT" w:bidi="lt-LT"/>
        </w:rPr>
        <w:t>% iš Afrikos kilusių</w:t>
      </w:r>
    </w:p>
    <w:p w14:paraId="2CEB82FB" w14:textId="77777777" w:rsidR="00E07ACB" w:rsidRPr="00E07ACB" w:rsidRDefault="00E07ACB" w:rsidP="00E07ACB">
      <w:pPr>
        <w:spacing w:after="0" w:line="240" w:lineRule="auto"/>
        <w:rPr>
          <w:rFonts w:ascii="Times New Roman" w:eastAsia="Times New Roman" w:hAnsi="Times New Roman" w:cs="Times New Roman"/>
          <w:szCs w:val="20"/>
          <w:lang w:eastAsia="lt-LT" w:bidi="lt-LT"/>
        </w:rPr>
      </w:pPr>
      <w:r w:rsidRPr="00E07ACB">
        <w:rPr>
          <w:rFonts w:ascii="Times New Roman" w:eastAsia="Times New Roman" w:hAnsi="Times New Roman" w:cs="Times New Roman"/>
          <w:szCs w:val="20"/>
          <w:lang w:eastAsia="lt-LT" w:bidi="lt-LT"/>
        </w:rPr>
        <w:t>pacientų. Visais atvejais reikia atidžiai stebėti kraujo ląstelių skaičių.</w:t>
      </w:r>
    </w:p>
    <w:p w14:paraId="620C996B" w14:textId="77777777" w:rsidR="00E07ACB" w:rsidRPr="00E07ACB" w:rsidRDefault="00E07ACB" w:rsidP="00E07ACB">
      <w:pPr>
        <w:spacing w:after="0" w:line="240" w:lineRule="auto"/>
        <w:rPr>
          <w:rFonts w:ascii="Times New Roman" w:eastAsia="Times New Roman" w:hAnsi="Times New Roman" w:cs="Times New Roman"/>
          <w:noProof w:val="0"/>
          <w:u w:val="single"/>
          <w:lang w:eastAsia="lt-LT"/>
        </w:rPr>
      </w:pPr>
    </w:p>
    <w:p w14:paraId="18668D98" w14:textId="77777777" w:rsidR="00E07ACB" w:rsidRPr="00E07ACB" w:rsidRDefault="00E07ACB" w:rsidP="00E07ACB">
      <w:pPr>
        <w:spacing w:after="0" w:line="240" w:lineRule="auto"/>
        <w:rPr>
          <w:rFonts w:ascii="Times New Roman" w:eastAsia="Times New Roman" w:hAnsi="Times New Roman" w:cs="Times New Roman"/>
          <w:noProof w:val="0"/>
          <w:lang w:eastAsia="lt-LT"/>
        </w:rPr>
      </w:pPr>
      <w:r w:rsidRPr="00E07ACB">
        <w:rPr>
          <w:rFonts w:ascii="Times New Roman" w:eastAsia="Times New Roman" w:hAnsi="Times New Roman" w:cs="Times New Roman"/>
          <w:noProof w:val="0"/>
          <w:u w:val="single"/>
          <w:lang w:eastAsia="lt-LT"/>
        </w:rPr>
        <w:t>Progresuojanti daugiažidininė leukoencefalopatija (PDL)</w:t>
      </w:r>
    </w:p>
    <w:p w14:paraId="3152AD07" w14:textId="77777777" w:rsidR="00E07ACB" w:rsidRPr="00E07ACB" w:rsidRDefault="00E07ACB" w:rsidP="00E07ACB">
      <w:pPr>
        <w:spacing w:after="0" w:line="240" w:lineRule="auto"/>
        <w:rPr>
          <w:rFonts w:ascii="Times New Roman" w:eastAsia="Times New Roman" w:hAnsi="Times New Roman" w:cs="Times New Roman"/>
          <w:noProof w:val="0"/>
          <w:lang w:eastAsia="lt-LT"/>
        </w:rPr>
      </w:pPr>
      <w:r w:rsidRPr="00E07ACB">
        <w:rPr>
          <w:rFonts w:ascii="Times New Roman" w:eastAsia="Times New Roman" w:hAnsi="Times New Roman" w:cs="Times New Roman"/>
          <w:noProof w:val="0"/>
          <w:lang w:eastAsia="lt-LT"/>
        </w:rPr>
        <w:t>Pacientams, kurie vartojo azatiopriną kartu su kitais imunosupresantais, pasireiškė PDL, JC (</w:t>
      </w:r>
      <w:r w:rsidRPr="00E07ACB">
        <w:rPr>
          <w:rFonts w:ascii="Times New Roman" w:eastAsia="Times New Roman" w:hAnsi="Times New Roman" w:cs="Times New Roman"/>
          <w:i/>
          <w:noProof w:val="0"/>
          <w:lang w:eastAsia="lt-LT"/>
        </w:rPr>
        <w:t>John Cunningham</w:t>
      </w:r>
      <w:r w:rsidRPr="00E07ACB">
        <w:rPr>
          <w:rFonts w:ascii="Times New Roman" w:eastAsia="Times New Roman" w:hAnsi="Times New Roman" w:cs="Times New Roman"/>
          <w:noProof w:val="0"/>
          <w:lang w:eastAsia="lt-LT"/>
        </w:rPr>
        <w:t>) viruso sukeliama oportunistinė infekcija. Pastebėjus pirmuosius PDL požymius ar simptomus, reikia nutraukti imunosupresinį gydymą ir imtis tinkamų priemonių diagnozės patvirtinimui (žr. 4.8 skyrių).</w:t>
      </w:r>
    </w:p>
    <w:p w14:paraId="4BC4B0D8"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53C13D5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u w:val="single"/>
        </w:rPr>
        <w:t>Mutageniškumas</w:t>
      </w:r>
    </w:p>
    <w:p w14:paraId="375BEC0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Pastebėta, kad pacientų, gydytų azatioprinu, palikuonių limfocituose atsiranda chromosomų anomalijų. Sunku nustatyti azatioprino vaidmenį šių anomalijų formavimuisi.</w:t>
      </w:r>
    </w:p>
    <w:p w14:paraId="5C7AC12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C51C61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u w:val="single"/>
        </w:rPr>
        <w:t>Kancerogeniškumas</w:t>
      </w:r>
      <w:r w:rsidRPr="00E07ACB">
        <w:rPr>
          <w:rFonts w:ascii="Times New Roman" w:eastAsia="Times New Roman" w:hAnsi="Times New Roman" w:cs="Times New Roman"/>
          <w:noProof w:val="0"/>
        </w:rPr>
        <w:t xml:space="preserve"> (žr. 4.8 skyrių)</w:t>
      </w:r>
    </w:p>
    <w:p w14:paraId="182A66E2"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sz w:val="24"/>
          <w:szCs w:val="24"/>
        </w:rPr>
      </w:pPr>
      <w:r w:rsidRPr="00E07ACB">
        <w:rPr>
          <w:rFonts w:ascii="Times New Roman" w:eastAsia="Calibri" w:hAnsi="Times New Roman" w:cs="Times New Roman"/>
          <w:noProof w:val="0"/>
          <w:color w:val="000000"/>
          <w:szCs w:val="24"/>
        </w:rPr>
        <w:t xml:space="preserve">Pacientams, </w:t>
      </w:r>
      <w:r w:rsidRPr="00E07ACB">
        <w:rPr>
          <w:rFonts w:ascii="Times New Roman" w:eastAsia="Calibri" w:hAnsi="Times New Roman" w:cs="Times New Roman"/>
          <w:noProof w:val="0"/>
          <w:color w:val="000000"/>
        </w:rPr>
        <w:t xml:space="preserve">vartojantiems imunosupresantus, įskaitant </w:t>
      </w:r>
      <w:r w:rsidRPr="00E07ACB">
        <w:rPr>
          <w:rFonts w:ascii="Times New Roman" w:eastAsia="Calibri" w:hAnsi="Times New Roman" w:cs="Times New Roman"/>
          <w:iCs/>
          <w:noProof w:val="0"/>
          <w:color w:val="000000"/>
        </w:rPr>
        <w:t>azatiopriną</w:t>
      </w:r>
      <w:r w:rsidRPr="00E07ACB">
        <w:rPr>
          <w:rFonts w:ascii="Times New Roman" w:eastAsia="Calibri" w:hAnsi="Times New Roman" w:cs="Times New Roman"/>
          <w:noProof w:val="0"/>
          <w:color w:val="000000"/>
        </w:rPr>
        <w:t>, kyla didesnė limfoproliferacinių sutrikimų</w:t>
      </w:r>
      <w:r w:rsidRPr="00E07ACB">
        <w:rPr>
          <w:rFonts w:ascii="Times New Roman" w:eastAsia="Calibri" w:hAnsi="Times New Roman" w:cs="Times New Roman"/>
          <w:noProof w:val="0"/>
          <w:color w:val="000000"/>
          <w:szCs w:val="24"/>
        </w:rPr>
        <w:t xml:space="preserve"> ir </w:t>
      </w:r>
      <w:r w:rsidRPr="00E07ACB">
        <w:rPr>
          <w:rFonts w:ascii="Times New Roman" w:eastAsia="Calibri" w:hAnsi="Times New Roman" w:cs="Times New Roman"/>
          <w:noProof w:val="0"/>
          <w:color w:val="000000"/>
        </w:rPr>
        <w:t>kitų piktybinių ligų</w:t>
      </w:r>
      <w:r w:rsidRPr="00E07ACB">
        <w:rPr>
          <w:rFonts w:ascii="Times New Roman" w:eastAsia="Calibri" w:hAnsi="Times New Roman" w:cs="Times New Roman"/>
          <w:noProof w:val="0"/>
          <w:color w:val="000000"/>
          <w:szCs w:val="24"/>
        </w:rPr>
        <w:t xml:space="preserve">, ypač odos </w:t>
      </w:r>
      <w:r w:rsidRPr="00E07ACB">
        <w:rPr>
          <w:rFonts w:ascii="Times New Roman" w:eastAsia="Calibri" w:hAnsi="Times New Roman" w:cs="Times New Roman"/>
          <w:noProof w:val="0"/>
          <w:color w:val="000000"/>
        </w:rPr>
        <w:t>vėžio (melanomos</w:t>
      </w:r>
      <w:r w:rsidRPr="00E07ACB">
        <w:rPr>
          <w:rFonts w:ascii="Times New Roman" w:eastAsia="Calibri" w:hAnsi="Times New Roman" w:cs="Times New Roman"/>
          <w:noProof w:val="0"/>
          <w:color w:val="000000"/>
          <w:szCs w:val="24"/>
        </w:rPr>
        <w:t xml:space="preserve"> ir </w:t>
      </w:r>
      <w:r w:rsidRPr="00E07ACB">
        <w:rPr>
          <w:rFonts w:ascii="Times New Roman" w:eastAsia="Calibri" w:hAnsi="Times New Roman" w:cs="Times New Roman"/>
          <w:noProof w:val="0"/>
          <w:color w:val="000000"/>
        </w:rPr>
        <w:t>nemelanomos), sarkomos</w:t>
      </w:r>
      <w:r w:rsidRPr="00E07ACB">
        <w:rPr>
          <w:rFonts w:ascii="Times New Roman" w:eastAsia="Calibri" w:hAnsi="Times New Roman" w:cs="Times New Roman"/>
          <w:noProof w:val="0"/>
          <w:color w:val="000000"/>
          <w:szCs w:val="24"/>
        </w:rPr>
        <w:t xml:space="preserve"> (Kapoši ir </w:t>
      </w:r>
      <w:r w:rsidRPr="00E07ACB">
        <w:rPr>
          <w:rFonts w:ascii="Times New Roman" w:eastAsia="Calibri" w:hAnsi="Times New Roman" w:cs="Times New Roman"/>
          <w:noProof w:val="0"/>
          <w:color w:val="000000"/>
        </w:rPr>
        <w:lastRenderedPageBreak/>
        <w:t>ne Kapoši)</w:t>
      </w:r>
      <w:r w:rsidRPr="00E07ACB">
        <w:rPr>
          <w:rFonts w:ascii="Times New Roman" w:eastAsia="Calibri" w:hAnsi="Times New Roman" w:cs="Times New Roman"/>
          <w:noProof w:val="0"/>
          <w:color w:val="000000"/>
          <w:szCs w:val="24"/>
        </w:rPr>
        <w:t xml:space="preserve"> ir gimdos kaklelio </w:t>
      </w:r>
      <w:r w:rsidRPr="00E07ACB">
        <w:rPr>
          <w:rFonts w:ascii="Times New Roman" w:eastAsia="Calibri" w:hAnsi="Times New Roman" w:cs="Times New Roman"/>
          <w:noProof w:val="0"/>
          <w:color w:val="000000"/>
        </w:rPr>
        <w:t>vėžio</w:t>
      </w:r>
      <w:r w:rsidRPr="00E07ACB">
        <w:rPr>
          <w:rFonts w:ascii="Times New Roman" w:eastAsia="Calibri" w:hAnsi="Times New Roman" w:cs="Times New Roman"/>
          <w:noProof w:val="0"/>
          <w:color w:val="000000"/>
          <w:szCs w:val="24"/>
        </w:rPr>
        <w:t xml:space="preserve"> </w:t>
      </w:r>
      <w:r w:rsidRPr="00E07ACB">
        <w:rPr>
          <w:rFonts w:ascii="Times New Roman" w:eastAsia="Calibri" w:hAnsi="Times New Roman" w:cs="Times New Roman"/>
          <w:i/>
          <w:noProof w:val="0"/>
          <w:color w:val="000000"/>
          <w:szCs w:val="24"/>
        </w:rPr>
        <w:t>in situ</w:t>
      </w:r>
      <w:r w:rsidRPr="00E07ACB">
        <w:rPr>
          <w:rFonts w:ascii="Times New Roman" w:eastAsia="Calibri" w:hAnsi="Times New Roman" w:cs="Times New Roman"/>
          <w:i/>
          <w:iCs/>
          <w:noProof w:val="0"/>
          <w:color w:val="000000"/>
        </w:rPr>
        <w:t xml:space="preserve"> </w:t>
      </w:r>
      <w:r w:rsidRPr="00E07ACB">
        <w:rPr>
          <w:rFonts w:ascii="Times New Roman" w:eastAsia="Calibri" w:hAnsi="Times New Roman" w:cs="Times New Roman"/>
          <w:noProof w:val="0"/>
          <w:color w:val="000000"/>
        </w:rPr>
        <w:t>rizika</w:t>
      </w:r>
      <w:r w:rsidRPr="00E07ACB">
        <w:rPr>
          <w:rFonts w:ascii="Times New Roman" w:eastAsia="Calibri" w:hAnsi="Times New Roman" w:cs="Times New Roman"/>
          <w:noProof w:val="0"/>
          <w:color w:val="000000"/>
          <w:szCs w:val="24"/>
        </w:rPr>
        <w:t xml:space="preserve">. Atrodo, kad </w:t>
      </w:r>
      <w:r w:rsidRPr="00E07ACB">
        <w:rPr>
          <w:rFonts w:ascii="Times New Roman" w:eastAsia="Calibri" w:hAnsi="Times New Roman" w:cs="Times New Roman"/>
          <w:noProof w:val="0"/>
          <w:color w:val="000000"/>
        </w:rPr>
        <w:t xml:space="preserve">ši padidėjusi </w:t>
      </w:r>
      <w:r w:rsidRPr="00E07ACB">
        <w:rPr>
          <w:rFonts w:ascii="Times New Roman" w:eastAsia="Calibri" w:hAnsi="Times New Roman" w:cs="Times New Roman"/>
          <w:noProof w:val="0"/>
          <w:color w:val="000000"/>
          <w:szCs w:val="24"/>
        </w:rPr>
        <w:t xml:space="preserve">rizika susijusi su </w:t>
      </w:r>
      <w:r w:rsidRPr="00E07ACB">
        <w:rPr>
          <w:rFonts w:ascii="Times New Roman" w:eastAsia="Calibri" w:hAnsi="Times New Roman" w:cs="Times New Roman"/>
          <w:noProof w:val="0"/>
          <w:color w:val="000000"/>
        </w:rPr>
        <w:t>imunosupresijos stiprumu</w:t>
      </w:r>
      <w:r w:rsidRPr="00E07ACB">
        <w:rPr>
          <w:rFonts w:ascii="Times New Roman" w:eastAsia="Calibri" w:hAnsi="Times New Roman" w:cs="Times New Roman"/>
          <w:noProof w:val="0"/>
          <w:color w:val="000000"/>
          <w:szCs w:val="24"/>
        </w:rPr>
        <w:t xml:space="preserve"> ir trukme</w:t>
      </w:r>
      <w:r w:rsidRPr="00E07ACB">
        <w:rPr>
          <w:rFonts w:ascii="Times New Roman" w:eastAsia="Calibri" w:hAnsi="Times New Roman" w:cs="Times New Roman"/>
          <w:noProof w:val="0"/>
          <w:color w:val="000000"/>
        </w:rPr>
        <w:t xml:space="preserve">. </w:t>
      </w:r>
      <w:r w:rsidRPr="00E07ACB">
        <w:rPr>
          <w:rFonts w:ascii="Times New Roman" w:eastAsia="Calibri" w:hAnsi="Times New Roman" w:cs="Times New Roman"/>
          <w:noProof w:val="0"/>
          <w:color w:val="000000"/>
          <w:szCs w:val="24"/>
        </w:rPr>
        <w:t xml:space="preserve">Gauta </w:t>
      </w:r>
      <w:r w:rsidRPr="00E07ACB">
        <w:rPr>
          <w:rFonts w:ascii="Times New Roman" w:eastAsia="Calibri" w:hAnsi="Times New Roman" w:cs="Times New Roman"/>
          <w:noProof w:val="0"/>
          <w:color w:val="000000"/>
        </w:rPr>
        <w:t>informacijos</w:t>
      </w:r>
      <w:r w:rsidRPr="00E07ACB">
        <w:rPr>
          <w:rFonts w:ascii="Times New Roman" w:eastAsia="Calibri" w:hAnsi="Times New Roman" w:cs="Times New Roman"/>
          <w:noProof w:val="0"/>
          <w:color w:val="000000"/>
          <w:szCs w:val="24"/>
        </w:rPr>
        <w:t xml:space="preserve">, kad nutraukus </w:t>
      </w:r>
      <w:r w:rsidRPr="00E07ACB">
        <w:rPr>
          <w:rFonts w:ascii="Times New Roman" w:eastAsia="Calibri" w:hAnsi="Times New Roman" w:cs="Times New Roman"/>
          <w:noProof w:val="0"/>
          <w:color w:val="000000"/>
        </w:rPr>
        <w:t>imunosupresinę terapiją, limfoproliferacinis sutrikimas</w:t>
      </w:r>
      <w:r w:rsidRPr="00E07ACB">
        <w:rPr>
          <w:rFonts w:ascii="Times New Roman" w:eastAsia="Calibri" w:hAnsi="Times New Roman" w:cs="Times New Roman"/>
          <w:noProof w:val="0"/>
          <w:color w:val="000000"/>
          <w:szCs w:val="24"/>
        </w:rPr>
        <w:t xml:space="preserve"> gali iš dalies </w:t>
      </w:r>
      <w:r w:rsidRPr="00E07ACB">
        <w:rPr>
          <w:rFonts w:ascii="Times New Roman" w:eastAsia="Calibri" w:hAnsi="Times New Roman" w:cs="Times New Roman"/>
          <w:noProof w:val="0"/>
          <w:color w:val="000000"/>
        </w:rPr>
        <w:t xml:space="preserve">regresuoti. </w:t>
      </w:r>
    </w:p>
    <w:p w14:paraId="2DB9BADA" w14:textId="77777777" w:rsidR="00E07ACB" w:rsidRPr="00E07ACB" w:rsidRDefault="00E07ACB" w:rsidP="00E07ACB">
      <w:pPr>
        <w:tabs>
          <w:tab w:val="left" w:pos="567"/>
        </w:tabs>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Todėl gydymą keliais imunosupresantais (įskaitant tiopurinus) reikėtų taikyti atsargiai, nes tai gali sukelti limfoproliferacinius sutrikimus, kurie kai kuriais atvejais baigiasi pacientų mirtimi. Tuo pat metu vartojant kelių imunosupresantų derinį, didėja Epštein-Baro viruso (EBV) sukeliamų limfoprofileracinių sutrikmų rizika. </w:t>
      </w:r>
    </w:p>
    <w:p w14:paraId="4942135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6EDAC48" w14:textId="77777777" w:rsidR="00E07ACB" w:rsidRPr="00E07ACB" w:rsidRDefault="00E07ACB" w:rsidP="00E07ACB">
      <w:pPr>
        <w:spacing w:after="0" w:line="240" w:lineRule="auto"/>
        <w:ind w:left="567" w:hanging="567"/>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Pastabos dėl darbo su vaistiniu preparatu</w:t>
      </w:r>
    </w:p>
    <w:p w14:paraId="66F7034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Azatioprinas daro mutageninį poveikį ir gali sukelti kancerogeninį poveikį. Dirbant su šiuo vaistiniu preparatu, būtinos tinkamos atsargumo priemonės. Tai labiausiai taikytina nėščioms slaugytojoms (žr. 6.6 skyrių). Jei plėvele dengtos tabletės yra padalinamos pusiau, reikia vengti odos kontakto su tabletės dulkėmis arba nulaužtu plotu (žr. 4.2 ir 6.6 skyrius). </w:t>
      </w:r>
    </w:p>
    <w:p w14:paraId="2D465CD8" w14:textId="77777777" w:rsidR="00E07ACB" w:rsidRPr="00E07ACB" w:rsidRDefault="00E07ACB" w:rsidP="00E07ACB">
      <w:pPr>
        <w:tabs>
          <w:tab w:val="left" w:pos="0"/>
        </w:tabs>
        <w:spacing w:after="0" w:line="240" w:lineRule="auto"/>
        <w:rPr>
          <w:rFonts w:ascii="Times New Roman" w:eastAsia="Times New Roman" w:hAnsi="Times New Roman" w:cs="Times New Roman"/>
          <w:noProof w:val="0"/>
        </w:rPr>
      </w:pPr>
    </w:p>
    <w:p w14:paraId="7F6482F6"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u w:val="single"/>
        </w:rPr>
      </w:pPr>
      <w:r w:rsidRPr="00E07ACB">
        <w:rPr>
          <w:rFonts w:ascii="Times New Roman" w:eastAsia="Calibri" w:hAnsi="Times New Roman" w:cs="Times New Roman"/>
          <w:noProof w:val="0"/>
          <w:color w:val="000000"/>
          <w:u w:val="single"/>
        </w:rPr>
        <w:t xml:space="preserve">Makrofagų aktyvacijos sindromas </w:t>
      </w:r>
    </w:p>
    <w:p w14:paraId="4E0115EC" w14:textId="77777777" w:rsidR="00E07ACB" w:rsidRPr="00E07ACB" w:rsidRDefault="00E07ACB" w:rsidP="00E07ACB">
      <w:pPr>
        <w:tabs>
          <w:tab w:val="left" w:pos="0"/>
        </w:tabs>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Makrofagų aktyvacijos sindromas (MAS) yra žinomas, grėsmę gyvybei keliantis sutrikimas, kuris gali pasireikšti pacientams, sergantiems autoimuninėmis ligomis, ypač uždegimine žarnų liga (UŽL), ir vartojant azatiopriną, polinkis susirgti šiuo sutrikimu gali būti padidėjęs. Susirgus MAS arba įtarus šį sindromą, reikia kuo greičiau įvertinti paciento būklę ir pradėti gydymą, o gydymą aziatioprinu reikia nutraukti. Bendrosios praktikos gydytojai turėtų įdėmiai stebėti, ar pacientui nepasireiškia infekcijos, pvz., EBV ir citomegalo viruso (CMV) infekcijos, simptomai, nes žinoma, kad šie virusai gali paskatinti MAS.</w:t>
      </w:r>
    </w:p>
    <w:p w14:paraId="1AB2D0A2" w14:textId="4343FD5A" w:rsidR="00E07ACB" w:rsidRDefault="00E07ACB" w:rsidP="00E07ACB">
      <w:pPr>
        <w:tabs>
          <w:tab w:val="left" w:pos="0"/>
        </w:tabs>
        <w:spacing w:after="0" w:line="240" w:lineRule="auto"/>
        <w:rPr>
          <w:rFonts w:ascii="Times New Roman" w:eastAsia="Times New Roman" w:hAnsi="Times New Roman" w:cs="Times New Roman"/>
          <w:noProof w:val="0"/>
        </w:rPr>
      </w:pPr>
    </w:p>
    <w:p w14:paraId="21D21A3F" w14:textId="77777777" w:rsidR="000C008D" w:rsidRPr="00EC4AAC" w:rsidRDefault="000C008D" w:rsidP="000C008D">
      <w:pPr>
        <w:tabs>
          <w:tab w:val="left" w:pos="0"/>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 xml:space="preserve">Neuroraumeninę jungtį blokuojančios medžiagos </w:t>
      </w:r>
    </w:p>
    <w:p w14:paraId="4D94D4B9" w14:textId="7566D43E" w:rsidR="000C008D" w:rsidRPr="00E07ACB" w:rsidRDefault="000C008D" w:rsidP="000C008D">
      <w:pPr>
        <w:tabs>
          <w:tab w:val="left" w:pos="0"/>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Azatiopriną vartojant kartu su</w:t>
      </w:r>
      <w:r w:rsidRPr="00EC4AAC">
        <w:rPr>
          <w:rFonts w:ascii="Times New Roman" w:eastAsia="Times New Roman" w:hAnsi="Times New Roman" w:cs="Times New Roman"/>
          <w:noProof w:val="0"/>
        </w:rPr>
        <w:t xml:space="preserve"> </w:t>
      </w:r>
      <w:r>
        <w:rPr>
          <w:rFonts w:ascii="Times New Roman" w:eastAsia="Times New Roman" w:hAnsi="Times New Roman" w:cs="Times New Roman"/>
          <w:noProof w:val="0"/>
        </w:rPr>
        <w:t>neuroraumeninę jungtį blokuojančiomis medžiagomis, tokiomis kaip atrakuris, rokuronis, cisatrakuris ar suksametonis (dar žinomas kaip sukcinilcholinas</w:t>
      </w:r>
      <w:r w:rsidRPr="00EC4AAC">
        <w:rPr>
          <w:rFonts w:ascii="Times New Roman" w:eastAsia="Times New Roman" w:hAnsi="Times New Roman" w:cs="Times New Roman"/>
          <w:noProof w:val="0"/>
        </w:rPr>
        <w:t>)</w:t>
      </w:r>
      <w:r>
        <w:rPr>
          <w:rFonts w:ascii="Times New Roman" w:eastAsia="Times New Roman" w:hAnsi="Times New Roman" w:cs="Times New Roman"/>
          <w:noProof w:val="0"/>
        </w:rPr>
        <w:t xml:space="preserve">, reikalinga ypatinga priežiūra (žr. </w:t>
      </w:r>
      <w:r w:rsidRPr="00EC4AAC">
        <w:rPr>
          <w:rFonts w:ascii="Times New Roman" w:eastAsia="Times New Roman" w:hAnsi="Times New Roman" w:cs="Times New Roman"/>
          <w:noProof w:val="0"/>
        </w:rPr>
        <w:t xml:space="preserve"> 4.5</w:t>
      </w:r>
      <w:r>
        <w:rPr>
          <w:rFonts w:ascii="Times New Roman" w:eastAsia="Times New Roman" w:hAnsi="Times New Roman" w:cs="Times New Roman"/>
          <w:noProof w:val="0"/>
        </w:rPr>
        <w:t xml:space="preserve"> skyrių</w:t>
      </w:r>
      <w:r w:rsidRPr="00EC4AAC">
        <w:rPr>
          <w:rFonts w:ascii="Times New Roman" w:eastAsia="Times New Roman" w:hAnsi="Times New Roman" w:cs="Times New Roman"/>
          <w:noProof w:val="0"/>
        </w:rPr>
        <w:t xml:space="preserve">). </w:t>
      </w:r>
      <w:r>
        <w:rPr>
          <w:rFonts w:ascii="Times New Roman" w:eastAsia="Times New Roman" w:hAnsi="Times New Roman" w:cs="Times New Roman"/>
          <w:noProof w:val="0"/>
        </w:rPr>
        <w:t>Anesteziologai turėtų patikrinti, ar jų pacientams buvo skiriama azatioprino prieš operaciją.</w:t>
      </w:r>
    </w:p>
    <w:p w14:paraId="225B40CF" w14:textId="77777777" w:rsidR="000C008D" w:rsidRPr="00E07ACB" w:rsidRDefault="000C008D" w:rsidP="00E07ACB">
      <w:pPr>
        <w:tabs>
          <w:tab w:val="left" w:pos="0"/>
        </w:tabs>
        <w:spacing w:after="0" w:line="240" w:lineRule="auto"/>
        <w:rPr>
          <w:rFonts w:ascii="Times New Roman" w:eastAsia="Times New Roman" w:hAnsi="Times New Roman" w:cs="Times New Roman"/>
          <w:noProof w:val="0"/>
        </w:rPr>
      </w:pPr>
    </w:p>
    <w:p w14:paraId="58FA9EC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Laktozė</w:t>
      </w:r>
    </w:p>
    <w:p w14:paraId="21AA46E2" w14:textId="31DE1F13" w:rsid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Šio vaistinio preparato negalima vartoti pacientams, kuriems nustatytas retas paveldimas sutrikimas – galaktozės netoleravimas, visiškas laktazės stygius arba gliukozės ir galaktozės malabsorbcija.</w:t>
      </w:r>
    </w:p>
    <w:p w14:paraId="315AE6E8" w14:textId="0759254E" w:rsidR="00967B5C" w:rsidRDefault="00967B5C" w:rsidP="00E07ACB">
      <w:pPr>
        <w:spacing w:after="0" w:line="240" w:lineRule="auto"/>
        <w:rPr>
          <w:rFonts w:ascii="Times New Roman" w:eastAsia="Times New Roman" w:hAnsi="Times New Roman" w:cs="Times New Roman"/>
          <w:noProof w:val="0"/>
        </w:rPr>
      </w:pPr>
    </w:p>
    <w:p w14:paraId="2BFD429A" w14:textId="77777777" w:rsidR="00967B5C" w:rsidRDefault="00967B5C" w:rsidP="00967B5C">
      <w:pPr>
        <w:spacing w:after="0" w:line="240" w:lineRule="auto"/>
        <w:rPr>
          <w:rFonts w:ascii="Times New Roman" w:eastAsia="Times New Roman" w:hAnsi="Times New Roman" w:cs="Times New Roman"/>
          <w:noProof w:val="0"/>
          <w:u w:val="single"/>
        </w:rPr>
      </w:pPr>
      <w:r>
        <w:rPr>
          <w:rFonts w:ascii="Times New Roman" w:eastAsia="Times New Roman" w:hAnsi="Times New Roman" w:cs="Times New Roman"/>
          <w:noProof w:val="0"/>
          <w:u w:val="single"/>
        </w:rPr>
        <w:t>Natris</w:t>
      </w:r>
    </w:p>
    <w:p w14:paraId="2DF0D4D4" w14:textId="7F9EBE45" w:rsidR="00967B5C" w:rsidRDefault="00967B5C" w:rsidP="00967B5C">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Vienoje šio vaistinio preparato tabletėje yra mažiau kaip 1 mmol (23 mg) natrio, t.</w:t>
      </w:r>
      <w:r w:rsidR="00237E89">
        <w:rPr>
          <w:rFonts w:ascii="Times New Roman" w:eastAsia="Times New Roman" w:hAnsi="Times New Roman" w:cs="Times New Roman"/>
          <w:noProof w:val="0"/>
        </w:rPr>
        <w:t> </w:t>
      </w:r>
      <w:r>
        <w:rPr>
          <w:rFonts w:ascii="Times New Roman" w:eastAsia="Times New Roman" w:hAnsi="Times New Roman" w:cs="Times New Roman"/>
          <w:noProof w:val="0"/>
        </w:rPr>
        <w:t>y. jis beveik neturi reikšmės.</w:t>
      </w:r>
    </w:p>
    <w:p w14:paraId="01F8DEB5" w14:textId="77777777" w:rsidR="00967B5C" w:rsidRPr="00E07ACB" w:rsidRDefault="00967B5C" w:rsidP="00E07ACB">
      <w:pPr>
        <w:spacing w:after="0" w:line="240" w:lineRule="auto"/>
        <w:rPr>
          <w:rFonts w:ascii="Times New Roman" w:eastAsia="Times New Roman" w:hAnsi="Times New Roman" w:cs="Times New Roman"/>
          <w:noProof w:val="0"/>
        </w:rPr>
      </w:pPr>
    </w:p>
    <w:p w14:paraId="1C6E18FB"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46C11699" w14:textId="77777777" w:rsidR="00E07ACB" w:rsidRPr="00E07ACB" w:rsidRDefault="00E07ACB" w:rsidP="00E07ACB">
      <w:pPr>
        <w:keepNext/>
        <w:keepLines/>
        <w:tabs>
          <w:tab w:val="left" w:pos="567"/>
        </w:tabs>
        <w:spacing w:after="0" w:line="240" w:lineRule="auto"/>
        <w:ind w:left="567" w:hanging="567"/>
        <w:outlineLvl w:val="2"/>
        <w:rPr>
          <w:rFonts w:ascii="Times New Roman" w:eastAsia="Times New Roman" w:hAnsi="Times New Roman" w:cs="Times New Roman"/>
          <w:b/>
          <w:noProof w:val="0"/>
          <w:kern w:val="28"/>
        </w:rPr>
      </w:pPr>
      <w:r w:rsidRPr="00E07ACB">
        <w:rPr>
          <w:rFonts w:ascii="Times New Roman" w:eastAsia="Times New Roman" w:hAnsi="Times New Roman" w:cs="Times New Roman"/>
          <w:b/>
          <w:noProof w:val="0"/>
          <w:kern w:val="28"/>
        </w:rPr>
        <w:t>4.5</w:t>
      </w:r>
      <w:r w:rsidRPr="00E07ACB">
        <w:rPr>
          <w:rFonts w:ascii="Times New Roman" w:eastAsia="Times New Roman" w:hAnsi="Times New Roman" w:cs="Times New Roman"/>
          <w:b/>
          <w:noProof w:val="0"/>
          <w:kern w:val="28"/>
        </w:rPr>
        <w:tab/>
        <w:t>Sąveika su kitais vaistiniais preparatais ir kitokia sąveika</w:t>
      </w:r>
    </w:p>
    <w:p w14:paraId="788CB50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AB8EE89" w14:textId="77777777" w:rsidR="000C008D" w:rsidRDefault="000C008D" w:rsidP="000C008D">
      <w:pPr>
        <w:numPr>
          <w:ilvl w:val="0"/>
          <w:numId w:val="6"/>
        </w:numPr>
        <w:spacing w:after="0" w:line="240" w:lineRule="auto"/>
        <w:ind w:left="567" w:hanging="567"/>
        <w:contextualSpacing/>
        <w:rPr>
          <w:rFonts w:ascii="Times New Roman" w:eastAsia="Times New Roman" w:hAnsi="Times New Roman" w:cs="Times New Roman"/>
          <w:noProof w:val="0"/>
        </w:rPr>
      </w:pPr>
      <w:r>
        <w:rPr>
          <w:rFonts w:ascii="Times New Roman" w:eastAsia="Times New Roman" w:hAnsi="Times New Roman" w:cs="Times New Roman"/>
          <w:noProof w:val="0"/>
        </w:rPr>
        <w:t>Alopurinolis, oksipurinolis, tiopurinolis ir kiti ksantinoksidazės inhibitoriai.</w:t>
      </w:r>
    </w:p>
    <w:p w14:paraId="03A3F249" w14:textId="77777777" w:rsidR="000C008D" w:rsidRDefault="000C008D" w:rsidP="000C008D">
      <w:pPr>
        <w:spacing w:after="0" w:line="240" w:lineRule="auto"/>
        <w:ind w:left="567"/>
        <w:contextualSpacing/>
        <w:rPr>
          <w:rFonts w:ascii="Times New Roman" w:eastAsia="Times New Roman" w:hAnsi="Times New Roman" w:cs="Times New Roman"/>
          <w:noProof w:val="0"/>
        </w:rPr>
      </w:pPr>
      <w:r>
        <w:rPr>
          <w:rFonts w:ascii="Times New Roman" w:eastAsia="Times New Roman" w:hAnsi="Times New Roman" w:cs="Times New Roman"/>
          <w:noProof w:val="0"/>
        </w:rPr>
        <w:t>Remiantis ikiklinikiniais duomenimis, kiti ksantinoksidazės inhibitoriai, tokie kaip febuksostatas, gali prailginti azatioprino aktyvumą, dėl kurio gali padidėti kaulų čiulpų slopinimas. Kadangi duomenų nustatyti pakankamam azatioprino dozės sumažinimui nepakanka, kartu vartoti nerekomenduojama.</w:t>
      </w:r>
    </w:p>
    <w:p w14:paraId="7B73B4B0" w14:textId="77777777" w:rsidR="00E07ACB" w:rsidRPr="00E07ACB" w:rsidRDefault="00E07ACB" w:rsidP="00E07ACB">
      <w:pPr>
        <w:spacing w:after="0" w:line="240" w:lineRule="auto"/>
        <w:rPr>
          <w:rFonts w:ascii="Times New Roman" w:eastAsia="Times New Roman" w:hAnsi="Times New Roman" w:cs="Times New Roman"/>
          <w:noProof w:val="0"/>
        </w:rPr>
      </w:pPr>
    </w:p>
    <w:p w14:paraId="20E7BA2D" w14:textId="2413FB52" w:rsidR="00E07ACB" w:rsidRPr="00E07ACB" w:rsidRDefault="00E07ACB" w:rsidP="00E07ACB">
      <w:pPr>
        <w:numPr>
          <w:ilvl w:val="0"/>
          <w:numId w:val="7"/>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Yra klinikinių duomenų, kad azatioprinas </w:t>
      </w:r>
      <w:r w:rsidR="00851E02">
        <w:rPr>
          <w:rFonts w:ascii="Times New Roman" w:eastAsia="Times New Roman" w:hAnsi="Times New Roman" w:cs="Times New Roman"/>
          <w:noProof w:val="0"/>
        </w:rPr>
        <w:t>slop</w:t>
      </w:r>
      <w:r w:rsidRPr="00E07ACB">
        <w:rPr>
          <w:rFonts w:ascii="Times New Roman" w:eastAsia="Times New Roman" w:hAnsi="Times New Roman" w:cs="Times New Roman"/>
          <w:noProof w:val="0"/>
        </w:rPr>
        <w:t>ina nedepoliarizuoja</w:t>
      </w:r>
      <w:r w:rsidR="00851E02">
        <w:rPr>
          <w:rFonts w:ascii="Times New Roman" w:eastAsia="Times New Roman" w:hAnsi="Times New Roman" w:cs="Times New Roman"/>
          <w:noProof w:val="0"/>
        </w:rPr>
        <w:t>nčių</w:t>
      </w:r>
      <w:r w:rsidRPr="00E07ACB">
        <w:rPr>
          <w:rFonts w:ascii="Times New Roman" w:eastAsia="Times New Roman" w:hAnsi="Times New Roman" w:cs="Times New Roman"/>
          <w:noProof w:val="0"/>
        </w:rPr>
        <w:t xml:space="preserve"> </w:t>
      </w:r>
      <w:r w:rsidR="00851E02">
        <w:rPr>
          <w:rFonts w:ascii="Times New Roman" w:eastAsia="Times New Roman" w:hAnsi="Times New Roman" w:cs="Times New Roman"/>
          <w:noProof w:val="0"/>
        </w:rPr>
        <w:t>raumenis atpalaiduojančių vaistinių preparatų</w:t>
      </w:r>
      <w:r w:rsidRPr="00E07ACB">
        <w:rPr>
          <w:rFonts w:ascii="Times New Roman" w:eastAsia="Times New Roman" w:hAnsi="Times New Roman" w:cs="Times New Roman"/>
          <w:noProof w:val="0"/>
        </w:rPr>
        <w:t xml:space="preserve"> poveikį. Eksperimentiniai</w:t>
      </w:r>
      <w:r w:rsidR="00851E02">
        <w:rPr>
          <w:rFonts w:ascii="Times New Roman" w:eastAsia="Times New Roman" w:hAnsi="Times New Roman" w:cs="Times New Roman"/>
          <w:noProof w:val="0"/>
        </w:rPr>
        <w:t>s</w:t>
      </w:r>
      <w:r w:rsidRPr="00E07ACB">
        <w:rPr>
          <w:rFonts w:ascii="Times New Roman" w:eastAsia="Times New Roman" w:hAnsi="Times New Roman" w:cs="Times New Roman"/>
          <w:noProof w:val="0"/>
        </w:rPr>
        <w:t xml:space="preserve"> duomen</w:t>
      </w:r>
      <w:r w:rsidR="00851E02">
        <w:rPr>
          <w:rFonts w:ascii="Times New Roman" w:eastAsia="Times New Roman" w:hAnsi="Times New Roman" w:cs="Times New Roman"/>
          <w:noProof w:val="0"/>
        </w:rPr>
        <w:t>imis</w:t>
      </w:r>
      <w:r w:rsidRPr="00E07ACB">
        <w:rPr>
          <w:rFonts w:ascii="Times New Roman" w:eastAsia="Times New Roman" w:hAnsi="Times New Roman" w:cs="Times New Roman"/>
          <w:noProof w:val="0"/>
        </w:rPr>
        <w:t xml:space="preserve"> patvirtin</w:t>
      </w:r>
      <w:r w:rsidR="00851E02">
        <w:rPr>
          <w:rFonts w:ascii="Times New Roman" w:eastAsia="Times New Roman" w:hAnsi="Times New Roman" w:cs="Times New Roman"/>
          <w:noProof w:val="0"/>
        </w:rPr>
        <w:t>t</w:t>
      </w:r>
      <w:r w:rsidRPr="00E07ACB">
        <w:rPr>
          <w:rFonts w:ascii="Times New Roman" w:eastAsia="Times New Roman" w:hAnsi="Times New Roman" w:cs="Times New Roman"/>
          <w:noProof w:val="0"/>
        </w:rPr>
        <w:t xml:space="preserve">a, kad azatioprinas panaikina </w:t>
      </w:r>
      <w:r w:rsidR="00851E02">
        <w:rPr>
          <w:rFonts w:ascii="Times New Roman" w:eastAsia="Times New Roman" w:hAnsi="Times New Roman" w:cs="Times New Roman"/>
          <w:noProof w:val="0"/>
        </w:rPr>
        <w:t>nedepoliarizuojančių medžiagų</w:t>
      </w:r>
      <w:r w:rsidRPr="00E07ACB">
        <w:rPr>
          <w:rFonts w:ascii="Times New Roman" w:eastAsia="Times New Roman" w:hAnsi="Times New Roman" w:cs="Times New Roman"/>
          <w:noProof w:val="0"/>
        </w:rPr>
        <w:t xml:space="preserve"> sukeltą ne</w:t>
      </w:r>
      <w:r w:rsidR="00851E02">
        <w:rPr>
          <w:rFonts w:ascii="Times New Roman" w:eastAsia="Times New Roman" w:hAnsi="Times New Roman" w:cs="Times New Roman"/>
          <w:noProof w:val="0"/>
        </w:rPr>
        <w:t>uro</w:t>
      </w:r>
      <w:r w:rsidRPr="00E07ACB">
        <w:rPr>
          <w:rFonts w:ascii="Times New Roman" w:eastAsia="Times New Roman" w:hAnsi="Times New Roman" w:cs="Times New Roman"/>
          <w:noProof w:val="0"/>
        </w:rPr>
        <w:t>raumen</w:t>
      </w:r>
      <w:r w:rsidR="00851E02">
        <w:rPr>
          <w:rFonts w:ascii="Times New Roman" w:eastAsia="Times New Roman" w:hAnsi="Times New Roman" w:cs="Times New Roman"/>
          <w:noProof w:val="0"/>
        </w:rPr>
        <w:t>inę</w:t>
      </w:r>
      <w:r w:rsidRPr="00E07ACB">
        <w:rPr>
          <w:rFonts w:ascii="Times New Roman" w:eastAsia="Times New Roman" w:hAnsi="Times New Roman" w:cs="Times New Roman"/>
          <w:noProof w:val="0"/>
        </w:rPr>
        <w:t xml:space="preserve"> blokadą</w:t>
      </w:r>
      <w:r w:rsidR="00851E02">
        <w:rPr>
          <w:rFonts w:ascii="Times New Roman" w:eastAsia="Times New Roman" w:hAnsi="Times New Roman" w:cs="Times New Roman"/>
          <w:noProof w:val="0"/>
        </w:rPr>
        <w:t>; taip pat parodyta, kad azatioprinas</w:t>
      </w:r>
      <w:r w:rsidRPr="00E07ACB">
        <w:rPr>
          <w:rFonts w:ascii="Times New Roman" w:eastAsia="Times New Roman" w:hAnsi="Times New Roman" w:cs="Times New Roman"/>
          <w:noProof w:val="0"/>
        </w:rPr>
        <w:t xml:space="preserve"> </w:t>
      </w:r>
      <w:r w:rsidR="00851E02">
        <w:rPr>
          <w:rFonts w:ascii="Times New Roman" w:eastAsia="Times New Roman" w:hAnsi="Times New Roman" w:cs="Times New Roman"/>
          <w:noProof w:val="0"/>
        </w:rPr>
        <w:t>su</w:t>
      </w:r>
      <w:r w:rsidRPr="00E07ACB">
        <w:rPr>
          <w:rFonts w:ascii="Times New Roman" w:eastAsia="Times New Roman" w:hAnsi="Times New Roman" w:cs="Times New Roman"/>
          <w:noProof w:val="0"/>
        </w:rPr>
        <w:t xml:space="preserve">stiprina </w:t>
      </w:r>
      <w:r w:rsidR="00851E02">
        <w:rPr>
          <w:rFonts w:ascii="Times New Roman" w:eastAsia="Times New Roman" w:hAnsi="Times New Roman" w:cs="Times New Roman"/>
          <w:noProof w:val="0"/>
        </w:rPr>
        <w:t>depoliarizuojančių medžiagų</w:t>
      </w:r>
      <w:r w:rsidR="00851E02" w:rsidRPr="00E07ACB">
        <w:rPr>
          <w:rFonts w:ascii="Times New Roman" w:eastAsia="Times New Roman" w:hAnsi="Times New Roman" w:cs="Times New Roman"/>
          <w:noProof w:val="0"/>
        </w:rPr>
        <w:t xml:space="preserve"> </w:t>
      </w:r>
      <w:r w:rsidRPr="00E07ACB">
        <w:rPr>
          <w:rFonts w:ascii="Times New Roman" w:eastAsia="Times New Roman" w:hAnsi="Times New Roman" w:cs="Times New Roman"/>
          <w:noProof w:val="0"/>
        </w:rPr>
        <w:t>sukel</w:t>
      </w:r>
      <w:r w:rsidR="00851E02">
        <w:rPr>
          <w:rFonts w:ascii="Times New Roman" w:eastAsia="Times New Roman" w:hAnsi="Times New Roman" w:cs="Times New Roman"/>
          <w:noProof w:val="0"/>
        </w:rPr>
        <w:t>iamą</w:t>
      </w:r>
      <w:r w:rsidRPr="00E07ACB">
        <w:rPr>
          <w:rFonts w:ascii="Times New Roman" w:eastAsia="Times New Roman" w:hAnsi="Times New Roman" w:cs="Times New Roman"/>
          <w:noProof w:val="0"/>
        </w:rPr>
        <w:t xml:space="preserve"> ne</w:t>
      </w:r>
      <w:r w:rsidR="00851E02">
        <w:rPr>
          <w:rFonts w:ascii="Times New Roman" w:eastAsia="Times New Roman" w:hAnsi="Times New Roman" w:cs="Times New Roman"/>
          <w:noProof w:val="0"/>
        </w:rPr>
        <w:t>uro</w:t>
      </w:r>
      <w:r w:rsidRPr="00E07ACB">
        <w:rPr>
          <w:rFonts w:ascii="Times New Roman" w:eastAsia="Times New Roman" w:hAnsi="Times New Roman" w:cs="Times New Roman"/>
          <w:noProof w:val="0"/>
        </w:rPr>
        <w:t>raumen</w:t>
      </w:r>
      <w:r w:rsidR="00851E02">
        <w:rPr>
          <w:rFonts w:ascii="Times New Roman" w:eastAsia="Times New Roman" w:hAnsi="Times New Roman" w:cs="Times New Roman"/>
          <w:noProof w:val="0"/>
        </w:rPr>
        <w:t>inę</w:t>
      </w:r>
      <w:r w:rsidRPr="00E07ACB">
        <w:rPr>
          <w:rFonts w:ascii="Times New Roman" w:eastAsia="Times New Roman" w:hAnsi="Times New Roman" w:cs="Times New Roman"/>
          <w:noProof w:val="0"/>
        </w:rPr>
        <w:t xml:space="preserve"> blokadą (žr. 4.4 skyrių). Pacientams patariama prieš operaciją informuoti anesteziologą, kad jie vartoja </w:t>
      </w:r>
      <w:r w:rsidRPr="00E07ACB">
        <w:rPr>
          <w:rFonts w:ascii="Times New Roman" w:eastAsia="Times New Roman" w:hAnsi="Times New Roman" w:cs="Times New Roman"/>
          <w:noProof w:val="0"/>
          <w:szCs w:val="20"/>
        </w:rPr>
        <w:t>azatioprino</w:t>
      </w:r>
      <w:r w:rsidRPr="00E07ACB">
        <w:rPr>
          <w:rFonts w:ascii="Times New Roman" w:eastAsia="Times New Roman" w:hAnsi="Times New Roman" w:cs="Times New Roman"/>
          <w:noProof w:val="0"/>
        </w:rPr>
        <w:t>.</w:t>
      </w:r>
    </w:p>
    <w:p w14:paraId="74DE1C19" w14:textId="77777777" w:rsidR="00E07ACB" w:rsidRPr="00E07ACB" w:rsidRDefault="00E07ACB" w:rsidP="00E07ACB">
      <w:pPr>
        <w:spacing w:after="0" w:line="240" w:lineRule="auto"/>
        <w:ind w:left="540" w:hanging="540"/>
        <w:rPr>
          <w:rFonts w:ascii="Times New Roman" w:eastAsia="Times New Roman" w:hAnsi="Times New Roman" w:cs="Times New Roman"/>
          <w:noProof w:val="0"/>
        </w:rPr>
      </w:pPr>
    </w:p>
    <w:p w14:paraId="07E8DD6D" w14:textId="77777777" w:rsidR="00E07ACB" w:rsidRPr="00E07ACB" w:rsidRDefault="00E07ACB" w:rsidP="00E07ACB">
      <w:pPr>
        <w:numPr>
          <w:ilvl w:val="0"/>
          <w:numId w:val="7"/>
        </w:numPr>
        <w:tabs>
          <w:tab w:val="num" w:pos="567"/>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Azatiopriną derinant su kitais imunosupresantais, pvz., ciklosporinu ar takrolimuzu, būtina turėti omenyje, kad gali padidėti per didelės imunosupresijos rizika.</w:t>
      </w:r>
    </w:p>
    <w:p w14:paraId="0B835945" w14:textId="77777777" w:rsidR="00E07ACB" w:rsidRPr="00E07ACB" w:rsidRDefault="00E07ACB" w:rsidP="00E07ACB">
      <w:pPr>
        <w:spacing w:after="0" w:line="240" w:lineRule="auto"/>
        <w:rPr>
          <w:rFonts w:ascii="Times New Roman" w:eastAsia="Times New Roman" w:hAnsi="Times New Roman" w:cs="Times New Roman"/>
          <w:noProof w:val="0"/>
        </w:rPr>
      </w:pPr>
    </w:p>
    <w:p w14:paraId="49046829" w14:textId="77777777" w:rsidR="00E07ACB" w:rsidRPr="00E07ACB" w:rsidRDefault="00E07ACB" w:rsidP="00E07ACB">
      <w:pPr>
        <w:numPr>
          <w:ilvl w:val="0"/>
          <w:numId w:val="13"/>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Gydant Krono  ligą, pastebėta sąveika tarp azatioprino ir infliksimabo. Azatioprino vartojantiems pacientams pirmosiomis savaitėmis po infliksimabo infuzijos laikinai padidėdavo aktyvaus azatioprino metabolito 6-tioguanino nukleotido (6-TGN) kiekis ir sumažėdavo vidutinis leukocitų kiekis. Po 3 mėnesių minėti parametrai tapdavo tokie, kokie buvo prieš infuziją.</w:t>
      </w:r>
    </w:p>
    <w:p w14:paraId="491CBA4C" w14:textId="77777777" w:rsidR="00E07ACB" w:rsidRPr="00E07ACB" w:rsidRDefault="00E07ACB" w:rsidP="00E07ACB">
      <w:pPr>
        <w:spacing w:after="0" w:line="240" w:lineRule="auto"/>
        <w:rPr>
          <w:rFonts w:ascii="Times New Roman" w:eastAsia="Times New Roman" w:hAnsi="Times New Roman" w:cs="Times New Roman"/>
          <w:noProof w:val="0"/>
        </w:rPr>
      </w:pPr>
    </w:p>
    <w:p w14:paraId="6E23C16F" w14:textId="77777777" w:rsidR="00E07ACB" w:rsidRPr="00E07ACB" w:rsidRDefault="00E07ACB" w:rsidP="00E07ACB">
      <w:pPr>
        <w:numPr>
          <w:ilvl w:val="0"/>
          <w:numId w:val="14"/>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Azatiopriną derinant su aminosalicilo rūgšties dariniais, pvz., olsalazinu, mesalazinu ar sulfasalazinu, kyla mielosupresinio azatioprino poveikio sustiprėjimo rizika, kadangi slopinamas jo metabolizmas kepenyse (žr. 4.4 skyrių). </w:t>
      </w:r>
    </w:p>
    <w:p w14:paraId="6CC0B8A1"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3877FBB0" w14:textId="77777777" w:rsidR="00E07ACB" w:rsidRPr="00E07ACB" w:rsidRDefault="00E07ACB" w:rsidP="00E07ACB">
      <w:pPr>
        <w:numPr>
          <w:ilvl w:val="0"/>
          <w:numId w:val="14"/>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Kartu su azatioprinu vartojant varfarino ar fenprokumono, pastebėtas pastarųjų dviejų preparatų antikoaguliacinio poveikio silpnėjimas, todėl reikia atidžiai sekti krešėjimo funkciją. </w:t>
      </w:r>
    </w:p>
    <w:p w14:paraId="6DFF6ADF"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7AB3E857" w14:textId="77777777" w:rsidR="00E07ACB" w:rsidRPr="00E07ACB" w:rsidRDefault="00E07ACB" w:rsidP="00E07ACB">
      <w:pPr>
        <w:numPr>
          <w:ilvl w:val="0"/>
          <w:numId w:val="14"/>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Azatiopriną vartojant kartu su AKF inhibitoriais, trimetoprimu/sulfametoksazolu, cimetidinu ar indometacinu, didėja mielosupresijos rizika (žr. 4.4 skyrių).</w:t>
      </w:r>
    </w:p>
    <w:p w14:paraId="62E55135"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126944FC" w14:textId="77777777" w:rsidR="00E07ACB" w:rsidRPr="00E07ACB" w:rsidRDefault="00E07ACB" w:rsidP="00E07ACB">
      <w:pPr>
        <w:numPr>
          <w:ilvl w:val="0"/>
          <w:numId w:val="14"/>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Gydant azatioprinu ir vaistiniais preparatais, kuriems būdingos mieloidinio audinio funkcijos slopinamosios ar citotoksinės savybės, gali stiprėti toksinis poveikis mieloidiniam audiniui. Tai tinka ir tuo atveju, kai mielosupresinė terapija baigiama likus mažai laiko iki gydymo azatioprinu (žr. 4.4 skyrių). </w:t>
      </w:r>
    </w:p>
    <w:p w14:paraId="6B882C25"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p>
    <w:p w14:paraId="621274E9" w14:textId="77777777" w:rsidR="00E07ACB" w:rsidRPr="00E07ACB" w:rsidRDefault="00E07ACB" w:rsidP="00E07ACB">
      <w:pPr>
        <w:numPr>
          <w:ilvl w:val="0"/>
          <w:numId w:val="14"/>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Tyrimais </w:t>
      </w:r>
      <w:r w:rsidRPr="00E07ACB">
        <w:rPr>
          <w:rFonts w:ascii="Times New Roman" w:eastAsia="Times New Roman" w:hAnsi="Times New Roman" w:cs="Times New Roman"/>
          <w:i/>
          <w:noProof w:val="0"/>
        </w:rPr>
        <w:t xml:space="preserve">in vitro </w:t>
      </w:r>
      <w:r w:rsidRPr="00E07ACB">
        <w:rPr>
          <w:rFonts w:ascii="Times New Roman" w:eastAsia="Times New Roman" w:hAnsi="Times New Roman" w:cs="Times New Roman"/>
          <w:noProof w:val="0"/>
        </w:rPr>
        <w:t>su žmogaus kepenų audiniu įrodyta, kad furozemidas mažina azatioprino metabolizmą. Klinikinė reikšmė nėra žinoma.</w:t>
      </w:r>
    </w:p>
    <w:p w14:paraId="791BF704" w14:textId="77777777" w:rsidR="00E07ACB" w:rsidRPr="00E07ACB" w:rsidRDefault="00E07ACB" w:rsidP="00E07ACB">
      <w:pPr>
        <w:spacing w:after="0" w:line="240" w:lineRule="auto"/>
        <w:rPr>
          <w:rFonts w:ascii="Times New Roman" w:eastAsia="Times New Roman" w:hAnsi="Times New Roman" w:cs="Times New Roman"/>
          <w:noProof w:val="0"/>
        </w:rPr>
      </w:pPr>
    </w:p>
    <w:p w14:paraId="40E055A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Imunosupresinis azatioprino aktyvumas gali lemti neįprastą, net pavojingą atsaką į gyvąsias vakcinas, todėl remiantis teorine priežastimi, azatioprino vartojančius pacientus gyvosiomis vakcinomis skiepyti draudžiama (žr. 4.3 skyrių). Silpnesnis atsakas į negyvąsias vakcinas tikėtinas ir pacientų, gydomų azatioprino ir kortikosteroidų deriniu, atsakas į hepatito B vakciną buvo silpnesnis. </w:t>
      </w:r>
    </w:p>
    <w:p w14:paraId="7941E105"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Mažos apimties klinikinio tyrimo duomenys rodo, kad įprastinė terapinė azatioprino dozė, atsižvelgiant į vidutinę specifinių antikūnų prieš kapsulę koncentraciją, žalingos įtakos atsakui į polivalentinę pneumokokinę vakciną nedaro (žr. 4.4 skyrių).</w:t>
      </w:r>
    </w:p>
    <w:p w14:paraId="6F626D5B" w14:textId="77777777" w:rsidR="00E07ACB" w:rsidRPr="00E07ACB" w:rsidRDefault="00E07ACB" w:rsidP="00E07ACB">
      <w:pPr>
        <w:spacing w:after="0" w:line="240" w:lineRule="auto"/>
        <w:ind w:left="540"/>
        <w:rPr>
          <w:rFonts w:ascii="Times New Roman" w:eastAsia="Times New Roman" w:hAnsi="Times New Roman" w:cs="Times New Roman"/>
          <w:noProof w:val="0"/>
        </w:rPr>
      </w:pPr>
    </w:p>
    <w:p w14:paraId="2E0A35AB" w14:textId="77777777" w:rsidR="00E07ACB" w:rsidRPr="00E07ACB" w:rsidRDefault="00E07ACB" w:rsidP="00E07ACB">
      <w:pPr>
        <w:numPr>
          <w:ilvl w:val="0"/>
          <w:numId w:val="14"/>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Geriamos 20 mg/m² vaistinio preparato dozės padidino 6-merkaptopurino AUC apytiksliai 31 %, o leidžiamos į veną 2 g/m² ir 5 g/m² metotreksato dozės padidino 6-merkaptopurino AUC atitinkamai 69 % ir 93 %. Jeigu azatioprinas skiriamas kartu su didelėmis metotreksato dozėmis, dozę reikia koreguoti taip, kad būtų palaikomas tinkamas leukocitų skaičius.</w:t>
      </w:r>
    </w:p>
    <w:p w14:paraId="58B9B377" w14:textId="77777777" w:rsidR="00E07ACB" w:rsidRPr="00E07ACB" w:rsidRDefault="00E07ACB" w:rsidP="00E07ACB">
      <w:pPr>
        <w:spacing w:after="0" w:line="240" w:lineRule="auto"/>
        <w:rPr>
          <w:rFonts w:ascii="Times New Roman" w:eastAsia="Times New Roman" w:hAnsi="Times New Roman" w:cs="Times New Roman"/>
          <w:noProof w:val="0"/>
        </w:rPr>
      </w:pPr>
    </w:p>
    <w:p w14:paraId="6726CDF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4.6</w:t>
      </w:r>
      <w:r w:rsidRPr="00E07ACB">
        <w:rPr>
          <w:rFonts w:ascii="Times New Roman" w:eastAsia="Times New Roman" w:hAnsi="Times New Roman" w:cs="Times New Roman"/>
          <w:b/>
          <w:noProof w:val="0"/>
        </w:rPr>
        <w:tab/>
        <w:t xml:space="preserve">Vaisingumas, </w:t>
      </w:r>
      <w:r w:rsidRPr="00E07ACB">
        <w:rPr>
          <w:rFonts w:ascii="Times New Roman" w:eastAsia="Times New Roman" w:hAnsi="Times New Roman" w:cs="Times New Roman"/>
          <w:b/>
          <w:bCs/>
          <w:noProof w:val="0"/>
        </w:rPr>
        <w:t>nėštumo ir žindymo laikotarpis</w:t>
      </w:r>
    </w:p>
    <w:p w14:paraId="56B898F4" w14:textId="77777777" w:rsidR="00E07ACB" w:rsidRPr="00E07ACB" w:rsidRDefault="00E07ACB" w:rsidP="00E07ACB">
      <w:pPr>
        <w:spacing w:after="0" w:line="240" w:lineRule="auto"/>
        <w:rPr>
          <w:rFonts w:ascii="Times New Roman" w:eastAsia="Times New Roman" w:hAnsi="Times New Roman" w:cs="Times New Roman"/>
          <w:noProof w:val="0"/>
        </w:rPr>
      </w:pPr>
    </w:p>
    <w:p w14:paraId="02D0BE22"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Nėštumas</w:t>
      </w:r>
    </w:p>
    <w:p w14:paraId="1D1ACAA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rizikos ir naudos santykis atidžiai neįvertintas, nėščias moteris azatioprinu gydyti draudžiama (žr. 4.3 skyrių).</w:t>
      </w:r>
    </w:p>
    <w:p w14:paraId="27DC901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Tyrimų metu gyvūnams azatioprinas darė teratogeninį ir embriotoksinį poveikį (žr. 5.3 skyrių). Azatioprino pavartojusių moterų vaisiaus kraujyje ir amniono skystyje rasta maža azatioprino ir jo metabolitų koncentracija. Kai kuriems nėštumo periodu azatioprinu gydytų moterų naujagimiams pasireiškė leukopenija ir (arba) trombocitopenija. Būtina itin atidžiai sekti azatioprinu gydomų nėščių moterų kraują. Pasireiškus leukopenijai, gydymą patariama nutraukti. </w:t>
      </w:r>
    </w:p>
    <w:p w14:paraId="539131D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Gydymo azatioprinu metu ir mažiausiai 3 mėn. po jo vaisingiems vyrams ir moterims būtina naudotis kontraceptinėmis priemonėmis. </w:t>
      </w:r>
    </w:p>
    <w:p w14:paraId="0431599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Tai taikytina ir pacientams, kurių vaisingumas sutrikęs dėl lėtinės uremijos, kadangi po inkstų persodinimo šlapalo kiekis paprastai sunormalėja.</w:t>
      </w:r>
    </w:p>
    <w:p w14:paraId="744621C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Pastebėta, kad azatioprinas trikdo kontraceptinių gimdos priemonių veiksmingumą, todėl patariama vartoti arba papildomas, arba kitokias kontraceptines priemones. </w:t>
      </w:r>
    </w:p>
    <w:p w14:paraId="418AFD80" w14:textId="77777777" w:rsidR="00E07ACB" w:rsidRPr="00E07ACB" w:rsidRDefault="00E07ACB" w:rsidP="00E07ACB">
      <w:pPr>
        <w:spacing w:after="0" w:line="240" w:lineRule="auto"/>
        <w:rPr>
          <w:rFonts w:ascii="Times New Roman" w:eastAsia="Times New Roman" w:hAnsi="Times New Roman" w:cs="Times New Roman"/>
          <w:noProof w:val="0"/>
        </w:rPr>
      </w:pPr>
    </w:p>
    <w:p w14:paraId="0C2BFD7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Naujagimiams, kurie </w:t>
      </w:r>
      <w:r w:rsidRPr="00E07ACB">
        <w:rPr>
          <w:rFonts w:ascii="Times New Roman" w:eastAsia="Times New Roman" w:hAnsi="Times New Roman" w:cs="Times New Roman"/>
          <w:iCs/>
          <w:noProof w:val="0"/>
        </w:rPr>
        <w:t>gimdoje</w:t>
      </w:r>
      <w:r w:rsidRPr="00E07ACB">
        <w:rPr>
          <w:rFonts w:ascii="Times New Roman" w:eastAsia="Times New Roman" w:hAnsi="Times New Roman" w:cs="Times New Roman"/>
          <w:noProof w:val="0"/>
        </w:rPr>
        <w:t xml:space="preserve"> buvo paveikti azatioprino ir prednizolono derinio, pastebėtas laikinas imuninės funkcijos susilpnėjimas. Moterims, nėštumo metu gydomoms azatioprino ir prednizolono deriniu, buvo vaisiaus augimo gimdoje sulėtėjimo ir priešlaikinio gimdymo atvejų. Ilgalaikės šių </w:t>
      </w:r>
      <w:r w:rsidRPr="00E07ACB">
        <w:rPr>
          <w:rFonts w:ascii="Times New Roman" w:eastAsia="Times New Roman" w:hAnsi="Times New Roman" w:cs="Times New Roman"/>
          <w:noProof w:val="0"/>
        </w:rPr>
        <w:lastRenderedPageBreak/>
        <w:t xml:space="preserve">azatioprino savybių pasekmės nežinomos, tačiau daug vaikų, kurių motinos nėštumo metu vartojo azatioprino, jau 10 metų išgyveno be komplikacijų. </w:t>
      </w:r>
    </w:p>
    <w:p w14:paraId="0EA81354" w14:textId="77777777" w:rsidR="00E07ACB" w:rsidRPr="00E07ACB" w:rsidRDefault="00E07ACB" w:rsidP="00E07ACB">
      <w:pPr>
        <w:spacing w:after="0" w:line="240" w:lineRule="auto"/>
        <w:rPr>
          <w:rFonts w:ascii="Times New Roman" w:eastAsia="Times New Roman" w:hAnsi="Times New Roman" w:cs="Times New Roman"/>
          <w:noProof w:val="0"/>
        </w:rPr>
      </w:pPr>
    </w:p>
    <w:p w14:paraId="60FA477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Žindymas</w:t>
      </w:r>
    </w:p>
    <w:p w14:paraId="7C94AB25"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Azatioprinu gydomų moterų priešpienyje ir piene rasta aktyvaus azatioprino metabolito 6-merkaptopurino. Žindymo laikotarpiu azatioprino vartoti draudžiama (žr. 4.3 skyrių).</w:t>
      </w:r>
    </w:p>
    <w:p w14:paraId="6E76A180" w14:textId="77777777" w:rsidR="00E07ACB" w:rsidRPr="00E07ACB" w:rsidRDefault="00E07ACB" w:rsidP="00E07ACB">
      <w:pPr>
        <w:spacing w:after="0" w:line="240" w:lineRule="auto"/>
        <w:rPr>
          <w:rFonts w:ascii="Times New Roman" w:eastAsia="Times New Roman" w:hAnsi="Times New Roman" w:cs="Times New Roman"/>
          <w:noProof w:val="0"/>
        </w:rPr>
      </w:pPr>
    </w:p>
    <w:p w14:paraId="581E9D77"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Vaisingumas</w:t>
      </w:r>
    </w:p>
    <w:p w14:paraId="298BC2B6" w14:textId="77777777" w:rsidR="00E07ACB" w:rsidRPr="00E07ACB" w:rsidRDefault="00E07ACB" w:rsidP="00E07ACB">
      <w:pPr>
        <w:spacing w:after="0" w:line="240" w:lineRule="auto"/>
        <w:rPr>
          <w:rFonts w:ascii="Times New Roman" w:eastAsia="Times New Roman" w:hAnsi="Times New Roman" w:cs="Times New Roman"/>
          <w:i/>
          <w:noProof w:val="0"/>
        </w:rPr>
      </w:pPr>
      <w:r w:rsidRPr="00E07ACB">
        <w:rPr>
          <w:rFonts w:ascii="Times New Roman" w:eastAsia="Times New Roman" w:hAnsi="Times New Roman" w:cs="Times New Roman"/>
          <w:noProof w:val="0"/>
        </w:rPr>
        <w:t>Lėtinio inkstų nepakankamumo simptomų pagerėjimas, įvykęs dėl inkstų transplantacijos ir azatioprino</w:t>
      </w:r>
      <w:r w:rsidRPr="00E07ACB">
        <w:rPr>
          <w:rFonts w:ascii="Times New Roman" w:eastAsia="Times New Roman" w:hAnsi="Times New Roman" w:cs="Times New Roman"/>
          <w:noProof w:val="0"/>
          <w:color w:val="008000"/>
        </w:rPr>
        <w:t xml:space="preserve"> </w:t>
      </w:r>
      <w:r w:rsidRPr="00E07ACB">
        <w:rPr>
          <w:rFonts w:ascii="Times New Roman" w:eastAsia="Times New Roman" w:hAnsi="Times New Roman" w:cs="Times New Roman"/>
          <w:noProof w:val="0"/>
        </w:rPr>
        <w:t>vartojimo, buvo lydimas vyrų ir moterų, kuriems buvo įvykdyta transplantacija, vaisingumo padidėjimo (aukščiau žiūrėkite vartotinus kontracepcijos būdus).</w:t>
      </w:r>
    </w:p>
    <w:p w14:paraId="71B989D8" w14:textId="77777777" w:rsidR="00E07ACB" w:rsidRPr="00E07ACB" w:rsidRDefault="00E07ACB" w:rsidP="00E07ACB">
      <w:pPr>
        <w:spacing w:after="0" w:line="240" w:lineRule="auto"/>
        <w:rPr>
          <w:rFonts w:ascii="Times New Roman" w:eastAsia="Times New Roman" w:hAnsi="Times New Roman" w:cs="Times New Roman"/>
          <w:noProof w:val="0"/>
        </w:rPr>
      </w:pPr>
    </w:p>
    <w:p w14:paraId="75EA197A"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4.7</w:t>
      </w:r>
      <w:r w:rsidRPr="00E07ACB">
        <w:rPr>
          <w:rFonts w:ascii="Times New Roman" w:eastAsia="Times New Roman" w:hAnsi="Times New Roman" w:cs="Times New Roman"/>
          <w:b/>
          <w:noProof w:val="0"/>
        </w:rPr>
        <w:tab/>
        <w:t>Poveikis gebėjimui vairuoti ir valdyti mechanizmus</w:t>
      </w:r>
    </w:p>
    <w:p w14:paraId="30E060D2" w14:textId="77777777" w:rsidR="00E07ACB" w:rsidRPr="00E07ACB" w:rsidRDefault="00E07ACB" w:rsidP="00E07ACB">
      <w:pPr>
        <w:spacing w:after="0" w:line="240" w:lineRule="auto"/>
        <w:rPr>
          <w:rFonts w:ascii="Times New Roman" w:eastAsia="Times New Roman" w:hAnsi="Times New Roman" w:cs="Times New Roman"/>
          <w:noProof w:val="0"/>
        </w:rPr>
      </w:pPr>
    </w:p>
    <w:p w14:paraId="2AEF29BD" w14:textId="77777777" w:rsidR="00E07ACB" w:rsidRPr="00E07ACB" w:rsidRDefault="00E07ACB" w:rsidP="00E07ACB">
      <w:pPr>
        <w:tabs>
          <w:tab w:val="left" w:pos="567"/>
        </w:tabs>
        <w:autoSpaceDE w:val="0"/>
        <w:autoSpaceDN w:val="0"/>
        <w:adjustRightInd w:val="0"/>
        <w:spacing w:after="12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Gydymas azatioprinu dėl nepageidaujamų reakcijų, tokių kaip svaigulys, ir įvairių individualių reakcijų galimybės gali veikti gebėjimą vairuoti ir valdyti mechanizmus. Ypač intensyviai šie poveikiai pasireiškia kartu vartojant alkoholio.</w:t>
      </w:r>
    </w:p>
    <w:p w14:paraId="3420FC25" w14:textId="77777777" w:rsidR="00E07ACB" w:rsidRPr="00E07ACB" w:rsidRDefault="00E07ACB" w:rsidP="00E07ACB">
      <w:pPr>
        <w:spacing w:after="0" w:line="240" w:lineRule="auto"/>
        <w:rPr>
          <w:rFonts w:ascii="Times New Roman" w:eastAsia="Times New Roman" w:hAnsi="Times New Roman" w:cs="Times New Roman"/>
          <w:noProof w:val="0"/>
        </w:rPr>
      </w:pPr>
    </w:p>
    <w:p w14:paraId="7075F207" w14:textId="77777777" w:rsidR="00E07ACB" w:rsidRPr="00E07ACB" w:rsidRDefault="00E07ACB" w:rsidP="00E07ACB">
      <w:pPr>
        <w:tabs>
          <w:tab w:val="left" w:pos="540"/>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4.8</w:t>
      </w:r>
      <w:r w:rsidRPr="00E07ACB">
        <w:rPr>
          <w:rFonts w:ascii="Times New Roman" w:eastAsia="Times New Roman" w:hAnsi="Times New Roman" w:cs="Times New Roman"/>
          <w:b/>
          <w:noProof w:val="0"/>
        </w:rPr>
        <w:tab/>
        <w:t>Nepageidaujamas poveikis</w:t>
      </w:r>
    </w:p>
    <w:p w14:paraId="77D2E788" w14:textId="77777777" w:rsidR="00E07ACB" w:rsidRPr="00E07ACB" w:rsidRDefault="00E07ACB" w:rsidP="00E07ACB">
      <w:pPr>
        <w:spacing w:after="0" w:line="240" w:lineRule="auto"/>
        <w:rPr>
          <w:rFonts w:ascii="Times New Roman" w:eastAsia="Times New Roman" w:hAnsi="Times New Roman" w:cs="Times New Roman"/>
          <w:noProof w:val="0"/>
        </w:rPr>
      </w:pPr>
    </w:p>
    <w:p w14:paraId="7109494F" w14:textId="11126E0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Nepageidaujamas azatioprino poveikis tikėtinas maždaug 15</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pacientų. Nepageidaujamų reakcijų pobūdis, stiprumas ir dažnis gali priklausyti nuo azatioprino dozės dydžio, gydymo trukmės, gydomos ligos bei kitų kartu vartojamų vaistinių preparatų. </w:t>
      </w:r>
    </w:p>
    <w:p w14:paraId="0C4E541D" w14:textId="77777777" w:rsidR="00E07ACB" w:rsidRPr="00E07ACB" w:rsidRDefault="00E07ACB" w:rsidP="00E07ACB">
      <w:pPr>
        <w:spacing w:after="0" w:line="240" w:lineRule="auto"/>
        <w:rPr>
          <w:rFonts w:ascii="Times New Roman" w:eastAsia="Times New Roman" w:hAnsi="Times New Roman" w:cs="Times New Roman"/>
          <w:noProof w:val="0"/>
        </w:rPr>
      </w:pPr>
    </w:p>
    <w:p w14:paraId="33FD8C1E" w14:textId="0B13AF4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Svarbiausias nepageidaujamas azatioprino poveikis yra nuo dozės dydžio priklausomas, dažniausiai laikinas kaulų čiulpų funkcijos slopinimas, pasireiškiantis leukopenija, trombocitopenija ir anemija. Leukopenija gali pasireikšti 50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įprastine terapine azatioprino doze gydomų pacientų. </w:t>
      </w:r>
    </w:p>
    <w:p w14:paraId="20F51B7D" w14:textId="77777777" w:rsidR="00E07ACB" w:rsidRPr="00E07ACB" w:rsidRDefault="00E07ACB" w:rsidP="00E07ACB">
      <w:pPr>
        <w:spacing w:after="0" w:line="240" w:lineRule="auto"/>
        <w:rPr>
          <w:rFonts w:ascii="Times New Roman" w:eastAsia="Times New Roman" w:hAnsi="Times New Roman" w:cs="Times New Roman"/>
          <w:noProof w:val="0"/>
        </w:rPr>
      </w:pPr>
    </w:p>
    <w:p w14:paraId="762C53E9" w14:textId="77777777" w:rsidR="00E07ACB" w:rsidRPr="00E07ACB" w:rsidRDefault="00E07ACB" w:rsidP="00E07ACB">
      <w:pPr>
        <w:tabs>
          <w:tab w:val="left" w:pos="567"/>
        </w:tabs>
        <w:spacing w:after="0" w:line="240" w:lineRule="auto"/>
        <w:rPr>
          <w:rFonts w:ascii="Times New Roman" w:eastAsia="Calibri" w:hAnsi="Times New Roman" w:cs="Times New Roman"/>
          <w:u w:val="single"/>
        </w:rPr>
      </w:pPr>
      <w:r w:rsidRPr="00E07ACB">
        <w:rPr>
          <w:rFonts w:ascii="Times New Roman" w:eastAsia="Calibri" w:hAnsi="Times New Roman" w:cs="Times New Roman"/>
          <w:u w:val="single"/>
        </w:rPr>
        <w:t>Nepageidaujamo poveikio dažnis apibūdinamas</w:t>
      </w:r>
      <w:r w:rsidRPr="00E07ACB">
        <w:rPr>
          <w:rFonts w:ascii="Calibri" w:eastAsia="Calibri" w:hAnsi="Calibri" w:cs="Times New Roman"/>
        </w:rPr>
        <w:t xml:space="preserve"> </w:t>
      </w:r>
      <w:r w:rsidRPr="00E07ACB">
        <w:rPr>
          <w:rFonts w:ascii="Times New Roman" w:eastAsia="Calibri" w:hAnsi="Times New Roman" w:cs="Times New Roman"/>
          <w:u w:val="single"/>
        </w:rPr>
        <w:t xml:space="preserve">taip: </w:t>
      </w:r>
    </w:p>
    <w:p w14:paraId="1D9C191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dažnas ( ≥ 1/10); </w:t>
      </w:r>
    </w:p>
    <w:p w14:paraId="087C56F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dažnas (nuo ≥ 1/100 iki &lt; 1/10); </w:t>
      </w:r>
    </w:p>
    <w:p w14:paraId="2520E4A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nedažnas (nuo ≥ 1/1 000 iki &lt; 1/100); </w:t>
      </w:r>
    </w:p>
    <w:p w14:paraId="79F0808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retas (nuo ≥ 1/10 000 iki &lt; 1/1 000); </w:t>
      </w:r>
    </w:p>
    <w:p w14:paraId="1A7ECAA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retas ( &lt; 1/10 000);</w:t>
      </w:r>
    </w:p>
    <w:p w14:paraId="0D3130D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nežinomas (negali būti apskaičiuotas pagal turimus duomenis).</w:t>
      </w:r>
    </w:p>
    <w:p w14:paraId="332AE56C" w14:textId="77777777" w:rsidR="00E07ACB" w:rsidRPr="00E07ACB" w:rsidRDefault="00E07ACB" w:rsidP="00E07ACB">
      <w:pPr>
        <w:spacing w:after="0" w:line="240" w:lineRule="auto"/>
        <w:rPr>
          <w:rFonts w:ascii="Times New Roman" w:eastAsia="Times New Roman" w:hAnsi="Times New Roman" w:cs="Times New Roman"/>
          <w:noProof w:val="0"/>
        </w:rPr>
      </w:pPr>
    </w:p>
    <w:p w14:paraId="0FB020C0"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Infekcijos ir infestacijos</w:t>
      </w:r>
    </w:p>
    <w:p w14:paraId="72E5284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C475DB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Pacientai po transplantacijos, gydomi azatioprinu kartu su kitais imunosupresantais.</w:t>
      </w:r>
    </w:p>
    <w:p w14:paraId="38E4518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A17E25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Labai dažnos. </w:t>
      </w:r>
      <w:r w:rsidRPr="00E07ACB">
        <w:rPr>
          <w:rFonts w:ascii="Times New Roman" w:eastAsia="Times New Roman" w:hAnsi="Times New Roman" w:cs="Times New Roman"/>
          <w:noProof w:val="0"/>
        </w:rPr>
        <w:tab/>
        <w:t>Virusinės, grybelinės ir bakterinės infekcinės ligos.</w:t>
      </w:r>
    </w:p>
    <w:p w14:paraId="7153C01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4FDC01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Kitos indikacijos</w:t>
      </w:r>
    </w:p>
    <w:p w14:paraId="05BF555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8392D9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Nedažnos. </w:t>
      </w:r>
      <w:r w:rsidRPr="00E07ACB">
        <w:rPr>
          <w:rFonts w:ascii="Times New Roman" w:eastAsia="Times New Roman" w:hAnsi="Times New Roman" w:cs="Times New Roman"/>
          <w:noProof w:val="0"/>
        </w:rPr>
        <w:tab/>
        <w:t>Virusinės, grybelinės ir bakterinės infekcinės ligos.</w:t>
      </w:r>
    </w:p>
    <w:p w14:paraId="6497BF6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C974E7A"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Pacientai, gydomi vien tik azatioprinu arba azatioprinu kartu su kitais imunosupresantais, ypač kortikosteroidais, pasižymi padidėjusiu imlumu virusinėms, grybelinėms ir bakterinėms infekcijoms. </w:t>
      </w:r>
    </w:p>
    <w:p w14:paraId="43AA79A8" w14:textId="77777777" w:rsidR="00E07ACB" w:rsidRPr="00E07ACB" w:rsidRDefault="00E07ACB" w:rsidP="00E07ACB">
      <w:pPr>
        <w:spacing w:after="0" w:line="240" w:lineRule="auto"/>
        <w:rPr>
          <w:rFonts w:ascii="Times New Roman" w:eastAsia="Times New Roman" w:hAnsi="Times New Roman" w:cs="Times New Roman"/>
          <w:noProof w:val="0"/>
        </w:rPr>
      </w:pPr>
    </w:p>
    <w:p w14:paraId="7E0A0BFA" w14:textId="77777777" w:rsidR="00E07ACB" w:rsidRPr="00E07ACB" w:rsidRDefault="00E07ACB" w:rsidP="00E07ACB">
      <w:pPr>
        <w:spacing w:after="0" w:line="240" w:lineRule="auto"/>
        <w:ind w:left="1276" w:hanging="1276"/>
        <w:rPr>
          <w:rFonts w:ascii="Times New Roman" w:eastAsia="Times New Roman" w:hAnsi="Times New Roman" w:cs="Times New Roman"/>
          <w:noProof w:val="0"/>
        </w:rPr>
      </w:pPr>
      <w:r w:rsidRPr="00E07ACB">
        <w:rPr>
          <w:rFonts w:ascii="Times New Roman" w:eastAsia="Times New Roman" w:hAnsi="Times New Roman" w:cs="Times New Roman"/>
          <w:noProof w:val="0"/>
        </w:rPr>
        <w:t>Labai retos.    Pacientams, kurie vartojo azatiopriną kartu su kitais imunosupresantais, pasireiškė JC viruso sukelta PDL (žr. 4.4 skyriuje).</w:t>
      </w:r>
    </w:p>
    <w:p w14:paraId="627A6FE0" w14:textId="77777777" w:rsidR="00E07ACB" w:rsidRPr="00E07ACB" w:rsidRDefault="00E07ACB" w:rsidP="00E07ACB">
      <w:pPr>
        <w:spacing w:after="0" w:line="240" w:lineRule="auto"/>
        <w:rPr>
          <w:rFonts w:ascii="Times New Roman" w:eastAsia="Times New Roman" w:hAnsi="Times New Roman" w:cs="Times New Roman"/>
          <w:noProof w:val="0"/>
        </w:rPr>
      </w:pPr>
    </w:p>
    <w:p w14:paraId="0E22E089"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Gerybiniai, piktybiniai ir nepatikslinti navikai (tarp jų cistos ir polipai)</w:t>
      </w:r>
    </w:p>
    <w:p w14:paraId="6B0C9A6B" w14:textId="77777777" w:rsidR="00E07ACB" w:rsidRPr="00E07ACB" w:rsidRDefault="00E07ACB" w:rsidP="00E07ACB">
      <w:pPr>
        <w:spacing w:after="0" w:line="240" w:lineRule="auto"/>
        <w:rPr>
          <w:rFonts w:ascii="Times New Roman" w:eastAsia="Times New Roman" w:hAnsi="Times New Roman" w:cs="Times New Roman"/>
          <w:noProof w:val="0"/>
          <w:highlight w:val="yellow"/>
          <w:u w:val="single"/>
        </w:rPr>
      </w:pPr>
    </w:p>
    <w:p w14:paraId="5D8CF2FB" w14:textId="77777777" w:rsidR="00E07ACB" w:rsidRPr="00E07ACB" w:rsidRDefault="00E07ACB" w:rsidP="00E07ACB">
      <w:pPr>
        <w:spacing w:after="0" w:line="240" w:lineRule="auto"/>
        <w:ind w:left="1276" w:hanging="1134"/>
        <w:rPr>
          <w:rFonts w:ascii="Times New Roman" w:eastAsia="Times New Roman" w:hAnsi="Times New Roman" w:cs="Times New Roman"/>
          <w:noProof w:val="0"/>
          <w:highlight w:val="yellow"/>
          <w:u w:val="single"/>
        </w:rPr>
      </w:pPr>
      <w:r w:rsidRPr="00E07ACB">
        <w:rPr>
          <w:rFonts w:ascii="Times New Roman" w:eastAsia="Times New Roman" w:hAnsi="Times New Roman" w:cs="Times New Roman"/>
          <w:noProof w:val="0"/>
        </w:rPr>
        <w:lastRenderedPageBreak/>
        <w:t xml:space="preserve">Retos. </w:t>
      </w:r>
      <w:r w:rsidRPr="00E07ACB">
        <w:rPr>
          <w:rFonts w:ascii="Times New Roman" w:eastAsia="Times New Roman" w:hAnsi="Times New Roman" w:cs="Times New Roman"/>
          <w:noProof w:val="0"/>
        </w:rPr>
        <w:tab/>
        <w:t>Navikai, įskaitant ne limfoproliferacinius sutrikimus, odos vėžį, sarkomas (Kapoši [</w:t>
      </w:r>
      <w:r w:rsidRPr="00E07ACB">
        <w:rPr>
          <w:rFonts w:ascii="Times New Roman" w:eastAsia="Times New Roman" w:hAnsi="Times New Roman" w:cs="Times New Roman"/>
          <w:i/>
          <w:iCs/>
          <w:noProof w:val="0"/>
        </w:rPr>
        <w:t>Kaposi</w:t>
      </w:r>
      <w:r w:rsidRPr="00E07ACB">
        <w:rPr>
          <w:rFonts w:ascii="Times New Roman" w:eastAsia="Times New Roman" w:hAnsi="Times New Roman" w:cs="Times New Roman"/>
          <w:noProof w:val="0"/>
        </w:rPr>
        <w:t xml:space="preserve">] ir kt.), gimdos kaklelio vėžį </w:t>
      </w:r>
      <w:r w:rsidRPr="00E07ACB">
        <w:rPr>
          <w:rFonts w:ascii="Times New Roman" w:eastAsia="Times New Roman" w:hAnsi="Times New Roman" w:cs="Times New Roman"/>
          <w:i/>
          <w:noProof w:val="0"/>
        </w:rPr>
        <w:t>in  situ</w:t>
      </w:r>
      <w:r w:rsidRPr="00E07ACB">
        <w:rPr>
          <w:rFonts w:ascii="Times New Roman" w:eastAsia="Times New Roman" w:hAnsi="Times New Roman" w:cs="Times New Roman"/>
          <w:noProof w:val="0"/>
        </w:rPr>
        <w:t>, ūminę mieloidinę leukemiją ir mielodisplaziją (žr. 4.4 skyrių).</w:t>
      </w:r>
    </w:p>
    <w:p w14:paraId="0352679F" w14:textId="77777777" w:rsidR="00E07ACB" w:rsidRPr="00E07ACB" w:rsidRDefault="00E07ACB" w:rsidP="00E07ACB">
      <w:pPr>
        <w:spacing w:after="0" w:line="240" w:lineRule="auto"/>
        <w:rPr>
          <w:rFonts w:ascii="Times New Roman" w:eastAsia="Times New Roman" w:hAnsi="Times New Roman" w:cs="Times New Roman"/>
          <w:noProof w:val="0"/>
          <w:highlight w:val="yellow"/>
          <w:u w:val="single"/>
        </w:rPr>
      </w:pPr>
    </w:p>
    <w:p w14:paraId="0B5DE97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 Hodžkino (</w:t>
      </w:r>
      <w:r w:rsidRPr="00E07ACB">
        <w:rPr>
          <w:rFonts w:ascii="Times New Roman" w:eastAsia="Times New Roman" w:hAnsi="Times New Roman" w:cs="Times New Roman"/>
          <w:i/>
          <w:iCs/>
          <w:noProof w:val="0"/>
        </w:rPr>
        <w:t>non-Hodgkin</w:t>
      </w:r>
      <w:r w:rsidRPr="00E07ACB">
        <w:rPr>
          <w:rFonts w:ascii="Times New Roman" w:eastAsia="Times New Roman" w:hAnsi="Times New Roman" w:cs="Times New Roman"/>
          <w:noProof w:val="0"/>
        </w:rPr>
        <w:t>) limfomų ir kitų piktybinių auglių, ypač odos vėžio, sarkomų (Kapoši [</w:t>
      </w:r>
      <w:r w:rsidRPr="00E07ACB">
        <w:rPr>
          <w:rFonts w:ascii="Times New Roman" w:eastAsia="Times New Roman" w:hAnsi="Times New Roman" w:cs="Times New Roman"/>
          <w:i/>
          <w:iCs/>
          <w:noProof w:val="0"/>
        </w:rPr>
        <w:t>Kaposi</w:t>
      </w:r>
      <w:r w:rsidRPr="00E07ACB">
        <w:rPr>
          <w:rFonts w:ascii="Times New Roman" w:eastAsia="Times New Roman" w:hAnsi="Times New Roman" w:cs="Times New Roman"/>
          <w:noProof w:val="0"/>
        </w:rPr>
        <w:t xml:space="preserve">] ir kt.) ir gimdos kaklelio </w:t>
      </w:r>
      <w:r w:rsidRPr="00E07ACB">
        <w:rPr>
          <w:rFonts w:ascii="Times New Roman" w:eastAsia="Times New Roman" w:hAnsi="Times New Roman" w:cs="Times New Roman"/>
          <w:i/>
          <w:noProof w:val="0"/>
        </w:rPr>
        <w:t>in situ</w:t>
      </w:r>
      <w:r w:rsidRPr="00E07ACB">
        <w:rPr>
          <w:rFonts w:ascii="Times New Roman" w:eastAsia="Times New Roman" w:hAnsi="Times New Roman" w:cs="Times New Roman"/>
          <w:noProof w:val="0"/>
        </w:rPr>
        <w:t xml:space="preserve"> vėžio, atsiradimo rizika didesnė pacientams, kurie gydomi imunosupresiniais vaistais, ypač transplantato recipientams, gaunantiems agresyvų gydymą, todėl reikia taikyti patį silpniausią veiksmingą gydymą. Padidėjusi ne Hodžkino (</w:t>
      </w:r>
      <w:r w:rsidRPr="00E07ACB">
        <w:rPr>
          <w:rFonts w:ascii="Times New Roman" w:eastAsia="Times New Roman" w:hAnsi="Times New Roman" w:cs="Times New Roman"/>
          <w:i/>
          <w:iCs/>
          <w:noProof w:val="0"/>
        </w:rPr>
        <w:t>non-Hodgkin</w:t>
      </w:r>
      <w:r w:rsidRPr="00E07ACB">
        <w:rPr>
          <w:rFonts w:ascii="Times New Roman" w:eastAsia="Times New Roman" w:hAnsi="Times New Roman" w:cs="Times New Roman"/>
          <w:noProof w:val="0"/>
        </w:rPr>
        <w:t>)  limfomų atsiradimo rizika imunosupresiniams pacientams, sergantiems reumatoidiniu artritu, palyginti su bendra populiacija, greičiausiai bent iš dalies yra susijusi su pačia liga.</w:t>
      </w:r>
    </w:p>
    <w:p w14:paraId="2CD28EF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Aprašyta retų ūminės mieloidinės leukemijos ir mielodisplazijos atvejų (kai kurie iš jų susiję su chromosomų anomalijomis).</w:t>
      </w:r>
    </w:p>
    <w:p w14:paraId="24C3798E" w14:textId="77777777" w:rsidR="00E07ACB" w:rsidRPr="00E07ACB" w:rsidRDefault="00E07ACB" w:rsidP="00E07ACB">
      <w:pPr>
        <w:spacing w:after="0" w:line="240" w:lineRule="auto"/>
        <w:rPr>
          <w:rFonts w:ascii="Times New Roman" w:eastAsia="Times New Roman" w:hAnsi="Times New Roman" w:cs="Times New Roman"/>
          <w:noProof w:val="0"/>
        </w:rPr>
      </w:pPr>
    </w:p>
    <w:p w14:paraId="7A1B1363"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Kraujo ir limfinės sistemos sutrikimai</w:t>
      </w:r>
    </w:p>
    <w:p w14:paraId="7BC3BA81"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1ED6E0E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dažni.</w:t>
      </w:r>
      <w:r w:rsidRPr="00E07ACB">
        <w:rPr>
          <w:rFonts w:ascii="Times New Roman" w:eastAsia="Times New Roman" w:hAnsi="Times New Roman" w:cs="Times New Roman"/>
          <w:noProof w:val="0"/>
        </w:rPr>
        <w:tab/>
        <w:t>Kaulų čiulpų funkcijos slopinimas, leukopenija.</w:t>
      </w:r>
    </w:p>
    <w:p w14:paraId="347F9387" w14:textId="77777777" w:rsidR="00E07ACB" w:rsidRPr="00E07ACB" w:rsidRDefault="00E07ACB" w:rsidP="00E07ACB">
      <w:pPr>
        <w:spacing w:after="0" w:line="240" w:lineRule="auto"/>
        <w:rPr>
          <w:rFonts w:ascii="Times New Roman" w:eastAsia="Times New Roman" w:hAnsi="Times New Roman" w:cs="Times New Roman"/>
          <w:noProof w:val="0"/>
        </w:rPr>
      </w:pPr>
    </w:p>
    <w:p w14:paraId="1D4B7B0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Dažni.</w:t>
      </w:r>
      <w:r w:rsidRPr="00E07ACB">
        <w:rPr>
          <w:rFonts w:ascii="Times New Roman" w:eastAsia="Times New Roman" w:hAnsi="Times New Roman" w:cs="Times New Roman"/>
          <w:noProof w:val="0"/>
        </w:rPr>
        <w:tab/>
        <w:t>Trombocitopenija.</w:t>
      </w:r>
    </w:p>
    <w:p w14:paraId="73BCC031" w14:textId="77777777" w:rsidR="00E07ACB" w:rsidRPr="00E07ACB" w:rsidRDefault="00E07ACB" w:rsidP="00E07ACB">
      <w:pPr>
        <w:spacing w:after="0" w:line="240" w:lineRule="auto"/>
        <w:rPr>
          <w:rFonts w:ascii="Times New Roman" w:eastAsia="Times New Roman" w:hAnsi="Times New Roman" w:cs="Times New Roman"/>
          <w:noProof w:val="0"/>
        </w:rPr>
      </w:pPr>
    </w:p>
    <w:p w14:paraId="2B261E86"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Nedažni.</w:t>
      </w:r>
      <w:r w:rsidRPr="00E07ACB">
        <w:rPr>
          <w:rFonts w:ascii="Times New Roman" w:eastAsia="Times New Roman" w:hAnsi="Times New Roman" w:cs="Times New Roman"/>
          <w:noProof w:val="0"/>
        </w:rPr>
        <w:tab/>
        <w:t>Anemija.</w:t>
      </w:r>
    </w:p>
    <w:p w14:paraId="706DC4EE" w14:textId="77777777" w:rsidR="00E07ACB" w:rsidRPr="00E07ACB" w:rsidRDefault="00E07ACB" w:rsidP="00E07ACB">
      <w:pPr>
        <w:spacing w:after="0" w:line="240" w:lineRule="auto"/>
        <w:rPr>
          <w:rFonts w:ascii="Times New Roman" w:eastAsia="Times New Roman" w:hAnsi="Times New Roman" w:cs="Times New Roman"/>
          <w:noProof w:val="0"/>
        </w:rPr>
      </w:pPr>
    </w:p>
    <w:p w14:paraId="3E28DEE3" w14:textId="77777777" w:rsidR="00E07ACB" w:rsidRPr="00E07ACB" w:rsidRDefault="00E07ACB" w:rsidP="00E07ACB">
      <w:pPr>
        <w:spacing w:after="0" w:line="240" w:lineRule="auto"/>
        <w:ind w:left="1276" w:hanging="1276"/>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t>Reti.</w:t>
      </w:r>
      <w:r w:rsidRPr="00E07ACB">
        <w:rPr>
          <w:rFonts w:ascii="Times New Roman" w:eastAsia="Times New Roman" w:hAnsi="Times New Roman" w:cs="Times New Roman"/>
          <w:noProof w:val="0"/>
        </w:rPr>
        <w:tab/>
        <w:t>Agranulocitozė, pancitopenija, aplazinė anemija, megaloblastinė anemija, eritroidinė hipoplazija.</w:t>
      </w:r>
    </w:p>
    <w:p w14:paraId="40FB9131" w14:textId="77777777" w:rsidR="00E07ACB" w:rsidRPr="00E07ACB" w:rsidRDefault="00E07ACB" w:rsidP="00E07ACB">
      <w:pPr>
        <w:spacing w:after="0" w:line="240" w:lineRule="auto"/>
        <w:rPr>
          <w:rFonts w:ascii="Times New Roman" w:eastAsia="Times New Roman" w:hAnsi="Times New Roman" w:cs="Times New Roman"/>
          <w:noProof w:val="0"/>
        </w:rPr>
      </w:pPr>
    </w:p>
    <w:p w14:paraId="0DFDDFC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Su azatioprinu vartojimu gali būti susijęs nuo dozės priklausomas, paprastai grįžtamas kaulų čiulpų funkcijos slopinimas, kuris dažniausiai pasireiškia leukopenija, bet kartais ir anemija, trombocitopenija, retais atvejais – agranulocitoze, pancitopenija ir aplazine anemija. Šie reiškiniai ypač būdingi pacientams, linkusiems į mielotoksiškumą, kuriems yra TPMP stoka, inkstų arba kepenų nepakankamumas, taip pat pacientams, kurie tuo pačiu metu gydomi alopurinoliu, tačiau jiems negalima sumažinti azatioprino dozės.</w:t>
      </w:r>
    </w:p>
    <w:p w14:paraId="5F7E294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Gydant azatioprinu, pasireiškia grįžtamas, su doze susijęs vidutinio eritrocito tūrio ir hemoglobino kiekio eritrocite padidėjimas. Taip pat stebėta megaloblastinių kaulų čiulpų pokyčių, tačiau sunki megaloblastinė anemija ir eritroidinė hipoplazija pasireiškia retai.</w:t>
      </w:r>
    </w:p>
    <w:p w14:paraId="0603A401" w14:textId="77777777" w:rsidR="00E07ACB" w:rsidRPr="00E07ACB" w:rsidRDefault="00E07ACB" w:rsidP="00E07ACB">
      <w:pPr>
        <w:spacing w:after="0" w:line="240" w:lineRule="auto"/>
        <w:rPr>
          <w:rFonts w:ascii="Times New Roman" w:eastAsia="Times New Roman" w:hAnsi="Times New Roman" w:cs="Times New Roman"/>
          <w:noProof w:val="0"/>
        </w:rPr>
      </w:pPr>
    </w:p>
    <w:p w14:paraId="54B767D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Imuninės sistemos sutrikimai</w:t>
      </w:r>
    </w:p>
    <w:p w14:paraId="1B17AD20"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76596E6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Nedažni. </w:t>
      </w:r>
      <w:r w:rsidRPr="00E07ACB">
        <w:rPr>
          <w:rFonts w:ascii="Times New Roman" w:eastAsia="Times New Roman" w:hAnsi="Times New Roman" w:cs="Times New Roman"/>
          <w:noProof w:val="0"/>
        </w:rPr>
        <w:tab/>
        <w:t>Padidėjusio jautrumo reakcijos.</w:t>
      </w:r>
    </w:p>
    <w:p w14:paraId="5FEE4894" w14:textId="77777777" w:rsidR="00E07ACB" w:rsidRPr="00E07ACB" w:rsidRDefault="00E07ACB" w:rsidP="00E07ACB">
      <w:pPr>
        <w:spacing w:after="0" w:line="240" w:lineRule="auto"/>
        <w:rPr>
          <w:rFonts w:ascii="Times New Roman" w:eastAsia="Times New Roman" w:hAnsi="Times New Roman" w:cs="Times New Roman"/>
          <w:noProof w:val="0"/>
        </w:rPr>
      </w:pPr>
    </w:p>
    <w:p w14:paraId="53632EB4"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t xml:space="preserve">Labai reti. </w:t>
      </w:r>
      <w:r w:rsidRPr="00E07ACB">
        <w:rPr>
          <w:rFonts w:ascii="Times New Roman" w:eastAsia="Times New Roman" w:hAnsi="Times New Roman" w:cs="Times New Roman"/>
          <w:noProof w:val="0"/>
        </w:rPr>
        <w:tab/>
        <w:t>Stivenso-Džonsono (</w:t>
      </w:r>
      <w:r w:rsidRPr="00E07ACB">
        <w:rPr>
          <w:rFonts w:ascii="Times New Roman" w:eastAsia="Times New Roman" w:hAnsi="Times New Roman" w:cs="Times New Roman"/>
          <w:i/>
          <w:iCs/>
          <w:noProof w:val="0"/>
        </w:rPr>
        <w:t>Stevens-Johnson</w:t>
      </w:r>
      <w:r w:rsidRPr="00E07ACB">
        <w:rPr>
          <w:rFonts w:ascii="Times New Roman" w:eastAsia="Times New Roman" w:hAnsi="Times New Roman" w:cs="Times New Roman"/>
          <w:noProof w:val="0"/>
        </w:rPr>
        <w:t>) sindromas bei toksinė epidermio nekrolizė [Lajelio (</w:t>
      </w:r>
      <w:r w:rsidRPr="00E07ACB">
        <w:rPr>
          <w:rFonts w:ascii="Times New Roman" w:eastAsia="Times New Roman" w:hAnsi="Times New Roman" w:cs="Times New Roman"/>
          <w:i/>
          <w:noProof w:val="0"/>
        </w:rPr>
        <w:t>Lyell</w:t>
      </w:r>
      <w:r w:rsidRPr="00E07ACB">
        <w:rPr>
          <w:rFonts w:ascii="Times New Roman" w:eastAsia="Times New Roman" w:hAnsi="Times New Roman" w:cs="Times New Roman"/>
          <w:noProof w:val="0"/>
        </w:rPr>
        <w:t>) sindromas].</w:t>
      </w:r>
    </w:p>
    <w:p w14:paraId="1F03A089" w14:textId="77777777" w:rsidR="00E07ACB" w:rsidRPr="00E07ACB" w:rsidRDefault="00E07ACB" w:rsidP="00E07ACB">
      <w:pPr>
        <w:spacing w:after="0" w:line="240" w:lineRule="auto"/>
        <w:rPr>
          <w:rFonts w:ascii="Times New Roman" w:eastAsia="Times New Roman" w:hAnsi="Times New Roman" w:cs="Times New Roman"/>
          <w:noProof w:val="0"/>
        </w:rPr>
      </w:pPr>
    </w:p>
    <w:p w14:paraId="693265E2" w14:textId="37A9EDA4"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Aprašyti keli skirtingi klinikiniai sindromai, pastebėti vartojantiesiems azatioprino. Greičiausiai tai idiosinkrazinės padidėjusio jautrumo reakcijos, kurios gali pasireikšti bendru negalavimu, svaiguliu, pykinimu, vėmimu, viduriavimu, karščiavimu, sustingimu, egzantema, bėrimu,</w:t>
      </w:r>
      <w:r w:rsidR="00296BF7">
        <w:rPr>
          <w:rFonts w:ascii="Times New Roman" w:eastAsia="Times New Roman" w:hAnsi="Times New Roman" w:cs="Times New Roman"/>
          <w:noProof w:val="0"/>
        </w:rPr>
        <w:t xml:space="preserve"> mazgine eritema,</w:t>
      </w:r>
      <w:r w:rsidRPr="00E07ACB">
        <w:rPr>
          <w:rFonts w:ascii="Times New Roman" w:eastAsia="Times New Roman" w:hAnsi="Times New Roman" w:cs="Times New Roman"/>
          <w:noProof w:val="0"/>
        </w:rPr>
        <w:t xml:space="preserve"> vaskulitu, raumenų ir sąnarių skausmais, hipotenzija, inkstų ir kepenų funkcijos sutrikimu, cholestaze (žr. </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Kepenų, tulžies pūslės ir latakų sutrikimai</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 xml:space="preserve">). </w:t>
      </w:r>
    </w:p>
    <w:p w14:paraId="4D7B7F3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Daugeliu atvejų pakartotinai išskyrus azatioprino, reiškiniai pasikartojo – taip įrodyta sąsaja su šiuo vaistu.</w:t>
      </w:r>
    </w:p>
    <w:p w14:paraId="15CB70D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Daugeliu atvejų nepageidaujamas poveikis išnykdavo iškart po azatioprino vartojimo nutraukimo ir, esant reikalui, sureguliavus kraujotaką. Aprašyta labai retų mirties atvejų, susijusių su kita sunkia liga.</w:t>
      </w:r>
    </w:p>
    <w:p w14:paraId="38B3B8A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Pastebėjus padidėjusio jautrumo reakciją į azatiopriną, kiekvienu atveju reikia atidžiai apsvarstyti, ar būtina tęsti gydymą šiuo preparatu.</w:t>
      </w:r>
    </w:p>
    <w:p w14:paraId="61BE9C87" w14:textId="77777777" w:rsidR="00E07ACB" w:rsidRPr="00E07ACB" w:rsidRDefault="00E07ACB" w:rsidP="00E07ACB">
      <w:pPr>
        <w:spacing w:after="0" w:line="240" w:lineRule="auto"/>
        <w:rPr>
          <w:rFonts w:ascii="Times New Roman" w:eastAsia="Times New Roman" w:hAnsi="Times New Roman" w:cs="Times New Roman"/>
          <w:noProof w:val="0"/>
        </w:rPr>
      </w:pPr>
    </w:p>
    <w:p w14:paraId="6887CF0B"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Kvėpavimo sistemos, krūtinės ląstos ir tarpuplaučio sutrikimai</w:t>
      </w:r>
    </w:p>
    <w:p w14:paraId="3D1EB755" w14:textId="77777777" w:rsidR="00E07ACB" w:rsidRPr="00E07ACB" w:rsidRDefault="00E07ACB" w:rsidP="00E07ACB">
      <w:pPr>
        <w:spacing w:after="0" w:line="240" w:lineRule="auto"/>
        <w:rPr>
          <w:rFonts w:ascii="Times New Roman" w:eastAsia="Times New Roman" w:hAnsi="Times New Roman" w:cs="Times New Roman"/>
          <w:noProof w:val="0"/>
        </w:rPr>
      </w:pPr>
    </w:p>
    <w:p w14:paraId="5E6C05A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reti. Grįžtamas pneumonitas.</w:t>
      </w:r>
    </w:p>
    <w:p w14:paraId="7121C656" w14:textId="77777777" w:rsidR="00E07ACB" w:rsidRPr="00E07ACB" w:rsidRDefault="00E07ACB" w:rsidP="00E07ACB">
      <w:pPr>
        <w:spacing w:after="0" w:line="240" w:lineRule="auto"/>
        <w:rPr>
          <w:rFonts w:ascii="Times New Roman" w:eastAsia="Times New Roman" w:hAnsi="Times New Roman" w:cs="Times New Roman"/>
          <w:noProof w:val="0"/>
        </w:rPr>
      </w:pPr>
    </w:p>
    <w:p w14:paraId="37C2B5F2"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lastRenderedPageBreak/>
        <w:t>Virškinimo trakto sutrikimai</w:t>
      </w:r>
    </w:p>
    <w:p w14:paraId="43CAE38C" w14:textId="77777777" w:rsidR="00E07ACB" w:rsidRPr="00E07ACB" w:rsidRDefault="00E07ACB" w:rsidP="00E07ACB">
      <w:pPr>
        <w:spacing w:after="0" w:line="240" w:lineRule="auto"/>
        <w:rPr>
          <w:rFonts w:ascii="Times New Roman" w:eastAsia="Times New Roman" w:hAnsi="Times New Roman" w:cs="Times New Roman"/>
          <w:noProof w:val="0"/>
          <w:u w:val="single"/>
        </w:rPr>
      </w:pPr>
    </w:p>
    <w:tbl>
      <w:tblPr>
        <w:tblW w:w="8490" w:type="dxa"/>
        <w:tblLook w:val="04A0" w:firstRow="1" w:lastRow="0" w:firstColumn="1" w:lastColumn="0" w:noHBand="0" w:noVBand="1"/>
      </w:tblPr>
      <w:tblGrid>
        <w:gridCol w:w="1688"/>
        <w:gridCol w:w="6802"/>
      </w:tblGrid>
      <w:tr w:rsidR="00E07ACB" w:rsidRPr="00E07ACB" w14:paraId="1F516A59" w14:textId="77777777" w:rsidTr="00E07ACB">
        <w:trPr>
          <w:trHeight w:val="315"/>
        </w:trPr>
        <w:tc>
          <w:tcPr>
            <w:tcW w:w="1688" w:type="dxa"/>
            <w:vAlign w:val="center"/>
            <w:hideMark/>
          </w:tcPr>
          <w:p w14:paraId="59885B82"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Labai dažni</w:t>
            </w:r>
          </w:p>
        </w:tc>
        <w:tc>
          <w:tcPr>
            <w:tcW w:w="6803" w:type="dxa"/>
            <w:vAlign w:val="center"/>
            <w:hideMark/>
          </w:tcPr>
          <w:p w14:paraId="5F2B6869"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Pykinimas ir anoreksija su retkarčiais pasitaikančiu vėmimu</w:t>
            </w:r>
          </w:p>
        </w:tc>
      </w:tr>
      <w:tr w:rsidR="00E07ACB" w:rsidRPr="00E07ACB" w14:paraId="6B14A2FA" w14:textId="77777777" w:rsidTr="00E07ACB">
        <w:trPr>
          <w:trHeight w:val="705"/>
        </w:trPr>
        <w:tc>
          <w:tcPr>
            <w:tcW w:w="1688" w:type="dxa"/>
            <w:vAlign w:val="center"/>
            <w:hideMark/>
          </w:tcPr>
          <w:p w14:paraId="1169A8E2"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Nedažni</w:t>
            </w:r>
          </w:p>
        </w:tc>
        <w:tc>
          <w:tcPr>
            <w:tcW w:w="6803" w:type="dxa"/>
            <w:vAlign w:val="center"/>
            <w:hideMark/>
          </w:tcPr>
          <w:p w14:paraId="1D80A3B2"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 xml:space="preserve">Pankreatitas </w:t>
            </w:r>
          </w:p>
        </w:tc>
      </w:tr>
      <w:tr w:rsidR="00E07ACB" w:rsidRPr="00E07ACB" w14:paraId="4F6DCF57" w14:textId="77777777" w:rsidTr="00E07ACB">
        <w:trPr>
          <w:trHeight w:val="549"/>
        </w:trPr>
        <w:tc>
          <w:tcPr>
            <w:tcW w:w="1688" w:type="dxa"/>
            <w:vAlign w:val="center"/>
            <w:hideMark/>
          </w:tcPr>
          <w:p w14:paraId="11BD3D52"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Reti</w:t>
            </w:r>
          </w:p>
        </w:tc>
        <w:tc>
          <w:tcPr>
            <w:tcW w:w="6803" w:type="dxa"/>
            <w:vAlign w:val="center"/>
            <w:hideMark/>
          </w:tcPr>
          <w:p w14:paraId="23E626DE" w14:textId="77777777" w:rsidR="00E07ACB" w:rsidRPr="00E07ACB" w:rsidRDefault="00E07ACB" w:rsidP="00E07ACB">
            <w:pPr>
              <w:widowControl w:val="0"/>
              <w:autoSpaceDE w:val="0"/>
              <w:autoSpaceDN w:val="0"/>
              <w:adjustRightInd w:val="0"/>
              <w:spacing w:after="0"/>
              <w:rPr>
                <w:rFonts w:ascii="Times New Roman" w:eastAsia="Times New Roman" w:hAnsi="Times New Roman" w:cs="TTE27FA328t00"/>
                <w:noProof w:val="0"/>
                <w:color w:val="000000"/>
                <w:szCs w:val="24"/>
                <w:lang w:eastAsia="de-DE"/>
              </w:rPr>
            </w:pPr>
            <w:r w:rsidRPr="00E07ACB">
              <w:rPr>
                <w:rFonts w:ascii="Times New Roman" w:eastAsia="Times New Roman" w:hAnsi="Times New Roman" w:cs="TTE27FA328t00"/>
                <w:noProof w:val="0"/>
                <w:color w:val="000000"/>
                <w:szCs w:val="24"/>
                <w:lang w:eastAsia="de-DE"/>
              </w:rPr>
              <w:t>Transplantato recipientams pasitaikė kolito, divertikulito ir žarnų perforacijos atvejų, sergantiesiems uždegiminėmis žarnų ligomis - sunkus viduriavimas</w:t>
            </w:r>
          </w:p>
        </w:tc>
      </w:tr>
    </w:tbl>
    <w:p w14:paraId="42B81B64" w14:textId="77777777" w:rsidR="00E07ACB" w:rsidRPr="00E07ACB" w:rsidRDefault="00E07ACB" w:rsidP="00E07ACB">
      <w:pPr>
        <w:spacing w:after="0" w:line="240" w:lineRule="auto"/>
        <w:rPr>
          <w:rFonts w:ascii="Times New Roman" w:eastAsia="Times New Roman" w:hAnsi="Times New Roman" w:cs="Times New Roman"/>
          <w:noProof w:val="0"/>
          <w:szCs w:val="24"/>
          <w:u w:val="single"/>
        </w:rPr>
      </w:pPr>
    </w:p>
    <w:p w14:paraId="2BFF9C8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Pirmą kartą pavartojus azatioprino, nedidelei daliai pacientų pasireiškia pykinimas. To galima išvengti, tabletes geriant po valgio.</w:t>
      </w:r>
    </w:p>
    <w:p w14:paraId="0825A32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Imunosupresiniais vaistais gydant transplantato recipientus, gali atsirasti sunkių komplikacijų, tokių kaip kolitas, divertikulitas ir žarnų perforacija. Tačiau jų priežastis nėra aiški – komplikacijas gali sukelti ir didelės kortikosteroidų dozės. Aprašyta sunkaus viduriavimo, kuris pasikartojo dar kartą skyrus vaisto, atvejų pacientams, sergantiems uždegimine žarnų liga ir gydomiems azatioprinu. </w:t>
      </w:r>
    </w:p>
    <w:p w14:paraId="26F16936" w14:textId="77777777" w:rsidR="00E07ACB" w:rsidRPr="00E07ACB" w:rsidRDefault="00E07ACB" w:rsidP="00E07ACB">
      <w:pPr>
        <w:spacing w:after="0" w:line="240" w:lineRule="auto"/>
        <w:rPr>
          <w:rFonts w:ascii="Times New Roman" w:eastAsia="Times New Roman" w:hAnsi="Times New Roman" w:cs="Times New Roman"/>
          <w:noProof w:val="0"/>
        </w:rPr>
      </w:pPr>
    </w:p>
    <w:p w14:paraId="165E062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Kai kuriems pacientams, gydomiems azatioprinu, ypač pacientams po inkstų transplantacijos ir sergantiems uždegimine žarnų liga, prasidėjo pankreatitas. Sunku susieti pankreatitą su vieno tam tikro vaistinio preparato vartojimu, tačiau kai kuriais atvejais, pakartotinai skyrus azatioprino, ši komplikacija pasikartojo.</w:t>
      </w:r>
    </w:p>
    <w:p w14:paraId="301DB45F" w14:textId="77777777" w:rsidR="00E07ACB" w:rsidRPr="00E07ACB" w:rsidRDefault="00E07ACB" w:rsidP="00E07ACB">
      <w:pPr>
        <w:spacing w:after="0" w:line="240" w:lineRule="auto"/>
        <w:rPr>
          <w:rFonts w:ascii="Times New Roman" w:eastAsia="Times New Roman" w:hAnsi="Times New Roman" w:cs="Times New Roman"/>
          <w:noProof w:val="0"/>
        </w:rPr>
      </w:pPr>
    </w:p>
    <w:p w14:paraId="7E9D6392"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Kepenų, tulžies pūslės ir latakų sutrikimai</w:t>
      </w:r>
    </w:p>
    <w:p w14:paraId="7701C7AE" w14:textId="77777777" w:rsidR="00E07ACB" w:rsidRPr="00E07ACB" w:rsidRDefault="00E07ACB" w:rsidP="00E07ACB">
      <w:pPr>
        <w:spacing w:after="0" w:line="240" w:lineRule="auto"/>
        <w:rPr>
          <w:rFonts w:ascii="Times New Roman" w:eastAsia="Times New Roman" w:hAnsi="Times New Roman" w:cs="Times New Roman"/>
          <w:noProof w:val="0"/>
        </w:rPr>
      </w:pPr>
    </w:p>
    <w:p w14:paraId="1A5650E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Nedažni. </w:t>
      </w:r>
      <w:r w:rsidRPr="00E07ACB">
        <w:rPr>
          <w:rFonts w:ascii="Times New Roman" w:eastAsia="Times New Roman" w:hAnsi="Times New Roman" w:cs="Times New Roman"/>
          <w:noProof w:val="0"/>
        </w:rPr>
        <w:tab/>
        <w:t xml:space="preserve">Cholestazė ir kepenų funkcijos sutrikimai. </w:t>
      </w:r>
    </w:p>
    <w:p w14:paraId="7C6B7188" w14:textId="77777777" w:rsidR="00E07ACB" w:rsidRPr="00E07ACB" w:rsidRDefault="00E07ACB" w:rsidP="00E07ACB">
      <w:pPr>
        <w:spacing w:after="0" w:line="240" w:lineRule="auto"/>
        <w:rPr>
          <w:rFonts w:ascii="Times New Roman" w:eastAsia="Times New Roman" w:hAnsi="Times New Roman" w:cs="Times New Roman"/>
          <w:noProof w:val="0"/>
        </w:rPr>
      </w:pPr>
    </w:p>
    <w:p w14:paraId="40EF5BA7"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t xml:space="preserve">Reti. </w:t>
      </w:r>
      <w:r w:rsidRPr="00E07ACB">
        <w:rPr>
          <w:rFonts w:ascii="Times New Roman" w:eastAsia="Times New Roman" w:hAnsi="Times New Roman" w:cs="Times New Roman"/>
          <w:noProof w:val="0"/>
        </w:rPr>
        <w:tab/>
        <w:t>Gyvybei pavojingas kepenų pažeidimas.</w:t>
      </w:r>
    </w:p>
    <w:p w14:paraId="399BE937" w14:textId="77777777" w:rsidR="00E07ACB" w:rsidRDefault="00E07ACB" w:rsidP="00E07ACB">
      <w:pPr>
        <w:spacing w:after="0" w:line="240" w:lineRule="auto"/>
        <w:rPr>
          <w:rFonts w:ascii="Times New Roman" w:eastAsia="Times New Roman" w:hAnsi="Times New Roman" w:cs="Times New Roman"/>
          <w:noProof w:val="0"/>
        </w:rPr>
      </w:pPr>
    </w:p>
    <w:p w14:paraId="7AE0C221" w14:textId="77777777" w:rsidR="00E37B21" w:rsidRDefault="00E37B21" w:rsidP="00E37B21">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u w:val="single"/>
        </w:rPr>
        <w:t>Dažnis nežinomas</w:t>
      </w:r>
      <w:r>
        <w:rPr>
          <w:rFonts w:ascii="Times New Roman" w:eastAsia="Times New Roman" w:hAnsi="Times New Roman" w:cs="Times New Roman"/>
          <w:noProof w:val="0"/>
        </w:rPr>
        <w:t>.</w:t>
      </w:r>
      <w:r w:rsidRPr="00E07ACB">
        <w:rPr>
          <w:rFonts w:ascii="Times New Roman" w:eastAsia="Times New Roman" w:hAnsi="Times New Roman" w:cs="Times New Roman"/>
          <w:noProof w:val="0"/>
        </w:rPr>
        <w:t xml:space="preserve"> </w:t>
      </w:r>
      <w:r>
        <w:rPr>
          <w:rFonts w:ascii="Times New Roman" w:eastAsia="Times New Roman" w:hAnsi="Times New Roman" w:cs="Times New Roman"/>
          <w:noProof w:val="0"/>
          <w:u w:val="single"/>
        </w:rPr>
        <w:t>N</w:t>
      </w:r>
      <w:r w:rsidRPr="00AE36CA">
        <w:rPr>
          <w:rFonts w:ascii="Times New Roman" w:eastAsia="Times New Roman" w:hAnsi="Times New Roman" w:cs="Times New Roman"/>
          <w:noProof w:val="0"/>
          <w:u w:val="single"/>
        </w:rPr>
        <w:t>ecirozinė vartų venos hipertenzija, portosinusoidinių kraujagyslių liga</w:t>
      </w:r>
      <w:r w:rsidRPr="00E07ACB">
        <w:rPr>
          <w:rFonts w:ascii="Times New Roman" w:eastAsia="Times New Roman" w:hAnsi="Times New Roman" w:cs="Times New Roman"/>
          <w:noProof w:val="0"/>
        </w:rPr>
        <w:t>.</w:t>
      </w:r>
    </w:p>
    <w:p w14:paraId="419776C3" w14:textId="77777777" w:rsidR="00E37B21" w:rsidRPr="00E07ACB" w:rsidRDefault="00E37B21" w:rsidP="00E07ACB">
      <w:pPr>
        <w:spacing w:after="0" w:line="240" w:lineRule="auto"/>
        <w:rPr>
          <w:rFonts w:ascii="Times New Roman" w:eastAsia="Times New Roman" w:hAnsi="Times New Roman" w:cs="Times New Roman"/>
          <w:noProof w:val="0"/>
        </w:rPr>
      </w:pPr>
    </w:p>
    <w:p w14:paraId="130127CC" w14:textId="77777777" w:rsidR="00D524C9" w:rsidRPr="0088739C" w:rsidRDefault="00D524C9" w:rsidP="00D524C9">
      <w:pPr>
        <w:spacing w:after="0" w:line="240" w:lineRule="auto"/>
        <w:rPr>
          <w:rFonts w:ascii="Times New Roman" w:eastAsia="Times New Roman" w:hAnsi="Times New Roman" w:cs="Times New Roman"/>
          <w:noProof w:val="0"/>
        </w:rPr>
      </w:pPr>
      <w:r w:rsidRPr="0088739C">
        <w:rPr>
          <w:rFonts w:ascii="Times New Roman" w:eastAsia="Times New Roman" w:hAnsi="Times New Roman" w:cs="Times New Roman"/>
          <w:noProof w:val="0"/>
        </w:rPr>
        <w:t xml:space="preserve">Kai kurių nepageidaujamų reakcijų aprašymas </w:t>
      </w:r>
    </w:p>
    <w:p w14:paraId="2E608AA9" w14:textId="77777777" w:rsidR="00D524C9" w:rsidRPr="0088739C" w:rsidRDefault="00D524C9" w:rsidP="00D524C9">
      <w:pPr>
        <w:spacing w:after="0" w:line="240" w:lineRule="auto"/>
        <w:rPr>
          <w:rFonts w:ascii="Times New Roman" w:eastAsia="Times New Roman" w:hAnsi="Times New Roman" w:cs="Times New Roman"/>
          <w:noProof w:val="0"/>
        </w:rPr>
      </w:pPr>
      <w:r w:rsidRPr="0088739C">
        <w:rPr>
          <w:rFonts w:ascii="Times New Roman" w:eastAsia="Times New Roman" w:hAnsi="Times New Roman" w:cs="Times New Roman"/>
          <w:noProof w:val="0"/>
        </w:rPr>
        <w:t xml:space="preserve">Kepenų, tulžies pūslės ir latakų sutrikimai </w:t>
      </w:r>
    </w:p>
    <w:p w14:paraId="4FFC9E2F" w14:textId="77777777" w:rsidR="00D524C9" w:rsidRDefault="00D524C9" w:rsidP="00E07ACB">
      <w:pPr>
        <w:spacing w:after="0" w:line="240" w:lineRule="auto"/>
        <w:rPr>
          <w:rFonts w:ascii="Times New Roman" w:eastAsia="Times New Roman" w:hAnsi="Times New Roman" w:cs="Times New Roman"/>
          <w:noProof w:val="0"/>
        </w:rPr>
      </w:pPr>
    </w:p>
    <w:p w14:paraId="2D4EAAC3" w14:textId="003C3493"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Aprašyta atvejų, kai gydant azatioprinu atsiranda cholestazė ir sutrinka kepenų veikla. Šie pokyčiai paprastai išnyksta, nutraukus vaisto vartojimą. Tai gali būti susiję su padidėjusio jautrumo reakcija (žr. </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Imuninės sistemos sutrikimai/Padidėjusio jautrumo reakcijos</w:t>
      </w:r>
      <w:r w:rsidR="00237E89">
        <w:rPr>
          <w:rFonts w:ascii="Times New Roman" w:eastAsia="Times New Roman" w:hAnsi="Times New Roman" w:cs="Times New Roman"/>
          <w:noProof w:val="0"/>
        </w:rPr>
        <w:t>“</w:t>
      </w:r>
      <w:r w:rsidRPr="00E07ACB">
        <w:rPr>
          <w:rFonts w:ascii="Times New Roman" w:eastAsia="Times New Roman" w:hAnsi="Times New Roman" w:cs="Times New Roman"/>
          <w:noProof w:val="0"/>
        </w:rPr>
        <w:t>).</w:t>
      </w:r>
    </w:p>
    <w:p w14:paraId="6B7C9080" w14:textId="77777777" w:rsidR="00E37B21" w:rsidRDefault="00E37B21" w:rsidP="00E37B21">
      <w:pPr>
        <w:spacing w:after="0" w:line="240" w:lineRule="auto"/>
        <w:rPr>
          <w:rFonts w:ascii="Times New Roman" w:eastAsia="Times New Roman" w:hAnsi="Times New Roman" w:cs="Times New Roman"/>
          <w:noProof w:val="0"/>
        </w:rPr>
      </w:pPr>
    </w:p>
    <w:p w14:paraId="61BE0AE4" w14:textId="74A68E43" w:rsidR="00E37B21" w:rsidRPr="00AE36CA" w:rsidRDefault="00E37B21" w:rsidP="00E37B21">
      <w:pPr>
        <w:spacing w:after="0" w:line="240" w:lineRule="auto"/>
        <w:rPr>
          <w:rFonts w:ascii="Times New Roman" w:eastAsia="Times New Roman" w:hAnsi="Times New Roman" w:cs="Times New Roman"/>
          <w:noProof w:val="0"/>
        </w:rPr>
      </w:pPr>
      <w:r w:rsidRPr="0088739C">
        <w:rPr>
          <w:rFonts w:ascii="Times New Roman" w:eastAsia="Times New Roman" w:hAnsi="Times New Roman" w:cs="Times New Roman"/>
          <w:noProof w:val="0"/>
        </w:rPr>
        <w:t>Pacientams, visų pirma tiems, kuriems atlikta transplantacija, nustatomas retas, bet gyvybei pavojingas kepenų pažeidimas, siejamas su ilgalaikiu azatioprino vartojimu. Atlikus histologinius tyrimus, nustatoma sinusoidų dilatacija, hepatinė peliozė, venų okliuzinė liga ir mazginė regeneracinė hiperplazija. Kai kuriais atvejais nutraukus gydymą azatioprinu kepenų histologinių tyrimų rezultatai laikinai arba visam laikui pagerėja, o simptomai palengvėja.</w:t>
      </w:r>
    </w:p>
    <w:p w14:paraId="3472281C" w14:textId="77777777" w:rsidR="00E07ACB" w:rsidRPr="00E07ACB" w:rsidRDefault="00E07ACB" w:rsidP="00E07ACB">
      <w:pPr>
        <w:spacing w:after="0" w:line="240" w:lineRule="auto"/>
        <w:rPr>
          <w:rFonts w:ascii="Times New Roman" w:eastAsia="Times New Roman" w:hAnsi="Times New Roman" w:cs="Times New Roman"/>
          <w:noProof w:val="0"/>
        </w:rPr>
      </w:pPr>
    </w:p>
    <w:p w14:paraId="1A797AD6"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Odos ir poodinio audinio sutrikimai</w:t>
      </w:r>
    </w:p>
    <w:p w14:paraId="416A3437"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2261FEF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rPr>
        <w:t xml:space="preserve">Reti. </w:t>
      </w:r>
      <w:r w:rsidRPr="00E07ACB">
        <w:rPr>
          <w:rFonts w:ascii="Times New Roman" w:eastAsia="Times New Roman" w:hAnsi="Times New Roman" w:cs="Times New Roman"/>
          <w:noProof w:val="0"/>
        </w:rPr>
        <w:tab/>
        <w:t>Alopecija.</w:t>
      </w:r>
    </w:p>
    <w:p w14:paraId="247F3388"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3EE8AE2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Pastebėta, kad kai kuriems pacientams, gydomiems azatioprinu ir kitais imunosupresiniais vaistais, nuslenka plaukai. Daugeliu atvejų tai praeina savaime, net ir tęsiant gydymą. Nežinoma, ar yra sąsaja tarp nuplikimo ir azatioprino.</w:t>
      </w:r>
    </w:p>
    <w:p w14:paraId="7F6E5F37" w14:textId="40840FD4" w:rsidR="00E07ACB" w:rsidRDefault="00E07ACB" w:rsidP="00E07ACB">
      <w:pPr>
        <w:spacing w:after="0" w:line="240" w:lineRule="auto"/>
        <w:rPr>
          <w:rFonts w:ascii="Times New Roman" w:eastAsia="Times New Roman" w:hAnsi="Times New Roman" w:cs="Times New Roman"/>
          <w:noProof w:val="0"/>
        </w:rPr>
      </w:pPr>
    </w:p>
    <w:p w14:paraId="255FFF0D" w14:textId="2ECA1DCC" w:rsidR="00BB3080" w:rsidRDefault="00AC4051" w:rsidP="00E07ACB">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Dažnis nežinomas</w:t>
      </w:r>
      <w:r w:rsidR="00BB3080">
        <w:rPr>
          <w:rFonts w:ascii="Times New Roman" w:eastAsia="Times New Roman" w:hAnsi="Times New Roman" w:cs="Times New Roman"/>
          <w:noProof w:val="0"/>
        </w:rPr>
        <w:t>.   Ūminė febrilinė neutrofilinė dermatozė (Svyto [</w:t>
      </w:r>
      <w:r w:rsidR="00BB3080" w:rsidRPr="00CA4D98">
        <w:rPr>
          <w:rFonts w:ascii="Times New Roman" w:eastAsia="Times New Roman" w:hAnsi="Times New Roman" w:cs="Times New Roman"/>
          <w:i/>
          <w:noProof w:val="0"/>
        </w:rPr>
        <w:t>Sweet</w:t>
      </w:r>
      <w:r w:rsidR="00BB3080">
        <w:rPr>
          <w:rFonts w:ascii="Times New Roman" w:eastAsia="Times New Roman" w:hAnsi="Times New Roman" w:cs="Times New Roman"/>
          <w:noProof w:val="0"/>
        </w:rPr>
        <w:t>] sindromas)</w:t>
      </w:r>
      <w:r w:rsidR="00BB3080" w:rsidRPr="00E07ACB">
        <w:rPr>
          <w:rFonts w:ascii="Times New Roman" w:eastAsia="Times New Roman" w:hAnsi="Times New Roman" w:cs="Times New Roman"/>
          <w:noProof w:val="0"/>
        </w:rPr>
        <w:t>.</w:t>
      </w:r>
    </w:p>
    <w:p w14:paraId="3DCB6F92" w14:textId="77777777" w:rsidR="00BB3080" w:rsidRPr="00E07ACB" w:rsidRDefault="00BB3080" w:rsidP="00E07ACB">
      <w:pPr>
        <w:spacing w:after="0" w:line="240" w:lineRule="auto"/>
        <w:rPr>
          <w:rFonts w:ascii="Times New Roman" w:eastAsia="Times New Roman" w:hAnsi="Times New Roman" w:cs="Times New Roman"/>
          <w:noProof w:val="0"/>
        </w:rPr>
      </w:pPr>
    </w:p>
    <w:p w14:paraId="4847B8A4"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Pranešimas apie įtariamas nepageidaujamas reakcijas</w:t>
      </w:r>
    </w:p>
    <w:p w14:paraId="02834891" w14:textId="7D86FD34" w:rsidR="00E07ACB" w:rsidRPr="00E07ACB" w:rsidRDefault="00E07ACB" w:rsidP="00E07ACB">
      <w:pPr>
        <w:autoSpaceDE w:val="0"/>
        <w:autoSpaceDN w:val="0"/>
        <w:adjustRightInd w:val="0"/>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Svarbu pranešti apie įtariamas nepageidaujamas reakcijas, pastebėtas po vaistinio preparato registracijos, nes tai leidžia nuolat stebėti vaistinio preparato naudos ir rizikos santykį. </w:t>
      </w:r>
      <w:r w:rsidR="00E37B21" w:rsidRPr="00E37B21">
        <w:rPr>
          <w:rFonts w:ascii="Times New Roman" w:hAnsi="Times New Roman" w:cs="Times New Roman"/>
        </w:rPr>
        <w:t xml:space="preserve">Sveikatos priežiūros ar farmacijos specialistai turi pranešti apie bet kokias įtariamas nepageidaujamas reakcijas, </w:t>
      </w:r>
      <w:r w:rsidR="00E37B21" w:rsidRPr="00E37B21">
        <w:rPr>
          <w:rFonts w:ascii="Times New Roman" w:hAnsi="Times New Roman" w:cs="Times New Roman"/>
        </w:rPr>
        <w:lastRenderedPageBreak/>
        <w:t xml:space="preserve">užpildę ir pateikę pranešimo formą Valstybinės vaistų kontrolės tarnybos prie Lietuvos Respublikos sveikatos apsaugos ministerijos tinklalapyje </w:t>
      </w:r>
      <w:r w:rsidR="00E37B21" w:rsidRPr="00E37B21">
        <w:rPr>
          <w:rFonts w:ascii="Times New Roman" w:hAnsi="Times New Roman" w:cs="Times New Roman"/>
          <w:u w:val="single"/>
        </w:rPr>
        <w:t>https://vvkt.lrv.lt/lt/</w:t>
      </w:r>
      <w:r w:rsidR="00E37B21" w:rsidRPr="00E37B21">
        <w:rPr>
          <w:rFonts w:ascii="Times New Roman" w:hAnsi="Times New Roman" w:cs="Times New Roman"/>
        </w:rPr>
        <w:t xml:space="preserve"> nurodytais būdais.</w:t>
      </w:r>
    </w:p>
    <w:p w14:paraId="0183A61E" w14:textId="77777777" w:rsidR="00E07ACB" w:rsidRPr="00E07ACB" w:rsidRDefault="00E07ACB" w:rsidP="00E07ACB">
      <w:pPr>
        <w:spacing w:after="0" w:line="240" w:lineRule="auto"/>
        <w:rPr>
          <w:rFonts w:ascii="Times New Roman" w:eastAsia="Times New Roman" w:hAnsi="Times New Roman" w:cs="Times New Roman"/>
          <w:noProof w:val="0"/>
        </w:rPr>
      </w:pPr>
    </w:p>
    <w:p w14:paraId="32886C4C"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4.9</w:t>
      </w:r>
      <w:r w:rsidRPr="00E07ACB">
        <w:rPr>
          <w:rFonts w:ascii="Times New Roman" w:eastAsia="Times New Roman" w:hAnsi="Times New Roman" w:cs="Times New Roman"/>
          <w:b/>
          <w:noProof w:val="0"/>
        </w:rPr>
        <w:tab/>
        <w:t>Perdozavimas</w:t>
      </w:r>
    </w:p>
    <w:p w14:paraId="36AF6E34" w14:textId="77777777" w:rsidR="00E07ACB" w:rsidRPr="00E07ACB" w:rsidRDefault="00E07ACB" w:rsidP="00E07ACB">
      <w:pPr>
        <w:spacing w:after="0" w:line="240" w:lineRule="auto"/>
        <w:rPr>
          <w:rFonts w:ascii="Times New Roman" w:eastAsia="Times New Roman" w:hAnsi="Times New Roman" w:cs="Times New Roman"/>
          <w:noProof w:val="0"/>
        </w:rPr>
      </w:pPr>
    </w:p>
    <w:p w14:paraId="03239C5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Simptomai ir požymiai</w:t>
      </w:r>
    </w:p>
    <w:p w14:paraId="083196DE" w14:textId="00E2215A"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Pagrindiniai azatioprino perdozavimo požymiai, atsirandantys dėl kaulų čiulpų funkcijos slopinimo (jis būna didžiausias, praėjus 9-14 parų), – tai neaiškios kilmės infekcija, gerklės išopėjimas, kraujosruvos ir kraujavimas. Šie požymiai dažniausiai atsiranda dėl lėtinio vaisto perdozavimo, o ne vienkartinio pernelyg didelės dozės suvartojimo. Aprašytas atvejis, kai pacientas apsinuodijo viena 7,5 g azatioprino doze. Iškart po apsinuodijimo pasireiškė tokie toksiniai reiškiniai kaip pykinimas, vėmimas ir viduriavimas, po to atsirado nesunki leukopenija ir nesunkių kepenų funkcijos sutrikimų. Galiausiai visi pokyčiai išnyko.</w:t>
      </w:r>
    </w:p>
    <w:p w14:paraId="71756D48" w14:textId="77777777" w:rsidR="00E07ACB" w:rsidRPr="00E07ACB" w:rsidRDefault="00E07ACB" w:rsidP="00E07ACB">
      <w:pPr>
        <w:spacing w:after="0" w:line="240" w:lineRule="auto"/>
        <w:rPr>
          <w:rFonts w:ascii="Times New Roman" w:eastAsia="Times New Roman" w:hAnsi="Times New Roman" w:cs="Times New Roman"/>
          <w:noProof w:val="0"/>
        </w:rPr>
      </w:pPr>
    </w:p>
    <w:p w14:paraId="40EE618D"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Gydymas</w:t>
      </w:r>
    </w:p>
    <w:p w14:paraId="1421394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Specifinio azatioprino priešnuodžio nėra. Būtina išplauti skrandį, po to stebėti paciento būklę, įskaitant kraujo pokyčius, kad būtų galima tinkamai gydyti bet kokius atsiradusius nepageidaujamus reiškinius. Nežinoma, ar verta dializuoti ligonį, perdozavusį azatioprino, nors azatioprinas iš dalies pašalinamas dializės būdu.</w:t>
      </w:r>
    </w:p>
    <w:p w14:paraId="599E8D6A" w14:textId="77777777" w:rsidR="00E07ACB" w:rsidRPr="00E07ACB" w:rsidRDefault="00E07ACB" w:rsidP="00E07ACB">
      <w:pPr>
        <w:spacing w:after="0" w:line="240" w:lineRule="auto"/>
        <w:rPr>
          <w:rFonts w:ascii="Times New Roman" w:eastAsia="Times New Roman" w:hAnsi="Times New Roman" w:cs="Times New Roman"/>
          <w:noProof w:val="0"/>
        </w:rPr>
      </w:pPr>
    </w:p>
    <w:p w14:paraId="32A3FFB0" w14:textId="77777777" w:rsidR="00E07ACB" w:rsidRPr="00E07ACB" w:rsidRDefault="00E07ACB" w:rsidP="00E07ACB">
      <w:pPr>
        <w:spacing w:after="0" w:line="240" w:lineRule="auto"/>
        <w:rPr>
          <w:rFonts w:ascii="Times New Roman" w:eastAsia="Times New Roman" w:hAnsi="Times New Roman" w:cs="Times New Roman"/>
          <w:noProof w:val="0"/>
        </w:rPr>
      </w:pPr>
    </w:p>
    <w:p w14:paraId="5894D72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w:t>
      </w:r>
      <w:r w:rsidRPr="00E07ACB">
        <w:rPr>
          <w:rFonts w:ascii="Times New Roman" w:eastAsia="Times New Roman" w:hAnsi="Times New Roman" w:cs="Times New Roman"/>
          <w:b/>
          <w:noProof w:val="0"/>
        </w:rPr>
        <w:tab/>
        <w:t xml:space="preserve">FARMAKOLOGINĖS </w:t>
      </w:r>
      <w:r w:rsidRPr="00E07ACB">
        <w:rPr>
          <w:rFonts w:ascii="Times New Roman" w:eastAsia="Times New Roman" w:hAnsi="Times New Roman" w:cs="Times New Roman"/>
          <w:b/>
          <w:caps/>
          <w:noProof w:val="0"/>
        </w:rPr>
        <w:t>savybės</w:t>
      </w:r>
    </w:p>
    <w:p w14:paraId="610EF9AA" w14:textId="77777777" w:rsidR="00E07ACB" w:rsidRPr="00E07ACB" w:rsidRDefault="00E07ACB" w:rsidP="00E07ACB">
      <w:pPr>
        <w:spacing w:after="0" w:line="240" w:lineRule="auto"/>
        <w:rPr>
          <w:rFonts w:ascii="Times New Roman" w:eastAsia="Times New Roman" w:hAnsi="Times New Roman" w:cs="Times New Roman"/>
          <w:noProof w:val="0"/>
        </w:rPr>
      </w:pPr>
    </w:p>
    <w:p w14:paraId="168CCA5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5.1</w:t>
      </w:r>
      <w:r w:rsidRPr="00E07ACB">
        <w:rPr>
          <w:rFonts w:ascii="Times New Roman" w:eastAsia="Times New Roman" w:hAnsi="Times New Roman" w:cs="Times New Roman"/>
          <w:b/>
          <w:noProof w:val="0"/>
        </w:rPr>
        <w:tab/>
        <w:t>Farmakodinaminės savybės</w:t>
      </w:r>
    </w:p>
    <w:p w14:paraId="323A8448" w14:textId="77777777" w:rsidR="00E07ACB" w:rsidRPr="00E07ACB" w:rsidRDefault="00E07ACB" w:rsidP="00E07ACB">
      <w:pPr>
        <w:spacing w:after="0" w:line="240" w:lineRule="auto"/>
        <w:rPr>
          <w:rFonts w:ascii="Times New Roman" w:eastAsia="Times New Roman" w:hAnsi="Times New Roman" w:cs="Times New Roman"/>
          <w:noProof w:val="0"/>
        </w:rPr>
      </w:pPr>
    </w:p>
    <w:p w14:paraId="09F1857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Farmakoterapinė grupė – kiti imunosupresantai, ATC kodas – L04AX01.</w:t>
      </w:r>
    </w:p>
    <w:p w14:paraId="119AE341" w14:textId="77777777" w:rsidR="00E07ACB" w:rsidRPr="00E07ACB" w:rsidRDefault="00E07ACB" w:rsidP="00E07ACB">
      <w:pPr>
        <w:spacing w:after="0" w:line="240" w:lineRule="auto"/>
        <w:rPr>
          <w:rFonts w:ascii="Times New Roman" w:eastAsia="Times New Roman" w:hAnsi="Times New Roman" w:cs="Times New Roman"/>
          <w:noProof w:val="0"/>
        </w:rPr>
      </w:pPr>
    </w:p>
    <w:p w14:paraId="7E0CFC1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Azatioprinas yra 6-merkaptopurino (6-MP) imidazolo darinys. </w:t>
      </w:r>
      <w:r w:rsidRPr="00E07ACB">
        <w:rPr>
          <w:rFonts w:ascii="Times New Roman" w:eastAsia="Times New Roman" w:hAnsi="Times New Roman" w:cs="Times New Roman"/>
          <w:i/>
          <w:noProof w:val="0"/>
        </w:rPr>
        <w:t>In vivo</w:t>
      </w:r>
      <w:r w:rsidRPr="00E07ACB">
        <w:rPr>
          <w:rFonts w:ascii="Times New Roman" w:eastAsia="Times New Roman" w:hAnsi="Times New Roman" w:cs="Times New Roman"/>
          <w:noProof w:val="0"/>
        </w:rPr>
        <w:t xml:space="preserve"> jis greitai skaldomas į 6-MP ir 1-metil-4-nitro-5-tioimidazolą.</w:t>
      </w:r>
    </w:p>
    <w:p w14:paraId="5330097F" w14:textId="77777777" w:rsidR="00E07ACB" w:rsidRPr="00E07ACB" w:rsidRDefault="00E07ACB" w:rsidP="00E07ACB">
      <w:pPr>
        <w:spacing w:after="0" w:line="240" w:lineRule="auto"/>
        <w:rPr>
          <w:rFonts w:ascii="Times New Roman" w:eastAsia="Times New Roman" w:hAnsi="Times New Roman" w:cs="Times New Roman"/>
          <w:noProof w:val="0"/>
        </w:rPr>
      </w:pPr>
    </w:p>
    <w:p w14:paraId="74E932D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6-MP lengvai prasiskverbia per ląstelės membraną ir ląstelėse verčiamas įvairiais purino tioanalogais, tarp kurių yra svarbiausias aktyvus nukleotidas tioinozino rūgštis. Šių virsmų greitis kiekvienam asmeniui skirtingas. Nukleotidai ląstelių membranų nepereina, todėl organizmo skysčiuose necirkuliuoja. Nepaisant to, ar 6-MP patenka į organizmą tiesiogiai, ar </w:t>
      </w:r>
      <w:r w:rsidRPr="00E07ACB">
        <w:rPr>
          <w:rFonts w:ascii="Times New Roman" w:eastAsia="Times New Roman" w:hAnsi="Times New Roman" w:cs="Times New Roman"/>
          <w:i/>
          <w:noProof w:val="0"/>
        </w:rPr>
        <w:t>in vivo</w:t>
      </w:r>
      <w:r w:rsidRPr="00E07ACB">
        <w:rPr>
          <w:rFonts w:ascii="Times New Roman" w:eastAsia="Times New Roman" w:hAnsi="Times New Roman" w:cs="Times New Roman"/>
          <w:noProof w:val="0"/>
        </w:rPr>
        <w:t xml:space="preserve"> susidaro iš azatioprino, jo didžioji dalis pašalinama neaktyvaus oksiduoto metabolito – tiokarbamido rūgšties – pavidalu. Šią oksidacijos reakciją skatina ksantinoksidazė - fermentas, kurį slopina alopurinolis. Metilnitroimidazolo aktyvumas nėra aiškiai apibrėžtas, tačiau panašu, jog kai kuriose sistemose jis keičia azatioprino aktyvumą, lyginant su 6-MP aktyvumu. Azatioprino ar 6-MP koncentracijos plazmoje nustatymas neturi prognostinės vertės, vertinant šių junginių veiksmingumą ar toksiškumą.</w:t>
      </w:r>
    </w:p>
    <w:p w14:paraId="314F420F" w14:textId="77777777" w:rsidR="00E07ACB" w:rsidRPr="00E07ACB" w:rsidRDefault="00E07ACB" w:rsidP="00E07ACB">
      <w:pPr>
        <w:spacing w:after="0" w:line="240" w:lineRule="auto"/>
        <w:rPr>
          <w:rFonts w:ascii="Times New Roman" w:eastAsia="Times New Roman" w:hAnsi="Times New Roman" w:cs="Times New Roman"/>
          <w:noProof w:val="0"/>
        </w:rPr>
      </w:pPr>
    </w:p>
    <w:p w14:paraId="48A613E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Azatioprinas veikia imunologinę reakciją ir naviko augimą. Svarbiausias jo poveikis </w:t>
      </w:r>
      <w:r w:rsidRPr="00E07ACB">
        <w:rPr>
          <w:rFonts w:ascii="Times New Roman" w:eastAsia="Times New Roman" w:hAnsi="Times New Roman" w:cs="Times New Roman"/>
          <w:noProof w:val="0"/>
        </w:rPr>
        <w:sym w:font="Symbol" w:char="F02D"/>
      </w:r>
      <w:r w:rsidRPr="00E07ACB">
        <w:rPr>
          <w:rFonts w:ascii="Times New Roman" w:eastAsia="Times New Roman" w:hAnsi="Times New Roman" w:cs="Times New Roman"/>
          <w:noProof w:val="0"/>
        </w:rPr>
        <w:t xml:space="preserve"> imunologinio atsako slopinimas. Tikslus šio poveikio būdas neaiškus, tačiau gali būti įtrauktas žemiau išvardytas poveikis.</w:t>
      </w:r>
    </w:p>
    <w:p w14:paraId="2655CE86" w14:textId="77777777" w:rsidR="00E07ACB" w:rsidRPr="00E07ACB" w:rsidRDefault="00E07ACB" w:rsidP="00E07ACB">
      <w:pPr>
        <w:numPr>
          <w:ilvl w:val="0"/>
          <w:numId w:val="10"/>
        </w:numPr>
        <w:tabs>
          <w:tab w:val="num" w:pos="567"/>
        </w:tabs>
        <w:spacing w:after="0" w:line="240" w:lineRule="auto"/>
        <w:ind w:hanging="108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Purino antimetabolito 6-MP atpalaidavimas.</w:t>
      </w:r>
    </w:p>
    <w:p w14:paraId="44E0A31A" w14:textId="77777777" w:rsidR="00E07ACB" w:rsidRPr="00E07ACB" w:rsidRDefault="00E07ACB" w:rsidP="00E07ACB">
      <w:pPr>
        <w:numPr>
          <w:ilvl w:val="0"/>
          <w:numId w:val="10"/>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-SH grupių blokada alkilinimo metu.</w:t>
      </w:r>
    </w:p>
    <w:p w14:paraId="78DDEDAA" w14:textId="77777777" w:rsidR="00E07ACB" w:rsidRPr="00E07ACB" w:rsidRDefault="00E07ACB" w:rsidP="00E07ACB">
      <w:pPr>
        <w:numPr>
          <w:ilvl w:val="0"/>
          <w:numId w:val="10"/>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Daugelio nukleorūgščių sintezės grandžių blokavimas, todėl imunologinį atsaką medijuojančių ląstelių (B ir T limfocitų) proliferacijos ir aktyvumo slopinimas.</w:t>
      </w:r>
    </w:p>
    <w:p w14:paraId="74F38F10" w14:textId="77777777" w:rsidR="00E07ACB" w:rsidRPr="00E07ACB" w:rsidRDefault="00E07ACB" w:rsidP="00E07ACB">
      <w:pPr>
        <w:numPr>
          <w:ilvl w:val="0"/>
          <w:numId w:val="10"/>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Dezoksiribonukleino rūgšties (DNR) pažaida dėl purino tioanalogų įtraukimo. </w:t>
      </w:r>
    </w:p>
    <w:p w14:paraId="3EC43FD7" w14:textId="77777777" w:rsidR="00E07ACB" w:rsidRPr="00E07ACB" w:rsidRDefault="00E07ACB" w:rsidP="00E07ACB">
      <w:pPr>
        <w:spacing w:after="0" w:line="240" w:lineRule="auto"/>
        <w:rPr>
          <w:rFonts w:ascii="Times New Roman" w:eastAsia="Times New Roman" w:hAnsi="Times New Roman" w:cs="Times New Roman"/>
          <w:noProof w:val="0"/>
        </w:rPr>
      </w:pPr>
    </w:p>
    <w:p w14:paraId="09D1EBA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5.2</w:t>
      </w:r>
      <w:r w:rsidRPr="00E07ACB">
        <w:rPr>
          <w:rFonts w:ascii="Times New Roman" w:eastAsia="Times New Roman" w:hAnsi="Times New Roman" w:cs="Times New Roman"/>
          <w:b/>
          <w:noProof w:val="0"/>
        </w:rPr>
        <w:tab/>
        <w:t>Farmakokinetinės savybės</w:t>
      </w:r>
    </w:p>
    <w:p w14:paraId="554A499F" w14:textId="77777777" w:rsidR="00E07ACB" w:rsidRPr="00E07ACB" w:rsidRDefault="00E07ACB" w:rsidP="00E07ACB">
      <w:pPr>
        <w:spacing w:after="0" w:line="240" w:lineRule="auto"/>
        <w:rPr>
          <w:rFonts w:ascii="Times New Roman" w:eastAsia="Times New Roman" w:hAnsi="Times New Roman" w:cs="Times New Roman"/>
          <w:b/>
          <w:noProof w:val="0"/>
          <w:szCs w:val="24"/>
        </w:rPr>
      </w:pPr>
    </w:p>
    <w:p w14:paraId="1DF73E71"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Absorbcija</w:t>
      </w:r>
    </w:p>
    <w:p w14:paraId="31233B2F" w14:textId="77777777" w:rsidR="00E07ACB" w:rsidRPr="00E07ACB" w:rsidRDefault="00E07ACB" w:rsidP="00E07ACB">
      <w:pPr>
        <w:spacing w:after="0" w:line="240" w:lineRule="auto"/>
        <w:rPr>
          <w:rFonts w:ascii="Times New Roman" w:eastAsia="Times New Roman" w:hAnsi="Times New Roman" w:cs="Times New Roman"/>
          <w:noProof w:val="0"/>
        </w:rPr>
      </w:pPr>
    </w:p>
    <w:p w14:paraId="2FA2548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Išgertas azatioprinas absorbuojamas gerai, didžiausia koncentracija kraujo plazmoje atsiranda po 1 –2 val. </w:t>
      </w:r>
    </w:p>
    <w:p w14:paraId="019108A6"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340580BA"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Pasiskirstymas</w:t>
      </w:r>
    </w:p>
    <w:p w14:paraId="522830CB"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6AE4BD30" w14:textId="18C82C5C"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Organizme pasiskirsto greitai. Pusinė eliminacija kraujo plazmoje trunka 3 – 5 val. Prie kraujo plazmos baltymų prisijungia tik 30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azatioprino, 12,5</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patenka į smegenų skystį.</w:t>
      </w:r>
    </w:p>
    <w:p w14:paraId="643AD013" w14:textId="77777777" w:rsidR="00E07ACB" w:rsidRPr="00E07ACB" w:rsidRDefault="00E07ACB" w:rsidP="00E07ACB">
      <w:pPr>
        <w:spacing w:after="0" w:line="240" w:lineRule="auto"/>
        <w:rPr>
          <w:rFonts w:ascii="Times New Roman" w:eastAsia="Times New Roman" w:hAnsi="Times New Roman" w:cs="Times New Roman"/>
          <w:noProof w:val="0"/>
        </w:rPr>
      </w:pPr>
    </w:p>
    <w:p w14:paraId="3F4D49A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u w:val="single"/>
        </w:rPr>
        <w:t>Biotransformacija</w:t>
      </w:r>
    </w:p>
    <w:p w14:paraId="130EB8CD" w14:textId="77777777" w:rsidR="00E07ACB" w:rsidRPr="00E07ACB" w:rsidRDefault="00E07ACB" w:rsidP="00E07ACB">
      <w:pPr>
        <w:spacing w:after="0" w:line="240" w:lineRule="auto"/>
        <w:rPr>
          <w:rFonts w:ascii="Times New Roman" w:eastAsia="Times New Roman" w:hAnsi="Times New Roman" w:cs="Times New Roman"/>
          <w:noProof w:val="0"/>
        </w:rPr>
      </w:pPr>
    </w:p>
    <w:p w14:paraId="36D447F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Daug azatioprino metabolizuojama į 6-tioinozino rūgštį ir metilmerkaptopurino ribonukleotidą, nuo kurio iš dalies priklauso vaistinio preparato poveikis.</w:t>
      </w:r>
    </w:p>
    <w:p w14:paraId="08DACBF8" w14:textId="77777777" w:rsidR="00E07ACB" w:rsidRPr="00E07ACB" w:rsidRDefault="00E07ACB" w:rsidP="00E07ACB">
      <w:pPr>
        <w:spacing w:after="0" w:line="240" w:lineRule="auto"/>
        <w:rPr>
          <w:rFonts w:ascii="Times New Roman" w:eastAsia="Times New Roman" w:hAnsi="Times New Roman" w:cs="Times New Roman"/>
          <w:noProof w:val="0"/>
        </w:rPr>
      </w:pPr>
    </w:p>
    <w:p w14:paraId="4CCFA3C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i/>
          <w:noProof w:val="0"/>
        </w:rPr>
        <w:t>In vivo</w:t>
      </w:r>
      <w:r w:rsidRPr="00E07ACB">
        <w:rPr>
          <w:rFonts w:ascii="Times New Roman" w:eastAsia="Times New Roman" w:hAnsi="Times New Roman" w:cs="Times New Roman"/>
          <w:noProof w:val="0"/>
        </w:rPr>
        <w:t xml:space="preserve"> veikimas yra sudėtingas dėl metilnitroimidazolo, kurio irgi atsiranda, poveikio.  </w:t>
      </w:r>
    </w:p>
    <w:p w14:paraId="54CA524B" w14:textId="77777777" w:rsidR="00E07ACB" w:rsidRPr="00E07ACB" w:rsidRDefault="00E07ACB" w:rsidP="00E07ACB">
      <w:pPr>
        <w:spacing w:after="0" w:line="240" w:lineRule="auto"/>
        <w:rPr>
          <w:rFonts w:ascii="Times New Roman" w:eastAsia="Times New Roman" w:hAnsi="Times New Roman" w:cs="Times New Roman"/>
          <w:noProof w:val="0"/>
        </w:rPr>
      </w:pPr>
    </w:p>
    <w:p w14:paraId="70C3FB02" w14:textId="77777777" w:rsidR="00E07ACB" w:rsidRPr="00E07ACB" w:rsidRDefault="00E07ACB" w:rsidP="00E07ACB">
      <w:pPr>
        <w:keepNext/>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Eliminacija</w:t>
      </w:r>
    </w:p>
    <w:p w14:paraId="29816DEB" w14:textId="77777777" w:rsidR="00E07ACB" w:rsidRPr="00E07ACB" w:rsidRDefault="00E07ACB" w:rsidP="00E07ACB">
      <w:pPr>
        <w:keepNext/>
        <w:spacing w:after="0" w:line="240" w:lineRule="auto"/>
        <w:rPr>
          <w:rFonts w:ascii="Times New Roman" w:eastAsia="Times New Roman" w:hAnsi="Times New Roman" w:cs="Times New Roman"/>
          <w:noProof w:val="0"/>
        </w:rPr>
      </w:pPr>
    </w:p>
    <w:p w14:paraId="6562A351" w14:textId="28AEE800" w:rsidR="00E07ACB" w:rsidRPr="00E07ACB" w:rsidRDefault="00E07ACB" w:rsidP="00E07ACB">
      <w:pPr>
        <w:keepNext/>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Maždaug 50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dozės iš organizmo išsiskiria su šlapimu per pirmas 24 val. po pavartojimo. 10</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to kiekio išsiskiria nepakitusio preparato pavidalu. Su išmatomis per 48 val. išsiskiria tik 12,6</w:t>
      </w:r>
      <w:r w:rsidR="00237E89">
        <w:rPr>
          <w:rFonts w:ascii="Times New Roman" w:eastAsia="Times New Roman" w:hAnsi="Times New Roman" w:cs="Times New Roman"/>
          <w:noProof w:val="0"/>
        </w:rPr>
        <w:t> </w:t>
      </w:r>
      <w:r w:rsidRPr="00E07ACB">
        <w:rPr>
          <w:rFonts w:ascii="Times New Roman" w:eastAsia="Times New Roman" w:hAnsi="Times New Roman" w:cs="Times New Roman"/>
          <w:noProof w:val="0"/>
        </w:rPr>
        <w:sym w:font="Symbol" w:char="F025"/>
      </w:r>
      <w:r w:rsidRPr="00E07ACB">
        <w:rPr>
          <w:rFonts w:ascii="Times New Roman" w:eastAsia="Times New Roman" w:hAnsi="Times New Roman" w:cs="Times New Roman"/>
          <w:noProof w:val="0"/>
        </w:rPr>
        <w:t xml:space="preserve"> dozės. </w:t>
      </w:r>
    </w:p>
    <w:p w14:paraId="1420373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Kad preparato patektų į kepenų ir žarnyno kraujotakos ratą, įrodymų nėra.</w:t>
      </w:r>
    </w:p>
    <w:p w14:paraId="32F20155"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0929EC01"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Ypatingos populiacijos</w:t>
      </w:r>
    </w:p>
    <w:p w14:paraId="284F98D7"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10A7259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Pacientams, kurių inkstų funkcija susilpnėjusi, gali reikėti mažesnės dozės, tikriausiai dėl aktyvaus azatioprino metabolito eliminacijos sumažėjimo. </w:t>
      </w:r>
    </w:p>
    <w:p w14:paraId="775A794E" w14:textId="77777777" w:rsidR="00E07ACB" w:rsidRPr="00E07ACB" w:rsidRDefault="00E07ACB" w:rsidP="00E07ACB">
      <w:pPr>
        <w:spacing w:after="0" w:line="240" w:lineRule="auto"/>
        <w:rPr>
          <w:rFonts w:ascii="Times New Roman" w:eastAsia="Times New Roman" w:hAnsi="Times New Roman" w:cs="Times New Roman"/>
          <w:noProof w:val="0"/>
        </w:rPr>
      </w:pPr>
    </w:p>
    <w:p w14:paraId="64ECA8E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Pacientų, kurių kepenų funkcija sutrikusi, organizme azatioprino metabolizmas pakinta: sumažėja virtimas veiklia forma ir ypač sumažėja skaldymas į eliminuojamus metabolitus (žr. 4.2 ir 4.4 skyrius). </w:t>
      </w:r>
    </w:p>
    <w:p w14:paraId="6618CAFC" w14:textId="77777777" w:rsidR="00E07ACB" w:rsidRPr="00E07ACB" w:rsidRDefault="00E07ACB" w:rsidP="00E07ACB">
      <w:pPr>
        <w:spacing w:after="0" w:line="240" w:lineRule="auto"/>
        <w:rPr>
          <w:rFonts w:ascii="Times New Roman" w:eastAsia="Times New Roman" w:hAnsi="Times New Roman" w:cs="Times New Roman"/>
          <w:noProof w:val="0"/>
        </w:rPr>
      </w:pPr>
    </w:p>
    <w:p w14:paraId="6030054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Azatioprino metabolito merkaptopurino rasta azatioprinu gydomų moterų priešpienyje ir piene. </w:t>
      </w:r>
    </w:p>
    <w:p w14:paraId="2D48606C" w14:textId="77777777" w:rsidR="00E07ACB" w:rsidRPr="00E07ACB" w:rsidRDefault="00E07ACB" w:rsidP="00E07ACB">
      <w:pPr>
        <w:spacing w:after="0" w:line="240" w:lineRule="auto"/>
        <w:rPr>
          <w:rFonts w:ascii="Times New Roman" w:eastAsia="Times New Roman" w:hAnsi="Times New Roman" w:cs="Times New Roman"/>
          <w:noProof w:val="0"/>
        </w:rPr>
      </w:pPr>
    </w:p>
    <w:p w14:paraId="4CA7D5F7"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5.3</w:t>
      </w:r>
      <w:r w:rsidRPr="00E07ACB">
        <w:rPr>
          <w:rFonts w:ascii="Times New Roman" w:eastAsia="Times New Roman" w:hAnsi="Times New Roman" w:cs="Times New Roman"/>
          <w:b/>
          <w:noProof w:val="0"/>
        </w:rPr>
        <w:tab/>
        <w:t>Ikiklinikinių saugumo tyrimų duomenys</w:t>
      </w:r>
    </w:p>
    <w:p w14:paraId="5DC8508D" w14:textId="77777777" w:rsidR="00E07ACB" w:rsidRPr="00E07ACB" w:rsidRDefault="00E07ACB" w:rsidP="00E07ACB">
      <w:pPr>
        <w:spacing w:after="0" w:line="240" w:lineRule="auto"/>
        <w:rPr>
          <w:rFonts w:ascii="Times New Roman" w:eastAsia="Times New Roman" w:hAnsi="Times New Roman" w:cs="Times New Roman"/>
          <w:noProof w:val="0"/>
        </w:rPr>
      </w:pPr>
    </w:p>
    <w:p w14:paraId="68C719A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Tyrimų metu įvairių rūšių gyvūnams, kurių jautrumas skirtingas, azatioprinas darė teratogeninį ir embrioletalinį poveikį. Triušių patelėms, 6 – 14 vaikingumo parą vartojusioms 5 – 15 mg/kg kūno svorio paros dozė, vaisiui atsirado skeleto sklaidos trūkumų. Pelėms ir žiurkėms 3 – 12 vaikingumo parą vartojamos 1 – 2 mg/kg kūno svorio paros dozės darė letalinį poveikį embrionui. </w:t>
      </w:r>
    </w:p>
    <w:p w14:paraId="3930BD44" w14:textId="77777777" w:rsidR="00E07ACB" w:rsidRPr="00E07ACB" w:rsidRDefault="00E07ACB" w:rsidP="00E07ACB">
      <w:pPr>
        <w:spacing w:after="0" w:line="240" w:lineRule="auto"/>
        <w:rPr>
          <w:rFonts w:ascii="Times New Roman" w:eastAsia="Times New Roman" w:hAnsi="Times New Roman" w:cs="Times New Roman"/>
          <w:noProof w:val="0"/>
        </w:rPr>
      </w:pPr>
    </w:p>
    <w:p w14:paraId="1DD9B51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Įvairių tyrimų </w:t>
      </w:r>
      <w:r w:rsidRPr="00E07ACB">
        <w:rPr>
          <w:rFonts w:ascii="Times New Roman" w:eastAsia="Times New Roman" w:hAnsi="Times New Roman" w:cs="Times New Roman"/>
          <w:i/>
          <w:noProof w:val="0"/>
        </w:rPr>
        <w:t xml:space="preserve">in vitro </w:t>
      </w:r>
      <w:r w:rsidRPr="00E07ACB">
        <w:rPr>
          <w:rFonts w:ascii="Times New Roman" w:eastAsia="Times New Roman" w:hAnsi="Times New Roman" w:cs="Times New Roman"/>
          <w:noProof w:val="0"/>
        </w:rPr>
        <w:t xml:space="preserve">ir genotoksinio poveikio tyrimų </w:t>
      </w:r>
      <w:r w:rsidRPr="00E07ACB">
        <w:rPr>
          <w:rFonts w:ascii="Times New Roman" w:eastAsia="Times New Roman" w:hAnsi="Times New Roman" w:cs="Times New Roman"/>
          <w:i/>
          <w:noProof w:val="0"/>
        </w:rPr>
        <w:t xml:space="preserve">in vivo </w:t>
      </w:r>
      <w:r w:rsidRPr="00E07ACB">
        <w:rPr>
          <w:rFonts w:ascii="Times New Roman" w:eastAsia="Times New Roman" w:hAnsi="Times New Roman" w:cs="Times New Roman"/>
          <w:noProof w:val="0"/>
        </w:rPr>
        <w:t xml:space="preserve">metu azatioprinas sukėlė mutageninį poveikį. </w:t>
      </w:r>
    </w:p>
    <w:p w14:paraId="44060A74" w14:textId="77777777" w:rsidR="00E07ACB" w:rsidRPr="00E07ACB" w:rsidRDefault="00E07ACB" w:rsidP="00E07ACB">
      <w:pPr>
        <w:spacing w:after="0" w:line="240" w:lineRule="auto"/>
        <w:rPr>
          <w:rFonts w:ascii="Times New Roman" w:eastAsia="Times New Roman" w:hAnsi="Times New Roman" w:cs="Times New Roman"/>
          <w:noProof w:val="0"/>
        </w:rPr>
      </w:pPr>
    </w:p>
    <w:p w14:paraId="36CBD3B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Ilgalaikių kancerogeninio poveikio tyrimų metu nuo tokių azatioprino dozių, kurios yra iki 2 kartų didesnės už terapinę dozę, rekomenduojamą vartoti žmogui, pelėms padidėjo limfosarkomos, žiurkėms </w:t>
      </w:r>
      <w:r w:rsidRPr="00E07ACB">
        <w:rPr>
          <w:rFonts w:ascii="Times New Roman" w:eastAsia="Times New Roman" w:hAnsi="Times New Roman" w:cs="Times New Roman"/>
          <w:noProof w:val="0"/>
        </w:rPr>
        <w:sym w:font="Symbol" w:char="F02D"/>
      </w:r>
      <w:r w:rsidRPr="00E07ACB">
        <w:rPr>
          <w:rFonts w:ascii="Times New Roman" w:eastAsia="Times New Roman" w:hAnsi="Times New Roman" w:cs="Times New Roman"/>
          <w:noProof w:val="0"/>
        </w:rPr>
        <w:t xml:space="preserve"> epitelinių navikų bei karcinomos dažnis. </w:t>
      </w:r>
    </w:p>
    <w:p w14:paraId="4485E993"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p>
    <w:p w14:paraId="605E7AED" w14:textId="77777777" w:rsidR="00E07ACB" w:rsidRPr="00E07ACB" w:rsidRDefault="00E07ACB" w:rsidP="00E07ACB">
      <w:pPr>
        <w:keepNext/>
        <w:tabs>
          <w:tab w:val="left" w:pos="567"/>
        </w:tabs>
        <w:spacing w:after="0" w:line="240" w:lineRule="auto"/>
        <w:ind w:left="567" w:hanging="567"/>
        <w:outlineLvl w:val="1"/>
        <w:rPr>
          <w:rFonts w:ascii="Times New Roman" w:eastAsia="Times New Roman" w:hAnsi="Times New Roman" w:cs="Times New Roman"/>
          <w:b/>
          <w:noProof w:val="0"/>
        </w:rPr>
      </w:pPr>
    </w:p>
    <w:p w14:paraId="239EBDBA"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6.</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farmacinė informacija</w:t>
      </w:r>
    </w:p>
    <w:p w14:paraId="1BE1441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BFCFC3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6.1</w:t>
      </w:r>
      <w:r w:rsidRPr="00E07ACB">
        <w:rPr>
          <w:rFonts w:ascii="Times New Roman" w:eastAsia="Times New Roman" w:hAnsi="Times New Roman" w:cs="Times New Roman"/>
          <w:b/>
          <w:noProof w:val="0"/>
        </w:rPr>
        <w:tab/>
        <w:t>Pagalbinių medžiagų sąrašas</w:t>
      </w:r>
    </w:p>
    <w:p w14:paraId="2363D099"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47464D88"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u w:val="single"/>
        </w:rPr>
      </w:pPr>
      <w:r w:rsidRPr="00E07ACB">
        <w:rPr>
          <w:rFonts w:ascii="Times New Roman" w:eastAsia="Times New Roman" w:hAnsi="Times New Roman" w:cs="Times New Roman"/>
          <w:iCs/>
          <w:noProof w:val="0"/>
          <w:u w:val="single"/>
        </w:rPr>
        <w:t>Tabletės branduolys</w:t>
      </w:r>
    </w:p>
    <w:p w14:paraId="6F192CFA"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Laktozė monohidratas</w:t>
      </w:r>
    </w:p>
    <w:p w14:paraId="33DF531B"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Mikrokristalinė celiuliozė</w:t>
      </w:r>
    </w:p>
    <w:p w14:paraId="1983F606"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Karboksimetilkrakmolo A natrio druska (Ph.Eur.)</w:t>
      </w:r>
    </w:p>
    <w:p w14:paraId="7681F508"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Pregelifikuotas krakmolas (kukurūzų)</w:t>
      </w:r>
    </w:p>
    <w:p w14:paraId="72A21E3A"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Polisorbatas 80</w:t>
      </w:r>
    </w:p>
    <w:p w14:paraId="506E8DAE"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Povidonas K30</w:t>
      </w:r>
    </w:p>
    <w:p w14:paraId="3C3E3ABB"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Magnio stearatas (Ph. Eur.) [augalinis]</w:t>
      </w:r>
    </w:p>
    <w:p w14:paraId="3A5FEEB4"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0D552FE8" w14:textId="77777777" w:rsidR="00E07ACB" w:rsidRPr="00E07ACB" w:rsidRDefault="00E07ACB" w:rsidP="00E07ACB">
      <w:pPr>
        <w:tabs>
          <w:tab w:val="left" w:pos="567"/>
        </w:tabs>
        <w:spacing w:after="0" w:line="240" w:lineRule="auto"/>
        <w:rPr>
          <w:rFonts w:ascii="Times New Roman" w:eastAsia="Times New Roman" w:hAnsi="Times New Roman" w:cs="Times New Roman"/>
          <w:i/>
          <w:iCs/>
          <w:noProof w:val="0"/>
        </w:rPr>
      </w:pPr>
      <w:r w:rsidRPr="00E07ACB">
        <w:rPr>
          <w:rFonts w:ascii="Times New Roman" w:eastAsia="Times New Roman" w:hAnsi="Times New Roman" w:cs="Times New Roman"/>
          <w:iCs/>
          <w:noProof w:val="0"/>
          <w:u w:val="single"/>
        </w:rPr>
        <w:t>Tabletės plėvelė</w:t>
      </w:r>
    </w:p>
    <w:p w14:paraId="181B99D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Opadry YS-1R-7006 skaidrus:</w:t>
      </w:r>
    </w:p>
    <w:p w14:paraId="75E8CC2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EECDD3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Hipromeliozė</w:t>
      </w:r>
    </w:p>
    <w:p w14:paraId="5FEF7A4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Makrogolis 400</w:t>
      </w:r>
    </w:p>
    <w:p w14:paraId="01337E1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Makrogolis 6000</w:t>
      </w:r>
    </w:p>
    <w:p w14:paraId="2F781E74" w14:textId="77777777" w:rsidR="00E07ACB" w:rsidRPr="00E07ACB" w:rsidRDefault="00E07ACB" w:rsidP="00E07ACB">
      <w:pPr>
        <w:tabs>
          <w:tab w:val="left" w:pos="567"/>
        </w:tabs>
        <w:spacing w:after="0" w:line="240" w:lineRule="auto"/>
        <w:rPr>
          <w:rFonts w:ascii="Times New Roman" w:eastAsia="Times New Roman" w:hAnsi="Times New Roman" w:cs="Times New Roman"/>
          <w:i/>
          <w:iCs/>
          <w:noProof w:val="0"/>
        </w:rPr>
      </w:pPr>
    </w:p>
    <w:p w14:paraId="2E351E8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6.2</w:t>
      </w:r>
      <w:r w:rsidRPr="00E07ACB">
        <w:rPr>
          <w:rFonts w:ascii="Times New Roman" w:eastAsia="Times New Roman" w:hAnsi="Times New Roman" w:cs="Times New Roman"/>
          <w:b/>
          <w:noProof w:val="0"/>
        </w:rPr>
        <w:tab/>
        <w:t>Nesuderinamumas</w:t>
      </w:r>
    </w:p>
    <w:p w14:paraId="46E13D4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9F9BF2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Duomenys nebūtini.</w:t>
      </w:r>
    </w:p>
    <w:p w14:paraId="0D26126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89DDDB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6.3</w:t>
      </w:r>
      <w:r w:rsidRPr="00E07ACB">
        <w:rPr>
          <w:rFonts w:ascii="Times New Roman" w:eastAsia="Times New Roman" w:hAnsi="Times New Roman" w:cs="Times New Roman"/>
          <w:b/>
          <w:noProof w:val="0"/>
        </w:rPr>
        <w:tab/>
        <w:t>Tinkamumo laikas</w:t>
      </w:r>
    </w:p>
    <w:p w14:paraId="2B4F10C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34308E5" w14:textId="36B922C9" w:rsidR="00E07ACB" w:rsidRPr="00E07ACB" w:rsidRDefault="00C420A5" w:rsidP="00E07ACB">
      <w:pPr>
        <w:tabs>
          <w:tab w:val="left" w:pos="567"/>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4 metai</w:t>
      </w:r>
      <w:r w:rsidR="00E07ACB" w:rsidRPr="00E07ACB">
        <w:rPr>
          <w:rFonts w:ascii="Times New Roman" w:eastAsia="Times New Roman" w:hAnsi="Times New Roman" w:cs="Times New Roman"/>
          <w:noProof w:val="0"/>
        </w:rPr>
        <w:t>.</w:t>
      </w:r>
    </w:p>
    <w:p w14:paraId="0DB8FCE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CCBF1B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6.4</w:t>
      </w:r>
      <w:r w:rsidRPr="00E07ACB">
        <w:rPr>
          <w:rFonts w:ascii="Times New Roman" w:eastAsia="Times New Roman" w:hAnsi="Times New Roman" w:cs="Times New Roman"/>
          <w:b/>
          <w:noProof w:val="0"/>
        </w:rPr>
        <w:tab/>
        <w:t>Specialios laikymo sąlygos</w:t>
      </w:r>
    </w:p>
    <w:p w14:paraId="0705606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4506EF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Laikyti gamintojo pakuotėje, kad vaistinis preparatas būtų apsaugotas nuo šviesos.</w:t>
      </w:r>
    </w:p>
    <w:p w14:paraId="4CBCE26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5455A04"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bCs/>
          <w:noProof w:val="0"/>
        </w:rPr>
        <w:t>6.5</w:t>
      </w:r>
      <w:r w:rsidRPr="00E07ACB">
        <w:rPr>
          <w:rFonts w:ascii="Times New Roman" w:eastAsia="Times New Roman" w:hAnsi="Times New Roman" w:cs="Times New Roman"/>
          <w:b/>
          <w:bCs/>
          <w:noProof w:val="0"/>
        </w:rPr>
        <w:tab/>
        <w:t>Talpyklės pobūdis ir jos</w:t>
      </w:r>
      <w:r w:rsidRPr="00E07ACB">
        <w:rPr>
          <w:rFonts w:ascii="Times New Roman" w:eastAsia="Times New Roman" w:hAnsi="Times New Roman" w:cs="Times New Roman"/>
          <w:noProof w:val="0"/>
        </w:rPr>
        <w:t xml:space="preserve"> </w:t>
      </w:r>
      <w:r w:rsidRPr="00E07ACB">
        <w:rPr>
          <w:rFonts w:ascii="Times New Roman" w:eastAsia="Times New Roman" w:hAnsi="Times New Roman" w:cs="Times New Roman"/>
          <w:b/>
          <w:noProof w:val="0"/>
        </w:rPr>
        <w:t>turinys</w:t>
      </w:r>
    </w:p>
    <w:p w14:paraId="509AF676"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63EDF0BF"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 xml:space="preserve">Plėvele dengtos tabletės yra supakuotos lizdinėse plokštelėse (skaidri, bespalvė </w:t>
      </w:r>
      <w:r w:rsidRPr="00E07ACB">
        <w:rPr>
          <w:rFonts w:ascii="Times New Roman" w:eastAsia="Times New Roman" w:hAnsi="Times New Roman" w:cs="Times New Roman"/>
          <w:noProof w:val="0"/>
        </w:rPr>
        <w:t>PVC-PVdC</w:t>
      </w:r>
      <w:r w:rsidRPr="00E07ACB">
        <w:rPr>
          <w:rFonts w:ascii="Times New Roman" w:eastAsia="Times New Roman" w:hAnsi="Times New Roman" w:cs="Times New Roman"/>
          <w:iCs/>
          <w:noProof w:val="0"/>
        </w:rPr>
        <w:t xml:space="preserve"> plėvelė ir grūdinta aliuminio folija su VMCH karščiu užsandarintu laku) kartono dėžutėje.</w:t>
      </w:r>
    </w:p>
    <w:p w14:paraId="3A39AE19"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51D8BF56"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u w:val="single"/>
        </w:rPr>
        <w:t>Pakuočių dydžiai</w:t>
      </w:r>
      <w:r w:rsidRPr="00E07ACB">
        <w:rPr>
          <w:rFonts w:ascii="Times New Roman" w:eastAsia="Times New Roman" w:hAnsi="Times New Roman" w:cs="Times New Roman"/>
          <w:iCs/>
          <w:noProof w:val="0"/>
        </w:rPr>
        <w:t xml:space="preserve">: </w:t>
      </w:r>
      <w:r w:rsidRPr="00E07ACB">
        <w:rPr>
          <w:rFonts w:ascii="Times New Roman" w:eastAsia="Times New Roman" w:hAnsi="Times New Roman" w:cs="Times New Roman"/>
          <w:noProof w:val="0"/>
        </w:rPr>
        <w:t xml:space="preserve">28, </w:t>
      </w:r>
      <w:r w:rsidRPr="00E07ACB">
        <w:rPr>
          <w:rFonts w:ascii="Times New Roman" w:eastAsia="Times New Roman" w:hAnsi="Times New Roman" w:cs="Times New Roman"/>
          <w:noProof w:val="0"/>
          <w:highlight w:val="lightGray"/>
        </w:rPr>
        <w:t xml:space="preserve">30, </w:t>
      </w:r>
      <w:r w:rsidRPr="00E07ACB">
        <w:rPr>
          <w:rFonts w:ascii="Times New Roman" w:eastAsia="Times New Roman" w:hAnsi="Times New Roman" w:cs="Times New Roman"/>
          <w:iCs/>
          <w:noProof w:val="0"/>
          <w:highlight w:val="lightGray"/>
        </w:rPr>
        <w:t>50, 56, 90 ir 100</w:t>
      </w:r>
      <w:r w:rsidRPr="00E07ACB">
        <w:rPr>
          <w:rFonts w:ascii="Times New Roman" w:eastAsia="Times New Roman" w:hAnsi="Times New Roman" w:cs="Times New Roman"/>
          <w:iCs/>
          <w:noProof w:val="0"/>
        </w:rPr>
        <w:t xml:space="preserve"> plėvele dengtų tablečių.</w:t>
      </w:r>
    </w:p>
    <w:p w14:paraId="0331204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EB136E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Gali būti tiekiamos ne visų dydžių pakuotės.</w:t>
      </w:r>
    </w:p>
    <w:p w14:paraId="3F947C0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E674B9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6.6</w:t>
      </w:r>
      <w:r w:rsidRPr="00E07ACB">
        <w:rPr>
          <w:rFonts w:ascii="Times New Roman" w:eastAsia="Times New Roman" w:hAnsi="Times New Roman" w:cs="Times New Roman"/>
          <w:b/>
          <w:noProof w:val="0"/>
        </w:rPr>
        <w:tab/>
      </w:r>
      <w:r w:rsidRPr="00E07ACB">
        <w:rPr>
          <w:rFonts w:ascii="Times New Roman" w:eastAsia="Calibri" w:hAnsi="Times New Roman" w:cs="Times New Roman"/>
          <w:b/>
          <w:bCs/>
          <w:noProof w:val="0"/>
        </w:rPr>
        <w:t xml:space="preserve">Specialūs reikalavimai atliekoms tvarkyti </w:t>
      </w:r>
      <w:r w:rsidRPr="00E07ACB">
        <w:rPr>
          <w:rFonts w:ascii="Times New Roman" w:eastAsia="Times New Roman" w:hAnsi="Times New Roman" w:cs="Times New Roman"/>
          <w:b/>
          <w:noProof w:val="0"/>
        </w:rPr>
        <w:t>ir vaistiniam preparatui ruošti</w:t>
      </w:r>
    </w:p>
    <w:p w14:paraId="1BCCF14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04FD99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tablečių plėvelė nepažeista, darbo su azatioprino plėvele dengtomis tabletėmis metu rizikos nekyla, todėl dėl saugumo specialios atsargumo priemonės nereikalingos. Tablečių traiškyti negalima. Vis dėlto, jei plėvele dengtos tabletės sutraiškomos, Atsimutin 50 mg plėvele dengtos tabletės turi būti tvarkomos, griežtai laikantis darbo su citotoksiniais vaistiniais preparatais instrukcijos. </w:t>
      </w:r>
    </w:p>
    <w:p w14:paraId="325BA90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16F972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Vaistinio preparato likučius ir užterštas priemones laikinai reikia laikyti aiškiai paženklintoje talpyklėje ir tik tuomet saugiai sunaikinti. Rekomenduojamas sudeginimas aukštoje temperatūroje.</w:t>
      </w:r>
    </w:p>
    <w:p w14:paraId="3107974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B444BC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61BD85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7.</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REGISTRUOTOJAS</w:t>
      </w:r>
    </w:p>
    <w:p w14:paraId="0548396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637DC6D"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08102B7A"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3013 Lake Drive</w:t>
      </w:r>
    </w:p>
    <w:p w14:paraId="6F608DAE"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Citywest Business Campus</w:t>
      </w:r>
    </w:p>
    <w:p w14:paraId="66284C69"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Dublin 24, D24PPT3</w:t>
      </w:r>
    </w:p>
    <w:p w14:paraId="33085041"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Airija</w:t>
      </w:r>
    </w:p>
    <w:p w14:paraId="11242C3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3C01EA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C64D81D"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8.</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registracijos pažymėjimo numeriAI</w:t>
      </w:r>
    </w:p>
    <w:p w14:paraId="73C3BC81" w14:textId="77777777" w:rsidR="00E07ACB" w:rsidRPr="00E07ACB" w:rsidRDefault="00E07ACB" w:rsidP="00E07ACB">
      <w:pPr>
        <w:spacing w:after="0" w:line="240" w:lineRule="auto"/>
        <w:rPr>
          <w:rFonts w:ascii="Times New Roman" w:eastAsia="Times New Roman" w:hAnsi="Times New Roman" w:cs="Times New Roman"/>
          <w:noProof w:val="0"/>
        </w:rPr>
      </w:pPr>
    </w:p>
    <w:p w14:paraId="37239753" w14:textId="77777777" w:rsidR="00E07ACB" w:rsidRPr="00E07ACB" w:rsidRDefault="00E07ACB" w:rsidP="00E07ACB">
      <w:pPr>
        <w:spacing w:after="0" w:line="240" w:lineRule="auto"/>
        <w:rPr>
          <w:rFonts w:ascii="Times New Roman" w:eastAsia="Times New Roman" w:hAnsi="Times New Roman" w:cs="Times New Roman"/>
          <w:bCs/>
          <w:noProof w:val="0"/>
          <w:szCs w:val="24"/>
        </w:rPr>
      </w:pPr>
      <w:r w:rsidRPr="00E07ACB">
        <w:rPr>
          <w:rFonts w:ascii="Times New Roman" w:eastAsia="Times New Roman" w:hAnsi="Times New Roman" w:cs="Times New Roman"/>
          <w:bCs/>
          <w:noProof w:val="0"/>
          <w:szCs w:val="24"/>
        </w:rPr>
        <w:t>LT/1/15/3834/007 – N28</w:t>
      </w:r>
    </w:p>
    <w:p w14:paraId="6B712BBC" w14:textId="77777777" w:rsidR="00E07ACB" w:rsidRPr="00E07ACB" w:rsidRDefault="00E07ACB" w:rsidP="00E07ACB">
      <w:pPr>
        <w:spacing w:after="0" w:line="240" w:lineRule="auto"/>
        <w:rPr>
          <w:rFonts w:ascii="Times New Roman" w:eastAsia="Times New Roman" w:hAnsi="Times New Roman" w:cs="Times New Roman"/>
          <w:bCs/>
          <w:noProof w:val="0"/>
          <w:szCs w:val="24"/>
        </w:rPr>
      </w:pPr>
      <w:r w:rsidRPr="00E07ACB">
        <w:rPr>
          <w:rFonts w:ascii="Times New Roman" w:eastAsia="Times New Roman" w:hAnsi="Times New Roman" w:cs="Times New Roman"/>
          <w:bCs/>
          <w:noProof w:val="0"/>
          <w:szCs w:val="24"/>
        </w:rPr>
        <w:t>LT/1/15/3834/008 – N30</w:t>
      </w:r>
    </w:p>
    <w:p w14:paraId="6FA7AA4E" w14:textId="77777777" w:rsidR="00E07ACB" w:rsidRPr="00E07ACB" w:rsidRDefault="00E07ACB" w:rsidP="00E07ACB">
      <w:pPr>
        <w:spacing w:after="0" w:line="240" w:lineRule="auto"/>
        <w:rPr>
          <w:rFonts w:ascii="Times New Roman" w:eastAsia="Times New Roman" w:hAnsi="Times New Roman" w:cs="Times New Roman"/>
          <w:bCs/>
          <w:noProof w:val="0"/>
          <w:szCs w:val="24"/>
        </w:rPr>
      </w:pPr>
      <w:r w:rsidRPr="00E07ACB">
        <w:rPr>
          <w:rFonts w:ascii="Times New Roman" w:eastAsia="Times New Roman" w:hAnsi="Times New Roman" w:cs="Times New Roman"/>
          <w:bCs/>
          <w:noProof w:val="0"/>
          <w:szCs w:val="24"/>
        </w:rPr>
        <w:t>LT/1/15/3834/009 – N50</w:t>
      </w:r>
    </w:p>
    <w:p w14:paraId="0E3D5877" w14:textId="77777777" w:rsidR="00E07ACB" w:rsidRPr="00E07ACB" w:rsidRDefault="00E07ACB" w:rsidP="00E07ACB">
      <w:pPr>
        <w:spacing w:after="0" w:line="240" w:lineRule="auto"/>
        <w:rPr>
          <w:rFonts w:ascii="Times New Roman" w:eastAsia="Times New Roman" w:hAnsi="Times New Roman" w:cs="Times New Roman"/>
          <w:bCs/>
          <w:noProof w:val="0"/>
          <w:szCs w:val="24"/>
        </w:rPr>
      </w:pPr>
      <w:r w:rsidRPr="00E07ACB">
        <w:rPr>
          <w:rFonts w:ascii="Times New Roman" w:eastAsia="Times New Roman" w:hAnsi="Times New Roman" w:cs="Times New Roman"/>
          <w:bCs/>
          <w:noProof w:val="0"/>
          <w:szCs w:val="24"/>
        </w:rPr>
        <w:t>LT/1/15/3834/010 – N56</w:t>
      </w:r>
    </w:p>
    <w:p w14:paraId="627796E2" w14:textId="77777777" w:rsidR="00E07ACB" w:rsidRPr="00E07ACB" w:rsidRDefault="00E07ACB" w:rsidP="00E07ACB">
      <w:pPr>
        <w:spacing w:after="0" w:line="240" w:lineRule="auto"/>
        <w:rPr>
          <w:rFonts w:ascii="Times New Roman" w:eastAsia="Times New Roman" w:hAnsi="Times New Roman" w:cs="Times New Roman"/>
          <w:bCs/>
          <w:noProof w:val="0"/>
          <w:szCs w:val="24"/>
        </w:rPr>
      </w:pPr>
      <w:r w:rsidRPr="00E07ACB">
        <w:rPr>
          <w:rFonts w:ascii="Times New Roman" w:eastAsia="Times New Roman" w:hAnsi="Times New Roman" w:cs="Times New Roman"/>
          <w:bCs/>
          <w:noProof w:val="0"/>
          <w:szCs w:val="24"/>
        </w:rPr>
        <w:t>LT/1/15/3834/011 – N90</w:t>
      </w:r>
    </w:p>
    <w:p w14:paraId="20E44B26"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Cs/>
          <w:noProof w:val="0"/>
          <w:szCs w:val="24"/>
        </w:rPr>
        <w:t>LT/1/15/3834/012 – N100</w:t>
      </w:r>
    </w:p>
    <w:p w14:paraId="7123AB9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07BE32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BC63AB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9.</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registravimo / perregistravimo data</w:t>
      </w:r>
    </w:p>
    <w:p w14:paraId="6EC664E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C18E32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Registravimo data 2015 m. lapkričio 18 d.</w:t>
      </w:r>
    </w:p>
    <w:p w14:paraId="71CEC4C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Paskutinio perregistravimo data 2018 m. rugsėjo 10 d.</w:t>
      </w:r>
    </w:p>
    <w:p w14:paraId="245EF07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93AC7B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F0D6957"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10.</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teksto peržiūros data</w:t>
      </w:r>
    </w:p>
    <w:p w14:paraId="108EF39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DC230FE" w14:textId="639BB92B" w:rsidR="004C1D93" w:rsidRDefault="00671720" w:rsidP="00E07ACB">
      <w:pPr>
        <w:tabs>
          <w:tab w:val="left" w:pos="567"/>
          <w:tab w:val="center" w:pos="4153"/>
          <w:tab w:val="right" w:pos="8306"/>
        </w:tabs>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2025 m. kovo 7 d.</w:t>
      </w:r>
    </w:p>
    <w:p w14:paraId="5FC3F9AA" w14:textId="77777777" w:rsidR="00F27956" w:rsidRDefault="00F27956" w:rsidP="00E07ACB">
      <w:pPr>
        <w:tabs>
          <w:tab w:val="left" w:pos="567"/>
          <w:tab w:val="center" w:pos="4153"/>
          <w:tab w:val="right" w:pos="8306"/>
        </w:tabs>
        <w:spacing w:after="0" w:line="240" w:lineRule="auto"/>
        <w:rPr>
          <w:rFonts w:ascii="Times New Roman" w:eastAsia="SimSun" w:hAnsi="Times New Roman" w:cs="Times New Roman"/>
          <w:noProof w:val="0"/>
        </w:rPr>
      </w:pPr>
    </w:p>
    <w:p w14:paraId="7616312F" w14:textId="681BA27A" w:rsidR="00E07ACB" w:rsidRPr="00E07ACB" w:rsidRDefault="00E07ACB" w:rsidP="00E07ACB">
      <w:pPr>
        <w:tabs>
          <w:tab w:val="left" w:pos="567"/>
          <w:tab w:val="center" w:pos="4153"/>
          <w:tab w:val="right" w:pos="8306"/>
        </w:tabs>
        <w:spacing w:after="0" w:line="240" w:lineRule="auto"/>
        <w:rPr>
          <w:rFonts w:ascii="Times New Roman" w:eastAsia="SimSun" w:hAnsi="Times New Roman" w:cs="Times New Roman"/>
          <w:noProof w:val="0"/>
          <w:u w:val="single"/>
        </w:rPr>
      </w:pPr>
      <w:r w:rsidRPr="00E07ACB">
        <w:rPr>
          <w:rFonts w:ascii="Times New Roman" w:eastAsia="SimSun" w:hAnsi="Times New Roman" w:cs="Times New Roman"/>
          <w:noProof w:val="0"/>
        </w:rPr>
        <w:t xml:space="preserve">Išsami informacija apie šį vaistinį preparatą pateikiama Valstybinės vaistų kontrolės tarnybos prie Lietuvos Respublikos sveikatos apsaugos ministerijos tinklalapyje </w:t>
      </w:r>
      <w:r w:rsidR="00E37B21" w:rsidRPr="003F0C62">
        <w:rPr>
          <w:rFonts w:ascii="Times New Roman" w:hAnsi="Times New Roman" w:cs="Times New Roman"/>
          <w:color w:val="0000EE"/>
          <w:u w:val="single"/>
          <w:lang w:eastAsia="lt-LT"/>
        </w:rPr>
        <w:t>https://vvkt.lrv.lt/lt/.</w:t>
      </w:r>
      <w:r w:rsidRPr="00237E89">
        <w:rPr>
          <w:rFonts w:ascii="Times New Roman" w:eastAsia="SimSun" w:hAnsi="Times New Roman" w:cs="Times New Roman"/>
          <w:noProof w:val="0"/>
        </w:rPr>
        <w:t>.</w:t>
      </w:r>
      <w:r w:rsidRPr="00E07ACB">
        <w:rPr>
          <w:rFonts w:ascii="Times New Roman" w:eastAsia="SimSun" w:hAnsi="Times New Roman" w:cs="Times New Roman"/>
          <w:noProof w:val="0"/>
        </w:rPr>
        <w:t xml:space="preserve"> </w:t>
      </w:r>
    </w:p>
    <w:p w14:paraId="1358D071" w14:textId="77777777" w:rsidR="00E07ACB" w:rsidRPr="00E07ACB" w:rsidRDefault="00E07ACB" w:rsidP="00E07ACB">
      <w:pPr>
        <w:spacing w:after="0" w:line="240" w:lineRule="auto"/>
        <w:rPr>
          <w:rFonts w:ascii="Times New Roman" w:eastAsia="Times New Roman" w:hAnsi="Times New Roman" w:cs="Times New Roman"/>
          <w:noProof w:val="0"/>
        </w:rPr>
      </w:pPr>
    </w:p>
    <w:p w14:paraId="51414422" w14:textId="77777777" w:rsidR="00E07ACB" w:rsidRPr="00E07ACB" w:rsidRDefault="00E07ACB" w:rsidP="00E07ACB">
      <w:pPr>
        <w:spacing w:after="0" w:line="240" w:lineRule="auto"/>
        <w:rPr>
          <w:rFonts w:ascii="Times New Roman" w:eastAsia="Times New Roman" w:hAnsi="Times New Roman" w:cs="Times New Roman"/>
          <w:noProof w:val="0"/>
        </w:rPr>
      </w:pPr>
    </w:p>
    <w:p w14:paraId="4FDFB853" w14:textId="77777777" w:rsidR="00E07ACB" w:rsidRPr="00E07ACB" w:rsidRDefault="00E07ACB" w:rsidP="00E07ACB">
      <w:pPr>
        <w:spacing w:after="0" w:line="240" w:lineRule="auto"/>
        <w:rPr>
          <w:rFonts w:ascii="Times New Roman" w:eastAsia="Times New Roman" w:hAnsi="Times New Roman" w:cs="Times New Roman"/>
          <w:noProof w:val="0"/>
        </w:rPr>
      </w:pPr>
    </w:p>
    <w:p w14:paraId="54AF182D" w14:textId="77777777" w:rsidR="00E07ACB" w:rsidRPr="00E07ACB" w:rsidRDefault="00E07ACB" w:rsidP="00E07ACB">
      <w:pPr>
        <w:spacing w:after="0" w:line="240" w:lineRule="auto"/>
        <w:rPr>
          <w:rFonts w:ascii="Times New Roman" w:eastAsia="Times New Roman" w:hAnsi="Times New Roman" w:cs="Times New Roman"/>
          <w:noProof w:val="0"/>
        </w:rPr>
      </w:pPr>
    </w:p>
    <w:p w14:paraId="5C3F4FE3" w14:textId="77777777" w:rsidR="00E07ACB" w:rsidRPr="00E07ACB" w:rsidRDefault="00E07ACB" w:rsidP="00E07ACB">
      <w:pPr>
        <w:spacing w:after="0" w:line="240" w:lineRule="auto"/>
        <w:rPr>
          <w:rFonts w:ascii="Times New Roman" w:eastAsia="Times New Roman" w:hAnsi="Times New Roman" w:cs="Times New Roman"/>
          <w:noProof w:val="0"/>
        </w:rPr>
      </w:pPr>
    </w:p>
    <w:p w14:paraId="03E893A1" w14:textId="77777777" w:rsidR="00E07ACB" w:rsidRPr="00E07ACB" w:rsidRDefault="00E07ACB" w:rsidP="00E07ACB">
      <w:pPr>
        <w:spacing w:after="0" w:line="240" w:lineRule="auto"/>
        <w:rPr>
          <w:rFonts w:ascii="Times New Roman" w:eastAsia="Times New Roman" w:hAnsi="Times New Roman" w:cs="Times New Roman"/>
          <w:noProof w:val="0"/>
        </w:rPr>
      </w:pPr>
    </w:p>
    <w:p w14:paraId="0C744B01" w14:textId="77777777" w:rsidR="00E07ACB" w:rsidRPr="00E07ACB" w:rsidRDefault="00E07ACB" w:rsidP="00E07ACB">
      <w:pPr>
        <w:spacing w:after="0" w:line="240" w:lineRule="auto"/>
        <w:rPr>
          <w:rFonts w:ascii="Times New Roman" w:eastAsia="Times New Roman" w:hAnsi="Times New Roman" w:cs="Times New Roman"/>
          <w:noProof w:val="0"/>
        </w:rPr>
      </w:pPr>
    </w:p>
    <w:p w14:paraId="646E0BBA" w14:textId="77777777" w:rsidR="00E07ACB" w:rsidRPr="00E07ACB" w:rsidRDefault="00E07ACB" w:rsidP="00E07ACB">
      <w:pPr>
        <w:spacing w:after="0" w:line="240" w:lineRule="auto"/>
        <w:rPr>
          <w:rFonts w:ascii="Times New Roman" w:eastAsia="Times New Roman" w:hAnsi="Times New Roman" w:cs="Times New Roman"/>
          <w:noProof w:val="0"/>
        </w:rPr>
      </w:pPr>
    </w:p>
    <w:p w14:paraId="6CC4B868" w14:textId="77777777" w:rsidR="00E07ACB" w:rsidRPr="00E07ACB" w:rsidRDefault="00E07ACB" w:rsidP="00E07ACB">
      <w:pPr>
        <w:spacing w:after="0" w:line="240" w:lineRule="auto"/>
        <w:rPr>
          <w:rFonts w:ascii="Times New Roman" w:eastAsia="Times New Roman" w:hAnsi="Times New Roman" w:cs="Times New Roman"/>
          <w:noProof w:val="0"/>
        </w:rPr>
      </w:pPr>
    </w:p>
    <w:p w14:paraId="51E365D1" w14:textId="77777777" w:rsidR="00E07ACB" w:rsidRPr="00E07ACB" w:rsidRDefault="00E07ACB" w:rsidP="00E07ACB">
      <w:pPr>
        <w:spacing w:after="0" w:line="240" w:lineRule="auto"/>
        <w:rPr>
          <w:rFonts w:ascii="Times New Roman" w:eastAsia="Times New Roman" w:hAnsi="Times New Roman" w:cs="Times New Roman"/>
          <w:noProof w:val="0"/>
        </w:rPr>
      </w:pPr>
    </w:p>
    <w:p w14:paraId="1BC5DC78" w14:textId="77777777" w:rsidR="00E07ACB" w:rsidRPr="00E07ACB" w:rsidRDefault="00E07ACB" w:rsidP="00E07ACB">
      <w:pPr>
        <w:spacing w:after="0" w:line="240" w:lineRule="auto"/>
        <w:rPr>
          <w:rFonts w:ascii="Times New Roman" w:eastAsia="Times New Roman" w:hAnsi="Times New Roman" w:cs="Times New Roman"/>
          <w:noProof w:val="0"/>
        </w:rPr>
      </w:pPr>
    </w:p>
    <w:p w14:paraId="10A79D65" w14:textId="77777777" w:rsidR="00E07ACB" w:rsidRPr="00E07ACB" w:rsidRDefault="00E07ACB" w:rsidP="00E07ACB">
      <w:pPr>
        <w:spacing w:after="0" w:line="240" w:lineRule="auto"/>
        <w:rPr>
          <w:rFonts w:ascii="Times New Roman" w:eastAsia="Times New Roman" w:hAnsi="Times New Roman" w:cs="Times New Roman"/>
          <w:noProof w:val="0"/>
        </w:rPr>
      </w:pPr>
    </w:p>
    <w:p w14:paraId="094DEF35" w14:textId="77777777" w:rsidR="00E07ACB" w:rsidRPr="00E07ACB" w:rsidRDefault="00E07ACB" w:rsidP="00E07ACB">
      <w:pPr>
        <w:spacing w:after="0" w:line="240" w:lineRule="auto"/>
        <w:rPr>
          <w:rFonts w:ascii="Times New Roman" w:eastAsia="Times New Roman" w:hAnsi="Times New Roman" w:cs="Times New Roman"/>
          <w:noProof w:val="0"/>
        </w:rPr>
      </w:pPr>
    </w:p>
    <w:p w14:paraId="0DDE6A9F" w14:textId="77777777" w:rsidR="00E07ACB" w:rsidRPr="00E07ACB" w:rsidRDefault="00E07ACB" w:rsidP="00E07ACB">
      <w:pPr>
        <w:spacing w:after="0" w:line="240" w:lineRule="auto"/>
        <w:rPr>
          <w:rFonts w:ascii="Times New Roman" w:eastAsia="Times New Roman" w:hAnsi="Times New Roman" w:cs="Times New Roman"/>
          <w:noProof w:val="0"/>
        </w:rPr>
      </w:pPr>
    </w:p>
    <w:p w14:paraId="28AD093D" w14:textId="77777777" w:rsidR="00E07ACB" w:rsidRPr="00E07ACB" w:rsidRDefault="00E07ACB" w:rsidP="00E07ACB">
      <w:pPr>
        <w:spacing w:after="0" w:line="240" w:lineRule="auto"/>
        <w:rPr>
          <w:rFonts w:ascii="Times New Roman" w:eastAsia="Times New Roman" w:hAnsi="Times New Roman" w:cs="Times New Roman"/>
          <w:noProof w:val="0"/>
        </w:rPr>
      </w:pPr>
    </w:p>
    <w:p w14:paraId="11483AD6" w14:textId="77777777" w:rsidR="00E07ACB" w:rsidRPr="00E07ACB" w:rsidRDefault="00E07ACB" w:rsidP="00E07ACB">
      <w:pPr>
        <w:spacing w:after="0" w:line="240" w:lineRule="auto"/>
        <w:rPr>
          <w:rFonts w:ascii="Times New Roman" w:eastAsia="Times New Roman" w:hAnsi="Times New Roman" w:cs="Times New Roman"/>
          <w:noProof w:val="0"/>
        </w:rPr>
      </w:pPr>
    </w:p>
    <w:p w14:paraId="1B05D6C5" w14:textId="77777777" w:rsidR="00E07ACB" w:rsidRPr="00E07ACB" w:rsidRDefault="00E07ACB" w:rsidP="00E07ACB">
      <w:pPr>
        <w:spacing w:after="0" w:line="240" w:lineRule="auto"/>
        <w:rPr>
          <w:rFonts w:ascii="Times New Roman" w:eastAsia="Times New Roman" w:hAnsi="Times New Roman" w:cs="Times New Roman"/>
          <w:noProof w:val="0"/>
        </w:rPr>
      </w:pPr>
    </w:p>
    <w:p w14:paraId="4A0D11CB" w14:textId="77777777" w:rsidR="00E07ACB" w:rsidRPr="00E07ACB" w:rsidRDefault="00E07ACB" w:rsidP="00E07ACB">
      <w:pPr>
        <w:spacing w:after="0" w:line="240" w:lineRule="auto"/>
        <w:rPr>
          <w:rFonts w:ascii="Times New Roman" w:eastAsia="Times New Roman" w:hAnsi="Times New Roman" w:cs="Times New Roman"/>
          <w:noProof w:val="0"/>
        </w:rPr>
      </w:pPr>
    </w:p>
    <w:p w14:paraId="7270647F" w14:textId="77777777" w:rsidR="00E07ACB" w:rsidRPr="00E07ACB" w:rsidRDefault="00E07ACB" w:rsidP="00E07ACB">
      <w:pPr>
        <w:spacing w:after="0" w:line="240" w:lineRule="auto"/>
        <w:rPr>
          <w:rFonts w:ascii="Times New Roman" w:eastAsia="Times New Roman" w:hAnsi="Times New Roman" w:cs="Times New Roman"/>
          <w:noProof w:val="0"/>
        </w:rPr>
      </w:pPr>
    </w:p>
    <w:p w14:paraId="5CCC4E7A" w14:textId="77777777" w:rsidR="00E07ACB" w:rsidRPr="00E07ACB" w:rsidRDefault="00E07ACB" w:rsidP="00E07ACB">
      <w:pPr>
        <w:spacing w:after="0" w:line="240" w:lineRule="auto"/>
        <w:rPr>
          <w:rFonts w:ascii="Times New Roman" w:eastAsia="Times New Roman" w:hAnsi="Times New Roman" w:cs="Times New Roman"/>
          <w:noProof w:val="0"/>
        </w:rPr>
      </w:pPr>
    </w:p>
    <w:p w14:paraId="24EB7F5B" w14:textId="77777777" w:rsidR="00E07ACB" w:rsidRPr="00E07ACB" w:rsidRDefault="00E07ACB" w:rsidP="00E07ACB">
      <w:pPr>
        <w:spacing w:after="0" w:line="240" w:lineRule="auto"/>
        <w:rPr>
          <w:rFonts w:ascii="Times New Roman" w:eastAsia="Times New Roman" w:hAnsi="Times New Roman" w:cs="Times New Roman"/>
          <w:noProof w:val="0"/>
        </w:rPr>
      </w:pPr>
    </w:p>
    <w:p w14:paraId="79818226" w14:textId="77777777" w:rsidR="00E07ACB" w:rsidRPr="00E07ACB" w:rsidRDefault="00E07ACB" w:rsidP="00E07ACB">
      <w:pPr>
        <w:spacing w:after="0" w:line="240" w:lineRule="auto"/>
        <w:rPr>
          <w:rFonts w:ascii="Times New Roman" w:eastAsia="Times New Roman" w:hAnsi="Times New Roman" w:cs="Times New Roman"/>
          <w:noProof w:val="0"/>
        </w:rPr>
      </w:pPr>
    </w:p>
    <w:p w14:paraId="786ADF91" w14:textId="77777777" w:rsidR="00E07ACB" w:rsidRPr="00E07ACB" w:rsidRDefault="00E07ACB" w:rsidP="00E07ACB">
      <w:pPr>
        <w:spacing w:after="0" w:line="240" w:lineRule="auto"/>
        <w:jc w:val="center"/>
        <w:rPr>
          <w:rFonts w:ascii="Times New Roman" w:eastAsia="Times New Roman" w:hAnsi="Times New Roman" w:cs="Times New Roman"/>
          <w:b/>
          <w:noProof w:val="0"/>
        </w:rPr>
      </w:pPr>
    </w:p>
    <w:p w14:paraId="6F435BAC" w14:textId="77777777" w:rsidR="009F2291" w:rsidRDefault="009F2291" w:rsidP="00E07ACB">
      <w:pPr>
        <w:spacing w:after="0" w:line="240" w:lineRule="auto"/>
        <w:jc w:val="center"/>
        <w:rPr>
          <w:rFonts w:ascii="Times New Roman" w:eastAsia="Times New Roman" w:hAnsi="Times New Roman" w:cs="Times New Roman"/>
          <w:b/>
          <w:noProof w:val="0"/>
        </w:rPr>
      </w:pPr>
    </w:p>
    <w:p w14:paraId="34341860" w14:textId="77777777" w:rsidR="009F2291" w:rsidRDefault="009F2291" w:rsidP="00E07ACB">
      <w:pPr>
        <w:spacing w:after="0" w:line="240" w:lineRule="auto"/>
        <w:jc w:val="center"/>
        <w:rPr>
          <w:rFonts w:ascii="Times New Roman" w:eastAsia="Times New Roman" w:hAnsi="Times New Roman" w:cs="Times New Roman"/>
          <w:b/>
          <w:noProof w:val="0"/>
        </w:rPr>
      </w:pPr>
    </w:p>
    <w:p w14:paraId="58FB8901" w14:textId="77777777" w:rsidR="009F2291" w:rsidRDefault="009F2291" w:rsidP="00E07ACB">
      <w:pPr>
        <w:spacing w:after="0" w:line="240" w:lineRule="auto"/>
        <w:jc w:val="center"/>
        <w:rPr>
          <w:rFonts w:ascii="Times New Roman" w:eastAsia="Times New Roman" w:hAnsi="Times New Roman" w:cs="Times New Roman"/>
          <w:b/>
          <w:noProof w:val="0"/>
        </w:rPr>
      </w:pPr>
    </w:p>
    <w:p w14:paraId="295C606E" w14:textId="77777777" w:rsidR="009F2291" w:rsidRDefault="009F2291" w:rsidP="00E07ACB">
      <w:pPr>
        <w:spacing w:after="0" w:line="240" w:lineRule="auto"/>
        <w:jc w:val="center"/>
        <w:rPr>
          <w:rFonts w:ascii="Times New Roman" w:eastAsia="Times New Roman" w:hAnsi="Times New Roman" w:cs="Times New Roman"/>
          <w:b/>
          <w:noProof w:val="0"/>
        </w:rPr>
      </w:pPr>
    </w:p>
    <w:p w14:paraId="18F60C62" w14:textId="77777777" w:rsidR="009F2291" w:rsidRDefault="009F2291" w:rsidP="00E07ACB">
      <w:pPr>
        <w:spacing w:after="0" w:line="240" w:lineRule="auto"/>
        <w:jc w:val="center"/>
        <w:rPr>
          <w:rFonts w:ascii="Times New Roman" w:eastAsia="Times New Roman" w:hAnsi="Times New Roman" w:cs="Times New Roman"/>
          <w:b/>
          <w:noProof w:val="0"/>
        </w:rPr>
      </w:pPr>
    </w:p>
    <w:p w14:paraId="3C2CEC7E" w14:textId="77777777" w:rsidR="009F2291" w:rsidRDefault="009F2291" w:rsidP="00E07ACB">
      <w:pPr>
        <w:spacing w:after="0" w:line="240" w:lineRule="auto"/>
        <w:jc w:val="center"/>
        <w:rPr>
          <w:rFonts w:ascii="Times New Roman" w:eastAsia="Times New Roman" w:hAnsi="Times New Roman" w:cs="Times New Roman"/>
          <w:b/>
          <w:noProof w:val="0"/>
        </w:rPr>
      </w:pPr>
    </w:p>
    <w:p w14:paraId="2A3924D6" w14:textId="77777777" w:rsidR="009F2291" w:rsidRDefault="009F2291" w:rsidP="00E07ACB">
      <w:pPr>
        <w:spacing w:after="0" w:line="240" w:lineRule="auto"/>
        <w:jc w:val="center"/>
        <w:rPr>
          <w:rFonts w:ascii="Times New Roman" w:eastAsia="Times New Roman" w:hAnsi="Times New Roman" w:cs="Times New Roman"/>
          <w:b/>
          <w:noProof w:val="0"/>
        </w:rPr>
      </w:pPr>
    </w:p>
    <w:p w14:paraId="55AE40FC" w14:textId="77777777" w:rsidR="009F2291" w:rsidRDefault="009F2291" w:rsidP="00E07ACB">
      <w:pPr>
        <w:spacing w:after="0" w:line="240" w:lineRule="auto"/>
        <w:jc w:val="center"/>
        <w:rPr>
          <w:rFonts w:ascii="Times New Roman" w:eastAsia="Times New Roman" w:hAnsi="Times New Roman" w:cs="Times New Roman"/>
          <w:b/>
          <w:noProof w:val="0"/>
        </w:rPr>
      </w:pPr>
    </w:p>
    <w:p w14:paraId="2B4FEB77" w14:textId="77777777" w:rsidR="009F2291" w:rsidRDefault="009F2291" w:rsidP="00E07ACB">
      <w:pPr>
        <w:spacing w:after="0" w:line="240" w:lineRule="auto"/>
        <w:jc w:val="center"/>
        <w:rPr>
          <w:rFonts w:ascii="Times New Roman" w:eastAsia="Times New Roman" w:hAnsi="Times New Roman" w:cs="Times New Roman"/>
          <w:b/>
          <w:noProof w:val="0"/>
        </w:rPr>
      </w:pPr>
    </w:p>
    <w:p w14:paraId="58A76EA5" w14:textId="77777777" w:rsidR="009F2291" w:rsidRDefault="009F2291" w:rsidP="00E07ACB">
      <w:pPr>
        <w:spacing w:after="0" w:line="240" w:lineRule="auto"/>
        <w:jc w:val="center"/>
        <w:rPr>
          <w:rFonts w:ascii="Times New Roman" w:eastAsia="Times New Roman" w:hAnsi="Times New Roman" w:cs="Times New Roman"/>
          <w:b/>
          <w:noProof w:val="0"/>
        </w:rPr>
      </w:pPr>
    </w:p>
    <w:p w14:paraId="551511EA" w14:textId="77777777" w:rsidR="009F2291" w:rsidRDefault="009F2291" w:rsidP="00E07ACB">
      <w:pPr>
        <w:spacing w:after="0" w:line="240" w:lineRule="auto"/>
        <w:jc w:val="center"/>
        <w:rPr>
          <w:rFonts w:ascii="Times New Roman" w:eastAsia="Times New Roman" w:hAnsi="Times New Roman" w:cs="Times New Roman"/>
          <w:b/>
          <w:noProof w:val="0"/>
        </w:rPr>
      </w:pPr>
    </w:p>
    <w:p w14:paraId="2331E874" w14:textId="77777777" w:rsidR="009F2291" w:rsidRDefault="009F2291" w:rsidP="00E07ACB">
      <w:pPr>
        <w:spacing w:after="0" w:line="240" w:lineRule="auto"/>
        <w:jc w:val="center"/>
        <w:rPr>
          <w:rFonts w:ascii="Times New Roman" w:eastAsia="Times New Roman" w:hAnsi="Times New Roman" w:cs="Times New Roman"/>
          <w:b/>
          <w:noProof w:val="0"/>
        </w:rPr>
      </w:pPr>
    </w:p>
    <w:p w14:paraId="01592909" w14:textId="77777777" w:rsidR="009F2291" w:rsidRDefault="009F2291" w:rsidP="00E07ACB">
      <w:pPr>
        <w:spacing w:after="0" w:line="240" w:lineRule="auto"/>
        <w:jc w:val="center"/>
        <w:rPr>
          <w:rFonts w:ascii="Times New Roman" w:eastAsia="Times New Roman" w:hAnsi="Times New Roman" w:cs="Times New Roman"/>
          <w:b/>
          <w:noProof w:val="0"/>
        </w:rPr>
      </w:pPr>
    </w:p>
    <w:p w14:paraId="7F82B059" w14:textId="77777777" w:rsidR="009F2291" w:rsidRDefault="009F2291" w:rsidP="00E07ACB">
      <w:pPr>
        <w:spacing w:after="0" w:line="240" w:lineRule="auto"/>
        <w:jc w:val="center"/>
        <w:rPr>
          <w:rFonts w:ascii="Times New Roman" w:eastAsia="Times New Roman" w:hAnsi="Times New Roman" w:cs="Times New Roman"/>
          <w:b/>
          <w:noProof w:val="0"/>
        </w:rPr>
      </w:pPr>
    </w:p>
    <w:p w14:paraId="45702E09" w14:textId="77777777" w:rsidR="009F2291" w:rsidRDefault="009F2291" w:rsidP="00E07ACB">
      <w:pPr>
        <w:spacing w:after="0" w:line="240" w:lineRule="auto"/>
        <w:jc w:val="center"/>
        <w:rPr>
          <w:rFonts w:ascii="Times New Roman" w:eastAsia="Times New Roman" w:hAnsi="Times New Roman" w:cs="Times New Roman"/>
          <w:b/>
          <w:noProof w:val="0"/>
        </w:rPr>
      </w:pPr>
    </w:p>
    <w:p w14:paraId="3684A9F0" w14:textId="77777777" w:rsidR="009F2291" w:rsidRDefault="009F2291" w:rsidP="00E07ACB">
      <w:pPr>
        <w:spacing w:after="0" w:line="240" w:lineRule="auto"/>
        <w:jc w:val="center"/>
        <w:rPr>
          <w:rFonts w:ascii="Times New Roman" w:eastAsia="Times New Roman" w:hAnsi="Times New Roman" w:cs="Times New Roman"/>
          <w:b/>
          <w:noProof w:val="0"/>
        </w:rPr>
      </w:pPr>
    </w:p>
    <w:p w14:paraId="0CCF697B" w14:textId="77777777" w:rsidR="009F2291" w:rsidRDefault="009F2291" w:rsidP="00E07ACB">
      <w:pPr>
        <w:spacing w:after="0" w:line="240" w:lineRule="auto"/>
        <w:jc w:val="center"/>
        <w:rPr>
          <w:rFonts w:ascii="Times New Roman" w:eastAsia="Times New Roman" w:hAnsi="Times New Roman" w:cs="Times New Roman"/>
          <w:b/>
          <w:noProof w:val="0"/>
        </w:rPr>
      </w:pPr>
    </w:p>
    <w:p w14:paraId="1E2B1AC5" w14:textId="77777777" w:rsidR="009F2291" w:rsidRDefault="009F2291" w:rsidP="00E07ACB">
      <w:pPr>
        <w:spacing w:after="0" w:line="240" w:lineRule="auto"/>
        <w:jc w:val="center"/>
        <w:rPr>
          <w:rFonts w:ascii="Times New Roman" w:eastAsia="Times New Roman" w:hAnsi="Times New Roman" w:cs="Times New Roman"/>
          <w:b/>
          <w:noProof w:val="0"/>
        </w:rPr>
      </w:pPr>
    </w:p>
    <w:p w14:paraId="2A45A43C" w14:textId="77777777" w:rsidR="009F2291" w:rsidRDefault="009F2291" w:rsidP="00E07ACB">
      <w:pPr>
        <w:spacing w:after="0" w:line="240" w:lineRule="auto"/>
        <w:jc w:val="center"/>
        <w:rPr>
          <w:rFonts w:ascii="Times New Roman" w:eastAsia="Times New Roman" w:hAnsi="Times New Roman" w:cs="Times New Roman"/>
          <w:b/>
          <w:noProof w:val="0"/>
        </w:rPr>
      </w:pPr>
    </w:p>
    <w:p w14:paraId="218A59E5" w14:textId="77777777" w:rsidR="009F2291" w:rsidRDefault="009F2291" w:rsidP="00E07ACB">
      <w:pPr>
        <w:spacing w:after="0" w:line="240" w:lineRule="auto"/>
        <w:jc w:val="center"/>
        <w:rPr>
          <w:rFonts w:ascii="Times New Roman" w:eastAsia="Times New Roman" w:hAnsi="Times New Roman" w:cs="Times New Roman"/>
          <w:b/>
          <w:noProof w:val="0"/>
        </w:rPr>
      </w:pPr>
    </w:p>
    <w:p w14:paraId="5AF04FB3" w14:textId="77777777" w:rsidR="009F2291" w:rsidRDefault="009F2291" w:rsidP="00E07ACB">
      <w:pPr>
        <w:spacing w:after="0" w:line="240" w:lineRule="auto"/>
        <w:jc w:val="center"/>
        <w:rPr>
          <w:rFonts w:ascii="Times New Roman" w:eastAsia="Times New Roman" w:hAnsi="Times New Roman" w:cs="Times New Roman"/>
          <w:b/>
          <w:noProof w:val="0"/>
        </w:rPr>
      </w:pPr>
    </w:p>
    <w:p w14:paraId="1F6E0A52" w14:textId="77777777" w:rsidR="009F2291" w:rsidRDefault="009F2291" w:rsidP="00E07ACB">
      <w:pPr>
        <w:spacing w:after="0" w:line="240" w:lineRule="auto"/>
        <w:jc w:val="center"/>
        <w:rPr>
          <w:rFonts w:ascii="Times New Roman" w:eastAsia="Times New Roman" w:hAnsi="Times New Roman" w:cs="Times New Roman"/>
          <w:b/>
          <w:noProof w:val="0"/>
        </w:rPr>
      </w:pPr>
    </w:p>
    <w:p w14:paraId="0C88E276" w14:textId="77777777" w:rsidR="009F2291" w:rsidRDefault="009F2291" w:rsidP="00E07ACB">
      <w:pPr>
        <w:spacing w:after="0" w:line="240" w:lineRule="auto"/>
        <w:jc w:val="center"/>
        <w:rPr>
          <w:rFonts w:ascii="Times New Roman" w:eastAsia="Times New Roman" w:hAnsi="Times New Roman" w:cs="Times New Roman"/>
          <w:b/>
          <w:noProof w:val="0"/>
        </w:rPr>
      </w:pPr>
    </w:p>
    <w:p w14:paraId="7BEC0EAC" w14:textId="77777777" w:rsidR="009F2291" w:rsidRDefault="009F2291" w:rsidP="00E07ACB">
      <w:pPr>
        <w:spacing w:after="0" w:line="240" w:lineRule="auto"/>
        <w:jc w:val="center"/>
        <w:rPr>
          <w:rFonts w:ascii="Times New Roman" w:eastAsia="Times New Roman" w:hAnsi="Times New Roman" w:cs="Times New Roman"/>
          <w:b/>
          <w:noProof w:val="0"/>
        </w:rPr>
      </w:pPr>
    </w:p>
    <w:p w14:paraId="3D73A783" w14:textId="77777777" w:rsidR="009F2291" w:rsidRDefault="009F2291" w:rsidP="00E07ACB">
      <w:pPr>
        <w:spacing w:after="0" w:line="240" w:lineRule="auto"/>
        <w:jc w:val="center"/>
        <w:rPr>
          <w:rFonts w:ascii="Times New Roman" w:eastAsia="Times New Roman" w:hAnsi="Times New Roman" w:cs="Times New Roman"/>
          <w:b/>
          <w:noProof w:val="0"/>
        </w:rPr>
      </w:pPr>
    </w:p>
    <w:p w14:paraId="0530A586" w14:textId="77777777" w:rsidR="009F2291" w:rsidRDefault="009F2291" w:rsidP="00E07ACB">
      <w:pPr>
        <w:spacing w:after="0" w:line="240" w:lineRule="auto"/>
        <w:jc w:val="center"/>
        <w:rPr>
          <w:rFonts w:ascii="Times New Roman" w:eastAsia="Times New Roman" w:hAnsi="Times New Roman" w:cs="Times New Roman"/>
          <w:b/>
          <w:noProof w:val="0"/>
        </w:rPr>
      </w:pPr>
    </w:p>
    <w:p w14:paraId="697D7E6B" w14:textId="77777777" w:rsidR="009F2291" w:rsidRDefault="009F2291" w:rsidP="00E07ACB">
      <w:pPr>
        <w:spacing w:after="0" w:line="240" w:lineRule="auto"/>
        <w:jc w:val="center"/>
        <w:rPr>
          <w:rFonts w:ascii="Times New Roman" w:eastAsia="Times New Roman" w:hAnsi="Times New Roman" w:cs="Times New Roman"/>
          <w:b/>
          <w:noProof w:val="0"/>
        </w:rPr>
      </w:pPr>
    </w:p>
    <w:p w14:paraId="3F2101D8" w14:textId="77777777" w:rsidR="009F2291" w:rsidRDefault="009F2291" w:rsidP="00E07ACB">
      <w:pPr>
        <w:spacing w:after="0" w:line="240" w:lineRule="auto"/>
        <w:jc w:val="center"/>
        <w:rPr>
          <w:rFonts w:ascii="Times New Roman" w:eastAsia="Times New Roman" w:hAnsi="Times New Roman" w:cs="Times New Roman"/>
          <w:b/>
          <w:noProof w:val="0"/>
        </w:rPr>
      </w:pPr>
    </w:p>
    <w:p w14:paraId="5BCDC847" w14:textId="77777777" w:rsidR="009F2291" w:rsidRDefault="009F2291" w:rsidP="00E07ACB">
      <w:pPr>
        <w:spacing w:after="0" w:line="240" w:lineRule="auto"/>
        <w:jc w:val="center"/>
        <w:rPr>
          <w:rFonts w:ascii="Times New Roman" w:eastAsia="Times New Roman" w:hAnsi="Times New Roman" w:cs="Times New Roman"/>
          <w:b/>
          <w:noProof w:val="0"/>
        </w:rPr>
      </w:pPr>
    </w:p>
    <w:p w14:paraId="2C46DD8E" w14:textId="77777777" w:rsidR="009F2291" w:rsidRDefault="009F2291" w:rsidP="00E07ACB">
      <w:pPr>
        <w:spacing w:after="0" w:line="240" w:lineRule="auto"/>
        <w:jc w:val="center"/>
        <w:rPr>
          <w:rFonts w:ascii="Times New Roman" w:eastAsia="Times New Roman" w:hAnsi="Times New Roman" w:cs="Times New Roman"/>
          <w:b/>
          <w:noProof w:val="0"/>
        </w:rPr>
      </w:pPr>
    </w:p>
    <w:p w14:paraId="7C221834" w14:textId="77777777" w:rsidR="009F2291" w:rsidRDefault="009F2291" w:rsidP="00E07ACB">
      <w:pPr>
        <w:spacing w:after="0" w:line="240" w:lineRule="auto"/>
        <w:jc w:val="center"/>
        <w:rPr>
          <w:rFonts w:ascii="Times New Roman" w:eastAsia="Times New Roman" w:hAnsi="Times New Roman" w:cs="Times New Roman"/>
          <w:b/>
          <w:noProof w:val="0"/>
        </w:rPr>
      </w:pPr>
    </w:p>
    <w:p w14:paraId="111AAE9B" w14:textId="77777777" w:rsidR="009F2291" w:rsidRDefault="009F2291" w:rsidP="00E07ACB">
      <w:pPr>
        <w:spacing w:after="0" w:line="240" w:lineRule="auto"/>
        <w:jc w:val="center"/>
        <w:rPr>
          <w:rFonts w:ascii="Times New Roman" w:eastAsia="Times New Roman" w:hAnsi="Times New Roman" w:cs="Times New Roman"/>
          <w:b/>
          <w:noProof w:val="0"/>
        </w:rPr>
      </w:pPr>
    </w:p>
    <w:p w14:paraId="3FF6BA5F" w14:textId="77777777" w:rsidR="009F2291" w:rsidRDefault="009F2291" w:rsidP="00E07ACB">
      <w:pPr>
        <w:spacing w:after="0" w:line="240" w:lineRule="auto"/>
        <w:jc w:val="center"/>
        <w:rPr>
          <w:rFonts w:ascii="Times New Roman" w:eastAsia="Times New Roman" w:hAnsi="Times New Roman" w:cs="Times New Roman"/>
          <w:b/>
          <w:noProof w:val="0"/>
        </w:rPr>
      </w:pPr>
    </w:p>
    <w:p w14:paraId="1ECF3B6A" w14:textId="77777777" w:rsidR="009F2291" w:rsidRDefault="009F2291" w:rsidP="00E07ACB">
      <w:pPr>
        <w:spacing w:after="0" w:line="240" w:lineRule="auto"/>
        <w:jc w:val="center"/>
        <w:rPr>
          <w:rFonts w:ascii="Times New Roman" w:eastAsia="Times New Roman" w:hAnsi="Times New Roman" w:cs="Times New Roman"/>
          <w:b/>
          <w:noProof w:val="0"/>
        </w:rPr>
      </w:pPr>
    </w:p>
    <w:p w14:paraId="67FF7D52" w14:textId="77777777" w:rsidR="009F2291" w:rsidRDefault="009F2291" w:rsidP="00E07ACB">
      <w:pPr>
        <w:spacing w:after="0" w:line="240" w:lineRule="auto"/>
        <w:jc w:val="center"/>
        <w:rPr>
          <w:rFonts w:ascii="Times New Roman" w:eastAsia="Times New Roman" w:hAnsi="Times New Roman" w:cs="Times New Roman"/>
          <w:b/>
          <w:noProof w:val="0"/>
        </w:rPr>
      </w:pPr>
    </w:p>
    <w:p w14:paraId="38F6072D" w14:textId="77777777" w:rsidR="009F2291" w:rsidRDefault="009F2291" w:rsidP="00E07ACB">
      <w:pPr>
        <w:spacing w:after="0" w:line="240" w:lineRule="auto"/>
        <w:jc w:val="center"/>
        <w:rPr>
          <w:rFonts w:ascii="Times New Roman" w:eastAsia="Times New Roman" w:hAnsi="Times New Roman" w:cs="Times New Roman"/>
          <w:b/>
          <w:noProof w:val="0"/>
        </w:rPr>
      </w:pPr>
    </w:p>
    <w:p w14:paraId="702CADB1" w14:textId="77777777" w:rsidR="009F2291" w:rsidRDefault="009F2291" w:rsidP="00E07ACB">
      <w:pPr>
        <w:spacing w:after="0" w:line="240" w:lineRule="auto"/>
        <w:jc w:val="center"/>
        <w:rPr>
          <w:rFonts w:ascii="Times New Roman" w:eastAsia="Times New Roman" w:hAnsi="Times New Roman" w:cs="Times New Roman"/>
          <w:b/>
          <w:noProof w:val="0"/>
        </w:rPr>
      </w:pPr>
    </w:p>
    <w:p w14:paraId="764F7F13" w14:textId="77777777" w:rsidR="009F2291" w:rsidRDefault="009F2291" w:rsidP="00E07ACB">
      <w:pPr>
        <w:spacing w:after="0" w:line="240" w:lineRule="auto"/>
        <w:jc w:val="center"/>
        <w:rPr>
          <w:rFonts w:ascii="Times New Roman" w:eastAsia="Times New Roman" w:hAnsi="Times New Roman" w:cs="Times New Roman"/>
          <w:b/>
          <w:noProof w:val="0"/>
        </w:rPr>
      </w:pPr>
    </w:p>
    <w:p w14:paraId="203C294D" w14:textId="77777777" w:rsidR="009F2291" w:rsidRDefault="009F2291" w:rsidP="00E07ACB">
      <w:pPr>
        <w:spacing w:after="0" w:line="240" w:lineRule="auto"/>
        <w:jc w:val="center"/>
        <w:rPr>
          <w:rFonts w:ascii="Times New Roman" w:eastAsia="Times New Roman" w:hAnsi="Times New Roman" w:cs="Times New Roman"/>
          <w:b/>
          <w:noProof w:val="0"/>
        </w:rPr>
      </w:pPr>
    </w:p>
    <w:p w14:paraId="5C394A6C" w14:textId="77777777" w:rsidR="009F2291" w:rsidRDefault="009F2291" w:rsidP="00E07ACB">
      <w:pPr>
        <w:spacing w:after="0" w:line="240" w:lineRule="auto"/>
        <w:jc w:val="center"/>
        <w:rPr>
          <w:rFonts w:ascii="Times New Roman" w:eastAsia="Times New Roman" w:hAnsi="Times New Roman" w:cs="Times New Roman"/>
          <w:b/>
          <w:noProof w:val="0"/>
        </w:rPr>
      </w:pPr>
    </w:p>
    <w:p w14:paraId="31328B2F" w14:textId="77777777" w:rsidR="009F2291" w:rsidRDefault="009F2291" w:rsidP="00E07ACB">
      <w:pPr>
        <w:spacing w:after="0" w:line="240" w:lineRule="auto"/>
        <w:jc w:val="center"/>
        <w:rPr>
          <w:rFonts w:ascii="Times New Roman" w:eastAsia="Times New Roman" w:hAnsi="Times New Roman" w:cs="Times New Roman"/>
          <w:b/>
          <w:noProof w:val="0"/>
        </w:rPr>
      </w:pPr>
    </w:p>
    <w:p w14:paraId="0A174AA0" w14:textId="77777777" w:rsidR="009F2291" w:rsidRDefault="009F2291" w:rsidP="00E07ACB">
      <w:pPr>
        <w:spacing w:after="0" w:line="240" w:lineRule="auto"/>
        <w:jc w:val="center"/>
        <w:rPr>
          <w:rFonts w:ascii="Times New Roman" w:eastAsia="Times New Roman" w:hAnsi="Times New Roman" w:cs="Times New Roman"/>
          <w:b/>
          <w:noProof w:val="0"/>
        </w:rPr>
      </w:pPr>
    </w:p>
    <w:p w14:paraId="3D6BD47B" w14:textId="77777777" w:rsidR="009F2291" w:rsidRDefault="009F2291" w:rsidP="00E07ACB">
      <w:pPr>
        <w:spacing w:after="0" w:line="240" w:lineRule="auto"/>
        <w:jc w:val="center"/>
        <w:rPr>
          <w:rFonts w:ascii="Times New Roman" w:eastAsia="Times New Roman" w:hAnsi="Times New Roman" w:cs="Times New Roman"/>
          <w:b/>
          <w:noProof w:val="0"/>
        </w:rPr>
      </w:pPr>
    </w:p>
    <w:p w14:paraId="18C66019" w14:textId="77777777" w:rsidR="009F2291" w:rsidRDefault="009F2291" w:rsidP="00E07ACB">
      <w:pPr>
        <w:spacing w:after="0" w:line="240" w:lineRule="auto"/>
        <w:jc w:val="center"/>
        <w:rPr>
          <w:rFonts w:ascii="Times New Roman" w:eastAsia="Times New Roman" w:hAnsi="Times New Roman" w:cs="Times New Roman"/>
          <w:b/>
          <w:noProof w:val="0"/>
        </w:rPr>
      </w:pPr>
    </w:p>
    <w:p w14:paraId="6DA85B94" w14:textId="77777777" w:rsidR="009F2291" w:rsidRDefault="009F2291" w:rsidP="00E07ACB">
      <w:pPr>
        <w:spacing w:after="0" w:line="240" w:lineRule="auto"/>
        <w:jc w:val="center"/>
        <w:rPr>
          <w:rFonts w:ascii="Times New Roman" w:eastAsia="Times New Roman" w:hAnsi="Times New Roman" w:cs="Times New Roman"/>
          <w:b/>
          <w:noProof w:val="0"/>
        </w:rPr>
      </w:pPr>
    </w:p>
    <w:p w14:paraId="779018A6" w14:textId="77777777" w:rsidR="009F2291" w:rsidRDefault="009F2291" w:rsidP="00E07ACB">
      <w:pPr>
        <w:spacing w:after="0" w:line="240" w:lineRule="auto"/>
        <w:jc w:val="center"/>
        <w:rPr>
          <w:rFonts w:ascii="Times New Roman" w:eastAsia="Times New Roman" w:hAnsi="Times New Roman" w:cs="Times New Roman"/>
          <w:b/>
          <w:noProof w:val="0"/>
        </w:rPr>
      </w:pPr>
    </w:p>
    <w:p w14:paraId="41C6BBEC" w14:textId="77777777" w:rsidR="009F2291" w:rsidRDefault="009F2291" w:rsidP="00E07ACB">
      <w:pPr>
        <w:spacing w:after="0" w:line="240" w:lineRule="auto"/>
        <w:jc w:val="center"/>
        <w:rPr>
          <w:rFonts w:ascii="Times New Roman" w:eastAsia="Times New Roman" w:hAnsi="Times New Roman" w:cs="Times New Roman"/>
          <w:b/>
          <w:noProof w:val="0"/>
        </w:rPr>
      </w:pPr>
    </w:p>
    <w:p w14:paraId="03E8FE19" w14:textId="77777777" w:rsidR="009F2291" w:rsidRDefault="009F2291" w:rsidP="00E07ACB">
      <w:pPr>
        <w:spacing w:after="0" w:line="240" w:lineRule="auto"/>
        <w:jc w:val="center"/>
        <w:rPr>
          <w:rFonts w:ascii="Times New Roman" w:eastAsia="Times New Roman" w:hAnsi="Times New Roman" w:cs="Times New Roman"/>
          <w:b/>
          <w:noProof w:val="0"/>
        </w:rPr>
      </w:pPr>
    </w:p>
    <w:p w14:paraId="791E1EBF" w14:textId="77777777" w:rsidR="009F2291" w:rsidRDefault="009F2291" w:rsidP="00E07ACB">
      <w:pPr>
        <w:spacing w:after="0" w:line="240" w:lineRule="auto"/>
        <w:jc w:val="center"/>
        <w:rPr>
          <w:rFonts w:ascii="Times New Roman" w:eastAsia="Times New Roman" w:hAnsi="Times New Roman" w:cs="Times New Roman"/>
          <w:b/>
          <w:noProof w:val="0"/>
        </w:rPr>
      </w:pPr>
    </w:p>
    <w:p w14:paraId="5F1922F2" w14:textId="77777777" w:rsidR="009F2291" w:rsidRDefault="009F2291" w:rsidP="00E07ACB">
      <w:pPr>
        <w:spacing w:after="0" w:line="240" w:lineRule="auto"/>
        <w:jc w:val="center"/>
        <w:rPr>
          <w:rFonts w:ascii="Times New Roman" w:eastAsia="Times New Roman" w:hAnsi="Times New Roman" w:cs="Times New Roman"/>
          <w:b/>
          <w:noProof w:val="0"/>
        </w:rPr>
      </w:pPr>
    </w:p>
    <w:p w14:paraId="5EBA468C" w14:textId="77777777" w:rsidR="009F2291" w:rsidRDefault="009F2291" w:rsidP="00E07ACB">
      <w:pPr>
        <w:spacing w:after="0" w:line="240" w:lineRule="auto"/>
        <w:jc w:val="center"/>
        <w:rPr>
          <w:rFonts w:ascii="Times New Roman" w:eastAsia="Times New Roman" w:hAnsi="Times New Roman" w:cs="Times New Roman"/>
          <w:b/>
          <w:noProof w:val="0"/>
        </w:rPr>
      </w:pPr>
    </w:p>
    <w:p w14:paraId="20AF86F6" w14:textId="77777777" w:rsidR="009F2291" w:rsidRDefault="009F2291" w:rsidP="00E07ACB">
      <w:pPr>
        <w:spacing w:after="0" w:line="240" w:lineRule="auto"/>
        <w:jc w:val="center"/>
        <w:rPr>
          <w:rFonts w:ascii="Times New Roman" w:eastAsia="Times New Roman" w:hAnsi="Times New Roman" w:cs="Times New Roman"/>
          <w:b/>
          <w:noProof w:val="0"/>
        </w:rPr>
      </w:pPr>
    </w:p>
    <w:p w14:paraId="1543687E" w14:textId="77777777" w:rsidR="009F2291" w:rsidRDefault="009F2291" w:rsidP="00E07ACB">
      <w:pPr>
        <w:spacing w:after="0" w:line="240" w:lineRule="auto"/>
        <w:jc w:val="center"/>
        <w:rPr>
          <w:rFonts w:ascii="Times New Roman" w:eastAsia="Times New Roman" w:hAnsi="Times New Roman" w:cs="Times New Roman"/>
          <w:b/>
          <w:noProof w:val="0"/>
        </w:rPr>
      </w:pPr>
    </w:p>
    <w:p w14:paraId="33C6CD66" w14:textId="77777777" w:rsidR="009F2291" w:rsidRDefault="009F2291" w:rsidP="00E07ACB">
      <w:pPr>
        <w:spacing w:after="0" w:line="240" w:lineRule="auto"/>
        <w:jc w:val="center"/>
        <w:rPr>
          <w:rFonts w:ascii="Times New Roman" w:eastAsia="Times New Roman" w:hAnsi="Times New Roman" w:cs="Times New Roman"/>
          <w:b/>
          <w:noProof w:val="0"/>
        </w:rPr>
      </w:pPr>
    </w:p>
    <w:p w14:paraId="7C7404F2" w14:textId="77777777" w:rsidR="009F2291" w:rsidRDefault="009F2291" w:rsidP="00E07ACB">
      <w:pPr>
        <w:spacing w:after="0" w:line="240" w:lineRule="auto"/>
        <w:jc w:val="center"/>
        <w:rPr>
          <w:rFonts w:ascii="Times New Roman" w:eastAsia="Times New Roman" w:hAnsi="Times New Roman" w:cs="Times New Roman"/>
          <w:b/>
          <w:noProof w:val="0"/>
        </w:rPr>
      </w:pPr>
    </w:p>
    <w:p w14:paraId="370FAFF1" w14:textId="6CC27E4B" w:rsidR="00E07ACB" w:rsidRPr="00E07ACB" w:rsidRDefault="00E07ACB" w:rsidP="00E07ACB">
      <w:pPr>
        <w:spacing w:after="0" w:line="240" w:lineRule="auto"/>
        <w:jc w:val="center"/>
        <w:rPr>
          <w:rFonts w:ascii="Times New Roman" w:eastAsia="Times New Roman" w:hAnsi="Times New Roman" w:cs="Times New Roman"/>
          <w:noProof w:val="0"/>
        </w:rPr>
      </w:pPr>
      <w:r w:rsidRPr="00E07ACB">
        <w:rPr>
          <w:rFonts w:ascii="Times New Roman" w:eastAsia="Times New Roman" w:hAnsi="Times New Roman" w:cs="Times New Roman"/>
          <w:b/>
          <w:noProof w:val="0"/>
        </w:rPr>
        <w:t>II PRIEDAS</w:t>
      </w:r>
    </w:p>
    <w:p w14:paraId="6FDD8A89" w14:textId="77777777" w:rsidR="00E07ACB" w:rsidRPr="00E07ACB" w:rsidRDefault="00E07ACB" w:rsidP="00E07ACB">
      <w:pPr>
        <w:spacing w:after="0" w:line="240" w:lineRule="auto"/>
        <w:jc w:val="center"/>
        <w:rPr>
          <w:rFonts w:ascii="Times New Roman" w:eastAsia="Times New Roman" w:hAnsi="Times New Roman" w:cs="Times New Roman"/>
          <w:noProof w:val="0"/>
          <w:highlight w:val="yellow"/>
        </w:rPr>
      </w:pPr>
    </w:p>
    <w:p w14:paraId="2118AFBE" w14:textId="77777777" w:rsidR="00E07ACB" w:rsidRPr="00E07ACB" w:rsidRDefault="00E07ACB" w:rsidP="00E07ACB">
      <w:pPr>
        <w:spacing w:after="0" w:line="240" w:lineRule="auto"/>
        <w:jc w:val="center"/>
        <w:rPr>
          <w:rFonts w:ascii="Times New Roman" w:eastAsia="Times New Roman" w:hAnsi="Times New Roman" w:cs="Times New Roman"/>
          <w:b/>
          <w:noProof w:val="0"/>
        </w:rPr>
      </w:pPr>
      <w:r w:rsidRPr="00E07ACB">
        <w:rPr>
          <w:rFonts w:ascii="Times New Roman" w:eastAsia="Times New Roman" w:hAnsi="Times New Roman" w:cs="Times New Roman"/>
          <w:b/>
          <w:noProof w:val="0"/>
        </w:rPr>
        <w:t>REGISTRACIJOS SĄLYGOS</w:t>
      </w:r>
    </w:p>
    <w:p w14:paraId="4B1ADD2C" w14:textId="77777777" w:rsidR="00E07ACB" w:rsidRPr="00E07ACB" w:rsidRDefault="00E07ACB" w:rsidP="00E07ACB">
      <w:pPr>
        <w:spacing w:after="0" w:line="240" w:lineRule="auto"/>
        <w:rPr>
          <w:rFonts w:ascii="Times New Roman" w:eastAsia="Times New Roman" w:hAnsi="Times New Roman" w:cs="Times New Roman"/>
          <w:noProof w:val="0"/>
        </w:rPr>
      </w:pPr>
    </w:p>
    <w:p w14:paraId="60A3AFF5"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A.</w:t>
      </w:r>
      <w:r w:rsidRPr="00E07ACB">
        <w:rPr>
          <w:rFonts w:ascii="Times New Roman" w:eastAsia="Times New Roman" w:hAnsi="Times New Roman" w:cs="Times New Roman"/>
          <w:b/>
          <w:noProof w:val="0"/>
        </w:rPr>
        <w:tab/>
        <w:t>GAMINTOJAS (-AI), ATSAKINGAS (-I) UŽ SERIJŲ IŠLEIDIMĄ</w:t>
      </w:r>
    </w:p>
    <w:p w14:paraId="02A23515" w14:textId="77777777" w:rsidR="00E07ACB" w:rsidRPr="00E07ACB" w:rsidRDefault="00E07ACB" w:rsidP="00E07ACB">
      <w:pPr>
        <w:spacing w:after="0" w:line="240" w:lineRule="auto"/>
        <w:rPr>
          <w:rFonts w:ascii="Times New Roman" w:eastAsia="Times New Roman" w:hAnsi="Times New Roman" w:cs="Times New Roman"/>
          <w:noProof w:val="0"/>
        </w:rPr>
      </w:pPr>
    </w:p>
    <w:p w14:paraId="23DB0966" w14:textId="77777777" w:rsidR="00E07ACB" w:rsidRPr="00E07ACB" w:rsidRDefault="00E07ACB" w:rsidP="00E07ACB">
      <w:pPr>
        <w:suppressLineNumber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B.</w:t>
      </w:r>
      <w:r w:rsidRPr="00E07ACB">
        <w:rPr>
          <w:rFonts w:ascii="Times New Roman" w:eastAsia="Times New Roman" w:hAnsi="Times New Roman" w:cs="Times New Roman"/>
          <w:b/>
          <w:noProof w:val="0"/>
        </w:rPr>
        <w:tab/>
        <w:t>TIEKIMO IR VARTOJIMO SĄLYGOS AR APRIBOJIMAI</w:t>
      </w:r>
    </w:p>
    <w:p w14:paraId="25044C53" w14:textId="77777777" w:rsidR="00E07ACB" w:rsidRPr="00E07ACB" w:rsidRDefault="00E07ACB" w:rsidP="00E07ACB">
      <w:pPr>
        <w:spacing w:after="0" w:line="240" w:lineRule="auto"/>
        <w:rPr>
          <w:rFonts w:ascii="Times New Roman" w:eastAsia="Times New Roman" w:hAnsi="Times New Roman" w:cs="Times New Roman"/>
          <w:noProof w:val="0"/>
        </w:rPr>
      </w:pPr>
    </w:p>
    <w:p w14:paraId="30F0D47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br w:type="page"/>
      </w:r>
      <w:r w:rsidRPr="00E07ACB">
        <w:rPr>
          <w:rFonts w:ascii="Times New Roman" w:eastAsia="Times New Roman" w:hAnsi="Times New Roman" w:cs="Times New Roman"/>
          <w:b/>
          <w:noProof w:val="0"/>
        </w:rPr>
        <w:lastRenderedPageBreak/>
        <w:t>A.</w:t>
      </w:r>
      <w:r w:rsidRPr="00E07ACB">
        <w:rPr>
          <w:rFonts w:ascii="Times New Roman" w:eastAsia="Times New Roman" w:hAnsi="Times New Roman" w:cs="Times New Roman"/>
          <w:b/>
          <w:noProof w:val="0"/>
        </w:rPr>
        <w:tab/>
        <w:t>GAMINTOJAS (-AI), ATSAKINGAS (-I) UŽ SERIJŲ IŠLEIDIMĄ</w:t>
      </w:r>
    </w:p>
    <w:p w14:paraId="2213713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yellow"/>
        </w:rPr>
      </w:pPr>
    </w:p>
    <w:p w14:paraId="5EEADCE3" w14:textId="77777777" w:rsidR="00E07ACB" w:rsidRPr="00E07ACB" w:rsidRDefault="00E07ACB" w:rsidP="00E07ACB">
      <w:pPr>
        <w:tabs>
          <w:tab w:val="left" w:pos="567"/>
        </w:tabs>
        <w:spacing w:after="0" w:line="240" w:lineRule="auto"/>
        <w:jc w:val="both"/>
        <w:rPr>
          <w:rFonts w:ascii="Times New Roman" w:eastAsia="Times New Roman" w:hAnsi="Times New Roman" w:cs="Times New Roman"/>
          <w:noProof w:val="0"/>
        </w:rPr>
      </w:pPr>
      <w:r w:rsidRPr="00E07ACB">
        <w:rPr>
          <w:rFonts w:ascii="Times New Roman" w:eastAsia="Times New Roman" w:hAnsi="Times New Roman" w:cs="Times New Roman"/>
          <w:noProof w:val="0"/>
          <w:u w:val="single"/>
        </w:rPr>
        <w:t xml:space="preserve">Gamintojo </w:t>
      </w:r>
      <w:r w:rsidRPr="00E07ACB">
        <w:rPr>
          <w:rFonts w:ascii="Times New Roman" w:eastAsia="Times New Roman" w:hAnsi="Times New Roman" w:cs="Times New Roman"/>
          <w:noProof w:val="0"/>
          <w:snapToGrid w:val="0"/>
          <w:u w:val="single"/>
        </w:rPr>
        <w:t xml:space="preserve">(-ų), atsakingo (-ų) už serijų išleidimą, </w:t>
      </w:r>
      <w:r w:rsidRPr="00E07ACB">
        <w:rPr>
          <w:rFonts w:ascii="Times New Roman" w:eastAsia="Times New Roman" w:hAnsi="Times New Roman" w:cs="Times New Roman"/>
          <w:noProof w:val="0"/>
          <w:u w:val="single"/>
        </w:rPr>
        <w:t xml:space="preserve">pavadinimas </w:t>
      </w:r>
      <w:r w:rsidRPr="00E07ACB">
        <w:rPr>
          <w:rFonts w:ascii="Times New Roman" w:eastAsia="Times New Roman" w:hAnsi="Times New Roman" w:cs="Times New Roman"/>
          <w:noProof w:val="0"/>
          <w:snapToGrid w:val="0"/>
          <w:u w:val="single"/>
        </w:rPr>
        <w:t xml:space="preserve">(-ai) </w:t>
      </w:r>
      <w:r w:rsidRPr="00E07ACB">
        <w:rPr>
          <w:rFonts w:ascii="Times New Roman" w:eastAsia="Times New Roman" w:hAnsi="Times New Roman" w:cs="Times New Roman"/>
          <w:noProof w:val="0"/>
          <w:u w:val="single"/>
        </w:rPr>
        <w:t>ir adresas</w:t>
      </w:r>
      <w:r w:rsidRPr="00E07ACB">
        <w:rPr>
          <w:rFonts w:ascii="Times New Roman" w:eastAsia="Times New Roman" w:hAnsi="Times New Roman" w:cs="Times New Roman"/>
          <w:noProof w:val="0"/>
          <w:snapToGrid w:val="0"/>
          <w:u w:val="single"/>
        </w:rPr>
        <w:t xml:space="preserve"> (-ai)</w:t>
      </w:r>
    </w:p>
    <w:p w14:paraId="7328DA1C" w14:textId="77777777" w:rsidR="00E07ACB" w:rsidRPr="00E07ACB" w:rsidRDefault="00E07ACB" w:rsidP="00E07ACB">
      <w:pPr>
        <w:spacing w:after="0" w:line="240" w:lineRule="auto"/>
        <w:ind w:left="566" w:hanging="566"/>
        <w:rPr>
          <w:rFonts w:ascii="Times New Roman" w:eastAsia="Times New Roman" w:hAnsi="Times New Roman" w:cs="Times New Roman"/>
          <w:noProof w:val="0"/>
          <w:szCs w:val="20"/>
          <w:lang w:eastAsia="de-DE"/>
        </w:rPr>
      </w:pPr>
    </w:p>
    <w:p w14:paraId="014468B9"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AqVida GmbH</w:t>
      </w:r>
    </w:p>
    <w:p w14:paraId="3872411F"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szCs w:val="24"/>
        </w:rPr>
      </w:pPr>
      <w:r w:rsidRPr="00E07ACB">
        <w:rPr>
          <w:rFonts w:ascii="Times New Roman" w:eastAsia="Times New Roman" w:hAnsi="Times New Roman" w:cs="Times New Roman"/>
          <w:noProof w:val="0"/>
        </w:rPr>
        <w:t xml:space="preserve">Kaiser-Wilhelm-Str. </w:t>
      </w:r>
      <w:r w:rsidRPr="00E07ACB">
        <w:rPr>
          <w:rFonts w:ascii="Times New Roman" w:eastAsia="Times New Roman" w:hAnsi="Times New Roman" w:cs="Times New Roman"/>
          <w:noProof w:val="0"/>
          <w:szCs w:val="24"/>
        </w:rPr>
        <w:t>89</w:t>
      </w:r>
    </w:p>
    <w:p w14:paraId="123919C8"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szCs w:val="24"/>
        </w:rPr>
      </w:pPr>
      <w:r w:rsidRPr="00E07ACB">
        <w:rPr>
          <w:rFonts w:ascii="Times New Roman" w:eastAsia="Times New Roman" w:hAnsi="Times New Roman" w:cs="Times New Roman"/>
          <w:noProof w:val="0"/>
          <w:szCs w:val="24"/>
        </w:rPr>
        <w:t>20355 Hamburg</w:t>
      </w:r>
    </w:p>
    <w:p w14:paraId="339ED297" w14:textId="77777777" w:rsidR="00E07ACB" w:rsidRPr="00E07ACB" w:rsidRDefault="00E07ACB" w:rsidP="00E07ACB">
      <w:pPr>
        <w:spacing w:after="0" w:line="240" w:lineRule="auto"/>
        <w:rPr>
          <w:rFonts w:ascii="Times New Roman" w:eastAsia="Times New Roman" w:hAnsi="Times New Roman" w:cs="Times New Roman"/>
          <w:noProof w:val="0"/>
          <w:szCs w:val="24"/>
        </w:rPr>
      </w:pPr>
      <w:r w:rsidRPr="00E07ACB">
        <w:rPr>
          <w:rFonts w:ascii="Times New Roman" w:eastAsia="Times New Roman" w:hAnsi="Times New Roman" w:cs="Times New Roman"/>
          <w:noProof w:val="0"/>
          <w:szCs w:val="24"/>
        </w:rPr>
        <w:t>Vokietija</w:t>
      </w:r>
    </w:p>
    <w:p w14:paraId="6F01C8E3" w14:textId="77777777" w:rsidR="00E07ACB" w:rsidRPr="00E07ACB" w:rsidRDefault="00E07ACB" w:rsidP="00E07ACB">
      <w:pPr>
        <w:spacing w:after="0" w:line="240" w:lineRule="auto"/>
        <w:rPr>
          <w:rFonts w:ascii="Times New Roman" w:eastAsia="Times New Roman" w:hAnsi="Times New Roman" w:cs="Times New Roman"/>
          <w:noProof w:val="0"/>
        </w:rPr>
      </w:pPr>
    </w:p>
    <w:p w14:paraId="3284AB18" w14:textId="77777777" w:rsidR="00E07ACB" w:rsidRPr="00E07ACB" w:rsidRDefault="00E07ACB" w:rsidP="00E07ACB">
      <w:pPr>
        <w:spacing w:after="0" w:line="240" w:lineRule="auto"/>
        <w:rPr>
          <w:rFonts w:ascii="Times New Roman" w:eastAsia="Times New Roman" w:hAnsi="Times New Roman" w:cs="Times New Roman"/>
          <w:noProof w:val="0"/>
          <w:highlight w:val="yellow"/>
        </w:rPr>
      </w:pPr>
    </w:p>
    <w:p w14:paraId="26A490A9"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B.</w:t>
      </w:r>
      <w:r w:rsidRPr="00E07ACB">
        <w:rPr>
          <w:rFonts w:ascii="Times New Roman" w:eastAsia="Times New Roman" w:hAnsi="Times New Roman" w:cs="Times New Roman"/>
          <w:b/>
          <w:noProof w:val="0"/>
        </w:rPr>
        <w:tab/>
        <w:t>TIEKIMO IR VARTOJIMO SĄLYGOS AR APRIBOJIMAI</w:t>
      </w:r>
    </w:p>
    <w:p w14:paraId="124E6E2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5E57276"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Receptinis vaistinis preparatas.</w:t>
      </w:r>
    </w:p>
    <w:p w14:paraId="2E6508F6" w14:textId="77777777" w:rsidR="00E07ACB" w:rsidRPr="00E07ACB" w:rsidRDefault="00E07ACB" w:rsidP="00E07ACB">
      <w:pPr>
        <w:spacing w:after="0" w:line="240" w:lineRule="auto"/>
        <w:rPr>
          <w:rFonts w:ascii="Times New Roman" w:eastAsia="Times New Roman" w:hAnsi="Times New Roman" w:cs="Times New Roman"/>
          <w:noProof w:val="0"/>
          <w:highlight w:val="yellow"/>
        </w:rPr>
      </w:pPr>
    </w:p>
    <w:p w14:paraId="75159503" w14:textId="77777777" w:rsidR="00E07ACB" w:rsidRPr="00E07ACB" w:rsidRDefault="00E07ACB" w:rsidP="00E07ACB">
      <w:pPr>
        <w:spacing w:after="0" w:line="240" w:lineRule="auto"/>
        <w:rPr>
          <w:rFonts w:ascii="Times New Roman" w:eastAsia="Times New Roman" w:hAnsi="Times New Roman" w:cs="Times New Roman"/>
          <w:noProof w:val="0"/>
          <w:highlight w:val="yellow"/>
        </w:rPr>
      </w:pPr>
    </w:p>
    <w:p w14:paraId="5802978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br w:type="page"/>
      </w:r>
    </w:p>
    <w:p w14:paraId="767B6D81" w14:textId="77777777" w:rsidR="00E07ACB" w:rsidRPr="00E07ACB" w:rsidRDefault="00E07ACB" w:rsidP="00E07ACB">
      <w:pPr>
        <w:spacing w:after="0" w:line="240" w:lineRule="auto"/>
        <w:rPr>
          <w:rFonts w:ascii="Times New Roman" w:eastAsia="Times New Roman" w:hAnsi="Times New Roman" w:cs="Times New Roman"/>
          <w:noProof w:val="0"/>
        </w:rPr>
      </w:pPr>
    </w:p>
    <w:p w14:paraId="7824E3CC" w14:textId="77777777" w:rsidR="00E07ACB" w:rsidRPr="00E07ACB" w:rsidRDefault="00E07ACB" w:rsidP="00E07ACB">
      <w:pPr>
        <w:spacing w:after="0" w:line="240" w:lineRule="auto"/>
        <w:rPr>
          <w:rFonts w:ascii="Times New Roman" w:eastAsia="Times New Roman" w:hAnsi="Times New Roman" w:cs="Times New Roman"/>
          <w:noProof w:val="0"/>
        </w:rPr>
      </w:pPr>
    </w:p>
    <w:p w14:paraId="3A4405B7" w14:textId="77777777" w:rsidR="00E07ACB" w:rsidRPr="00E07ACB" w:rsidRDefault="00E07ACB" w:rsidP="00E07ACB">
      <w:pPr>
        <w:spacing w:after="0" w:line="240" w:lineRule="auto"/>
        <w:rPr>
          <w:rFonts w:ascii="Times New Roman" w:eastAsia="Times New Roman" w:hAnsi="Times New Roman" w:cs="Times New Roman"/>
          <w:noProof w:val="0"/>
        </w:rPr>
      </w:pPr>
    </w:p>
    <w:p w14:paraId="5E9C1A04" w14:textId="77777777" w:rsidR="00E07ACB" w:rsidRPr="00E07ACB" w:rsidRDefault="00E07ACB" w:rsidP="00E07ACB">
      <w:pPr>
        <w:spacing w:after="0" w:line="240" w:lineRule="auto"/>
        <w:rPr>
          <w:rFonts w:ascii="Times New Roman" w:eastAsia="Times New Roman" w:hAnsi="Times New Roman" w:cs="Times New Roman"/>
          <w:noProof w:val="0"/>
        </w:rPr>
      </w:pPr>
    </w:p>
    <w:p w14:paraId="259EF1CF" w14:textId="77777777" w:rsidR="00E07ACB" w:rsidRPr="00E07ACB" w:rsidRDefault="00E07ACB" w:rsidP="00E07ACB">
      <w:pPr>
        <w:spacing w:after="0" w:line="240" w:lineRule="auto"/>
        <w:rPr>
          <w:rFonts w:ascii="Times New Roman" w:eastAsia="Times New Roman" w:hAnsi="Times New Roman" w:cs="Times New Roman"/>
          <w:noProof w:val="0"/>
        </w:rPr>
      </w:pPr>
    </w:p>
    <w:p w14:paraId="5DAF4A52" w14:textId="77777777" w:rsidR="00E07ACB" w:rsidRPr="00E07ACB" w:rsidRDefault="00E07ACB" w:rsidP="00E07ACB">
      <w:pPr>
        <w:spacing w:after="0" w:line="240" w:lineRule="auto"/>
        <w:rPr>
          <w:rFonts w:ascii="Times New Roman" w:eastAsia="Times New Roman" w:hAnsi="Times New Roman" w:cs="Times New Roman"/>
          <w:noProof w:val="0"/>
        </w:rPr>
      </w:pPr>
    </w:p>
    <w:p w14:paraId="28C30781" w14:textId="77777777" w:rsidR="00E07ACB" w:rsidRPr="00E07ACB" w:rsidRDefault="00E07ACB" w:rsidP="00E07ACB">
      <w:pPr>
        <w:spacing w:after="0" w:line="240" w:lineRule="auto"/>
        <w:rPr>
          <w:rFonts w:ascii="Times New Roman" w:eastAsia="Times New Roman" w:hAnsi="Times New Roman" w:cs="Times New Roman"/>
          <w:noProof w:val="0"/>
        </w:rPr>
      </w:pPr>
    </w:p>
    <w:p w14:paraId="5D039FED" w14:textId="77777777" w:rsidR="00E07ACB" w:rsidRPr="00E07ACB" w:rsidRDefault="00E07ACB" w:rsidP="00E07ACB">
      <w:pPr>
        <w:spacing w:after="0" w:line="240" w:lineRule="auto"/>
        <w:rPr>
          <w:rFonts w:ascii="Times New Roman" w:eastAsia="Times New Roman" w:hAnsi="Times New Roman" w:cs="Times New Roman"/>
          <w:noProof w:val="0"/>
        </w:rPr>
      </w:pPr>
    </w:p>
    <w:p w14:paraId="6F1B2C8C" w14:textId="77777777" w:rsidR="00E07ACB" w:rsidRPr="00E07ACB" w:rsidRDefault="00E07ACB" w:rsidP="00E07ACB">
      <w:pPr>
        <w:spacing w:after="0" w:line="240" w:lineRule="auto"/>
        <w:rPr>
          <w:rFonts w:ascii="Times New Roman" w:eastAsia="Times New Roman" w:hAnsi="Times New Roman" w:cs="Times New Roman"/>
          <w:noProof w:val="0"/>
        </w:rPr>
      </w:pPr>
    </w:p>
    <w:p w14:paraId="0088F4D1" w14:textId="77777777" w:rsidR="00E07ACB" w:rsidRPr="00E07ACB" w:rsidRDefault="00E07ACB" w:rsidP="00E07ACB">
      <w:pPr>
        <w:spacing w:after="0" w:line="240" w:lineRule="auto"/>
        <w:rPr>
          <w:rFonts w:ascii="Times New Roman" w:eastAsia="Times New Roman" w:hAnsi="Times New Roman" w:cs="Times New Roman"/>
          <w:noProof w:val="0"/>
        </w:rPr>
      </w:pPr>
    </w:p>
    <w:p w14:paraId="2124B671" w14:textId="77777777" w:rsidR="00E07ACB" w:rsidRPr="00E07ACB" w:rsidRDefault="00E07ACB" w:rsidP="00E07ACB">
      <w:pPr>
        <w:spacing w:after="0" w:line="240" w:lineRule="auto"/>
        <w:rPr>
          <w:rFonts w:ascii="Times New Roman" w:eastAsia="Times New Roman" w:hAnsi="Times New Roman" w:cs="Times New Roman"/>
          <w:noProof w:val="0"/>
        </w:rPr>
      </w:pPr>
    </w:p>
    <w:p w14:paraId="1877CF97" w14:textId="77777777" w:rsidR="00E07ACB" w:rsidRPr="00E07ACB" w:rsidRDefault="00E07ACB" w:rsidP="00E07ACB">
      <w:pPr>
        <w:spacing w:after="0" w:line="240" w:lineRule="auto"/>
        <w:rPr>
          <w:rFonts w:ascii="Times New Roman" w:eastAsia="Times New Roman" w:hAnsi="Times New Roman" w:cs="Times New Roman"/>
          <w:noProof w:val="0"/>
        </w:rPr>
      </w:pPr>
    </w:p>
    <w:p w14:paraId="47639E39" w14:textId="77777777" w:rsidR="00E07ACB" w:rsidRPr="00E07ACB" w:rsidRDefault="00E07ACB" w:rsidP="00E07ACB">
      <w:pPr>
        <w:spacing w:after="0" w:line="240" w:lineRule="auto"/>
        <w:rPr>
          <w:rFonts w:ascii="Times New Roman" w:eastAsia="Times New Roman" w:hAnsi="Times New Roman" w:cs="Times New Roman"/>
          <w:noProof w:val="0"/>
        </w:rPr>
      </w:pPr>
    </w:p>
    <w:p w14:paraId="53B9C20A" w14:textId="77777777" w:rsidR="00E07ACB" w:rsidRPr="00E07ACB" w:rsidRDefault="00E07ACB" w:rsidP="00E07ACB">
      <w:pPr>
        <w:spacing w:after="0" w:line="240" w:lineRule="auto"/>
        <w:rPr>
          <w:rFonts w:ascii="Times New Roman" w:eastAsia="Times New Roman" w:hAnsi="Times New Roman" w:cs="Times New Roman"/>
          <w:noProof w:val="0"/>
        </w:rPr>
      </w:pPr>
    </w:p>
    <w:p w14:paraId="1855ED2D" w14:textId="77777777" w:rsidR="00E07ACB" w:rsidRPr="00E07ACB" w:rsidRDefault="00E07ACB" w:rsidP="00E07ACB">
      <w:pPr>
        <w:spacing w:after="0" w:line="240" w:lineRule="auto"/>
        <w:rPr>
          <w:rFonts w:ascii="Times New Roman" w:eastAsia="Times New Roman" w:hAnsi="Times New Roman" w:cs="Times New Roman"/>
          <w:noProof w:val="0"/>
        </w:rPr>
      </w:pPr>
    </w:p>
    <w:p w14:paraId="33788E45" w14:textId="77777777" w:rsidR="00E07ACB" w:rsidRPr="00E07ACB" w:rsidRDefault="00E07ACB" w:rsidP="00E07ACB">
      <w:pPr>
        <w:spacing w:after="0" w:line="240" w:lineRule="auto"/>
        <w:rPr>
          <w:rFonts w:ascii="Times New Roman" w:eastAsia="Times New Roman" w:hAnsi="Times New Roman" w:cs="Times New Roman"/>
          <w:noProof w:val="0"/>
        </w:rPr>
      </w:pPr>
    </w:p>
    <w:p w14:paraId="32F6CC60" w14:textId="77777777" w:rsidR="00E07ACB" w:rsidRPr="00E07ACB" w:rsidRDefault="00E07ACB" w:rsidP="00E07ACB">
      <w:pPr>
        <w:spacing w:after="0" w:line="240" w:lineRule="auto"/>
        <w:rPr>
          <w:rFonts w:ascii="Times New Roman" w:eastAsia="Times New Roman" w:hAnsi="Times New Roman" w:cs="Times New Roman"/>
          <w:noProof w:val="0"/>
        </w:rPr>
      </w:pPr>
    </w:p>
    <w:p w14:paraId="410B5A83" w14:textId="77777777" w:rsidR="00E07ACB" w:rsidRPr="00E07ACB" w:rsidRDefault="00E07ACB" w:rsidP="00E07ACB">
      <w:pPr>
        <w:spacing w:after="0" w:line="240" w:lineRule="auto"/>
        <w:rPr>
          <w:rFonts w:ascii="Times New Roman" w:eastAsia="Times New Roman" w:hAnsi="Times New Roman" w:cs="Times New Roman"/>
          <w:noProof w:val="0"/>
        </w:rPr>
      </w:pPr>
    </w:p>
    <w:p w14:paraId="6B9C330C" w14:textId="77777777" w:rsidR="00E07ACB" w:rsidRPr="00E07ACB" w:rsidRDefault="00E07ACB" w:rsidP="00E07ACB">
      <w:pPr>
        <w:spacing w:after="0" w:line="240" w:lineRule="auto"/>
        <w:rPr>
          <w:rFonts w:ascii="Times New Roman" w:eastAsia="Times New Roman" w:hAnsi="Times New Roman" w:cs="Times New Roman"/>
          <w:noProof w:val="0"/>
        </w:rPr>
      </w:pPr>
    </w:p>
    <w:p w14:paraId="625F3CEE" w14:textId="77777777" w:rsidR="00E07ACB" w:rsidRPr="00E07ACB" w:rsidRDefault="00E07ACB" w:rsidP="00E07ACB">
      <w:pPr>
        <w:spacing w:after="0" w:line="240" w:lineRule="auto"/>
        <w:rPr>
          <w:rFonts w:ascii="Times New Roman" w:eastAsia="Times New Roman" w:hAnsi="Times New Roman" w:cs="Times New Roman"/>
          <w:noProof w:val="0"/>
        </w:rPr>
      </w:pPr>
    </w:p>
    <w:p w14:paraId="7AB1741D" w14:textId="77777777" w:rsidR="00E07ACB" w:rsidRPr="00E07ACB" w:rsidRDefault="00E07ACB" w:rsidP="00E07ACB">
      <w:pPr>
        <w:spacing w:after="0" w:line="240" w:lineRule="auto"/>
        <w:rPr>
          <w:rFonts w:ascii="Times New Roman" w:eastAsia="Times New Roman" w:hAnsi="Times New Roman" w:cs="Times New Roman"/>
          <w:noProof w:val="0"/>
        </w:rPr>
      </w:pPr>
    </w:p>
    <w:p w14:paraId="04C06DD5" w14:textId="77777777" w:rsidR="00E07ACB" w:rsidRPr="00E07ACB" w:rsidRDefault="00E07ACB" w:rsidP="00E07ACB">
      <w:pPr>
        <w:spacing w:after="0" w:line="240" w:lineRule="auto"/>
        <w:rPr>
          <w:rFonts w:ascii="Times New Roman" w:eastAsia="Times New Roman" w:hAnsi="Times New Roman" w:cs="Times New Roman"/>
          <w:noProof w:val="0"/>
        </w:rPr>
      </w:pPr>
    </w:p>
    <w:p w14:paraId="65422A11" w14:textId="77777777" w:rsidR="00E07ACB" w:rsidRPr="00E07ACB" w:rsidRDefault="00E07ACB" w:rsidP="00E07ACB">
      <w:pPr>
        <w:spacing w:after="0" w:line="240" w:lineRule="auto"/>
        <w:rPr>
          <w:rFonts w:ascii="Times New Roman" w:eastAsia="Times New Roman" w:hAnsi="Times New Roman" w:cs="Times New Roman"/>
          <w:noProof w:val="0"/>
        </w:rPr>
      </w:pPr>
    </w:p>
    <w:p w14:paraId="3654B607" w14:textId="77777777" w:rsidR="00E07ACB" w:rsidRPr="00E07ACB" w:rsidRDefault="00E07ACB" w:rsidP="00E07ACB">
      <w:pPr>
        <w:spacing w:after="0" w:line="240" w:lineRule="auto"/>
        <w:jc w:val="center"/>
        <w:rPr>
          <w:rFonts w:ascii="Times New Roman" w:eastAsia="Times New Roman" w:hAnsi="Times New Roman" w:cs="Times New Roman"/>
          <w:b/>
          <w:noProof w:val="0"/>
        </w:rPr>
      </w:pPr>
      <w:r w:rsidRPr="00E07ACB">
        <w:rPr>
          <w:rFonts w:ascii="Times New Roman" w:eastAsia="Times New Roman" w:hAnsi="Times New Roman" w:cs="Times New Roman"/>
          <w:b/>
          <w:noProof w:val="0"/>
        </w:rPr>
        <w:t>III PRIEDAS</w:t>
      </w:r>
    </w:p>
    <w:p w14:paraId="6AD7FAF0" w14:textId="77777777" w:rsidR="00E07ACB" w:rsidRPr="00E07ACB" w:rsidRDefault="00E07ACB" w:rsidP="00E07ACB">
      <w:pPr>
        <w:spacing w:after="0" w:line="240" w:lineRule="auto"/>
        <w:jc w:val="center"/>
        <w:rPr>
          <w:rFonts w:ascii="Times New Roman" w:eastAsia="Times New Roman" w:hAnsi="Times New Roman" w:cs="Times New Roman"/>
          <w:b/>
          <w:noProof w:val="0"/>
        </w:rPr>
      </w:pPr>
    </w:p>
    <w:p w14:paraId="7AC2C591" w14:textId="77777777" w:rsidR="00E07ACB" w:rsidRPr="00E07ACB" w:rsidRDefault="00E07ACB" w:rsidP="00E07ACB">
      <w:pPr>
        <w:spacing w:after="0" w:line="240" w:lineRule="auto"/>
        <w:jc w:val="center"/>
        <w:rPr>
          <w:rFonts w:ascii="Times New Roman" w:eastAsia="Times New Roman" w:hAnsi="Times New Roman" w:cs="Times New Roman"/>
          <w:b/>
          <w:noProof w:val="0"/>
        </w:rPr>
      </w:pPr>
      <w:r w:rsidRPr="00E07ACB">
        <w:rPr>
          <w:rFonts w:ascii="Times New Roman" w:eastAsia="Times New Roman" w:hAnsi="Times New Roman" w:cs="Times New Roman"/>
          <w:b/>
          <w:noProof w:val="0"/>
        </w:rPr>
        <w:t>ŽENKLINIMAS IR PAKUOTĖS LAPELIS</w:t>
      </w:r>
    </w:p>
    <w:p w14:paraId="1D22399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br w:type="page"/>
      </w:r>
    </w:p>
    <w:p w14:paraId="4508680A" w14:textId="77777777" w:rsidR="00E07ACB" w:rsidRPr="00E07ACB" w:rsidRDefault="00E07ACB" w:rsidP="00E07ACB">
      <w:pPr>
        <w:spacing w:after="0" w:line="240" w:lineRule="auto"/>
        <w:rPr>
          <w:rFonts w:ascii="Times New Roman" w:eastAsia="Times New Roman" w:hAnsi="Times New Roman" w:cs="Times New Roman"/>
          <w:noProof w:val="0"/>
        </w:rPr>
      </w:pPr>
    </w:p>
    <w:p w14:paraId="6E8C3015" w14:textId="77777777" w:rsidR="00E07ACB" w:rsidRPr="00E07ACB" w:rsidRDefault="00E07ACB" w:rsidP="00E07ACB">
      <w:pPr>
        <w:spacing w:after="0" w:line="240" w:lineRule="auto"/>
        <w:rPr>
          <w:rFonts w:ascii="Times New Roman" w:eastAsia="Times New Roman" w:hAnsi="Times New Roman" w:cs="Times New Roman"/>
          <w:noProof w:val="0"/>
        </w:rPr>
      </w:pPr>
    </w:p>
    <w:p w14:paraId="131D776A" w14:textId="77777777" w:rsidR="00E07ACB" w:rsidRPr="00E07ACB" w:rsidRDefault="00E07ACB" w:rsidP="00E07ACB">
      <w:pPr>
        <w:spacing w:after="0" w:line="240" w:lineRule="auto"/>
        <w:rPr>
          <w:rFonts w:ascii="Times New Roman" w:eastAsia="Times New Roman" w:hAnsi="Times New Roman" w:cs="Times New Roman"/>
          <w:noProof w:val="0"/>
        </w:rPr>
      </w:pPr>
    </w:p>
    <w:p w14:paraId="6C7AD2A1" w14:textId="77777777" w:rsidR="00E07ACB" w:rsidRPr="00E07ACB" w:rsidRDefault="00E07ACB" w:rsidP="00E07ACB">
      <w:pPr>
        <w:spacing w:after="0" w:line="240" w:lineRule="auto"/>
        <w:rPr>
          <w:rFonts w:ascii="Times New Roman" w:eastAsia="Times New Roman" w:hAnsi="Times New Roman" w:cs="Times New Roman"/>
          <w:noProof w:val="0"/>
        </w:rPr>
      </w:pPr>
    </w:p>
    <w:p w14:paraId="3EEF6260" w14:textId="77777777" w:rsidR="00E07ACB" w:rsidRPr="00E07ACB" w:rsidRDefault="00E07ACB" w:rsidP="00E07ACB">
      <w:pPr>
        <w:spacing w:after="0" w:line="240" w:lineRule="auto"/>
        <w:rPr>
          <w:rFonts w:ascii="Times New Roman" w:eastAsia="Times New Roman" w:hAnsi="Times New Roman" w:cs="Times New Roman"/>
          <w:noProof w:val="0"/>
        </w:rPr>
      </w:pPr>
    </w:p>
    <w:p w14:paraId="009DC855" w14:textId="77777777" w:rsidR="00E07ACB" w:rsidRPr="00E07ACB" w:rsidRDefault="00E07ACB" w:rsidP="00E07ACB">
      <w:pPr>
        <w:spacing w:after="0" w:line="240" w:lineRule="auto"/>
        <w:rPr>
          <w:rFonts w:ascii="Times New Roman" w:eastAsia="Times New Roman" w:hAnsi="Times New Roman" w:cs="Times New Roman"/>
          <w:noProof w:val="0"/>
        </w:rPr>
      </w:pPr>
    </w:p>
    <w:p w14:paraId="401B14FC" w14:textId="77777777" w:rsidR="00E07ACB" w:rsidRPr="00E07ACB" w:rsidRDefault="00E07ACB" w:rsidP="00E07ACB">
      <w:pPr>
        <w:spacing w:after="0" w:line="240" w:lineRule="auto"/>
        <w:rPr>
          <w:rFonts w:ascii="Times New Roman" w:eastAsia="Times New Roman" w:hAnsi="Times New Roman" w:cs="Times New Roman"/>
          <w:noProof w:val="0"/>
        </w:rPr>
      </w:pPr>
    </w:p>
    <w:p w14:paraId="6A00D28D" w14:textId="77777777" w:rsidR="00E07ACB" w:rsidRPr="00E07ACB" w:rsidRDefault="00E07ACB" w:rsidP="00E07ACB">
      <w:pPr>
        <w:spacing w:after="0" w:line="240" w:lineRule="auto"/>
        <w:rPr>
          <w:rFonts w:ascii="Times New Roman" w:eastAsia="Times New Roman" w:hAnsi="Times New Roman" w:cs="Times New Roman"/>
          <w:noProof w:val="0"/>
        </w:rPr>
      </w:pPr>
    </w:p>
    <w:p w14:paraId="3C9A49B5" w14:textId="77777777" w:rsidR="00E07ACB" w:rsidRPr="00E07ACB" w:rsidRDefault="00E07ACB" w:rsidP="00E07ACB">
      <w:pPr>
        <w:spacing w:after="0" w:line="240" w:lineRule="auto"/>
        <w:rPr>
          <w:rFonts w:ascii="Times New Roman" w:eastAsia="Times New Roman" w:hAnsi="Times New Roman" w:cs="Times New Roman"/>
          <w:noProof w:val="0"/>
        </w:rPr>
      </w:pPr>
    </w:p>
    <w:p w14:paraId="060A8078" w14:textId="77777777" w:rsidR="00E07ACB" w:rsidRPr="00E07ACB" w:rsidRDefault="00E07ACB" w:rsidP="00E07ACB">
      <w:pPr>
        <w:spacing w:after="0" w:line="240" w:lineRule="auto"/>
        <w:rPr>
          <w:rFonts w:ascii="Times New Roman" w:eastAsia="Times New Roman" w:hAnsi="Times New Roman" w:cs="Times New Roman"/>
          <w:noProof w:val="0"/>
        </w:rPr>
      </w:pPr>
    </w:p>
    <w:p w14:paraId="5BEF3BA8" w14:textId="77777777" w:rsidR="00E07ACB" w:rsidRPr="00E07ACB" w:rsidRDefault="00E07ACB" w:rsidP="00E07ACB">
      <w:pPr>
        <w:spacing w:after="0" w:line="240" w:lineRule="auto"/>
        <w:rPr>
          <w:rFonts w:ascii="Times New Roman" w:eastAsia="Times New Roman" w:hAnsi="Times New Roman" w:cs="Times New Roman"/>
          <w:noProof w:val="0"/>
        </w:rPr>
      </w:pPr>
    </w:p>
    <w:p w14:paraId="03D0817D" w14:textId="77777777" w:rsidR="00E07ACB" w:rsidRPr="00E07ACB" w:rsidRDefault="00E07ACB" w:rsidP="00E07ACB">
      <w:pPr>
        <w:spacing w:after="0" w:line="240" w:lineRule="auto"/>
        <w:rPr>
          <w:rFonts w:ascii="Times New Roman" w:eastAsia="Times New Roman" w:hAnsi="Times New Roman" w:cs="Times New Roman"/>
          <w:noProof w:val="0"/>
        </w:rPr>
      </w:pPr>
    </w:p>
    <w:p w14:paraId="710449A3" w14:textId="77777777" w:rsidR="00E07ACB" w:rsidRPr="00E07ACB" w:rsidRDefault="00E07ACB" w:rsidP="00E07ACB">
      <w:pPr>
        <w:spacing w:after="0" w:line="240" w:lineRule="auto"/>
        <w:rPr>
          <w:rFonts w:ascii="Times New Roman" w:eastAsia="Times New Roman" w:hAnsi="Times New Roman" w:cs="Times New Roman"/>
          <w:noProof w:val="0"/>
        </w:rPr>
      </w:pPr>
    </w:p>
    <w:p w14:paraId="4C89D904" w14:textId="77777777" w:rsidR="00E07ACB" w:rsidRPr="00E07ACB" w:rsidRDefault="00E07ACB" w:rsidP="00E07ACB">
      <w:pPr>
        <w:spacing w:after="0" w:line="240" w:lineRule="auto"/>
        <w:rPr>
          <w:rFonts w:ascii="Times New Roman" w:eastAsia="Times New Roman" w:hAnsi="Times New Roman" w:cs="Times New Roman"/>
          <w:noProof w:val="0"/>
        </w:rPr>
      </w:pPr>
    </w:p>
    <w:p w14:paraId="5F575062" w14:textId="77777777" w:rsidR="00E07ACB" w:rsidRPr="00E07ACB" w:rsidRDefault="00E07ACB" w:rsidP="00E07ACB">
      <w:pPr>
        <w:spacing w:after="0" w:line="240" w:lineRule="auto"/>
        <w:rPr>
          <w:rFonts w:ascii="Times New Roman" w:eastAsia="Times New Roman" w:hAnsi="Times New Roman" w:cs="Times New Roman"/>
          <w:noProof w:val="0"/>
        </w:rPr>
      </w:pPr>
    </w:p>
    <w:p w14:paraId="33B3A8F4" w14:textId="77777777" w:rsidR="00E07ACB" w:rsidRPr="00E07ACB" w:rsidRDefault="00E07ACB" w:rsidP="00E07ACB">
      <w:pPr>
        <w:spacing w:after="0" w:line="240" w:lineRule="auto"/>
        <w:rPr>
          <w:rFonts w:ascii="Times New Roman" w:eastAsia="Times New Roman" w:hAnsi="Times New Roman" w:cs="Times New Roman"/>
          <w:noProof w:val="0"/>
        </w:rPr>
      </w:pPr>
    </w:p>
    <w:p w14:paraId="0E655AF5" w14:textId="77777777" w:rsidR="00E07ACB" w:rsidRPr="00E07ACB" w:rsidRDefault="00E07ACB" w:rsidP="00E07ACB">
      <w:pPr>
        <w:spacing w:after="0" w:line="240" w:lineRule="auto"/>
        <w:rPr>
          <w:rFonts w:ascii="Times New Roman" w:eastAsia="Times New Roman" w:hAnsi="Times New Roman" w:cs="Times New Roman"/>
          <w:noProof w:val="0"/>
        </w:rPr>
      </w:pPr>
    </w:p>
    <w:p w14:paraId="615F12F6" w14:textId="77777777" w:rsidR="00E07ACB" w:rsidRPr="00E07ACB" w:rsidRDefault="00E07ACB" w:rsidP="00E07ACB">
      <w:pPr>
        <w:spacing w:after="0" w:line="240" w:lineRule="auto"/>
        <w:rPr>
          <w:rFonts w:ascii="Times New Roman" w:eastAsia="Times New Roman" w:hAnsi="Times New Roman" w:cs="Times New Roman"/>
          <w:noProof w:val="0"/>
        </w:rPr>
      </w:pPr>
    </w:p>
    <w:p w14:paraId="17675CC8" w14:textId="77777777" w:rsidR="00E07ACB" w:rsidRPr="00E07ACB" w:rsidRDefault="00E07ACB" w:rsidP="00E07ACB">
      <w:pPr>
        <w:spacing w:after="0" w:line="240" w:lineRule="auto"/>
        <w:rPr>
          <w:rFonts w:ascii="Times New Roman" w:eastAsia="Times New Roman" w:hAnsi="Times New Roman" w:cs="Times New Roman"/>
          <w:noProof w:val="0"/>
        </w:rPr>
      </w:pPr>
    </w:p>
    <w:p w14:paraId="735F3055" w14:textId="77777777" w:rsidR="00E07ACB" w:rsidRPr="00E07ACB" w:rsidRDefault="00E07ACB" w:rsidP="00E07ACB">
      <w:pPr>
        <w:spacing w:after="0" w:line="240" w:lineRule="auto"/>
        <w:rPr>
          <w:rFonts w:ascii="Times New Roman" w:eastAsia="Times New Roman" w:hAnsi="Times New Roman" w:cs="Times New Roman"/>
          <w:noProof w:val="0"/>
        </w:rPr>
      </w:pPr>
    </w:p>
    <w:p w14:paraId="25CE1841" w14:textId="77777777" w:rsidR="00E07ACB" w:rsidRPr="00E07ACB" w:rsidRDefault="00E07ACB" w:rsidP="00E07ACB">
      <w:pPr>
        <w:spacing w:after="0" w:line="240" w:lineRule="auto"/>
        <w:rPr>
          <w:rFonts w:ascii="Times New Roman" w:eastAsia="Times New Roman" w:hAnsi="Times New Roman" w:cs="Times New Roman"/>
          <w:noProof w:val="0"/>
        </w:rPr>
      </w:pPr>
    </w:p>
    <w:p w14:paraId="6E853453" w14:textId="77777777" w:rsidR="00E07ACB" w:rsidRPr="00E07ACB" w:rsidRDefault="00E07ACB" w:rsidP="00E07ACB">
      <w:pPr>
        <w:spacing w:after="0" w:line="240" w:lineRule="auto"/>
        <w:rPr>
          <w:rFonts w:ascii="Times New Roman" w:eastAsia="Times New Roman" w:hAnsi="Times New Roman" w:cs="Times New Roman"/>
          <w:noProof w:val="0"/>
        </w:rPr>
      </w:pPr>
    </w:p>
    <w:p w14:paraId="073555A2" w14:textId="77777777" w:rsidR="00E07ACB" w:rsidRPr="00E07ACB" w:rsidRDefault="00E07ACB" w:rsidP="00E07ACB">
      <w:pPr>
        <w:spacing w:after="0" w:line="240" w:lineRule="auto"/>
        <w:jc w:val="center"/>
        <w:rPr>
          <w:rFonts w:ascii="Times New Roman" w:eastAsia="Times New Roman" w:hAnsi="Times New Roman" w:cs="Times New Roman"/>
          <w:noProof w:val="0"/>
        </w:rPr>
      </w:pPr>
      <w:r w:rsidRPr="00E07ACB">
        <w:rPr>
          <w:rFonts w:ascii="Times New Roman" w:eastAsia="Times New Roman" w:hAnsi="Times New Roman" w:cs="Times New Roman"/>
          <w:b/>
          <w:noProof w:val="0"/>
        </w:rPr>
        <w:t>A. ŽENKLINIMAS</w:t>
      </w:r>
    </w:p>
    <w:p w14:paraId="2422D68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br w:type="page"/>
      </w:r>
    </w:p>
    <w:p w14:paraId="678CFF76"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lastRenderedPageBreak/>
        <w:t>INFORMACIJA ANT IŠORINĖS PAKUOTĖS</w:t>
      </w:r>
    </w:p>
    <w:p w14:paraId="27314CD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Cs/>
          <w:noProof w:val="0"/>
        </w:rPr>
      </w:pPr>
    </w:p>
    <w:p w14:paraId="295D174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KARTONO DĖŽUTĖ </w:t>
      </w:r>
    </w:p>
    <w:p w14:paraId="735252A8"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p>
    <w:p w14:paraId="3839F7C2"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p>
    <w:p w14:paraId="22E2A9B7"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w:t>
      </w:r>
      <w:r w:rsidRPr="00E07ACB">
        <w:rPr>
          <w:rFonts w:ascii="Times New Roman" w:eastAsia="Times New Roman" w:hAnsi="Times New Roman" w:cs="Times New Roman"/>
          <w:b/>
          <w:noProof w:val="0"/>
        </w:rPr>
        <w:tab/>
        <w:t>VAISTINIO PREPARATO PAVADINIMAS</w:t>
      </w:r>
    </w:p>
    <w:p w14:paraId="6C959BF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28CF4F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25 mg plėvele dengtos tabletės</w:t>
      </w:r>
    </w:p>
    <w:p w14:paraId="349ECEB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Azathioprinum</w:t>
      </w:r>
    </w:p>
    <w:p w14:paraId="4B6E4A8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12D1DE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AE0844E"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2.</w:t>
      </w:r>
      <w:r w:rsidRPr="00E07ACB">
        <w:rPr>
          <w:rFonts w:ascii="Times New Roman" w:eastAsia="Times New Roman" w:hAnsi="Times New Roman" w:cs="Times New Roman"/>
          <w:b/>
          <w:noProof w:val="0"/>
        </w:rPr>
        <w:tab/>
        <w:t xml:space="preserve">VEIKLIOJI </w:t>
      </w:r>
      <w:r w:rsidRPr="00E07ACB">
        <w:rPr>
          <w:rFonts w:ascii="Times New Roman" w:eastAsia="Times New Roman" w:hAnsi="Times New Roman" w:cs="Times New Roman"/>
          <w:b/>
          <w:noProof w:val="0"/>
          <w:snapToGrid w:val="0"/>
        </w:rPr>
        <w:t xml:space="preserve">(-IOS) </w:t>
      </w:r>
      <w:r w:rsidRPr="00E07ACB">
        <w:rPr>
          <w:rFonts w:ascii="Times New Roman" w:eastAsia="Times New Roman" w:hAnsi="Times New Roman" w:cs="Times New Roman"/>
          <w:b/>
          <w:noProof w:val="0"/>
        </w:rPr>
        <w:t xml:space="preserve">MEDŽIAGA </w:t>
      </w:r>
      <w:r w:rsidRPr="00E07ACB">
        <w:rPr>
          <w:rFonts w:ascii="Times New Roman" w:eastAsia="Times New Roman" w:hAnsi="Times New Roman" w:cs="Times New Roman"/>
          <w:b/>
          <w:noProof w:val="0"/>
          <w:snapToGrid w:val="0"/>
        </w:rPr>
        <w:t xml:space="preserve">(-OS) </w:t>
      </w:r>
      <w:r w:rsidRPr="00E07ACB">
        <w:rPr>
          <w:rFonts w:ascii="Times New Roman" w:eastAsia="Times New Roman" w:hAnsi="Times New Roman" w:cs="Times New Roman"/>
          <w:b/>
          <w:noProof w:val="0"/>
        </w:rPr>
        <w:t xml:space="preserve">IR JOS </w:t>
      </w:r>
      <w:r w:rsidRPr="00E07ACB">
        <w:rPr>
          <w:rFonts w:ascii="Times New Roman" w:eastAsia="Times New Roman" w:hAnsi="Times New Roman" w:cs="Times New Roman"/>
          <w:b/>
          <w:noProof w:val="0"/>
          <w:snapToGrid w:val="0"/>
        </w:rPr>
        <w:t xml:space="preserve">(-Ų) </w:t>
      </w:r>
      <w:r w:rsidRPr="00E07ACB">
        <w:rPr>
          <w:rFonts w:ascii="Times New Roman" w:eastAsia="Times New Roman" w:hAnsi="Times New Roman" w:cs="Times New Roman"/>
          <w:b/>
          <w:noProof w:val="0"/>
        </w:rPr>
        <w:t>KIEKIS</w:t>
      </w:r>
      <w:r w:rsidRPr="00E07ACB">
        <w:rPr>
          <w:rFonts w:ascii="Times New Roman" w:eastAsia="Times New Roman" w:hAnsi="Times New Roman" w:cs="Times New Roman"/>
          <w:b/>
          <w:noProof w:val="0"/>
          <w:snapToGrid w:val="0"/>
        </w:rPr>
        <w:t xml:space="preserve"> (-IAI)</w:t>
      </w:r>
    </w:p>
    <w:p w14:paraId="32405AF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9EE52C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1 plėvele dengtoje tabletėje yra 25 mg azatioprino.</w:t>
      </w:r>
    </w:p>
    <w:p w14:paraId="76EB6E9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0FE9B2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2940529"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3.</w:t>
      </w:r>
      <w:r w:rsidRPr="00E07ACB">
        <w:rPr>
          <w:rFonts w:ascii="Times New Roman" w:eastAsia="Times New Roman" w:hAnsi="Times New Roman" w:cs="Times New Roman"/>
          <w:b/>
          <w:noProof w:val="0"/>
        </w:rPr>
        <w:tab/>
        <w:t>PAGALBINIŲ MEDŽIAGŲ SĄRAŠAS</w:t>
      </w:r>
    </w:p>
    <w:p w14:paraId="0396BA6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878F5D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Sudėtyje yra laktozės. Prieš vartojimą perskaitykite pakuotės lapelį.</w:t>
      </w:r>
    </w:p>
    <w:p w14:paraId="637BA7A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9DAFCC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11FE245"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w:t>
      </w:r>
      <w:r w:rsidRPr="00E07ACB">
        <w:rPr>
          <w:rFonts w:ascii="Times New Roman" w:eastAsia="Times New Roman" w:hAnsi="Times New Roman" w:cs="Times New Roman"/>
          <w:b/>
          <w:noProof w:val="0"/>
        </w:rPr>
        <w:tab/>
        <w:t>FARMACINĖ FORMA IR KIEKIS PAKUOTĖJE</w:t>
      </w:r>
    </w:p>
    <w:p w14:paraId="3F38163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5B9B2D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28 plėvele dengtos tabletės</w:t>
      </w:r>
    </w:p>
    <w:p w14:paraId="200FE75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30 plėvele dengtų tablečių</w:t>
      </w:r>
    </w:p>
    <w:p w14:paraId="1D2B7FC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50 plėvele dengtų tablečių</w:t>
      </w:r>
    </w:p>
    <w:p w14:paraId="28D2AAF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56 plėvele dengtos tabletės</w:t>
      </w:r>
    </w:p>
    <w:p w14:paraId="34F5E19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90 plėvele dengtų tablečių</w:t>
      </w:r>
    </w:p>
    <w:p w14:paraId="57DBE3C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highlight w:val="lightGray"/>
        </w:rPr>
        <w:t>100 plėvele dengtų tablečių</w:t>
      </w:r>
    </w:p>
    <w:p w14:paraId="29BE0A2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A996C1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AD47EFA"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5.</w:t>
      </w:r>
      <w:r w:rsidRPr="00E07ACB">
        <w:rPr>
          <w:rFonts w:ascii="Times New Roman" w:eastAsia="Times New Roman" w:hAnsi="Times New Roman" w:cs="Times New Roman"/>
          <w:b/>
          <w:noProof w:val="0"/>
        </w:rPr>
        <w:tab/>
        <w:t>VARTOJIMO METODAS IR BŪDAS (-AI)</w:t>
      </w:r>
    </w:p>
    <w:p w14:paraId="751827B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AB985A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Vartoti per burną.</w:t>
      </w:r>
    </w:p>
    <w:p w14:paraId="7A494B9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highlight w:val="lightGray"/>
        </w:rPr>
        <w:t>Prieš vartojimą perskaitykite pakuotės lapelį.</w:t>
      </w:r>
    </w:p>
    <w:p w14:paraId="68E56CE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48F580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A318971"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SPECIALUS ĮSPĖJIMAS, KAD VAISTINĮ PREPARATĄ BŪTINA LAIKYTI VAIKAMS NEPASTEBIMOJE IR NEPASIEKIAMOJE VIETOJE</w:t>
      </w:r>
    </w:p>
    <w:p w14:paraId="6972A00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D71D633"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Laikyti vaikams nepastebimoje ir nepasiekiamoje vietoje.</w:t>
      </w:r>
    </w:p>
    <w:p w14:paraId="4333626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553F23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07F5902"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7.</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KITAS (-I) SPECIALUS (-ŪS) ĮSPĖJIMAS (-AI) (JEI REIKIA)</w:t>
      </w:r>
    </w:p>
    <w:p w14:paraId="50866A5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FAA191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Tablečių nelaužykite ar nesmulkinkite.</w:t>
      </w:r>
    </w:p>
    <w:p w14:paraId="4B917BD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749DEC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7F50835"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8.</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TINKAMUMO LAIKAS</w:t>
      </w:r>
    </w:p>
    <w:p w14:paraId="6E48B9C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70B45E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EXP {mm/MMMM} </w:t>
      </w:r>
    </w:p>
    <w:p w14:paraId="0684B31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BD63D1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4F156E4" w14:textId="77777777" w:rsidR="00E07ACB" w:rsidRPr="00E07ACB" w:rsidRDefault="00E07ACB" w:rsidP="00E07ACB">
      <w:pPr>
        <w:pBdr>
          <w:top w:val="single" w:sz="4" w:space="0"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9.</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SPECIALIOS laikymo sąlygos</w:t>
      </w:r>
    </w:p>
    <w:p w14:paraId="499F5EF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20BFAE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Laikyti gamintojo pakuotėje, kad vaistas būtų apsaugotas nuo šviesos.</w:t>
      </w:r>
    </w:p>
    <w:p w14:paraId="20A57EC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7FE8D9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B8AA1C9"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10.</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 xml:space="preserve">specialios atsargumo priemonės DĖL NESUVARTOTO </w:t>
      </w:r>
      <w:r w:rsidRPr="00E07ACB">
        <w:rPr>
          <w:rFonts w:ascii="Times New Roman" w:eastAsia="Times New Roman" w:hAnsi="Times New Roman" w:cs="Times New Roman"/>
          <w:b/>
          <w:bCs/>
          <w:caps/>
          <w:noProof w:val="0"/>
        </w:rPr>
        <w:t>VAISTINIO PREPARATO AR JO ATLIEK</w:t>
      </w:r>
      <w:r w:rsidRPr="00E07ACB">
        <w:rPr>
          <w:rFonts w:ascii="Times New Roman" w:eastAsia="Times New Roman" w:hAnsi="Times New Roman" w:cs="Times New Roman"/>
          <w:b/>
          <w:noProof w:val="0"/>
        </w:rPr>
        <w:t>Ų</w:t>
      </w:r>
      <w:r w:rsidRPr="00E07ACB">
        <w:rPr>
          <w:rFonts w:ascii="Times New Roman" w:eastAsia="Times New Roman" w:hAnsi="Times New Roman" w:cs="Times New Roman"/>
          <w:caps/>
          <w:noProof w:val="0"/>
        </w:rPr>
        <w:t xml:space="preserve"> </w:t>
      </w:r>
      <w:r w:rsidRPr="00E07ACB">
        <w:rPr>
          <w:rFonts w:ascii="Times New Roman" w:eastAsia="Times New Roman" w:hAnsi="Times New Roman" w:cs="Times New Roman"/>
          <w:b/>
          <w:bCs/>
          <w:caps/>
          <w:noProof w:val="0"/>
        </w:rPr>
        <w:t>TVARKYMO</w:t>
      </w:r>
      <w:r w:rsidRPr="00E07ACB">
        <w:rPr>
          <w:rFonts w:ascii="Times New Roman" w:eastAsia="Times New Roman" w:hAnsi="Times New Roman" w:cs="Times New Roman"/>
          <w:b/>
          <w:caps/>
          <w:noProof w:val="0"/>
        </w:rPr>
        <w:t xml:space="preserve"> (jei reikia)</w:t>
      </w:r>
    </w:p>
    <w:p w14:paraId="206D843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47731C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BBCED9E"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11.</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REGISTRUOTOJO pavadinimas ir adresas</w:t>
      </w:r>
    </w:p>
    <w:p w14:paraId="69F48FD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9756281"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5750E194"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3013 Lake Drive</w:t>
      </w:r>
    </w:p>
    <w:p w14:paraId="54EAC820"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Citywest Business Campus</w:t>
      </w:r>
    </w:p>
    <w:p w14:paraId="4E0C59E7"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Dublin 24, D24PPT3</w:t>
      </w:r>
    </w:p>
    <w:p w14:paraId="4AE1CA6F"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Airija</w:t>
      </w:r>
    </w:p>
    <w:p w14:paraId="117BDCF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7D8DC6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58B3740"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12.</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REGISTRACIJOS PAŽYMĖJIMO numeris</w:t>
      </w:r>
      <w:r w:rsidRPr="00E07ACB">
        <w:rPr>
          <w:rFonts w:ascii="Times New Roman" w:eastAsia="Times New Roman" w:hAnsi="Times New Roman" w:cs="Times New Roman"/>
          <w:b/>
          <w:noProof w:val="0"/>
        </w:rPr>
        <w:t xml:space="preserve"> (-IAI)</w:t>
      </w:r>
    </w:p>
    <w:p w14:paraId="38D36D1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20BDE59"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Times New Roman" w:hAnsi="Times New Roman" w:cs="Times New Roman"/>
          <w:bCs/>
          <w:noProof w:val="0"/>
        </w:rPr>
        <w:t xml:space="preserve">LT/1/15/3834/001 </w:t>
      </w:r>
      <w:r w:rsidRPr="00E07ACB">
        <w:rPr>
          <w:rFonts w:ascii="Times New Roman" w:eastAsia="Times New Roman" w:hAnsi="Times New Roman" w:cs="Times New Roman"/>
          <w:noProof w:val="0"/>
          <w:highlight w:val="lightGray"/>
        </w:rPr>
        <w:t xml:space="preserve">– N28  </w:t>
      </w:r>
    </w:p>
    <w:p w14:paraId="3C5DC683"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LT/1/15/3834/002</w:t>
      </w:r>
      <w:r w:rsidRPr="00E07ACB">
        <w:rPr>
          <w:rFonts w:ascii="Times New Roman" w:eastAsia="Times New Roman" w:hAnsi="Times New Roman" w:cs="Times New Roman"/>
          <w:noProof w:val="0"/>
          <w:highlight w:val="lightGray"/>
        </w:rPr>
        <w:t xml:space="preserve"> – N30</w:t>
      </w:r>
    </w:p>
    <w:p w14:paraId="749562AF"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LT/1/15/3834/003</w:t>
      </w:r>
      <w:r w:rsidRPr="00E07ACB">
        <w:rPr>
          <w:rFonts w:ascii="Times New Roman" w:eastAsia="Times New Roman" w:hAnsi="Times New Roman" w:cs="Times New Roman"/>
          <w:noProof w:val="0"/>
          <w:highlight w:val="lightGray"/>
        </w:rPr>
        <w:t xml:space="preserve"> – N50</w:t>
      </w:r>
    </w:p>
    <w:p w14:paraId="21F7BE46"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LT/1/15/3834/004</w:t>
      </w:r>
      <w:r w:rsidRPr="00E07ACB">
        <w:rPr>
          <w:rFonts w:ascii="Times New Roman" w:eastAsia="Times New Roman" w:hAnsi="Times New Roman" w:cs="Times New Roman"/>
          <w:noProof w:val="0"/>
          <w:highlight w:val="lightGray"/>
        </w:rPr>
        <w:t xml:space="preserve"> – N56</w:t>
      </w:r>
    </w:p>
    <w:p w14:paraId="384B5015"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LT/1/15/3834/005</w:t>
      </w:r>
      <w:r w:rsidRPr="00E07ACB">
        <w:rPr>
          <w:rFonts w:ascii="Times New Roman" w:eastAsia="Times New Roman" w:hAnsi="Times New Roman" w:cs="Times New Roman"/>
          <w:noProof w:val="0"/>
          <w:highlight w:val="lightGray"/>
        </w:rPr>
        <w:t xml:space="preserve"> – N90</w:t>
      </w:r>
    </w:p>
    <w:p w14:paraId="3C4C0880" w14:textId="77777777" w:rsidR="00E07ACB" w:rsidRPr="00E07ACB" w:rsidRDefault="00E07ACB" w:rsidP="00E07ACB">
      <w:pPr>
        <w:spacing w:after="0" w:line="240" w:lineRule="auto"/>
        <w:rPr>
          <w:rFonts w:ascii="Times New Roman" w:eastAsia="Calibri" w:hAnsi="Times New Roman" w:cs="Times New Roman"/>
          <w:shd w:val="clear" w:color="auto" w:fill="F2F2F2" w:themeFill="background1" w:themeFillShade="F2"/>
        </w:rPr>
      </w:pPr>
      <w:r w:rsidRPr="00E07ACB">
        <w:rPr>
          <w:rFonts w:ascii="Times New Roman" w:eastAsia="Calibri" w:hAnsi="Times New Roman" w:cs="Times New Roman"/>
          <w:highlight w:val="lightGray"/>
        </w:rPr>
        <w:t>LT/1/15/3834/006</w:t>
      </w:r>
      <w:r w:rsidRPr="00E07ACB">
        <w:rPr>
          <w:rFonts w:ascii="Times New Roman" w:eastAsia="Times New Roman" w:hAnsi="Times New Roman" w:cs="Times New Roman"/>
          <w:noProof w:val="0"/>
          <w:highlight w:val="lightGray"/>
        </w:rPr>
        <w:t xml:space="preserve"> – N100</w:t>
      </w:r>
    </w:p>
    <w:p w14:paraId="4BEEEC4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7EBD24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CEE2617"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13.</w:t>
      </w:r>
      <w:r w:rsidRPr="00E07ACB">
        <w:rPr>
          <w:rFonts w:ascii="Times New Roman" w:eastAsia="Times New Roman" w:hAnsi="Times New Roman" w:cs="Times New Roman"/>
          <w:b/>
          <w:noProof w:val="0"/>
        </w:rPr>
        <w:tab/>
        <w:t>SERIJOS NUMERIS</w:t>
      </w:r>
    </w:p>
    <w:p w14:paraId="7737FA5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98C18C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Lot</w:t>
      </w:r>
    </w:p>
    <w:p w14:paraId="4EA03CA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444884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42CAD97"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14.</w:t>
      </w:r>
      <w:r w:rsidRPr="00E07ACB">
        <w:rPr>
          <w:rFonts w:ascii="Times New Roman" w:eastAsia="Times New Roman" w:hAnsi="Times New Roman" w:cs="Times New Roman"/>
          <w:b/>
          <w:noProof w:val="0"/>
        </w:rPr>
        <w:tab/>
        <w:t>PARDAVIMO (IŠDAVIMO)</w:t>
      </w:r>
      <w:r w:rsidRPr="00E07ACB">
        <w:rPr>
          <w:rFonts w:ascii="Times New Roman" w:eastAsia="Times New Roman" w:hAnsi="Times New Roman" w:cs="Times New Roman"/>
          <w:b/>
          <w:caps/>
          <w:noProof w:val="0"/>
        </w:rPr>
        <w:t xml:space="preserve"> tvarka</w:t>
      </w:r>
    </w:p>
    <w:p w14:paraId="410C2A5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AC0ECB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Receptinis vaistas</w:t>
      </w:r>
    </w:p>
    <w:p w14:paraId="264659F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3F6FE2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580DD55"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15.</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vartojimo instrukcijA</w:t>
      </w:r>
    </w:p>
    <w:p w14:paraId="1BB7E48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8C65F3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D408558"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16.</w:t>
      </w:r>
      <w:r w:rsidRPr="00E07ACB">
        <w:rPr>
          <w:rFonts w:ascii="Times New Roman" w:eastAsia="Times New Roman" w:hAnsi="Times New Roman" w:cs="Times New Roman"/>
          <w:b/>
          <w:noProof w:val="0"/>
        </w:rPr>
        <w:tab/>
        <w:t>INFORMACIJA BRAILIO RAŠTU</w:t>
      </w:r>
    </w:p>
    <w:p w14:paraId="5F48673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7ADB37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25 mg</w:t>
      </w:r>
    </w:p>
    <w:p w14:paraId="5DCB361F" w14:textId="77777777" w:rsidR="00E07ACB" w:rsidRPr="003F0C62" w:rsidRDefault="00E07ACB" w:rsidP="00E07ACB">
      <w:pPr>
        <w:spacing w:after="0" w:line="240" w:lineRule="auto"/>
        <w:rPr>
          <w:rFonts w:ascii="Times New Roman" w:eastAsia="Calibri" w:hAnsi="Times New Roman" w:cs="Times New Roman"/>
          <w:noProof w:val="0"/>
          <w:szCs w:val="20"/>
          <w:lang w:val="pt-PT" w:eastAsia="de-DE"/>
        </w:rPr>
      </w:pPr>
    </w:p>
    <w:p w14:paraId="57E82531" w14:textId="77777777" w:rsidR="00E07ACB" w:rsidRPr="003F0C62" w:rsidRDefault="00E07ACB" w:rsidP="00E07ACB">
      <w:pPr>
        <w:spacing w:after="0" w:line="240" w:lineRule="auto"/>
        <w:rPr>
          <w:rFonts w:ascii="Times New Roman" w:eastAsia="Calibri" w:hAnsi="Times New Roman" w:cs="Times New Roman"/>
          <w:noProof w:val="0"/>
          <w:szCs w:val="20"/>
          <w:lang w:val="pt-PT" w:eastAsia="de-DE"/>
        </w:rPr>
      </w:pPr>
    </w:p>
    <w:p w14:paraId="7FE7B225" w14:textId="77777777" w:rsidR="00E07ACB" w:rsidRPr="00E07ACB" w:rsidRDefault="00E07ACB" w:rsidP="00E07ACB">
      <w:pPr>
        <w:keepNext/>
        <w:numPr>
          <w:ilvl w:val="1"/>
          <w:numId w:val="15"/>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b/>
          <w:szCs w:val="20"/>
          <w:lang w:eastAsia="lt-LT"/>
        </w:rPr>
      </w:pPr>
      <w:r w:rsidRPr="00E07ACB">
        <w:rPr>
          <w:rFonts w:ascii="Times New Roman" w:eastAsia="Times New Roman" w:hAnsi="Times New Roman" w:cs="Times New Roman"/>
          <w:b/>
          <w:szCs w:val="20"/>
          <w:lang w:eastAsia="lt-LT"/>
        </w:rPr>
        <w:t>UNIKALUS IDENTIFIKATORIUS – 2D BRŪKŠNINIS KODAS</w:t>
      </w:r>
    </w:p>
    <w:p w14:paraId="76AA447A" w14:textId="77777777" w:rsidR="00E07ACB" w:rsidRPr="00E07ACB" w:rsidRDefault="00E07ACB" w:rsidP="00E07ACB">
      <w:pPr>
        <w:spacing w:after="0" w:line="240" w:lineRule="auto"/>
        <w:rPr>
          <w:rFonts w:ascii="Times New Roman" w:eastAsia="Times New Roman" w:hAnsi="Times New Roman" w:cs="Times New Roman"/>
          <w:szCs w:val="20"/>
          <w:lang w:eastAsia="lt-LT"/>
        </w:rPr>
      </w:pPr>
    </w:p>
    <w:p w14:paraId="7D11F314" w14:textId="77777777" w:rsidR="00E07ACB" w:rsidRPr="00E07ACB" w:rsidRDefault="00E07ACB" w:rsidP="00E07ACB">
      <w:pPr>
        <w:spacing w:after="0" w:line="240" w:lineRule="auto"/>
        <w:rPr>
          <w:rFonts w:ascii="Times New Roman" w:eastAsia="Times New Roman" w:hAnsi="Times New Roman" w:cs="Times New Roman"/>
          <w:szCs w:val="20"/>
          <w:lang w:eastAsia="lt-LT"/>
        </w:rPr>
      </w:pPr>
      <w:r w:rsidRPr="00E07ACB">
        <w:rPr>
          <w:rFonts w:ascii="Times New Roman" w:eastAsia="Times New Roman" w:hAnsi="Times New Roman" w:cs="Times New Roman"/>
          <w:szCs w:val="20"/>
          <w:highlight w:val="lightGray"/>
          <w:lang w:eastAsia="lt-LT"/>
        </w:rPr>
        <w:t>2D brūkšninis kodas su nurodytu unikaliu identifikatoriumi.</w:t>
      </w:r>
    </w:p>
    <w:p w14:paraId="34A742B9" w14:textId="77777777" w:rsidR="00E07ACB" w:rsidRPr="00E07ACB" w:rsidRDefault="00E07ACB" w:rsidP="00E07ACB">
      <w:pPr>
        <w:spacing w:after="0" w:line="240" w:lineRule="auto"/>
        <w:rPr>
          <w:rFonts w:ascii="Times New Roman" w:eastAsia="Times New Roman" w:hAnsi="Times New Roman" w:cs="Times New Roman"/>
          <w:szCs w:val="20"/>
          <w:lang w:eastAsia="lt-LT"/>
        </w:rPr>
      </w:pPr>
    </w:p>
    <w:p w14:paraId="0FB781CF" w14:textId="77777777" w:rsidR="00E07ACB" w:rsidRPr="00E07ACB" w:rsidRDefault="00E07ACB" w:rsidP="00E07ACB">
      <w:pPr>
        <w:spacing w:after="0" w:line="240" w:lineRule="auto"/>
        <w:rPr>
          <w:rFonts w:ascii="Times New Roman" w:eastAsia="Times New Roman" w:hAnsi="Times New Roman" w:cs="Times New Roman"/>
          <w:szCs w:val="20"/>
          <w:lang w:eastAsia="lt-LT"/>
        </w:rPr>
      </w:pPr>
    </w:p>
    <w:p w14:paraId="0DFBAA6F" w14:textId="77777777" w:rsidR="00E07ACB" w:rsidRPr="00E07ACB" w:rsidRDefault="00E07ACB" w:rsidP="00E07ACB">
      <w:pPr>
        <w:keepNext/>
        <w:numPr>
          <w:ilvl w:val="1"/>
          <w:numId w:val="15"/>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Calibri" w:hAnsi="Times New Roman" w:cs="Times New Roman"/>
          <w:i/>
        </w:rPr>
      </w:pPr>
      <w:r w:rsidRPr="00E07ACB">
        <w:rPr>
          <w:rFonts w:ascii="Times New Roman" w:eastAsia="Calibri" w:hAnsi="Times New Roman" w:cs="Times New Roman"/>
          <w:b/>
        </w:rPr>
        <w:t>UNIKALUS IDENTIFIKATORIUS – ŽMONĖMS SUPRANTAMI DUOMENYS</w:t>
      </w:r>
    </w:p>
    <w:p w14:paraId="0AC61BB3" w14:textId="77777777" w:rsidR="00E07ACB" w:rsidRPr="00E07ACB" w:rsidRDefault="00E07ACB" w:rsidP="00E07ACB">
      <w:pPr>
        <w:spacing w:after="0" w:line="240" w:lineRule="auto"/>
        <w:rPr>
          <w:rFonts w:ascii="Times New Roman" w:eastAsia="Times New Roman" w:hAnsi="Times New Roman" w:cs="Times New Roman"/>
          <w:szCs w:val="20"/>
          <w:lang w:eastAsia="lt-LT"/>
        </w:rPr>
      </w:pPr>
    </w:p>
    <w:p w14:paraId="6D215E6B" w14:textId="77777777" w:rsidR="00E07ACB" w:rsidRPr="00E07ACB" w:rsidRDefault="00E07ACB" w:rsidP="00E07ACB">
      <w:pPr>
        <w:spacing w:after="0" w:line="240" w:lineRule="auto"/>
        <w:rPr>
          <w:rFonts w:ascii="Times New Roman" w:eastAsia="Times New Roman" w:hAnsi="Times New Roman" w:cs="Times New Roman"/>
          <w:szCs w:val="20"/>
          <w:lang w:eastAsia="lt-LT"/>
        </w:rPr>
      </w:pPr>
      <w:r w:rsidRPr="00E07ACB">
        <w:rPr>
          <w:rFonts w:ascii="Times New Roman" w:eastAsia="Times New Roman" w:hAnsi="Times New Roman" w:cs="Times New Roman"/>
          <w:szCs w:val="20"/>
          <w:lang w:eastAsia="lt-LT"/>
        </w:rPr>
        <w:t>PC: {numeris}</w:t>
      </w:r>
    </w:p>
    <w:p w14:paraId="34301825" w14:textId="77777777" w:rsidR="00E07ACB" w:rsidRPr="00E07ACB" w:rsidRDefault="00E07ACB" w:rsidP="00E07ACB">
      <w:pPr>
        <w:spacing w:after="0" w:line="240" w:lineRule="auto"/>
        <w:rPr>
          <w:rFonts w:ascii="Times New Roman" w:eastAsia="Times New Roman" w:hAnsi="Times New Roman" w:cs="Times New Roman"/>
          <w:szCs w:val="20"/>
          <w:lang w:eastAsia="lt-LT"/>
        </w:rPr>
      </w:pPr>
      <w:r w:rsidRPr="00E07ACB">
        <w:rPr>
          <w:rFonts w:ascii="Times New Roman" w:eastAsia="Times New Roman" w:hAnsi="Times New Roman" w:cs="Times New Roman"/>
          <w:szCs w:val="20"/>
          <w:lang w:eastAsia="lt-LT"/>
        </w:rPr>
        <w:t>SN: {numeris}</w:t>
      </w:r>
    </w:p>
    <w:p w14:paraId="341B2539" w14:textId="77777777" w:rsidR="00E07ACB" w:rsidRPr="00E07ACB" w:rsidRDefault="00E07ACB" w:rsidP="00E07ACB">
      <w:pPr>
        <w:spacing w:after="0" w:line="240" w:lineRule="auto"/>
        <w:rPr>
          <w:rFonts w:ascii="Times New Roman" w:eastAsia="Times New Roman" w:hAnsi="Times New Roman" w:cs="Times New Roman"/>
          <w:szCs w:val="20"/>
          <w:lang w:eastAsia="lt-LT"/>
        </w:rPr>
      </w:pPr>
      <w:r w:rsidRPr="00E07ACB">
        <w:rPr>
          <w:rFonts w:ascii="Times New Roman" w:eastAsia="Times New Roman" w:hAnsi="Times New Roman" w:cs="Times New Roman"/>
          <w:szCs w:val="20"/>
          <w:highlight w:val="lightGray"/>
          <w:lang w:eastAsia="lt-LT"/>
        </w:rPr>
        <w:t>NN: {numeris}</w:t>
      </w:r>
      <w:r w:rsidRPr="00E07ACB">
        <w:rPr>
          <w:rFonts w:ascii="Times New Roman" w:eastAsia="Times New Roman" w:hAnsi="Times New Roman" w:cs="Times New Roman"/>
          <w:szCs w:val="20"/>
          <w:lang w:eastAsia="lt-LT"/>
        </w:rPr>
        <w:t xml:space="preserve"> </w:t>
      </w:r>
    </w:p>
    <w:p w14:paraId="106FD71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val="de-DE" w:eastAsia="de-DE"/>
        </w:rPr>
        <w:br w:type="page"/>
      </w:r>
    </w:p>
    <w:p w14:paraId="2D9C8AD1"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lastRenderedPageBreak/>
        <w:t xml:space="preserve">MINIMALI </w:t>
      </w:r>
      <w:r w:rsidRPr="00E07ACB">
        <w:rPr>
          <w:rFonts w:ascii="Times New Roman" w:eastAsia="Calibri" w:hAnsi="Times New Roman" w:cs="Times New Roman"/>
          <w:b/>
          <w:caps/>
          <w:noProof w:val="0"/>
          <w:szCs w:val="20"/>
          <w:lang w:eastAsia="de-DE"/>
        </w:rPr>
        <w:t xml:space="preserve">informacija ant </w:t>
      </w:r>
      <w:r w:rsidRPr="00E07ACB">
        <w:rPr>
          <w:rFonts w:ascii="Times New Roman" w:eastAsia="Calibri" w:hAnsi="Times New Roman" w:cs="Times New Roman"/>
          <w:b/>
          <w:noProof w:val="0"/>
          <w:szCs w:val="20"/>
          <w:lang w:eastAsia="de-DE"/>
        </w:rPr>
        <w:t>LIZDINIŲ PLOKŠTELIŲ ARBA DVISLUOKSNIŲ JUOSTELIŲ</w:t>
      </w:r>
    </w:p>
    <w:p w14:paraId="6986437F"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p>
    <w:p w14:paraId="5ED85B97"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LIZDINĖ PLOKŠTELĖ</w:t>
      </w:r>
    </w:p>
    <w:p w14:paraId="2D3EA4B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742F4A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EB06629"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1.</w:t>
      </w:r>
      <w:r w:rsidRPr="00E07ACB">
        <w:rPr>
          <w:rFonts w:ascii="Times New Roman" w:eastAsia="Calibri" w:hAnsi="Times New Roman" w:cs="Times New Roman"/>
          <w:b/>
          <w:noProof w:val="0"/>
          <w:szCs w:val="20"/>
          <w:lang w:eastAsia="de-DE"/>
        </w:rPr>
        <w:tab/>
        <w:t>VAISTINIO PREPARATO PAVADINIMAS</w:t>
      </w:r>
    </w:p>
    <w:p w14:paraId="104C154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1D90B3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25 mg plėvele dengtos tabletės</w:t>
      </w:r>
    </w:p>
    <w:p w14:paraId="0E90800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Azathioprinum</w:t>
      </w:r>
    </w:p>
    <w:p w14:paraId="588C126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0AA404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6E6F9A62"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2.</w:t>
      </w:r>
      <w:r w:rsidRPr="00E07ACB">
        <w:rPr>
          <w:rFonts w:ascii="Times New Roman" w:eastAsia="Calibri" w:hAnsi="Times New Roman" w:cs="Times New Roman"/>
          <w:b/>
          <w:noProof w:val="0"/>
          <w:szCs w:val="20"/>
          <w:lang w:eastAsia="de-DE"/>
        </w:rPr>
        <w:tab/>
        <w:t>REGISTRUOTOJO PAVADINIMAS</w:t>
      </w:r>
    </w:p>
    <w:p w14:paraId="4A82983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31FE428"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635A9B7B"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60BA49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7B4EADA"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3.</w:t>
      </w:r>
      <w:r w:rsidRPr="00E07ACB">
        <w:rPr>
          <w:rFonts w:ascii="Times New Roman" w:eastAsia="Calibri" w:hAnsi="Times New Roman" w:cs="Times New Roman"/>
          <w:b/>
          <w:noProof w:val="0"/>
          <w:szCs w:val="20"/>
          <w:lang w:eastAsia="de-DE"/>
        </w:rPr>
        <w:tab/>
        <w:t>TINKAMUMO LAIKAS</w:t>
      </w:r>
    </w:p>
    <w:p w14:paraId="62A26C0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C18648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EXP {mm/MMMM}</w:t>
      </w:r>
    </w:p>
    <w:p w14:paraId="1ED44F4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1F31DC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6CA4F3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4.</w:t>
      </w:r>
      <w:r w:rsidRPr="00E07ACB">
        <w:rPr>
          <w:rFonts w:ascii="Times New Roman" w:eastAsia="Calibri" w:hAnsi="Times New Roman" w:cs="Times New Roman"/>
          <w:b/>
          <w:noProof w:val="0"/>
          <w:szCs w:val="20"/>
          <w:lang w:eastAsia="de-DE"/>
        </w:rPr>
        <w:tab/>
        <w:t>SERIJOS NUMERIS</w:t>
      </w:r>
    </w:p>
    <w:p w14:paraId="4A4D7E0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9E850AC"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Lot</w:t>
      </w:r>
    </w:p>
    <w:p w14:paraId="006B9B9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B3BF5A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64BB155"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5.</w:t>
      </w:r>
      <w:r w:rsidRPr="00E07ACB">
        <w:rPr>
          <w:rFonts w:ascii="Times New Roman" w:eastAsia="Calibri" w:hAnsi="Times New Roman" w:cs="Times New Roman"/>
          <w:b/>
          <w:noProof w:val="0"/>
          <w:szCs w:val="20"/>
          <w:lang w:eastAsia="de-DE"/>
        </w:rPr>
        <w:tab/>
        <w:t>KITA</w:t>
      </w:r>
    </w:p>
    <w:p w14:paraId="20DEC885"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DBF6A7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br w:type="page"/>
      </w:r>
    </w:p>
    <w:p w14:paraId="53640A08"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lastRenderedPageBreak/>
        <w:t>INFORMACIJA ANT IŠORINĖS PAKUOTĖS</w:t>
      </w:r>
    </w:p>
    <w:p w14:paraId="3FE1B497"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Cs/>
          <w:noProof w:val="0"/>
        </w:rPr>
      </w:pPr>
    </w:p>
    <w:p w14:paraId="50D9DCF8"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KARTONO DĖŽUTĖ </w:t>
      </w:r>
    </w:p>
    <w:p w14:paraId="50FF074F"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p>
    <w:p w14:paraId="62C84D25"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p>
    <w:p w14:paraId="3944706A"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w:t>
      </w:r>
      <w:r w:rsidRPr="00E07ACB">
        <w:rPr>
          <w:rFonts w:ascii="Times New Roman" w:eastAsia="Times New Roman" w:hAnsi="Times New Roman" w:cs="Times New Roman"/>
          <w:b/>
          <w:noProof w:val="0"/>
        </w:rPr>
        <w:tab/>
        <w:t>VAISTINIO PREPARATO PAVADINIMAS</w:t>
      </w:r>
    </w:p>
    <w:p w14:paraId="1199628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465D4F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50 mg plėvele dengtos tabletės</w:t>
      </w:r>
    </w:p>
    <w:p w14:paraId="11A7241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Azathioprinum</w:t>
      </w:r>
    </w:p>
    <w:p w14:paraId="541FD6C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47F5D0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52062A9"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2.</w:t>
      </w:r>
      <w:r w:rsidRPr="00E07ACB">
        <w:rPr>
          <w:rFonts w:ascii="Times New Roman" w:eastAsia="Times New Roman" w:hAnsi="Times New Roman" w:cs="Times New Roman"/>
          <w:b/>
          <w:noProof w:val="0"/>
        </w:rPr>
        <w:tab/>
        <w:t xml:space="preserve">VEIKLIOJI </w:t>
      </w:r>
      <w:r w:rsidRPr="00E07ACB">
        <w:rPr>
          <w:rFonts w:ascii="Times New Roman" w:eastAsia="Times New Roman" w:hAnsi="Times New Roman" w:cs="Times New Roman"/>
          <w:b/>
          <w:noProof w:val="0"/>
          <w:snapToGrid w:val="0"/>
        </w:rPr>
        <w:t xml:space="preserve">(-IOS) </w:t>
      </w:r>
      <w:r w:rsidRPr="00E07ACB">
        <w:rPr>
          <w:rFonts w:ascii="Times New Roman" w:eastAsia="Times New Roman" w:hAnsi="Times New Roman" w:cs="Times New Roman"/>
          <w:b/>
          <w:noProof w:val="0"/>
        </w:rPr>
        <w:t xml:space="preserve">MEDŽIAGA </w:t>
      </w:r>
      <w:r w:rsidRPr="00E07ACB">
        <w:rPr>
          <w:rFonts w:ascii="Times New Roman" w:eastAsia="Times New Roman" w:hAnsi="Times New Roman" w:cs="Times New Roman"/>
          <w:b/>
          <w:noProof w:val="0"/>
          <w:snapToGrid w:val="0"/>
        </w:rPr>
        <w:t xml:space="preserve">(-OS) </w:t>
      </w:r>
      <w:r w:rsidRPr="00E07ACB">
        <w:rPr>
          <w:rFonts w:ascii="Times New Roman" w:eastAsia="Times New Roman" w:hAnsi="Times New Roman" w:cs="Times New Roman"/>
          <w:b/>
          <w:noProof w:val="0"/>
        </w:rPr>
        <w:t xml:space="preserve">IR JOS </w:t>
      </w:r>
      <w:r w:rsidRPr="00E07ACB">
        <w:rPr>
          <w:rFonts w:ascii="Times New Roman" w:eastAsia="Times New Roman" w:hAnsi="Times New Roman" w:cs="Times New Roman"/>
          <w:b/>
          <w:noProof w:val="0"/>
          <w:snapToGrid w:val="0"/>
        </w:rPr>
        <w:t xml:space="preserve">(-Ų) </w:t>
      </w:r>
      <w:r w:rsidRPr="00E07ACB">
        <w:rPr>
          <w:rFonts w:ascii="Times New Roman" w:eastAsia="Times New Roman" w:hAnsi="Times New Roman" w:cs="Times New Roman"/>
          <w:b/>
          <w:noProof w:val="0"/>
        </w:rPr>
        <w:t>KIEKIS</w:t>
      </w:r>
      <w:r w:rsidRPr="00E07ACB">
        <w:rPr>
          <w:rFonts w:ascii="Times New Roman" w:eastAsia="Times New Roman" w:hAnsi="Times New Roman" w:cs="Times New Roman"/>
          <w:b/>
          <w:noProof w:val="0"/>
          <w:snapToGrid w:val="0"/>
        </w:rPr>
        <w:t xml:space="preserve"> (-IAI)</w:t>
      </w:r>
    </w:p>
    <w:p w14:paraId="467598B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8700AC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1 plėvele dengtoje tabletėje yra 50 mg azatioprino.</w:t>
      </w:r>
    </w:p>
    <w:p w14:paraId="6D5A68E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07671D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AFAAA9D"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3.</w:t>
      </w:r>
      <w:r w:rsidRPr="00E07ACB">
        <w:rPr>
          <w:rFonts w:ascii="Times New Roman" w:eastAsia="Times New Roman" w:hAnsi="Times New Roman" w:cs="Times New Roman"/>
          <w:b/>
          <w:noProof w:val="0"/>
        </w:rPr>
        <w:tab/>
        <w:t>PAGALBINIŲ MEDŽIAGŲ SĄRAŠAS</w:t>
      </w:r>
    </w:p>
    <w:p w14:paraId="1D700A8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E50871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Sudėtyje yra laktozės. Prieš vartojimą perskaitykite pakuotės lapelį.</w:t>
      </w:r>
    </w:p>
    <w:p w14:paraId="225AE04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35B181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8B77CA7"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4.</w:t>
      </w:r>
      <w:r w:rsidRPr="00E07ACB">
        <w:rPr>
          <w:rFonts w:ascii="Times New Roman" w:eastAsia="Times New Roman" w:hAnsi="Times New Roman" w:cs="Times New Roman"/>
          <w:b/>
          <w:noProof w:val="0"/>
        </w:rPr>
        <w:tab/>
        <w:t>FARMACINĖ FORMA IR KIEKIS PAKUOTĖJE</w:t>
      </w:r>
    </w:p>
    <w:p w14:paraId="2235CDC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5247DE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28 plėvele dengtos tabletės</w:t>
      </w:r>
    </w:p>
    <w:p w14:paraId="63FFA1C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30 plėvele dengtų tablečių</w:t>
      </w:r>
    </w:p>
    <w:p w14:paraId="60EDF70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50 plėvele dengtų tablečių</w:t>
      </w:r>
    </w:p>
    <w:p w14:paraId="2429C58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56 plėvele dengtos tabletės</w:t>
      </w:r>
    </w:p>
    <w:p w14:paraId="718C39B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noProof w:val="0"/>
          <w:highlight w:val="lightGray"/>
        </w:rPr>
        <w:t>90 plėvele dengtų tablečių</w:t>
      </w:r>
    </w:p>
    <w:p w14:paraId="2B8F019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highlight w:val="lightGray"/>
        </w:rPr>
        <w:t>100 plėvele dengtų tablečių</w:t>
      </w:r>
    </w:p>
    <w:p w14:paraId="283DBFA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3EF08F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436EF1F"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5.</w:t>
      </w:r>
      <w:r w:rsidRPr="00E07ACB">
        <w:rPr>
          <w:rFonts w:ascii="Times New Roman" w:eastAsia="Times New Roman" w:hAnsi="Times New Roman" w:cs="Times New Roman"/>
          <w:b/>
          <w:noProof w:val="0"/>
        </w:rPr>
        <w:tab/>
        <w:t>VARTOJIMO METODAS IR BŪDAS (-AI)</w:t>
      </w:r>
    </w:p>
    <w:p w14:paraId="2A8075D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D35A36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Vartoti per burną.</w:t>
      </w:r>
    </w:p>
    <w:p w14:paraId="2DCB832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highlight w:val="lightGray"/>
        </w:rPr>
        <w:t>Prieš vartojimą perskaitykite pakuotės lapelį.</w:t>
      </w:r>
    </w:p>
    <w:p w14:paraId="737296D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E1116F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0A9B973"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6.</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SPECIALUS ĮSPĖJIMAS, KAD VAISTINĮ PREPARATĄ BŪTINA LAIKYTI VAIKAMS NEPASTEBIMOJE IR NEPASIEKIAMOJE VIETOJE</w:t>
      </w:r>
    </w:p>
    <w:p w14:paraId="4A3C367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30223DD"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Laikyti vaikams nepastebimoje ir nepasiekiamoje vietoje.</w:t>
      </w:r>
    </w:p>
    <w:p w14:paraId="0426845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4AFDA2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950946C"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7.</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KITAS (-I) SPECIALUS (-ŪS) ĮSPĖJIMAS (-AI) (JEI REIKIA)</w:t>
      </w:r>
    </w:p>
    <w:p w14:paraId="235ADFB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045E35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Tablečių nesmulkinkite.</w:t>
      </w:r>
    </w:p>
    <w:p w14:paraId="4430969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70D179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C4F9AD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highlight w:val="lightGray"/>
        </w:rPr>
      </w:pPr>
      <w:r w:rsidRPr="00E07ACB">
        <w:rPr>
          <w:rFonts w:ascii="Times New Roman" w:eastAsia="Times New Roman" w:hAnsi="Times New Roman" w:cs="Times New Roman"/>
          <w:b/>
          <w:noProof w:val="0"/>
        </w:rPr>
        <w:t>8.</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bCs/>
          <w:noProof w:val="0"/>
        </w:rPr>
        <w:t>TINKAMUMO LAIKAS</w:t>
      </w:r>
    </w:p>
    <w:p w14:paraId="44F3AB1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2F7060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EXP {mm/MMMM}  </w:t>
      </w:r>
    </w:p>
    <w:p w14:paraId="69AF9D6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13738B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E8871D8"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9.</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SPECIALIOS laikymo sąlygos</w:t>
      </w:r>
    </w:p>
    <w:p w14:paraId="2384346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21DA169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Laikyti gamintojo pakuotėje, kad vaistas būtų apsaugotas nuo šviesos.</w:t>
      </w:r>
    </w:p>
    <w:p w14:paraId="46A1CF9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8A6805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6958BCD"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10.</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 xml:space="preserve">specialios atsargumo priemonės DĖL NESUVARTOTO </w:t>
      </w:r>
      <w:r w:rsidRPr="00E07ACB">
        <w:rPr>
          <w:rFonts w:ascii="Times New Roman" w:eastAsia="Times New Roman" w:hAnsi="Times New Roman" w:cs="Times New Roman"/>
          <w:b/>
          <w:bCs/>
          <w:caps/>
          <w:noProof w:val="0"/>
        </w:rPr>
        <w:t>VAISTINIO PREPARATO AR JO ATLIEK</w:t>
      </w:r>
      <w:r w:rsidRPr="00E07ACB">
        <w:rPr>
          <w:rFonts w:ascii="Times New Roman" w:eastAsia="Times New Roman" w:hAnsi="Times New Roman" w:cs="Times New Roman"/>
          <w:b/>
          <w:noProof w:val="0"/>
        </w:rPr>
        <w:t>Ų</w:t>
      </w:r>
      <w:r w:rsidRPr="00E07ACB">
        <w:rPr>
          <w:rFonts w:ascii="Times New Roman" w:eastAsia="Times New Roman" w:hAnsi="Times New Roman" w:cs="Times New Roman"/>
          <w:caps/>
          <w:noProof w:val="0"/>
        </w:rPr>
        <w:t xml:space="preserve"> </w:t>
      </w:r>
      <w:r w:rsidRPr="00E07ACB">
        <w:rPr>
          <w:rFonts w:ascii="Times New Roman" w:eastAsia="Times New Roman" w:hAnsi="Times New Roman" w:cs="Times New Roman"/>
          <w:b/>
          <w:bCs/>
          <w:caps/>
          <w:noProof w:val="0"/>
        </w:rPr>
        <w:t>TVARKYMO</w:t>
      </w:r>
      <w:r w:rsidRPr="00E07ACB">
        <w:rPr>
          <w:rFonts w:ascii="Times New Roman" w:eastAsia="Times New Roman" w:hAnsi="Times New Roman" w:cs="Times New Roman"/>
          <w:b/>
          <w:caps/>
          <w:noProof w:val="0"/>
        </w:rPr>
        <w:t xml:space="preserve"> (jei reikia)</w:t>
      </w:r>
    </w:p>
    <w:p w14:paraId="2221124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9C75A0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FD6954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11.</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REGISTRUOTOJO pavadinimas ir adresas</w:t>
      </w:r>
    </w:p>
    <w:p w14:paraId="062924C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FA8BFD8"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57D47E16"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3013 Lake Drive</w:t>
      </w:r>
    </w:p>
    <w:p w14:paraId="0DF5E9D0"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Citywest Business Campus</w:t>
      </w:r>
    </w:p>
    <w:p w14:paraId="2E177F8B"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Dublin 24, D24PPT3</w:t>
      </w:r>
    </w:p>
    <w:p w14:paraId="5684CD10" w14:textId="77777777" w:rsidR="00D12B02" w:rsidRPr="004055B2" w:rsidRDefault="00D12B02" w:rsidP="00D12B02">
      <w:pPr>
        <w:spacing w:after="0" w:line="240" w:lineRule="auto"/>
        <w:rPr>
          <w:rFonts w:ascii="Times New Roman" w:hAnsi="Times New Roman" w:cs="Times New Roman"/>
        </w:rPr>
      </w:pPr>
      <w:r w:rsidRPr="004055B2">
        <w:rPr>
          <w:rFonts w:ascii="Times New Roman" w:hAnsi="Times New Roman" w:cs="Times New Roman"/>
        </w:rPr>
        <w:t>Airija</w:t>
      </w:r>
    </w:p>
    <w:p w14:paraId="2B404B6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C98E24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02E1C1A"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12.</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REGISTRACIJOS PAŽYMĖJIMO numeris</w:t>
      </w:r>
      <w:r w:rsidRPr="00E07ACB">
        <w:rPr>
          <w:rFonts w:ascii="Times New Roman" w:eastAsia="Times New Roman" w:hAnsi="Times New Roman" w:cs="Times New Roman"/>
          <w:b/>
          <w:noProof w:val="0"/>
        </w:rPr>
        <w:t xml:space="preserve"> (-IAI)</w:t>
      </w:r>
    </w:p>
    <w:p w14:paraId="33F90EE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4BC83E9"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Times New Roman" w:hAnsi="Times New Roman" w:cs="Times New Roman"/>
          <w:bCs/>
          <w:noProof w:val="0"/>
          <w:szCs w:val="24"/>
        </w:rPr>
        <w:t xml:space="preserve">LT/1/15/3834/007 </w:t>
      </w:r>
      <w:r w:rsidRPr="00E07ACB">
        <w:rPr>
          <w:rFonts w:ascii="Times New Roman" w:eastAsia="Times New Roman" w:hAnsi="Times New Roman" w:cs="Times New Roman"/>
          <w:noProof w:val="0"/>
          <w:highlight w:val="lightGray"/>
        </w:rPr>
        <w:t>– N28</w:t>
      </w:r>
    </w:p>
    <w:p w14:paraId="7F1D67FE"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LT/1/15/3834/008</w:t>
      </w:r>
      <w:r w:rsidRPr="00E07ACB">
        <w:rPr>
          <w:rFonts w:ascii="Times New Roman" w:eastAsia="Times New Roman" w:hAnsi="Times New Roman" w:cs="Times New Roman"/>
          <w:noProof w:val="0"/>
          <w:highlight w:val="lightGray"/>
        </w:rPr>
        <w:t xml:space="preserve"> – N30</w:t>
      </w:r>
    </w:p>
    <w:p w14:paraId="262B8046"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LT/1/15/3834/009</w:t>
      </w:r>
      <w:r w:rsidRPr="00E07ACB">
        <w:rPr>
          <w:rFonts w:ascii="Times New Roman" w:eastAsia="Times New Roman" w:hAnsi="Times New Roman" w:cs="Times New Roman"/>
          <w:noProof w:val="0"/>
          <w:highlight w:val="lightGray"/>
        </w:rPr>
        <w:t xml:space="preserve"> – N50</w:t>
      </w:r>
    </w:p>
    <w:p w14:paraId="6DE4C0CA"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LT/1/15/3834/010</w:t>
      </w:r>
      <w:r w:rsidRPr="00E07ACB">
        <w:rPr>
          <w:rFonts w:ascii="Times New Roman" w:eastAsia="Times New Roman" w:hAnsi="Times New Roman" w:cs="Times New Roman"/>
          <w:noProof w:val="0"/>
          <w:highlight w:val="lightGray"/>
        </w:rPr>
        <w:t xml:space="preserve"> – N56</w:t>
      </w:r>
    </w:p>
    <w:p w14:paraId="7BC4EA88"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LT/1/15/3834/011</w:t>
      </w:r>
      <w:r w:rsidRPr="00E07ACB">
        <w:rPr>
          <w:rFonts w:ascii="Times New Roman" w:eastAsia="Times New Roman" w:hAnsi="Times New Roman" w:cs="Times New Roman"/>
          <w:noProof w:val="0"/>
          <w:highlight w:val="lightGray"/>
        </w:rPr>
        <w:t xml:space="preserve"> – N90</w:t>
      </w:r>
    </w:p>
    <w:p w14:paraId="4C666C00" w14:textId="77777777" w:rsidR="00E07ACB" w:rsidRPr="00E07ACB" w:rsidRDefault="00E07ACB" w:rsidP="00E07ACB">
      <w:pPr>
        <w:spacing w:after="0" w:line="240" w:lineRule="auto"/>
        <w:rPr>
          <w:rFonts w:ascii="Times New Roman" w:eastAsia="Calibri" w:hAnsi="Times New Roman" w:cs="Times New Roman"/>
          <w:highlight w:val="lightGray"/>
        </w:rPr>
      </w:pPr>
      <w:r w:rsidRPr="00E07ACB">
        <w:rPr>
          <w:rFonts w:ascii="Times New Roman" w:eastAsia="Calibri" w:hAnsi="Times New Roman" w:cs="Times New Roman"/>
          <w:highlight w:val="lightGray"/>
        </w:rPr>
        <w:t>LT/1/15/3834/012</w:t>
      </w:r>
      <w:r w:rsidRPr="00E07ACB">
        <w:rPr>
          <w:rFonts w:ascii="Times New Roman" w:eastAsia="Times New Roman" w:hAnsi="Times New Roman" w:cs="Times New Roman"/>
          <w:noProof w:val="0"/>
          <w:highlight w:val="lightGray"/>
        </w:rPr>
        <w:t xml:space="preserve"> – N100</w:t>
      </w:r>
    </w:p>
    <w:p w14:paraId="104A1AF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5F821F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B3C8E40"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13.</w:t>
      </w:r>
      <w:r w:rsidRPr="00E07ACB">
        <w:rPr>
          <w:rFonts w:ascii="Times New Roman" w:eastAsia="Times New Roman" w:hAnsi="Times New Roman" w:cs="Times New Roman"/>
          <w:b/>
          <w:noProof w:val="0"/>
        </w:rPr>
        <w:tab/>
        <w:t>SERIJOS NUMERIS</w:t>
      </w:r>
    </w:p>
    <w:p w14:paraId="7D29EE9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CB2D95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Lot</w:t>
      </w:r>
    </w:p>
    <w:p w14:paraId="0447D6C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306C49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5B1A9B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14.</w:t>
      </w:r>
      <w:r w:rsidRPr="00E07ACB">
        <w:rPr>
          <w:rFonts w:ascii="Times New Roman" w:eastAsia="Times New Roman" w:hAnsi="Times New Roman" w:cs="Times New Roman"/>
          <w:b/>
          <w:noProof w:val="0"/>
        </w:rPr>
        <w:tab/>
        <w:t>PARDAVIMO (IŠDAVIMO)</w:t>
      </w:r>
      <w:r w:rsidRPr="00E07ACB">
        <w:rPr>
          <w:rFonts w:ascii="Times New Roman" w:eastAsia="Times New Roman" w:hAnsi="Times New Roman" w:cs="Times New Roman"/>
          <w:b/>
          <w:caps/>
          <w:noProof w:val="0"/>
        </w:rPr>
        <w:t xml:space="preserve"> tvarka</w:t>
      </w:r>
    </w:p>
    <w:p w14:paraId="4BC8431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5CC2CE5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Receptinis vaistas</w:t>
      </w:r>
    </w:p>
    <w:p w14:paraId="38733C5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7DEDA2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B63F05E"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15.</w:t>
      </w:r>
      <w:r w:rsidRPr="00E07ACB">
        <w:rPr>
          <w:rFonts w:ascii="Times New Roman" w:eastAsia="Times New Roman" w:hAnsi="Times New Roman" w:cs="Times New Roman"/>
          <w:b/>
          <w:noProof w:val="0"/>
        </w:rPr>
        <w:tab/>
      </w:r>
      <w:r w:rsidRPr="00E07ACB">
        <w:rPr>
          <w:rFonts w:ascii="Times New Roman" w:eastAsia="Times New Roman" w:hAnsi="Times New Roman" w:cs="Times New Roman"/>
          <w:b/>
          <w:caps/>
          <w:noProof w:val="0"/>
        </w:rPr>
        <w:t>vartojimo instrukcijA</w:t>
      </w:r>
    </w:p>
    <w:p w14:paraId="44093D0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1784C7B"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6F1AD0F7" w14:textId="77777777" w:rsidR="00E07ACB" w:rsidRPr="00E07ACB" w:rsidRDefault="00E07ACB" w:rsidP="00E07ACB">
      <w:pPr>
        <w:pBdr>
          <w:top w:val="single" w:sz="4" w:space="2"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16.</w:t>
      </w:r>
      <w:r w:rsidRPr="00E07ACB">
        <w:rPr>
          <w:rFonts w:ascii="Times New Roman" w:eastAsia="Times New Roman" w:hAnsi="Times New Roman" w:cs="Times New Roman"/>
          <w:b/>
          <w:noProof w:val="0"/>
        </w:rPr>
        <w:tab/>
        <w:t>INFORMACIJA BRAILIO RAŠTU</w:t>
      </w:r>
    </w:p>
    <w:p w14:paraId="72CF7C1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CD8F2B3"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50 mg</w:t>
      </w:r>
    </w:p>
    <w:p w14:paraId="49E37D3E" w14:textId="77777777" w:rsidR="00E07ACB" w:rsidRPr="00E07ACB" w:rsidRDefault="00E07ACB" w:rsidP="00E07ACB">
      <w:pPr>
        <w:spacing w:after="0" w:line="240" w:lineRule="auto"/>
        <w:rPr>
          <w:rFonts w:ascii="Times New Roman" w:eastAsia="Calibri" w:hAnsi="Times New Roman" w:cs="Times New Roman"/>
          <w:lang w:eastAsia="lt-LT"/>
        </w:rPr>
      </w:pPr>
    </w:p>
    <w:p w14:paraId="3748808D" w14:textId="77777777" w:rsidR="00E07ACB" w:rsidRPr="00E07ACB" w:rsidRDefault="00E07ACB" w:rsidP="00E07ACB">
      <w:pPr>
        <w:spacing w:after="0" w:line="240" w:lineRule="auto"/>
        <w:rPr>
          <w:rFonts w:ascii="Times New Roman" w:eastAsia="Calibri" w:hAnsi="Times New Roman" w:cs="Times New Roman"/>
          <w:lang w:eastAsia="lt-LT"/>
        </w:rPr>
      </w:pPr>
    </w:p>
    <w:p w14:paraId="73787092"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b/>
        </w:rPr>
      </w:pPr>
      <w:r w:rsidRPr="00E07ACB">
        <w:rPr>
          <w:rFonts w:ascii="Times New Roman" w:eastAsia="Times New Roman" w:hAnsi="Times New Roman" w:cs="Times New Roman"/>
          <w:b/>
        </w:rPr>
        <w:t>17.</w:t>
      </w:r>
      <w:r w:rsidRPr="00E07ACB">
        <w:rPr>
          <w:rFonts w:ascii="Times New Roman" w:eastAsia="Times New Roman" w:hAnsi="Times New Roman" w:cs="Times New Roman"/>
          <w:b/>
        </w:rPr>
        <w:tab/>
        <w:t>UNIKALUS IDENTIFIKATORIUS – 2D BRŪKŠNINIS KODAS</w:t>
      </w:r>
    </w:p>
    <w:p w14:paraId="6E837896" w14:textId="77777777" w:rsidR="00E07ACB" w:rsidRPr="00E07ACB" w:rsidRDefault="00E07ACB" w:rsidP="00E07ACB">
      <w:pPr>
        <w:spacing w:after="0"/>
        <w:rPr>
          <w:rFonts w:ascii="Times New Roman" w:eastAsia="Calibri" w:hAnsi="Times New Roman" w:cs="Times New Roman"/>
          <w:szCs w:val="20"/>
        </w:rPr>
      </w:pPr>
    </w:p>
    <w:p w14:paraId="44B613E5" w14:textId="77777777" w:rsidR="00E07ACB" w:rsidRPr="00E07ACB" w:rsidRDefault="00E07ACB" w:rsidP="00E07ACB">
      <w:pPr>
        <w:spacing w:after="0"/>
        <w:rPr>
          <w:rFonts w:ascii="Times New Roman" w:eastAsia="Calibri" w:hAnsi="Times New Roman" w:cs="Times New Roman"/>
          <w:shd w:val="clear" w:color="auto" w:fill="CCCCCC"/>
        </w:rPr>
      </w:pPr>
      <w:r w:rsidRPr="00E07ACB">
        <w:rPr>
          <w:rFonts w:ascii="Times New Roman" w:eastAsia="Calibri" w:hAnsi="Times New Roman" w:cs="Times New Roman"/>
          <w:highlight w:val="lightGray"/>
        </w:rPr>
        <w:t>2D brūkšninis kodas su nurodytu unikaliu identifikatoriumi.</w:t>
      </w:r>
    </w:p>
    <w:p w14:paraId="18260658" w14:textId="77777777" w:rsidR="00E07ACB" w:rsidRPr="00E07ACB" w:rsidRDefault="00E07ACB" w:rsidP="00E07ACB">
      <w:pPr>
        <w:spacing w:after="0"/>
        <w:rPr>
          <w:rFonts w:ascii="Times New Roman" w:eastAsia="Calibri" w:hAnsi="Times New Roman" w:cs="Times New Roman"/>
          <w:szCs w:val="20"/>
        </w:rPr>
      </w:pPr>
    </w:p>
    <w:p w14:paraId="05CE22C2" w14:textId="77777777" w:rsidR="00E07ACB" w:rsidRPr="00E07ACB" w:rsidRDefault="00E07ACB" w:rsidP="00E07ACB">
      <w:pPr>
        <w:spacing w:after="0"/>
        <w:rPr>
          <w:rFonts w:ascii="Times New Roman" w:eastAsia="Calibri" w:hAnsi="Times New Roman" w:cs="Times New Roman"/>
        </w:rPr>
      </w:pPr>
    </w:p>
    <w:p w14:paraId="50181636"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b/>
          <w:noProof w:val="0"/>
        </w:rPr>
      </w:pPr>
      <w:r w:rsidRPr="00E07ACB">
        <w:rPr>
          <w:rFonts w:ascii="Times New Roman" w:eastAsia="Times New Roman" w:hAnsi="Times New Roman" w:cs="Times New Roman"/>
          <w:b/>
        </w:rPr>
        <w:t>18.</w:t>
      </w:r>
      <w:r w:rsidRPr="00E07ACB">
        <w:rPr>
          <w:rFonts w:ascii="Times New Roman" w:eastAsia="Times New Roman" w:hAnsi="Times New Roman" w:cs="Times New Roman"/>
          <w:b/>
        </w:rPr>
        <w:tab/>
        <w:t>UNIKALUS IDENTIFIKATORIUS – ŽMONĖMS SUPRANTAMI DUOMENYS</w:t>
      </w:r>
    </w:p>
    <w:p w14:paraId="4718F620" w14:textId="77777777" w:rsidR="00E07ACB" w:rsidRPr="00E07ACB" w:rsidRDefault="00E07ACB" w:rsidP="00E07ACB">
      <w:pPr>
        <w:spacing w:after="0"/>
        <w:rPr>
          <w:rFonts w:ascii="Times New Roman" w:eastAsia="Calibri" w:hAnsi="Times New Roman" w:cs="Times New Roman"/>
        </w:rPr>
      </w:pPr>
    </w:p>
    <w:p w14:paraId="23A701AB" w14:textId="77777777" w:rsidR="00E07ACB" w:rsidRPr="00E07ACB" w:rsidRDefault="00E07ACB" w:rsidP="00E07ACB">
      <w:pPr>
        <w:spacing w:after="0"/>
        <w:rPr>
          <w:rFonts w:ascii="Times New Roman" w:eastAsia="Calibri" w:hAnsi="Times New Roman" w:cs="Times New Roman"/>
          <w:noProof w:val="0"/>
          <w:color w:val="008000"/>
        </w:rPr>
      </w:pPr>
      <w:r w:rsidRPr="00E07ACB">
        <w:rPr>
          <w:rFonts w:ascii="Times New Roman" w:eastAsia="Calibri" w:hAnsi="Times New Roman" w:cs="Times New Roman"/>
        </w:rPr>
        <w:t>PC: {numeris}</w:t>
      </w:r>
    </w:p>
    <w:p w14:paraId="58F7C101" w14:textId="77777777" w:rsidR="00E07ACB" w:rsidRPr="00E07ACB" w:rsidRDefault="00E07ACB" w:rsidP="00E07ACB">
      <w:pPr>
        <w:spacing w:after="0"/>
        <w:rPr>
          <w:rFonts w:ascii="Times New Roman" w:eastAsia="Calibri" w:hAnsi="Times New Roman" w:cs="Times New Roman"/>
        </w:rPr>
      </w:pPr>
      <w:r w:rsidRPr="00E07ACB">
        <w:rPr>
          <w:rFonts w:ascii="Times New Roman" w:eastAsia="Calibri" w:hAnsi="Times New Roman" w:cs="Times New Roman"/>
        </w:rPr>
        <w:t>SN: {numeris}</w:t>
      </w:r>
    </w:p>
    <w:p w14:paraId="33B432EF" w14:textId="77777777" w:rsidR="00E07ACB" w:rsidRPr="00E07ACB" w:rsidRDefault="00E07ACB" w:rsidP="00E07ACB">
      <w:pPr>
        <w:spacing w:after="0"/>
        <w:rPr>
          <w:rFonts w:ascii="Times New Roman" w:eastAsia="Calibri" w:hAnsi="Times New Roman" w:cs="Times New Roman"/>
        </w:rPr>
      </w:pPr>
      <w:r w:rsidRPr="00E07ACB">
        <w:rPr>
          <w:rFonts w:ascii="Times New Roman" w:eastAsia="Calibri" w:hAnsi="Times New Roman" w:cs="Times New Roman"/>
          <w:highlight w:val="lightGray"/>
        </w:rPr>
        <w:t>NN: {numeris}</w:t>
      </w:r>
    </w:p>
    <w:p w14:paraId="215ED2FF"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lastRenderedPageBreak/>
        <w:t xml:space="preserve">MINIMALI </w:t>
      </w:r>
      <w:r w:rsidRPr="00E07ACB">
        <w:rPr>
          <w:rFonts w:ascii="Times New Roman" w:eastAsia="Calibri" w:hAnsi="Times New Roman" w:cs="Times New Roman"/>
          <w:b/>
          <w:caps/>
          <w:noProof w:val="0"/>
          <w:szCs w:val="20"/>
          <w:lang w:eastAsia="de-DE"/>
        </w:rPr>
        <w:t xml:space="preserve">informacija ant </w:t>
      </w:r>
      <w:r w:rsidRPr="00E07ACB">
        <w:rPr>
          <w:rFonts w:ascii="Times New Roman" w:eastAsia="Calibri" w:hAnsi="Times New Roman" w:cs="Times New Roman"/>
          <w:b/>
          <w:noProof w:val="0"/>
          <w:szCs w:val="20"/>
          <w:lang w:eastAsia="de-DE"/>
        </w:rPr>
        <w:t>LIZDINIŲ PLOKŠTELIŲ ARBA DVISLUOKSNIŲ JUOSTELIŲ</w:t>
      </w:r>
    </w:p>
    <w:p w14:paraId="4DD1486B"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p>
    <w:p w14:paraId="70D40B28"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LIZDINĖ PLOKŠTELĖ</w:t>
      </w:r>
    </w:p>
    <w:p w14:paraId="11BCF90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9A9CF1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27B8260"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1.</w:t>
      </w:r>
      <w:r w:rsidRPr="00E07ACB">
        <w:rPr>
          <w:rFonts w:ascii="Times New Roman" w:eastAsia="Calibri" w:hAnsi="Times New Roman" w:cs="Times New Roman"/>
          <w:b/>
          <w:noProof w:val="0"/>
          <w:szCs w:val="20"/>
          <w:lang w:eastAsia="de-DE"/>
        </w:rPr>
        <w:tab/>
        <w:t>VAISTINIO PREPARATO PAVADINIMAS</w:t>
      </w:r>
    </w:p>
    <w:p w14:paraId="7745537F"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9A118F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50 mg plėvele dengtos tabletės</w:t>
      </w:r>
    </w:p>
    <w:p w14:paraId="744674F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Azathioprinum</w:t>
      </w:r>
    </w:p>
    <w:p w14:paraId="4E0145E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1E273D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7822A24"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2.</w:t>
      </w:r>
      <w:r w:rsidRPr="00E07ACB">
        <w:rPr>
          <w:rFonts w:ascii="Times New Roman" w:eastAsia="Calibri" w:hAnsi="Times New Roman" w:cs="Times New Roman"/>
          <w:b/>
          <w:noProof w:val="0"/>
          <w:szCs w:val="20"/>
          <w:lang w:eastAsia="de-DE"/>
        </w:rPr>
        <w:tab/>
        <w:t>REGISTRUOTOJO PAVADINIMAS</w:t>
      </w:r>
    </w:p>
    <w:p w14:paraId="27975B4E"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287F470"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4E379F46"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46E6127A"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35FA831"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3.</w:t>
      </w:r>
      <w:r w:rsidRPr="00E07ACB">
        <w:rPr>
          <w:rFonts w:ascii="Times New Roman" w:eastAsia="Calibri" w:hAnsi="Times New Roman" w:cs="Times New Roman"/>
          <w:b/>
          <w:noProof w:val="0"/>
          <w:szCs w:val="20"/>
          <w:lang w:eastAsia="de-DE"/>
        </w:rPr>
        <w:tab/>
        <w:t>TINKAMUMO LAIKAS</w:t>
      </w:r>
    </w:p>
    <w:p w14:paraId="07C4196D"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091011D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EXP {mm/MMMM}</w:t>
      </w:r>
    </w:p>
    <w:p w14:paraId="488A05A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207C49C"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2F0E98EC"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4.</w:t>
      </w:r>
      <w:r w:rsidRPr="00E07ACB">
        <w:rPr>
          <w:rFonts w:ascii="Times New Roman" w:eastAsia="Calibri" w:hAnsi="Times New Roman" w:cs="Times New Roman"/>
          <w:b/>
          <w:noProof w:val="0"/>
          <w:szCs w:val="20"/>
          <w:lang w:eastAsia="de-DE"/>
        </w:rPr>
        <w:tab/>
        <w:t>SERIJOS NUMERIS</w:t>
      </w:r>
    </w:p>
    <w:p w14:paraId="5E0D602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422E06B7"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Lot</w:t>
      </w:r>
    </w:p>
    <w:p w14:paraId="7AC478D0"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5E5BB7B3"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7FA33CD8" w14:textId="77777777" w:rsidR="00E07ACB" w:rsidRPr="00E07ACB" w:rsidRDefault="00E07ACB" w:rsidP="00E07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val="0"/>
          <w:szCs w:val="20"/>
          <w:lang w:eastAsia="de-DE"/>
        </w:rPr>
      </w:pPr>
      <w:r w:rsidRPr="00E07ACB">
        <w:rPr>
          <w:rFonts w:ascii="Times New Roman" w:eastAsia="Calibri" w:hAnsi="Times New Roman" w:cs="Times New Roman"/>
          <w:b/>
          <w:noProof w:val="0"/>
          <w:szCs w:val="20"/>
          <w:lang w:eastAsia="de-DE"/>
        </w:rPr>
        <w:t>5.</w:t>
      </w:r>
      <w:r w:rsidRPr="00E07ACB">
        <w:rPr>
          <w:rFonts w:ascii="Times New Roman" w:eastAsia="Calibri" w:hAnsi="Times New Roman" w:cs="Times New Roman"/>
          <w:b/>
          <w:noProof w:val="0"/>
          <w:szCs w:val="20"/>
          <w:lang w:eastAsia="de-DE"/>
        </w:rPr>
        <w:tab/>
        <w:t>KITA</w:t>
      </w:r>
    </w:p>
    <w:p w14:paraId="34621D1C"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330391B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br w:type="page"/>
      </w:r>
    </w:p>
    <w:p w14:paraId="2AF9EB74" w14:textId="77777777" w:rsidR="00E07ACB" w:rsidRPr="00E07ACB" w:rsidRDefault="00E07ACB" w:rsidP="00E07ACB">
      <w:pPr>
        <w:spacing w:after="0" w:line="240" w:lineRule="auto"/>
        <w:rPr>
          <w:rFonts w:ascii="Times New Roman" w:eastAsia="Times New Roman" w:hAnsi="Times New Roman" w:cs="Times New Roman"/>
          <w:noProof w:val="0"/>
        </w:rPr>
      </w:pPr>
    </w:p>
    <w:p w14:paraId="50CA900A" w14:textId="77777777" w:rsidR="00E07ACB" w:rsidRPr="00E07ACB" w:rsidRDefault="00E07ACB" w:rsidP="00E07ACB">
      <w:pPr>
        <w:spacing w:after="0" w:line="240" w:lineRule="auto"/>
        <w:rPr>
          <w:rFonts w:ascii="Times New Roman" w:eastAsia="Times New Roman" w:hAnsi="Times New Roman" w:cs="Times New Roman"/>
          <w:noProof w:val="0"/>
        </w:rPr>
      </w:pPr>
    </w:p>
    <w:p w14:paraId="0604B3BE" w14:textId="77777777" w:rsidR="00E07ACB" w:rsidRPr="00E07ACB" w:rsidRDefault="00E07ACB" w:rsidP="00E07ACB">
      <w:pPr>
        <w:spacing w:after="0" w:line="240" w:lineRule="auto"/>
        <w:rPr>
          <w:rFonts w:ascii="Times New Roman" w:eastAsia="Times New Roman" w:hAnsi="Times New Roman" w:cs="Times New Roman"/>
          <w:noProof w:val="0"/>
        </w:rPr>
      </w:pPr>
    </w:p>
    <w:p w14:paraId="7D7026E8" w14:textId="77777777" w:rsidR="00E07ACB" w:rsidRPr="00E07ACB" w:rsidRDefault="00E07ACB" w:rsidP="00E07ACB">
      <w:pPr>
        <w:spacing w:after="0" w:line="240" w:lineRule="auto"/>
        <w:rPr>
          <w:rFonts w:ascii="Times New Roman" w:eastAsia="Times New Roman" w:hAnsi="Times New Roman" w:cs="Times New Roman"/>
          <w:noProof w:val="0"/>
        </w:rPr>
      </w:pPr>
    </w:p>
    <w:p w14:paraId="52919CE6" w14:textId="77777777" w:rsidR="00E07ACB" w:rsidRPr="00E07ACB" w:rsidRDefault="00E07ACB" w:rsidP="00E07ACB">
      <w:pPr>
        <w:spacing w:after="0" w:line="240" w:lineRule="auto"/>
        <w:rPr>
          <w:rFonts w:ascii="Times New Roman" w:eastAsia="Times New Roman" w:hAnsi="Times New Roman" w:cs="Times New Roman"/>
          <w:noProof w:val="0"/>
        </w:rPr>
      </w:pPr>
    </w:p>
    <w:p w14:paraId="373CFEE5" w14:textId="77777777" w:rsidR="00E07ACB" w:rsidRPr="00E07ACB" w:rsidRDefault="00E07ACB" w:rsidP="00E07ACB">
      <w:pPr>
        <w:spacing w:after="0" w:line="240" w:lineRule="auto"/>
        <w:rPr>
          <w:rFonts w:ascii="Times New Roman" w:eastAsia="Times New Roman" w:hAnsi="Times New Roman" w:cs="Times New Roman"/>
          <w:noProof w:val="0"/>
        </w:rPr>
      </w:pPr>
    </w:p>
    <w:p w14:paraId="3A0B5AC7" w14:textId="77777777" w:rsidR="00E07ACB" w:rsidRPr="00E07ACB" w:rsidRDefault="00E07ACB" w:rsidP="00E07ACB">
      <w:pPr>
        <w:spacing w:after="0" w:line="240" w:lineRule="auto"/>
        <w:rPr>
          <w:rFonts w:ascii="Times New Roman" w:eastAsia="Times New Roman" w:hAnsi="Times New Roman" w:cs="Times New Roman"/>
          <w:noProof w:val="0"/>
        </w:rPr>
      </w:pPr>
    </w:p>
    <w:p w14:paraId="60A657FC" w14:textId="77777777" w:rsidR="00E07ACB" w:rsidRPr="00E07ACB" w:rsidRDefault="00E07ACB" w:rsidP="00E07ACB">
      <w:pPr>
        <w:spacing w:after="0" w:line="240" w:lineRule="auto"/>
        <w:rPr>
          <w:rFonts w:ascii="Times New Roman" w:eastAsia="Times New Roman" w:hAnsi="Times New Roman" w:cs="Times New Roman"/>
          <w:noProof w:val="0"/>
        </w:rPr>
      </w:pPr>
    </w:p>
    <w:p w14:paraId="688A5AA0" w14:textId="77777777" w:rsidR="00E07ACB" w:rsidRPr="00E07ACB" w:rsidRDefault="00E07ACB" w:rsidP="00E07ACB">
      <w:pPr>
        <w:spacing w:after="0" w:line="240" w:lineRule="auto"/>
        <w:rPr>
          <w:rFonts w:ascii="Times New Roman" w:eastAsia="Times New Roman" w:hAnsi="Times New Roman" w:cs="Times New Roman"/>
          <w:noProof w:val="0"/>
        </w:rPr>
      </w:pPr>
    </w:p>
    <w:p w14:paraId="1EC3A48A" w14:textId="77777777" w:rsidR="00E07ACB" w:rsidRPr="00E07ACB" w:rsidRDefault="00E07ACB" w:rsidP="00E07ACB">
      <w:pPr>
        <w:spacing w:after="0" w:line="240" w:lineRule="auto"/>
        <w:rPr>
          <w:rFonts w:ascii="Times New Roman" w:eastAsia="Times New Roman" w:hAnsi="Times New Roman" w:cs="Times New Roman"/>
          <w:noProof w:val="0"/>
        </w:rPr>
      </w:pPr>
    </w:p>
    <w:p w14:paraId="528BF1A3" w14:textId="77777777" w:rsidR="00E07ACB" w:rsidRPr="00E07ACB" w:rsidRDefault="00E07ACB" w:rsidP="00E07ACB">
      <w:pPr>
        <w:spacing w:after="0" w:line="240" w:lineRule="auto"/>
        <w:rPr>
          <w:rFonts w:ascii="Times New Roman" w:eastAsia="Times New Roman" w:hAnsi="Times New Roman" w:cs="Times New Roman"/>
          <w:noProof w:val="0"/>
        </w:rPr>
      </w:pPr>
    </w:p>
    <w:p w14:paraId="5DC1DA32" w14:textId="77777777" w:rsidR="00E07ACB" w:rsidRPr="00E07ACB" w:rsidRDefault="00E07ACB" w:rsidP="00E07ACB">
      <w:pPr>
        <w:spacing w:after="0" w:line="240" w:lineRule="auto"/>
        <w:rPr>
          <w:rFonts w:ascii="Times New Roman" w:eastAsia="Times New Roman" w:hAnsi="Times New Roman" w:cs="Times New Roman"/>
          <w:noProof w:val="0"/>
        </w:rPr>
      </w:pPr>
    </w:p>
    <w:p w14:paraId="70DCA427" w14:textId="77777777" w:rsidR="00E07ACB" w:rsidRPr="00E07ACB" w:rsidRDefault="00E07ACB" w:rsidP="00E07ACB">
      <w:pPr>
        <w:spacing w:after="0" w:line="240" w:lineRule="auto"/>
        <w:rPr>
          <w:rFonts w:ascii="Times New Roman" w:eastAsia="Times New Roman" w:hAnsi="Times New Roman" w:cs="Times New Roman"/>
          <w:noProof w:val="0"/>
        </w:rPr>
      </w:pPr>
    </w:p>
    <w:p w14:paraId="5B924CE6" w14:textId="77777777" w:rsidR="00E07ACB" w:rsidRPr="00E07ACB" w:rsidRDefault="00E07ACB" w:rsidP="00E07ACB">
      <w:pPr>
        <w:spacing w:after="0" w:line="240" w:lineRule="auto"/>
        <w:rPr>
          <w:rFonts w:ascii="Times New Roman" w:eastAsia="Times New Roman" w:hAnsi="Times New Roman" w:cs="Times New Roman"/>
          <w:noProof w:val="0"/>
        </w:rPr>
      </w:pPr>
    </w:p>
    <w:p w14:paraId="169D0094" w14:textId="77777777" w:rsidR="00E07ACB" w:rsidRPr="00E07ACB" w:rsidRDefault="00E07ACB" w:rsidP="00E07ACB">
      <w:pPr>
        <w:spacing w:after="0" w:line="240" w:lineRule="auto"/>
        <w:rPr>
          <w:rFonts w:ascii="Times New Roman" w:eastAsia="Times New Roman" w:hAnsi="Times New Roman" w:cs="Times New Roman"/>
          <w:noProof w:val="0"/>
        </w:rPr>
      </w:pPr>
    </w:p>
    <w:p w14:paraId="202BEC42" w14:textId="77777777" w:rsidR="00E07ACB" w:rsidRPr="00E07ACB" w:rsidRDefault="00E07ACB" w:rsidP="00E07ACB">
      <w:pPr>
        <w:spacing w:after="0" w:line="240" w:lineRule="auto"/>
        <w:rPr>
          <w:rFonts w:ascii="Times New Roman" w:eastAsia="Times New Roman" w:hAnsi="Times New Roman" w:cs="Times New Roman"/>
          <w:noProof w:val="0"/>
        </w:rPr>
      </w:pPr>
    </w:p>
    <w:p w14:paraId="5013662F" w14:textId="77777777" w:rsidR="00E07ACB" w:rsidRPr="00E07ACB" w:rsidRDefault="00E07ACB" w:rsidP="00E07ACB">
      <w:pPr>
        <w:spacing w:after="0" w:line="240" w:lineRule="auto"/>
        <w:rPr>
          <w:rFonts w:ascii="Times New Roman" w:eastAsia="Times New Roman" w:hAnsi="Times New Roman" w:cs="Times New Roman"/>
          <w:noProof w:val="0"/>
        </w:rPr>
      </w:pPr>
    </w:p>
    <w:p w14:paraId="1343FA7C" w14:textId="77777777" w:rsidR="00E07ACB" w:rsidRPr="00E07ACB" w:rsidRDefault="00E07ACB" w:rsidP="00E07ACB">
      <w:pPr>
        <w:spacing w:after="0" w:line="240" w:lineRule="auto"/>
        <w:rPr>
          <w:rFonts w:ascii="Times New Roman" w:eastAsia="Times New Roman" w:hAnsi="Times New Roman" w:cs="Times New Roman"/>
          <w:noProof w:val="0"/>
        </w:rPr>
      </w:pPr>
    </w:p>
    <w:p w14:paraId="31ED1F9E" w14:textId="77777777" w:rsidR="00E07ACB" w:rsidRPr="00E07ACB" w:rsidRDefault="00E07ACB" w:rsidP="00E07ACB">
      <w:pPr>
        <w:spacing w:after="0" w:line="240" w:lineRule="auto"/>
        <w:rPr>
          <w:rFonts w:ascii="Times New Roman" w:eastAsia="Times New Roman" w:hAnsi="Times New Roman" w:cs="Times New Roman"/>
          <w:noProof w:val="0"/>
        </w:rPr>
      </w:pPr>
    </w:p>
    <w:p w14:paraId="70E2CF8E" w14:textId="77777777" w:rsidR="00E07ACB" w:rsidRPr="00E07ACB" w:rsidRDefault="00E07ACB" w:rsidP="00E07ACB">
      <w:pPr>
        <w:spacing w:after="0" w:line="240" w:lineRule="auto"/>
        <w:rPr>
          <w:rFonts w:ascii="Times New Roman" w:eastAsia="Times New Roman" w:hAnsi="Times New Roman" w:cs="Times New Roman"/>
          <w:noProof w:val="0"/>
        </w:rPr>
      </w:pPr>
    </w:p>
    <w:p w14:paraId="48416EA6" w14:textId="77777777" w:rsidR="00E07ACB" w:rsidRPr="00E07ACB" w:rsidRDefault="00E07ACB" w:rsidP="00E07ACB">
      <w:pPr>
        <w:spacing w:after="0" w:line="240" w:lineRule="auto"/>
        <w:rPr>
          <w:rFonts w:ascii="Times New Roman" w:eastAsia="Times New Roman" w:hAnsi="Times New Roman" w:cs="Times New Roman"/>
          <w:noProof w:val="0"/>
        </w:rPr>
      </w:pPr>
    </w:p>
    <w:p w14:paraId="113EBE15" w14:textId="77777777" w:rsidR="00E07ACB" w:rsidRPr="00E07ACB" w:rsidRDefault="00E07ACB" w:rsidP="00E07ACB">
      <w:pPr>
        <w:spacing w:after="0" w:line="240" w:lineRule="auto"/>
        <w:rPr>
          <w:rFonts w:ascii="Times New Roman" w:eastAsia="Times New Roman" w:hAnsi="Times New Roman" w:cs="Times New Roman"/>
          <w:noProof w:val="0"/>
        </w:rPr>
      </w:pPr>
    </w:p>
    <w:p w14:paraId="2F0EF50F" w14:textId="77777777" w:rsidR="00E07ACB" w:rsidRPr="00E07ACB" w:rsidRDefault="00E07ACB" w:rsidP="00E07ACB">
      <w:pPr>
        <w:spacing w:after="0" w:line="240" w:lineRule="auto"/>
        <w:jc w:val="center"/>
        <w:rPr>
          <w:rFonts w:ascii="Times New Roman" w:eastAsia="Times New Roman" w:hAnsi="Times New Roman" w:cs="Times New Roman"/>
          <w:b/>
          <w:noProof w:val="0"/>
        </w:rPr>
      </w:pPr>
    </w:p>
    <w:p w14:paraId="6BDC1A96" w14:textId="77777777" w:rsidR="00E07ACB" w:rsidRPr="00E07ACB" w:rsidRDefault="00E07ACB" w:rsidP="00E07ACB">
      <w:pPr>
        <w:spacing w:after="0" w:line="240" w:lineRule="auto"/>
        <w:jc w:val="center"/>
        <w:rPr>
          <w:rFonts w:ascii="Times New Roman" w:eastAsia="Times New Roman" w:hAnsi="Times New Roman" w:cs="Times New Roman"/>
          <w:noProof w:val="0"/>
        </w:rPr>
      </w:pPr>
      <w:r w:rsidRPr="00E07ACB">
        <w:rPr>
          <w:rFonts w:ascii="Times New Roman" w:eastAsia="Times New Roman" w:hAnsi="Times New Roman" w:cs="Times New Roman"/>
          <w:b/>
          <w:noProof w:val="0"/>
        </w:rPr>
        <w:t>B. PAKUOTĖS LAPELIS</w:t>
      </w:r>
    </w:p>
    <w:p w14:paraId="75F4DA09" w14:textId="77777777" w:rsidR="00E07ACB" w:rsidRPr="00E07ACB" w:rsidRDefault="00E07ACB" w:rsidP="00E07ACB">
      <w:pPr>
        <w:spacing w:after="0" w:line="240" w:lineRule="auto"/>
        <w:rPr>
          <w:rFonts w:ascii="Times New Roman" w:eastAsia="Times New Roman" w:hAnsi="Times New Roman" w:cs="Times New Roman"/>
          <w:noProof w:val="0"/>
        </w:rPr>
      </w:pPr>
    </w:p>
    <w:p w14:paraId="4D5D7AB0" w14:textId="77777777" w:rsidR="00E07ACB" w:rsidRPr="00E07ACB" w:rsidRDefault="00E07ACB" w:rsidP="00E07ACB">
      <w:pPr>
        <w:spacing w:after="0" w:line="240" w:lineRule="auto"/>
        <w:jc w:val="center"/>
        <w:rPr>
          <w:rFonts w:ascii="Times New Roman" w:eastAsia="Times New Roman" w:hAnsi="Times New Roman" w:cs="Times New Roman"/>
          <w:b/>
          <w:noProof w:val="0"/>
        </w:rPr>
      </w:pPr>
      <w:r w:rsidRPr="00E07ACB">
        <w:rPr>
          <w:rFonts w:ascii="Times New Roman" w:eastAsia="Times New Roman" w:hAnsi="Times New Roman" w:cs="Times New Roman"/>
          <w:b/>
          <w:noProof w:val="0"/>
        </w:rPr>
        <w:br w:type="page"/>
      </w:r>
      <w:r w:rsidRPr="00E07ACB">
        <w:rPr>
          <w:rFonts w:ascii="Times New Roman" w:eastAsia="Times New Roman" w:hAnsi="Times New Roman" w:cs="Times New Roman"/>
          <w:b/>
          <w:noProof w:val="0"/>
        </w:rPr>
        <w:lastRenderedPageBreak/>
        <w:t>Pakuotės lapelis: informacija pacientui</w:t>
      </w:r>
    </w:p>
    <w:p w14:paraId="16388FAD" w14:textId="77777777" w:rsidR="00E07ACB" w:rsidRPr="00E07ACB" w:rsidRDefault="00E07ACB" w:rsidP="00E07ACB">
      <w:pPr>
        <w:spacing w:after="0" w:line="240" w:lineRule="auto"/>
        <w:jc w:val="center"/>
        <w:rPr>
          <w:rFonts w:ascii="Times New Roman" w:eastAsia="Times New Roman" w:hAnsi="Times New Roman" w:cs="Times New Roman"/>
          <w:b/>
          <w:noProof w:val="0"/>
        </w:rPr>
      </w:pPr>
    </w:p>
    <w:p w14:paraId="12EC9C3E" w14:textId="77777777" w:rsidR="00E07ACB" w:rsidRPr="00E07ACB" w:rsidRDefault="00E07ACB" w:rsidP="00E07ACB">
      <w:pPr>
        <w:spacing w:after="0" w:line="240" w:lineRule="auto"/>
        <w:jc w:val="center"/>
        <w:rPr>
          <w:rFonts w:ascii="Times New Roman" w:eastAsia="Times New Roman" w:hAnsi="Times New Roman" w:cs="Times New Roman"/>
          <w:b/>
          <w:bCs/>
          <w:noProof w:val="0"/>
        </w:rPr>
      </w:pPr>
      <w:r w:rsidRPr="00E07ACB">
        <w:rPr>
          <w:rFonts w:ascii="Times New Roman" w:eastAsia="Times New Roman" w:hAnsi="Times New Roman" w:cs="Times New Roman"/>
          <w:b/>
          <w:noProof w:val="0"/>
        </w:rPr>
        <w:t>Atsimutin</w:t>
      </w:r>
      <w:r w:rsidRPr="00E07ACB">
        <w:rPr>
          <w:rFonts w:ascii="Times New Roman" w:eastAsia="Times New Roman" w:hAnsi="Times New Roman" w:cs="Times New Roman"/>
          <w:b/>
          <w:bCs/>
          <w:noProof w:val="0"/>
        </w:rPr>
        <w:t xml:space="preserve"> 25 mg plėvele dengtos tabletės</w:t>
      </w:r>
    </w:p>
    <w:p w14:paraId="1A32B970" w14:textId="073505D4" w:rsidR="00E07ACB" w:rsidRPr="00E07ACB" w:rsidRDefault="00E37B21" w:rsidP="00E07ACB">
      <w:pPr>
        <w:spacing w:after="0" w:line="240" w:lineRule="auto"/>
        <w:jc w:val="center"/>
        <w:rPr>
          <w:rFonts w:ascii="Times New Roman" w:eastAsia="Times New Roman" w:hAnsi="Times New Roman" w:cs="Times New Roman"/>
          <w:noProof w:val="0"/>
        </w:rPr>
      </w:pPr>
      <w:r>
        <w:rPr>
          <w:rFonts w:ascii="Times New Roman" w:eastAsia="Times New Roman" w:hAnsi="Times New Roman" w:cs="Times New Roman"/>
          <w:noProof w:val="0"/>
        </w:rPr>
        <w:t>a</w:t>
      </w:r>
      <w:r w:rsidR="00E07ACB" w:rsidRPr="00E07ACB">
        <w:rPr>
          <w:rFonts w:ascii="Times New Roman" w:eastAsia="Times New Roman" w:hAnsi="Times New Roman" w:cs="Times New Roman"/>
          <w:noProof w:val="0"/>
        </w:rPr>
        <w:t>zatioprinas</w:t>
      </w:r>
    </w:p>
    <w:p w14:paraId="2700B908" w14:textId="77777777" w:rsidR="00E07ACB" w:rsidRPr="00E07ACB" w:rsidRDefault="00E07ACB" w:rsidP="00E07ACB">
      <w:pPr>
        <w:spacing w:after="0" w:line="240" w:lineRule="auto"/>
        <w:rPr>
          <w:rFonts w:ascii="Times New Roman" w:eastAsia="Times New Roman" w:hAnsi="Times New Roman" w:cs="Times New Roman"/>
          <w:noProof w:val="0"/>
        </w:rPr>
      </w:pPr>
    </w:p>
    <w:p w14:paraId="61C73C59"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Atidžiai perskaitykite visą šį lapelį, prieš pradėdami vartoti vaistą, nes jame pateikiama Jums svarbi informacija.</w:t>
      </w:r>
    </w:p>
    <w:p w14:paraId="3363175F"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Neišmeskite šio lapelio, nes vėl gali prireikti jį perskaityti.</w:t>
      </w:r>
    </w:p>
    <w:p w14:paraId="7B8466B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kiltų daugiau klausimų, kreipkitės į gydytoją arba vaistininką.</w:t>
      </w:r>
    </w:p>
    <w:p w14:paraId="21652DBC"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Šis vaistas skirtas tik Jums, todėl kitiems žmonėms jo duoti negalima. Vaistas gali jiems pakenkti (net tiems, kurių ligos požymiai yra tokie patys kaip Jūsų).</w:t>
      </w:r>
    </w:p>
    <w:p w14:paraId="41984210" w14:textId="77777777" w:rsidR="00E07ACB" w:rsidRPr="00E07ACB" w:rsidRDefault="00E07ACB" w:rsidP="00E07ACB">
      <w:pPr>
        <w:numPr>
          <w:ilvl w:val="0"/>
          <w:numId w:val="16"/>
        </w:numPr>
        <w:tabs>
          <w:tab w:val="left" w:pos="567"/>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pasireiškė šalutinis poveikis (net jeigu jis šiame lapelyje nenurodytas), kreipkitės į gydytoją arba vaistininką. Žr. </w:t>
      </w:r>
      <w:r w:rsidRPr="00E07ACB">
        <w:rPr>
          <w:rFonts w:ascii="Times New Roman" w:eastAsia="Times New Roman" w:hAnsi="Times New Roman" w:cs="Times New Roman"/>
          <w:noProof w:val="0"/>
          <w:szCs w:val="24"/>
        </w:rPr>
        <w:t>4</w:t>
      </w:r>
      <w:r w:rsidRPr="00E07ACB">
        <w:rPr>
          <w:rFonts w:ascii="Times New Roman" w:eastAsia="Times New Roman" w:hAnsi="Times New Roman" w:cs="Times New Roman"/>
          <w:noProof w:val="0"/>
        </w:rPr>
        <w:t xml:space="preserve"> skyrių.</w:t>
      </w:r>
    </w:p>
    <w:p w14:paraId="092B4592" w14:textId="77777777" w:rsidR="00E07ACB" w:rsidRPr="00E07ACB" w:rsidRDefault="00E07ACB" w:rsidP="00E07ACB">
      <w:pPr>
        <w:spacing w:after="0" w:line="240" w:lineRule="auto"/>
        <w:rPr>
          <w:rFonts w:ascii="Times New Roman" w:eastAsia="Times New Roman" w:hAnsi="Times New Roman" w:cs="Times New Roman"/>
          <w:noProof w:val="0"/>
        </w:rPr>
      </w:pPr>
    </w:p>
    <w:p w14:paraId="5C1898C7" w14:textId="77777777" w:rsidR="00E07ACB" w:rsidRPr="00E07ACB" w:rsidRDefault="00E07ACB" w:rsidP="00E07ACB">
      <w:pPr>
        <w:spacing w:after="0" w:line="240" w:lineRule="auto"/>
        <w:rPr>
          <w:rFonts w:ascii="Times New Roman" w:eastAsia="Times New Roman" w:hAnsi="Times New Roman" w:cs="Times New Roman"/>
          <w:b/>
          <w:noProof w:val="0"/>
        </w:rPr>
      </w:pPr>
    </w:p>
    <w:p w14:paraId="36A9E09C"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Apie ką rašoma šiame lapelyje?</w:t>
      </w:r>
    </w:p>
    <w:p w14:paraId="2E1AA41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1.</w:t>
      </w:r>
      <w:r w:rsidRPr="00E07ACB">
        <w:rPr>
          <w:rFonts w:ascii="Times New Roman" w:eastAsia="Times New Roman" w:hAnsi="Times New Roman" w:cs="Times New Roman"/>
          <w:noProof w:val="0"/>
        </w:rPr>
        <w:tab/>
        <w:t>Kas yra Atsimutin ir kam jis vartojamas</w:t>
      </w:r>
    </w:p>
    <w:p w14:paraId="4F1654B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2.</w:t>
      </w:r>
      <w:r w:rsidRPr="00E07ACB">
        <w:rPr>
          <w:rFonts w:ascii="Times New Roman" w:eastAsia="Times New Roman" w:hAnsi="Times New Roman" w:cs="Times New Roman"/>
          <w:noProof w:val="0"/>
        </w:rPr>
        <w:tab/>
        <w:t>Kas žinotina prieš vartojant Atsimutin</w:t>
      </w:r>
    </w:p>
    <w:p w14:paraId="26BC86BC"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3.</w:t>
      </w:r>
      <w:r w:rsidRPr="00E07ACB">
        <w:rPr>
          <w:rFonts w:ascii="Times New Roman" w:eastAsia="Times New Roman" w:hAnsi="Times New Roman" w:cs="Times New Roman"/>
          <w:noProof w:val="0"/>
        </w:rPr>
        <w:tab/>
        <w:t>Kaip vartoti Atsimutin</w:t>
      </w:r>
    </w:p>
    <w:p w14:paraId="2989B21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4.</w:t>
      </w:r>
      <w:r w:rsidRPr="00E07ACB">
        <w:rPr>
          <w:rFonts w:ascii="Times New Roman" w:eastAsia="Times New Roman" w:hAnsi="Times New Roman" w:cs="Times New Roman"/>
          <w:noProof w:val="0"/>
        </w:rPr>
        <w:tab/>
        <w:t>Galimas šalutinis poveikis</w:t>
      </w:r>
    </w:p>
    <w:p w14:paraId="2282D7E1"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5.</w:t>
      </w:r>
      <w:r w:rsidRPr="00E07ACB">
        <w:rPr>
          <w:rFonts w:ascii="Times New Roman" w:eastAsia="Times New Roman" w:hAnsi="Times New Roman" w:cs="Times New Roman"/>
          <w:noProof w:val="0"/>
        </w:rPr>
        <w:tab/>
        <w:t>Kaip laikyti Atsimutin</w:t>
      </w:r>
    </w:p>
    <w:p w14:paraId="10A0A84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6.</w:t>
      </w:r>
      <w:r w:rsidRPr="00E07ACB">
        <w:rPr>
          <w:rFonts w:ascii="Times New Roman" w:eastAsia="Times New Roman" w:hAnsi="Times New Roman" w:cs="Times New Roman"/>
          <w:noProof w:val="0"/>
        </w:rPr>
        <w:tab/>
        <w:t>Pakuotės turinys ir kita informacija</w:t>
      </w:r>
    </w:p>
    <w:p w14:paraId="7E65A2C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C23BD50" w14:textId="77777777" w:rsidR="00E07ACB" w:rsidRPr="00E07ACB" w:rsidRDefault="00E07ACB" w:rsidP="00E07ACB">
      <w:pPr>
        <w:spacing w:after="0" w:line="240" w:lineRule="auto"/>
        <w:rPr>
          <w:rFonts w:ascii="Times New Roman" w:eastAsia="Times New Roman" w:hAnsi="Times New Roman" w:cs="Times New Roman"/>
          <w:noProof w:val="0"/>
        </w:rPr>
      </w:pPr>
    </w:p>
    <w:p w14:paraId="22225EEF"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noProof w:val="0"/>
        </w:rPr>
        <w:t>1.</w:t>
      </w:r>
      <w:r w:rsidRPr="00E07ACB">
        <w:rPr>
          <w:rFonts w:ascii="Times New Roman" w:eastAsia="Times New Roman" w:hAnsi="Times New Roman" w:cs="Times New Roman"/>
          <w:b/>
          <w:noProof w:val="0"/>
        </w:rPr>
        <w:tab/>
        <w:t>Kas yra Atsimutin ir kam jis vartojamas</w:t>
      </w:r>
    </w:p>
    <w:p w14:paraId="1BA0CB7F" w14:textId="77777777" w:rsidR="00E07ACB" w:rsidRPr="00E07ACB" w:rsidRDefault="00E07ACB" w:rsidP="00E07ACB">
      <w:pPr>
        <w:spacing w:after="0" w:line="240" w:lineRule="auto"/>
        <w:rPr>
          <w:rFonts w:ascii="Times New Roman" w:eastAsia="Times New Roman" w:hAnsi="Times New Roman" w:cs="Times New Roman"/>
          <w:noProof w:val="0"/>
        </w:rPr>
      </w:pPr>
    </w:p>
    <w:p w14:paraId="02AB845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Veiklioji Atsimutin tablečių medžiaga yra azatioprinas. Jis priklauso vaistų, vadinamų imunosupresantais, grupei. Imunosupresantai mažina organizmo imuninės sistemos aktyvumą. </w:t>
      </w:r>
    </w:p>
    <w:p w14:paraId="090159E6" w14:textId="77777777" w:rsidR="00E07ACB" w:rsidRPr="00E07ACB" w:rsidRDefault="00E07ACB" w:rsidP="00E07ACB">
      <w:pPr>
        <w:spacing w:after="0" w:line="240" w:lineRule="auto"/>
        <w:rPr>
          <w:rFonts w:ascii="Times New Roman" w:eastAsia="Times New Roman" w:hAnsi="Times New Roman" w:cs="Times New Roman"/>
          <w:noProof w:val="0"/>
        </w:rPr>
      </w:pPr>
    </w:p>
    <w:p w14:paraId="13E280E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Gydytojas Atsimutin Jums išrašė dėl kurios nors iš šių priežasčių:</w:t>
      </w:r>
    </w:p>
    <w:p w14:paraId="73791A04" w14:textId="77777777" w:rsidR="00E07ACB" w:rsidRPr="00E07ACB" w:rsidRDefault="00E07ACB" w:rsidP="00E07ACB">
      <w:pPr>
        <w:numPr>
          <w:ilvl w:val="0"/>
          <w:numId w:val="17"/>
        </w:numPr>
        <w:tabs>
          <w:tab w:val="left" w:pos="540"/>
        </w:tabs>
        <w:spacing w:after="0" w:line="240" w:lineRule="auto"/>
        <w:ind w:hanging="72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kad vaistas padėtų organizmui priimti persodintą organą;</w:t>
      </w:r>
    </w:p>
    <w:p w14:paraId="07E80E2B" w14:textId="77777777" w:rsidR="00E07ACB" w:rsidRPr="00E07ACB" w:rsidRDefault="00E07ACB" w:rsidP="00E07ACB">
      <w:pPr>
        <w:numPr>
          <w:ilvl w:val="0"/>
          <w:numId w:val="17"/>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kad vaistas padėtų kontroliuoti ligą, kurios metu Jūsų imuninė sistema veikia prieš Jūsų organizmą. </w:t>
      </w:r>
    </w:p>
    <w:p w14:paraId="6C74497B" w14:textId="77777777" w:rsidR="00E07ACB" w:rsidRPr="00E07ACB" w:rsidRDefault="00E07ACB" w:rsidP="00E07ACB">
      <w:pPr>
        <w:spacing w:after="0" w:line="240" w:lineRule="auto"/>
        <w:rPr>
          <w:rFonts w:ascii="Times New Roman" w:eastAsia="Times New Roman" w:hAnsi="Times New Roman" w:cs="Times New Roman"/>
          <w:noProof w:val="0"/>
        </w:rPr>
      </w:pPr>
    </w:p>
    <w:p w14:paraId="4433E6E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tabletėmis arba jų deriniu su kitais vaistais taip pat galima gydyti sunkų reumatoidinį artritą, sunkų žarnų uždegimą (Krono (</w:t>
      </w:r>
      <w:r w:rsidRPr="00E07ACB">
        <w:rPr>
          <w:rFonts w:ascii="Times New Roman" w:eastAsia="Times New Roman" w:hAnsi="Times New Roman" w:cs="Times New Roman"/>
          <w:i/>
          <w:noProof w:val="0"/>
        </w:rPr>
        <w:t>Crohn</w:t>
      </w:r>
      <w:r w:rsidRPr="00E07ACB">
        <w:rPr>
          <w:rFonts w:ascii="Times New Roman" w:eastAsia="Times New Roman" w:hAnsi="Times New Roman" w:cs="Times New Roman"/>
          <w:noProof w:val="0"/>
        </w:rPr>
        <w:t xml:space="preserve">) ligą arba opinį kolitą) ar kai kurias ligas, kurių metu imuninė sistema veikia prieš organizmą (autoimunines ligas), įskaitant sunkias uždegimines odos, kepenų ar arterijų ligas ir kai kuriuos kraujo sutrikimus. </w:t>
      </w:r>
    </w:p>
    <w:p w14:paraId="162ED3AA" w14:textId="77777777" w:rsidR="00E07ACB" w:rsidRPr="00E07ACB" w:rsidRDefault="00E07ACB" w:rsidP="00E07ACB">
      <w:pPr>
        <w:spacing w:after="0" w:line="240" w:lineRule="auto"/>
        <w:rPr>
          <w:rFonts w:ascii="Times New Roman" w:eastAsia="Times New Roman" w:hAnsi="Times New Roman" w:cs="Times New Roman"/>
          <w:noProof w:val="0"/>
        </w:rPr>
      </w:pPr>
    </w:p>
    <w:p w14:paraId="1D7AD1C3" w14:textId="77777777" w:rsidR="00E07ACB" w:rsidRPr="00E07ACB" w:rsidRDefault="00E07ACB" w:rsidP="00E07ACB">
      <w:pPr>
        <w:spacing w:after="0" w:line="240" w:lineRule="auto"/>
        <w:rPr>
          <w:rFonts w:ascii="Times New Roman" w:eastAsia="Times New Roman" w:hAnsi="Times New Roman" w:cs="Times New Roman"/>
          <w:noProof w:val="0"/>
        </w:rPr>
      </w:pPr>
    </w:p>
    <w:p w14:paraId="0BCDF7BD"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noProof w:val="0"/>
        </w:rPr>
        <w:t>2.</w:t>
      </w:r>
      <w:r w:rsidRPr="00E07ACB">
        <w:rPr>
          <w:rFonts w:ascii="Times New Roman" w:eastAsia="Times New Roman" w:hAnsi="Times New Roman" w:cs="Times New Roman"/>
          <w:b/>
          <w:noProof w:val="0"/>
        </w:rPr>
        <w:tab/>
        <w:t>Kas žinotina prieš vartojant Atsimutin</w:t>
      </w:r>
    </w:p>
    <w:p w14:paraId="77A5D597" w14:textId="77777777" w:rsidR="00E07ACB" w:rsidRPr="00E07ACB" w:rsidRDefault="00E07ACB" w:rsidP="00E07ACB">
      <w:pPr>
        <w:spacing w:after="0" w:line="240" w:lineRule="auto"/>
        <w:rPr>
          <w:rFonts w:ascii="Times New Roman" w:eastAsia="Times New Roman" w:hAnsi="Times New Roman" w:cs="Times New Roman"/>
          <w:noProof w:val="0"/>
        </w:rPr>
      </w:pPr>
    </w:p>
    <w:p w14:paraId="2FFFEA15" w14:textId="182D51E3" w:rsidR="00E07ACB" w:rsidRPr="00E07ACB" w:rsidRDefault="00E07ACB" w:rsidP="00E07ACB">
      <w:pPr>
        <w:spacing w:after="0" w:line="240" w:lineRule="auto"/>
        <w:rPr>
          <w:rFonts w:ascii="Times New Roman" w:eastAsia="Times New Roman" w:hAnsi="Times New Roman" w:cs="Times New Roman"/>
          <w:b/>
          <w:bCs/>
          <w:noProof w:val="0"/>
        </w:rPr>
      </w:pPr>
      <w:r w:rsidRPr="00E07ACB">
        <w:rPr>
          <w:rFonts w:ascii="Times New Roman" w:eastAsia="Times New Roman" w:hAnsi="Times New Roman" w:cs="Times New Roman"/>
          <w:b/>
          <w:noProof w:val="0"/>
        </w:rPr>
        <w:t>Atsimutin</w:t>
      </w:r>
      <w:r w:rsidRPr="00E07ACB">
        <w:rPr>
          <w:rFonts w:ascii="Times New Roman" w:eastAsia="Times New Roman" w:hAnsi="Times New Roman" w:cs="Times New Roman"/>
          <w:b/>
          <w:bCs/>
          <w:noProof w:val="0"/>
        </w:rPr>
        <w:t xml:space="preserve"> vartoti </w:t>
      </w:r>
      <w:r w:rsidR="00AE36CA">
        <w:rPr>
          <w:rFonts w:ascii="Times New Roman" w:eastAsia="Times New Roman" w:hAnsi="Times New Roman" w:cs="Times New Roman"/>
          <w:b/>
          <w:bCs/>
          <w:noProof w:val="0"/>
        </w:rPr>
        <w:t>draudžiama</w:t>
      </w:r>
      <w:r w:rsidRPr="00E07ACB">
        <w:rPr>
          <w:rFonts w:ascii="Times New Roman" w:eastAsia="Times New Roman" w:hAnsi="Times New Roman" w:cs="Times New Roman"/>
          <w:b/>
          <w:bCs/>
          <w:noProof w:val="0"/>
        </w:rPr>
        <w:t>:</w:t>
      </w:r>
    </w:p>
    <w:p w14:paraId="07C3F496" w14:textId="77777777" w:rsidR="00E07ACB" w:rsidRPr="00E07ACB" w:rsidRDefault="00E07ACB" w:rsidP="00E07ACB">
      <w:pPr>
        <w:spacing w:after="0" w:line="240" w:lineRule="auto"/>
        <w:rPr>
          <w:rFonts w:ascii="Times New Roman" w:eastAsia="Times New Roman" w:hAnsi="Times New Roman" w:cs="Times New Roman"/>
          <w:b/>
          <w:bCs/>
          <w:noProof w:val="0"/>
        </w:rPr>
      </w:pPr>
    </w:p>
    <w:p w14:paraId="038AC083"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yra alergija  azatioprinui, merkaptopurinui arba bet kuriai pagalbinei šio vaisto medžiagai (jos išvardytos 6 skyriuje). Alerginė reakcija gali pasireikšti išbėrimu, niežuliu, kvėpavimo arba rijimo pasunkėjimu, veido, lūpų, gerklės ar liežuvio sutinimu;</w:t>
      </w:r>
    </w:p>
    <w:p w14:paraId="7D0826E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sergate sunkia infekcine liga;</w:t>
      </w:r>
    </w:p>
    <w:p w14:paraId="3CC92012"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yra sunkus kepenų ar kaulų čiulpų veiklos sutrikimas;</w:t>
      </w:r>
    </w:p>
    <w:p w14:paraId="0AE01634"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sergate pankreatitu (kasos uždegimu);</w:t>
      </w:r>
    </w:p>
    <w:p w14:paraId="51C07D31"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neseniai skiepijotės gyvąja vakcina, pvz., raupų arba geltonosios karštligės;</w:t>
      </w:r>
    </w:p>
    <w:p w14:paraId="608F926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esate nėščia (tokiu atveju šio vaisto galima vartoti tik gydytojo leidimu);</w:t>
      </w:r>
    </w:p>
    <w:p w14:paraId="7EF02579"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žindote kūdikį.</w:t>
      </w:r>
    </w:p>
    <w:p w14:paraId="5DDA8BAA" w14:textId="77777777" w:rsidR="00E07ACB" w:rsidRPr="00E07ACB" w:rsidRDefault="00E07ACB" w:rsidP="00E07ACB">
      <w:pPr>
        <w:spacing w:after="0" w:line="240" w:lineRule="auto"/>
        <w:rPr>
          <w:rFonts w:ascii="Times New Roman" w:eastAsia="Times New Roman" w:hAnsi="Times New Roman" w:cs="Times New Roman"/>
          <w:noProof w:val="0"/>
        </w:rPr>
      </w:pPr>
    </w:p>
    <w:p w14:paraId="242CEA93" w14:textId="77777777" w:rsidR="00E07ACB" w:rsidRPr="00E07ACB" w:rsidRDefault="00E07ACB" w:rsidP="00E07ACB">
      <w:pPr>
        <w:keepNext/>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Įspėjimai ir atsargumo priemonės</w:t>
      </w:r>
    </w:p>
    <w:p w14:paraId="6A2FDFDE" w14:textId="77777777" w:rsidR="00E07ACB" w:rsidRPr="00E07ACB" w:rsidRDefault="00E07ACB" w:rsidP="00E07ACB">
      <w:pPr>
        <w:keepNext/>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Pasitarkite su gydytoju arba vaistininku, prieš pradėdami vartoti Atsimutin.</w:t>
      </w:r>
    </w:p>
    <w:p w14:paraId="49AC3904" w14:textId="77777777" w:rsidR="00E07ACB" w:rsidRPr="00E07ACB" w:rsidRDefault="00E07ACB" w:rsidP="00E07ACB">
      <w:pPr>
        <w:spacing w:after="0" w:line="240" w:lineRule="auto"/>
        <w:rPr>
          <w:rFonts w:ascii="Times New Roman" w:eastAsia="Times New Roman" w:hAnsi="Times New Roman" w:cs="Times New Roman"/>
          <w:noProof w:val="0"/>
        </w:rPr>
      </w:pPr>
    </w:p>
    <w:p w14:paraId="6F14217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 xml:space="preserve">Atsimutin Jums bus paskirtas tik tuo atveju, jeigu bus galima Jus stebėti dėl šalutinio poveikio. </w:t>
      </w:r>
    </w:p>
    <w:p w14:paraId="725502AF" w14:textId="77777777" w:rsidR="00E07ACB" w:rsidRPr="00E07ACB" w:rsidRDefault="00E07ACB" w:rsidP="00E07ACB">
      <w:pPr>
        <w:spacing w:after="0" w:line="240" w:lineRule="auto"/>
        <w:rPr>
          <w:rFonts w:ascii="Times New Roman" w:eastAsia="Times New Roman" w:hAnsi="Times New Roman" w:cs="Times New Roman"/>
          <w:noProof w:val="0"/>
        </w:rPr>
      </w:pPr>
    </w:p>
    <w:p w14:paraId="4254EAC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atsiras gerklės opų, karščiavimas, infekcinė liga, kraujosruvų (mėlynių) ar kraujavimas, turite nedelsdami pasakyti gydytojui.</w:t>
      </w:r>
    </w:p>
    <w:p w14:paraId="51BBF60D" w14:textId="77777777" w:rsidR="00D54FD9" w:rsidRDefault="00D54FD9" w:rsidP="00D54FD9">
      <w:pPr>
        <w:spacing w:after="0" w:line="240" w:lineRule="auto"/>
        <w:rPr>
          <w:rFonts w:ascii="Times New Roman" w:eastAsia="Times New Roman" w:hAnsi="Times New Roman" w:cs="Times New Roman"/>
          <w:noProof w:val="0"/>
        </w:rPr>
      </w:pPr>
    </w:p>
    <w:p w14:paraId="512CBD91" w14:textId="286F527B" w:rsidR="00D54FD9" w:rsidRPr="00D54FD9" w:rsidRDefault="00D54FD9" w:rsidP="00D54FD9">
      <w:pPr>
        <w:spacing w:after="0" w:line="240" w:lineRule="auto"/>
        <w:rPr>
          <w:rFonts w:ascii="Times New Roman" w:eastAsia="Times New Roman" w:hAnsi="Times New Roman" w:cs="Times New Roman"/>
          <w:noProof w:val="0"/>
        </w:rPr>
      </w:pPr>
      <w:r w:rsidRPr="00D54FD9">
        <w:rPr>
          <w:rFonts w:ascii="Times New Roman" w:eastAsia="Times New Roman" w:hAnsi="Times New Roman" w:cs="Times New Roman"/>
          <w:noProof w:val="0"/>
        </w:rPr>
        <w:t xml:space="preserve">Kepenų pažeidimas </w:t>
      </w:r>
    </w:p>
    <w:p w14:paraId="4EBFFA8F" w14:textId="6BC6355A" w:rsidR="00E07ACB" w:rsidRPr="00D54FD9" w:rsidRDefault="00D54FD9" w:rsidP="00D54FD9">
      <w:pPr>
        <w:spacing w:after="0" w:line="240" w:lineRule="auto"/>
        <w:rPr>
          <w:rFonts w:ascii="Times New Roman" w:eastAsia="Times New Roman" w:hAnsi="Times New Roman" w:cs="Times New Roman"/>
          <w:noProof w:val="0"/>
        </w:rPr>
      </w:pPr>
      <w:r w:rsidRPr="00D54FD9">
        <w:rPr>
          <w:rFonts w:ascii="Times New Roman" w:eastAsia="Times New Roman" w:hAnsi="Times New Roman" w:cs="Times New Roman"/>
          <w:noProof w:val="0"/>
        </w:rPr>
        <w:t>Gydymas Atsimutin gali turėti poveikį Jūsų kepenims, todėl Jūsų gydytojas nuolat atliks tyrimus Jūsų kepenų veiklai įvertinti. Pasakykite savo gydytojui, jeigu Jums pasireikštų kepenų pažeidimo simptomai (žr. 4 skyrių „Galimas šalutinis poveikis“).</w:t>
      </w:r>
    </w:p>
    <w:p w14:paraId="01B3F778" w14:textId="77777777" w:rsidR="00D54FD9" w:rsidRDefault="00D54FD9" w:rsidP="00E07ACB">
      <w:pPr>
        <w:spacing w:after="0" w:line="240" w:lineRule="auto"/>
        <w:rPr>
          <w:rFonts w:ascii="Times New Roman" w:eastAsia="Times New Roman" w:hAnsi="Times New Roman" w:cs="Times New Roman"/>
          <w:noProof w:val="0"/>
        </w:rPr>
      </w:pPr>
    </w:p>
    <w:p w14:paraId="35FC1C1D" w14:textId="0DF16B74"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Pasitarkite su gydytoju ar vaistininku, prieš pradėdami vartoti Atsimutin:</w:t>
      </w:r>
    </w:p>
    <w:p w14:paraId="23CF480C" w14:textId="77777777" w:rsidR="00E07ACB" w:rsidRPr="00E07ACB" w:rsidRDefault="00E07ACB" w:rsidP="00E07ACB">
      <w:pPr>
        <w:numPr>
          <w:ilvl w:val="0"/>
          <w:numId w:val="18"/>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jeigu Jūs ketinate skiepytis, vartodami Atsimutin;</w:t>
      </w:r>
    </w:p>
    <w:p w14:paraId="620BC116" w14:textId="77777777" w:rsidR="00E07ACB" w:rsidRPr="00E07ACB" w:rsidRDefault="00E07ACB" w:rsidP="00E07ACB">
      <w:pPr>
        <w:numPr>
          <w:ilvl w:val="0"/>
          <w:numId w:val="18"/>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jeigu Jums yra sutrikimas, kai organizmas gamina per mažai natūralios medžiagos tiopurino metiltransferazės (TPMT);</w:t>
      </w:r>
    </w:p>
    <w:p w14:paraId="77FB42D4" w14:textId="77777777" w:rsidR="00E07ACB" w:rsidRPr="00E07ACB" w:rsidRDefault="00E07ACB" w:rsidP="00E07ACB">
      <w:pPr>
        <w:numPr>
          <w:ilvl w:val="0"/>
          <w:numId w:val="18"/>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jeigu Jums yra nustatytas Lešo-Nyhano (</w:t>
      </w:r>
      <w:r w:rsidRPr="00E07ACB">
        <w:rPr>
          <w:rFonts w:ascii="Times New Roman" w:eastAsia="Times New Roman" w:hAnsi="Times New Roman" w:cs="Times New Roman"/>
          <w:i/>
          <w:noProof w:val="0"/>
        </w:rPr>
        <w:t>Lesch-Nyhan</w:t>
      </w:r>
      <w:r w:rsidRPr="00E07ACB">
        <w:rPr>
          <w:rFonts w:ascii="Times New Roman" w:eastAsia="Times New Roman" w:hAnsi="Times New Roman" w:cs="Times New Roman"/>
          <w:noProof w:val="0"/>
        </w:rPr>
        <w:t>) sindromas.</w:t>
      </w:r>
    </w:p>
    <w:p w14:paraId="7D3FB70C" w14:textId="77777777" w:rsidR="00E07ACB" w:rsidRPr="00E07ACB" w:rsidRDefault="00E07ACB" w:rsidP="00E07ACB">
      <w:pPr>
        <w:spacing w:after="0" w:line="240" w:lineRule="auto"/>
        <w:rPr>
          <w:rFonts w:ascii="Times New Roman" w:eastAsia="Times New Roman" w:hAnsi="Times New Roman" w:cs="Times New Roman"/>
          <w:noProof w:val="0"/>
        </w:rPr>
      </w:pPr>
    </w:p>
    <w:p w14:paraId="105E4744"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i/>
          <w:lang w:eastAsia="lt-LT"/>
        </w:rPr>
      </w:pPr>
      <w:r w:rsidRPr="00E07ACB">
        <w:rPr>
          <w:rFonts w:ascii="Times New Roman" w:eastAsia="Times New Roman" w:hAnsi="Times New Roman" w:cs="Times New Roman"/>
          <w:bCs/>
          <w:i/>
          <w:lang w:eastAsia="lt-LT"/>
        </w:rPr>
        <w:t>NUDT15 geno mutacija</w:t>
      </w:r>
    </w:p>
    <w:p w14:paraId="0BE0B194"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lang w:eastAsia="lt-LT"/>
        </w:rPr>
      </w:pPr>
    </w:p>
    <w:p w14:paraId="4609453F"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lang w:eastAsia="lt-LT"/>
        </w:rPr>
      </w:pPr>
      <w:r w:rsidRPr="00E07ACB">
        <w:rPr>
          <w:rFonts w:ascii="Times New Roman" w:eastAsia="Times New Roman" w:hAnsi="Times New Roman" w:cs="Times New Roman"/>
          <w:bCs/>
          <w:lang w:eastAsia="lt-LT"/>
        </w:rPr>
        <w:t>Jei turite įgimtą mutavusį NUDT15 geną (tai genas, dalyvaujantis skaidant Atsimutin organizme),</w:t>
      </w:r>
    </w:p>
    <w:p w14:paraId="6CB24A7D"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lang w:eastAsia="lt-LT"/>
        </w:rPr>
      </w:pPr>
      <w:r w:rsidRPr="00E07ACB">
        <w:rPr>
          <w:rFonts w:ascii="Times New Roman" w:eastAsia="Times New Roman" w:hAnsi="Times New Roman" w:cs="Times New Roman"/>
          <w:bCs/>
          <w:lang w:eastAsia="lt-LT"/>
        </w:rPr>
        <w:t>jums gresia didesnė infekcijų ir plaukų netekimo rizika, o jus gydantis gydytojas tokiu atveju gali</w:t>
      </w:r>
    </w:p>
    <w:p w14:paraId="0EE09DFE" w14:textId="77777777" w:rsidR="00E07ACB" w:rsidRPr="00E07ACB" w:rsidRDefault="00E07ACB" w:rsidP="00E07ACB">
      <w:pPr>
        <w:spacing w:after="0" w:line="240" w:lineRule="auto"/>
        <w:rPr>
          <w:rFonts w:ascii="Times New Roman" w:eastAsia="Times New Roman" w:hAnsi="Times New Roman" w:cs="Times New Roman"/>
          <w:bCs/>
          <w:lang w:eastAsia="lt-LT"/>
        </w:rPr>
      </w:pPr>
      <w:r w:rsidRPr="00E07ACB">
        <w:rPr>
          <w:rFonts w:ascii="Times New Roman" w:eastAsia="Times New Roman" w:hAnsi="Times New Roman" w:cs="Times New Roman"/>
          <w:bCs/>
          <w:lang w:eastAsia="lt-LT"/>
        </w:rPr>
        <w:t>skirti mažesnę dozę.</w:t>
      </w:r>
    </w:p>
    <w:p w14:paraId="5A19C10F" w14:textId="77777777" w:rsidR="00E07ACB" w:rsidRPr="00E07ACB" w:rsidRDefault="00E07ACB" w:rsidP="00E07ACB">
      <w:pPr>
        <w:spacing w:after="0" w:line="240" w:lineRule="auto"/>
        <w:rPr>
          <w:rFonts w:ascii="Times New Roman" w:eastAsia="Times New Roman" w:hAnsi="Times New Roman" w:cs="Times New Roman"/>
          <w:noProof w:val="0"/>
        </w:rPr>
      </w:pPr>
    </w:p>
    <w:p w14:paraId="29104799"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Jeigu jums taikoma imunosupresinė terapija, vartojant Atsimutin, gali padidėti rizika susirgti: </w:t>
      </w:r>
    </w:p>
    <w:p w14:paraId="709788AE" w14:textId="77777777" w:rsidR="00E07ACB" w:rsidRPr="00E07ACB" w:rsidRDefault="00E07ACB" w:rsidP="00E07ACB">
      <w:pPr>
        <w:numPr>
          <w:ilvl w:val="0"/>
          <w:numId w:val="19"/>
        </w:numPr>
        <w:autoSpaceDE w:val="0"/>
        <w:autoSpaceDN w:val="0"/>
        <w:adjustRightInd w:val="0"/>
        <w:spacing w:after="0" w:line="240" w:lineRule="auto"/>
        <w:ind w:left="567" w:hanging="567"/>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navikinėmis ligomis, įskaitant odos vėžį. </w:t>
      </w:r>
      <w:r w:rsidRPr="00E07ACB">
        <w:rPr>
          <w:rFonts w:ascii="Times New Roman" w:eastAsia="Calibri" w:hAnsi="Times New Roman" w:cs="Times New Roman"/>
          <w:noProof w:val="0"/>
          <w:color w:val="000000"/>
          <w:szCs w:val="24"/>
        </w:rPr>
        <w:t>Todėl vartojant Atsimutin</w:t>
      </w:r>
      <w:r w:rsidRPr="00E07ACB">
        <w:rPr>
          <w:rFonts w:ascii="Times New Roman" w:eastAsia="Calibri" w:hAnsi="Times New Roman" w:cs="Times New Roman"/>
          <w:noProof w:val="0"/>
          <w:color w:val="000000"/>
        </w:rPr>
        <w:t>, reikėtų</w:t>
      </w:r>
      <w:r w:rsidRPr="00E07ACB">
        <w:rPr>
          <w:rFonts w:ascii="Times New Roman" w:eastAsia="Calibri" w:hAnsi="Times New Roman" w:cs="Times New Roman"/>
          <w:noProof w:val="0"/>
          <w:color w:val="000000"/>
          <w:szCs w:val="24"/>
        </w:rPr>
        <w:t xml:space="preserve"> vengti </w:t>
      </w:r>
      <w:r w:rsidRPr="00E07ACB">
        <w:rPr>
          <w:rFonts w:ascii="Times New Roman" w:eastAsia="Calibri" w:hAnsi="Times New Roman" w:cs="Times New Roman"/>
          <w:noProof w:val="0"/>
          <w:color w:val="000000"/>
        </w:rPr>
        <w:t>ilgai</w:t>
      </w:r>
      <w:r w:rsidRPr="00E07ACB">
        <w:rPr>
          <w:rFonts w:ascii="Times New Roman" w:eastAsia="Calibri" w:hAnsi="Times New Roman" w:cs="Times New Roman"/>
          <w:noProof w:val="0"/>
          <w:color w:val="000000"/>
          <w:szCs w:val="24"/>
        </w:rPr>
        <w:t xml:space="preserve"> būti </w:t>
      </w:r>
      <w:r w:rsidRPr="00E07ACB">
        <w:rPr>
          <w:rFonts w:ascii="Times New Roman" w:eastAsia="Calibri" w:hAnsi="Times New Roman" w:cs="Times New Roman"/>
          <w:noProof w:val="0"/>
          <w:color w:val="000000"/>
        </w:rPr>
        <w:t>saulėkaitoje, taip pat reikėtų dėvėti nuo saulės</w:t>
      </w:r>
      <w:r w:rsidRPr="00E07ACB">
        <w:rPr>
          <w:rFonts w:ascii="Times New Roman" w:eastAsia="Calibri" w:hAnsi="Times New Roman" w:cs="Times New Roman"/>
          <w:noProof w:val="0"/>
          <w:color w:val="000000"/>
          <w:szCs w:val="24"/>
        </w:rPr>
        <w:t xml:space="preserve"> spindulių </w:t>
      </w:r>
      <w:r w:rsidRPr="00E07ACB">
        <w:rPr>
          <w:rFonts w:ascii="Times New Roman" w:eastAsia="Calibri" w:hAnsi="Times New Roman" w:cs="Times New Roman"/>
          <w:noProof w:val="0"/>
          <w:color w:val="000000"/>
        </w:rPr>
        <w:t xml:space="preserve">apsaugančius drabužius ir vartoti apsaugos nuo saulės priemones, kurių apsaugos nuo saulės faktorius (SPF) yra didelis; </w:t>
      </w:r>
    </w:p>
    <w:p w14:paraId="00635BB9" w14:textId="77777777" w:rsidR="00E07ACB" w:rsidRPr="00E07ACB" w:rsidRDefault="00E07ACB" w:rsidP="00E07ACB">
      <w:pPr>
        <w:numPr>
          <w:ilvl w:val="0"/>
          <w:numId w:val="19"/>
        </w:numPr>
        <w:autoSpaceDE w:val="0"/>
        <w:autoSpaceDN w:val="0"/>
        <w:adjustRightInd w:val="0"/>
        <w:spacing w:after="0" w:line="240" w:lineRule="auto"/>
        <w:ind w:left="567" w:hanging="567"/>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limfoproliferaciniais sutrikimais: </w:t>
      </w:r>
    </w:p>
    <w:p w14:paraId="7EC279E2" w14:textId="77777777" w:rsidR="00E07ACB" w:rsidRPr="00E07ACB" w:rsidRDefault="00E07ACB" w:rsidP="00E07ACB">
      <w:pPr>
        <w:numPr>
          <w:ilvl w:val="0"/>
          <w:numId w:val="20"/>
        </w:numPr>
        <w:autoSpaceDE w:val="0"/>
        <w:autoSpaceDN w:val="0"/>
        <w:adjustRightInd w:val="0"/>
        <w:spacing w:after="0" w:line="240" w:lineRule="auto"/>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taikant gydymą Atsimutin, didėja rizika susirgti tam tikros formos vėžiu, vadinamu limfoproliferaciniu sutrikimu. Jeigu taikomas gydymas keliais imunosupresantais (įskaitant tiopurinus), tai gali sukelti mirtį; </w:t>
      </w:r>
    </w:p>
    <w:p w14:paraId="05CABD5B" w14:textId="77777777" w:rsidR="00E07ACB" w:rsidRPr="00E07ACB" w:rsidRDefault="00E07ACB" w:rsidP="00E07ACB">
      <w:pPr>
        <w:numPr>
          <w:ilvl w:val="0"/>
          <w:numId w:val="20"/>
        </w:numPr>
        <w:autoSpaceDE w:val="0"/>
        <w:autoSpaceDN w:val="0"/>
        <w:adjustRightInd w:val="0"/>
        <w:spacing w:after="0" w:line="240" w:lineRule="auto"/>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vienu metu vartojant kelis imunosupresantus, didėja virusinės infekcijos sukeliamų limfinės sistemos sutrikimų (Epštein-Baro viruso (EBV) sukeliamų limfoproliferacinių sutrikimų) rizika. </w:t>
      </w:r>
    </w:p>
    <w:p w14:paraId="4DCEFD49"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Vartojant Atsimutin, gali padidėti rizika: </w:t>
      </w:r>
    </w:p>
    <w:p w14:paraId="18D7C053" w14:textId="77777777" w:rsidR="00E07ACB" w:rsidRPr="00E07ACB" w:rsidRDefault="00E07ACB" w:rsidP="00E07ACB">
      <w:pPr>
        <w:numPr>
          <w:ilvl w:val="0"/>
          <w:numId w:val="21"/>
        </w:numPr>
        <w:autoSpaceDE w:val="0"/>
        <w:autoSpaceDN w:val="0"/>
        <w:adjustRightInd w:val="0"/>
        <w:spacing w:after="0" w:line="240" w:lineRule="auto"/>
        <w:ind w:left="567" w:hanging="567"/>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susirgti rimta liga, vadinama makrofagų aktyvacijos sindromu (pernelyg stipriai aktyvinami su uždegimu siejami baltieji kraujo kūneliai), kuris paprastai pasireiškia pacientams, sergantiems tam tikrų rūšių artritu. </w:t>
      </w:r>
    </w:p>
    <w:p w14:paraId="27F9EBB9" w14:textId="77777777" w:rsidR="00E07ACB" w:rsidRPr="00E07ACB" w:rsidRDefault="00E07ACB" w:rsidP="00E07ACB">
      <w:pPr>
        <w:tabs>
          <w:tab w:val="left" w:pos="567"/>
        </w:tabs>
        <w:spacing w:after="0" w:line="240" w:lineRule="auto"/>
        <w:rPr>
          <w:rFonts w:ascii="Times New Roman" w:eastAsia="Times New Roman" w:hAnsi="Times New Roman" w:cs="Times New Roman"/>
          <w:bCs/>
          <w:noProof w:val="0"/>
        </w:rPr>
      </w:pPr>
    </w:p>
    <w:p w14:paraId="39D4DB32"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Tablečių nelaužykite ar netraiškykite.</w:t>
      </w:r>
    </w:p>
    <w:p w14:paraId="35E9CF7A" w14:textId="77777777" w:rsidR="00E07ACB" w:rsidRPr="00E07ACB" w:rsidRDefault="00E07ACB" w:rsidP="00E07ACB">
      <w:pPr>
        <w:spacing w:after="0" w:line="240" w:lineRule="auto"/>
        <w:rPr>
          <w:rFonts w:ascii="Times New Roman" w:eastAsia="Times New Roman" w:hAnsi="Times New Roman" w:cs="Times New Roman"/>
          <w:noProof w:val="0"/>
        </w:rPr>
      </w:pPr>
    </w:p>
    <w:p w14:paraId="65C94BA4" w14:textId="77777777" w:rsidR="00E07ACB" w:rsidRPr="00E07ACB" w:rsidRDefault="00E07ACB" w:rsidP="00E07ACB">
      <w:pPr>
        <w:spacing w:after="0" w:line="240" w:lineRule="auto"/>
        <w:rPr>
          <w:rFonts w:ascii="Times New Roman" w:eastAsia="Times New Roman" w:hAnsi="Times New Roman" w:cs="Times New Roman"/>
          <w:b/>
          <w:bCs/>
          <w:noProof w:val="0"/>
        </w:rPr>
      </w:pPr>
      <w:r w:rsidRPr="00E07ACB">
        <w:rPr>
          <w:rFonts w:ascii="Times New Roman" w:eastAsia="Times New Roman" w:hAnsi="Times New Roman" w:cs="Times New Roman"/>
          <w:b/>
          <w:bCs/>
          <w:noProof w:val="0"/>
        </w:rPr>
        <w:t>Kraujo tyrimai</w:t>
      </w:r>
    </w:p>
    <w:p w14:paraId="7667C7FD" w14:textId="77777777" w:rsidR="00E07ACB" w:rsidRPr="00E07ACB" w:rsidRDefault="00E07ACB" w:rsidP="00E07ACB">
      <w:pPr>
        <w:spacing w:after="0" w:line="240" w:lineRule="auto"/>
        <w:rPr>
          <w:rFonts w:ascii="Times New Roman" w:eastAsia="Times New Roman" w:hAnsi="Times New Roman" w:cs="Times New Roman"/>
          <w:b/>
          <w:bCs/>
          <w:noProof w:val="0"/>
        </w:rPr>
      </w:pPr>
    </w:p>
    <w:p w14:paraId="067026F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Pirmas 8 gydymo savaites Jums reikės kas savaitę daryti kraujo tyrimus. Dažniau juos reikės daryti, jeigu:</w:t>
      </w:r>
    </w:p>
    <w:p w14:paraId="179323CD"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esate senyvas;</w:t>
      </w:r>
    </w:p>
    <w:p w14:paraId="02D13C0E"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vartojate didelę vaisto dozę;</w:t>
      </w:r>
    </w:p>
    <w:p w14:paraId="2FF98AA0"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sutrikusi Jūsų inkstų arba kepenų veikla;</w:t>
      </w:r>
    </w:p>
    <w:p w14:paraId="1347F60B"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sutrikusi Jūsų kaulų čiulpų veikla;</w:t>
      </w:r>
    </w:p>
    <w:p w14:paraId="4AB6CD47"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per daug aktyvi Jūsų blužnies veikla.</w:t>
      </w:r>
    </w:p>
    <w:p w14:paraId="61EDE8FE" w14:textId="77777777" w:rsidR="00E07ACB" w:rsidRPr="00E07ACB" w:rsidRDefault="00E07ACB" w:rsidP="00E07ACB">
      <w:pPr>
        <w:spacing w:after="0" w:line="240" w:lineRule="auto"/>
        <w:rPr>
          <w:rFonts w:ascii="Times New Roman" w:eastAsia="Times New Roman" w:hAnsi="Times New Roman" w:cs="Times New Roman"/>
          <w:noProof w:val="0"/>
        </w:rPr>
      </w:pPr>
    </w:p>
    <w:p w14:paraId="7F104E0F"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
          <w:bCs/>
          <w:noProof w:val="0"/>
        </w:rPr>
      </w:pPr>
      <w:r w:rsidRPr="00E07ACB">
        <w:rPr>
          <w:rFonts w:ascii="Times New Roman" w:eastAsia="Times New Roman" w:hAnsi="Times New Roman" w:cs="Times New Roman"/>
          <w:noProof w:val="0"/>
        </w:rPr>
        <w:t>Būtina vartoti veiksmingą kontracepcijos formą (tokią kaip prezervatyvai), kadangi Atsimutin tabletės gali suketi apsigimimus, nesvarbu, ar vaistą vartoja vyras, ar moteris.</w:t>
      </w:r>
    </w:p>
    <w:p w14:paraId="2F8F83F8" w14:textId="77777777" w:rsidR="00E07ACB" w:rsidRPr="00E07ACB" w:rsidRDefault="00E07ACB" w:rsidP="00E07ACB">
      <w:pPr>
        <w:spacing w:after="0" w:line="240" w:lineRule="auto"/>
        <w:rPr>
          <w:rFonts w:ascii="Times New Roman" w:eastAsia="Times New Roman" w:hAnsi="Times New Roman" w:cs="Times New Roman"/>
          <w:noProof w:val="0"/>
        </w:rPr>
      </w:pPr>
    </w:p>
    <w:p w14:paraId="2FC697F0"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Perspėjimas</w:t>
      </w:r>
    </w:p>
    <w:p w14:paraId="70BF99A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vartojimo nutraukimas visada turi būti atliekamas atidžiai stebint. Pasitarkite su gydytoju, prieš nutraukdami vaisto vartojimą.</w:t>
      </w:r>
    </w:p>
    <w:p w14:paraId="017719E7" w14:textId="77777777" w:rsidR="00E07ACB" w:rsidRPr="00E07ACB" w:rsidRDefault="00E07ACB" w:rsidP="00E07ACB">
      <w:pPr>
        <w:spacing w:after="0" w:line="240" w:lineRule="auto"/>
        <w:rPr>
          <w:rFonts w:ascii="Times New Roman" w:eastAsia="Times New Roman" w:hAnsi="Times New Roman" w:cs="Times New Roman"/>
          <w:noProof w:val="0"/>
        </w:rPr>
      </w:pPr>
    </w:p>
    <w:p w14:paraId="5129723B"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lastRenderedPageBreak/>
        <w:t xml:space="preserve">Kiti vaistai ir Atsimutin </w:t>
      </w:r>
    </w:p>
    <w:p w14:paraId="3E102DE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vartojate arba neseniai vartojote kitų vaistų arba dėl to nesate tikri, apie tai pasakykite gydytojui arba vaistininkui. Jam svarbu pasakyti apie toliau išvardytų vaistų vartojimą. </w:t>
      </w:r>
    </w:p>
    <w:p w14:paraId="0DBEE95E" w14:textId="03AF07BF" w:rsidR="00E07ACB" w:rsidRPr="00E07ACB" w:rsidRDefault="00E07ACB" w:rsidP="003436DC">
      <w:pPr>
        <w:tabs>
          <w:tab w:val="left" w:pos="540"/>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Alopurinolis, oksipurinolis, tiopurinolis </w:t>
      </w:r>
      <w:r w:rsidR="006C1EBB">
        <w:rPr>
          <w:rFonts w:ascii="Times New Roman" w:eastAsia="Times New Roman" w:hAnsi="Times New Roman" w:cs="Times New Roman"/>
          <w:noProof w:val="0"/>
        </w:rPr>
        <w:t xml:space="preserve">ar kiti ksantinoksidazės inhibitoriai, tokie kaip febuksostatas </w:t>
      </w:r>
      <w:r w:rsidRPr="00E07ACB">
        <w:rPr>
          <w:rFonts w:ascii="Times New Roman" w:eastAsia="Times New Roman" w:hAnsi="Times New Roman" w:cs="Times New Roman"/>
          <w:noProof w:val="0"/>
        </w:rPr>
        <w:t>(</w:t>
      </w:r>
      <w:r w:rsidR="004B6CF1">
        <w:rPr>
          <w:rFonts w:ascii="Times New Roman" w:eastAsia="Times New Roman" w:hAnsi="Times New Roman" w:cs="Times New Roman"/>
          <w:noProof w:val="0"/>
        </w:rPr>
        <w:t xml:space="preserve">dažniausiai vartojami </w:t>
      </w:r>
      <w:r w:rsidRPr="00E07ACB">
        <w:rPr>
          <w:rFonts w:ascii="Times New Roman" w:eastAsia="Times New Roman" w:hAnsi="Times New Roman" w:cs="Times New Roman"/>
          <w:noProof w:val="0"/>
        </w:rPr>
        <w:t>podagros</w:t>
      </w:r>
      <w:r w:rsidR="004B6CF1">
        <w:rPr>
          <w:rFonts w:ascii="Times New Roman" w:eastAsia="Times New Roman" w:hAnsi="Times New Roman" w:cs="Times New Roman"/>
          <w:noProof w:val="0"/>
        </w:rPr>
        <w:t xml:space="preserve"> gydymui</w:t>
      </w:r>
      <w:r w:rsidRPr="00E07ACB">
        <w:rPr>
          <w:rFonts w:ascii="Times New Roman" w:eastAsia="Times New Roman" w:hAnsi="Times New Roman" w:cs="Times New Roman"/>
          <w:noProof w:val="0"/>
        </w:rPr>
        <w:t>).</w:t>
      </w:r>
    </w:p>
    <w:p w14:paraId="700B6FD2" w14:textId="1DAB29F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r>
    </w:p>
    <w:p w14:paraId="01CDBFBB"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Kitokie imunosupresantai, pvz., ciklosporinas, takrolimuzas.</w:t>
      </w:r>
    </w:p>
    <w:p w14:paraId="4D4126E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Infliksimabas (vaistas nuo Krono  ligos).</w:t>
      </w:r>
    </w:p>
    <w:p w14:paraId="577E27B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Olsalazinas, mesalazinas, sulfasalazinas (vaistai nuo opinio kolito).</w:t>
      </w:r>
    </w:p>
    <w:p w14:paraId="1DC6600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Varfarinas ar fenprokumonas (kraują skystinantys vaistai).</w:t>
      </w:r>
    </w:p>
    <w:p w14:paraId="5E5E265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AKF inhibitoriai (vaistai nuo didelio kraujospūdžio ligos arba širdies nepakankamumo).</w:t>
      </w:r>
    </w:p>
    <w:p w14:paraId="5CF1838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Trimetoprimas ir sulfametoksazolas (antimikrobiniai preparatai).</w:t>
      </w:r>
    </w:p>
    <w:p w14:paraId="384F235D"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Cimetidinas (vaistas nuo virškinimo trakto opų).</w:t>
      </w:r>
    </w:p>
    <w:p w14:paraId="4F0C7A6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Vaistai nuo vėžio bei kraujo ląstelių gamybą lėtinantys arba stabdantys vaistai.</w:t>
      </w:r>
    </w:p>
    <w:p w14:paraId="2CC0B68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Furozemidas (šlapimo išskyrimą didinantis vaistas širdies nepakankamumui gydyti).</w:t>
      </w:r>
    </w:p>
    <w:p w14:paraId="78275592" w14:textId="53FE3435" w:rsidR="00E07ACB" w:rsidRDefault="00E07ACB" w:rsidP="00E07ACB">
      <w:pPr>
        <w:numPr>
          <w:ilvl w:val="1"/>
          <w:numId w:val="22"/>
        </w:numPr>
        <w:autoSpaceDE w:val="0"/>
        <w:autoSpaceDN w:val="0"/>
        <w:adjustRightInd w:val="0"/>
        <w:spacing w:after="0" w:line="240" w:lineRule="auto"/>
        <w:ind w:left="567" w:hanging="553"/>
        <w:rPr>
          <w:rFonts w:ascii="Times New Roman" w:eastAsia="Times New Roman" w:hAnsi="Times New Roman" w:cs="Times New Roman"/>
          <w:noProof w:val="0"/>
        </w:rPr>
      </w:pPr>
      <w:r w:rsidRPr="00E07ACB">
        <w:rPr>
          <w:rFonts w:ascii="Times New Roman" w:eastAsia="Times New Roman" w:hAnsi="Times New Roman" w:cs="Times New Roman"/>
          <w:noProof w:val="0"/>
        </w:rPr>
        <w:t>Bet kokių taip vadinamų „gyvųjų“ vakcinų.</w:t>
      </w:r>
    </w:p>
    <w:p w14:paraId="5A25AA5F" w14:textId="54AA3163" w:rsidR="005A1225" w:rsidRPr="00E07ACB" w:rsidRDefault="005A1225" w:rsidP="00E07ACB">
      <w:pPr>
        <w:numPr>
          <w:ilvl w:val="1"/>
          <w:numId w:val="22"/>
        </w:numPr>
        <w:autoSpaceDE w:val="0"/>
        <w:autoSpaceDN w:val="0"/>
        <w:adjustRightInd w:val="0"/>
        <w:spacing w:after="0" w:line="240" w:lineRule="auto"/>
        <w:ind w:left="567" w:hanging="553"/>
        <w:rPr>
          <w:rFonts w:ascii="Times New Roman" w:eastAsia="Times New Roman" w:hAnsi="Times New Roman" w:cs="Times New Roman"/>
          <w:noProof w:val="0"/>
        </w:rPr>
      </w:pPr>
      <w:r>
        <w:rPr>
          <w:rFonts w:ascii="Times New Roman" w:eastAsia="Times New Roman" w:hAnsi="Times New Roman" w:cs="Times New Roman"/>
          <w:noProof w:val="0"/>
        </w:rPr>
        <w:t>Prieš operaciją informuokite anesteziologą, kad esate gydomas azatioprinu, kadangi anestezijos metu vartojami raumenis atpalaiduojantys vaistai gali sąveikauti su azatioprinu.</w:t>
      </w:r>
    </w:p>
    <w:p w14:paraId="180ABDE6" w14:textId="77777777" w:rsidR="00E07ACB" w:rsidRPr="00E07ACB" w:rsidRDefault="00E07ACB" w:rsidP="00E07ACB">
      <w:pPr>
        <w:spacing w:after="0" w:line="240" w:lineRule="auto"/>
        <w:rPr>
          <w:rFonts w:ascii="Times New Roman" w:eastAsia="Times New Roman" w:hAnsi="Times New Roman" w:cs="Times New Roman"/>
          <w:noProof w:val="0"/>
        </w:rPr>
      </w:pPr>
    </w:p>
    <w:p w14:paraId="6F23DDC5" w14:textId="77777777" w:rsidR="00E07ACB" w:rsidRPr="00E07ACB" w:rsidRDefault="00E07ACB" w:rsidP="00E07ACB">
      <w:pPr>
        <w:keepNext/>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Nėštumas, žindymo laikotarpis ir vaisingumas</w:t>
      </w:r>
    </w:p>
    <w:p w14:paraId="4DFFB7C4" w14:textId="77777777" w:rsidR="00E07ACB" w:rsidRPr="00E07ACB" w:rsidRDefault="00E07ACB" w:rsidP="00E07ACB">
      <w:pPr>
        <w:keepNext/>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w:t>
      </w:r>
    </w:p>
    <w:p w14:paraId="6639B4F0"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4EDF5A1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esate nėščia, Atsimutin tablečių gerti negalima, išskyrus atvejus, kai vaisto vartoti skiria gydytojas. Vaisingo amžiaus vyrams ir moterims būtina naudotis kontraceptinėmis priemonėmis, kitokiomis nei prietaisai į gimdą (pvz., spiralė, Copper T). Jūs turite tęsti kontracepcijos priemonių naudojimą mažiausiai 3 mėn po gydymo Atsimutin nutraukimo.</w:t>
      </w:r>
    </w:p>
    <w:p w14:paraId="6990FF3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Žindyti kūdikio Atsimutin vartojimo metu negalima, kadangi jo apykaitos produktai gali patekti į pieną ir pakenkti Jūsų vaikui.</w:t>
      </w:r>
    </w:p>
    <w:p w14:paraId="7A9B1A3F" w14:textId="77777777" w:rsidR="00E07ACB" w:rsidRPr="00E07ACB" w:rsidRDefault="00E07ACB" w:rsidP="00E07ACB">
      <w:pPr>
        <w:spacing w:after="0" w:line="240" w:lineRule="auto"/>
        <w:rPr>
          <w:rFonts w:ascii="Times New Roman" w:eastAsia="Times New Roman" w:hAnsi="Times New Roman" w:cs="Times New Roman"/>
          <w:noProof w:val="0"/>
        </w:rPr>
      </w:pPr>
    </w:p>
    <w:p w14:paraId="2B4AD11C"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Prieš vartojant bet kokį vaistą, būtina pasitarti su gydytoju arba vaistininku.</w:t>
      </w:r>
    </w:p>
    <w:p w14:paraId="7044DA23" w14:textId="77777777" w:rsidR="00E07ACB" w:rsidRPr="00E07ACB" w:rsidRDefault="00E07ACB" w:rsidP="00E07ACB">
      <w:pPr>
        <w:spacing w:after="0" w:line="240" w:lineRule="auto"/>
        <w:rPr>
          <w:rFonts w:ascii="Times New Roman" w:eastAsia="Times New Roman" w:hAnsi="Times New Roman" w:cs="Times New Roman"/>
          <w:noProof w:val="0"/>
        </w:rPr>
      </w:pPr>
    </w:p>
    <w:p w14:paraId="1C716F0C"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Vairavimas ir mechanizmų valdymas</w:t>
      </w:r>
    </w:p>
    <w:p w14:paraId="46BDDC6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Vairuoti ar valdyti mechanizmus vartojant Atsimutin yra saugu, išskyrus atvejus, kai jaučiate svaigulį. Alkoholis svaigulį gali sustiprinti, todėl negalima vairuoti arba valdyti mechanizmų, jeigu vartojote alkoholio. </w:t>
      </w:r>
    </w:p>
    <w:p w14:paraId="7CBE1CDB" w14:textId="77777777" w:rsidR="00E07ACB" w:rsidRPr="00E07ACB" w:rsidRDefault="00E07ACB" w:rsidP="00E07ACB">
      <w:pPr>
        <w:spacing w:after="0" w:line="240" w:lineRule="auto"/>
        <w:rPr>
          <w:rFonts w:ascii="Times New Roman" w:eastAsia="Times New Roman" w:hAnsi="Times New Roman" w:cs="Times New Roman"/>
          <w:noProof w:val="0"/>
        </w:rPr>
      </w:pPr>
    </w:p>
    <w:p w14:paraId="246606E7"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Atsimutin sudėtyje yra laktozės</w:t>
      </w:r>
    </w:p>
    <w:p w14:paraId="7923A3C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
    <w:p w14:paraId="67501882" w14:textId="77777777" w:rsidR="00E07ACB" w:rsidRPr="00E07ACB" w:rsidRDefault="00E07ACB" w:rsidP="00E07ACB">
      <w:pPr>
        <w:spacing w:after="0" w:line="240" w:lineRule="auto"/>
        <w:rPr>
          <w:rFonts w:ascii="Times New Roman" w:eastAsia="Times New Roman" w:hAnsi="Times New Roman" w:cs="Times New Roman"/>
          <w:noProof w:val="0"/>
        </w:rPr>
      </w:pPr>
    </w:p>
    <w:p w14:paraId="5D3C5259" w14:textId="77777777" w:rsidR="00967B5C" w:rsidRDefault="00967B5C" w:rsidP="00967B5C">
      <w:pPr>
        <w:spacing w:after="0" w:line="240" w:lineRule="auto"/>
        <w:rPr>
          <w:rFonts w:ascii="Times New Roman" w:eastAsia="Times New Roman" w:hAnsi="Times New Roman" w:cs="Times New Roman"/>
          <w:b/>
          <w:bCs/>
          <w:noProof w:val="0"/>
        </w:rPr>
      </w:pPr>
      <w:r>
        <w:rPr>
          <w:rFonts w:ascii="Times New Roman" w:eastAsia="Times New Roman" w:hAnsi="Times New Roman" w:cs="Times New Roman"/>
          <w:b/>
          <w:bCs/>
          <w:noProof w:val="0"/>
        </w:rPr>
        <w:t>Natris</w:t>
      </w:r>
    </w:p>
    <w:p w14:paraId="6E3006FB" w14:textId="77777777" w:rsidR="00967B5C" w:rsidRDefault="00967B5C" w:rsidP="00967B5C">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Vienoje šio vaistinio preparato tabletėje yra mažiau kaip 1 mmol (23 mg) natrio, t.y. jis beveik neturi reikšmės.</w:t>
      </w:r>
    </w:p>
    <w:p w14:paraId="710F30CC" w14:textId="77777777" w:rsidR="00967B5C" w:rsidRPr="00E07ACB" w:rsidRDefault="00967B5C" w:rsidP="00E07ACB">
      <w:pPr>
        <w:spacing w:after="0" w:line="240" w:lineRule="auto"/>
        <w:rPr>
          <w:rFonts w:ascii="Times New Roman" w:eastAsia="Times New Roman" w:hAnsi="Times New Roman" w:cs="Times New Roman"/>
          <w:noProof w:val="0"/>
        </w:rPr>
      </w:pPr>
    </w:p>
    <w:p w14:paraId="6E84E31D"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noProof w:val="0"/>
        </w:rPr>
        <w:t>3.</w:t>
      </w:r>
      <w:r w:rsidRPr="00E07ACB">
        <w:rPr>
          <w:rFonts w:ascii="Times New Roman" w:eastAsia="Times New Roman" w:hAnsi="Times New Roman" w:cs="Times New Roman"/>
          <w:b/>
          <w:noProof w:val="0"/>
        </w:rPr>
        <w:tab/>
        <w:t>Kaip vartoti Atsimutin</w:t>
      </w:r>
    </w:p>
    <w:p w14:paraId="7B09D07C" w14:textId="77777777" w:rsidR="00E07ACB" w:rsidRPr="00E07ACB" w:rsidRDefault="00E07ACB" w:rsidP="00E07ACB">
      <w:pPr>
        <w:spacing w:after="0" w:line="240" w:lineRule="auto"/>
        <w:rPr>
          <w:rFonts w:ascii="Times New Roman" w:eastAsia="Times New Roman" w:hAnsi="Times New Roman" w:cs="Times New Roman"/>
          <w:noProof w:val="0"/>
        </w:rPr>
      </w:pPr>
    </w:p>
    <w:p w14:paraId="4290161D"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Visada vartokite šį vaistą tiksliai kaip nurodė gydytojas. Jeigu abejojate, kreipkitės į gydytoją arba vaistininką. </w:t>
      </w:r>
    </w:p>
    <w:p w14:paraId="2CAD341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Plėvele dengtos tabletės turi būti vartojamos valgio metu, užsigeriant stikline vandens.</w:t>
      </w:r>
    </w:p>
    <w:p w14:paraId="0BB55E16" w14:textId="77777777" w:rsidR="00E07ACB" w:rsidRPr="00E07ACB" w:rsidRDefault="00E07ACB" w:rsidP="00E07ACB">
      <w:pPr>
        <w:spacing w:after="0" w:line="240" w:lineRule="auto"/>
        <w:rPr>
          <w:rFonts w:ascii="Times New Roman" w:eastAsia="Times New Roman" w:hAnsi="Times New Roman" w:cs="Times New Roman"/>
          <w:noProof w:val="0"/>
        </w:rPr>
      </w:pPr>
    </w:p>
    <w:p w14:paraId="47E716C8" w14:textId="77777777" w:rsidR="00E07ACB" w:rsidRPr="00E07ACB" w:rsidRDefault="00E07ACB" w:rsidP="00E07ACB">
      <w:pPr>
        <w:spacing w:after="0" w:line="240" w:lineRule="auto"/>
        <w:rPr>
          <w:rFonts w:ascii="Times New Roman" w:eastAsia="Times New Roman" w:hAnsi="Times New Roman" w:cs="Times New Roman"/>
          <w:b/>
          <w:bCs/>
          <w:iCs/>
          <w:noProof w:val="0"/>
        </w:rPr>
      </w:pPr>
      <w:r w:rsidRPr="00E07ACB">
        <w:rPr>
          <w:rFonts w:ascii="Times New Roman" w:eastAsia="Times New Roman" w:hAnsi="Times New Roman" w:cs="Times New Roman"/>
          <w:b/>
          <w:bCs/>
          <w:iCs/>
          <w:noProof w:val="0"/>
        </w:rPr>
        <w:t>Dozavimas</w:t>
      </w:r>
    </w:p>
    <w:p w14:paraId="0761D79E" w14:textId="77777777" w:rsidR="00E07ACB" w:rsidRPr="00E07ACB" w:rsidRDefault="00E07ACB" w:rsidP="00E07ACB">
      <w:pPr>
        <w:spacing w:after="0" w:line="240" w:lineRule="auto"/>
        <w:rPr>
          <w:rFonts w:ascii="Times New Roman" w:eastAsia="Times New Roman" w:hAnsi="Times New Roman" w:cs="Times New Roman"/>
          <w:b/>
          <w:noProof w:val="0"/>
        </w:rPr>
      </w:pPr>
    </w:p>
    <w:p w14:paraId="4F997D86"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Pacientams po organo persodinimo</w:t>
      </w:r>
    </w:p>
    <w:p w14:paraId="4E714F3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Įprastinė pirmos paros dozė yra iki 5 mg/kg kūno svorio, tolesnė paros dozė </w:t>
      </w:r>
      <w:r w:rsidRPr="00E07ACB">
        <w:rPr>
          <w:rFonts w:ascii="Times New Roman" w:eastAsia="Times New Roman" w:hAnsi="Times New Roman" w:cs="Times New Roman"/>
          <w:noProof w:val="0"/>
        </w:rPr>
        <w:sym w:font="Symbol" w:char="F02D"/>
      </w:r>
      <w:r w:rsidRPr="00E07ACB">
        <w:rPr>
          <w:rFonts w:ascii="Times New Roman" w:eastAsia="Times New Roman" w:hAnsi="Times New Roman" w:cs="Times New Roman"/>
          <w:noProof w:val="0"/>
        </w:rPr>
        <w:t xml:space="preserve"> 1 – 4 mg/kg kūno svorio. </w:t>
      </w:r>
    </w:p>
    <w:p w14:paraId="6BF84957" w14:textId="77777777" w:rsidR="00E07ACB" w:rsidRPr="00E07ACB" w:rsidRDefault="00E07ACB" w:rsidP="00E07ACB">
      <w:pPr>
        <w:spacing w:after="0" w:line="240" w:lineRule="auto"/>
        <w:rPr>
          <w:rFonts w:ascii="Times New Roman" w:eastAsia="Times New Roman" w:hAnsi="Times New Roman" w:cs="Times New Roman"/>
          <w:noProof w:val="0"/>
        </w:rPr>
      </w:pPr>
    </w:p>
    <w:p w14:paraId="2F228B70"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lastRenderedPageBreak/>
        <w:t>Kitos būklės</w:t>
      </w:r>
    </w:p>
    <w:p w14:paraId="5B4C12D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Įprastinė paros dozė yra 1 – 3 mg/kg kūno svorio. </w:t>
      </w:r>
    </w:p>
    <w:p w14:paraId="107BA311" w14:textId="77777777" w:rsidR="00E07ACB" w:rsidRPr="00E07ACB" w:rsidRDefault="00E07ACB" w:rsidP="00E07ACB">
      <w:pPr>
        <w:spacing w:after="0" w:line="240" w:lineRule="auto"/>
        <w:rPr>
          <w:rFonts w:ascii="Times New Roman" w:eastAsia="Times New Roman" w:hAnsi="Times New Roman" w:cs="Times New Roman"/>
          <w:noProof w:val="0"/>
        </w:rPr>
      </w:pPr>
    </w:p>
    <w:p w14:paraId="722B784C"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Vartojimas vaikams ir paaugliams</w:t>
      </w:r>
    </w:p>
    <w:p w14:paraId="08B2F38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Nerekomenduojama vartoti Atsimutin tablečių vaikams, jaunesniems kaip 18 metų, jaunatviniam lėtiniam artritui, sisteminei raudonajai vilkligei, dermatomiozitui ir mazginiam poliarteritui gydyti dėl nepakankamų tyrimų duomenų.</w:t>
      </w:r>
    </w:p>
    <w:p w14:paraId="54341A9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Kitos indikacijos ir joms vartojamos dozės tinka tiek vaikams ir paaugliams, tiek suaugusiems pacientams.</w:t>
      </w:r>
    </w:p>
    <w:p w14:paraId="6DECE952" w14:textId="77777777" w:rsidR="00E07ACB" w:rsidRPr="00E07ACB" w:rsidRDefault="00E07ACB" w:rsidP="00E07ACB">
      <w:pPr>
        <w:spacing w:after="0" w:line="240" w:lineRule="auto"/>
        <w:rPr>
          <w:rFonts w:ascii="Times New Roman" w:eastAsia="Times New Roman" w:hAnsi="Times New Roman" w:cs="Times New Roman"/>
          <w:noProof w:val="0"/>
        </w:rPr>
      </w:pPr>
    </w:p>
    <w:p w14:paraId="34BFE02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Senyviems pacientams</w:t>
      </w:r>
    </w:p>
    <w:p w14:paraId="400731A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Senyviems pacientams gali reikėti mažesnės dozės.</w:t>
      </w:r>
    </w:p>
    <w:p w14:paraId="6F07B1D2" w14:textId="77777777" w:rsidR="00E07ACB" w:rsidRPr="00E07ACB" w:rsidRDefault="00E07ACB" w:rsidP="00E07ACB">
      <w:pPr>
        <w:spacing w:after="0" w:line="240" w:lineRule="auto"/>
        <w:rPr>
          <w:rFonts w:ascii="Times New Roman" w:eastAsia="Times New Roman" w:hAnsi="Times New Roman" w:cs="Times New Roman"/>
          <w:noProof w:val="0"/>
        </w:rPr>
      </w:pPr>
    </w:p>
    <w:p w14:paraId="153DB84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u w:val="single"/>
        </w:rPr>
        <w:t>Pacientams, kurių inkstų ar kepenų funkcija sutrikusi</w:t>
      </w:r>
      <w:r w:rsidRPr="00E07ACB">
        <w:rPr>
          <w:rFonts w:ascii="Times New Roman" w:eastAsia="Times New Roman" w:hAnsi="Times New Roman" w:cs="Times New Roman"/>
          <w:noProof w:val="0"/>
        </w:rPr>
        <w:t xml:space="preserve"> </w:t>
      </w:r>
    </w:p>
    <w:p w14:paraId="7BD45B4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Pacientams, kurių inkstų ar kepenų funkcija sutrikusi, gali reikėti mažesnės dozės. Pacientams, kurių kepenų funkcija sutrikusi stipriai, Atsimutin vartoti draudžiama.</w:t>
      </w:r>
    </w:p>
    <w:p w14:paraId="1CBEB5EC" w14:textId="77777777" w:rsidR="00E07ACB" w:rsidRPr="00E07ACB" w:rsidRDefault="00E07ACB" w:rsidP="00E07ACB">
      <w:pPr>
        <w:spacing w:after="0" w:line="240" w:lineRule="auto"/>
        <w:rPr>
          <w:rFonts w:ascii="Times New Roman" w:eastAsia="Times New Roman" w:hAnsi="Times New Roman" w:cs="Times New Roman"/>
          <w:noProof w:val="0"/>
        </w:rPr>
      </w:pPr>
    </w:p>
    <w:p w14:paraId="5B55CD6A"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Gydymo Atsimutin trukmę nustato gydytojas. Jeigu manote, kad Atsimutin veikia per stipriai arba per silpnai, kreipkitės į gydytoją.</w:t>
      </w:r>
    </w:p>
    <w:p w14:paraId="05B63B92" w14:textId="77777777" w:rsidR="00E07ACB" w:rsidRPr="00E07ACB" w:rsidRDefault="00E07ACB" w:rsidP="00E07ACB">
      <w:pPr>
        <w:spacing w:after="0" w:line="240" w:lineRule="auto"/>
        <w:rPr>
          <w:rFonts w:ascii="Times New Roman" w:eastAsia="Times New Roman" w:hAnsi="Times New Roman" w:cs="Times New Roman"/>
          <w:b/>
          <w:noProof w:val="0"/>
        </w:rPr>
      </w:pPr>
    </w:p>
    <w:p w14:paraId="3B17FE45" w14:textId="77777777" w:rsidR="00E07ACB" w:rsidRPr="00E07ACB" w:rsidRDefault="00E07ACB" w:rsidP="00E07ACB">
      <w:pPr>
        <w:keepNext/>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Pavartojus per didelę Atsimutin dozę</w:t>
      </w:r>
    </w:p>
    <w:p w14:paraId="228279AE" w14:textId="77777777" w:rsidR="00E07ACB" w:rsidRPr="00E07ACB" w:rsidRDefault="00E07ACB" w:rsidP="00E07ACB">
      <w:pPr>
        <w:keepNext/>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Nedelsdami susisiekite su savo gydytoju, vaistininku arba vykite į artimiausios ligoninės skubios medicinos pagalbos skyrių.</w:t>
      </w:r>
    </w:p>
    <w:p w14:paraId="0282CF2C" w14:textId="77777777" w:rsidR="00E07ACB" w:rsidRPr="00E07ACB" w:rsidRDefault="00E07ACB" w:rsidP="00E07ACB">
      <w:pPr>
        <w:spacing w:after="0" w:line="240" w:lineRule="auto"/>
        <w:rPr>
          <w:rFonts w:ascii="Times New Roman" w:eastAsia="Times New Roman" w:hAnsi="Times New Roman" w:cs="Times New Roman"/>
          <w:noProof w:val="0"/>
        </w:rPr>
      </w:pPr>
    </w:p>
    <w:p w14:paraId="6F527EF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kiltų daugiau klausimų dėl šio vaisto vartojimo, kreipkitės į gydytoją arba vaistininką.</w:t>
      </w:r>
    </w:p>
    <w:p w14:paraId="4ADE65A3" w14:textId="77777777" w:rsidR="00E07ACB" w:rsidRPr="00E07ACB" w:rsidRDefault="00E07ACB" w:rsidP="00E07ACB">
      <w:pPr>
        <w:spacing w:after="0" w:line="240" w:lineRule="auto"/>
        <w:rPr>
          <w:rFonts w:ascii="Times New Roman" w:eastAsia="Times New Roman" w:hAnsi="Times New Roman" w:cs="Times New Roman"/>
          <w:noProof w:val="0"/>
        </w:rPr>
      </w:pPr>
    </w:p>
    <w:p w14:paraId="50EDF1C2" w14:textId="77777777" w:rsidR="00E07ACB" w:rsidRPr="00E07ACB" w:rsidRDefault="00E07ACB" w:rsidP="00E07ACB">
      <w:pPr>
        <w:spacing w:after="0" w:line="240" w:lineRule="auto"/>
        <w:rPr>
          <w:rFonts w:ascii="Times New Roman" w:eastAsia="Times New Roman" w:hAnsi="Times New Roman" w:cs="Times New Roman"/>
          <w:noProof w:val="0"/>
        </w:rPr>
      </w:pPr>
    </w:p>
    <w:p w14:paraId="53608D9F"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caps/>
          <w:noProof w:val="0"/>
        </w:rPr>
        <w:t>4.</w:t>
      </w:r>
      <w:r w:rsidRPr="00E07ACB">
        <w:rPr>
          <w:rFonts w:ascii="Times New Roman" w:eastAsia="Times New Roman" w:hAnsi="Times New Roman" w:cs="Times New Roman"/>
          <w:b/>
          <w:caps/>
          <w:noProof w:val="0"/>
        </w:rPr>
        <w:tab/>
      </w:r>
      <w:r w:rsidRPr="00E07ACB">
        <w:rPr>
          <w:rFonts w:ascii="Times New Roman" w:eastAsia="Times New Roman" w:hAnsi="Times New Roman" w:cs="Times New Roman"/>
          <w:b/>
          <w:noProof w:val="0"/>
        </w:rPr>
        <w:t>Galimas šalutinis poveikis</w:t>
      </w:r>
    </w:p>
    <w:p w14:paraId="3A25E70D" w14:textId="77777777" w:rsidR="00E07ACB" w:rsidRPr="00E07ACB" w:rsidRDefault="00E07ACB" w:rsidP="00E07ACB">
      <w:pPr>
        <w:spacing w:after="0" w:line="240" w:lineRule="auto"/>
        <w:rPr>
          <w:rFonts w:ascii="Times New Roman" w:eastAsia="Times New Roman" w:hAnsi="Times New Roman" w:cs="Times New Roman"/>
          <w:noProof w:val="0"/>
        </w:rPr>
      </w:pPr>
    </w:p>
    <w:p w14:paraId="5B1DB2D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Šis vaistas, kaip ir visi kiti, gali sukelti šalutinį poveikį, nors jis pasireiškia ne visiems žmonėms.</w:t>
      </w:r>
    </w:p>
    <w:p w14:paraId="1D62C922" w14:textId="77777777" w:rsidR="00E07ACB" w:rsidRPr="00E07ACB" w:rsidRDefault="00E07ACB" w:rsidP="00E07ACB">
      <w:pPr>
        <w:spacing w:after="0" w:line="240" w:lineRule="auto"/>
        <w:rPr>
          <w:rFonts w:ascii="Times New Roman" w:eastAsia="Times New Roman" w:hAnsi="Times New Roman" w:cs="Times New Roman"/>
          <w:noProof w:val="0"/>
        </w:rPr>
      </w:pPr>
    </w:p>
    <w:p w14:paraId="108FF173"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Jeigu staiga atsiranda švokštimas, tampa sunku kvėpuoti, patinsta akių vokai, veidas ar lūpos, pasireiškia išbėrimas arba niežulys, ypač apimantis visą kūną, nedelsiant kreipkitės į gydytoją.</w:t>
      </w:r>
    </w:p>
    <w:p w14:paraId="7D2E9580" w14:textId="77777777" w:rsidR="00E07ACB" w:rsidRPr="00E07ACB" w:rsidRDefault="00E07ACB" w:rsidP="00E07ACB">
      <w:pPr>
        <w:spacing w:after="0" w:line="240" w:lineRule="auto"/>
        <w:rPr>
          <w:rFonts w:ascii="Times New Roman" w:eastAsia="Times New Roman" w:hAnsi="Times New Roman" w:cs="Times New Roman"/>
          <w:noProof w:val="0"/>
        </w:rPr>
      </w:pPr>
    </w:p>
    <w:p w14:paraId="7F2A4FB3"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Sunkūs šalutiniai poveikiai</w:t>
      </w:r>
    </w:p>
    <w:p w14:paraId="15407E24" w14:textId="1FA2CC2D"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Jeigu pasireišk</w:t>
      </w:r>
      <w:r w:rsidR="00B03490">
        <w:rPr>
          <w:rFonts w:ascii="Times New Roman" w:eastAsia="Times New Roman" w:hAnsi="Times New Roman" w:cs="Times New Roman"/>
          <w:b/>
          <w:noProof w:val="0"/>
        </w:rPr>
        <w:t>tų</w:t>
      </w:r>
      <w:r w:rsidRPr="00E07ACB">
        <w:rPr>
          <w:rFonts w:ascii="Times New Roman" w:eastAsia="Times New Roman" w:hAnsi="Times New Roman" w:cs="Times New Roman"/>
          <w:b/>
          <w:noProof w:val="0"/>
        </w:rPr>
        <w:t xml:space="preserve"> toliau išvardyti poveikiai, nedelsdami </w:t>
      </w:r>
      <w:r w:rsidR="00B03490">
        <w:rPr>
          <w:rFonts w:ascii="Times New Roman" w:eastAsia="Times New Roman" w:hAnsi="Times New Roman" w:cs="Times New Roman"/>
          <w:b/>
          <w:noProof w:val="0"/>
        </w:rPr>
        <w:t xml:space="preserve">pasitarkite su savo </w:t>
      </w:r>
      <w:r w:rsidRPr="00E07ACB">
        <w:rPr>
          <w:rFonts w:ascii="Times New Roman" w:eastAsia="Times New Roman" w:hAnsi="Times New Roman" w:cs="Times New Roman"/>
          <w:b/>
          <w:noProof w:val="0"/>
        </w:rPr>
        <w:t>gydytoj</w:t>
      </w:r>
      <w:r w:rsidR="00B03490">
        <w:rPr>
          <w:rFonts w:ascii="Times New Roman" w:eastAsia="Times New Roman" w:hAnsi="Times New Roman" w:cs="Times New Roman"/>
          <w:b/>
          <w:noProof w:val="0"/>
        </w:rPr>
        <w:t>u arba vykite į ligoninę</w:t>
      </w:r>
      <w:r w:rsidR="007B4C7B">
        <w:rPr>
          <w:rFonts w:ascii="Times New Roman" w:eastAsia="Times New Roman" w:hAnsi="Times New Roman" w:cs="Times New Roman"/>
          <w:b/>
          <w:noProof w:val="0"/>
        </w:rPr>
        <w:t>, kadangi Jums gali būti reikalingas skubus gydymas</w:t>
      </w:r>
      <w:r w:rsidRPr="00E07ACB">
        <w:rPr>
          <w:rFonts w:ascii="Times New Roman" w:eastAsia="Times New Roman" w:hAnsi="Times New Roman" w:cs="Times New Roman"/>
          <w:b/>
          <w:noProof w:val="0"/>
        </w:rPr>
        <w:t>:</w:t>
      </w:r>
    </w:p>
    <w:p w14:paraId="6633E525"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stiprus vėmimas;</w:t>
      </w:r>
    </w:p>
    <w:p w14:paraId="6FEAB3E0"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viduriavimas;</w:t>
      </w:r>
    </w:p>
    <w:p w14:paraId="1A0386BF"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karščiavimas, šaltkrėtis;</w:t>
      </w:r>
    </w:p>
    <w:p w14:paraId="1455164C"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raumenų ar kaulų skausmas, raumenų stingulys;</w:t>
      </w:r>
    </w:p>
    <w:p w14:paraId="1F450AF9"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nuovargis, svaigulys;</w:t>
      </w:r>
    </w:p>
    <w:p w14:paraId="36C2B020"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kraujagyslių uždegimas;</w:t>
      </w:r>
    </w:p>
    <w:p w14:paraId="0B1C4B39" w14:textId="77777777" w:rsidR="007B4C7B" w:rsidRDefault="00E07ACB" w:rsidP="00E07ACB">
      <w:pPr>
        <w:numPr>
          <w:ilvl w:val="1"/>
          <w:numId w:val="23"/>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inkstų veiklos sutrikimas (jo simptomai gali būti išskiriamo šlapimo kiekio ir spalvos pokytis)</w:t>
      </w:r>
      <w:r w:rsidR="007B4C7B">
        <w:rPr>
          <w:rFonts w:ascii="Times New Roman" w:eastAsia="Times New Roman" w:hAnsi="Times New Roman" w:cs="Times New Roman"/>
          <w:noProof w:val="0"/>
        </w:rPr>
        <w:t>;</w:t>
      </w:r>
    </w:p>
    <w:p w14:paraId="65EB81E8" w14:textId="5C827C87" w:rsidR="00E07ACB" w:rsidRDefault="007B4C7B" w:rsidP="00E07ACB">
      <w:pPr>
        <w:numPr>
          <w:ilvl w:val="1"/>
          <w:numId w:val="23"/>
        </w:numPr>
        <w:spacing w:after="0" w:line="240" w:lineRule="auto"/>
        <w:ind w:left="567" w:hanging="567"/>
        <w:contextualSpacing/>
        <w:rPr>
          <w:rFonts w:ascii="Times New Roman" w:eastAsia="Times New Roman" w:hAnsi="Times New Roman" w:cs="Times New Roman"/>
          <w:noProof w:val="0"/>
        </w:rPr>
      </w:pPr>
      <w:bookmarkStart w:id="26" w:name="_Hlk20214248"/>
      <w:r>
        <w:rPr>
          <w:rFonts w:ascii="Times New Roman" w:eastAsia="Times New Roman" w:hAnsi="Times New Roman" w:cs="Times New Roman"/>
          <w:noProof w:val="0"/>
        </w:rPr>
        <w:t>gali pasireikšti išbėrimas (skausmingi raudoni, rausvi ar violetiniai gumbai), ypač ant Jūsų rankų, plaštakų, pirštų, veido ir kaklo, kuris gali pasireikšti su karščiavimu (Svyto [</w:t>
      </w:r>
      <w:r w:rsidRPr="003436DC">
        <w:rPr>
          <w:rFonts w:ascii="Times New Roman" w:eastAsia="Times New Roman" w:hAnsi="Times New Roman" w:cs="Times New Roman"/>
          <w:i/>
          <w:noProof w:val="0"/>
        </w:rPr>
        <w:t>Sweet</w:t>
      </w:r>
      <w:r>
        <w:rPr>
          <w:rFonts w:ascii="Times New Roman" w:eastAsia="Times New Roman" w:hAnsi="Times New Roman" w:cs="Times New Roman"/>
          <w:noProof w:val="0"/>
        </w:rPr>
        <w:t>] sindromas, taip pat vadinamas ūmine febriline neutrofiline dermatoze). Šio šalutinio poveikio dažnis nežinomas (negali būti apskaičiuotas pagal turimus duomenis).</w:t>
      </w:r>
    </w:p>
    <w:p w14:paraId="316E6108" w14:textId="692DE7EF" w:rsidR="00E3497C" w:rsidRPr="00E07ACB" w:rsidRDefault="00E3497C" w:rsidP="00E07ACB">
      <w:pPr>
        <w:numPr>
          <w:ilvl w:val="1"/>
          <w:numId w:val="23"/>
        </w:numPr>
        <w:spacing w:after="0" w:line="240" w:lineRule="auto"/>
        <w:ind w:left="567" w:hanging="567"/>
        <w:contextualSpacing/>
        <w:rPr>
          <w:rFonts w:ascii="Times New Roman" w:eastAsia="Times New Roman" w:hAnsi="Times New Roman" w:cs="Times New Roman"/>
          <w:noProof w:val="0"/>
        </w:rPr>
      </w:pPr>
      <w:r>
        <w:rPr>
          <w:rFonts w:ascii="Times New Roman" w:eastAsia="Times New Roman" w:hAnsi="Times New Roman" w:cs="Times New Roman"/>
          <w:noProof w:val="0"/>
        </w:rPr>
        <w:t>Dažnis nežinomas</w:t>
      </w:r>
      <w:r w:rsidR="00B70CFB">
        <w:rPr>
          <w:rFonts w:ascii="Times New Roman" w:eastAsia="Times New Roman" w:hAnsi="Times New Roman" w:cs="Times New Roman"/>
          <w:noProof w:val="0"/>
        </w:rPr>
        <w:t xml:space="preserve"> (negali būti apskaičiuotas pagal turimus duomenis)</w:t>
      </w:r>
      <w:r>
        <w:rPr>
          <w:rFonts w:ascii="Times New Roman" w:eastAsia="Times New Roman" w:hAnsi="Times New Roman" w:cs="Times New Roman"/>
          <w:noProof w:val="0"/>
        </w:rPr>
        <w:t>: s</w:t>
      </w:r>
      <w:r w:rsidRPr="00E3497C">
        <w:rPr>
          <w:rFonts w:ascii="Times New Roman" w:eastAsia="Times New Roman" w:hAnsi="Times New Roman" w:cs="Times New Roman"/>
          <w:noProof w:val="0"/>
        </w:rPr>
        <w:t>unkus kepenų pažeidimas, galintis kelti pavojų gyvybei, ypač pacientams, kuriems taikomas ilgalaikis gydymas (pvz., kepenų pažeidimas, necirozinė vartų venos hipertenzija, portosinusoidinių kraujagyslių liga). Pasakykite savo gydytojui, jeigu Jums pasireikštų bent vienas iš šių simptomų: odos ir akių baltymų pageltimas (gelta), lengvai atsirandančios mėlynės, nemalonūs pojūčiai pilve, apetito sumažėjimas, nuovargis, pykinimas ar vėmimas.</w:t>
      </w:r>
    </w:p>
    <w:bookmarkEnd w:id="26"/>
    <w:p w14:paraId="16E389A9"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3224CCD8"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Pastebėtas kitoks šalutinis poveikis išvardytas toliau. </w:t>
      </w:r>
    </w:p>
    <w:p w14:paraId="48D35A01" w14:textId="77777777" w:rsidR="00E07ACB" w:rsidRPr="00E07ACB" w:rsidRDefault="00E07ACB" w:rsidP="00E07ACB">
      <w:pPr>
        <w:spacing w:after="0" w:line="240" w:lineRule="auto"/>
        <w:rPr>
          <w:rFonts w:ascii="Times New Roman" w:eastAsia="Times New Roman" w:hAnsi="Times New Roman" w:cs="Times New Roman"/>
          <w:noProof w:val="0"/>
        </w:rPr>
      </w:pPr>
    </w:p>
    <w:p w14:paraId="6F30A28A" w14:textId="1F3FFA35"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Labai dažn</w:t>
      </w:r>
      <w:r w:rsidR="00B70CFB">
        <w:rPr>
          <w:rFonts w:ascii="Times New Roman" w:eastAsia="Times New Roman" w:hAnsi="Times New Roman" w:cs="Times New Roman"/>
          <w:noProof w:val="0"/>
        </w:rPr>
        <w:t>i šalutinio poveikio reiškiniai (gali pasireikšti ne rečiau kaip 1 iš 10 asmenų)</w:t>
      </w:r>
      <w:r w:rsidRPr="00E07ACB">
        <w:rPr>
          <w:rFonts w:ascii="Times New Roman" w:eastAsia="Times New Roman" w:hAnsi="Times New Roman" w:cs="Times New Roman"/>
          <w:noProof w:val="0"/>
        </w:rPr>
        <w:t>:</w:t>
      </w:r>
    </w:p>
    <w:p w14:paraId="37D88198" w14:textId="77777777" w:rsidR="00E07ACB" w:rsidRPr="00E07ACB" w:rsidRDefault="00E07ACB" w:rsidP="00E07ACB">
      <w:pPr>
        <w:numPr>
          <w:ilvl w:val="1"/>
          <w:numId w:val="24"/>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virusų, grybelių ar bakterijų sukeltos infekcinės ligos transplantaciją patyrusiems pacientams;</w:t>
      </w:r>
    </w:p>
    <w:p w14:paraId="07F068A2" w14:textId="77777777" w:rsidR="00E07ACB" w:rsidRPr="00E07ACB" w:rsidRDefault="00E07ACB" w:rsidP="00E07ACB">
      <w:pPr>
        <w:numPr>
          <w:ilvl w:val="1"/>
          <w:numId w:val="24"/>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susilpnėjusi Jūsų kaulų čiulpų veikla;</w:t>
      </w:r>
    </w:p>
    <w:p w14:paraId="2CEABC1C" w14:textId="77777777" w:rsidR="00E07ACB" w:rsidRPr="00E07ACB" w:rsidRDefault="00E07ACB" w:rsidP="00E07ACB">
      <w:pPr>
        <w:numPr>
          <w:ilvl w:val="1"/>
          <w:numId w:val="24"/>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Jūsų kraujo tyrime matomas mažas baltųjų kraujo kūnelių kiekis; tai gali būti infekcinės ligos priežastis;</w:t>
      </w:r>
    </w:p>
    <w:p w14:paraId="443F4CEC" w14:textId="77777777" w:rsidR="00E07ACB" w:rsidRPr="00E07ACB" w:rsidRDefault="00E07ACB" w:rsidP="00E07ACB">
      <w:pPr>
        <w:numPr>
          <w:ilvl w:val="1"/>
          <w:numId w:val="24"/>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pykinimas ir vėmimas, apetito praradimas (anoreksija).</w:t>
      </w:r>
    </w:p>
    <w:p w14:paraId="4B76CFE7"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2812A66A" w14:textId="746E8018"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Dažn</w:t>
      </w:r>
      <w:r w:rsidR="00B70CFB">
        <w:rPr>
          <w:rFonts w:ascii="Times New Roman" w:eastAsia="Times New Roman" w:hAnsi="Times New Roman" w:cs="Times New Roman"/>
          <w:noProof w:val="0"/>
        </w:rPr>
        <w:t>i šalutinio poveikio reiškiniai (gali pasireikšti rečiau kaip 1 iš 10 asmenų)</w:t>
      </w:r>
      <w:r w:rsidRPr="00E07ACB">
        <w:rPr>
          <w:rFonts w:ascii="Times New Roman" w:eastAsia="Times New Roman" w:hAnsi="Times New Roman" w:cs="Times New Roman"/>
          <w:noProof w:val="0"/>
        </w:rPr>
        <w:t>:</w:t>
      </w:r>
    </w:p>
    <w:p w14:paraId="6E86EDA6" w14:textId="77777777" w:rsidR="00E07ACB" w:rsidRPr="00E07ACB" w:rsidRDefault="00E07ACB" w:rsidP="00E07ACB">
      <w:pPr>
        <w:numPr>
          <w:ilvl w:val="0"/>
          <w:numId w:val="25"/>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mažas kraujo plokštelių kiekis; dėl to gali lengvai atsirasti kraujosruvų (mėlynių) ar pasireikšti kraujavimas.</w:t>
      </w:r>
    </w:p>
    <w:p w14:paraId="4957DB89"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u w:val="single"/>
        </w:rPr>
      </w:pPr>
    </w:p>
    <w:p w14:paraId="4A8DF5B4" w14:textId="4E350570"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Nedažn</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100 asmenų)</w:t>
      </w:r>
      <w:r w:rsidRPr="00E07ACB">
        <w:rPr>
          <w:rFonts w:ascii="Times New Roman" w:eastAsia="Times New Roman" w:hAnsi="Times New Roman" w:cs="Times New Roman"/>
          <w:noProof w:val="0"/>
        </w:rPr>
        <w:t>:</w:t>
      </w:r>
    </w:p>
    <w:p w14:paraId="4317D98D" w14:textId="77777777" w:rsidR="00E07ACB" w:rsidRPr="00E07ACB" w:rsidRDefault="00E07ACB" w:rsidP="00E07ACB">
      <w:pPr>
        <w:numPr>
          <w:ilvl w:val="0"/>
          <w:numId w:val="26"/>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virusų, grybelių ar bakterijų sukeltos infekcinės ligos visiems pacientas, išskyrus patyrusius transplantaciją;</w:t>
      </w:r>
    </w:p>
    <w:p w14:paraId="0501C3ED" w14:textId="77777777" w:rsidR="00E07ACB" w:rsidRPr="00E07ACB" w:rsidRDefault="00E07ACB" w:rsidP="00E07ACB">
      <w:pPr>
        <w:numPr>
          <w:ilvl w:val="0"/>
          <w:numId w:val="26"/>
        </w:numPr>
        <w:tabs>
          <w:tab w:val="left" w:pos="540"/>
        </w:tabs>
        <w:spacing w:after="0" w:line="240" w:lineRule="auto"/>
        <w:ind w:left="567" w:hanging="578"/>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mažas raudonųjų kraujo kūnelių kiekis; dėl to galite būti išblyškęs, jausti nuovargį, svaigulį, kentėti galvos skausmą, dusti fizinio krūvio metu; </w:t>
      </w:r>
    </w:p>
    <w:p w14:paraId="2FC61C70" w14:textId="1711A589" w:rsidR="00E07ACB" w:rsidRPr="00E07ACB" w:rsidRDefault="00E07ACB" w:rsidP="00E07ACB">
      <w:pPr>
        <w:numPr>
          <w:ilvl w:val="0"/>
          <w:numId w:val="26"/>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padidėjusio jautrumo reakcijos, kurios gali sukelti bendrąjį negalavimą; svaigulį, pykinimą, vėmimą, viduriavimą, karščiavimą, drebulį, tokias odos reakcijas kaip egzantema</w:t>
      </w:r>
      <w:r w:rsidR="00296BF7">
        <w:rPr>
          <w:rFonts w:ascii="Times New Roman" w:eastAsia="Times New Roman" w:hAnsi="Times New Roman" w:cs="Times New Roman"/>
          <w:noProof w:val="0"/>
        </w:rPr>
        <w:t>, odos mazgeliai</w:t>
      </w:r>
      <w:r w:rsidRPr="00E07ACB">
        <w:rPr>
          <w:rFonts w:ascii="Times New Roman" w:eastAsia="Times New Roman" w:hAnsi="Times New Roman" w:cs="Times New Roman"/>
          <w:noProof w:val="0"/>
        </w:rPr>
        <w:t xml:space="preserve"> ir bėrimas, kraujagyslių uždegimą, raumenų ir sąnarių skausmą, kraujospūdžio sumažėjimą, inkstų ar kepenų veiklos sutrikimą, žarnyno veiklos sutrikimą;</w:t>
      </w:r>
    </w:p>
    <w:p w14:paraId="5E3DB726" w14:textId="631E891B" w:rsidR="00E07ACB" w:rsidRPr="00E07ACB" w:rsidRDefault="00E07ACB" w:rsidP="00E07ACB">
      <w:pPr>
        <w:numPr>
          <w:ilvl w:val="0"/>
          <w:numId w:val="26"/>
        </w:numPr>
        <w:tabs>
          <w:tab w:val="left" w:pos="540"/>
        </w:tabs>
        <w:spacing w:after="0" w:line="240" w:lineRule="auto"/>
        <w:ind w:hanging="72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kasos uždegimas, galintis sukelti stiprų viršutinės pilvo dalies skausmą, pykinimą ir vėmimą</w:t>
      </w:r>
      <w:r w:rsidR="00D54500">
        <w:rPr>
          <w:rFonts w:ascii="Times New Roman" w:eastAsia="Times New Roman" w:hAnsi="Times New Roman" w:cs="Times New Roman"/>
          <w:noProof w:val="0"/>
        </w:rPr>
        <w:t>.</w:t>
      </w:r>
      <w:r w:rsidRPr="00E07ACB">
        <w:rPr>
          <w:rFonts w:ascii="Times New Roman" w:eastAsia="Times New Roman" w:hAnsi="Times New Roman" w:cs="Times New Roman"/>
          <w:noProof w:val="0"/>
        </w:rPr>
        <w:t xml:space="preserve"> </w:t>
      </w:r>
    </w:p>
    <w:p w14:paraId="49BD51FC"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u w:val="single"/>
        </w:rPr>
      </w:pPr>
    </w:p>
    <w:p w14:paraId="7EFEFCF9" w14:textId="1DFE3B30"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Ret</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w:t>
      </w:r>
      <w:r w:rsidR="009806D9">
        <w:rPr>
          <w:rFonts w:ascii="Times New Roman" w:eastAsia="Times New Roman" w:hAnsi="Times New Roman" w:cs="Times New Roman"/>
          <w:noProof w:val="0"/>
        </w:rPr>
        <w:t> </w:t>
      </w:r>
      <w:r w:rsidR="00B70CFB">
        <w:rPr>
          <w:rFonts w:ascii="Times New Roman" w:eastAsia="Times New Roman" w:hAnsi="Times New Roman" w:cs="Times New Roman"/>
          <w:noProof w:val="0"/>
        </w:rPr>
        <w:t>000 asmenų)</w:t>
      </w:r>
      <w:r w:rsidRPr="00E07ACB">
        <w:rPr>
          <w:rFonts w:ascii="Times New Roman" w:eastAsia="Times New Roman" w:hAnsi="Times New Roman" w:cs="Times New Roman"/>
          <w:noProof w:val="0"/>
        </w:rPr>
        <w:t>:</w:t>
      </w:r>
    </w:p>
    <w:p w14:paraId="173BCC41" w14:textId="77777777" w:rsidR="00E07ACB" w:rsidRPr="00E07ACB" w:rsidRDefault="00E07ACB" w:rsidP="00E07ACB">
      <w:pPr>
        <w:numPr>
          <w:ilvl w:val="1"/>
          <w:numId w:val="27"/>
        </w:numPr>
        <w:tabs>
          <w:tab w:val="num" w:pos="567"/>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kraujo pokyčiai ir kaulų čiulpų veiklos sutrikimai, dėl kurių jaučiamas silpnumas, atsiranda nuovargis, blyškumas, skauda galvą, skauda liežuvį, atsiranda dusulys, kraujosruvos (mėlynės) ar prisideda infekcija;</w:t>
      </w:r>
    </w:p>
    <w:p w14:paraId="6C178D63" w14:textId="77777777" w:rsidR="00E07ACB" w:rsidRPr="00E07ACB" w:rsidRDefault="00E07ACB" w:rsidP="00E07ACB">
      <w:pPr>
        <w:numPr>
          <w:ilvl w:val="0"/>
          <w:numId w:val="28"/>
        </w:numPr>
        <w:tabs>
          <w:tab w:val="left" w:pos="567"/>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žarnyno veiklos sutrikimai, dėl kurių atsiranda viduriavimas, pilvo skausmas, vidurių užkietėjimas, pykinimas ir vėmimas;</w:t>
      </w:r>
    </w:p>
    <w:p w14:paraId="5E97FC82" w14:textId="77777777" w:rsidR="00E07ACB" w:rsidRPr="00E07ACB" w:rsidRDefault="00E07ACB" w:rsidP="00E07ACB">
      <w:pPr>
        <w:numPr>
          <w:ilvl w:val="1"/>
          <w:numId w:val="27"/>
        </w:numPr>
        <w:tabs>
          <w:tab w:val="left" w:pos="540"/>
        </w:tabs>
        <w:spacing w:after="0" w:line="240" w:lineRule="auto"/>
        <w:ind w:hanging="1440"/>
        <w:rPr>
          <w:rFonts w:ascii="Times New Roman" w:eastAsia="Times New Roman" w:hAnsi="Times New Roman" w:cs="Times New Roman"/>
          <w:noProof w:val="0"/>
        </w:rPr>
      </w:pPr>
      <w:r w:rsidRPr="00E07ACB">
        <w:rPr>
          <w:rFonts w:ascii="Times New Roman" w:eastAsia="Times New Roman" w:hAnsi="Times New Roman" w:cs="Times New Roman"/>
          <w:noProof w:val="0"/>
        </w:rPr>
        <w:t>sunkus kepenų pakenkimas, galintis kelti grėsmę gyvybei;</w:t>
      </w:r>
    </w:p>
    <w:p w14:paraId="07BEF6A6" w14:textId="77777777" w:rsidR="00E07ACB" w:rsidRPr="00E07ACB" w:rsidRDefault="00E07ACB" w:rsidP="00E07ACB">
      <w:pPr>
        <w:numPr>
          <w:ilvl w:val="1"/>
          <w:numId w:val="27"/>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plaukų slinkimas, kuris gali sumažėti net toliau vartojant Atsimutin;</w:t>
      </w:r>
    </w:p>
    <w:p w14:paraId="4408F59A" w14:textId="77777777" w:rsidR="00E07ACB" w:rsidRPr="00E07ACB" w:rsidRDefault="00E07ACB" w:rsidP="00E07ACB">
      <w:pPr>
        <w:numPr>
          <w:ilvl w:val="1"/>
          <w:numId w:val="27"/>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įvairių rūšių vėžys, įskaitant kraujo, limfinės sistemos ir odos vėžį.</w:t>
      </w:r>
    </w:p>
    <w:p w14:paraId="26C2F0BC"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u w:val="single"/>
        </w:rPr>
      </w:pPr>
    </w:p>
    <w:p w14:paraId="1F9A2355" w14:textId="28252CEA"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ret</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10</w:t>
      </w:r>
      <w:r w:rsidR="009806D9">
        <w:rPr>
          <w:rFonts w:ascii="Times New Roman" w:eastAsia="Times New Roman" w:hAnsi="Times New Roman" w:cs="Times New Roman"/>
          <w:noProof w:val="0"/>
        </w:rPr>
        <w:t> </w:t>
      </w:r>
      <w:r w:rsidR="00B70CFB">
        <w:rPr>
          <w:rFonts w:ascii="Times New Roman" w:eastAsia="Times New Roman" w:hAnsi="Times New Roman" w:cs="Times New Roman"/>
          <w:noProof w:val="0"/>
        </w:rPr>
        <w:t>000 asmenų)</w:t>
      </w:r>
      <w:r w:rsidRPr="00E07ACB">
        <w:rPr>
          <w:rFonts w:ascii="Times New Roman" w:eastAsia="Times New Roman" w:hAnsi="Times New Roman" w:cs="Times New Roman"/>
          <w:noProof w:val="0"/>
        </w:rPr>
        <w:t>:</w:t>
      </w:r>
    </w:p>
    <w:p w14:paraId="774A2ED8" w14:textId="77777777" w:rsidR="00E07ACB" w:rsidRPr="00E07ACB" w:rsidRDefault="00E07ACB" w:rsidP="00E07ACB">
      <w:pPr>
        <w:numPr>
          <w:ilvl w:val="1"/>
          <w:numId w:val="29"/>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gyvybei pavojingos alerginės reakcijos, lydimos sunkaus odos pažeidimo (Stivenso –Džonsono (</w:t>
      </w:r>
      <w:r w:rsidRPr="00E07ACB">
        <w:rPr>
          <w:rFonts w:ascii="Times New Roman" w:eastAsia="Times New Roman" w:hAnsi="Times New Roman" w:cs="Times New Roman"/>
          <w:i/>
          <w:noProof w:val="0"/>
        </w:rPr>
        <w:t>Stevens-Johnson</w:t>
      </w:r>
      <w:r w:rsidRPr="00E07ACB">
        <w:rPr>
          <w:rFonts w:ascii="Times New Roman" w:eastAsia="Times New Roman" w:hAnsi="Times New Roman" w:cs="Times New Roman"/>
          <w:noProof w:val="0"/>
        </w:rPr>
        <w:t>) sindromas ir toksinė epidermio nekrolizė [Lajelio (</w:t>
      </w:r>
      <w:r w:rsidRPr="00E07ACB">
        <w:rPr>
          <w:rFonts w:ascii="Times New Roman" w:eastAsia="Times New Roman" w:hAnsi="Times New Roman" w:cs="Times New Roman"/>
          <w:i/>
          <w:noProof w:val="0"/>
        </w:rPr>
        <w:t>Lyell</w:t>
      </w:r>
      <w:r w:rsidRPr="00E07ACB">
        <w:rPr>
          <w:rFonts w:ascii="Times New Roman" w:eastAsia="Times New Roman" w:hAnsi="Times New Roman" w:cs="Times New Roman"/>
          <w:noProof w:val="0"/>
        </w:rPr>
        <w:t>) sindromas]);</w:t>
      </w:r>
    </w:p>
    <w:p w14:paraId="73F412CC" w14:textId="77777777" w:rsidR="00E07ACB" w:rsidRPr="00E07ACB" w:rsidRDefault="00E07ACB" w:rsidP="00E07ACB">
      <w:pPr>
        <w:numPr>
          <w:ilvl w:val="1"/>
          <w:numId w:val="29"/>
        </w:numPr>
        <w:tabs>
          <w:tab w:val="left" w:pos="540"/>
        </w:tabs>
        <w:spacing w:after="0" w:line="240" w:lineRule="auto"/>
        <w:ind w:hanging="1440"/>
        <w:rPr>
          <w:rFonts w:ascii="Times New Roman" w:eastAsia="Times New Roman" w:hAnsi="Times New Roman" w:cs="Times New Roman"/>
          <w:noProof w:val="0"/>
        </w:rPr>
      </w:pPr>
      <w:r w:rsidRPr="00E07ACB">
        <w:rPr>
          <w:rFonts w:ascii="Times New Roman" w:eastAsia="Times New Roman" w:hAnsi="Times New Roman" w:cs="Times New Roman"/>
          <w:noProof w:val="0"/>
        </w:rPr>
        <w:t>plaučių uždegimas, sukeliantis dusulį, kosulį, karščiavimą;</w:t>
      </w:r>
    </w:p>
    <w:p w14:paraId="7581FF89" w14:textId="77777777" w:rsidR="00E07ACB" w:rsidRPr="00E07ACB" w:rsidRDefault="00E07ACB" w:rsidP="00E07ACB">
      <w:pPr>
        <w:numPr>
          <w:ilvl w:val="1"/>
          <w:numId w:val="29"/>
        </w:numPr>
        <w:tabs>
          <w:tab w:val="left" w:pos="540"/>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pacientams, kurie vartojo azatiopriną kartu su kitais imunosupresantais, pasireiškė PDL – centrinės nervų sistemos infekcija, susijusi su JC virusu.</w:t>
      </w:r>
    </w:p>
    <w:p w14:paraId="17352C79"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p>
    <w:p w14:paraId="6DF7E19D"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Pranešimas apie šalutinį poveikį</w:t>
      </w:r>
    </w:p>
    <w:p w14:paraId="5997450F" w14:textId="361D60F2"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pasireiškė šalutinis poveikis, įskaitant šiame lapelyje nenurodytą, pasakykite gydytojui arba vaistininkui. </w:t>
      </w:r>
      <w:r w:rsidR="00B70CFB" w:rsidRPr="00B70CFB">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B70CFB" w:rsidRPr="00B70CFB">
        <w:rPr>
          <w:rFonts w:ascii="Times New Roman" w:hAnsi="Times New Roman" w:cs="Times New Roman"/>
          <w:color w:val="0000EE"/>
          <w:u w:val="single"/>
          <w:lang w:eastAsia="lt-LT"/>
        </w:rPr>
        <w:t>https://vvkt.lrv.lt/lt/</w:t>
      </w:r>
      <w:r w:rsidR="00B70CFB" w:rsidRPr="00B70CFB">
        <w:rPr>
          <w:rFonts w:ascii="Times New Roman" w:hAnsi="Times New Roman" w:cs="Times New Roman"/>
          <w:lang w:eastAsia="lt-LT"/>
        </w:rPr>
        <w:t xml:space="preserve"> nurodytais būdais arba paskambinti nemokamu telefonu </w:t>
      </w:r>
      <w:r w:rsidR="009806D9">
        <w:rPr>
          <w:rFonts w:ascii="Times New Roman" w:hAnsi="Times New Roman" w:cs="Times New Roman"/>
          <w:lang w:eastAsia="lt-LT"/>
        </w:rPr>
        <w:t>+370</w:t>
      </w:r>
      <w:r w:rsidR="00B70CFB" w:rsidRPr="00B70CFB">
        <w:rPr>
          <w:rFonts w:ascii="Times New Roman" w:hAnsi="Times New Roman" w:cs="Times New Roman"/>
          <w:lang w:eastAsia="lt-LT"/>
        </w:rPr>
        <w:t xml:space="preserve"> 800 73 568</w:t>
      </w:r>
      <w:r w:rsidR="00B70CFB">
        <w:rPr>
          <w:lang w:eastAsia="lt-LT"/>
        </w:rPr>
        <w:t>.</w:t>
      </w:r>
      <w:r w:rsidRPr="00E07ACB">
        <w:rPr>
          <w:rFonts w:ascii="Times New Roman" w:eastAsia="Times New Roman" w:hAnsi="Times New Roman" w:cs="Times New Roman"/>
          <w:noProof w:val="0"/>
        </w:rPr>
        <w:t xml:space="preserve"> Pranešdami apie šalutinį poveikį galite mums padėti gauti daugiau informacijos apie šio vaisto saugumą.</w:t>
      </w:r>
    </w:p>
    <w:p w14:paraId="1B414890" w14:textId="77777777" w:rsidR="00E07ACB" w:rsidRPr="00E07ACB" w:rsidRDefault="00E07ACB" w:rsidP="00E07ACB">
      <w:pPr>
        <w:spacing w:after="0" w:line="240" w:lineRule="auto"/>
        <w:rPr>
          <w:rFonts w:ascii="Times New Roman" w:eastAsia="Times New Roman" w:hAnsi="Times New Roman" w:cs="Times New Roman"/>
          <w:noProof w:val="0"/>
        </w:rPr>
      </w:pPr>
    </w:p>
    <w:p w14:paraId="3289764F" w14:textId="77777777" w:rsidR="00E07ACB" w:rsidRPr="00E07ACB" w:rsidRDefault="00E07ACB" w:rsidP="00E07ACB">
      <w:pPr>
        <w:spacing w:after="0" w:line="240" w:lineRule="auto"/>
        <w:rPr>
          <w:rFonts w:ascii="Times New Roman" w:eastAsia="Times New Roman" w:hAnsi="Times New Roman" w:cs="Times New Roman"/>
          <w:noProof w:val="0"/>
        </w:rPr>
      </w:pPr>
    </w:p>
    <w:p w14:paraId="5E8C7EC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w:t>
      </w:r>
      <w:r w:rsidRPr="00E07ACB">
        <w:rPr>
          <w:rFonts w:ascii="Times New Roman" w:eastAsia="Times New Roman" w:hAnsi="Times New Roman" w:cs="Times New Roman"/>
          <w:b/>
          <w:noProof w:val="0"/>
        </w:rPr>
        <w:tab/>
        <w:t>Kaip laikyti Atsimutin</w:t>
      </w:r>
    </w:p>
    <w:p w14:paraId="4EE970F6" w14:textId="77777777" w:rsidR="00E07ACB" w:rsidRPr="00E07ACB" w:rsidRDefault="00E07ACB" w:rsidP="00E07ACB">
      <w:pPr>
        <w:spacing w:after="0" w:line="240" w:lineRule="auto"/>
        <w:rPr>
          <w:rFonts w:ascii="Times New Roman" w:eastAsia="Times New Roman" w:hAnsi="Times New Roman" w:cs="Times New Roman"/>
          <w:noProof w:val="0"/>
        </w:rPr>
      </w:pPr>
    </w:p>
    <w:p w14:paraId="6C9F7C2F" w14:textId="77777777" w:rsidR="00E07ACB" w:rsidRPr="00E07ACB" w:rsidRDefault="00E07ACB" w:rsidP="00E07ACB">
      <w:pPr>
        <w:numPr>
          <w:ilvl w:val="12"/>
          <w:numId w:val="0"/>
        </w:numPr>
        <w:spacing w:after="0" w:line="240" w:lineRule="auto"/>
        <w:ind w:right="-2"/>
        <w:rPr>
          <w:rFonts w:ascii="Times New Roman" w:eastAsia="Times New Roman" w:hAnsi="Times New Roman" w:cs="Times New Roman"/>
          <w:noProof w:val="0"/>
        </w:rPr>
      </w:pPr>
      <w:r w:rsidRPr="00E07ACB">
        <w:rPr>
          <w:rFonts w:ascii="Times New Roman" w:eastAsia="Times New Roman" w:hAnsi="Times New Roman" w:cs="Times New Roman"/>
          <w:noProof w:val="0"/>
        </w:rPr>
        <w:t>Šį vaistą laikykite vaikams nepastebimoje ir nepasiekiamoje vietoje.</w:t>
      </w:r>
    </w:p>
    <w:p w14:paraId="3D6C09B7" w14:textId="77777777" w:rsidR="00E07ACB" w:rsidRPr="00E07ACB" w:rsidRDefault="00E07ACB" w:rsidP="00E07ACB">
      <w:pPr>
        <w:spacing w:after="0" w:line="240" w:lineRule="auto"/>
        <w:rPr>
          <w:rFonts w:ascii="Times New Roman" w:eastAsia="Times New Roman" w:hAnsi="Times New Roman" w:cs="Times New Roman"/>
          <w:iCs/>
          <w:noProof w:val="0"/>
        </w:rPr>
      </w:pPr>
    </w:p>
    <w:p w14:paraId="74BD8805" w14:textId="77777777" w:rsidR="00E07ACB" w:rsidRPr="00E07ACB" w:rsidRDefault="00E07ACB" w:rsidP="00E07ACB">
      <w:pPr>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Ant dėžutės ir lizdinės plokštelės po „EXP“ nurodytam tinkamumo laikui pasibaigus, šio vaisto vartoti negalima. Vaistas tinkamas vartoti iki paskutinės nurodyto mėnesio dienos.</w:t>
      </w:r>
    </w:p>
    <w:p w14:paraId="26182027" w14:textId="77777777" w:rsidR="00E07ACB" w:rsidRPr="00E07ACB" w:rsidRDefault="00E07ACB" w:rsidP="00E07ACB">
      <w:pPr>
        <w:spacing w:after="0" w:line="240" w:lineRule="auto"/>
        <w:rPr>
          <w:rFonts w:ascii="Times New Roman" w:eastAsia="Times New Roman" w:hAnsi="Times New Roman" w:cs="Times New Roman"/>
          <w:noProof w:val="0"/>
        </w:rPr>
      </w:pPr>
    </w:p>
    <w:p w14:paraId="0696473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Lizdinę plokštelę laikyti išorinėje dėžutėje, kad vaistas būtų apsaugotas nuo šviesos.</w:t>
      </w:r>
    </w:p>
    <w:p w14:paraId="4E36FB05" w14:textId="77777777" w:rsidR="00E07ACB" w:rsidRPr="00E07ACB" w:rsidRDefault="00E07ACB" w:rsidP="00E07ACB">
      <w:pPr>
        <w:spacing w:after="0" w:line="240" w:lineRule="auto"/>
        <w:rPr>
          <w:rFonts w:ascii="Times New Roman" w:eastAsia="Times New Roman" w:hAnsi="Times New Roman" w:cs="Times New Roman"/>
          <w:noProof w:val="0"/>
        </w:rPr>
      </w:pPr>
    </w:p>
    <w:p w14:paraId="2E48DA3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 xml:space="preserve">Pastebėjus matomų apgadinimo požymių, </w:t>
      </w:r>
      <w:r w:rsidRPr="00E07ACB">
        <w:rPr>
          <w:rFonts w:ascii="Times New Roman" w:eastAsia="Times New Roman" w:hAnsi="Times New Roman" w:cs="Times New Roman"/>
          <w:iCs/>
          <w:noProof w:val="0"/>
        </w:rPr>
        <w:t>šio vaisto</w:t>
      </w:r>
      <w:r w:rsidRPr="00E07ACB">
        <w:rPr>
          <w:rFonts w:ascii="Times New Roman" w:eastAsia="Times New Roman" w:hAnsi="Times New Roman" w:cs="Times New Roman"/>
          <w:noProof w:val="0"/>
        </w:rPr>
        <w:t xml:space="preserve"> vartoti negalima.</w:t>
      </w:r>
    </w:p>
    <w:p w14:paraId="3BE74871" w14:textId="77777777" w:rsidR="00E07ACB" w:rsidRPr="00E07ACB" w:rsidRDefault="00E07ACB" w:rsidP="00E07ACB">
      <w:pPr>
        <w:spacing w:after="0" w:line="240" w:lineRule="auto"/>
        <w:rPr>
          <w:rFonts w:ascii="Times New Roman" w:eastAsia="Times New Roman" w:hAnsi="Times New Roman" w:cs="Times New Roman"/>
          <w:noProof w:val="0"/>
        </w:rPr>
      </w:pPr>
    </w:p>
    <w:p w14:paraId="32D2EB3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6095B654" w14:textId="77777777" w:rsidR="00E07ACB" w:rsidRPr="00E07ACB" w:rsidRDefault="00E07ACB" w:rsidP="00E07ACB">
      <w:pPr>
        <w:spacing w:after="0" w:line="240" w:lineRule="auto"/>
        <w:rPr>
          <w:rFonts w:ascii="Times New Roman" w:eastAsia="Times New Roman" w:hAnsi="Times New Roman" w:cs="Times New Roman"/>
          <w:noProof w:val="0"/>
        </w:rPr>
      </w:pPr>
    </w:p>
    <w:p w14:paraId="6A809432" w14:textId="77777777" w:rsidR="00E07ACB" w:rsidRPr="00E07ACB" w:rsidRDefault="00E07ACB" w:rsidP="00E07ACB">
      <w:pPr>
        <w:spacing w:after="0" w:line="240" w:lineRule="auto"/>
        <w:rPr>
          <w:rFonts w:ascii="Times New Roman" w:eastAsia="Times New Roman" w:hAnsi="Times New Roman" w:cs="Times New Roman"/>
          <w:noProof w:val="0"/>
        </w:rPr>
      </w:pPr>
    </w:p>
    <w:p w14:paraId="61C240A4"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6.</w:t>
      </w:r>
      <w:r w:rsidRPr="00E07ACB">
        <w:rPr>
          <w:rFonts w:ascii="Times New Roman" w:eastAsia="Times New Roman" w:hAnsi="Times New Roman" w:cs="Times New Roman"/>
          <w:b/>
          <w:noProof w:val="0"/>
        </w:rPr>
        <w:tab/>
        <w:t>Pakuotės turinys ir kita informacija</w:t>
      </w:r>
    </w:p>
    <w:p w14:paraId="7436C4CB" w14:textId="77777777" w:rsidR="00E07ACB" w:rsidRPr="00E07ACB" w:rsidRDefault="00E07ACB" w:rsidP="00E07ACB">
      <w:pPr>
        <w:spacing w:after="0" w:line="240" w:lineRule="auto"/>
        <w:rPr>
          <w:rFonts w:ascii="Times New Roman" w:eastAsia="Times New Roman" w:hAnsi="Times New Roman" w:cs="Times New Roman"/>
          <w:noProof w:val="0"/>
        </w:rPr>
      </w:pPr>
    </w:p>
    <w:p w14:paraId="74288B31"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b/>
          <w:bCs/>
          <w:noProof w:val="0"/>
        </w:rPr>
        <w:t xml:space="preserve">Atsimutin sudėtis </w:t>
      </w:r>
    </w:p>
    <w:p w14:paraId="5270C2EC"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Veiklioji medžiaga yra azatioprinas. </w:t>
      </w:r>
    </w:p>
    <w:p w14:paraId="4AF2B5C5" w14:textId="77777777" w:rsidR="00E07ACB" w:rsidRPr="00E07ACB" w:rsidRDefault="00E07ACB" w:rsidP="00E07ACB">
      <w:pPr>
        <w:numPr>
          <w:ilvl w:val="1"/>
          <w:numId w:val="22"/>
        </w:numPr>
        <w:tabs>
          <w:tab w:val="num" w:pos="567"/>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1 plėvele dengtoje tabletėje yra 25 mg azatioprino. </w:t>
      </w:r>
    </w:p>
    <w:p w14:paraId="5C341ED5" w14:textId="77777777" w:rsidR="00E07ACB" w:rsidRPr="00E07ACB" w:rsidRDefault="00E07ACB" w:rsidP="00E07ACB">
      <w:pPr>
        <w:spacing w:after="0" w:line="240" w:lineRule="auto"/>
        <w:rPr>
          <w:rFonts w:ascii="Times New Roman" w:eastAsia="Times New Roman" w:hAnsi="Times New Roman" w:cs="Times New Roman"/>
          <w:noProof w:val="0"/>
        </w:rPr>
      </w:pPr>
    </w:p>
    <w:p w14:paraId="568FAA2B" w14:textId="77777777" w:rsidR="00E07ACB" w:rsidRPr="00E07ACB" w:rsidRDefault="00E07ACB" w:rsidP="00E07ACB">
      <w:pPr>
        <w:tabs>
          <w:tab w:val="num" w:pos="567"/>
          <w:tab w:val="left" w:pos="72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i/>
          <w:noProof w:val="0"/>
        </w:rPr>
        <w:t>-</w:t>
      </w:r>
      <w:r w:rsidRPr="00E07ACB">
        <w:rPr>
          <w:rFonts w:ascii="Times New Roman" w:eastAsia="Times New Roman" w:hAnsi="Times New Roman" w:cs="Times New Roman"/>
          <w:i/>
          <w:noProof w:val="0"/>
        </w:rPr>
        <w:tab/>
      </w:r>
      <w:r w:rsidRPr="00E07ACB">
        <w:rPr>
          <w:rFonts w:ascii="Times New Roman" w:eastAsia="Times New Roman" w:hAnsi="Times New Roman" w:cs="Times New Roman"/>
          <w:noProof w:val="0"/>
        </w:rPr>
        <w:t>Pagalbinės medžiagos:</w:t>
      </w:r>
      <w:r w:rsidRPr="00E07ACB">
        <w:rPr>
          <w:rFonts w:ascii="Times New Roman" w:eastAsia="Times New Roman" w:hAnsi="Times New Roman" w:cs="Times New Roman"/>
          <w:i/>
          <w:noProof w:val="0"/>
        </w:rPr>
        <w:t xml:space="preserve"> </w:t>
      </w:r>
    </w:p>
    <w:p w14:paraId="608016D3" w14:textId="77777777" w:rsidR="00E07ACB" w:rsidRPr="00E07ACB" w:rsidRDefault="00E07ACB" w:rsidP="00E07ACB">
      <w:pPr>
        <w:tabs>
          <w:tab w:val="left" w:pos="567"/>
        </w:tabs>
        <w:spacing w:after="0" w:line="240" w:lineRule="auto"/>
        <w:ind w:left="1985" w:hanging="1843"/>
        <w:rPr>
          <w:rFonts w:ascii="Times New Roman" w:eastAsia="Times New Roman" w:hAnsi="Times New Roman" w:cs="Times New Roman"/>
          <w:iCs/>
          <w:noProof w:val="0"/>
        </w:rPr>
      </w:pPr>
      <w:r w:rsidRPr="00E07ACB">
        <w:rPr>
          <w:rFonts w:ascii="Times New Roman" w:eastAsia="Times New Roman" w:hAnsi="Times New Roman" w:cs="Times New Roman"/>
          <w:noProof w:val="0"/>
        </w:rPr>
        <w:t xml:space="preserve">Tabletės branduolys: </w:t>
      </w:r>
      <w:r w:rsidRPr="00E07ACB">
        <w:rPr>
          <w:rFonts w:ascii="Times New Roman" w:eastAsia="Times New Roman" w:hAnsi="Times New Roman" w:cs="Times New Roman"/>
          <w:iCs/>
          <w:noProof w:val="0"/>
        </w:rPr>
        <w:t>laktozė monohidratas, mikrokristalinė celiuliozė, karboksimetilkrakmolo A natrio druska (Ph.Eur.), pregelifikuotas krakmolas (kukurūzų), polisorbatas 80, povidonas K30, magnio stearatas (Ph. Eur.) [augalinis]</w:t>
      </w:r>
    </w:p>
    <w:p w14:paraId="2CF88960" w14:textId="77777777" w:rsidR="00E07ACB" w:rsidRPr="00E07ACB" w:rsidRDefault="00E07ACB" w:rsidP="00E07ACB">
      <w:pPr>
        <w:spacing w:after="0" w:line="240" w:lineRule="auto"/>
        <w:rPr>
          <w:rFonts w:ascii="Times New Roman" w:eastAsia="Times New Roman" w:hAnsi="Times New Roman" w:cs="Times New Roman"/>
          <w:noProof w:val="0"/>
        </w:rPr>
      </w:pPr>
    </w:p>
    <w:p w14:paraId="55BAF0DB" w14:textId="77777777" w:rsidR="00E07ACB" w:rsidRPr="00E07ACB" w:rsidRDefault="00E07ACB" w:rsidP="00E07ACB">
      <w:pPr>
        <w:spacing w:after="0" w:line="240" w:lineRule="auto"/>
        <w:ind w:left="1560" w:hanging="1418"/>
        <w:rPr>
          <w:rFonts w:ascii="Times New Roman" w:eastAsia="Times New Roman" w:hAnsi="Times New Roman" w:cs="Times New Roman"/>
          <w:noProof w:val="0"/>
        </w:rPr>
      </w:pPr>
      <w:r w:rsidRPr="00E07ACB">
        <w:rPr>
          <w:rFonts w:ascii="Times New Roman" w:eastAsia="Times New Roman" w:hAnsi="Times New Roman" w:cs="Times New Roman"/>
          <w:noProof w:val="0"/>
        </w:rPr>
        <w:t>Tabletės plėvelė: hipromeliozė, makrogolis 400, makrogolis 6000, geltonasis geležies oksidas (E172), raudonasis geležies oksidas (E172), juodasis geležies oksidas (E172), titano dioksidas (E171).</w:t>
      </w:r>
    </w:p>
    <w:p w14:paraId="7FB6D83F" w14:textId="77777777" w:rsidR="00E07ACB" w:rsidRPr="00E07ACB" w:rsidRDefault="00E07ACB" w:rsidP="00E07ACB">
      <w:pPr>
        <w:spacing w:after="0" w:line="240" w:lineRule="auto"/>
        <w:rPr>
          <w:rFonts w:ascii="Times New Roman" w:eastAsia="Times New Roman" w:hAnsi="Times New Roman" w:cs="Times New Roman"/>
          <w:b/>
          <w:bCs/>
          <w:noProof w:val="0"/>
        </w:rPr>
      </w:pPr>
    </w:p>
    <w:p w14:paraId="2492EF29" w14:textId="77777777" w:rsidR="00E07ACB" w:rsidRPr="00E07ACB" w:rsidRDefault="00E07ACB" w:rsidP="00E07ACB">
      <w:pPr>
        <w:spacing w:after="0" w:line="240" w:lineRule="auto"/>
        <w:rPr>
          <w:rFonts w:ascii="Times New Roman" w:eastAsia="Times New Roman" w:hAnsi="Times New Roman" w:cs="Times New Roman"/>
          <w:b/>
          <w:bCs/>
          <w:noProof w:val="0"/>
        </w:rPr>
      </w:pPr>
      <w:r w:rsidRPr="00E07ACB">
        <w:rPr>
          <w:rFonts w:ascii="Times New Roman" w:eastAsia="Times New Roman" w:hAnsi="Times New Roman" w:cs="Times New Roman"/>
          <w:b/>
          <w:bCs/>
          <w:noProof w:val="0"/>
        </w:rPr>
        <w:t>Atsimutin išvaizda ir kiekis pakuotėje</w:t>
      </w:r>
    </w:p>
    <w:p w14:paraId="33EDBE8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25 mg tabletės yra oranžiniai rudos spalvos, plėvele dengtos, apvalios, abipus išgaubtos tabletės permatomose PVC-PVdC/VMCH dengtose aliuminio lizdinėse plokštelėse. Vienoje tablečių pusėje įspausta „AZ25“, o kita pusė lygi.</w:t>
      </w:r>
    </w:p>
    <w:p w14:paraId="42B40C14"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p>
    <w:p w14:paraId="1040217A"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noProof w:val="0"/>
        </w:rPr>
        <w:t xml:space="preserve">Atsimutin 25 mg tabletės yra tiekiamos 28, </w:t>
      </w:r>
      <w:r w:rsidRPr="00E07ACB">
        <w:rPr>
          <w:rFonts w:ascii="Times New Roman" w:eastAsia="Times New Roman" w:hAnsi="Times New Roman" w:cs="Times New Roman"/>
          <w:noProof w:val="0"/>
          <w:highlight w:val="lightGray"/>
        </w:rPr>
        <w:t xml:space="preserve">30, </w:t>
      </w:r>
      <w:r w:rsidRPr="00E07ACB">
        <w:rPr>
          <w:rFonts w:ascii="Times New Roman" w:eastAsia="Times New Roman" w:hAnsi="Times New Roman" w:cs="Times New Roman"/>
          <w:iCs/>
          <w:noProof w:val="0"/>
          <w:highlight w:val="lightGray"/>
        </w:rPr>
        <w:t>50, 56, 90 ir 100</w:t>
      </w:r>
      <w:r w:rsidRPr="00E07ACB">
        <w:rPr>
          <w:rFonts w:ascii="Times New Roman" w:eastAsia="Times New Roman" w:hAnsi="Times New Roman" w:cs="Times New Roman"/>
          <w:iCs/>
          <w:noProof w:val="0"/>
        </w:rPr>
        <w:t xml:space="preserve"> plėvele dengtų tablečių pakuotėse.</w:t>
      </w:r>
    </w:p>
    <w:p w14:paraId="0751005E" w14:textId="77777777" w:rsidR="00E07ACB" w:rsidRPr="00E07ACB" w:rsidRDefault="00E07ACB" w:rsidP="00E07ACB">
      <w:pPr>
        <w:spacing w:after="0" w:line="240" w:lineRule="auto"/>
        <w:rPr>
          <w:rFonts w:ascii="Times New Roman" w:eastAsia="Times New Roman" w:hAnsi="Times New Roman" w:cs="Times New Roman"/>
          <w:noProof w:val="0"/>
        </w:rPr>
      </w:pPr>
    </w:p>
    <w:p w14:paraId="4987CEB8"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Registruotojas ir gamintojas</w:t>
      </w:r>
    </w:p>
    <w:p w14:paraId="7A124800"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p>
    <w:p w14:paraId="2A611C11"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i/>
          <w:noProof w:val="0"/>
        </w:rPr>
      </w:pPr>
      <w:r w:rsidRPr="00E07ACB">
        <w:rPr>
          <w:rFonts w:ascii="Times New Roman" w:eastAsia="Calibri" w:hAnsi="Times New Roman" w:cs="Times New Roman"/>
          <w:i/>
          <w:noProof w:val="0"/>
        </w:rPr>
        <w:t>Registruotojas</w:t>
      </w:r>
    </w:p>
    <w:p w14:paraId="06140FB2"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4AAAD77C"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3013 Lake Drive</w:t>
      </w:r>
    </w:p>
    <w:p w14:paraId="17199640"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Citywest Business Campus</w:t>
      </w:r>
    </w:p>
    <w:p w14:paraId="4BA5E5CC"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Dublin 24, D24PPT3</w:t>
      </w:r>
    </w:p>
    <w:p w14:paraId="366DA711"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Airija</w:t>
      </w:r>
    </w:p>
    <w:p w14:paraId="3016DDD2"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noProof w:val="0"/>
          <w:szCs w:val="24"/>
        </w:rPr>
      </w:pPr>
    </w:p>
    <w:p w14:paraId="78489EF2"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i/>
          <w:noProof w:val="0"/>
          <w:szCs w:val="24"/>
        </w:rPr>
      </w:pPr>
      <w:r w:rsidRPr="00E07ACB">
        <w:rPr>
          <w:rFonts w:ascii="Times New Roman" w:eastAsia="Times New Roman" w:hAnsi="Times New Roman" w:cs="Times New Roman"/>
          <w:i/>
          <w:noProof w:val="0"/>
          <w:szCs w:val="24"/>
        </w:rPr>
        <w:t>Gamintojas</w:t>
      </w:r>
    </w:p>
    <w:p w14:paraId="1506AC11"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AqVida GmbH</w:t>
      </w:r>
    </w:p>
    <w:p w14:paraId="3C03CF49"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szCs w:val="24"/>
        </w:rPr>
      </w:pPr>
      <w:r w:rsidRPr="00E07ACB">
        <w:rPr>
          <w:rFonts w:ascii="Times New Roman" w:eastAsia="Times New Roman" w:hAnsi="Times New Roman" w:cs="Times New Roman"/>
          <w:noProof w:val="0"/>
        </w:rPr>
        <w:t xml:space="preserve">Kaiser-Wilhelm-Str. </w:t>
      </w:r>
      <w:r w:rsidRPr="00E07ACB">
        <w:rPr>
          <w:rFonts w:ascii="Times New Roman" w:eastAsia="Times New Roman" w:hAnsi="Times New Roman" w:cs="Times New Roman"/>
          <w:noProof w:val="0"/>
          <w:szCs w:val="24"/>
        </w:rPr>
        <w:t>89</w:t>
      </w:r>
    </w:p>
    <w:p w14:paraId="7933E574"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szCs w:val="24"/>
        </w:rPr>
      </w:pPr>
      <w:r w:rsidRPr="00E07ACB">
        <w:rPr>
          <w:rFonts w:ascii="Times New Roman" w:eastAsia="Times New Roman" w:hAnsi="Times New Roman" w:cs="Times New Roman"/>
          <w:noProof w:val="0"/>
          <w:szCs w:val="24"/>
        </w:rPr>
        <w:t>20355 Hamburg</w:t>
      </w:r>
    </w:p>
    <w:p w14:paraId="56F68D59"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noProof w:val="0"/>
        </w:rPr>
      </w:pPr>
      <w:r w:rsidRPr="00E07ACB">
        <w:rPr>
          <w:rFonts w:ascii="Times New Roman" w:eastAsia="Times New Roman" w:hAnsi="Times New Roman" w:cs="Times New Roman"/>
          <w:noProof w:val="0"/>
          <w:szCs w:val="24"/>
        </w:rPr>
        <w:t>Vokietija</w:t>
      </w:r>
    </w:p>
    <w:p w14:paraId="4B997310" w14:textId="77777777" w:rsidR="00E07ACB" w:rsidRPr="00E07ACB" w:rsidRDefault="00E07ACB" w:rsidP="00E07ACB">
      <w:pPr>
        <w:spacing w:after="0" w:line="240" w:lineRule="auto"/>
        <w:jc w:val="both"/>
        <w:rPr>
          <w:rFonts w:ascii="Times New Roman" w:eastAsia="Times New Roman" w:hAnsi="Times New Roman" w:cs="Times New Roman"/>
          <w:noProof w:val="0"/>
        </w:rPr>
      </w:pPr>
    </w:p>
    <w:p w14:paraId="00412265" w14:textId="592021A4" w:rsidR="00E07ACB" w:rsidRPr="00E07ACB" w:rsidRDefault="00E07ACB" w:rsidP="00E07ACB">
      <w:pPr>
        <w:spacing w:after="0" w:line="240" w:lineRule="auto"/>
        <w:rPr>
          <w:rFonts w:ascii="Times New Roman" w:eastAsia="Times New Roman" w:hAnsi="Times New Roman" w:cs="Times New Roman"/>
          <w:b/>
          <w:bCs/>
          <w:noProof w:val="0"/>
        </w:rPr>
      </w:pPr>
    </w:p>
    <w:p w14:paraId="5DD121EE" w14:textId="40B770C9" w:rsidR="00E07ACB" w:rsidRPr="00E07ACB" w:rsidRDefault="00E07ACB" w:rsidP="00E07ACB">
      <w:pPr>
        <w:numPr>
          <w:ilvl w:val="12"/>
          <w:numId w:val="0"/>
        </w:numPr>
        <w:tabs>
          <w:tab w:val="left" w:pos="567"/>
        </w:tabs>
        <w:spacing w:after="0" w:line="260" w:lineRule="exact"/>
        <w:ind w:right="-2"/>
        <w:rPr>
          <w:rFonts w:ascii="Times New Roman" w:eastAsia="Times New Roman" w:hAnsi="Times New Roman" w:cs="Times New Roman"/>
          <w:noProof w:val="0"/>
          <w:snapToGrid w:val="0"/>
        </w:rPr>
      </w:pPr>
      <w:r w:rsidRPr="00E07ACB">
        <w:rPr>
          <w:rFonts w:ascii="Times New Roman" w:eastAsia="Times New Roman" w:hAnsi="Times New Roman" w:cs="Times New Roman"/>
          <w:b/>
          <w:noProof w:val="0"/>
          <w:snapToGrid w:val="0"/>
        </w:rPr>
        <w:t>Šis vaistas E</w:t>
      </w:r>
      <w:r w:rsidR="00671720">
        <w:rPr>
          <w:rFonts w:ascii="Times New Roman" w:eastAsia="Times New Roman" w:hAnsi="Times New Roman" w:cs="Times New Roman"/>
          <w:b/>
          <w:noProof w:val="0"/>
          <w:snapToGrid w:val="0"/>
        </w:rPr>
        <w:t>uropos ekonominės erdvės</w:t>
      </w:r>
      <w:r w:rsidRPr="00E07ACB">
        <w:rPr>
          <w:rFonts w:ascii="Times New Roman" w:eastAsia="Times New Roman" w:hAnsi="Times New Roman" w:cs="Times New Roman"/>
          <w:b/>
          <w:noProof w:val="0"/>
          <w:snapToGrid w:val="0"/>
        </w:rPr>
        <w:t xml:space="preserve"> valstybėse narėse registruotas tokiais pavadinimais</w:t>
      </w:r>
      <w:r w:rsidRPr="00E07ACB">
        <w:rPr>
          <w:rFonts w:ascii="Times New Roman" w:eastAsia="Times New Roman" w:hAnsi="Times New Roman" w:cs="Times New Roman"/>
          <w:noProof w:val="0"/>
          <w:snapToGrid w:val="0"/>
        </w:rPr>
        <w:t>:</w:t>
      </w:r>
    </w:p>
    <w:p w14:paraId="5E7594CB"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Čekija:</w:t>
      </w:r>
      <w:r w:rsidRPr="00E07ACB">
        <w:rPr>
          <w:rFonts w:ascii="Times New Roman" w:eastAsia="Calibri" w:hAnsi="Times New Roman" w:cs="Times New Roman"/>
          <w:noProof w:val="0"/>
        </w:rPr>
        <w:tab/>
        <w:t>Imasup 25 mg</w:t>
      </w:r>
      <w:r w:rsidRPr="007C0115">
        <w:rPr>
          <w:rFonts w:ascii="Times New Roman" w:eastAsia="Calibri" w:hAnsi="Times New Roman" w:cs="Times New Roman"/>
        </w:rPr>
        <w:t xml:space="preserve"> potahovane tablet</w:t>
      </w:r>
      <w:r w:rsidRPr="00E07ACB">
        <w:rPr>
          <w:rFonts w:ascii="Times New Roman" w:eastAsia="Calibri" w:hAnsi="Times New Roman" w:cs="Times New Roman"/>
          <w:noProof w:val="0"/>
        </w:rPr>
        <w:t>;</w:t>
      </w:r>
    </w:p>
    <w:p w14:paraId="5FDA2515"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Estija:</w:t>
      </w:r>
      <w:r w:rsidRPr="00E07ACB">
        <w:rPr>
          <w:rFonts w:ascii="Times New Roman" w:eastAsia="Calibri" w:hAnsi="Times New Roman" w:cs="Times New Roman"/>
          <w:noProof w:val="0"/>
        </w:rPr>
        <w:tab/>
        <w:t>Atsimutin;</w:t>
      </w:r>
    </w:p>
    <w:p w14:paraId="3CF59F85"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Lietuva:</w:t>
      </w:r>
      <w:r w:rsidRPr="00E07ACB">
        <w:rPr>
          <w:rFonts w:ascii="Times New Roman" w:eastAsia="Calibri" w:hAnsi="Times New Roman" w:cs="Times New Roman"/>
          <w:noProof w:val="0"/>
        </w:rPr>
        <w:tab/>
        <w:t>Atsimutin 25 mg plėvele dengtos tabletės;</w:t>
      </w:r>
    </w:p>
    <w:p w14:paraId="29863C95"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Lenkija:</w:t>
      </w:r>
      <w:r w:rsidRPr="00E07ACB">
        <w:rPr>
          <w:rFonts w:ascii="Times New Roman" w:eastAsia="Calibri" w:hAnsi="Times New Roman" w:cs="Times New Roman"/>
          <w:noProof w:val="0"/>
        </w:rPr>
        <w:tab/>
        <w:t>Atioprin;</w:t>
      </w:r>
    </w:p>
    <w:p w14:paraId="6C41277D"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Slovakija:</w:t>
      </w:r>
      <w:r w:rsidRPr="00E07ACB">
        <w:rPr>
          <w:rFonts w:ascii="Times New Roman" w:eastAsia="Calibri" w:hAnsi="Times New Roman" w:cs="Times New Roman"/>
          <w:noProof w:val="0"/>
        </w:rPr>
        <w:tab/>
        <w:t>Imasup 25 mg</w:t>
      </w:r>
      <w:r w:rsidRPr="007C0115">
        <w:rPr>
          <w:rFonts w:ascii="Times New Roman" w:eastAsia="Times New Roman" w:hAnsi="Times New Roman" w:cs="Times New Roman"/>
          <w:color w:val="000000"/>
          <w:lang w:eastAsia="en-GB"/>
        </w:rPr>
        <w:t xml:space="preserve"> filmom obalene tablety</w:t>
      </w:r>
      <w:r w:rsidRPr="00E07ACB">
        <w:rPr>
          <w:rFonts w:ascii="Times New Roman" w:eastAsia="Calibri" w:hAnsi="Times New Roman" w:cs="Times New Roman"/>
          <w:noProof w:val="0"/>
        </w:rPr>
        <w:t>.</w:t>
      </w:r>
    </w:p>
    <w:p w14:paraId="1A94CB91" w14:textId="77777777" w:rsidR="00E07ACB" w:rsidRPr="00E07ACB" w:rsidRDefault="00E07ACB" w:rsidP="00E07ACB">
      <w:pPr>
        <w:autoSpaceDE w:val="0"/>
        <w:autoSpaceDN w:val="0"/>
        <w:adjustRightInd w:val="0"/>
        <w:spacing w:after="0" w:line="240" w:lineRule="auto"/>
        <w:ind w:firstLine="1296"/>
        <w:rPr>
          <w:rFonts w:ascii="TimesNewRomanPSMT" w:eastAsia="Times New Roman" w:hAnsi="TimesNewRomanPSMT" w:cs="Times New Roman"/>
          <w:noProof w:val="0"/>
        </w:rPr>
      </w:pPr>
    </w:p>
    <w:p w14:paraId="5952358B" w14:textId="77777777" w:rsidR="00E07ACB" w:rsidRPr="00E07ACB" w:rsidRDefault="00E07ACB" w:rsidP="00E07ACB">
      <w:pPr>
        <w:spacing w:after="0" w:line="240" w:lineRule="auto"/>
        <w:jc w:val="both"/>
        <w:rPr>
          <w:rFonts w:ascii="Times New Roman" w:eastAsia="Times New Roman" w:hAnsi="Times New Roman" w:cs="Times New Roman"/>
          <w:noProof w:val="0"/>
        </w:rPr>
      </w:pPr>
    </w:p>
    <w:p w14:paraId="41DCF45B" w14:textId="02FE451D"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bCs/>
          <w:noProof w:val="0"/>
        </w:rPr>
        <w:t xml:space="preserve">Šis pakuotės </w:t>
      </w:r>
      <w:r w:rsidRPr="00E07ACB">
        <w:rPr>
          <w:rFonts w:ascii="Times New Roman" w:eastAsia="Times New Roman" w:hAnsi="Times New Roman" w:cs="Times New Roman"/>
          <w:b/>
          <w:noProof w:val="0"/>
        </w:rPr>
        <w:t>lapelis paskutinį kartą peržiūrėtas</w:t>
      </w:r>
      <w:r w:rsidR="00671720">
        <w:rPr>
          <w:rFonts w:ascii="Times New Roman" w:eastAsia="Times New Roman" w:hAnsi="Times New Roman" w:cs="Times New Roman"/>
          <w:b/>
          <w:noProof w:val="0"/>
        </w:rPr>
        <w:t xml:space="preserve"> 2025-03-07</w:t>
      </w:r>
      <w:r w:rsidR="00106DA8">
        <w:rPr>
          <w:rFonts w:ascii="Times New Roman" w:eastAsia="Times New Roman" w:hAnsi="Times New Roman" w:cs="Times New Roman"/>
          <w:b/>
          <w:noProof w:val="0"/>
        </w:rPr>
        <w:t>.</w:t>
      </w:r>
      <w:r w:rsidRPr="00E07ACB">
        <w:rPr>
          <w:rFonts w:ascii="Times New Roman" w:eastAsia="Times New Roman" w:hAnsi="Times New Roman" w:cs="Times New Roman"/>
          <w:b/>
          <w:noProof w:val="0"/>
        </w:rPr>
        <w:t xml:space="preserve"> </w:t>
      </w:r>
    </w:p>
    <w:p w14:paraId="54971F40" w14:textId="77777777" w:rsidR="00E07ACB" w:rsidRPr="00E07ACB" w:rsidRDefault="00E07ACB" w:rsidP="00E07ACB">
      <w:pPr>
        <w:spacing w:after="0" w:line="240" w:lineRule="auto"/>
        <w:rPr>
          <w:rFonts w:ascii="Times New Roman" w:eastAsia="Times New Roman" w:hAnsi="Times New Roman" w:cs="Times New Roman"/>
          <w:noProof w:val="0"/>
        </w:rPr>
      </w:pPr>
    </w:p>
    <w:p w14:paraId="4496AC12" w14:textId="77777777" w:rsidR="00E07ACB" w:rsidRPr="00E07ACB" w:rsidRDefault="00E07ACB" w:rsidP="00E07ACB">
      <w:pPr>
        <w:spacing w:after="0" w:line="240" w:lineRule="auto"/>
        <w:rPr>
          <w:rFonts w:ascii="Times New Roman" w:eastAsia="Times New Roman" w:hAnsi="Times New Roman" w:cs="Times New Roman"/>
          <w:noProof w:val="0"/>
        </w:rPr>
      </w:pPr>
    </w:p>
    <w:p w14:paraId="635415DD" w14:textId="6FAE29D3" w:rsidR="00E07ACB" w:rsidRDefault="00E07ACB" w:rsidP="00E07ACB">
      <w:pPr>
        <w:spacing w:after="0" w:line="240" w:lineRule="auto"/>
        <w:rPr>
          <w:rFonts w:ascii="Times New Roman" w:eastAsia="Calibri" w:hAnsi="Times New Roman" w:cs="Times New Roman"/>
          <w:noProof w:val="0"/>
          <w:color w:val="0000FF"/>
          <w:szCs w:val="20"/>
          <w:u w:val="single"/>
          <w:lang w:eastAsia="de-DE"/>
        </w:rPr>
      </w:pPr>
      <w:r w:rsidRPr="00E07ACB">
        <w:rPr>
          <w:rFonts w:ascii="Times New Roman" w:eastAsia="Calibri" w:hAnsi="Times New Roman" w:cs="Times New Roman"/>
          <w:noProof w:val="0"/>
          <w:szCs w:val="20"/>
          <w:lang w:eastAsia="de-DE"/>
        </w:rPr>
        <w:t xml:space="preserve">Išsami informacija apie šį vaistą pateikiama Valstybinės vaistų kontrolės tarnybos prie Lietuvos Respublikos sveikatos apsaugos ministerijos tinklalapyje </w:t>
      </w:r>
      <w:hyperlink r:id="rId6" w:history="1">
        <w:r w:rsidR="00B70CFB" w:rsidRPr="003F0C62">
          <w:rPr>
            <w:rStyle w:val="Hipersaitas"/>
            <w:lang w:eastAsia="lt-LT"/>
          </w:rPr>
          <w:t xml:space="preserve"> https://vvkt.lrv.lt/lt/.</w:t>
        </w:r>
        <w:r w:rsidR="00B70CFB" w:rsidRPr="009806D9">
          <w:rPr>
            <w:rStyle w:val="Hipersaitas"/>
            <w:rFonts w:eastAsia="Calibri"/>
            <w:noProof w:val="0"/>
            <w:szCs w:val="20"/>
            <w:lang w:eastAsia="de-DE"/>
          </w:rPr>
          <w:t>/</w:t>
        </w:r>
      </w:hyperlink>
    </w:p>
    <w:p w14:paraId="32F891FE" w14:textId="77777777" w:rsidR="00E07ACB" w:rsidRPr="00E07ACB" w:rsidRDefault="00E07ACB" w:rsidP="00E07ACB">
      <w:pPr>
        <w:spacing w:after="0" w:line="240" w:lineRule="auto"/>
        <w:jc w:val="center"/>
        <w:rPr>
          <w:rFonts w:ascii="Times New Roman" w:eastAsia="Times New Roman" w:hAnsi="Times New Roman" w:cs="Times New Roman"/>
          <w:b/>
          <w:noProof w:val="0"/>
          <w:sz w:val="24"/>
        </w:rPr>
      </w:pPr>
      <w:r w:rsidRPr="00E07ACB">
        <w:rPr>
          <w:rFonts w:ascii="Times New Roman" w:eastAsia="Times New Roman" w:hAnsi="Times New Roman" w:cs="Times New Roman"/>
          <w:b/>
          <w:noProof w:val="0"/>
        </w:rPr>
        <w:lastRenderedPageBreak/>
        <w:t>Pakuotės lapelis: informacija pacientui</w:t>
      </w:r>
    </w:p>
    <w:p w14:paraId="05059B50" w14:textId="77777777" w:rsidR="00E07ACB" w:rsidRPr="00E07ACB" w:rsidRDefault="00E07ACB" w:rsidP="00E07ACB">
      <w:pPr>
        <w:spacing w:after="0" w:line="240" w:lineRule="auto"/>
        <w:jc w:val="center"/>
        <w:rPr>
          <w:rFonts w:ascii="Times New Roman" w:eastAsia="Times New Roman" w:hAnsi="Times New Roman" w:cs="Times New Roman"/>
          <w:b/>
          <w:noProof w:val="0"/>
        </w:rPr>
      </w:pPr>
    </w:p>
    <w:p w14:paraId="4323FDF7" w14:textId="77777777" w:rsidR="00E07ACB" w:rsidRPr="00E07ACB" w:rsidRDefault="00E07ACB" w:rsidP="00E07ACB">
      <w:pPr>
        <w:spacing w:after="0" w:line="240" w:lineRule="auto"/>
        <w:jc w:val="center"/>
        <w:rPr>
          <w:rFonts w:ascii="Times New Roman" w:eastAsia="Times New Roman" w:hAnsi="Times New Roman" w:cs="Times New Roman"/>
          <w:b/>
          <w:bCs/>
          <w:noProof w:val="0"/>
        </w:rPr>
      </w:pPr>
      <w:r w:rsidRPr="00E07ACB">
        <w:rPr>
          <w:rFonts w:ascii="Times New Roman" w:eastAsia="Times New Roman" w:hAnsi="Times New Roman" w:cs="Times New Roman"/>
          <w:b/>
          <w:noProof w:val="0"/>
        </w:rPr>
        <w:t>Atsimutin</w:t>
      </w:r>
      <w:r w:rsidRPr="00E07ACB">
        <w:rPr>
          <w:rFonts w:ascii="Times New Roman" w:eastAsia="Times New Roman" w:hAnsi="Times New Roman" w:cs="Times New Roman"/>
          <w:b/>
          <w:bCs/>
          <w:noProof w:val="0"/>
        </w:rPr>
        <w:t xml:space="preserve"> 50 mg plėvele dengtos tabletės</w:t>
      </w:r>
    </w:p>
    <w:p w14:paraId="56D2C585" w14:textId="07876606" w:rsidR="00E07ACB" w:rsidRPr="00E07ACB" w:rsidRDefault="00E37B21" w:rsidP="00E07ACB">
      <w:pPr>
        <w:spacing w:after="0" w:line="240" w:lineRule="auto"/>
        <w:jc w:val="center"/>
        <w:rPr>
          <w:rFonts w:ascii="Times New Roman" w:eastAsia="Times New Roman" w:hAnsi="Times New Roman" w:cs="Times New Roman"/>
          <w:noProof w:val="0"/>
        </w:rPr>
      </w:pPr>
      <w:r>
        <w:rPr>
          <w:rFonts w:ascii="Times New Roman" w:eastAsia="Times New Roman" w:hAnsi="Times New Roman" w:cs="Times New Roman"/>
          <w:noProof w:val="0"/>
        </w:rPr>
        <w:t>a</w:t>
      </w:r>
      <w:r w:rsidR="00E07ACB" w:rsidRPr="00E07ACB">
        <w:rPr>
          <w:rFonts w:ascii="Times New Roman" w:eastAsia="Times New Roman" w:hAnsi="Times New Roman" w:cs="Times New Roman"/>
          <w:noProof w:val="0"/>
        </w:rPr>
        <w:t>zatioprinas</w:t>
      </w:r>
    </w:p>
    <w:p w14:paraId="6EF06285" w14:textId="77777777" w:rsidR="00E07ACB" w:rsidRPr="00E07ACB" w:rsidRDefault="00E07ACB" w:rsidP="00E07ACB">
      <w:pPr>
        <w:spacing w:after="0" w:line="240" w:lineRule="auto"/>
        <w:rPr>
          <w:rFonts w:ascii="Times New Roman" w:eastAsia="Times New Roman" w:hAnsi="Times New Roman" w:cs="Times New Roman"/>
          <w:noProof w:val="0"/>
        </w:rPr>
      </w:pPr>
    </w:p>
    <w:p w14:paraId="1700750A"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Atidžiai perskaitykite visą šį lapelį, prieš pradėdami vartoti vaistą, nes jame pateikiama Jums svarbi informacija.</w:t>
      </w:r>
    </w:p>
    <w:p w14:paraId="0796C9B1"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Neišmeskite šio lapelio, nes vėl gali prireikti jį perskaityti.</w:t>
      </w:r>
    </w:p>
    <w:p w14:paraId="3EC44299"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kiltų daugiau klausimų, kreipkitės į gydytoją arba vaistininką.</w:t>
      </w:r>
    </w:p>
    <w:p w14:paraId="0A3BC35F"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Šis vaistas skirtas tik Jums, todėl kitiems žmonėms jo duoti negalima. Vaistas gali jiems pakenkti (net tiems, kurių ligos požymiai yra tokie patys kaip Jūsų).</w:t>
      </w:r>
    </w:p>
    <w:p w14:paraId="31C2DA8C" w14:textId="77777777" w:rsidR="00E07ACB" w:rsidRPr="00E07ACB" w:rsidRDefault="00E07ACB" w:rsidP="00E07ACB">
      <w:pPr>
        <w:numPr>
          <w:ilvl w:val="0"/>
          <w:numId w:val="16"/>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pasireiškė šalutinis poveikis (net jeigu jis šiame lapelyje nenurodytas), kreipkitės į gydytoją arba vaistininką. Žr. </w:t>
      </w:r>
      <w:r w:rsidRPr="00E07ACB">
        <w:rPr>
          <w:rFonts w:ascii="Times New Roman" w:eastAsia="Times New Roman" w:hAnsi="Times New Roman" w:cs="Times New Roman"/>
          <w:noProof w:val="0"/>
          <w:szCs w:val="24"/>
        </w:rPr>
        <w:t>4</w:t>
      </w:r>
      <w:r w:rsidRPr="00E07ACB">
        <w:rPr>
          <w:rFonts w:ascii="Times New Roman" w:eastAsia="Times New Roman" w:hAnsi="Times New Roman" w:cs="Times New Roman"/>
          <w:noProof w:val="0"/>
        </w:rPr>
        <w:t xml:space="preserve"> skyrių.</w:t>
      </w:r>
    </w:p>
    <w:p w14:paraId="1B46E7D5" w14:textId="77777777" w:rsidR="00E07ACB" w:rsidRPr="00E07ACB" w:rsidRDefault="00E07ACB" w:rsidP="00E07ACB">
      <w:pPr>
        <w:spacing w:after="0" w:line="240" w:lineRule="auto"/>
        <w:rPr>
          <w:rFonts w:ascii="Times New Roman" w:eastAsia="Times New Roman" w:hAnsi="Times New Roman" w:cs="Times New Roman"/>
          <w:noProof w:val="0"/>
        </w:rPr>
      </w:pPr>
    </w:p>
    <w:p w14:paraId="0A3887FC" w14:textId="77777777" w:rsidR="00E07ACB" w:rsidRPr="00E07ACB" w:rsidRDefault="00E07ACB" w:rsidP="00E07ACB">
      <w:pPr>
        <w:spacing w:after="0" w:line="240" w:lineRule="auto"/>
        <w:rPr>
          <w:rFonts w:ascii="Times New Roman" w:eastAsia="Times New Roman" w:hAnsi="Times New Roman" w:cs="Times New Roman"/>
          <w:b/>
          <w:noProof w:val="0"/>
        </w:rPr>
      </w:pPr>
    </w:p>
    <w:p w14:paraId="35C58B77"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Apie ką rašoma šiame lapelyje?</w:t>
      </w:r>
    </w:p>
    <w:p w14:paraId="7684218E"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1.</w:t>
      </w:r>
      <w:r w:rsidRPr="00E07ACB">
        <w:rPr>
          <w:rFonts w:ascii="Times New Roman" w:eastAsia="Times New Roman" w:hAnsi="Times New Roman" w:cs="Times New Roman"/>
          <w:noProof w:val="0"/>
        </w:rPr>
        <w:tab/>
        <w:t>Kas yra Atsimutin ir kam jis vartojamas</w:t>
      </w:r>
    </w:p>
    <w:p w14:paraId="46082FC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2.</w:t>
      </w:r>
      <w:r w:rsidRPr="00E07ACB">
        <w:rPr>
          <w:rFonts w:ascii="Times New Roman" w:eastAsia="Times New Roman" w:hAnsi="Times New Roman" w:cs="Times New Roman"/>
          <w:noProof w:val="0"/>
        </w:rPr>
        <w:tab/>
        <w:t>Kas žinotina prieš vartojant Atsimutin</w:t>
      </w:r>
    </w:p>
    <w:p w14:paraId="431EEF5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3.</w:t>
      </w:r>
      <w:r w:rsidRPr="00E07ACB">
        <w:rPr>
          <w:rFonts w:ascii="Times New Roman" w:eastAsia="Times New Roman" w:hAnsi="Times New Roman" w:cs="Times New Roman"/>
          <w:noProof w:val="0"/>
        </w:rPr>
        <w:tab/>
        <w:t>Kaip vartoti Atsimutin</w:t>
      </w:r>
    </w:p>
    <w:p w14:paraId="14D0BFF7"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4.</w:t>
      </w:r>
      <w:r w:rsidRPr="00E07ACB">
        <w:rPr>
          <w:rFonts w:ascii="Times New Roman" w:eastAsia="Times New Roman" w:hAnsi="Times New Roman" w:cs="Times New Roman"/>
          <w:noProof w:val="0"/>
        </w:rPr>
        <w:tab/>
        <w:t>Galimas šalutinis poveikis</w:t>
      </w:r>
    </w:p>
    <w:p w14:paraId="276114AA"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5.</w:t>
      </w:r>
      <w:r w:rsidRPr="00E07ACB">
        <w:rPr>
          <w:rFonts w:ascii="Times New Roman" w:eastAsia="Times New Roman" w:hAnsi="Times New Roman" w:cs="Times New Roman"/>
          <w:noProof w:val="0"/>
        </w:rPr>
        <w:tab/>
        <w:t>Kaip laikyti Atsimutin</w:t>
      </w:r>
    </w:p>
    <w:p w14:paraId="52627E7F"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6.</w:t>
      </w:r>
      <w:r w:rsidRPr="00E07ACB">
        <w:rPr>
          <w:rFonts w:ascii="Times New Roman" w:eastAsia="Times New Roman" w:hAnsi="Times New Roman" w:cs="Times New Roman"/>
          <w:noProof w:val="0"/>
        </w:rPr>
        <w:tab/>
        <w:t>Pakuotės turinys ir kita informacija</w:t>
      </w:r>
    </w:p>
    <w:p w14:paraId="279BA594"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192BF7A2" w14:textId="77777777" w:rsidR="00E07ACB" w:rsidRPr="00E07ACB" w:rsidRDefault="00E07ACB" w:rsidP="00E07ACB">
      <w:pPr>
        <w:spacing w:after="0" w:line="240" w:lineRule="auto"/>
        <w:rPr>
          <w:rFonts w:ascii="Times New Roman" w:eastAsia="Times New Roman" w:hAnsi="Times New Roman" w:cs="Times New Roman"/>
          <w:noProof w:val="0"/>
        </w:rPr>
      </w:pPr>
    </w:p>
    <w:p w14:paraId="46C7C5A9"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noProof w:val="0"/>
        </w:rPr>
        <w:t>1.</w:t>
      </w:r>
      <w:r w:rsidRPr="00E07ACB">
        <w:rPr>
          <w:rFonts w:ascii="Times New Roman" w:eastAsia="Times New Roman" w:hAnsi="Times New Roman" w:cs="Times New Roman"/>
          <w:b/>
          <w:noProof w:val="0"/>
        </w:rPr>
        <w:tab/>
        <w:t>Kas yra Atsimutin ir kam jis vartojamas</w:t>
      </w:r>
    </w:p>
    <w:p w14:paraId="78F6CCFE" w14:textId="77777777" w:rsidR="00E07ACB" w:rsidRPr="00E07ACB" w:rsidRDefault="00E07ACB" w:rsidP="00E07ACB">
      <w:pPr>
        <w:spacing w:after="0" w:line="240" w:lineRule="auto"/>
        <w:rPr>
          <w:rFonts w:ascii="Times New Roman" w:eastAsia="Times New Roman" w:hAnsi="Times New Roman" w:cs="Times New Roman"/>
          <w:noProof w:val="0"/>
        </w:rPr>
      </w:pPr>
    </w:p>
    <w:p w14:paraId="2F231BF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Veiklioji Atsimutin tablečių medžiaga yra azatioprinas. Jis priklauso vaistų, vadinamų imunosupresantais, grupei. Imunosupresantai mažina organizmo imuninės sistemos aktyvumą. </w:t>
      </w:r>
    </w:p>
    <w:p w14:paraId="70F5B284" w14:textId="77777777" w:rsidR="00E07ACB" w:rsidRPr="00E07ACB" w:rsidRDefault="00E07ACB" w:rsidP="00E07ACB">
      <w:pPr>
        <w:spacing w:after="0" w:line="240" w:lineRule="auto"/>
        <w:rPr>
          <w:rFonts w:ascii="Times New Roman" w:eastAsia="Times New Roman" w:hAnsi="Times New Roman" w:cs="Times New Roman"/>
          <w:noProof w:val="0"/>
        </w:rPr>
      </w:pPr>
    </w:p>
    <w:p w14:paraId="1CCE6A9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Gydytojas Atsimutin Jums išrašė dėl kurios nors iš šių priežasčių:</w:t>
      </w:r>
    </w:p>
    <w:p w14:paraId="35DBE76A" w14:textId="77777777" w:rsidR="00E07ACB" w:rsidRPr="00E07ACB" w:rsidRDefault="00E07ACB" w:rsidP="00E07ACB">
      <w:pPr>
        <w:numPr>
          <w:ilvl w:val="0"/>
          <w:numId w:val="30"/>
        </w:numPr>
        <w:tabs>
          <w:tab w:val="left" w:pos="709"/>
        </w:tabs>
        <w:spacing w:after="0" w:line="240" w:lineRule="auto"/>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kad vaistas padėtų organizmui priimti persodintą organą;</w:t>
      </w:r>
    </w:p>
    <w:p w14:paraId="5049AF10" w14:textId="77777777" w:rsidR="00E07ACB" w:rsidRPr="00E07ACB" w:rsidRDefault="00E07ACB" w:rsidP="00E07ACB">
      <w:pPr>
        <w:numPr>
          <w:ilvl w:val="0"/>
          <w:numId w:val="30"/>
        </w:numPr>
        <w:spacing w:after="0" w:line="240" w:lineRule="auto"/>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kad vaistas padėtų kontroliuoti ligą, kurios metu Jūsų imuninė sistema veikia prieš Jūsų organizmą. </w:t>
      </w:r>
    </w:p>
    <w:p w14:paraId="35CDE5AF" w14:textId="77777777" w:rsidR="00E07ACB" w:rsidRPr="00E07ACB" w:rsidRDefault="00E07ACB" w:rsidP="00E07ACB">
      <w:pPr>
        <w:spacing w:after="0" w:line="240" w:lineRule="auto"/>
        <w:rPr>
          <w:rFonts w:ascii="Times New Roman" w:eastAsia="Times New Roman" w:hAnsi="Times New Roman" w:cs="Times New Roman"/>
          <w:noProof w:val="0"/>
        </w:rPr>
      </w:pPr>
    </w:p>
    <w:p w14:paraId="36F1417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tabletėmis arba jų deriniu su kitais vaistais taip pat galima gydyti sunkų reumatoidinį artritą, sunkų žarnų uždegimą (Krono (</w:t>
      </w:r>
      <w:r w:rsidRPr="00E07ACB">
        <w:rPr>
          <w:rFonts w:ascii="Times New Roman" w:eastAsia="Times New Roman" w:hAnsi="Times New Roman" w:cs="Times New Roman"/>
          <w:i/>
          <w:noProof w:val="0"/>
        </w:rPr>
        <w:t>Crohn</w:t>
      </w:r>
      <w:r w:rsidRPr="00E07ACB">
        <w:rPr>
          <w:rFonts w:ascii="Times New Roman" w:eastAsia="Times New Roman" w:hAnsi="Times New Roman" w:cs="Times New Roman"/>
          <w:noProof w:val="0"/>
        </w:rPr>
        <w:t xml:space="preserve">) ligą arba opinį kolitą) ar kai kurias ligas, kurių metu imuninė sistema veikia prieš organizmą (autoimunines ligas), įskaitant sunkias uždegimines odos, kepenų ar arterijų ligas ir kai kuriuos kraujo sutrikimus. </w:t>
      </w:r>
    </w:p>
    <w:p w14:paraId="606A4D39" w14:textId="77777777" w:rsidR="00E07ACB" w:rsidRPr="00E07ACB" w:rsidRDefault="00E07ACB" w:rsidP="00E07ACB">
      <w:pPr>
        <w:spacing w:after="0" w:line="240" w:lineRule="auto"/>
        <w:rPr>
          <w:rFonts w:ascii="Times New Roman" w:eastAsia="Times New Roman" w:hAnsi="Times New Roman" w:cs="Times New Roman"/>
          <w:noProof w:val="0"/>
        </w:rPr>
      </w:pPr>
    </w:p>
    <w:p w14:paraId="6921645D" w14:textId="77777777" w:rsidR="00E07ACB" w:rsidRPr="00E07ACB" w:rsidRDefault="00E07ACB" w:rsidP="00E07ACB">
      <w:pPr>
        <w:spacing w:after="0" w:line="240" w:lineRule="auto"/>
        <w:rPr>
          <w:rFonts w:ascii="Times New Roman" w:eastAsia="Times New Roman" w:hAnsi="Times New Roman" w:cs="Times New Roman"/>
          <w:noProof w:val="0"/>
        </w:rPr>
      </w:pPr>
    </w:p>
    <w:p w14:paraId="411429C3"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noProof w:val="0"/>
        </w:rPr>
        <w:t>2.</w:t>
      </w:r>
      <w:r w:rsidRPr="00E07ACB">
        <w:rPr>
          <w:rFonts w:ascii="Times New Roman" w:eastAsia="Times New Roman" w:hAnsi="Times New Roman" w:cs="Times New Roman"/>
          <w:b/>
          <w:noProof w:val="0"/>
        </w:rPr>
        <w:tab/>
        <w:t>Kas žinotina prieš vartojant Atsimutin</w:t>
      </w:r>
    </w:p>
    <w:p w14:paraId="3D92FFD9" w14:textId="77777777" w:rsidR="00E07ACB" w:rsidRPr="00E07ACB" w:rsidRDefault="00E07ACB" w:rsidP="00E07ACB">
      <w:pPr>
        <w:spacing w:after="0" w:line="240" w:lineRule="auto"/>
        <w:rPr>
          <w:rFonts w:ascii="Times New Roman" w:eastAsia="Times New Roman" w:hAnsi="Times New Roman" w:cs="Times New Roman"/>
          <w:noProof w:val="0"/>
        </w:rPr>
      </w:pPr>
    </w:p>
    <w:p w14:paraId="4B6DF1C9" w14:textId="7061BAD6" w:rsidR="00E07ACB" w:rsidRPr="00E07ACB" w:rsidRDefault="00E07ACB" w:rsidP="00E07ACB">
      <w:pPr>
        <w:spacing w:after="0" w:line="240" w:lineRule="auto"/>
        <w:rPr>
          <w:rFonts w:ascii="Times New Roman" w:eastAsia="Times New Roman" w:hAnsi="Times New Roman" w:cs="Times New Roman"/>
          <w:b/>
          <w:bCs/>
          <w:noProof w:val="0"/>
        </w:rPr>
      </w:pPr>
      <w:r w:rsidRPr="00E07ACB">
        <w:rPr>
          <w:rFonts w:ascii="Times New Roman" w:eastAsia="Times New Roman" w:hAnsi="Times New Roman" w:cs="Times New Roman"/>
          <w:b/>
          <w:noProof w:val="0"/>
        </w:rPr>
        <w:t>Atsimutin</w:t>
      </w:r>
      <w:r w:rsidRPr="00E07ACB">
        <w:rPr>
          <w:rFonts w:ascii="Times New Roman" w:eastAsia="Times New Roman" w:hAnsi="Times New Roman" w:cs="Times New Roman"/>
          <w:b/>
          <w:bCs/>
          <w:noProof w:val="0"/>
        </w:rPr>
        <w:t xml:space="preserve"> vartoti </w:t>
      </w:r>
      <w:r w:rsidR="00E37B21">
        <w:rPr>
          <w:rFonts w:ascii="Times New Roman" w:eastAsia="Times New Roman" w:hAnsi="Times New Roman" w:cs="Times New Roman"/>
          <w:b/>
          <w:bCs/>
          <w:noProof w:val="0"/>
        </w:rPr>
        <w:t>draudžiama</w:t>
      </w:r>
      <w:r w:rsidRPr="00E07ACB">
        <w:rPr>
          <w:rFonts w:ascii="Times New Roman" w:eastAsia="Times New Roman" w:hAnsi="Times New Roman" w:cs="Times New Roman"/>
          <w:b/>
          <w:bCs/>
          <w:noProof w:val="0"/>
        </w:rPr>
        <w:t>:</w:t>
      </w:r>
    </w:p>
    <w:p w14:paraId="53E19093" w14:textId="77777777" w:rsidR="00E07ACB" w:rsidRPr="00E07ACB" w:rsidRDefault="00E07ACB" w:rsidP="00E07ACB">
      <w:pPr>
        <w:spacing w:after="0" w:line="240" w:lineRule="auto"/>
        <w:rPr>
          <w:rFonts w:ascii="Times New Roman" w:eastAsia="Times New Roman" w:hAnsi="Times New Roman" w:cs="Times New Roman"/>
          <w:b/>
          <w:bCs/>
          <w:noProof w:val="0"/>
        </w:rPr>
      </w:pPr>
    </w:p>
    <w:p w14:paraId="0F74281A"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yra alergija azatioprinui, merkaptopurinui arba bet kuriai pagalbinei šio vaisto medžiagai (jos išvardytos 6 skyriuje). Alerginė reakcija gali pasireikšti išbėrimu, niežuliu, kvėpavimo arba rijimo pasunkėjimu, veido, lūpų, gerklės ar liežuvio sutinimu;</w:t>
      </w:r>
    </w:p>
    <w:p w14:paraId="763338F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sergate sunkia infekcine liga;</w:t>
      </w:r>
    </w:p>
    <w:p w14:paraId="261D85E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yra sunkus kepenų ar kaulų čiulpų veiklos sutrikimas;</w:t>
      </w:r>
    </w:p>
    <w:p w14:paraId="55A6692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sergate pankreatitu (kasos uždegimu);</w:t>
      </w:r>
    </w:p>
    <w:p w14:paraId="6C1CB12A"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neseniai skiepijotės gyvąja vakcina, pvz., raupų arba geltonosios karštligės;</w:t>
      </w:r>
    </w:p>
    <w:p w14:paraId="23C59AB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esate nėščia (tokiu atveju šio vaisto galima vartoti tik gydytojo leidimu);</w:t>
      </w:r>
    </w:p>
    <w:p w14:paraId="6ECCF4BB"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jeigu žindote kūdikį.</w:t>
      </w:r>
    </w:p>
    <w:p w14:paraId="47D5A81D" w14:textId="77777777" w:rsidR="00E07ACB" w:rsidRPr="00E07ACB" w:rsidRDefault="00E07ACB" w:rsidP="00E07ACB">
      <w:pPr>
        <w:spacing w:after="0" w:line="240" w:lineRule="auto"/>
        <w:rPr>
          <w:rFonts w:ascii="Times New Roman" w:eastAsia="Times New Roman" w:hAnsi="Times New Roman" w:cs="Times New Roman"/>
          <w:noProof w:val="0"/>
        </w:rPr>
      </w:pPr>
    </w:p>
    <w:p w14:paraId="6A9F35E0" w14:textId="77777777" w:rsidR="00E07ACB" w:rsidRPr="00E07ACB" w:rsidRDefault="00E07ACB" w:rsidP="00E07ACB">
      <w:pPr>
        <w:keepNext/>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Įspėjimai ir atsargumo priemonės </w:t>
      </w:r>
    </w:p>
    <w:p w14:paraId="78E2CE4E" w14:textId="77777777" w:rsidR="00E07ACB" w:rsidRPr="00E07ACB" w:rsidRDefault="00E07ACB" w:rsidP="00E07ACB">
      <w:pPr>
        <w:keepNext/>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Pasitarkite su gydytoju arba vaistininku, prieš pradėdami vartoti Atsimutin.</w:t>
      </w:r>
    </w:p>
    <w:p w14:paraId="301170CF" w14:textId="77777777" w:rsidR="00E07ACB" w:rsidRPr="00E07ACB" w:rsidRDefault="00E07ACB" w:rsidP="00E07ACB">
      <w:pPr>
        <w:spacing w:after="0" w:line="240" w:lineRule="auto"/>
        <w:rPr>
          <w:rFonts w:ascii="Times New Roman" w:eastAsia="Times New Roman" w:hAnsi="Times New Roman" w:cs="Times New Roman"/>
          <w:noProof w:val="0"/>
        </w:rPr>
      </w:pPr>
    </w:p>
    <w:p w14:paraId="2821936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 xml:space="preserve">Atsimutin Jums bus paskirtas tik tuo atveju, jeigu bus galima Jus stebėti dėl šalutinio poveikio. </w:t>
      </w:r>
    </w:p>
    <w:p w14:paraId="2B1FFCCE" w14:textId="77777777" w:rsidR="00E07ACB" w:rsidRPr="00E07ACB" w:rsidRDefault="00E07ACB" w:rsidP="00E07ACB">
      <w:pPr>
        <w:spacing w:after="0" w:line="240" w:lineRule="auto"/>
        <w:rPr>
          <w:rFonts w:ascii="Times New Roman" w:eastAsia="Times New Roman" w:hAnsi="Times New Roman" w:cs="Times New Roman"/>
          <w:noProof w:val="0"/>
        </w:rPr>
      </w:pPr>
    </w:p>
    <w:p w14:paraId="05323B6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atsiras gerklės opų, karščiavimas, infekcinė liga, kraujosruvų (mėlynių) ar kraujavimas, turite nedelsdami pasakyti gydytojui.</w:t>
      </w:r>
    </w:p>
    <w:p w14:paraId="760515FE" w14:textId="77777777" w:rsidR="00E37B21" w:rsidRDefault="00E37B21" w:rsidP="00E37B21">
      <w:pPr>
        <w:spacing w:after="0" w:line="240" w:lineRule="auto"/>
        <w:rPr>
          <w:rFonts w:ascii="Times New Roman" w:eastAsia="Times New Roman" w:hAnsi="Times New Roman" w:cs="Times New Roman"/>
          <w:noProof w:val="0"/>
        </w:rPr>
      </w:pPr>
    </w:p>
    <w:p w14:paraId="1D75A3C1" w14:textId="316475B9" w:rsidR="00E37B21" w:rsidRPr="00D54FD9" w:rsidRDefault="00E37B21" w:rsidP="00E37B21">
      <w:pPr>
        <w:spacing w:after="0" w:line="240" w:lineRule="auto"/>
        <w:rPr>
          <w:rFonts w:ascii="Times New Roman" w:eastAsia="Times New Roman" w:hAnsi="Times New Roman" w:cs="Times New Roman"/>
          <w:noProof w:val="0"/>
        </w:rPr>
      </w:pPr>
      <w:r w:rsidRPr="00D54FD9">
        <w:rPr>
          <w:rFonts w:ascii="Times New Roman" w:eastAsia="Times New Roman" w:hAnsi="Times New Roman" w:cs="Times New Roman"/>
          <w:noProof w:val="0"/>
        </w:rPr>
        <w:t xml:space="preserve">Kepenų pažeidimas </w:t>
      </w:r>
    </w:p>
    <w:p w14:paraId="4517EB1F" w14:textId="77777777" w:rsidR="00E37B21" w:rsidRPr="00D54FD9" w:rsidRDefault="00E37B21" w:rsidP="00E37B21">
      <w:pPr>
        <w:spacing w:after="0" w:line="240" w:lineRule="auto"/>
        <w:rPr>
          <w:rFonts w:ascii="Times New Roman" w:eastAsia="Times New Roman" w:hAnsi="Times New Roman" w:cs="Times New Roman"/>
          <w:noProof w:val="0"/>
        </w:rPr>
      </w:pPr>
      <w:r w:rsidRPr="00D54FD9">
        <w:rPr>
          <w:rFonts w:ascii="Times New Roman" w:eastAsia="Times New Roman" w:hAnsi="Times New Roman" w:cs="Times New Roman"/>
          <w:noProof w:val="0"/>
        </w:rPr>
        <w:t>Gydymas Atsimutin gali turėti poveikį Jūsų kepenims, todėl Jūsų gydytojas nuolat atliks tyrimus Jūsų kepenų veiklai įvertinti. Pasakykite savo gydytojui, jeigu Jums pasireikštų kepenų pažeidimo simptomai (žr. 4 skyrių „Galimas šalutinis poveikis“).</w:t>
      </w:r>
    </w:p>
    <w:p w14:paraId="731D028E" w14:textId="77777777" w:rsidR="00E07ACB" w:rsidRPr="00E07ACB" w:rsidRDefault="00E07ACB" w:rsidP="00E07ACB">
      <w:pPr>
        <w:spacing w:after="0" w:line="240" w:lineRule="auto"/>
        <w:rPr>
          <w:rFonts w:ascii="Times New Roman" w:eastAsia="Times New Roman" w:hAnsi="Times New Roman" w:cs="Times New Roman"/>
          <w:noProof w:val="0"/>
        </w:rPr>
      </w:pPr>
    </w:p>
    <w:p w14:paraId="3AF7E74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Pasitarkite su gydytoju, prieš pradėdami vartoti Atsimutin:</w:t>
      </w:r>
    </w:p>
    <w:p w14:paraId="536FE1E9" w14:textId="77777777" w:rsidR="00E07ACB" w:rsidRPr="00E07ACB" w:rsidRDefault="00E07ACB" w:rsidP="00E07ACB">
      <w:pPr>
        <w:numPr>
          <w:ilvl w:val="0"/>
          <w:numId w:val="31"/>
        </w:numPr>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jeigu Jūs ketinate skiepytis, vartodami Atsimutin;</w:t>
      </w:r>
    </w:p>
    <w:p w14:paraId="063A890E" w14:textId="77777777" w:rsidR="00E07ACB" w:rsidRPr="00E07ACB" w:rsidRDefault="00E07ACB" w:rsidP="00E07ACB">
      <w:pPr>
        <w:numPr>
          <w:ilvl w:val="0"/>
          <w:numId w:val="18"/>
        </w:numPr>
        <w:tabs>
          <w:tab w:val="num" w:pos="540"/>
        </w:tabs>
        <w:spacing w:after="0" w:line="240" w:lineRule="auto"/>
        <w:ind w:left="540" w:hanging="540"/>
        <w:rPr>
          <w:rFonts w:ascii="Times New Roman" w:eastAsia="Times New Roman" w:hAnsi="Times New Roman" w:cs="Times New Roman"/>
          <w:noProof w:val="0"/>
        </w:rPr>
      </w:pPr>
      <w:r w:rsidRPr="00E07ACB">
        <w:rPr>
          <w:rFonts w:ascii="Times New Roman" w:eastAsia="Times New Roman" w:hAnsi="Times New Roman" w:cs="Times New Roman"/>
          <w:noProof w:val="0"/>
        </w:rPr>
        <w:t>jeigu Jums yra sutrikimas, kai organizmas gamina per mažai natūralios medžiagos tiopurino metiltransferazės (TPMT);</w:t>
      </w:r>
    </w:p>
    <w:p w14:paraId="0EA896A9" w14:textId="77777777" w:rsidR="00E07ACB" w:rsidRPr="00E07ACB" w:rsidRDefault="00E07ACB" w:rsidP="00E07ACB">
      <w:pPr>
        <w:numPr>
          <w:ilvl w:val="0"/>
          <w:numId w:val="18"/>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jeigu Jums yra nustatytas Lešo-Nyhano (</w:t>
      </w:r>
      <w:r w:rsidRPr="00E07ACB">
        <w:rPr>
          <w:rFonts w:ascii="Times New Roman" w:eastAsia="Times New Roman" w:hAnsi="Times New Roman" w:cs="Times New Roman"/>
          <w:i/>
          <w:noProof w:val="0"/>
        </w:rPr>
        <w:t>Lesch-Nyhan</w:t>
      </w:r>
      <w:r w:rsidRPr="00E07ACB">
        <w:rPr>
          <w:rFonts w:ascii="Times New Roman" w:eastAsia="Times New Roman" w:hAnsi="Times New Roman" w:cs="Times New Roman"/>
          <w:noProof w:val="0"/>
        </w:rPr>
        <w:t>) sindromas.</w:t>
      </w:r>
    </w:p>
    <w:p w14:paraId="74A88A30"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szCs w:val="24"/>
        </w:rPr>
      </w:pPr>
    </w:p>
    <w:p w14:paraId="00CA4781"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i/>
          <w:lang w:eastAsia="lt-LT"/>
        </w:rPr>
      </w:pPr>
      <w:r w:rsidRPr="00E07ACB">
        <w:rPr>
          <w:rFonts w:ascii="Times New Roman" w:eastAsia="Times New Roman" w:hAnsi="Times New Roman" w:cs="Times New Roman"/>
          <w:bCs/>
          <w:i/>
          <w:lang w:eastAsia="lt-LT"/>
        </w:rPr>
        <w:t>NUDT15 geno mutacija</w:t>
      </w:r>
    </w:p>
    <w:p w14:paraId="6B25E146"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lang w:eastAsia="lt-LT"/>
        </w:rPr>
      </w:pPr>
    </w:p>
    <w:p w14:paraId="27402A3A"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lang w:eastAsia="lt-LT"/>
        </w:rPr>
      </w:pPr>
      <w:r w:rsidRPr="00E07ACB">
        <w:rPr>
          <w:rFonts w:ascii="Times New Roman" w:eastAsia="Times New Roman" w:hAnsi="Times New Roman" w:cs="Times New Roman"/>
          <w:bCs/>
          <w:lang w:eastAsia="lt-LT"/>
        </w:rPr>
        <w:t>Jei turite įgimtą mutavusį NUDT15 geną (tai genas, dalyvaujantis skaidant Atsimutin organizme),</w:t>
      </w:r>
    </w:p>
    <w:p w14:paraId="63A0B262"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Cs/>
          <w:lang w:eastAsia="lt-LT"/>
        </w:rPr>
      </w:pPr>
      <w:r w:rsidRPr="00E07ACB">
        <w:rPr>
          <w:rFonts w:ascii="Times New Roman" w:eastAsia="Times New Roman" w:hAnsi="Times New Roman" w:cs="Times New Roman"/>
          <w:bCs/>
          <w:lang w:eastAsia="lt-LT"/>
        </w:rPr>
        <w:t>jums gresia didesnė infekcijų ir plaukų netekimo rizika, o jus gydantis gydytojas tokiu atveju gali</w:t>
      </w:r>
    </w:p>
    <w:p w14:paraId="26E84619" w14:textId="77777777" w:rsidR="00E07ACB" w:rsidRPr="00E07ACB" w:rsidRDefault="00E07ACB" w:rsidP="00E07ACB">
      <w:pPr>
        <w:spacing w:after="0" w:line="240" w:lineRule="auto"/>
        <w:rPr>
          <w:rFonts w:ascii="Times New Roman" w:eastAsia="Times New Roman" w:hAnsi="Times New Roman" w:cs="Times New Roman"/>
          <w:bCs/>
          <w:lang w:eastAsia="lt-LT"/>
        </w:rPr>
      </w:pPr>
      <w:r w:rsidRPr="00E07ACB">
        <w:rPr>
          <w:rFonts w:ascii="Times New Roman" w:eastAsia="Times New Roman" w:hAnsi="Times New Roman" w:cs="Times New Roman"/>
          <w:bCs/>
          <w:lang w:eastAsia="lt-LT"/>
        </w:rPr>
        <w:t>skirti mažesnę dozę.</w:t>
      </w:r>
    </w:p>
    <w:p w14:paraId="37D60785"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szCs w:val="24"/>
        </w:rPr>
      </w:pPr>
    </w:p>
    <w:p w14:paraId="28EB5C60"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Jeigu jums taikoma imunosupresinė terapija, vartojant Atsimutin, gali padidėti rizika susirgti: </w:t>
      </w:r>
    </w:p>
    <w:p w14:paraId="6843874B" w14:textId="77777777" w:rsidR="00E07ACB" w:rsidRPr="00E07ACB" w:rsidRDefault="00E07ACB" w:rsidP="00E07ACB">
      <w:pPr>
        <w:numPr>
          <w:ilvl w:val="0"/>
          <w:numId w:val="19"/>
        </w:numPr>
        <w:autoSpaceDE w:val="0"/>
        <w:autoSpaceDN w:val="0"/>
        <w:adjustRightInd w:val="0"/>
        <w:spacing w:after="0" w:line="240" w:lineRule="auto"/>
        <w:ind w:left="567" w:hanging="567"/>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navikinėmis ligomis, įskaitant odos vėžį. </w:t>
      </w:r>
      <w:r w:rsidRPr="00E07ACB">
        <w:rPr>
          <w:rFonts w:ascii="Times New Roman" w:eastAsia="Calibri" w:hAnsi="Times New Roman" w:cs="Times New Roman"/>
          <w:noProof w:val="0"/>
          <w:color w:val="000000"/>
          <w:szCs w:val="24"/>
        </w:rPr>
        <w:t>Todėl vartojant Atsimutin</w:t>
      </w:r>
      <w:r w:rsidRPr="00E07ACB">
        <w:rPr>
          <w:rFonts w:ascii="Times New Roman" w:eastAsia="Calibri" w:hAnsi="Times New Roman" w:cs="Times New Roman"/>
          <w:noProof w:val="0"/>
          <w:color w:val="000000"/>
        </w:rPr>
        <w:t>, reikėtų</w:t>
      </w:r>
      <w:r w:rsidRPr="00E07ACB">
        <w:rPr>
          <w:rFonts w:ascii="Times New Roman" w:eastAsia="Calibri" w:hAnsi="Times New Roman" w:cs="Times New Roman"/>
          <w:noProof w:val="0"/>
          <w:color w:val="000000"/>
          <w:szCs w:val="24"/>
        </w:rPr>
        <w:t xml:space="preserve"> vengti </w:t>
      </w:r>
      <w:r w:rsidRPr="00E07ACB">
        <w:rPr>
          <w:rFonts w:ascii="Times New Roman" w:eastAsia="Calibri" w:hAnsi="Times New Roman" w:cs="Times New Roman"/>
          <w:noProof w:val="0"/>
          <w:color w:val="000000"/>
        </w:rPr>
        <w:t>ilgai</w:t>
      </w:r>
      <w:r w:rsidRPr="00E07ACB">
        <w:rPr>
          <w:rFonts w:ascii="Times New Roman" w:eastAsia="Calibri" w:hAnsi="Times New Roman" w:cs="Times New Roman"/>
          <w:noProof w:val="0"/>
          <w:color w:val="000000"/>
          <w:szCs w:val="24"/>
        </w:rPr>
        <w:t xml:space="preserve"> būti </w:t>
      </w:r>
      <w:r w:rsidRPr="00E07ACB">
        <w:rPr>
          <w:rFonts w:ascii="Times New Roman" w:eastAsia="Calibri" w:hAnsi="Times New Roman" w:cs="Times New Roman"/>
          <w:noProof w:val="0"/>
          <w:color w:val="000000"/>
        </w:rPr>
        <w:t>saulėkaitoje, taip pat reikėtų dėvėti nuo saulės</w:t>
      </w:r>
      <w:r w:rsidRPr="00E07ACB">
        <w:rPr>
          <w:rFonts w:ascii="Times New Roman" w:eastAsia="Calibri" w:hAnsi="Times New Roman" w:cs="Times New Roman"/>
          <w:noProof w:val="0"/>
          <w:color w:val="000000"/>
          <w:szCs w:val="24"/>
        </w:rPr>
        <w:t xml:space="preserve"> spindulių </w:t>
      </w:r>
      <w:r w:rsidRPr="00E07ACB">
        <w:rPr>
          <w:rFonts w:ascii="Times New Roman" w:eastAsia="Calibri" w:hAnsi="Times New Roman" w:cs="Times New Roman"/>
          <w:noProof w:val="0"/>
          <w:color w:val="000000"/>
        </w:rPr>
        <w:t xml:space="preserve">apsaugančius drabužius ir vartoti apsaugos nuo saulės priemones, kurių apsaugos nuo saulės faktorius (SPF) yra didelis; </w:t>
      </w:r>
    </w:p>
    <w:p w14:paraId="01AA3FD6" w14:textId="77777777" w:rsidR="00E07ACB" w:rsidRPr="00E07ACB" w:rsidRDefault="00E07ACB" w:rsidP="00E07ACB">
      <w:pPr>
        <w:numPr>
          <w:ilvl w:val="0"/>
          <w:numId w:val="19"/>
        </w:numPr>
        <w:autoSpaceDE w:val="0"/>
        <w:autoSpaceDN w:val="0"/>
        <w:adjustRightInd w:val="0"/>
        <w:spacing w:after="0" w:line="240" w:lineRule="auto"/>
        <w:ind w:left="567" w:hanging="567"/>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limfoproliferaciniais sutrikimais: </w:t>
      </w:r>
    </w:p>
    <w:p w14:paraId="7B5FA452" w14:textId="77777777" w:rsidR="00E07ACB" w:rsidRPr="00E07ACB" w:rsidRDefault="00E07ACB" w:rsidP="00E07ACB">
      <w:pPr>
        <w:numPr>
          <w:ilvl w:val="0"/>
          <w:numId w:val="20"/>
        </w:numPr>
        <w:autoSpaceDE w:val="0"/>
        <w:autoSpaceDN w:val="0"/>
        <w:adjustRightInd w:val="0"/>
        <w:spacing w:after="0" w:line="240" w:lineRule="auto"/>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taikant gydymą Atsimutin, didėja rizika susirgti tam tikros formos vėžiu, vadinamu limfoproliferaciniu sutrikimu. Jeigu taikomas gydymas keliais imunosupresantais (įskaitant tiopurinus), tai gali sukelti mirtį; </w:t>
      </w:r>
    </w:p>
    <w:p w14:paraId="1F2FC4BE" w14:textId="77777777" w:rsidR="00E07ACB" w:rsidRPr="00E07ACB" w:rsidRDefault="00E07ACB" w:rsidP="00E07ACB">
      <w:pPr>
        <w:numPr>
          <w:ilvl w:val="0"/>
          <w:numId w:val="20"/>
        </w:numPr>
        <w:autoSpaceDE w:val="0"/>
        <w:autoSpaceDN w:val="0"/>
        <w:adjustRightInd w:val="0"/>
        <w:spacing w:after="0" w:line="240" w:lineRule="auto"/>
        <w:contextualSpacing/>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vienu metu vartojant kelis imunosupresantus, didėja virusinės infekcijos sukeliamų limfinės sistemos sutrikimų (Epštein-Baro viruso (EBV) sukeliamų limfoproliferacinių sutrikimų) rizika. </w:t>
      </w:r>
    </w:p>
    <w:p w14:paraId="069B8212"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color w:val="000000"/>
        </w:rPr>
      </w:pPr>
      <w:r w:rsidRPr="00E07ACB">
        <w:rPr>
          <w:rFonts w:ascii="Times New Roman" w:eastAsia="Calibri" w:hAnsi="Times New Roman" w:cs="Times New Roman"/>
          <w:noProof w:val="0"/>
          <w:color w:val="000000"/>
        </w:rPr>
        <w:t xml:space="preserve">Vartojant Atsimutin, gali padidėti rizika: </w:t>
      </w:r>
    </w:p>
    <w:p w14:paraId="16D9A63D" w14:textId="77777777" w:rsidR="00E07ACB" w:rsidRPr="00E07ACB" w:rsidRDefault="00E07ACB" w:rsidP="00E07ACB">
      <w:pPr>
        <w:numPr>
          <w:ilvl w:val="0"/>
          <w:numId w:val="21"/>
        </w:numPr>
        <w:autoSpaceDE w:val="0"/>
        <w:autoSpaceDN w:val="0"/>
        <w:adjustRightInd w:val="0"/>
        <w:spacing w:after="0" w:line="240" w:lineRule="auto"/>
        <w:ind w:left="567" w:hanging="567"/>
        <w:contextualSpacing/>
        <w:rPr>
          <w:rFonts w:ascii="Times New Roman" w:eastAsia="Calibri" w:hAnsi="Times New Roman" w:cs="Times New Roman"/>
          <w:noProof w:val="0"/>
          <w:color w:val="000000"/>
          <w:szCs w:val="24"/>
        </w:rPr>
      </w:pPr>
      <w:r w:rsidRPr="00E07ACB">
        <w:rPr>
          <w:rFonts w:ascii="Times New Roman" w:eastAsia="Calibri" w:hAnsi="Times New Roman" w:cs="Times New Roman"/>
          <w:noProof w:val="0"/>
          <w:color w:val="000000"/>
        </w:rPr>
        <w:t>susirgti rimta liga, vadinama makrofagų aktyvacijos sindromu (pernelyg stipriai aktyvinami su uždegimu siejami baltieji kraujo kūneliai), kuris paprastai pasireiškia pacientams, sergantiems tam tikrų rūšių artritu</w:t>
      </w:r>
      <w:r w:rsidRPr="00E07ACB">
        <w:rPr>
          <w:rFonts w:ascii="Times New Roman" w:eastAsia="Calibri" w:hAnsi="Times New Roman" w:cs="Times New Roman"/>
          <w:noProof w:val="0"/>
          <w:color w:val="000000"/>
          <w:szCs w:val="24"/>
        </w:rPr>
        <w:t xml:space="preserve">. </w:t>
      </w:r>
    </w:p>
    <w:p w14:paraId="36CB2064" w14:textId="77777777" w:rsidR="00E07ACB" w:rsidRPr="00E07ACB" w:rsidRDefault="00E07ACB" w:rsidP="00E07ACB">
      <w:pPr>
        <w:spacing w:after="0" w:line="240" w:lineRule="auto"/>
        <w:rPr>
          <w:rFonts w:ascii="Times New Roman" w:eastAsia="Times New Roman" w:hAnsi="Times New Roman" w:cs="Times New Roman"/>
          <w:noProof w:val="0"/>
        </w:rPr>
      </w:pPr>
    </w:p>
    <w:p w14:paraId="29A678F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Tabletę galima dalyti į lygias dozes. Jei tabletė yra padalinama pusiau, reikia vengti odos kontakto su tabletės dulkėmis arba nulaužtu plotu. Tablečių netraiškykite.</w:t>
      </w:r>
    </w:p>
    <w:p w14:paraId="727A7C81" w14:textId="77777777" w:rsidR="00E07ACB" w:rsidRPr="00E07ACB" w:rsidRDefault="00E07ACB" w:rsidP="00E07ACB">
      <w:pPr>
        <w:spacing w:after="0" w:line="240" w:lineRule="auto"/>
        <w:rPr>
          <w:rFonts w:ascii="Times New Roman" w:eastAsia="Times New Roman" w:hAnsi="Times New Roman" w:cs="Times New Roman"/>
          <w:noProof w:val="0"/>
        </w:rPr>
      </w:pPr>
    </w:p>
    <w:p w14:paraId="60076197" w14:textId="77777777" w:rsidR="00E07ACB" w:rsidRPr="00E07ACB" w:rsidRDefault="00E07ACB" w:rsidP="00E07ACB">
      <w:pPr>
        <w:spacing w:after="0" w:line="240" w:lineRule="auto"/>
        <w:rPr>
          <w:rFonts w:ascii="Times New Roman" w:eastAsia="Times New Roman" w:hAnsi="Times New Roman" w:cs="Times New Roman"/>
          <w:b/>
          <w:bCs/>
          <w:noProof w:val="0"/>
        </w:rPr>
      </w:pPr>
      <w:r w:rsidRPr="00E07ACB">
        <w:rPr>
          <w:rFonts w:ascii="Times New Roman" w:eastAsia="Times New Roman" w:hAnsi="Times New Roman" w:cs="Times New Roman"/>
          <w:b/>
          <w:bCs/>
          <w:noProof w:val="0"/>
        </w:rPr>
        <w:t>Kraujo tyrimai</w:t>
      </w:r>
    </w:p>
    <w:p w14:paraId="1637BA18" w14:textId="77777777" w:rsidR="00E07ACB" w:rsidRPr="00E07ACB" w:rsidRDefault="00E07ACB" w:rsidP="00E07ACB">
      <w:pPr>
        <w:spacing w:after="0" w:line="240" w:lineRule="auto"/>
        <w:rPr>
          <w:rFonts w:ascii="Times New Roman" w:eastAsia="Times New Roman" w:hAnsi="Times New Roman" w:cs="Times New Roman"/>
          <w:b/>
          <w:bCs/>
          <w:noProof w:val="0"/>
        </w:rPr>
      </w:pPr>
    </w:p>
    <w:p w14:paraId="72EAF53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Pirmas 8 gydymo savaites Jums reikės kas savaitę daryti kraujo tyrimus. Dažniau juos reikės daryti, jeigu:</w:t>
      </w:r>
    </w:p>
    <w:p w14:paraId="3ACD6E22"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esate senyvas;</w:t>
      </w:r>
    </w:p>
    <w:p w14:paraId="7606E8A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vartojate didelę vaisto dozę;</w:t>
      </w:r>
    </w:p>
    <w:p w14:paraId="0217B0B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sutrikusi Jūsų inkstų arba kepenų veikla;</w:t>
      </w:r>
    </w:p>
    <w:p w14:paraId="61E283B0"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yra sutrikusi Jūsų kaulų čiulpų veikla;</w:t>
      </w:r>
    </w:p>
    <w:p w14:paraId="49E2EDC7"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per daug aktyvi Jūsų blužnies veikla.</w:t>
      </w:r>
    </w:p>
    <w:p w14:paraId="21C8B8EC" w14:textId="77777777" w:rsidR="00E07ACB" w:rsidRPr="00E07ACB" w:rsidRDefault="00E07ACB" w:rsidP="00E07ACB">
      <w:pPr>
        <w:spacing w:after="0" w:line="240" w:lineRule="auto"/>
        <w:rPr>
          <w:rFonts w:ascii="Times New Roman" w:eastAsia="Times New Roman" w:hAnsi="Times New Roman" w:cs="Times New Roman"/>
          <w:noProof w:val="0"/>
        </w:rPr>
      </w:pPr>
    </w:p>
    <w:p w14:paraId="2C6AF01B" w14:textId="77777777" w:rsidR="00E07ACB" w:rsidRPr="00E07ACB" w:rsidRDefault="00E07ACB" w:rsidP="00E07ACB">
      <w:pPr>
        <w:autoSpaceDE w:val="0"/>
        <w:autoSpaceDN w:val="0"/>
        <w:adjustRightInd w:val="0"/>
        <w:spacing w:after="0" w:line="240" w:lineRule="auto"/>
        <w:rPr>
          <w:rFonts w:ascii="Times New Roman" w:eastAsia="Times New Roman" w:hAnsi="Times New Roman" w:cs="Times New Roman"/>
          <w:b/>
          <w:bCs/>
          <w:noProof w:val="0"/>
        </w:rPr>
      </w:pPr>
      <w:r w:rsidRPr="00E07ACB">
        <w:rPr>
          <w:rFonts w:ascii="Times New Roman" w:eastAsia="Times New Roman" w:hAnsi="Times New Roman" w:cs="Times New Roman"/>
          <w:noProof w:val="0"/>
        </w:rPr>
        <w:t>Būtina vartoti veiksmingą kontracepcijos formą (tokią kaip prezervatyvai), kadangi Atsimutin tabletės gali suketi apsigimimus, nesvarbu, ar azatioprino vartoja vyras, ar moteris.</w:t>
      </w:r>
    </w:p>
    <w:p w14:paraId="1D8A0265" w14:textId="77777777" w:rsidR="00E07ACB" w:rsidRPr="00E07ACB" w:rsidRDefault="00E07ACB" w:rsidP="00E07ACB">
      <w:pPr>
        <w:spacing w:after="0" w:line="240" w:lineRule="auto"/>
        <w:rPr>
          <w:rFonts w:ascii="Times New Roman" w:eastAsia="Times New Roman" w:hAnsi="Times New Roman" w:cs="Times New Roman"/>
          <w:noProof w:val="0"/>
        </w:rPr>
      </w:pPr>
    </w:p>
    <w:p w14:paraId="528A9436"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Perspėjimas</w:t>
      </w:r>
    </w:p>
    <w:p w14:paraId="2964CC50"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Atsimutin vartojimo nutraukimas visada turi būti atliekamas atidžiai stebint. Pasitarkite su gydytoju, prieš nutraukdami vaisto vartojimą.</w:t>
      </w:r>
    </w:p>
    <w:p w14:paraId="1AFED3BC" w14:textId="77777777" w:rsidR="00E07ACB" w:rsidRPr="00E07ACB" w:rsidRDefault="00E07ACB" w:rsidP="00E07ACB">
      <w:pPr>
        <w:spacing w:after="0" w:line="240" w:lineRule="auto"/>
        <w:rPr>
          <w:rFonts w:ascii="Times New Roman" w:eastAsia="Times New Roman" w:hAnsi="Times New Roman" w:cs="Times New Roman"/>
          <w:noProof w:val="0"/>
        </w:rPr>
      </w:pPr>
    </w:p>
    <w:p w14:paraId="3D0D8F64"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Kiti vaistai ir Atsimutin </w:t>
      </w:r>
    </w:p>
    <w:p w14:paraId="4C42BCB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vartojate arba neseniai vartojote kitų vaistų arba dėl to nesate tikri, apie tai pasakykite gydytojui arba vaistininkui. Jam svarbu pasakyti apie toliau išvardytų vaistų vartojimą. </w:t>
      </w:r>
    </w:p>
    <w:p w14:paraId="374F1DC3" w14:textId="50F33D57" w:rsidR="00E07ACB" w:rsidRPr="00E07ACB" w:rsidRDefault="00E07ACB" w:rsidP="003436DC">
      <w:pPr>
        <w:tabs>
          <w:tab w:val="left" w:pos="540"/>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Alopurinolis, oksipurinolis, tiopurinolis</w:t>
      </w:r>
      <w:r w:rsidR="00B46C78">
        <w:rPr>
          <w:rFonts w:ascii="Times New Roman" w:eastAsia="Times New Roman" w:hAnsi="Times New Roman" w:cs="Times New Roman"/>
          <w:noProof w:val="0"/>
        </w:rPr>
        <w:t xml:space="preserve"> ar kiti ksantinoksidazės inhibitoriai, tokie kaip febuksostatas </w:t>
      </w:r>
      <w:r w:rsidRPr="00E07ACB">
        <w:rPr>
          <w:rFonts w:ascii="Times New Roman" w:eastAsia="Times New Roman" w:hAnsi="Times New Roman" w:cs="Times New Roman"/>
          <w:noProof w:val="0"/>
        </w:rPr>
        <w:t xml:space="preserve"> (</w:t>
      </w:r>
      <w:r w:rsidR="00B46C78">
        <w:rPr>
          <w:rFonts w:ascii="Times New Roman" w:eastAsia="Times New Roman" w:hAnsi="Times New Roman" w:cs="Times New Roman"/>
          <w:noProof w:val="0"/>
        </w:rPr>
        <w:t>dažniausiai vartojami</w:t>
      </w:r>
      <w:r w:rsidRPr="00E07ACB">
        <w:rPr>
          <w:rFonts w:ascii="Times New Roman" w:eastAsia="Times New Roman" w:hAnsi="Times New Roman" w:cs="Times New Roman"/>
          <w:noProof w:val="0"/>
        </w:rPr>
        <w:t xml:space="preserve"> podagros</w:t>
      </w:r>
      <w:r w:rsidR="00B46C78">
        <w:rPr>
          <w:rFonts w:ascii="Times New Roman" w:eastAsia="Times New Roman" w:hAnsi="Times New Roman" w:cs="Times New Roman"/>
          <w:noProof w:val="0"/>
        </w:rPr>
        <w:t xml:space="preserve"> gydymui</w:t>
      </w:r>
      <w:r w:rsidRPr="00E07ACB">
        <w:rPr>
          <w:rFonts w:ascii="Times New Roman" w:eastAsia="Times New Roman" w:hAnsi="Times New Roman" w:cs="Times New Roman"/>
          <w:noProof w:val="0"/>
        </w:rPr>
        <w:t>).</w:t>
      </w:r>
    </w:p>
    <w:p w14:paraId="713594C8" w14:textId="70498898"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p>
    <w:p w14:paraId="2F99BFC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Kitokie imunosupresantai, pvz., ciklosporinas, takrolimuzas.</w:t>
      </w:r>
    </w:p>
    <w:p w14:paraId="385F30B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Infliksimabas (vaistas nuo Krono (</w:t>
      </w:r>
      <w:r w:rsidRPr="00E07ACB">
        <w:rPr>
          <w:rFonts w:ascii="Times New Roman" w:eastAsia="Times New Roman" w:hAnsi="Times New Roman" w:cs="Times New Roman"/>
          <w:i/>
          <w:noProof w:val="0"/>
        </w:rPr>
        <w:t>Crohn</w:t>
      </w:r>
      <w:r w:rsidRPr="00E07ACB">
        <w:rPr>
          <w:rFonts w:ascii="Times New Roman" w:eastAsia="Times New Roman" w:hAnsi="Times New Roman" w:cs="Times New Roman"/>
          <w:noProof w:val="0"/>
        </w:rPr>
        <w:t>) ligos).</w:t>
      </w:r>
    </w:p>
    <w:p w14:paraId="36DC231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Olsalazinas, mesalazinas, sulfasalazinas (vaistai nuo opinio kolito).</w:t>
      </w:r>
    </w:p>
    <w:p w14:paraId="363AD796"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Varfarinas ar fenprokumonas (kraują skystinantys vaistai).</w:t>
      </w:r>
    </w:p>
    <w:p w14:paraId="0A6D721B"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AKF inhibitoriai (vaistai nuo didelio kraujospūdžio ligos arba širdies nepakankamumo).</w:t>
      </w:r>
    </w:p>
    <w:p w14:paraId="23BF3CC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Trimetoprimas ir sulfametoksazolas (antimikrobiniai preparatai).</w:t>
      </w:r>
    </w:p>
    <w:p w14:paraId="7A8B0590"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Cimetidinas (vaistas nuo virškinimo trakto opų).</w:t>
      </w:r>
    </w:p>
    <w:p w14:paraId="426167C3"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Vaistai nuo vėžio bei kraujo ląstelių gamybą lėtinantys arba stabdantys vaistai.</w:t>
      </w:r>
    </w:p>
    <w:p w14:paraId="2DD686D2"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Furozemidas (šlapimo išskyrimą didinantis vaistas širdies nepakankamumui gydyti).</w:t>
      </w:r>
    </w:p>
    <w:p w14:paraId="19FEFE1C" w14:textId="47A092D2" w:rsidR="00E07ACB" w:rsidRDefault="00E07ACB" w:rsidP="00E07ACB">
      <w:pPr>
        <w:numPr>
          <w:ilvl w:val="1"/>
          <w:numId w:val="22"/>
        </w:numPr>
        <w:autoSpaceDE w:val="0"/>
        <w:autoSpaceDN w:val="0"/>
        <w:adjustRightInd w:val="0"/>
        <w:spacing w:after="0" w:line="240" w:lineRule="auto"/>
        <w:ind w:left="567" w:hanging="553"/>
        <w:rPr>
          <w:rFonts w:ascii="Times New Roman" w:eastAsia="Times New Roman" w:hAnsi="Times New Roman" w:cs="Times New Roman"/>
          <w:noProof w:val="0"/>
        </w:rPr>
      </w:pPr>
      <w:r w:rsidRPr="00E07ACB">
        <w:rPr>
          <w:rFonts w:ascii="Times New Roman" w:eastAsia="Times New Roman" w:hAnsi="Times New Roman" w:cs="Times New Roman"/>
          <w:noProof w:val="0"/>
        </w:rPr>
        <w:t>Bet kokių taip vadinamų „gyvųjų“ vakcinų.</w:t>
      </w:r>
    </w:p>
    <w:p w14:paraId="762D6C76" w14:textId="3D31C6FC" w:rsidR="00276D13" w:rsidRPr="00E07ACB" w:rsidRDefault="00276D13" w:rsidP="00E07ACB">
      <w:pPr>
        <w:numPr>
          <w:ilvl w:val="1"/>
          <w:numId w:val="22"/>
        </w:numPr>
        <w:autoSpaceDE w:val="0"/>
        <w:autoSpaceDN w:val="0"/>
        <w:adjustRightInd w:val="0"/>
        <w:spacing w:after="0" w:line="240" w:lineRule="auto"/>
        <w:ind w:left="567" w:hanging="553"/>
        <w:rPr>
          <w:rFonts w:ascii="Times New Roman" w:eastAsia="Times New Roman" w:hAnsi="Times New Roman" w:cs="Times New Roman"/>
          <w:noProof w:val="0"/>
        </w:rPr>
      </w:pPr>
      <w:r>
        <w:rPr>
          <w:rFonts w:ascii="Times New Roman" w:eastAsia="Times New Roman" w:hAnsi="Times New Roman" w:cs="Times New Roman"/>
          <w:noProof w:val="0"/>
        </w:rPr>
        <w:t>Prieš operaciją informuokite anesteziologą, kad esate gydomas azatioprinu, kadangi anestezijos metu vartojami raumenis atpalaiduojantys vaistai gali sąveikauti su azatioprinu.</w:t>
      </w:r>
    </w:p>
    <w:p w14:paraId="66672726" w14:textId="77777777" w:rsidR="00E07ACB" w:rsidRPr="00E07ACB" w:rsidRDefault="00E07ACB" w:rsidP="00E07ACB">
      <w:pPr>
        <w:spacing w:after="0" w:line="240" w:lineRule="auto"/>
        <w:rPr>
          <w:rFonts w:ascii="Times New Roman" w:eastAsia="Times New Roman" w:hAnsi="Times New Roman" w:cs="Times New Roman"/>
          <w:noProof w:val="0"/>
        </w:rPr>
      </w:pPr>
    </w:p>
    <w:p w14:paraId="1E55D8BD"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Nėštumas, žindymo laikotarpis ir vaisingumas</w:t>
      </w:r>
    </w:p>
    <w:p w14:paraId="5E688EC5"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w:t>
      </w:r>
    </w:p>
    <w:p w14:paraId="6C39F9AD"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072C4116"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esate nėščia, Atsimutin tablečių gerti negalima, išskyrus atvejus, kai vaisto vartoti skiria gydytojas. Vaisingo amžiaus vyrams ir moterims būtina naudotis kontraceptinėmis priemonėmis, kitokiomis nei prietaisai į gimdą (pvz., spiralė, Copper T). Jūs turite tęsti kontracepcijos priemonių naudojimą mažiausiai 3 mėn po gydymo Atsimutin nutraukimo.</w:t>
      </w:r>
    </w:p>
    <w:p w14:paraId="47C9975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Žindyti kūdikio Atsimutin vartojimo metu negalima, kadangi jo apykaitos produktai gali patekti į pieną ir pakenkti Jūsų vaikui.</w:t>
      </w:r>
    </w:p>
    <w:p w14:paraId="1BC10210" w14:textId="77777777" w:rsidR="00E07ACB" w:rsidRPr="00E07ACB" w:rsidRDefault="00E07ACB" w:rsidP="00E07ACB">
      <w:pPr>
        <w:spacing w:after="0" w:line="240" w:lineRule="auto"/>
        <w:rPr>
          <w:rFonts w:ascii="Times New Roman" w:eastAsia="Times New Roman" w:hAnsi="Times New Roman" w:cs="Times New Roman"/>
          <w:noProof w:val="0"/>
        </w:rPr>
      </w:pPr>
    </w:p>
    <w:p w14:paraId="5678DE8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Prieš vartojant bet kokį vaistą, būtina pasitarti su gydytoju arba vaistininku.</w:t>
      </w:r>
    </w:p>
    <w:p w14:paraId="75FDBC27" w14:textId="77777777" w:rsidR="00E07ACB" w:rsidRPr="00E07ACB" w:rsidRDefault="00E07ACB" w:rsidP="00E07ACB">
      <w:pPr>
        <w:spacing w:after="0" w:line="240" w:lineRule="auto"/>
        <w:rPr>
          <w:rFonts w:ascii="Times New Roman" w:eastAsia="Times New Roman" w:hAnsi="Times New Roman" w:cs="Times New Roman"/>
          <w:noProof w:val="0"/>
        </w:rPr>
      </w:pPr>
    </w:p>
    <w:p w14:paraId="22281F94"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Vairavimas ir mechanizmų valdymas</w:t>
      </w:r>
    </w:p>
    <w:p w14:paraId="78502A88"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Vairuoti ar valdyti mechanizmus vartojant Atsimutin yra saugu, išskyrus atvejus, kai jaučiate svaigulį. Alkoholis svaigulį gali sustiprinti, todėl negalima vairuoti arba valdyti mechanizmų, jeigu vartojote alkoholio. </w:t>
      </w:r>
    </w:p>
    <w:p w14:paraId="367CA555" w14:textId="77777777" w:rsidR="00E07ACB" w:rsidRPr="00E07ACB" w:rsidRDefault="00E07ACB" w:rsidP="00E07ACB">
      <w:pPr>
        <w:spacing w:after="0" w:line="240" w:lineRule="auto"/>
        <w:rPr>
          <w:rFonts w:ascii="Times New Roman" w:eastAsia="Times New Roman" w:hAnsi="Times New Roman" w:cs="Times New Roman"/>
          <w:noProof w:val="0"/>
        </w:rPr>
      </w:pPr>
    </w:p>
    <w:p w14:paraId="66DF8684"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Atsimutin sudėtyje yra laktozės</w:t>
      </w:r>
    </w:p>
    <w:p w14:paraId="28387196"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
    <w:p w14:paraId="186A5618" w14:textId="77777777" w:rsidR="00E07ACB" w:rsidRPr="00E07ACB" w:rsidRDefault="00E07ACB" w:rsidP="00E07ACB">
      <w:pPr>
        <w:spacing w:after="0" w:line="240" w:lineRule="auto"/>
        <w:rPr>
          <w:rFonts w:ascii="Times New Roman" w:eastAsia="Times New Roman" w:hAnsi="Times New Roman" w:cs="Times New Roman"/>
          <w:noProof w:val="0"/>
        </w:rPr>
      </w:pPr>
    </w:p>
    <w:p w14:paraId="66904314" w14:textId="77777777" w:rsidR="00967B5C" w:rsidRDefault="00967B5C" w:rsidP="00967B5C">
      <w:pPr>
        <w:spacing w:after="0" w:line="240" w:lineRule="auto"/>
        <w:rPr>
          <w:rFonts w:ascii="Times New Roman" w:eastAsia="Times New Roman" w:hAnsi="Times New Roman" w:cs="Times New Roman"/>
          <w:b/>
          <w:bCs/>
          <w:noProof w:val="0"/>
        </w:rPr>
      </w:pPr>
      <w:r>
        <w:rPr>
          <w:rFonts w:ascii="Times New Roman" w:eastAsia="Times New Roman" w:hAnsi="Times New Roman" w:cs="Times New Roman"/>
          <w:b/>
          <w:bCs/>
          <w:noProof w:val="0"/>
        </w:rPr>
        <w:t>Natris</w:t>
      </w:r>
    </w:p>
    <w:p w14:paraId="476A55CB" w14:textId="12770434" w:rsidR="00967B5C" w:rsidRDefault="00967B5C" w:rsidP="00967B5C">
      <w:pPr>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Vienoje šio vaistinio preparato tabletėje yra mažiau kaip 1 mmol (23 mg) natrio, t.</w:t>
      </w:r>
      <w:r w:rsidR="009806D9">
        <w:rPr>
          <w:rFonts w:ascii="Times New Roman" w:eastAsia="Times New Roman" w:hAnsi="Times New Roman" w:cs="Times New Roman"/>
          <w:noProof w:val="0"/>
        </w:rPr>
        <w:t> </w:t>
      </w:r>
      <w:r>
        <w:rPr>
          <w:rFonts w:ascii="Times New Roman" w:eastAsia="Times New Roman" w:hAnsi="Times New Roman" w:cs="Times New Roman"/>
          <w:noProof w:val="0"/>
        </w:rPr>
        <w:t>y. jis beveik neturi reikšmės.</w:t>
      </w:r>
    </w:p>
    <w:p w14:paraId="42759EF3" w14:textId="77777777" w:rsidR="00E07ACB" w:rsidRPr="00E07ACB" w:rsidRDefault="00E07ACB" w:rsidP="00E07ACB">
      <w:pPr>
        <w:spacing w:after="0" w:line="240" w:lineRule="auto"/>
        <w:rPr>
          <w:rFonts w:ascii="Times New Roman" w:eastAsia="Times New Roman" w:hAnsi="Times New Roman" w:cs="Times New Roman"/>
          <w:noProof w:val="0"/>
        </w:rPr>
      </w:pPr>
    </w:p>
    <w:p w14:paraId="355FAE03"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noProof w:val="0"/>
        </w:rPr>
        <w:t>3.</w:t>
      </w:r>
      <w:r w:rsidRPr="00E07ACB">
        <w:rPr>
          <w:rFonts w:ascii="Times New Roman" w:eastAsia="Times New Roman" w:hAnsi="Times New Roman" w:cs="Times New Roman"/>
          <w:b/>
          <w:noProof w:val="0"/>
        </w:rPr>
        <w:tab/>
        <w:t>Kaip vartoti Atsimutin</w:t>
      </w:r>
    </w:p>
    <w:p w14:paraId="32A38BD9" w14:textId="77777777" w:rsidR="00E07ACB" w:rsidRPr="00E07ACB" w:rsidRDefault="00E07ACB" w:rsidP="00E07ACB">
      <w:pPr>
        <w:spacing w:after="0" w:line="240" w:lineRule="auto"/>
        <w:rPr>
          <w:rFonts w:ascii="Times New Roman" w:eastAsia="Times New Roman" w:hAnsi="Times New Roman" w:cs="Times New Roman"/>
          <w:noProof w:val="0"/>
        </w:rPr>
      </w:pPr>
    </w:p>
    <w:p w14:paraId="4738C6BE"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Visada vartokite šį vaistą tiksliai kaip nurodė gydytojas. Jeigu abejojate, kreipkitės į gydytoją arba vaistininką. </w:t>
      </w:r>
    </w:p>
    <w:p w14:paraId="682D48BA" w14:textId="77777777" w:rsidR="00E07ACB" w:rsidRPr="00E07ACB" w:rsidRDefault="00E07ACB" w:rsidP="00E07ACB">
      <w:pPr>
        <w:spacing w:after="0" w:line="240" w:lineRule="auto"/>
        <w:rPr>
          <w:rFonts w:ascii="Times New Roman" w:eastAsia="Times New Roman" w:hAnsi="Times New Roman" w:cs="Times New Roman"/>
          <w:noProof w:val="0"/>
        </w:rPr>
      </w:pPr>
    </w:p>
    <w:p w14:paraId="2C4C026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Plėvele dengtos tabletės turi būti vartojamos valgio metu, užsigeriant stikline vandens.</w:t>
      </w:r>
    </w:p>
    <w:p w14:paraId="7B0411E9" w14:textId="77777777" w:rsidR="00E07ACB" w:rsidRPr="00E07ACB" w:rsidRDefault="00E07ACB" w:rsidP="00E07ACB">
      <w:pPr>
        <w:spacing w:after="0" w:line="240" w:lineRule="auto"/>
        <w:rPr>
          <w:rFonts w:ascii="Times New Roman" w:eastAsia="Times New Roman" w:hAnsi="Times New Roman" w:cs="Times New Roman"/>
          <w:noProof w:val="0"/>
        </w:rPr>
      </w:pPr>
    </w:p>
    <w:p w14:paraId="66300D34" w14:textId="77777777" w:rsidR="00E07ACB" w:rsidRPr="00E07ACB" w:rsidRDefault="00E07ACB" w:rsidP="00E07ACB">
      <w:pPr>
        <w:spacing w:after="0" w:line="240" w:lineRule="auto"/>
        <w:rPr>
          <w:rFonts w:ascii="Times New Roman" w:eastAsia="Times New Roman" w:hAnsi="Times New Roman" w:cs="Times New Roman"/>
          <w:b/>
          <w:bCs/>
          <w:iCs/>
          <w:noProof w:val="0"/>
        </w:rPr>
      </w:pPr>
      <w:r w:rsidRPr="00E07ACB">
        <w:rPr>
          <w:rFonts w:ascii="Times New Roman" w:eastAsia="Times New Roman" w:hAnsi="Times New Roman" w:cs="Times New Roman"/>
          <w:b/>
          <w:bCs/>
          <w:iCs/>
          <w:noProof w:val="0"/>
        </w:rPr>
        <w:t>Dozavimas</w:t>
      </w:r>
    </w:p>
    <w:p w14:paraId="5C7783F1" w14:textId="77777777" w:rsidR="00E07ACB" w:rsidRPr="00E07ACB" w:rsidRDefault="00E07ACB" w:rsidP="00E07ACB">
      <w:pPr>
        <w:spacing w:after="0" w:line="240" w:lineRule="auto"/>
        <w:rPr>
          <w:rFonts w:ascii="Times New Roman" w:eastAsia="Times New Roman" w:hAnsi="Times New Roman" w:cs="Times New Roman"/>
          <w:b/>
          <w:noProof w:val="0"/>
        </w:rPr>
      </w:pPr>
    </w:p>
    <w:p w14:paraId="700D9EA6"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Pacientams po organo persodinimo</w:t>
      </w:r>
    </w:p>
    <w:p w14:paraId="558C27E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lastRenderedPageBreak/>
        <w:t xml:space="preserve">Įprastinė pirmos paros dozė yra iki 5 mg/kg kūno svorio, tolesnė paros dozė </w:t>
      </w:r>
      <w:r w:rsidRPr="00E07ACB">
        <w:rPr>
          <w:rFonts w:ascii="Times New Roman" w:eastAsia="Times New Roman" w:hAnsi="Times New Roman" w:cs="Times New Roman"/>
          <w:noProof w:val="0"/>
        </w:rPr>
        <w:sym w:font="Symbol" w:char="F02D"/>
      </w:r>
      <w:r w:rsidRPr="00E07ACB">
        <w:rPr>
          <w:rFonts w:ascii="Times New Roman" w:eastAsia="Times New Roman" w:hAnsi="Times New Roman" w:cs="Times New Roman"/>
          <w:noProof w:val="0"/>
        </w:rPr>
        <w:t xml:space="preserve"> 1 – 4 mg/kg kūno svorio. </w:t>
      </w:r>
    </w:p>
    <w:p w14:paraId="7CE4EFBC" w14:textId="77777777" w:rsidR="00E07ACB" w:rsidRPr="00E07ACB" w:rsidRDefault="00E07ACB" w:rsidP="00E07ACB">
      <w:pPr>
        <w:spacing w:after="0" w:line="240" w:lineRule="auto"/>
        <w:rPr>
          <w:rFonts w:ascii="Times New Roman" w:eastAsia="Times New Roman" w:hAnsi="Times New Roman" w:cs="Times New Roman"/>
          <w:noProof w:val="0"/>
        </w:rPr>
      </w:pPr>
    </w:p>
    <w:p w14:paraId="75CDFF6C"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Kitos būklės</w:t>
      </w:r>
    </w:p>
    <w:p w14:paraId="7ACCC37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Įprastinė paros dozė yra 1 – 3 mg/kg kūno svorio. </w:t>
      </w:r>
    </w:p>
    <w:p w14:paraId="1C72FE4D" w14:textId="77777777" w:rsidR="00E07ACB" w:rsidRPr="00E07ACB" w:rsidRDefault="00E07ACB" w:rsidP="00E07ACB">
      <w:pPr>
        <w:spacing w:after="0" w:line="240" w:lineRule="auto"/>
        <w:rPr>
          <w:rFonts w:ascii="Times New Roman" w:eastAsia="Times New Roman" w:hAnsi="Times New Roman" w:cs="Times New Roman"/>
          <w:noProof w:val="0"/>
        </w:rPr>
      </w:pPr>
    </w:p>
    <w:p w14:paraId="02929CA1"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Vartojimas vaikams ir paaugliams</w:t>
      </w:r>
    </w:p>
    <w:p w14:paraId="4D8F78F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Nerekomenduojama vartoti Atsimutin tablečių vaikams, jaunesniems kaip 18 metų jaunatviniam lėtiniam artritui, sisteminei raudonajai vilkligei, dermatomiozitui ir mazginiam poliarteritui gydyti dėl nepakankamų tyrimų duomenų.</w:t>
      </w:r>
    </w:p>
    <w:p w14:paraId="1421A46F" w14:textId="77777777" w:rsidR="00E07ACB" w:rsidRPr="00E07ACB" w:rsidRDefault="00E07ACB" w:rsidP="00E07ACB">
      <w:pPr>
        <w:spacing w:after="0" w:line="240" w:lineRule="auto"/>
        <w:rPr>
          <w:rFonts w:ascii="Times New Roman" w:eastAsia="Times New Roman" w:hAnsi="Times New Roman" w:cs="Times New Roman"/>
          <w:noProof w:val="0"/>
        </w:rPr>
      </w:pPr>
    </w:p>
    <w:p w14:paraId="69ADFFFA"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Kitos indikacijos ir joms vartojamos dozės tinka tiek vaikams ir paaugliams, tiek suaugusiems pacientams.</w:t>
      </w:r>
    </w:p>
    <w:p w14:paraId="534208DD" w14:textId="77777777" w:rsidR="00E07ACB" w:rsidRPr="00E07ACB" w:rsidRDefault="00E07ACB" w:rsidP="00E07ACB">
      <w:pPr>
        <w:spacing w:after="0" w:line="240" w:lineRule="auto"/>
        <w:rPr>
          <w:rFonts w:ascii="Times New Roman" w:eastAsia="Times New Roman" w:hAnsi="Times New Roman" w:cs="Times New Roman"/>
          <w:noProof w:val="0"/>
        </w:rPr>
      </w:pPr>
    </w:p>
    <w:p w14:paraId="275AE778"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noProof w:val="0"/>
          <w:u w:val="single"/>
        </w:rPr>
        <w:t>Senyviems pacientams</w:t>
      </w:r>
    </w:p>
    <w:p w14:paraId="656EB09F"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Senyviems pacientams gali reikėti mažesnės dozės.</w:t>
      </w:r>
    </w:p>
    <w:p w14:paraId="627AAF48" w14:textId="77777777" w:rsidR="00E07ACB" w:rsidRPr="00E07ACB" w:rsidRDefault="00E07ACB" w:rsidP="00E07ACB">
      <w:pPr>
        <w:spacing w:after="0" w:line="240" w:lineRule="auto"/>
        <w:rPr>
          <w:rFonts w:ascii="Times New Roman" w:eastAsia="Times New Roman" w:hAnsi="Times New Roman" w:cs="Times New Roman"/>
          <w:noProof w:val="0"/>
        </w:rPr>
      </w:pPr>
    </w:p>
    <w:p w14:paraId="17A3501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u w:val="single"/>
        </w:rPr>
        <w:t>Pacientams, kurių inkstų ar kepenų funkcija sutrikusi</w:t>
      </w:r>
      <w:r w:rsidRPr="00E07ACB">
        <w:rPr>
          <w:rFonts w:ascii="Times New Roman" w:eastAsia="Times New Roman" w:hAnsi="Times New Roman" w:cs="Times New Roman"/>
          <w:noProof w:val="0"/>
        </w:rPr>
        <w:t xml:space="preserve"> </w:t>
      </w:r>
    </w:p>
    <w:p w14:paraId="6F449AFB"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Pacientams, kurių inkstų ar kepenų funkcija sutrikusi, gali reikėti mažesnės dozės. Pacientams, kurių kepenų funkcija sutrikusi stipriai, Atsimutin vartoti draudžiama.</w:t>
      </w:r>
    </w:p>
    <w:p w14:paraId="35FA8F76" w14:textId="77777777" w:rsidR="00E07ACB" w:rsidRPr="00E07ACB" w:rsidRDefault="00E07ACB" w:rsidP="00E07ACB">
      <w:pPr>
        <w:spacing w:after="0" w:line="240" w:lineRule="auto"/>
        <w:rPr>
          <w:rFonts w:ascii="Times New Roman" w:eastAsia="Times New Roman" w:hAnsi="Times New Roman" w:cs="Times New Roman"/>
          <w:noProof w:val="0"/>
        </w:rPr>
      </w:pPr>
    </w:p>
    <w:p w14:paraId="685E7A81"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Gydymo Atsimutin trukmę nustato gydytojas. Jeigu manote, kad Atsimutin veikia per stipriai arba per silpnai, kreipkitės į gydytoją.</w:t>
      </w:r>
    </w:p>
    <w:p w14:paraId="0B8EA280" w14:textId="77777777" w:rsidR="00E07ACB" w:rsidRPr="00E07ACB" w:rsidRDefault="00E07ACB" w:rsidP="00E07ACB">
      <w:pPr>
        <w:spacing w:after="0" w:line="240" w:lineRule="auto"/>
        <w:rPr>
          <w:rFonts w:ascii="Times New Roman" w:eastAsia="Times New Roman" w:hAnsi="Times New Roman" w:cs="Times New Roman"/>
          <w:b/>
          <w:noProof w:val="0"/>
        </w:rPr>
      </w:pPr>
    </w:p>
    <w:p w14:paraId="79FCB0BC"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Pavartojus per didelę Atsimutin dozę</w:t>
      </w:r>
    </w:p>
    <w:p w14:paraId="6E150AE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Nedelsdami susisiekite su savo gydytoju, vaistininku arba vykite į artimiausios ligoninės skubios medicinos pagalbos skyrių.</w:t>
      </w:r>
    </w:p>
    <w:p w14:paraId="384FAA90" w14:textId="77777777" w:rsidR="00E07ACB" w:rsidRPr="00E07ACB" w:rsidRDefault="00E07ACB" w:rsidP="00E07ACB">
      <w:pPr>
        <w:spacing w:after="0" w:line="240" w:lineRule="auto"/>
        <w:rPr>
          <w:rFonts w:ascii="Times New Roman" w:eastAsia="Times New Roman" w:hAnsi="Times New Roman" w:cs="Times New Roman"/>
          <w:noProof w:val="0"/>
        </w:rPr>
      </w:pPr>
    </w:p>
    <w:p w14:paraId="634F3924"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Jeigu kiltų daugiau klausimų dėl šio vaisto vartojimo, kreipkitės į gydytoją arba vaistininką.</w:t>
      </w:r>
    </w:p>
    <w:p w14:paraId="71500A51" w14:textId="77777777" w:rsidR="00E07ACB" w:rsidRPr="00E07ACB" w:rsidRDefault="00E07ACB" w:rsidP="00E07ACB">
      <w:pPr>
        <w:spacing w:after="0" w:line="240" w:lineRule="auto"/>
        <w:rPr>
          <w:rFonts w:ascii="Times New Roman" w:eastAsia="Times New Roman" w:hAnsi="Times New Roman" w:cs="Times New Roman"/>
          <w:noProof w:val="0"/>
        </w:rPr>
      </w:pPr>
    </w:p>
    <w:p w14:paraId="26A8C960" w14:textId="77777777" w:rsidR="00E07ACB" w:rsidRPr="00E07ACB" w:rsidRDefault="00E07ACB" w:rsidP="00E07ACB">
      <w:pPr>
        <w:spacing w:after="0" w:line="240" w:lineRule="auto"/>
        <w:rPr>
          <w:rFonts w:ascii="Times New Roman" w:eastAsia="Times New Roman" w:hAnsi="Times New Roman" w:cs="Times New Roman"/>
          <w:noProof w:val="0"/>
        </w:rPr>
      </w:pPr>
    </w:p>
    <w:p w14:paraId="34423CC5" w14:textId="77777777" w:rsidR="00E07ACB" w:rsidRPr="00E07ACB" w:rsidRDefault="00E07ACB" w:rsidP="00E07ACB">
      <w:pPr>
        <w:tabs>
          <w:tab w:val="left" w:pos="540"/>
        </w:tabs>
        <w:spacing w:after="0" w:line="240" w:lineRule="auto"/>
        <w:rPr>
          <w:rFonts w:ascii="Times New Roman" w:eastAsia="Times New Roman" w:hAnsi="Times New Roman" w:cs="Times New Roman"/>
          <w:b/>
          <w:caps/>
          <w:noProof w:val="0"/>
        </w:rPr>
      </w:pPr>
      <w:r w:rsidRPr="00E07ACB">
        <w:rPr>
          <w:rFonts w:ascii="Times New Roman" w:eastAsia="Times New Roman" w:hAnsi="Times New Roman" w:cs="Times New Roman"/>
          <w:b/>
          <w:caps/>
          <w:noProof w:val="0"/>
        </w:rPr>
        <w:t>4.</w:t>
      </w:r>
      <w:r w:rsidRPr="00E07ACB">
        <w:rPr>
          <w:rFonts w:ascii="Times New Roman" w:eastAsia="Times New Roman" w:hAnsi="Times New Roman" w:cs="Times New Roman"/>
          <w:b/>
          <w:caps/>
          <w:noProof w:val="0"/>
        </w:rPr>
        <w:tab/>
      </w:r>
      <w:r w:rsidRPr="00E07ACB">
        <w:rPr>
          <w:rFonts w:ascii="Times New Roman" w:eastAsia="Times New Roman" w:hAnsi="Times New Roman" w:cs="Times New Roman"/>
          <w:b/>
          <w:noProof w:val="0"/>
        </w:rPr>
        <w:t>Galimas šalutinis poveikis</w:t>
      </w:r>
    </w:p>
    <w:p w14:paraId="6C2223AF" w14:textId="77777777" w:rsidR="00E07ACB" w:rsidRPr="00E07ACB" w:rsidRDefault="00E07ACB" w:rsidP="00E07ACB">
      <w:pPr>
        <w:spacing w:after="0" w:line="240" w:lineRule="auto"/>
        <w:rPr>
          <w:rFonts w:ascii="Times New Roman" w:eastAsia="Times New Roman" w:hAnsi="Times New Roman" w:cs="Times New Roman"/>
          <w:noProof w:val="0"/>
        </w:rPr>
      </w:pPr>
    </w:p>
    <w:p w14:paraId="74BFF3C5"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Šis vaistas, kaip ir visi kiti, gali sukelti šalutinį poveikį, nors jis pasireiškia ne visiems žmonėms.</w:t>
      </w:r>
    </w:p>
    <w:p w14:paraId="02F7CEDF" w14:textId="77777777" w:rsidR="00E07ACB" w:rsidRPr="00E07ACB" w:rsidRDefault="00E07ACB" w:rsidP="00E07ACB">
      <w:pPr>
        <w:spacing w:after="0" w:line="240" w:lineRule="auto"/>
        <w:rPr>
          <w:rFonts w:ascii="Times New Roman" w:eastAsia="Times New Roman" w:hAnsi="Times New Roman" w:cs="Times New Roman"/>
          <w:noProof w:val="0"/>
        </w:rPr>
      </w:pPr>
    </w:p>
    <w:p w14:paraId="6AAD7CA7" w14:textId="77777777" w:rsidR="00E07ACB" w:rsidRPr="00E07ACB" w:rsidRDefault="00E07ACB" w:rsidP="00E07ACB">
      <w:pPr>
        <w:spacing w:after="0" w:line="240" w:lineRule="auto"/>
        <w:rPr>
          <w:rFonts w:ascii="Times New Roman" w:eastAsia="Times New Roman" w:hAnsi="Times New Roman" w:cs="Times New Roman"/>
          <w:noProof w:val="0"/>
        </w:rPr>
      </w:pPr>
    </w:p>
    <w:p w14:paraId="1C940BC1"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Jeigu staiga atsiranda švokštimas, tampa sunku kvėpuoti, patinsta akių vokai, veidas ar lūpos, pasireiškia išbėrimas arba niežulys, ypač apimantis visą kūną, nedelsiant kreipkitės į gydytoją.</w:t>
      </w:r>
    </w:p>
    <w:p w14:paraId="7693B2F7" w14:textId="77777777" w:rsidR="00E07ACB" w:rsidRPr="00E07ACB" w:rsidRDefault="00E07ACB" w:rsidP="00E07ACB">
      <w:pPr>
        <w:spacing w:after="0" w:line="240" w:lineRule="auto"/>
        <w:rPr>
          <w:rFonts w:ascii="Times New Roman" w:eastAsia="Times New Roman" w:hAnsi="Times New Roman" w:cs="Times New Roman"/>
          <w:noProof w:val="0"/>
        </w:rPr>
      </w:pPr>
    </w:p>
    <w:p w14:paraId="1B45B55A"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Sunkūs šalutiniai poveikiai</w:t>
      </w:r>
    </w:p>
    <w:p w14:paraId="5C4B0ED7" w14:textId="16357DE2"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Jeigu pasireišk</w:t>
      </w:r>
      <w:r w:rsidR="00B03490">
        <w:rPr>
          <w:rFonts w:ascii="Times New Roman" w:eastAsia="Times New Roman" w:hAnsi="Times New Roman" w:cs="Times New Roman"/>
          <w:b/>
          <w:noProof w:val="0"/>
        </w:rPr>
        <w:t>tų</w:t>
      </w:r>
      <w:r w:rsidRPr="00E07ACB">
        <w:rPr>
          <w:rFonts w:ascii="Times New Roman" w:eastAsia="Times New Roman" w:hAnsi="Times New Roman" w:cs="Times New Roman"/>
          <w:b/>
          <w:noProof w:val="0"/>
        </w:rPr>
        <w:t xml:space="preserve"> toliau išvardyti poveikiai, nedelsdami </w:t>
      </w:r>
      <w:r w:rsidR="00B03490">
        <w:rPr>
          <w:rFonts w:ascii="Times New Roman" w:eastAsia="Times New Roman" w:hAnsi="Times New Roman" w:cs="Times New Roman"/>
          <w:b/>
          <w:noProof w:val="0"/>
        </w:rPr>
        <w:t xml:space="preserve">pasitarkite su savo </w:t>
      </w:r>
      <w:r w:rsidRPr="00E07ACB">
        <w:rPr>
          <w:rFonts w:ascii="Times New Roman" w:eastAsia="Times New Roman" w:hAnsi="Times New Roman" w:cs="Times New Roman"/>
          <w:b/>
          <w:noProof w:val="0"/>
        </w:rPr>
        <w:t>gydytoj</w:t>
      </w:r>
      <w:r w:rsidR="00B03490">
        <w:rPr>
          <w:rFonts w:ascii="Times New Roman" w:eastAsia="Times New Roman" w:hAnsi="Times New Roman" w:cs="Times New Roman"/>
          <w:b/>
          <w:noProof w:val="0"/>
        </w:rPr>
        <w:t>u arba vykite į ligoninę</w:t>
      </w:r>
      <w:r w:rsidR="00CE6FF6">
        <w:rPr>
          <w:rFonts w:ascii="Times New Roman" w:eastAsia="Times New Roman" w:hAnsi="Times New Roman" w:cs="Times New Roman"/>
          <w:b/>
          <w:noProof w:val="0"/>
        </w:rPr>
        <w:t>, kadangi Jums gali būti reikalingas skubus gydymas</w:t>
      </w:r>
      <w:r w:rsidRPr="00E07ACB">
        <w:rPr>
          <w:rFonts w:ascii="Times New Roman" w:eastAsia="Times New Roman" w:hAnsi="Times New Roman" w:cs="Times New Roman"/>
          <w:b/>
          <w:noProof w:val="0"/>
        </w:rPr>
        <w:t>:</w:t>
      </w:r>
    </w:p>
    <w:p w14:paraId="46854371"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stiprus vėmimas;</w:t>
      </w:r>
    </w:p>
    <w:p w14:paraId="01793121"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viduriavimas;</w:t>
      </w:r>
    </w:p>
    <w:p w14:paraId="215E61C2"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karščiavimas, šaltkrėtis;</w:t>
      </w:r>
    </w:p>
    <w:p w14:paraId="3CD90DBE"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raumenų ar kaulų skausmas, raumenų stingulys;</w:t>
      </w:r>
    </w:p>
    <w:p w14:paraId="6DF11530"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nuovargis, svaigulys;</w:t>
      </w:r>
    </w:p>
    <w:p w14:paraId="54C6CED1" w14:textId="77777777" w:rsidR="00E07ACB" w:rsidRPr="00E07ACB" w:rsidRDefault="00E07ACB" w:rsidP="00E07ACB">
      <w:pPr>
        <w:numPr>
          <w:ilvl w:val="1"/>
          <w:numId w:val="23"/>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kraujagyslių uždegimas;</w:t>
      </w:r>
    </w:p>
    <w:p w14:paraId="69F915D8" w14:textId="576E8769" w:rsidR="00E07ACB" w:rsidRPr="00E07ACB" w:rsidRDefault="00E07ACB" w:rsidP="00E07ACB">
      <w:pPr>
        <w:numPr>
          <w:ilvl w:val="1"/>
          <w:numId w:val="23"/>
        </w:numPr>
        <w:tabs>
          <w:tab w:val="left" w:pos="567"/>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inkstų veiklos sutrikimas (jo simptomai gali būti išskiriamo šlapimo kiekio ir spalvos pokytis)</w:t>
      </w:r>
      <w:r w:rsidR="003F4047">
        <w:rPr>
          <w:rFonts w:ascii="Times New Roman" w:eastAsia="Times New Roman" w:hAnsi="Times New Roman" w:cs="Times New Roman"/>
          <w:noProof w:val="0"/>
        </w:rPr>
        <w:t>;</w:t>
      </w:r>
    </w:p>
    <w:p w14:paraId="36494811" w14:textId="77777777" w:rsidR="003F4047" w:rsidRDefault="003F4047" w:rsidP="003F4047">
      <w:pPr>
        <w:numPr>
          <w:ilvl w:val="1"/>
          <w:numId w:val="23"/>
        </w:numPr>
        <w:spacing w:after="0" w:line="240" w:lineRule="auto"/>
        <w:ind w:left="567" w:hanging="567"/>
        <w:contextualSpacing/>
        <w:rPr>
          <w:rFonts w:ascii="Times New Roman" w:eastAsia="Times New Roman" w:hAnsi="Times New Roman" w:cs="Times New Roman"/>
          <w:noProof w:val="0"/>
        </w:rPr>
      </w:pPr>
      <w:r>
        <w:rPr>
          <w:rFonts w:ascii="Times New Roman" w:eastAsia="Times New Roman" w:hAnsi="Times New Roman" w:cs="Times New Roman"/>
          <w:noProof w:val="0"/>
        </w:rPr>
        <w:t>gali pasireikšti išbėrimas (skausmingi raudoni, rausvi ar violetiniai gumbai), ypač ant Jūsų rankų, plaštakų, pirštų, veido ir kaklo, kuris gali pasireikšti su karščiavimu (Svyto [</w:t>
      </w:r>
      <w:r w:rsidRPr="00CA4D98">
        <w:rPr>
          <w:rFonts w:ascii="Times New Roman" w:eastAsia="Times New Roman" w:hAnsi="Times New Roman" w:cs="Times New Roman"/>
          <w:i/>
          <w:noProof w:val="0"/>
        </w:rPr>
        <w:t>Sweet</w:t>
      </w:r>
      <w:r>
        <w:rPr>
          <w:rFonts w:ascii="Times New Roman" w:eastAsia="Times New Roman" w:hAnsi="Times New Roman" w:cs="Times New Roman"/>
          <w:noProof w:val="0"/>
        </w:rPr>
        <w:t>] sindromas, taip pat vadinamas ūmine febriline neutrofiline dermatoze). Šio šalutinio poveikio dažnis nežinomas (negali būti apskaičiuotas pagal turimus duomenis).</w:t>
      </w:r>
    </w:p>
    <w:p w14:paraId="196741F7" w14:textId="0BC28C0D" w:rsidR="00E37B21" w:rsidRPr="00E07ACB" w:rsidRDefault="00E37B21" w:rsidP="00E37B21">
      <w:pPr>
        <w:numPr>
          <w:ilvl w:val="1"/>
          <w:numId w:val="23"/>
        </w:numPr>
        <w:spacing w:after="0" w:line="240" w:lineRule="auto"/>
        <w:ind w:left="567" w:hanging="567"/>
        <w:contextualSpacing/>
        <w:rPr>
          <w:rFonts w:ascii="Times New Roman" w:eastAsia="Times New Roman" w:hAnsi="Times New Roman" w:cs="Times New Roman"/>
          <w:noProof w:val="0"/>
        </w:rPr>
      </w:pPr>
      <w:r>
        <w:rPr>
          <w:rFonts w:ascii="Times New Roman" w:eastAsia="Times New Roman" w:hAnsi="Times New Roman" w:cs="Times New Roman"/>
          <w:noProof w:val="0"/>
        </w:rPr>
        <w:t>Dažnis nežinomas</w:t>
      </w:r>
      <w:r w:rsidR="00B70CFB">
        <w:rPr>
          <w:rFonts w:ascii="Times New Roman" w:eastAsia="Times New Roman" w:hAnsi="Times New Roman" w:cs="Times New Roman"/>
          <w:noProof w:val="0"/>
        </w:rPr>
        <w:t xml:space="preserve"> (negali būti apskaičiuotas pagal turimus duomenis)</w:t>
      </w:r>
      <w:r>
        <w:rPr>
          <w:rFonts w:ascii="Times New Roman" w:eastAsia="Times New Roman" w:hAnsi="Times New Roman" w:cs="Times New Roman"/>
          <w:noProof w:val="0"/>
        </w:rPr>
        <w:t>: s</w:t>
      </w:r>
      <w:r w:rsidRPr="00E3497C">
        <w:rPr>
          <w:rFonts w:ascii="Times New Roman" w:eastAsia="Times New Roman" w:hAnsi="Times New Roman" w:cs="Times New Roman"/>
          <w:noProof w:val="0"/>
        </w:rPr>
        <w:t xml:space="preserve">unkus kepenų pažeidimas, galintis kelti pavojų gyvybei, ypač pacientams, kuriems taikomas ilgalaikis gydymas (pvz., kepenų pažeidimas, necirozinė vartų venos hipertenzija, portosinusoidinių </w:t>
      </w:r>
      <w:r w:rsidRPr="00E3497C">
        <w:rPr>
          <w:rFonts w:ascii="Times New Roman" w:eastAsia="Times New Roman" w:hAnsi="Times New Roman" w:cs="Times New Roman"/>
          <w:noProof w:val="0"/>
        </w:rPr>
        <w:lastRenderedPageBreak/>
        <w:t>kraujagyslių liga). Pasakykite savo gydytojui, jeigu Jums pasireikštų bent vienas iš šių simptomų: odos ir akių baltymų pageltimas (gelta), lengvai atsirandančios mėlynės, nemalonūs pojūčiai pilve, apetito sumažėjimas, nuovargis, pykinimas ar vėmimas.</w:t>
      </w:r>
    </w:p>
    <w:p w14:paraId="13C7EB3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p>
    <w:p w14:paraId="77977E76"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 xml:space="preserve">Pastebėtas kitoks šalutinis poveikis išvardytas toliau. </w:t>
      </w:r>
    </w:p>
    <w:p w14:paraId="09DB5AC6" w14:textId="77777777" w:rsidR="00E07ACB" w:rsidRPr="00E07ACB" w:rsidRDefault="00E07ACB" w:rsidP="00E07ACB">
      <w:pPr>
        <w:spacing w:after="0" w:line="240" w:lineRule="auto"/>
        <w:rPr>
          <w:rFonts w:ascii="Times New Roman" w:eastAsia="Times New Roman" w:hAnsi="Times New Roman" w:cs="Times New Roman"/>
          <w:noProof w:val="0"/>
        </w:rPr>
      </w:pPr>
    </w:p>
    <w:p w14:paraId="3F36129B" w14:textId="1D2B0E23"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dažn</w:t>
      </w:r>
      <w:r w:rsidR="00B70CFB">
        <w:rPr>
          <w:rFonts w:ascii="Times New Roman" w:eastAsia="Times New Roman" w:hAnsi="Times New Roman" w:cs="Times New Roman"/>
          <w:noProof w:val="0"/>
        </w:rPr>
        <w:t>i šalutinio poveikio reiškiniai (gali pasireikšti ne rečiau kaip 1 iš 10 asmenų)</w:t>
      </w:r>
      <w:r w:rsidRPr="00E07ACB">
        <w:rPr>
          <w:rFonts w:ascii="Times New Roman" w:eastAsia="Times New Roman" w:hAnsi="Times New Roman" w:cs="Times New Roman"/>
          <w:noProof w:val="0"/>
        </w:rPr>
        <w:t>:</w:t>
      </w:r>
    </w:p>
    <w:p w14:paraId="18749263" w14:textId="77777777" w:rsidR="00E07ACB" w:rsidRPr="00E07ACB" w:rsidRDefault="00E07ACB" w:rsidP="00E07ACB">
      <w:pPr>
        <w:numPr>
          <w:ilvl w:val="1"/>
          <w:numId w:val="24"/>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virusų, grybelių ar bakterijų sukeltos infekcinės ligos transplantaciją patyrusiems pacientams;</w:t>
      </w:r>
    </w:p>
    <w:p w14:paraId="4B209DC8" w14:textId="77777777" w:rsidR="00E07ACB" w:rsidRPr="00E07ACB" w:rsidRDefault="00E07ACB" w:rsidP="00E07ACB">
      <w:pPr>
        <w:numPr>
          <w:ilvl w:val="1"/>
          <w:numId w:val="24"/>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susilpnėjusi Jūsų kaulų čiulpų veikla;</w:t>
      </w:r>
    </w:p>
    <w:p w14:paraId="3D51D5E0" w14:textId="77777777" w:rsidR="00E07ACB" w:rsidRPr="00E07ACB" w:rsidRDefault="00E07ACB" w:rsidP="00E07ACB">
      <w:pPr>
        <w:numPr>
          <w:ilvl w:val="1"/>
          <w:numId w:val="24"/>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Jūsų kraujo tyrime matomas mažas baltųjų kraujo kūnelių kiekis; tai gali būti infekcinės ligos priežastis;</w:t>
      </w:r>
    </w:p>
    <w:p w14:paraId="0786D283" w14:textId="77777777" w:rsidR="00E07ACB" w:rsidRPr="00E07ACB" w:rsidRDefault="00E07ACB" w:rsidP="00E07ACB">
      <w:pPr>
        <w:numPr>
          <w:ilvl w:val="1"/>
          <w:numId w:val="24"/>
        </w:numPr>
        <w:tabs>
          <w:tab w:val="left" w:pos="540"/>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pykinimas ir vėmimas, apetito praradimas (anoreksija).</w:t>
      </w:r>
    </w:p>
    <w:p w14:paraId="5A46A0CA" w14:textId="77777777" w:rsidR="00E07ACB" w:rsidRPr="00E07ACB" w:rsidRDefault="00E07ACB" w:rsidP="00E07ACB">
      <w:pPr>
        <w:spacing w:after="0" w:line="240" w:lineRule="auto"/>
        <w:rPr>
          <w:rFonts w:ascii="Times New Roman" w:eastAsia="Times New Roman" w:hAnsi="Times New Roman" w:cs="Times New Roman"/>
          <w:noProof w:val="0"/>
          <w:u w:val="single"/>
        </w:rPr>
      </w:pPr>
    </w:p>
    <w:p w14:paraId="62933DDF" w14:textId="17CA0FB0"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Dažn</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10 asmenų)</w:t>
      </w:r>
      <w:r w:rsidRPr="00E07ACB">
        <w:rPr>
          <w:rFonts w:ascii="Times New Roman" w:eastAsia="Times New Roman" w:hAnsi="Times New Roman" w:cs="Times New Roman"/>
          <w:noProof w:val="0"/>
        </w:rPr>
        <w:t>:</w:t>
      </w:r>
    </w:p>
    <w:p w14:paraId="45B981B5" w14:textId="77777777" w:rsidR="00E07ACB" w:rsidRPr="00E07ACB" w:rsidRDefault="00E07ACB" w:rsidP="00E07ACB">
      <w:pPr>
        <w:numPr>
          <w:ilvl w:val="1"/>
          <w:numId w:val="32"/>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mažas kraujo plokštelių kiekis; dėl to gali lengvai atsirasti kraujosruvų (mėlynių) ar pasireikšti kraujavimas.</w:t>
      </w:r>
    </w:p>
    <w:p w14:paraId="78B1D398"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u w:val="single"/>
        </w:rPr>
      </w:pPr>
    </w:p>
    <w:p w14:paraId="590F5C10" w14:textId="3DC8848A"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Nedažn</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100 asmenų)</w:t>
      </w:r>
      <w:r w:rsidRPr="00E07ACB">
        <w:rPr>
          <w:rFonts w:ascii="Times New Roman" w:eastAsia="Times New Roman" w:hAnsi="Times New Roman" w:cs="Times New Roman"/>
          <w:noProof w:val="0"/>
        </w:rPr>
        <w:t>:</w:t>
      </w:r>
    </w:p>
    <w:p w14:paraId="3D4BB6BE" w14:textId="77777777" w:rsidR="00E07ACB" w:rsidRPr="00E07ACB" w:rsidRDefault="00E07ACB" w:rsidP="00E07ACB">
      <w:pPr>
        <w:numPr>
          <w:ilvl w:val="0"/>
          <w:numId w:val="26"/>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virusų, grybelių ar bakterijų sukeltos infekcinės ligos visiems pacientas, išskyrus patyrusius transplantaciją;</w:t>
      </w:r>
    </w:p>
    <w:p w14:paraId="1CAE6434" w14:textId="77777777" w:rsidR="00E07ACB" w:rsidRPr="00E07ACB" w:rsidRDefault="00E07ACB" w:rsidP="00E07ACB">
      <w:pPr>
        <w:numPr>
          <w:ilvl w:val="0"/>
          <w:numId w:val="26"/>
        </w:numPr>
        <w:tabs>
          <w:tab w:val="left" w:pos="540"/>
        </w:tabs>
        <w:spacing w:after="0" w:line="240" w:lineRule="auto"/>
        <w:ind w:left="567" w:hanging="578"/>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mažas raudonųjų kraujo kūnelių kiekis; dėl to galite būti išblyškęs, jausti nuovargį, svaigulį, kentėti galvos skausmą, dusti fizinio krūvio metu; </w:t>
      </w:r>
    </w:p>
    <w:p w14:paraId="6946D5D0" w14:textId="133B90B7" w:rsidR="00E07ACB" w:rsidRPr="00E07ACB" w:rsidRDefault="00E07ACB" w:rsidP="00E07ACB">
      <w:pPr>
        <w:numPr>
          <w:ilvl w:val="0"/>
          <w:numId w:val="26"/>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padidėjusio jautrumo reakcijos, kurios gali sukelti bendrąjį negalavimą; svaigulį, pykinimą, vėmimą, viduriavimą, karščiavimą, drebulį, tokias odos reakcijas kaip egzantema</w:t>
      </w:r>
      <w:r w:rsidR="000F009D">
        <w:rPr>
          <w:rFonts w:ascii="Times New Roman" w:eastAsia="Times New Roman" w:hAnsi="Times New Roman" w:cs="Times New Roman"/>
          <w:noProof w:val="0"/>
        </w:rPr>
        <w:t>, odos mazgeliai</w:t>
      </w:r>
      <w:r w:rsidRPr="00E07ACB">
        <w:rPr>
          <w:rFonts w:ascii="Times New Roman" w:eastAsia="Times New Roman" w:hAnsi="Times New Roman" w:cs="Times New Roman"/>
          <w:noProof w:val="0"/>
        </w:rPr>
        <w:t xml:space="preserve"> ir bėrimas, kraujagyslių uždegimą, raumenų ir sąnarių skausmą, kraujospūdžio sumažėjimą, inkstų ar kepenų veiklos sutrikimą, žarnyno veiklos sutrikimą;</w:t>
      </w:r>
    </w:p>
    <w:p w14:paraId="5D856BDF" w14:textId="5091856A" w:rsidR="00E07ACB" w:rsidRPr="00E07ACB" w:rsidRDefault="00E07ACB" w:rsidP="00E07ACB">
      <w:pPr>
        <w:numPr>
          <w:ilvl w:val="0"/>
          <w:numId w:val="26"/>
        </w:numPr>
        <w:tabs>
          <w:tab w:val="left" w:pos="540"/>
        </w:tabs>
        <w:spacing w:after="0" w:line="240" w:lineRule="auto"/>
        <w:ind w:hanging="72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kasos uždegimas, galintis sukelti stiprų viršutinės pilvo dalies skausmą, pykinimą ir vėmimą</w:t>
      </w:r>
      <w:r w:rsidR="00D54500">
        <w:rPr>
          <w:rFonts w:ascii="Times New Roman" w:eastAsia="Times New Roman" w:hAnsi="Times New Roman" w:cs="Times New Roman"/>
          <w:noProof w:val="0"/>
        </w:rPr>
        <w:t>.</w:t>
      </w:r>
      <w:r w:rsidRPr="00E07ACB">
        <w:rPr>
          <w:rFonts w:ascii="Times New Roman" w:eastAsia="Times New Roman" w:hAnsi="Times New Roman" w:cs="Times New Roman"/>
          <w:noProof w:val="0"/>
        </w:rPr>
        <w:t xml:space="preserve"> </w:t>
      </w:r>
    </w:p>
    <w:p w14:paraId="1C1930C4"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u w:val="single"/>
        </w:rPr>
      </w:pPr>
    </w:p>
    <w:p w14:paraId="0D70926B" w14:textId="0BA9A917"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Ret</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w:t>
      </w:r>
      <w:r w:rsidR="009806D9">
        <w:rPr>
          <w:rFonts w:ascii="Times New Roman" w:eastAsia="Times New Roman" w:hAnsi="Times New Roman" w:cs="Times New Roman"/>
          <w:noProof w:val="0"/>
        </w:rPr>
        <w:t> </w:t>
      </w:r>
      <w:r w:rsidR="00B70CFB">
        <w:rPr>
          <w:rFonts w:ascii="Times New Roman" w:eastAsia="Times New Roman" w:hAnsi="Times New Roman" w:cs="Times New Roman"/>
          <w:noProof w:val="0"/>
        </w:rPr>
        <w:t>000 asmenų)</w:t>
      </w:r>
      <w:r w:rsidRPr="00E07ACB">
        <w:rPr>
          <w:rFonts w:ascii="Times New Roman" w:eastAsia="Times New Roman" w:hAnsi="Times New Roman" w:cs="Times New Roman"/>
          <w:noProof w:val="0"/>
        </w:rPr>
        <w:t>:</w:t>
      </w:r>
    </w:p>
    <w:p w14:paraId="32ADC3BA" w14:textId="77777777" w:rsidR="00E07ACB" w:rsidRPr="00E07ACB" w:rsidRDefault="00E07ACB" w:rsidP="00E07ACB">
      <w:pPr>
        <w:numPr>
          <w:ilvl w:val="1"/>
          <w:numId w:val="27"/>
        </w:numPr>
        <w:tabs>
          <w:tab w:val="num" w:pos="567"/>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kraujo pokyčiai ir kaulų čiulpų veiklos sutrikimai, dėl kurių jaučiamas silpnumas, atsiranda nuovargis, blyškumas, skauda galvą, skauda liežuvį, atsiranda dusulys, kraujosruvos (mėlynės) ar prisideda infekcija;</w:t>
      </w:r>
    </w:p>
    <w:p w14:paraId="4F3A7A88" w14:textId="77777777" w:rsidR="00E07ACB" w:rsidRPr="00E07ACB" w:rsidRDefault="00E07ACB" w:rsidP="00E07ACB">
      <w:pPr>
        <w:numPr>
          <w:ilvl w:val="0"/>
          <w:numId w:val="28"/>
        </w:numPr>
        <w:tabs>
          <w:tab w:val="left" w:pos="567"/>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žarnyno veiklos sutrikimai, dėl kurių atsiranda viduriavimas, pilvo skausmas, vidurių užkietėjimas, pykinimas ir vėmimas;</w:t>
      </w:r>
    </w:p>
    <w:p w14:paraId="117B8395" w14:textId="77777777" w:rsidR="00E07ACB" w:rsidRPr="00E07ACB" w:rsidRDefault="00E07ACB" w:rsidP="00E07ACB">
      <w:pPr>
        <w:numPr>
          <w:ilvl w:val="1"/>
          <w:numId w:val="27"/>
        </w:numPr>
        <w:tabs>
          <w:tab w:val="left" w:pos="540"/>
        </w:tabs>
        <w:spacing w:after="0" w:line="240" w:lineRule="auto"/>
        <w:ind w:hanging="1440"/>
        <w:rPr>
          <w:rFonts w:ascii="Times New Roman" w:eastAsia="Times New Roman" w:hAnsi="Times New Roman" w:cs="Times New Roman"/>
          <w:noProof w:val="0"/>
        </w:rPr>
      </w:pPr>
      <w:r w:rsidRPr="00E07ACB">
        <w:rPr>
          <w:rFonts w:ascii="Times New Roman" w:eastAsia="Times New Roman" w:hAnsi="Times New Roman" w:cs="Times New Roman"/>
          <w:noProof w:val="0"/>
        </w:rPr>
        <w:t>sunkus kepenų pakenkimas, galintis kelti grėsmę gyvybei;</w:t>
      </w:r>
    </w:p>
    <w:p w14:paraId="4A73AC3E" w14:textId="77777777" w:rsidR="00E07ACB" w:rsidRPr="00E07ACB" w:rsidRDefault="00E07ACB" w:rsidP="00E07ACB">
      <w:pPr>
        <w:numPr>
          <w:ilvl w:val="1"/>
          <w:numId w:val="27"/>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plaukų slinkimas, kuris gali sumažėti net toliau vartojant Atsimutin;</w:t>
      </w:r>
    </w:p>
    <w:p w14:paraId="52A39A71" w14:textId="77777777" w:rsidR="00E07ACB" w:rsidRPr="00E07ACB" w:rsidRDefault="00E07ACB" w:rsidP="00E07ACB">
      <w:pPr>
        <w:numPr>
          <w:ilvl w:val="1"/>
          <w:numId w:val="27"/>
        </w:num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įvairių rūšių vėžys, įskaitant kraujo, limfinės sistemos ir odos vėžį.</w:t>
      </w:r>
    </w:p>
    <w:p w14:paraId="6968CBAC"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u w:val="single"/>
        </w:rPr>
      </w:pPr>
    </w:p>
    <w:p w14:paraId="745A7187" w14:textId="57EFEEA0" w:rsidR="00E07ACB" w:rsidRPr="00E07ACB" w:rsidRDefault="00E07ACB" w:rsidP="00E07ACB">
      <w:pPr>
        <w:tabs>
          <w:tab w:val="left" w:pos="54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Labai ret</w:t>
      </w:r>
      <w:r w:rsidR="00B70CFB">
        <w:rPr>
          <w:rFonts w:ascii="Times New Roman" w:eastAsia="Times New Roman" w:hAnsi="Times New Roman" w:cs="Times New Roman"/>
          <w:noProof w:val="0"/>
        </w:rPr>
        <w:t>i</w:t>
      </w:r>
      <w:r w:rsidR="00B70CFB" w:rsidRPr="00B70CFB">
        <w:rPr>
          <w:rFonts w:ascii="Times New Roman" w:eastAsia="Times New Roman" w:hAnsi="Times New Roman" w:cs="Times New Roman"/>
          <w:noProof w:val="0"/>
        </w:rPr>
        <w:t xml:space="preserve"> </w:t>
      </w:r>
      <w:r w:rsidR="00B70CFB">
        <w:rPr>
          <w:rFonts w:ascii="Times New Roman" w:eastAsia="Times New Roman" w:hAnsi="Times New Roman" w:cs="Times New Roman"/>
          <w:noProof w:val="0"/>
        </w:rPr>
        <w:t>šalutinio poveikio reiškiniai (gali pasireikšti rečiau kaip 1 iš 10</w:t>
      </w:r>
      <w:r w:rsidR="009806D9">
        <w:rPr>
          <w:rFonts w:ascii="Times New Roman" w:eastAsia="Times New Roman" w:hAnsi="Times New Roman" w:cs="Times New Roman"/>
          <w:noProof w:val="0"/>
        </w:rPr>
        <w:t> </w:t>
      </w:r>
      <w:r w:rsidR="00B70CFB">
        <w:rPr>
          <w:rFonts w:ascii="Times New Roman" w:eastAsia="Times New Roman" w:hAnsi="Times New Roman" w:cs="Times New Roman"/>
          <w:noProof w:val="0"/>
        </w:rPr>
        <w:t>000 asmenų)</w:t>
      </w:r>
      <w:r w:rsidRPr="00E07ACB">
        <w:rPr>
          <w:rFonts w:ascii="Times New Roman" w:eastAsia="Times New Roman" w:hAnsi="Times New Roman" w:cs="Times New Roman"/>
          <w:noProof w:val="0"/>
        </w:rPr>
        <w:t>:</w:t>
      </w:r>
    </w:p>
    <w:p w14:paraId="4CC24566" w14:textId="77777777" w:rsidR="00E07ACB" w:rsidRPr="00E07ACB" w:rsidRDefault="00E07ACB" w:rsidP="00E07ACB">
      <w:pPr>
        <w:numPr>
          <w:ilvl w:val="1"/>
          <w:numId w:val="29"/>
        </w:numPr>
        <w:tabs>
          <w:tab w:val="left" w:pos="540"/>
        </w:tabs>
        <w:spacing w:after="0" w:line="240" w:lineRule="auto"/>
        <w:ind w:left="567" w:hanging="567"/>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gyvybei pavojingos alerginės reakcijos, lydimos sunkaus odos pažeidimo (Stivenso –Džonsono (</w:t>
      </w:r>
      <w:r w:rsidRPr="00E07ACB">
        <w:rPr>
          <w:rFonts w:ascii="Times New Roman" w:eastAsia="Times New Roman" w:hAnsi="Times New Roman" w:cs="Times New Roman"/>
          <w:i/>
          <w:noProof w:val="0"/>
        </w:rPr>
        <w:t>Stevens-Johnson</w:t>
      </w:r>
      <w:r w:rsidRPr="00E07ACB">
        <w:rPr>
          <w:rFonts w:ascii="Times New Roman" w:eastAsia="Times New Roman" w:hAnsi="Times New Roman" w:cs="Times New Roman"/>
          <w:noProof w:val="0"/>
        </w:rPr>
        <w:t>) sindromas ir toksinė epidermio nekrolizė [Lajelio (</w:t>
      </w:r>
      <w:r w:rsidRPr="00E07ACB">
        <w:rPr>
          <w:rFonts w:ascii="Times New Roman" w:eastAsia="Times New Roman" w:hAnsi="Times New Roman" w:cs="Times New Roman"/>
          <w:i/>
          <w:noProof w:val="0"/>
        </w:rPr>
        <w:t>Lyell</w:t>
      </w:r>
      <w:r w:rsidRPr="00E07ACB">
        <w:rPr>
          <w:rFonts w:ascii="Times New Roman" w:eastAsia="Times New Roman" w:hAnsi="Times New Roman" w:cs="Times New Roman"/>
          <w:noProof w:val="0"/>
        </w:rPr>
        <w:t>) sindromas]);</w:t>
      </w:r>
    </w:p>
    <w:p w14:paraId="53ED2F8C" w14:textId="77777777" w:rsidR="00E07ACB" w:rsidRPr="00E07ACB" w:rsidRDefault="00E07ACB" w:rsidP="00E07ACB">
      <w:pPr>
        <w:numPr>
          <w:ilvl w:val="1"/>
          <w:numId w:val="29"/>
        </w:numPr>
        <w:tabs>
          <w:tab w:val="left" w:pos="540"/>
        </w:tabs>
        <w:spacing w:after="0" w:line="240" w:lineRule="auto"/>
        <w:ind w:hanging="1440"/>
        <w:rPr>
          <w:rFonts w:ascii="Times New Roman" w:eastAsia="Times New Roman" w:hAnsi="Times New Roman" w:cs="Times New Roman"/>
          <w:noProof w:val="0"/>
        </w:rPr>
      </w:pPr>
      <w:r w:rsidRPr="00E07ACB">
        <w:rPr>
          <w:rFonts w:ascii="Times New Roman" w:eastAsia="Times New Roman" w:hAnsi="Times New Roman" w:cs="Times New Roman"/>
          <w:noProof w:val="0"/>
        </w:rPr>
        <w:t>plaučių uždegimas, sukeliantis dusulį, kosulį, karščiavimą;</w:t>
      </w:r>
    </w:p>
    <w:p w14:paraId="4D45F15D" w14:textId="77777777" w:rsidR="00E07ACB" w:rsidRPr="00E07ACB" w:rsidRDefault="00E07ACB" w:rsidP="00E07ACB">
      <w:pPr>
        <w:numPr>
          <w:ilvl w:val="1"/>
          <w:numId w:val="29"/>
        </w:numPr>
        <w:tabs>
          <w:tab w:val="left" w:pos="540"/>
        </w:tabs>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pacientams, kurie vartojo azatiopriną kartu su kitais imunosupresantais, pasireiškė PDL – centrinės nervų sistemos infekcija, susijusi su JC virusu.</w:t>
      </w:r>
    </w:p>
    <w:p w14:paraId="0F495F05" w14:textId="77777777" w:rsidR="00E07ACB" w:rsidRPr="00E07ACB" w:rsidRDefault="00E07ACB" w:rsidP="00E07ACB">
      <w:pPr>
        <w:tabs>
          <w:tab w:val="left" w:pos="540"/>
        </w:tabs>
        <w:spacing w:after="0" w:line="240" w:lineRule="auto"/>
        <w:rPr>
          <w:rFonts w:ascii="Times New Roman" w:eastAsia="Times New Roman" w:hAnsi="Times New Roman" w:cs="Times New Roman"/>
          <w:noProof w:val="0"/>
        </w:rPr>
      </w:pPr>
    </w:p>
    <w:p w14:paraId="0CCEFB51"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Pranešimas apie šalutinį poveikį</w:t>
      </w:r>
    </w:p>
    <w:p w14:paraId="7B8C0440" w14:textId="27FBE5FF"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Jeigu pasireiškė šalutinis poveikis, įskaitant šiame lapelyje nenurodytą, pasakykite gydytojui arba vaistininkui. </w:t>
      </w:r>
      <w:r w:rsidR="00B70CFB" w:rsidRPr="00B70CFB">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B70CFB" w:rsidRPr="00B70CFB">
        <w:rPr>
          <w:rFonts w:ascii="Times New Roman" w:hAnsi="Times New Roman" w:cs="Times New Roman"/>
          <w:color w:val="0000EE"/>
          <w:u w:val="single"/>
          <w:lang w:eastAsia="lt-LT"/>
        </w:rPr>
        <w:t>https://vvkt.lrv.lt/lt/</w:t>
      </w:r>
      <w:r w:rsidR="00B70CFB" w:rsidRPr="00B70CFB">
        <w:rPr>
          <w:rFonts w:ascii="Times New Roman" w:hAnsi="Times New Roman" w:cs="Times New Roman"/>
          <w:lang w:eastAsia="lt-LT"/>
        </w:rPr>
        <w:t xml:space="preserve"> nurodytais būdais arba paskambinti nemokamu telefonu </w:t>
      </w:r>
      <w:r w:rsidR="009806D9">
        <w:rPr>
          <w:rFonts w:ascii="Times New Roman" w:hAnsi="Times New Roman" w:cs="Times New Roman"/>
          <w:lang w:eastAsia="lt-LT"/>
        </w:rPr>
        <w:t>+370</w:t>
      </w:r>
      <w:r w:rsidR="00B70CFB" w:rsidRPr="00B70CFB">
        <w:rPr>
          <w:rFonts w:ascii="Times New Roman" w:hAnsi="Times New Roman" w:cs="Times New Roman"/>
          <w:lang w:eastAsia="lt-LT"/>
        </w:rPr>
        <w:t xml:space="preserve"> 800 73 568.</w:t>
      </w:r>
      <w:r w:rsidRPr="00E07ACB">
        <w:rPr>
          <w:rFonts w:ascii="Times New Roman" w:eastAsia="Times New Roman" w:hAnsi="Times New Roman" w:cs="Times New Roman"/>
          <w:noProof w:val="0"/>
        </w:rPr>
        <w:t xml:space="preserve"> Pranešdami apie šalutinį poveikį galite mums padėti gauti daugiau informacijos apie šio vaisto saugumą.</w:t>
      </w:r>
    </w:p>
    <w:p w14:paraId="458C036F" w14:textId="77777777" w:rsidR="00E07ACB" w:rsidRPr="00E07ACB" w:rsidRDefault="00E07ACB" w:rsidP="00E07ACB">
      <w:pPr>
        <w:spacing w:after="0" w:line="240" w:lineRule="auto"/>
        <w:rPr>
          <w:rFonts w:ascii="Times New Roman" w:eastAsia="Times New Roman" w:hAnsi="Times New Roman" w:cs="Times New Roman"/>
          <w:noProof w:val="0"/>
        </w:rPr>
      </w:pPr>
    </w:p>
    <w:p w14:paraId="276CA0A7" w14:textId="77777777" w:rsidR="00E07ACB" w:rsidRPr="00E07ACB" w:rsidRDefault="00E07ACB" w:rsidP="00E07ACB">
      <w:pPr>
        <w:spacing w:after="0" w:line="240" w:lineRule="auto"/>
        <w:rPr>
          <w:rFonts w:ascii="Times New Roman" w:eastAsia="Times New Roman" w:hAnsi="Times New Roman" w:cs="Times New Roman"/>
          <w:noProof w:val="0"/>
        </w:rPr>
      </w:pPr>
    </w:p>
    <w:p w14:paraId="0D5BECA8" w14:textId="77777777" w:rsidR="00E07ACB" w:rsidRPr="00E07ACB" w:rsidRDefault="00E07ACB" w:rsidP="00E07ACB">
      <w:pPr>
        <w:tabs>
          <w:tab w:val="left" w:pos="567"/>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b/>
          <w:noProof w:val="0"/>
        </w:rPr>
        <w:t>5.</w:t>
      </w:r>
      <w:r w:rsidRPr="00E07ACB">
        <w:rPr>
          <w:rFonts w:ascii="Times New Roman" w:eastAsia="Times New Roman" w:hAnsi="Times New Roman" w:cs="Times New Roman"/>
          <w:b/>
          <w:noProof w:val="0"/>
        </w:rPr>
        <w:tab/>
        <w:t>Kaip laikyti Atsimutin</w:t>
      </w:r>
    </w:p>
    <w:p w14:paraId="1A928F2C" w14:textId="77777777" w:rsidR="00E07ACB" w:rsidRPr="00E07ACB" w:rsidRDefault="00E07ACB" w:rsidP="00E07ACB">
      <w:pPr>
        <w:spacing w:after="0" w:line="240" w:lineRule="auto"/>
        <w:rPr>
          <w:rFonts w:ascii="Times New Roman" w:eastAsia="Times New Roman" w:hAnsi="Times New Roman" w:cs="Times New Roman"/>
          <w:noProof w:val="0"/>
        </w:rPr>
      </w:pPr>
    </w:p>
    <w:p w14:paraId="038B4FEC" w14:textId="77777777" w:rsidR="00E07ACB" w:rsidRPr="00E07ACB" w:rsidRDefault="00E07ACB" w:rsidP="00E07ACB">
      <w:pPr>
        <w:numPr>
          <w:ilvl w:val="12"/>
          <w:numId w:val="0"/>
        </w:numPr>
        <w:spacing w:after="0" w:line="240" w:lineRule="auto"/>
        <w:ind w:right="-2"/>
        <w:rPr>
          <w:rFonts w:ascii="Times New Roman" w:eastAsia="Times New Roman" w:hAnsi="Times New Roman" w:cs="Times New Roman"/>
          <w:noProof w:val="0"/>
        </w:rPr>
      </w:pPr>
      <w:r w:rsidRPr="00E07ACB">
        <w:rPr>
          <w:rFonts w:ascii="Times New Roman" w:eastAsia="Times New Roman" w:hAnsi="Times New Roman" w:cs="Times New Roman"/>
          <w:noProof w:val="0"/>
        </w:rPr>
        <w:t>Šį vaistą laikykite vaikams nepastebimoje ir nepasiekiamoje vietoje.</w:t>
      </w:r>
    </w:p>
    <w:p w14:paraId="1285C869" w14:textId="77777777" w:rsidR="00E07ACB" w:rsidRPr="00E07ACB" w:rsidRDefault="00E07ACB" w:rsidP="00E07ACB">
      <w:pPr>
        <w:spacing w:after="0" w:line="240" w:lineRule="auto"/>
        <w:rPr>
          <w:rFonts w:ascii="Times New Roman" w:eastAsia="Times New Roman" w:hAnsi="Times New Roman" w:cs="Times New Roman"/>
          <w:iCs/>
          <w:noProof w:val="0"/>
        </w:rPr>
      </w:pPr>
    </w:p>
    <w:p w14:paraId="3166160C" w14:textId="77777777" w:rsidR="00E07ACB" w:rsidRPr="00E07ACB" w:rsidRDefault="00E07ACB" w:rsidP="00E07ACB">
      <w:pPr>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iCs/>
          <w:noProof w:val="0"/>
        </w:rPr>
        <w:t>Ant dėžutės ir lizdinės plokštelės po „EXP“ nurodytam tinkamumo laikui pasibaigus, šio vaisto vartoti negalima. Vaistas tinkamas vartoti iki paskutinės nurodyto mėnesio dienos.</w:t>
      </w:r>
    </w:p>
    <w:p w14:paraId="3468A327" w14:textId="77777777" w:rsidR="00E07ACB" w:rsidRPr="00E07ACB" w:rsidRDefault="00E07ACB" w:rsidP="00E07ACB">
      <w:pPr>
        <w:spacing w:after="0" w:line="240" w:lineRule="auto"/>
        <w:rPr>
          <w:rFonts w:ascii="Times New Roman" w:eastAsia="Times New Roman" w:hAnsi="Times New Roman" w:cs="Times New Roman"/>
          <w:noProof w:val="0"/>
        </w:rPr>
      </w:pPr>
    </w:p>
    <w:p w14:paraId="2D47CC03"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Lizdinę plokštelę laikyti išorinėje dėžutėje, kad vaistas būtų apsaugotas nuo šviesos.</w:t>
      </w:r>
    </w:p>
    <w:p w14:paraId="366A5573" w14:textId="77777777" w:rsidR="00E07ACB" w:rsidRPr="00E07ACB" w:rsidRDefault="00E07ACB" w:rsidP="00E07ACB">
      <w:pPr>
        <w:spacing w:after="0" w:line="240" w:lineRule="auto"/>
        <w:rPr>
          <w:rFonts w:ascii="Times New Roman" w:eastAsia="Times New Roman" w:hAnsi="Times New Roman" w:cs="Times New Roman"/>
          <w:noProof w:val="0"/>
        </w:rPr>
      </w:pPr>
    </w:p>
    <w:p w14:paraId="285CE5C2"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Pastebėjus matomų apgadinimo požymių, </w:t>
      </w:r>
      <w:r w:rsidRPr="00E07ACB">
        <w:rPr>
          <w:rFonts w:ascii="Times New Roman" w:eastAsia="Times New Roman" w:hAnsi="Times New Roman" w:cs="Times New Roman"/>
          <w:iCs/>
          <w:noProof w:val="0"/>
        </w:rPr>
        <w:t>šio vaisto</w:t>
      </w:r>
      <w:r w:rsidRPr="00E07ACB">
        <w:rPr>
          <w:rFonts w:ascii="Times New Roman" w:eastAsia="Times New Roman" w:hAnsi="Times New Roman" w:cs="Times New Roman"/>
          <w:noProof w:val="0"/>
        </w:rPr>
        <w:t xml:space="preserve"> vartoti negalima.</w:t>
      </w:r>
    </w:p>
    <w:p w14:paraId="0EE71A2C" w14:textId="77777777" w:rsidR="00E07ACB" w:rsidRPr="00E07ACB" w:rsidRDefault="00E07ACB" w:rsidP="00E07ACB">
      <w:pPr>
        <w:spacing w:after="0" w:line="240" w:lineRule="auto"/>
        <w:rPr>
          <w:rFonts w:ascii="Times New Roman" w:eastAsia="Times New Roman" w:hAnsi="Times New Roman" w:cs="Times New Roman"/>
          <w:noProof w:val="0"/>
        </w:rPr>
      </w:pPr>
    </w:p>
    <w:p w14:paraId="52E3C387"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06D0FF11" w14:textId="77777777" w:rsidR="00E07ACB" w:rsidRPr="00E07ACB" w:rsidRDefault="00E07ACB" w:rsidP="00E07ACB">
      <w:pPr>
        <w:spacing w:after="0" w:line="240" w:lineRule="auto"/>
        <w:rPr>
          <w:rFonts w:ascii="Times New Roman" w:eastAsia="Times New Roman" w:hAnsi="Times New Roman" w:cs="Times New Roman"/>
          <w:noProof w:val="0"/>
        </w:rPr>
      </w:pPr>
    </w:p>
    <w:p w14:paraId="1AD5EDAB" w14:textId="77777777" w:rsidR="00E07ACB" w:rsidRPr="00E07ACB" w:rsidRDefault="00E07ACB" w:rsidP="00E07ACB">
      <w:pPr>
        <w:spacing w:after="0" w:line="240" w:lineRule="auto"/>
        <w:rPr>
          <w:rFonts w:ascii="Times New Roman" w:eastAsia="Times New Roman" w:hAnsi="Times New Roman" w:cs="Times New Roman"/>
          <w:noProof w:val="0"/>
        </w:rPr>
      </w:pPr>
    </w:p>
    <w:p w14:paraId="1C0B7F55" w14:textId="77777777" w:rsidR="00E07ACB" w:rsidRPr="00E07ACB" w:rsidRDefault="00E07ACB" w:rsidP="00E07ACB">
      <w:pPr>
        <w:tabs>
          <w:tab w:val="left" w:pos="567"/>
        </w:tabs>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6.</w:t>
      </w:r>
      <w:r w:rsidRPr="00E07ACB">
        <w:rPr>
          <w:rFonts w:ascii="Times New Roman" w:eastAsia="Times New Roman" w:hAnsi="Times New Roman" w:cs="Times New Roman"/>
          <w:b/>
          <w:noProof w:val="0"/>
        </w:rPr>
        <w:tab/>
        <w:t>Pakuotės turinys ir kita informacija</w:t>
      </w:r>
    </w:p>
    <w:p w14:paraId="00209AED" w14:textId="77777777" w:rsidR="00E07ACB" w:rsidRPr="00E07ACB" w:rsidRDefault="00E07ACB" w:rsidP="00E07ACB">
      <w:pPr>
        <w:spacing w:after="0" w:line="240" w:lineRule="auto"/>
        <w:rPr>
          <w:rFonts w:ascii="Times New Roman" w:eastAsia="Times New Roman" w:hAnsi="Times New Roman" w:cs="Times New Roman"/>
          <w:noProof w:val="0"/>
        </w:rPr>
      </w:pPr>
    </w:p>
    <w:p w14:paraId="7DE42EAA" w14:textId="77777777" w:rsidR="00E07ACB" w:rsidRPr="00E07ACB" w:rsidRDefault="00E07ACB" w:rsidP="00E07ACB">
      <w:pPr>
        <w:spacing w:after="0" w:line="240" w:lineRule="auto"/>
        <w:rPr>
          <w:rFonts w:ascii="Times New Roman" w:eastAsia="Times New Roman" w:hAnsi="Times New Roman" w:cs="Times New Roman"/>
          <w:noProof w:val="0"/>
          <w:u w:val="single"/>
        </w:rPr>
      </w:pPr>
      <w:r w:rsidRPr="00E07ACB">
        <w:rPr>
          <w:rFonts w:ascii="Times New Roman" w:eastAsia="Times New Roman" w:hAnsi="Times New Roman" w:cs="Times New Roman"/>
          <w:b/>
          <w:bCs/>
          <w:noProof w:val="0"/>
        </w:rPr>
        <w:t xml:space="preserve">Atsimutin sudėtis </w:t>
      </w:r>
    </w:p>
    <w:p w14:paraId="35DF3548" w14:textId="77777777" w:rsidR="00E07ACB" w:rsidRPr="00E07ACB" w:rsidRDefault="00E07ACB" w:rsidP="00E07ACB">
      <w:pPr>
        <w:spacing w:after="0" w:line="240" w:lineRule="auto"/>
        <w:ind w:left="567" w:hanging="567"/>
        <w:rPr>
          <w:rFonts w:ascii="Times New Roman" w:eastAsia="Times New Roman" w:hAnsi="Times New Roman" w:cs="Times New Roman"/>
          <w:noProof w:val="0"/>
        </w:rPr>
      </w:pPr>
      <w:r w:rsidRPr="00E07ACB">
        <w:rPr>
          <w:rFonts w:ascii="Times New Roman" w:eastAsia="Times New Roman" w:hAnsi="Times New Roman" w:cs="Times New Roman"/>
          <w:noProof w:val="0"/>
        </w:rPr>
        <w:t>-</w:t>
      </w:r>
      <w:r w:rsidRPr="00E07ACB">
        <w:rPr>
          <w:rFonts w:ascii="Times New Roman" w:eastAsia="Times New Roman" w:hAnsi="Times New Roman" w:cs="Times New Roman"/>
          <w:noProof w:val="0"/>
        </w:rPr>
        <w:tab/>
        <w:t xml:space="preserve">Veiklioji medžiaga yra azatioprinas. </w:t>
      </w:r>
    </w:p>
    <w:p w14:paraId="4F0BE73E" w14:textId="77777777" w:rsidR="00E07ACB" w:rsidRPr="00E07ACB" w:rsidRDefault="00E07ACB" w:rsidP="00E07ACB">
      <w:pPr>
        <w:numPr>
          <w:ilvl w:val="1"/>
          <w:numId w:val="22"/>
        </w:numPr>
        <w:tabs>
          <w:tab w:val="num" w:pos="567"/>
        </w:tabs>
        <w:spacing w:after="0" w:line="240" w:lineRule="auto"/>
        <w:ind w:hanging="1440"/>
        <w:contextualSpacing/>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1 plėvele dengtoje tabletėje yra 50 mg azatioprino. </w:t>
      </w:r>
    </w:p>
    <w:p w14:paraId="16B3186E" w14:textId="77777777" w:rsidR="00E07ACB" w:rsidRPr="00E07ACB" w:rsidRDefault="00E07ACB" w:rsidP="00E07ACB">
      <w:pPr>
        <w:spacing w:after="0" w:line="240" w:lineRule="auto"/>
        <w:rPr>
          <w:rFonts w:ascii="Times New Roman" w:eastAsia="Times New Roman" w:hAnsi="Times New Roman" w:cs="Times New Roman"/>
          <w:noProof w:val="0"/>
        </w:rPr>
      </w:pPr>
    </w:p>
    <w:p w14:paraId="6FBD04CE" w14:textId="77777777" w:rsidR="00E07ACB" w:rsidRPr="00E07ACB" w:rsidRDefault="00E07ACB" w:rsidP="00E07ACB">
      <w:pPr>
        <w:tabs>
          <w:tab w:val="num" w:pos="567"/>
          <w:tab w:val="left" w:pos="720"/>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i/>
          <w:noProof w:val="0"/>
        </w:rPr>
        <w:t>-</w:t>
      </w:r>
      <w:r w:rsidRPr="00E07ACB">
        <w:rPr>
          <w:rFonts w:ascii="Times New Roman" w:eastAsia="Times New Roman" w:hAnsi="Times New Roman" w:cs="Times New Roman"/>
          <w:i/>
          <w:noProof w:val="0"/>
        </w:rPr>
        <w:tab/>
      </w:r>
      <w:r w:rsidRPr="00E07ACB">
        <w:rPr>
          <w:rFonts w:ascii="Times New Roman" w:eastAsia="Times New Roman" w:hAnsi="Times New Roman" w:cs="Times New Roman"/>
          <w:noProof w:val="0"/>
        </w:rPr>
        <w:t>Pagalbinės medžiagos:</w:t>
      </w:r>
      <w:r w:rsidRPr="00E07ACB">
        <w:rPr>
          <w:rFonts w:ascii="Times New Roman" w:eastAsia="Times New Roman" w:hAnsi="Times New Roman" w:cs="Times New Roman"/>
          <w:i/>
          <w:noProof w:val="0"/>
        </w:rPr>
        <w:t xml:space="preserve"> </w:t>
      </w:r>
    </w:p>
    <w:p w14:paraId="416E52AA" w14:textId="77777777" w:rsidR="00E07ACB" w:rsidRPr="00E07ACB" w:rsidRDefault="00E07ACB" w:rsidP="00E07ACB">
      <w:pPr>
        <w:tabs>
          <w:tab w:val="left" w:pos="567"/>
        </w:tabs>
        <w:spacing w:after="0" w:line="240" w:lineRule="auto"/>
        <w:ind w:left="1985" w:hanging="1843"/>
        <w:rPr>
          <w:rFonts w:ascii="Times New Roman" w:eastAsia="Times New Roman" w:hAnsi="Times New Roman" w:cs="Times New Roman"/>
          <w:iCs/>
          <w:noProof w:val="0"/>
        </w:rPr>
      </w:pPr>
      <w:r w:rsidRPr="00E07ACB">
        <w:rPr>
          <w:rFonts w:ascii="Times New Roman" w:eastAsia="Times New Roman" w:hAnsi="Times New Roman" w:cs="Times New Roman"/>
          <w:noProof w:val="0"/>
        </w:rPr>
        <w:t xml:space="preserve">Tabletės branduolys: </w:t>
      </w:r>
      <w:r w:rsidRPr="00E07ACB">
        <w:rPr>
          <w:rFonts w:ascii="Times New Roman" w:eastAsia="Times New Roman" w:hAnsi="Times New Roman" w:cs="Times New Roman"/>
          <w:iCs/>
          <w:noProof w:val="0"/>
        </w:rPr>
        <w:t>laktozė monohidratas, mikrokristalinė celiuliozė, karboksimetilkrakmolo A natrio druska (Ph.Eur.), pregelifikuotas krakmolas (kukurūzų), polisorbatas 80, povidonas K30, magnio stearatas (Ph. Eur.) [augalinis]</w:t>
      </w:r>
    </w:p>
    <w:p w14:paraId="4066191A" w14:textId="77777777" w:rsidR="00E07ACB" w:rsidRPr="00E07ACB" w:rsidRDefault="00E07ACB" w:rsidP="00E07ACB">
      <w:pPr>
        <w:spacing w:after="0" w:line="240" w:lineRule="auto"/>
        <w:rPr>
          <w:rFonts w:ascii="Times New Roman" w:eastAsia="Times New Roman" w:hAnsi="Times New Roman" w:cs="Times New Roman"/>
          <w:noProof w:val="0"/>
        </w:rPr>
      </w:pPr>
    </w:p>
    <w:p w14:paraId="27DDD004" w14:textId="77777777" w:rsidR="00E07ACB" w:rsidRPr="00E07ACB" w:rsidRDefault="00E07ACB" w:rsidP="00E07ACB">
      <w:pPr>
        <w:spacing w:after="0" w:line="240" w:lineRule="auto"/>
        <w:ind w:left="1560" w:hanging="1418"/>
        <w:rPr>
          <w:rFonts w:ascii="Times New Roman" w:eastAsia="Times New Roman" w:hAnsi="Times New Roman" w:cs="Times New Roman"/>
          <w:noProof w:val="0"/>
        </w:rPr>
      </w:pPr>
      <w:r w:rsidRPr="00E07ACB">
        <w:rPr>
          <w:rFonts w:ascii="Times New Roman" w:eastAsia="Times New Roman" w:hAnsi="Times New Roman" w:cs="Times New Roman"/>
          <w:noProof w:val="0"/>
        </w:rPr>
        <w:t>Tabletės plėvelė: hipromeliozė, makrogolis 400, makrogolis 6000.</w:t>
      </w:r>
    </w:p>
    <w:p w14:paraId="0381ED91" w14:textId="77777777" w:rsidR="00E07ACB" w:rsidRPr="00E07ACB" w:rsidRDefault="00E07ACB" w:rsidP="00E07ACB">
      <w:pPr>
        <w:spacing w:after="0" w:line="240" w:lineRule="auto"/>
        <w:rPr>
          <w:rFonts w:ascii="Times New Roman" w:eastAsia="Times New Roman" w:hAnsi="Times New Roman" w:cs="Times New Roman"/>
          <w:b/>
          <w:bCs/>
          <w:noProof w:val="0"/>
        </w:rPr>
      </w:pPr>
    </w:p>
    <w:p w14:paraId="2A838B6D" w14:textId="77777777" w:rsidR="00E07ACB" w:rsidRPr="00E07ACB" w:rsidRDefault="00E07ACB" w:rsidP="00E07ACB">
      <w:pPr>
        <w:spacing w:after="0" w:line="240" w:lineRule="auto"/>
        <w:rPr>
          <w:rFonts w:ascii="Times New Roman" w:eastAsia="Times New Roman" w:hAnsi="Times New Roman" w:cs="Times New Roman"/>
          <w:b/>
          <w:bCs/>
          <w:noProof w:val="0"/>
        </w:rPr>
      </w:pPr>
      <w:r w:rsidRPr="00E07ACB">
        <w:rPr>
          <w:rFonts w:ascii="Times New Roman" w:eastAsia="Times New Roman" w:hAnsi="Times New Roman" w:cs="Times New Roman"/>
          <w:b/>
          <w:bCs/>
          <w:noProof w:val="0"/>
        </w:rPr>
        <w:t>Atsimutin išvaizda ir kiekis pakuotėje</w:t>
      </w:r>
    </w:p>
    <w:p w14:paraId="13888D79" w14:textId="77777777" w:rsidR="00E07ACB" w:rsidRPr="00E07ACB" w:rsidRDefault="00E07ACB" w:rsidP="00E07ACB">
      <w:pPr>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 xml:space="preserve">Atsimutin 50 mg plėvele dengtos tabletės yra blyškiai geltonos spalvos, plėvele dengtos, apvalios, abipus išgaubtos tabletės PVC-PVdC/VMCH dengtose aliuminio lizdinėse plokštelėse. </w:t>
      </w:r>
    </w:p>
    <w:p w14:paraId="78A80942" w14:textId="77777777" w:rsidR="00E07ACB" w:rsidRPr="00E07ACB" w:rsidRDefault="00E07ACB" w:rsidP="00E07ACB">
      <w:pPr>
        <w:spacing w:after="0" w:line="240" w:lineRule="auto"/>
        <w:rPr>
          <w:rFonts w:ascii="Times New Roman" w:eastAsia="Calibri" w:hAnsi="Times New Roman" w:cs="Times New Roman"/>
          <w:noProof w:val="0"/>
          <w:szCs w:val="20"/>
          <w:lang w:eastAsia="de-DE"/>
        </w:rPr>
      </w:pPr>
      <w:r w:rsidRPr="00E07ACB">
        <w:rPr>
          <w:rFonts w:ascii="Times New Roman" w:eastAsia="Calibri" w:hAnsi="Times New Roman" w:cs="Times New Roman"/>
          <w:noProof w:val="0"/>
          <w:szCs w:val="20"/>
          <w:lang w:eastAsia="de-DE"/>
        </w:rPr>
        <w:t>Vienoje tablečių pusėje įspausta „AZ50“, o kitoje pusėje įrėžta vagelė.</w:t>
      </w:r>
    </w:p>
    <w:p w14:paraId="617832EB"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p>
    <w:p w14:paraId="5B464AA5" w14:textId="77777777" w:rsidR="00E07ACB" w:rsidRPr="00E07ACB" w:rsidRDefault="00E07ACB" w:rsidP="00E07ACB">
      <w:pPr>
        <w:tabs>
          <w:tab w:val="left" w:pos="567"/>
        </w:tabs>
        <w:spacing w:after="0" w:line="240" w:lineRule="auto"/>
        <w:rPr>
          <w:rFonts w:ascii="Times New Roman" w:eastAsia="Times New Roman" w:hAnsi="Times New Roman" w:cs="Times New Roman"/>
          <w:iCs/>
          <w:noProof w:val="0"/>
        </w:rPr>
      </w:pPr>
      <w:r w:rsidRPr="00E07ACB">
        <w:rPr>
          <w:rFonts w:ascii="Times New Roman" w:eastAsia="Times New Roman" w:hAnsi="Times New Roman" w:cs="Times New Roman"/>
          <w:noProof w:val="0"/>
        </w:rPr>
        <w:t>Atsimutin 50 mg tabletės yra tiekiamos 28</w:t>
      </w:r>
      <w:r w:rsidRPr="00E07ACB">
        <w:rPr>
          <w:rFonts w:ascii="Times New Roman" w:eastAsia="Times New Roman" w:hAnsi="Times New Roman" w:cs="Times New Roman"/>
          <w:noProof w:val="0"/>
          <w:highlight w:val="lightGray"/>
        </w:rPr>
        <w:t xml:space="preserve">, 30, </w:t>
      </w:r>
      <w:r w:rsidRPr="00E07ACB">
        <w:rPr>
          <w:rFonts w:ascii="Times New Roman" w:eastAsia="Times New Roman" w:hAnsi="Times New Roman" w:cs="Times New Roman"/>
          <w:iCs/>
          <w:noProof w:val="0"/>
          <w:highlight w:val="lightGray"/>
        </w:rPr>
        <w:t>50, 56, 90 ir 100</w:t>
      </w:r>
      <w:r w:rsidRPr="00E07ACB">
        <w:rPr>
          <w:rFonts w:ascii="Times New Roman" w:eastAsia="Times New Roman" w:hAnsi="Times New Roman" w:cs="Times New Roman"/>
          <w:iCs/>
          <w:noProof w:val="0"/>
        </w:rPr>
        <w:t xml:space="preserve"> plėvele dengtų tablečių pakuotėse.</w:t>
      </w:r>
    </w:p>
    <w:p w14:paraId="32AA7DA6" w14:textId="77777777" w:rsidR="00E07ACB" w:rsidRPr="00E07ACB" w:rsidRDefault="00E07ACB" w:rsidP="00E07ACB">
      <w:pPr>
        <w:spacing w:after="0" w:line="240" w:lineRule="auto"/>
        <w:rPr>
          <w:rFonts w:ascii="Times New Roman" w:eastAsia="Times New Roman" w:hAnsi="Times New Roman" w:cs="Times New Roman"/>
          <w:noProof w:val="0"/>
        </w:rPr>
      </w:pPr>
    </w:p>
    <w:p w14:paraId="51A31DC0" w14:textId="77777777"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noProof w:val="0"/>
        </w:rPr>
        <w:t>Registruotojas ir gamintojas</w:t>
      </w:r>
    </w:p>
    <w:p w14:paraId="79B91D6C"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p>
    <w:p w14:paraId="4DAAADCC"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i/>
          <w:noProof w:val="0"/>
        </w:rPr>
      </w:pPr>
      <w:r w:rsidRPr="00E07ACB">
        <w:rPr>
          <w:rFonts w:ascii="Times New Roman" w:eastAsia="Calibri" w:hAnsi="Times New Roman" w:cs="Times New Roman"/>
          <w:i/>
          <w:noProof w:val="0"/>
        </w:rPr>
        <w:t>Registruotojas</w:t>
      </w:r>
    </w:p>
    <w:p w14:paraId="672FC0B5"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Bausch Health Ireland Limited</w:t>
      </w:r>
    </w:p>
    <w:p w14:paraId="2E00DC83"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3013 Lake Drive</w:t>
      </w:r>
    </w:p>
    <w:p w14:paraId="7218519F"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Citywest Business Campus</w:t>
      </w:r>
    </w:p>
    <w:p w14:paraId="2A003E45"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Dublin 24, D24PPT3</w:t>
      </w:r>
    </w:p>
    <w:p w14:paraId="66619A22" w14:textId="77777777" w:rsidR="00252034" w:rsidRPr="004055B2" w:rsidRDefault="00252034" w:rsidP="00252034">
      <w:pPr>
        <w:spacing w:after="0" w:line="240" w:lineRule="auto"/>
        <w:rPr>
          <w:rFonts w:ascii="Times New Roman" w:hAnsi="Times New Roman" w:cs="Times New Roman"/>
        </w:rPr>
      </w:pPr>
      <w:r w:rsidRPr="004055B2">
        <w:rPr>
          <w:rFonts w:ascii="Times New Roman" w:hAnsi="Times New Roman" w:cs="Times New Roman"/>
        </w:rPr>
        <w:t>Airija</w:t>
      </w:r>
    </w:p>
    <w:p w14:paraId="4DE58F37"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noProof w:val="0"/>
          <w:szCs w:val="24"/>
        </w:rPr>
      </w:pPr>
    </w:p>
    <w:p w14:paraId="7AB4220B"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i/>
          <w:noProof w:val="0"/>
          <w:szCs w:val="24"/>
        </w:rPr>
      </w:pPr>
      <w:r w:rsidRPr="00E07ACB">
        <w:rPr>
          <w:rFonts w:ascii="Times New Roman" w:eastAsia="Times New Roman" w:hAnsi="Times New Roman" w:cs="Times New Roman"/>
          <w:i/>
          <w:noProof w:val="0"/>
          <w:szCs w:val="24"/>
        </w:rPr>
        <w:t>Gamintojas</w:t>
      </w:r>
    </w:p>
    <w:p w14:paraId="6B8B03DE"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rPr>
      </w:pPr>
      <w:r w:rsidRPr="00E07ACB">
        <w:rPr>
          <w:rFonts w:ascii="Times New Roman" w:eastAsia="Times New Roman" w:hAnsi="Times New Roman" w:cs="Times New Roman"/>
          <w:noProof w:val="0"/>
        </w:rPr>
        <w:t>AqVida GmbH</w:t>
      </w:r>
    </w:p>
    <w:p w14:paraId="4F204FDD"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szCs w:val="24"/>
        </w:rPr>
      </w:pPr>
      <w:r w:rsidRPr="00E07ACB">
        <w:rPr>
          <w:rFonts w:ascii="Times New Roman" w:eastAsia="Times New Roman" w:hAnsi="Times New Roman" w:cs="Times New Roman"/>
          <w:noProof w:val="0"/>
        </w:rPr>
        <w:t xml:space="preserve">Kaiser-Wilhelm-Str. </w:t>
      </w:r>
      <w:r w:rsidRPr="00E07ACB">
        <w:rPr>
          <w:rFonts w:ascii="Times New Roman" w:eastAsia="Times New Roman" w:hAnsi="Times New Roman" w:cs="Times New Roman"/>
          <w:noProof w:val="0"/>
          <w:szCs w:val="24"/>
        </w:rPr>
        <w:t>89</w:t>
      </w:r>
    </w:p>
    <w:p w14:paraId="25A4A0A3" w14:textId="77777777" w:rsidR="00E07ACB" w:rsidRPr="00E07ACB" w:rsidRDefault="00E07ACB" w:rsidP="00E07ACB">
      <w:pPr>
        <w:tabs>
          <w:tab w:val="left" w:pos="708"/>
        </w:tabs>
        <w:spacing w:after="0" w:line="240" w:lineRule="auto"/>
        <w:rPr>
          <w:rFonts w:ascii="Times New Roman" w:eastAsia="Times New Roman" w:hAnsi="Times New Roman" w:cs="Times New Roman"/>
          <w:noProof w:val="0"/>
          <w:szCs w:val="24"/>
        </w:rPr>
      </w:pPr>
      <w:r w:rsidRPr="00E07ACB">
        <w:rPr>
          <w:rFonts w:ascii="Times New Roman" w:eastAsia="Times New Roman" w:hAnsi="Times New Roman" w:cs="Times New Roman"/>
          <w:noProof w:val="0"/>
          <w:szCs w:val="24"/>
        </w:rPr>
        <w:t>20355 Hamburg</w:t>
      </w:r>
    </w:p>
    <w:p w14:paraId="37B34E67"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noProof w:val="0"/>
          <w:szCs w:val="24"/>
        </w:rPr>
      </w:pPr>
      <w:r w:rsidRPr="00E07ACB">
        <w:rPr>
          <w:rFonts w:ascii="Times New Roman" w:eastAsia="Times New Roman" w:hAnsi="Times New Roman" w:cs="Times New Roman"/>
          <w:noProof w:val="0"/>
          <w:szCs w:val="24"/>
        </w:rPr>
        <w:t>Vokietija</w:t>
      </w:r>
    </w:p>
    <w:p w14:paraId="74D3A04E" w14:textId="77777777" w:rsidR="00E07ACB" w:rsidRPr="00E07ACB" w:rsidRDefault="00E07ACB" w:rsidP="00E07ACB">
      <w:pPr>
        <w:tabs>
          <w:tab w:val="left" w:pos="-720"/>
        </w:tabs>
        <w:spacing w:after="0" w:line="240" w:lineRule="auto"/>
        <w:ind w:right="238"/>
        <w:jc w:val="both"/>
        <w:rPr>
          <w:rFonts w:ascii="Times New Roman" w:eastAsia="Times New Roman" w:hAnsi="Times New Roman" w:cs="Times New Roman"/>
          <w:noProof w:val="0"/>
          <w:szCs w:val="24"/>
        </w:rPr>
      </w:pPr>
    </w:p>
    <w:p w14:paraId="52F7CFA2" w14:textId="11ED5AED" w:rsidR="00E07ACB" w:rsidRPr="00E07ACB" w:rsidRDefault="00E07ACB" w:rsidP="00E07ACB">
      <w:pPr>
        <w:numPr>
          <w:ilvl w:val="12"/>
          <w:numId w:val="0"/>
        </w:numPr>
        <w:tabs>
          <w:tab w:val="left" w:pos="567"/>
        </w:tabs>
        <w:spacing w:after="0" w:line="260" w:lineRule="exact"/>
        <w:ind w:right="-2"/>
        <w:rPr>
          <w:rFonts w:ascii="Times New Roman" w:eastAsia="Times New Roman" w:hAnsi="Times New Roman" w:cs="Times New Roman"/>
          <w:noProof w:val="0"/>
          <w:snapToGrid w:val="0"/>
        </w:rPr>
      </w:pPr>
    </w:p>
    <w:p w14:paraId="07E551D2" w14:textId="59C5FCAE" w:rsidR="00E07ACB" w:rsidRPr="00E07ACB" w:rsidRDefault="00E07ACB" w:rsidP="00E07ACB">
      <w:pPr>
        <w:numPr>
          <w:ilvl w:val="12"/>
          <w:numId w:val="0"/>
        </w:numPr>
        <w:tabs>
          <w:tab w:val="left" w:pos="567"/>
        </w:tabs>
        <w:spacing w:after="0" w:line="260" w:lineRule="exact"/>
        <w:ind w:right="-2"/>
        <w:rPr>
          <w:rFonts w:ascii="Times New Roman" w:eastAsia="Times New Roman" w:hAnsi="Times New Roman" w:cs="Times New Roman"/>
          <w:noProof w:val="0"/>
          <w:snapToGrid w:val="0"/>
        </w:rPr>
      </w:pPr>
      <w:r w:rsidRPr="00E07ACB">
        <w:rPr>
          <w:rFonts w:ascii="Times New Roman" w:eastAsia="Times New Roman" w:hAnsi="Times New Roman" w:cs="Times New Roman"/>
          <w:b/>
          <w:noProof w:val="0"/>
          <w:snapToGrid w:val="0"/>
        </w:rPr>
        <w:t>Šis vaistas E</w:t>
      </w:r>
      <w:r w:rsidR="00FF3049">
        <w:rPr>
          <w:rFonts w:ascii="Times New Roman" w:eastAsia="Times New Roman" w:hAnsi="Times New Roman" w:cs="Times New Roman"/>
          <w:b/>
          <w:noProof w:val="0"/>
          <w:snapToGrid w:val="0"/>
        </w:rPr>
        <w:t>uropos ekonominės erdvės</w:t>
      </w:r>
      <w:r w:rsidRPr="00E07ACB">
        <w:rPr>
          <w:rFonts w:ascii="Times New Roman" w:eastAsia="Times New Roman" w:hAnsi="Times New Roman" w:cs="Times New Roman"/>
          <w:b/>
          <w:noProof w:val="0"/>
          <w:snapToGrid w:val="0"/>
        </w:rPr>
        <w:t xml:space="preserve"> valstybėse narėse registruotas tokiais pavadinimais</w:t>
      </w:r>
      <w:r w:rsidRPr="00E07ACB">
        <w:rPr>
          <w:rFonts w:ascii="Times New Roman" w:eastAsia="Times New Roman" w:hAnsi="Times New Roman" w:cs="Times New Roman"/>
          <w:noProof w:val="0"/>
          <w:snapToGrid w:val="0"/>
        </w:rPr>
        <w:t>:</w:t>
      </w:r>
    </w:p>
    <w:p w14:paraId="1B7950FE"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Čekija:</w:t>
      </w:r>
      <w:r w:rsidRPr="00E07ACB">
        <w:rPr>
          <w:rFonts w:ascii="Times New Roman" w:eastAsia="Calibri" w:hAnsi="Times New Roman" w:cs="Times New Roman"/>
          <w:noProof w:val="0"/>
        </w:rPr>
        <w:tab/>
        <w:t>Imasup 50 mg</w:t>
      </w:r>
      <w:r w:rsidRPr="007C0115">
        <w:rPr>
          <w:rFonts w:ascii="Times New Roman" w:eastAsia="Calibri" w:hAnsi="Times New Roman" w:cs="Times New Roman"/>
        </w:rPr>
        <w:t xml:space="preserve"> potahovane tablet</w:t>
      </w:r>
      <w:r w:rsidRPr="00E07ACB">
        <w:rPr>
          <w:rFonts w:ascii="Times New Roman" w:eastAsia="Calibri" w:hAnsi="Times New Roman" w:cs="Times New Roman"/>
          <w:noProof w:val="0"/>
        </w:rPr>
        <w:t>;</w:t>
      </w:r>
    </w:p>
    <w:p w14:paraId="1824D10E"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Estija:</w:t>
      </w:r>
      <w:r w:rsidRPr="00E07ACB">
        <w:rPr>
          <w:rFonts w:ascii="Times New Roman" w:eastAsia="Calibri" w:hAnsi="Times New Roman" w:cs="Times New Roman"/>
          <w:noProof w:val="0"/>
        </w:rPr>
        <w:tab/>
        <w:t>Atsimutin;</w:t>
      </w:r>
    </w:p>
    <w:p w14:paraId="356CAA90"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Lietuva:</w:t>
      </w:r>
      <w:r w:rsidRPr="00E07ACB">
        <w:rPr>
          <w:rFonts w:ascii="Times New Roman" w:eastAsia="Calibri" w:hAnsi="Times New Roman" w:cs="Times New Roman"/>
          <w:noProof w:val="0"/>
        </w:rPr>
        <w:tab/>
        <w:t>Atsimutin 50 mg plėvele dengtos tabletės;</w:t>
      </w:r>
    </w:p>
    <w:p w14:paraId="24D8170D"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Latvija:</w:t>
      </w:r>
      <w:r w:rsidRPr="00E07ACB">
        <w:rPr>
          <w:rFonts w:ascii="Times New Roman" w:eastAsia="Calibri" w:hAnsi="Times New Roman" w:cs="Times New Roman"/>
          <w:noProof w:val="0"/>
        </w:rPr>
        <w:tab/>
        <w:t>Atsimutin 50 mg apvalkotās tabletes;</w:t>
      </w:r>
    </w:p>
    <w:p w14:paraId="44197AED" w14:textId="77777777" w:rsidR="00E07ACB" w:rsidRPr="00E07ACB" w:rsidRDefault="00E07ACB" w:rsidP="00E07ACB">
      <w:pPr>
        <w:autoSpaceDE w:val="0"/>
        <w:autoSpaceDN w:val="0"/>
        <w:adjustRightInd w:val="0"/>
        <w:spacing w:after="0" w:line="240" w:lineRule="auto"/>
        <w:rPr>
          <w:rFonts w:ascii="Times New Roman" w:eastAsia="Calibri" w:hAnsi="Times New Roman" w:cs="Times New Roman"/>
          <w:noProof w:val="0"/>
        </w:rPr>
      </w:pPr>
      <w:r w:rsidRPr="00E07ACB">
        <w:rPr>
          <w:rFonts w:ascii="Times New Roman" w:eastAsia="Calibri" w:hAnsi="Times New Roman" w:cs="Times New Roman"/>
          <w:noProof w:val="0"/>
        </w:rPr>
        <w:t>Slovakija:</w:t>
      </w:r>
      <w:r w:rsidRPr="00E07ACB">
        <w:rPr>
          <w:rFonts w:ascii="Times New Roman" w:eastAsia="Calibri" w:hAnsi="Times New Roman" w:cs="Times New Roman"/>
          <w:noProof w:val="0"/>
        </w:rPr>
        <w:tab/>
        <w:t>Imasup 50 mg</w:t>
      </w:r>
      <w:r w:rsidRPr="00E07ACB">
        <w:rPr>
          <w:rFonts w:ascii="Calibri" w:eastAsia="Calibri" w:hAnsi="Calibri" w:cs="Times New Roman"/>
        </w:rPr>
        <w:t xml:space="preserve"> </w:t>
      </w:r>
      <w:r w:rsidRPr="00E07ACB">
        <w:rPr>
          <w:rFonts w:ascii="Times New Roman" w:eastAsia="Calibri" w:hAnsi="Times New Roman" w:cs="Times New Roman"/>
          <w:noProof w:val="0"/>
        </w:rPr>
        <w:t>filmom obalene tablety.</w:t>
      </w:r>
    </w:p>
    <w:p w14:paraId="208D9F74" w14:textId="77777777" w:rsidR="00E07ACB" w:rsidRPr="00E07ACB" w:rsidRDefault="00E07ACB" w:rsidP="00E07ACB">
      <w:pPr>
        <w:spacing w:after="0" w:line="240" w:lineRule="auto"/>
        <w:rPr>
          <w:rFonts w:ascii="Times New Roman" w:eastAsia="Times New Roman" w:hAnsi="Times New Roman" w:cs="Times New Roman"/>
          <w:b/>
          <w:noProof w:val="0"/>
        </w:rPr>
      </w:pPr>
    </w:p>
    <w:p w14:paraId="18B3AD7A" w14:textId="77777777" w:rsidR="00252034" w:rsidRDefault="00252034" w:rsidP="00E07ACB">
      <w:pPr>
        <w:spacing w:after="0" w:line="240" w:lineRule="auto"/>
        <w:rPr>
          <w:rFonts w:ascii="Times New Roman" w:eastAsia="Times New Roman" w:hAnsi="Times New Roman" w:cs="Times New Roman"/>
          <w:b/>
          <w:bCs/>
          <w:noProof w:val="0"/>
        </w:rPr>
      </w:pPr>
    </w:p>
    <w:p w14:paraId="2F84E05E" w14:textId="03E6AB1D" w:rsidR="00E07ACB" w:rsidRPr="00E07ACB" w:rsidRDefault="00E07ACB" w:rsidP="00E07ACB">
      <w:pPr>
        <w:spacing w:after="0" w:line="240" w:lineRule="auto"/>
        <w:rPr>
          <w:rFonts w:ascii="Times New Roman" w:eastAsia="Times New Roman" w:hAnsi="Times New Roman" w:cs="Times New Roman"/>
          <w:b/>
          <w:noProof w:val="0"/>
        </w:rPr>
      </w:pPr>
      <w:r w:rsidRPr="00E07ACB">
        <w:rPr>
          <w:rFonts w:ascii="Times New Roman" w:eastAsia="Times New Roman" w:hAnsi="Times New Roman" w:cs="Times New Roman"/>
          <w:b/>
          <w:bCs/>
          <w:noProof w:val="0"/>
        </w:rPr>
        <w:t xml:space="preserve">Šis pakuotės </w:t>
      </w:r>
      <w:r w:rsidRPr="00E07ACB">
        <w:rPr>
          <w:rFonts w:ascii="Times New Roman" w:eastAsia="Times New Roman" w:hAnsi="Times New Roman" w:cs="Times New Roman"/>
          <w:b/>
          <w:noProof w:val="0"/>
        </w:rPr>
        <w:t>lapelis paskutinį kartą peržiūrėtas</w:t>
      </w:r>
      <w:r w:rsidR="00FF3049">
        <w:rPr>
          <w:rFonts w:ascii="Times New Roman" w:eastAsia="Times New Roman" w:hAnsi="Times New Roman" w:cs="Times New Roman"/>
          <w:b/>
          <w:noProof w:val="0"/>
        </w:rPr>
        <w:t>2025-03-07</w:t>
      </w:r>
      <w:r w:rsidR="00106DA8">
        <w:rPr>
          <w:rFonts w:ascii="Times New Roman" w:eastAsia="Times New Roman" w:hAnsi="Times New Roman" w:cs="Times New Roman"/>
          <w:b/>
          <w:noProof w:val="0"/>
        </w:rPr>
        <w:t>.</w:t>
      </w:r>
      <w:r w:rsidRPr="00E07ACB">
        <w:rPr>
          <w:rFonts w:ascii="Times New Roman" w:eastAsia="Times New Roman" w:hAnsi="Times New Roman" w:cs="Times New Roman"/>
          <w:b/>
          <w:noProof w:val="0"/>
        </w:rPr>
        <w:t xml:space="preserve"> </w:t>
      </w:r>
    </w:p>
    <w:p w14:paraId="17A03EC2" w14:textId="77777777" w:rsidR="00E07ACB" w:rsidRPr="00E07ACB" w:rsidRDefault="00E07ACB" w:rsidP="00E07ACB">
      <w:pPr>
        <w:spacing w:after="0" w:line="240" w:lineRule="auto"/>
        <w:rPr>
          <w:rFonts w:ascii="Times New Roman" w:eastAsia="Times New Roman" w:hAnsi="Times New Roman" w:cs="Times New Roman"/>
          <w:noProof w:val="0"/>
          <w:szCs w:val="24"/>
        </w:rPr>
      </w:pPr>
    </w:p>
    <w:p w14:paraId="494100AA" w14:textId="433F18E1" w:rsidR="00E07ACB" w:rsidRPr="00E07ACB" w:rsidRDefault="00E07ACB" w:rsidP="00E07ACB">
      <w:pPr>
        <w:spacing w:after="0" w:line="240" w:lineRule="auto"/>
        <w:rPr>
          <w:rFonts w:ascii="Times New Roman" w:eastAsia="Calibri" w:hAnsi="Times New Roman" w:cs="Times New Roman"/>
          <w:noProof w:val="0"/>
          <w:color w:val="0000FF"/>
          <w:sz w:val="20"/>
          <w:szCs w:val="20"/>
          <w:u w:val="single"/>
          <w:lang w:eastAsia="de-DE"/>
        </w:rPr>
      </w:pPr>
      <w:r w:rsidRPr="00E07ACB">
        <w:rPr>
          <w:rFonts w:ascii="Times New Roman" w:eastAsia="Calibri" w:hAnsi="Times New Roman" w:cs="Times New Roman"/>
          <w:noProof w:val="0"/>
          <w:szCs w:val="20"/>
          <w:lang w:eastAsia="de-DE"/>
        </w:rPr>
        <w:t xml:space="preserve">Išsami informacija apie šį vaistą pateikiama Valstybinės vaistų kontrolės tarnybos prie Lietuvos Respublikos sveikatos apsaugos ministerijos tinklalapyje </w:t>
      </w:r>
      <w:r w:rsidR="00B70CFB" w:rsidRPr="003F0C62">
        <w:rPr>
          <w:rFonts w:ascii="Times New Roman" w:hAnsi="Times New Roman" w:cs="Times New Roman"/>
          <w:color w:val="0000EE"/>
          <w:u w:val="single"/>
          <w:lang w:eastAsia="lt-LT"/>
        </w:rPr>
        <w:t>https://vvkt.lrv.lt/lt/.</w:t>
      </w:r>
    </w:p>
    <w:p w14:paraId="5DC364FB" w14:textId="77777777" w:rsidR="00E07ACB" w:rsidRPr="00E07ACB" w:rsidRDefault="00E07ACB" w:rsidP="00E07ACB">
      <w:pPr>
        <w:spacing w:after="0" w:line="240" w:lineRule="auto"/>
        <w:jc w:val="center"/>
        <w:rPr>
          <w:rFonts w:ascii="Times New Roman" w:eastAsia="Times New Roman" w:hAnsi="Times New Roman" w:cs="Times New Roman"/>
          <w:noProof w:val="0"/>
          <w:sz w:val="24"/>
        </w:rPr>
      </w:pPr>
    </w:p>
    <w:p w14:paraId="2C05C840" w14:textId="77777777" w:rsidR="00E07ACB" w:rsidRPr="00E07ACB" w:rsidRDefault="00E07ACB" w:rsidP="00E07ACB">
      <w:pPr>
        <w:spacing w:after="0" w:line="240" w:lineRule="auto"/>
        <w:rPr>
          <w:rFonts w:ascii="Times New Roman" w:eastAsia="Times New Roman" w:hAnsi="Times New Roman" w:cs="Times New Roman"/>
          <w:noProof w:val="0"/>
        </w:rPr>
      </w:pPr>
    </w:p>
    <w:p w14:paraId="74E01BA2" w14:textId="77777777" w:rsidR="00E07ACB" w:rsidRPr="00E07ACB" w:rsidRDefault="00E07ACB" w:rsidP="00E07ACB">
      <w:pPr>
        <w:spacing w:after="0" w:line="240" w:lineRule="auto"/>
        <w:rPr>
          <w:rFonts w:ascii="Times New Roman" w:eastAsia="Times New Roman" w:hAnsi="Times New Roman" w:cs="Times New Roman"/>
          <w:noProof w:val="0"/>
        </w:rPr>
      </w:pPr>
    </w:p>
    <w:p w14:paraId="549114A1" w14:textId="77777777" w:rsidR="00E07ACB" w:rsidRPr="00E07ACB" w:rsidRDefault="00E07ACB" w:rsidP="00E07ACB">
      <w:pPr>
        <w:spacing w:after="0" w:line="240" w:lineRule="auto"/>
        <w:rPr>
          <w:rFonts w:ascii="Times New Roman" w:eastAsia="Times New Roman" w:hAnsi="Times New Roman" w:cs="Times New Roman"/>
          <w:noProof w:val="0"/>
          <w:sz w:val="24"/>
          <w:szCs w:val="24"/>
        </w:rPr>
      </w:pPr>
    </w:p>
    <w:p w14:paraId="5CD14B37" w14:textId="77777777" w:rsidR="00E07ACB" w:rsidRPr="00E07ACB" w:rsidRDefault="00E07ACB" w:rsidP="00E07ACB">
      <w:pPr>
        <w:spacing w:after="0" w:line="240" w:lineRule="auto"/>
        <w:rPr>
          <w:rFonts w:ascii="Times New Roman" w:eastAsia="Times New Roman" w:hAnsi="Times New Roman" w:cs="Times New Roman"/>
          <w:noProof w:val="0"/>
          <w:sz w:val="24"/>
          <w:szCs w:val="24"/>
        </w:rPr>
      </w:pPr>
    </w:p>
    <w:p w14:paraId="643F57F1" w14:textId="77777777" w:rsidR="00E07ACB" w:rsidRPr="00E07ACB" w:rsidRDefault="00E07ACB" w:rsidP="00E07ACB">
      <w:pPr>
        <w:spacing w:after="0" w:line="240" w:lineRule="auto"/>
        <w:rPr>
          <w:rFonts w:ascii="Times New Roman" w:eastAsia="Times New Roman" w:hAnsi="Times New Roman" w:cs="Times New Roman"/>
          <w:noProof w:val="0"/>
          <w:sz w:val="24"/>
          <w:szCs w:val="24"/>
        </w:rPr>
      </w:pPr>
    </w:p>
    <w:p w14:paraId="6D1DA605" w14:textId="77777777" w:rsidR="00E07ACB" w:rsidRPr="00E07ACB" w:rsidRDefault="00E07ACB" w:rsidP="00E07ACB">
      <w:pPr>
        <w:rPr>
          <w:rFonts w:ascii="Calibri" w:eastAsia="Calibri" w:hAnsi="Calibri" w:cs="Times New Roman"/>
        </w:rPr>
      </w:pPr>
    </w:p>
    <w:p w14:paraId="517734BD" w14:textId="77777777" w:rsidR="00B56DE1" w:rsidRDefault="00B56DE1"/>
    <w:sectPr w:rsidR="00B56DE1" w:rsidSect="00F2795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TE27FA328t00">
    <w:altName w:val="Arial"/>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2FA4D30"/>
    <w:multiLevelType w:val="hybridMultilevel"/>
    <w:tmpl w:val="04349974"/>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384344"/>
    <w:multiLevelType w:val="hybridMultilevel"/>
    <w:tmpl w:val="A51A8868"/>
    <w:lvl w:ilvl="0" w:tplc="FBFEC30A">
      <w:start w:val="4"/>
      <w:numFmt w:val="bullet"/>
      <w:lvlText w:val="−"/>
      <w:lvlJc w:val="left"/>
      <w:pPr>
        <w:ind w:left="720" w:hanging="360"/>
      </w:pPr>
      <w:rPr>
        <w:rFonts w:ascii="Cambria" w:eastAsia="MS Mincho" w:hAnsi="Cambria"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06DF595B"/>
    <w:multiLevelType w:val="hybridMultilevel"/>
    <w:tmpl w:val="55947E8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977A71"/>
    <w:multiLevelType w:val="hybridMultilevel"/>
    <w:tmpl w:val="1234CC6A"/>
    <w:lvl w:ilvl="0" w:tplc="FBFEC30A">
      <w:start w:val="4"/>
      <w:numFmt w:val="bullet"/>
      <w:lvlText w:val="−"/>
      <w:lvlJc w:val="left"/>
      <w:pPr>
        <w:ind w:left="1290" w:hanging="360"/>
      </w:pPr>
      <w:rPr>
        <w:rFonts w:ascii="Cambria" w:eastAsia="MS Mincho" w:hAnsi="Cambria" w:hint="default"/>
      </w:rPr>
    </w:lvl>
    <w:lvl w:ilvl="1" w:tplc="04270003">
      <w:start w:val="1"/>
      <w:numFmt w:val="bullet"/>
      <w:lvlText w:val="o"/>
      <w:lvlJc w:val="left"/>
      <w:pPr>
        <w:ind w:left="2010" w:hanging="360"/>
      </w:pPr>
      <w:rPr>
        <w:rFonts w:ascii="Courier New" w:hAnsi="Courier New" w:cs="Times New Roman" w:hint="default"/>
      </w:rPr>
    </w:lvl>
    <w:lvl w:ilvl="2" w:tplc="04270005">
      <w:start w:val="1"/>
      <w:numFmt w:val="bullet"/>
      <w:lvlText w:val=""/>
      <w:lvlJc w:val="left"/>
      <w:pPr>
        <w:ind w:left="2730" w:hanging="360"/>
      </w:pPr>
      <w:rPr>
        <w:rFonts w:ascii="Wingdings" w:hAnsi="Wingdings" w:hint="default"/>
      </w:rPr>
    </w:lvl>
    <w:lvl w:ilvl="3" w:tplc="04270001">
      <w:start w:val="1"/>
      <w:numFmt w:val="bullet"/>
      <w:lvlText w:val=""/>
      <w:lvlJc w:val="left"/>
      <w:pPr>
        <w:ind w:left="3450" w:hanging="360"/>
      </w:pPr>
      <w:rPr>
        <w:rFonts w:ascii="Symbol" w:hAnsi="Symbol" w:hint="default"/>
      </w:rPr>
    </w:lvl>
    <w:lvl w:ilvl="4" w:tplc="04270003">
      <w:start w:val="1"/>
      <w:numFmt w:val="bullet"/>
      <w:lvlText w:val="o"/>
      <w:lvlJc w:val="left"/>
      <w:pPr>
        <w:ind w:left="4170" w:hanging="360"/>
      </w:pPr>
      <w:rPr>
        <w:rFonts w:ascii="Courier New" w:hAnsi="Courier New" w:cs="Times New Roman" w:hint="default"/>
      </w:rPr>
    </w:lvl>
    <w:lvl w:ilvl="5" w:tplc="04270005">
      <w:start w:val="1"/>
      <w:numFmt w:val="bullet"/>
      <w:lvlText w:val=""/>
      <w:lvlJc w:val="left"/>
      <w:pPr>
        <w:ind w:left="4890" w:hanging="360"/>
      </w:pPr>
      <w:rPr>
        <w:rFonts w:ascii="Wingdings" w:hAnsi="Wingdings" w:hint="default"/>
      </w:rPr>
    </w:lvl>
    <w:lvl w:ilvl="6" w:tplc="04270001">
      <w:start w:val="1"/>
      <w:numFmt w:val="bullet"/>
      <w:lvlText w:val=""/>
      <w:lvlJc w:val="left"/>
      <w:pPr>
        <w:ind w:left="5610" w:hanging="360"/>
      </w:pPr>
      <w:rPr>
        <w:rFonts w:ascii="Symbol" w:hAnsi="Symbol" w:hint="default"/>
      </w:rPr>
    </w:lvl>
    <w:lvl w:ilvl="7" w:tplc="04270003">
      <w:start w:val="1"/>
      <w:numFmt w:val="bullet"/>
      <w:lvlText w:val="o"/>
      <w:lvlJc w:val="left"/>
      <w:pPr>
        <w:ind w:left="6330" w:hanging="360"/>
      </w:pPr>
      <w:rPr>
        <w:rFonts w:ascii="Courier New" w:hAnsi="Courier New" w:cs="Times New Roman" w:hint="default"/>
      </w:rPr>
    </w:lvl>
    <w:lvl w:ilvl="8" w:tplc="04270005">
      <w:start w:val="1"/>
      <w:numFmt w:val="bullet"/>
      <w:lvlText w:val=""/>
      <w:lvlJc w:val="left"/>
      <w:pPr>
        <w:ind w:left="7050" w:hanging="360"/>
      </w:pPr>
      <w:rPr>
        <w:rFonts w:ascii="Wingdings" w:hAnsi="Wingdings" w:hint="default"/>
      </w:rPr>
    </w:lvl>
  </w:abstractNum>
  <w:abstractNum w:abstractNumId="5" w15:restartNumberingAfterBreak="0">
    <w:nsid w:val="0E865C4A"/>
    <w:multiLevelType w:val="hybridMultilevel"/>
    <w:tmpl w:val="A662ADF6"/>
    <w:lvl w:ilvl="0" w:tplc="FFFFFFFF">
      <w:numFmt w:val="bullet"/>
      <w:lvlText w:val=""/>
      <w:lvlJc w:val="left"/>
      <w:pPr>
        <w:tabs>
          <w:tab w:val="num" w:pos="720"/>
        </w:tabs>
        <w:ind w:left="720" w:hanging="360"/>
      </w:pPr>
      <w:rPr>
        <w:rFonts w:ascii="Symbol" w:eastAsia="Times New Roman" w:hAnsi="Symbol" w:hint="default"/>
      </w:rPr>
    </w:lvl>
    <w:lvl w:ilvl="1" w:tplc="04270001">
      <w:start w:val="1"/>
      <w:numFmt w:val="bullet"/>
      <w:lvlText w:val=""/>
      <w:lvlJc w:val="left"/>
      <w:pPr>
        <w:tabs>
          <w:tab w:val="num" w:pos="1440"/>
        </w:tabs>
        <w:ind w:left="1440" w:hanging="360"/>
      </w:pPr>
      <w:rPr>
        <w:rFonts w:ascii="Symbol" w:hAnsi="Symbol" w:hint="default"/>
      </w:rPr>
    </w:lvl>
    <w:lvl w:ilvl="2" w:tplc="3F644BC4">
      <w:start w:val="5"/>
      <w:numFmt w:val="bullet"/>
      <w:lvlText w:val="-"/>
      <w:lvlJc w:val="left"/>
      <w:pPr>
        <w:tabs>
          <w:tab w:val="num" w:pos="2160"/>
        </w:tabs>
        <w:ind w:left="2160" w:hanging="360"/>
      </w:p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7B76B5"/>
    <w:multiLevelType w:val="hybridMultilevel"/>
    <w:tmpl w:val="C3F878D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28737F98"/>
    <w:multiLevelType w:val="hybridMultilevel"/>
    <w:tmpl w:val="984C46B6"/>
    <w:lvl w:ilvl="0" w:tplc="2E7A783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30F02CEA"/>
    <w:multiLevelType w:val="hybridMultilevel"/>
    <w:tmpl w:val="25B02EFC"/>
    <w:lvl w:ilvl="0" w:tplc="C100AFCE">
      <w:start w:val="1"/>
      <w:numFmt w:val="bullet"/>
      <w:pStyle w:val="BTAnII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38531E1"/>
    <w:multiLevelType w:val="hybridMultilevel"/>
    <w:tmpl w:val="7ACC5ACA"/>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34002C8C"/>
    <w:multiLevelType w:val="hybridMultilevel"/>
    <w:tmpl w:val="5F84AF4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39566091"/>
    <w:multiLevelType w:val="hybridMultilevel"/>
    <w:tmpl w:val="05760236"/>
    <w:lvl w:ilvl="0" w:tplc="FBFEC30A">
      <w:start w:val="4"/>
      <w:numFmt w:val="bullet"/>
      <w:lvlText w:val="−"/>
      <w:lvlJc w:val="left"/>
      <w:pPr>
        <w:ind w:left="720" w:hanging="360"/>
      </w:pPr>
      <w:rPr>
        <w:rFonts w:ascii="Cambria" w:eastAsia="MS Mincho" w:hAnsi="Cambria"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3F991517"/>
    <w:multiLevelType w:val="hybridMultilevel"/>
    <w:tmpl w:val="78CA696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45E11C05"/>
    <w:multiLevelType w:val="hybridMultilevel"/>
    <w:tmpl w:val="312E2A02"/>
    <w:lvl w:ilvl="0" w:tplc="2E7A783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47E135EC"/>
    <w:multiLevelType w:val="hybridMultilevel"/>
    <w:tmpl w:val="C1B4B85C"/>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5" w15:restartNumberingAfterBreak="0">
    <w:nsid w:val="4FB358AF"/>
    <w:multiLevelType w:val="hybridMultilevel"/>
    <w:tmpl w:val="30908DAA"/>
    <w:lvl w:ilvl="0" w:tplc="04270001">
      <w:start w:val="1"/>
      <w:numFmt w:val="bullet"/>
      <w:lvlText w:val=""/>
      <w:lvlJc w:val="left"/>
      <w:pPr>
        <w:tabs>
          <w:tab w:val="num" w:pos="720"/>
        </w:tabs>
        <w:ind w:left="720" w:hanging="360"/>
      </w:pPr>
      <w:rPr>
        <w:rFonts w:ascii="Symbol" w:hAnsi="Symbol" w:hint="default"/>
      </w:rPr>
    </w:lvl>
    <w:lvl w:ilvl="1" w:tplc="2584BF02">
      <w:start w:val="16"/>
      <w:numFmt w:val="bullet"/>
      <w:lvlText w:val="-"/>
      <w:lvlJc w:val="left"/>
      <w:pPr>
        <w:tabs>
          <w:tab w:val="num" w:pos="1620"/>
        </w:tabs>
        <w:ind w:left="1620" w:hanging="540"/>
      </w:pPr>
      <w:rPr>
        <w:rFonts w:ascii="Times New Roman" w:eastAsia="Times New Roman" w:hAnsi="Times New Roman"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2AB23B4"/>
    <w:multiLevelType w:val="hybridMultilevel"/>
    <w:tmpl w:val="F4CCC230"/>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532218C5"/>
    <w:multiLevelType w:val="hybridMultilevel"/>
    <w:tmpl w:val="DF52CC86"/>
    <w:lvl w:ilvl="0" w:tplc="FBFEC30A">
      <w:start w:val="4"/>
      <w:numFmt w:val="bullet"/>
      <w:lvlText w:val="−"/>
      <w:lvlJc w:val="left"/>
      <w:pPr>
        <w:ind w:left="720" w:hanging="360"/>
      </w:pPr>
      <w:rPr>
        <w:rFonts w:ascii="Cambria" w:eastAsia="MS Mincho" w:hAnsi="Cambria"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8" w15:restartNumberingAfterBreak="0">
    <w:nsid w:val="57C31A46"/>
    <w:multiLevelType w:val="hybridMultilevel"/>
    <w:tmpl w:val="C240CD88"/>
    <w:lvl w:ilvl="0" w:tplc="FFFFFFFF">
      <w:numFmt w:val="bullet"/>
      <w:lvlText w:val=""/>
      <w:lvlJc w:val="left"/>
      <w:pPr>
        <w:tabs>
          <w:tab w:val="num" w:pos="720"/>
        </w:tabs>
        <w:ind w:left="720" w:hanging="360"/>
      </w:pPr>
      <w:rPr>
        <w:rFonts w:ascii="Symbol" w:eastAsia="Times New Roman" w:hAnsi="Symbol" w:hint="default"/>
      </w:rPr>
    </w:lvl>
    <w:lvl w:ilvl="1" w:tplc="FFFFFFFF">
      <w:start w:val="1"/>
      <w:numFmt w:val="bullet"/>
      <w:lvlText w:val="-"/>
      <w:lvlJc w:val="left"/>
      <w:pPr>
        <w:tabs>
          <w:tab w:val="num" w:pos="1440"/>
        </w:tabs>
        <w:ind w:left="1440" w:hanging="360"/>
      </w:pPr>
    </w:lvl>
    <w:lvl w:ilvl="2" w:tplc="3F644BC4">
      <w:start w:val="5"/>
      <w:numFmt w:val="bullet"/>
      <w:lvlText w:val="-"/>
      <w:lvlJc w:val="left"/>
      <w:pPr>
        <w:tabs>
          <w:tab w:val="num" w:pos="2160"/>
        </w:tabs>
        <w:ind w:left="2160" w:hanging="360"/>
      </w:p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87138A4"/>
    <w:multiLevelType w:val="hybridMultilevel"/>
    <w:tmpl w:val="73E4848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0" w15:restartNumberingAfterBreak="0">
    <w:nsid w:val="5D5A0F9D"/>
    <w:multiLevelType w:val="hybridMultilevel"/>
    <w:tmpl w:val="4DD8C2C6"/>
    <w:lvl w:ilvl="0" w:tplc="FFFFFFFF">
      <w:numFmt w:val="bullet"/>
      <w:lvlText w:val=""/>
      <w:lvlJc w:val="left"/>
      <w:pPr>
        <w:tabs>
          <w:tab w:val="num" w:pos="720"/>
        </w:tabs>
        <w:ind w:left="720" w:hanging="360"/>
      </w:pPr>
      <w:rPr>
        <w:rFonts w:ascii="Symbol" w:eastAsia="Times New Roman" w:hAnsi="Symbol" w:hint="default"/>
      </w:rPr>
    </w:lvl>
    <w:lvl w:ilvl="1" w:tplc="04270001">
      <w:start w:val="1"/>
      <w:numFmt w:val="bullet"/>
      <w:lvlText w:val=""/>
      <w:lvlJc w:val="left"/>
      <w:pPr>
        <w:tabs>
          <w:tab w:val="num" w:pos="1440"/>
        </w:tabs>
        <w:ind w:left="1440" w:hanging="360"/>
      </w:pPr>
      <w:rPr>
        <w:rFonts w:ascii="Symbol" w:hAnsi="Symbol" w:hint="default"/>
      </w:rPr>
    </w:lvl>
    <w:lvl w:ilvl="2" w:tplc="3F644BC4">
      <w:start w:val="5"/>
      <w:numFmt w:val="bullet"/>
      <w:lvlText w:val="-"/>
      <w:lvlJc w:val="left"/>
      <w:pPr>
        <w:tabs>
          <w:tab w:val="num" w:pos="2160"/>
        </w:tabs>
        <w:ind w:left="2160" w:hanging="360"/>
      </w:p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3CB3DFF"/>
    <w:multiLevelType w:val="hybridMultilevel"/>
    <w:tmpl w:val="7662F154"/>
    <w:lvl w:ilvl="0" w:tplc="FBFEC30A">
      <w:start w:val="4"/>
      <w:numFmt w:val="bullet"/>
      <w:lvlText w:val="−"/>
      <w:lvlJc w:val="left"/>
      <w:pPr>
        <w:ind w:left="720" w:hanging="360"/>
      </w:pPr>
      <w:rPr>
        <w:rFonts w:ascii="Cambria" w:eastAsia="MS Mincho" w:hAnsi="Cambria"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2" w15:restartNumberingAfterBreak="0">
    <w:nsid w:val="64F8538F"/>
    <w:multiLevelType w:val="hybridMultilevel"/>
    <w:tmpl w:val="B5E479E6"/>
    <w:lvl w:ilvl="0" w:tplc="04270003">
      <w:start w:val="1"/>
      <w:numFmt w:val="bullet"/>
      <w:lvlText w:val="o"/>
      <w:lvlJc w:val="left"/>
      <w:pPr>
        <w:ind w:left="1287" w:hanging="360"/>
      </w:pPr>
      <w:rPr>
        <w:rFonts w:ascii="Courier New" w:hAnsi="Courier New" w:cs="Courier New"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hint="default"/>
      </w:rPr>
    </w:lvl>
    <w:lvl w:ilvl="3" w:tplc="04270001">
      <w:start w:val="1"/>
      <w:numFmt w:val="bullet"/>
      <w:lvlText w:val=""/>
      <w:lvlJc w:val="left"/>
      <w:pPr>
        <w:ind w:left="3447" w:hanging="360"/>
      </w:pPr>
      <w:rPr>
        <w:rFonts w:ascii="Symbol" w:hAnsi="Symbol" w:hint="default"/>
      </w:rPr>
    </w:lvl>
    <w:lvl w:ilvl="4" w:tplc="04270003">
      <w:start w:val="1"/>
      <w:numFmt w:val="bullet"/>
      <w:lvlText w:val="o"/>
      <w:lvlJc w:val="left"/>
      <w:pPr>
        <w:ind w:left="4167" w:hanging="360"/>
      </w:pPr>
      <w:rPr>
        <w:rFonts w:ascii="Courier New" w:hAnsi="Courier New" w:cs="Courier New" w:hint="default"/>
      </w:rPr>
    </w:lvl>
    <w:lvl w:ilvl="5" w:tplc="04270005">
      <w:start w:val="1"/>
      <w:numFmt w:val="bullet"/>
      <w:lvlText w:val=""/>
      <w:lvlJc w:val="left"/>
      <w:pPr>
        <w:ind w:left="4887" w:hanging="360"/>
      </w:pPr>
      <w:rPr>
        <w:rFonts w:ascii="Wingdings" w:hAnsi="Wingdings" w:hint="default"/>
      </w:rPr>
    </w:lvl>
    <w:lvl w:ilvl="6" w:tplc="04270001">
      <w:start w:val="1"/>
      <w:numFmt w:val="bullet"/>
      <w:lvlText w:val=""/>
      <w:lvlJc w:val="left"/>
      <w:pPr>
        <w:ind w:left="5607" w:hanging="360"/>
      </w:pPr>
      <w:rPr>
        <w:rFonts w:ascii="Symbol" w:hAnsi="Symbol" w:hint="default"/>
      </w:rPr>
    </w:lvl>
    <w:lvl w:ilvl="7" w:tplc="04270003">
      <w:start w:val="1"/>
      <w:numFmt w:val="bullet"/>
      <w:lvlText w:val="o"/>
      <w:lvlJc w:val="left"/>
      <w:pPr>
        <w:ind w:left="6327" w:hanging="360"/>
      </w:pPr>
      <w:rPr>
        <w:rFonts w:ascii="Courier New" w:hAnsi="Courier New" w:cs="Courier New" w:hint="default"/>
      </w:rPr>
    </w:lvl>
    <w:lvl w:ilvl="8" w:tplc="04270005">
      <w:start w:val="1"/>
      <w:numFmt w:val="bullet"/>
      <w:lvlText w:val=""/>
      <w:lvlJc w:val="left"/>
      <w:pPr>
        <w:ind w:left="7047" w:hanging="360"/>
      </w:pPr>
      <w:rPr>
        <w:rFonts w:ascii="Wingdings" w:hAnsi="Wingdings" w:hint="default"/>
      </w:rPr>
    </w:lvl>
  </w:abstractNum>
  <w:abstractNum w:abstractNumId="23" w15:restartNumberingAfterBreak="0">
    <w:nsid w:val="6737067A"/>
    <w:multiLevelType w:val="multilevel"/>
    <w:tmpl w:val="3FC4C748"/>
    <w:lvl w:ilvl="0">
      <w:start w:val="4"/>
      <w:numFmt w:val="decimal"/>
      <w:lvlText w:val="%1"/>
      <w:lvlJc w:val="left"/>
      <w:pPr>
        <w:tabs>
          <w:tab w:val="num" w:pos="570"/>
        </w:tabs>
        <w:ind w:left="570" w:hanging="570"/>
      </w:pPr>
      <w:rPr>
        <w:rFonts w:cs="Times New Roman"/>
      </w:rPr>
    </w:lvl>
    <w:lvl w:ilvl="1">
      <w:start w:val="4"/>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4" w15:restartNumberingAfterBreak="0">
    <w:nsid w:val="69146B3E"/>
    <w:multiLevelType w:val="hybridMultilevel"/>
    <w:tmpl w:val="D402C8EA"/>
    <w:lvl w:ilvl="0" w:tplc="2E7A783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5" w15:restartNumberingAfterBreak="0">
    <w:nsid w:val="6B9F7E15"/>
    <w:multiLevelType w:val="hybridMultilevel"/>
    <w:tmpl w:val="029432AA"/>
    <w:lvl w:ilvl="0" w:tplc="F93C039E">
      <w:start w:val="1"/>
      <w:numFmt w:val="lowerLetter"/>
      <w:lvlText w:val="%1)"/>
      <w:lvlJc w:val="left"/>
      <w:pPr>
        <w:tabs>
          <w:tab w:val="num" w:pos="1080"/>
        </w:tabs>
        <w:ind w:left="1080" w:hanging="720"/>
      </w:pPr>
      <w:rPr>
        <w:rFonts w:ascii="Times New Roman" w:eastAsia="Times New Roman" w:hAnsi="Times New Roman"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26" w15:restartNumberingAfterBreak="0">
    <w:nsid w:val="6C2E5CD6"/>
    <w:multiLevelType w:val="hybridMultilevel"/>
    <w:tmpl w:val="9D928C02"/>
    <w:lvl w:ilvl="0" w:tplc="FFFFFFFF">
      <w:start w:val="2"/>
      <w:numFmt w:val="bullet"/>
      <w:lvlText w:val="-"/>
      <w:lvlJc w:val="left"/>
      <w:pPr>
        <w:tabs>
          <w:tab w:val="num" w:pos="2340"/>
        </w:tabs>
        <w:ind w:left="2340" w:hanging="360"/>
      </w:pPr>
      <w:rPr>
        <w:rFonts w:ascii="Times New Roman" w:eastAsia="Times New Roman" w:hAnsi="Times New Roman" w:cs="Times New Roman" w:hint="default"/>
      </w:rPr>
    </w:lvl>
    <w:lvl w:ilvl="1" w:tplc="FFFFFFFF">
      <w:start w:val="1"/>
      <w:numFmt w:val="bullet"/>
      <w:lvlText w:val="o"/>
      <w:lvlJc w:val="left"/>
      <w:pPr>
        <w:tabs>
          <w:tab w:val="num" w:pos="3060"/>
        </w:tabs>
        <w:ind w:left="3060" w:hanging="360"/>
      </w:pPr>
      <w:rPr>
        <w:rFonts w:ascii="Courier New" w:hAnsi="Courier New" w:cs="Times New Roman" w:hint="default"/>
      </w:rPr>
    </w:lvl>
    <w:lvl w:ilvl="2" w:tplc="FFFFFFFF">
      <w:start w:val="1"/>
      <w:numFmt w:val="bullet"/>
      <w:lvlText w:val=""/>
      <w:lvlJc w:val="left"/>
      <w:pPr>
        <w:tabs>
          <w:tab w:val="num" w:pos="3780"/>
        </w:tabs>
        <w:ind w:left="3780" w:hanging="360"/>
      </w:pPr>
      <w:rPr>
        <w:rFonts w:ascii="Wingdings" w:hAnsi="Wingdings" w:hint="default"/>
      </w:rPr>
    </w:lvl>
    <w:lvl w:ilvl="3" w:tplc="FFFFFFFF">
      <w:start w:val="1"/>
      <w:numFmt w:val="bullet"/>
      <w:lvlText w:val=""/>
      <w:lvlJc w:val="left"/>
      <w:pPr>
        <w:tabs>
          <w:tab w:val="num" w:pos="4500"/>
        </w:tabs>
        <w:ind w:left="4500" w:hanging="360"/>
      </w:pPr>
      <w:rPr>
        <w:rFonts w:ascii="Symbol" w:hAnsi="Symbol" w:hint="default"/>
      </w:rPr>
    </w:lvl>
    <w:lvl w:ilvl="4" w:tplc="FFFFFFFF">
      <w:start w:val="1"/>
      <w:numFmt w:val="bullet"/>
      <w:lvlText w:val="o"/>
      <w:lvlJc w:val="left"/>
      <w:pPr>
        <w:tabs>
          <w:tab w:val="num" w:pos="5220"/>
        </w:tabs>
        <w:ind w:left="5220" w:hanging="360"/>
      </w:pPr>
      <w:rPr>
        <w:rFonts w:ascii="Courier New" w:hAnsi="Courier New" w:cs="Times New Roman" w:hint="default"/>
      </w:rPr>
    </w:lvl>
    <w:lvl w:ilvl="5" w:tplc="FFFFFFFF">
      <w:start w:val="1"/>
      <w:numFmt w:val="bullet"/>
      <w:lvlText w:val=""/>
      <w:lvlJc w:val="left"/>
      <w:pPr>
        <w:tabs>
          <w:tab w:val="num" w:pos="5940"/>
        </w:tabs>
        <w:ind w:left="5940" w:hanging="360"/>
      </w:pPr>
      <w:rPr>
        <w:rFonts w:ascii="Wingdings" w:hAnsi="Wingdings" w:hint="default"/>
      </w:rPr>
    </w:lvl>
    <w:lvl w:ilvl="6" w:tplc="FFFFFFFF">
      <w:start w:val="1"/>
      <w:numFmt w:val="bullet"/>
      <w:lvlText w:val=""/>
      <w:lvlJc w:val="left"/>
      <w:pPr>
        <w:tabs>
          <w:tab w:val="num" w:pos="6660"/>
        </w:tabs>
        <w:ind w:left="6660" w:hanging="360"/>
      </w:pPr>
      <w:rPr>
        <w:rFonts w:ascii="Symbol" w:hAnsi="Symbol" w:hint="default"/>
      </w:rPr>
    </w:lvl>
    <w:lvl w:ilvl="7" w:tplc="FFFFFFFF">
      <w:start w:val="1"/>
      <w:numFmt w:val="bullet"/>
      <w:lvlText w:val="o"/>
      <w:lvlJc w:val="left"/>
      <w:pPr>
        <w:tabs>
          <w:tab w:val="num" w:pos="7380"/>
        </w:tabs>
        <w:ind w:left="7380" w:hanging="360"/>
      </w:pPr>
      <w:rPr>
        <w:rFonts w:ascii="Courier New" w:hAnsi="Courier New" w:cs="Times New Roman" w:hint="default"/>
      </w:rPr>
    </w:lvl>
    <w:lvl w:ilvl="8" w:tplc="FFFFFFFF">
      <w:start w:val="1"/>
      <w:numFmt w:val="bullet"/>
      <w:lvlText w:val=""/>
      <w:lvlJc w:val="left"/>
      <w:pPr>
        <w:tabs>
          <w:tab w:val="num" w:pos="8100"/>
        </w:tabs>
        <w:ind w:left="8100" w:hanging="360"/>
      </w:pPr>
      <w:rPr>
        <w:rFonts w:ascii="Wingdings" w:hAnsi="Wingdings" w:hint="default"/>
      </w:rPr>
    </w:lvl>
  </w:abstractNum>
  <w:abstractNum w:abstractNumId="27" w15:restartNumberingAfterBreak="0">
    <w:nsid w:val="6C7E68C6"/>
    <w:multiLevelType w:val="hybridMultilevel"/>
    <w:tmpl w:val="A1FCDA6C"/>
    <w:lvl w:ilvl="0" w:tplc="FBFEC30A">
      <w:start w:val="4"/>
      <w:numFmt w:val="bullet"/>
      <w:lvlText w:val="−"/>
      <w:lvlJc w:val="left"/>
      <w:pPr>
        <w:ind w:left="720" w:hanging="360"/>
      </w:pPr>
      <w:rPr>
        <w:rFonts w:ascii="Cambria" w:eastAsia="MS Mincho" w:hAnsi="Cambria"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8" w15:restartNumberingAfterBreak="0">
    <w:nsid w:val="75B169A6"/>
    <w:multiLevelType w:val="hybridMultilevel"/>
    <w:tmpl w:val="AC2A3CF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9" w15:restartNumberingAfterBreak="0">
    <w:nsid w:val="7A100D28"/>
    <w:multiLevelType w:val="hybridMultilevel"/>
    <w:tmpl w:val="B9DA5A82"/>
    <w:lvl w:ilvl="0" w:tplc="FD788292">
      <w:start w:val="1"/>
      <w:numFmt w:val="upperLetter"/>
      <w:lvlText w:val="%1."/>
      <w:lvlJc w:val="left"/>
      <w:pPr>
        <w:ind w:left="5670" w:hanging="5670"/>
      </w:pPr>
      <w:rPr>
        <w:b/>
      </w:rPr>
    </w:lvl>
    <w:lvl w:ilvl="1" w:tplc="F11C3D94">
      <w:start w:val="17"/>
      <w:numFmt w:val="decimal"/>
      <w:lvlText w:val="%2."/>
      <w:lvlJc w:val="left"/>
      <w:pPr>
        <w:ind w:left="1650" w:hanging="570"/>
      </w:pPr>
      <w:rPr>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0" w15:restartNumberingAfterBreak="0">
    <w:nsid w:val="7C20187F"/>
    <w:multiLevelType w:val="hybridMultilevel"/>
    <w:tmpl w:val="676E8694"/>
    <w:lvl w:ilvl="0" w:tplc="FBFEC30A">
      <w:start w:val="4"/>
      <w:numFmt w:val="bullet"/>
      <w:lvlText w:val="−"/>
      <w:lvlJc w:val="left"/>
      <w:pPr>
        <w:tabs>
          <w:tab w:val="num" w:pos="644"/>
        </w:tabs>
        <w:ind w:left="644" w:hanging="360"/>
      </w:pPr>
      <w:rPr>
        <w:rFonts w:ascii="Cambria" w:eastAsia="MS Mincho" w:hAnsi="Cambria" w:hint="default"/>
      </w:rPr>
    </w:lvl>
    <w:lvl w:ilvl="1" w:tplc="E3AC0234">
      <w:start w:val="1"/>
      <w:numFmt w:val="lowerRoman"/>
      <w:lvlText w:val="%2)"/>
      <w:lvlJc w:val="left"/>
      <w:pPr>
        <w:ind w:left="1800" w:hanging="72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31" w15:restartNumberingAfterBreak="0">
    <w:nsid w:val="7D2722CB"/>
    <w:multiLevelType w:val="multilevel"/>
    <w:tmpl w:val="DEF6247E"/>
    <w:lvl w:ilvl="0">
      <w:start w:val="4"/>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num w:numId="1">
    <w:abstractNumId w:val="8"/>
  </w:num>
  <w:num w:numId="2">
    <w:abstractNumId w:val="23"/>
    <w:lvlOverride w:ilvl="0">
      <w:startOverride w:val="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5"/>
  </w:num>
  <w:num w:numId="5">
    <w:abstractNumId w:val="3"/>
  </w:num>
  <w:num w:numId="6">
    <w:abstractNumId w:val="21"/>
  </w:num>
  <w:num w:numId="7">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7"/>
  </w:num>
  <w:num w:numId="9">
    <w:abstractNumId w:val="2"/>
  </w:num>
  <w:num w:numId="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lvlOverride w:ilvl="0">
      <w:startOverride w:val="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7"/>
  </w:num>
  <w:num w:numId="14">
    <w:abstractNumId w:val="11"/>
  </w:num>
  <w:num w:numId="15">
    <w:abstractNumId w:val="29"/>
    <w:lvlOverride w:ilvl="0">
      <w:startOverride w:val="1"/>
    </w:lvlOverride>
    <w:lvlOverride w:ilvl="1">
      <w:startOverride w:val="1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lvl w:ilvl="0">
        <w:numFmt w:val="bullet"/>
        <w:lvlText w:val="-"/>
        <w:lvlJc w:val="left"/>
        <w:pPr>
          <w:ind w:left="360" w:hanging="360"/>
        </w:pPr>
        <w:rPr>
          <w:rFonts w:cs="Times New Roman"/>
        </w:rPr>
      </w:lvl>
    </w:lvlOverride>
  </w:num>
  <w:num w:numId="17">
    <w:abstractNumId w:val="19"/>
  </w:num>
  <w:num w:numId="18">
    <w:abstractNumId w:val="26"/>
  </w:num>
  <w:num w:numId="19">
    <w:abstractNumId w:val="13"/>
  </w:num>
  <w:num w:numId="20">
    <w:abstractNumId w:val="22"/>
  </w:num>
  <w:num w:numId="21">
    <w:abstractNumId w:val="7"/>
  </w:num>
  <w:num w:numId="22">
    <w:abstractNumId w:val="18"/>
  </w:num>
  <w:num w:numId="23">
    <w:abstractNumId w:val="14"/>
  </w:num>
  <w:num w:numId="24">
    <w:abstractNumId w:val="16"/>
  </w:num>
  <w:num w:numId="25">
    <w:abstractNumId w:val="28"/>
  </w:num>
  <w:num w:numId="26">
    <w:abstractNumId w:val="10"/>
  </w:num>
  <w:num w:numId="27">
    <w:abstractNumId w:val="5"/>
  </w:num>
  <w:num w:numId="28">
    <w:abstractNumId w:val="6"/>
  </w:num>
  <w:num w:numId="29">
    <w:abstractNumId w:val="9"/>
  </w:num>
  <w:num w:numId="30">
    <w:abstractNumId w:val="12"/>
  </w:num>
  <w:num w:numId="31">
    <w:abstractNumId w:val="24"/>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C77"/>
    <w:rsid w:val="0001044E"/>
    <w:rsid w:val="00032BE2"/>
    <w:rsid w:val="000472B0"/>
    <w:rsid w:val="000C008D"/>
    <w:rsid w:val="000F009D"/>
    <w:rsid w:val="000F06E9"/>
    <w:rsid w:val="00104FF8"/>
    <w:rsid w:val="00106DA8"/>
    <w:rsid w:val="00191493"/>
    <w:rsid w:val="002275AF"/>
    <w:rsid w:val="00237E89"/>
    <w:rsid w:val="00252034"/>
    <w:rsid w:val="002637AF"/>
    <w:rsid w:val="00264762"/>
    <w:rsid w:val="00276D13"/>
    <w:rsid w:val="00295219"/>
    <w:rsid w:val="002963F4"/>
    <w:rsid w:val="00296BF7"/>
    <w:rsid w:val="002B7C56"/>
    <w:rsid w:val="002E5C77"/>
    <w:rsid w:val="003436DC"/>
    <w:rsid w:val="003955CD"/>
    <w:rsid w:val="003F0C62"/>
    <w:rsid w:val="003F4047"/>
    <w:rsid w:val="00434A59"/>
    <w:rsid w:val="004863AC"/>
    <w:rsid w:val="004866EC"/>
    <w:rsid w:val="004B6CF1"/>
    <w:rsid w:val="004C1D93"/>
    <w:rsid w:val="00527F4F"/>
    <w:rsid w:val="0053611A"/>
    <w:rsid w:val="005478AC"/>
    <w:rsid w:val="005A1225"/>
    <w:rsid w:val="006471D5"/>
    <w:rsid w:val="00671720"/>
    <w:rsid w:val="00692FF2"/>
    <w:rsid w:val="006C1EBB"/>
    <w:rsid w:val="0070222B"/>
    <w:rsid w:val="007157D7"/>
    <w:rsid w:val="00764692"/>
    <w:rsid w:val="007B4C7B"/>
    <w:rsid w:val="007B575D"/>
    <w:rsid w:val="007C0115"/>
    <w:rsid w:val="00812151"/>
    <w:rsid w:val="00851E02"/>
    <w:rsid w:val="00874D37"/>
    <w:rsid w:val="008857B6"/>
    <w:rsid w:val="008D2DE0"/>
    <w:rsid w:val="00946F09"/>
    <w:rsid w:val="00967B5C"/>
    <w:rsid w:val="009806D9"/>
    <w:rsid w:val="00983DCD"/>
    <w:rsid w:val="009B3E2D"/>
    <w:rsid w:val="009C3CED"/>
    <w:rsid w:val="009E6F07"/>
    <w:rsid w:val="009F2291"/>
    <w:rsid w:val="009F7AD0"/>
    <w:rsid w:val="00A34493"/>
    <w:rsid w:val="00A65D2C"/>
    <w:rsid w:val="00A65F8A"/>
    <w:rsid w:val="00AB2D34"/>
    <w:rsid w:val="00AC4051"/>
    <w:rsid w:val="00AE2DF0"/>
    <w:rsid w:val="00AE36CA"/>
    <w:rsid w:val="00B03490"/>
    <w:rsid w:val="00B20B86"/>
    <w:rsid w:val="00B34D42"/>
    <w:rsid w:val="00B46C78"/>
    <w:rsid w:val="00B56DE1"/>
    <w:rsid w:val="00B70CFB"/>
    <w:rsid w:val="00BB3080"/>
    <w:rsid w:val="00BB3D2A"/>
    <w:rsid w:val="00BD05BA"/>
    <w:rsid w:val="00BD282E"/>
    <w:rsid w:val="00C420A5"/>
    <w:rsid w:val="00C661E5"/>
    <w:rsid w:val="00C6735E"/>
    <w:rsid w:val="00CE3C79"/>
    <w:rsid w:val="00CE6FF6"/>
    <w:rsid w:val="00D12B02"/>
    <w:rsid w:val="00D20795"/>
    <w:rsid w:val="00D524C9"/>
    <w:rsid w:val="00D54500"/>
    <w:rsid w:val="00D54FD9"/>
    <w:rsid w:val="00D810B7"/>
    <w:rsid w:val="00DD5DED"/>
    <w:rsid w:val="00E07ACB"/>
    <w:rsid w:val="00E3497C"/>
    <w:rsid w:val="00E37B21"/>
    <w:rsid w:val="00EC4AAC"/>
    <w:rsid w:val="00EE5F41"/>
    <w:rsid w:val="00EF6326"/>
    <w:rsid w:val="00F02D97"/>
    <w:rsid w:val="00F16681"/>
    <w:rsid w:val="00F27956"/>
    <w:rsid w:val="00F60705"/>
    <w:rsid w:val="00F60923"/>
    <w:rsid w:val="00F81967"/>
    <w:rsid w:val="00F94576"/>
    <w:rsid w:val="00FA43A6"/>
    <w:rsid w:val="00FF304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EB5C3"/>
  <w15:chartTrackingRefBased/>
  <w15:docId w15:val="{15F48EF7-CD22-4CE0-BA6A-8FB563994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noProof/>
    </w:rPr>
  </w:style>
  <w:style w:type="paragraph" w:styleId="Antrat1">
    <w:name w:val="heading 1"/>
    <w:basedOn w:val="prastasis"/>
    <w:next w:val="prastasis"/>
    <w:link w:val="Antrat1Diagrama"/>
    <w:qFormat/>
    <w:rsid w:val="00E07ACB"/>
    <w:pPr>
      <w:keepNext/>
      <w:spacing w:before="240" w:after="60" w:line="240" w:lineRule="auto"/>
      <w:outlineLvl w:val="0"/>
    </w:pPr>
    <w:rPr>
      <w:rFonts w:ascii="Arial" w:eastAsia="Times New Roman" w:hAnsi="Arial" w:cs="Arial"/>
      <w:b/>
      <w:bCs/>
      <w:noProof w:val="0"/>
      <w:kern w:val="32"/>
      <w:sz w:val="32"/>
      <w:szCs w:val="32"/>
    </w:rPr>
  </w:style>
  <w:style w:type="paragraph" w:styleId="Antrat2">
    <w:name w:val="heading 2"/>
    <w:basedOn w:val="prastasis"/>
    <w:next w:val="prastasis"/>
    <w:link w:val="Antrat2Diagrama"/>
    <w:semiHidden/>
    <w:unhideWhenUsed/>
    <w:qFormat/>
    <w:rsid w:val="00E07ACB"/>
    <w:pPr>
      <w:keepNext/>
      <w:spacing w:before="240" w:after="60" w:line="240" w:lineRule="auto"/>
      <w:outlineLvl w:val="1"/>
    </w:pPr>
    <w:rPr>
      <w:rFonts w:ascii="Arial" w:eastAsia="Times New Roman" w:hAnsi="Arial" w:cs="Arial"/>
      <w:b/>
      <w:bCs/>
      <w:i/>
      <w:iCs/>
      <w:noProof w:val="0"/>
      <w:sz w:val="28"/>
      <w:szCs w:val="28"/>
    </w:rPr>
  </w:style>
  <w:style w:type="paragraph" w:styleId="Antrat3">
    <w:name w:val="heading 3"/>
    <w:basedOn w:val="prastasis"/>
    <w:next w:val="prastasis"/>
    <w:link w:val="Antrat3Diagrama"/>
    <w:semiHidden/>
    <w:unhideWhenUsed/>
    <w:qFormat/>
    <w:rsid w:val="00E07ACB"/>
    <w:pPr>
      <w:keepNext/>
      <w:spacing w:before="240" w:after="60" w:line="240" w:lineRule="auto"/>
      <w:outlineLvl w:val="2"/>
    </w:pPr>
    <w:rPr>
      <w:rFonts w:ascii="Arial" w:eastAsia="Times New Roman" w:hAnsi="Arial" w:cs="Arial"/>
      <w:b/>
      <w:bCs/>
      <w:noProof w:val="0"/>
      <w:sz w:val="26"/>
      <w:szCs w:val="26"/>
    </w:rPr>
  </w:style>
  <w:style w:type="paragraph" w:styleId="Antrat8">
    <w:name w:val="heading 8"/>
    <w:basedOn w:val="prastasis"/>
    <w:next w:val="prastasis"/>
    <w:link w:val="Antrat8Diagrama"/>
    <w:semiHidden/>
    <w:unhideWhenUsed/>
    <w:qFormat/>
    <w:rsid w:val="00E07ACB"/>
    <w:pPr>
      <w:spacing w:before="240" w:after="60" w:line="240" w:lineRule="auto"/>
      <w:outlineLvl w:val="7"/>
    </w:pPr>
    <w:rPr>
      <w:rFonts w:ascii="Times New Roman" w:eastAsia="Times New Roman" w:hAnsi="Times New Roman" w:cs="Times New Roman"/>
      <w:i/>
      <w:iCs/>
      <w:noProof w:val="0"/>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07ACB"/>
    <w:rPr>
      <w:rFonts w:ascii="Arial" w:eastAsia="Times New Roman" w:hAnsi="Arial" w:cs="Arial"/>
      <w:b/>
      <w:bCs/>
      <w:kern w:val="32"/>
      <w:sz w:val="32"/>
      <w:szCs w:val="32"/>
    </w:rPr>
  </w:style>
  <w:style w:type="character" w:customStyle="1" w:styleId="Antrat2Diagrama">
    <w:name w:val="Antraštė 2 Diagrama"/>
    <w:basedOn w:val="Numatytasispastraiposriftas"/>
    <w:link w:val="Antrat2"/>
    <w:semiHidden/>
    <w:rsid w:val="00E07ACB"/>
    <w:rPr>
      <w:rFonts w:ascii="Arial" w:eastAsia="Times New Roman" w:hAnsi="Arial" w:cs="Arial"/>
      <w:b/>
      <w:bCs/>
      <w:i/>
      <w:iCs/>
      <w:sz w:val="28"/>
      <w:szCs w:val="28"/>
    </w:rPr>
  </w:style>
  <w:style w:type="character" w:customStyle="1" w:styleId="Antrat3Diagrama">
    <w:name w:val="Antraštė 3 Diagrama"/>
    <w:basedOn w:val="Numatytasispastraiposriftas"/>
    <w:link w:val="Antrat3"/>
    <w:semiHidden/>
    <w:rsid w:val="00E07ACB"/>
    <w:rPr>
      <w:rFonts w:ascii="Arial" w:eastAsia="Times New Roman" w:hAnsi="Arial" w:cs="Arial"/>
      <w:b/>
      <w:bCs/>
      <w:sz w:val="26"/>
      <w:szCs w:val="26"/>
    </w:rPr>
  </w:style>
  <w:style w:type="character" w:customStyle="1" w:styleId="Antrat8Diagrama">
    <w:name w:val="Antraštė 8 Diagrama"/>
    <w:basedOn w:val="Numatytasispastraiposriftas"/>
    <w:link w:val="Antrat8"/>
    <w:semiHidden/>
    <w:rsid w:val="00E07ACB"/>
    <w:rPr>
      <w:rFonts w:ascii="Times New Roman" w:eastAsia="Times New Roman" w:hAnsi="Times New Roman" w:cs="Times New Roman"/>
      <w:i/>
      <w:iCs/>
      <w:sz w:val="24"/>
      <w:szCs w:val="24"/>
      <w:lang w:eastAsia="lt-LT"/>
    </w:rPr>
  </w:style>
  <w:style w:type="numbering" w:customStyle="1" w:styleId="NoList1">
    <w:name w:val="No List1"/>
    <w:next w:val="Sraonra"/>
    <w:uiPriority w:val="99"/>
    <w:semiHidden/>
    <w:unhideWhenUsed/>
    <w:rsid w:val="00E07ACB"/>
  </w:style>
  <w:style w:type="character" w:styleId="Hipersaitas">
    <w:name w:val="Hyperlink"/>
    <w:basedOn w:val="Numatytasispastraiposriftas"/>
    <w:unhideWhenUsed/>
    <w:rsid w:val="00E07ACB"/>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E07ACB"/>
    <w:rPr>
      <w:color w:val="800080" w:themeColor="followedHyperlink"/>
      <w:u w:val="single"/>
    </w:rPr>
  </w:style>
  <w:style w:type="character" w:styleId="Emfaz">
    <w:name w:val="Emphasis"/>
    <w:basedOn w:val="Numatytasispastraiposriftas"/>
    <w:qFormat/>
    <w:rsid w:val="00E07ACB"/>
    <w:rPr>
      <w:rFonts w:ascii="Times New Roman" w:hAnsi="Times New Roman" w:cs="Times New Roman" w:hint="default"/>
      <w:b/>
      <w:bCs w:val="0"/>
      <w:i w:val="0"/>
      <w:iCs w:val="0"/>
    </w:rPr>
  </w:style>
  <w:style w:type="paragraph" w:styleId="HTMLiankstoformatuotas">
    <w:name w:val="HTML Preformatted"/>
    <w:basedOn w:val="prastasis"/>
    <w:link w:val="HTMLiankstoformatuotasDiagrama"/>
    <w:uiPriority w:val="99"/>
    <w:semiHidden/>
    <w:unhideWhenUsed/>
    <w:rsid w:val="00E07A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noProof w:val="0"/>
      <w:sz w:val="20"/>
      <w:szCs w:val="20"/>
      <w:lang w:val="de-DE" w:eastAsia="de-DE"/>
    </w:rPr>
  </w:style>
  <w:style w:type="character" w:customStyle="1" w:styleId="HTMLiankstoformatuotasDiagrama">
    <w:name w:val="HTML iš anksto formatuotas Diagrama"/>
    <w:basedOn w:val="Numatytasispastraiposriftas"/>
    <w:link w:val="HTMLiankstoformatuotas"/>
    <w:uiPriority w:val="99"/>
    <w:semiHidden/>
    <w:rsid w:val="00E07ACB"/>
    <w:rPr>
      <w:rFonts w:ascii="Courier New" w:eastAsia="Calibri" w:hAnsi="Courier New" w:cs="Courier New"/>
      <w:sz w:val="20"/>
      <w:szCs w:val="20"/>
      <w:lang w:val="de-DE" w:eastAsia="de-DE"/>
    </w:rPr>
  </w:style>
  <w:style w:type="character" w:styleId="Grietas">
    <w:name w:val="Strong"/>
    <w:basedOn w:val="Numatytasispastraiposriftas"/>
    <w:qFormat/>
    <w:rsid w:val="00E07ACB"/>
    <w:rPr>
      <w:rFonts w:ascii="Times New Roman" w:hAnsi="Times New Roman" w:cs="Times New Roman" w:hint="default"/>
      <w:b/>
      <w:bCs w:val="0"/>
    </w:rPr>
  </w:style>
  <w:style w:type="paragraph" w:customStyle="1" w:styleId="msonormal0">
    <w:name w:val="msonormal"/>
    <w:basedOn w:val="prastasis"/>
    <w:rsid w:val="00E07ACB"/>
    <w:pPr>
      <w:spacing w:before="100" w:beforeAutospacing="1" w:after="100" w:afterAutospacing="1" w:line="240" w:lineRule="auto"/>
    </w:pPr>
    <w:rPr>
      <w:rFonts w:ascii="Times New Roman" w:eastAsia="Times New Roman" w:hAnsi="Times New Roman" w:cs="Times New Roman"/>
      <w:noProof w:val="0"/>
      <w:sz w:val="24"/>
      <w:szCs w:val="24"/>
      <w:lang w:eastAsia="lt-LT"/>
    </w:rPr>
  </w:style>
  <w:style w:type="paragraph" w:styleId="prastojitrauka">
    <w:name w:val="Normal Indent"/>
    <w:basedOn w:val="prastasis"/>
    <w:semiHidden/>
    <w:unhideWhenUsed/>
    <w:rsid w:val="00E07ACB"/>
    <w:pPr>
      <w:spacing w:after="120" w:line="240" w:lineRule="auto"/>
      <w:ind w:left="720"/>
    </w:pPr>
    <w:rPr>
      <w:rFonts w:ascii="Times New Roman" w:eastAsia="Times New Roman" w:hAnsi="Times New Roman" w:cs="Times New Roman"/>
      <w:noProof w:val="0"/>
      <w:lang w:val="en-GB" w:eastAsia="en-GB"/>
    </w:rPr>
  </w:style>
  <w:style w:type="paragraph" w:styleId="Komentarotekstas">
    <w:name w:val="annotation text"/>
    <w:basedOn w:val="prastasis"/>
    <w:link w:val="KomentarotekstasDiagrama"/>
    <w:unhideWhenUsed/>
    <w:rsid w:val="00E07ACB"/>
    <w:pPr>
      <w:spacing w:after="0" w:line="240" w:lineRule="auto"/>
    </w:pPr>
    <w:rPr>
      <w:rFonts w:ascii="Times New Roman" w:eastAsia="Times New Roman" w:hAnsi="Times New Roman" w:cs="Times New Roman"/>
      <w:noProof w:val="0"/>
      <w:sz w:val="20"/>
      <w:szCs w:val="20"/>
    </w:rPr>
  </w:style>
  <w:style w:type="character" w:customStyle="1" w:styleId="KomentarotekstasDiagrama">
    <w:name w:val="Komentaro tekstas Diagrama"/>
    <w:basedOn w:val="Numatytasispastraiposriftas"/>
    <w:link w:val="Komentarotekstas"/>
    <w:rsid w:val="00E07ACB"/>
    <w:rPr>
      <w:rFonts w:ascii="Times New Roman" w:eastAsia="Times New Roman" w:hAnsi="Times New Roman" w:cs="Times New Roman"/>
      <w:sz w:val="20"/>
      <w:szCs w:val="20"/>
    </w:rPr>
  </w:style>
  <w:style w:type="paragraph" w:styleId="Antrats">
    <w:name w:val="header"/>
    <w:basedOn w:val="prastasis"/>
    <w:link w:val="AntratsDiagrama"/>
    <w:semiHidden/>
    <w:unhideWhenUsed/>
    <w:rsid w:val="00E07ACB"/>
    <w:pPr>
      <w:tabs>
        <w:tab w:val="center" w:pos="4153"/>
        <w:tab w:val="right" w:pos="8306"/>
      </w:tabs>
      <w:spacing w:after="0" w:line="240" w:lineRule="auto"/>
    </w:pPr>
    <w:rPr>
      <w:rFonts w:ascii="Times New Roman" w:eastAsia="SimSun" w:hAnsi="Times New Roman" w:cs="Times New Roman"/>
      <w:noProof w:val="0"/>
      <w:szCs w:val="20"/>
    </w:rPr>
  </w:style>
  <w:style w:type="character" w:customStyle="1" w:styleId="AntratsDiagrama">
    <w:name w:val="Antraštės Diagrama"/>
    <w:basedOn w:val="Numatytasispastraiposriftas"/>
    <w:link w:val="Antrats"/>
    <w:semiHidden/>
    <w:rsid w:val="00E07ACB"/>
    <w:rPr>
      <w:rFonts w:ascii="Times New Roman" w:eastAsia="SimSun" w:hAnsi="Times New Roman" w:cs="Times New Roman"/>
      <w:szCs w:val="20"/>
    </w:rPr>
  </w:style>
  <w:style w:type="paragraph" w:styleId="Porat">
    <w:name w:val="footer"/>
    <w:basedOn w:val="prastasis"/>
    <w:link w:val="PoratDiagrama"/>
    <w:uiPriority w:val="99"/>
    <w:semiHidden/>
    <w:unhideWhenUsed/>
    <w:rsid w:val="00E07ACB"/>
    <w:pPr>
      <w:tabs>
        <w:tab w:val="center" w:pos="4819"/>
        <w:tab w:val="right" w:pos="9638"/>
      </w:tabs>
      <w:spacing w:after="0" w:line="240" w:lineRule="auto"/>
    </w:pPr>
    <w:rPr>
      <w:rFonts w:ascii="Times New Roman" w:eastAsia="Times New Roman" w:hAnsi="Times New Roman" w:cs="Times New Roman"/>
      <w:noProof w:val="0"/>
      <w:sz w:val="24"/>
      <w:szCs w:val="24"/>
    </w:rPr>
  </w:style>
  <w:style w:type="character" w:customStyle="1" w:styleId="PoratDiagrama">
    <w:name w:val="Poraštė Diagrama"/>
    <w:basedOn w:val="Numatytasispastraiposriftas"/>
    <w:link w:val="Porat"/>
    <w:uiPriority w:val="99"/>
    <w:semiHidden/>
    <w:rsid w:val="00E07ACB"/>
    <w:rPr>
      <w:rFonts w:ascii="Times New Roman" w:eastAsia="Times New Roman" w:hAnsi="Times New Roman" w:cs="Times New Roman"/>
      <w:sz w:val="24"/>
      <w:szCs w:val="24"/>
    </w:rPr>
  </w:style>
  <w:style w:type="paragraph" w:styleId="Sraas2">
    <w:name w:val="List 2"/>
    <w:basedOn w:val="prastasis"/>
    <w:semiHidden/>
    <w:unhideWhenUsed/>
    <w:rsid w:val="00E07ACB"/>
    <w:pPr>
      <w:spacing w:after="0" w:line="240" w:lineRule="auto"/>
      <w:ind w:left="566" w:hanging="283"/>
    </w:pPr>
    <w:rPr>
      <w:rFonts w:ascii="Times New Roman" w:eastAsia="Times New Roman" w:hAnsi="Times New Roman" w:cs="Times New Roman"/>
      <w:noProof w:val="0"/>
      <w:sz w:val="20"/>
      <w:szCs w:val="20"/>
      <w:lang w:val="en-GB" w:eastAsia="de-DE"/>
    </w:rPr>
  </w:style>
  <w:style w:type="paragraph" w:styleId="Pagrindinistekstas">
    <w:name w:val="Body Text"/>
    <w:basedOn w:val="prastasis"/>
    <w:link w:val="PagrindinistekstasDiagrama"/>
    <w:semiHidden/>
    <w:unhideWhenUsed/>
    <w:rsid w:val="00E07ACB"/>
    <w:pPr>
      <w:spacing w:after="0" w:line="240" w:lineRule="auto"/>
    </w:pPr>
    <w:rPr>
      <w:rFonts w:ascii="Times New Roman" w:eastAsia="Times New Roman" w:hAnsi="Times New Roman" w:cs="Times New Roman"/>
      <w:i/>
      <w:noProof w:val="0"/>
      <w:color w:val="008000"/>
      <w:szCs w:val="20"/>
      <w:lang w:val="en-GB"/>
    </w:rPr>
  </w:style>
  <w:style w:type="character" w:customStyle="1" w:styleId="PagrindinistekstasDiagrama">
    <w:name w:val="Pagrindinis tekstas Diagrama"/>
    <w:basedOn w:val="Numatytasispastraiposriftas"/>
    <w:link w:val="Pagrindinistekstas"/>
    <w:semiHidden/>
    <w:rsid w:val="00E07ACB"/>
    <w:rPr>
      <w:rFonts w:ascii="Times New Roman" w:eastAsia="Times New Roman" w:hAnsi="Times New Roman" w:cs="Times New Roman"/>
      <w:i/>
      <w:color w:val="008000"/>
      <w:szCs w:val="20"/>
      <w:lang w:val="en-GB"/>
    </w:rPr>
  </w:style>
  <w:style w:type="paragraph" w:styleId="Pagrindiniotekstotrauka">
    <w:name w:val="Body Text Indent"/>
    <w:basedOn w:val="prastasis"/>
    <w:link w:val="PagrindiniotekstotraukaDiagrama"/>
    <w:semiHidden/>
    <w:unhideWhenUsed/>
    <w:rsid w:val="00E07ACB"/>
    <w:pPr>
      <w:tabs>
        <w:tab w:val="left" w:pos="567"/>
      </w:tabs>
      <w:spacing w:after="120" w:line="260" w:lineRule="exact"/>
      <w:ind w:left="283"/>
    </w:pPr>
    <w:rPr>
      <w:rFonts w:ascii="Times New Roman" w:eastAsia="Times New Roman" w:hAnsi="Times New Roman" w:cs="Times New Roman"/>
      <w:noProof w:val="0"/>
      <w:szCs w:val="20"/>
      <w:lang w:val="en-GB"/>
    </w:rPr>
  </w:style>
  <w:style w:type="character" w:customStyle="1" w:styleId="PagrindiniotekstotraukaDiagrama">
    <w:name w:val="Pagrindinio teksto įtrauka Diagrama"/>
    <w:basedOn w:val="Numatytasispastraiposriftas"/>
    <w:link w:val="Pagrindiniotekstotrauka"/>
    <w:semiHidden/>
    <w:rsid w:val="00E07ACB"/>
    <w:rPr>
      <w:rFonts w:ascii="Times New Roman" w:eastAsia="Times New Roman" w:hAnsi="Times New Roman" w:cs="Times New Roman"/>
      <w:szCs w:val="20"/>
      <w:lang w:val="en-GB"/>
    </w:rPr>
  </w:style>
  <w:style w:type="paragraph" w:styleId="Pagrindinistekstas3">
    <w:name w:val="Body Text 3"/>
    <w:basedOn w:val="prastasis"/>
    <w:link w:val="Pagrindinistekstas3Diagrama"/>
    <w:semiHidden/>
    <w:unhideWhenUsed/>
    <w:rsid w:val="00E07ACB"/>
    <w:pPr>
      <w:spacing w:after="120" w:line="240" w:lineRule="auto"/>
    </w:pPr>
    <w:rPr>
      <w:rFonts w:ascii="Times New Roman" w:eastAsia="Times New Roman" w:hAnsi="Times New Roman" w:cs="Times New Roman"/>
      <w:noProof w:val="0"/>
      <w:sz w:val="16"/>
      <w:szCs w:val="16"/>
    </w:rPr>
  </w:style>
  <w:style w:type="character" w:customStyle="1" w:styleId="Pagrindinistekstas3Diagrama">
    <w:name w:val="Pagrindinis tekstas 3 Diagrama"/>
    <w:basedOn w:val="Numatytasispastraiposriftas"/>
    <w:link w:val="Pagrindinistekstas3"/>
    <w:semiHidden/>
    <w:rsid w:val="00E07ACB"/>
    <w:rPr>
      <w:rFonts w:ascii="Times New Roman" w:eastAsia="Times New Roman" w:hAnsi="Times New Roman" w:cs="Times New Roman"/>
      <w:sz w:val="16"/>
      <w:szCs w:val="16"/>
    </w:rPr>
  </w:style>
  <w:style w:type="paragraph" w:styleId="Pagrindiniotekstotrauka2">
    <w:name w:val="Body Text Indent 2"/>
    <w:basedOn w:val="prastasis"/>
    <w:link w:val="Pagrindiniotekstotrauka2Diagrama"/>
    <w:semiHidden/>
    <w:unhideWhenUsed/>
    <w:rsid w:val="00E07ACB"/>
    <w:pPr>
      <w:tabs>
        <w:tab w:val="left" w:pos="567"/>
      </w:tabs>
      <w:spacing w:after="120" w:line="480" w:lineRule="auto"/>
      <w:ind w:left="283"/>
    </w:pPr>
    <w:rPr>
      <w:rFonts w:ascii="Times New Roman" w:eastAsia="Times New Roman" w:hAnsi="Times New Roman" w:cs="Times New Roman"/>
      <w:noProof w:val="0"/>
      <w:szCs w:val="20"/>
      <w:lang w:val="en-GB"/>
    </w:rPr>
  </w:style>
  <w:style w:type="character" w:customStyle="1" w:styleId="Pagrindiniotekstotrauka2Diagrama">
    <w:name w:val="Pagrindinio teksto įtrauka 2 Diagrama"/>
    <w:basedOn w:val="Numatytasispastraiposriftas"/>
    <w:link w:val="Pagrindiniotekstotrauka2"/>
    <w:semiHidden/>
    <w:rsid w:val="00E07ACB"/>
    <w:rPr>
      <w:rFonts w:ascii="Times New Roman" w:eastAsia="Times New Roman" w:hAnsi="Times New Roman" w:cs="Times New Roman"/>
      <w:szCs w:val="20"/>
      <w:lang w:val="en-GB"/>
    </w:rPr>
  </w:style>
  <w:style w:type="paragraph" w:styleId="Dokumentostruktra">
    <w:name w:val="Document Map"/>
    <w:basedOn w:val="prastasis"/>
    <w:link w:val="DokumentostruktraDiagrama"/>
    <w:semiHidden/>
    <w:unhideWhenUsed/>
    <w:rsid w:val="00E07ACB"/>
    <w:pPr>
      <w:shd w:val="clear" w:color="auto" w:fill="000080"/>
      <w:spacing w:after="0" w:line="240" w:lineRule="auto"/>
    </w:pPr>
    <w:rPr>
      <w:rFonts w:ascii="Tahoma" w:eastAsia="Times New Roman" w:hAnsi="Tahoma" w:cs="Tahoma"/>
      <w:noProof w:val="0"/>
      <w:sz w:val="20"/>
      <w:szCs w:val="20"/>
    </w:rPr>
  </w:style>
  <w:style w:type="character" w:customStyle="1" w:styleId="DokumentostruktraDiagrama">
    <w:name w:val="Dokumento struktūra Diagrama"/>
    <w:basedOn w:val="Numatytasispastraiposriftas"/>
    <w:link w:val="Dokumentostruktra"/>
    <w:semiHidden/>
    <w:rsid w:val="00E07ACB"/>
    <w:rPr>
      <w:rFonts w:ascii="Tahoma" w:eastAsia="Times New Roman" w:hAnsi="Tahoma" w:cs="Tahoma"/>
      <w:sz w:val="20"/>
      <w:szCs w:val="20"/>
      <w:shd w:val="clear" w:color="auto" w:fill="000080"/>
    </w:rPr>
  </w:style>
  <w:style w:type="paragraph" w:styleId="Komentarotema">
    <w:name w:val="annotation subject"/>
    <w:basedOn w:val="Komentarotekstas"/>
    <w:next w:val="Komentarotekstas"/>
    <w:link w:val="KomentarotemaDiagrama"/>
    <w:semiHidden/>
    <w:unhideWhenUsed/>
    <w:rsid w:val="00E07ACB"/>
    <w:rPr>
      <w:b/>
      <w:bCs/>
    </w:rPr>
  </w:style>
  <w:style w:type="character" w:customStyle="1" w:styleId="KomentarotemaDiagrama">
    <w:name w:val="Komentaro tema Diagrama"/>
    <w:basedOn w:val="KomentarotekstasDiagrama"/>
    <w:link w:val="Komentarotema"/>
    <w:semiHidden/>
    <w:rsid w:val="00E07ACB"/>
    <w:rPr>
      <w:rFonts w:ascii="Times New Roman" w:eastAsia="Times New Roman" w:hAnsi="Times New Roman" w:cs="Times New Roman"/>
      <w:b/>
      <w:bCs/>
      <w:sz w:val="20"/>
      <w:szCs w:val="20"/>
    </w:rPr>
  </w:style>
  <w:style w:type="paragraph" w:styleId="Debesliotekstas">
    <w:name w:val="Balloon Text"/>
    <w:basedOn w:val="prastasis"/>
    <w:link w:val="DebesliotekstasDiagrama"/>
    <w:semiHidden/>
    <w:unhideWhenUsed/>
    <w:rsid w:val="00E07ACB"/>
    <w:pPr>
      <w:spacing w:after="0" w:line="240" w:lineRule="auto"/>
    </w:pPr>
    <w:rPr>
      <w:rFonts w:ascii="Tahoma" w:eastAsia="Times New Roman" w:hAnsi="Tahoma" w:cs="Tahoma"/>
      <w:noProof w:val="0"/>
      <w:sz w:val="16"/>
      <w:szCs w:val="16"/>
    </w:rPr>
  </w:style>
  <w:style w:type="character" w:customStyle="1" w:styleId="DebesliotekstasDiagrama">
    <w:name w:val="Debesėlio tekstas Diagrama"/>
    <w:basedOn w:val="Numatytasispastraiposriftas"/>
    <w:link w:val="Debesliotekstas"/>
    <w:semiHidden/>
    <w:rsid w:val="00E07ACB"/>
    <w:rPr>
      <w:rFonts w:ascii="Tahoma" w:eastAsia="Times New Roman" w:hAnsi="Tahoma" w:cs="Tahoma"/>
      <w:sz w:val="16"/>
      <w:szCs w:val="16"/>
    </w:rPr>
  </w:style>
  <w:style w:type="paragraph" w:styleId="Pataisymai">
    <w:name w:val="Revision"/>
    <w:uiPriority w:val="99"/>
    <w:semiHidden/>
    <w:rsid w:val="00E07ACB"/>
    <w:pPr>
      <w:spacing w:after="0" w:line="240" w:lineRule="auto"/>
    </w:pPr>
    <w:rPr>
      <w:rFonts w:ascii="Times New Roman" w:eastAsia="Times New Roman" w:hAnsi="Times New Roman" w:cs="Times New Roman"/>
      <w:sz w:val="24"/>
      <w:szCs w:val="24"/>
    </w:rPr>
  </w:style>
  <w:style w:type="paragraph" w:styleId="Sraopastraipa">
    <w:name w:val="List Paragraph"/>
    <w:basedOn w:val="prastasis"/>
    <w:uiPriority w:val="34"/>
    <w:qFormat/>
    <w:rsid w:val="00E07ACB"/>
    <w:pPr>
      <w:spacing w:after="0" w:line="240" w:lineRule="auto"/>
      <w:ind w:left="720"/>
      <w:contextualSpacing/>
    </w:pPr>
    <w:rPr>
      <w:rFonts w:ascii="Times New Roman" w:eastAsia="Times New Roman" w:hAnsi="Times New Roman" w:cs="Times New Roman"/>
      <w:noProof w:val="0"/>
      <w:sz w:val="24"/>
      <w:szCs w:val="24"/>
    </w:rPr>
  </w:style>
  <w:style w:type="paragraph" w:customStyle="1" w:styleId="PI-1EMEASMCA">
    <w:name w:val="PI-1 EMEA_SMCA"/>
    <w:basedOn w:val="Antrat2"/>
    <w:autoRedefine/>
    <w:rsid w:val="00E07ACB"/>
    <w:pPr>
      <w:tabs>
        <w:tab w:val="left" w:pos="567"/>
      </w:tabs>
      <w:spacing w:before="0" w:after="0"/>
      <w:ind w:left="567" w:hanging="567"/>
    </w:pPr>
    <w:rPr>
      <w:rFonts w:ascii="Times New Roman" w:hAnsi="Times New Roman" w:cs="Times New Roman"/>
      <w:bCs w:val="0"/>
      <w:i w:val="0"/>
      <w:iCs w:val="0"/>
      <w:sz w:val="22"/>
      <w:szCs w:val="22"/>
    </w:rPr>
  </w:style>
  <w:style w:type="character" w:customStyle="1" w:styleId="PI-1labEMEASMCAChar">
    <w:name w:val="PI-1_lab EMEA_SMCA Char"/>
    <w:link w:val="PI-1labEMEASMCA"/>
    <w:locked/>
    <w:rsid w:val="00E07ACB"/>
    <w:rPr>
      <w:rFonts w:ascii="Times New Roman" w:eastAsia="Calibri" w:hAnsi="Times New Roman" w:cs="Times New Roman"/>
      <w:b/>
      <w:noProof/>
      <w:sz w:val="20"/>
      <w:szCs w:val="20"/>
      <w:lang w:val="de-DE" w:eastAsia="de-DE"/>
    </w:rPr>
  </w:style>
  <w:style w:type="paragraph" w:customStyle="1" w:styleId="PI-1labEMEASMCA">
    <w:name w:val="PI-1_lab EMEA_SMCA"/>
    <w:basedOn w:val="prastasis"/>
    <w:link w:val="PI-1labEMEASMCAChar"/>
    <w:autoRedefine/>
    <w:rsid w:val="00E07ACB"/>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Calibri" w:hAnsi="Times New Roman" w:cs="Times New Roman"/>
      <w:b/>
      <w:sz w:val="20"/>
      <w:szCs w:val="20"/>
      <w:lang w:val="de-DE" w:eastAsia="de-DE"/>
    </w:rPr>
  </w:style>
  <w:style w:type="paragraph" w:customStyle="1" w:styleId="PI-2EMEASMCA">
    <w:name w:val="PI-2 EMEA_SMCA"/>
    <w:basedOn w:val="Antrat3"/>
    <w:autoRedefine/>
    <w:rsid w:val="00E07ACB"/>
    <w:pPr>
      <w:keepLines/>
      <w:tabs>
        <w:tab w:val="left" w:pos="567"/>
      </w:tabs>
      <w:spacing w:before="0" w:after="0"/>
      <w:ind w:left="567" w:hanging="567"/>
    </w:pPr>
    <w:rPr>
      <w:rFonts w:ascii="Times New Roman" w:hAnsi="Times New Roman" w:cs="Times New Roman"/>
      <w:bCs w:val="0"/>
      <w:kern w:val="28"/>
      <w:sz w:val="22"/>
      <w:szCs w:val="22"/>
    </w:rPr>
  </w:style>
  <w:style w:type="character" w:customStyle="1" w:styleId="BTEMEASMCAChar">
    <w:name w:val="BT EMEA_SMCA Char"/>
    <w:link w:val="BTEMEASMCA"/>
    <w:locked/>
    <w:rsid w:val="00E07ACB"/>
    <w:rPr>
      <w:rFonts w:ascii="Times New Roman" w:eastAsia="Calibri" w:hAnsi="Times New Roman" w:cs="Times New Roman"/>
      <w:sz w:val="20"/>
      <w:szCs w:val="20"/>
      <w:lang w:val="de-DE" w:eastAsia="de-DE"/>
    </w:rPr>
  </w:style>
  <w:style w:type="paragraph" w:customStyle="1" w:styleId="BTEMEASMCA">
    <w:name w:val="BT EMEA_SMCA"/>
    <w:basedOn w:val="prastasis"/>
    <w:link w:val="BTEMEASMCAChar"/>
    <w:autoRedefine/>
    <w:rsid w:val="00E07ACB"/>
    <w:pPr>
      <w:spacing w:after="0" w:line="240" w:lineRule="auto"/>
    </w:pPr>
    <w:rPr>
      <w:rFonts w:ascii="Times New Roman" w:eastAsia="Calibri" w:hAnsi="Times New Roman" w:cs="Times New Roman"/>
      <w:noProof w:val="0"/>
      <w:sz w:val="20"/>
      <w:szCs w:val="20"/>
      <w:lang w:val="de-DE" w:eastAsia="de-DE"/>
    </w:rPr>
  </w:style>
  <w:style w:type="character" w:customStyle="1" w:styleId="TTEMEASMCAChar">
    <w:name w:val="TT EMEA_SMCA Char"/>
    <w:link w:val="TTEMEASMCA"/>
    <w:locked/>
    <w:rsid w:val="00E07ACB"/>
    <w:rPr>
      <w:rFonts w:ascii="Times New Roman" w:eastAsia="Calibri" w:hAnsi="Times New Roman" w:cs="Times New Roman"/>
      <w:b/>
      <w:caps/>
      <w:sz w:val="20"/>
      <w:szCs w:val="20"/>
      <w:lang w:val="en-US" w:eastAsia="de-DE"/>
    </w:rPr>
  </w:style>
  <w:style w:type="paragraph" w:customStyle="1" w:styleId="TTEMEASMCA">
    <w:name w:val="TT EMEA_SMCA"/>
    <w:basedOn w:val="Antrat1"/>
    <w:link w:val="TTEMEASMCAChar"/>
    <w:autoRedefine/>
    <w:rsid w:val="00E07ACB"/>
    <w:pPr>
      <w:keepNext w:val="0"/>
      <w:tabs>
        <w:tab w:val="left" w:pos="567"/>
      </w:tabs>
      <w:spacing w:before="0" w:after="0"/>
      <w:ind w:left="567" w:hanging="567"/>
      <w:jc w:val="center"/>
    </w:pPr>
    <w:rPr>
      <w:rFonts w:ascii="Times New Roman" w:eastAsia="Calibri" w:hAnsi="Times New Roman" w:cs="Times New Roman"/>
      <w:bCs w:val="0"/>
      <w:caps/>
      <w:kern w:val="0"/>
      <w:sz w:val="20"/>
      <w:szCs w:val="20"/>
      <w:lang w:val="en-US" w:eastAsia="de-DE"/>
    </w:rPr>
  </w:style>
  <w:style w:type="paragraph" w:customStyle="1" w:styleId="BTAnIIEMEASMCA">
    <w:name w:val="BT(AnII) EMEA_SMCA"/>
    <w:basedOn w:val="Debesliotekstas"/>
    <w:autoRedefine/>
    <w:rsid w:val="00E07ACB"/>
    <w:pPr>
      <w:numPr>
        <w:numId w:val="1"/>
      </w:numPr>
      <w:tabs>
        <w:tab w:val="clear" w:pos="720"/>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E07ACB"/>
    <w:pPr>
      <w:tabs>
        <w:tab w:val="num" w:pos="360"/>
      </w:tabs>
    </w:pPr>
  </w:style>
  <w:style w:type="paragraph" w:customStyle="1" w:styleId="PI-3EMEASMCA">
    <w:name w:val="PI-3 EMEA_SMCA"/>
    <w:basedOn w:val="prastasis"/>
    <w:autoRedefine/>
    <w:rsid w:val="00E07ACB"/>
    <w:pPr>
      <w:spacing w:after="0" w:line="220" w:lineRule="exact"/>
    </w:pPr>
    <w:rPr>
      <w:rFonts w:ascii="Times New Roman" w:eastAsia="Times New Roman" w:hAnsi="Times New Roman" w:cs="Times New Roman"/>
      <w:b/>
      <w:bCs/>
      <w:noProof w:val="0"/>
    </w:rPr>
  </w:style>
  <w:style w:type="paragraph" w:customStyle="1" w:styleId="BTbEMEASMCA">
    <w:name w:val="BT(b) EMEA_SMCA"/>
    <w:basedOn w:val="BTEMEASMCA"/>
    <w:autoRedefine/>
    <w:rsid w:val="00E07ACB"/>
    <w:rPr>
      <w:b/>
    </w:rPr>
  </w:style>
  <w:style w:type="paragraph" w:customStyle="1" w:styleId="BTbeEMEASMCA">
    <w:name w:val="BT(be) EMEA_SMCA"/>
    <w:basedOn w:val="BTEMEASMCA"/>
    <w:autoRedefine/>
    <w:rsid w:val="00E07ACB"/>
    <w:pPr>
      <w:jc w:val="center"/>
    </w:pPr>
    <w:rPr>
      <w:b/>
    </w:rPr>
  </w:style>
  <w:style w:type="paragraph" w:customStyle="1" w:styleId="BTeEMEASMCA">
    <w:name w:val="BT(e) EMEA_SMCA"/>
    <w:basedOn w:val="BTEMEASMCA"/>
    <w:autoRedefine/>
    <w:rsid w:val="00E07ACB"/>
    <w:pPr>
      <w:jc w:val="center"/>
    </w:pPr>
  </w:style>
  <w:style w:type="character" w:customStyle="1" w:styleId="BTgEMEASMCAChar">
    <w:name w:val="BT(g) EMEA_SMCA Char"/>
    <w:link w:val="BTgEMEASMCA"/>
    <w:locked/>
    <w:rsid w:val="00E07ACB"/>
    <w:rPr>
      <w:rFonts w:ascii="Times New Roman" w:eastAsia="Calibri" w:hAnsi="Times New Roman" w:cs="Times New Roman"/>
      <w:i/>
      <w:noProof/>
      <w:color w:val="008000"/>
      <w:sz w:val="20"/>
      <w:szCs w:val="20"/>
      <w:lang w:val="de-DE" w:eastAsia="de-DE"/>
    </w:rPr>
  </w:style>
  <w:style w:type="paragraph" w:customStyle="1" w:styleId="BTgEMEASMCA">
    <w:name w:val="BT(g) EMEA_SMCA"/>
    <w:basedOn w:val="BTEMEASMCA"/>
    <w:link w:val="BTgEMEASMCAChar"/>
    <w:autoRedefine/>
    <w:rsid w:val="00E07ACB"/>
    <w:rPr>
      <w:i/>
      <w:noProof/>
      <w:color w:val="008000"/>
    </w:rPr>
  </w:style>
  <w:style w:type="paragraph" w:customStyle="1" w:styleId="BTuEMEASMCA">
    <w:name w:val="BT(u) EMEA_SMCA"/>
    <w:basedOn w:val="BTEMEASMCA"/>
    <w:autoRedefine/>
    <w:rsid w:val="00E07ACB"/>
  </w:style>
  <w:style w:type="paragraph" w:customStyle="1" w:styleId="paragraph">
    <w:name w:val="paragraph"/>
    <w:basedOn w:val="prastasis"/>
    <w:rsid w:val="00E07ACB"/>
    <w:pPr>
      <w:spacing w:before="100" w:beforeAutospacing="1" w:after="100" w:afterAutospacing="1" w:line="240" w:lineRule="auto"/>
    </w:pPr>
    <w:rPr>
      <w:rFonts w:ascii="Arial Unicode MS" w:eastAsia="Calibri" w:hAnsi="Arial Unicode MS" w:cs="Times New Roman"/>
      <w:noProof w:val="0"/>
      <w:szCs w:val="24"/>
      <w:lang w:val="en-US"/>
    </w:rPr>
  </w:style>
  <w:style w:type="paragraph" w:customStyle="1" w:styleId="Default">
    <w:name w:val="Default"/>
    <w:rsid w:val="00E07ACB"/>
    <w:pPr>
      <w:widowControl w:val="0"/>
      <w:autoSpaceDE w:val="0"/>
      <w:autoSpaceDN w:val="0"/>
      <w:adjustRightInd w:val="0"/>
      <w:spacing w:after="0" w:line="240" w:lineRule="auto"/>
    </w:pPr>
    <w:rPr>
      <w:rFonts w:ascii="TTE27FA328t00" w:eastAsia="Times New Roman" w:hAnsi="TTE27FA328t00" w:cs="TTE27FA328t00"/>
      <w:color w:val="000000"/>
      <w:sz w:val="24"/>
      <w:szCs w:val="24"/>
      <w:lang w:val="de-DE" w:eastAsia="de-DE"/>
    </w:rPr>
  </w:style>
  <w:style w:type="paragraph" w:customStyle="1" w:styleId="TableParagraph">
    <w:name w:val="Table Paragraph"/>
    <w:basedOn w:val="prastasis"/>
    <w:uiPriority w:val="99"/>
    <w:rsid w:val="00E07ACB"/>
    <w:pPr>
      <w:widowControl w:val="0"/>
      <w:autoSpaceDE w:val="0"/>
      <w:autoSpaceDN w:val="0"/>
      <w:adjustRightInd w:val="0"/>
      <w:spacing w:after="0" w:line="240" w:lineRule="auto"/>
    </w:pPr>
    <w:rPr>
      <w:rFonts w:ascii="Times New Roman" w:eastAsia="Calibri" w:hAnsi="Times New Roman" w:cs="Times New Roman"/>
      <w:noProof w:val="0"/>
      <w:sz w:val="24"/>
      <w:szCs w:val="24"/>
      <w:lang w:val="de-DE" w:eastAsia="de-DE"/>
    </w:rPr>
  </w:style>
  <w:style w:type="character" w:styleId="Komentaronuoroda">
    <w:name w:val="annotation reference"/>
    <w:basedOn w:val="Numatytasispastraiposriftas"/>
    <w:uiPriority w:val="99"/>
    <w:semiHidden/>
    <w:unhideWhenUsed/>
    <w:rsid w:val="00E07ACB"/>
    <w:rPr>
      <w:sz w:val="16"/>
      <w:szCs w:val="16"/>
    </w:rPr>
  </w:style>
  <w:style w:type="character" w:styleId="Puslapionumeris">
    <w:name w:val="page number"/>
    <w:basedOn w:val="Numatytasispastraiposriftas"/>
    <w:semiHidden/>
    <w:unhideWhenUsed/>
    <w:rsid w:val="00E07ACB"/>
    <w:rPr>
      <w:rFonts w:ascii="Times New Roman" w:hAnsi="Times New Roman" w:cs="Times New Roman" w:hint="default"/>
    </w:rPr>
  </w:style>
  <w:style w:type="table" w:styleId="Lentelstinklelis">
    <w:name w:val="Table Grid"/>
    <w:basedOn w:val="prastojilentel"/>
    <w:rsid w:val="00E07ACB"/>
    <w:pPr>
      <w:spacing w:after="0" w:line="240" w:lineRule="auto"/>
    </w:pPr>
    <w:rPr>
      <w:rFonts w:ascii="Times New Roman" w:eastAsia="Times New Roman" w:hAnsi="Times New Roman" w:cs="Times New Roman"/>
      <w:sz w:val="20"/>
      <w:szCs w:val="20"/>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Numatytasispastraiposriftas"/>
    <w:uiPriority w:val="99"/>
    <w:semiHidden/>
    <w:unhideWhenUsed/>
    <w:rsid w:val="001914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5043451">
      <w:bodyDiv w:val="1"/>
      <w:marLeft w:val="0"/>
      <w:marRight w:val="0"/>
      <w:marTop w:val="0"/>
      <w:marBottom w:val="0"/>
      <w:divBdr>
        <w:top w:val="none" w:sz="0" w:space="0" w:color="auto"/>
        <w:left w:val="none" w:sz="0" w:space="0" w:color="auto"/>
        <w:bottom w:val="none" w:sz="0" w:space="0" w:color="auto"/>
        <w:right w:val="none" w:sz="0" w:space="0" w:color="auto"/>
      </w:divBdr>
    </w:div>
    <w:div w:id="624310255">
      <w:bodyDiv w:val="1"/>
      <w:marLeft w:val="0"/>
      <w:marRight w:val="0"/>
      <w:marTop w:val="0"/>
      <w:marBottom w:val="0"/>
      <w:divBdr>
        <w:top w:val="none" w:sz="0" w:space="0" w:color="auto"/>
        <w:left w:val="none" w:sz="0" w:space="0" w:color="auto"/>
        <w:bottom w:val="none" w:sz="0" w:space="0" w:color="auto"/>
        <w:right w:val="none" w:sz="0" w:space="0" w:color="auto"/>
      </w:divBdr>
    </w:div>
    <w:div w:id="734668480">
      <w:bodyDiv w:val="1"/>
      <w:marLeft w:val="0"/>
      <w:marRight w:val="0"/>
      <w:marTop w:val="0"/>
      <w:marBottom w:val="0"/>
      <w:divBdr>
        <w:top w:val="none" w:sz="0" w:space="0" w:color="auto"/>
        <w:left w:val="none" w:sz="0" w:space="0" w:color="auto"/>
        <w:bottom w:val="none" w:sz="0" w:space="0" w:color="auto"/>
        <w:right w:val="none" w:sz="0" w:space="0" w:color="auto"/>
      </w:divBdr>
    </w:div>
    <w:div w:id="1095440579">
      <w:bodyDiv w:val="1"/>
      <w:marLeft w:val="0"/>
      <w:marRight w:val="0"/>
      <w:marTop w:val="0"/>
      <w:marBottom w:val="0"/>
      <w:divBdr>
        <w:top w:val="none" w:sz="0" w:space="0" w:color="auto"/>
        <w:left w:val="none" w:sz="0" w:space="0" w:color="auto"/>
        <w:bottom w:val="none" w:sz="0" w:space="0" w:color="auto"/>
        <w:right w:val="none" w:sz="0" w:space="0" w:color="auto"/>
      </w:divBdr>
    </w:div>
    <w:div w:id="1529872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20https://vvkt.lrv.lt/l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264256-DA91-4A5B-8B3F-D195FE7183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67486</Words>
  <Characters>38468</Characters>
  <Application>Microsoft Office Word</Application>
  <DocSecurity>4</DocSecurity>
  <Lines>320</Lines>
  <Paragraphs>211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105743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Albina Burkauskaitė</cp:lastModifiedBy>
  <cp:revision>2</cp:revision>
  <dcterms:created xsi:type="dcterms:W3CDTF">2025-04-16T10:47:00Z</dcterms:created>
  <dcterms:modified xsi:type="dcterms:W3CDTF">2025-04-16T10:47:00Z</dcterms:modified>
</cp:coreProperties>
</file>