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BFB5" w14:textId="77777777" w:rsidR="008873A7" w:rsidRPr="00E07ACB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Pakuotės lapelis: informacija pacientui</w:t>
      </w:r>
    </w:p>
    <w:p w14:paraId="358D5999" w14:textId="77777777" w:rsidR="008873A7" w:rsidRPr="00E07ACB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</w:rPr>
      </w:pPr>
    </w:p>
    <w:p w14:paraId="0AB30A11" w14:textId="77777777" w:rsidR="008873A7" w:rsidRPr="00E07ACB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 25 mg plėvele dengtos tabletės</w:t>
      </w:r>
    </w:p>
    <w:p w14:paraId="1195EC98" w14:textId="77777777" w:rsidR="008873A7" w:rsidRPr="00E07ACB" w:rsidRDefault="008873A7" w:rsidP="008873A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</w:rPr>
      </w:pPr>
      <w:proofErr w:type="spellStart"/>
      <w:r>
        <w:rPr>
          <w:rFonts w:ascii="Times New Roman" w:eastAsia="Times New Roman" w:hAnsi="Times New Roman" w:cs="Times New Roman"/>
          <w:noProof w:val="0"/>
        </w:rPr>
        <w:t>a</w:t>
      </w:r>
      <w:r w:rsidRPr="00E07ACB">
        <w:rPr>
          <w:rFonts w:ascii="Times New Roman" w:eastAsia="Times New Roman" w:hAnsi="Times New Roman" w:cs="Times New Roman"/>
          <w:noProof w:val="0"/>
        </w:rPr>
        <w:t>zatioprinas</w:t>
      </w:r>
      <w:proofErr w:type="spellEnd"/>
    </w:p>
    <w:p w14:paraId="3FA24275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EDC680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Atidžiai perskaitykite visą šį lapelį, prieš pradėdami vartoti vaistą, nes jame pateikiama Jums svarbi informacija.</w:t>
      </w:r>
    </w:p>
    <w:p w14:paraId="788FD976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Neišmeskite šio lapelio, nes vėl gali prireikti jį perskaityti.</w:t>
      </w:r>
    </w:p>
    <w:p w14:paraId="41968CE9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kiltų daugiau klausimų, kreipkitės į gydytoją arba vaistininką.</w:t>
      </w:r>
    </w:p>
    <w:p w14:paraId="47A8A906" w14:textId="77777777" w:rsidR="008873A7" w:rsidRPr="00E07ACB" w:rsidRDefault="008873A7" w:rsidP="008873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Šis vaistas skirtas tik Jums, todėl kitiems žmonėms jo duoti negalima. Vaistas gali jiems pakenkti (net tiems, kurių ligos požymiai yra tokie patys kaip Jūsų).</w:t>
      </w:r>
    </w:p>
    <w:p w14:paraId="2C6937FA" w14:textId="77777777" w:rsidR="008873A7" w:rsidRPr="00E07ACB" w:rsidRDefault="008873A7" w:rsidP="008873A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pasireiškė šalutinis poveikis (net jeigu jis šiame lapelyje nenurodytas), kreipkitės į gydytoją arba vaistininką. Žr. </w:t>
      </w:r>
      <w:r w:rsidRPr="00E07ACB">
        <w:rPr>
          <w:rFonts w:ascii="Times New Roman" w:eastAsia="Times New Roman" w:hAnsi="Times New Roman" w:cs="Times New Roman"/>
          <w:noProof w:val="0"/>
          <w:szCs w:val="24"/>
        </w:rPr>
        <w:t>4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skyrių.</w:t>
      </w:r>
    </w:p>
    <w:p w14:paraId="5B9541C4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808F524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5AB11FFF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Apie ką rašoma šiame lapelyje?</w:t>
      </w:r>
    </w:p>
    <w:p w14:paraId="58256322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1.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Kas yra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ir kam jis vartojamas</w:t>
      </w:r>
    </w:p>
    <w:p w14:paraId="2D5905F7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2.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Kas žinotina prieš vartojant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</w:p>
    <w:p w14:paraId="4B469CD0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3.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Kaip vartoti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</w:p>
    <w:p w14:paraId="6EFAA75C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4.</w:t>
      </w:r>
      <w:r w:rsidRPr="00E07ACB">
        <w:rPr>
          <w:rFonts w:ascii="Times New Roman" w:eastAsia="Times New Roman" w:hAnsi="Times New Roman" w:cs="Times New Roman"/>
          <w:noProof w:val="0"/>
        </w:rPr>
        <w:tab/>
        <w:t>Galimas šalutinis poveikis</w:t>
      </w:r>
    </w:p>
    <w:p w14:paraId="20F35F6C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5.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Kaip laikyti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</w:p>
    <w:p w14:paraId="33A07466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6.</w:t>
      </w:r>
      <w:r w:rsidRPr="00E07ACB">
        <w:rPr>
          <w:rFonts w:ascii="Times New Roman" w:eastAsia="Times New Roman" w:hAnsi="Times New Roman" w:cs="Times New Roman"/>
          <w:noProof w:val="0"/>
        </w:rPr>
        <w:tab/>
        <w:t>Pakuotės turinys ir kita informacija</w:t>
      </w:r>
    </w:p>
    <w:p w14:paraId="2D9E2F71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88ED95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B34CFE7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1.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 xml:space="preserve">Kas yra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noProof w:val="0"/>
        </w:rPr>
        <w:t xml:space="preserve"> ir kam jis vartojamas</w:t>
      </w:r>
    </w:p>
    <w:p w14:paraId="0418769C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98B0029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Veiklioji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tablečių medžiaga yra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. Jis priklauso vaistų, vadinamų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imunosupresantais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grupei.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Imunosupresantai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mažina organizmo imuninės sistemos aktyvumą. </w:t>
      </w:r>
    </w:p>
    <w:p w14:paraId="2491F54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E7C1444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Gydytojas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Jums išrašė dėl kurios nors iš šių priežasčių:</w:t>
      </w:r>
    </w:p>
    <w:p w14:paraId="49223C42" w14:textId="77777777" w:rsidR="008873A7" w:rsidRPr="00E07ACB" w:rsidRDefault="008873A7" w:rsidP="008873A7">
      <w:pPr>
        <w:numPr>
          <w:ilvl w:val="0"/>
          <w:numId w:val="2"/>
        </w:numPr>
        <w:tabs>
          <w:tab w:val="left" w:pos="540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kad vaistas padėtų organizmui priimti persodintą organą;</w:t>
      </w:r>
    </w:p>
    <w:p w14:paraId="416E9BB9" w14:textId="77777777" w:rsidR="008873A7" w:rsidRPr="00E07ACB" w:rsidRDefault="008873A7" w:rsidP="008873A7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kad vaistas padėtų kontroliuoti ligą, kurios metu Jūsų imuninė sistema veikia prieš Jūsų organizmą. </w:t>
      </w:r>
    </w:p>
    <w:p w14:paraId="4B58E9B0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D09EAD7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tabletėmis arba jų deriniu su kitais vaistais taip pat galima gydyti sunkų reumatoidinį artritą, sunkų žarnų uždegimą (Krono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Crohn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) ligą arba opinį kolitą) ar kai kurias ligas, kurių metu imuninė sistema veikia prieš organizmą (autoimunines ligas), įskaitant sunkias uždegimines odos, kepenų ar arterijų ligas ir kai kuriuos kraujo sutrikimus. </w:t>
      </w:r>
    </w:p>
    <w:p w14:paraId="70831524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FCEFA84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26D7E48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2.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 xml:space="preserve">Kas žinotina prieš vartojant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</w:p>
    <w:p w14:paraId="6D927263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63B1EE7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  <w:noProof w:val="0"/>
        </w:rPr>
        <w:t>draudžiama</w:t>
      </w:r>
      <w:r w:rsidRPr="00E07ACB">
        <w:rPr>
          <w:rFonts w:ascii="Times New Roman" w:eastAsia="Times New Roman" w:hAnsi="Times New Roman" w:cs="Times New Roman"/>
          <w:b/>
          <w:bCs/>
          <w:noProof w:val="0"/>
        </w:rPr>
        <w:t>:</w:t>
      </w:r>
    </w:p>
    <w:p w14:paraId="451D3CCA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0DB1E60E" w14:textId="77777777" w:rsidR="008873A7" w:rsidRPr="00E07ACB" w:rsidRDefault="008873A7" w:rsidP="008873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jeigu yra alergija 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azatioprinui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merkaptopurinui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arba bet kuriai pagalbinei šio vaisto medžiagai (jos išvardytos 6 skyriuje). Alerginė reakcija gali pasireikšti išbėrimu, niežuliu, kvėpavimo arba rijimo pasunkėjimu, veido, lūpų, gerklės ar liežuvio sutinimu;</w:t>
      </w:r>
    </w:p>
    <w:p w14:paraId="7CD3644D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sergate sunkia infekcine liga;</w:t>
      </w:r>
    </w:p>
    <w:p w14:paraId="54BBC72C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yra sunkus kepenų ar kaulų čiulpų veiklos sutrikimas;</w:t>
      </w:r>
    </w:p>
    <w:p w14:paraId="42D4BDB9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sergate pankreatitu (kasos uždegimu);</w:t>
      </w:r>
    </w:p>
    <w:p w14:paraId="767F3AC5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neseniai skiepijotės gyvąja vakcina, pvz., raupų arba geltonosios karštligės;</w:t>
      </w:r>
    </w:p>
    <w:p w14:paraId="09FE8C3C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esate nėščia (tokiu atveju šio vaisto galima vartoti tik gydytojo leidimu);</w:t>
      </w:r>
    </w:p>
    <w:p w14:paraId="0556863C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jeigu žindote kūdikį.</w:t>
      </w:r>
    </w:p>
    <w:p w14:paraId="63685442" w14:textId="77777777" w:rsidR="008873A7" w:rsidRDefault="008873A7" w:rsidP="008873A7">
      <w:pPr>
        <w:keepNext/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3475451D" w14:textId="77777777" w:rsidR="008873A7" w:rsidRPr="00E07ACB" w:rsidRDefault="008873A7" w:rsidP="008873A7">
      <w:pPr>
        <w:keepNext/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Įspėjimai ir atsargumo priemonės</w:t>
      </w:r>
    </w:p>
    <w:p w14:paraId="11E93AE9" w14:textId="77777777" w:rsidR="008873A7" w:rsidRPr="00E07ACB" w:rsidRDefault="008873A7" w:rsidP="008873A7">
      <w:pPr>
        <w:keepNext/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Pasitarkite su gydytoju arba vaistininku, prieš pradėdami vartoti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.</w:t>
      </w:r>
    </w:p>
    <w:p w14:paraId="3B85BA29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443959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lastRenderedPageBreak/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Jums bus paskirtas tik tuo atveju, jeigu bus galima Jus stebėti dėl šalutinio poveikio. </w:t>
      </w:r>
    </w:p>
    <w:p w14:paraId="7FCF258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8E0DF60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Jeigu atsiras gerklės opų, karščiavimas, infekcinė liga, kraujosruvų (mėlynių) ar kraujavimas, turite nedelsdami pasakyti gydytojui.</w:t>
      </w:r>
    </w:p>
    <w:p w14:paraId="75E64C99" w14:textId="77777777" w:rsidR="008873A7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F158AE9" w14:textId="77777777" w:rsidR="008873A7" w:rsidRPr="00D54FD9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D54FD9">
        <w:rPr>
          <w:rFonts w:ascii="Times New Roman" w:eastAsia="Times New Roman" w:hAnsi="Times New Roman" w:cs="Times New Roman"/>
          <w:noProof w:val="0"/>
        </w:rPr>
        <w:t xml:space="preserve">Kepenų pažeidimas </w:t>
      </w:r>
    </w:p>
    <w:p w14:paraId="187ED3E7" w14:textId="77777777" w:rsidR="008873A7" w:rsidRPr="00D54FD9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D54FD9">
        <w:rPr>
          <w:rFonts w:ascii="Times New Roman" w:eastAsia="Times New Roman" w:hAnsi="Times New Roman" w:cs="Times New Roman"/>
          <w:noProof w:val="0"/>
        </w:rPr>
        <w:t xml:space="preserve">Gydymas </w:t>
      </w:r>
      <w:proofErr w:type="spellStart"/>
      <w:r w:rsidRPr="00D54FD9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D54FD9">
        <w:rPr>
          <w:rFonts w:ascii="Times New Roman" w:eastAsia="Times New Roman" w:hAnsi="Times New Roman" w:cs="Times New Roman"/>
          <w:noProof w:val="0"/>
        </w:rPr>
        <w:t xml:space="preserve"> gali turėti poveikį Jūsų kepenims, todėl Jūsų gydytojas nuolat atliks tyrimus Jūsų kepenų veiklai įvertinti. Pasakykite savo gydytojui, jeigu Jums pasireikštų kepenų pažeidimo simptomai (žr. 4 skyrių „Galimas šalutinis poveikis“).</w:t>
      </w:r>
    </w:p>
    <w:p w14:paraId="549414CA" w14:textId="77777777" w:rsidR="008873A7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FEE7B59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Pasitarkite su gydytoju ar vaistininku, prieš pradėdami vartoti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0AFEE9BD" w14:textId="77777777" w:rsidR="008873A7" w:rsidRPr="00E07ACB" w:rsidRDefault="008873A7" w:rsidP="008873A7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Jūs ketinate skiepytis, vartodami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;</w:t>
      </w:r>
    </w:p>
    <w:p w14:paraId="7059BA6B" w14:textId="77777777" w:rsidR="008873A7" w:rsidRPr="00E07ACB" w:rsidRDefault="008873A7" w:rsidP="008873A7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Jums yra sutrikimas, kai organizmas gamina per mažai natūralios medžiagos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tiopurino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metiltransferazės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(TPMT);</w:t>
      </w:r>
    </w:p>
    <w:p w14:paraId="3D519501" w14:textId="77777777" w:rsidR="008873A7" w:rsidRPr="00BA15BA" w:rsidRDefault="008873A7" w:rsidP="008873A7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Jums yra nustatytas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Lešo-Nyhano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Lesch-Nyhan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) sindromas.</w:t>
      </w:r>
    </w:p>
    <w:p w14:paraId="7DCE2432" w14:textId="77777777" w:rsidR="008873A7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684F9463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  <w:r w:rsidRPr="00E07ACB">
        <w:rPr>
          <w:rFonts w:ascii="Times New Roman" w:eastAsia="Times New Roman" w:hAnsi="Times New Roman" w:cs="Times New Roman"/>
          <w:bCs/>
          <w:i/>
          <w:lang w:eastAsia="lt-LT"/>
        </w:rPr>
        <w:t>NUDT15 geno mutacija</w:t>
      </w:r>
    </w:p>
    <w:p w14:paraId="4FFC8E7A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6F2C978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07ACB">
        <w:rPr>
          <w:rFonts w:ascii="Times New Roman" w:eastAsia="Times New Roman" w:hAnsi="Times New Roman" w:cs="Times New Roman"/>
          <w:bCs/>
          <w:lang w:eastAsia="lt-LT"/>
        </w:rPr>
        <w:t>Jei turite įgimtą mutavusį NUDT15 geną (tai genas, dalyvaujantis skaidant Atsimutin organizme),</w:t>
      </w:r>
    </w:p>
    <w:p w14:paraId="4B27D0B1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07ACB">
        <w:rPr>
          <w:rFonts w:ascii="Times New Roman" w:eastAsia="Times New Roman" w:hAnsi="Times New Roman" w:cs="Times New Roman"/>
          <w:bCs/>
          <w:lang w:eastAsia="lt-LT"/>
        </w:rPr>
        <w:t>jums gresia didesnė infekcijų ir plaukų netekimo rizika, o jus gydantis gydytojas tokiu atveju gali</w:t>
      </w:r>
    </w:p>
    <w:p w14:paraId="517DF6C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E07ACB">
        <w:rPr>
          <w:rFonts w:ascii="Times New Roman" w:eastAsia="Times New Roman" w:hAnsi="Times New Roman" w:cs="Times New Roman"/>
          <w:bCs/>
          <w:lang w:eastAsia="lt-LT"/>
        </w:rPr>
        <w:t>skirti mažesnę dozę.</w:t>
      </w:r>
    </w:p>
    <w:p w14:paraId="68723B3D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1577D6A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Jeigu jums taikoma imunosupresinė terapija, vartojant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, gali padidėti rizika susirgti: </w:t>
      </w:r>
    </w:p>
    <w:p w14:paraId="1472EE5A" w14:textId="77777777" w:rsidR="008873A7" w:rsidRPr="00E07ACB" w:rsidRDefault="008873A7" w:rsidP="008873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navikinėmis ligomis, įskaitant odos vėžį. 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Todėl vartojant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>, reikėtų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 vengti </w:t>
      </w:r>
      <w:r w:rsidRPr="00E07ACB">
        <w:rPr>
          <w:rFonts w:ascii="Times New Roman" w:eastAsia="Calibri" w:hAnsi="Times New Roman" w:cs="Times New Roman"/>
          <w:noProof w:val="0"/>
          <w:color w:val="000000"/>
        </w:rPr>
        <w:t>ilgai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 būti </w:t>
      </w:r>
      <w:r w:rsidRPr="00E07ACB">
        <w:rPr>
          <w:rFonts w:ascii="Times New Roman" w:eastAsia="Calibri" w:hAnsi="Times New Roman" w:cs="Times New Roman"/>
          <w:noProof w:val="0"/>
          <w:color w:val="000000"/>
        </w:rPr>
        <w:t>saulėkaitoje, taip pat reikėtų dėvėti nuo saulės</w:t>
      </w:r>
      <w:r w:rsidRPr="00E07ACB">
        <w:rPr>
          <w:rFonts w:ascii="Times New Roman" w:eastAsia="Calibri" w:hAnsi="Times New Roman" w:cs="Times New Roman"/>
          <w:noProof w:val="0"/>
          <w:color w:val="000000"/>
          <w:szCs w:val="24"/>
        </w:rPr>
        <w:t xml:space="preserve"> spindulių </w:t>
      </w: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apsaugančius drabužius ir vartoti apsaugos nuo saulės priemones, kurių apsaugos nuo saulės faktorius (SPF) yra didelis; </w:t>
      </w:r>
    </w:p>
    <w:p w14:paraId="182EB7EF" w14:textId="77777777" w:rsidR="008873A7" w:rsidRPr="00E07ACB" w:rsidRDefault="008873A7" w:rsidP="008873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 w:val="0"/>
          <w:color w:val="000000"/>
        </w:rPr>
      </w:pP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limfoproliferaciniais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sutrikimais: </w:t>
      </w:r>
    </w:p>
    <w:p w14:paraId="53530482" w14:textId="77777777" w:rsidR="008873A7" w:rsidRPr="00E07ACB" w:rsidRDefault="008873A7" w:rsidP="008873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taikant gydymą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, didėja rizika susirgti tam tikros formos vėžiu, vadinamu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limfoproliferaciniu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sutrikimu. Jeigu taikomas gydymas keliais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imunosupresantais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(įskaitant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tiopurinus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), tai gali sukelti mirtį; </w:t>
      </w:r>
    </w:p>
    <w:p w14:paraId="32E0C5A8" w14:textId="77777777" w:rsidR="008873A7" w:rsidRPr="00E07ACB" w:rsidRDefault="008873A7" w:rsidP="008873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vienu metu vartojant kelis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imunosupresantus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>, didėja virusinės infekcijos sukeliamų limfinės sistemos sutrikimų (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Epštein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-Baro viruso (EBV) sukeliamų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limfoproliferacinių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sutrikimų) rizika. </w:t>
      </w:r>
    </w:p>
    <w:p w14:paraId="740B98B1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Vartojant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, gali padidėti rizika: </w:t>
      </w:r>
    </w:p>
    <w:p w14:paraId="7BEDB642" w14:textId="77777777" w:rsidR="008873A7" w:rsidRPr="00E07ACB" w:rsidRDefault="008873A7" w:rsidP="008873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 w:val="0"/>
          <w:color w:val="000000"/>
        </w:rPr>
      </w:pPr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susirgti rimta liga, vadinama </w:t>
      </w:r>
      <w:proofErr w:type="spellStart"/>
      <w:r w:rsidRPr="00E07ACB">
        <w:rPr>
          <w:rFonts w:ascii="Times New Roman" w:eastAsia="Calibri" w:hAnsi="Times New Roman" w:cs="Times New Roman"/>
          <w:noProof w:val="0"/>
          <w:color w:val="000000"/>
        </w:rPr>
        <w:t>makrofagų</w:t>
      </w:r>
      <w:proofErr w:type="spellEnd"/>
      <w:r w:rsidRPr="00E07ACB">
        <w:rPr>
          <w:rFonts w:ascii="Times New Roman" w:eastAsia="Calibri" w:hAnsi="Times New Roman" w:cs="Times New Roman"/>
          <w:noProof w:val="0"/>
          <w:color w:val="000000"/>
        </w:rPr>
        <w:t xml:space="preserve"> aktyvacijos sindromu (pernelyg stipriai aktyvinami su uždegimu siejami baltieji kraujo kūneliai), kuris paprastai pasireiškia pacientams, sergantiems tam tikrų rūšių artritu. </w:t>
      </w:r>
    </w:p>
    <w:p w14:paraId="6975FAD5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 w:val="0"/>
        </w:rPr>
      </w:pPr>
    </w:p>
    <w:p w14:paraId="6E24BD21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Tablečių nelaužykite ar netraiškykite.</w:t>
      </w:r>
    </w:p>
    <w:p w14:paraId="12788F94" w14:textId="77777777" w:rsidR="008873A7" w:rsidRPr="00CA5C9F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628EC85" w14:textId="77777777" w:rsidR="008873A7" w:rsidRPr="00556972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556972">
        <w:rPr>
          <w:rFonts w:ascii="Times New Roman" w:eastAsia="Times New Roman" w:hAnsi="Times New Roman" w:cs="Times New Roman"/>
          <w:noProof w:val="0"/>
        </w:rPr>
        <w:t>Kepenų pažeidima</w:t>
      </w:r>
      <w:r>
        <w:rPr>
          <w:rFonts w:ascii="Times New Roman" w:eastAsia="Times New Roman" w:hAnsi="Times New Roman" w:cs="Times New Roman"/>
          <w:noProof w:val="0"/>
        </w:rPr>
        <w:t>i</w:t>
      </w:r>
    </w:p>
    <w:p w14:paraId="5B06764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556972">
        <w:rPr>
          <w:rFonts w:ascii="Times New Roman" w:eastAsia="Times New Roman" w:hAnsi="Times New Roman" w:cs="Times New Roman"/>
          <w:noProof w:val="0"/>
        </w:rPr>
        <w:t xml:space="preserve">Gydymas </w:t>
      </w:r>
      <w:proofErr w:type="spellStart"/>
      <w:r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  <w:r w:rsidRPr="00556972">
        <w:rPr>
          <w:rFonts w:ascii="Times New Roman" w:eastAsia="Times New Roman" w:hAnsi="Times New Roman" w:cs="Times New Roman"/>
          <w:noProof w:val="0"/>
        </w:rPr>
        <w:t>gali paveikti kepenis, todėl gydytojas reguliariai stebės Jūsų kepenų funkciją. Pasakykite gydytojui, jei pasireiškia kepenų pažeidimo simptomai (žr. 4 skyrių „Galimas šalutinis poveikis“).</w:t>
      </w:r>
    </w:p>
    <w:p w14:paraId="21F4FC2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r w:rsidRPr="00E07ACB">
        <w:rPr>
          <w:rFonts w:ascii="Times New Roman" w:eastAsia="Times New Roman" w:hAnsi="Times New Roman" w:cs="Times New Roman"/>
          <w:b/>
          <w:bCs/>
          <w:noProof w:val="0"/>
        </w:rPr>
        <w:t>Kraujo tyrimai</w:t>
      </w:r>
    </w:p>
    <w:p w14:paraId="4E795282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1F5F1AD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Pirmas 8 gydymo savaites Jums reikės kas savaitę daryti kraujo tyrimus. Dažniau juos reikės daryti, jeigu:</w:t>
      </w:r>
    </w:p>
    <w:p w14:paraId="1E96A818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esate senyvas;</w:t>
      </w:r>
    </w:p>
    <w:p w14:paraId="14BB5459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vartojate didelę vaisto dozę;</w:t>
      </w:r>
    </w:p>
    <w:p w14:paraId="719F9393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yra sutrikusi Jūsų inkstų arba kepenų veikla;</w:t>
      </w:r>
    </w:p>
    <w:p w14:paraId="11ED65EB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yra sutrikusi Jūsų kaulų čiulpų veikla;</w:t>
      </w:r>
    </w:p>
    <w:p w14:paraId="5B6B910E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per daug aktyvi Jūsų blužnies veikla.</w:t>
      </w:r>
    </w:p>
    <w:p w14:paraId="48A8B820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BAC8F00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Būtina vartoti veiksmingą kontracepcijos formą (tokią kaip prezervatyvai), kadangi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tabletės gali suketi apsigimimus, nesvarbu, ar vaistą vartoja vyras, ar moteris.</w:t>
      </w:r>
    </w:p>
    <w:p w14:paraId="75F6B1A3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409B4BA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lastRenderedPageBreak/>
        <w:t>Perspėjimas</w:t>
      </w:r>
    </w:p>
    <w:p w14:paraId="5366F672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vartojimo nutraukimas visada turi būti atliekamas atidžiai stebint. Pasitarkite su gydytoju, prieš nutraukdami vaisto vartojimą.</w:t>
      </w:r>
    </w:p>
    <w:p w14:paraId="30095A1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1D1122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 xml:space="preserve">Kiti vaistai ir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p w14:paraId="7CB2ED3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vartojate arba neseniai vartojote kitų vaistų arba dėl to nesate tikri, apie tai pasakykite gydytojui arba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vaistininkui</w:t>
      </w:r>
      <w:r>
        <w:rPr>
          <w:rFonts w:ascii="Times New Roman" w:eastAsia="Times New Roman" w:hAnsi="Times New Roman" w:cs="Times New Roman"/>
          <w:noProof w:val="0"/>
        </w:rPr>
        <w:t>S</w:t>
      </w:r>
      <w:r w:rsidRPr="00E07ACB">
        <w:rPr>
          <w:rFonts w:ascii="Times New Roman" w:eastAsia="Times New Roman" w:hAnsi="Times New Roman" w:cs="Times New Roman"/>
          <w:noProof w:val="0"/>
        </w:rPr>
        <w:t>varbu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pasakyti apie toliau išvardytų vaistų vartojimą. </w:t>
      </w:r>
    </w:p>
    <w:p w14:paraId="7743188A" w14:textId="77777777" w:rsidR="008873A7" w:rsidRPr="00E07ACB" w:rsidRDefault="008873A7" w:rsidP="008873A7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Alopurinolis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oksipurinolis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tiopurinolis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 xml:space="preserve">ar kiti </w:t>
      </w:r>
      <w:proofErr w:type="spellStart"/>
      <w:r>
        <w:rPr>
          <w:rFonts w:ascii="Times New Roman" w:eastAsia="Times New Roman" w:hAnsi="Times New Roman" w:cs="Times New Roman"/>
          <w:noProof w:val="0"/>
        </w:rPr>
        <w:t>ksantinoksidazės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inhibitoriai, tokie kaip </w:t>
      </w:r>
      <w:proofErr w:type="spellStart"/>
      <w:r>
        <w:rPr>
          <w:rFonts w:ascii="Times New Roman" w:eastAsia="Times New Roman" w:hAnsi="Times New Roman" w:cs="Times New Roman"/>
          <w:noProof w:val="0"/>
        </w:rPr>
        <w:t>febuksostatas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  <w:r w:rsidRPr="00E07ACB">
        <w:rPr>
          <w:rFonts w:ascii="Times New Roman" w:eastAsia="Times New Roman" w:hAnsi="Times New Roman" w:cs="Times New Roman"/>
          <w:noProof w:val="0"/>
        </w:rPr>
        <w:t>(</w:t>
      </w:r>
      <w:r>
        <w:rPr>
          <w:rFonts w:ascii="Times New Roman" w:eastAsia="Times New Roman" w:hAnsi="Times New Roman" w:cs="Times New Roman"/>
          <w:noProof w:val="0"/>
        </w:rPr>
        <w:t xml:space="preserve">dažniausiai vartojami </w:t>
      </w:r>
      <w:r w:rsidRPr="00E07ACB">
        <w:rPr>
          <w:rFonts w:ascii="Times New Roman" w:eastAsia="Times New Roman" w:hAnsi="Times New Roman" w:cs="Times New Roman"/>
          <w:noProof w:val="0"/>
        </w:rPr>
        <w:t>podagros</w:t>
      </w:r>
      <w:r>
        <w:rPr>
          <w:rFonts w:ascii="Times New Roman" w:eastAsia="Times New Roman" w:hAnsi="Times New Roman" w:cs="Times New Roman"/>
          <w:noProof w:val="0"/>
        </w:rPr>
        <w:t xml:space="preserve"> gydymui</w:t>
      </w:r>
      <w:r w:rsidRPr="00E07ACB">
        <w:rPr>
          <w:rFonts w:ascii="Times New Roman" w:eastAsia="Times New Roman" w:hAnsi="Times New Roman" w:cs="Times New Roman"/>
          <w:noProof w:val="0"/>
        </w:rPr>
        <w:t>).</w:t>
      </w:r>
    </w:p>
    <w:p w14:paraId="641163EF" w14:textId="77777777" w:rsidR="008873A7" w:rsidRPr="00E07ACB" w:rsidRDefault="008873A7" w:rsidP="008873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</w:p>
    <w:p w14:paraId="0A33C722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Kitokie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imunosupresantai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pvz.,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ciklosporinas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takrolimuzas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.</w:t>
      </w:r>
    </w:p>
    <w:p w14:paraId="7F6B07C3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Infliksimabas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(vaistas nuo Krono  ligos).</w:t>
      </w:r>
    </w:p>
    <w:p w14:paraId="4815CEAF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Olsalazinas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mesalazinas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sulfasalazinas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(vaistai nuo opinio kolito).</w:t>
      </w:r>
    </w:p>
    <w:p w14:paraId="07A6D962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Varfarinas ar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fenprokumonas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(kraują skystinantys vaistai).</w:t>
      </w:r>
    </w:p>
    <w:p w14:paraId="26EE34DB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AKF inhibitoriai (vaistai nuo didelio kraujospūdžio ligos arba širdies nepakankamumo).</w:t>
      </w:r>
    </w:p>
    <w:p w14:paraId="1B6E8E80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Trimetoprimas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ir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sulfametoksazolas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(antimikrobiniai preparatai).</w:t>
      </w:r>
    </w:p>
    <w:p w14:paraId="7B5D8F46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Cimetidinas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(vaistas nuo virškinimo trakto opų).</w:t>
      </w:r>
    </w:p>
    <w:p w14:paraId="4F4E7B45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>Vaistai nuo vėžio bei kraujo ląstelių gamybą lėtinantys arba stabdantys vaistai.</w:t>
      </w:r>
    </w:p>
    <w:p w14:paraId="10DBF63D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Furozemidas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(šlapimo išskyrimą didinantis vaistas širdies nepakankamumui gydyti).</w:t>
      </w:r>
    </w:p>
    <w:p w14:paraId="6182326A" w14:textId="77777777" w:rsidR="008873A7" w:rsidRDefault="008873A7" w:rsidP="008873A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53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Bet kokių taip vadinamų „gyvųjų“ vakcinų.</w:t>
      </w:r>
    </w:p>
    <w:p w14:paraId="5AD4E572" w14:textId="77777777" w:rsidR="008873A7" w:rsidRPr="00E07ACB" w:rsidRDefault="008873A7" w:rsidP="008873A7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53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Prieš operaciją informuokite anesteziologą, kad esate gydomas </w:t>
      </w:r>
      <w:proofErr w:type="spellStart"/>
      <w:r>
        <w:rPr>
          <w:rFonts w:ascii="Times New Roman" w:eastAsia="Times New Roman" w:hAnsi="Times New Roman" w:cs="Times New Roman"/>
          <w:noProof w:val="0"/>
        </w:rPr>
        <w:t>azatioprinu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, kadangi anestezijos metu vartojami raumenis atpalaiduojantys vaistai gali sąveikauti su </w:t>
      </w:r>
      <w:proofErr w:type="spellStart"/>
      <w:r>
        <w:rPr>
          <w:rFonts w:ascii="Times New Roman" w:eastAsia="Times New Roman" w:hAnsi="Times New Roman" w:cs="Times New Roman"/>
          <w:noProof w:val="0"/>
        </w:rPr>
        <w:t>azatioprinu</w:t>
      </w:r>
      <w:proofErr w:type="spellEnd"/>
      <w:r>
        <w:rPr>
          <w:rFonts w:ascii="Times New Roman" w:eastAsia="Times New Roman" w:hAnsi="Times New Roman" w:cs="Times New Roman"/>
          <w:noProof w:val="0"/>
        </w:rPr>
        <w:t>.</w:t>
      </w:r>
    </w:p>
    <w:p w14:paraId="3473378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3272711" w14:textId="77777777" w:rsidR="008873A7" w:rsidRPr="00E07ACB" w:rsidRDefault="008873A7" w:rsidP="008873A7">
      <w:pPr>
        <w:keepNext/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Nėštumas, žindymo laikotarpis ir vaisingumas</w:t>
      </w:r>
    </w:p>
    <w:p w14:paraId="501280E8" w14:textId="77777777" w:rsidR="008873A7" w:rsidRPr="00E07ACB" w:rsidRDefault="008873A7" w:rsidP="008873A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esate nėščia, žindote kūdikį, manote, kad galbūt esate nėščia, arba planuojate pastoti tai prieš vartodama šį vaistą, pasitarkite su gydytoju arba vaistininku. </w:t>
      </w:r>
    </w:p>
    <w:p w14:paraId="70E813ED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2516E86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esate nėščia,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tablečių gerti negalima, išskyrus atvejus, kai vaisto vartoti skiria gydytojas. Vaisingo amžiaus vyrams ir moterims būtina naudotis kontraceptinėmis priemonėmis, kitokiomis nei prietaisai į gimdą (pvz., spiralė,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Copper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T). Jūs turite tęsti kontracepcijos priemonių naudojimą mažiausiai 3 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mėn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po gydymo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nutraukimo.</w:t>
      </w:r>
    </w:p>
    <w:p w14:paraId="5909D53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Žindyti kūdikio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vartojimo metu negalima, kadangi jo apykaitos produktai gali patekti į pieną ir pakenkti Jūsų vaikui.</w:t>
      </w:r>
    </w:p>
    <w:p w14:paraId="69462E5E" w14:textId="77777777" w:rsidR="008873A7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46DC89B" w14:textId="77777777" w:rsidR="008873A7" w:rsidRPr="00C97BC0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C97BC0">
        <w:rPr>
          <w:rFonts w:ascii="Times New Roman" w:eastAsia="Times New Roman" w:hAnsi="Times New Roman" w:cs="Times New Roman"/>
          <w:noProof w:val="0"/>
        </w:rPr>
        <w:t xml:space="preserve">Nedelsiant kreipkitės į gydytoją, jei nėštumo metu jaučiate stiprų niežulį be bėrimo. Taip pat gali pasireikšti pykinimas, apetito praradimas ir niežulys, o tai rodo, kad Jums yra nėštumo </w:t>
      </w:r>
      <w:proofErr w:type="spellStart"/>
      <w:r w:rsidRPr="00C97BC0">
        <w:rPr>
          <w:rFonts w:ascii="Times New Roman" w:eastAsia="Times New Roman" w:hAnsi="Times New Roman" w:cs="Times New Roman"/>
          <w:noProof w:val="0"/>
        </w:rPr>
        <w:t>cholestazė</w:t>
      </w:r>
      <w:proofErr w:type="spellEnd"/>
      <w:r w:rsidRPr="00C97BC0">
        <w:rPr>
          <w:rFonts w:ascii="Times New Roman" w:eastAsia="Times New Roman" w:hAnsi="Times New Roman" w:cs="Times New Roman"/>
          <w:noProof w:val="0"/>
        </w:rPr>
        <w:t xml:space="preserve"> (kepenų liga nėštumo metu). </w:t>
      </w:r>
      <w:r w:rsidRPr="00E60161">
        <w:rPr>
          <w:rFonts w:ascii="Times New Roman" w:eastAsia="Times New Roman" w:hAnsi="Times New Roman" w:cs="Times New Roman"/>
          <w:noProof w:val="0"/>
        </w:rPr>
        <w:t>Šis sutrikimas gali pakenkti negimusiam vaikui.</w:t>
      </w:r>
    </w:p>
    <w:p w14:paraId="42B5B0D5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F4DC30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Prieš vartojant bet kokį vaistą, būtina pasitarti su gydytoju arba vaistininku.</w:t>
      </w:r>
    </w:p>
    <w:p w14:paraId="753EDF37" w14:textId="77777777" w:rsidR="008873A7" w:rsidRPr="00F71CB6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80649BA" w14:textId="77777777" w:rsidR="008873A7" w:rsidRPr="00F71CB6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F71CB6">
        <w:rPr>
          <w:rFonts w:ascii="Times New Roman" w:eastAsia="Times New Roman" w:hAnsi="Times New Roman" w:cs="Times New Roman"/>
          <w:noProof w:val="0"/>
        </w:rPr>
        <w:t>Vitamino B3 trūkumas (</w:t>
      </w:r>
      <w:proofErr w:type="spellStart"/>
      <w:r w:rsidRPr="00F71CB6">
        <w:rPr>
          <w:rFonts w:ascii="Times New Roman" w:eastAsia="Times New Roman" w:hAnsi="Times New Roman" w:cs="Times New Roman"/>
          <w:noProof w:val="0"/>
        </w:rPr>
        <w:t>pelagra</w:t>
      </w:r>
      <w:proofErr w:type="spellEnd"/>
      <w:r w:rsidRPr="00F71CB6">
        <w:rPr>
          <w:rFonts w:ascii="Times New Roman" w:eastAsia="Times New Roman" w:hAnsi="Times New Roman" w:cs="Times New Roman"/>
          <w:noProof w:val="0"/>
        </w:rPr>
        <w:t xml:space="preserve">) </w:t>
      </w:r>
    </w:p>
    <w:p w14:paraId="74472B13" w14:textId="77777777" w:rsidR="008873A7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F71CB6">
        <w:rPr>
          <w:rFonts w:ascii="Times New Roman" w:eastAsia="Times New Roman" w:hAnsi="Times New Roman" w:cs="Times New Roman"/>
          <w:noProof w:val="0"/>
        </w:rPr>
        <w:t xml:space="preserve">Nedelsdami pasakykite gydytojui, jei viduriuojate, atsiranda vietinis pigmentinis bėrimas, pablogėja atmintis, protavimas ir mąstymas, nes šie simptomai gali rodyti vitamino B3 trūkumą (nikotino rūgšties trūkumas </w:t>
      </w:r>
      <w:r>
        <w:rPr>
          <w:rFonts w:ascii="Times New Roman" w:eastAsia="Times New Roman" w:hAnsi="Times New Roman" w:cs="Times New Roman"/>
          <w:noProof w:val="0"/>
        </w:rPr>
        <w:t>[</w:t>
      </w:r>
      <w:proofErr w:type="spellStart"/>
      <w:r w:rsidRPr="00F71CB6">
        <w:rPr>
          <w:rFonts w:ascii="Times New Roman" w:eastAsia="Times New Roman" w:hAnsi="Times New Roman" w:cs="Times New Roman"/>
          <w:noProof w:val="0"/>
        </w:rPr>
        <w:t>pelagra</w:t>
      </w:r>
      <w:proofErr w:type="spellEnd"/>
      <w:r>
        <w:rPr>
          <w:rFonts w:ascii="Times New Roman" w:eastAsia="Times New Roman" w:hAnsi="Times New Roman" w:cs="Times New Roman"/>
          <w:noProof w:val="0"/>
        </w:rPr>
        <w:t>]</w:t>
      </w:r>
      <w:r w:rsidRPr="00F71CB6">
        <w:rPr>
          <w:rFonts w:ascii="Times New Roman" w:eastAsia="Times New Roman" w:hAnsi="Times New Roman" w:cs="Times New Roman"/>
          <w:noProof w:val="0"/>
        </w:rPr>
        <w:t>).</w:t>
      </w:r>
    </w:p>
    <w:p w14:paraId="694C752E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5385A8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Vairavimas ir mechanizmų valdymas</w:t>
      </w:r>
    </w:p>
    <w:p w14:paraId="4DF5A75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Vairuoti ar valdyti mechanizmus vartojant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yra saugu, išskyrus atvejus, kai jaučiate svaigulį. Alkoholis svaigulį gali sustiprinti, todėl negalima vairuoti arba valdyti mechanizmų, jeigu vartojote alkoholio. </w:t>
      </w:r>
    </w:p>
    <w:p w14:paraId="6421743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2746A59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noProof w:val="0"/>
        </w:rPr>
        <w:t xml:space="preserve"> sudėtyje yra laktozės</w:t>
      </w:r>
    </w:p>
    <w:p w14:paraId="7720C8A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gydytojas Jums yra sakęs, kad netoleruojate kokių nors angliavandenių, kreipkitės į jį prieš pradėdami vartoti šį vaistą. </w:t>
      </w:r>
    </w:p>
    <w:p w14:paraId="3FBE6CE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765E492" w14:textId="77777777" w:rsidR="008873A7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</w:rPr>
        <w:t>Natris</w:t>
      </w:r>
    </w:p>
    <w:p w14:paraId="6AFE5D0C" w14:textId="77777777" w:rsidR="008873A7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Vienoje šio vaistinio preparato tabletėje yra mažiau kaip 1 </w:t>
      </w:r>
      <w:proofErr w:type="spellStart"/>
      <w:r>
        <w:rPr>
          <w:rFonts w:ascii="Times New Roman" w:eastAsia="Times New Roman" w:hAnsi="Times New Roman" w:cs="Times New Roman"/>
          <w:noProof w:val="0"/>
        </w:rPr>
        <w:t>mmol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(23 mg) natrio, </w:t>
      </w:r>
      <w:proofErr w:type="spellStart"/>
      <w:r>
        <w:rPr>
          <w:rFonts w:ascii="Times New Roman" w:eastAsia="Times New Roman" w:hAnsi="Times New Roman" w:cs="Times New Roman"/>
          <w:noProof w:val="0"/>
        </w:rPr>
        <w:t>t.y</w:t>
      </w:r>
      <w:proofErr w:type="spellEnd"/>
      <w:r>
        <w:rPr>
          <w:rFonts w:ascii="Times New Roman" w:eastAsia="Times New Roman" w:hAnsi="Times New Roman" w:cs="Times New Roman"/>
          <w:noProof w:val="0"/>
        </w:rPr>
        <w:t>. jis beveik neturi reikšmės.</w:t>
      </w:r>
    </w:p>
    <w:p w14:paraId="3B44956A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124C751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3.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 xml:space="preserve">Kaip vartoti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</w:p>
    <w:p w14:paraId="0AFF5707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0BA70E7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Visada vartokite šį vaistą tiksliai kaip nurodė gydytojas. Jeigu abejojate, kreipkitės į gydytoją arba vaistininką. </w:t>
      </w:r>
    </w:p>
    <w:p w14:paraId="0B89FAB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Plėvele dengtos tabletės turi būti vartojamos valgio metu, užsigeriant stikline vandens.</w:t>
      </w:r>
    </w:p>
    <w:p w14:paraId="47647CE0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5177167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 w:val="0"/>
        </w:rPr>
      </w:pPr>
      <w:r w:rsidRPr="00E07ACB">
        <w:rPr>
          <w:rFonts w:ascii="Times New Roman" w:eastAsia="Times New Roman" w:hAnsi="Times New Roman" w:cs="Times New Roman"/>
          <w:b/>
          <w:bCs/>
          <w:iCs/>
          <w:noProof w:val="0"/>
        </w:rPr>
        <w:t>Dozavimas</w:t>
      </w:r>
    </w:p>
    <w:p w14:paraId="1F6684A4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3AFB43B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  <w:r w:rsidRPr="00E07ACB">
        <w:rPr>
          <w:rFonts w:ascii="Times New Roman" w:eastAsia="Times New Roman" w:hAnsi="Times New Roman" w:cs="Times New Roman"/>
          <w:noProof w:val="0"/>
          <w:u w:val="single"/>
        </w:rPr>
        <w:t>Pacientams po organo persodinimo</w:t>
      </w:r>
    </w:p>
    <w:p w14:paraId="5462CAC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Įprastinė pirmos paros dozė yra iki 5 mg/kg kūno svorio, tolesnė paros dozė </w:t>
      </w:r>
      <w:r w:rsidRPr="00E07ACB">
        <w:rPr>
          <w:rFonts w:ascii="Times New Roman" w:eastAsia="Times New Roman" w:hAnsi="Times New Roman" w:cs="Times New Roman"/>
          <w:noProof w:val="0"/>
        </w:rPr>
        <w:sym w:font="Symbol" w:char="F02D"/>
      </w:r>
      <w:r w:rsidRPr="00E07ACB">
        <w:rPr>
          <w:rFonts w:ascii="Times New Roman" w:eastAsia="Times New Roman" w:hAnsi="Times New Roman" w:cs="Times New Roman"/>
          <w:noProof w:val="0"/>
        </w:rPr>
        <w:t xml:space="preserve"> 1 – 4 mg/kg kūno svorio. </w:t>
      </w:r>
    </w:p>
    <w:p w14:paraId="6D093C2E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656AA6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  <w:r w:rsidRPr="00E07ACB">
        <w:rPr>
          <w:rFonts w:ascii="Times New Roman" w:eastAsia="Times New Roman" w:hAnsi="Times New Roman" w:cs="Times New Roman"/>
          <w:noProof w:val="0"/>
          <w:u w:val="single"/>
        </w:rPr>
        <w:t>Kitos būklės</w:t>
      </w:r>
    </w:p>
    <w:p w14:paraId="15D3BDE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Įprastinė paros dozė yra 1 – 3 mg/kg kūno svorio. </w:t>
      </w:r>
    </w:p>
    <w:p w14:paraId="772A3A1C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A043E8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Vartojimas vaikams ir paaugliams</w:t>
      </w:r>
    </w:p>
    <w:p w14:paraId="7FDFB2B5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Nerekomenduojama vartoti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tablečių vaikams, jaunesniems kaip 18 metų, jaunatviniam lėtiniam artritui, sisteminei raudonajai vilkligei,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dermatomiozitui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ir mazginiam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poliarteritui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gydyti dėl nepakankamų tyrimų duomenų.</w:t>
      </w:r>
    </w:p>
    <w:p w14:paraId="43D7B8A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Kitos indikacijos ir joms vartojamos dozės tinka tiek vaikams ir paaugliams, tiek suaugusiems pacientams.</w:t>
      </w:r>
    </w:p>
    <w:p w14:paraId="45D38B8D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F9D727E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  <w:r w:rsidRPr="00E07ACB">
        <w:rPr>
          <w:rFonts w:ascii="Times New Roman" w:eastAsia="Times New Roman" w:hAnsi="Times New Roman" w:cs="Times New Roman"/>
          <w:noProof w:val="0"/>
          <w:u w:val="single"/>
        </w:rPr>
        <w:t>Senyviems pacientams</w:t>
      </w:r>
    </w:p>
    <w:p w14:paraId="363E368C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Senyviems pacientams gali reikėti mažesnės dozės.</w:t>
      </w:r>
    </w:p>
    <w:p w14:paraId="0BBF6C7C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9B1796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  <w:u w:val="single"/>
        </w:rPr>
        <w:t>Pacientams, kurių inkstų ar kepenų funkcija sutrikusi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388C6D7E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Pacientams, kurių inkstų ar kepenų funkcija sutrikusi, gali reikėti mažesnės dozės. Pacientams, kurių kepenų funkcija sutrikusi stipriai,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vartoti draudžiama.</w:t>
      </w:r>
    </w:p>
    <w:p w14:paraId="7E515043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081243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Gydymo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trukmę nustato gydytojas. Jeigu manote, kad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veikia per stipriai arba per silpnai, kreipkitės į gydytoją.</w:t>
      </w:r>
    </w:p>
    <w:p w14:paraId="4556E77C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</w:p>
    <w:p w14:paraId="31FB5EE8" w14:textId="77777777" w:rsidR="008873A7" w:rsidRPr="00E07ACB" w:rsidRDefault="008873A7" w:rsidP="008873A7">
      <w:pPr>
        <w:keepNext/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 xml:space="preserve">Pavartojus per didelę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noProof w:val="0"/>
        </w:rPr>
        <w:t xml:space="preserve"> dozę</w:t>
      </w:r>
    </w:p>
    <w:p w14:paraId="1374C27A" w14:textId="77777777" w:rsidR="008873A7" w:rsidRPr="00E07ACB" w:rsidRDefault="008873A7" w:rsidP="008873A7">
      <w:pPr>
        <w:keepNext/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Nedelsdami susisiekite su savo gydytoju, vaistininku arba vykite į artimiausios ligoninės skubios medicinos pagalbos skyrių.</w:t>
      </w:r>
    </w:p>
    <w:p w14:paraId="01556DC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4561529E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Jeigu kiltų daugiau klausimų dėl šio vaisto vartojimo, kreipkitės į gydytoją arba vaistininką.</w:t>
      </w:r>
    </w:p>
    <w:p w14:paraId="41AB63B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71E6E5A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57C55FA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 w:val="0"/>
        </w:rPr>
      </w:pPr>
      <w:r w:rsidRPr="00E07ACB">
        <w:rPr>
          <w:rFonts w:ascii="Times New Roman" w:eastAsia="Times New Roman" w:hAnsi="Times New Roman" w:cs="Times New Roman"/>
          <w:b/>
          <w:caps/>
          <w:noProof w:val="0"/>
        </w:rPr>
        <w:t>4.</w:t>
      </w:r>
      <w:r w:rsidRPr="00E07ACB">
        <w:rPr>
          <w:rFonts w:ascii="Times New Roman" w:eastAsia="Times New Roman" w:hAnsi="Times New Roman" w:cs="Times New Roman"/>
          <w:b/>
          <w:caps/>
          <w:noProof w:val="0"/>
        </w:rPr>
        <w:tab/>
      </w:r>
      <w:r w:rsidRPr="00E07ACB">
        <w:rPr>
          <w:rFonts w:ascii="Times New Roman" w:eastAsia="Times New Roman" w:hAnsi="Times New Roman" w:cs="Times New Roman"/>
          <w:b/>
          <w:noProof w:val="0"/>
        </w:rPr>
        <w:t>Galimas šalutinis poveikis</w:t>
      </w:r>
    </w:p>
    <w:p w14:paraId="5DFB2525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6CCE7AB" w14:textId="77777777" w:rsidR="008873A7" w:rsidRPr="000F01A8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Šis vaistas, kaip ir visi kiti, gali sukelti šalutinį poveikį, nors jis pasireiškia ne visiems žmonėms.</w:t>
      </w:r>
    </w:p>
    <w:p w14:paraId="7DE03BD2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Jeigu staiga atsiranda švokštimas, tampa sunku kvėpuoti, patinsta akių vokai, veidas ar lūpos, pasireiškia išbėrimas arba niežulys, ypač apimantis visą kūną, nedelsiant kreipkitės į gydytoją.</w:t>
      </w:r>
    </w:p>
    <w:p w14:paraId="1E63EA0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7A165A1F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Sunkūs šalutiniai poveikiai</w:t>
      </w:r>
    </w:p>
    <w:p w14:paraId="468C44F5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Jeigu pasireik</w:t>
      </w:r>
      <w:r>
        <w:rPr>
          <w:rFonts w:ascii="Times New Roman" w:eastAsia="Times New Roman" w:hAnsi="Times New Roman" w:cs="Times New Roman"/>
          <w:b/>
          <w:noProof w:val="0"/>
        </w:rPr>
        <w:t>štų</w:t>
      </w:r>
      <w:r w:rsidRPr="00E07ACB">
        <w:rPr>
          <w:rFonts w:ascii="Times New Roman" w:eastAsia="Times New Roman" w:hAnsi="Times New Roman" w:cs="Times New Roman"/>
          <w:b/>
          <w:noProof w:val="0"/>
        </w:rPr>
        <w:t xml:space="preserve"> toliau išvardyti poveikiai, nedelsdami </w:t>
      </w:r>
      <w:r>
        <w:rPr>
          <w:rFonts w:ascii="Times New Roman" w:eastAsia="Times New Roman" w:hAnsi="Times New Roman" w:cs="Times New Roman"/>
          <w:b/>
          <w:noProof w:val="0"/>
        </w:rPr>
        <w:t xml:space="preserve">pasitarkite su savo </w:t>
      </w:r>
      <w:r w:rsidRPr="00E07ACB">
        <w:rPr>
          <w:rFonts w:ascii="Times New Roman" w:eastAsia="Times New Roman" w:hAnsi="Times New Roman" w:cs="Times New Roman"/>
          <w:b/>
          <w:noProof w:val="0"/>
        </w:rPr>
        <w:t>gydytoj</w:t>
      </w:r>
      <w:r>
        <w:rPr>
          <w:rFonts w:ascii="Times New Roman" w:eastAsia="Times New Roman" w:hAnsi="Times New Roman" w:cs="Times New Roman"/>
          <w:b/>
          <w:noProof w:val="0"/>
        </w:rPr>
        <w:t>u arba vykite į ligoninę, kadangi Jums gali būti reikalingas skubus gydymas</w:t>
      </w:r>
      <w:r w:rsidRPr="00E07ACB">
        <w:rPr>
          <w:rFonts w:ascii="Times New Roman" w:eastAsia="Times New Roman" w:hAnsi="Times New Roman" w:cs="Times New Roman"/>
          <w:b/>
          <w:noProof w:val="0"/>
        </w:rPr>
        <w:t>:</w:t>
      </w:r>
    </w:p>
    <w:p w14:paraId="0E3E41D9" w14:textId="77777777" w:rsidR="008873A7" w:rsidRPr="00E07ACB" w:rsidRDefault="008873A7" w:rsidP="008873A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stiprus vėmimas;</w:t>
      </w:r>
    </w:p>
    <w:p w14:paraId="0570E951" w14:textId="77777777" w:rsidR="008873A7" w:rsidRPr="00E07ACB" w:rsidRDefault="008873A7" w:rsidP="008873A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viduriavimas;</w:t>
      </w:r>
    </w:p>
    <w:p w14:paraId="57B386D7" w14:textId="77777777" w:rsidR="008873A7" w:rsidRPr="00E07ACB" w:rsidRDefault="008873A7" w:rsidP="008873A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karščiavimas,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šaltkrėtis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;</w:t>
      </w:r>
    </w:p>
    <w:p w14:paraId="1D48CBB6" w14:textId="77777777" w:rsidR="008873A7" w:rsidRPr="00E07ACB" w:rsidRDefault="008873A7" w:rsidP="008873A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raumenų ar kaulų skausmas, raumenų stingulys;</w:t>
      </w:r>
    </w:p>
    <w:p w14:paraId="0CBBC449" w14:textId="77777777" w:rsidR="008873A7" w:rsidRPr="00E07ACB" w:rsidRDefault="008873A7" w:rsidP="008873A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nuovargis, svaigulys;</w:t>
      </w:r>
    </w:p>
    <w:p w14:paraId="1A65DCB8" w14:textId="77777777" w:rsidR="008873A7" w:rsidRPr="00E07ACB" w:rsidRDefault="008873A7" w:rsidP="008873A7">
      <w:pPr>
        <w:numPr>
          <w:ilvl w:val="1"/>
          <w:numId w:val="8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kraujagyslių uždegimas;</w:t>
      </w:r>
    </w:p>
    <w:p w14:paraId="50D13B29" w14:textId="77777777" w:rsidR="008873A7" w:rsidRDefault="008873A7" w:rsidP="008873A7">
      <w:pPr>
        <w:numPr>
          <w:ilvl w:val="1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inkstų veiklos sutrikimas (jo simptomai gali būti išskiriamo šlapimo kiekio ir spalvos pokytis)</w:t>
      </w:r>
      <w:r>
        <w:rPr>
          <w:rFonts w:ascii="Times New Roman" w:eastAsia="Times New Roman" w:hAnsi="Times New Roman" w:cs="Times New Roman"/>
          <w:noProof w:val="0"/>
        </w:rPr>
        <w:t>;</w:t>
      </w:r>
    </w:p>
    <w:p w14:paraId="05D77634" w14:textId="77777777" w:rsidR="008873A7" w:rsidRDefault="008873A7" w:rsidP="008873A7">
      <w:pPr>
        <w:numPr>
          <w:ilvl w:val="1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krūtinės skausmas;</w:t>
      </w:r>
    </w:p>
    <w:p w14:paraId="35DE685B" w14:textId="77777777" w:rsidR="008873A7" w:rsidRDefault="008873A7" w:rsidP="008873A7">
      <w:pPr>
        <w:numPr>
          <w:ilvl w:val="1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lastRenderedPageBreak/>
        <w:t>dusulys ar kojų patinimas (širdies veiklos sutrikimas);</w:t>
      </w:r>
    </w:p>
    <w:p w14:paraId="30563F21" w14:textId="77777777" w:rsidR="008873A7" w:rsidRDefault="008873A7" w:rsidP="008873A7">
      <w:pPr>
        <w:numPr>
          <w:ilvl w:val="1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bookmarkStart w:id="0" w:name="_Hlk20214248"/>
      <w:r>
        <w:rPr>
          <w:rFonts w:ascii="Times New Roman" w:eastAsia="Times New Roman" w:hAnsi="Times New Roman" w:cs="Times New Roman"/>
          <w:noProof w:val="0"/>
        </w:rPr>
        <w:t>gali pasireikšti išbėrimas (skausmingi raudoni, rausvi ar violetiniai gumbai), ypač ant Jūsų rankų, plaštakų, pirštų, veido ir kaklo, kuris gali pasireikšti su karščiavimu (</w:t>
      </w:r>
      <w:proofErr w:type="spellStart"/>
      <w:r>
        <w:rPr>
          <w:rFonts w:ascii="Times New Roman" w:eastAsia="Times New Roman" w:hAnsi="Times New Roman" w:cs="Times New Roman"/>
          <w:noProof w:val="0"/>
        </w:rPr>
        <w:t>Svyto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[</w:t>
      </w:r>
      <w:proofErr w:type="spellStart"/>
      <w:r w:rsidRPr="003436DC">
        <w:rPr>
          <w:rFonts w:ascii="Times New Roman" w:eastAsia="Times New Roman" w:hAnsi="Times New Roman" w:cs="Times New Roman"/>
          <w:i/>
          <w:noProof w:val="0"/>
        </w:rPr>
        <w:t>Sweet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] sindromas, taip pat vadinamas ūmine </w:t>
      </w:r>
      <w:proofErr w:type="spellStart"/>
      <w:r>
        <w:rPr>
          <w:rFonts w:ascii="Times New Roman" w:eastAsia="Times New Roman" w:hAnsi="Times New Roman" w:cs="Times New Roman"/>
          <w:noProof w:val="0"/>
        </w:rPr>
        <w:t>febriline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</w:rPr>
        <w:t>neutrofiline</w:t>
      </w:r>
      <w:proofErr w:type="spellEnd"/>
      <w:r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</w:rPr>
        <w:t>dermatoze</w:t>
      </w:r>
      <w:proofErr w:type="spellEnd"/>
      <w:r>
        <w:rPr>
          <w:rFonts w:ascii="Times New Roman" w:eastAsia="Times New Roman" w:hAnsi="Times New Roman" w:cs="Times New Roman"/>
          <w:noProof w:val="0"/>
        </w:rPr>
        <w:t>). Šio šalutinio poveikio dažnis nežinomas (negali būti apskaičiuotas pagal turimus duomenis);</w:t>
      </w:r>
    </w:p>
    <w:p w14:paraId="77C0A72E" w14:textId="77777777" w:rsidR="008873A7" w:rsidRDefault="008873A7" w:rsidP="008873A7">
      <w:pPr>
        <w:numPr>
          <w:ilvl w:val="1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s</w:t>
      </w:r>
      <w:r w:rsidRPr="00E3497C">
        <w:rPr>
          <w:rFonts w:ascii="Times New Roman" w:eastAsia="Times New Roman" w:hAnsi="Times New Roman" w:cs="Times New Roman"/>
          <w:noProof w:val="0"/>
        </w:rPr>
        <w:t xml:space="preserve">unkus kepenų pažeidimas, galintis kelti pavojų gyvybei, ypač </w:t>
      </w:r>
      <w:proofErr w:type="spellStart"/>
      <w:r w:rsidRPr="00E3497C">
        <w:rPr>
          <w:rFonts w:ascii="Times New Roman" w:eastAsia="Times New Roman" w:hAnsi="Times New Roman" w:cs="Times New Roman"/>
          <w:noProof w:val="0"/>
        </w:rPr>
        <w:t>pacienams</w:t>
      </w:r>
      <w:proofErr w:type="spellEnd"/>
      <w:r w:rsidRPr="00E3497C">
        <w:rPr>
          <w:rFonts w:ascii="Times New Roman" w:eastAsia="Times New Roman" w:hAnsi="Times New Roman" w:cs="Times New Roman"/>
          <w:noProof w:val="0"/>
        </w:rPr>
        <w:t xml:space="preserve">, kuriems taikomas ilgalaikis gydymas (pvz., kepenų pažeidimas, </w:t>
      </w:r>
      <w:proofErr w:type="spellStart"/>
      <w:r w:rsidRPr="00E3497C">
        <w:rPr>
          <w:rFonts w:ascii="Times New Roman" w:eastAsia="Times New Roman" w:hAnsi="Times New Roman" w:cs="Times New Roman"/>
          <w:noProof w:val="0"/>
        </w:rPr>
        <w:t>necirozinė</w:t>
      </w:r>
      <w:proofErr w:type="spellEnd"/>
      <w:r w:rsidRPr="00E3497C">
        <w:rPr>
          <w:rFonts w:ascii="Times New Roman" w:eastAsia="Times New Roman" w:hAnsi="Times New Roman" w:cs="Times New Roman"/>
          <w:noProof w:val="0"/>
        </w:rPr>
        <w:t xml:space="preserve"> vartų venos hipertenzija, </w:t>
      </w:r>
      <w:proofErr w:type="spellStart"/>
      <w:r w:rsidRPr="00E3497C">
        <w:rPr>
          <w:rFonts w:ascii="Times New Roman" w:eastAsia="Times New Roman" w:hAnsi="Times New Roman" w:cs="Times New Roman"/>
          <w:noProof w:val="0"/>
        </w:rPr>
        <w:t>portosinusoidinių</w:t>
      </w:r>
      <w:proofErr w:type="spellEnd"/>
      <w:r w:rsidRPr="00E3497C">
        <w:rPr>
          <w:rFonts w:ascii="Times New Roman" w:eastAsia="Times New Roman" w:hAnsi="Times New Roman" w:cs="Times New Roman"/>
          <w:noProof w:val="0"/>
        </w:rPr>
        <w:t xml:space="preserve"> kraujagyslių liga). Pasakykite savo gydytojui, jeigu Jums pasireikštų bent vienas iš šių simptomų: odos ir akių baltymų pageltimas (gelta), lengvai atsirandančios mėlynės, nemalonūs pojūčiai pilve, apetito sumažėjimas, nuovargis, pykinimas ar vėmimas</w:t>
      </w:r>
      <w:r>
        <w:rPr>
          <w:rFonts w:ascii="Times New Roman" w:eastAsia="Times New Roman" w:hAnsi="Times New Roman" w:cs="Times New Roman"/>
          <w:noProof w:val="0"/>
        </w:rPr>
        <w:t>;</w:t>
      </w:r>
      <w:r w:rsidRPr="00EA3400">
        <w:t xml:space="preserve"> </w:t>
      </w:r>
    </w:p>
    <w:p w14:paraId="34DA99E1" w14:textId="77777777" w:rsidR="008873A7" w:rsidRPr="008C23D8" w:rsidRDefault="008873A7" w:rsidP="008873A7">
      <w:pPr>
        <w:numPr>
          <w:ilvl w:val="1"/>
          <w:numId w:val="8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A3400">
        <w:rPr>
          <w:rFonts w:ascii="Times New Roman" w:eastAsia="Times New Roman" w:hAnsi="Times New Roman" w:cs="Times New Roman"/>
          <w:noProof w:val="0"/>
        </w:rPr>
        <w:t xml:space="preserve"> grįžtamas galvos smegenų patinimas, apimantis tokius simptomus, kaip stiprų galvos skausmą, regėjimo pakitimus, traukulių priepuolius, sumišimą ir sąmonės pritemimą kartu su kraujospūdžio pakilimu arba be jo (užpakalinės grįžtamosios </w:t>
      </w:r>
      <w:proofErr w:type="spellStart"/>
      <w:r w:rsidRPr="00EA3400">
        <w:rPr>
          <w:rFonts w:ascii="Times New Roman" w:eastAsia="Times New Roman" w:hAnsi="Times New Roman" w:cs="Times New Roman"/>
          <w:noProof w:val="0"/>
        </w:rPr>
        <w:t>encefalopatijos</w:t>
      </w:r>
      <w:proofErr w:type="spellEnd"/>
      <w:r w:rsidRPr="00EA3400">
        <w:rPr>
          <w:rFonts w:ascii="Times New Roman" w:eastAsia="Times New Roman" w:hAnsi="Times New Roman" w:cs="Times New Roman"/>
          <w:noProof w:val="0"/>
        </w:rPr>
        <w:t xml:space="preserve"> sindromas </w:t>
      </w:r>
      <w:r>
        <w:rPr>
          <w:rFonts w:ascii="Times New Roman" w:eastAsia="Times New Roman" w:hAnsi="Times New Roman" w:cs="Times New Roman"/>
          <w:noProof w:val="0"/>
        </w:rPr>
        <w:t>[</w:t>
      </w:r>
      <w:r w:rsidRPr="00EA3400">
        <w:rPr>
          <w:rFonts w:ascii="Times New Roman" w:eastAsia="Times New Roman" w:hAnsi="Times New Roman" w:cs="Times New Roman"/>
          <w:noProof w:val="0"/>
        </w:rPr>
        <w:t>UGES</w:t>
      </w:r>
      <w:r>
        <w:rPr>
          <w:rFonts w:ascii="Times New Roman" w:eastAsia="Times New Roman" w:hAnsi="Times New Roman" w:cs="Times New Roman"/>
          <w:noProof w:val="0"/>
        </w:rPr>
        <w:t>]</w:t>
      </w:r>
      <w:r w:rsidRPr="00EA3400">
        <w:rPr>
          <w:rFonts w:ascii="Times New Roman" w:eastAsia="Times New Roman" w:hAnsi="Times New Roman" w:cs="Times New Roman"/>
          <w:noProof w:val="0"/>
        </w:rPr>
        <w:t>).</w:t>
      </w:r>
    </w:p>
    <w:bookmarkEnd w:id="0"/>
    <w:p w14:paraId="414E247B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DDA510E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 xml:space="preserve">Pastebėtas kitoks šalutinis poveikis išvardytas toliau. </w:t>
      </w:r>
    </w:p>
    <w:p w14:paraId="6B648623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A7AD6E4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Labai dažn</w:t>
      </w:r>
      <w:r>
        <w:rPr>
          <w:rFonts w:ascii="Times New Roman" w:eastAsia="Times New Roman" w:hAnsi="Times New Roman" w:cs="Times New Roman"/>
          <w:noProof w:val="0"/>
        </w:rPr>
        <w:t>i šalutinio poveikio reiškiniai (gali pasireikšti ne rečiau kaip 1 iš 10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2592AB24" w14:textId="77777777" w:rsidR="008873A7" w:rsidRPr="00E07ACB" w:rsidRDefault="008873A7" w:rsidP="008873A7">
      <w:pPr>
        <w:numPr>
          <w:ilvl w:val="1"/>
          <w:numId w:val="9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virusų, grybelių ar bakterijų sukeltos infekcinės ligos transplantaciją patyrusiems pacientams;</w:t>
      </w:r>
    </w:p>
    <w:p w14:paraId="06BC5468" w14:textId="77777777" w:rsidR="008873A7" w:rsidRPr="00E07ACB" w:rsidRDefault="008873A7" w:rsidP="008873A7">
      <w:pPr>
        <w:numPr>
          <w:ilvl w:val="1"/>
          <w:numId w:val="9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susilpnėjusi Jūsų kaulų čiulpų veikla;</w:t>
      </w:r>
    </w:p>
    <w:p w14:paraId="01FEC279" w14:textId="77777777" w:rsidR="008873A7" w:rsidRPr="00E07ACB" w:rsidRDefault="008873A7" w:rsidP="008873A7">
      <w:pPr>
        <w:numPr>
          <w:ilvl w:val="1"/>
          <w:numId w:val="9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Jūsų kraujo tyrime matomas mažas baltųjų kraujo kūnelių kiekis; tai gali būti infekcinės ligos priežastis;</w:t>
      </w:r>
    </w:p>
    <w:p w14:paraId="25774146" w14:textId="77777777" w:rsidR="008873A7" w:rsidRPr="00E07ACB" w:rsidRDefault="008873A7" w:rsidP="008873A7">
      <w:pPr>
        <w:numPr>
          <w:ilvl w:val="1"/>
          <w:numId w:val="9"/>
        </w:numPr>
        <w:tabs>
          <w:tab w:val="left" w:pos="540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pykinimas ir vėmimas, apetito praradimas (anoreksija).</w:t>
      </w:r>
    </w:p>
    <w:p w14:paraId="6B0FDF70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</w:p>
    <w:p w14:paraId="5AFBC7B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Dažn</w:t>
      </w:r>
      <w:r>
        <w:rPr>
          <w:rFonts w:ascii="Times New Roman" w:eastAsia="Times New Roman" w:hAnsi="Times New Roman" w:cs="Times New Roman"/>
          <w:noProof w:val="0"/>
        </w:rPr>
        <w:t>i šalutinio poveikio reiškiniai (gali pasireikšti rečiau kaip 1 iš 10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0828C2D2" w14:textId="77777777" w:rsidR="008873A7" w:rsidRPr="00E07ACB" w:rsidRDefault="008873A7" w:rsidP="008873A7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mažas kraujo plokštelių kiekis; dėl to gali lengvai atsirasti kraujosruvų (mėlynių) ar pasireikšti kraujavimas.</w:t>
      </w:r>
    </w:p>
    <w:p w14:paraId="1EC6ACE3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</w:p>
    <w:p w14:paraId="46E33597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Nedažn</w:t>
      </w:r>
      <w:r>
        <w:rPr>
          <w:rFonts w:ascii="Times New Roman" w:eastAsia="Times New Roman" w:hAnsi="Times New Roman" w:cs="Times New Roman"/>
          <w:noProof w:val="0"/>
        </w:rPr>
        <w:t>i</w:t>
      </w:r>
      <w:r w:rsidRPr="00B70CFB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>šalutinio poveikio reiškiniai (gali pasireikšti rečiau kaip 1 iš 100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158BB361" w14:textId="77777777" w:rsidR="008873A7" w:rsidRPr="00E07ACB" w:rsidRDefault="008873A7" w:rsidP="008873A7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virusų, grybelių ar bakterijų sukeltos infekcinės ligos visiems pacientas, išskyrus patyrusius transplantaciją;</w:t>
      </w:r>
    </w:p>
    <w:p w14:paraId="2B6D5BB1" w14:textId="77777777" w:rsidR="008873A7" w:rsidRPr="00E07ACB" w:rsidRDefault="008873A7" w:rsidP="008873A7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67" w:hanging="578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mažas raudonųjų kraujo kūnelių kiekis; dėl to galite būti išblyškęs, jausti nuovargį, svaigulį, kentėti galvos skausmą, dusti fizinio krūvio metu; </w:t>
      </w:r>
    </w:p>
    <w:p w14:paraId="1D636BC5" w14:textId="77777777" w:rsidR="008873A7" w:rsidRPr="00E07ACB" w:rsidRDefault="008873A7" w:rsidP="008873A7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padidėjusio jautrumo reakcijos, kurios gali sukelti bendrąjį negalavimą; svaigulį, pykinimą, vėmimą, viduriavimą, karščiavimą, drebulį, tokias odos reakcijas kaip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egzantema</w:t>
      </w:r>
      <w:proofErr w:type="spellEnd"/>
      <w:r>
        <w:rPr>
          <w:rFonts w:ascii="Times New Roman" w:eastAsia="Times New Roman" w:hAnsi="Times New Roman" w:cs="Times New Roman"/>
          <w:noProof w:val="0"/>
        </w:rPr>
        <w:t>, odos mazgeliai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ir bėrimas, kraujagyslių uždegimą, raumenų ir sąnarių skausmą, kraujospūdžio sumažėjimą, inkstų ar kepenų veiklos sutrikimą, žarnyno veiklos sutrikimą;</w:t>
      </w:r>
    </w:p>
    <w:p w14:paraId="0A2A2F93" w14:textId="77777777" w:rsidR="008873A7" w:rsidRPr="00E07ACB" w:rsidRDefault="008873A7" w:rsidP="008873A7">
      <w:pPr>
        <w:numPr>
          <w:ilvl w:val="0"/>
          <w:numId w:val="11"/>
        </w:numPr>
        <w:tabs>
          <w:tab w:val="left" w:pos="540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kasos uždegimas, galintis sukelti stiprų viršutinės pilvo dalies skausmą, pykinimą ir vėmimą</w:t>
      </w:r>
      <w:r>
        <w:rPr>
          <w:rFonts w:ascii="Times New Roman" w:eastAsia="Times New Roman" w:hAnsi="Times New Roman" w:cs="Times New Roman"/>
          <w:noProof w:val="0"/>
        </w:rPr>
        <w:t>.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</w:p>
    <w:p w14:paraId="0F6FC710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</w:p>
    <w:p w14:paraId="4E346E2E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Ret</w:t>
      </w:r>
      <w:r>
        <w:rPr>
          <w:rFonts w:ascii="Times New Roman" w:eastAsia="Times New Roman" w:hAnsi="Times New Roman" w:cs="Times New Roman"/>
          <w:noProof w:val="0"/>
        </w:rPr>
        <w:t>i</w:t>
      </w:r>
      <w:r w:rsidRPr="00B70CFB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>šalutinio poveikio reiškiniai (gali pasireikšti rečiau kaip 1 iš 1 000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4C73AB7C" w14:textId="77777777" w:rsidR="008873A7" w:rsidRPr="00E07ACB" w:rsidRDefault="008873A7" w:rsidP="008873A7">
      <w:pPr>
        <w:numPr>
          <w:ilvl w:val="1"/>
          <w:numId w:val="1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kraujo pokyčiai ir kaulų čiulpų veiklos sutrikimai, dėl kurių jaučiamas silpnumas, atsiranda nuovargis, blyškumas, skauda galvą, skauda liežuvį, atsiranda dusulys, kraujosruvos (mėlynės) ar prisideda infekcija;</w:t>
      </w:r>
    </w:p>
    <w:p w14:paraId="0C86868C" w14:textId="77777777" w:rsidR="008873A7" w:rsidRPr="00E07ACB" w:rsidRDefault="008873A7" w:rsidP="008873A7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žarnyno veiklos sutrikimai, dėl kurių atsiranda viduriavimas, pilvo skausmas, vidurių užkietėjimas, pykinimas ir vėmimas;</w:t>
      </w:r>
    </w:p>
    <w:p w14:paraId="1FE45BD0" w14:textId="77777777" w:rsidR="008873A7" w:rsidRPr="00E07ACB" w:rsidRDefault="008873A7" w:rsidP="008873A7">
      <w:pPr>
        <w:numPr>
          <w:ilvl w:val="1"/>
          <w:numId w:val="12"/>
        </w:numPr>
        <w:tabs>
          <w:tab w:val="left" w:pos="540"/>
        </w:tabs>
        <w:spacing w:after="0" w:line="240" w:lineRule="auto"/>
        <w:ind w:hanging="1440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sunkus kepenų pakenkimas, galintis kelti grėsmę gyvybei;</w:t>
      </w:r>
    </w:p>
    <w:p w14:paraId="16A301D2" w14:textId="77777777" w:rsidR="008873A7" w:rsidRPr="00E07ACB" w:rsidRDefault="008873A7" w:rsidP="008873A7">
      <w:pPr>
        <w:numPr>
          <w:ilvl w:val="1"/>
          <w:numId w:val="1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plaukų slinkimas, kuris gali sumažėti net toliau vartojant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;</w:t>
      </w:r>
    </w:p>
    <w:p w14:paraId="0689A52B" w14:textId="77777777" w:rsidR="008873A7" w:rsidRPr="00E07ACB" w:rsidRDefault="008873A7" w:rsidP="008873A7">
      <w:pPr>
        <w:numPr>
          <w:ilvl w:val="1"/>
          <w:numId w:val="1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įvairių rūšių vėžys, įskaitant kraujo, limfinės sistemos ir odos vėžį.</w:t>
      </w:r>
    </w:p>
    <w:p w14:paraId="699207DC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</w:p>
    <w:p w14:paraId="22446754" w14:textId="77777777" w:rsidR="008873A7" w:rsidRPr="00E07ACB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Labai ret</w:t>
      </w:r>
      <w:r>
        <w:rPr>
          <w:rFonts w:ascii="Times New Roman" w:eastAsia="Times New Roman" w:hAnsi="Times New Roman" w:cs="Times New Roman"/>
          <w:noProof w:val="0"/>
        </w:rPr>
        <w:t>i</w:t>
      </w:r>
      <w:r w:rsidRPr="00B70CFB">
        <w:rPr>
          <w:rFonts w:ascii="Times New Roman" w:eastAsia="Times New Roman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noProof w:val="0"/>
        </w:rPr>
        <w:t>šalutinio poveikio reiškiniai (gali pasireikšti rečiau kaip 1 iš 10 000 asmenų)</w:t>
      </w:r>
      <w:r w:rsidRPr="00E07ACB">
        <w:rPr>
          <w:rFonts w:ascii="Times New Roman" w:eastAsia="Times New Roman" w:hAnsi="Times New Roman" w:cs="Times New Roman"/>
          <w:noProof w:val="0"/>
        </w:rPr>
        <w:t>:</w:t>
      </w:r>
    </w:p>
    <w:p w14:paraId="353CC447" w14:textId="77777777" w:rsidR="008873A7" w:rsidRPr="00E07ACB" w:rsidRDefault="008873A7" w:rsidP="008873A7">
      <w:pPr>
        <w:numPr>
          <w:ilvl w:val="1"/>
          <w:numId w:val="14"/>
        </w:numPr>
        <w:tabs>
          <w:tab w:val="left" w:pos="540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gyvybei pavojingos alerginės reakcijos, lydimos sunkaus odos pažeidimo (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Stivenso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–Džonsono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Stevens-Johnson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) sindromas ir toksinė epidermio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nekrolizė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[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Lajelio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(</w:t>
      </w:r>
      <w:proofErr w:type="spellStart"/>
      <w:r w:rsidRPr="00E07ACB">
        <w:rPr>
          <w:rFonts w:ascii="Times New Roman" w:eastAsia="Times New Roman" w:hAnsi="Times New Roman" w:cs="Times New Roman"/>
          <w:i/>
          <w:noProof w:val="0"/>
        </w:rPr>
        <w:t>Lyell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) sindromas]);</w:t>
      </w:r>
    </w:p>
    <w:p w14:paraId="7742AB8F" w14:textId="77777777" w:rsidR="008873A7" w:rsidRPr="00E07ACB" w:rsidRDefault="008873A7" w:rsidP="008873A7">
      <w:pPr>
        <w:numPr>
          <w:ilvl w:val="1"/>
          <w:numId w:val="14"/>
        </w:numPr>
        <w:tabs>
          <w:tab w:val="left" w:pos="540"/>
        </w:tabs>
        <w:spacing w:after="0" w:line="240" w:lineRule="auto"/>
        <w:ind w:hanging="1440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plaučių uždegimas, sukeliantis dusulį, kosulį, karščiavimą;</w:t>
      </w:r>
    </w:p>
    <w:p w14:paraId="53BC8FFF" w14:textId="77777777" w:rsidR="008873A7" w:rsidRPr="00E07ACB" w:rsidRDefault="008873A7" w:rsidP="008873A7">
      <w:pPr>
        <w:numPr>
          <w:ilvl w:val="1"/>
          <w:numId w:val="14"/>
        </w:numP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pacientams, kurie vartojo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azatiopriną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kartu su kitais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imunosupresantais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, pasireiškė PDL – centrinės nervų sistemos infekcija, susijusi su JC virusu.</w:t>
      </w:r>
    </w:p>
    <w:p w14:paraId="03ED1E01" w14:textId="77777777" w:rsidR="008873A7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AA4C336" w14:textId="77777777" w:rsidR="008873A7" w:rsidRPr="00BF3441" w:rsidRDefault="008873A7" w:rsidP="008873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lastRenderedPageBreak/>
        <w:t>Šalutinio poveikio reiškiniai, kurių d</w:t>
      </w:r>
      <w:r w:rsidRPr="00BF3441">
        <w:rPr>
          <w:rFonts w:ascii="Times New Roman" w:eastAsia="Times New Roman" w:hAnsi="Times New Roman" w:cs="Times New Roman"/>
          <w:noProof w:val="0"/>
        </w:rPr>
        <w:t>ažnis nežinomas (negali būti apskaičiuotas pagal turimus duomenis):</w:t>
      </w:r>
    </w:p>
    <w:p w14:paraId="5DE1C6F5" w14:textId="77777777" w:rsidR="008873A7" w:rsidRPr="00BF3441" w:rsidRDefault="008873A7" w:rsidP="008873A7">
      <w:pPr>
        <w:pStyle w:val="Sraopastraipa"/>
        <w:numPr>
          <w:ilvl w:val="0"/>
          <w:numId w:val="15"/>
        </w:numPr>
        <w:spacing w:after="0" w:line="240" w:lineRule="auto"/>
        <w:ind w:left="567" w:hanging="567"/>
      </w:pPr>
      <w:r w:rsidRPr="00BF3441">
        <w:t>vitamino B3 trūkumas (pelagra), susijęs su vietiniu pigmentiniu odos bėrimu, viduriavimu ir atminties, protavimo ar kitų mąstymo įgūdžių susilpnėjimu;</w:t>
      </w:r>
    </w:p>
    <w:p w14:paraId="399A84C3" w14:textId="77777777" w:rsidR="008873A7" w:rsidRPr="00BF3441" w:rsidRDefault="008873A7" w:rsidP="008873A7">
      <w:pPr>
        <w:pStyle w:val="Sraopastraipa"/>
        <w:numPr>
          <w:ilvl w:val="0"/>
          <w:numId w:val="15"/>
        </w:numPr>
        <w:spacing w:after="0" w:line="240" w:lineRule="auto"/>
        <w:ind w:left="567" w:hanging="567"/>
      </w:pPr>
      <w:r w:rsidRPr="00BF3441">
        <w:rPr>
          <w:lang w:val="en-US"/>
        </w:rPr>
        <w:t>seilių liaukos uždegimas (sialoadenitas);</w:t>
      </w:r>
    </w:p>
    <w:p w14:paraId="77E40BEC" w14:textId="77777777" w:rsidR="008873A7" w:rsidRPr="00BF3441" w:rsidRDefault="008873A7" w:rsidP="008873A7">
      <w:pPr>
        <w:pStyle w:val="Sraopastraipa"/>
        <w:numPr>
          <w:ilvl w:val="0"/>
          <w:numId w:val="15"/>
        </w:numPr>
        <w:spacing w:after="0" w:line="240" w:lineRule="auto"/>
        <w:ind w:left="567" w:hanging="567"/>
      </w:pPr>
      <w:r w:rsidRPr="00BF3441">
        <w:rPr>
          <w:lang w:val="en-US"/>
        </w:rPr>
        <w:t>nevalingas raumenų drebulys (tremoras).</w:t>
      </w:r>
    </w:p>
    <w:p w14:paraId="02AA49D6" w14:textId="77777777" w:rsidR="008873A7" w:rsidRPr="00BA15BA" w:rsidRDefault="008873A7" w:rsidP="008873A7">
      <w:pPr>
        <w:pStyle w:val="Sraopastraipa"/>
        <w:ind w:left="567"/>
      </w:pPr>
    </w:p>
    <w:p w14:paraId="59DF35D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Pranešimas apie šalutinį poveikį</w:t>
      </w:r>
    </w:p>
    <w:p w14:paraId="63213B3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Jeigu pasireiškė šalutinis poveikis, įskaitant šiame lapelyje nenurodytą, pasakykite gydytojui arba vaistininkui. </w:t>
      </w:r>
      <w:r w:rsidRPr="00B70CFB">
        <w:rPr>
          <w:rFonts w:ascii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B70CFB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B70CFB">
        <w:rPr>
          <w:rFonts w:ascii="Times New Roman" w:hAnsi="Times New Roman" w:cs="Times New Roman"/>
          <w:lang w:eastAsia="lt-LT"/>
        </w:rPr>
        <w:t xml:space="preserve"> nurodytais būdais arba paskambinti nemokamu telefonu </w:t>
      </w:r>
      <w:r>
        <w:rPr>
          <w:rFonts w:ascii="Times New Roman" w:hAnsi="Times New Roman" w:cs="Times New Roman"/>
          <w:lang w:eastAsia="lt-LT"/>
        </w:rPr>
        <w:t>+370</w:t>
      </w:r>
      <w:r w:rsidRPr="00B70CFB">
        <w:rPr>
          <w:rFonts w:ascii="Times New Roman" w:hAnsi="Times New Roman" w:cs="Times New Roman"/>
          <w:lang w:eastAsia="lt-LT"/>
        </w:rPr>
        <w:t xml:space="preserve"> 800 73 568</w:t>
      </w:r>
      <w:r>
        <w:rPr>
          <w:lang w:eastAsia="lt-LT"/>
        </w:rPr>
        <w:t>.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Pranešdami apie šalutinį poveikį galite mums padėti gauti daugiau informacijos apie šio vaisto saugumą.</w:t>
      </w:r>
    </w:p>
    <w:p w14:paraId="0CE8BF97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80AAFD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D08967C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5.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 xml:space="preserve">Kaip laikyti </w:t>
      </w:r>
      <w:proofErr w:type="spellStart"/>
      <w:r w:rsidRPr="00E07ACB">
        <w:rPr>
          <w:rFonts w:ascii="Times New Roman" w:eastAsia="Times New Roman" w:hAnsi="Times New Roman" w:cs="Times New Roman"/>
          <w:b/>
          <w:noProof w:val="0"/>
        </w:rPr>
        <w:t>Atsimutin</w:t>
      </w:r>
      <w:proofErr w:type="spellEnd"/>
    </w:p>
    <w:p w14:paraId="3D81E28C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ADCE3FC" w14:textId="77777777" w:rsidR="008873A7" w:rsidRPr="00E07ACB" w:rsidRDefault="008873A7" w:rsidP="008873A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Šį vaistą laikykite vaikams nepastebimoje ir nepasiekiamoje vietoje.</w:t>
      </w:r>
    </w:p>
    <w:p w14:paraId="47230D3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iCs/>
          <w:noProof w:val="0"/>
        </w:rPr>
      </w:pPr>
    </w:p>
    <w:p w14:paraId="26BDF80E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iCs/>
          <w:noProof w:val="0"/>
        </w:rPr>
      </w:pPr>
      <w:r w:rsidRPr="00E07ACB">
        <w:rPr>
          <w:rFonts w:ascii="Times New Roman" w:eastAsia="Times New Roman" w:hAnsi="Times New Roman" w:cs="Times New Roman"/>
          <w:iCs/>
          <w:noProof w:val="0"/>
        </w:rPr>
        <w:t>Ant dėžutės ir lizdinės plokštelės po „EXP“ nurodytam tinkamumo laikui pasibaigus, šio vaisto vartoti negalima. Vaistas tinkamas vartoti iki paskutinės nurodyto mėnesio dienos.</w:t>
      </w:r>
    </w:p>
    <w:p w14:paraId="60E1F019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6C4E61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Lizdinę plokštelę laikyti išorinėje dėžutėje, kad vaistas būtų apsaugotas nuo šviesos.</w:t>
      </w:r>
    </w:p>
    <w:p w14:paraId="5ABB0519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53BF71A3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Pastebėjus matomų apgadinimo požymių, </w:t>
      </w:r>
      <w:r w:rsidRPr="00E07ACB">
        <w:rPr>
          <w:rFonts w:ascii="Times New Roman" w:eastAsia="Times New Roman" w:hAnsi="Times New Roman" w:cs="Times New Roman"/>
          <w:iCs/>
          <w:noProof w:val="0"/>
        </w:rPr>
        <w:t>šio vaisto</w:t>
      </w:r>
      <w:r w:rsidRPr="00E07ACB">
        <w:rPr>
          <w:rFonts w:ascii="Times New Roman" w:eastAsia="Times New Roman" w:hAnsi="Times New Roman" w:cs="Times New Roman"/>
          <w:noProof w:val="0"/>
        </w:rPr>
        <w:t xml:space="preserve"> vartoti negalima.</w:t>
      </w:r>
    </w:p>
    <w:p w14:paraId="72776715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9BA8DE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34E2F21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16E636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02E73FDB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6.</w:t>
      </w:r>
      <w:r w:rsidRPr="00E07ACB">
        <w:rPr>
          <w:rFonts w:ascii="Times New Roman" w:eastAsia="Times New Roman" w:hAnsi="Times New Roman" w:cs="Times New Roman"/>
          <w:b/>
          <w:noProof w:val="0"/>
        </w:rPr>
        <w:tab/>
        <w:t>Pakuotės turinys ir kita informacija</w:t>
      </w:r>
    </w:p>
    <w:p w14:paraId="7C897033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FA2505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  <w:u w:val="single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bCs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 sudėtis </w:t>
      </w:r>
    </w:p>
    <w:p w14:paraId="50F11C34" w14:textId="77777777" w:rsidR="008873A7" w:rsidRPr="00E07ACB" w:rsidRDefault="008873A7" w:rsidP="008873A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>-</w:t>
      </w:r>
      <w:r w:rsidRPr="00E07ACB">
        <w:rPr>
          <w:rFonts w:ascii="Times New Roman" w:eastAsia="Times New Roman" w:hAnsi="Times New Roman" w:cs="Times New Roman"/>
          <w:noProof w:val="0"/>
        </w:rPr>
        <w:tab/>
        <w:t xml:space="preserve">Veiklioji medžiaga yra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azatioprinas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. </w:t>
      </w:r>
    </w:p>
    <w:p w14:paraId="4CD3E7BB" w14:textId="77777777" w:rsidR="008873A7" w:rsidRPr="00E07ACB" w:rsidRDefault="008873A7" w:rsidP="008873A7">
      <w:pPr>
        <w:numPr>
          <w:ilvl w:val="1"/>
          <w:numId w:val="7"/>
        </w:numPr>
        <w:tabs>
          <w:tab w:val="num" w:pos="567"/>
        </w:tabs>
        <w:spacing w:after="0" w:line="240" w:lineRule="auto"/>
        <w:ind w:hanging="1440"/>
        <w:contextualSpacing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1 plėvele dengtoje tabletėje yra 25 mg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azatioprino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. </w:t>
      </w:r>
    </w:p>
    <w:p w14:paraId="786DDFE6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2A337B22" w14:textId="77777777" w:rsidR="008873A7" w:rsidRPr="00E07ACB" w:rsidRDefault="008873A7" w:rsidP="008873A7">
      <w:pPr>
        <w:tabs>
          <w:tab w:val="num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i/>
          <w:noProof w:val="0"/>
        </w:rPr>
        <w:t>-</w:t>
      </w:r>
      <w:r w:rsidRPr="00E07ACB">
        <w:rPr>
          <w:rFonts w:ascii="Times New Roman" w:eastAsia="Times New Roman" w:hAnsi="Times New Roman" w:cs="Times New Roman"/>
          <w:i/>
          <w:noProof w:val="0"/>
        </w:rPr>
        <w:tab/>
      </w:r>
      <w:r w:rsidRPr="00E07ACB">
        <w:rPr>
          <w:rFonts w:ascii="Times New Roman" w:eastAsia="Times New Roman" w:hAnsi="Times New Roman" w:cs="Times New Roman"/>
          <w:noProof w:val="0"/>
        </w:rPr>
        <w:t>Pagalbinės medžiagos:</w:t>
      </w:r>
      <w:r w:rsidRPr="00E07ACB">
        <w:rPr>
          <w:rFonts w:ascii="Times New Roman" w:eastAsia="Times New Roman" w:hAnsi="Times New Roman" w:cs="Times New Roman"/>
          <w:i/>
          <w:noProof w:val="0"/>
        </w:rPr>
        <w:t xml:space="preserve"> </w:t>
      </w:r>
    </w:p>
    <w:p w14:paraId="14079581" w14:textId="77777777" w:rsidR="008873A7" w:rsidRPr="00E07ACB" w:rsidRDefault="008873A7" w:rsidP="008873A7">
      <w:pPr>
        <w:tabs>
          <w:tab w:val="left" w:pos="567"/>
        </w:tabs>
        <w:spacing w:after="0" w:line="240" w:lineRule="auto"/>
        <w:ind w:left="1985" w:hanging="1843"/>
        <w:rPr>
          <w:rFonts w:ascii="Times New Roman" w:eastAsia="Times New Roman" w:hAnsi="Times New Roman" w:cs="Times New Roman"/>
          <w:iCs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Tabletės branduolys: </w:t>
      </w:r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laktozė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monohidratas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mikrokristalinė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celiuliozė,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karboksimetilkrakmolo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A natrio druska (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Ph.Eur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.),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pregelifikuotas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krakmolas (kukurūzų),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polisorbatas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80,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povidonas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K30, magnio 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stearatas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(</w:t>
      </w:r>
      <w:proofErr w:type="spellStart"/>
      <w:r w:rsidRPr="00E07ACB">
        <w:rPr>
          <w:rFonts w:ascii="Times New Roman" w:eastAsia="Times New Roman" w:hAnsi="Times New Roman" w:cs="Times New Roman"/>
          <w:iCs/>
          <w:noProof w:val="0"/>
        </w:rPr>
        <w:t>Ph</w:t>
      </w:r>
      <w:proofErr w:type="spellEnd"/>
      <w:r w:rsidRPr="00E07ACB">
        <w:rPr>
          <w:rFonts w:ascii="Times New Roman" w:eastAsia="Times New Roman" w:hAnsi="Times New Roman" w:cs="Times New Roman"/>
          <w:iCs/>
          <w:noProof w:val="0"/>
        </w:rPr>
        <w:t>. Eur.) [augalinis]</w:t>
      </w:r>
    </w:p>
    <w:p w14:paraId="01FF3AA7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779C267" w14:textId="77777777" w:rsidR="008873A7" w:rsidRPr="00E07ACB" w:rsidRDefault="008873A7" w:rsidP="008873A7">
      <w:pPr>
        <w:spacing w:after="0" w:line="240" w:lineRule="auto"/>
        <w:ind w:left="1560" w:hanging="1418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</w:rPr>
        <w:t xml:space="preserve">Tabletės plėvelė: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hipromeliozė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makrogolis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400,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makrogolis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6000, geltonasis geležies oksidas (E172), raudonasis geležies oksidas (E172), juodasis geležies oksidas (E172), titano dioksidas (E171).</w:t>
      </w:r>
    </w:p>
    <w:p w14:paraId="5523C9ED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59067824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b/>
          <w:bCs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 išvaizda ir kiekis pakuotėje</w:t>
      </w:r>
    </w:p>
    <w:p w14:paraId="683BDE42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25 mg tabletės yra oranžiniai rudos spalvos, plėvele dengtos, apvalios, abipus išgaubtos tabletės permatomose PVC-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PVdC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/VMCH dengtose aliuminio lizdinėse plokštelėse. Vienoje tablečių pusėje įspausta „AZ25“, o kita pusė lygi.</w:t>
      </w:r>
    </w:p>
    <w:p w14:paraId="5BCA7A5E" w14:textId="77777777" w:rsidR="008873A7" w:rsidRPr="00E07ACB" w:rsidRDefault="008873A7" w:rsidP="008873A7">
      <w:pPr>
        <w:spacing w:after="0" w:line="240" w:lineRule="auto"/>
        <w:rPr>
          <w:rFonts w:ascii="Times New Roman" w:eastAsia="Calibri" w:hAnsi="Times New Roman" w:cs="Times New Roman"/>
          <w:noProof w:val="0"/>
          <w:szCs w:val="20"/>
          <w:lang w:eastAsia="de-DE"/>
        </w:rPr>
      </w:pPr>
    </w:p>
    <w:p w14:paraId="01C553AD" w14:textId="77777777" w:rsidR="008873A7" w:rsidRPr="00E07ACB" w:rsidRDefault="008873A7" w:rsidP="008873A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25 mg tabletės yra tiekiamos 28, </w:t>
      </w:r>
      <w:r w:rsidRPr="00E07ACB">
        <w:rPr>
          <w:rFonts w:ascii="Times New Roman" w:eastAsia="Times New Roman" w:hAnsi="Times New Roman" w:cs="Times New Roman"/>
          <w:noProof w:val="0"/>
          <w:highlight w:val="lightGray"/>
        </w:rPr>
        <w:t xml:space="preserve">30, </w:t>
      </w:r>
      <w:r w:rsidRPr="00E07ACB">
        <w:rPr>
          <w:rFonts w:ascii="Times New Roman" w:eastAsia="Times New Roman" w:hAnsi="Times New Roman" w:cs="Times New Roman"/>
          <w:iCs/>
          <w:noProof w:val="0"/>
          <w:highlight w:val="lightGray"/>
        </w:rPr>
        <w:t>50, 56, 90 ir 100</w:t>
      </w:r>
      <w:r w:rsidRPr="00E07ACB">
        <w:rPr>
          <w:rFonts w:ascii="Times New Roman" w:eastAsia="Times New Roman" w:hAnsi="Times New Roman" w:cs="Times New Roman"/>
          <w:iCs/>
          <w:noProof w:val="0"/>
        </w:rPr>
        <w:t xml:space="preserve"> plėvele dengtų tablečių pakuotėse.</w:t>
      </w:r>
    </w:p>
    <w:p w14:paraId="0A27BA11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3119C3B8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noProof w:val="0"/>
        </w:rPr>
        <w:t>Registruotojas ir gamintojas</w:t>
      </w:r>
    </w:p>
    <w:p w14:paraId="44763463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</w:p>
    <w:p w14:paraId="05C4A0A8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noProof w:val="0"/>
        </w:rPr>
      </w:pPr>
      <w:r w:rsidRPr="00E07ACB">
        <w:rPr>
          <w:rFonts w:ascii="Times New Roman" w:eastAsia="Calibri" w:hAnsi="Times New Roman" w:cs="Times New Roman"/>
          <w:i/>
          <w:noProof w:val="0"/>
        </w:rPr>
        <w:t>Registruotojas</w:t>
      </w:r>
    </w:p>
    <w:p w14:paraId="6354115D" w14:textId="77777777" w:rsidR="008873A7" w:rsidRPr="004055B2" w:rsidRDefault="008873A7" w:rsidP="008873A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Bausch Health Ireland Limited</w:t>
      </w:r>
    </w:p>
    <w:p w14:paraId="2B2B0FCD" w14:textId="77777777" w:rsidR="008873A7" w:rsidRPr="004055B2" w:rsidRDefault="008873A7" w:rsidP="008873A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lastRenderedPageBreak/>
        <w:t>3013 Lake Drive</w:t>
      </w:r>
    </w:p>
    <w:p w14:paraId="2E09FE58" w14:textId="77777777" w:rsidR="008873A7" w:rsidRPr="004055B2" w:rsidRDefault="008873A7" w:rsidP="008873A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Citywest Business Campus</w:t>
      </w:r>
    </w:p>
    <w:p w14:paraId="506F4BC3" w14:textId="77777777" w:rsidR="008873A7" w:rsidRPr="004055B2" w:rsidRDefault="008873A7" w:rsidP="008873A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Dublin 24, D24PPT3</w:t>
      </w:r>
    </w:p>
    <w:p w14:paraId="58BA50DA" w14:textId="77777777" w:rsidR="008873A7" w:rsidRPr="004055B2" w:rsidRDefault="008873A7" w:rsidP="008873A7">
      <w:pPr>
        <w:spacing w:after="0" w:line="240" w:lineRule="auto"/>
        <w:rPr>
          <w:rFonts w:ascii="Times New Roman" w:hAnsi="Times New Roman" w:cs="Times New Roman"/>
        </w:rPr>
      </w:pPr>
      <w:r w:rsidRPr="004055B2">
        <w:rPr>
          <w:rFonts w:ascii="Times New Roman" w:hAnsi="Times New Roman" w:cs="Times New Roman"/>
        </w:rPr>
        <w:t>Airija</w:t>
      </w:r>
    </w:p>
    <w:p w14:paraId="7EBCB34D" w14:textId="77777777" w:rsidR="008873A7" w:rsidRPr="00E07ACB" w:rsidRDefault="008873A7" w:rsidP="008873A7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noProof w:val="0"/>
          <w:szCs w:val="24"/>
        </w:rPr>
      </w:pPr>
    </w:p>
    <w:p w14:paraId="283797B2" w14:textId="77777777" w:rsidR="008873A7" w:rsidRPr="00E07ACB" w:rsidRDefault="008873A7" w:rsidP="008873A7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i/>
          <w:noProof w:val="0"/>
          <w:szCs w:val="24"/>
        </w:rPr>
      </w:pPr>
      <w:r w:rsidRPr="00E07ACB">
        <w:rPr>
          <w:rFonts w:ascii="Times New Roman" w:eastAsia="Times New Roman" w:hAnsi="Times New Roman" w:cs="Times New Roman"/>
          <w:i/>
          <w:noProof w:val="0"/>
          <w:szCs w:val="24"/>
        </w:rPr>
        <w:t>Gamintojas</w:t>
      </w:r>
    </w:p>
    <w:p w14:paraId="77C351EA" w14:textId="77777777" w:rsidR="008873A7" w:rsidRPr="00E07ACB" w:rsidRDefault="008873A7" w:rsidP="008873A7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 w:val="0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AqVida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GmbH</w:t>
      </w:r>
      <w:proofErr w:type="spellEnd"/>
    </w:p>
    <w:p w14:paraId="1B2A7E70" w14:textId="77777777" w:rsidR="008873A7" w:rsidRPr="00E07ACB" w:rsidRDefault="008873A7" w:rsidP="008873A7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 w:val="0"/>
          <w:szCs w:val="24"/>
        </w:rPr>
      </w:pP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Kaiser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>-</w:t>
      </w:r>
      <w:proofErr w:type="spellStart"/>
      <w:r w:rsidRPr="00E07ACB">
        <w:rPr>
          <w:rFonts w:ascii="Times New Roman" w:eastAsia="Times New Roman" w:hAnsi="Times New Roman" w:cs="Times New Roman"/>
          <w:noProof w:val="0"/>
        </w:rPr>
        <w:t>Wilhelm</w:t>
      </w:r>
      <w:proofErr w:type="spellEnd"/>
      <w:r w:rsidRPr="00E07ACB">
        <w:rPr>
          <w:rFonts w:ascii="Times New Roman" w:eastAsia="Times New Roman" w:hAnsi="Times New Roman" w:cs="Times New Roman"/>
          <w:noProof w:val="0"/>
        </w:rPr>
        <w:t xml:space="preserve">-Str. </w:t>
      </w:r>
      <w:r w:rsidRPr="00E07ACB">
        <w:rPr>
          <w:rFonts w:ascii="Times New Roman" w:eastAsia="Times New Roman" w:hAnsi="Times New Roman" w:cs="Times New Roman"/>
          <w:noProof w:val="0"/>
          <w:szCs w:val="24"/>
        </w:rPr>
        <w:t>89</w:t>
      </w:r>
    </w:p>
    <w:p w14:paraId="48414F0D" w14:textId="77777777" w:rsidR="008873A7" w:rsidRPr="00E07ACB" w:rsidRDefault="008873A7" w:rsidP="008873A7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 w:val="0"/>
          <w:szCs w:val="24"/>
        </w:rPr>
      </w:pPr>
      <w:r w:rsidRPr="00E07ACB">
        <w:rPr>
          <w:rFonts w:ascii="Times New Roman" w:eastAsia="Times New Roman" w:hAnsi="Times New Roman" w:cs="Times New Roman"/>
          <w:noProof w:val="0"/>
          <w:szCs w:val="24"/>
        </w:rPr>
        <w:t xml:space="preserve">20355 </w:t>
      </w:r>
      <w:proofErr w:type="spellStart"/>
      <w:r w:rsidRPr="00E07ACB">
        <w:rPr>
          <w:rFonts w:ascii="Times New Roman" w:eastAsia="Times New Roman" w:hAnsi="Times New Roman" w:cs="Times New Roman"/>
          <w:noProof w:val="0"/>
          <w:szCs w:val="24"/>
        </w:rPr>
        <w:t>Hamburg</w:t>
      </w:r>
      <w:proofErr w:type="spellEnd"/>
    </w:p>
    <w:p w14:paraId="0C8280B0" w14:textId="77777777" w:rsidR="008873A7" w:rsidRPr="00E07ACB" w:rsidRDefault="008873A7" w:rsidP="008873A7">
      <w:pPr>
        <w:tabs>
          <w:tab w:val="left" w:pos="-720"/>
        </w:tabs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noProof w:val="0"/>
        </w:rPr>
      </w:pPr>
      <w:r w:rsidRPr="00E07ACB">
        <w:rPr>
          <w:rFonts w:ascii="Times New Roman" w:eastAsia="Times New Roman" w:hAnsi="Times New Roman" w:cs="Times New Roman"/>
          <w:noProof w:val="0"/>
          <w:szCs w:val="24"/>
        </w:rPr>
        <w:t>Vokietija</w:t>
      </w:r>
    </w:p>
    <w:p w14:paraId="058FA70C" w14:textId="77777777" w:rsidR="008873A7" w:rsidRPr="00E07ACB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7308394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</w:rPr>
      </w:pPr>
    </w:p>
    <w:p w14:paraId="1D8AEC75" w14:textId="77777777" w:rsidR="008873A7" w:rsidRPr="00E07ACB" w:rsidRDefault="008873A7" w:rsidP="008873A7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 w:val="0"/>
          <w:snapToGrid w:val="0"/>
        </w:rPr>
      </w:pPr>
      <w:r w:rsidRPr="00E07ACB">
        <w:rPr>
          <w:rFonts w:ascii="Times New Roman" w:eastAsia="Times New Roman" w:hAnsi="Times New Roman" w:cs="Times New Roman"/>
          <w:b/>
          <w:noProof w:val="0"/>
          <w:snapToGrid w:val="0"/>
        </w:rPr>
        <w:t>Šis vaistas E</w:t>
      </w:r>
      <w:r>
        <w:rPr>
          <w:rFonts w:ascii="Times New Roman" w:eastAsia="Times New Roman" w:hAnsi="Times New Roman" w:cs="Times New Roman"/>
          <w:b/>
          <w:noProof w:val="0"/>
          <w:snapToGrid w:val="0"/>
        </w:rPr>
        <w:t>uropos ekonominės erdvės</w:t>
      </w:r>
      <w:r w:rsidRPr="00E07ACB">
        <w:rPr>
          <w:rFonts w:ascii="Times New Roman" w:eastAsia="Times New Roman" w:hAnsi="Times New Roman" w:cs="Times New Roman"/>
          <w:b/>
          <w:noProof w:val="0"/>
          <w:snapToGrid w:val="0"/>
        </w:rPr>
        <w:t xml:space="preserve"> valstybėse narėse registruotas tokiais pavadinimais</w:t>
      </w:r>
      <w:r w:rsidRPr="00E60161">
        <w:rPr>
          <w:rFonts w:ascii="Times New Roman" w:eastAsia="Times New Roman" w:hAnsi="Times New Roman" w:cs="Times New Roman"/>
          <w:b/>
          <w:bCs/>
          <w:noProof w:val="0"/>
          <w:snapToGrid w:val="0"/>
        </w:rPr>
        <w:t>:</w:t>
      </w:r>
    </w:p>
    <w:p w14:paraId="759E01DE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Čekija: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Imasup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25 mg</w:t>
      </w:r>
      <w:r w:rsidRPr="007C0115">
        <w:rPr>
          <w:rFonts w:ascii="Times New Roman" w:eastAsia="Calibri" w:hAnsi="Times New Roman" w:cs="Times New Roman"/>
        </w:rPr>
        <w:t xml:space="preserve"> potahovane tablet</w:t>
      </w:r>
      <w:r w:rsidRPr="00E07ACB">
        <w:rPr>
          <w:rFonts w:ascii="Times New Roman" w:eastAsia="Calibri" w:hAnsi="Times New Roman" w:cs="Times New Roman"/>
          <w:noProof w:val="0"/>
        </w:rPr>
        <w:t>;</w:t>
      </w:r>
    </w:p>
    <w:p w14:paraId="49BA98C9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Estija: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>;</w:t>
      </w:r>
    </w:p>
    <w:p w14:paraId="168429AB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Lietuva: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Atsimutin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25 mg plėvele dengtos tabletės;</w:t>
      </w:r>
    </w:p>
    <w:p w14:paraId="673F4602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Lenkija: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Atioprin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>;</w:t>
      </w:r>
    </w:p>
    <w:p w14:paraId="016DA01C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 w:val="0"/>
        </w:rPr>
      </w:pPr>
      <w:r w:rsidRPr="00E07ACB">
        <w:rPr>
          <w:rFonts w:ascii="Times New Roman" w:eastAsia="Calibri" w:hAnsi="Times New Roman" w:cs="Times New Roman"/>
          <w:noProof w:val="0"/>
        </w:rPr>
        <w:t>Slovakija:</w:t>
      </w:r>
      <w:r w:rsidRPr="00E07ACB">
        <w:rPr>
          <w:rFonts w:ascii="Times New Roman" w:eastAsia="Calibri" w:hAnsi="Times New Roman" w:cs="Times New Roman"/>
          <w:noProof w:val="0"/>
        </w:rPr>
        <w:tab/>
      </w:r>
      <w:proofErr w:type="spellStart"/>
      <w:r w:rsidRPr="00E07ACB">
        <w:rPr>
          <w:rFonts w:ascii="Times New Roman" w:eastAsia="Calibri" w:hAnsi="Times New Roman" w:cs="Times New Roman"/>
          <w:noProof w:val="0"/>
        </w:rPr>
        <w:t>Imasup</w:t>
      </w:r>
      <w:proofErr w:type="spellEnd"/>
      <w:r w:rsidRPr="00E07ACB">
        <w:rPr>
          <w:rFonts w:ascii="Times New Roman" w:eastAsia="Calibri" w:hAnsi="Times New Roman" w:cs="Times New Roman"/>
          <w:noProof w:val="0"/>
        </w:rPr>
        <w:t xml:space="preserve"> 25 mg</w:t>
      </w:r>
      <w:r w:rsidRPr="007C0115">
        <w:rPr>
          <w:rFonts w:ascii="Times New Roman" w:eastAsia="Times New Roman" w:hAnsi="Times New Roman" w:cs="Times New Roman"/>
          <w:color w:val="000000"/>
          <w:lang w:eastAsia="en-GB"/>
        </w:rPr>
        <w:t xml:space="preserve"> filmom obalene tablety</w:t>
      </w:r>
      <w:r w:rsidRPr="00E07ACB">
        <w:rPr>
          <w:rFonts w:ascii="Times New Roman" w:eastAsia="Calibri" w:hAnsi="Times New Roman" w:cs="Times New Roman"/>
          <w:noProof w:val="0"/>
        </w:rPr>
        <w:t>.</w:t>
      </w:r>
    </w:p>
    <w:p w14:paraId="65A3FC6E" w14:textId="77777777" w:rsidR="008873A7" w:rsidRPr="00E07ACB" w:rsidRDefault="008873A7" w:rsidP="008873A7">
      <w:pPr>
        <w:autoSpaceDE w:val="0"/>
        <w:autoSpaceDN w:val="0"/>
        <w:adjustRightInd w:val="0"/>
        <w:spacing w:after="0" w:line="240" w:lineRule="auto"/>
        <w:ind w:firstLine="1296"/>
        <w:rPr>
          <w:rFonts w:ascii="TimesNewRomanPSMT" w:eastAsia="Times New Roman" w:hAnsi="TimesNewRomanPSMT" w:cs="Times New Roman"/>
          <w:noProof w:val="0"/>
        </w:rPr>
      </w:pPr>
    </w:p>
    <w:p w14:paraId="5F17F2E2" w14:textId="77777777" w:rsidR="008873A7" w:rsidRPr="00E07ACB" w:rsidRDefault="008873A7" w:rsidP="008873A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34CDB520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</w:rPr>
      </w:pPr>
      <w:r w:rsidRPr="00E07ACB">
        <w:rPr>
          <w:rFonts w:ascii="Times New Roman" w:eastAsia="Times New Roman" w:hAnsi="Times New Roman" w:cs="Times New Roman"/>
          <w:b/>
          <w:bCs/>
          <w:noProof w:val="0"/>
        </w:rPr>
        <w:t xml:space="preserve">Šis pakuotės </w:t>
      </w:r>
      <w:r w:rsidRPr="00E07ACB">
        <w:rPr>
          <w:rFonts w:ascii="Times New Roman" w:eastAsia="Times New Roman" w:hAnsi="Times New Roman" w:cs="Times New Roman"/>
          <w:b/>
          <w:noProof w:val="0"/>
        </w:rPr>
        <w:t>lapelis paskutinį kartą peržiūrėtas</w:t>
      </w:r>
      <w:r>
        <w:rPr>
          <w:rFonts w:ascii="Times New Roman" w:eastAsia="Times New Roman" w:hAnsi="Times New Roman" w:cs="Times New Roman"/>
          <w:b/>
          <w:noProof w:val="0"/>
        </w:rPr>
        <w:t xml:space="preserve"> 2025-10-31.</w:t>
      </w:r>
      <w:r w:rsidRPr="00E07ACB">
        <w:rPr>
          <w:rFonts w:ascii="Times New Roman" w:eastAsia="Times New Roman" w:hAnsi="Times New Roman" w:cs="Times New Roman"/>
          <w:b/>
          <w:noProof w:val="0"/>
        </w:rPr>
        <w:t xml:space="preserve"> </w:t>
      </w:r>
    </w:p>
    <w:p w14:paraId="52AA4B1D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6A10841B" w14:textId="77777777" w:rsidR="008873A7" w:rsidRPr="00E07ACB" w:rsidRDefault="008873A7" w:rsidP="008873A7">
      <w:pPr>
        <w:spacing w:after="0" w:line="240" w:lineRule="auto"/>
        <w:rPr>
          <w:rFonts w:ascii="Times New Roman" w:eastAsia="Times New Roman" w:hAnsi="Times New Roman" w:cs="Times New Roman"/>
          <w:noProof w:val="0"/>
        </w:rPr>
      </w:pPr>
    </w:p>
    <w:p w14:paraId="16A8E138" w14:textId="77777777" w:rsidR="008873A7" w:rsidRDefault="008873A7" w:rsidP="008873A7">
      <w:pPr>
        <w:spacing w:after="0" w:line="240" w:lineRule="auto"/>
      </w:pPr>
      <w:r w:rsidRPr="00E07ACB">
        <w:rPr>
          <w:rFonts w:ascii="Times New Roman" w:eastAsia="Calibri" w:hAnsi="Times New Roman" w:cs="Times New Roman"/>
          <w:noProof w:val="0"/>
          <w:szCs w:val="20"/>
          <w:lang w:eastAsia="de-DE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3F0C62">
          <w:rPr>
            <w:rStyle w:val="Hipersaitas"/>
            <w:lang w:eastAsia="lt-LT"/>
          </w:rPr>
          <w:t xml:space="preserve"> https://vvkt.lrv.lt/lt/.</w:t>
        </w:r>
        <w:r w:rsidRPr="009806D9">
          <w:rPr>
            <w:rStyle w:val="Hipersaitas"/>
            <w:rFonts w:eastAsia="Calibri"/>
            <w:noProof w:val="0"/>
            <w:szCs w:val="20"/>
            <w:lang w:eastAsia="de-DE"/>
          </w:rPr>
          <w:t>/</w:t>
        </w:r>
      </w:hyperlink>
    </w:p>
    <w:p w14:paraId="67D4D9EA" w14:textId="767AD052" w:rsidR="008873A7" w:rsidRDefault="008873A7" w:rsidP="008873A7"/>
    <w:p w14:paraId="11DB501D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E865C4A"/>
    <w:multiLevelType w:val="hybridMultilevel"/>
    <w:tmpl w:val="A662ADF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44BC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6B5"/>
    <w:multiLevelType w:val="hybridMultilevel"/>
    <w:tmpl w:val="C3F878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7F98"/>
    <w:multiLevelType w:val="hybridMultilevel"/>
    <w:tmpl w:val="984C46B6"/>
    <w:lvl w:ilvl="0" w:tplc="2E7A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531E1"/>
    <w:multiLevelType w:val="hybridMultilevel"/>
    <w:tmpl w:val="7ACC5A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2C8C"/>
    <w:multiLevelType w:val="hybridMultilevel"/>
    <w:tmpl w:val="5F84A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C05"/>
    <w:multiLevelType w:val="hybridMultilevel"/>
    <w:tmpl w:val="312E2A02"/>
    <w:lvl w:ilvl="0" w:tplc="2E7A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135EC"/>
    <w:multiLevelType w:val="hybridMultilevel"/>
    <w:tmpl w:val="0EB0DD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B23B4"/>
    <w:multiLevelType w:val="hybridMultilevel"/>
    <w:tmpl w:val="F4CCC2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31A46"/>
    <w:multiLevelType w:val="hybridMultilevel"/>
    <w:tmpl w:val="C240CD88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3F644BC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38A4"/>
    <w:multiLevelType w:val="hybridMultilevel"/>
    <w:tmpl w:val="73E484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F4CB5"/>
    <w:multiLevelType w:val="hybridMultilevel"/>
    <w:tmpl w:val="5E9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8538F"/>
    <w:multiLevelType w:val="hybridMultilevel"/>
    <w:tmpl w:val="B5E479E6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C2E5CD6"/>
    <w:multiLevelType w:val="hybridMultilevel"/>
    <w:tmpl w:val="9D928C02"/>
    <w:lvl w:ilvl="0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75B169A6"/>
    <w:multiLevelType w:val="hybridMultilevel"/>
    <w:tmpl w:val="AC2A3C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9199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 w16cid:durableId="1056124583">
    <w:abstractNumId w:val="10"/>
  </w:num>
  <w:num w:numId="3" w16cid:durableId="1991055427">
    <w:abstractNumId w:val="13"/>
  </w:num>
  <w:num w:numId="4" w16cid:durableId="723722305">
    <w:abstractNumId w:val="6"/>
  </w:num>
  <w:num w:numId="5" w16cid:durableId="1894653549">
    <w:abstractNumId w:val="12"/>
  </w:num>
  <w:num w:numId="6" w16cid:durableId="821778096">
    <w:abstractNumId w:val="3"/>
  </w:num>
  <w:num w:numId="7" w16cid:durableId="454254638">
    <w:abstractNumId w:val="9"/>
  </w:num>
  <w:num w:numId="8" w16cid:durableId="2047286883">
    <w:abstractNumId w:val="7"/>
  </w:num>
  <w:num w:numId="9" w16cid:durableId="1420909438">
    <w:abstractNumId w:val="8"/>
  </w:num>
  <w:num w:numId="10" w16cid:durableId="128596422">
    <w:abstractNumId w:val="14"/>
  </w:num>
  <w:num w:numId="11" w16cid:durableId="1549075571">
    <w:abstractNumId w:val="5"/>
  </w:num>
  <w:num w:numId="12" w16cid:durableId="1629315349">
    <w:abstractNumId w:val="1"/>
  </w:num>
  <w:num w:numId="13" w16cid:durableId="643318570">
    <w:abstractNumId w:val="2"/>
  </w:num>
  <w:num w:numId="14" w16cid:durableId="609432628">
    <w:abstractNumId w:val="4"/>
  </w:num>
  <w:num w:numId="15" w16cid:durableId="294726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A7"/>
    <w:rsid w:val="00222FED"/>
    <w:rsid w:val="005F173E"/>
    <w:rsid w:val="008873A7"/>
    <w:rsid w:val="008B3AD4"/>
    <w:rsid w:val="00984A0A"/>
    <w:rsid w:val="00D047C4"/>
    <w:rsid w:val="00EC0D97"/>
    <w:rsid w:val="00F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1C6A"/>
  <w15:chartTrackingRefBased/>
  <w15:docId w15:val="{EE1BD135-C7C4-4837-9534-304AE0C7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3A7"/>
    <w:pPr>
      <w:spacing w:after="200" w:line="276" w:lineRule="auto"/>
    </w:pPr>
    <w:rPr>
      <w:rFonts w:asciiTheme="minorHAnsi" w:hAnsiTheme="minorHAnsi" w:cstheme="minorBidi"/>
      <w:noProof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7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7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7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7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7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7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7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7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7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73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73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73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73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73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73A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7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7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73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73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73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73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73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73A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nhideWhenUsed/>
    <w:rsid w:val="008873A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s://vvkt.lrv.lt/lt/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11265</Words>
  <Characters>6422</Characters>
  <Application>Microsoft Office Word</Application>
  <DocSecurity>0</DocSecurity>
  <Lines>53</Lines>
  <Paragraphs>35</Paragraphs>
  <ScaleCrop>false</ScaleCrop>
  <Company/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2025-12-19T12:06:00Z</dcterms:created>
  <dcterms:modified xsi:type="dcterms:W3CDTF">2025-12-19T12:07:00Z</dcterms:modified>
</cp:coreProperties>
</file>