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D34BF" w14:textId="77777777" w:rsidR="005B54AC" w:rsidRPr="00EB08A6" w:rsidRDefault="005B54AC" w:rsidP="00B971EC">
      <w:pPr>
        <w:widowControl w:val="0"/>
        <w:tabs>
          <w:tab w:val="clear" w:pos="567"/>
        </w:tabs>
        <w:spacing w:line="240" w:lineRule="auto"/>
        <w:jc w:val="center"/>
        <w:rPr>
          <w:szCs w:val="22"/>
          <w:lang w:val="en-US"/>
        </w:rPr>
      </w:pPr>
    </w:p>
    <w:p w14:paraId="490D49BF"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1DD2ED5F"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3FE905D7"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6991E903"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1DA5051D"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5EC1E806"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4FEF1AC0"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22E21929"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56EBF277"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34C19E64"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02E63008"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53CD643E"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098B875B"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48D45698"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150AE953"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5EA5E267"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1CEB6DAD" w14:textId="77777777" w:rsidR="00FC3816" w:rsidRPr="00EB08A6" w:rsidRDefault="00FC3816" w:rsidP="005B54AC">
      <w:pPr>
        <w:tabs>
          <w:tab w:val="clear" w:pos="567"/>
          <w:tab w:val="left" w:pos="-1440"/>
          <w:tab w:val="left" w:pos="-720"/>
        </w:tabs>
        <w:spacing w:line="240" w:lineRule="auto"/>
        <w:jc w:val="center"/>
        <w:rPr>
          <w:b/>
          <w:szCs w:val="22"/>
          <w:lang w:val="lt-LT"/>
        </w:rPr>
      </w:pPr>
    </w:p>
    <w:p w14:paraId="0EDB3AAD" w14:textId="77777777" w:rsidR="0087339F" w:rsidRPr="00EB08A6" w:rsidRDefault="0087339F" w:rsidP="005B54AC">
      <w:pPr>
        <w:tabs>
          <w:tab w:val="clear" w:pos="567"/>
          <w:tab w:val="left" w:pos="-1440"/>
          <w:tab w:val="left" w:pos="-720"/>
        </w:tabs>
        <w:spacing w:line="240" w:lineRule="auto"/>
        <w:jc w:val="center"/>
        <w:rPr>
          <w:b/>
          <w:szCs w:val="22"/>
          <w:lang w:val="lt-LT"/>
        </w:rPr>
      </w:pPr>
    </w:p>
    <w:p w14:paraId="0B66B480" w14:textId="77777777" w:rsidR="0087339F" w:rsidRPr="00EB08A6" w:rsidRDefault="0087339F" w:rsidP="005B54AC">
      <w:pPr>
        <w:tabs>
          <w:tab w:val="clear" w:pos="567"/>
          <w:tab w:val="left" w:pos="-1440"/>
          <w:tab w:val="left" w:pos="-720"/>
        </w:tabs>
        <w:spacing w:line="240" w:lineRule="auto"/>
        <w:jc w:val="center"/>
        <w:rPr>
          <w:b/>
          <w:szCs w:val="22"/>
          <w:lang w:val="lt-LT"/>
        </w:rPr>
      </w:pPr>
    </w:p>
    <w:p w14:paraId="7E274812" w14:textId="77777777" w:rsidR="0087339F" w:rsidRPr="00EB08A6" w:rsidRDefault="0087339F" w:rsidP="005B54AC">
      <w:pPr>
        <w:tabs>
          <w:tab w:val="clear" w:pos="567"/>
          <w:tab w:val="left" w:pos="-1440"/>
          <w:tab w:val="left" w:pos="-720"/>
        </w:tabs>
        <w:spacing w:line="240" w:lineRule="auto"/>
        <w:jc w:val="center"/>
        <w:rPr>
          <w:b/>
          <w:szCs w:val="22"/>
          <w:lang w:val="lt-LT"/>
        </w:rPr>
      </w:pPr>
    </w:p>
    <w:p w14:paraId="4404D5DF" w14:textId="77777777" w:rsidR="0087339F" w:rsidRPr="00EB08A6" w:rsidRDefault="0087339F" w:rsidP="005B54AC">
      <w:pPr>
        <w:tabs>
          <w:tab w:val="clear" w:pos="567"/>
          <w:tab w:val="left" w:pos="-1440"/>
          <w:tab w:val="left" w:pos="-720"/>
        </w:tabs>
        <w:spacing w:line="240" w:lineRule="auto"/>
        <w:jc w:val="center"/>
        <w:rPr>
          <w:b/>
          <w:szCs w:val="22"/>
          <w:lang w:val="lt-LT"/>
        </w:rPr>
      </w:pPr>
    </w:p>
    <w:p w14:paraId="088DA541" w14:textId="77777777" w:rsidR="0087339F" w:rsidRPr="00EB08A6" w:rsidRDefault="0087339F" w:rsidP="005B54AC">
      <w:pPr>
        <w:tabs>
          <w:tab w:val="clear" w:pos="567"/>
          <w:tab w:val="left" w:pos="-1440"/>
          <w:tab w:val="left" w:pos="-720"/>
        </w:tabs>
        <w:spacing w:line="240" w:lineRule="auto"/>
        <w:jc w:val="center"/>
        <w:rPr>
          <w:b/>
          <w:szCs w:val="22"/>
          <w:lang w:val="lt-LT"/>
        </w:rPr>
      </w:pPr>
    </w:p>
    <w:p w14:paraId="3D096EE7" w14:textId="77777777" w:rsidR="005B54AC" w:rsidRPr="00EB08A6" w:rsidRDefault="005B54AC" w:rsidP="005B54AC">
      <w:pPr>
        <w:tabs>
          <w:tab w:val="clear" w:pos="567"/>
          <w:tab w:val="left" w:pos="-1440"/>
          <w:tab w:val="left" w:pos="-720"/>
        </w:tabs>
        <w:spacing w:line="240" w:lineRule="auto"/>
        <w:jc w:val="center"/>
        <w:rPr>
          <w:b/>
          <w:szCs w:val="22"/>
          <w:lang w:val="lt-LT"/>
        </w:rPr>
      </w:pPr>
      <w:r w:rsidRPr="00EB08A6">
        <w:rPr>
          <w:b/>
          <w:szCs w:val="22"/>
          <w:lang w:val="lt-LT"/>
        </w:rPr>
        <w:t>I PRIEDAS</w:t>
      </w:r>
    </w:p>
    <w:p w14:paraId="2DF067EA" w14:textId="77777777" w:rsidR="005B54AC" w:rsidRPr="00EB08A6" w:rsidRDefault="005B54AC" w:rsidP="005B54AC">
      <w:pPr>
        <w:tabs>
          <w:tab w:val="clear" w:pos="567"/>
          <w:tab w:val="left" w:pos="-1440"/>
          <w:tab w:val="left" w:pos="-720"/>
        </w:tabs>
        <w:spacing w:line="240" w:lineRule="auto"/>
        <w:jc w:val="center"/>
        <w:rPr>
          <w:szCs w:val="22"/>
          <w:lang w:val="lt-LT"/>
        </w:rPr>
      </w:pPr>
    </w:p>
    <w:p w14:paraId="7ACF473C" w14:textId="77777777" w:rsidR="005B54AC" w:rsidRPr="00EB08A6" w:rsidRDefault="005B54AC" w:rsidP="005B54AC">
      <w:pPr>
        <w:tabs>
          <w:tab w:val="clear" w:pos="567"/>
          <w:tab w:val="left" w:pos="-1440"/>
          <w:tab w:val="left" w:pos="-720"/>
        </w:tabs>
        <w:spacing w:line="240" w:lineRule="auto"/>
        <w:jc w:val="center"/>
        <w:rPr>
          <w:b/>
          <w:szCs w:val="22"/>
          <w:lang w:val="lt-LT"/>
        </w:rPr>
      </w:pPr>
      <w:r w:rsidRPr="00EB08A6">
        <w:rPr>
          <w:b/>
          <w:szCs w:val="22"/>
          <w:lang w:val="lt-LT"/>
        </w:rPr>
        <w:t>PREPARATO CHARAKTERISTIKŲ SANTRAUKA</w:t>
      </w:r>
    </w:p>
    <w:p w14:paraId="6FE898C3" w14:textId="77777777" w:rsidR="00EB08A6" w:rsidRPr="00EB08A6" w:rsidRDefault="005B54AC" w:rsidP="00EB08A6">
      <w:pPr>
        <w:pStyle w:val="Antrat1"/>
        <w:spacing w:before="0" w:after="0"/>
        <w:rPr>
          <w:rFonts w:ascii="Times New Roman" w:hAnsi="Times New Roman"/>
          <w:sz w:val="22"/>
          <w:szCs w:val="22"/>
        </w:rPr>
      </w:pPr>
      <w:r w:rsidRPr="00EB08A6">
        <w:rPr>
          <w:rFonts w:ascii="Times New Roman" w:hAnsi="Times New Roman"/>
          <w:sz w:val="22"/>
          <w:szCs w:val="22"/>
          <w:lang w:val="lt-LT"/>
        </w:rPr>
        <w:br w:type="page"/>
      </w:r>
      <w:r w:rsidR="00EB08A6" w:rsidRPr="00EB08A6">
        <w:rPr>
          <w:rFonts w:ascii="Times New Roman" w:hAnsi="Times New Roman"/>
          <w:sz w:val="22"/>
          <w:szCs w:val="22"/>
        </w:rPr>
        <w:lastRenderedPageBreak/>
        <w:t>1.</w:t>
      </w:r>
      <w:r w:rsidR="00EB08A6" w:rsidRPr="00EB08A6">
        <w:rPr>
          <w:rFonts w:ascii="Times New Roman" w:hAnsi="Times New Roman"/>
          <w:sz w:val="22"/>
          <w:szCs w:val="22"/>
        </w:rPr>
        <w:tab/>
        <w:t xml:space="preserve">VAISTINIO PREPARATO PAVADINIMAS </w:t>
      </w:r>
    </w:p>
    <w:p w14:paraId="49395DF0" w14:textId="77777777" w:rsidR="00EB08A6" w:rsidRPr="00EB08A6" w:rsidRDefault="00EB08A6" w:rsidP="00EB08A6">
      <w:pPr>
        <w:widowControl w:val="0"/>
        <w:rPr>
          <w:szCs w:val="22"/>
        </w:rPr>
      </w:pPr>
      <w:bookmarkStart w:id="0" w:name="_i4i3ioPM2k8tnQRYJK0b1XHh7"/>
      <w:bookmarkEnd w:id="0"/>
    </w:p>
    <w:p w14:paraId="38D59130" w14:textId="77777777" w:rsidR="00EB08A6" w:rsidRPr="00EB08A6" w:rsidRDefault="00EB08A6" w:rsidP="00EB08A6">
      <w:pPr>
        <w:widowControl w:val="0"/>
        <w:rPr>
          <w:szCs w:val="22"/>
          <w:lang w:val="lt-LT"/>
        </w:rPr>
      </w:pPr>
      <w:proofErr w:type="spellStart"/>
      <w:r w:rsidRPr="00EB08A6">
        <w:rPr>
          <w:szCs w:val="22"/>
          <w:lang w:val="lt-LT"/>
        </w:rPr>
        <w:t>Vesicare</w:t>
      </w:r>
      <w:proofErr w:type="spellEnd"/>
      <w:r w:rsidRPr="00EB08A6">
        <w:rPr>
          <w:szCs w:val="22"/>
          <w:lang w:val="lt-LT"/>
        </w:rPr>
        <w:t xml:space="preserve"> 1 mg/ml geriamoji suspensija</w:t>
      </w:r>
    </w:p>
    <w:p w14:paraId="742F9F79" w14:textId="77777777" w:rsidR="00EB08A6" w:rsidRPr="00EB08A6" w:rsidRDefault="00EB08A6" w:rsidP="00EB08A6">
      <w:pPr>
        <w:widowControl w:val="0"/>
        <w:rPr>
          <w:szCs w:val="22"/>
          <w:lang w:val="lt-LT"/>
        </w:rPr>
      </w:pPr>
    </w:p>
    <w:p w14:paraId="6205D845" w14:textId="77777777" w:rsidR="00EB08A6" w:rsidRPr="00EB08A6" w:rsidRDefault="00EB08A6" w:rsidP="00EB08A6">
      <w:pPr>
        <w:widowControl w:val="0"/>
        <w:rPr>
          <w:szCs w:val="22"/>
          <w:lang w:val="lt-LT"/>
        </w:rPr>
      </w:pPr>
    </w:p>
    <w:p w14:paraId="1546BDE3" w14:textId="77777777" w:rsidR="00EB08A6" w:rsidRPr="00EB08A6" w:rsidRDefault="00EB08A6" w:rsidP="00EB08A6">
      <w:pPr>
        <w:pStyle w:val="Antrat1"/>
        <w:spacing w:before="0" w:after="0"/>
        <w:rPr>
          <w:rFonts w:ascii="Times New Roman" w:hAnsi="Times New Roman"/>
          <w:sz w:val="22"/>
          <w:szCs w:val="22"/>
          <w:lang w:val="lt-LT"/>
        </w:rPr>
      </w:pPr>
      <w:bookmarkStart w:id="1" w:name="_i4i1aT5fjP8yc7uuaEUmi0e05"/>
      <w:bookmarkStart w:id="2" w:name="_i4i53SCb8RIFSuiiewAyvlVFP"/>
      <w:bookmarkEnd w:id="1"/>
      <w:bookmarkEnd w:id="2"/>
      <w:r w:rsidRPr="00EB08A6">
        <w:rPr>
          <w:rFonts w:ascii="Times New Roman" w:hAnsi="Times New Roman"/>
          <w:sz w:val="22"/>
          <w:szCs w:val="22"/>
          <w:lang w:val="lt-LT"/>
        </w:rPr>
        <w:t>2.</w:t>
      </w:r>
      <w:r w:rsidRPr="00EB08A6">
        <w:rPr>
          <w:rFonts w:ascii="Times New Roman" w:hAnsi="Times New Roman"/>
          <w:sz w:val="22"/>
          <w:szCs w:val="22"/>
          <w:lang w:val="lt-LT"/>
        </w:rPr>
        <w:tab/>
        <w:t>KOKYBINĖ IR KIEKYBINĖ SUDĖTIS</w:t>
      </w:r>
    </w:p>
    <w:p w14:paraId="55EF79BE" w14:textId="77777777" w:rsidR="00EB08A6" w:rsidRPr="00EB08A6" w:rsidRDefault="00EB08A6" w:rsidP="00EB08A6">
      <w:pPr>
        <w:widowControl w:val="0"/>
        <w:rPr>
          <w:szCs w:val="22"/>
        </w:rPr>
      </w:pPr>
      <w:bookmarkStart w:id="3" w:name="_i4i4XSN26pN4ziahkocwrfycS"/>
      <w:bookmarkEnd w:id="3"/>
    </w:p>
    <w:p w14:paraId="5F1E446A" w14:textId="77777777" w:rsidR="00EB08A6" w:rsidRPr="00EB08A6" w:rsidRDefault="00EB08A6" w:rsidP="00EB08A6">
      <w:pPr>
        <w:widowControl w:val="0"/>
        <w:rPr>
          <w:bCs/>
          <w:szCs w:val="22"/>
          <w:lang w:val="lt-LT"/>
        </w:rPr>
      </w:pPr>
      <w:proofErr w:type="spellStart"/>
      <w:r w:rsidRPr="00EB08A6">
        <w:rPr>
          <w:bCs/>
          <w:szCs w:val="22"/>
          <w:lang w:val="lt-LT"/>
        </w:rPr>
        <w:t>Vesicare</w:t>
      </w:r>
      <w:proofErr w:type="spellEnd"/>
      <w:r w:rsidRPr="00EB08A6">
        <w:rPr>
          <w:bCs/>
          <w:szCs w:val="22"/>
          <w:lang w:val="lt-LT"/>
        </w:rPr>
        <w:t xml:space="preserve"> geriamojoje suspensijoje yra 1 mg/ml </w:t>
      </w:r>
      <w:proofErr w:type="spellStart"/>
      <w:r w:rsidRPr="00EB08A6">
        <w:rPr>
          <w:bCs/>
          <w:szCs w:val="22"/>
          <w:lang w:val="lt-LT"/>
        </w:rPr>
        <w:t>solifenacino</w:t>
      </w:r>
      <w:proofErr w:type="spellEnd"/>
      <w:r w:rsidRPr="00EB08A6">
        <w:rPr>
          <w:bCs/>
          <w:szCs w:val="22"/>
          <w:lang w:val="lt-LT"/>
        </w:rPr>
        <w:t xml:space="preserve"> </w:t>
      </w:r>
      <w:proofErr w:type="spellStart"/>
      <w:r w:rsidRPr="00EB08A6">
        <w:rPr>
          <w:bCs/>
          <w:szCs w:val="22"/>
          <w:lang w:val="lt-LT"/>
        </w:rPr>
        <w:t>sukcinato</w:t>
      </w:r>
      <w:proofErr w:type="spellEnd"/>
      <w:r w:rsidRPr="00EB08A6">
        <w:rPr>
          <w:bCs/>
          <w:szCs w:val="22"/>
          <w:lang w:val="lt-LT"/>
        </w:rPr>
        <w:t xml:space="preserve">, atitinkančio 0,75 mg/ml </w:t>
      </w:r>
      <w:proofErr w:type="spellStart"/>
      <w:r w:rsidRPr="00EB08A6">
        <w:rPr>
          <w:bCs/>
          <w:szCs w:val="22"/>
          <w:lang w:val="lt-LT"/>
        </w:rPr>
        <w:t>solifenacino</w:t>
      </w:r>
      <w:proofErr w:type="spellEnd"/>
      <w:r w:rsidRPr="00EB08A6">
        <w:rPr>
          <w:bCs/>
          <w:szCs w:val="22"/>
          <w:lang w:val="lt-LT"/>
        </w:rPr>
        <w:t>.</w:t>
      </w:r>
    </w:p>
    <w:p w14:paraId="273380E8" w14:textId="77777777" w:rsidR="00EB08A6" w:rsidRPr="00EB08A6" w:rsidRDefault="00EB08A6" w:rsidP="00EB08A6">
      <w:pPr>
        <w:widowControl w:val="0"/>
        <w:rPr>
          <w:bCs/>
          <w:szCs w:val="22"/>
          <w:lang w:val="lt-LT"/>
        </w:rPr>
      </w:pPr>
    </w:p>
    <w:p w14:paraId="7DE51B6B" w14:textId="77777777" w:rsidR="00EB08A6" w:rsidRPr="00EB08A6" w:rsidRDefault="00EB08A6" w:rsidP="00EB08A6">
      <w:pPr>
        <w:pStyle w:val="Antrat3"/>
        <w:spacing w:before="0"/>
        <w:rPr>
          <w:rFonts w:ascii="Times New Roman" w:hAnsi="Times New Roman"/>
          <w:sz w:val="22"/>
          <w:szCs w:val="22"/>
          <w:lang w:val="lt-LT"/>
        </w:rPr>
      </w:pPr>
      <w:r w:rsidRPr="00EB08A6">
        <w:rPr>
          <w:rFonts w:ascii="Times New Roman" w:hAnsi="Times New Roman"/>
          <w:sz w:val="22"/>
          <w:szCs w:val="22"/>
          <w:lang w:val="lt-LT"/>
        </w:rPr>
        <w:t xml:space="preserve">Pagalbinės medžiagos, kurių poveikis žinomas: </w:t>
      </w:r>
    </w:p>
    <w:p w14:paraId="5959E197" w14:textId="77777777" w:rsidR="00EB08A6" w:rsidRPr="00EB08A6" w:rsidRDefault="00EB08A6" w:rsidP="00EB08A6">
      <w:pPr>
        <w:outlineLvl w:val="0"/>
        <w:rPr>
          <w:szCs w:val="22"/>
          <w:lang w:val="lt-LT"/>
        </w:rPr>
      </w:pPr>
      <w:proofErr w:type="spellStart"/>
      <w:r w:rsidRPr="00EB08A6">
        <w:rPr>
          <w:szCs w:val="22"/>
          <w:lang w:val="lt-LT"/>
        </w:rPr>
        <w:t>Benzenkarboksirūgštis</w:t>
      </w:r>
      <w:proofErr w:type="spellEnd"/>
      <w:r w:rsidRPr="00EB08A6">
        <w:rPr>
          <w:szCs w:val="22"/>
          <w:lang w:val="lt-LT"/>
        </w:rPr>
        <w:t xml:space="preserve"> (E210) 0,015 mg/ml</w:t>
      </w:r>
    </w:p>
    <w:p w14:paraId="6830324C" w14:textId="77777777" w:rsidR="00EB08A6" w:rsidRPr="00EB08A6" w:rsidRDefault="00EB08A6" w:rsidP="00EB08A6">
      <w:pPr>
        <w:outlineLvl w:val="0"/>
        <w:rPr>
          <w:szCs w:val="22"/>
          <w:lang w:val="lt-LT"/>
        </w:rPr>
      </w:pPr>
      <w:r w:rsidRPr="00EB08A6">
        <w:rPr>
          <w:szCs w:val="22"/>
          <w:lang w:val="lt-LT"/>
        </w:rPr>
        <w:t xml:space="preserve">Metilo </w:t>
      </w:r>
      <w:proofErr w:type="spellStart"/>
      <w:r w:rsidRPr="00EB08A6">
        <w:rPr>
          <w:szCs w:val="22"/>
          <w:lang w:val="lt-LT"/>
        </w:rPr>
        <w:t>parahidroksibenzoatas</w:t>
      </w:r>
      <w:proofErr w:type="spellEnd"/>
      <w:r w:rsidRPr="00EB08A6">
        <w:rPr>
          <w:szCs w:val="22"/>
          <w:lang w:val="lt-LT"/>
        </w:rPr>
        <w:t xml:space="preserve"> (E218) 1,6 mg/ml</w:t>
      </w:r>
    </w:p>
    <w:p w14:paraId="1C0682A6" w14:textId="77777777" w:rsidR="00EB08A6" w:rsidRPr="00EB08A6" w:rsidRDefault="00EB08A6" w:rsidP="00EB08A6">
      <w:pPr>
        <w:outlineLvl w:val="0"/>
        <w:rPr>
          <w:szCs w:val="22"/>
          <w:lang w:val="lt-LT"/>
        </w:rPr>
      </w:pPr>
      <w:proofErr w:type="spellStart"/>
      <w:r w:rsidRPr="00EB08A6">
        <w:rPr>
          <w:szCs w:val="22"/>
          <w:lang w:val="lt-LT"/>
        </w:rPr>
        <w:t>Propilenglikolis</w:t>
      </w:r>
      <w:proofErr w:type="spellEnd"/>
      <w:r w:rsidRPr="00EB08A6">
        <w:rPr>
          <w:szCs w:val="22"/>
          <w:lang w:val="lt-LT"/>
        </w:rPr>
        <w:t xml:space="preserve"> (E1520) 20 mg/ml</w:t>
      </w:r>
    </w:p>
    <w:p w14:paraId="40CEE981" w14:textId="77777777" w:rsidR="00EB08A6" w:rsidRPr="00EB08A6" w:rsidRDefault="00EB08A6" w:rsidP="00EB08A6">
      <w:pPr>
        <w:outlineLvl w:val="0"/>
        <w:rPr>
          <w:szCs w:val="22"/>
          <w:lang w:val="lt-LT"/>
        </w:rPr>
      </w:pP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parahidroksibenzoatas</w:t>
      </w:r>
      <w:proofErr w:type="spellEnd"/>
      <w:r w:rsidRPr="00EB08A6">
        <w:rPr>
          <w:szCs w:val="22"/>
          <w:lang w:val="lt-LT"/>
        </w:rPr>
        <w:t xml:space="preserve"> (E216) 0,2 mg/ml</w:t>
      </w:r>
    </w:p>
    <w:p w14:paraId="5CE0D37A" w14:textId="77777777" w:rsidR="00EB08A6" w:rsidRPr="00EB08A6" w:rsidRDefault="00EB08A6" w:rsidP="00EB08A6">
      <w:pPr>
        <w:outlineLvl w:val="0"/>
        <w:rPr>
          <w:szCs w:val="22"/>
          <w:lang w:val="lt-LT"/>
        </w:rPr>
      </w:pPr>
      <w:r w:rsidRPr="00EB08A6">
        <w:rPr>
          <w:szCs w:val="22"/>
          <w:lang w:val="lt-LT"/>
        </w:rPr>
        <w:t>Šio vaistinio preparato didžiausioje 10 ml dozėje yra 48,4 mg alkoholio (etanolio). Etanolis yra apelsinų natūralios aromatinės medžiagos sudėtinė dalis.</w:t>
      </w:r>
    </w:p>
    <w:p w14:paraId="381DD274" w14:textId="77777777" w:rsidR="00EB08A6" w:rsidRPr="00EB08A6" w:rsidRDefault="00EB08A6" w:rsidP="00EB08A6">
      <w:pPr>
        <w:outlineLvl w:val="0"/>
        <w:rPr>
          <w:szCs w:val="22"/>
          <w:lang w:val="lt-LT"/>
        </w:rPr>
      </w:pPr>
    </w:p>
    <w:p w14:paraId="6B1F6B87" w14:textId="77777777" w:rsidR="00EB08A6" w:rsidRPr="00EB08A6" w:rsidRDefault="00EB08A6" w:rsidP="00EB08A6">
      <w:pPr>
        <w:rPr>
          <w:szCs w:val="22"/>
          <w:lang w:val="lt-LT"/>
        </w:rPr>
      </w:pPr>
      <w:r w:rsidRPr="00EB08A6">
        <w:rPr>
          <w:szCs w:val="22"/>
          <w:lang w:val="lt-LT"/>
        </w:rPr>
        <w:t>Visos pagalbinės medžiagos išvardytos 6.1 skyriuje.</w:t>
      </w:r>
    </w:p>
    <w:p w14:paraId="2F6D0D82" w14:textId="77777777" w:rsidR="00EB08A6" w:rsidRPr="00EB08A6" w:rsidRDefault="00EB08A6" w:rsidP="00EB08A6">
      <w:pPr>
        <w:rPr>
          <w:szCs w:val="22"/>
          <w:lang w:val="lt-LT"/>
        </w:rPr>
      </w:pPr>
    </w:p>
    <w:p w14:paraId="05AC0A9F" w14:textId="77777777" w:rsidR="00EB08A6" w:rsidRPr="00EB08A6" w:rsidRDefault="00EB08A6" w:rsidP="00EB08A6">
      <w:pPr>
        <w:rPr>
          <w:szCs w:val="22"/>
          <w:lang w:val="lt-LT"/>
        </w:rPr>
      </w:pPr>
    </w:p>
    <w:p w14:paraId="342039CC" w14:textId="77777777" w:rsidR="00EB08A6" w:rsidRPr="00EB08A6" w:rsidRDefault="00EB08A6" w:rsidP="00EB08A6">
      <w:pPr>
        <w:pStyle w:val="Antrat1"/>
        <w:spacing w:before="0" w:after="0"/>
        <w:rPr>
          <w:rFonts w:ascii="Times New Roman" w:hAnsi="Times New Roman"/>
          <w:sz w:val="22"/>
          <w:szCs w:val="22"/>
        </w:rPr>
      </w:pPr>
      <w:bookmarkStart w:id="4" w:name="_i4i4uFg7QpoelGQoIVqZ9zmkP"/>
      <w:bookmarkEnd w:id="4"/>
      <w:r w:rsidRPr="00EB08A6">
        <w:rPr>
          <w:rFonts w:ascii="Times New Roman" w:hAnsi="Times New Roman"/>
          <w:sz w:val="22"/>
          <w:szCs w:val="22"/>
        </w:rPr>
        <w:t>3.</w:t>
      </w:r>
      <w:r w:rsidRPr="00EB08A6">
        <w:rPr>
          <w:rFonts w:ascii="Times New Roman" w:hAnsi="Times New Roman"/>
          <w:sz w:val="22"/>
          <w:szCs w:val="22"/>
        </w:rPr>
        <w:tab/>
        <w:t xml:space="preserve">FARMACINĖ FORMA </w:t>
      </w:r>
    </w:p>
    <w:p w14:paraId="53561E40" w14:textId="77777777" w:rsidR="00EB08A6" w:rsidRPr="00EB08A6" w:rsidRDefault="00EB08A6" w:rsidP="00EB08A6">
      <w:pPr>
        <w:rPr>
          <w:szCs w:val="22"/>
        </w:rPr>
      </w:pPr>
    </w:p>
    <w:p w14:paraId="29D3609B" w14:textId="77777777" w:rsidR="00EB08A6" w:rsidRPr="00EB08A6" w:rsidRDefault="00EB08A6" w:rsidP="00EB08A6">
      <w:pPr>
        <w:rPr>
          <w:szCs w:val="22"/>
          <w:lang w:val="lt-LT"/>
        </w:rPr>
      </w:pPr>
      <w:r w:rsidRPr="00EB08A6">
        <w:rPr>
          <w:szCs w:val="22"/>
          <w:lang w:val="lt-LT"/>
        </w:rPr>
        <w:t>Geriamoji suspensija.</w:t>
      </w:r>
    </w:p>
    <w:p w14:paraId="2D2DEE9B" w14:textId="77777777" w:rsidR="00EB08A6" w:rsidRPr="00EB08A6" w:rsidRDefault="00EB08A6" w:rsidP="00EB08A6">
      <w:pPr>
        <w:rPr>
          <w:szCs w:val="22"/>
          <w:lang w:val="lt-LT"/>
        </w:rPr>
      </w:pPr>
      <w:r w:rsidRPr="00EB08A6">
        <w:rPr>
          <w:szCs w:val="22"/>
          <w:lang w:val="lt-LT"/>
        </w:rPr>
        <w:t xml:space="preserve">Baltos ar beveik baltos spalvos, apelsinų aromato vandeninė, homogeniška suspensija. </w:t>
      </w:r>
    </w:p>
    <w:p w14:paraId="5627710C" w14:textId="77777777" w:rsidR="00EB08A6" w:rsidRPr="00EB08A6" w:rsidRDefault="00EB08A6" w:rsidP="00EB08A6">
      <w:pPr>
        <w:rPr>
          <w:szCs w:val="22"/>
          <w:lang w:val="lt-LT"/>
        </w:rPr>
      </w:pPr>
    </w:p>
    <w:p w14:paraId="4228B0CD" w14:textId="77777777" w:rsidR="00EB08A6" w:rsidRPr="00EB08A6" w:rsidRDefault="00EB08A6" w:rsidP="00EB08A6">
      <w:pPr>
        <w:rPr>
          <w:szCs w:val="22"/>
          <w:lang w:val="lt-LT"/>
        </w:rPr>
      </w:pPr>
    </w:p>
    <w:p w14:paraId="2E138157" w14:textId="77777777" w:rsidR="00EB08A6" w:rsidRPr="00EB08A6" w:rsidRDefault="00EB08A6" w:rsidP="00EB08A6">
      <w:pPr>
        <w:pStyle w:val="Antrat1"/>
        <w:spacing w:before="0"/>
        <w:rPr>
          <w:rFonts w:ascii="Times New Roman" w:hAnsi="Times New Roman"/>
          <w:sz w:val="22"/>
          <w:szCs w:val="22"/>
          <w:lang w:val="lt-LT"/>
        </w:rPr>
      </w:pPr>
      <w:bookmarkStart w:id="5" w:name="_i4i1dA7RhXnNTdho0M1nCAtPh"/>
      <w:bookmarkEnd w:id="5"/>
      <w:r w:rsidRPr="00EB08A6">
        <w:rPr>
          <w:rFonts w:ascii="Times New Roman" w:hAnsi="Times New Roman"/>
          <w:sz w:val="22"/>
          <w:szCs w:val="22"/>
          <w:lang w:val="lt-LT"/>
        </w:rPr>
        <w:t>4.</w:t>
      </w:r>
      <w:r w:rsidRPr="00EB08A6">
        <w:rPr>
          <w:rFonts w:ascii="Times New Roman" w:hAnsi="Times New Roman"/>
          <w:sz w:val="22"/>
          <w:szCs w:val="22"/>
          <w:lang w:val="lt-LT"/>
        </w:rPr>
        <w:tab/>
        <w:t xml:space="preserve">KLINIKINĖ INFORMACIJA </w:t>
      </w:r>
    </w:p>
    <w:p w14:paraId="3D55AA6B" w14:textId="77777777" w:rsidR="00EB08A6" w:rsidRPr="00EB08A6" w:rsidRDefault="00EB08A6" w:rsidP="00EB08A6">
      <w:pPr>
        <w:pStyle w:val="Antrat2"/>
        <w:spacing w:after="0"/>
        <w:rPr>
          <w:rFonts w:ascii="Times New Roman" w:hAnsi="Times New Roman"/>
          <w:sz w:val="22"/>
          <w:szCs w:val="22"/>
          <w:lang w:val="lt-LT"/>
        </w:rPr>
      </w:pPr>
      <w:bookmarkStart w:id="6" w:name="_i4i5bhFOUUImtVYYbA4bsTQPg"/>
      <w:bookmarkEnd w:id="6"/>
      <w:r w:rsidRPr="00EB08A6">
        <w:rPr>
          <w:rFonts w:ascii="Times New Roman" w:hAnsi="Times New Roman"/>
          <w:sz w:val="22"/>
          <w:szCs w:val="22"/>
          <w:lang w:val="lt-LT"/>
        </w:rPr>
        <w:t>4.1</w:t>
      </w:r>
      <w:r w:rsidRPr="00EB08A6">
        <w:rPr>
          <w:rFonts w:ascii="Times New Roman" w:hAnsi="Times New Roman"/>
          <w:sz w:val="22"/>
          <w:szCs w:val="22"/>
          <w:lang w:val="lt-LT"/>
        </w:rPr>
        <w:tab/>
        <w:t xml:space="preserve">Terapinės indikacijos </w:t>
      </w:r>
      <w:bookmarkStart w:id="7" w:name="_i4i5dt8vz5cMmlIGsL20PaqYL"/>
      <w:bookmarkEnd w:id="7"/>
    </w:p>
    <w:p w14:paraId="1A778D1C" w14:textId="77777777" w:rsidR="00EB08A6" w:rsidRPr="00EB08A6" w:rsidRDefault="00EB08A6" w:rsidP="00EB08A6">
      <w:pPr>
        <w:rPr>
          <w:szCs w:val="22"/>
          <w:lang w:val="lt-LT"/>
        </w:rPr>
      </w:pPr>
    </w:p>
    <w:p w14:paraId="776D3486" w14:textId="77777777" w:rsidR="00EB08A6" w:rsidRPr="00EB08A6" w:rsidRDefault="00EB08A6" w:rsidP="00EB08A6">
      <w:pPr>
        <w:rPr>
          <w:i/>
          <w:szCs w:val="22"/>
          <w:u w:val="single"/>
          <w:lang w:val="lt-LT"/>
        </w:rPr>
      </w:pPr>
      <w:proofErr w:type="spellStart"/>
      <w:r w:rsidRPr="00EB08A6">
        <w:rPr>
          <w:i/>
          <w:szCs w:val="22"/>
          <w:u w:val="single"/>
          <w:lang w:val="lt-LT"/>
        </w:rPr>
        <w:t>Hiperaktyvi</w:t>
      </w:r>
      <w:proofErr w:type="spellEnd"/>
      <w:r w:rsidRPr="00EB08A6">
        <w:rPr>
          <w:i/>
          <w:szCs w:val="22"/>
          <w:u w:val="single"/>
          <w:lang w:val="lt-LT"/>
        </w:rPr>
        <w:t xml:space="preserve"> suaugusiųjų šlapimo pūslė </w:t>
      </w:r>
    </w:p>
    <w:p w14:paraId="3384F237" w14:textId="77777777" w:rsidR="00EB08A6" w:rsidRPr="00EB08A6" w:rsidRDefault="00EB08A6" w:rsidP="00EB08A6">
      <w:pPr>
        <w:jc w:val="both"/>
        <w:rPr>
          <w:rFonts w:eastAsia="MS Mincho"/>
          <w:color w:val="000000"/>
          <w:szCs w:val="22"/>
          <w:lang w:val="lt-LT"/>
        </w:rPr>
      </w:pPr>
      <w:r w:rsidRPr="00EB08A6">
        <w:rPr>
          <w:color w:val="000000"/>
          <w:szCs w:val="22"/>
          <w:lang w:val="lt-LT"/>
        </w:rPr>
        <w:t xml:space="preserve">Geriamoji </w:t>
      </w:r>
      <w:proofErr w:type="spellStart"/>
      <w:r w:rsidRPr="00EB08A6">
        <w:rPr>
          <w:color w:val="000000"/>
          <w:szCs w:val="22"/>
          <w:lang w:val="lt-LT"/>
        </w:rPr>
        <w:t>Vesicare</w:t>
      </w:r>
      <w:proofErr w:type="spellEnd"/>
      <w:r w:rsidRPr="00EB08A6">
        <w:rPr>
          <w:color w:val="000000"/>
          <w:szCs w:val="22"/>
          <w:lang w:val="lt-LT"/>
        </w:rPr>
        <w:t xml:space="preserve"> suspensija skirta simptominiam </w:t>
      </w:r>
      <w:proofErr w:type="spellStart"/>
      <w:r w:rsidRPr="00EB08A6">
        <w:rPr>
          <w:rFonts w:eastAsia="MS Mincho"/>
          <w:color w:val="000000"/>
          <w:szCs w:val="22"/>
          <w:lang w:val="lt-LT"/>
        </w:rPr>
        <w:t>hiperaktyvios</w:t>
      </w:r>
      <w:proofErr w:type="spellEnd"/>
      <w:r w:rsidRPr="00EB08A6">
        <w:rPr>
          <w:rFonts w:eastAsia="MS Mincho"/>
          <w:color w:val="000000"/>
          <w:szCs w:val="22"/>
          <w:lang w:val="lt-LT"/>
        </w:rPr>
        <w:t xml:space="preserve"> šlapimo pūslės sindromo </w:t>
      </w:r>
      <w:r w:rsidRPr="00EB08A6">
        <w:rPr>
          <w:rFonts w:eastAsia="MS Mincho"/>
          <w:color w:val="000000"/>
          <w:szCs w:val="22"/>
          <w:lang w:val="lt-LT" w:eastAsia="ja-JP"/>
        </w:rPr>
        <w:t>(HAŠP) gydymui,</w:t>
      </w:r>
      <w:r w:rsidRPr="00EB08A6">
        <w:rPr>
          <w:rFonts w:eastAsia="MS Mincho"/>
          <w:color w:val="000000"/>
          <w:szCs w:val="22"/>
          <w:lang w:val="lt-LT"/>
        </w:rPr>
        <w:t xml:space="preserve"> kai yra </w:t>
      </w:r>
      <w:proofErr w:type="spellStart"/>
      <w:r w:rsidRPr="00EB08A6">
        <w:rPr>
          <w:rFonts w:eastAsia="MS Mincho"/>
          <w:color w:val="000000"/>
          <w:szCs w:val="22"/>
          <w:lang w:val="lt-LT"/>
        </w:rPr>
        <w:t>impulsinis</w:t>
      </w:r>
      <w:proofErr w:type="spellEnd"/>
      <w:r w:rsidRPr="00EB08A6">
        <w:rPr>
          <w:rFonts w:eastAsia="MS Mincho"/>
          <w:color w:val="000000"/>
          <w:szCs w:val="22"/>
          <w:lang w:val="lt-LT"/>
        </w:rPr>
        <w:t xml:space="preserve"> šlapimo nelaikymas ir (ar) staiga ir dažnai norisi šlapintis. </w:t>
      </w:r>
    </w:p>
    <w:p w14:paraId="0E4CF370" w14:textId="77777777" w:rsidR="00EB08A6" w:rsidRPr="00EB08A6" w:rsidRDefault="00EB08A6" w:rsidP="00EB08A6">
      <w:pPr>
        <w:rPr>
          <w:szCs w:val="22"/>
          <w:lang w:val="lt-LT"/>
        </w:rPr>
      </w:pPr>
    </w:p>
    <w:p w14:paraId="3923BFCB" w14:textId="77777777" w:rsidR="00EB08A6" w:rsidRPr="00EB08A6" w:rsidRDefault="00EB08A6" w:rsidP="00EB08A6">
      <w:pPr>
        <w:rPr>
          <w:i/>
          <w:szCs w:val="22"/>
          <w:u w:val="single"/>
          <w:lang w:val="lt-LT"/>
        </w:rPr>
      </w:pPr>
      <w:proofErr w:type="spellStart"/>
      <w:r w:rsidRPr="00EB08A6">
        <w:rPr>
          <w:i/>
          <w:szCs w:val="22"/>
          <w:u w:val="single"/>
          <w:lang w:val="lt-LT"/>
        </w:rPr>
        <w:t>Neurogeninis</w:t>
      </w:r>
      <w:proofErr w:type="spellEnd"/>
      <w:r w:rsidRPr="00EB08A6">
        <w:rPr>
          <w:i/>
          <w:szCs w:val="22"/>
          <w:u w:val="single"/>
          <w:lang w:val="lt-LT"/>
        </w:rPr>
        <w:t xml:space="preserve"> padidėjęs šlapimo pūslės raumens (</w:t>
      </w:r>
      <w:proofErr w:type="spellStart"/>
      <w:r w:rsidRPr="00EB08A6">
        <w:rPr>
          <w:i/>
          <w:szCs w:val="22"/>
          <w:u w:val="single"/>
          <w:lang w:val="lt-LT"/>
        </w:rPr>
        <w:t>detruzoriaus</w:t>
      </w:r>
      <w:proofErr w:type="spellEnd"/>
      <w:r w:rsidRPr="00EB08A6">
        <w:rPr>
          <w:i/>
          <w:szCs w:val="22"/>
          <w:u w:val="single"/>
          <w:lang w:val="lt-LT"/>
        </w:rPr>
        <w:t>) aktyvumas</w:t>
      </w:r>
    </w:p>
    <w:p w14:paraId="2B8199C0" w14:textId="77777777" w:rsidR="00EB08A6" w:rsidRPr="00EB08A6" w:rsidRDefault="00EB08A6" w:rsidP="00EB08A6">
      <w:pPr>
        <w:rPr>
          <w:szCs w:val="22"/>
          <w:lang w:val="lt-LT"/>
        </w:rPr>
      </w:pPr>
      <w:r w:rsidRPr="00EB08A6">
        <w:rPr>
          <w:szCs w:val="22"/>
          <w:lang w:val="lt-LT"/>
        </w:rPr>
        <w:t xml:space="preserve">Geriamoji </w:t>
      </w:r>
      <w:proofErr w:type="spellStart"/>
      <w:r w:rsidRPr="00EB08A6">
        <w:rPr>
          <w:szCs w:val="22"/>
          <w:lang w:val="lt-LT"/>
        </w:rPr>
        <w:t>Vesicare</w:t>
      </w:r>
      <w:proofErr w:type="spellEnd"/>
      <w:r w:rsidRPr="00EB08A6">
        <w:rPr>
          <w:szCs w:val="22"/>
          <w:lang w:val="lt-LT"/>
        </w:rPr>
        <w:t xml:space="preserve"> suspensija skirta 2–18 metų vaikams gydyti nuo </w:t>
      </w:r>
      <w:proofErr w:type="spellStart"/>
      <w:r w:rsidRPr="00EB08A6">
        <w:rPr>
          <w:szCs w:val="22"/>
          <w:lang w:val="lt-LT"/>
        </w:rPr>
        <w:t>neurogeninio</w:t>
      </w:r>
      <w:proofErr w:type="spellEnd"/>
      <w:r w:rsidRPr="00EB08A6">
        <w:rPr>
          <w:szCs w:val="22"/>
          <w:lang w:val="lt-LT"/>
        </w:rPr>
        <w:t xml:space="preserve"> padidėjusio </w:t>
      </w:r>
      <w:proofErr w:type="spellStart"/>
      <w:r w:rsidRPr="00EB08A6">
        <w:rPr>
          <w:szCs w:val="22"/>
          <w:lang w:val="lt-LT"/>
        </w:rPr>
        <w:t>detruzoriaus</w:t>
      </w:r>
      <w:proofErr w:type="spellEnd"/>
      <w:r w:rsidRPr="00EB08A6">
        <w:rPr>
          <w:szCs w:val="22"/>
          <w:lang w:val="lt-LT"/>
        </w:rPr>
        <w:t xml:space="preserve"> aktyvumo (NDA).</w:t>
      </w:r>
    </w:p>
    <w:p w14:paraId="25F42DC6" w14:textId="77777777" w:rsidR="00EB08A6" w:rsidRPr="00EB08A6" w:rsidRDefault="00EB08A6" w:rsidP="00EB08A6">
      <w:pPr>
        <w:rPr>
          <w:szCs w:val="22"/>
          <w:lang w:val="lt-LT"/>
        </w:rPr>
      </w:pPr>
    </w:p>
    <w:p w14:paraId="238CC24C" w14:textId="77777777" w:rsidR="00EB08A6" w:rsidRPr="00EB08A6" w:rsidRDefault="00EB08A6" w:rsidP="00EB08A6">
      <w:pPr>
        <w:pStyle w:val="Antrat2"/>
        <w:spacing w:before="0"/>
        <w:rPr>
          <w:rFonts w:ascii="Times New Roman" w:hAnsi="Times New Roman"/>
          <w:sz w:val="22"/>
          <w:szCs w:val="22"/>
          <w:lang w:val="lt-LT"/>
        </w:rPr>
      </w:pPr>
      <w:bookmarkStart w:id="8" w:name="_i4i0KX6A5MOmzIfKCPm6hiEQI"/>
      <w:bookmarkEnd w:id="8"/>
      <w:r w:rsidRPr="00EB08A6">
        <w:rPr>
          <w:rFonts w:ascii="Times New Roman" w:hAnsi="Times New Roman"/>
          <w:sz w:val="22"/>
          <w:szCs w:val="22"/>
          <w:lang w:val="lt-LT"/>
        </w:rPr>
        <w:t>4.2</w:t>
      </w:r>
      <w:r w:rsidRPr="00EB08A6">
        <w:rPr>
          <w:rFonts w:ascii="Times New Roman" w:hAnsi="Times New Roman"/>
          <w:sz w:val="22"/>
          <w:szCs w:val="22"/>
          <w:lang w:val="lt-LT"/>
        </w:rPr>
        <w:tab/>
        <w:t>Dozavimas ir vartojimo metodas</w:t>
      </w:r>
    </w:p>
    <w:p w14:paraId="6A06AE61" w14:textId="77777777" w:rsidR="00EB08A6" w:rsidRPr="00EB08A6" w:rsidRDefault="00EB08A6" w:rsidP="00EB08A6">
      <w:pPr>
        <w:pStyle w:val="Antrat3"/>
        <w:rPr>
          <w:rFonts w:ascii="Times New Roman" w:hAnsi="Times New Roman"/>
          <w:sz w:val="22"/>
          <w:szCs w:val="22"/>
          <w:lang w:val="lt-LT"/>
        </w:rPr>
      </w:pPr>
      <w:bookmarkStart w:id="9" w:name="_i4i2JM1lC9ZP3bOJzOdKOZJLI"/>
      <w:bookmarkEnd w:id="9"/>
      <w:r w:rsidRPr="00EB08A6">
        <w:rPr>
          <w:rFonts w:ascii="Times New Roman" w:hAnsi="Times New Roman"/>
          <w:bCs w:val="0"/>
          <w:sz w:val="22"/>
          <w:szCs w:val="22"/>
          <w:lang w:val="lt-LT"/>
        </w:rPr>
        <w:t>Dozavimas</w:t>
      </w:r>
      <w:r w:rsidRPr="00EB08A6">
        <w:rPr>
          <w:rFonts w:ascii="Times New Roman" w:hAnsi="Times New Roman"/>
          <w:sz w:val="22"/>
          <w:szCs w:val="22"/>
          <w:lang w:val="lt-LT"/>
        </w:rPr>
        <w:t xml:space="preserve"> </w:t>
      </w:r>
    </w:p>
    <w:p w14:paraId="1D5CB81A" w14:textId="77777777" w:rsidR="00EB08A6" w:rsidRPr="00EB08A6" w:rsidRDefault="00EB08A6" w:rsidP="00EB08A6">
      <w:pPr>
        <w:rPr>
          <w:szCs w:val="22"/>
          <w:lang w:val="lt-LT"/>
        </w:rPr>
      </w:pPr>
      <w:bookmarkStart w:id="10" w:name="_i4i4knZcvr9jQmbkXDMWbPToj"/>
      <w:bookmarkEnd w:id="10"/>
    </w:p>
    <w:p w14:paraId="090F7066" w14:textId="77777777" w:rsidR="00EB08A6" w:rsidRPr="00EB08A6" w:rsidRDefault="00EB08A6" w:rsidP="00EB08A6">
      <w:pPr>
        <w:rPr>
          <w:b/>
          <w:szCs w:val="22"/>
          <w:lang w:val="lt-LT"/>
        </w:rPr>
      </w:pPr>
      <w:r w:rsidRPr="00EB08A6">
        <w:rPr>
          <w:b/>
          <w:szCs w:val="22"/>
          <w:lang w:val="lt-LT"/>
        </w:rPr>
        <w:t>Padidėjęs šlapimo pūslės aktyvumas</w:t>
      </w:r>
    </w:p>
    <w:p w14:paraId="3057C050" w14:textId="77777777" w:rsidR="00EB08A6" w:rsidRPr="00EB08A6" w:rsidRDefault="00EB08A6" w:rsidP="00EB08A6">
      <w:pPr>
        <w:rPr>
          <w:szCs w:val="22"/>
          <w:lang w:val="lt-LT"/>
        </w:rPr>
      </w:pPr>
    </w:p>
    <w:p w14:paraId="31798CF0" w14:textId="77777777" w:rsidR="00EB08A6" w:rsidRPr="00EB08A6" w:rsidRDefault="00EB08A6" w:rsidP="00EB08A6">
      <w:pPr>
        <w:rPr>
          <w:i/>
          <w:iCs/>
          <w:szCs w:val="22"/>
          <w:lang w:val="lt-LT"/>
        </w:rPr>
      </w:pPr>
      <w:r w:rsidRPr="00EB08A6">
        <w:rPr>
          <w:i/>
          <w:iCs/>
          <w:szCs w:val="22"/>
          <w:lang w:val="lt-LT"/>
        </w:rPr>
        <w:t>Suaugusiesiems (įskaitant senyvus pacientus)</w:t>
      </w:r>
    </w:p>
    <w:p w14:paraId="1F209ECB" w14:textId="77777777" w:rsidR="00EB08A6" w:rsidRPr="00EB08A6" w:rsidRDefault="00EB08A6" w:rsidP="00EB08A6">
      <w:pPr>
        <w:rPr>
          <w:szCs w:val="22"/>
          <w:lang w:val="lt-LT"/>
        </w:rPr>
      </w:pPr>
      <w:r w:rsidRPr="00EB08A6">
        <w:rPr>
          <w:szCs w:val="22"/>
          <w:lang w:val="lt-LT"/>
        </w:rPr>
        <w:t xml:space="preserve">Rekomenduojama vartoti po 5 mg (5 ml)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sukcinato</w:t>
      </w:r>
      <w:proofErr w:type="spellEnd"/>
      <w:r w:rsidRPr="00EB08A6">
        <w:rPr>
          <w:szCs w:val="22"/>
          <w:lang w:val="lt-LT"/>
        </w:rPr>
        <w:t xml:space="preserve"> kartą per parą. Prireikus dozę galima didinti iki 10 mg (10 ml)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sukcinato</w:t>
      </w:r>
      <w:proofErr w:type="spellEnd"/>
      <w:r w:rsidRPr="00EB08A6">
        <w:rPr>
          <w:szCs w:val="22"/>
          <w:lang w:val="lt-LT"/>
        </w:rPr>
        <w:t xml:space="preserve"> kartą per parą. </w:t>
      </w:r>
    </w:p>
    <w:p w14:paraId="41788FC9" w14:textId="77777777" w:rsidR="00EB08A6" w:rsidRPr="00EB08A6" w:rsidRDefault="00EB08A6" w:rsidP="00EB08A6">
      <w:pPr>
        <w:rPr>
          <w:szCs w:val="22"/>
          <w:lang w:val="lt-LT"/>
        </w:rPr>
      </w:pPr>
    </w:p>
    <w:p w14:paraId="4930FB25" w14:textId="77777777" w:rsidR="00EB08A6" w:rsidRPr="00EB08A6" w:rsidRDefault="00EB08A6" w:rsidP="00EB08A6">
      <w:pPr>
        <w:pStyle w:val="Antrat4"/>
        <w:rPr>
          <w:rFonts w:ascii="Times New Roman" w:hAnsi="Times New Roman"/>
          <w:sz w:val="22"/>
          <w:szCs w:val="22"/>
          <w:lang w:val="lt-LT"/>
        </w:rPr>
      </w:pPr>
      <w:bookmarkStart w:id="11" w:name="_i4i7eGajQuEMjtdyZPkKspwgr"/>
      <w:bookmarkEnd w:id="11"/>
      <w:r w:rsidRPr="00EB08A6">
        <w:rPr>
          <w:rFonts w:ascii="Times New Roman" w:hAnsi="Times New Roman"/>
          <w:sz w:val="22"/>
          <w:szCs w:val="22"/>
          <w:lang w:val="lt-LT"/>
        </w:rPr>
        <w:t xml:space="preserve">Vaikų populiacija </w:t>
      </w:r>
    </w:p>
    <w:p w14:paraId="771F8E35" w14:textId="77777777" w:rsidR="00EB08A6" w:rsidRPr="00EB08A6" w:rsidRDefault="00EB08A6" w:rsidP="00EB08A6">
      <w:pPr>
        <w:rPr>
          <w:iCs/>
          <w:szCs w:val="22"/>
          <w:lang w:val="lt-LT"/>
        </w:rPr>
      </w:pPr>
      <w:bookmarkStart w:id="12" w:name="_i4i2YlRWGgdNDUipuBeAW2E2v"/>
      <w:bookmarkEnd w:id="12"/>
      <w:proofErr w:type="spellStart"/>
      <w:r w:rsidRPr="00EB08A6">
        <w:rPr>
          <w:iCs/>
          <w:szCs w:val="22"/>
          <w:lang w:val="lt-LT"/>
        </w:rPr>
        <w:t>Vesicare</w:t>
      </w:r>
      <w:proofErr w:type="spellEnd"/>
      <w:r w:rsidRPr="00EB08A6">
        <w:rPr>
          <w:iCs/>
          <w:szCs w:val="22"/>
          <w:lang w:val="lt-LT"/>
        </w:rPr>
        <w:t xml:space="preserve"> veiksmingumas vaikams ir paaugliams, kuriems pasireiškia padidėjęs šlapimo pūslės aktyvumas, netirtas. Todėl </w:t>
      </w:r>
      <w:proofErr w:type="spellStart"/>
      <w:r w:rsidRPr="00EB08A6">
        <w:rPr>
          <w:iCs/>
          <w:szCs w:val="22"/>
          <w:lang w:val="lt-LT"/>
        </w:rPr>
        <w:t>Vesicare</w:t>
      </w:r>
      <w:proofErr w:type="spellEnd"/>
      <w:r w:rsidRPr="00EB08A6">
        <w:rPr>
          <w:iCs/>
          <w:szCs w:val="22"/>
          <w:lang w:val="lt-LT"/>
        </w:rPr>
        <w:t xml:space="preserve"> negalima skirti gydyti nuo padidėjusio šlapimo pūslės aktyvumo vaikams ir jaunesniems kaip 18 metų paaugliams. Šiuo metu turimi duomenys pateikiami 5.1 ir 5.2 skyriuose.</w:t>
      </w:r>
    </w:p>
    <w:p w14:paraId="109F8A4F" w14:textId="77777777" w:rsidR="00EB08A6" w:rsidRPr="00EB08A6" w:rsidRDefault="00EB08A6" w:rsidP="00EB08A6">
      <w:pPr>
        <w:rPr>
          <w:rFonts w:eastAsia="Yu Mincho"/>
          <w:b/>
          <w:bCs/>
          <w:iCs/>
          <w:szCs w:val="22"/>
          <w:lang w:val="lt-LT"/>
        </w:rPr>
      </w:pPr>
    </w:p>
    <w:p w14:paraId="5389A056" w14:textId="77777777" w:rsidR="00EB08A6" w:rsidRPr="00EB08A6" w:rsidRDefault="00EB08A6" w:rsidP="00EB08A6">
      <w:pPr>
        <w:keepNext/>
        <w:rPr>
          <w:rFonts w:eastAsia="Yu Mincho"/>
          <w:b/>
          <w:bCs/>
          <w:iCs/>
          <w:szCs w:val="22"/>
          <w:lang w:val="lt-LT"/>
        </w:rPr>
      </w:pPr>
      <w:proofErr w:type="spellStart"/>
      <w:r w:rsidRPr="00EB08A6">
        <w:rPr>
          <w:rFonts w:eastAsia="Yu Mincho"/>
          <w:b/>
          <w:bCs/>
          <w:iCs/>
          <w:szCs w:val="22"/>
          <w:lang w:val="lt-LT"/>
        </w:rPr>
        <w:lastRenderedPageBreak/>
        <w:t>Neurogeninis</w:t>
      </w:r>
      <w:proofErr w:type="spellEnd"/>
      <w:r w:rsidRPr="00EB08A6">
        <w:rPr>
          <w:rFonts w:eastAsia="Yu Mincho"/>
          <w:b/>
          <w:bCs/>
          <w:iCs/>
          <w:szCs w:val="22"/>
          <w:lang w:val="lt-LT"/>
        </w:rPr>
        <w:t xml:space="preserve"> padidėjęs </w:t>
      </w:r>
      <w:proofErr w:type="spellStart"/>
      <w:r w:rsidRPr="00EB08A6">
        <w:rPr>
          <w:rFonts w:eastAsia="Yu Mincho"/>
          <w:b/>
          <w:bCs/>
          <w:iCs/>
          <w:szCs w:val="22"/>
          <w:lang w:val="lt-LT"/>
        </w:rPr>
        <w:t>detruzoriaus</w:t>
      </w:r>
      <w:proofErr w:type="spellEnd"/>
      <w:r w:rsidRPr="00EB08A6">
        <w:rPr>
          <w:rFonts w:eastAsia="Yu Mincho"/>
          <w:b/>
          <w:bCs/>
          <w:iCs/>
          <w:szCs w:val="22"/>
          <w:lang w:val="lt-LT"/>
        </w:rPr>
        <w:t xml:space="preserve"> aktyvumas</w:t>
      </w:r>
    </w:p>
    <w:p w14:paraId="61D8E074" w14:textId="77777777" w:rsidR="00EB08A6" w:rsidRPr="00EB08A6" w:rsidRDefault="00EB08A6" w:rsidP="00EB08A6">
      <w:pPr>
        <w:keepNext/>
        <w:rPr>
          <w:rFonts w:eastAsia="Yu Mincho"/>
          <w:bCs/>
          <w:iCs/>
          <w:szCs w:val="22"/>
          <w:lang w:val="lt-LT"/>
        </w:rPr>
      </w:pPr>
    </w:p>
    <w:p w14:paraId="58279A7B" w14:textId="77777777" w:rsidR="00EB08A6" w:rsidRPr="00EB08A6" w:rsidRDefault="00EB08A6" w:rsidP="00EB08A6">
      <w:pPr>
        <w:keepNext/>
        <w:rPr>
          <w:rFonts w:eastAsia="Yu Mincho"/>
          <w:bCs/>
          <w:i/>
          <w:szCs w:val="22"/>
          <w:lang w:val="lt-LT"/>
        </w:rPr>
      </w:pPr>
      <w:r w:rsidRPr="00EB08A6">
        <w:rPr>
          <w:rFonts w:eastAsia="Yu Mincho"/>
          <w:bCs/>
          <w:i/>
          <w:szCs w:val="22"/>
          <w:lang w:val="lt-LT"/>
        </w:rPr>
        <w:t>Vaikų populiacija (2–18 metų)</w:t>
      </w:r>
    </w:p>
    <w:p w14:paraId="025E4072" w14:textId="77777777" w:rsidR="00EB08A6" w:rsidRPr="00EB08A6" w:rsidRDefault="00EB08A6" w:rsidP="00EB08A6">
      <w:pPr>
        <w:jc w:val="both"/>
        <w:rPr>
          <w:rFonts w:eastAsia="Yu Mincho"/>
          <w:bCs/>
          <w:iCs/>
          <w:szCs w:val="22"/>
          <w:lang w:val="lt-LT"/>
        </w:rPr>
      </w:pPr>
      <w:r w:rsidRPr="00EB08A6">
        <w:rPr>
          <w:rFonts w:eastAsia="Yu Mincho"/>
          <w:bCs/>
          <w:iCs/>
          <w:szCs w:val="22"/>
          <w:lang w:val="lt-LT"/>
        </w:rPr>
        <w:t xml:space="preserve">Rekomenduojama geriamosios </w:t>
      </w:r>
      <w:proofErr w:type="spellStart"/>
      <w:r w:rsidRPr="00EB08A6">
        <w:rPr>
          <w:rFonts w:eastAsia="Yu Mincho"/>
          <w:bCs/>
          <w:iCs/>
          <w:szCs w:val="22"/>
          <w:lang w:val="lt-LT"/>
        </w:rPr>
        <w:t>Vesicare</w:t>
      </w:r>
      <w:proofErr w:type="spellEnd"/>
      <w:r w:rsidRPr="00EB08A6">
        <w:rPr>
          <w:rFonts w:eastAsia="Yu Mincho"/>
          <w:bCs/>
          <w:iCs/>
          <w:szCs w:val="22"/>
          <w:lang w:val="lt-LT"/>
        </w:rPr>
        <w:t xml:space="preserve"> suspensijos dozė apskaičiuojama atsižvelgiant į paciento svorį. Gydymą reikia pradėti skiriant rekomenduojamą pradinę dozę. Vėliau dozę galima didinti iki mažiausios veiksmingos dozės. Negalima viršyti didžiausios dozės. Jei skiriamas ilgalaikis gydymas, reikia periodiškai, ne rečiau kaip kartą per metus arba dažniau, jei reikia, įvertinti, ar pacientui būtina tęsti gydymą ir ar nereikia koreguoti dozės. Dozės pagal paciento kūno svorį pateikiamos lentelėje toliau.</w:t>
      </w:r>
    </w:p>
    <w:p w14:paraId="74DB0E22" w14:textId="77777777" w:rsidR="00EB08A6" w:rsidRPr="00EB08A6" w:rsidRDefault="00EB08A6" w:rsidP="00EB08A6">
      <w:pPr>
        <w:rPr>
          <w:rFonts w:eastAsia="Yu Mincho"/>
          <w:bCs/>
          <w:iCs/>
          <w:szCs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6"/>
        <w:gridCol w:w="2694"/>
      </w:tblGrid>
      <w:tr w:rsidR="00EB08A6" w:rsidRPr="00EB08A6" w14:paraId="12EC96FF" w14:textId="77777777" w:rsidTr="006643DE">
        <w:tc>
          <w:tcPr>
            <w:tcW w:w="2268" w:type="dxa"/>
          </w:tcPr>
          <w:p w14:paraId="12BA1B74" w14:textId="77777777" w:rsidR="00EB08A6" w:rsidRPr="00EB08A6" w:rsidRDefault="00EB08A6" w:rsidP="006643DE">
            <w:pPr>
              <w:rPr>
                <w:rFonts w:eastAsia="Yu Mincho"/>
                <w:bCs/>
                <w:iCs/>
                <w:szCs w:val="22"/>
                <w:lang w:val="lt-LT"/>
              </w:rPr>
            </w:pPr>
            <w:r w:rsidRPr="00EB08A6">
              <w:rPr>
                <w:rFonts w:eastAsia="Yu Mincho"/>
                <w:bCs/>
                <w:iCs/>
                <w:szCs w:val="22"/>
                <w:lang w:val="lt-LT"/>
              </w:rPr>
              <w:t>Svorio intervalas (kg)</w:t>
            </w:r>
          </w:p>
        </w:tc>
        <w:tc>
          <w:tcPr>
            <w:tcW w:w="2126" w:type="dxa"/>
          </w:tcPr>
          <w:p w14:paraId="08BBE751" w14:textId="77777777" w:rsidR="00EB08A6" w:rsidRPr="00EB08A6" w:rsidRDefault="00EB08A6" w:rsidP="006643DE">
            <w:pPr>
              <w:rPr>
                <w:rFonts w:eastAsia="Yu Mincho"/>
                <w:bCs/>
                <w:iCs/>
                <w:szCs w:val="22"/>
                <w:lang w:val="lt-LT"/>
              </w:rPr>
            </w:pPr>
            <w:r w:rsidRPr="00EB08A6">
              <w:rPr>
                <w:rFonts w:eastAsia="Yu Mincho"/>
                <w:bCs/>
                <w:iCs/>
                <w:szCs w:val="22"/>
                <w:lang w:val="lt-LT"/>
              </w:rPr>
              <w:t>Pradinė dozė (ml) §</w:t>
            </w:r>
            <w:r w:rsidRPr="00EB08A6">
              <w:rPr>
                <w:rFonts w:eastAsia="Yu Mincho"/>
                <w:bCs/>
                <w:iCs/>
                <w:szCs w:val="22"/>
                <w:vertAlign w:val="superscript"/>
                <w:lang w:val="lt-LT"/>
              </w:rPr>
              <w:t>1</w:t>
            </w:r>
          </w:p>
        </w:tc>
        <w:tc>
          <w:tcPr>
            <w:tcW w:w="2694" w:type="dxa"/>
          </w:tcPr>
          <w:p w14:paraId="2BA5CE6B" w14:textId="77777777" w:rsidR="00EB08A6" w:rsidRPr="00EB08A6" w:rsidRDefault="00EB08A6" w:rsidP="006643DE">
            <w:pPr>
              <w:rPr>
                <w:rFonts w:eastAsia="Yu Mincho"/>
                <w:bCs/>
                <w:iCs/>
                <w:szCs w:val="22"/>
                <w:lang w:val="lt-LT"/>
              </w:rPr>
            </w:pPr>
            <w:r w:rsidRPr="00EB08A6">
              <w:rPr>
                <w:rFonts w:eastAsia="Yu Mincho"/>
                <w:bCs/>
                <w:iCs/>
                <w:szCs w:val="22"/>
                <w:lang w:val="lt-LT"/>
              </w:rPr>
              <w:t>Didžiausia dozė (ml) §</w:t>
            </w:r>
            <w:r w:rsidRPr="00EB08A6">
              <w:rPr>
                <w:rFonts w:eastAsia="Yu Mincho"/>
                <w:bCs/>
                <w:iCs/>
                <w:szCs w:val="22"/>
                <w:vertAlign w:val="superscript"/>
                <w:lang w:val="lt-LT"/>
              </w:rPr>
              <w:t>2</w:t>
            </w:r>
          </w:p>
        </w:tc>
      </w:tr>
      <w:tr w:rsidR="00EB08A6" w:rsidRPr="00EB08A6" w14:paraId="2CEDC163" w14:textId="77777777" w:rsidTr="006643DE">
        <w:tc>
          <w:tcPr>
            <w:tcW w:w="2268" w:type="dxa"/>
          </w:tcPr>
          <w:p w14:paraId="196969FD"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9–15</w:t>
            </w:r>
          </w:p>
        </w:tc>
        <w:tc>
          <w:tcPr>
            <w:tcW w:w="2126" w:type="dxa"/>
          </w:tcPr>
          <w:p w14:paraId="7C13CEF8"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2</w:t>
            </w:r>
          </w:p>
        </w:tc>
        <w:tc>
          <w:tcPr>
            <w:tcW w:w="2694" w:type="dxa"/>
          </w:tcPr>
          <w:p w14:paraId="1EF80BEA"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4</w:t>
            </w:r>
          </w:p>
        </w:tc>
      </w:tr>
      <w:tr w:rsidR="00EB08A6" w:rsidRPr="00EB08A6" w14:paraId="0C003C9B" w14:textId="77777777" w:rsidTr="006643DE">
        <w:tc>
          <w:tcPr>
            <w:tcW w:w="2268" w:type="dxa"/>
          </w:tcPr>
          <w:p w14:paraId="3820C157"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&gt; 15–30</w:t>
            </w:r>
          </w:p>
        </w:tc>
        <w:tc>
          <w:tcPr>
            <w:tcW w:w="2126" w:type="dxa"/>
          </w:tcPr>
          <w:p w14:paraId="5BA6004B"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3</w:t>
            </w:r>
          </w:p>
        </w:tc>
        <w:tc>
          <w:tcPr>
            <w:tcW w:w="2694" w:type="dxa"/>
          </w:tcPr>
          <w:p w14:paraId="0A662759"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5</w:t>
            </w:r>
          </w:p>
        </w:tc>
      </w:tr>
      <w:tr w:rsidR="00EB08A6" w:rsidRPr="00EB08A6" w14:paraId="1C764175" w14:textId="77777777" w:rsidTr="006643DE">
        <w:tc>
          <w:tcPr>
            <w:tcW w:w="2268" w:type="dxa"/>
          </w:tcPr>
          <w:p w14:paraId="0021AD6D"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&gt; 30–45</w:t>
            </w:r>
          </w:p>
        </w:tc>
        <w:tc>
          <w:tcPr>
            <w:tcW w:w="2126" w:type="dxa"/>
          </w:tcPr>
          <w:p w14:paraId="2706DB08"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3</w:t>
            </w:r>
          </w:p>
        </w:tc>
        <w:tc>
          <w:tcPr>
            <w:tcW w:w="2694" w:type="dxa"/>
          </w:tcPr>
          <w:p w14:paraId="4D0D90BB"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6</w:t>
            </w:r>
          </w:p>
        </w:tc>
      </w:tr>
      <w:tr w:rsidR="00EB08A6" w:rsidRPr="00EB08A6" w14:paraId="7213644C" w14:textId="77777777" w:rsidTr="006643DE">
        <w:tc>
          <w:tcPr>
            <w:tcW w:w="2268" w:type="dxa"/>
          </w:tcPr>
          <w:p w14:paraId="7FB9F214"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&gt; 45–60</w:t>
            </w:r>
          </w:p>
        </w:tc>
        <w:tc>
          <w:tcPr>
            <w:tcW w:w="2126" w:type="dxa"/>
          </w:tcPr>
          <w:p w14:paraId="1B88DB89"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4</w:t>
            </w:r>
          </w:p>
        </w:tc>
        <w:tc>
          <w:tcPr>
            <w:tcW w:w="2694" w:type="dxa"/>
          </w:tcPr>
          <w:p w14:paraId="6C5ACA65" w14:textId="77777777" w:rsidR="00EB08A6" w:rsidRPr="00EB08A6" w:rsidRDefault="00EB08A6" w:rsidP="006643DE">
            <w:pPr>
              <w:jc w:val="center"/>
              <w:rPr>
                <w:rFonts w:eastAsia="Yu Mincho"/>
                <w:b/>
                <w:bCs/>
                <w:iCs/>
                <w:szCs w:val="22"/>
                <w:lang w:val="lt-LT"/>
              </w:rPr>
            </w:pPr>
            <w:r w:rsidRPr="00EB08A6">
              <w:rPr>
                <w:rFonts w:eastAsia="Yu Mincho"/>
                <w:bCs/>
                <w:iCs/>
                <w:szCs w:val="22"/>
                <w:lang w:val="lt-LT"/>
              </w:rPr>
              <w:t>8</w:t>
            </w:r>
          </w:p>
        </w:tc>
      </w:tr>
      <w:tr w:rsidR="00EB08A6" w:rsidRPr="00EB08A6" w14:paraId="4ED744E7" w14:textId="77777777" w:rsidTr="006643DE">
        <w:tc>
          <w:tcPr>
            <w:tcW w:w="2268" w:type="dxa"/>
          </w:tcPr>
          <w:p w14:paraId="6CFBAF1E"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&gt; 60</w:t>
            </w:r>
          </w:p>
        </w:tc>
        <w:tc>
          <w:tcPr>
            <w:tcW w:w="2126" w:type="dxa"/>
          </w:tcPr>
          <w:p w14:paraId="0E7A0750"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5</w:t>
            </w:r>
          </w:p>
        </w:tc>
        <w:tc>
          <w:tcPr>
            <w:tcW w:w="2694" w:type="dxa"/>
          </w:tcPr>
          <w:p w14:paraId="7A7753D0" w14:textId="77777777" w:rsidR="00EB08A6" w:rsidRPr="00EB08A6" w:rsidRDefault="00EB08A6" w:rsidP="006643DE">
            <w:pPr>
              <w:jc w:val="center"/>
              <w:rPr>
                <w:rFonts w:eastAsia="Yu Mincho"/>
                <w:bCs/>
                <w:iCs/>
                <w:szCs w:val="22"/>
                <w:lang w:val="lt-LT"/>
              </w:rPr>
            </w:pPr>
            <w:r w:rsidRPr="00EB08A6">
              <w:rPr>
                <w:rFonts w:eastAsia="Yu Mincho"/>
                <w:bCs/>
                <w:iCs/>
                <w:szCs w:val="22"/>
                <w:lang w:val="lt-LT"/>
              </w:rPr>
              <w:t>10</w:t>
            </w:r>
          </w:p>
        </w:tc>
      </w:tr>
    </w:tbl>
    <w:p w14:paraId="337B32F4" w14:textId="77777777" w:rsidR="00EB08A6" w:rsidRPr="00EB08A6" w:rsidRDefault="00EB08A6" w:rsidP="00EB08A6">
      <w:pPr>
        <w:rPr>
          <w:rFonts w:eastAsia="Yu Mincho"/>
          <w:bCs/>
          <w:iCs/>
          <w:szCs w:val="22"/>
          <w:lang w:val="lt-LT"/>
        </w:rPr>
      </w:pPr>
      <w:r w:rsidRPr="00EB08A6">
        <w:rPr>
          <w:rFonts w:eastAsia="Yu Mincho"/>
          <w:bCs/>
          <w:iCs/>
          <w:szCs w:val="22"/>
          <w:vertAlign w:val="superscript"/>
          <w:lang w:val="lt-LT"/>
        </w:rPr>
        <w:t>§</w:t>
      </w:r>
      <w:r w:rsidRPr="00EB08A6">
        <w:rPr>
          <w:rFonts w:eastAsia="Yu Mincho"/>
          <w:bCs/>
          <w:iCs/>
          <w:szCs w:val="22"/>
          <w:lang w:val="lt-LT"/>
        </w:rPr>
        <w:t xml:space="preserve"> Geriamosios </w:t>
      </w:r>
      <w:proofErr w:type="spellStart"/>
      <w:r w:rsidRPr="00EB08A6">
        <w:rPr>
          <w:rFonts w:eastAsia="Yu Mincho"/>
          <w:bCs/>
          <w:iCs/>
          <w:szCs w:val="22"/>
          <w:lang w:val="lt-LT"/>
        </w:rPr>
        <w:t>Vesicare</w:t>
      </w:r>
      <w:proofErr w:type="spellEnd"/>
      <w:r w:rsidRPr="00EB08A6">
        <w:rPr>
          <w:rFonts w:eastAsia="Yu Mincho"/>
          <w:bCs/>
          <w:iCs/>
          <w:szCs w:val="22"/>
          <w:lang w:val="lt-LT"/>
        </w:rPr>
        <w:t xml:space="preserve"> suspensijos koncentracija yra 1 mg/ml.</w:t>
      </w:r>
    </w:p>
    <w:p w14:paraId="185E76BC" w14:textId="77777777" w:rsidR="00EB08A6" w:rsidRPr="00EB08A6" w:rsidRDefault="00EB08A6" w:rsidP="00EB08A6">
      <w:pPr>
        <w:rPr>
          <w:rFonts w:eastAsia="Yu Mincho"/>
          <w:bCs/>
          <w:iCs/>
          <w:szCs w:val="22"/>
          <w:lang w:val="lt-LT"/>
        </w:rPr>
      </w:pPr>
      <w:r w:rsidRPr="00EB08A6">
        <w:rPr>
          <w:rFonts w:eastAsia="Yu Mincho"/>
          <w:bCs/>
          <w:iCs/>
          <w:szCs w:val="22"/>
          <w:vertAlign w:val="superscript"/>
          <w:lang w:val="lt-LT"/>
        </w:rPr>
        <w:t>1</w:t>
      </w:r>
      <w:r w:rsidRPr="00EB08A6">
        <w:rPr>
          <w:rFonts w:eastAsia="Yu Mincho"/>
          <w:bCs/>
          <w:iCs/>
          <w:szCs w:val="22"/>
          <w:lang w:val="lt-LT"/>
        </w:rPr>
        <w:t xml:space="preserve"> Ekvivalentiška stabilios stadijos poveikiui suaugusiajam suvartojus 5 mg paros dozę.</w:t>
      </w:r>
    </w:p>
    <w:p w14:paraId="7AFDD7B2" w14:textId="77777777" w:rsidR="00EB08A6" w:rsidRPr="00EB08A6" w:rsidRDefault="00EB08A6" w:rsidP="00EB08A6">
      <w:pPr>
        <w:rPr>
          <w:rFonts w:eastAsia="Yu Mincho"/>
          <w:bCs/>
          <w:iCs/>
          <w:szCs w:val="22"/>
          <w:lang w:val="lt-LT"/>
        </w:rPr>
      </w:pPr>
      <w:r w:rsidRPr="00EB08A6">
        <w:rPr>
          <w:rFonts w:eastAsia="Yu Mincho"/>
          <w:bCs/>
          <w:iCs/>
          <w:szCs w:val="22"/>
          <w:vertAlign w:val="superscript"/>
          <w:lang w:val="lt-LT"/>
        </w:rPr>
        <w:t>2</w:t>
      </w:r>
      <w:r w:rsidRPr="00EB08A6">
        <w:rPr>
          <w:rFonts w:eastAsia="Yu Mincho"/>
          <w:bCs/>
          <w:iCs/>
          <w:szCs w:val="22"/>
          <w:lang w:val="lt-LT"/>
        </w:rPr>
        <w:t xml:space="preserve"> Ekvivalentiška stabilios stadijos poveikiui suaugusiajam suvartojus 10 mg paros dozę.</w:t>
      </w:r>
    </w:p>
    <w:p w14:paraId="7748B9DA" w14:textId="77777777" w:rsidR="00EB08A6" w:rsidRPr="00EB08A6" w:rsidRDefault="00EB08A6" w:rsidP="00EB08A6">
      <w:pPr>
        <w:rPr>
          <w:rFonts w:eastAsia="Yu Mincho"/>
          <w:bCs/>
          <w:iCs/>
          <w:szCs w:val="22"/>
          <w:lang w:val="lt-LT"/>
        </w:rPr>
      </w:pPr>
    </w:p>
    <w:p w14:paraId="3C0ED981" w14:textId="77777777" w:rsidR="00EB08A6" w:rsidRPr="00EB08A6" w:rsidRDefault="00EB08A6" w:rsidP="00EB08A6">
      <w:pPr>
        <w:rPr>
          <w:rFonts w:eastAsia="Yu Mincho"/>
          <w:bCs/>
          <w:iCs/>
          <w:szCs w:val="22"/>
          <w:lang w:val="lt-LT"/>
        </w:rPr>
      </w:pPr>
      <w:r w:rsidRPr="00EB08A6">
        <w:rPr>
          <w:rFonts w:eastAsia="Yu Mincho"/>
          <w:bCs/>
          <w:iCs/>
          <w:szCs w:val="22"/>
          <w:lang w:val="lt-LT"/>
        </w:rPr>
        <w:t xml:space="preserve">Geriamąją </w:t>
      </w:r>
      <w:proofErr w:type="spellStart"/>
      <w:r w:rsidRPr="00EB08A6">
        <w:rPr>
          <w:rFonts w:eastAsia="Yu Mincho"/>
          <w:bCs/>
          <w:iCs/>
          <w:szCs w:val="22"/>
          <w:lang w:val="lt-LT"/>
        </w:rPr>
        <w:t>Vesicare</w:t>
      </w:r>
      <w:proofErr w:type="spellEnd"/>
      <w:r w:rsidRPr="00EB08A6">
        <w:rPr>
          <w:rFonts w:eastAsia="Yu Mincho"/>
          <w:bCs/>
          <w:iCs/>
          <w:szCs w:val="22"/>
          <w:lang w:val="lt-LT"/>
        </w:rPr>
        <w:t xml:space="preserve"> suspensiją reikia išgerti kartą per parą.</w:t>
      </w:r>
    </w:p>
    <w:p w14:paraId="20BB06B4" w14:textId="77777777" w:rsidR="00EB08A6" w:rsidRPr="00EB08A6" w:rsidRDefault="00EB08A6" w:rsidP="00EB08A6">
      <w:pPr>
        <w:rPr>
          <w:rFonts w:eastAsia="Yu Mincho"/>
          <w:bCs/>
          <w:iCs/>
          <w:szCs w:val="22"/>
          <w:lang w:val="lt-LT"/>
        </w:rPr>
      </w:pPr>
    </w:p>
    <w:p w14:paraId="41FCDCE4" w14:textId="77777777" w:rsidR="00EB08A6" w:rsidRPr="00EB08A6" w:rsidRDefault="00EB08A6" w:rsidP="00EB08A6">
      <w:pPr>
        <w:rPr>
          <w:bCs/>
          <w:iCs/>
          <w:szCs w:val="22"/>
          <w:lang w:val="lt-LT"/>
        </w:rPr>
      </w:pPr>
      <w:r w:rsidRPr="00EB08A6">
        <w:rPr>
          <w:bCs/>
          <w:iCs/>
          <w:szCs w:val="22"/>
          <w:lang w:val="lt-LT"/>
        </w:rPr>
        <w:t xml:space="preserve">Geriamosios </w:t>
      </w:r>
      <w:proofErr w:type="spellStart"/>
      <w:r w:rsidRPr="00EB08A6">
        <w:rPr>
          <w:bCs/>
          <w:iCs/>
          <w:szCs w:val="22"/>
          <w:lang w:val="lt-LT"/>
        </w:rPr>
        <w:t>Vesicare</w:t>
      </w:r>
      <w:proofErr w:type="spellEnd"/>
      <w:r w:rsidRPr="00EB08A6">
        <w:rPr>
          <w:bCs/>
          <w:iCs/>
          <w:szCs w:val="22"/>
          <w:lang w:val="lt-LT"/>
        </w:rPr>
        <w:t xml:space="preserve"> suspensijos negalima skirti jaunesniems kaip 2 metų vaikams gydyti.</w:t>
      </w:r>
    </w:p>
    <w:p w14:paraId="1CB2E4D5" w14:textId="77777777" w:rsidR="00EB08A6" w:rsidRPr="00EB08A6" w:rsidRDefault="00EB08A6" w:rsidP="00EB08A6">
      <w:pPr>
        <w:rPr>
          <w:rFonts w:eastAsia="Yu Mincho"/>
          <w:szCs w:val="22"/>
          <w:lang w:val="lt-LT"/>
        </w:rPr>
      </w:pPr>
    </w:p>
    <w:p w14:paraId="1601763B" w14:textId="77777777" w:rsidR="00EB08A6" w:rsidRPr="00EB08A6" w:rsidRDefault="00EB08A6" w:rsidP="00EB08A6">
      <w:pPr>
        <w:rPr>
          <w:rFonts w:eastAsia="Yu Mincho"/>
          <w:i/>
          <w:iCs/>
          <w:szCs w:val="22"/>
          <w:lang w:val="lt-LT"/>
        </w:rPr>
      </w:pPr>
      <w:r w:rsidRPr="00EB08A6">
        <w:rPr>
          <w:rFonts w:eastAsia="Yu Mincho"/>
          <w:i/>
          <w:iCs/>
          <w:szCs w:val="22"/>
          <w:lang w:val="lt-LT"/>
        </w:rPr>
        <w:t xml:space="preserve">Pacientams, kurių inkstų funkcija sutrikusi </w:t>
      </w:r>
    </w:p>
    <w:p w14:paraId="51216769" w14:textId="77777777" w:rsidR="00EB08A6" w:rsidRPr="00EB08A6" w:rsidRDefault="00EB08A6" w:rsidP="00EB08A6">
      <w:pPr>
        <w:rPr>
          <w:rFonts w:eastAsia="Yu Mincho"/>
          <w:szCs w:val="22"/>
          <w:lang w:val="lt-LT"/>
        </w:rPr>
      </w:pPr>
      <w:r w:rsidRPr="00EB08A6">
        <w:rPr>
          <w:rFonts w:eastAsia="Yu Mincho"/>
          <w:szCs w:val="22"/>
          <w:lang w:val="lt-LT"/>
        </w:rPr>
        <w:t>Pacientams, sergantiems lengvu ar vidutinio sunkumo inkstų funkcijos sutrikimu (</w:t>
      </w:r>
      <w:proofErr w:type="spellStart"/>
      <w:r w:rsidRPr="00EB08A6">
        <w:rPr>
          <w:rFonts w:eastAsia="Yu Mincho"/>
          <w:szCs w:val="22"/>
          <w:lang w:val="lt-LT"/>
        </w:rPr>
        <w:t>kreatinino</w:t>
      </w:r>
      <w:proofErr w:type="spellEnd"/>
      <w:r w:rsidRPr="00EB08A6">
        <w:rPr>
          <w:rFonts w:eastAsia="Yu Mincho"/>
          <w:szCs w:val="22"/>
          <w:lang w:val="lt-LT"/>
        </w:rPr>
        <w:t xml:space="preserve"> klirensas didesnis kaip 30 ml/min), dozės koreguoti nereikia. Pacientus, kurių inkstų funkcijos sutrikimas yra sunkus (</w:t>
      </w:r>
      <w:proofErr w:type="spellStart"/>
      <w:r w:rsidRPr="00EB08A6">
        <w:rPr>
          <w:rFonts w:eastAsia="Yu Mincho"/>
          <w:szCs w:val="22"/>
          <w:lang w:val="lt-LT"/>
        </w:rPr>
        <w:t>kreatinino</w:t>
      </w:r>
      <w:proofErr w:type="spellEnd"/>
      <w:r w:rsidRPr="00EB08A6">
        <w:rPr>
          <w:rFonts w:eastAsia="Yu Mincho"/>
          <w:szCs w:val="22"/>
          <w:lang w:val="lt-LT"/>
        </w:rPr>
        <w:t xml:space="preserve"> klirensas mažesnis arba lygus 30 ml/min), reikia gydyti atsargiai ir vaistinio preparato vartoti ne daugiau kaip 5 mg (5 ml) kartą per parą (suaugusiesiems) ir ne didesnę kaip pradinę dozę (vaikams ir paaugliams) (žr. 5.2 skyrių). </w:t>
      </w:r>
    </w:p>
    <w:p w14:paraId="098906E8" w14:textId="77777777" w:rsidR="00EB08A6" w:rsidRPr="00EB08A6" w:rsidRDefault="00EB08A6" w:rsidP="00EB08A6">
      <w:pPr>
        <w:rPr>
          <w:rFonts w:eastAsia="Yu Mincho"/>
          <w:szCs w:val="22"/>
          <w:lang w:val="lt-LT"/>
        </w:rPr>
      </w:pPr>
    </w:p>
    <w:p w14:paraId="68DAAB00" w14:textId="77777777" w:rsidR="00EB08A6" w:rsidRPr="00EB08A6" w:rsidRDefault="00EB08A6" w:rsidP="00EB08A6">
      <w:pPr>
        <w:rPr>
          <w:rFonts w:eastAsia="Yu Mincho"/>
          <w:i/>
          <w:iCs/>
          <w:szCs w:val="22"/>
          <w:lang w:val="lt-LT"/>
        </w:rPr>
      </w:pPr>
      <w:r w:rsidRPr="00EB08A6">
        <w:rPr>
          <w:rFonts w:eastAsia="Yu Mincho"/>
          <w:i/>
          <w:iCs/>
          <w:szCs w:val="22"/>
          <w:lang w:val="lt-LT"/>
        </w:rPr>
        <w:t xml:space="preserve">Pacientams, kurių kepenų funkcija sutrikusi </w:t>
      </w:r>
    </w:p>
    <w:p w14:paraId="27DF0C19" w14:textId="77777777" w:rsidR="00EB08A6" w:rsidRPr="00EB08A6" w:rsidRDefault="00EB08A6" w:rsidP="00EB08A6">
      <w:pPr>
        <w:rPr>
          <w:szCs w:val="22"/>
          <w:lang w:val="lt-LT"/>
        </w:rPr>
      </w:pPr>
      <w:r w:rsidRPr="00EB08A6">
        <w:rPr>
          <w:szCs w:val="22"/>
          <w:lang w:val="lt-LT"/>
        </w:rPr>
        <w:t>Pacientams, sergantiems lengvu kepenų funkcijos sutrikimu, dozės koreguoti nereikia. Pacientai, kurių kepenų funkcijos sutrikimas yra vidutinio sunkumo (7</w:t>
      </w:r>
      <w:r w:rsidRPr="00EB08A6">
        <w:rPr>
          <w:bCs/>
          <w:iCs/>
          <w:szCs w:val="22"/>
          <w:lang w:val="lt-LT"/>
        </w:rPr>
        <w:t>–</w:t>
      </w:r>
      <w:r w:rsidRPr="00EB08A6">
        <w:rPr>
          <w:szCs w:val="22"/>
          <w:lang w:val="lt-LT"/>
        </w:rPr>
        <w:t>9 balai pagal „</w:t>
      </w:r>
      <w:proofErr w:type="spellStart"/>
      <w:r w:rsidRPr="00EB08A6">
        <w:rPr>
          <w:i/>
          <w:szCs w:val="22"/>
          <w:lang w:val="lt-LT"/>
        </w:rPr>
        <w:t>Child-Pugh</w:t>
      </w:r>
      <w:proofErr w:type="spellEnd"/>
      <w:r w:rsidRPr="00EB08A6">
        <w:rPr>
          <w:i/>
          <w:szCs w:val="22"/>
          <w:lang w:val="lt-LT"/>
        </w:rPr>
        <w:t>“</w:t>
      </w:r>
      <w:r w:rsidRPr="00EB08A6">
        <w:rPr>
          <w:szCs w:val="22"/>
          <w:lang w:val="lt-LT"/>
        </w:rPr>
        <w:t xml:space="preserve"> skalę), turi būti gydomi atsargiai, vaistinio preparato jiems galima vartoti ne daugiau kaip 5 mg (5 ml) kartą per parą (suaugusiesiems) ir ne didesnę kaip pradinę dozę (vaikams ir paaugliams) (žr. 5.2 skyrių). </w:t>
      </w:r>
    </w:p>
    <w:p w14:paraId="32DFE08B" w14:textId="77777777" w:rsidR="00EB08A6" w:rsidRPr="00EB08A6" w:rsidRDefault="00EB08A6" w:rsidP="00EB08A6">
      <w:pPr>
        <w:rPr>
          <w:rFonts w:eastAsia="Yu Mincho"/>
          <w:szCs w:val="22"/>
          <w:lang w:val="lt-LT"/>
        </w:rPr>
      </w:pPr>
    </w:p>
    <w:p w14:paraId="51B5F695" w14:textId="77777777" w:rsidR="00EB08A6" w:rsidRPr="00EB08A6" w:rsidRDefault="00EB08A6" w:rsidP="00EB08A6">
      <w:pPr>
        <w:rPr>
          <w:rFonts w:eastAsia="Yu Mincho"/>
          <w:i/>
          <w:iCs/>
          <w:szCs w:val="22"/>
          <w:lang w:val="lt-LT"/>
        </w:rPr>
      </w:pPr>
      <w:r w:rsidRPr="00EB08A6">
        <w:rPr>
          <w:rFonts w:eastAsia="Yu Mincho"/>
          <w:i/>
          <w:iCs/>
          <w:szCs w:val="22"/>
          <w:lang w:val="lt-LT"/>
        </w:rPr>
        <w:t xml:space="preserve">Vaistiniai preparatai, stipriai slopinantys </w:t>
      </w:r>
      <w:proofErr w:type="spellStart"/>
      <w:r w:rsidRPr="00EB08A6">
        <w:rPr>
          <w:rFonts w:eastAsia="Yu Mincho"/>
          <w:i/>
          <w:iCs/>
          <w:szCs w:val="22"/>
          <w:lang w:val="lt-LT"/>
        </w:rPr>
        <w:t>citochromą</w:t>
      </w:r>
      <w:proofErr w:type="spellEnd"/>
      <w:r w:rsidRPr="00EB08A6">
        <w:rPr>
          <w:rFonts w:eastAsia="Yu Mincho"/>
          <w:i/>
          <w:iCs/>
          <w:szCs w:val="22"/>
          <w:lang w:val="lt-LT"/>
        </w:rPr>
        <w:t xml:space="preserve"> P 450 3A4</w:t>
      </w:r>
    </w:p>
    <w:p w14:paraId="4CC193E9" w14:textId="77777777" w:rsidR="00EB08A6" w:rsidRPr="00EB08A6" w:rsidRDefault="00EB08A6" w:rsidP="00EB08A6">
      <w:pPr>
        <w:rPr>
          <w:szCs w:val="22"/>
          <w:lang w:val="lt-LT"/>
        </w:rPr>
      </w:pPr>
      <w:r w:rsidRPr="00EB08A6">
        <w:rPr>
          <w:szCs w:val="22"/>
          <w:lang w:val="lt-LT"/>
        </w:rPr>
        <w:t xml:space="preserve">Vartojant kartu su </w:t>
      </w:r>
      <w:proofErr w:type="spellStart"/>
      <w:r w:rsidRPr="00EB08A6">
        <w:rPr>
          <w:szCs w:val="22"/>
          <w:lang w:val="lt-LT"/>
        </w:rPr>
        <w:t>ketokonazolu</w:t>
      </w:r>
      <w:proofErr w:type="spellEnd"/>
      <w:r w:rsidRPr="00EB08A6">
        <w:rPr>
          <w:szCs w:val="22"/>
          <w:lang w:val="lt-LT"/>
        </w:rPr>
        <w:t xml:space="preserve"> ar terapinėmis dozėmis su kitu stipriu CYP3A4 inhibitoriumi, pvz., </w:t>
      </w:r>
      <w:proofErr w:type="spellStart"/>
      <w:r w:rsidRPr="00EB08A6">
        <w:rPr>
          <w:szCs w:val="22"/>
          <w:lang w:val="lt-LT"/>
        </w:rPr>
        <w:t>ritonaviru</w:t>
      </w:r>
      <w:proofErr w:type="spellEnd"/>
      <w:r w:rsidRPr="00EB08A6">
        <w:rPr>
          <w:szCs w:val="22"/>
          <w:lang w:val="lt-LT"/>
        </w:rPr>
        <w:t xml:space="preserve">, </w:t>
      </w:r>
      <w:proofErr w:type="spellStart"/>
      <w:r w:rsidRPr="00EB08A6">
        <w:rPr>
          <w:szCs w:val="22"/>
          <w:lang w:val="lt-LT"/>
        </w:rPr>
        <w:t>nelfinaviru</w:t>
      </w:r>
      <w:proofErr w:type="spellEnd"/>
      <w:r w:rsidRPr="00EB08A6">
        <w:rPr>
          <w:szCs w:val="22"/>
          <w:lang w:val="lt-LT"/>
        </w:rPr>
        <w:t xml:space="preserve">, </w:t>
      </w:r>
      <w:proofErr w:type="spellStart"/>
      <w:r w:rsidRPr="00EB08A6">
        <w:rPr>
          <w:szCs w:val="22"/>
          <w:lang w:val="lt-LT"/>
        </w:rPr>
        <w:t>itrakonazolu</w:t>
      </w:r>
      <w:proofErr w:type="spellEnd"/>
      <w:r w:rsidRPr="00EB08A6">
        <w:rPr>
          <w:szCs w:val="22"/>
          <w:lang w:val="lt-LT"/>
        </w:rPr>
        <w:t xml:space="preserve">, negalima vartoti didesnės kaip 5 mg (5 ml) geriamosios </w:t>
      </w:r>
      <w:proofErr w:type="spellStart"/>
      <w:r w:rsidRPr="00EB08A6">
        <w:rPr>
          <w:szCs w:val="22"/>
          <w:lang w:val="lt-LT"/>
        </w:rPr>
        <w:t>Vesicare</w:t>
      </w:r>
      <w:proofErr w:type="spellEnd"/>
      <w:r w:rsidRPr="00EB08A6">
        <w:rPr>
          <w:szCs w:val="22"/>
          <w:lang w:val="lt-LT"/>
        </w:rPr>
        <w:t xml:space="preserve"> suspensijos dozės (suaugusiesiems) ir didesnės kaip pradinės dozės (vaikams ir paaugliams) (žr. 4.5 skyrių).</w:t>
      </w:r>
    </w:p>
    <w:p w14:paraId="39542D0F" w14:textId="77777777" w:rsidR="00EB08A6" w:rsidRPr="00EB08A6" w:rsidRDefault="00EB08A6" w:rsidP="00EB08A6">
      <w:pPr>
        <w:keepNext/>
        <w:rPr>
          <w:szCs w:val="22"/>
          <w:lang w:val="lt-LT"/>
        </w:rPr>
      </w:pPr>
    </w:p>
    <w:p w14:paraId="6D516300" w14:textId="77777777" w:rsidR="00EB08A6" w:rsidRPr="00EB08A6" w:rsidRDefault="00EB08A6" w:rsidP="00EB08A6">
      <w:pPr>
        <w:pStyle w:val="Antrat3"/>
        <w:spacing w:before="0"/>
        <w:rPr>
          <w:rFonts w:ascii="Times New Roman" w:hAnsi="Times New Roman"/>
          <w:sz w:val="22"/>
          <w:szCs w:val="22"/>
        </w:rPr>
      </w:pPr>
      <w:bookmarkStart w:id="13" w:name="_i4i1lcnDk3zqLBW5B3Ct0ilmU"/>
      <w:bookmarkEnd w:id="13"/>
      <w:r w:rsidRPr="00EB08A6">
        <w:rPr>
          <w:rFonts w:ascii="Times New Roman" w:hAnsi="Times New Roman"/>
          <w:sz w:val="22"/>
          <w:szCs w:val="22"/>
          <w:lang w:val="lt-LT"/>
        </w:rPr>
        <w:t>Vartojimo metodas</w:t>
      </w:r>
      <w:r w:rsidRPr="00EB08A6">
        <w:rPr>
          <w:rFonts w:ascii="Times New Roman" w:hAnsi="Times New Roman"/>
          <w:sz w:val="22"/>
          <w:szCs w:val="22"/>
        </w:rPr>
        <w:t xml:space="preserve"> </w:t>
      </w:r>
    </w:p>
    <w:p w14:paraId="664FECEF" w14:textId="77777777" w:rsidR="00EB08A6" w:rsidRPr="00EB08A6" w:rsidRDefault="00EB08A6" w:rsidP="00EB08A6">
      <w:pPr>
        <w:rPr>
          <w:szCs w:val="22"/>
          <w:lang w:val="lt-LT"/>
        </w:rPr>
      </w:pPr>
      <w:bookmarkStart w:id="14" w:name="_i4i5uHoaa9Li4Vp3jSruvjBU7"/>
      <w:bookmarkEnd w:id="14"/>
      <w:proofErr w:type="spellStart"/>
      <w:r w:rsidRPr="00EB08A6">
        <w:rPr>
          <w:szCs w:val="22"/>
          <w:lang w:val="lt-LT"/>
        </w:rPr>
        <w:t>Vesicare</w:t>
      </w:r>
      <w:proofErr w:type="spellEnd"/>
      <w:r w:rsidRPr="00EB08A6">
        <w:rPr>
          <w:szCs w:val="22"/>
          <w:lang w:val="lt-LT"/>
        </w:rPr>
        <w:t xml:space="preserve"> geriamoji suspensija turi būti vartojama per burną užgeriant stikline vandens. Suspensija negali būti geriama kartu su maistu ir/arba kitais gėrimais. Nurijus kartu su maistu ir/arba gėrimais, gali būti sukeltas </w:t>
      </w:r>
      <w:proofErr w:type="spellStart"/>
      <w:r w:rsidRPr="00EB08A6">
        <w:rPr>
          <w:szCs w:val="22"/>
          <w:lang w:val="lt-LT"/>
        </w:rPr>
        <w:t>solifenacino</w:t>
      </w:r>
      <w:proofErr w:type="spellEnd"/>
      <w:r w:rsidRPr="00EB08A6">
        <w:rPr>
          <w:szCs w:val="22"/>
          <w:lang w:val="lt-LT"/>
        </w:rPr>
        <w:t xml:space="preserve"> išsiskyrimas burnoje, dėl ko gali atsirasti kartus skonis ir nutirpimo pojūtis burnoje. </w:t>
      </w:r>
    </w:p>
    <w:p w14:paraId="2341896F" w14:textId="77777777" w:rsidR="00EB08A6" w:rsidRPr="00EB08A6" w:rsidRDefault="00EB08A6" w:rsidP="00EB08A6">
      <w:pPr>
        <w:rPr>
          <w:szCs w:val="22"/>
          <w:lang w:val="lt-LT"/>
        </w:rPr>
      </w:pPr>
    </w:p>
    <w:p w14:paraId="24421D6D" w14:textId="77777777" w:rsidR="00EB08A6" w:rsidRPr="00EB08A6" w:rsidRDefault="00EB08A6" w:rsidP="00EB08A6">
      <w:pPr>
        <w:rPr>
          <w:szCs w:val="22"/>
          <w:lang w:val="lt-LT"/>
        </w:rPr>
      </w:pPr>
      <w:r w:rsidRPr="00EB08A6">
        <w:rPr>
          <w:szCs w:val="22"/>
          <w:lang w:val="lt-LT"/>
        </w:rPr>
        <w:t xml:space="preserve">Tiksliai dozei pamatuoti turi būti naudojamas švirkštas su adapteriu, pridedami prie </w:t>
      </w:r>
      <w:proofErr w:type="spellStart"/>
      <w:r w:rsidRPr="00EB08A6">
        <w:rPr>
          <w:szCs w:val="22"/>
          <w:lang w:val="lt-LT"/>
        </w:rPr>
        <w:t>Vesicare</w:t>
      </w:r>
      <w:proofErr w:type="spellEnd"/>
      <w:r w:rsidRPr="00EB08A6">
        <w:rPr>
          <w:szCs w:val="22"/>
          <w:lang w:val="lt-LT"/>
        </w:rPr>
        <w:t xml:space="preserve"> geriamosios suspensijos (žr. 6.6 skyrių). </w:t>
      </w:r>
    </w:p>
    <w:p w14:paraId="176F979F" w14:textId="77777777" w:rsidR="00EB08A6" w:rsidRPr="00EB08A6" w:rsidRDefault="00EB08A6" w:rsidP="00EB08A6">
      <w:pPr>
        <w:rPr>
          <w:szCs w:val="22"/>
          <w:lang w:val="lt-LT"/>
        </w:rPr>
      </w:pPr>
    </w:p>
    <w:p w14:paraId="2F186B01" w14:textId="77777777" w:rsidR="00EB08A6" w:rsidRPr="00EB08A6" w:rsidRDefault="00EB08A6" w:rsidP="00EB08A6">
      <w:pPr>
        <w:pStyle w:val="Antrat2"/>
        <w:spacing w:before="0" w:after="0"/>
        <w:rPr>
          <w:rFonts w:ascii="Times New Roman" w:hAnsi="Times New Roman"/>
          <w:i w:val="0"/>
          <w:sz w:val="22"/>
          <w:szCs w:val="22"/>
          <w:lang w:val="lt-LT"/>
        </w:rPr>
      </w:pPr>
      <w:r w:rsidRPr="00EB08A6">
        <w:rPr>
          <w:rFonts w:ascii="Times New Roman" w:hAnsi="Times New Roman"/>
          <w:i w:val="0"/>
          <w:sz w:val="22"/>
          <w:szCs w:val="22"/>
          <w:lang w:val="lt-LT"/>
        </w:rPr>
        <w:t>4.3</w:t>
      </w:r>
      <w:r w:rsidRPr="00EB08A6">
        <w:rPr>
          <w:rFonts w:ascii="Times New Roman" w:hAnsi="Times New Roman"/>
          <w:i w:val="0"/>
          <w:sz w:val="22"/>
          <w:szCs w:val="22"/>
          <w:lang w:val="lt-LT"/>
        </w:rPr>
        <w:tab/>
        <w:t xml:space="preserve">Kontraindikacijos </w:t>
      </w:r>
      <w:bookmarkStart w:id="15" w:name="_i4i39qCi8g4PXczpdolvi19hX"/>
      <w:bookmarkEnd w:id="15"/>
    </w:p>
    <w:p w14:paraId="56CDE0B3" w14:textId="77777777" w:rsidR="00EB08A6" w:rsidRPr="00EB08A6" w:rsidRDefault="00EB08A6" w:rsidP="00EB08A6">
      <w:pPr>
        <w:rPr>
          <w:szCs w:val="22"/>
          <w:lang w:val="lt-LT"/>
        </w:rPr>
      </w:pPr>
    </w:p>
    <w:p w14:paraId="33321CFA" w14:textId="77777777" w:rsidR="00EB08A6" w:rsidRPr="00EB08A6" w:rsidRDefault="00EB08A6" w:rsidP="00EB08A6">
      <w:pPr>
        <w:rPr>
          <w:szCs w:val="22"/>
          <w:lang w:val="lt-LT"/>
        </w:rPr>
      </w:pPr>
      <w:proofErr w:type="spellStart"/>
      <w:r w:rsidRPr="00EB08A6">
        <w:rPr>
          <w:szCs w:val="22"/>
          <w:lang w:val="lt-LT"/>
        </w:rPr>
        <w:t>Solifenacino</w:t>
      </w:r>
      <w:proofErr w:type="spellEnd"/>
      <w:r w:rsidRPr="00EB08A6">
        <w:rPr>
          <w:szCs w:val="22"/>
          <w:lang w:val="lt-LT"/>
        </w:rPr>
        <w:t xml:space="preserve"> negalima skirti gydyti nuo padidėjusio šlapimo pūslės aktyvumo pacientams, kuriems pasireiškė šlapimo susilaikymas.</w:t>
      </w:r>
    </w:p>
    <w:p w14:paraId="248E7684" w14:textId="77777777" w:rsidR="00EB08A6" w:rsidRPr="00EB08A6" w:rsidRDefault="00EB08A6" w:rsidP="00EB08A6">
      <w:pPr>
        <w:rPr>
          <w:szCs w:val="22"/>
          <w:lang w:val="lt-LT"/>
        </w:rPr>
      </w:pPr>
    </w:p>
    <w:p w14:paraId="08657BAD" w14:textId="77777777" w:rsidR="00EB08A6" w:rsidRPr="00EB08A6" w:rsidRDefault="00EB08A6" w:rsidP="00EB08A6">
      <w:pPr>
        <w:rPr>
          <w:szCs w:val="22"/>
          <w:lang w:val="lt-LT"/>
        </w:rPr>
      </w:pPr>
      <w:proofErr w:type="spellStart"/>
      <w:r w:rsidRPr="00EB08A6">
        <w:rPr>
          <w:szCs w:val="22"/>
          <w:lang w:val="lt-LT"/>
        </w:rPr>
        <w:t>Solifenacino</w:t>
      </w:r>
      <w:proofErr w:type="spellEnd"/>
      <w:r w:rsidRPr="00EB08A6">
        <w:rPr>
          <w:szCs w:val="22"/>
          <w:lang w:val="lt-LT"/>
        </w:rPr>
        <w:t xml:space="preserve"> negalima skirti gydyti nuo padidėjusio šlapimo pūslės aktyvumo ar </w:t>
      </w:r>
      <w:proofErr w:type="spellStart"/>
      <w:r w:rsidRPr="00EB08A6">
        <w:rPr>
          <w:szCs w:val="22"/>
          <w:lang w:val="lt-LT"/>
        </w:rPr>
        <w:t>neurogeninio</w:t>
      </w:r>
      <w:proofErr w:type="spellEnd"/>
      <w:r w:rsidRPr="00EB08A6">
        <w:rPr>
          <w:szCs w:val="22"/>
          <w:lang w:val="lt-LT"/>
        </w:rPr>
        <w:t xml:space="preserve"> padidėjusio </w:t>
      </w:r>
      <w:proofErr w:type="spellStart"/>
      <w:r w:rsidRPr="00EB08A6">
        <w:rPr>
          <w:szCs w:val="22"/>
          <w:lang w:val="lt-LT"/>
        </w:rPr>
        <w:t>detruzoriaus</w:t>
      </w:r>
      <w:proofErr w:type="spellEnd"/>
      <w:r w:rsidRPr="00EB08A6">
        <w:rPr>
          <w:szCs w:val="22"/>
          <w:lang w:val="lt-LT"/>
        </w:rPr>
        <w:t xml:space="preserve"> aktyvumo:</w:t>
      </w:r>
    </w:p>
    <w:p w14:paraId="38464788" w14:textId="77777777" w:rsidR="00EB08A6" w:rsidRPr="00EB08A6" w:rsidRDefault="00EB08A6" w:rsidP="00EB08A6">
      <w:pPr>
        <w:ind w:left="567" w:hanging="567"/>
        <w:rPr>
          <w:szCs w:val="22"/>
          <w:lang w:val="lt-LT"/>
        </w:rPr>
      </w:pPr>
      <w:r w:rsidRPr="00EB08A6">
        <w:rPr>
          <w:szCs w:val="22"/>
          <w:lang w:val="lt-LT"/>
        </w:rPr>
        <w:t>–</w:t>
      </w:r>
      <w:r w:rsidRPr="00EB08A6">
        <w:rPr>
          <w:szCs w:val="22"/>
          <w:lang w:val="lt-LT"/>
        </w:rPr>
        <w:tab/>
        <w:t xml:space="preserve">pacientams, kuriems diagnozuota sunki virškinimo trakto būklė (įskaitant toksinį gaubtinės žarnos padidėjimą), </w:t>
      </w:r>
      <w:proofErr w:type="spellStart"/>
      <w:r w:rsidRPr="00EB08A6">
        <w:rPr>
          <w:szCs w:val="22"/>
          <w:lang w:val="lt-LT"/>
        </w:rPr>
        <w:t>generalizuota</w:t>
      </w:r>
      <w:proofErr w:type="spellEnd"/>
      <w:r w:rsidRPr="00EB08A6">
        <w:rPr>
          <w:szCs w:val="22"/>
          <w:lang w:val="lt-LT"/>
        </w:rPr>
        <w:t xml:space="preserve"> </w:t>
      </w:r>
      <w:proofErr w:type="spellStart"/>
      <w:r w:rsidRPr="00EB08A6">
        <w:rPr>
          <w:szCs w:val="22"/>
          <w:lang w:val="lt-LT"/>
        </w:rPr>
        <w:t>miastenija</w:t>
      </w:r>
      <w:proofErr w:type="spellEnd"/>
      <w:r w:rsidRPr="00EB08A6">
        <w:rPr>
          <w:szCs w:val="22"/>
          <w:lang w:val="lt-LT"/>
        </w:rPr>
        <w:t xml:space="preserve"> (</w:t>
      </w:r>
      <w:proofErr w:type="spellStart"/>
      <w:r w:rsidRPr="00EB08A6">
        <w:rPr>
          <w:i/>
          <w:szCs w:val="22"/>
          <w:lang w:val="lt-LT"/>
        </w:rPr>
        <w:t>myasthenia</w:t>
      </w:r>
      <w:proofErr w:type="spellEnd"/>
      <w:r w:rsidRPr="00EB08A6">
        <w:rPr>
          <w:i/>
          <w:szCs w:val="22"/>
          <w:lang w:val="lt-LT"/>
        </w:rPr>
        <w:t xml:space="preserve"> gravis</w:t>
      </w:r>
      <w:r w:rsidRPr="00EB08A6">
        <w:rPr>
          <w:szCs w:val="22"/>
          <w:lang w:val="lt-LT"/>
        </w:rPr>
        <w:t xml:space="preserve">), uždaro kampo glaukoma arba tokių būklių atsiradimo rizika; </w:t>
      </w:r>
    </w:p>
    <w:p w14:paraId="7B330245" w14:textId="77777777" w:rsidR="00EB08A6" w:rsidRPr="00EB08A6" w:rsidRDefault="00EB08A6" w:rsidP="00EB08A6">
      <w:pPr>
        <w:ind w:left="567" w:hanging="567"/>
        <w:rPr>
          <w:szCs w:val="22"/>
          <w:lang w:val="lt-LT"/>
        </w:rPr>
      </w:pPr>
      <w:r w:rsidRPr="00EB08A6">
        <w:rPr>
          <w:color w:val="000000"/>
          <w:szCs w:val="22"/>
          <w:lang w:val="lt-LT"/>
        </w:rPr>
        <w:t>–</w:t>
      </w:r>
      <w:r w:rsidRPr="00EB08A6">
        <w:rPr>
          <w:color w:val="000000"/>
          <w:szCs w:val="22"/>
          <w:lang w:val="lt-LT"/>
        </w:rPr>
        <w:tab/>
      </w:r>
      <w:r w:rsidRPr="00EB08A6">
        <w:rPr>
          <w:szCs w:val="22"/>
          <w:lang w:val="lt-LT"/>
        </w:rPr>
        <w:t xml:space="preserve">padidėjus jautrumui veikliajai arba bet kuriai 6.1 skyriuje nurodytai pagalbinei medžiagai; </w:t>
      </w:r>
    </w:p>
    <w:p w14:paraId="6EEB1769" w14:textId="77777777" w:rsidR="00EB08A6" w:rsidRPr="00EB08A6" w:rsidRDefault="00EB08A6" w:rsidP="00EB08A6">
      <w:pPr>
        <w:ind w:left="567" w:hanging="567"/>
        <w:rPr>
          <w:szCs w:val="22"/>
          <w:lang w:val="lt-LT"/>
        </w:rPr>
      </w:pPr>
      <w:bookmarkStart w:id="16" w:name="OLE_LINK3"/>
      <w:bookmarkStart w:id="17" w:name="OLE_LINK4"/>
      <w:r w:rsidRPr="00EB08A6">
        <w:rPr>
          <w:color w:val="000000"/>
          <w:szCs w:val="22"/>
          <w:lang w:val="lt-LT"/>
        </w:rPr>
        <w:t>–</w:t>
      </w:r>
      <w:r w:rsidRPr="00EB08A6">
        <w:rPr>
          <w:color w:val="000000"/>
          <w:szCs w:val="22"/>
          <w:lang w:val="lt-LT"/>
        </w:rPr>
        <w:tab/>
      </w:r>
      <w:bookmarkEnd w:id="16"/>
      <w:bookmarkEnd w:id="17"/>
      <w:r w:rsidRPr="00EB08A6">
        <w:rPr>
          <w:color w:val="000000"/>
          <w:szCs w:val="22"/>
          <w:lang w:val="lt-LT"/>
        </w:rPr>
        <w:t>h</w:t>
      </w:r>
      <w:r w:rsidRPr="00EB08A6">
        <w:rPr>
          <w:szCs w:val="22"/>
          <w:lang w:val="lt-LT"/>
        </w:rPr>
        <w:t xml:space="preserve">emodialize gydomiems pacientams (žr. 5.2 skyrių); </w:t>
      </w:r>
    </w:p>
    <w:p w14:paraId="4BEE0B35" w14:textId="77777777" w:rsidR="00EB08A6" w:rsidRPr="00EB08A6" w:rsidRDefault="00EB08A6" w:rsidP="00EB08A6">
      <w:pPr>
        <w:ind w:left="567" w:hanging="567"/>
        <w:rPr>
          <w:szCs w:val="22"/>
          <w:lang w:val="lt-LT"/>
        </w:rPr>
      </w:pPr>
      <w:r w:rsidRPr="00EB08A6">
        <w:rPr>
          <w:color w:val="000000"/>
          <w:szCs w:val="22"/>
          <w:lang w:val="lt-LT"/>
        </w:rPr>
        <w:t>–</w:t>
      </w:r>
      <w:r w:rsidRPr="00EB08A6">
        <w:rPr>
          <w:color w:val="000000"/>
          <w:szCs w:val="22"/>
          <w:lang w:val="lt-LT"/>
        </w:rPr>
        <w:tab/>
      </w:r>
      <w:r w:rsidRPr="00EB08A6">
        <w:rPr>
          <w:szCs w:val="22"/>
          <w:lang w:val="lt-LT"/>
        </w:rPr>
        <w:t xml:space="preserve">pacientams, kurių kepenų funkcijos sutrikimas yra sunkus (žr. 5.2 skyrių);. </w:t>
      </w:r>
    </w:p>
    <w:p w14:paraId="0630D809" w14:textId="77777777" w:rsidR="00EB08A6" w:rsidRPr="00EB08A6" w:rsidRDefault="00EB08A6" w:rsidP="00EB08A6">
      <w:pPr>
        <w:ind w:left="567" w:hanging="567"/>
        <w:rPr>
          <w:szCs w:val="22"/>
          <w:lang w:val="lt-LT"/>
        </w:rPr>
      </w:pPr>
      <w:r w:rsidRPr="00EB08A6">
        <w:rPr>
          <w:color w:val="000000"/>
          <w:szCs w:val="22"/>
          <w:lang w:val="lt-LT"/>
        </w:rPr>
        <w:t>–</w:t>
      </w:r>
      <w:r w:rsidRPr="00EB08A6">
        <w:rPr>
          <w:color w:val="000000"/>
          <w:szCs w:val="22"/>
          <w:lang w:val="lt-LT"/>
        </w:rPr>
        <w:tab/>
      </w:r>
      <w:r w:rsidRPr="00EB08A6">
        <w:rPr>
          <w:szCs w:val="22"/>
          <w:lang w:val="lt-LT"/>
        </w:rPr>
        <w:t>pacientams</w:t>
      </w:r>
      <w:r w:rsidRPr="00EB08A6">
        <w:rPr>
          <w:color w:val="000000"/>
          <w:szCs w:val="22"/>
          <w:lang w:val="lt-LT"/>
        </w:rPr>
        <w:t xml:space="preserve">, kurių inkstų funkcijos sutrikimas yra sunkus ar vidutinio sunkumo kepenų funkcijos sutrikimas ir tiems, kurie yra gydomi </w:t>
      </w:r>
      <w:r w:rsidRPr="00EB08A6">
        <w:rPr>
          <w:szCs w:val="22"/>
          <w:lang w:val="lt-LT"/>
        </w:rPr>
        <w:t xml:space="preserve">stipriu CYP3A4 inhibitoriumi, pvz., </w:t>
      </w:r>
      <w:proofErr w:type="spellStart"/>
      <w:r w:rsidRPr="00EB08A6">
        <w:rPr>
          <w:szCs w:val="22"/>
          <w:lang w:val="lt-LT"/>
        </w:rPr>
        <w:t>ketokonazolu</w:t>
      </w:r>
      <w:proofErr w:type="spellEnd"/>
      <w:r w:rsidRPr="00EB08A6">
        <w:rPr>
          <w:szCs w:val="22"/>
          <w:lang w:val="lt-LT"/>
        </w:rPr>
        <w:t xml:space="preserve"> (žr. 4.5 skyrių).</w:t>
      </w:r>
    </w:p>
    <w:p w14:paraId="1ADC7457" w14:textId="77777777" w:rsidR="00EB08A6" w:rsidRPr="00EB08A6" w:rsidRDefault="00EB08A6" w:rsidP="00EB08A6">
      <w:pPr>
        <w:tabs>
          <w:tab w:val="left" w:pos="360"/>
        </w:tabs>
        <w:ind w:left="360" w:hanging="360"/>
        <w:rPr>
          <w:szCs w:val="22"/>
          <w:lang w:val="lt-LT"/>
        </w:rPr>
      </w:pPr>
    </w:p>
    <w:p w14:paraId="1667E162" w14:textId="77777777" w:rsidR="00EB08A6" w:rsidRPr="00EB08A6" w:rsidRDefault="00EB08A6" w:rsidP="00EB08A6">
      <w:pPr>
        <w:pStyle w:val="Antrat2"/>
        <w:spacing w:before="0" w:after="0"/>
        <w:rPr>
          <w:rFonts w:ascii="Times New Roman" w:hAnsi="Times New Roman"/>
          <w:i w:val="0"/>
          <w:sz w:val="22"/>
          <w:szCs w:val="22"/>
          <w:lang w:val="lt-LT"/>
        </w:rPr>
      </w:pPr>
      <w:bookmarkStart w:id="18" w:name="_i4i1kiXHW7SlL5OzTaLGdMBl9"/>
      <w:bookmarkEnd w:id="18"/>
      <w:r w:rsidRPr="00EB08A6">
        <w:rPr>
          <w:rFonts w:ascii="Times New Roman" w:hAnsi="Times New Roman"/>
          <w:i w:val="0"/>
          <w:sz w:val="22"/>
          <w:szCs w:val="22"/>
          <w:lang w:val="lt-LT"/>
        </w:rPr>
        <w:t>4.4</w:t>
      </w:r>
      <w:r w:rsidRPr="00EB08A6">
        <w:rPr>
          <w:rFonts w:ascii="Times New Roman" w:hAnsi="Times New Roman"/>
          <w:i w:val="0"/>
          <w:sz w:val="22"/>
          <w:szCs w:val="22"/>
          <w:lang w:val="lt-LT"/>
        </w:rPr>
        <w:tab/>
        <w:t xml:space="preserve">Specialūs įspėjimai ir atsargumo priemonės </w:t>
      </w:r>
    </w:p>
    <w:p w14:paraId="2A3E33C9" w14:textId="77777777" w:rsidR="00EB08A6" w:rsidRPr="00EB08A6" w:rsidRDefault="00EB08A6" w:rsidP="00EB08A6">
      <w:pPr>
        <w:rPr>
          <w:szCs w:val="22"/>
          <w:lang w:val="lt-LT"/>
        </w:rPr>
      </w:pPr>
    </w:p>
    <w:p w14:paraId="2F556EED" w14:textId="77777777" w:rsidR="00EB08A6" w:rsidRPr="00EB08A6" w:rsidRDefault="00EB08A6" w:rsidP="00EB08A6">
      <w:pPr>
        <w:rPr>
          <w:szCs w:val="22"/>
          <w:lang w:val="lt-LT"/>
        </w:rPr>
      </w:pPr>
      <w:r w:rsidRPr="00EB08A6">
        <w:rPr>
          <w:szCs w:val="22"/>
          <w:lang w:val="lt-LT"/>
        </w:rPr>
        <w:t xml:space="preserve">Prieš pradedant vartoti </w:t>
      </w:r>
      <w:proofErr w:type="spellStart"/>
      <w:r w:rsidRPr="00EB08A6">
        <w:rPr>
          <w:szCs w:val="22"/>
          <w:lang w:val="lt-LT"/>
        </w:rPr>
        <w:t>solifenaciną</w:t>
      </w:r>
      <w:proofErr w:type="spellEnd"/>
      <w:r w:rsidRPr="00EB08A6">
        <w:rPr>
          <w:szCs w:val="22"/>
          <w:lang w:val="lt-LT"/>
        </w:rPr>
        <w:t xml:space="preserve"> reikia nustatyti, ar nėra kitokių dažno </w:t>
      </w:r>
      <w:proofErr w:type="spellStart"/>
      <w:r w:rsidRPr="00EB08A6">
        <w:rPr>
          <w:szCs w:val="22"/>
          <w:lang w:val="lt-LT"/>
        </w:rPr>
        <w:t>šlapinimosi</w:t>
      </w:r>
      <w:proofErr w:type="spellEnd"/>
      <w:r w:rsidRPr="00EB08A6">
        <w:rPr>
          <w:szCs w:val="22"/>
          <w:lang w:val="lt-LT"/>
        </w:rPr>
        <w:t xml:space="preserve"> priežasčių (širdies nepakankamumo ar inkstų ligos). Jeigu yra šlapimo takų infekcija, reikia pradėti tinkamą antibakterinį gydymą. </w:t>
      </w:r>
    </w:p>
    <w:p w14:paraId="7B8D49D1" w14:textId="77777777" w:rsidR="00EB08A6" w:rsidRPr="00EB08A6" w:rsidRDefault="00EB08A6" w:rsidP="00EB08A6">
      <w:pPr>
        <w:rPr>
          <w:szCs w:val="22"/>
          <w:lang w:val="lt-LT"/>
        </w:rPr>
      </w:pPr>
    </w:p>
    <w:p w14:paraId="7655E151" w14:textId="77777777" w:rsidR="00EB08A6" w:rsidRPr="00EB08A6" w:rsidRDefault="00EB08A6" w:rsidP="00EB08A6">
      <w:pPr>
        <w:rPr>
          <w:szCs w:val="22"/>
          <w:lang w:val="lt-LT"/>
        </w:rPr>
      </w:pPr>
      <w:proofErr w:type="spellStart"/>
      <w:r w:rsidRPr="00EB08A6">
        <w:rPr>
          <w:szCs w:val="22"/>
          <w:lang w:val="lt-LT"/>
        </w:rPr>
        <w:t>Solifenaciną</w:t>
      </w:r>
      <w:proofErr w:type="spellEnd"/>
      <w:r w:rsidRPr="00EB08A6">
        <w:rPr>
          <w:szCs w:val="22"/>
          <w:lang w:val="lt-LT"/>
        </w:rPr>
        <w:t xml:space="preserve"> būtina atsargiai vartoti pacientams, jei yra: </w:t>
      </w:r>
    </w:p>
    <w:p w14:paraId="57B1CD25"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kliniškai reikšminga </w:t>
      </w:r>
      <w:r w:rsidRPr="00EB08A6">
        <w:rPr>
          <w:color w:val="000000"/>
          <w:szCs w:val="22"/>
          <w:lang w:val="lt-LT"/>
        </w:rPr>
        <w:t xml:space="preserve">šlapimo pūslės obstrukcija, kelianti šlapimo susilaikymo riziką, jei neatliekama švari protarpinė </w:t>
      </w:r>
      <w:proofErr w:type="spellStart"/>
      <w:r w:rsidRPr="00EB08A6">
        <w:rPr>
          <w:color w:val="000000"/>
          <w:szCs w:val="22"/>
          <w:lang w:val="lt-LT"/>
        </w:rPr>
        <w:t>kateterizacija</w:t>
      </w:r>
      <w:proofErr w:type="spellEnd"/>
      <w:r w:rsidRPr="00EB08A6">
        <w:rPr>
          <w:color w:val="000000"/>
          <w:szCs w:val="22"/>
          <w:lang w:val="lt-LT"/>
        </w:rPr>
        <w:t>;</w:t>
      </w:r>
    </w:p>
    <w:p w14:paraId="5B17F3DC"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obstrukcinis virškinimo trakto sutrikimas; </w:t>
      </w:r>
    </w:p>
    <w:p w14:paraId="40F31C95"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pablogėjusios virškinimo trakto peristaltikos rizika; </w:t>
      </w:r>
    </w:p>
    <w:p w14:paraId="499C5BEA"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sunkus inkstų funkcijos sutrikimas (</w:t>
      </w:r>
      <w:proofErr w:type="spellStart"/>
      <w:r w:rsidRPr="00EB08A6">
        <w:rPr>
          <w:szCs w:val="22"/>
          <w:lang w:val="lt-LT"/>
        </w:rPr>
        <w:t>kreatinino</w:t>
      </w:r>
      <w:proofErr w:type="spellEnd"/>
      <w:r w:rsidRPr="00EB08A6">
        <w:rPr>
          <w:szCs w:val="22"/>
          <w:lang w:val="lt-LT"/>
        </w:rPr>
        <w:t xml:space="preserve"> klirensas mažesnis arba lygus 30 ml/min). Tokiais atvejais negalima vartoti didesnės kaip 5 mg (5 ml) dozės suaugusiesiems ir didesnės kaip pradinės dozės – vaikams ir paaugliams (žr. 4.2 ir 5.2 skyrius); </w:t>
      </w:r>
    </w:p>
    <w:p w14:paraId="0E7F0D68"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vidutinio sunkumo kepenų funkcijos sutrikimas (7</w:t>
      </w:r>
      <w:r w:rsidRPr="00EB08A6">
        <w:rPr>
          <w:szCs w:val="22"/>
          <w:lang w:val="lt-LT"/>
        </w:rPr>
        <w:sym w:font="Symbol" w:char="F02D"/>
      </w:r>
      <w:r w:rsidRPr="00EB08A6">
        <w:rPr>
          <w:szCs w:val="22"/>
          <w:lang w:val="lt-LT"/>
        </w:rPr>
        <w:t>9 balai pagal „</w:t>
      </w:r>
      <w:proofErr w:type="spellStart"/>
      <w:r w:rsidRPr="00EB08A6">
        <w:rPr>
          <w:i/>
          <w:szCs w:val="22"/>
          <w:lang w:val="lt-LT"/>
        </w:rPr>
        <w:t>Child-Pugh</w:t>
      </w:r>
      <w:proofErr w:type="spellEnd"/>
      <w:r w:rsidRPr="00EB08A6">
        <w:rPr>
          <w:szCs w:val="22"/>
          <w:lang w:val="lt-LT"/>
        </w:rPr>
        <w:t xml:space="preserve">“ skalę). Tokiais atvejais negalima vartoti didesnės kaip 5 mg (5 ml) dozės suaugusiesiems ir didesnės kaip pradinės dozės – vaikams ir paaugliams (žr. 4.2 ir 5.2 skyrius); </w:t>
      </w:r>
    </w:p>
    <w:p w14:paraId="3B3209C0"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kartu vartojama stiprių CYP3A4 inhibitorių, pvz., </w:t>
      </w:r>
      <w:proofErr w:type="spellStart"/>
      <w:r w:rsidRPr="00EB08A6">
        <w:rPr>
          <w:szCs w:val="22"/>
          <w:lang w:val="lt-LT"/>
        </w:rPr>
        <w:t>ketokonazolo</w:t>
      </w:r>
      <w:proofErr w:type="spellEnd"/>
      <w:r w:rsidRPr="00EB08A6">
        <w:rPr>
          <w:szCs w:val="22"/>
          <w:lang w:val="lt-LT"/>
        </w:rPr>
        <w:t xml:space="preserve">, o dozės negali būti didesnės kaip 5 mg (5 ml) suaugusiesiems ir ne didesnės kaip pradinės dozės – vaikams ir paaugliams (žr. 4.2 ir 4.5 skyrius); </w:t>
      </w:r>
    </w:p>
    <w:p w14:paraId="09ACE2B8"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r>
      <w:proofErr w:type="spellStart"/>
      <w:r w:rsidRPr="00EB08A6">
        <w:rPr>
          <w:szCs w:val="22"/>
          <w:lang w:val="lt-LT"/>
        </w:rPr>
        <w:t>stemplinės</w:t>
      </w:r>
      <w:proofErr w:type="spellEnd"/>
      <w:r w:rsidRPr="00EB08A6">
        <w:rPr>
          <w:szCs w:val="22"/>
          <w:lang w:val="lt-LT"/>
        </w:rPr>
        <w:t xml:space="preserve"> angos išvarža arba </w:t>
      </w:r>
      <w:proofErr w:type="spellStart"/>
      <w:r w:rsidRPr="00EB08A6">
        <w:rPr>
          <w:szCs w:val="22"/>
          <w:lang w:val="lt-LT"/>
        </w:rPr>
        <w:t>gastroezofaginio</w:t>
      </w:r>
      <w:proofErr w:type="spellEnd"/>
      <w:r w:rsidRPr="00EB08A6">
        <w:rPr>
          <w:szCs w:val="22"/>
          <w:lang w:val="lt-LT"/>
        </w:rPr>
        <w:t xml:space="preserve"> </w:t>
      </w:r>
      <w:proofErr w:type="spellStart"/>
      <w:r w:rsidRPr="00EB08A6">
        <w:rPr>
          <w:szCs w:val="22"/>
          <w:lang w:val="lt-LT"/>
        </w:rPr>
        <w:t>refliukso</w:t>
      </w:r>
      <w:proofErr w:type="spellEnd"/>
      <w:r w:rsidRPr="00EB08A6">
        <w:rPr>
          <w:szCs w:val="22"/>
          <w:lang w:val="lt-LT"/>
        </w:rPr>
        <w:t xml:space="preserve"> liga, jei kartu vartojama vaistinių preparatų (pvz., </w:t>
      </w:r>
      <w:proofErr w:type="spellStart"/>
      <w:r w:rsidRPr="00EB08A6">
        <w:rPr>
          <w:szCs w:val="22"/>
          <w:lang w:val="lt-LT"/>
        </w:rPr>
        <w:t>bifosfonatų</w:t>
      </w:r>
      <w:proofErr w:type="spellEnd"/>
      <w:r w:rsidRPr="00EB08A6">
        <w:rPr>
          <w:szCs w:val="22"/>
          <w:lang w:val="lt-LT"/>
        </w:rPr>
        <w:t xml:space="preserve">), dėl kurių poveikio gali atsirasti ar paūmėti </w:t>
      </w:r>
      <w:proofErr w:type="spellStart"/>
      <w:r w:rsidRPr="00EB08A6">
        <w:rPr>
          <w:szCs w:val="22"/>
          <w:lang w:val="lt-LT"/>
        </w:rPr>
        <w:t>ezofagitas</w:t>
      </w:r>
      <w:proofErr w:type="spellEnd"/>
      <w:r w:rsidRPr="00EB08A6">
        <w:rPr>
          <w:szCs w:val="22"/>
          <w:lang w:val="lt-LT"/>
        </w:rPr>
        <w:t xml:space="preserve">; </w:t>
      </w:r>
    </w:p>
    <w:p w14:paraId="488269C3"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autonominė neuropatija. </w:t>
      </w:r>
    </w:p>
    <w:p w14:paraId="4E202B2A" w14:textId="77777777" w:rsidR="00EB08A6" w:rsidRPr="00EB08A6" w:rsidRDefault="00EB08A6" w:rsidP="00EB08A6">
      <w:pPr>
        <w:rPr>
          <w:szCs w:val="22"/>
          <w:lang w:val="lt-LT"/>
        </w:rPr>
      </w:pPr>
    </w:p>
    <w:p w14:paraId="4324D57B" w14:textId="77777777" w:rsidR="00EB08A6" w:rsidRPr="00EB08A6" w:rsidRDefault="00EB08A6" w:rsidP="00EB08A6">
      <w:pPr>
        <w:rPr>
          <w:szCs w:val="22"/>
          <w:lang w:val="lt-LT"/>
        </w:rPr>
      </w:pPr>
      <w:r w:rsidRPr="00EB08A6">
        <w:rPr>
          <w:szCs w:val="22"/>
          <w:lang w:val="lt-LT"/>
        </w:rPr>
        <w:t xml:space="preserve">Pailgėjusio QT intervalo ir </w:t>
      </w:r>
      <w:proofErr w:type="spellStart"/>
      <w:r w:rsidRPr="00EB08A6">
        <w:rPr>
          <w:i/>
          <w:szCs w:val="22"/>
          <w:lang w:val="lt-LT"/>
        </w:rPr>
        <w:t>Torsades</w:t>
      </w:r>
      <w:proofErr w:type="spellEnd"/>
      <w:r w:rsidRPr="00EB08A6">
        <w:rPr>
          <w:i/>
          <w:szCs w:val="22"/>
          <w:lang w:val="lt-LT"/>
        </w:rPr>
        <w:t xml:space="preserve"> de </w:t>
      </w:r>
      <w:proofErr w:type="spellStart"/>
      <w:r w:rsidRPr="00EB08A6">
        <w:rPr>
          <w:i/>
          <w:szCs w:val="22"/>
          <w:lang w:val="lt-LT"/>
        </w:rPr>
        <w:t>pointes</w:t>
      </w:r>
      <w:proofErr w:type="spellEnd"/>
      <w:r w:rsidRPr="00EB08A6">
        <w:rPr>
          <w:szCs w:val="22"/>
          <w:lang w:val="lt-LT"/>
        </w:rPr>
        <w:t xml:space="preserve"> pasireiškimo atvejų pastebėta tiems pacientams, kuriems buvo rizikos veiksnių, pavyzdžiui, ankščiau nustatytas ilgo QT intervalo sindromas ir </w:t>
      </w:r>
      <w:proofErr w:type="spellStart"/>
      <w:r w:rsidRPr="00EB08A6">
        <w:rPr>
          <w:szCs w:val="22"/>
          <w:lang w:val="lt-LT"/>
        </w:rPr>
        <w:t>hipokalemija</w:t>
      </w:r>
      <w:proofErr w:type="spellEnd"/>
      <w:r w:rsidRPr="00EB08A6">
        <w:rPr>
          <w:szCs w:val="22"/>
          <w:lang w:val="lt-LT"/>
        </w:rPr>
        <w:t>.</w:t>
      </w:r>
    </w:p>
    <w:p w14:paraId="771EA6BF" w14:textId="77777777" w:rsidR="00EB08A6" w:rsidRPr="00EB08A6" w:rsidRDefault="00EB08A6" w:rsidP="00EB08A6">
      <w:pPr>
        <w:rPr>
          <w:szCs w:val="22"/>
          <w:lang w:val="lt-LT"/>
        </w:rPr>
      </w:pPr>
    </w:p>
    <w:p w14:paraId="6DEFF022" w14:textId="77777777" w:rsidR="00EB08A6" w:rsidRPr="00EB08A6" w:rsidRDefault="00EB08A6" w:rsidP="00EB08A6">
      <w:pPr>
        <w:rPr>
          <w:szCs w:val="22"/>
          <w:lang w:val="lt-LT"/>
        </w:rPr>
      </w:pPr>
      <w:r w:rsidRPr="00EB08A6">
        <w:rPr>
          <w:szCs w:val="22"/>
          <w:lang w:val="lt-LT"/>
        </w:rPr>
        <w:t xml:space="preserve">Kai kuriems </w:t>
      </w:r>
      <w:proofErr w:type="spellStart"/>
      <w:r w:rsidRPr="00EB08A6">
        <w:rPr>
          <w:szCs w:val="22"/>
          <w:lang w:val="lt-LT"/>
        </w:rPr>
        <w:t>solifenaciną</w:t>
      </w:r>
      <w:proofErr w:type="spellEnd"/>
      <w:r w:rsidRPr="00EB08A6">
        <w:rPr>
          <w:szCs w:val="22"/>
          <w:lang w:val="lt-LT"/>
        </w:rPr>
        <w:t xml:space="preserve"> vartojantiems pacientams pasireiškė </w:t>
      </w:r>
      <w:proofErr w:type="spellStart"/>
      <w:r w:rsidRPr="00EB08A6">
        <w:rPr>
          <w:szCs w:val="22"/>
          <w:lang w:val="lt-LT"/>
        </w:rPr>
        <w:t>angioneurozinė</w:t>
      </w:r>
      <w:proofErr w:type="spellEnd"/>
      <w:r w:rsidRPr="00EB08A6">
        <w:rPr>
          <w:szCs w:val="22"/>
          <w:lang w:val="lt-LT"/>
        </w:rPr>
        <w:t xml:space="preserve"> edema su kvėpavimo takų obstrukcija. Jeigu pasireiškia </w:t>
      </w:r>
      <w:proofErr w:type="spellStart"/>
      <w:r w:rsidRPr="00EB08A6">
        <w:rPr>
          <w:szCs w:val="22"/>
          <w:lang w:val="lt-LT"/>
        </w:rPr>
        <w:t>angioneurozinė</w:t>
      </w:r>
      <w:proofErr w:type="spellEnd"/>
      <w:r w:rsidRPr="00EB08A6">
        <w:rPr>
          <w:szCs w:val="22"/>
          <w:lang w:val="lt-LT"/>
        </w:rPr>
        <w:t xml:space="preserve"> edema, </w:t>
      </w:r>
      <w:proofErr w:type="spellStart"/>
      <w:r w:rsidRPr="00EB08A6">
        <w:rPr>
          <w:szCs w:val="22"/>
          <w:lang w:val="lt-LT"/>
        </w:rPr>
        <w:t>solifenacino</w:t>
      </w:r>
      <w:proofErr w:type="spellEnd"/>
      <w:r w:rsidRPr="00EB08A6">
        <w:rPr>
          <w:szCs w:val="22"/>
          <w:lang w:val="lt-LT"/>
        </w:rPr>
        <w:t xml:space="preserve"> vartojimą reikia nutraukti bei skirti tinkamą gydymą ir (arba) imtis atitinkamų priemonių.</w:t>
      </w:r>
    </w:p>
    <w:p w14:paraId="28DC4735" w14:textId="77777777" w:rsidR="00EB08A6" w:rsidRPr="00EB08A6" w:rsidRDefault="00EB08A6" w:rsidP="00EB08A6">
      <w:pPr>
        <w:rPr>
          <w:szCs w:val="22"/>
          <w:lang w:val="lt-LT"/>
        </w:rPr>
      </w:pPr>
    </w:p>
    <w:p w14:paraId="25A483AA" w14:textId="77777777" w:rsidR="00EB08A6" w:rsidRPr="00EB08A6" w:rsidRDefault="00EB08A6" w:rsidP="00EB08A6">
      <w:pPr>
        <w:rPr>
          <w:szCs w:val="22"/>
          <w:lang w:val="lt-LT"/>
        </w:rPr>
      </w:pPr>
      <w:r w:rsidRPr="00EB08A6">
        <w:rPr>
          <w:szCs w:val="22"/>
          <w:lang w:val="lt-LT"/>
        </w:rPr>
        <w:t xml:space="preserve">Kai kuriems </w:t>
      </w:r>
      <w:proofErr w:type="spellStart"/>
      <w:r w:rsidRPr="00EB08A6">
        <w:rPr>
          <w:szCs w:val="22"/>
          <w:lang w:val="lt-LT"/>
        </w:rPr>
        <w:t>solifenaciną</w:t>
      </w:r>
      <w:proofErr w:type="spellEnd"/>
      <w:r w:rsidRPr="00EB08A6">
        <w:rPr>
          <w:szCs w:val="22"/>
          <w:lang w:val="lt-LT"/>
        </w:rPr>
        <w:t xml:space="preserve"> vartojantiems pacientams pasireiškė anafilaksinė reakcija. Jeigu pasireiškia anafilaksinė reakcija, </w:t>
      </w:r>
      <w:proofErr w:type="spellStart"/>
      <w:r w:rsidRPr="00EB08A6">
        <w:rPr>
          <w:szCs w:val="22"/>
          <w:lang w:val="lt-LT"/>
        </w:rPr>
        <w:t>solifenacino</w:t>
      </w:r>
      <w:proofErr w:type="spellEnd"/>
      <w:r w:rsidRPr="00EB08A6">
        <w:rPr>
          <w:szCs w:val="22"/>
          <w:lang w:val="lt-LT"/>
        </w:rPr>
        <w:t xml:space="preserve"> vartojimą reikia nutraukti bei skirti tinkamą gydymą ir (arba) imtis atitinkamų priemonių.</w:t>
      </w:r>
    </w:p>
    <w:p w14:paraId="335BC835" w14:textId="77777777" w:rsidR="00EB08A6" w:rsidRPr="00EB08A6" w:rsidRDefault="00EB08A6" w:rsidP="00EB08A6">
      <w:pPr>
        <w:rPr>
          <w:szCs w:val="22"/>
          <w:lang w:val="lt-LT"/>
        </w:rPr>
      </w:pPr>
    </w:p>
    <w:p w14:paraId="631C5C9D" w14:textId="77777777" w:rsidR="00EB08A6" w:rsidRPr="00EB08A6" w:rsidRDefault="00EB08A6" w:rsidP="00EB08A6">
      <w:pPr>
        <w:rPr>
          <w:szCs w:val="22"/>
          <w:lang w:val="lt-LT"/>
        </w:rPr>
      </w:pPr>
      <w:r w:rsidRPr="00EB08A6">
        <w:rPr>
          <w:szCs w:val="22"/>
          <w:lang w:val="lt-LT"/>
        </w:rPr>
        <w:t xml:space="preserve">Didžiausias </w:t>
      </w:r>
      <w:proofErr w:type="spellStart"/>
      <w:r w:rsidRPr="00EB08A6">
        <w:rPr>
          <w:szCs w:val="22"/>
          <w:lang w:val="lt-LT"/>
        </w:rPr>
        <w:t>solifenacino</w:t>
      </w:r>
      <w:proofErr w:type="spellEnd"/>
      <w:r w:rsidRPr="00EB08A6">
        <w:rPr>
          <w:szCs w:val="22"/>
          <w:lang w:val="lt-LT"/>
        </w:rPr>
        <w:t xml:space="preserve"> poveikis pasireiškia ne anksčiau kaip po 4 savaičių.</w:t>
      </w:r>
    </w:p>
    <w:p w14:paraId="5219D830" w14:textId="77777777" w:rsidR="00EB08A6" w:rsidRPr="00EB08A6" w:rsidRDefault="00EB08A6" w:rsidP="00EB08A6">
      <w:pPr>
        <w:rPr>
          <w:szCs w:val="22"/>
          <w:u w:val="single"/>
          <w:lang w:val="lt-LT"/>
        </w:rPr>
      </w:pPr>
    </w:p>
    <w:p w14:paraId="44878B85" w14:textId="77777777" w:rsidR="00EB08A6" w:rsidRPr="00EB08A6" w:rsidRDefault="00EB08A6" w:rsidP="00EB08A6">
      <w:pPr>
        <w:rPr>
          <w:szCs w:val="22"/>
          <w:lang w:val="lt-LT"/>
        </w:rPr>
      </w:pPr>
      <w:proofErr w:type="spellStart"/>
      <w:r w:rsidRPr="00EB08A6">
        <w:rPr>
          <w:szCs w:val="22"/>
          <w:lang w:val="lt-LT"/>
        </w:rPr>
        <w:t>Vesicare</w:t>
      </w:r>
      <w:proofErr w:type="spellEnd"/>
      <w:r w:rsidRPr="00EB08A6">
        <w:rPr>
          <w:szCs w:val="22"/>
          <w:lang w:val="lt-LT"/>
        </w:rPr>
        <w:t xml:space="preserve"> geriamosios suspensijos sudėtyje yra metilo </w:t>
      </w:r>
      <w:proofErr w:type="spellStart"/>
      <w:r w:rsidRPr="00EB08A6">
        <w:rPr>
          <w:szCs w:val="22"/>
          <w:lang w:val="lt-LT"/>
        </w:rPr>
        <w:t>parahidroksibenzoato</w:t>
      </w:r>
      <w:proofErr w:type="spellEnd"/>
      <w:r w:rsidRPr="00EB08A6">
        <w:rPr>
          <w:szCs w:val="22"/>
          <w:lang w:val="lt-LT"/>
        </w:rPr>
        <w:t xml:space="preserve"> ir </w:t>
      </w: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parahidroksibenzoato</w:t>
      </w:r>
      <w:proofErr w:type="spellEnd"/>
      <w:r w:rsidRPr="00EB08A6">
        <w:rPr>
          <w:szCs w:val="22"/>
          <w:lang w:val="lt-LT"/>
        </w:rPr>
        <w:t xml:space="preserve">. Tai gali sukelti alergines reakcijas (galimai uždelstas). </w:t>
      </w:r>
    </w:p>
    <w:p w14:paraId="1F003E3E" w14:textId="77777777" w:rsidR="00EB08A6" w:rsidRPr="00EB08A6" w:rsidRDefault="00EB08A6" w:rsidP="00EB08A6">
      <w:pPr>
        <w:rPr>
          <w:szCs w:val="22"/>
          <w:u w:val="single"/>
          <w:lang w:val="lt-LT"/>
        </w:rPr>
      </w:pPr>
    </w:p>
    <w:p w14:paraId="67608A97" w14:textId="77777777" w:rsidR="00EB08A6" w:rsidRPr="00EB08A6" w:rsidRDefault="00EB08A6" w:rsidP="00EB08A6">
      <w:pPr>
        <w:outlineLvl w:val="0"/>
        <w:rPr>
          <w:szCs w:val="22"/>
          <w:u w:val="single"/>
          <w:lang w:val="lt-LT"/>
        </w:rPr>
      </w:pPr>
      <w:r w:rsidRPr="00EB08A6">
        <w:rPr>
          <w:szCs w:val="22"/>
          <w:lang w:val="lt-LT"/>
        </w:rPr>
        <w:t xml:space="preserve">Didžiausioje 10 ml </w:t>
      </w:r>
      <w:proofErr w:type="spellStart"/>
      <w:r w:rsidRPr="00EB08A6">
        <w:rPr>
          <w:szCs w:val="22"/>
          <w:lang w:val="lt-LT"/>
        </w:rPr>
        <w:t>Vesicare</w:t>
      </w:r>
      <w:proofErr w:type="spellEnd"/>
      <w:r w:rsidRPr="00EB08A6">
        <w:rPr>
          <w:szCs w:val="22"/>
          <w:lang w:val="lt-LT"/>
        </w:rPr>
        <w:t xml:space="preserve"> geriamosios suspensijos dozėje yra 48,4 mg alkoholio (etanolio). Etanolio kiekis 10 ml </w:t>
      </w:r>
      <w:proofErr w:type="spellStart"/>
      <w:r w:rsidRPr="00EB08A6">
        <w:rPr>
          <w:szCs w:val="22"/>
          <w:lang w:val="lt-LT"/>
        </w:rPr>
        <w:t>Vesicare</w:t>
      </w:r>
      <w:proofErr w:type="spellEnd"/>
      <w:r w:rsidRPr="00EB08A6">
        <w:rPr>
          <w:szCs w:val="22"/>
          <w:lang w:val="lt-LT"/>
        </w:rPr>
        <w:t xml:space="preserve"> geriamosios suspensijos atitinka 1 ml alaus (4 % w/v) arba mažiau nei 1 ml </w:t>
      </w:r>
      <w:r w:rsidRPr="00EB08A6">
        <w:rPr>
          <w:szCs w:val="22"/>
          <w:lang w:val="lt-LT"/>
        </w:rPr>
        <w:lastRenderedPageBreak/>
        <w:t>vyno (10 % w/v). Mažas alkoholio kiekis šiame vaistiniame preparate nesukelia jokio pastebimo poveikio.</w:t>
      </w:r>
    </w:p>
    <w:p w14:paraId="7DB1BA4A" w14:textId="77777777" w:rsidR="00EB08A6" w:rsidRPr="00EB08A6" w:rsidRDefault="00EB08A6" w:rsidP="00EB08A6">
      <w:pPr>
        <w:rPr>
          <w:szCs w:val="22"/>
          <w:u w:val="single"/>
          <w:lang w:val="lt-LT"/>
        </w:rPr>
      </w:pPr>
    </w:p>
    <w:p w14:paraId="26449741" w14:textId="77777777" w:rsidR="00EB08A6" w:rsidRPr="00EB08A6" w:rsidRDefault="00EB08A6" w:rsidP="00EB08A6">
      <w:pPr>
        <w:outlineLvl w:val="0"/>
        <w:rPr>
          <w:szCs w:val="22"/>
          <w:lang w:val="lt-LT"/>
        </w:rPr>
      </w:pPr>
      <w:r w:rsidRPr="00EB08A6">
        <w:rPr>
          <w:szCs w:val="22"/>
          <w:lang w:val="lt-LT"/>
        </w:rPr>
        <w:t xml:space="preserve">1 ml </w:t>
      </w:r>
      <w:proofErr w:type="spellStart"/>
      <w:r w:rsidRPr="00EB08A6">
        <w:rPr>
          <w:szCs w:val="22"/>
          <w:lang w:val="lt-LT"/>
        </w:rPr>
        <w:t>Vesicare</w:t>
      </w:r>
      <w:proofErr w:type="spellEnd"/>
      <w:r w:rsidRPr="00EB08A6">
        <w:rPr>
          <w:szCs w:val="22"/>
          <w:lang w:val="lt-LT"/>
        </w:rPr>
        <w:t xml:space="preserve"> geriamosios suspensijos yra mažiau kaip 1 </w:t>
      </w:r>
      <w:proofErr w:type="spellStart"/>
      <w:r w:rsidRPr="00EB08A6">
        <w:rPr>
          <w:szCs w:val="22"/>
          <w:lang w:val="lt-LT"/>
        </w:rPr>
        <w:t>mmol</w:t>
      </w:r>
      <w:proofErr w:type="spellEnd"/>
      <w:r w:rsidRPr="00EB08A6">
        <w:rPr>
          <w:szCs w:val="22"/>
          <w:lang w:val="lt-LT"/>
        </w:rPr>
        <w:t xml:space="preserve"> natrio (23 mg), </w:t>
      </w:r>
      <w:proofErr w:type="spellStart"/>
      <w:r w:rsidRPr="00EB08A6">
        <w:rPr>
          <w:szCs w:val="22"/>
          <w:lang w:val="lt-LT"/>
        </w:rPr>
        <w:t>t.y</w:t>
      </w:r>
      <w:proofErr w:type="spellEnd"/>
      <w:r w:rsidRPr="00EB08A6">
        <w:rPr>
          <w:szCs w:val="22"/>
          <w:lang w:val="lt-LT"/>
        </w:rPr>
        <w:t>. jis beveik neturi reikšmės.</w:t>
      </w:r>
    </w:p>
    <w:p w14:paraId="306B6185" w14:textId="77777777" w:rsidR="00EB08A6" w:rsidRPr="00EB08A6" w:rsidRDefault="00EB08A6" w:rsidP="00EB08A6">
      <w:pPr>
        <w:rPr>
          <w:szCs w:val="22"/>
          <w:u w:val="single"/>
          <w:lang w:val="lt-LT"/>
        </w:rPr>
      </w:pPr>
    </w:p>
    <w:p w14:paraId="2288FB0B" w14:textId="77777777" w:rsidR="00EB08A6" w:rsidRPr="00EB08A6" w:rsidRDefault="00EB08A6" w:rsidP="00EB08A6">
      <w:pPr>
        <w:rPr>
          <w:szCs w:val="22"/>
          <w:lang w:val="lt-LT"/>
        </w:rPr>
      </w:pPr>
      <w:r w:rsidRPr="00EB08A6">
        <w:rPr>
          <w:szCs w:val="22"/>
          <w:lang w:val="lt-LT"/>
        </w:rPr>
        <w:t xml:space="preserve">Kiekviename </w:t>
      </w:r>
      <w:proofErr w:type="spellStart"/>
      <w:r w:rsidRPr="00EB08A6">
        <w:rPr>
          <w:szCs w:val="22"/>
          <w:lang w:val="lt-LT"/>
        </w:rPr>
        <w:t>Vesicare</w:t>
      </w:r>
      <w:proofErr w:type="spellEnd"/>
      <w:r w:rsidRPr="00EB08A6">
        <w:rPr>
          <w:szCs w:val="22"/>
          <w:lang w:val="lt-LT"/>
        </w:rPr>
        <w:t xml:space="preserve"> geriamosios suspensijos ml yra 0,015 mg </w:t>
      </w:r>
      <w:proofErr w:type="spellStart"/>
      <w:r w:rsidRPr="00EB08A6">
        <w:rPr>
          <w:szCs w:val="22"/>
          <w:lang w:val="lt-LT"/>
        </w:rPr>
        <w:t>benzenkarboksirūgšties</w:t>
      </w:r>
      <w:proofErr w:type="spellEnd"/>
      <w:r w:rsidRPr="00EB08A6">
        <w:rPr>
          <w:szCs w:val="22"/>
          <w:lang w:val="lt-LT"/>
        </w:rPr>
        <w:t>, tai atitinka 0,15 mg/10 ml.</w:t>
      </w:r>
    </w:p>
    <w:p w14:paraId="7C1392A9" w14:textId="77777777" w:rsidR="00EB08A6" w:rsidRPr="00EB08A6" w:rsidRDefault="00EB08A6" w:rsidP="00EB08A6">
      <w:pPr>
        <w:rPr>
          <w:szCs w:val="22"/>
          <w:lang w:val="lt-LT"/>
        </w:rPr>
      </w:pPr>
    </w:p>
    <w:p w14:paraId="15EE4A0B" w14:textId="77777777" w:rsidR="00EB08A6" w:rsidRPr="00EB08A6" w:rsidRDefault="00EB08A6" w:rsidP="00EB08A6">
      <w:pPr>
        <w:rPr>
          <w:szCs w:val="22"/>
          <w:lang w:val="lt-LT"/>
        </w:rPr>
      </w:pPr>
      <w:r w:rsidRPr="00EB08A6">
        <w:rPr>
          <w:szCs w:val="22"/>
          <w:lang w:val="lt-LT"/>
        </w:rPr>
        <w:t xml:space="preserve">Kiekviename </w:t>
      </w:r>
      <w:proofErr w:type="spellStart"/>
      <w:r w:rsidRPr="00EB08A6">
        <w:rPr>
          <w:szCs w:val="22"/>
          <w:lang w:val="lt-LT"/>
        </w:rPr>
        <w:t>Vesicare</w:t>
      </w:r>
      <w:proofErr w:type="spellEnd"/>
      <w:r w:rsidRPr="00EB08A6">
        <w:rPr>
          <w:szCs w:val="22"/>
          <w:lang w:val="lt-LT"/>
        </w:rPr>
        <w:t xml:space="preserve"> geriamosios suspensijos ml yra 20 mg </w:t>
      </w:r>
      <w:proofErr w:type="spellStart"/>
      <w:r w:rsidRPr="00EB08A6">
        <w:rPr>
          <w:szCs w:val="22"/>
          <w:lang w:val="lt-LT"/>
        </w:rPr>
        <w:t>propilenglikolio</w:t>
      </w:r>
      <w:proofErr w:type="spellEnd"/>
      <w:r w:rsidRPr="00EB08A6">
        <w:rPr>
          <w:szCs w:val="22"/>
          <w:lang w:val="lt-LT"/>
        </w:rPr>
        <w:t>, tai atitinka 200 mg/10 ml.</w:t>
      </w:r>
    </w:p>
    <w:p w14:paraId="719B4A28" w14:textId="77777777" w:rsidR="00EB08A6" w:rsidRPr="00EB08A6" w:rsidRDefault="00EB08A6" w:rsidP="00EB08A6">
      <w:pPr>
        <w:rPr>
          <w:szCs w:val="22"/>
          <w:u w:val="single"/>
          <w:lang w:val="lt-LT"/>
        </w:rPr>
      </w:pPr>
    </w:p>
    <w:p w14:paraId="6D78C947" w14:textId="77777777" w:rsidR="00EB08A6" w:rsidRPr="00EB08A6" w:rsidRDefault="00EB08A6" w:rsidP="00EB08A6">
      <w:pPr>
        <w:pStyle w:val="Antrat2"/>
        <w:spacing w:before="0" w:after="0"/>
        <w:rPr>
          <w:rFonts w:ascii="Times New Roman" w:hAnsi="Times New Roman"/>
          <w:b w:val="0"/>
          <w:bCs w:val="0"/>
          <w:i w:val="0"/>
          <w:sz w:val="22"/>
          <w:szCs w:val="22"/>
          <w:lang w:val="fr-FR"/>
        </w:rPr>
      </w:pPr>
      <w:bookmarkStart w:id="19" w:name="_i4i608SkrnfeHeQUrZDmIEupE"/>
      <w:bookmarkEnd w:id="19"/>
      <w:r w:rsidRPr="00EB08A6">
        <w:rPr>
          <w:rFonts w:ascii="Times New Roman" w:hAnsi="Times New Roman"/>
          <w:i w:val="0"/>
          <w:noProof/>
          <w:sz w:val="22"/>
          <w:szCs w:val="22"/>
          <w:lang w:val="fr-FR"/>
        </w:rPr>
        <w:t>4.5</w:t>
      </w:r>
      <w:r w:rsidRPr="00EB08A6">
        <w:rPr>
          <w:rFonts w:ascii="Times New Roman" w:hAnsi="Times New Roman"/>
          <w:i w:val="0"/>
          <w:sz w:val="22"/>
          <w:szCs w:val="22"/>
          <w:lang w:val="fr-FR"/>
        </w:rPr>
        <w:tab/>
      </w:r>
      <w:proofErr w:type="spellStart"/>
      <w:r w:rsidRPr="00EB08A6">
        <w:rPr>
          <w:rFonts w:ascii="Times New Roman" w:hAnsi="Times New Roman"/>
          <w:i w:val="0"/>
          <w:sz w:val="22"/>
          <w:szCs w:val="22"/>
          <w:lang w:val="fr-FR"/>
        </w:rPr>
        <w:t>Sąveika</w:t>
      </w:r>
      <w:proofErr w:type="spellEnd"/>
      <w:r w:rsidRPr="00EB08A6">
        <w:rPr>
          <w:rFonts w:ascii="Times New Roman" w:hAnsi="Times New Roman"/>
          <w:i w:val="0"/>
          <w:sz w:val="22"/>
          <w:szCs w:val="22"/>
          <w:lang w:val="fr-FR"/>
        </w:rPr>
        <w:t xml:space="preserve"> su kitais </w:t>
      </w:r>
      <w:proofErr w:type="spellStart"/>
      <w:r w:rsidRPr="00EB08A6">
        <w:rPr>
          <w:rFonts w:ascii="Times New Roman" w:hAnsi="Times New Roman"/>
          <w:i w:val="0"/>
          <w:sz w:val="22"/>
          <w:szCs w:val="22"/>
          <w:lang w:val="fr-FR"/>
        </w:rPr>
        <w:t>vaistiniais</w:t>
      </w:r>
      <w:proofErr w:type="spellEnd"/>
      <w:r w:rsidRPr="00EB08A6">
        <w:rPr>
          <w:rFonts w:ascii="Times New Roman" w:hAnsi="Times New Roman"/>
          <w:i w:val="0"/>
          <w:sz w:val="22"/>
          <w:szCs w:val="22"/>
          <w:lang w:val="fr-FR"/>
        </w:rPr>
        <w:t xml:space="preserve"> </w:t>
      </w:r>
      <w:proofErr w:type="spellStart"/>
      <w:r w:rsidRPr="00EB08A6">
        <w:rPr>
          <w:rFonts w:ascii="Times New Roman" w:hAnsi="Times New Roman"/>
          <w:i w:val="0"/>
          <w:sz w:val="22"/>
          <w:szCs w:val="22"/>
          <w:lang w:val="fr-FR"/>
        </w:rPr>
        <w:t>preparatais</w:t>
      </w:r>
      <w:proofErr w:type="spellEnd"/>
      <w:r w:rsidRPr="00EB08A6">
        <w:rPr>
          <w:rFonts w:ascii="Times New Roman" w:hAnsi="Times New Roman"/>
          <w:i w:val="0"/>
          <w:sz w:val="22"/>
          <w:szCs w:val="22"/>
          <w:lang w:val="fr-FR"/>
        </w:rPr>
        <w:t xml:space="preserve"> </w:t>
      </w:r>
      <w:proofErr w:type="spellStart"/>
      <w:r w:rsidRPr="00EB08A6">
        <w:rPr>
          <w:rFonts w:ascii="Times New Roman" w:hAnsi="Times New Roman"/>
          <w:i w:val="0"/>
          <w:sz w:val="22"/>
          <w:szCs w:val="22"/>
          <w:lang w:val="fr-FR"/>
        </w:rPr>
        <w:t>ir</w:t>
      </w:r>
      <w:proofErr w:type="spellEnd"/>
      <w:r w:rsidRPr="00EB08A6">
        <w:rPr>
          <w:rFonts w:ascii="Times New Roman" w:hAnsi="Times New Roman"/>
          <w:i w:val="0"/>
          <w:sz w:val="22"/>
          <w:szCs w:val="22"/>
          <w:lang w:val="fr-FR"/>
        </w:rPr>
        <w:t xml:space="preserve"> </w:t>
      </w:r>
      <w:proofErr w:type="spellStart"/>
      <w:r w:rsidRPr="00EB08A6">
        <w:rPr>
          <w:rFonts w:ascii="Times New Roman" w:hAnsi="Times New Roman"/>
          <w:i w:val="0"/>
          <w:sz w:val="22"/>
          <w:szCs w:val="22"/>
          <w:lang w:val="fr-FR"/>
        </w:rPr>
        <w:t>kitokia</w:t>
      </w:r>
      <w:proofErr w:type="spellEnd"/>
      <w:r w:rsidRPr="00EB08A6">
        <w:rPr>
          <w:rFonts w:ascii="Times New Roman" w:hAnsi="Times New Roman"/>
          <w:i w:val="0"/>
          <w:sz w:val="22"/>
          <w:szCs w:val="22"/>
          <w:lang w:val="fr-FR"/>
        </w:rPr>
        <w:t xml:space="preserve"> </w:t>
      </w:r>
      <w:proofErr w:type="spellStart"/>
      <w:r w:rsidRPr="00EB08A6">
        <w:rPr>
          <w:rFonts w:ascii="Times New Roman" w:hAnsi="Times New Roman"/>
          <w:i w:val="0"/>
          <w:sz w:val="22"/>
          <w:szCs w:val="22"/>
          <w:lang w:val="fr-FR"/>
        </w:rPr>
        <w:t>sąveika</w:t>
      </w:r>
      <w:proofErr w:type="spellEnd"/>
      <w:r w:rsidRPr="00EB08A6">
        <w:rPr>
          <w:rStyle w:val="Antrat2Diagrama"/>
          <w:rFonts w:ascii="Times New Roman" w:hAnsi="Times New Roman"/>
          <w:i/>
          <w:sz w:val="22"/>
          <w:szCs w:val="22"/>
          <w:lang w:val="fr-FR"/>
        </w:rPr>
        <w:t xml:space="preserve"> </w:t>
      </w:r>
    </w:p>
    <w:p w14:paraId="4DCEA699" w14:textId="77777777" w:rsidR="00EB08A6" w:rsidRPr="00EB08A6" w:rsidRDefault="00EB08A6" w:rsidP="00EB08A6">
      <w:pPr>
        <w:rPr>
          <w:szCs w:val="22"/>
        </w:rPr>
      </w:pPr>
    </w:p>
    <w:p w14:paraId="0BDA1487" w14:textId="77777777" w:rsidR="00EB08A6" w:rsidRPr="00EB08A6" w:rsidRDefault="00EB08A6" w:rsidP="00EB08A6">
      <w:pPr>
        <w:rPr>
          <w:bCs/>
          <w:szCs w:val="22"/>
          <w:u w:val="single"/>
          <w:lang w:val="lt-LT"/>
        </w:rPr>
      </w:pPr>
      <w:r w:rsidRPr="00EB08A6">
        <w:rPr>
          <w:bCs/>
          <w:szCs w:val="22"/>
          <w:u w:val="single"/>
          <w:lang w:val="lt-LT"/>
        </w:rPr>
        <w:t xml:space="preserve">Farmakologinė sąveika </w:t>
      </w:r>
    </w:p>
    <w:p w14:paraId="48522375" w14:textId="77777777" w:rsidR="00EB08A6" w:rsidRPr="00EB08A6" w:rsidRDefault="00EB08A6" w:rsidP="00EB08A6">
      <w:pPr>
        <w:rPr>
          <w:szCs w:val="22"/>
          <w:lang w:val="lt-LT"/>
        </w:rPr>
      </w:pPr>
      <w:r w:rsidRPr="00EB08A6">
        <w:rPr>
          <w:szCs w:val="22"/>
          <w:lang w:val="lt-LT"/>
        </w:rPr>
        <w:t xml:space="preserve">Vaistinį preparatą vartojant kartu su kitais vaistiniais preparatais, kuriems būdingos </w:t>
      </w:r>
      <w:proofErr w:type="spellStart"/>
      <w:r w:rsidRPr="00EB08A6">
        <w:rPr>
          <w:szCs w:val="22"/>
          <w:lang w:val="lt-LT"/>
        </w:rPr>
        <w:t>anticholinerginės</w:t>
      </w:r>
      <w:proofErr w:type="spellEnd"/>
      <w:r w:rsidRPr="00EB08A6">
        <w:rPr>
          <w:szCs w:val="22"/>
          <w:lang w:val="lt-LT"/>
        </w:rPr>
        <w:t xml:space="preserve"> savybės, gali sustiprėti terapinis ir nepageidaujamas poveikis. Nustojus vartoti </w:t>
      </w:r>
      <w:proofErr w:type="spellStart"/>
      <w:r w:rsidRPr="00EB08A6">
        <w:rPr>
          <w:szCs w:val="22"/>
          <w:lang w:val="lt-LT"/>
        </w:rPr>
        <w:t>solifenaciną</w:t>
      </w:r>
      <w:proofErr w:type="spellEnd"/>
      <w:r w:rsidRPr="00EB08A6">
        <w:rPr>
          <w:szCs w:val="22"/>
          <w:lang w:val="lt-LT"/>
        </w:rPr>
        <w:t xml:space="preserve">, kitų </w:t>
      </w:r>
      <w:proofErr w:type="spellStart"/>
      <w:r w:rsidRPr="00EB08A6">
        <w:rPr>
          <w:szCs w:val="22"/>
          <w:lang w:val="lt-LT"/>
        </w:rPr>
        <w:t>anticholinerginių</w:t>
      </w:r>
      <w:proofErr w:type="spellEnd"/>
      <w:r w:rsidRPr="00EB08A6">
        <w:rPr>
          <w:szCs w:val="22"/>
          <w:lang w:val="lt-LT"/>
        </w:rPr>
        <w:t xml:space="preserve"> vaistinių preparatų galima vartoti ne anksčiau kaip po savaitės. Terapinį </w:t>
      </w:r>
      <w:proofErr w:type="spellStart"/>
      <w:r w:rsidRPr="00EB08A6">
        <w:rPr>
          <w:szCs w:val="22"/>
          <w:lang w:val="lt-LT"/>
        </w:rPr>
        <w:t>solifenacino</w:t>
      </w:r>
      <w:proofErr w:type="spellEnd"/>
      <w:r w:rsidRPr="00EB08A6">
        <w:rPr>
          <w:szCs w:val="22"/>
          <w:lang w:val="lt-LT"/>
        </w:rPr>
        <w:t xml:space="preserve"> poveikį gali silpninti kartu vartojami </w:t>
      </w:r>
      <w:proofErr w:type="spellStart"/>
      <w:r w:rsidRPr="00EB08A6">
        <w:rPr>
          <w:szCs w:val="22"/>
          <w:lang w:val="lt-LT"/>
        </w:rPr>
        <w:t>cholinerginių</w:t>
      </w:r>
      <w:proofErr w:type="spellEnd"/>
      <w:r w:rsidRPr="00EB08A6">
        <w:rPr>
          <w:szCs w:val="22"/>
          <w:lang w:val="lt-LT"/>
        </w:rPr>
        <w:t xml:space="preserve"> receptorių </w:t>
      </w:r>
      <w:proofErr w:type="spellStart"/>
      <w:r w:rsidRPr="00EB08A6">
        <w:rPr>
          <w:szCs w:val="22"/>
          <w:lang w:val="lt-LT"/>
        </w:rPr>
        <w:t>agonistai</w:t>
      </w:r>
      <w:proofErr w:type="spellEnd"/>
      <w:r w:rsidRPr="00EB08A6">
        <w:rPr>
          <w:szCs w:val="22"/>
          <w:lang w:val="lt-LT"/>
        </w:rPr>
        <w:t xml:space="preserve">. </w:t>
      </w:r>
    </w:p>
    <w:p w14:paraId="122723FC" w14:textId="77777777" w:rsidR="00EB08A6" w:rsidRPr="00EB08A6" w:rsidRDefault="00EB08A6" w:rsidP="00EB08A6">
      <w:pPr>
        <w:rPr>
          <w:szCs w:val="22"/>
          <w:lang w:val="lt-LT"/>
        </w:rPr>
      </w:pPr>
    </w:p>
    <w:p w14:paraId="029C4448" w14:textId="77777777" w:rsidR="00EB08A6" w:rsidRPr="00EB08A6" w:rsidRDefault="00EB08A6" w:rsidP="00EB08A6">
      <w:pPr>
        <w:rPr>
          <w:szCs w:val="22"/>
          <w:lang w:val="lt-LT"/>
        </w:rPr>
      </w:pPr>
      <w:proofErr w:type="spellStart"/>
      <w:r w:rsidRPr="00EB08A6">
        <w:rPr>
          <w:szCs w:val="22"/>
          <w:lang w:val="lt-LT"/>
        </w:rPr>
        <w:t>Solifenacinas</w:t>
      </w:r>
      <w:proofErr w:type="spellEnd"/>
      <w:r w:rsidRPr="00EB08A6">
        <w:rPr>
          <w:szCs w:val="22"/>
          <w:lang w:val="lt-LT"/>
        </w:rPr>
        <w:t xml:space="preserve"> gali silpninti vaistinių preparatų, kurie skatina virškinimo trakto peristaltiką, pvz., </w:t>
      </w:r>
      <w:proofErr w:type="spellStart"/>
      <w:r w:rsidRPr="00EB08A6">
        <w:rPr>
          <w:szCs w:val="22"/>
          <w:lang w:val="lt-LT"/>
        </w:rPr>
        <w:t>metoklopramido</w:t>
      </w:r>
      <w:proofErr w:type="spellEnd"/>
      <w:r w:rsidRPr="00EB08A6">
        <w:rPr>
          <w:szCs w:val="22"/>
          <w:lang w:val="lt-LT"/>
        </w:rPr>
        <w:t xml:space="preserve"> ir </w:t>
      </w:r>
      <w:proofErr w:type="spellStart"/>
      <w:r w:rsidRPr="00EB08A6">
        <w:rPr>
          <w:szCs w:val="22"/>
          <w:lang w:val="lt-LT"/>
        </w:rPr>
        <w:t>cisaprido</w:t>
      </w:r>
      <w:proofErr w:type="spellEnd"/>
      <w:r w:rsidRPr="00EB08A6">
        <w:rPr>
          <w:szCs w:val="22"/>
          <w:lang w:val="lt-LT"/>
        </w:rPr>
        <w:t xml:space="preserve">, poveikį. </w:t>
      </w:r>
    </w:p>
    <w:p w14:paraId="3FF42771" w14:textId="77777777" w:rsidR="00EB08A6" w:rsidRPr="00EB08A6" w:rsidRDefault="00EB08A6" w:rsidP="00EB08A6">
      <w:pPr>
        <w:rPr>
          <w:szCs w:val="22"/>
          <w:lang w:val="lt-LT"/>
        </w:rPr>
      </w:pPr>
    </w:p>
    <w:p w14:paraId="1499F71E" w14:textId="77777777" w:rsidR="00EB08A6" w:rsidRPr="00EB08A6" w:rsidRDefault="00EB08A6" w:rsidP="00EB08A6">
      <w:pPr>
        <w:keepNext/>
        <w:rPr>
          <w:iCs/>
          <w:szCs w:val="22"/>
          <w:u w:val="single"/>
          <w:lang w:val="lt-LT"/>
        </w:rPr>
      </w:pPr>
      <w:proofErr w:type="spellStart"/>
      <w:r w:rsidRPr="00EB08A6">
        <w:rPr>
          <w:iCs/>
          <w:szCs w:val="22"/>
          <w:u w:val="single"/>
          <w:lang w:val="lt-LT"/>
        </w:rPr>
        <w:t>Farmakokinetinė</w:t>
      </w:r>
      <w:proofErr w:type="spellEnd"/>
      <w:r w:rsidRPr="00EB08A6">
        <w:rPr>
          <w:iCs/>
          <w:szCs w:val="22"/>
          <w:u w:val="single"/>
          <w:lang w:val="lt-LT"/>
        </w:rPr>
        <w:t xml:space="preserve"> sąveika</w:t>
      </w:r>
    </w:p>
    <w:p w14:paraId="71A9F4F0" w14:textId="77777777" w:rsidR="00EB08A6" w:rsidRPr="00EB08A6" w:rsidRDefault="00EB08A6" w:rsidP="00EB08A6">
      <w:pPr>
        <w:rPr>
          <w:szCs w:val="22"/>
          <w:lang w:val="lt-LT"/>
        </w:rPr>
      </w:pPr>
      <w:r w:rsidRPr="00EB08A6">
        <w:rPr>
          <w:szCs w:val="22"/>
          <w:lang w:val="lt-LT"/>
        </w:rPr>
        <w:t xml:space="preserve">Tyrimais </w:t>
      </w:r>
      <w:proofErr w:type="spellStart"/>
      <w:r w:rsidRPr="00EB08A6">
        <w:rPr>
          <w:i/>
          <w:szCs w:val="22"/>
          <w:lang w:val="lt-LT"/>
        </w:rPr>
        <w:t>in</w:t>
      </w:r>
      <w:proofErr w:type="spellEnd"/>
      <w:r w:rsidRPr="00EB08A6">
        <w:rPr>
          <w:i/>
          <w:szCs w:val="22"/>
          <w:lang w:val="lt-LT"/>
        </w:rPr>
        <w:t xml:space="preserve"> </w:t>
      </w:r>
      <w:proofErr w:type="spellStart"/>
      <w:r w:rsidRPr="00EB08A6">
        <w:rPr>
          <w:i/>
          <w:szCs w:val="22"/>
          <w:lang w:val="lt-LT"/>
        </w:rPr>
        <w:t>vitro</w:t>
      </w:r>
      <w:proofErr w:type="spellEnd"/>
      <w:r w:rsidRPr="00EB08A6">
        <w:rPr>
          <w:szCs w:val="22"/>
          <w:lang w:val="lt-LT"/>
        </w:rPr>
        <w:t xml:space="preserve"> įrodyta, kad terapinė </w:t>
      </w:r>
      <w:proofErr w:type="spellStart"/>
      <w:r w:rsidRPr="00EB08A6">
        <w:rPr>
          <w:szCs w:val="22"/>
          <w:lang w:val="lt-LT"/>
        </w:rPr>
        <w:t>solifenacino</w:t>
      </w:r>
      <w:proofErr w:type="spellEnd"/>
      <w:r w:rsidRPr="00EB08A6">
        <w:rPr>
          <w:szCs w:val="22"/>
          <w:lang w:val="lt-LT"/>
        </w:rPr>
        <w:t xml:space="preserve"> koncentracija neslopina iš žmogaus kepenų </w:t>
      </w:r>
      <w:proofErr w:type="spellStart"/>
      <w:r w:rsidRPr="00EB08A6">
        <w:rPr>
          <w:szCs w:val="22"/>
          <w:lang w:val="lt-LT"/>
        </w:rPr>
        <w:t>mikrosomų</w:t>
      </w:r>
      <w:proofErr w:type="spellEnd"/>
      <w:r w:rsidRPr="00EB08A6">
        <w:rPr>
          <w:szCs w:val="22"/>
          <w:lang w:val="lt-LT"/>
        </w:rPr>
        <w:t xml:space="preserve"> išskirtų CYP1A1/2, 2C9, 2C19, 2D6 ar 3A4, todėl mažai tikėtina, kad </w:t>
      </w:r>
      <w:proofErr w:type="spellStart"/>
      <w:r w:rsidRPr="00EB08A6">
        <w:rPr>
          <w:szCs w:val="22"/>
          <w:lang w:val="lt-LT"/>
        </w:rPr>
        <w:t>solifenacinas</w:t>
      </w:r>
      <w:proofErr w:type="spellEnd"/>
      <w:r w:rsidRPr="00EB08A6">
        <w:rPr>
          <w:szCs w:val="22"/>
          <w:lang w:val="lt-LT"/>
        </w:rPr>
        <w:t xml:space="preserve"> keistų vaistinių preparatų, kurie </w:t>
      </w:r>
      <w:proofErr w:type="spellStart"/>
      <w:r w:rsidRPr="00EB08A6">
        <w:rPr>
          <w:szCs w:val="22"/>
          <w:lang w:val="lt-LT"/>
        </w:rPr>
        <w:t>metabolizuojami</w:t>
      </w:r>
      <w:proofErr w:type="spellEnd"/>
      <w:r w:rsidRPr="00EB08A6">
        <w:rPr>
          <w:szCs w:val="22"/>
          <w:lang w:val="lt-LT"/>
        </w:rPr>
        <w:t xml:space="preserve"> šių CYP fermentų, klirensą. </w:t>
      </w:r>
    </w:p>
    <w:p w14:paraId="2026A07D" w14:textId="77777777" w:rsidR="00EB08A6" w:rsidRPr="00EB08A6" w:rsidRDefault="00EB08A6" w:rsidP="00EB08A6">
      <w:pPr>
        <w:rPr>
          <w:szCs w:val="22"/>
          <w:lang w:val="lt-LT"/>
        </w:rPr>
      </w:pPr>
    </w:p>
    <w:p w14:paraId="04E79449" w14:textId="77777777" w:rsidR="00EB08A6" w:rsidRPr="00EB08A6" w:rsidRDefault="00EB08A6" w:rsidP="00EB08A6">
      <w:pPr>
        <w:rPr>
          <w:szCs w:val="22"/>
          <w:u w:val="single"/>
          <w:lang w:val="lt-LT"/>
        </w:rPr>
      </w:pPr>
      <w:r w:rsidRPr="00EB08A6">
        <w:rPr>
          <w:szCs w:val="22"/>
          <w:u w:val="single"/>
          <w:lang w:val="lt-LT"/>
        </w:rPr>
        <w:t xml:space="preserve">Kitų vaistinių preparatų poveikis </w:t>
      </w:r>
      <w:proofErr w:type="spellStart"/>
      <w:r w:rsidRPr="00EB08A6">
        <w:rPr>
          <w:szCs w:val="22"/>
          <w:u w:val="single"/>
          <w:lang w:val="lt-LT"/>
        </w:rPr>
        <w:t>solifenacino</w:t>
      </w:r>
      <w:proofErr w:type="spellEnd"/>
      <w:r w:rsidRPr="00EB08A6">
        <w:rPr>
          <w:szCs w:val="22"/>
          <w:u w:val="single"/>
          <w:lang w:val="lt-LT"/>
        </w:rPr>
        <w:t xml:space="preserve"> </w:t>
      </w:r>
      <w:proofErr w:type="spellStart"/>
      <w:r w:rsidRPr="00EB08A6">
        <w:rPr>
          <w:szCs w:val="22"/>
          <w:u w:val="single"/>
          <w:lang w:val="lt-LT"/>
        </w:rPr>
        <w:t>farmakokinetikai</w:t>
      </w:r>
      <w:proofErr w:type="spellEnd"/>
      <w:r w:rsidRPr="00EB08A6">
        <w:rPr>
          <w:szCs w:val="22"/>
          <w:u w:val="single"/>
          <w:lang w:val="lt-LT"/>
        </w:rPr>
        <w:t xml:space="preserve"> </w:t>
      </w:r>
    </w:p>
    <w:p w14:paraId="433062D3" w14:textId="77777777" w:rsidR="00EB08A6" w:rsidRPr="00EB08A6" w:rsidRDefault="00EB08A6" w:rsidP="00EB08A6">
      <w:pPr>
        <w:rPr>
          <w:szCs w:val="22"/>
          <w:lang w:val="lt-LT"/>
        </w:rPr>
      </w:pPr>
      <w:proofErr w:type="spellStart"/>
      <w:r w:rsidRPr="00EB08A6">
        <w:rPr>
          <w:szCs w:val="22"/>
          <w:lang w:val="lt-LT"/>
        </w:rPr>
        <w:t>Solifenaciną</w:t>
      </w:r>
      <w:proofErr w:type="spellEnd"/>
      <w:r w:rsidRPr="00EB08A6">
        <w:rPr>
          <w:szCs w:val="22"/>
          <w:lang w:val="lt-LT"/>
        </w:rPr>
        <w:t xml:space="preserve"> </w:t>
      </w:r>
      <w:proofErr w:type="spellStart"/>
      <w:r w:rsidRPr="00EB08A6">
        <w:rPr>
          <w:szCs w:val="22"/>
          <w:lang w:val="lt-LT"/>
        </w:rPr>
        <w:t>metabolizuoja</w:t>
      </w:r>
      <w:proofErr w:type="spellEnd"/>
      <w:r w:rsidRPr="00EB08A6">
        <w:rPr>
          <w:szCs w:val="22"/>
          <w:lang w:val="lt-LT"/>
        </w:rPr>
        <w:t xml:space="preserve"> CYP3A4. Kartu vartojant </w:t>
      </w:r>
      <w:proofErr w:type="spellStart"/>
      <w:r w:rsidRPr="00EB08A6">
        <w:rPr>
          <w:szCs w:val="22"/>
          <w:lang w:val="lt-LT"/>
        </w:rPr>
        <w:t>ketokonazolo</w:t>
      </w:r>
      <w:proofErr w:type="spellEnd"/>
      <w:r w:rsidRPr="00EB08A6">
        <w:rPr>
          <w:szCs w:val="22"/>
          <w:lang w:val="lt-LT"/>
        </w:rPr>
        <w:t xml:space="preserve">, stipraus CYP3A4 inhibitoriaus, 200 mg paros dozę, dvigubai padidėjo </w:t>
      </w:r>
      <w:proofErr w:type="spellStart"/>
      <w:r w:rsidRPr="00EB08A6">
        <w:rPr>
          <w:szCs w:val="22"/>
          <w:lang w:val="lt-LT"/>
        </w:rPr>
        <w:t>solifenacino</w:t>
      </w:r>
      <w:proofErr w:type="spellEnd"/>
      <w:r w:rsidRPr="00EB08A6">
        <w:rPr>
          <w:szCs w:val="22"/>
          <w:lang w:val="lt-LT"/>
        </w:rPr>
        <w:t xml:space="preserve"> AUC, o vartojant 400 mg </w:t>
      </w:r>
      <w:proofErr w:type="spellStart"/>
      <w:r w:rsidRPr="00EB08A6">
        <w:rPr>
          <w:szCs w:val="22"/>
          <w:lang w:val="lt-LT"/>
        </w:rPr>
        <w:t>ketokonazolo</w:t>
      </w:r>
      <w:proofErr w:type="spellEnd"/>
      <w:r w:rsidRPr="00EB08A6">
        <w:rPr>
          <w:szCs w:val="22"/>
          <w:lang w:val="lt-LT"/>
        </w:rPr>
        <w:t xml:space="preserve"> paros dozę, </w:t>
      </w:r>
      <w:proofErr w:type="spellStart"/>
      <w:r w:rsidRPr="00EB08A6">
        <w:rPr>
          <w:szCs w:val="22"/>
          <w:lang w:val="lt-LT"/>
        </w:rPr>
        <w:t>solifenacino</w:t>
      </w:r>
      <w:proofErr w:type="spellEnd"/>
      <w:r w:rsidRPr="00EB08A6">
        <w:rPr>
          <w:szCs w:val="22"/>
          <w:lang w:val="lt-LT"/>
        </w:rPr>
        <w:t xml:space="preserve"> AUC padidėjo trigubai. Taigi, kartu su </w:t>
      </w:r>
      <w:proofErr w:type="spellStart"/>
      <w:r w:rsidRPr="00EB08A6">
        <w:rPr>
          <w:szCs w:val="22"/>
          <w:lang w:val="lt-LT"/>
        </w:rPr>
        <w:t>ketokonazolu</w:t>
      </w:r>
      <w:proofErr w:type="spellEnd"/>
      <w:r w:rsidRPr="00EB08A6">
        <w:rPr>
          <w:szCs w:val="22"/>
          <w:lang w:val="lt-LT"/>
        </w:rPr>
        <w:t xml:space="preserve"> ar kitokiu terapinėmis dozėmis vartojamu stipriu CYP3A4 inhibitoriumi (pvz., </w:t>
      </w:r>
      <w:proofErr w:type="spellStart"/>
      <w:r w:rsidRPr="00EB08A6">
        <w:rPr>
          <w:szCs w:val="22"/>
          <w:lang w:val="lt-LT"/>
        </w:rPr>
        <w:t>ritonaviru</w:t>
      </w:r>
      <w:proofErr w:type="spellEnd"/>
      <w:r w:rsidRPr="00EB08A6">
        <w:rPr>
          <w:szCs w:val="22"/>
          <w:lang w:val="lt-LT"/>
        </w:rPr>
        <w:t xml:space="preserve">, </w:t>
      </w:r>
      <w:proofErr w:type="spellStart"/>
      <w:r w:rsidRPr="00EB08A6">
        <w:rPr>
          <w:szCs w:val="22"/>
          <w:lang w:val="lt-LT"/>
        </w:rPr>
        <w:t>nelfinaviru</w:t>
      </w:r>
      <w:proofErr w:type="spellEnd"/>
      <w:r w:rsidRPr="00EB08A6">
        <w:rPr>
          <w:szCs w:val="22"/>
          <w:lang w:val="lt-LT"/>
        </w:rPr>
        <w:t xml:space="preserve">, </w:t>
      </w:r>
      <w:proofErr w:type="spellStart"/>
      <w:r w:rsidRPr="00EB08A6">
        <w:rPr>
          <w:szCs w:val="22"/>
          <w:lang w:val="lt-LT"/>
        </w:rPr>
        <w:t>itrakonazolu</w:t>
      </w:r>
      <w:proofErr w:type="spellEnd"/>
      <w:r w:rsidRPr="00EB08A6">
        <w:rPr>
          <w:szCs w:val="22"/>
          <w:lang w:val="lt-LT"/>
        </w:rPr>
        <w:t xml:space="preserve">) vartojant </w:t>
      </w:r>
      <w:proofErr w:type="spellStart"/>
      <w:r w:rsidRPr="00EB08A6">
        <w:rPr>
          <w:szCs w:val="22"/>
          <w:lang w:val="lt-LT"/>
        </w:rPr>
        <w:t>solifenaciną</w:t>
      </w:r>
      <w:proofErr w:type="spellEnd"/>
      <w:r w:rsidRPr="00EB08A6">
        <w:rPr>
          <w:szCs w:val="22"/>
          <w:lang w:val="lt-LT"/>
        </w:rPr>
        <w:t xml:space="preserve">, pastarojo vaistinio preparato dozę reikia mažinti ir vartoti po 5 mg (5 ml) suaugusiesiems arba pradinę dozę vaikams ir paaugliams (žr. 4.2 skyrių). </w:t>
      </w:r>
    </w:p>
    <w:p w14:paraId="324C1C3C" w14:textId="77777777" w:rsidR="00EB08A6" w:rsidRPr="00EB08A6" w:rsidRDefault="00EB08A6" w:rsidP="00EB08A6">
      <w:pPr>
        <w:rPr>
          <w:szCs w:val="22"/>
          <w:lang w:val="lt-LT"/>
        </w:rPr>
      </w:pPr>
    </w:p>
    <w:p w14:paraId="2CE3ECA2" w14:textId="77777777" w:rsidR="00EB08A6" w:rsidRPr="00EB08A6" w:rsidRDefault="00EB08A6" w:rsidP="00EB08A6">
      <w:pPr>
        <w:rPr>
          <w:szCs w:val="22"/>
          <w:lang w:val="lt-LT"/>
        </w:rPr>
      </w:pPr>
      <w:r w:rsidRPr="00EB08A6">
        <w:rPr>
          <w:szCs w:val="22"/>
          <w:lang w:val="lt-LT"/>
        </w:rPr>
        <w:t xml:space="preserve">Pacientams, kurių inkstų funkcijos sutrikimas yra sunkus ar vidutinio sunkumo kepenų funkcijos sutrikimas, vienu metu vartoti </w:t>
      </w:r>
      <w:proofErr w:type="spellStart"/>
      <w:r w:rsidRPr="00EB08A6">
        <w:rPr>
          <w:szCs w:val="22"/>
          <w:lang w:val="lt-LT"/>
        </w:rPr>
        <w:t>solifenacino</w:t>
      </w:r>
      <w:proofErr w:type="spellEnd"/>
      <w:r w:rsidRPr="00EB08A6">
        <w:rPr>
          <w:szCs w:val="22"/>
          <w:lang w:val="lt-LT"/>
        </w:rPr>
        <w:t xml:space="preserve"> ir stipraus CYP3A4 inhibitoriaus draudžiama. </w:t>
      </w:r>
    </w:p>
    <w:p w14:paraId="3EF9DD97" w14:textId="77777777" w:rsidR="00EB08A6" w:rsidRPr="00EB08A6" w:rsidRDefault="00EB08A6" w:rsidP="00EB08A6">
      <w:pPr>
        <w:rPr>
          <w:szCs w:val="22"/>
          <w:lang w:val="lt-LT"/>
        </w:rPr>
      </w:pPr>
    </w:p>
    <w:p w14:paraId="12B6C26C" w14:textId="77777777" w:rsidR="00EB08A6" w:rsidRPr="00EB08A6" w:rsidRDefault="00EB08A6" w:rsidP="00EB08A6">
      <w:pPr>
        <w:rPr>
          <w:szCs w:val="22"/>
          <w:lang w:val="lt-LT"/>
        </w:rPr>
      </w:pPr>
      <w:r w:rsidRPr="00EB08A6">
        <w:rPr>
          <w:szCs w:val="22"/>
          <w:lang w:val="lt-LT"/>
        </w:rPr>
        <w:t xml:space="preserve">Fermentų indukcijos poveikis </w:t>
      </w:r>
      <w:proofErr w:type="spellStart"/>
      <w:r w:rsidRPr="00EB08A6">
        <w:rPr>
          <w:szCs w:val="22"/>
          <w:lang w:val="lt-LT"/>
        </w:rPr>
        <w:t>solifenacino</w:t>
      </w:r>
      <w:proofErr w:type="spellEnd"/>
      <w:r w:rsidRPr="00EB08A6">
        <w:rPr>
          <w:szCs w:val="22"/>
          <w:lang w:val="lt-LT"/>
        </w:rPr>
        <w:t xml:space="preserve"> ir jo metabolitų </w:t>
      </w:r>
      <w:proofErr w:type="spellStart"/>
      <w:r w:rsidRPr="00EB08A6">
        <w:rPr>
          <w:szCs w:val="22"/>
          <w:lang w:val="lt-LT"/>
        </w:rPr>
        <w:t>farmakokinetikai</w:t>
      </w:r>
      <w:proofErr w:type="spellEnd"/>
      <w:r w:rsidRPr="00EB08A6">
        <w:rPr>
          <w:szCs w:val="22"/>
          <w:lang w:val="lt-LT"/>
        </w:rPr>
        <w:t xml:space="preserve"> neištirtas taip gerai, kaip didelio </w:t>
      </w:r>
      <w:proofErr w:type="spellStart"/>
      <w:r w:rsidRPr="00EB08A6">
        <w:rPr>
          <w:szCs w:val="22"/>
          <w:lang w:val="lt-LT"/>
        </w:rPr>
        <w:t>afiniteto</w:t>
      </w:r>
      <w:proofErr w:type="spellEnd"/>
      <w:r w:rsidRPr="00EB08A6">
        <w:rPr>
          <w:szCs w:val="22"/>
          <w:lang w:val="lt-LT"/>
        </w:rPr>
        <w:t xml:space="preserve"> CYP3A4 substratų poveikis </w:t>
      </w:r>
      <w:proofErr w:type="spellStart"/>
      <w:r w:rsidRPr="00EB08A6">
        <w:rPr>
          <w:szCs w:val="22"/>
          <w:lang w:val="lt-LT"/>
        </w:rPr>
        <w:t>solifenacino</w:t>
      </w:r>
      <w:proofErr w:type="spellEnd"/>
      <w:r w:rsidRPr="00EB08A6">
        <w:rPr>
          <w:szCs w:val="22"/>
          <w:lang w:val="lt-LT"/>
        </w:rPr>
        <w:t xml:space="preserve"> ekspozicijai. Kadangi </w:t>
      </w:r>
      <w:proofErr w:type="spellStart"/>
      <w:r w:rsidRPr="00EB08A6">
        <w:rPr>
          <w:szCs w:val="22"/>
          <w:lang w:val="lt-LT"/>
        </w:rPr>
        <w:t>solifenaciną</w:t>
      </w:r>
      <w:proofErr w:type="spellEnd"/>
      <w:r w:rsidRPr="00EB08A6">
        <w:rPr>
          <w:szCs w:val="22"/>
          <w:lang w:val="lt-LT"/>
        </w:rPr>
        <w:t xml:space="preserve"> </w:t>
      </w:r>
      <w:proofErr w:type="spellStart"/>
      <w:r w:rsidRPr="00EB08A6">
        <w:rPr>
          <w:szCs w:val="22"/>
          <w:lang w:val="lt-LT"/>
        </w:rPr>
        <w:t>metabolizuoja</w:t>
      </w:r>
      <w:proofErr w:type="spellEnd"/>
      <w:r w:rsidRPr="00EB08A6">
        <w:rPr>
          <w:szCs w:val="22"/>
          <w:lang w:val="lt-LT"/>
        </w:rPr>
        <w:t xml:space="preserve"> CYP3A4, </w:t>
      </w:r>
      <w:proofErr w:type="spellStart"/>
      <w:r w:rsidRPr="00EB08A6">
        <w:rPr>
          <w:szCs w:val="22"/>
          <w:lang w:val="lt-LT"/>
        </w:rPr>
        <w:t>farmakokinetinė</w:t>
      </w:r>
      <w:proofErr w:type="spellEnd"/>
      <w:r w:rsidRPr="00EB08A6">
        <w:rPr>
          <w:szCs w:val="22"/>
          <w:lang w:val="lt-LT"/>
        </w:rPr>
        <w:t xml:space="preserve"> sąveika galima su kitais didelio </w:t>
      </w:r>
      <w:proofErr w:type="spellStart"/>
      <w:r w:rsidRPr="00EB08A6">
        <w:rPr>
          <w:szCs w:val="22"/>
          <w:lang w:val="lt-LT"/>
        </w:rPr>
        <w:t>afiniteto</w:t>
      </w:r>
      <w:proofErr w:type="spellEnd"/>
      <w:r w:rsidRPr="00EB08A6">
        <w:rPr>
          <w:szCs w:val="22"/>
          <w:lang w:val="lt-LT"/>
        </w:rPr>
        <w:t xml:space="preserve"> CYP3A4 substratais (pvz., </w:t>
      </w:r>
      <w:proofErr w:type="spellStart"/>
      <w:r w:rsidRPr="00EB08A6">
        <w:rPr>
          <w:szCs w:val="22"/>
          <w:lang w:val="lt-LT"/>
        </w:rPr>
        <w:t>verapamiliu</w:t>
      </w:r>
      <w:proofErr w:type="spellEnd"/>
      <w:r w:rsidRPr="00EB08A6">
        <w:rPr>
          <w:szCs w:val="22"/>
          <w:lang w:val="lt-LT"/>
        </w:rPr>
        <w:t xml:space="preserve">, </w:t>
      </w:r>
      <w:proofErr w:type="spellStart"/>
      <w:r w:rsidRPr="00EB08A6">
        <w:rPr>
          <w:szCs w:val="22"/>
          <w:lang w:val="lt-LT"/>
        </w:rPr>
        <w:t>diltiazemu</w:t>
      </w:r>
      <w:proofErr w:type="spellEnd"/>
      <w:r w:rsidRPr="00EB08A6">
        <w:rPr>
          <w:szCs w:val="22"/>
          <w:lang w:val="lt-LT"/>
        </w:rPr>
        <w:t xml:space="preserve">) ir CYP3A4 indukuojančiais vaistiniais preparatais (pvz., </w:t>
      </w:r>
      <w:proofErr w:type="spellStart"/>
      <w:r w:rsidRPr="00EB08A6">
        <w:rPr>
          <w:szCs w:val="22"/>
          <w:lang w:val="lt-LT"/>
        </w:rPr>
        <w:t>rifampicinu</w:t>
      </w:r>
      <w:proofErr w:type="spellEnd"/>
      <w:r w:rsidRPr="00EB08A6">
        <w:rPr>
          <w:szCs w:val="22"/>
          <w:lang w:val="lt-LT"/>
        </w:rPr>
        <w:t xml:space="preserve">, </w:t>
      </w:r>
      <w:proofErr w:type="spellStart"/>
      <w:r w:rsidRPr="00EB08A6">
        <w:rPr>
          <w:szCs w:val="22"/>
          <w:lang w:val="lt-LT"/>
        </w:rPr>
        <w:t>fenitoinu</w:t>
      </w:r>
      <w:proofErr w:type="spellEnd"/>
      <w:r w:rsidRPr="00EB08A6">
        <w:rPr>
          <w:szCs w:val="22"/>
          <w:lang w:val="lt-LT"/>
        </w:rPr>
        <w:t xml:space="preserve">, </w:t>
      </w:r>
      <w:proofErr w:type="spellStart"/>
      <w:r w:rsidRPr="00EB08A6">
        <w:rPr>
          <w:szCs w:val="22"/>
          <w:lang w:val="lt-LT"/>
        </w:rPr>
        <w:t>karbamazepinu</w:t>
      </w:r>
      <w:proofErr w:type="spellEnd"/>
      <w:r w:rsidRPr="00EB08A6">
        <w:rPr>
          <w:szCs w:val="22"/>
          <w:lang w:val="lt-LT"/>
        </w:rPr>
        <w:t xml:space="preserve">). </w:t>
      </w:r>
    </w:p>
    <w:p w14:paraId="084D778A" w14:textId="77777777" w:rsidR="00EB08A6" w:rsidRPr="00EB08A6" w:rsidRDefault="00EB08A6" w:rsidP="00EB08A6">
      <w:pPr>
        <w:rPr>
          <w:szCs w:val="22"/>
          <w:lang w:val="lt-LT"/>
        </w:rPr>
      </w:pPr>
    </w:p>
    <w:p w14:paraId="1EEF957E" w14:textId="77777777" w:rsidR="00EB08A6" w:rsidRPr="00EB08A6" w:rsidRDefault="00EB08A6" w:rsidP="00EB08A6">
      <w:pPr>
        <w:rPr>
          <w:szCs w:val="22"/>
          <w:u w:val="single"/>
          <w:lang w:val="lt-LT"/>
        </w:rPr>
      </w:pPr>
      <w:proofErr w:type="spellStart"/>
      <w:r w:rsidRPr="00EB08A6">
        <w:rPr>
          <w:szCs w:val="22"/>
          <w:u w:val="single"/>
          <w:lang w:val="lt-LT"/>
        </w:rPr>
        <w:t>Solifenacino</w:t>
      </w:r>
      <w:proofErr w:type="spellEnd"/>
      <w:r w:rsidRPr="00EB08A6">
        <w:rPr>
          <w:szCs w:val="22"/>
          <w:u w:val="single"/>
          <w:lang w:val="lt-LT"/>
        </w:rPr>
        <w:t xml:space="preserve"> poveikis kitų vaistinių preparatų </w:t>
      </w:r>
      <w:proofErr w:type="spellStart"/>
      <w:r w:rsidRPr="00EB08A6">
        <w:rPr>
          <w:szCs w:val="22"/>
          <w:u w:val="single"/>
          <w:lang w:val="lt-LT"/>
        </w:rPr>
        <w:t>farmakokinetikai</w:t>
      </w:r>
      <w:proofErr w:type="spellEnd"/>
    </w:p>
    <w:p w14:paraId="6846CAA1" w14:textId="77777777" w:rsidR="00EB08A6" w:rsidRPr="00EB08A6" w:rsidRDefault="00EB08A6" w:rsidP="00EB08A6">
      <w:pPr>
        <w:rPr>
          <w:szCs w:val="22"/>
          <w:u w:val="single"/>
          <w:lang w:val="lt-LT"/>
        </w:rPr>
      </w:pPr>
    </w:p>
    <w:p w14:paraId="7ED863BE" w14:textId="77777777" w:rsidR="00EB08A6" w:rsidRPr="00EB08A6" w:rsidRDefault="00EB08A6" w:rsidP="00EB08A6">
      <w:pPr>
        <w:rPr>
          <w:i/>
          <w:szCs w:val="22"/>
          <w:lang w:val="lt-LT"/>
        </w:rPr>
      </w:pPr>
      <w:r w:rsidRPr="00EB08A6">
        <w:rPr>
          <w:i/>
          <w:szCs w:val="22"/>
          <w:lang w:val="lt-LT"/>
        </w:rPr>
        <w:t xml:space="preserve">Geriamieji kontraceptikai </w:t>
      </w:r>
    </w:p>
    <w:p w14:paraId="4E776762" w14:textId="77777777" w:rsidR="00EB08A6" w:rsidRPr="00EB08A6" w:rsidRDefault="00EB08A6" w:rsidP="00EB08A6">
      <w:pPr>
        <w:rPr>
          <w:szCs w:val="22"/>
          <w:lang w:val="lt-LT"/>
        </w:rPr>
      </w:pPr>
      <w:r w:rsidRPr="00EB08A6">
        <w:rPr>
          <w:szCs w:val="22"/>
          <w:lang w:val="lt-LT"/>
        </w:rPr>
        <w:t xml:space="preserve">Vartojant </w:t>
      </w:r>
      <w:proofErr w:type="spellStart"/>
      <w:r w:rsidRPr="00EB08A6">
        <w:rPr>
          <w:szCs w:val="22"/>
          <w:lang w:val="lt-LT"/>
        </w:rPr>
        <w:t>solifenaciną</w:t>
      </w:r>
      <w:proofErr w:type="spellEnd"/>
      <w:r w:rsidRPr="00EB08A6">
        <w:rPr>
          <w:szCs w:val="22"/>
          <w:lang w:val="lt-LT"/>
        </w:rPr>
        <w:t xml:space="preserve">, </w:t>
      </w:r>
      <w:proofErr w:type="spellStart"/>
      <w:r w:rsidRPr="00EB08A6">
        <w:rPr>
          <w:szCs w:val="22"/>
          <w:lang w:val="lt-LT"/>
        </w:rPr>
        <w:t>farmakokinetinės</w:t>
      </w:r>
      <w:proofErr w:type="spellEnd"/>
      <w:r w:rsidRPr="00EB08A6">
        <w:rPr>
          <w:szCs w:val="22"/>
          <w:lang w:val="lt-LT"/>
        </w:rPr>
        <w:t xml:space="preserve"> </w:t>
      </w:r>
      <w:proofErr w:type="spellStart"/>
      <w:r w:rsidRPr="00EB08A6">
        <w:rPr>
          <w:szCs w:val="22"/>
          <w:lang w:val="lt-LT"/>
        </w:rPr>
        <w:t>solifenacino</w:t>
      </w:r>
      <w:proofErr w:type="spellEnd"/>
      <w:r w:rsidRPr="00EB08A6">
        <w:rPr>
          <w:szCs w:val="22"/>
          <w:lang w:val="lt-LT"/>
        </w:rPr>
        <w:t xml:space="preserve"> ir geriamųjų kontraceptikų (</w:t>
      </w:r>
      <w:proofErr w:type="spellStart"/>
      <w:r w:rsidRPr="00EB08A6">
        <w:rPr>
          <w:szCs w:val="22"/>
          <w:lang w:val="lt-LT"/>
        </w:rPr>
        <w:t>etinilestradiolio</w:t>
      </w:r>
      <w:proofErr w:type="spellEnd"/>
      <w:r w:rsidRPr="00EB08A6">
        <w:rPr>
          <w:szCs w:val="22"/>
          <w:lang w:val="lt-LT"/>
        </w:rPr>
        <w:t xml:space="preserve">, </w:t>
      </w:r>
      <w:proofErr w:type="spellStart"/>
      <w:r w:rsidRPr="00EB08A6">
        <w:rPr>
          <w:szCs w:val="22"/>
          <w:lang w:val="lt-LT"/>
        </w:rPr>
        <w:t>levonorgestrelio</w:t>
      </w:r>
      <w:proofErr w:type="spellEnd"/>
      <w:r w:rsidRPr="00EB08A6">
        <w:rPr>
          <w:szCs w:val="22"/>
          <w:lang w:val="lt-LT"/>
        </w:rPr>
        <w:t>) sąveikos nenustatyta.</w:t>
      </w:r>
    </w:p>
    <w:p w14:paraId="55C60214" w14:textId="77777777" w:rsidR="00EB08A6" w:rsidRPr="00EB08A6" w:rsidRDefault="00EB08A6" w:rsidP="00EB08A6">
      <w:pPr>
        <w:rPr>
          <w:szCs w:val="22"/>
          <w:lang w:val="lt-LT"/>
        </w:rPr>
      </w:pPr>
    </w:p>
    <w:p w14:paraId="284A8D30" w14:textId="77777777" w:rsidR="00EB08A6" w:rsidRPr="00EB08A6" w:rsidRDefault="00EB08A6" w:rsidP="00EB08A6">
      <w:pPr>
        <w:rPr>
          <w:i/>
          <w:szCs w:val="22"/>
          <w:lang w:val="lt-LT"/>
        </w:rPr>
      </w:pPr>
      <w:proofErr w:type="spellStart"/>
      <w:r w:rsidRPr="00EB08A6">
        <w:rPr>
          <w:i/>
          <w:szCs w:val="22"/>
          <w:lang w:val="lt-LT"/>
        </w:rPr>
        <w:t>Varfarinas</w:t>
      </w:r>
      <w:proofErr w:type="spellEnd"/>
      <w:r w:rsidRPr="00EB08A6">
        <w:rPr>
          <w:i/>
          <w:szCs w:val="22"/>
          <w:lang w:val="lt-LT"/>
        </w:rPr>
        <w:t xml:space="preserve"> </w:t>
      </w:r>
    </w:p>
    <w:p w14:paraId="4F172EB2" w14:textId="77777777" w:rsidR="00EB08A6" w:rsidRPr="00EB08A6" w:rsidRDefault="00EB08A6" w:rsidP="00EB08A6">
      <w:pPr>
        <w:rPr>
          <w:szCs w:val="22"/>
          <w:lang w:val="lt-LT"/>
        </w:rPr>
      </w:pPr>
      <w:proofErr w:type="spellStart"/>
      <w:r w:rsidRPr="00EB08A6">
        <w:rPr>
          <w:szCs w:val="22"/>
          <w:lang w:val="lt-LT"/>
        </w:rPr>
        <w:t>Solifenacinas</w:t>
      </w:r>
      <w:proofErr w:type="spellEnd"/>
      <w:r w:rsidRPr="00EB08A6">
        <w:rPr>
          <w:szCs w:val="22"/>
          <w:lang w:val="lt-LT"/>
        </w:rPr>
        <w:t xml:space="preserve"> nekeičia R-</w:t>
      </w:r>
      <w:proofErr w:type="spellStart"/>
      <w:r w:rsidRPr="00EB08A6">
        <w:rPr>
          <w:szCs w:val="22"/>
          <w:lang w:val="lt-LT"/>
        </w:rPr>
        <w:t>varfarino</w:t>
      </w:r>
      <w:proofErr w:type="spellEnd"/>
      <w:r w:rsidRPr="00EB08A6">
        <w:rPr>
          <w:szCs w:val="22"/>
          <w:lang w:val="lt-LT"/>
        </w:rPr>
        <w:t xml:space="preserve"> ar S-</w:t>
      </w:r>
      <w:proofErr w:type="spellStart"/>
      <w:r w:rsidRPr="00EB08A6">
        <w:rPr>
          <w:szCs w:val="22"/>
          <w:lang w:val="lt-LT"/>
        </w:rPr>
        <w:t>varfarino</w:t>
      </w:r>
      <w:proofErr w:type="spellEnd"/>
      <w:r w:rsidRPr="00EB08A6">
        <w:rPr>
          <w:szCs w:val="22"/>
          <w:lang w:val="lt-LT"/>
        </w:rPr>
        <w:t xml:space="preserve"> </w:t>
      </w:r>
      <w:proofErr w:type="spellStart"/>
      <w:r w:rsidRPr="00EB08A6">
        <w:rPr>
          <w:szCs w:val="22"/>
          <w:lang w:val="lt-LT"/>
        </w:rPr>
        <w:t>farmakokinetikos</w:t>
      </w:r>
      <w:proofErr w:type="spellEnd"/>
      <w:r w:rsidRPr="00EB08A6">
        <w:rPr>
          <w:szCs w:val="22"/>
          <w:lang w:val="lt-LT"/>
        </w:rPr>
        <w:t xml:space="preserve"> ir jų poveikio </w:t>
      </w:r>
      <w:proofErr w:type="spellStart"/>
      <w:r w:rsidRPr="00EB08A6">
        <w:rPr>
          <w:szCs w:val="22"/>
          <w:lang w:val="lt-LT"/>
        </w:rPr>
        <w:t>protrombino</w:t>
      </w:r>
      <w:proofErr w:type="spellEnd"/>
      <w:r w:rsidRPr="00EB08A6">
        <w:rPr>
          <w:szCs w:val="22"/>
          <w:lang w:val="lt-LT"/>
        </w:rPr>
        <w:t xml:space="preserve"> laikui.</w:t>
      </w:r>
    </w:p>
    <w:p w14:paraId="47674EB6" w14:textId="77777777" w:rsidR="00EB08A6" w:rsidRPr="00EB08A6" w:rsidRDefault="00EB08A6" w:rsidP="00EB08A6">
      <w:pPr>
        <w:rPr>
          <w:szCs w:val="22"/>
          <w:lang w:val="lt-LT"/>
        </w:rPr>
      </w:pPr>
    </w:p>
    <w:p w14:paraId="6143731B" w14:textId="77777777" w:rsidR="00EB08A6" w:rsidRPr="00EB08A6" w:rsidRDefault="00EB08A6" w:rsidP="00EB08A6">
      <w:pPr>
        <w:rPr>
          <w:i/>
          <w:szCs w:val="22"/>
          <w:lang w:val="lt-LT"/>
        </w:rPr>
      </w:pPr>
      <w:proofErr w:type="spellStart"/>
      <w:r w:rsidRPr="00EB08A6">
        <w:rPr>
          <w:i/>
          <w:szCs w:val="22"/>
          <w:lang w:val="lt-LT"/>
        </w:rPr>
        <w:t>Digoksinas</w:t>
      </w:r>
      <w:proofErr w:type="spellEnd"/>
      <w:r w:rsidRPr="00EB08A6">
        <w:rPr>
          <w:i/>
          <w:szCs w:val="22"/>
          <w:lang w:val="lt-LT"/>
        </w:rPr>
        <w:t xml:space="preserve"> </w:t>
      </w:r>
    </w:p>
    <w:p w14:paraId="73A3CE96" w14:textId="77777777" w:rsidR="00EB08A6" w:rsidRPr="00EB08A6" w:rsidRDefault="00EB08A6" w:rsidP="00EB08A6">
      <w:pPr>
        <w:rPr>
          <w:szCs w:val="22"/>
          <w:lang w:val="lt-LT"/>
        </w:rPr>
      </w:pPr>
      <w:proofErr w:type="spellStart"/>
      <w:r w:rsidRPr="00EB08A6">
        <w:rPr>
          <w:szCs w:val="22"/>
          <w:lang w:val="lt-LT"/>
        </w:rPr>
        <w:t>Digoksino</w:t>
      </w:r>
      <w:proofErr w:type="spellEnd"/>
      <w:r w:rsidRPr="00EB08A6">
        <w:rPr>
          <w:szCs w:val="22"/>
          <w:lang w:val="lt-LT"/>
        </w:rPr>
        <w:t xml:space="preserve"> </w:t>
      </w:r>
      <w:proofErr w:type="spellStart"/>
      <w:r w:rsidRPr="00EB08A6">
        <w:rPr>
          <w:szCs w:val="22"/>
          <w:lang w:val="lt-LT"/>
        </w:rPr>
        <w:t>farmakokinetikai</w:t>
      </w:r>
      <w:proofErr w:type="spellEnd"/>
      <w:r w:rsidRPr="00EB08A6">
        <w:rPr>
          <w:szCs w:val="22"/>
          <w:lang w:val="lt-LT"/>
        </w:rPr>
        <w:t xml:space="preserve"> </w:t>
      </w:r>
      <w:proofErr w:type="spellStart"/>
      <w:r w:rsidRPr="00EB08A6">
        <w:rPr>
          <w:szCs w:val="22"/>
          <w:lang w:val="lt-LT"/>
        </w:rPr>
        <w:t>solifenacinas</w:t>
      </w:r>
      <w:proofErr w:type="spellEnd"/>
      <w:r w:rsidRPr="00EB08A6">
        <w:rPr>
          <w:szCs w:val="22"/>
          <w:lang w:val="lt-LT"/>
        </w:rPr>
        <w:t xml:space="preserve"> įtakos neturi.</w:t>
      </w:r>
    </w:p>
    <w:p w14:paraId="6E395364" w14:textId="77777777" w:rsidR="00EB08A6" w:rsidRPr="00EB08A6" w:rsidRDefault="00EB08A6" w:rsidP="00EB08A6">
      <w:pPr>
        <w:rPr>
          <w:szCs w:val="22"/>
          <w:lang w:val="lt-LT"/>
        </w:rPr>
      </w:pPr>
    </w:p>
    <w:p w14:paraId="284109C2" w14:textId="77777777" w:rsidR="00EB08A6" w:rsidRPr="00EB08A6" w:rsidRDefault="00EB08A6" w:rsidP="00EB08A6">
      <w:pPr>
        <w:pStyle w:val="Antrat2"/>
        <w:spacing w:before="0"/>
        <w:rPr>
          <w:rFonts w:ascii="Times New Roman" w:hAnsi="Times New Roman"/>
          <w:i w:val="0"/>
          <w:sz w:val="22"/>
          <w:szCs w:val="22"/>
        </w:rPr>
      </w:pPr>
      <w:bookmarkStart w:id="20" w:name="_i4i61ufKNpk8OPAHp1RiUl0aL"/>
      <w:bookmarkStart w:id="21" w:name="_i4i6iYPhaiexkxD7IyBYWanUP"/>
      <w:bookmarkEnd w:id="20"/>
      <w:bookmarkEnd w:id="21"/>
      <w:r w:rsidRPr="00EB08A6">
        <w:rPr>
          <w:rFonts w:ascii="Times New Roman" w:hAnsi="Times New Roman"/>
          <w:i w:val="0"/>
          <w:sz w:val="22"/>
          <w:szCs w:val="22"/>
          <w:lang w:val="lt-LT"/>
        </w:rPr>
        <w:t>4.6</w:t>
      </w:r>
      <w:r w:rsidRPr="00EB08A6">
        <w:rPr>
          <w:rFonts w:ascii="Times New Roman" w:hAnsi="Times New Roman"/>
          <w:i w:val="0"/>
          <w:sz w:val="22"/>
          <w:szCs w:val="22"/>
          <w:lang w:val="lt-LT"/>
        </w:rPr>
        <w:tab/>
        <w:t>Vaisingumas, nėštumo ir žindymo laikotarpis</w:t>
      </w:r>
      <w:r w:rsidRPr="00EB08A6">
        <w:rPr>
          <w:rFonts w:ascii="Times New Roman" w:hAnsi="Times New Roman"/>
          <w:i w:val="0"/>
          <w:sz w:val="22"/>
          <w:szCs w:val="22"/>
        </w:rPr>
        <w:t xml:space="preserve"> </w:t>
      </w:r>
    </w:p>
    <w:p w14:paraId="622016A4" w14:textId="77777777" w:rsidR="00EB08A6" w:rsidRPr="00EB08A6" w:rsidRDefault="00EB08A6" w:rsidP="00EB08A6">
      <w:pPr>
        <w:pStyle w:val="Antrat3"/>
        <w:rPr>
          <w:rFonts w:ascii="Times New Roman" w:hAnsi="Times New Roman"/>
          <w:sz w:val="22"/>
          <w:szCs w:val="22"/>
        </w:rPr>
      </w:pPr>
      <w:bookmarkStart w:id="22" w:name="_i4i3dMwqX9Psvn34O3yMsTt02"/>
      <w:bookmarkEnd w:id="22"/>
      <w:proofErr w:type="spellStart"/>
      <w:r w:rsidRPr="00EB08A6">
        <w:rPr>
          <w:rFonts w:ascii="Times New Roman" w:hAnsi="Times New Roman"/>
          <w:sz w:val="22"/>
          <w:szCs w:val="22"/>
        </w:rPr>
        <w:t>Nėštumas</w:t>
      </w:r>
      <w:proofErr w:type="spellEnd"/>
      <w:r w:rsidRPr="00EB08A6">
        <w:rPr>
          <w:rFonts w:ascii="Times New Roman" w:hAnsi="Times New Roman"/>
          <w:sz w:val="22"/>
          <w:szCs w:val="22"/>
        </w:rPr>
        <w:t xml:space="preserve"> </w:t>
      </w:r>
    </w:p>
    <w:p w14:paraId="04117024" w14:textId="77777777" w:rsidR="00EB08A6" w:rsidRPr="00EB08A6" w:rsidRDefault="00EB08A6" w:rsidP="00EB08A6">
      <w:pPr>
        <w:keepLines/>
        <w:rPr>
          <w:szCs w:val="22"/>
          <w:lang w:val="lt-LT"/>
        </w:rPr>
      </w:pPr>
      <w:r w:rsidRPr="00EB08A6">
        <w:rPr>
          <w:szCs w:val="22"/>
          <w:lang w:val="lt-LT"/>
        </w:rPr>
        <w:t xml:space="preserve">Klinikinių duomenų apie poveikį moterims, kurios pastojo, vartodamos </w:t>
      </w:r>
      <w:proofErr w:type="spellStart"/>
      <w:r w:rsidRPr="00EB08A6">
        <w:rPr>
          <w:szCs w:val="22"/>
          <w:lang w:val="lt-LT"/>
        </w:rPr>
        <w:t>solifenacino</w:t>
      </w:r>
      <w:proofErr w:type="spellEnd"/>
      <w:r w:rsidRPr="00EB08A6">
        <w:rPr>
          <w:szCs w:val="22"/>
          <w:lang w:val="lt-LT"/>
        </w:rPr>
        <w:t>, nėra. Tyrimai su gyvūnais tiesioginio kenksmingo vaistinio preparato poveikio vaisingumui, embriono ar vaisiaus vystymuisi bei palikuonių atsivedimui neparodė (žr. 5.3 skyrių). Ar vaistinis preparatas pavojingas žmonėms, nežinoma. Nėštumo metu vaistinio preparato reikia atsargiai.</w:t>
      </w:r>
    </w:p>
    <w:p w14:paraId="2C07D166" w14:textId="77777777" w:rsidR="00EB08A6" w:rsidRPr="00EB08A6" w:rsidRDefault="00EB08A6" w:rsidP="00EB08A6">
      <w:pPr>
        <w:keepLines/>
        <w:rPr>
          <w:szCs w:val="22"/>
          <w:lang w:val="lt-LT"/>
        </w:rPr>
      </w:pPr>
    </w:p>
    <w:p w14:paraId="42F8F1FF" w14:textId="77777777" w:rsidR="00EB08A6" w:rsidRPr="00EB08A6" w:rsidRDefault="00EB08A6" w:rsidP="00EB08A6">
      <w:pPr>
        <w:pStyle w:val="Antrat3"/>
        <w:keepNext w:val="0"/>
        <w:spacing w:before="0"/>
        <w:rPr>
          <w:rFonts w:ascii="Times New Roman" w:hAnsi="Times New Roman"/>
          <w:sz w:val="22"/>
          <w:szCs w:val="22"/>
        </w:rPr>
      </w:pPr>
      <w:proofErr w:type="spellStart"/>
      <w:r w:rsidRPr="00EB08A6">
        <w:rPr>
          <w:rFonts w:ascii="Times New Roman" w:hAnsi="Times New Roman"/>
          <w:sz w:val="22"/>
          <w:szCs w:val="22"/>
          <w:lang w:val="fr-FR"/>
        </w:rPr>
        <w:t>Žindymas</w:t>
      </w:r>
      <w:proofErr w:type="spellEnd"/>
      <w:r w:rsidRPr="00EB08A6">
        <w:rPr>
          <w:rFonts w:ascii="Times New Roman" w:hAnsi="Times New Roman"/>
          <w:sz w:val="22"/>
          <w:szCs w:val="22"/>
        </w:rPr>
        <w:t xml:space="preserve"> </w:t>
      </w:r>
    </w:p>
    <w:p w14:paraId="6368A976" w14:textId="77777777" w:rsidR="00EB08A6" w:rsidRPr="00EB08A6" w:rsidRDefault="00EB08A6" w:rsidP="00EB08A6">
      <w:pPr>
        <w:rPr>
          <w:szCs w:val="22"/>
          <w:lang w:val="lt-LT"/>
        </w:rPr>
      </w:pPr>
      <w:r w:rsidRPr="00EB08A6">
        <w:rPr>
          <w:szCs w:val="22"/>
          <w:lang w:val="lt-LT"/>
        </w:rPr>
        <w:t xml:space="preserve">Nežinoma, ar </w:t>
      </w:r>
      <w:proofErr w:type="spellStart"/>
      <w:r w:rsidRPr="00EB08A6">
        <w:rPr>
          <w:szCs w:val="22"/>
          <w:lang w:val="lt-LT"/>
        </w:rPr>
        <w:t>solifenacino</w:t>
      </w:r>
      <w:proofErr w:type="spellEnd"/>
      <w:r w:rsidRPr="00EB08A6">
        <w:rPr>
          <w:szCs w:val="22"/>
          <w:lang w:val="lt-LT"/>
        </w:rPr>
        <w:t xml:space="preserve"> išsiskiria į gydytų moterų pieną. Kadangi į pelių pieną </w:t>
      </w:r>
      <w:proofErr w:type="spellStart"/>
      <w:r w:rsidRPr="00EB08A6">
        <w:rPr>
          <w:szCs w:val="22"/>
          <w:lang w:val="lt-LT"/>
        </w:rPr>
        <w:t>solifenacino</w:t>
      </w:r>
      <w:proofErr w:type="spellEnd"/>
      <w:r w:rsidRPr="00EB08A6">
        <w:rPr>
          <w:szCs w:val="22"/>
          <w:lang w:val="lt-LT"/>
        </w:rPr>
        <w:t xml:space="preserve"> ir (ar) jo metabolitų patenka, ir priklausomai nuo dozės sulėtėja jauniklių augimas (žr. 5.3 skyrių), maitinančioms krūtimi moterims </w:t>
      </w:r>
      <w:proofErr w:type="spellStart"/>
      <w:r w:rsidRPr="00EB08A6">
        <w:rPr>
          <w:szCs w:val="22"/>
          <w:lang w:val="lt-LT"/>
        </w:rPr>
        <w:t>solifenacino</w:t>
      </w:r>
      <w:proofErr w:type="spellEnd"/>
      <w:r w:rsidRPr="00EB08A6">
        <w:rPr>
          <w:szCs w:val="22"/>
          <w:lang w:val="lt-LT"/>
        </w:rPr>
        <w:t xml:space="preserve"> vartoti negalima.</w:t>
      </w:r>
    </w:p>
    <w:p w14:paraId="413A0E4D" w14:textId="77777777" w:rsidR="00EB08A6" w:rsidRPr="00EB08A6" w:rsidRDefault="00EB08A6" w:rsidP="00EB08A6">
      <w:pPr>
        <w:rPr>
          <w:szCs w:val="22"/>
          <w:lang w:val="lt-LT"/>
        </w:rPr>
      </w:pPr>
    </w:p>
    <w:p w14:paraId="6B43722B" w14:textId="77777777" w:rsidR="00EB08A6" w:rsidRPr="00EB08A6" w:rsidRDefault="00EB08A6" w:rsidP="00EB08A6">
      <w:pPr>
        <w:pStyle w:val="Antrat3"/>
        <w:spacing w:before="0"/>
        <w:rPr>
          <w:rFonts w:ascii="Times New Roman" w:hAnsi="Times New Roman"/>
          <w:sz w:val="22"/>
          <w:szCs w:val="22"/>
        </w:rPr>
      </w:pPr>
      <w:r w:rsidRPr="00EB08A6">
        <w:rPr>
          <w:rFonts w:ascii="Times New Roman" w:hAnsi="Times New Roman"/>
          <w:sz w:val="22"/>
          <w:szCs w:val="22"/>
          <w:lang w:val="lt-LT"/>
        </w:rPr>
        <w:t>Vaisingumas</w:t>
      </w:r>
      <w:r w:rsidRPr="00EB08A6">
        <w:rPr>
          <w:rFonts w:ascii="Times New Roman" w:hAnsi="Times New Roman"/>
          <w:sz w:val="22"/>
          <w:szCs w:val="22"/>
        </w:rPr>
        <w:t xml:space="preserve"> </w:t>
      </w:r>
    </w:p>
    <w:p w14:paraId="157FBF6E" w14:textId="77777777" w:rsidR="00EB08A6" w:rsidRPr="00EB08A6" w:rsidRDefault="00EB08A6" w:rsidP="00EB08A6">
      <w:pPr>
        <w:rPr>
          <w:szCs w:val="22"/>
          <w:lang w:val="lt-LT"/>
        </w:rPr>
      </w:pPr>
      <w:r w:rsidRPr="00EB08A6">
        <w:rPr>
          <w:szCs w:val="22"/>
          <w:lang w:val="lt-LT"/>
        </w:rPr>
        <w:t xml:space="preserve">Klinikinių duomenų apie </w:t>
      </w:r>
      <w:proofErr w:type="spellStart"/>
      <w:r w:rsidRPr="00EB08A6">
        <w:rPr>
          <w:szCs w:val="22"/>
          <w:lang w:val="lt-LT"/>
        </w:rPr>
        <w:t>solifenacino</w:t>
      </w:r>
      <w:proofErr w:type="spellEnd"/>
      <w:r w:rsidRPr="00EB08A6">
        <w:rPr>
          <w:szCs w:val="22"/>
          <w:lang w:val="lt-LT"/>
        </w:rPr>
        <w:t xml:space="preserve"> poveikį vaisingumui nėra. Poveikis gyvūnų vaisingumui nepastebėtas.</w:t>
      </w:r>
    </w:p>
    <w:p w14:paraId="60DF9056" w14:textId="77777777" w:rsidR="00EB08A6" w:rsidRPr="00EB08A6" w:rsidRDefault="00EB08A6" w:rsidP="00EB08A6">
      <w:pPr>
        <w:rPr>
          <w:szCs w:val="22"/>
          <w:lang w:val="lt-LT"/>
        </w:rPr>
      </w:pPr>
    </w:p>
    <w:p w14:paraId="7BB127FA" w14:textId="77777777" w:rsidR="00EB08A6" w:rsidRPr="00EB08A6" w:rsidRDefault="00EB08A6" w:rsidP="00EB08A6">
      <w:pPr>
        <w:pStyle w:val="Antrat2"/>
        <w:spacing w:before="0" w:after="0"/>
        <w:rPr>
          <w:rFonts w:ascii="Times New Roman" w:hAnsi="Times New Roman"/>
          <w:i w:val="0"/>
          <w:sz w:val="22"/>
          <w:szCs w:val="22"/>
          <w:lang w:val="lt-LT"/>
        </w:rPr>
      </w:pPr>
      <w:bookmarkStart w:id="23" w:name="_i4i7FfMnMVXhNpEUhxQli0qw2"/>
      <w:bookmarkEnd w:id="23"/>
      <w:r w:rsidRPr="00EB08A6">
        <w:rPr>
          <w:rFonts w:ascii="Times New Roman" w:hAnsi="Times New Roman"/>
          <w:i w:val="0"/>
          <w:sz w:val="22"/>
          <w:szCs w:val="22"/>
          <w:lang w:val="lt-LT"/>
        </w:rPr>
        <w:t>4.7</w:t>
      </w:r>
      <w:r w:rsidRPr="00EB08A6">
        <w:rPr>
          <w:rFonts w:ascii="Times New Roman" w:hAnsi="Times New Roman"/>
          <w:i w:val="0"/>
          <w:sz w:val="22"/>
          <w:szCs w:val="22"/>
          <w:lang w:val="lt-LT"/>
        </w:rPr>
        <w:tab/>
        <w:t xml:space="preserve">Poveikis gebėjimui vairuoti ir valdyti mechanizmus </w:t>
      </w:r>
    </w:p>
    <w:p w14:paraId="5657A1DF" w14:textId="77777777" w:rsidR="00EB08A6" w:rsidRPr="00EB08A6" w:rsidRDefault="00EB08A6" w:rsidP="00EB08A6">
      <w:pPr>
        <w:rPr>
          <w:szCs w:val="22"/>
          <w:lang w:val="lt-LT"/>
        </w:rPr>
      </w:pPr>
      <w:bookmarkStart w:id="24" w:name="_i4i5K1EQNoOA2aHxpUfNjNa2U"/>
      <w:bookmarkEnd w:id="24"/>
    </w:p>
    <w:p w14:paraId="7AE9D22F" w14:textId="77777777" w:rsidR="00EB08A6" w:rsidRPr="00EB08A6" w:rsidRDefault="00EB08A6" w:rsidP="00EB08A6">
      <w:pPr>
        <w:rPr>
          <w:color w:val="000000"/>
          <w:szCs w:val="22"/>
          <w:lang w:val="lt-LT"/>
        </w:rPr>
      </w:pPr>
      <w:proofErr w:type="spellStart"/>
      <w:r w:rsidRPr="00EB08A6">
        <w:rPr>
          <w:color w:val="000000"/>
          <w:szCs w:val="22"/>
          <w:lang w:val="lt-LT"/>
        </w:rPr>
        <w:t>Solifenacinas</w:t>
      </w:r>
      <w:proofErr w:type="spellEnd"/>
      <w:r w:rsidRPr="00EB08A6">
        <w:rPr>
          <w:color w:val="000000"/>
          <w:szCs w:val="22"/>
          <w:lang w:val="lt-LT"/>
        </w:rPr>
        <w:t xml:space="preserve">, kaip ir kitos </w:t>
      </w:r>
      <w:proofErr w:type="spellStart"/>
      <w:r w:rsidRPr="00EB08A6">
        <w:rPr>
          <w:color w:val="000000"/>
          <w:szCs w:val="22"/>
          <w:lang w:val="lt-LT"/>
        </w:rPr>
        <w:t>anticholinerginės</w:t>
      </w:r>
      <w:proofErr w:type="spellEnd"/>
      <w:r w:rsidRPr="00EB08A6">
        <w:rPr>
          <w:color w:val="000000"/>
          <w:szCs w:val="22"/>
          <w:lang w:val="lt-LT"/>
        </w:rPr>
        <w:t xml:space="preserve"> medžiagos, gali sutrikdyti regą (matoma lyg per miglą) bei nedažnai sukelti mieguistumą ir nuovargį (žr. 4.8 skyrių). Toks poveikis neigiamai veikia gebėjimą vairuoti ir valdyti mechanizmus.</w:t>
      </w:r>
    </w:p>
    <w:p w14:paraId="77313DAC" w14:textId="77777777" w:rsidR="00EB08A6" w:rsidRPr="00EB08A6" w:rsidRDefault="00EB08A6" w:rsidP="00EB08A6">
      <w:pPr>
        <w:rPr>
          <w:szCs w:val="22"/>
          <w:lang w:val="lt-LT"/>
        </w:rPr>
      </w:pPr>
    </w:p>
    <w:p w14:paraId="3717DF34" w14:textId="77777777" w:rsidR="00EB08A6" w:rsidRPr="00EB08A6" w:rsidRDefault="00EB08A6" w:rsidP="00EB08A6">
      <w:pPr>
        <w:pStyle w:val="Antrat2"/>
        <w:keepNext w:val="0"/>
        <w:spacing w:before="0" w:after="0"/>
        <w:rPr>
          <w:rFonts w:ascii="Times New Roman" w:hAnsi="Times New Roman"/>
          <w:i w:val="0"/>
          <w:sz w:val="22"/>
          <w:szCs w:val="22"/>
        </w:rPr>
      </w:pPr>
      <w:bookmarkStart w:id="25" w:name="_i4i7ApsiAPtxmNjdkqk0pRkVI"/>
      <w:bookmarkEnd w:id="25"/>
      <w:r w:rsidRPr="00EB08A6">
        <w:rPr>
          <w:rFonts w:ascii="Times New Roman" w:hAnsi="Times New Roman"/>
          <w:i w:val="0"/>
          <w:sz w:val="22"/>
          <w:szCs w:val="22"/>
          <w:lang w:val="lt-LT"/>
        </w:rPr>
        <w:t>4.8</w:t>
      </w:r>
      <w:r w:rsidRPr="00EB08A6">
        <w:rPr>
          <w:rFonts w:ascii="Times New Roman" w:hAnsi="Times New Roman"/>
          <w:i w:val="0"/>
          <w:sz w:val="22"/>
          <w:szCs w:val="22"/>
          <w:lang w:val="lt-LT"/>
        </w:rPr>
        <w:tab/>
        <w:t>Nepageidaujamas poveikis</w:t>
      </w:r>
      <w:r w:rsidRPr="00EB08A6">
        <w:rPr>
          <w:rFonts w:ascii="Times New Roman" w:hAnsi="Times New Roman"/>
          <w:i w:val="0"/>
          <w:sz w:val="22"/>
          <w:szCs w:val="22"/>
        </w:rPr>
        <w:t xml:space="preserve"> </w:t>
      </w:r>
    </w:p>
    <w:p w14:paraId="29DAA123" w14:textId="77777777" w:rsidR="00EB08A6" w:rsidRPr="00EB08A6" w:rsidRDefault="00EB08A6" w:rsidP="00EB08A6">
      <w:pPr>
        <w:rPr>
          <w:szCs w:val="22"/>
        </w:rPr>
      </w:pPr>
    </w:p>
    <w:p w14:paraId="43648DFC" w14:textId="77777777" w:rsidR="00EB08A6" w:rsidRPr="00EB08A6" w:rsidRDefault="00EB08A6" w:rsidP="00EB08A6">
      <w:pPr>
        <w:rPr>
          <w:szCs w:val="22"/>
          <w:u w:val="single"/>
          <w:lang w:val="lt-LT"/>
        </w:rPr>
      </w:pPr>
      <w:r w:rsidRPr="00EB08A6">
        <w:rPr>
          <w:szCs w:val="22"/>
          <w:u w:val="single"/>
          <w:lang w:val="lt-LT"/>
        </w:rPr>
        <w:t>Saugumo duomenų santrauka</w:t>
      </w:r>
    </w:p>
    <w:p w14:paraId="03A7E753" w14:textId="77777777" w:rsidR="00EB08A6" w:rsidRPr="00EB08A6" w:rsidRDefault="00EB08A6" w:rsidP="00EB08A6">
      <w:pPr>
        <w:rPr>
          <w:szCs w:val="22"/>
          <w:lang w:val="lt-LT"/>
        </w:rPr>
      </w:pPr>
      <w:r w:rsidRPr="00EB08A6">
        <w:rPr>
          <w:szCs w:val="22"/>
          <w:lang w:val="lt-LT"/>
        </w:rPr>
        <w:t xml:space="preserve">Dėl farmakologinio </w:t>
      </w:r>
      <w:proofErr w:type="spellStart"/>
      <w:r w:rsidRPr="00EB08A6">
        <w:rPr>
          <w:szCs w:val="22"/>
          <w:lang w:val="lt-LT"/>
        </w:rPr>
        <w:t>solifenacino</w:t>
      </w:r>
      <w:proofErr w:type="spellEnd"/>
      <w:r w:rsidRPr="00EB08A6">
        <w:rPr>
          <w:szCs w:val="22"/>
          <w:lang w:val="lt-LT"/>
        </w:rPr>
        <w:t xml:space="preserve"> poveikio </w:t>
      </w:r>
      <w:proofErr w:type="spellStart"/>
      <w:r w:rsidRPr="00EB08A6">
        <w:rPr>
          <w:szCs w:val="22"/>
          <w:lang w:val="lt-LT"/>
        </w:rPr>
        <w:t>solifenacinas</w:t>
      </w:r>
      <w:proofErr w:type="spellEnd"/>
      <w:r w:rsidRPr="00EB08A6">
        <w:rPr>
          <w:szCs w:val="22"/>
          <w:lang w:val="lt-LT"/>
        </w:rPr>
        <w:t xml:space="preserve"> gali sukelti nepageidaujamą </w:t>
      </w:r>
      <w:proofErr w:type="spellStart"/>
      <w:r w:rsidRPr="00EB08A6">
        <w:rPr>
          <w:szCs w:val="22"/>
          <w:lang w:val="lt-LT"/>
        </w:rPr>
        <w:t>anticholinerginį</w:t>
      </w:r>
      <w:proofErr w:type="spellEnd"/>
      <w:r w:rsidRPr="00EB08A6">
        <w:rPr>
          <w:szCs w:val="22"/>
          <w:lang w:val="lt-LT"/>
        </w:rPr>
        <w:t xml:space="preserve"> poveikį (paprastai lengvą arba vidutinio sunkumo). Nepageidaujamo </w:t>
      </w:r>
      <w:proofErr w:type="spellStart"/>
      <w:r w:rsidRPr="00EB08A6">
        <w:rPr>
          <w:szCs w:val="22"/>
          <w:lang w:val="lt-LT"/>
        </w:rPr>
        <w:t>anticholinerginio</w:t>
      </w:r>
      <w:proofErr w:type="spellEnd"/>
      <w:r w:rsidRPr="00EB08A6">
        <w:rPr>
          <w:szCs w:val="22"/>
          <w:lang w:val="lt-LT"/>
        </w:rPr>
        <w:t xml:space="preserve"> poveikio pasireiškimo dažnis priklauso nuo dozės.</w:t>
      </w:r>
    </w:p>
    <w:p w14:paraId="5B620868" w14:textId="77777777" w:rsidR="00EB08A6" w:rsidRPr="00EB08A6" w:rsidRDefault="00EB08A6" w:rsidP="00EB08A6">
      <w:pPr>
        <w:rPr>
          <w:szCs w:val="22"/>
          <w:lang w:val="lt-LT"/>
        </w:rPr>
      </w:pPr>
    </w:p>
    <w:p w14:paraId="5AE972E5" w14:textId="77777777" w:rsidR="00EB08A6" w:rsidRPr="00EB08A6" w:rsidRDefault="00EB08A6" w:rsidP="00EB08A6">
      <w:pPr>
        <w:rPr>
          <w:szCs w:val="22"/>
          <w:lang w:val="lt-LT"/>
        </w:rPr>
      </w:pPr>
      <w:r w:rsidRPr="00EB08A6">
        <w:rPr>
          <w:szCs w:val="22"/>
          <w:lang w:val="lt-LT"/>
        </w:rPr>
        <w:t xml:space="preserve">Dažniausiai sukeliama </w:t>
      </w:r>
      <w:proofErr w:type="spellStart"/>
      <w:r w:rsidRPr="00EB08A6">
        <w:rPr>
          <w:szCs w:val="22"/>
          <w:lang w:val="lt-LT"/>
        </w:rPr>
        <w:t>solifenacino</w:t>
      </w:r>
      <w:proofErr w:type="spellEnd"/>
      <w:r w:rsidRPr="00EB08A6">
        <w:rPr>
          <w:szCs w:val="22"/>
          <w:lang w:val="lt-LT"/>
        </w:rPr>
        <w:t xml:space="preserve"> nepageidaujama reakcija – burnos džiūvimas. Jis pasireiškė 11 % pacientų, gydytų 5 mg </w:t>
      </w:r>
      <w:proofErr w:type="spellStart"/>
      <w:r w:rsidRPr="00EB08A6">
        <w:rPr>
          <w:szCs w:val="22"/>
          <w:lang w:val="lt-LT"/>
        </w:rPr>
        <w:t>solifenacino</w:t>
      </w:r>
      <w:proofErr w:type="spellEnd"/>
      <w:r w:rsidRPr="00EB08A6">
        <w:rPr>
          <w:szCs w:val="22"/>
          <w:lang w:val="lt-LT"/>
        </w:rPr>
        <w:t xml:space="preserve"> paros doze, 22 % ligonių, gydytų 10 mg paros doze ir 4 % </w:t>
      </w:r>
      <w:proofErr w:type="spellStart"/>
      <w:r w:rsidRPr="00EB08A6">
        <w:rPr>
          <w:szCs w:val="22"/>
          <w:lang w:val="lt-LT"/>
        </w:rPr>
        <w:t>placebo</w:t>
      </w:r>
      <w:proofErr w:type="spellEnd"/>
      <w:r w:rsidRPr="00EB08A6">
        <w:rPr>
          <w:szCs w:val="22"/>
          <w:lang w:val="lt-LT"/>
        </w:rPr>
        <w:t xml:space="preserve"> vartojusių žmonių. Burnos džiūvimas dažniausiai būdavo lengvas ir tik retkarčiais dėl jo tekdavo nutraukti gydymą. Paprastai vaistinį preparatą pacientai toleravo labai gerai (maždaug 99 %) ir maždaug 90 % </w:t>
      </w:r>
      <w:proofErr w:type="spellStart"/>
      <w:r w:rsidRPr="00EB08A6">
        <w:rPr>
          <w:szCs w:val="22"/>
          <w:lang w:val="lt-LT"/>
        </w:rPr>
        <w:t>solifenaciną</w:t>
      </w:r>
      <w:proofErr w:type="spellEnd"/>
      <w:r w:rsidRPr="00EB08A6">
        <w:rPr>
          <w:szCs w:val="22"/>
          <w:lang w:val="lt-LT"/>
        </w:rPr>
        <w:t xml:space="preserve"> vartojusių pacientų baigė visą 12 savaičių gydymo tyrimo periodą.</w:t>
      </w:r>
    </w:p>
    <w:p w14:paraId="48E9915C" w14:textId="77777777" w:rsidR="00EB08A6" w:rsidRPr="00EB08A6" w:rsidRDefault="00EB08A6" w:rsidP="00EB08A6">
      <w:pPr>
        <w:spacing w:after="200" w:line="276" w:lineRule="auto"/>
        <w:rPr>
          <w:szCs w:val="22"/>
          <w:lang w:val="lt-LT"/>
        </w:rPr>
      </w:pPr>
      <w:r w:rsidRPr="00EB08A6">
        <w:rPr>
          <w:szCs w:val="22"/>
          <w:lang w:val="lt-LT"/>
        </w:rPr>
        <w:br w:type="page"/>
      </w:r>
    </w:p>
    <w:p w14:paraId="437A4BEA" w14:textId="77777777" w:rsidR="00EB08A6" w:rsidRPr="00EB08A6" w:rsidRDefault="00EB08A6" w:rsidP="00EB08A6">
      <w:pPr>
        <w:rPr>
          <w:szCs w:val="22"/>
          <w:u w:val="single"/>
          <w:lang w:val="lt-LT"/>
        </w:rPr>
      </w:pPr>
      <w:r w:rsidRPr="00EB08A6">
        <w:rPr>
          <w:szCs w:val="22"/>
          <w:u w:val="single"/>
          <w:lang w:val="lt-LT"/>
        </w:rPr>
        <w:lastRenderedPageBreak/>
        <w:t>Nepageidaujamų reakcijų santrauka lentelėje</w:t>
      </w:r>
    </w:p>
    <w:p w14:paraId="45BF3383" w14:textId="77777777" w:rsidR="00EB08A6" w:rsidRPr="00EB08A6" w:rsidRDefault="00EB08A6" w:rsidP="00EB08A6">
      <w:pPr>
        <w:rPr>
          <w:szCs w:val="22"/>
          <w:lang w:val="lt-LT"/>
        </w:rPr>
      </w:pPr>
    </w:p>
    <w:tbl>
      <w:tblPr>
        <w:tblW w:w="10511" w:type="dxa"/>
        <w:tblInd w:w="-572" w:type="dxa"/>
        <w:tblLayout w:type="fixed"/>
        <w:tblLook w:val="0000" w:firstRow="0" w:lastRow="0" w:firstColumn="0" w:lastColumn="0" w:noHBand="0" w:noVBand="0"/>
      </w:tblPr>
      <w:tblGrid>
        <w:gridCol w:w="1560"/>
        <w:gridCol w:w="1134"/>
        <w:gridCol w:w="1417"/>
        <w:gridCol w:w="1559"/>
        <w:gridCol w:w="1418"/>
        <w:gridCol w:w="1444"/>
        <w:gridCol w:w="1979"/>
      </w:tblGrid>
      <w:tr w:rsidR="00EB08A6" w:rsidRPr="00EB08A6" w14:paraId="465AB0F5" w14:textId="77777777" w:rsidTr="006643DE">
        <w:trPr>
          <w:cantSplit/>
          <w:trHeight w:val="1003"/>
          <w:tblHeader/>
        </w:trPr>
        <w:tc>
          <w:tcPr>
            <w:tcW w:w="1560" w:type="dxa"/>
            <w:tcBorders>
              <w:top w:val="single" w:sz="4" w:space="0" w:color="000000"/>
              <w:left w:val="single" w:sz="4" w:space="0" w:color="000000"/>
              <w:bottom w:val="single" w:sz="4" w:space="0" w:color="000000"/>
              <w:right w:val="single" w:sz="4" w:space="0" w:color="000000"/>
            </w:tcBorders>
          </w:tcPr>
          <w:p w14:paraId="53280AD2" w14:textId="77777777" w:rsidR="00EB08A6" w:rsidRPr="00EB08A6" w:rsidRDefault="00EB08A6" w:rsidP="006643DE">
            <w:pPr>
              <w:rPr>
                <w:b/>
                <w:bCs/>
                <w:szCs w:val="22"/>
                <w:lang w:val="lt-LT"/>
              </w:rPr>
            </w:pPr>
            <w:proofErr w:type="spellStart"/>
            <w:r w:rsidRPr="00EB08A6">
              <w:rPr>
                <w:b/>
                <w:bCs/>
                <w:szCs w:val="22"/>
                <w:lang w:val="lt-LT"/>
              </w:rPr>
              <w:t>MedDRA</w:t>
            </w:r>
            <w:proofErr w:type="spellEnd"/>
            <w:r w:rsidRPr="00EB08A6">
              <w:rPr>
                <w:b/>
                <w:bCs/>
                <w:szCs w:val="22"/>
                <w:lang w:val="lt-LT"/>
              </w:rPr>
              <w:t xml:space="preserve"> </w:t>
            </w:r>
          </w:p>
          <w:p w14:paraId="4233F926" w14:textId="77777777" w:rsidR="00EB08A6" w:rsidRPr="00EB08A6" w:rsidRDefault="00EB08A6" w:rsidP="006643DE">
            <w:pPr>
              <w:rPr>
                <w:szCs w:val="22"/>
                <w:lang w:val="lt-LT"/>
              </w:rPr>
            </w:pPr>
            <w:r w:rsidRPr="00EB08A6">
              <w:rPr>
                <w:b/>
                <w:bCs/>
                <w:szCs w:val="22"/>
                <w:lang w:val="lt-LT"/>
              </w:rPr>
              <w:t xml:space="preserve">Organų sistemų klasė </w:t>
            </w:r>
          </w:p>
        </w:tc>
        <w:tc>
          <w:tcPr>
            <w:tcW w:w="1134" w:type="dxa"/>
            <w:tcBorders>
              <w:top w:val="single" w:sz="4" w:space="0" w:color="000000"/>
              <w:left w:val="single" w:sz="4" w:space="0" w:color="000000"/>
              <w:bottom w:val="single" w:sz="4" w:space="0" w:color="000000"/>
              <w:right w:val="single" w:sz="4" w:space="0" w:color="000000"/>
            </w:tcBorders>
          </w:tcPr>
          <w:p w14:paraId="5EE9FEFE" w14:textId="77777777" w:rsidR="00EB08A6" w:rsidRPr="00EB08A6" w:rsidRDefault="00EB08A6" w:rsidP="006643DE">
            <w:pPr>
              <w:autoSpaceDE w:val="0"/>
              <w:autoSpaceDN w:val="0"/>
              <w:adjustRightInd w:val="0"/>
              <w:rPr>
                <w:b/>
                <w:szCs w:val="22"/>
                <w:lang w:val="lt-LT"/>
              </w:rPr>
            </w:pPr>
            <w:r w:rsidRPr="00EB08A6">
              <w:rPr>
                <w:b/>
                <w:szCs w:val="22"/>
                <w:lang w:val="lt-LT"/>
              </w:rPr>
              <w:t>Labai dažnas</w:t>
            </w:r>
          </w:p>
          <w:p w14:paraId="51E84E75" w14:textId="77777777" w:rsidR="00EB08A6" w:rsidRPr="00EB08A6" w:rsidRDefault="00EB08A6" w:rsidP="006643DE">
            <w:pPr>
              <w:autoSpaceDE w:val="0"/>
              <w:autoSpaceDN w:val="0"/>
              <w:adjustRightInd w:val="0"/>
              <w:rPr>
                <w:bCs/>
                <w:szCs w:val="22"/>
                <w:lang w:val="lt-LT"/>
              </w:rPr>
            </w:pPr>
            <w:r w:rsidRPr="00EB08A6">
              <w:rPr>
                <w:bCs/>
                <w:szCs w:val="22"/>
              </w:rPr>
              <w:t>(</w:t>
            </w:r>
            <w:r w:rsidRPr="00EB08A6">
              <w:rPr>
                <w:bCs/>
                <w:color w:val="000000"/>
                <w:szCs w:val="22"/>
              </w:rPr>
              <w:t>≥</w:t>
            </w:r>
            <w:r w:rsidRPr="00EB08A6">
              <w:rPr>
                <w:bCs/>
                <w:szCs w:val="22"/>
              </w:rPr>
              <w:t> 1/10)</w:t>
            </w:r>
          </w:p>
          <w:p w14:paraId="5816C5D4" w14:textId="77777777" w:rsidR="00EB08A6" w:rsidRPr="00EB08A6" w:rsidRDefault="00EB08A6" w:rsidP="006643DE">
            <w:pPr>
              <w:rPr>
                <w:b/>
                <w:bCs/>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7CB0425C" w14:textId="77777777" w:rsidR="00EB08A6" w:rsidRPr="00EB08A6" w:rsidRDefault="00EB08A6" w:rsidP="006643DE">
            <w:pPr>
              <w:rPr>
                <w:szCs w:val="22"/>
                <w:lang w:val="lt-LT"/>
              </w:rPr>
            </w:pPr>
            <w:r w:rsidRPr="00EB08A6">
              <w:rPr>
                <w:b/>
                <w:bCs/>
                <w:szCs w:val="22"/>
                <w:lang w:val="lt-LT"/>
              </w:rPr>
              <w:t xml:space="preserve">Dažnas </w:t>
            </w:r>
          </w:p>
          <w:p w14:paraId="10EEB64A" w14:textId="77777777" w:rsidR="00EB08A6" w:rsidRPr="00EB08A6" w:rsidRDefault="00EB08A6" w:rsidP="006643DE">
            <w:pPr>
              <w:rPr>
                <w:bCs/>
                <w:szCs w:val="22"/>
                <w:lang w:val="lt-LT"/>
              </w:rPr>
            </w:pPr>
            <w:r w:rsidRPr="00EB08A6">
              <w:rPr>
                <w:bCs/>
                <w:color w:val="000000"/>
                <w:szCs w:val="22"/>
              </w:rPr>
              <w:t>(</w:t>
            </w:r>
            <w:proofErr w:type="spellStart"/>
            <w:r w:rsidRPr="00EB08A6">
              <w:rPr>
                <w:bCs/>
                <w:color w:val="000000"/>
                <w:szCs w:val="22"/>
              </w:rPr>
              <w:t>nuo</w:t>
            </w:r>
            <w:proofErr w:type="spellEnd"/>
            <w:r w:rsidRPr="00EB08A6">
              <w:rPr>
                <w:bCs/>
                <w:color w:val="000000"/>
                <w:szCs w:val="22"/>
              </w:rPr>
              <w:t xml:space="preserve"> ≥ 1/100 </w:t>
            </w:r>
            <w:proofErr w:type="spellStart"/>
            <w:r w:rsidRPr="00EB08A6">
              <w:rPr>
                <w:bCs/>
                <w:color w:val="000000"/>
                <w:szCs w:val="22"/>
              </w:rPr>
              <w:t>iki</w:t>
            </w:r>
            <w:proofErr w:type="spellEnd"/>
            <w:r w:rsidRPr="00EB08A6">
              <w:rPr>
                <w:bCs/>
                <w:color w:val="000000"/>
                <w:szCs w:val="22"/>
              </w:rPr>
              <w:t xml:space="preserve"> &lt; 1/10)</w:t>
            </w:r>
          </w:p>
        </w:tc>
        <w:tc>
          <w:tcPr>
            <w:tcW w:w="1559" w:type="dxa"/>
            <w:tcBorders>
              <w:top w:val="single" w:sz="4" w:space="0" w:color="000000"/>
              <w:left w:val="single" w:sz="4" w:space="0" w:color="000000"/>
              <w:bottom w:val="single" w:sz="4" w:space="0" w:color="000000"/>
              <w:right w:val="single" w:sz="4" w:space="0" w:color="000000"/>
            </w:tcBorders>
          </w:tcPr>
          <w:p w14:paraId="30D3F9E5" w14:textId="77777777" w:rsidR="00EB08A6" w:rsidRPr="00EB08A6" w:rsidRDefault="00EB08A6" w:rsidP="006643DE">
            <w:pPr>
              <w:rPr>
                <w:szCs w:val="22"/>
                <w:lang w:val="lt-LT"/>
              </w:rPr>
            </w:pPr>
            <w:r w:rsidRPr="00EB08A6">
              <w:rPr>
                <w:b/>
                <w:bCs/>
                <w:szCs w:val="22"/>
                <w:lang w:val="lt-LT"/>
              </w:rPr>
              <w:t>Nedažnas</w:t>
            </w:r>
          </w:p>
          <w:p w14:paraId="4F2684D5" w14:textId="77777777" w:rsidR="00EB08A6" w:rsidRPr="00EB08A6" w:rsidRDefault="00EB08A6" w:rsidP="006643DE">
            <w:pPr>
              <w:rPr>
                <w:bCs/>
                <w:szCs w:val="22"/>
                <w:lang w:val="lt-LT"/>
              </w:rPr>
            </w:pPr>
            <w:r w:rsidRPr="00EB08A6">
              <w:rPr>
                <w:bCs/>
                <w:color w:val="000000"/>
                <w:szCs w:val="22"/>
              </w:rPr>
              <w:t>(</w:t>
            </w:r>
            <w:proofErr w:type="spellStart"/>
            <w:r w:rsidRPr="00EB08A6">
              <w:rPr>
                <w:bCs/>
                <w:color w:val="000000"/>
                <w:szCs w:val="22"/>
              </w:rPr>
              <w:t>nuo</w:t>
            </w:r>
            <w:proofErr w:type="spellEnd"/>
            <w:r w:rsidRPr="00EB08A6">
              <w:rPr>
                <w:bCs/>
                <w:color w:val="000000"/>
                <w:szCs w:val="22"/>
              </w:rPr>
              <w:t xml:space="preserve"> ≥ 1/1 000 </w:t>
            </w:r>
            <w:proofErr w:type="spellStart"/>
            <w:r w:rsidRPr="00EB08A6">
              <w:rPr>
                <w:bCs/>
                <w:color w:val="000000"/>
                <w:szCs w:val="22"/>
              </w:rPr>
              <w:t>iki</w:t>
            </w:r>
            <w:proofErr w:type="spellEnd"/>
            <w:r w:rsidRPr="00EB08A6">
              <w:rPr>
                <w:bCs/>
                <w:color w:val="000000"/>
                <w:szCs w:val="22"/>
              </w:rPr>
              <w:t xml:space="preserve"> &lt; 1/100)</w:t>
            </w:r>
          </w:p>
        </w:tc>
        <w:tc>
          <w:tcPr>
            <w:tcW w:w="1418" w:type="dxa"/>
            <w:tcBorders>
              <w:top w:val="single" w:sz="4" w:space="0" w:color="000000"/>
              <w:left w:val="single" w:sz="4" w:space="0" w:color="000000"/>
              <w:bottom w:val="single" w:sz="4" w:space="0" w:color="000000"/>
              <w:right w:val="single" w:sz="4" w:space="0" w:color="000000"/>
            </w:tcBorders>
          </w:tcPr>
          <w:p w14:paraId="13C2B387" w14:textId="77777777" w:rsidR="00EB08A6" w:rsidRPr="00EB08A6" w:rsidRDefault="00EB08A6" w:rsidP="006643DE">
            <w:pPr>
              <w:rPr>
                <w:szCs w:val="22"/>
                <w:lang w:val="lt-LT"/>
              </w:rPr>
            </w:pPr>
            <w:r w:rsidRPr="00EB08A6">
              <w:rPr>
                <w:b/>
                <w:bCs/>
                <w:szCs w:val="22"/>
                <w:lang w:val="lt-LT"/>
              </w:rPr>
              <w:t>Retas</w:t>
            </w:r>
          </w:p>
          <w:p w14:paraId="2F6DF4D8" w14:textId="77777777" w:rsidR="00EB08A6" w:rsidRPr="00EB08A6" w:rsidRDefault="00EB08A6" w:rsidP="006643DE">
            <w:pPr>
              <w:rPr>
                <w:bCs/>
                <w:szCs w:val="22"/>
                <w:lang w:val="lt-LT"/>
              </w:rPr>
            </w:pPr>
            <w:r w:rsidRPr="00EB08A6">
              <w:rPr>
                <w:bCs/>
                <w:color w:val="000000"/>
                <w:szCs w:val="22"/>
              </w:rPr>
              <w:t>(</w:t>
            </w:r>
            <w:proofErr w:type="spellStart"/>
            <w:r w:rsidRPr="00EB08A6">
              <w:rPr>
                <w:bCs/>
                <w:color w:val="000000"/>
                <w:szCs w:val="22"/>
              </w:rPr>
              <w:t>nuo</w:t>
            </w:r>
            <w:proofErr w:type="spellEnd"/>
            <w:r w:rsidRPr="00EB08A6">
              <w:rPr>
                <w:bCs/>
                <w:color w:val="000000"/>
                <w:szCs w:val="22"/>
              </w:rPr>
              <w:t xml:space="preserve"> ≥ 1/10 000 </w:t>
            </w:r>
            <w:proofErr w:type="spellStart"/>
            <w:r w:rsidRPr="00EB08A6">
              <w:rPr>
                <w:bCs/>
                <w:color w:val="000000"/>
                <w:szCs w:val="22"/>
              </w:rPr>
              <w:t>iki</w:t>
            </w:r>
            <w:proofErr w:type="spellEnd"/>
            <w:r w:rsidRPr="00EB08A6">
              <w:rPr>
                <w:bCs/>
                <w:color w:val="000000"/>
                <w:szCs w:val="22"/>
              </w:rPr>
              <w:t xml:space="preserve"> &lt; 1/1 000)</w:t>
            </w:r>
          </w:p>
        </w:tc>
        <w:tc>
          <w:tcPr>
            <w:tcW w:w="1444" w:type="dxa"/>
            <w:tcBorders>
              <w:top w:val="single" w:sz="4" w:space="0" w:color="000000"/>
              <w:left w:val="single" w:sz="4" w:space="0" w:color="000000"/>
              <w:bottom w:val="single" w:sz="4" w:space="0" w:color="auto"/>
              <w:right w:val="single" w:sz="4" w:space="0" w:color="auto"/>
            </w:tcBorders>
          </w:tcPr>
          <w:p w14:paraId="2856E227" w14:textId="77777777" w:rsidR="00EB08A6" w:rsidRPr="00EB08A6" w:rsidRDefault="00EB08A6" w:rsidP="006643DE">
            <w:pPr>
              <w:rPr>
                <w:b/>
                <w:bCs/>
                <w:szCs w:val="22"/>
                <w:lang w:val="lt-LT"/>
              </w:rPr>
            </w:pPr>
            <w:r w:rsidRPr="00EB08A6">
              <w:rPr>
                <w:b/>
                <w:bCs/>
                <w:szCs w:val="22"/>
                <w:lang w:val="lt-LT"/>
              </w:rPr>
              <w:t>Labai retas</w:t>
            </w:r>
          </w:p>
          <w:p w14:paraId="282ECA49" w14:textId="77777777" w:rsidR="00EB08A6" w:rsidRPr="00EB08A6" w:rsidRDefault="00EB08A6" w:rsidP="006643DE">
            <w:pPr>
              <w:rPr>
                <w:bCs/>
                <w:szCs w:val="22"/>
                <w:lang w:val="lt-LT"/>
              </w:rPr>
            </w:pPr>
            <w:r w:rsidRPr="00EB08A6">
              <w:rPr>
                <w:bCs/>
                <w:color w:val="000000"/>
                <w:szCs w:val="22"/>
              </w:rPr>
              <w:t>(&lt; 1/10 000)</w:t>
            </w:r>
          </w:p>
        </w:tc>
        <w:tc>
          <w:tcPr>
            <w:tcW w:w="1979" w:type="dxa"/>
            <w:tcBorders>
              <w:top w:val="single" w:sz="4" w:space="0" w:color="000000"/>
              <w:left w:val="single" w:sz="4" w:space="0" w:color="auto"/>
              <w:bottom w:val="single" w:sz="4" w:space="0" w:color="auto"/>
              <w:right w:val="single" w:sz="4" w:space="0" w:color="000000"/>
            </w:tcBorders>
          </w:tcPr>
          <w:p w14:paraId="26131D60" w14:textId="77777777" w:rsidR="00EB08A6" w:rsidRPr="00EB08A6" w:rsidRDefault="00EB08A6" w:rsidP="006643DE">
            <w:pPr>
              <w:rPr>
                <w:b/>
                <w:bCs/>
                <w:szCs w:val="22"/>
                <w:lang w:val="lt-LT"/>
              </w:rPr>
            </w:pPr>
            <w:r w:rsidRPr="00EB08A6">
              <w:rPr>
                <w:b/>
                <w:bCs/>
                <w:szCs w:val="22"/>
                <w:lang w:val="lt-LT"/>
              </w:rPr>
              <w:t xml:space="preserve">Dažnis nežinomas </w:t>
            </w:r>
            <w:r w:rsidRPr="00EB08A6">
              <w:rPr>
                <w:szCs w:val="22"/>
                <w:lang w:val="lt-LT"/>
              </w:rPr>
              <w:t>(negali būti apskaičiuotas pagal turimus duomenis)</w:t>
            </w:r>
          </w:p>
        </w:tc>
      </w:tr>
      <w:tr w:rsidR="00EB08A6" w:rsidRPr="00EB08A6" w14:paraId="281E4758" w14:textId="77777777" w:rsidTr="006643DE">
        <w:trPr>
          <w:cantSplit/>
          <w:trHeight w:val="751"/>
        </w:trPr>
        <w:tc>
          <w:tcPr>
            <w:tcW w:w="1560" w:type="dxa"/>
            <w:tcBorders>
              <w:top w:val="single" w:sz="4" w:space="0" w:color="000000"/>
              <w:left w:val="single" w:sz="4" w:space="0" w:color="000000"/>
              <w:bottom w:val="single" w:sz="4" w:space="0" w:color="auto"/>
              <w:right w:val="single" w:sz="4" w:space="0" w:color="000000"/>
            </w:tcBorders>
          </w:tcPr>
          <w:p w14:paraId="204392FA" w14:textId="77777777" w:rsidR="00EB08A6" w:rsidRPr="00EB08A6" w:rsidRDefault="00EB08A6" w:rsidP="006643DE">
            <w:pPr>
              <w:rPr>
                <w:szCs w:val="22"/>
                <w:lang w:val="lt-LT"/>
              </w:rPr>
            </w:pPr>
            <w:r w:rsidRPr="00EB08A6">
              <w:rPr>
                <w:szCs w:val="22"/>
                <w:lang w:val="lt-LT"/>
              </w:rPr>
              <w:t xml:space="preserve">Infekcijos ir </w:t>
            </w:r>
            <w:proofErr w:type="spellStart"/>
            <w:r w:rsidRPr="00EB08A6">
              <w:rPr>
                <w:szCs w:val="22"/>
                <w:lang w:val="lt-LT"/>
              </w:rPr>
              <w:t>infestacijos</w:t>
            </w:r>
            <w:proofErr w:type="spellEnd"/>
          </w:p>
        </w:tc>
        <w:tc>
          <w:tcPr>
            <w:tcW w:w="1134" w:type="dxa"/>
            <w:tcBorders>
              <w:top w:val="single" w:sz="4" w:space="0" w:color="000000"/>
              <w:left w:val="single" w:sz="4" w:space="0" w:color="000000"/>
              <w:bottom w:val="single" w:sz="4" w:space="0" w:color="auto"/>
              <w:right w:val="single" w:sz="4" w:space="0" w:color="000000"/>
            </w:tcBorders>
          </w:tcPr>
          <w:p w14:paraId="5B6A50D8" w14:textId="77777777" w:rsidR="00EB08A6" w:rsidRPr="00EB08A6" w:rsidRDefault="00EB08A6" w:rsidP="006643DE">
            <w:pPr>
              <w:rPr>
                <w:szCs w:val="22"/>
                <w:lang w:val="lt-LT"/>
              </w:rPr>
            </w:pPr>
          </w:p>
        </w:tc>
        <w:tc>
          <w:tcPr>
            <w:tcW w:w="1417" w:type="dxa"/>
            <w:tcBorders>
              <w:top w:val="single" w:sz="4" w:space="0" w:color="000000"/>
              <w:left w:val="single" w:sz="4" w:space="0" w:color="000000"/>
              <w:bottom w:val="single" w:sz="4" w:space="0" w:color="auto"/>
              <w:right w:val="single" w:sz="4" w:space="0" w:color="000000"/>
            </w:tcBorders>
          </w:tcPr>
          <w:p w14:paraId="18AC4803" w14:textId="77777777" w:rsidR="00EB08A6" w:rsidRPr="00EB08A6" w:rsidRDefault="00EB08A6" w:rsidP="006643DE">
            <w:pPr>
              <w:rPr>
                <w:szCs w:val="22"/>
                <w:lang w:val="lt-LT"/>
              </w:rPr>
            </w:pPr>
          </w:p>
        </w:tc>
        <w:tc>
          <w:tcPr>
            <w:tcW w:w="1559" w:type="dxa"/>
            <w:tcBorders>
              <w:top w:val="single" w:sz="4" w:space="0" w:color="000000"/>
              <w:left w:val="single" w:sz="4" w:space="0" w:color="000000"/>
              <w:bottom w:val="single" w:sz="4" w:space="0" w:color="auto"/>
              <w:right w:val="single" w:sz="4" w:space="0" w:color="000000"/>
            </w:tcBorders>
          </w:tcPr>
          <w:p w14:paraId="245350E4" w14:textId="77777777" w:rsidR="00EB08A6" w:rsidRPr="00EB08A6" w:rsidRDefault="00EB08A6" w:rsidP="006643DE">
            <w:pPr>
              <w:rPr>
                <w:szCs w:val="22"/>
                <w:lang w:val="lt-LT"/>
              </w:rPr>
            </w:pPr>
            <w:r w:rsidRPr="00EB08A6">
              <w:rPr>
                <w:szCs w:val="22"/>
                <w:lang w:val="lt-LT"/>
              </w:rPr>
              <w:t>Šlapimo takų infekcija</w:t>
            </w:r>
          </w:p>
          <w:p w14:paraId="2B52FE57" w14:textId="77777777" w:rsidR="00EB08A6" w:rsidRPr="00EB08A6" w:rsidRDefault="00EB08A6" w:rsidP="006643DE">
            <w:pPr>
              <w:rPr>
                <w:szCs w:val="22"/>
                <w:lang w:val="lt-LT"/>
              </w:rPr>
            </w:pPr>
            <w:r w:rsidRPr="00EB08A6">
              <w:rPr>
                <w:szCs w:val="22"/>
                <w:lang w:val="lt-LT"/>
              </w:rPr>
              <w:t>Cistitas</w:t>
            </w:r>
          </w:p>
        </w:tc>
        <w:tc>
          <w:tcPr>
            <w:tcW w:w="1418" w:type="dxa"/>
            <w:tcBorders>
              <w:top w:val="single" w:sz="4" w:space="0" w:color="000000"/>
              <w:left w:val="single" w:sz="4" w:space="0" w:color="000000"/>
              <w:bottom w:val="single" w:sz="4" w:space="0" w:color="auto"/>
              <w:right w:val="single" w:sz="4" w:space="0" w:color="000000"/>
            </w:tcBorders>
          </w:tcPr>
          <w:p w14:paraId="29F41C55"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14EFC2B9"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4D0DDE84" w14:textId="77777777" w:rsidR="00EB08A6" w:rsidRPr="00EB08A6" w:rsidRDefault="00EB08A6" w:rsidP="006643DE">
            <w:pPr>
              <w:rPr>
                <w:szCs w:val="22"/>
                <w:lang w:val="lt-LT"/>
              </w:rPr>
            </w:pPr>
          </w:p>
        </w:tc>
      </w:tr>
      <w:tr w:rsidR="00EB08A6" w:rsidRPr="00EB08A6" w14:paraId="2E0ED04F" w14:textId="77777777" w:rsidTr="006643DE">
        <w:trPr>
          <w:cantSplit/>
          <w:trHeight w:val="705"/>
        </w:trPr>
        <w:tc>
          <w:tcPr>
            <w:tcW w:w="1560" w:type="dxa"/>
            <w:tcBorders>
              <w:top w:val="single" w:sz="4" w:space="0" w:color="auto"/>
              <w:left w:val="single" w:sz="4" w:space="0" w:color="000000"/>
              <w:bottom w:val="single" w:sz="4" w:space="0" w:color="auto"/>
              <w:right w:val="single" w:sz="4" w:space="0" w:color="000000"/>
            </w:tcBorders>
          </w:tcPr>
          <w:p w14:paraId="2CA3C932" w14:textId="77777777" w:rsidR="00EB08A6" w:rsidRPr="00EB08A6" w:rsidRDefault="00EB08A6" w:rsidP="006643DE">
            <w:pPr>
              <w:rPr>
                <w:szCs w:val="22"/>
                <w:lang w:val="lt-LT"/>
              </w:rPr>
            </w:pPr>
            <w:r w:rsidRPr="00EB08A6">
              <w:rPr>
                <w:szCs w:val="22"/>
                <w:lang w:val="lt-LT"/>
              </w:rPr>
              <w:t>Imuninės sistemos sutrikimai</w:t>
            </w:r>
          </w:p>
        </w:tc>
        <w:tc>
          <w:tcPr>
            <w:tcW w:w="1134" w:type="dxa"/>
            <w:tcBorders>
              <w:top w:val="single" w:sz="4" w:space="0" w:color="auto"/>
              <w:left w:val="single" w:sz="4" w:space="0" w:color="000000"/>
              <w:bottom w:val="single" w:sz="4" w:space="0" w:color="auto"/>
              <w:right w:val="single" w:sz="4" w:space="0" w:color="000000"/>
            </w:tcBorders>
          </w:tcPr>
          <w:p w14:paraId="226A4EEB" w14:textId="77777777" w:rsidR="00EB08A6" w:rsidRPr="00EB08A6" w:rsidRDefault="00EB08A6" w:rsidP="006643DE">
            <w:pPr>
              <w:rPr>
                <w:szCs w:val="22"/>
                <w:lang w:val="lt-LT"/>
              </w:rPr>
            </w:pPr>
          </w:p>
        </w:tc>
        <w:tc>
          <w:tcPr>
            <w:tcW w:w="1417" w:type="dxa"/>
            <w:tcBorders>
              <w:top w:val="single" w:sz="4" w:space="0" w:color="auto"/>
              <w:left w:val="single" w:sz="4" w:space="0" w:color="000000"/>
              <w:bottom w:val="single" w:sz="4" w:space="0" w:color="auto"/>
              <w:right w:val="single" w:sz="4" w:space="0" w:color="000000"/>
            </w:tcBorders>
          </w:tcPr>
          <w:p w14:paraId="63625959" w14:textId="77777777" w:rsidR="00EB08A6" w:rsidRPr="00EB08A6" w:rsidRDefault="00EB08A6" w:rsidP="006643DE">
            <w:pPr>
              <w:rPr>
                <w:szCs w:val="22"/>
                <w:lang w:val="lt-LT"/>
              </w:rPr>
            </w:pPr>
          </w:p>
        </w:tc>
        <w:tc>
          <w:tcPr>
            <w:tcW w:w="1559" w:type="dxa"/>
            <w:tcBorders>
              <w:top w:val="single" w:sz="4" w:space="0" w:color="auto"/>
              <w:left w:val="single" w:sz="4" w:space="0" w:color="000000"/>
              <w:bottom w:val="single" w:sz="4" w:space="0" w:color="auto"/>
              <w:right w:val="single" w:sz="4" w:space="0" w:color="000000"/>
            </w:tcBorders>
          </w:tcPr>
          <w:p w14:paraId="4F0A8C37" w14:textId="77777777" w:rsidR="00EB08A6" w:rsidRPr="00EB08A6" w:rsidRDefault="00EB08A6" w:rsidP="006643DE">
            <w:pPr>
              <w:rPr>
                <w:szCs w:val="22"/>
                <w:lang w:val="lt-LT"/>
              </w:rPr>
            </w:pPr>
          </w:p>
        </w:tc>
        <w:tc>
          <w:tcPr>
            <w:tcW w:w="1418" w:type="dxa"/>
            <w:tcBorders>
              <w:top w:val="single" w:sz="4" w:space="0" w:color="auto"/>
              <w:left w:val="single" w:sz="4" w:space="0" w:color="000000"/>
              <w:bottom w:val="single" w:sz="4" w:space="0" w:color="auto"/>
              <w:right w:val="single" w:sz="4" w:space="0" w:color="000000"/>
            </w:tcBorders>
          </w:tcPr>
          <w:p w14:paraId="62B1EE7F"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5F177A24"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22B5A886" w14:textId="77777777" w:rsidR="00EB08A6" w:rsidRPr="00EB08A6" w:rsidRDefault="00EB08A6" w:rsidP="006643DE">
            <w:pPr>
              <w:rPr>
                <w:szCs w:val="22"/>
                <w:lang w:val="lt-LT"/>
              </w:rPr>
            </w:pPr>
            <w:r w:rsidRPr="00EB08A6">
              <w:rPr>
                <w:szCs w:val="22"/>
                <w:lang w:val="lt-LT"/>
              </w:rPr>
              <w:t>Anafilaksinė reakcija*</w:t>
            </w:r>
          </w:p>
        </w:tc>
      </w:tr>
      <w:tr w:rsidR="00EB08A6" w:rsidRPr="00EB08A6" w14:paraId="36615129" w14:textId="77777777" w:rsidTr="006643DE">
        <w:trPr>
          <w:cantSplit/>
          <w:trHeight w:val="772"/>
        </w:trPr>
        <w:tc>
          <w:tcPr>
            <w:tcW w:w="1560" w:type="dxa"/>
            <w:tcBorders>
              <w:top w:val="single" w:sz="4" w:space="0" w:color="auto"/>
              <w:left w:val="single" w:sz="4" w:space="0" w:color="000000"/>
              <w:bottom w:val="single" w:sz="4" w:space="0" w:color="auto"/>
              <w:right w:val="single" w:sz="4" w:space="0" w:color="000000"/>
            </w:tcBorders>
          </w:tcPr>
          <w:p w14:paraId="095A1FF3" w14:textId="77777777" w:rsidR="00EB08A6" w:rsidRPr="00EB08A6" w:rsidRDefault="00EB08A6" w:rsidP="006643DE">
            <w:pPr>
              <w:rPr>
                <w:szCs w:val="22"/>
                <w:lang w:val="lt-LT"/>
              </w:rPr>
            </w:pPr>
            <w:r w:rsidRPr="00EB08A6">
              <w:rPr>
                <w:szCs w:val="22"/>
                <w:lang w:val="lt-LT"/>
              </w:rPr>
              <w:t>Metabolizmo ir mitybos sutrikimai</w:t>
            </w:r>
          </w:p>
        </w:tc>
        <w:tc>
          <w:tcPr>
            <w:tcW w:w="1134" w:type="dxa"/>
            <w:tcBorders>
              <w:top w:val="single" w:sz="4" w:space="0" w:color="auto"/>
              <w:left w:val="single" w:sz="4" w:space="0" w:color="000000"/>
              <w:bottom w:val="single" w:sz="4" w:space="0" w:color="000000"/>
              <w:right w:val="single" w:sz="4" w:space="0" w:color="000000"/>
            </w:tcBorders>
          </w:tcPr>
          <w:p w14:paraId="6188580F" w14:textId="77777777" w:rsidR="00EB08A6" w:rsidRPr="00EB08A6" w:rsidRDefault="00EB08A6" w:rsidP="006643DE">
            <w:pPr>
              <w:rPr>
                <w:szCs w:val="22"/>
                <w:lang w:val="lt-LT"/>
              </w:rPr>
            </w:pPr>
          </w:p>
        </w:tc>
        <w:tc>
          <w:tcPr>
            <w:tcW w:w="1417" w:type="dxa"/>
            <w:tcBorders>
              <w:top w:val="single" w:sz="4" w:space="0" w:color="auto"/>
              <w:left w:val="single" w:sz="4" w:space="0" w:color="000000"/>
              <w:bottom w:val="single" w:sz="4" w:space="0" w:color="000000"/>
              <w:right w:val="single" w:sz="4" w:space="0" w:color="000000"/>
            </w:tcBorders>
          </w:tcPr>
          <w:p w14:paraId="46A72CC9" w14:textId="77777777" w:rsidR="00EB08A6" w:rsidRPr="00EB08A6" w:rsidRDefault="00EB08A6" w:rsidP="006643DE">
            <w:pPr>
              <w:rPr>
                <w:szCs w:val="22"/>
                <w:lang w:val="lt-LT"/>
              </w:rPr>
            </w:pPr>
          </w:p>
        </w:tc>
        <w:tc>
          <w:tcPr>
            <w:tcW w:w="1559" w:type="dxa"/>
            <w:tcBorders>
              <w:top w:val="single" w:sz="4" w:space="0" w:color="auto"/>
              <w:left w:val="single" w:sz="4" w:space="0" w:color="000000"/>
              <w:bottom w:val="single" w:sz="4" w:space="0" w:color="000000"/>
              <w:right w:val="single" w:sz="4" w:space="0" w:color="000000"/>
            </w:tcBorders>
          </w:tcPr>
          <w:p w14:paraId="166E0618" w14:textId="77777777" w:rsidR="00EB08A6" w:rsidRPr="00EB08A6" w:rsidRDefault="00EB08A6" w:rsidP="006643DE">
            <w:pPr>
              <w:rPr>
                <w:szCs w:val="22"/>
                <w:lang w:val="lt-LT"/>
              </w:rPr>
            </w:pPr>
          </w:p>
        </w:tc>
        <w:tc>
          <w:tcPr>
            <w:tcW w:w="1418" w:type="dxa"/>
            <w:tcBorders>
              <w:top w:val="single" w:sz="4" w:space="0" w:color="auto"/>
              <w:left w:val="single" w:sz="4" w:space="0" w:color="000000"/>
              <w:bottom w:val="single" w:sz="4" w:space="0" w:color="000000"/>
              <w:right w:val="single" w:sz="4" w:space="0" w:color="000000"/>
            </w:tcBorders>
          </w:tcPr>
          <w:p w14:paraId="15EC8FDA"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2F575C76"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4582F289" w14:textId="77777777" w:rsidR="00EB08A6" w:rsidRPr="00EB08A6" w:rsidRDefault="00EB08A6" w:rsidP="006643DE">
            <w:pPr>
              <w:rPr>
                <w:szCs w:val="22"/>
                <w:lang w:val="lt-LT"/>
              </w:rPr>
            </w:pPr>
            <w:r w:rsidRPr="00EB08A6">
              <w:rPr>
                <w:szCs w:val="22"/>
                <w:lang w:val="lt-LT"/>
              </w:rPr>
              <w:t>Apetito sumažėjimas*</w:t>
            </w:r>
          </w:p>
          <w:p w14:paraId="4B9F392D" w14:textId="77777777" w:rsidR="00EB08A6" w:rsidRPr="00EB08A6" w:rsidRDefault="00EB08A6" w:rsidP="006643DE">
            <w:pPr>
              <w:rPr>
                <w:szCs w:val="22"/>
                <w:lang w:val="lt-LT"/>
              </w:rPr>
            </w:pPr>
            <w:proofErr w:type="spellStart"/>
            <w:r w:rsidRPr="00EB08A6">
              <w:rPr>
                <w:szCs w:val="22"/>
                <w:lang w:val="lt-LT"/>
              </w:rPr>
              <w:t>Hiperkalemija</w:t>
            </w:r>
            <w:proofErr w:type="spellEnd"/>
            <w:r w:rsidRPr="00EB08A6">
              <w:rPr>
                <w:szCs w:val="22"/>
                <w:lang w:val="lt-LT"/>
              </w:rPr>
              <w:t>*</w:t>
            </w:r>
          </w:p>
        </w:tc>
      </w:tr>
      <w:tr w:rsidR="00EB08A6" w:rsidRPr="00EB08A6" w14:paraId="5306DA4F" w14:textId="77777777" w:rsidTr="006643DE">
        <w:trPr>
          <w:cantSplit/>
          <w:trHeight w:val="1003"/>
        </w:trPr>
        <w:tc>
          <w:tcPr>
            <w:tcW w:w="1560" w:type="dxa"/>
            <w:tcBorders>
              <w:top w:val="single" w:sz="4" w:space="0" w:color="auto"/>
              <w:left w:val="single" w:sz="4" w:space="0" w:color="000000"/>
              <w:bottom w:val="single" w:sz="4" w:space="0" w:color="000000"/>
              <w:right w:val="single" w:sz="4" w:space="0" w:color="auto"/>
            </w:tcBorders>
          </w:tcPr>
          <w:p w14:paraId="4E735541" w14:textId="77777777" w:rsidR="00EB08A6" w:rsidRPr="00EB08A6" w:rsidRDefault="00EB08A6" w:rsidP="006643DE">
            <w:pPr>
              <w:rPr>
                <w:szCs w:val="22"/>
                <w:lang w:val="lt-LT"/>
              </w:rPr>
            </w:pPr>
            <w:r w:rsidRPr="00EB08A6">
              <w:rPr>
                <w:szCs w:val="22"/>
                <w:lang w:val="lt-LT"/>
              </w:rPr>
              <w:t>Psichikos sutrikimai</w:t>
            </w:r>
            <w:r w:rsidRPr="00EB08A6" w:rsidDel="00EF1797">
              <w:rPr>
                <w:szCs w:val="22"/>
                <w:lang w:val="lt-LT"/>
              </w:rPr>
              <w:t xml:space="preserve"> </w:t>
            </w:r>
          </w:p>
        </w:tc>
        <w:tc>
          <w:tcPr>
            <w:tcW w:w="1134" w:type="dxa"/>
            <w:tcBorders>
              <w:top w:val="single" w:sz="4" w:space="0" w:color="000000"/>
              <w:left w:val="single" w:sz="4" w:space="0" w:color="auto"/>
              <w:bottom w:val="single" w:sz="4" w:space="0" w:color="000000"/>
              <w:right w:val="single" w:sz="4" w:space="0" w:color="auto"/>
            </w:tcBorders>
          </w:tcPr>
          <w:p w14:paraId="399A83C4" w14:textId="77777777" w:rsidR="00EB08A6" w:rsidRPr="00EB08A6" w:rsidRDefault="00EB08A6" w:rsidP="006643DE">
            <w:pPr>
              <w:rPr>
                <w:szCs w:val="22"/>
                <w:lang w:val="lt-LT"/>
              </w:rPr>
            </w:pPr>
          </w:p>
        </w:tc>
        <w:tc>
          <w:tcPr>
            <w:tcW w:w="1417" w:type="dxa"/>
            <w:tcBorders>
              <w:top w:val="single" w:sz="4" w:space="0" w:color="000000"/>
              <w:left w:val="single" w:sz="4" w:space="0" w:color="auto"/>
              <w:bottom w:val="single" w:sz="4" w:space="0" w:color="000000"/>
              <w:right w:val="single" w:sz="4" w:space="0" w:color="000000"/>
            </w:tcBorders>
          </w:tcPr>
          <w:p w14:paraId="77BDD848" w14:textId="77777777" w:rsidR="00EB08A6" w:rsidRPr="00EB08A6" w:rsidRDefault="00EB08A6" w:rsidP="006643DE">
            <w:pPr>
              <w:rPr>
                <w:szCs w:val="22"/>
                <w:lang w:val="lt-LT"/>
              </w:rPr>
            </w:pPr>
          </w:p>
        </w:tc>
        <w:tc>
          <w:tcPr>
            <w:tcW w:w="1559" w:type="dxa"/>
            <w:tcBorders>
              <w:top w:val="single" w:sz="4" w:space="0" w:color="000000"/>
              <w:left w:val="single" w:sz="4" w:space="0" w:color="000000"/>
              <w:bottom w:val="single" w:sz="4" w:space="0" w:color="000000"/>
              <w:right w:val="single" w:sz="4" w:space="0" w:color="000000"/>
            </w:tcBorders>
          </w:tcPr>
          <w:p w14:paraId="491F3971" w14:textId="77777777" w:rsidR="00EB08A6" w:rsidRPr="00EB08A6" w:rsidRDefault="00EB08A6" w:rsidP="006643DE">
            <w:pPr>
              <w:rPr>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4DEB847C"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5F465A1E" w14:textId="77777777" w:rsidR="00EB08A6" w:rsidRPr="00EB08A6" w:rsidRDefault="00EB08A6" w:rsidP="006643DE">
            <w:pPr>
              <w:rPr>
                <w:szCs w:val="22"/>
                <w:lang w:val="lt-LT"/>
              </w:rPr>
            </w:pPr>
            <w:r w:rsidRPr="00EB08A6">
              <w:rPr>
                <w:szCs w:val="22"/>
                <w:lang w:val="lt-LT"/>
              </w:rPr>
              <w:t>Haliucinaci</w:t>
            </w:r>
            <w:r w:rsidRPr="00EB08A6">
              <w:rPr>
                <w:szCs w:val="22"/>
                <w:lang w:val="lt-LT"/>
              </w:rPr>
              <w:softHyphen/>
              <w:t>jos*</w:t>
            </w:r>
          </w:p>
          <w:p w14:paraId="28FC1F45" w14:textId="77777777" w:rsidR="00EB08A6" w:rsidRPr="00EB08A6" w:rsidRDefault="00EB08A6" w:rsidP="006643DE">
            <w:pPr>
              <w:rPr>
                <w:szCs w:val="22"/>
                <w:lang w:val="lt-LT"/>
              </w:rPr>
            </w:pPr>
            <w:r w:rsidRPr="00EB08A6">
              <w:rPr>
                <w:szCs w:val="22"/>
                <w:lang w:val="lt-LT"/>
              </w:rPr>
              <w:t>Sumišimo būsena*</w:t>
            </w:r>
          </w:p>
        </w:tc>
        <w:tc>
          <w:tcPr>
            <w:tcW w:w="1979" w:type="dxa"/>
            <w:tcBorders>
              <w:top w:val="single" w:sz="4" w:space="0" w:color="auto"/>
              <w:left w:val="single" w:sz="4" w:space="0" w:color="auto"/>
              <w:bottom w:val="single" w:sz="4" w:space="0" w:color="auto"/>
              <w:right w:val="single" w:sz="4" w:space="0" w:color="000000"/>
            </w:tcBorders>
          </w:tcPr>
          <w:p w14:paraId="6B4862E5" w14:textId="77777777" w:rsidR="00EB08A6" w:rsidRPr="00EB08A6" w:rsidRDefault="00EB08A6" w:rsidP="006643DE">
            <w:pPr>
              <w:rPr>
                <w:szCs w:val="22"/>
                <w:lang w:val="lt-LT"/>
              </w:rPr>
            </w:pPr>
            <w:proofErr w:type="spellStart"/>
            <w:r w:rsidRPr="00EB08A6">
              <w:rPr>
                <w:szCs w:val="22"/>
                <w:lang w:val="lt-LT"/>
              </w:rPr>
              <w:t>Delyras</w:t>
            </w:r>
            <w:proofErr w:type="spellEnd"/>
            <w:r w:rsidRPr="00EB08A6">
              <w:rPr>
                <w:szCs w:val="22"/>
                <w:lang w:val="lt-LT"/>
              </w:rPr>
              <w:t>*</w:t>
            </w:r>
          </w:p>
        </w:tc>
      </w:tr>
      <w:tr w:rsidR="00EB08A6" w:rsidRPr="00EB08A6" w14:paraId="339BDDBE" w14:textId="77777777" w:rsidTr="006643DE">
        <w:trPr>
          <w:cantSplit/>
          <w:trHeight w:val="671"/>
        </w:trPr>
        <w:tc>
          <w:tcPr>
            <w:tcW w:w="1560" w:type="dxa"/>
            <w:tcBorders>
              <w:top w:val="single" w:sz="4" w:space="0" w:color="000000"/>
              <w:left w:val="single" w:sz="4" w:space="0" w:color="000000"/>
              <w:bottom w:val="single" w:sz="4" w:space="0" w:color="000000"/>
              <w:right w:val="single" w:sz="4" w:space="0" w:color="auto"/>
            </w:tcBorders>
          </w:tcPr>
          <w:p w14:paraId="48F1F0ED" w14:textId="77777777" w:rsidR="00EB08A6" w:rsidRPr="00EB08A6" w:rsidRDefault="00EB08A6" w:rsidP="006643DE">
            <w:pPr>
              <w:rPr>
                <w:szCs w:val="22"/>
                <w:lang w:val="lt-LT"/>
              </w:rPr>
            </w:pPr>
            <w:r w:rsidRPr="00EB08A6">
              <w:rPr>
                <w:szCs w:val="22"/>
                <w:lang w:val="lt-LT"/>
              </w:rPr>
              <w:t>Nervų sistemos sutrikimai</w:t>
            </w:r>
          </w:p>
        </w:tc>
        <w:tc>
          <w:tcPr>
            <w:tcW w:w="1134" w:type="dxa"/>
            <w:tcBorders>
              <w:top w:val="single" w:sz="4" w:space="0" w:color="000000"/>
              <w:left w:val="single" w:sz="4" w:space="0" w:color="auto"/>
              <w:bottom w:val="single" w:sz="4" w:space="0" w:color="000000"/>
              <w:right w:val="single" w:sz="4" w:space="0" w:color="auto"/>
            </w:tcBorders>
          </w:tcPr>
          <w:p w14:paraId="04B480FA" w14:textId="77777777" w:rsidR="00EB08A6" w:rsidRPr="00EB08A6" w:rsidRDefault="00EB08A6" w:rsidP="006643DE">
            <w:pPr>
              <w:rPr>
                <w:szCs w:val="22"/>
                <w:lang w:val="lt-LT"/>
              </w:rPr>
            </w:pPr>
          </w:p>
        </w:tc>
        <w:tc>
          <w:tcPr>
            <w:tcW w:w="1417" w:type="dxa"/>
            <w:tcBorders>
              <w:top w:val="single" w:sz="4" w:space="0" w:color="000000"/>
              <w:left w:val="single" w:sz="4" w:space="0" w:color="auto"/>
              <w:bottom w:val="single" w:sz="4" w:space="0" w:color="000000"/>
              <w:right w:val="single" w:sz="4" w:space="0" w:color="auto"/>
            </w:tcBorders>
          </w:tcPr>
          <w:p w14:paraId="1BC4B83C" w14:textId="77777777" w:rsidR="00EB08A6" w:rsidRPr="00EB08A6" w:rsidRDefault="00EB08A6" w:rsidP="006643DE">
            <w:pPr>
              <w:rPr>
                <w:szCs w:val="22"/>
                <w:lang w:val="lt-LT"/>
              </w:rPr>
            </w:pPr>
          </w:p>
        </w:tc>
        <w:tc>
          <w:tcPr>
            <w:tcW w:w="1559" w:type="dxa"/>
            <w:tcBorders>
              <w:top w:val="single" w:sz="4" w:space="0" w:color="000000"/>
              <w:left w:val="single" w:sz="4" w:space="0" w:color="auto"/>
              <w:bottom w:val="single" w:sz="4" w:space="0" w:color="000000"/>
              <w:right w:val="single" w:sz="4" w:space="0" w:color="auto"/>
            </w:tcBorders>
          </w:tcPr>
          <w:p w14:paraId="64DC9F3A" w14:textId="77777777" w:rsidR="00EB08A6" w:rsidRPr="00EB08A6" w:rsidRDefault="00EB08A6" w:rsidP="006643DE">
            <w:pPr>
              <w:rPr>
                <w:szCs w:val="22"/>
                <w:lang w:val="lt-LT"/>
              </w:rPr>
            </w:pPr>
            <w:r w:rsidRPr="00EB08A6">
              <w:rPr>
                <w:szCs w:val="22"/>
                <w:lang w:val="lt-LT"/>
              </w:rPr>
              <w:t xml:space="preserve">Mieguistumas </w:t>
            </w:r>
          </w:p>
          <w:p w14:paraId="7ED54E35" w14:textId="77777777" w:rsidR="00EB08A6" w:rsidRPr="00EB08A6" w:rsidRDefault="00EB08A6" w:rsidP="006643DE">
            <w:pPr>
              <w:rPr>
                <w:szCs w:val="22"/>
                <w:lang w:val="lt-LT"/>
              </w:rPr>
            </w:pPr>
            <w:r w:rsidRPr="00EB08A6">
              <w:rPr>
                <w:szCs w:val="22"/>
                <w:lang w:val="lt-LT"/>
              </w:rPr>
              <w:t>Skonio pojūčio sutrikimas</w:t>
            </w:r>
          </w:p>
        </w:tc>
        <w:tc>
          <w:tcPr>
            <w:tcW w:w="1418" w:type="dxa"/>
            <w:tcBorders>
              <w:top w:val="single" w:sz="4" w:space="0" w:color="000000"/>
              <w:left w:val="single" w:sz="4" w:space="0" w:color="auto"/>
              <w:bottom w:val="single" w:sz="4" w:space="0" w:color="000000"/>
              <w:right w:val="single" w:sz="4" w:space="0" w:color="000000"/>
            </w:tcBorders>
          </w:tcPr>
          <w:p w14:paraId="582634CC" w14:textId="77777777" w:rsidR="00EB08A6" w:rsidRPr="00EB08A6" w:rsidRDefault="00EB08A6" w:rsidP="006643DE">
            <w:pPr>
              <w:rPr>
                <w:szCs w:val="22"/>
                <w:lang w:val="lt-LT"/>
              </w:rPr>
            </w:pPr>
            <w:r w:rsidRPr="00EB08A6">
              <w:rPr>
                <w:szCs w:val="22"/>
                <w:lang w:val="lt-LT"/>
              </w:rPr>
              <w:t>Svaigulys *</w:t>
            </w:r>
          </w:p>
          <w:p w14:paraId="4CC46587" w14:textId="77777777" w:rsidR="00EB08A6" w:rsidRPr="00EB08A6" w:rsidRDefault="00EB08A6" w:rsidP="006643DE">
            <w:pPr>
              <w:rPr>
                <w:szCs w:val="22"/>
                <w:lang w:val="lt-LT"/>
              </w:rPr>
            </w:pPr>
            <w:r w:rsidRPr="00EB08A6">
              <w:rPr>
                <w:szCs w:val="22"/>
                <w:lang w:val="lt-LT"/>
              </w:rPr>
              <w:t>Galvos skausmas*</w:t>
            </w:r>
          </w:p>
        </w:tc>
        <w:tc>
          <w:tcPr>
            <w:tcW w:w="1444" w:type="dxa"/>
            <w:tcBorders>
              <w:top w:val="single" w:sz="4" w:space="0" w:color="auto"/>
              <w:left w:val="single" w:sz="4" w:space="0" w:color="000000"/>
              <w:bottom w:val="single" w:sz="4" w:space="0" w:color="auto"/>
              <w:right w:val="single" w:sz="4" w:space="0" w:color="auto"/>
            </w:tcBorders>
          </w:tcPr>
          <w:p w14:paraId="2577C9B5"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7F81DA2D" w14:textId="77777777" w:rsidR="00EB08A6" w:rsidRPr="00EB08A6" w:rsidRDefault="00EB08A6" w:rsidP="006643DE">
            <w:pPr>
              <w:rPr>
                <w:szCs w:val="22"/>
                <w:lang w:val="lt-LT"/>
              </w:rPr>
            </w:pPr>
          </w:p>
        </w:tc>
      </w:tr>
      <w:tr w:rsidR="00EB08A6" w:rsidRPr="00EB08A6" w14:paraId="57D03BA8" w14:textId="77777777" w:rsidTr="006643DE">
        <w:trPr>
          <w:cantSplit/>
          <w:trHeight w:val="483"/>
        </w:trPr>
        <w:tc>
          <w:tcPr>
            <w:tcW w:w="1560" w:type="dxa"/>
            <w:tcBorders>
              <w:top w:val="single" w:sz="4" w:space="0" w:color="000000"/>
              <w:left w:val="single" w:sz="4" w:space="0" w:color="000000"/>
              <w:bottom w:val="single" w:sz="4" w:space="0" w:color="auto"/>
              <w:right w:val="single" w:sz="4" w:space="0" w:color="000000"/>
            </w:tcBorders>
          </w:tcPr>
          <w:p w14:paraId="7D96A35A" w14:textId="77777777" w:rsidR="00EB08A6" w:rsidRPr="00EB08A6" w:rsidRDefault="00EB08A6" w:rsidP="006643DE">
            <w:pPr>
              <w:rPr>
                <w:szCs w:val="22"/>
                <w:lang w:val="lt-LT"/>
              </w:rPr>
            </w:pPr>
            <w:r w:rsidRPr="00EB08A6">
              <w:rPr>
                <w:szCs w:val="22"/>
                <w:lang w:val="lt-LT"/>
              </w:rPr>
              <w:t>Akių sutrikimai</w:t>
            </w:r>
          </w:p>
        </w:tc>
        <w:tc>
          <w:tcPr>
            <w:tcW w:w="1134" w:type="dxa"/>
            <w:tcBorders>
              <w:top w:val="single" w:sz="4" w:space="0" w:color="000000"/>
              <w:left w:val="single" w:sz="4" w:space="0" w:color="000000"/>
              <w:bottom w:val="single" w:sz="4" w:space="0" w:color="auto"/>
              <w:right w:val="single" w:sz="4" w:space="0" w:color="000000"/>
            </w:tcBorders>
          </w:tcPr>
          <w:p w14:paraId="1705B207" w14:textId="77777777" w:rsidR="00EB08A6" w:rsidRPr="00EB08A6" w:rsidRDefault="00EB08A6" w:rsidP="006643DE">
            <w:pPr>
              <w:rPr>
                <w:szCs w:val="22"/>
                <w:lang w:val="lt-LT"/>
              </w:rPr>
            </w:pPr>
          </w:p>
        </w:tc>
        <w:tc>
          <w:tcPr>
            <w:tcW w:w="1417" w:type="dxa"/>
            <w:tcBorders>
              <w:top w:val="single" w:sz="4" w:space="0" w:color="000000"/>
              <w:left w:val="single" w:sz="4" w:space="0" w:color="000000"/>
              <w:bottom w:val="single" w:sz="4" w:space="0" w:color="auto"/>
              <w:right w:val="single" w:sz="4" w:space="0" w:color="auto"/>
            </w:tcBorders>
          </w:tcPr>
          <w:p w14:paraId="508B739C" w14:textId="77777777" w:rsidR="00EB08A6" w:rsidRPr="00EB08A6" w:rsidRDefault="00EB08A6" w:rsidP="006643DE">
            <w:pPr>
              <w:rPr>
                <w:szCs w:val="22"/>
                <w:lang w:val="lt-LT"/>
              </w:rPr>
            </w:pPr>
            <w:r w:rsidRPr="00EB08A6">
              <w:rPr>
                <w:szCs w:val="22"/>
                <w:lang w:val="lt-LT"/>
              </w:rPr>
              <w:t>Neryškus matymas</w:t>
            </w:r>
          </w:p>
        </w:tc>
        <w:tc>
          <w:tcPr>
            <w:tcW w:w="1559" w:type="dxa"/>
            <w:tcBorders>
              <w:top w:val="single" w:sz="4" w:space="0" w:color="000000"/>
              <w:left w:val="single" w:sz="4" w:space="0" w:color="auto"/>
              <w:bottom w:val="single" w:sz="4" w:space="0" w:color="auto"/>
              <w:right w:val="single" w:sz="4" w:space="0" w:color="auto"/>
            </w:tcBorders>
          </w:tcPr>
          <w:p w14:paraId="10DF02F0" w14:textId="77777777" w:rsidR="00EB08A6" w:rsidRPr="00EB08A6" w:rsidRDefault="00EB08A6" w:rsidP="006643DE">
            <w:pPr>
              <w:rPr>
                <w:szCs w:val="22"/>
                <w:lang w:val="lt-LT"/>
              </w:rPr>
            </w:pPr>
            <w:r w:rsidRPr="00EB08A6">
              <w:rPr>
                <w:szCs w:val="22"/>
                <w:lang w:val="lt-LT"/>
              </w:rPr>
              <w:t>Akių sausumas</w:t>
            </w:r>
          </w:p>
        </w:tc>
        <w:tc>
          <w:tcPr>
            <w:tcW w:w="1418" w:type="dxa"/>
            <w:tcBorders>
              <w:top w:val="single" w:sz="4" w:space="0" w:color="000000"/>
              <w:left w:val="single" w:sz="4" w:space="0" w:color="auto"/>
              <w:bottom w:val="single" w:sz="4" w:space="0" w:color="auto"/>
              <w:right w:val="single" w:sz="4" w:space="0" w:color="000000"/>
            </w:tcBorders>
          </w:tcPr>
          <w:p w14:paraId="56806DCE"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18014FA8"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05598F04" w14:textId="77777777" w:rsidR="00EB08A6" w:rsidRPr="00EB08A6" w:rsidRDefault="00EB08A6" w:rsidP="006643DE">
            <w:pPr>
              <w:rPr>
                <w:szCs w:val="22"/>
                <w:lang w:val="lt-LT"/>
              </w:rPr>
            </w:pPr>
            <w:r w:rsidRPr="00EB08A6">
              <w:rPr>
                <w:szCs w:val="22"/>
                <w:lang w:val="lt-LT"/>
              </w:rPr>
              <w:t>Glaukoma*</w:t>
            </w:r>
          </w:p>
        </w:tc>
      </w:tr>
      <w:tr w:rsidR="00EB08A6" w:rsidRPr="00EB08A6" w14:paraId="53C6E7E8" w14:textId="77777777" w:rsidTr="006643DE">
        <w:trPr>
          <w:cantSplit/>
          <w:trHeight w:val="1003"/>
        </w:trPr>
        <w:tc>
          <w:tcPr>
            <w:tcW w:w="1560" w:type="dxa"/>
            <w:tcBorders>
              <w:top w:val="single" w:sz="4" w:space="0" w:color="auto"/>
              <w:left w:val="single" w:sz="4" w:space="0" w:color="000000"/>
              <w:bottom w:val="single" w:sz="4" w:space="0" w:color="auto"/>
              <w:right w:val="single" w:sz="4" w:space="0" w:color="000000"/>
            </w:tcBorders>
          </w:tcPr>
          <w:p w14:paraId="6A8D8681" w14:textId="77777777" w:rsidR="00EB08A6" w:rsidRPr="00EB08A6" w:rsidRDefault="00EB08A6" w:rsidP="006643DE">
            <w:pPr>
              <w:rPr>
                <w:szCs w:val="22"/>
                <w:lang w:val="lt-LT"/>
              </w:rPr>
            </w:pPr>
            <w:r w:rsidRPr="00EB08A6">
              <w:rPr>
                <w:szCs w:val="22"/>
                <w:lang w:val="lt-LT"/>
              </w:rPr>
              <w:t>Širdies sutrikimai</w:t>
            </w:r>
          </w:p>
        </w:tc>
        <w:tc>
          <w:tcPr>
            <w:tcW w:w="1134" w:type="dxa"/>
            <w:tcBorders>
              <w:top w:val="single" w:sz="4" w:space="0" w:color="auto"/>
              <w:left w:val="single" w:sz="4" w:space="0" w:color="000000"/>
              <w:bottom w:val="single" w:sz="4" w:space="0" w:color="auto"/>
              <w:right w:val="single" w:sz="4" w:space="0" w:color="000000"/>
            </w:tcBorders>
          </w:tcPr>
          <w:p w14:paraId="526DE0F9" w14:textId="77777777" w:rsidR="00EB08A6" w:rsidRPr="00EB08A6" w:rsidRDefault="00EB08A6" w:rsidP="006643DE">
            <w:pPr>
              <w:rPr>
                <w:szCs w:val="22"/>
                <w:lang w:val="lt-LT"/>
              </w:rPr>
            </w:pPr>
          </w:p>
        </w:tc>
        <w:tc>
          <w:tcPr>
            <w:tcW w:w="1417" w:type="dxa"/>
            <w:tcBorders>
              <w:top w:val="single" w:sz="4" w:space="0" w:color="auto"/>
              <w:left w:val="single" w:sz="4" w:space="0" w:color="000000"/>
              <w:bottom w:val="single" w:sz="4" w:space="0" w:color="000000"/>
              <w:right w:val="single" w:sz="4" w:space="0" w:color="auto"/>
            </w:tcBorders>
          </w:tcPr>
          <w:p w14:paraId="5C5C8FB1" w14:textId="77777777" w:rsidR="00EB08A6" w:rsidRPr="00EB08A6" w:rsidRDefault="00EB08A6" w:rsidP="006643DE">
            <w:pPr>
              <w:rPr>
                <w:szCs w:val="22"/>
                <w:lang w:val="lt-LT"/>
              </w:rPr>
            </w:pPr>
          </w:p>
        </w:tc>
        <w:tc>
          <w:tcPr>
            <w:tcW w:w="1559" w:type="dxa"/>
            <w:tcBorders>
              <w:top w:val="single" w:sz="4" w:space="0" w:color="auto"/>
              <w:left w:val="single" w:sz="4" w:space="0" w:color="auto"/>
              <w:bottom w:val="single" w:sz="4" w:space="0" w:color="000000"/>
              <w:right w:val="single" w:sz="4" w:space="0" w:color="auto"/>
            </w:tcBorders>
          </w:tcPr>
          <w:p w14:paraId="66014DF8" w14:textId="77777777" w:rsidR="00EB08A6" w:rsidRPr="00EB08A6" w:rsidRDefault="00EB08A6" w:rsidP="006643DE">
            <w:pPr>
              <w:rPr>
                <w:szCs w:val="22"/>
                <w:lang w:val="lt-LT"/>
              </w:rPr>
            </w:pPr>
          </w:p>
        </w:tc>
        <w:tc>
          <w:tcPr>
            <w:tcW w:w="1418" w:type="dxa"/>
            <w:tcBorders>
              <w:top w:val="single" w:sz="4" w:space="0" w:color="auto"/>
              <w:left w:val="single" w:sz="4" w:space="0" w:color="auto"/>
              <w:bottom w:val="single" w:sz="4" w:space="0" w:color="000000"/>
              <w:right w:val="single" w:sz="4" w:space="0" w:color="000000"/>
            </w:tcBorders>
          </w:tcPr>
          <w:p w14:paraId="5B1906AC"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6A21DDAE"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30425D50" w14:textId="77777777" w:rsidR="00EB08A6" w:rsidRPr="00EB08A6" w:rsidRDefault="00EB08A6" w:rsidP="006643DE">
            <w:pPr>
              <w:rPr>
                <w:szCs w:val="22"/>
                <w:lang w:val="lt-LT"/>
              </w:rPr>
            </w:pPr>
            <w:proofErr w:type="spellStart"/>
            <w:r w:rsidRPr="00EB08A6">
              <w:rPr>
                <w:i/>
                <w:szCs w:val="22"/>
                <w:lang w:val="lt-LT"/>
              </w:rPr>
              <w:t>Torsades</w:t>
            </w:r>
            <w:proofErr w:type="spellEnd"/>
            <w:r w:rsidRPr="00EB08A6">
              <w:rPr>
                <w:i/>
                <w:szCs w:val="22"/>
                <w:lang w:val="lt-LT"/>
              </w:rPr>
              <w:t xml:space="preserve"> de </w:t>
            </w:r>
            <w:proofErr w:type="spellStart"/>
            <w:r w:rsidRPr="00EB08A6">
              <w:rPr>
                <w:i/>
                <w:szCs w:val="22"/>
                <w:lang w:val="lt-LT"/>
              </w:rPr>
              <w:t>pointes</w:t>
            </w:r>
            <w:proofErr w:type="spellEnd"/>
            <w:r w:rsidRPr="00EB08A6">
              <w:rPr>
                <w:szCs w:val="22"/>
                <w:lang w:val="lt-LT"/>
              </w:rPr>
              <w:t>*</w:t>
            </w:r>
          </w:p>
          <w:p w14:paraId="7D029EA0" w14:textId="77777777" w:rsidR="00EB08A6" w:rsidRPr="00EB08A6" w:rsidRDefault="00EB08A6" w:rsidP="006643DE">
            <w:pPr>
              <w:rPr>
                <w:szCs w:val="22"/>
                <w:lang w:val="lt-LT"/>
              </w:rPr>
            </w:pPr>
            <w:r w:rsidRPr="00EB08A6">
              <w:rPr>
                <w:szCs w:val="22"/>
                <w:lang w:val="lt-LT"/>
              </w:rPr>
              <w:t>QT intervalo pailgėjimas elektrokardiogra</w:t>
            </w:r>
            <w:r w:rsidRPr="00EB08A6">
              <w:rPr>
                <w:szCs w:val="22"/>
                <w:lang w:val="lt-LT"/>
              </w:rPr>
              <w:softHyphen/>
              <w:t>moje*</w:t>
            </w:r>
          </w:p>
          <w:p w14:paraId="688C54C9" w14:textId="77777777" w:rsidR="00EB08A6" w:rsidRPr="00EB08A6" w:rsidRDefault="00EB08A6" w:rsidP="006643DE">
            <w:pPr>
              <w:rPr>
                <w:szCs w:val="22"/>
                <w:lang w:val="lt-LT"/>
              </w:rPr>
            </w:pPr>
            <w:r w:rsidRPr="00EB08A6">
              <w:rPr>
                <w:szCs w:val="22"/>
                <w:lang w:val="lt-LT"/>
              </w:rPr>
              <w:t>Prieširdžių virpėjimas*</w:t>
            </w:r>
          </w:p>
          <w:p w14:paraId="6A9D9C2D" w14:textId="77777777" w:rsidR="00EB08A6" w:rsidRPr="00EB08A6" w:rsidRDefault="00EB08A6" w:rsidP="006643DE">
            <w:pPr>
              <w:rPr>
                <w:szCs w:val="22"/>
                <w:lang w:val="lt-LT"/>
              </w:rPr>
            </w:pPr>
            <w:proofErr w:type="spellStart"/>
            <w:r w:rsidRPr="00EB08A6">
              <w:rPr>
                <w:szCs w:val="22"/>
                <w:lang w:val="lt-LT"/>
              </w:rPr>
              <w:t>Palpitacija</w:t>
            </w:r>
            <w:proofErr w:type="spellEnd"/>
            <w:r w:rsidRPr="00EB08A6">
              <w:rPr>
                <w:szCs w:val="22"/>
                <w:lang w:val="lt-LT"/>
              </w:rPr>
              <w:t>*</w:t>
            </w:r>
          </w:p>
          <w:p w14:paraId="3B7D5F89" w14:textId="77777777" w:rsidR="00EB08A6" w:rsidRPr="00EB08A6" w:rsidRDefault="00EB08A6" w:rsidP="006643DE">
            <w:pPr>
              <w:rPr>
                <w:szCs w:val="22"/>
                <w:lang w:val="lt-LT"/>
              </w:rPr>
            </w:pPr>
            <w:proofErr w:type="spellStart"/>
            <w:r w:rsidRPr="00EB08A6">
              <w:rPr>
                <w:szCs w:val="22"/>
                <w:lang w:val="lt-LT"/>
              </w:rPr>
              <w:t>Tachikardija</w:t>
            </w:r>
            <w:proofErr w:type="spellEnd"/>
            <w:r w:rsidRPr="00EB08A6">
              <w:rPr>
                <w:szCs w:val="22"/>
                <w:lang w:val="lt-LT"/>
              </w:rPr>
              <w:t>*</w:t>
            </w:r>
          </w:p>
        </w:tc>
      </w:tr>
      <w:tr w:rsidR="00EB08A6" w:rsidRPr="00EB08A6" w14:paraId="7D3A8981" w14:textId="77777777" w:rsidTr="006643DE">
        <w:trPr>
          <w:cantSplit/>
          <w:trHeight w:val="1003"/>
        </w:trPr>
        <w:tc>
          <w:tcPr>
            <w:tcW w:w="1560" w:type="dxa"/>
            <w:tcBorders>
              <w:top w:val="single" w:sz="4" w:space="0" w:color="auto"/>
              <w:left w:val="single" w:sz="4" w:space="0" w:color="000000"/>
              <w:bottom w:val="single" w:sz="4" w:space="0" w:color="000000"/>
              <w:right w:val="single" w:sz="4" w:space="0" w:color="auto"/>
            </w:tcBorders>
          </w:tcPr>
          <w:p w14:paraId="10BB80A8" w14:textId="77777777" w:rsidR="00EB08A6" w:rsidRPr="00EB08A6" w:rsidRDefault="00EB08A6" w:rsidP="006643DE">
            <w:pPr>
              <w:rPr>
                <w:szCs w:val="22"/>
                <w:lang w:val="lt-LT"/>
              </w:rPr>
            </w:pPr>
            <w:r w:rsidRPr="00EB08A6">
              <w:rPr>
                <w:szCs w:val="22"/>
                <w:lang w:val="lt-LT"/>
              </w:rPr>
              <w:t>Kvėpavimo sistemos, krūtinės ląstos ir tarpuplaučio sutrikimai</w:t>
            </w:r>
          </w:p>
        </w:tc>
        <w:tc>
          <w:tcPr>
            <w:tcW w:w="1134" w:type="dxa"/>
            <w:tcBorders>
              <w:top w:val="single" w:sz="4" w:space="0" w:color="auto"/>
              <w:left w:val="single" w:sz="4" w:space="0" w:color="auto"/>
              <w:bottom w:val="single" w:sz="4" w:space="0" w:color="000000"/>
              <w:right w:val="single" w:sz="4" w:space="0" w:color="auto"/>
            </w:tcBorders>
          </w:tcPr>
          <w:p w14:paraId="04436A8D" w14:textId="77777777" w:rsidR="00EB08A6" w:rsidRPr="00EB08A6" w:rsidRDefault="00EB08A6" w:rsidP="006643DE">
            <w:pPr>
              <w:rPr>
                <w:szCs w:val="22"/>
                <w:lang w:val="lt-LT"/>
              </w:rPr>
            </w:pPr>
          </w:p>
        </w:tc>
        <w:tc>
          <w:tcPr>
            <w:tcW w:w="1417" w:type="dxa"/>
            <w:tcBorders>
              <w:top w:val="single" w:sz="4" w:space="0" w:color="000000"/>
              <w:left w:val="single" w:sz="4" w:space="0" w:color="auto"/>
              <w:bottom w:val="single" w:sz="4" w:space="0" w:color="000000"/>
              <w:right w:val="single" w:sz="4" w:space="0" w:color="auto"/>
            </w:tcBorders>
          </w:tcPr>
          <w:p w14:paraId="295B5B92" w14:textId="77777777" w:rsidR="00EB08A6" w:rsidRPr="00EB08A6" w:rsidRDefault="00EB08A6" w:rsidP="006643DE">
            <w:pPr>
              <w:rPr>
                <w:szCs w:val="22"/>
                <w:lang w:val="lt-LT"/>
              </w:rPr>
            </w:pPr>
          </w:p>
        </w:tc>
        <w:tc>
          <w:tcPr>
            <w:tcW w:w="1559" w:type="dxa"/>
            <w:tcBorders>
              <w:top w:val="single" w:sz="4" w:space="0" w:color="000000"/>
              <w:left w:val="single" w:sz="4" w:space="0" w:color="auto"/>
              <w:bottom w:val="single" w:sz="4" w:space="0" w:color="000000"/>
              <w:right w:val="single" w:sz="4" w:space="0" w:color="auto"/>
            </w:tcBorders>
          </w:tcPr>
          <w:p w14:paraId="30D4BA4B" w14:textId="77777777" w:rsidR="00EB08A6" w:rsidRPr="00EB08A6" w:rsidRDefault="00EB08A6" w:rsidP="006643DE">
            <w:pPr>
              <w:rPr>
                <w:szCs w:val="22"/>
                <w:lang w:val="lt-LT"/>
              </w:rPr>
            </w:pPr>
            <w:r w:rsidRPr="00EB08A6">
              <w:rPr>
                <w:szCs w:val="22"/>
                <w:lang w:val="lt-LT"/>
              </w:rPr>
              <w:t xml:space="preserve">Nosies sausumas </w:t>
            </w:r>
          </w:p>
        </w:tc>
        <w:tc>
          <w:tcPr>
            <w:tcW w:w="1418" w:type="dxa"/>
            <w:tcBorders>
              <w:top w:val="single" w:sz="4" w:space="0" w:color="000000"/>
              <w:left w:val="single" w:sz="4" w:space="0" w:color="auto"/>
              <w:bottom w:val="single" w:sz="4" w:space="0" w:color="000000"/>
              <w:right w:val="single" w:sz="4" w:space="0" w:color="000000"/>
            </w:tcBorders>
          </w:tcPr>
          <w:p w14:paraId="6BFBA94F"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309B2247"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4A7ECAE5" w14:textId="77777777" w:rsidR="00EB08A6" w:rsidRPr="00EB08A6" w:rsidRDefault="00EB08A6" w:rsidP="006643DE">
            <w:pPr>
              <w:rPr>
                <w:szCs w:val="22"/>
                <w:lang w:val="lt-LT"/>
              </w:rPr>
            </w:pPr>
            <w:proofErr w:type="spellStart"/>
            <w:r w:rsidRPr="00EB08A6">
              <w:rPr>
                <w:szCs w:val="22"/>
                <w:lang w:val="lt-LT"/>
              </w:rPr>
              <w:t>Disfonija</w:t>
            </w:r>
            <w:proofErr w:type="spellEnd"/>
            <w:r w:rsidRPr="00EB08A6">
              <w:rPr>
                <w:szCs w:val="22"/>
                <w:lang w:val="lt-LT"/>
              </w:rPr>
              <w:t>*</w:t>
            </w:r>
          </w:p>
        </w:tc>
      </w:tr>
      <w:tr w:rsidR="00EB08A6" w:rsidRPr="00EB08A6" w14:paraId="4B499899" w14:textId="77777777" w:rsidTr="006643DE">
        <w:trPr>
          <w:cantSplit/>
          <w:trHeight w:val="1003"/>
        </w:trPr>
        <w:tc>
          <w:tcPr>
            <w:tcW w:w="1560" w:type="dxa"/>
            <w:tcBorders>
              <w:top w:val="single" w:sz="4" w:space="0" w:color="000000"/>
              <w:left w:val="single" w:sz="4" w:space="0" w:color="000000"/>
              <w:bottom w:val="single" w:sz="4" w:space="0" w:color="auto"/>
              <w:right w:val="single" w:sz="4" w:space="0" w:color="auto"/>
            </w:tcBorders>
          </w:tcPr>
          <w:p w14:paraId="49BA23A8" w14:textId="77777777" w:rsidR="00EB08A6" w:rsidRPr="00EB08A6" w:rsidRDefault="00EB08A6" w:rsidP="006643DE">
            <w:pPr>
              <w:rPr>
                <w:szCs w:val="22"/>
                <w:lang w:val="lt-LT"/>
              </w:rPr>
            </w:pPr>
            <w:r w:rsidRPr="00EB08A6">
              <w:rPr>
                <w:szCs w:val="22"/>
                <w:lang w:val="lt-LT"/>
              </w:rPr>
              <w:t>Virškinimo trakto sutrikimai</w:t>
            </w:r>
          </w:p>
        </w:tc>
        <w:tc>
          <w:tcPr>
            <w:tcW w:w="1134" w:type="dxa"/>
            <w:tcBorders>
              <w:top w:val="single" w:sz="4" w:space="0" w:color="000000"/>
              <w:left w:val="single" w:sz="4" w:space="0" w:color="auto"/>
              <w:bottom w:val="single" w:sz="4" w:space="0" w:color="auto"/>
              <w:right w:val="single" w:sz="4" w:space="0" w:color="auto"/>
            </w:tcBorders>
          </w:tcPr>
          <w:p w14:paraId="04F6BF5F" w14:textId="77777777" w:rsidR="00EB08A6" w:rsidRPr="00EB08A6" w:rsidRDefault="00EB08A6" w:rsidP="006643DE">
            <w:pPr>
              <w:rPr>
                <w:szCs w:val="22"/>
                <w:lang w:val="lt-LT"/>
              </w:rPr>
            </w:pPr>
            <w:r w:rsidRPr="00EB08A6">
              <w:rPr>
                <w:szCs w:val="22"/>
                <w:lang w:val="lt-LT"/>
              </w:rPr>
              <w:t>Burnos džiūvimas</w:t>
            </w:r>
          </w:p>
        </w:tc>
        <w:tc>
          <w:tcPr>
            <w:tcW w:w="1417" w:type="dxa"/>
            <w:tcBorders>
              <w:top w:val="single" w:sz="4" w:space="0" w:color="000000"/>
              <w:left w:val="single" w:sz="4" w:space="0" w:color="auto"/>
              <w:bottom w:val="single" w:sz="4" w:space="0" w:color="auto"/>
              <w:right w:val="single" w:sz="4" w:space="0" w:color="auto"/>
            </w:tcBorders>
          </w:tcPr>
          <w:p w14:paraId="0918631A" w14:textId="77777777" w:rsidR="00EB08A6" w:rsidRPr="00EB08A6" w:rsidRDefault="00EB08A6" w:rsidP="006643DE">
            <w:pPr>
              <w:rPr>
                <w:szCs w:val="22"/>
                <w:lang w:val="lt-LT"/>
              </w:rPr>
            </w:pPr>
            <w:r w:rsidRPr="00EB08A6">
              <w:rPr>
                <w:szCs w:val="22"/>
                <w:lang w:val="lt-LT"/>
              </w:rPr>
              <w:t>Vidurių užkietėjimas</w:t>
            </w:r>
          </w:p>
          <w:p w14:paraId="079E89C8" w14:textId="77777777" w:rsidR="00EB08A6" w:rsidRPr="00EB08A6" w:rsidRDefault="00EB08A6" w:rsidP="006643DE">
            <w:pPr>
              <w:rPr>
                <w:szCs w:val="22"/>
                <w:lang w:val="lt-LT"/>
              </w:rPr>
            </w:pPr>
            <w:r w:rsidRPr="00EB08A6">
              <w:rPr>
                <w:szCs w:val="22"/>
                <w:lang w:val="lt-LT"/>
              </w:rPr>
              <w:t xml:space="preserve">Pykinimas </w:t>
            </w:r>
          </w:p>
          <w:p w14:paraId="68186D02" w14:textId="77777777" w:rsidR="00EB08A6" w:rsidRPr="00EB08A6" w:rsidRDefault="00EB08A6" w:rsidP="006643DE">
            <w:pPr>
              <w:rPr>
                <w:szCs w:val="22"/>
                <w:lang w:val="lt-LT"/>
              </w:rPr>
            </w:pPr>
            <w:r w:rsidRPr="00EB08A6">
              <w:rPr>
                <w:szCs w:val="22"/>
                <w:lang w:val="lt-LT"/>
              </w:rPr>
              <w:t>Dispepsija</w:t>
            </w:r>
          </w:p>
          <w:p w14:paraId="0C1ADE24" w14:textId="77777777" w:rsidR="00EB08A6" w:rsidRPr="00EB08A6" w:rsidRDefault="00EB08A6" w:rsidP="006643DE">
            <w:pPr>
              <w:rPr>
                <w:szCs w:val="22"/>
                <w:lang w:val="lt-LT"/>
              </w:rPr>
            </w:pPr>
            <w:r w:rsidRPr="00EB08A6">
              <w:rPr>
                <w:szCs w:val="22"/>
                <w:lang w:val="lt-LT"/>
              </w:rPr>
              <w:t>Pilvo skausmas</w:t>
            </w:r>
          </w:p>
        </w:tc>
        <w:tc>
          <w:tcPr>
            <w:tcW w:w="1559" w:type="dxa"/>
            <w:tcBorders>
              <w:top w:val="single" w:sz="4" w:space="0" w:color="000000"/>
              <w:left w:val="single" w:sz="4" w:space="0" w:color="auto"/>
              <w:bottom w:val="single" w:sz="4" w:space="0" w:color="auto"/>
              <w:right w:val="single" w:sz="4" w:space="0" w:color="auto"/>
            </w:tcBorders>
          </w:tcPr>
          <w:p w14:paraId="7DC8BA94" w14:textId="77777777" w:rsidR="00EB08A6" w:rsidRPr="00EB08A6" w:rsidRDefault="00EB08A6" w:rsidP="006643DE">
            <w:pPr>
              <w:rPr>
                <w:szCs w:val="22"/>
                <w:lang w:val="lt-LT"/>
              </w:rPr>
            </w:pPr>
            <w:proofErr w:type="spellStart"/>
            <w:r w:rsidRPr="00EB08A6">
              <w:rPr>
                <w:szCs w:val="22"/>
                <w:lang w:val="lt-LT"/>
              </w:rPr>
              <w:t>Gastroezofa</w:t>
            </w:r>
            <w:r w:rsidRPr="00EB08A6">
              <w:rPr>
                <w:szCs w:val="22"/>
                <w:lang w:val="lt-LT"/>
              </w:rPr>
              <w:softHyphen/>
              <w:t>ginio</w:t>
            </w:r>
            <w:proofErr w:type="spellEnd"/>
            <w:r w:rsidRPr="00EB08A6">
              <w:rPr>
                <w:szCs w:val="22"/>
                <w:lang w:val="lt-LT"/>
              </w:rPr>
              <w:t xml:space="preserve"> </w:t>
            </w:r>
            <w:proofErr w:type="spellStart"/>
            <w:r w:rsidRPr="00EB08A6">
              <w:rPr>
                <w:szCs w:val="22"/>
                <w:lang w:val="lt-LT"/>
              </w:rPr>
              <w:t>refliukso</w:t>
            </w:r>
            <w:proofErr w:type="spellEnd"/>
            <w:r w:rsidRPr="00EB08A6">
              <w:rPr>
                <w:szCs w:val="22"/>
                <w:lang w:val="lt-LT"/>
              </w:rPr>
              <w:t xml:space="preserve"> liga</w:t>
            </w:r>
          </w:p>
          <w:p w14:paraId="18AAC61D" w14:textId="77777777" w:rsidR="00EB08A6" w:rsidRPr="00EB08A6" w:rsidRDefault="00EB08A6" w:rsidP="006643DE">
            <w:pPr>
              <w:rPr>
                <w:szCs w:val="22"/>
                <w:lang w:val="lt-LT"/>
              </w:rPr>
            </w:pPr>
            <w:r w:rsidRPr="00EB08A6">
              <w:rPr>
                <w:szCs w:val="22"/>
                <w:lang w:val="lt-LT"/>
              </w:rPr>
              <w:t>Ryklės džiūvimas</w:t>
            </w:r>
          </w:p>
        </w:tc>
        <w:tc>
          <w:tcPr>
            <w:tcW w:w="1418" w:type="dxa"/>
            <w:tcBorders>
              <w:top w:val="single" w:sz="4" w:space="0" w:color="000000"/>
              <w:left w:val="single" w:sz="4" w:space="0" w:color="auto"/>
              <w:bottom w:val="single" w:sz="4" w:space="0" w:color="auto"/>
              <w:right w:val="single" w:sz="4" w:space="0" w:color="000000"/>
            </w:tcBorders>
          </w:tcPr>
          <w:p w14:paraId="6A7F143C" w14:textId="77777777" w:rsidR="00EB08A6" w:rsidRPr="00EB08A6" w:rsidRDefault="00EB08A6" w:rsidP="006643DE">
            <w:pPr>
              <w:rPr>
                <w:szCs w:val="22"/>
                <w:lang w:val="lt-LT"/>
              </w:rPr>
            </w:pPr>
            <w:r w:rsidRPr="00EB08A6">
              <w:rPr>
                <w:szCs w:val="22"/>
                <w:lang w:val="lt-LT"/>
              </w:rPr>
              <w:t>Gaubtinės žarnos obstrukcija</w:t>
            </w:r>
          </w:p>
          <w:p w14:paraId="28382980" w14:textId="77777777" w:rsidR="00EB08A6" w:rsidRPr="00EB08A6" w:rsidRDefault="00EB08A6" w:rsidP="006643DE">
            <w:pPr>
              <w:rPr>
                <w:szCs w:val="22"/>
                <w:lang w:val="lt-LT"/>
              </w:rPr>
            </w:pPr>
            <w:r w:rsidRPr="00EB08A6">
              <w:rPr>
                <w:szCs w:val="22"/>
                <w:lang w:val="lt-LT"/>
              </w:rPr>
              <w:t>Išmatų susikaupimas</w:t>
            </w:r>
          </w:p>
          <w:p w14:paraId="0D9CD5F7" w14:textId="77777777" w:rsidR="00EB08A6" w:rsidRPr="00EB08A6" w:rsidRDefault="00EB08A6" w:rsidP="006643DE">
            <w:pPr>
              <w:rPr>
                <w:szCs w:val="22"/>
                <w:lang w:val="lt-LT"/>
              </w:rPr>
            </w:pPr>
            <w:r w:rsidRPr="00EB08A6">
              <w:rPr>
                <w:szCs w:val="22"/>
                <w:lang w:val="lt-LT"/>
              </w:rPr>
              <w:t>Vėmimas*</w:t>
            </w:r>
          </w:p>
        </w:tc>
        <w:tc>
          <w:tcPr>
            <w:tcW w:w="1444" w:type="dxa"/>
            <w:tcBorders>
              <w:top w:val="single" w:sz="4" w:space="0" w:color="auto"/>
              <w:left w:val="single" w:sz="4" w:space="0" w:color="000000"/>
              <w:bottom w:val="single" w:sz="4" w:space="0" w:color="auto"/>
              <w:right w:val="single" w:sz="4" w:space="0" w:color="auto"/>
            </w:tcBorders>
          </w:tcPr>
          <w:p w14:paraId="54C91CA0"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425C134C" w14:textId="77777777" w:rsidR="00EB08A6" w:rsidRPr="00EB08A6" w:rsidRDefault="00EB08A6" w:rsidP="006643DE">
            <w:pPr>
              <w:rPr>
                <w:szCs w:val="22"/>
                <w:lang w:val="lt-LT"/>
              </w:rPr>
            </w:pPr>
            <w:r w:rsidRPr="00EB08A6">
              <w:rPr>
                <w:szCs w:val="22"/>
                <w:lang w:val="lt-LT"/>
              </w:rPr>
              <w:t>Žarnų nepraeinamumas*</w:t>
            </w:r>
          </w:p>
          <w:p w14:paraId="615D1709" w14:textId="77777777" w:rsidR="00EB08A6" w:rsidRPr="00EB08A6" w:rsidRDefault="00EB08A6" w:rsidP="006643DE">
            <w:pPr>
              <w:rPr>
                <w:szCs w:val="22"/>
                <w:lang w:val="lt-LT"/>
              </w:rPr>
            </w:pPr>
            <w:r w:rsidRPr="00EB08A6">
              <w:rPr>
                <w:szCs w:val="22"/>
                <w:lang w:val="lt-LT"/>
              </w:rPr>
              <w:t>Nemalonus pojūtis pilve*</w:t>
            </w:r>
          </w:p>
        </w:tc>
      </w:tr>
      <w:tr w:rsidR="00EB08A6" w:rsidRPr="00EB08A6" w14:paraId="25D12AE8" w14:textId="77777777" w:rsidTr="006643DE">
        <w:trPr>
          <w:cantSplit/>
          <w:trHeight w:val="1003"/>
        </w:trPr>
        <w:tc>
          <w:tcPr>
            <w:tcW w:w="1560" w:type="dxa"/>
            <w:tcBorders>
              <w:top w:val="single" w:sz="4" w:space="0" w:color="auto"/>
              <w:left w:val="single" w:sz="4" w:space="0" w:color="000000"/>
              <w:bottom w:val="single" w:sz="4" w:space="0" w:color="auto"/>
              <w:right w:val="single" w:sz="4" w:space="0" w:color="auto"/>
            </w:tcBorders>
          </w:tcPr>
          <w:p w14:paraId="617007BD" w14:textId="77777777" w:rsidR="00EB08A6" w:rsidRPr="00EB08A6" w:rsidRDefault="00EB08A6" w:rsidP="006643DE">
            <w:pPr>
              <w:rPr>
                <w:szCs w:val="22"/>
                <w:lang w:val="lt-LT"/>
              </w:rPr>
            </w:pPr>
            <w:r w:rsidRPr="00EB08A6">
              <w:rPr>
                <w:szCs w:val="22"/>
                <w:lang w:val="lt-LT"/>
              </w:rPr>
              <w:t>Kepenų, tulžies pūslės ir latakų sutrikimai</w:t>
            </w:r>
          </w:p>
        </w:tc>
        <w:tc>
          <w:tcPr>
            <w:tcW w:w="1134" w:type="dxa"/>
            <w:tcBorders>
              <w:top w:val="single" w:sz="4" w:space="0" w:color="auto"/>
              <w:left w:val="single" w:sz="4" w:space="0" w:color="auto"/>
              <w:bottom w:val="single" w:sz="4" w:space="0" w:color="000000"/>
              <w:right w:val="single" w:sz="4" w:space="0" w:color="auto"/>
            </w:tcBorders>
          </w:tcPr>
          <w:p w14:paraId="21E5B58E" w14:textId="77777777" w:rsidR="00EB08A6" w:rsidRPr="00EB08A6" w:rsidRDefault="00EB08A6" w:rsidP="006643DE">
            <w:pPr>
              <w:rPr>
                <w:szCs w:val="22"/>
                <w:lang w:val="lt-LT"/>
              </w:rPr>
            </w:pPr>
          </w:p>
        </w:tc>
        <w:tc>
          <w:tcPr>
            <w:tcW w:w="1417" w:type="dxa"/>
            <w:tcBorders>
              <w:top w:val="single" w:sz="4" w:space="0" w:color="auto"/>
              <w:left w:val="single" w:sz="4" w:space="0" w:color="auto"/>
              <w:bottom w:val="single" w:sz="4" w:space="0" w:color="000000"/>
              <w:right w:val="single" w:sz="4" w:space="0" w:color="auto"/>
            </w:tcBorders>
          </w:tcPr>
          <w:p w14:paraId="0472BE8A" w14:textId="77777777" w:rsidR="00EB08A6" w:rsidRPr="00EB08A6" w:rsidRDefault="00EB08A6" w:rsidP="006643DE">
            <w:pPr>
              <w:rPr>
                <w:szCs w:val="22"/>
                <w:lang w:val="lt-LT"/>
              </w:rPr>
            </w:pPr>
          </w:p>
        </w:tc>
        <w:tc>
          <w:tcPr>
            <w:tcW w:w="1559" w:type="dxa"/>
            <w:tcBorders>
              <w:top w:val="single" w:sz="4" w:space="0" w:color="auto"/>
              <w:left w:val="single" w:sz="4" w:space="0" w:color="auto"/>
              <w:bottom w:val="single" w:sz="4" w:space="0" w:color="000000"/>
              <w:right w:val="single" w:sz="4" w:space="0" w:color="auto"/>
            </w:tcBorders>
          </w:tcPr>
          <w:p w14:paraId="41045F38" w14:textId="77777777" w:rsidR="00EB08A6" w:rsidRPr="00EB08A6" w:rsidRDefault="00EB08A6" w:rsidP="006643DE">
            <w:pPr>
              <w:rPr>
                <w:szCs w:val="22"/>
                <w:lang w:val="lt-LT"/>
              </w:rPr>
            </w:pPr>
          </w:p>
        </w:tc>
        <w:tc>
          <w:tcPr>
            <w:tcW w:w="1418" w:type="dxa"/>
            <w:tcBorders>
              <w:top w:val="single" w:sz="4" w:space="0" w:color="auto"/>
              <w:left w:val="single" w:sz="4" w:space="0" w:color="auto"/>
              <w:bottom w:val="single" w:sz="4" w:space="0" w:color="000000"/>
              <w:right w:val="single" w:sz="4" w:space="0" w:color="000000"/>
            </w:tcBorders>
          </w:tcPr>
          <w:p w14:paraId="5FC5ABD4"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3D5DBE9B"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50660AF0" w14:textId="77777777" w:rsidR="00EB08A6" w:rsidRPr="00EB08A6" w:rsidRDefault="00EB08A6" w:rsidP="006643DE">
            <w:pPr>
              <w:rPr>
                <w:szCs w:val="22"/>
                <w:lang w:val="lt-LT"/>
              </w:rPr>
            </w:pPr>
            <w:r w:rsidRPr="00EB08A6">
              <w:rPr>
                <w:szCs w:val="22"/>
                <w:lang w:val="lt-LT"/>
              </w:rPr>
              <w:t>Kepenų funkcijos sutrikimas*</w:t>
            </w:r>
          </w:p>
          <w:p w14:paraId="75BE6FBA" w14:textId="77777777" w:rsidR="00EB08A6" w:rsidRPr="00EB08A6" w:rsidRDefault="00EB08A6" w:rsidP="006643DE">
            <w:pPr>
              <w:rPr>
                <w:szCs w:val="22"/>
                <w:lang w:val="lt-LT"/>
              </w:rPr>
            </w:pPr>
            <w:r w:rsidRPr="00EB08A6">
              <w:rPr>
                <w:szCs w:val="22"/>
                <w:lang w:val="lt-LT"/>
              </w:rPr>
              <w:t>Pakitę kepenų funkcijos tyrimų rezultatai*</w:t>
            </w:r>
          </w:p>
        </w:tc>
      </w:tr>
      <w:tr w:rsidR="00EB08A6" w:rsidRPr="00EB08A6" w14:paraId="283534F4" w14:textId="77777777" w:rsidTr="006643DE">
        <w:trPr>
          <w:cantSplit/>
          <w:trHeight w:val="1003"/>
        </w:trPr>
        <w:tc>
          <w:tcPr>
            <w:tcW w:w="1560" w:type="dxa"/>
            <w:tcBorders>
              <w:top w:val="single" w:sz="4" w:space="0" w:color="auto"/>
              <w:left w:val="single" w:sz="4" w:space="0" w:color="000000"/>
              <w:bottom w:val="single" w:sz="4" w:space="0" w:color="auto"/>
              <w:right w:val="single" w:sz="4" w:space="0" w:color="auto"/>
            </w:tcBorders>
          </w:tcPr>
          <w:p w14:paraId="6467D554" w14:textId="77777777" w:rsidR="00EB08A6" w:rsidRPr="00EB08A6" w:rsidRDefault="00EB08A6" w:rsidP="006643DE">
            <w:pPr>
              <w:rPr>
                <w:szCs w:val="22"/>
                <w:lang w:val="lt-LT"/>
              </w:rPr>
            </w:pPr>
            <w:r w:rsidRPr="00EB08A6">
              <w:rPr>
                <w:szCs w:val="22"/>
                <w:lang w:val="lt-LT"/>
              </w:rPr>
              <w:lastRenderedPageBreak/>
              <w:t xml:space="preserve">Odos ir poodinio audinio sutrikimai </w:t>
            </w:r>
          </w:p>
        </w:tc>
        <w:tc>
          <w:tcPr>
            <w:tcW w:w="1134" w:type="dxa"/>
            <w:tcBorders>
              <w:top w:val="single" w:sz="4" w:space="0" w:color="000000"/>
              <w:left w:val="single" w:sz="4" w:space="0" w:color="auto"/>
              <w:bottom w:val="single" w:sz="4" w:space="0" w:color="auto"/>
              <w:right w:val="single" w:sz="4" w:space="0" w:color="auto"/>
            </w:tcBorders>
          </w:tcPr>
          <w:p w14:paraId="7E6FE98E" w14:textId="77777777" w:rsidR="00EB08A6" w:rsidRPr="00EB08A6" w:rsidRDefault="00EB08A6" w:rsidP="006643DE">
            <w:pPr>
              <w:rPr>
                <w:szCs w:val="22"/>
                <w:lang w:val="lt-LT"/>
              </w:rPr>
            </w:pPr>
          </w:p>
        </w:tc>
        <w:tc>
          <w:tcPr>
            <w:tcW w:w="1417" w:type="dxa"/>
            <w:tcBorders>
              <w:top w:val="single" w:sz="4" w:space="0" w:color="000000"/>
              <w:left w:val="single" w:sz="4" w:space="0" w:color="auto"/>
              <w:bottom w:val="single" w:sz="4" w:space="0" w:color="auto"/>
              <w:right w:val="single" w:sz="4" w:space="0" w:color="auto"/>
            </w:tcBorders>
          </w:tcPr>
          <w:p w14:paraId="265FD7F6" w14:textId="77777777" w:rsidR="00EB08A6" w:rsidRPr="00EB08A6" w:rsidRDefault="00EB08A6" w:rsidP="006643DE">
            <w:pPr>
              <w:rPr>
                <w:szCs w:val="22"/>
                <w:lang w:val="lt-LT"/>
              </w:rPr>
            </w:pPr>
          </w:p>
        </w:tc>
        <w:tc>
          <w:tcPr>
            <w:tcW w:w="1559" w:type="dxa"/>
            <w:tcBorders>
              <w:top w:val="single" w:sz="4" w:space="0" w:color="000000"/>
              <w:left w:val="single" w:sz="4" w:space="0" w:color="auto"/>
              <w:bottom w:val="single" w:sz="4" w:space="0" w:color="auto"/>
              <w:right w:val="single" w:sz="4" w:space="0" w:color="auto"/>
            </w:tcBorders>
          </w:tcPr>
          <w:p w14:paraId="45ECB715" w14:textId="77777777" w:rsidR="00EB08A6" w:rsidRPr="00EB08A6" w:rsidRDefault="00EB08A6" w:rsidP="006643DE">
            <w:pPr>
              <w:rPr>
                <w:szCs w:val="22"/>
                <w:lang w:val="lt-LT"/>
              </w:rPr>
            </w:pPr>
            <w:r w:rsidRPr="00EB08A6">
              <w:rPr>
                <w:szCs w:val="22"/>
                <w:lang w:val="lt-LT"/>
              </w:rPr>
              <w:t xml:space="preserve">Odos sausumas </w:t>
            </w:r>
          </w:p>
        </w:tc>
        <w:tc>
          <w:tcPr>
            <w:tcW w:w="1418" w:type="dxa"/>
            <w:tcBorders>
              <w:top w:val="single" w:sz="4" w:space="0" w:color="000000"/>
              <w:left w:val="single" w:sz="4" w:space="0" w:color="auto"/>
              <w:bottom w:val="single" w:sz="4" w:space="0" w:color="auto"/>
              <w:right w:val="single" w:sz="4" w:space="0" w:color="000000"/>
            </w:tcBorders>
          </w:tcPr>
          <w:p w14:paraId="25387BBE" w14:textId="77777777" w:rsidR="00EB08A6" w:rsidRPr="00EB08A6" w:rsidRDefault="00EB08A6" w:rsidP="006643DE">
            <w:pPr>
              <w:rPr>
                <w:szCs w:val="22"/>
                <w:lang w:val="lt-LT"/>
              </w:rPr>
            </w:pPr>
            <w:r w:rsidRPr="00EB08A6">
              <w:rPr>
                <w:szCs w:val="22"/>
                <w:lang w:val="lt-LT"/>
              </w:rPr>
              <w:t>Niežėjimas*</w:t>
            </w:r>
          </w:p>
          <w:p w14:paraId="02EFFD12" w14:textId="77777777" w:rsidR="00EB08A6" w:rsidRPr="00EB08A6" w:rsidRDefault="00EB08A6" w:rsidP="006643DE">
            <w:pPr>
              <w:rPr>
                <w:szCs w:val="22"/>
                <w:lang w:val="lt-LT"/>
              </w:rPr>
            </w:pPr>
            <w:r w:rsidRPr="00EB08A6">
              <w:rPr>
                <w:szCs w:val="22"/>
                <w:lang w:val="lt-LT"/>
              </w:rPr>
              <w:t>Išbėrimas*</w:t>
            </w:r>
          </w:p>
          <w:p w14:paraId="4BCC553C"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78EEB364" w14:textId="77777777" w:rsidR="00EB08A6" w:rsidRPr="00EB08A6" w:rsidRDefault="00EB08A6" w:rsidP="006643DE">
            <w:pPr>
              <w:rPr>
                <w:szCs w:val="22"/>
                <w:lang w:val="lt-LT"/>
              </w:rPr>
            </w:pPr>
            <w:r w:rsidRPr="00EB08A6">
              <w:rPr>
                <w:szCs w:val="22"/>
                <w:lang w:val="lt-LT"/>
              </w:rPr>
              <w:t>Daugiaformė raudonė (</w:t>
            </w:r>
            <w:proofErr w:type="spellStart"/>
            <w:r w:rsidRPr="00EB08A6">
              <w:rPr>
                <w:i/>
                <w:szCs w:val="22"/>
                <w:lang w:val="lt-LT"/>
              </w:rPr>
              <w:t>erythema</w:t>
            </w:r>
            <w:proofErr w:type="spellEnd"/>
            <w:r w:rsidRPr="00EB08A6">
              <w:rPr>
                <w:i/>
                <w:szCs w:val="22"/>
                <w:lang w:val="lt-LT"/>
              </w:rPr>
              <w:t xml:space="preserve"> </w:t>
            </w:r>
            <w:proofErr w:type="spellStart"/>
            <w:r w:rsidRPr="00EB08A6">
              <w:rPr>
                <w:i/>
                <w:szCs w:val="22"/>
                <w:lang w:val="lt-LT"/>
              </w:rPr>
              <w:t>multiforme</w:t>
            </w:r>
            <w:proofErr w:type="spellEnd"/>
            <w:r w:rsidRPr="00EB08A6">
              <w:rPr>
                <w:szCs w:val="22"/>
                <w:lang w:val="lt-LT"/>
              </w:rPr>
              <w:t>) *</w:t>
            </w:r>
          </w:p>
          <w:p w14:paraId="7864F6F0" w14:textId="77777777" w:rsidR="00EB08A6" w:rsidRPr="00EB08A6" w:rsidRDefault="00EB08A6" w:rsidP="006643DE">
            <w:pPr>
              <w:rPr>
                <w:szCs w:val="22"/>
                <w:lang w:val="lt-LT"/>
              </w:rPr>
            </w:pPr>
            <w:r w:rsidRPr="00EB08A6">
              <w:rPr>
                <w:szCs w:val="22"/>
                <w:lang w:val="lt-LT"/>
              </w:rPr>
              <w:t>Dilgėlinė*</w:t>
            </w:r>
          </w:p>
          <w:p w14:paraId="54625FE1" w14:textId="77777777" w:rsidR="00EB08A6" w:rsidRPr="00EB08A6" w:rsidRDefault="00EB08A6" w:rsidP="006643DE">
            <w:pPr>
              <w:rPr>
                <w:szCs w:val="22"/>
                <w:lang w:val="lt-LT"/>
              </w:rPr>
            </w:pPr>
            <w:proofErr w:type="spellStart"/>
            <w:r w:rsidRPr="00EB08A6">
              <w:rPr>
                <w:szCs w:val="22"/>
                <w:lang w:val="lt-LT"/>
              </w:rPr>
              <w:t>Angioneuro</w:t>
            </w:r>
            <w:r w:rsidRPr="00EB08A6">
              <w:rPr>
                <w:szCs w:val="22"/>
                <w:lang w:val="lt-LT"/>
              </w:rPr>
              <w:softHyphen/>
              <w:t>zinė</w:t>
            </w:r>
            <w:proofErr w:type="spellEnd"/>
            <w:r w:rsidRPr="00EB08A6">
              <w:rPr>
                <w:szCs w:val="22"/>
                <w:lang w:val="lt-LT"/>
              </w:rPr>
              <w:t xml:space="preserve"> edema*</w:t>
            </w:r>
          </w:p>
        </w:tc>
        <w:tc>
          <w:tcPr>
            <w:tcW w:w="1979" w:type="dxa"/>
            <w:tcBorders>
              <w:top w:val="single" w:sz="4" w:space="0" w:color="auto"/>
              <w:left w:val="single" w:sz="4" w:space="0" w:color="auto"/>
              <w:bottom w:val="single" w:sz="4" w:space="0" w:color="auto"/>
              <w:right w:val="single" w:sz="4" w:space="0" w:color="000000"/>
            </w:tcBorders>
          </w:tcPr>
          <w:p w14:paraId="5D051CF8" w14:textId="77777777" w:rsidR="00EB08A6" w:rsidRPr="00EB08A6" w:rsidRDefault="00EB08A6" w:rsidP="006643DE">
            <w:pPr>
              <w:rPr>
                <w:szCs w:val="22"/>
                <w:lang w:val="lt-LT"/>
              </w:rPr>
            </w:pPr>
            <w:proofErr w:type="spellStart"/>
            <w:r w:rsidRPr="00EB08A6">
              <w:rPr>
                <w:szCs w:val="22"/>
                <w:lang w:val="lt-LT"/>
              </w:rPr>
              <w:t>Eksfoliacinis</w:t>
            </w:r>
            <w:proofErr w:type="spellEnd"/>
            <w:r w:rsidRPr="00EB08A6">
              <w:rPr>
                <w:szCs w:val="22"/>
                <w:lang w:val="lt-LT"/>
              </w:rPr>
              <w:t xml:space="preserve"> dermatitas*</w:t>
            </w:r>
          </w:p>
        </w:tc>
      </w:tr>
      <w:tr w:rsidR="00EB08A6" w:rsidRPr="00EB08A6" w14:paraId="76846156" w14:textId="77777777" w:rsidTr="006643DE">
        <w:trPr>
          <w:cantSplit/>
          <w:trHeight w:val="1003"/>
        </w:trPr>
        <w:tc>
          <w:tcPr>
            <w:tcW w:w="1560" w:type="dxa"/>
            <w:tcBorders>
              <w:top w:val="single" w:sz="4" w:space="0" w:color="auto"/>
              <w:left w:val="single" w:sz="4" w:space="0" w:color="000000"/>
              <w:bottom w:val="single" w:sz="4" w:space="0" w:color="000000"/>
              <w:right w:val="single" w:sz="4" w:space="0" w:color="auto"/>
            </w:tcBorders>
          </w:tcPr>
          <w:p w14:paraId="1C3D4CD5" w14:textId="77777777" w:rsidR="00EB08A6" w:rsidRPr="00EB08A6" w:rsidRDefault="00EB08A6" w:rsidP="006643DE">
            <w:pPr>
              <w:rPr>
                <w:szCs w:val="22"/>
                <w:lang w:val="lt-LT"/>
              </w:rPr>
            </w:pPr>
            <w:r w:rsidRPr="00EB08A6">
              <w:rPr>
                <w:szCs w:val="22"/>
                <w:lang w:val="lt-LT"/>
              </w:rPr>
              <w:t>Skeleto, raumenų ir jungiamojo audinio sutrikimai</w:t>
            </w:r>
          </w:p>
        </w:tc>
        <w:tc>
          <w:tcPr>
            <w:tcW w:w="1134" w:type="dxa"/>
            <w:tcBorders>
              <w:top w:val="single" w:sz="4" w:space="0" w:color="auto"/>
              <w:left w:val="single" w:sz="4" w:space="0" w:color="auto"/>
              <w:bottom w:val="single" w:sz="4" w:space="0" w:color="000000"/>
              <w:right w:val="single" w:sz="4" w:space="0" w:color="auto"/>
            </w:tcBorders>
          </w:tcPr>
          <w:p w14:paraId="76B95933" w14:textId="77777777" w:rsidR="00EB08A6" w:rsidRPr="00EB08A6" w:rsidRDefault="00EB08A6" w:rsidP="006643DE">
            <w:pPr>
              <w:rPr>
                <w:szCs w:val="22"/>
                <w:lang w:val="lt-LT"/>
              </w:rPr>
            </w:pPr>
          </w:p>
        </w:tc>
        <w:tc>
          <w:tcPr>
            <w:tcW w:w="1417" w:type="dxa"/>
            <w:tcBorders>
              <w:top w:val="single" w:sz="4" w:space="0" w:color="auto"/>
              <w:left w:val="single" w:sz="4" w:space="0" w:color="auto"/>
              <w:bottom w:val="single" w:sz="4" w:space="0" w:color="000000"/>
              <w:right w:val="single" w:sz="4" w:space="0" w:color="auto"/>
            </w:tcBorders>
          </w:tcPr>
          <w:p w14:paraId="3F9FE0DB" w14:textId="77777777" w:rsidR="00EB08A6" w:rsidRPr="00EB08A6" w:rsidRDefault="00EB08A6" w:rsidP="006643DE">
            <w:pPr>
              <w:rPr>
                <w:szCs w:val="22"/>
                <w:lang w:val="lt-LT"/>
              </w:rPr>
            </w:pPr>
          </w:p>
        </w:tc>
        <w:tc>
          <w:tcPr>
            <w:tcW w:w="1559" w:type="dxa"/>
            <w:tcBorders>
              <w:top w:val="single" w:sz="4" w:space="0" w:color="auto"/>
              <w:left w:val="single" w:sz="4" w:space="0" w:color="auto"/>
              <w:bottom w:val="single" w:sz="4" w:space="0" w:color="000000"/>
              <w:right w:val="single" w:sz="4" w:space="0" w:color="auto"/>
            </w:tcBorders>
          </w:tcPr>
          <w:p w14:paraId="7381F79D" w14:textId="77777777" w:rsidR="00EB08A6" w:rsidRPr="00EB08A6" w:rsidRDefault="00EB08A6" w:rsidP="006643DE">
            <w:pPr>
              <w:rPr>
                <w:szCs w:val="22"/>
                <w:lang w:val="lt-LT"/>
              </w:rPr>
            </w:pPr>
          </w:p>
        </w:tc>
        <w:tc>
          <w:tcPr>
            <w:tcW w:w="1418" w:type="dxa"/>
            <w:tcBorders>
              <w:top w:val="single" w:sz="4" w:space="0" w:color="auto"/>
              <w:left w:val="single" w:sz="4" w:space="0" w:color="auto"/>
              <w:bottom w:val="single" w:sz="4" w:space="0" w:color="000000"/>
              <w:right w:val="single" w:sz="4" w:space="0" w:color="000000"/>
            </w:tcBorders>
          </w:tcPr>
          <w:p w14:paraId="5C053BDE" w14:textId="77777777" w:rsidR="00EB08A6" w:rsidRPr="00EB08A6" w:rsidRDefault="00EB08A6" w:rsidP="006643DE">
            <w:pPr>
              <w:rPr>
                <w:szCs w:val="22"/>
                <w:lang w:val="lt-LT"/>
              </w:rPr>
            </w:pPr>
          </w:p>
        </w:tc>
        <w:tc>
          <w:tcPr>
            <w:tcW w:w="1444" w:type="dxa"/>
            <w:tcBorders>
              <w:top w:val="single" w:sz="4" w:space="0" w:color="auto"/>
              <w:left w:val="single" w:sz="4" w:space="0" w:color="000000"/>
              <w:bottom w:val="single" w:sz="4" w:space="0" w:color="auto"/>
              <w:right w:val="single" w:sz="4" w:space="0" w:color="auto"/>
            </w:tcBorders>
          </w:tcPr>
          <w:p w14:paraId="4FD69AF9"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77042ECD" w14:textId="77777777" w:rsidR="00EB08A6" w:rsidRPr="00EB08A6" w:rsidRDefault="00EB08A6" w:rsidP="006643DE">
            <w:pPr>
              <w:rPr>
                <w:szCs w:val="22"/>
                <w:lang w:val="lt-LT"/>
              </w:rPr>
            </w:pPr>
            <w:r w:rsidRPr="00EB08A6">
              <w:rPr>
                <w:szCs w:val="22"/>
                <w:lang w:val="lt-LT"/>
              </w:rPr>
              <w:t>Raumenų silpnumas*</w:t>
            </w:r>
          </w:p>
        </w:tc>
      </w:tr>
      <w:tr w:rsidR="00EB08A6" w:rsidRPr="00EB08A6" w14:paraId="493AB42E" w14:textId="77777777" w:rsidTr="006643DE">
        <w:trPr>
          <w:cantSplit/>
          <w:trHeight w:val="773"/>
        </w:trPr>
        <w:tc>
          <w:tcPr>
            <w:tcW w:w="1560" w:type="dxa"/>
            <w:tcBorders>
              <w:top w:val="single" w:sz="4" w:space="0" w:color="000000"/>
              <w:left w:val="single" w:sz="4" w:space="0" w:color="000000"/>
              <w:bottom w:val="single" w:sz="4" w:space="0" w:color="000000"/>
              <w:right w:val="single" w:sz="4" w:space="0" w:color="auto"/>
            </w:tcBorders>
          </w:tcPr>
          <w:p w14:paraId="4F970B9D" w14:textId="77777777" w:rsidR="00EB08A6" w:rsidRPr="00EB08A6" w:rsidRDefault="00EB08A6" w:rsidP="006643DE">
            <w:pPr>
              <w:rPr>
                <w:szCs w:val="22"/>
                <w:lang w:val="lt-LT"/>
              </w:rPr>
            </w:pPr>
            <w:r w:rsidRPr="00EB08A6">
              <w:rPr>
                <w:szCs w:val="22"/>
                <w:lang w:val="lt-LT"/>
              </w:rPr>
              <w:t xml:space="preserve">Inkstų ir šlapimo takų sutrikimai </w:t>
            </w:r>
          </w:p>
        </w:tc>
        <w:tc>
          <w:tcPr>
            <w:tcW w:w="1134" w:type="dxa"/>
            <w:tcBorders>
              <w:top w:val="single" w:sz="4" w:space="0" w:color="000000"/>
              <w:left w:val="single" w:sz="4" w:space="0" w:color="auto"/>
              <w:bottom w:val="single" w:sz="4" w:space="0" w:color="000000"/>
              <w:right w:val="single" w:sz="4" w:space="0" w:color="auto"/>
            </w:tcBorders>
          </w:tcPr>
          <w:p w14:paraId="70A56B1C" w14:textId="77777777" w:rsidR="00EB08A6" w:rsidRPr="00EB08A6" w:rsidRDefault="00EB08A6" w:rsidP="006643DE">
            <w:pPr>
              <w:rPr>
                <w:szCs w:val="22"/>
                <w:lang w:val="lt-LT"/>
              </w:rPr>
            </w:pPr>
          </w:p>
          <w:p w14:paraId="150B12A7" w14:textId="77777777" w:rsidR="00EB08A6" w:rsidRPr="00EB08A6" w:rsidRDefault="00EB08A6" w:rsidP="006643DE">
            <w:pPr>
              <w:rPr>
                <w:szCs w:val="22"/>
                <w:lang w:val="lt-LT"/>
              </w:rPr>
            </w:pPr>
          </w:p>
        </w:tc>
        <w:tc>
          <w:tcPr>
            <w:tcW w:w="1417" w:type="dxa"/>
            <w:tcBorders>
              <w:top w:val="single" w:sz="4" w:space="0" w:color="000000"/>
              <w:left w:val="single" w:sz="4" w:space="0" w:color="auto"/>
              <w:bottom w:val="single" w:sz="4" w:space="0" w:color="000000"/>
              <w:right w:val="single" w:sz="4" w:space="0" w:color="auto"/>
            </w:tcBorders>
          </w:tcPr>
          <w:p w14:paraId="64D73F59" w14:textId="77777777" w:rsidR="00EB08A6" w:rsidRPr="00EB08A6" w:rsidRDefault="00EB08A6" w:rsidP="006643DE">
            <w:pPr>
              <w:rPr>
                <w:szCs w:val="22"/>
                <w:lang w:val="lt-LT"/>
              </w:rPr>
            </w:pPr>
          </w:p>
          <w:p w14:paraId="30A61964" w14:textId="77777777" w:rsidR="00EB08A6" w:rsidRPr="00EB08A6" w:rsidRDefault="00EB08A6" w:rsidP="006643DE">
            <w:pPr>
              <w:rPr>
                <w:szCs w:val="22"/>
                <w:lang w:val="lt-LT"/>
              </w:rPr>
            </w:pPr>
          </w:p>
          <w:p w14:paraId="6F28E5EB" w14:textId="77777777" w:rsidR="00EB08A6" w:rsidRPr="00EB08A6" w:rsidRDefault="00EB08A6" w:rsidP="006643DE">
            <w:pPr>
              <w:rPr>
                <w:szCs w:val="22"/>
                <w:lang w:val="lt-LT"/>
              </w:rPr>
            </w:pPr>
          </w:p>
        </w:tc>
        <w:tc>
          <w:tcPr>
            <w:tcW w:w="1559" w:type="dxa"/>
            <w:tcBorders>
              <w:top w:val="single" w:sz="4" w:space="0" w:color="000000"/>
              <w:left w:val="single" w:sz="4" w:space="0" w:color="auto"/>
              <w:bottom w:val="single" w:sz="4" w:space="0" w:color="000000"/>
              <w:right w:val="single" w:sz="4" w:space="0" w:color="auto"/>
            </w:tcBorders>
          </w:tcPr>
          <w:p w14:paraId="0F096B59" w14:textId="77777777" w:rsidR="00EB08A6" w:rsidRPr="00EB08A6" w:rsidRDefault="00EB08A6" w:rsidP="006643DE">
            <w:pPr>
              <w:rPr>
                <w:szCs w:val="22"/>
                <w:lang w:val="lt-LT"/>
              </w:rPr>
            </w:pPr>
            <w:proofErr w:type="spellStart"/>
            <w:r w:rsidRPr="00EB08A6">
              <w:rPr>
                <w:szCs w:val="22"/>
                <w:lang w:val="lt-LT"/>
              </w:rPr>
              <w:t>Šlapinimosi</w:t>
            </w:r>
            <w:proofErr w:type="spellEnd"/>
            <w:r w:rsidRPr="00EB08A6">
              <w:rPr>
                <w:szCs w:val="22"/>
                <w:lang w:val="lt-LT"/>
              </w:rPr>
              <w:t xml:space="preserve"> pasunkėjimas</w:t>
            </w:r>
          </w:p>
        </w:tc>
        <w:tc>
          <w:tcPr>
            <w:tcW w:w="1418" w:type="dxa"/>
            <w:tcBorders>
              <w:top w:val="single" w:sz="4" w:space="0" w:color="000000"/>
              <w:left w:val="single" w:sz="4" w:space="0" w:color="auto"/>
              <w:bottom w:val="single" w:sz="4" w:space="0" w:color="000000"/>
              <w:right w:val="single" w:sz="4" w:space="0" w:color="000000"/>
            </w:tcBorders>
          </w:tcPr>
          <w:p w14:paraId="7767FC49" w14:textId="77777777" w:rsidR="00EB08A6" w:rsidRPr="00EB08A6" w:rsidRDefault="00EB08A6" w:rsidP="006643DE">
            <w:pPr>
              <w:rPr>
                <w:szCs w:val="22"/>
                <w:lang w:val="lt-LT"/>
              </w:rPr>
            </w:pPr>
            <w:r w:rsidRPr="00EB08A6">
              <w:rPr>
                <w:szCs w:val="22"/>
                <w:lang w:val="lt-LT"/>
              </w:rPr>
              <w:t xml:space="preserve">Šlapimo susilaikymas </w:t>
            </w:r>
          </w:p>
        </w:tc>
        <w:tc>
          <w:tcPr>
            <w:tcW w:w="1444" w:type="dxa"/>
            <w:tcBorders>
              <w:top w:val="single" w:sz="4" w:space="0" w:color="auto"/>
              <w:left w:val="single" w:sz="4" w:space="0" w:color="000000"/>
              <w:bottom w:val="single" w:sz="4" w:space="0" w:color="auto"/>
              <w:right w:val="single" w:sz="4" w:space="0" w:color="auto"/>
            </w:tcBorders>
          </w:tcPr>
          <w:p w14:paraId="6B467D3E" w14:textId="77777777" w:rsidR="00EB08A6" w:rsidRPr="00EB08A6" w:rsidRDefault="00EB08A6" w:rsidP="006643DE">
            <w:pPr>
              <w:rPr>
                <w:szCs w:val="22"/>
                <w:lang w:val="lt-LT"/>
              </w:rPr>
            </w:pPr>
          </w:p>
        </w:tc>
        <w:tc>
          <w:tcPr>
            <w:tcW w:w="1979" w:type="dxa"/>
            <w:tcBorders>
              <w:top w:val="single" w:sz="4" w:space="0" w:color="auto"/>
              <w:left w:val="single" w:sz="4" w:space="0" w:color="auto"/>
              <w:bottom w:val="single" w:sz="4" w:space="0" w:color="auto"/>
              <w:right w:val="single" w:sz="4" w:space="0" w:color="000000"/>
            </w:tcBorders>
          </w:tcPr>
          <w:p w14:paraId="0A3FB621" w14:textId="77777777" w:rsidR="00EB08A6" w:rsidRPr="00EB08A6" w:rsidRDefault="00EB08A6" w:rsidP="006643DE">
            <w:pPr>
              <w:rPr>
                <w:szCs w:val="22"/>
                <w:lang w:val="lt-LT"/>
              </w:rPr>
            </w:pPr>
            <w:r w:rsidRPr="00EB08A6">
              <w:rPr>
                <w:szCs w:val="22"/>
                <w:lang w:val="lt-LT"/>
              </w:rPr>
              <w:t>Inkstų funkcijos sutrikimas*</w:t>
            </w:r>
          </w:p>
        </w:tc>
      </w:tr>
      <w:tr w:rsidR="00EB08A6" w:rsidRPr="00EB08A6" w14:paraId="028F7FDD" w14:textId="77777777" w:rsidTr="006643DE">
        <w:trPr>
          <w:cantSplit/>
          <w:trHeight w:val="1003"/>
        </w:trPr>
        <w:tc>
          <w:tcPr>
            <w:tcW w:w="1560" w:type="dxa"/>
            <w:tcBorders>
              <w:top w:val="single" w:sz="4" w:space="0" w:color="000000"/>
              <w:left w:val="single" w:sz="4" w:space="0" w:color="000000"/>
              <w:bottom w:val="single" w:sz="4" w:space="0" w:color="000000"/>
              <w:right w:val="single" w:sz="4" w:space="0" w:color="auto"/>
            </w:tcBorders>
          </w:tcPr>
          <w:p w14:paraId="6C1F1848" w14:textId="77777777" w:rsidR="00EB08A6" w:rsidRPr="00EB08A6" w:rsidRDefault="00EB08A6" w:rsidP="006643DE">
            <w:pPr>
              <w:keepLines/>
              <w:rPr>
                <w:szCs w:val="22"/>
                <w:lang w:val="lt-LT"/>
              </w:rPr>
            </w:pPr>
            <w:r w:rsidRPr="00EB08A6">
              <w:rPr>
                <w:szCs w:val="22"/>
                <w:lang w:val="lt-LT"/>
              </w:rPr>
              <w:t xml:space="preserve">Bendri sutrikimai ir vartojimo vietos pažeidimai </w:t>
            </w:r>
          </w:p>
        </w:tc>
        <w:tc>
          <w:tcPr>
            <w:tcW w:w="1134" w:type="dxa"/>
            <w:tcBorders>
              <w:top w:val="single" w:sz="4" w:space="0" w:color="000000"/>
              <w:left w:val="single" w:sz="4" w:space="0" w:color="auto"/>
              <w:bottom w:val="single" w:sz="4" w:space="0" w:color="000000"/>
              <w:right w:val="single" w:sz="4" w:space="0" w:color="auto"/>
            </w:tcBorders>
          </w:tcPr>
          <w:p w14:paraId="7FF37E9C" w14:textId="77777777" w:rsidR="00EB08A6" w:rsidRPr="00EB08A6" w:rsidRDefault="00EB08A6" w:rsidP="006643DE">
            <w:pPr>
              <w:keepLines/>
              <w:rPr>
                <w:szCs w:val="22"/>
                <w:lang w:val="lt-LT"/>
              </w:rPr>
            </w:pPr>
          </w:p>
        </w:tc>
        <w:tc>
          <w:tcPr>
            <w:tcW w:w="1417" w:type="dxa"/>
            <w:tcBorders>
              <w:top w:val="single" w:sz="4" w:space="0" w:color="000000"/>
              <w:left w:val="single" w:sz="4" w:space="0" w:color="auto"/>
              <w:bottom w:val="single" w:sz="4" w:space="0" w:color="000000"/>
              <w:right w:val="single" w:sz="4" w:space="0" w:color="auto"/>
            </w:tcBorders>
          </w:tcPr>
          <w:p w14:paraId="3B4D1BA3" w14:textId="77777777" w:rsidR="00EB08A6" w:rsidRPr="00EB08A6" w:rsidRDefault="00EB08A6" w:rsidP="006643DE">
            <w:pPr>
              <w:keepLines/>
              <w:rPr>
                <w:szCs w:val="22"/>
                <w:lang w:val="lt-LT"/>
              </w:rPr>
            </w:pPr>
          </w:p>
        </w:tc>
        <w:tc>
          <w:tcPr>
            <w:tcW w:w="1559" w:type="dxa"/>
            <w:tcBorders>
              <w:top w:val="single" w:sz="4" w:space="0" w:color="000000"/>
              <w:left w:val="single" w:sz="4" w:space="0" w:color="auto"/>
              <w:bottom w:val="single" w:sz="4" w:space="0" w:color="000000"/>
              <w:right w:val="single" w:sz="4" w:space="0" w:color="auto"/>
            </w:tcBorders>
          </w:tcPr>
          <w:p w14:paraId="182A0486" w14:textId="77777777" w:rsidR="00EB08A6" w:rsidRPr="00EB08A6" w:rsidRDefault="00EB08A6" w:rsidP="006643DE">
            <w:pPr>
              <w:keepLines/>
              <w:rPr>
                <w:szCs w:val="22"/>
                <w:lang w:val="lt-LT"/>
              </w:rPr>
            </w:pPr>
            <w:r w:rsidRPr="00EB08A6">
              <w:rPr>
                <w:szCs w:val="22"/>
                <w:lang w:val="lt-LT"/>
              </w:rPr>
              <w:t xml:space="preserve">Nuovargis </w:t>
            </w:r>
          </w:p>
          <w:p w14:paraId="1EFC4706" w14:textId="77777777" w:rsidR="00EB08A6" w:rsidRPr="00EB08A6" w:rsidRDefault="00EB08A6" w:rsidP="006643DE">
            <w:pPr>
              <w:keepLines/>
              <w:rPr>
                <w:szCs w:val="22"/>
                <w:lang w:val="lt-LT"/>
              </w:rPr>
            </w:pPr>
            <w:r w:rsidRPr="00EB08A6">
              <w:rPr>
                <w:szCs w:val="22"/>
                <w:lang w:val="lt-LT"/>
              </w:rPr>
              <w:t xml:space="preserve">Periferinė edema </w:t>
            </w:r>
          </w:p>
        </w:tc>
        <w:tc>
          <w:tcPr>
            <w:tcW w:w="1418" w:type="dxa"/>
            <w:tcBorders>
              <w:top w:val="single" w:sz="4" w:space="0" w:color="000000"/>
              <w:left w:val="single" w:sz="4" w:space="0" w:color="auto"/>
              <w:bottom w:val="single" w:sz="4" w:space="0" w:color="000000"/>
              <w:right w:val="single" w:sz="4" w:space="0" w:color="000000"/>
            </w:tcBorders>
          </w:tcPr>
          <w:p w14:paraId="4F3D6973" w14:textId="77777777" w:rsidR="00EB08A6" w:rsidRPr="00EB08A6" w:rsidRDefault="00EB08A6" w:rsidP="006643DE">
            <w:pPr>
              <w:keepLines/>
              <w:rPr>
                <w:szCs w:val="22"/>
                <w:lang w:val="lt-LT"/>
              </w:rPr>
            </w:pPr>
          </w:p>
        </w:tc>
        <w:tc>
          <w:tcPr>
            <w:tcW w:w="1444" w:type="dxa"/>
            <w:tcBorders>
              <w:top w:val="single" w:sz="4" w:space="0" w:color="auto"/>
              <w:left w:val="single" w:sz="4" w:space="0" w:color="000000"/>
              <w:bottom w:val="single" w:sz="4" w:space="0" w:color="000000"/>
              <w:right w:val="single" w:sz="4" w:space="0" w:color="auto"/>
            </w:tcBorders>
          </w:tcPr>
          <w:p w14:paraId="02034A6E" w14:textId="77777777" w:rsidR="00EB08A6" w:rsidRPr="00EB08A6" w:rsidRDefault="00EB08A6" w:rsidP="006643DE">
            <w:pPr>
              <w:keepLines/>
              <w:rPr>
                <w:szCs w:val="22"/>
                <w:lang w:val="lt-LT"/>
              </w:rPr>
            </w:pPr>
          </w:p>
        </w:tc>
        <w:tc>
          <w:tcPr>
            <w:tcW w:w="1979" w:type="dxa"/>
            <w:tcBorders>
              <w:top w:val="single" w:sz="4" w:space="0" w:color="auto"/>
              <w:left w:val="single" w:sz="4" w:space="0" w:color="auto"/>
              <w:bottom w:val="single" w:sz="4" w:space="0" w:color="000000"/>
              <w:right w:val="single" w:sz="4" w:space="0" w:color="000000"/>
            </w:tcBorders>
          </w:tcPr>
          <w:p w14:paraId="534B15C8" w14:textId="77777777" w:rsidR="00EB08A6" w:rsidRPr="00EB08A6" w:rsidRDefault="00EB08A6" w:rsidP="006643DE">
            <w:pPr>
              <w:keepLines/>
              <w:rPr>
                <w:szCs w:val="22"/>
                <w:lang w:val="lt-LT"/>
              </w:rPr>
            </w:pPr>
          </w:p>
        </w:tc>
      </w:tr>
    </w:tbl>
    <w:p w14:paraId="56290279" w14:textId="77777777" w:rsidR="00EB08A6" w:rsidRPr="00EB08A6" w:rsidRDefault="00EB08A6" w:rsidP="00EB08A6">
      <w:pPr>
        <w:keepLines/>
        <w:rPr>
          <w:szCs w:val="22"/>
          <w:lang w:val="lt-LT"/>
        </w:rPr>
      </w:pPr>
      <w:r w:rsidRPr="00EB08A6">
        <w:rPr>
          <w:szCs w:val="22"/>
          <w:lang w:val="lt-LT"/>
        </w:rPr>
        <w:t>* pastebėti po vaistinio preparato pateikimo į rinką.</w:t>
      </w:r>
    </w:p>
    <w:p w14:paraId="7E50B6D8" w14:textId="77777777" w:rsidR="00EB08A6" w:rsidRPr="00EB08A6" w:rsidRDefault="00EB08A6" w:rsidP="00EB08A6">
      <w:pPr>
        <w:rPr>
          <w:szCs w:val="22"/>
        </w:rPr>
      </w:pPr>
    </w:p>
    <w:p w14:paraId="798379F8" w14:textId="77777777" w:rsidR="00EB08A6" w:rsidRPr="00EB08A6" w:rsidRDefault="00EB08A6" w:rsidP="00EB08A6">
      <w:pPr>
        <w:rPr>
          <w:szCs w:val="22"/>
          <w:lang w:val="lt-LT"/>
        </w:rPr>
      </w:pPr>
      <w:r w:rsidRPr="00EB08A6">
        <w:rPr>
          <w:i/>
          <w:szCs w:val="22"/>
          <w:u w:val="single"/>
          <w:lang w:val="lt-LT"/>
        </w:rPr>
        <w:t>Vaikų populiacija</w:t>
      </w:r>
    </w:p>
    <w:p w14:paraId="43EB28E3" w14:textId="77777777" w:rsidR="00EB08A6" w:rsidRPr="00EB08A6" w:rsidRDefault="00EB08A6" w:rsidP="00EB08A6">
      <w:pPr>
        <w:rPr>
          <w:szCs w:val="22"/>
          <w:lang w:val="lt-LT"/>
        </w:rPr>
      </w:pPr>
      <w:r w:rsidRPr="00EB08A6">
        <w:rPr>
          <w:szCs w:val="22"/>
          <w:lang w:val="lt-LT"/>
        </w:rPr>
        <w:t xml:space="preserve">Geriamosios </w:t>
      </w:r>
      <w:proofErr w:type="spellStart"/>
      <w:r w:rsidRPr="00EB08A6">
        <w:rPr>
          <w:szCs w:val="22"/>
          <w:lang w:val="lt-LT"/>
        </w:rPr>
        <w:t>solifenacino</w:t>
      </w:r>
      <w:proofErr w:type="spellEnd"/>
      <w:r w:rsidRPr="00EB08A6">
        <w:rPr>
          <w:szCs w:val="22"/>
          <w:lang w:val="lt-LT"/>
        </w:rPr>
        <w:t xml:space="preserve"> suspensijos saugumas buvo įvertintas dviejuose atviruose tyrimuose tiriant 95 nuo 2 iki 18 metų amžiaus vaikus, kuriems pasireiškė </w:t>
      </w:r>
      <w:proofErr w:type="spellStart"/>
      <w:r w:rsidRPr="00EB08A6">
        <w:rPr>
          <w:szCs w:val="22"/>
          <w:lang w:val="lt-LT"/>
        </w:rPr>
        <w:t>neurogeninis</w:t>
      </w:r>
      <w:proofErr w:type="spellEnd"/>
      <w:r w:rsidRPr="00EB08A6">
        <w:rPr>
          <w:szCs w:val="22"/>
          <w:lang w:val="lt-LT"/>
        </w:rPr>
        <w:t xml:space="preserve"> padidėjęs </w:t>
      </w:r>
      <w:proofErr w:type="spellStart"/>
      <w:r w:rsidRPr="00EB08A6">
        <w:rPr>
          <w:szCs w:val="22"/>
          <w:lang w:val="lt-LT"/>
        </w:rPr>
        <w:t>detruzoriaus</w:t>
      </w:r>
      <w:proofErr w:type="spellEnd"/>
      <w:r w:rsidRPr="00EB08A6">
        <w:rPr>
          <w:szCs w:val="22"/>
          <w:lang w:val="lt-LT"/>
        </w:rPr>
        <w:t xml:space="preserve"> aktyvumas. Vaikų, kuriems pasireiškė NDA, populiacijoje dažniausiai užregistruotos nepageidaujamos reakcijos buvo vidurių užkietėjimas, burnos sausumas, pilvo skausmas, mieguistumas, šlapimo takų infekcija, teigiamas bakterinis testas ir pailgėjęs QT intervalas. Geriamąja </w:t>
      </w:r>
      <w:proofErr w:type="spellStart"/>
      <w:r w:rsidRPr="00EB08A6">
        <w:rPr>
          <w:szCs w:val="22"/>
          <w:lang w:val="lt-LT"/>
        </w:rPr>
        <w:t>solifenacino</w:t>
      </w:r>
      <w:proofErr w:type="spellEnd"/>
      <w:r w:rsidRPr="00EB08A6">
        <w:rPr>
          <w:szCs w:val="22"/>
          <w:lang w:val="lt-LT"/>
        </w:rPr>
        <w:t xml:space="preserve"> suspensija gydytiems pacientams vidurių užkietėjimo dažnis buvo didesnis didžiausią dozę vartojusių asmenų grupėje, palyginti su pradinę dozę vartojusiais asmenimis.</w:t>
      </w:r>
    </w:p>
    <w:p w14:paraId="2F8C67CE" w14:textId="77777777" w:rsidR="00EB08A6" w:rsidRPr="00EB08A6" w:rsidRDefault="00EB08A6" w:rsidP="00EB08A6">
      <w:pPr>
        <w:keepNext/>
        <w:rPr>
          <w:szCs w:val="22"/>
          <w:lang w:val="lt-LT"/>
        </w:rPr>
      </w:pPr>
    </w:p>
    <w:p w14:paraId="38770D6C" w14:textId="77777777" w:rsidR="00EB08A6" w:rsidRPr="00EB08A6" w:rsidRDefault="00EB08A6" w:rsidP="00EB08A6">
      <w:pPr>
        <w:keepNext/>
        <w:rPr>
          <w:szCs w:val="22"/>
          <w:lang w:val="lt-LT"/>
        </w:rPr>
      </w:pPr>
      <w:r w:rsidRPr="00EB08A6">
        <w:rPr>
          <w:szCs w:val="22"/>
          <w:lang w:val="lt-LT"/>
        </w:rPr>
        <w:t>NDA patiriantiems vaikams sunkių nepageidaujamų reakcijų neužregistruota. Dažniausia nepageidaujama reakcija, dėl kurios reikėjo nutraukti tiriamojo vaistinio preparato vartojimą, buvo QT intervalo pailgėjimas.</w:t>
      </w:r>
    </w:p>
    <w:p w14:paraId="4A4ABBEE" w14:textId="77777777" w:rsidR="00EB08A6" w:rsidRPr="00EB08A6" w:rsidRDefault="00EB08A6" w:rsidP="00EB08A6">
      <w:pPr>
        <w:keepNext/>
        <w:rPr>
          <w:szCs w:val="22"/>
          <w:lang w:val="lt-LT"/>
        </w:rPr>
      </w:pPr>
    </w:p>
    <w:p w14:paraId="30186F2E" w14:textId="77777777" w:rsidR="00EB08A6" w:rsidRPr="00EB08A6" w:rsidRDefault="00EB08A6" w:rsidP="00EB08A6">
      <w:pPr>
        <w:keepNext/>
        <w:rPr>
          <w:szCs w:val="22"/>
          <w:lang w:val="lt-LT"/>
        </w:rPr>
      </w:pPr>
      <w:r w:rsidRPr="00EB08A6">
        <w:rPr>
          <w:szCs w:val="22"/>
          <w:lang w:val="lt-LT"/>
        </w:rPr>
        <w:t>Vaistinio preparato saugumo savybės vaikams ir paaugliams buvo panašios į gydant suaugusiuosius nustatytas saugumo savybes.</w:t>
      </w:r>
    </w:p>
    <w:p w14:paraId="346E09C2" w14:textId="77777777" w:rsidR="00EB08A6" w:rsidRPr="00EB08A6" w:rsidRDefault="00EB08A6" w:rsidP="00EB08A6">
      <w:pPr>
        <w:keepNext/>
        <w:rPr>
          <w:szCs w:val="22"/>
          <w:lang w:val="lt-LT"/>
        </w:rPr>
      </w:pPr>
    </w:p>
    <w:p w14:paraId="7C792D57" w14:textId="77777777" w:rsidR="00EB08A6" w:rsidRPr="00EB08A6" w:rsidRDefault="00EB08A6" w:rsidP="00EB08A6">
      <w:pPr>
        <w:pStyle w:val="Antrat3"/>
        <w:spacing w:before="0"/>
        <w:rPr>
          <w:rFonts w:ascii="Times New Roman" w:hAnsi="Times New Roman"/>
          <w:sz w:val="22"/>
          <w:szCs w:val="22"/>
          <w:lang w:val="lt-LT"/>
        </w:rPr>
      </w:pPr>
      <w:bookmarkStart w:id="26" w:name="_i4i33tdouc1fjLe9kCA87OaLz"/>
      <w:bookmarkEnd w:id="26"/>
      <w:r w:rsidRPr="00EB08A6">
        <w:rPr>
          <w:rFonts w:ascii="Times New Roman" w:hAnsi="Times New Roman"/>
          <w:sz w:val="22"/>
          <w:szCs w:val="22"/>
          <w:lang w:val="lt-LT"/>
        </w:rPr>
        <w:t xml:space="preserve">Pranešimas apie įtariamas nepageidaujamas reakcijas </w:t>
      </w:r>
    </w:p>
    <w:p w14:paraId="4FCD68F4" w14:textId="77777777" w:rsidR="00EB08A6" w:rsidRPr="00EB08A6" w:rsidRDefault="00EB08A6" w:rsidP="00EB08A6">
      <w:pPr>
        <w:autoSpaceDE w:val="0"/>
        <w:autoSpaceDN w:val="0"/>
        <w:adjustRightInd w:val="0"/>
        <w:rPr>
          <w:szCs w:val="22"/>
          <w:lang w:val="lt-LT"/>
        </w:rPr>
      </w:pPr>
      <w:r w:rsidRPr="00EB08A6">
        <w:rPr>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EB08A6">
        <w:rPr>
          <w:rStyle w:val="Hipersaitas"/>
          <w:szCs w:val="22"/>
          <w:lang w:val="lt-LT"/>
        </w:rPr>
        <w:t>http://</w:t>
      </w:r>
      <w:hyperlink r:id="rId18" w:history="1">
        <w:r w:rsidRPr="00EB08A6">
          <w:rPr>
            <w:rStyle w:val="Hipersaitas"/>
            <w:szCs w:val="22"/>
            <w:lang w:val="lt-LT"/>
          </w:rPr>
          <w:t>www.vvkt.lt</w:t>
        </w:r>
      </w:hyperlink>
      <w:r w:rsidRPr="00EB08A6">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arba elektroniniu. paštu (adresu </w:t>
      </w:r>
      <w:hyperlink r:id="rId19" w:history="1">
        <w:r w:rsidRPr="00EB08A6">
          <w:rPr>
            <w:rStyle w:val="Hipersaitas"/>
            <w:szCs w:val="22"/>
            <w:lang w:val="lt-LT"/>
          </w:rPr>
          <w:t>NepageidaujamaR@vvkt.lt</w:t>
        </w:r>
      </w:hyperlink>
      <w:r w:rsidRPr="00EB08A6">
        <w:rPr>
          <w:szCs w:val="22"/>
          <w:lang w:val="lt-LT"/>
        </w:rPr>
        <w:t xml:space="preserve">) per interneto svetainę (adresu </w:t>
      </w:r>
      <w:hyperlink r:id="rId20" w:history="1">
        <w:r w:rsidRPr="00EB08A6">
          <w:rPr>
            <w:rStyle w:val="Hipersaitas"/>
            <w:szCs w:val="22"/>
            <w:lang w:val="lt-LT"/>
          </w:rPr>
          <w:t>http://www.vvkt.lt</w:t>
        </w:r>
      </w:hyperlink>
      <w:r w:rsidRPr="00EB08A6">
        <w:rPr>
          <w:szCs w:val="22"/>
          <w:lang w:val="lt-LT"/>
        </w:rPr>
        <w:t>).</w:t>
      </w:r>
    </w:p>
    <w:p w14:paraId="16402658" w14:textId="77777777" w:rsidR="00EB08A6" w:rsidRPr="00EB08A6" w:rsidRDefault="00EB08A6" w:rsidP="00EB08A6">
      <w:pPr>
        <w:autoSpaceDE w:val="0"/>
        <w:autoSpaceDN w:val="0"/>
        <w:adjustRightInd w:val="0"/>
        <w:rPr>
          <w:szCs w:val="22"/>
          <w:lang w:val="lt-LT"/>
        </w:rPr>
      </w:pPr>
    </w:p>
    <w:p w14:paraId="360BBF4F" w14:textId="77777777" w:rsidR="00EB08A6" w:rsidRPr="00EB08A6" w:rsidRDefault="00EB08A6" w:rsidP="00EB08A6">
      <w:pPr>
        <w:pStyle w:val="Antrat2"/>
        <w:spacing w:before="0" w:after="0"/>
        <w:rPr>
          <w:rFonts w:ascii="Times New Roman" w:hAnsi="Times New Roman"/>
          <w:i w:val="0"/>
          <w:sz w:val="22"/>
          <w:szCs w:val="22"/>
        </w:rPr>
      </w:pPr>
      <w:bookmarkStart w:id="27" w:name="_i4i7Vpbf15Qm1UUoLEvLedkyV"/>
      <w:bookmarkEnd w:id="27"/>
      <w:r w:rsidRPr="00EB08A6">
        <w:rPr>
          <w:rFonts w:ascii="Times New Roman" w:hAnsi="Times New Roman"/>
          <w:i w:val="0"/>
          <w:sz w:val="22"/>
          <w:szCs w:val="22"/>
          <w:lang w:val="fr-FR"/>
        </w:rPr>
        <w:lastRenderedPageBreak/>
        <w:t>4.9</w:t>
      </w:r>
      <w:r w:rsidRPr="00EB08A6">
        <w:rPr>
          <w:rFonts w:ascii="Times New Roman" w:hAnsi="Times New Roman"/>
          <w:i w:val="0"/>
          <w:sz w:val="22"/>
          <w:szCs w:val="22"/>
          <w:lang w:val="fr-FR"/>
        </w:rPr>
        <w:tab/>
      </w:r>
      <w:proofErr w:type="spellStart"/>
      <w:r w:rsidRPr="00EB08A6">
        <w:rPr>
          <w:rFonts w:ascii="Times New Roman" w:hAnsi="Times New Roman"/>
          <w:i w:val="0"/>
          <w:sz w:val="22"/>
          <w:szCs w:val="22"/>
          <w:lang w:val="fr-FR"/>
        </w:rPr>
        <w:t>Perdozavimas</w:t>
      </w:r>
      <w:proofErr w:type="spellEnd"/>
      <w:r w:rsidRPr="00EB08A6">
        <w:rPr>
          <w:rFonts w:ascii="Times New Roman" w:hAnsi="Times New Roman"/>
          <w:i w:val="0"/>
          <w:sz w:val="22"/>
          <w:szCs w:val="22"/>
        </w:rPr>
        <w:t xml:space="preserve"> </w:t>
      </w:r>
    </w:p>
    <w:p w14:paraId="7BB6FC28" w14:textId="77777777" w:rsidR="00EB08A6" w:rsidRPr="00EB08A6" w:rsidRDefault="00EB08A6" w:rsidP="00EB08A6">
      <w:pPr>
        <w:keepNext/>
        <w:rPr>
          <w:szCs w:val="22"/>
        </w:rPr>
      </w:pPr>
    </w:p>
    <w:p w14:paraId="35F48F28" w14:textId="77777777" w:rsidR="00EB08A6" w:rsidRPr="00EB08A6" w:rsidRDefault="00EB08A6" w:rsidP="00EB08A6">
      <w:pPr>
        <w:keepNext/>
        <w:rPr>
          <w:bCs/>
          <w:iCs/>
          <w:szCs w:val="22"/>
          <w:u w:val="single"/>
          <w:lang w:val="lt-LT"/>
        </w:rPr>
      </w:pPr>
      <w:r w:rsidRPr="00EB08A6">
        <w:rPr>
          <w:bCs/>
          <w:iCs/>
          <w:szCs w:val="22"/>
          <w:u w:val="single"/>
          <w:lang w:val="lt-LT"/>
        </w:rPr>
        <w:t>Simptomai</w:t>
      </w:r>
    </w:p>
    <w:p w14:paraId="0224B87E" w14:textId="77777777" w:rsidR="00EB08A6" w:rsidRPr="00EB08A6" w:rsidRDefault="00EB08A6" w:rsidP="00EB08A6">
      <w:pPr>
        <w:rPr>
          <w:szCs w:val="22"/>
          <w:lang w:val="lt-LT"/>
        </w:rPr>
      </w:pPr>
      <w:r w:rsidRPr="00EB08A6">
        <w:rPr>
          <w:szCs w:val="22"/>
          <w:lang w:val="lt-LT"/>
        </w:rPr>
        <w:t xml:space="preserve">Perdozavus </w:t>
      </w:r>
      <w:proofErr w:type="spellStart"/>
      <w:r w:rsidRPr="00EB08A6">
        <w:rPr>
          <w:szCs w:val="22"/>
          <w:lang w:val="lt-LT"/>
        </w:rPr>
        <w:t>solifenacino</w:t>
      </w:r>
      <w:proofErr w:type="spellEnd"/>
      <w:r w:rsidRPr="00EB08A6">
        <w:rPr>
          <w:szCs w:val="22"/>
          <w:lang w:val="lt-LT"/>
        </w:rPr>
        <w:t xml:space="preserve"> gali pasireikšti ūmus </w:t>
      </w:r>
      <w:proofErr w:type="spellStart"/>
      <w:r w:rsidRPr="00EB08A6">
        <w:rPr>
          <w:szCs w:val="22"/>
          <w:lang w:val="lt-LT"/>
        </w:rPr>
        <w:t>antichlolinerginis</w:t>
      </w:r>
      <w:proofErr w:type="spellEnd"/>
      <w:r w:rsidRPr="00EB08A6">
        <w:rPr>
          <w:szCs w:val="22"/>
          <w:lang w:val="lt-LT"/>
        </w:rPr>
        <w:t xml:space="preserve"> poveikis. Didžiausia atsitiktinai pacientui duota </w:t>
      </w:r>
      <w:proofErr w:type="spellStart"/>
      <w:r w:rsidRPr="00EB08A6">
        <w:rPr>
          <w:szCs w:val="22"/>
          <w:lang w:val="lt-LT"/>
        </w:rPr>
        <w:t>solifenacino</w:t>
      </w:r>
      <w:proofErr w:type="spellEnd"/>
      <w:r w:rsidRPr="00EB08A6">
        <w:rPr>
          <w:szCs w:val="22"/>
          <w:lang w:val="lt-LT"/>
        </w:rPr>
        <w:t xml:space="preserve"> dozė buvo 280 mg per 5 valandas. Ši dozė sąlygojo psichikos būklės pakitimus, tačiau dėl to paciento hospitalizuoti neprireikė.</w:t>
      </w:r>
    </w:p>
    <w:p w14:paraId="55C66DC6" w14:textId="77777777" w:rsidR="00EB08A6" w:rsidRPr="00EB08A6" w:rsidRDefault="00EB08A6" w:rsidP="00EB08A6">
      <w:pPr>
        <w:rPr>
          <w:szCs w:val="22"/>
          <w:lang w:val="lt-LT"/>
        </w:rPr>
      </w:pPr>
    </w:p>
    <w:p w14:paraId="386E2105" w14:textId="77777777" w:rsidR="00EB08A6" w:rsidRPr="00EB08A6" w:rsidRDefault="00EB08A6" w:rsidP="00EB08A6">
      <w:pPr>
        <w:rPr>
          <w:bCs/>
          <w:iCs/>
          <w:szCs w:val="22"/>
          <w:u w:val="single"/>
          <w:lang w:val="lt-LT"/>
        </w:rPr>
      </w:pPr>
      <w:r w:rsidRPr="00EB08A6">
        <w:rPr>
          <w:bCs/>
          <w:iCs/>
          <w:szCs w:val="22"/>
          <w:u w:val="single"/>
          <w:lang w:val="lt-LT"/>
        </w:rPr>
        <w:t>Gydymas</w:t>
      </w:r>
    </w:p>
    <w:p w14:paraId="73F5905C" w14:textId="77777777" w:rsidR="00EB08A6" w:rsidRPr="00EB08A6" w:rsidRDefault="00EB08A6" w:rsidP="00EB08A6">
      <w:pPr>
        <w:rPr>
          <w:szCs w:val="22"/>
          <w:lang w:val="lt-LT"/>
        </w:rPr>
      </w:pPr>
      <w:r w:rsidRPr="00EB08A6">
        <w:rPr>
          <w:szCs w:val="22"/>
          <w:lang w:val="lt-LT"/>
        </w:rPr>
        <w:t xml:space="preserve">Perdozavus </w:t>
      </w:r>
      <w:proofErr w:type="spellStart"/>
      <w:r w:rsidRPr="00EB08A6">
        <w:rPr>
          <w:szCs w:val="22"/>
          <w:lang w:val="lt-LT"/>
        </w:rPr>
        <w:t>solifenacino</w:t>
      </w:r>
      <w:proofErr w:type="spellEnd"/>
      <w:r w:rsidRPr="00EB08A6">
        <w:rPr>
          <w:szCs w:val="22"/>
          <w:lang w:val="lt-LT"/>
        </w:rPr>
        <w:t xml:space="preserve">, pacientą reikia gydyti aktyvintąja anglimi. Galima plauti skrandį (jeigu nepraėjo daugiau kaip 1 valanda), bet draudžiama sukelti vėmimą. </w:t>
      </w:r>
    </w:p>
    <w:p w14:paraId="2EB00791" w14:textId="77777777" w:rsidR="00EB08A6" w:rsidRPr="00EB08A6" w:rsidRDefault="00EB08A6" w:rsidP="00EB08A6">
      <w:pPr>
        <w:rPr>
          <w:szCs w:val="22"/>
          <w:lang w:val="lt-LT"/>
        </w:rPr>
      </w:pPr>
    </w:p>
    <w:p w14:paraId="321F201E" w14:textId="77777777" w:rsidR="00EB08A6" w:rsidRPr="00EB08A6" w:rsidRDefault="00EB08A6" w:rsidP="00EB08A6">
      <w:pPr>
        <w:autoSpaceDE w:val="0"/>
        <w:autoSpaceDN w:val="0"/>
        <w:adjustRightInd w:val="0"/>
        <w:rPr>
          <w:color w:val="000000"/>
          <w:szCs w:val="22"/>
          <w:lang w:val="lt-LT"/>
        </w:rPr>
      </w:pPr>
      <w:r w:rsidRPr="00EB08A6">
        <w:rPr>
          <w:color w:val="000000"/>
          <w:szCs w:val="22"/>
          <w:lang w:val="lt-LT"/>
        </w:rPr>
        <w:t xml:space="preserve">Apsinuodijus šiuo vaistiniu preparatu, kaip ir kitais </w:t>
      </w:r>
      <w:proofErr w:type="spellStart"/>
      <w:r w:rsidRPr="00EB08A6">
        <w:rPr>
          <w:color w:val="000000"/>
          <w:szCs w:val="22"/>
          <w:lang w:val="lt-LT"/>
        </w:rPr>
        <w:t>anticholinerginiais</w:t>
      </w:r>
      <w:proofErr w:type="spellEnd"/>
      <w:r w:rsidRPr="00EB08A6">
        <w:rPr>
          <w:color w:val="000000"/>
          <w:szCs w:val="22"/>
          <w:lang w:val="lt-LT"/>
        </w:rPr>
        <w:t xml:space="preserve"> vaistiniais preparatais, galimas toliau nurodytas simptominis gydymas:</w:t>
      </w:r>
    </w:p>
    <w:p w14:paraId="6F1FDB96" w14:textId="77777777" w:rsidR="00EB08A6" w:rsidRPr="00EB08A6" w:rsidRDefault="00EB08A6" w:rsidP="00EB08A6">
      <w:pPr>
        <w:autoSpaceDE w:val="0"/>
        <w:autoSpaceDN w:val="0"/>
        <w:adjustRightInd w:val="0"/>
        <w:ind w:left="567" w:hanging="567"/>
        <w:rPr>
          <w:color w:val="000000"/>
          <w:szCs w:val="22"/>
          <w:lang w:val="lt-LT"/>
        </w:rPr>
      </w:pPr>
      <w:r w:rsidRPr="00EB08A6">
        <w:rPr>
          <w:color w:val="000000"/>
          <w:szCs w:val="22"/>
          <w:lang w:val="lt-LT"/>
        </w:rPr>
        <w:t xml:space="preserve">- </w:t>
      </w:r>
      <w:r w:rsidRPr="00EB08A6">
        <w:rPr>
          <w:color w:val="000000"/>
          <w:szCs w:val="22"/>
          <w:lang w:val="lt-LT"/>
        </w:rPr>
        <w:tab/>
        <w:t xml:space="preserve">sunkų centrinį </w:t>
      </w:r>
      <w:proofErr w:type="spellStart"/>
      <w:r w:rsidRPr="00EB08A6">
        <w:rPr>
          <w:color w:val="000000"/>
          <w:szCs w:val="22"/>
          <w:lang w:val="lt-LT"/>
        </w:rPr>
        <w:t>anticholinerginį</w:t>
      </w:r>
      <w:proofErr w:type="spellEnd"/>
      <w:r w:rsidRPr="00EB08A6">
        <w:rPr>
          <w:color w:val="000000"/>
          <w:szCs w:val="22"/>
          <w:lang w:val="lt-LT"/>
        </w:rPr>
        <w:t xml:space="preserve"> poveikį, pvz., haliucinacijas ar stiprų sujaudinimą, gydyti </w:t>
      </w:r>
      <w:proofErr w:type="spellStart"/>
      <w:r w:rsidRPr="00EB08A6">
        <w:rPr>
          <w:color w:val="000000"/>
          <w:szCs w:val="22"/>
          <w:lang w:val="lt-LT"/>
        </w:rPr>
        <w:t>fizostigminu</w:t>
      </w:r>
      <w:proofErr w:type="spellEnd"/>
      <w:r w:rsidRPr="00EB08A6">
        <w:rPr>
          <w:color w:val="000000"/>
          <w:szCs w:val="22"/>
          <w:lang w:val="lt-LT"/>
        </w:rPr>
        <w:t xml:space="preserve"> ar </w:t>
      </w:r>
      <w:proofErr w:type="spellStart"/>
      <w:r w:rsidRPr="00EB08A6">
        <w:rPr>
          <w:color w:val="000000"/>
          <w:szCs w:val="22"/>
          <w:lang w:val="lt-LT"/>
        </w:rPr>
        <w:t>karbacholiu</w:t>
      </w:r>
      <w:proofErr w:type="spellEnd"/>
      <w:r w:rsidRPr="00EB08A6">
        <w:rPr>
          <w:color w:val="000000"/>
          <w:szCs w:val="22"/>
          <w:lang w:val="lt-LT"/>
        </w:rPr>
        <w:t>;</w:t>
      </w:r>
    </w:p>
    <w:p w14:paraId="34380EA4"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traukulius ar stiprų sujaudinimą gydyti benzodiazepinais; </w:t>
      </w:r>
    </w:p>
    <w:p w14:paraId="65967AE0"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esant kvėpavimo nepakankamumui, taikyti dirbtinį kvėpavimą; </w:t>
      </w:r>
    </w:p>
    <w:p w14:paraId="58F4C049"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r>
      <w:proofErr w:type="spellStart"/>
      <w:r w:rsidRPr="00EB08A6">
        <w:rPr>
          <w:szCs w:val="22"/>
          <w:lang w:val="lt-LT"/>
        </w:rPr>
        <w:t>tachikardiją</w:t>
      </w:r>
      <w:proofErr w:type="spellEnd"/>
      <w:r w:rsidRPr="00EB08A6">
        <w:rPr>
          <w:szCs w:val="22"/>
          <w:lang w:val="lt-LT"/>
        </w:rPr>
        <w:t xml:space="preserve"> gydyti beta </w:t>
      </w:r>
      <w:proofErr w:type="spellStart"/>
      <w:r w:rsidRPr="00EB08A6">
        <w:rPr>
          <w:szCs w:val="22"/>
          <w:lang w:val="lt-LT"/>
        </w:rPr>
        <w:t>adrenoblokatoriais</w:t>
      </w:r>
      <w:proofErr w:type="spellEnd"/>
      <w:r w:rsidRPr="00EB08A6">
        <w:rPr>
          <w:szCs w:val="22"/>
          <w:lang w:val="lt-LT"/>
        </w:rPr>
        <w:t>;</w:t>
      </w:r>
    </w:p>
    <w:p w14:paraId="4081935A"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t xml:space="preserve">atsiradus šlapimo </w:t>
      </w:r>
      <w:proofErr w:type="spellStart"/>
      <w:r w:rsidRPr="00EB08A6">
        <w:rPr>
          <w:szCs w:val="22"/>
          <w:lang w:val="lt-LT"/>
        </w:rPr>
        <w:t>retencijai</w:t>
      </w:r>
      <w:proofErr w:type="spellEnd"/>
      <w:r w:rsidRPr="00EB08A6">
        <w:rPr>
          <w:szCs w:val="22"/>
          <w:lang w:val="lt-LT"/>
        </w:rPr>
        <w:t xml:space="preserve"> – </w:t>
      </w:r>
      <w:proofErr w:type="spellStart"/>
      <w:r w:rsidRPr="00EB08A6">
        <w:rPr>
          <w:szCs w:val="22"/>
          <w:lang w:val="lt-LT"/>
        </w:rPr>
        <w:t>kateterizuoti</w:t>
      </w:r>
      <w:proofErr w:type="spellEnd"/>
      <w:r w:rsidRPr="00EB08A6">
        <w:rPr>
          <w:szCs w:val="22"/>
          <w:lang w:val="lt-LT"/>
        </w:rPr>
        <w:t xml:space="preserve">; </w:t>
      </w:r>
    </w:p>
    <w:p w14:paraId="45FEAD93" w14:textId="77777777" w:rsidR="00EB08A6" w:rsidRPr="00EB08A6" w:rsidRDefault="00EB08A6" w:rsidP="00EB08A6">
      <w:pPr>
        <w:ind w:left="567" w:hanging="567"/>
        <w:rPr>
          <w:szCs w:val="22"/>
          <w:lang w:val="lt-LT"/>
        </w:rPr>
      </w:pPr>
      <w:r w:rsidRPr="00EB08A6">
        <w:rPr>
          <w:szCs w:val="22"/>
          <w:lang w:val="lt-LT"/>
        </w:rPr>
        <w:t xml:space="preserve">- </w:t>
      </w:r>
      <w:r w:rsidRPr="00EB08A6">
        <w:rPr>
          <w:szCs w:val="22"/>
          <w:lang w:val="lt-LT"/>
        </w:rPr>
        <w:tab/>
      </w:r>
      <w:proofErr w:type="spellStart"/>
      <w:r w:rsidRPr="00EB08A6">
        <w:rPr>
          <w:szCs w:val="22"/>
          <w:lang w:val="lt-LT"/>
        </w:rPr>
        <w:t>midriazę</w:t>
      </w:r>
      <w:proofErr w:type="spellEnd"/>
      <w:r w:rsidRPr="00EB08A6">
        <w:rPr>
          <w:szCs w:val="22"/>
          <w:lang w:val="lt-LT"/>
        </w:rPr>
        <w:t xml:space="preserve"> gydyti </w:t>
      </w:r>
      <w:proofErr w:type="spellStart"/>
      <w:r w:rsidRPr="00EB08A6">
        <w:rPr>
          <w:szCs w:val="22"/>
          <w:lang w:val="lt-LT"/>
        </w:rPr>
        <w:t>pilokarpino</w:t>
      </w:r>
      <w:proofErr w:type="spellEnd"/>
      <w:r w:rsidRPr="00EB08A6">
        <w:rPr>
          <w:szCs w:val="22"/>
          <w:lang w:val="lt-LT"/>
        </w:rPr>
        <w:t xml:space="preserve"> akių lašais ir (ar) perkelti pacientą į tamsią patalpą.</w:t>
      </w:r>
    </w:p>
    <w:p w14:paraId="5655BDFD" w14:textId="77777777" w:rsidR="00EB08A6" w:rsidRPr="00EB08A6" w:rsidRDefault="00EB08A6" w:rsidP="00EB08A6">
      <w:pPr>
        <w:tabs>
          <w:tab w:val="left" w:pos="360"/>
        </w:tabs>
        <w:rPr>
          <w:szCs w:val="22"/>
          <w:lang w:val="lt-LT"/>
        </w:rPr>
      </w:pPr>
    </w:p>
    <w:p w14:paraId="326667BB" w14:textId="77777777" w:rsidR="00EB08A6" w:rsidRPr="00EB08A6" w:rsidRDefault="00EB08A6" w:rsidP="00EB08A6">
      <w:pPr>
        <w:rPr>
          <w:color w:val="000000"/>
          <w:szCs w:val="22"/>
          <w:lang w:val="lt-LT"/>
        </w:rPr>
      </w:pPr>
      <w:r w:rsidRPr="00EB08A6">
        <w:rPr>
          <w:color w:val="000000"/>
          <w:szCs w:val="22"/>
          <w:lang w:val="lt-LT"/>
        </w:rPr>
        <w:t xml:space="preserve">Perdozavus </w:t>
      </w:r>
      <w:proofErr w:type="spellStart"/>
      <w:r w:rsidRPr="00EB08A6">
        <w:rPr>
          <w:color w:val="000000"/>
          <w:szCs w:val="22"/>
          <w:lang w:val="lt-LT"/>
        </w:rPr>
        <w:t>Vesicare</w:t>
      </w:r>
      <w:proofErr w:type="spellEnd"/>
      <w:r w:rsidRPr="00EB08A6">
        <w:rPr>
          <w:color w:val="000000"/>
          <w:szCs w:val="22"/>
          <w:lang w:val="lt-LT"/>
        </w:rPr>
        <w:t xml:space="preserve">, kaip ir kitų </w:t>
      </w:r>
      <w:proofErr w:type="spellStart"/>
      <w:r w:rsidRPr="00EB08A6">
        <w:rPr>
          <w:color w:val="000000"/>
          <w:szCs w:val="22"/>
          <w:lang w:val="lt-LT"/>
        </w:rPr>
        <w:t>antimuskarininių</w:t>
      </w:r>
      <w:proofErr w:type="spellEnd"/>
      <w:r w:rsidRPr="00EB08A6">
        <w:rPr>
          <w:color w:val="000000"/>
          <w:szCs w:val="22"/>
          <w:lang w:val="lt-LT"/>
        </w:rPr>
        <w:t xml:space="preserve"> medžiagų, ypatingą dėmesį reikia skirti ligoniams, kuriems yra pailgėjusio QT intervalo rizika (t. y. </w:t>
      </w:r>
      <w:proofErr w:type="spellStart"/>
      <w:r w:rsidRPr="00EB08A6">
        <w:rPr>
          <w:color w:val="000000"/>
          <w:szCs w:val="22"/>
          <w:lang w:val="lt-LT"/>
        </w:rPr>
        <w:t>hipokalemija</w:t>
      </w:r>
      <w:proofErr w:type="spellEnd"/>
      <w:r w:rsidRPr="00EB08A6">
        <w:rPr>
          <w:color w:val="000000"/>
          <w:szCs w:val="22"/>
          <w:lang w:val="lt-LT"/>
        </w:rPr>
        <w:t xml:space="preserve">, </w:t>
      </w:r>
      <w:proofErr w:type="spellStart"/>
      <w:r w:rsidRPr="00EB08A6">
        <w:rPr>
          <w:color w:val="000000"/>
          <w:szCs w:val="22"/>
          <w:lang w:val="lt-LT"/>
        </w:rPr>
        <w:t>bradikardija</w:t>
      </w:r>
      <w:proofErr w:type="spellEnd"/>
      <w:r w:rsidRPr="00EB08A6">
        <w:rPr>
          <w:color w:val="000000"/>
          <w:szCs w:val="22"/>
          <w:lang w:val="lt-LT"/>
        </w:rPr>
        <w:t xml:space="preserve"> ir tuo pačiu metu vartojama vaistinių preparatų, ilginančių QT intervalą), ir tokiems žmonėms, kurie prieš pradėdami vartoti </w:t>
      </w:r>
      <w:proofErr w:type="spellStart"/>
      <w:r w:rsidRPr="00EB08A6">
        <w:rPr>
          <w:color w:val="000000"/>
          <w:szCs w:val="22"/>
          <w:lang w:val="lt-LT"/>
        </w:rPr>
        <w:t>Vesicare</w:t>
      </w:r>
      <w:proofErr w:type="spellEnd"/>
      <w:r w:rsidRPr="00EB08A6">
        <w:rPr>
          <w:color w:val="000000"/>
          <w:szCs w:val="22"/>
          <w:lang w:val="lt-LT"/>
        </w:rPr>
        <w:t xml:space="preserve">, sirgo tiesiogiai susijusiomis širdies ligomis (t. y. išemine širdies liga, aritmija, </w:t>
      </w:r>
      <w:proofErr w:type="spellStart"/>
      <w:r w:rsidRPr="00EB08A6">
        <w:rPr>
          <w:color w:val="000000"/>
          <w:szCs w:val="22"/>
          <w:lang w:val="lt-LT"/>
        </w:rPr>
        <w:t>staziniu</w:t>
      </w:r>
      <w:proofErr w:type="spellEnd"/>
      <w:r w:rsidRPr="00EB08A6">
        <w:rPr>
          <w:color w:val="000000"/>
          <w:szCs w:val="22"/>
          <w:lang w:val="lt-LT"/>
        </w:rPr>
        <w:t xml:space="preserve"> širdies nepakankamumu).</w:t>
      </w:r>
    </w:p>
    <w:p w14:paraId="1DA63C17" w14:textId="77777777" w:rsidR="00EB08A6" w:rsidRPr="00EB08A6" w:rsidRDefault="00EB08A6" w:rsidP="00EB08A6">
      <w:pPr>
        <w:rPr>
          <w:color w:val="000000"/>
          <w:szCs w:val="22"/>
          <w:lang w:val="lt-LT"/>
        </w:rPr>
      </w:pPr>
    </w:p>
    <w:p w14:paraId="0D5BF8F4" w14:textId="77777777" w:rsidR="00EB08A6" w:rsidRPr="00EB08A6" w:rsidRDefault="00EB08A6" w:rsidP="00EB08A6">
      <w:pPr>
        <w:rPr>
          <w:color w:val="000000"/>
          <w:szCs w:val="22"/>
          <w:lang w:val="lt-LT"/>
        </w:rPr>
      </w:pPr>
    </w:p>
    <w:p w14:paraId="1C6A5DC4" w14:textId="77777777" w:rsidR="00EB08A6" w:rsidRPr="00EB08A6" w:rsidRDefault="00EB08A6" w:rsidP="00EB08A6">
      <w:pPr>
        <w:pStyle w:val="Antrat1"/>
        <w:spacing w:before="0"/>
        <w:ind w:left="0" w:firstLine="0"/>
        <w:rPr>
          <w:rFonts w:ascii="Times New Roman" w:hAnsi="Times New Roman"/>
          <w:sz w:val="22"/>
          <w:szCs w:val="22"/>
          <w:lang w:val="lt-LT"/>
        </w:rPr>
      </w:pPr>
      <w:bookmarkStart w:id="28" w:name="_i4i039CpU3GMXV27C4S8Ott59"/>
      <w:bookmarkEnd w:id="28"/>
      <w:r w:rsidRPr="00EB08A6">
        <w:rPr>
          <w:rFonts w:ascii="Times New Roman" w:hAnsi="Times New Roman"/>
          <w:sz w:val="22"/>
          <w:szCs w:val="22"/>
          <w:lang w:val="lt-LT"/>
        </w:rPr>
        <w:t>5.</w:t>
      </w:r>
      <w:r w:rsidRPr="00EB08A6">
        <w:rPr>
          <w:rFonts w:ascii="Times New Roman" w:hAnsi="Times New Roman"/>
          <w:sz w:val="22"/>
          <w:szCs w:val="22"/>
          <w:lang w:val="lt-LT"/>
        </w:rPr>
        <w:tab/>
        <w:t xml:space="preserve">FARMAKOLOGINĖS SAVYBĖS </w:t>
      </w:r>
    </w:p>
    <w:p w14:paraId="379BF9BA" w14:textId="77777777" w:rsidR="00EB08A6" w:rsidRPr="00EB08A6" w:rsidRDefault="00EB08A6" w:rsidP="00EB08A6">
      <w:pPr>
        <w:pStyle w:val="Antrat2"/>
        <w:rPr>
          <w:rFonts w:ascii="Times New Roman" w:hAnsi="Times New Roman"/>
          <w:i w:val="0"/>
          <w:sz w:val="22"/>
          <w:szCs w:val="22"/>
          <w:lang w:val="lt-LT"/>
        </w:rPr>
      </w:pPr>
      <w:bookmarkStart w:id="29" w:name="_i4i7XdSK4clEE0k2J645mDNoo"/>
      <w:bookmarkEnd w:id="29"/>
      <w:r w:rsidRPr="00EB08A6">
        <w:rPr>
          <w:rFonts w:ascii="Times New Roman" w:hAnsi="Times New Roman"/>
          <w:i w:val="0"/>
          <w:sz w:val="22"/>
          <w:szCs w:val="22"/>
          <w:lang w:val="lt-LT"/>
        </w:rPr>
        <w:t>5.1</w:t>
      </w:r>
      <w:r w:rsidRPr="00EB08A6">
        <w:rPr>
          <w:rFonts w:ascii="Times New Roman" w:hAnsi="Times New Roman"/>
          <w:i w:val="0"/>
          <w:sz w:val="22"/>
          <w:szCs w:val="22"/>
          <w:lang w:val="lt-LT"/>
        </w:rPr>
        <w:tab/>
      </w:r>
      <w:proofErr w:type="spellStart"/>
      <w:r w:rsidRPr="00EB08A6">
        <w:rPr>
          <w:rFonts w:ascii="Times New Roman" w:hAnsi="Times New Roman"/>
          <w:i w:val="0"/>
          <w:sz w:val="22"/>
          <w:szCs w:val="22"/>
          <w:lang w:val="lt-LT"/>
        </w:rPr>
        <w:t>Farmakodinaminės</w:t>
      </w:r>
      <w:proofErr w:type="spellEnd"/>
      <w:r w:rsidRPr="00EB08A6">
        <w:rPr>
          <w:rFonts w:ascii="Times New Roman" w:hAnsi="Times New Roman"/>
          <w:i w:val="0"/>
          <w:sz w:val="22"/>
          <w:szCs w:val="22"/>
          <w:lang w:val="lt-LT"/>
        </w:rPr>
        <w:t xml:space="preserve"> savybės </w:t>
      </w:r>
    </w:p>
    <w:p w14:paraId="75C82005" w14:textId="77777777" w:rsidR="00EB08A6" w:rsidRPr="00EB08A6" w:rsidRDefault="00EB08A6" w:rsidP="00EB08A6">
      <w:pPr>
        <w:rPr>
          <w:szCs w:val="22"/>
          <w:lang w:val="lt-LT"/>
        </w:rPr>
      </w:pPr>
      <w:proofErr w:type="spellStart"/>
      <w:r w:rsidRPr="00EB08A6">
        <w:rPr>
          <w:szCs w:val="22"/>
          <w:lang w:val="lt-LT"/>
        </w:rPr>
        <w:t>Farmakoterapinė</w:t>
      </w:r>
      <w:proofErr w:type="spellEnd"/>
      <w:r w:rsidRPr="00EB08A6">
        <w:rPr>
          <w:szCs w:val="22"/>
          <w:lang w:val="lt-LT"/>
        </w:rPr>
        <w:t xml:space="preserve"> grupė –</w:t>
      </w:r>
      <w:bookmarkStart w:id="30" w:name="_i4i1JVFYTJZXiorhTC43SvrQ9"/>
      <w:bookmarkEnd w:id="30"/>
      <w:r w:rsidRPr="00EB08A6">
        <w:rPr>
          <w:szCs w:val="22"/>
          <w:lang w:val="lt-LT"/>
        </w:rPr>
        <w:t xml:space="preserve"> urologiniai vaistiniai preparatai, vaistiniai preparatai dažnam </w:t>
      </w:r>
      <w:proofErr w:type="spellStart"/>
      <w:r w:rsidRPr="00EB08A6">
        <w:rPr>
          <w:szCs w:val="22"/>
          <w:lang w:val="lt-LT"/>
        </w:rPr>
        <w:t>šlapinimuisi</w:t>
      </w:r>
      <w:proofErr w:type="spellEnd"/>
      <w:r w:rsidRPr="00EB08A6">
        <w:rPr>
          <w:szCs w:val="22"/>
          <w:lang w:val="lt-LT"/>
        </w:rPr>
        <w:t xml:space="preserve"> ir šlapimo nelaikymui gydyti, ATC kodas –</w:t>
      </w:r>
      <w:r w:rsidRPr="00EB08A6">
        <w:rPr>
          <w:rStyle w:val="DefaultCharacterStyle"/>
          <w:rFonts w:eastAsia="Arial"/>
          <w:szCs w:val="22"/>
          <w:lang w:val="lt-LT"/>
        </w:rPr>
        <w:t xml:space="preserve"> </w:t>
      </w:r>
      <w:r w:rsidRPr="00EB08A6">
        <w:rPr>
          <w:szCs w:val="22"/>
          <w:lang w:val="lt-LT"/>
        </w:rPr>
        <w:t>G04BD08.</w:t>
      </w:r>
      <w:r w:rsidRPr="00EB08A6">
        <w:rPr>
          <w:rStyle w:val="DefaultCharacterStyle"/>
          <w:rFonts w:eastAsia="Arial"/>
          <w:szCs w:val="22"/>
          <w:lang w:val="lt-LT"/>
        </w:rPr>
        <w:t xml:space="preserve">  </w:t>
      </w:r>
    </w:p>
    <w:p w14:paraId="19815CA6" w14:textId="77777777" w:rsidR="00EB08A6" w:rsidRPr="00EB08A6" w:rsidRDefault="00EB08A6" w:rsidP="00EB08A6">
      <w:pPr>
        <w:pStyle w:val="Antrat3"/>
        <w:spacing w:before="0"/>
        <w:rPr>
          <w:rFonts w:ascii="Times New Roman" w:hAnsi="Times New Roman"/>
          <w:sz w:val="22"/>
          <w:szCs w:val="22"/>
          <w:lang w:val="lt-LT"/>
        </w:rPr>
      </w:pPr>
    </w:p>
    <w:p w14:paraId="12CC1776" w14:textId="77777777" w:rsidR="00EB08A6" w:rsidRPr="00EB08A6" w:rsidRDefault="00EB08A6" w:rsidP="00EB08A6">
      <w:pPr>
        <w:pStyle w:val="Antrat3"/>
        <w:spacing w:before="0"/>
        <w:rPr>
          <w:rFonts w:ascii="Times New Roman" w:hAnsi="Times New Roman"/>
          <w:sz w:val="22"/>
          <w:szCs w:val="22"/>
        </w:rPr>
      </w:pPr>
      <w:proofErr w:type="spellStart"/>
      <w:r w:rsidRPr="00EB08A6">
        <w:rPr>
          <w:rFonts w:ascii="Times New Roman" w:hAnsi="Times New Roman"/>
          <w:sz w:val="22"/>
          <w:szCs w:val="22"/>
        </w:rPr>
        <w:t>Veikimo</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mechanizmas</w:t>
      </w:r>
      <w:proofErr w:type="spellEnd"/>
    </w:p>
    <w:p w14:paraId="3AACC476" w14:textId="77777777" w:rsidR="00EB08A6" w:rsidRPr="00EB08A6" w:rsidRDefault="00EB08A6" w:rsidP="00EB08A6">
      <w:pPr>
        <w:rPr>
          <w:szCs w:val="22"/>
          <w:lang w:val="lt-LT"/>
        </w:rPr>
      </w:pPr>
      <w:proofErr w:type="spellStart"/>
      <w:r w:rsidRPr="00EB08A6">
        <w:rPr>
          <w:szCs w:val="22"/>
          <w:lang w:val="lt-LT"/>
        </w:rPr>
        <w:t>Solifenacinas</w:t>
      </w:r>
      <w:proofErr w:type="spellEnd"/>
      <w:r w:rsidRPr="00EB08A6">
        <w:rPr>
          <w:szCs w:val="22"/>
          <w:lang w:val="lt-LT"/>
        </w:rPr>
        <w:t xml:space="preserve"> </w:t>
      </w:r>
      <w:r w:rsidRPr="00EB08A6">
        <w:rPr>
          <w:szCs w:val="22"/>
          <w:lang w:val="lt-LT"/>
        </w:rPr>
        <w:sym w:font="Symbol" w:char="F02D"/>
      </w:r>
      <w:r w:rsidRPr="00EB08A6">
        <w:rPr>
          <w:szCs w:val="22"/>
          <w:lang w:val="lt-LT"/>
        </w:rPr>
        <w:t xml:space="preserve"> konkurencinis, specifinis </w:t>
      </w:r>
      <w:proofErr w:type="spellStart"/>
      <w:r w:rsidRPr="00EB08A6">
        <w:rPr>
          <w:szCs w:val="22"/>
          <w:lang w:val="lt-LT"/>
        </w:rPr>
        <w:t>cholinerginių</w:t>
      </w:r>
      <w:proofErr w:type="spellEnd"/>
      <w:r w:rsidRPr="00EB08A6">
        <w:rPr>
          <w:szCs w:val="22"/>
          <w:lang w:val="lt-LT"/>
        </w:rPr>
        <w:t xml:space="preserve"> receptorių antagonistas. </w:t>
      </w:r>
    </w:p>
    <w:p w14:paraId="10F9BE5C" w14:textId="77777777" w:rsidR="00EB08A6" w:rsidRPr="00EB08A6" w:rsidRDefault="00EB08A6" w:rsidP="00EB08A6">
      <w:pPr>
        <w:rPr>
          <w:szCs w:val="22"/>
          <w:lang w:val="lt-LT"/>
        </w:rPr>
      </w:pPr>
    </w:p>
    <w:p w14:paraId="58087A94" w14:textId="77777777" w:rsidR="00EB08A6" w:rsidRPr="00EB08A6" w:rsidRDefault="00EB08A6" w:rsidP="00EB08A6">
      <w:pPr>
        <w:rPr>
          <w:szCs w:val="22"/>
          <w:lang w:val="lt-LT"/>
        </w:rPr>
      </w:pPr>
      <w:r w:rsidRPr="00EB08A6">
        <w:rPr>
          <w:szCs w:val="22"/>
          <w:lang w:val="lt-LT"/>
        </w:rPr>
        <w:t xml:space="preserve">Šlapimo pūslę </w:t>
      </w:r>
      <w:proofErr w:type="spellStart"/>
      <w:r w:rsidRPr="00EB08A6">
        <w:rPr>
          <w:szCs w:val="22"/>
          <w:lang w:val="lt-LT"/>
        </w:rPr>
        <w:t>inervuoja</w:t>
      </w:r>
      <w:proofErr w:type="spellEnd"/>
      <w:r w:rsidRPr="00EB08A6">
        <w:rPr>
          <w:szCs w:val="22"/>
          <w:lang w:val="lt-LT"/>
        </w:rPr>
        <w:t xml:space="preserve"> parasimpatiniai </w:t>
      </w:r>
      <w:proofErr w:type="spellStart"/>
      <w:r w:rsidRPr="00EB08A6">
        <w:rPr>
          <w:szCs w:val="22"/>
          <w:lang w:val="lt-LT"/>
        </w:rPr>
        <w:t>cholinerginiai</w:t>
      </w:r>
      <w:proofErr w:type="spellEnd"/>
      <w:r w:rsidRPr="00EB08A6">
        <w:rPr>
          <w:szCs w:val="22"/>
          <w:lang w:val="lt-LT"/>
        </w:rPr>
        <w:t xml:space="preserve"> nervai. </w:t>
      </w:r>
      <w:proofErr w:type="spellStart"/>
      <w:r w:rsidRPr="00EB08A6">
        <w:rPr>
          <w:szCs w:val="22"/>
          <w:lang w:val="lt-LT"/>
        </w:rPr>
        <w:t>Acetilcholinas</w:t>
      </w:r>
      <w:proofErr w:type="spellEnd"/>
      <w:r w:rsidRPr="00EB08A6">
        <w:rPr>
          <w:szCs w:val="22"/>
          <w:lang w:val="lt-LT"/>
        </w:rPr>
        <w:t xml:space="preserve">, veikdamas </w:t>
      </w:r>
      <w:proofErr w:type="spellStart"/>
      <w:r w:rsidRPr="00EB08A6">
        <w:rPr>
          <w:szCs w:val="22"/>
          <w:lang w:val="lt-LT"/>
        </w:rPr>
        <w:t>muskarininius</w:t>
      </w:r>
      <w:proofErr w:type="spellEnd"/>
      <w:r w:rsidRPr="00EB08A6">
        <w:rPr>
          <w:szCs w:val="22"/>
          <w:lang w:val="lt-LT"/>
        </w:rPr>
        <w:t xml:space="preserve"> receptorius (daugiausia M3 potipio), sutraukia šlapimo pūslės lygiuosius raumenis. Farmakologinių tyrimų, atliktų </w:t>
      </w:r>
      <w:proofErr w:type="spellStart"/>
      <w:r w:rsidRPr="00EB08A6">
        <w:rPr>
          <w:i/>
          <w:szCs w:val="22"/>
          <w:lang w:val="lt-LT"/>
        </w:rPr>
        <w:t>in</w:t>
      </w:r>
      <w:proofErr w:type="spellEnd"/>
      <w:r w:rsidRPr="00EB08A6">
        <w:rPr>
          <w:i/>
          <w:szCs w:val="22"/>
          <w:lang w:val="lt-LT"/>
        </w:rPr>
        <w:t xml:space="preserve"> </w:t>
      </w:r>
      <w:proofErr w:type="spellStart"/>
      <w:r w:rsidRPr="00EB08A6">
        <w:rPr>
          <w:i/>
          <w:szCs w:val="22"/>
          <w:lang w:val="lt-LT"/>
        </w:rPr>
        <w:t>vitro</w:t>
      </w:r>
      <w:proofErr w:type="spellEnd"/>
      <w:r w:rsidRPr="00EB08A6">
        <w:rPr>
          <w:szCs w:val="22"/>
          <w:lang w:val="lt-LT"/>
        </w:rPr>
        <w:t xml:space="preserve"> ir </w:t>
      </w:r>
      <w:proofErr w:type="spellStart"/>
      <w:r w:rsidRPr="00EB08A6">
        <w:rPr>
          <w:i/>
          <w:szCs w:val="22"/>
          <w:lang w:val="lt-LT"/>
        </w:rPr>
        <w:t>in</w:t>
      </w:r>
      <w:proofErr w:type="spellEnd"/>
      <w:r w:rsidRPr="00EB08A6">
        <w:rPr>
          <w:i/>
          <w:szCs w:val="22"/>
          <w:lang w:val="lt-LT"/>
        </w:rPr>
        <w:t xml:space="preserve"> </w:t>
      </w:r>
      <w:proofErr w:type="spellStart"/>
      <w:r w:rsidRPr="00EB08A6">
        <w:rPr>
          <w:i/>
          <w:szCs w:val="22"/>
          <w:lang w:val="lt-LT"/>
        </w:rPr>
        <w:t>vivo</w:t>
      </w:r>
      <w:proofErr w:type="spellEnd"/>
      <w:r w:rsidRPr="00EB08A6">
        <w:rPr>
          <w:szCs w:val="22"/>
          <w:lang w:val="lt-LT"/>
        </w:rPr>
        <w:t xml:space="preserve">, rezultatai parodė, kad </w:t>
      </w:r>
      <w:proofErr w:type="spellStart"/>
      <w:r w:rsidRPr="00EB08A6">
        <w:rPr>
          <w:szCs w:val="22"/>
          <w:lang w:val="lt-LT"/>
        </w:rPr>
        <w:t>solifenacinas</w:t>
      </w:r>
      <w:proofErr w:type="spellEnd"/>
      <w:r w:rsidRPr="00EB08A6">
        <w:rPr>
          <w:szCs w:val="22"/>
          <w:lang w:val="lt-LT"/>
        </w:rPr>
        <w:t xml:space="preserve"> yra </w:t>
      </w:r>
      <w:proofErr w:type="spellStart"/>
      <w:r w:rsidRPr="00EB08A6">
        <w:rPr>
          <w:szCs w:val="22"/>
          <w:lang w:val="lt-LT"/>
        </w:rPr>
        <w:t>muskarininių</w:t>
      </w:r>
      <w:proofErr w:type="spellEnd"/>
      <w:r w:rsidRPr="00EB08A6">
        <w:rPr>
          <w:szCs w:val="22"/>
          <w:lang w:val="lt-LT"/>
        </w:rPr>
        <w:t xml:space="preserve"> M3 receptorių konkurencinis inhibitorius. Be to, nustatyta, kad jis yra specifinis </w:t>
      </w:r>
      <w:proofErr w:type="spellStart"/>
      <w:r w:rsidRPr="00EB08A6">
        <w:rPr>
          <w:szCs w:val="22"/>
          <w:lang w:val="lt-LT"/>
        </w:rPr>
        <w:t>muskarininių</w:t>
      </w:r>
      <w:proofErr w:type="spellEnd"/>
      <w:r w:rsidRPr="00EB08A6">
        <w:rPr>
          <w:szCs w:val="22"/>
          <w:lang w:val="lt-LT"/>
        </w:rPr>
        <w:t xml:space="preserve"> receptorių antagonistas, turintis mažą </w:t>
      </w:r>
      <w:proofErr w:type="spellStart"/>
      <w:r w:rsidRPr="00EB08A6">
        <w:rPr>
          <w:szCs w:val="22"/>
          <w:lang w:val="lt-LT"/>
        </w:rPr>
        <w:t>afinitetą</w:t>
      </w:r>
      <w:proofErr w:type="spellEnd"/>
      <w:r w:rsidRPr="00EB08A6">
        <w:rPr>
          <w:szCs w:val="22"/>
          <w:lang w:val="lt-LT"/>
        </w:rPr>
        <w:t xml:space="preserve"> (arba visai jo neturintis) įvairiems kitokiems receptoriams ir jonų kanalams. </w:t>
      </w:r>
    </w:p>
    <w:p w14:paraId="58537195" w14:textId="77777777" w:rsidR="00EB08A6" w:rsidRPr="00EB08A6" w:rsidRDefault="00EB08A6" w:rsidP="00EB08A6">
      <w:pPr>
        <w:rPr>
          <w:szCs w:val="22"/>
          <w:lang w:val="lt-LT"/>
        </w:rPr>
      </w:pPr>
    </w:p>
    <w:p w14:paraId="14393799" w14:textId="77777777" w:rsidR="00EB08A6" w:rsidRPr="00EB08A6" w:rsidRDefault="00EB08A6" w:rsidP="00EB08A6">
      <w:pPr>
        <w:pStyle w:val="Antrat3"/>
        <w:spacing w:before="0"/>
        <w:rPr>
          <w:rFonts w:ascii="Times New Roman" w:hAnsi="Times New Roman"/>
          <w:sz w:val="22"/>
          <w:szCs w:val="22"/>
          <w:lang w:val="lt-LT"/>
        </w:rPr>
      </w:pPr>
      <w:proofErr w:type="spellStart"/>
      <w:r w:rsidRPr="00EB08A6">
        <w:rPr>
          <w:rFonts w:ascii="Times New Roman" w:hAnsi="Times New Roman"/>
          <w:sz w:val="22"/>
          <w:szCs w:val="22"/>
          <w:lang w:val="lt-LT"/>
        </w:rPr>
        <w:t>Farmakodinaminis</w:t>
      </w:r>
      <w:proofErr w:type="spellEnd"/>
      <w:r w:rsidRPr="00EB08A6">
        <w:rPr>
          <w:rFonts w:ascii="Times New Roman" w:hAnsi="Times New Roman"/>
          <w:sz w:val="22"/>
          <w:szCs w:val="22"/>
          <w:lang w:val="lt-LT"/>
        </w:rPr>
        <w:t xml:space="preserve"> poveikis </w:t>
      </w:r>
    </w:p>
    <w:p w14:paraId="7216B395" w14:textId="77777777" w:rsidR="00EB08A6" w:rsidRPr="00EB08A6" w:rsidRDefault="00EB08A6" w:rsidP="00EB08A6">
      <w:pPr>
        <w:rPr>
          <w:szCs w:val="22"/>
          <w:lang w:val="lt-LT"/>
        </w:rPr>
      </w:pPr>
    </w:p>
    <w:p w14:paraId="6BF45483" w14:textId="77777777" w:rsidR="00EB08A6" w:rsidRPr="00EB08A6" w:rsidRDefault="00EB08A6" w:rsidP="00EB08A6">
      <w:pPr>
        <w:rPr>
          <w:bCs/>
          <w:i/>
          <w:iCs/>
          <w:szCs w:val="22"/>
          <w:u w:val="single"/>
          <w:lang w:val="lt-LT"/>
        </w:rPr>
      </w:pPr>
      <w:r w:rsidRPr="00EB08A6">
        <w:rPr>
          <w:bCs/>
          <w:i/>
          <w:iCs/>
          <w:szCs w:val="22"/>
          <w:u w:val="single"/>
          <w:lang w:val="lt-LT"/>
        </w:rPr>
        <w:t>Suaugusieji</w:t>
      </w:r>
    </w:p>
    <w:p w14:paraId="175B0952" w14:textId="77777777" w:rsidR="00EB08A6" w:rsidRPr="00EB08A6" w:rsidRDefault="00EB08A6" w:rsidP="00EB08A6">
      <w:pPr>
        <w:rPr>
          <w:szCs w:val="22"/>
          <w:lang w:val="lt-LT"/>
        </w:rPr>
      </w:pPr>
      <w:r w:rsidRPr="00EB08A6">
        <w:rPr>
          <w:szCs w:val="22"/>
          <w:lang w:val="lt-LT"/>
        </w:rPr>
        <w:t xml:space="preserve">Dvigubai aklo kontroliuojamo tyrimo, tiriamuosius atrenkant atsitiktiniu būdu, metu vyrai ir moterys, kurių šlapimo pūslė buvo pernelyg jautri, buvo gydyti 5 mg ir 10 mg </w:t>
      </w:r>
      <w:proofErr w:type="spellStart"/>
      <w:r w:rsidRPr="00EB08A6">
        <w:rPr>
          <w:szCs w:val="22"/>
          <w:lang w:val="lt-LT"/>
        </w:rPr>
        <w:t>Vesicare</w:t>
      </w:r>
      <w:proofErr w:type="spellEnd"/>
      <w:r w:rsidRPr="00EB08A6">
        <w:rPr>
          <w:szCs w:val="22"/>
          <w:lang w:val="lt-LT"/>
        </w:rPr>
        <w:t xml:space="preserve"> paros dozėmis.</w:t>
      </w:r>
    </w:p>
    <w:p w14:paraId="1A815FA4" w14:textId="77777777" w:rsidR="00EB08A6" w:rsidRPr="00EB08A6" w:rsidRDefault="00EB08A6" w:rsidP="00EB08A6">
      <w:pPr>
        <w:rPr>
          <w:szCs w:val="22"/>
          <w:lang w:val="lt-LT"/>
        </w:rPr>
      </w:pPr>
    </w:p>
    <w:p w14:paraId="703EC9AD" w14:textId="77777777" w:rsidR="00EB08A6" w:rsidRPr="00EB08A6" w:rsidRDefault="00EB08A6" w:rsidP="00EB08A6">
      <w:pPr>
        <w:rPr>
          <w:szCs w:val="22"/>
          <w:lang w:val="lt-LT"/>
        </w:rPr>
      </w:pPr>
      <w:r w:rsidRPr="00EB08A6">
        <w:rPr>
          <w:szCs w:val="22"/>
          <w:lang w:val="lt-LT"/>
        </w:rPr>
        <w:t xml:space="preserve">Toliau esančioje lentelėje parodyta, kad vertinant pagrindinę ir antrinę vertinamąją baigtį ir 5 mg, ir 10 mg </w:t>
      </w:r>
      <w:proofErr w:type="spellStart"/>
      <w:r w:rsidRPr="00EB08A6">
        <w:rPr>
          <w:szCs w:val="22"/>
          <w:lang w:val="lt-LT"/>
        </w:rPr>
        <w:t>Vesicare</w:t>
      </w:r>
      <w:proofErr w:type="spellEnd"/>
      <w:r w:rsidRPr="00EB08A6">
        <w:rPr>
          <w:szCs w:val="22"/>
          <w:lang w:val="lt-LT"/>
        </w:rPr>
        <w:t xml:space="preserve"> dozės sukėlė statistiškai reikšmingą pagerėjimą palyginti su </w:t>
      </w:r>
      <w:proofErr w:type="spellStart"/>
      <w:r w:rsidRPr="00EB08A6">
        <w:rPr>
          <w:szCs w:val="22"/>
          <w:lang w:val="lt-LT"/>
        </w:rPr>
        <w:t>placebu</w:t>
      </w:r>
      <w:proofErr w:type="spellEnd"/>
      <w:r w:rsidRPr="00EB08A6">
        <w:rPr>
          <w:szCs w:val="22"/>
          <w:lang w:val="lt-LT"/>
        </w:rPr>
        <w:t xml:space="preserve">. Veiksmingumas stebėtas vieną savaitę, o stabilumas </w:t>
      </w:r>
      <w:r w:rsidRPr="00EB08A6">
        <w:rPr>
          <w:szCs w:val="22"/>
          <w:lang w:val="lt-LT"/>
        </w:rPr>
        <w:sym w:font="Symbol" w:char="F02D"/>
      </w:r>
      <w:r w:rsidRPr="00EB08A6">
        <w:rPr>
          <w:szCs w:val="22"/>
          <w:lang w:val="lt-LT"/>
        </w:rPr>
        <w:t xml:space="preserve"> 12 savaičių po to, kai buvo pradėta vartoti </w:t>
      </w:r>
      <w:proofErr w:type="spellStart"/>
      <w:r w:rsidRPr="00EB08A6">
        <w:rPr>
          <w:szCs w:val="22"/>
          <w:lang w:val="lt-LT"/>
        </w:rPr>
        <w:t>solifenacino</w:t>
      </w:r>
      <w:proofErr w:type="spellEnd"/>
      <w:r w:rsidRPr="00EB08A6">
        <w:rPr>
          <w:szCs w:val="22"/>
          <w:lang w:val="lt-LT"/>
        </w:rPr>
        <w:t xml:space="preserve">. Ilgalaikio atviro tyrimo rezultatai parodė, kad veiksmingumas išlieka ne mažiau kaip 12 mėnesių. Po </w:t>
      </w:r>
      <w:r w:rsidRPr="00EB08A6">
        <w:rPr>
          <w:szCs w:val="22"/>
          <w:lang w:val="lt-LT"/>
        </w:rPr>
        <w:lastRenderedPageBreak/>
        <w:t xml:space="preserve">12 gydymo </w:t>
      </w:r>
      <w:proofErr w:type="spellStart"/>
      <w:r w:rsidRPr="00EB08A6">
        <w:rPr>
          <w:szCs w:val="22"/>
          <w:lang w:val="lt-LT"/>
        </w:rPr>
        <w:t>solifenacinu</w:t>
      </w:r>
      <w:proofErr w:type="spellEnd"/>
      <w:r w:rsidRPr="00EB08A6">
        <w:rPr>
          <w:szCs w:val="22"/>
          <w:lang w:val="lt-LT"/>
        </w:rPr>
        <w:t xml:space="preserve"> savaičių maždaug 50 % pacientų, kurie iki gydymo kentėjo nuo šlapimo nelaikymo, šlapimo nelaikymo </w:t>
      </w:r>
      <w:proofErr w:type="spellStart"/>
      <w:r w:rsidRPr="00EB08A6">
        <w:rPr>
          <w:szCs w:val="22"/>
          <w:lang w:val="lt-LT"/>
        </w:rPr>
        <w:t>epizodųnebestebėta</w:t>
      </w:r>
      <w:proofErr w:type="spellEnd"/>
      <w:r w:rsidRPr="00EB08A6">
        <w:rPr>
          <w:szCs w:val="22"/>
          <w:lang w:val="lt-LT"/>
        </w:rPr>
        <w:t>. Be to, 35 % ligonių pradėjo šlapintis rečiau kaip 8 kartus per parą. Pernelyg jautrios šlapimo pūslės simptomų gydymas turėjo įtakos daugeliui gyvenimo kokybės rodiklių: pagerino bendrąją savijautą, sumažino dėl šlapimo nelaikymo apribotą visuomeninę, fizinę ir socialinę veiklą, pagerino emocijas, palengvino ligos simptomus ir sunkumo rodiklius ir pagerino miegą bei energingumą.</w:t>
      </w:r>
    </w:p>
    <w:p w14:paraId="33CBED68" w14:textId="77777777" w:rsidR="00EB08A6" w:rsidRPr="00EB08A6" w:rsidRDefault="00EB08A6" w:rsidP="00EB08A6">
      <w:pPr>
        <w:rPr>
          <w:szCs w:val="22"/>
          <w:lang w:val="lt-LT"/>
        </w:rPr>
      </w:pPr>
    </w:p>
    <w:p w14:paraId="315F767D" w14:textId="77777777" w:rsidR="00EB08A6" w:rsidRPr="00EB08A6" w:rsidRDefault="00EB08A6" w:rsidP="00EB08A6">
      <w:pPr>
        <w:rPr>
          <w:szCs w:val="22"/>
          <w:lang w:val="lt-LT"/>
        </w:rPr>
        <w:sectPr w:rsidR="00EB08A6" w:rsidRPr="00EB08A6" w:rsidSect="00AA0D8B">
          <w:headerReference w:type="even" r:id="rId21"/>
          <w:headerReference w:type="default" r:id="rId22"/>
          <w:footerReference w:type="default" r:id="rId23"/>
          <w:headerReference w:type="first" r:id="rId24"/>
          <w:footerReference w:type="first" r:id="rId25"/>
          <w:endnotePr>
            <w:numFmt w:val="decimal"/>
          </w:endnotePr>
          <w:pgSz w:w="11907" w:h="16840" w:code="9"/>
          <w:pgMar w:top="1134" w:right="1418" w:bottom="1134" w:left="1418" w:header="737" w:footer="737" w:gutter="0"/>
          <w:cols w:space="720"/>
          <w:titlePg/>
          <w:docGrid w:linePitch="299"/>
        </w:sectPr>
      </w:pPr>
    </w:p>
    <w:p w14:paraId="36516CBB" w14:textId="77777777" w:rsidR="00EB08A6" w:rsidRPr="00EB08A6" w:rsidRDefault="00EB08A6" w:rsidP="00EB08A6">
      <w:pPr>
        <w:keepNext/>
        <w:rPr>
          <w:i/>
          <w:szCs w:val="22"/>
          <w:lang w:val="lt-LT"/>
        </w:rPr>
      </w:pPr>
      <w:r w:rsidRPr="00EB08A6">
        <w:rPr>
          <w:i/>
          <w:szCs w:val="22"/>
          <w:lang w:val="lt-LT"/>
        </w:rPr>
        <w:lastRenderedPageBreak/>
        <w:t xml:space="preserve">Keturių 3 fazės kontroliuojamųjų tyrimų (gydymo trukmė 12 savaičių) jungtiniai duomenys </w:t>
      </w:r>
    </w:p>
    <w:p w14:paraId="6CC51B2C" w14:textId="77777777" w:rsidR="00EB08A6" w:rsidRPr="00EB08A6" w:rsidRDefault="00EB08A6" w:rsidP="00EB08A6">
      <w:pPr>
        <w:keepNext/>
        <w:rPr>
          <w:i/>
          <w:szCs w:val="22"/>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5"/>
        <w:gridCol w:w="1275"/>
        <w:gridCol w:w="1276"/>
        <w:gridCol w:w="1419"/>
      </w:tblGrid>
      <w:tr w:rsidR="00EB08A6" w:rsidRPr="00EB08A6" w14:paraId="5C1D4C15" w14:textId="77777777" w:rsidTr="006643DE">
        <w:tc>
          <w:tcPr>
            <w:tcW w:w="4111" w:type="dxa"/>
            <w:tcBorders>
              <w:bottom w:val="single" w:sz="4" w:space="0" w:color="auto"/>
            </w:tcBorders>
          </w:tcPr>
          <w:p w14:paraId="60B04DA2" w14:textId="77777777" w:rsidR="00EB08A6" w:rsidRPr="00EB08A6" w:rsidRDefault="00EB08A6" w:rsidP="006643DE">
            <w:pPr>
              <w:keepNext/>
              <w:keepLines/>
              <w:rPr>
                <w:szCs w:val="22"/>
                <w:lang w:val="lt-LT"/>
              </w:rPr>
            </w:pPr>
          </w:p>
        </w:tc>
        <w:tc>
          <w:tcPr>
            <w:tcW w:w="1275" w:type="dxa"/>
            <w:tcBorders>
              <w:bottom w:val="single" w:sz="4" w:space="0" w:color="auto"/>
            </w:tcBorders>
          </w:tcPr>
          <w:p w14:paraId="669F3A5B" w14:textId="77777777" w:rsidR="00EB08A6" w:rsidRPr="00EB08A6" w:rsidRDefault="00EB08A6" w:rsidP="006643DE">
            <w:pPr>
              <w:keepNext/>
              <w:keepLines/>
              <w:rPr>
                <w:b/>
                <w:szCs w:val="22"/>
                <w:lang w:val="lt-LT"/>
              </w:rPr>
            </w:pPr>
            <w:proofErr w:type="spellStart"/>
            <w:r w:rsidRPr="00EB08A6">
              <w:rPr>
                <w:b/>
                <w:szCs w:val="22"/>
                <w:lang w:val="lt-LT"/>
              </w:rPr>
              <w:t>Placebo</w:t>
            </w:r>
            <w:proofErr w:type="spellEnd"/>
          </w:p>
        </w:tc>
        <w:tc>
          <w:tcPr>
            <w:tcW w:w="1275" w:type="dxa"/>
            <w:tcBorders>
              <w:bottom w:val="single" w:sz="4" w:space="0" w:color="auto"/>
            </w:tcBorders>
          </w:tcPr>
          <w:p w14:paraId="058EB497" w14:textId="77777777" w:rsidR="00EB08A6" w:rsidRPr="00EB08A6" w:rsidRDefault="00EB08A6" w:rsidP="006643DE">
            <w:pPr>
              <w:keepNext/>
              <w:keepLines/>
              <w:rPr>
                <w:b/>
                <w:szCs w:val="22"/>
                <w:lang w:val="lt-LT"/>
              </w:rPr>
            </w:pPr>
            <w:proofErr w:type="spellStart"/>
            <w:r w:rsidRPr="00EB08A6">
              <w:rPr>
                <w:b/>
                <w:szCs w:val="22"/>
                <w:lang w:val="lt-LT"/>
              </w:rPr>
              <w:t>Vesicare</w:t>
            </w:r>
            <w:proofErr w:type="spellEnd"/>
            <w:r w:rsidRPr="00EB08A6">
              <w:rPr>
                <w:b/>
                <w:szCs w:val="22"/>
                <w:lang w:val="lt-LT"/>
              </w:rPr>
              <w:t xml:space="preserve"> 5 mg 1  kartą per parą </w:t>
            </w:r>
          </w:p>
        </w:tc>
        <w:tc>
          <w:tcPr>
            <w:tcW w:w="1276" w:type="dxa"/>
            <w:tcBorders>
              <w:bottom w:val="single" w:sz="4" w:space="0" w:color="auto"/>
            </w:tcBorders>
          </w:tcPr>
          <w:p w14:paraId="4EB2BE2D" w14:textId="77777777" w:rsidR="00EB08A6" w:rsidRPr="00EB08A6" w:rsidRDefault="00EB08A6" w:rsidP="006643DE">
            <w:pPr>
              <w:keepNext/>
              <w:keepLines/>
              <w:rPr>
                <w:b/>
                <w:szCs w:val="22"/>
                <w:lang w:val="lt-LT"/>
              </w:rPr>
            </w:pPr>
            <w:proofErr w:type="spellStart"/>
            <w:r w:rsidRPr="00EB08A6">
              <w:rPr>
                <w:b/>
                <w:szCs w:val="22"/>
                <w:lang w:val="lt-LT"/>
              </w:rPr>
              <w:t>Vesicare</w:t>
            </w:r>
            <w:proofErr w:type="spellEnd"/>
            <w:r w:rsidRPr="00EB08A6">
              <w:rPr>
                <w:b/>
                <w:szCs w:val="22"/>
                <w:lang w:val="lt-LT"/>
              </w:rPr>
              <w:t xml:space="preserve"> 10 mg 1 kartą per parą</w:t>
            </w:r>
          </w:p>
        </w:tc>
        <w:tc>
          <w:tcPr>
            <w:tcW w:w="1419" w:type="dxa"/>
            <w:tcBorders>
              <w:bottom w:val="single" w:sz="4" w:space="0" w:color="auto"/>
            </w:tcBorders>
          </w:tcPr>
          <w:p w14:paraId="3A369C77" w14:textId="77777777" w:rsidR="00EB08A6" w:rsidRPr="00EB08A6" w:rsidRDefault="00EB08A6" w:rsidP="006643DE">
            <w:pPr>
              <w:keepNext/>
              <w:keepLines/>
              <w:rPr>
                <w:b/>
                <w:szCs w:val="22"/>
                <w:lang w:val="lt-LT"/>
              </w:rPr>
            </w:pPr>
            <w:proofErr w:type="spellStart"/>
            <w:r w:rsidRPr="00EB08A6">
              <w:rPr>
                <w:b/>
                <w:szCs w:val="22"/>
                <w:lang w:val="lt-LT"/>
              </w:rPr>
              <w:t>Tolterodino</w:t>
            </w:r>
            <w:proofErr w:type="spellEnd"/>
            <w:r w:rsidRPr="00EB08A6">
              <w:rPr>
                <w:b/>
                <w:szCs w:val="22"/>
                <w:lang w:val="lt-LT"/>
              </w:rPr>
              <w:t xml:space="preserve"> 2 mg 2  kartus per parą</w:t>
            </w:r>
          </w:p>
        </w:tc>
      </w:tr>
      <w:tr w:rsidR="00EB08A6" w:rsidRPr="00EB08A6" w14:paraId="76662834" w14:textId="77777777" w:rsidTr="006643DE">
        <w:tc>
          <w:tcPr>
            <w:tcW w:w="4111" w:type="dxa"/>
            <w:tcBorders>
              <w:right w:val="nil"/>
            </w:tcBorders>
          </w:tcPr>
          <w:p w14:paraId="6AFCAD13" w14:textId="77777777" w:rsidR="00EB08A6" w:rsidRPr="00EB08A6" w:rsidRDefault="00EB08A6" w:rsidP="006643DE">
            <w:pPr>
              <w:keepNext/>
              <w:rPr>
                <w:b/>
                <w:szCs w:val="22"/>
                <w:lang w:val="lt-LT"/>
              </w:rPr>
            </w:pPr>
            <w:proofErr w:type="spellStart"/>
            <w:r w:rsidRPr="00EB08A6">
              <w:rPr>
                <w:b/>
                <w:color w:val="000000"/>
                <w:szCs w:val="22"/>
                <w:lang w:val="lt-LT"/>
              </w:rPr>
              <w:t>Šlapinimosi</w:t>
            </w:r>
            <w:proofErr w:type="spellEnd"/>
            <w:r w:rsidRPr="00EB08A6">
              <w:rPr>
                <w:b/>
                <w:color w:val="000000"/>
                <w:szCs w:val="22"/>
                <w:lang w:val="lt-LT"/>
              </w:rPr>
              <w:t xml:space="preserve"> kartai per 24 val.</w:t>
            </w:r>
          </w:p>
        </w:tc>
        <w:tc>
          <w:tcPr>
            <w:tcW w:w="1275" w:type="dxa"/>
            <w:tcBorders>
              <w:left w:val="nil"/>
              <w:right w:val="nil"/>
            </w:tcBorders>
          </w:tcPr>
          <w:p w14:paraId="7A889DDF" w14:textId="77777777" w:rsidR="00EB08A6" w:rsidRPr="00EB08A6" w:rsidRDefault="00EB08A6" w:rsidP="006643DE">
            <w:pPr>
              <w:keepNext/>
              <w:rPr>
                <w:szCs w:val="22"/>
                <w:lang w:val="lt-LT"/>
              </w:rPr>
            </w:pPr>
          </w:p>
        </w:tc>
        <w:tc>
          <w:tcPr>
            <w:tcW w:w="1275" w:type="dxa"/>
            <w:tcBorders>
              <w:left w:val="nil"/>
              <w:right w:val="nil"/>
            </w:tcBorders>
          </w:tcPr>
          <w:p w14:paraId="661D6A79" w14:textId="77777777" w:rsidR="00EB08A6" w:rsidRPr="00EB08A6" w:rsidRDefault="00EB08A6" w:rsidP="006643DE">
            <w:pPr>
              <w:keepNext/>
              <w:rPr>
                <w:szCs w:val="22"/>
                <w:lang w:val="lt-LT"/>
              </w:rPr>
            </w:pPr>
          </w:p>
        </w:tc>
        <w:tc>
          <w:tcPr>
            <w:tcW w:w="1276" w:type="dxa"/>
            <w:tcBorders>
              <w:left w:val="nil"/>
              <w:right w:val="nil"/>
            </w:tcBorders>
          </w:tcPr>
          <w:p w14:paraId="118A848B" w14:textId="77777777" w:rsidR="00EB08A6" w:rsidRPr="00EB08A6" w:rsidRDefault="00EB08A6" w:rsidP="006643DE">
            <w:pPr>
              <w:keepNext/>
              <w:rPr>
                <w:szCs w:val="22"/>
                <w:lang w:val="lt-LT"/>
              </w:rPr>
            </w:pPr>
          </w:p>
        </w:tc>
        <w:tc>
          <w:tcPr>
            <w:tcW w:w="1419" w:type="dxa"/>
            <w:tcBorders>
              <w:left w:val="nil"/>
            </w:tcBorders>
          </w:tcPr>
          <w:p w14:paraId="0A0B8125" w14:textId="77777777" w:rsidR="00EB08A6" w:rsidRPr="00EB08A6" w:rsidRDefault="00EB08A6" w:rsidP="006643DE">
            <w:pPr>
              <w:keepNext/>
              <w:rPr>
                <w:szCs w:val="22"/>
                <w:lang w:val="lt-LT"/>
              </w:rPr>
            </w:pPr>
          </w:p>
        </w:tc>
      </w:tr>
      <w:tr w:rsidR="00EB08A6" w:rsidRPr="00EB08A6" w14:paraId="18FAAC61" w14:textId="77777777" w:rsidTr="006643DE">
        <w:tc>
          <w:tcPr>
            <w:tcW w:w="4111" w:type="dxa"/>
            <w:tcBorders>
              <w:bottom w:val="single" w:sz="4" w:space="0" w:color="auto"/>
            </w:tcBorders>
          </w:tcPr>
          <w:p w14:paraId="482142D5"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Pradinio įverčio vidurkis </w:t>
            </w:r>
          </w:p>
          <w:p w14:paraId="3F0DCD9B"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Sumažėjimo vidurkis palyginti su pradiniu </w:t>
            </w:r>
          </w:p>
          <w:p w14:paraId="0F958030"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 pokytis palyginti su pradiniu </w:t>
            </w:r>
          </w:p>
          <w:p w14:paraId="756372D9" w14:textId="77777777" w:rsidR="00EB08A6" w:rsidRPr="00EB08A6" w:rsidRDefault="00EB08A6" w:rsidP="006643DE">
            <w:pPr>
              <w:keepNext/>
              <w:keepLines/>
              <w:rPr>
                <w:color w:val="000000"/>
                <w:szCs w:val="22"/>
                <w:lang w:val="lt-LT"/>
              </w:rPr>
            </w:pPr>
            <w:r w:rsidRPr="00EB08A6">
              <w:rPr>
                <w:color w:val="000000"/>
                <w:szCs w:val="22"/>
                <w:lang w:val="lt-LT"/>
              </w:rPr>
              <w:t>n</w:t>
            </w:r>
          </w:p>
          <w:p w14:paraId="0339DEA1" w14:textId="77777777" w:rsidR="00EB08A6" w:rsidRPr="00EB08A6" w:rsidRDefault="00EB08A6" w:rsidP="006643DE">
            <w:pPr>
              <w:keepNext/>
              <w:rPr>
                <w:szCs w:val="22"/>
                <w:lang w:val="lt-LT"/>
              </w:rPr>
            </w:pPr>
            <w:r w:rsidRPr="00EB08A6">
              <w:rPr>
                <w:color w:val="000000"/>
                <w:szCs w:val="22"/>
                <w:lang w:val="lt-LT"/>
              </w:rPr>
              <w:t>p vertė*</w:t>
            </w:r>
          </w:p>
        </w:tc>
        <w:tc>
          <w:tcPr>
            <w:tcW w:w="1275" w:type="dxa"/>
            <w:tcBorders>
              <w:bottom w:val="single" w:sz="4" w:space="0" w:color="auto"/>
            </w:tcBorders>
          </w:tcPr>
          <w:p w14:paraId="5E1E7A43" w14:textId="77777777" w:rsidR="00EB08A6" w:rsidRPr="00EB08A6" w:rsidRDefault="00EB08A6" w:rsidP="006643DE">
            <w:pPr>
              <w:keepNext/>
              <w:rPr>
                <w:szCs w:val="22"/>
                <w:lang w:val="lt-LT"/>
              </w:rPr>
            </w:pPr>
            <w:r w:rsidRPr="00EB08A6">
              <w:rPr>
                <w:szCs w:val="22"/>
                <w:lang w:val="lt-LT"/>
              </w:rPr>
              <w:t>11,9</w:t>
            </w:r>
          </w:p>
          <w:p w14:paraId="524549E3" w14:textId="77777777" w:rsidR="00EB08A6" w:rsidRPr="00EB08A6" w:rsidRDefault="00EB08A6" w:rsidP="006643DE">
            <w:pPr>
              <w:keepNext/>
              <w:rPr>
                <w:szCs w:val="22"/>
                <w:lang w:val="lt-LT"/>
              </w:rPr>
            </w:pPr>
            <w:r w:rsidRPr="00EB08A6">
              <w:rPr>
                <w:szCs w:val="22"/>
                <w:lang w:val="lt-LT"/>
              </w:rPr>
              <w:t>1,4</w:t>
            </w:r>
          </w:p>
          <w:p w14:paraId="4730695F" w14:textId="77777777" w:rsidR="00EB08A6" w:rsidRPr="00EB08A6" w:rsidRDefault="00EB08A6" w:rsidP="006643DE">
            <w:pPr>
              <w:keepNext/>
              <w:rPr>
                <w:szCs w:val="22"/>
                <w:lang w:val="lt-LT"/>
              </w:rPr>
            </w:pPr>
            <w:r w:rsidRPr="00EB08A6">
              <w:rPr>
                <w:szCs w:val="22"/>
                <w:lang w:val="lt-LT"/>
              </w:rPr>
              <w:t>(12 %)</w:t>
            </w:r>
          </w:p>
          <w:p w14:paraId="27474E89" w14:textId="77777777" w:rsidR="00EB08A6" w:rsidRPr="00EB08A6" w:rsidRDefault="00EB08A6" w:rsidP="006643DE">
            <w:pPr>
              <w:keepNext/>
              <w:rPr>
                <w:szCs w:val="22"/>
                <w:lang w:val="lt-LT"/>
              </w:rPr>
            </w:pPr>
            <w:r w:rsidRPr="00EB08A6">
              <w:rPr>
                <w:szCs w:val="22"/>
                <w:lang w:val="lt-LT"/>
              </w:rPr>
              <w:t>1 138</w:t>
            </w:r>
          </w:p>
        </w:tc>
        <w:tc>
          <w:tcPr>
            <w:tcW w:w="1275" w:type="dxa"/>
            <w:tcBorders>
              <w:bottom w:val="single" w:sz="4" w:space="0" w:color="auto"/>
            </w:tcBorders>
          </w:tcPr>
          <w:p w14:paraId="759C9C42" w14:textId="77777777" w:rsidR="00EB08A6" w:rsidRPr="00EB08A6" w:rsidRDefault="00EB08A6" w:rsidP="006643DE">
            <w:pPr>
              <w:keepNext/>
              <w:rPr>
                <w:szCs w:val="22"/>
                <w:lang w:val="lt-LT"/>
              </w:rPr>
            </w:pPr>
            <w:r w:rsidRPr="00EB08A6">
              <w:rPr>
                <w:szCs w:val="22"/>
                <w:lang w:val="lt-LT"/>
              </w:rPr>
              <w:t>12,1</w:t>
            </w:r>
          </w:p>
          <w:p w14:paraId="14237C8D" w14:textId="77777777" w:rsidR="00EB08A6" w:rsidRPr="00EB08A6" w:rsidRDefault="00EB08A6" w:rsidP="006643DE">
            <w:pPr>
              <w:keepNext/>
              <w:rPr>
                <w:szCs w:val="22"/>
                <w:lang w:val="lt-LT"/>
              </w:rPr>
            </w:pPr>
            <w:r w:rsidRPr="00EB08A6">
              <w:rPr>
                <w:szCs w:val="22"/>
                <w:lang w:val="lt-LT"/>
              </w:rPr>
              <w:t xml:space="preserve">2,3 </w:t>
            </w:r>
          </w:p>
          <w:p w14:paraId="306DE858" w14:textId="77777777" w:rsidR="00EB08A6" w:rsidRPr="00EB08A6" w:rsidRDefault="00EB08A6" w:rsidP="006643DE">
            <w:pPr>
              <w:keepNext/>
              <w:rPr>
                <w:szCs w:val="22"/>
                <w:lang w:val="lt-LT"/>
              </w:rPr>
            </w:pPr>
            <w:r w:rsidRPr="00EB08A6">
              <w:rPr>
                <w:szCs w:val="22"/>
                <w:lang w:val="lt-LT"/>
              </w:rPr>
              <w:t>(19 %)</w:t>
            </w:r>
            <w:r w:rsidRPr="00EB08A6">
              <w:rPr>
                <w:szCs w:val="22"/>
                <w:lang w:val="lt-LT"/>
              </w:rPr>
              <w:br/>
              <w:t>552</w:t>
            </w:r>
            <w:r w:rsidRPr="00EB08A6">
              <w:rPr>
                <w:szCs w:val="22"/>
                <w:lang w:val="lt-LT"/>
              </w:rPr>
              <w:br/>
              <w:t>&lt; 0,001</w:t>
            </w:r>
          </w:p>
        </w:tc>
        <w:tc>
          <w:tcPr>
            <w:tcW w:w="1276" w:type="dxa"/>
            <w:tcBorders>
              <w:bottom w:val="single" w:sz="4" w:space="0" w:color="auto"/>
            </w:tcBorders>
          </w:tcPr>
          <w:p w14:paraId="03773783" w14:textId="77777777" w:rsidR="00EB08A6" w:rsidRPr="00EB08A6" w:rsidRDefault="00EB08A6" w:rsidP="006643DE">
            <w:pPr>
              <w:keepNext/>
              <w:rPr>
                <w:szCs w:val="22"/>
                <w:lang w:val="lt-LT"/>
              </w:rPr>
            </w:pPr>
            <w:r w:rsidRPr="00EB08A6">
              <w:rPr>
                <w:szCs w:val="22"/>
                <w:lang w:val="lt-LT"/>
              </w:rPr>
              <w:t>11,9</w:t>
            </w:r>
          </w:p>
          <w:p w14:paraId="0F995145" w14:textId="77777777" w:rsidR="00EB08A6" w:rsidRPr="00EB08A6" w:rsidRDefault="00EB08A6" w:rsidP="006643DE">
            <w:pPr>
              <w:keepNext/>
              <w:rPr>
                <w:szCs w:val="22"/>
                <w:lang w:val="lt-LT"/>
              </w:rPr>
            </w:pPr>
            <w:r w:rsidRPr="00EB08A6">
              <w:rPr>
                <w:szCs w:val="22"/>
                <w:lang w:val="lt-LT"/>
              </w:rPr>
              <w:t xml:space="preserve">2,7 </w:t>
            </w:r>
          </w:p>
          <w:p w14:paraId="07CF6BC8" w14:textId="77777777" w:rsidR="00EB08A6" w:rsidRPr="00EB08A6" w:rsidRDefault="00EB08A6" w:rsidP="006643DE">
            <w:pPr>
              <w:keepNext/>
              <w:rPr>
                <w:szCs w:val="22"/>
                <w:lang w:val="lt-LT"/>
              </w:rPr>
            </w:pPr>
            <w:r w:rsidRPr="00EB08A6">
              <w:rPr>
                <w:szCs w:val="22"/>
                <w:lang w:val="lt-LT"/>
              </w:rPr>
              <w:t>(23 %)</w:t>
            </w:r>
            <w:r w:rsidRPr="00EB08A6">
              <w:rPr>
                <w:szCs w:val="22"/>
                <w:lang w:val="lt-LT"/>
              </w:rPr>
              <w:br/>
              <w:t>1 158</w:t>
            </w:r>
          </w:p>
          <w:p w14:paraId="3B669579" w14:textId="77777777" w:rsidR="00EB08A6" w:rsidRPr="00EB08A6" w:rsidRDefault="00EB08A6" w:rsidP="006643DE">
            <w:pPr>
              <w:keepNext/>
              <w:rPr>
                <w:szCs w:val="22"/>
                <w:lang w:val="lt-LT"/>
              </w:rPr>
            </w:pPr>
            <w:r w:rsidRPr="00EB08A6">
              <w:rPr>
                <w:szCs w:val="22"/>
                <w:lang w:val="lt-LT"/>
              </w:rPr>
              <w:t>&lt; 0,001</w:t>
            </w:r>
          </w:p>
        </w:tc>
        <w:tc>
          <w:tcPr>
            <w:tcW w:w="1419" w:type="dxa"/>
            <w:tcBorders>
              <w:bottom w:val="single" w:sz="4" w:space="0" w:color="auto"/>
            </w:tcBorders>
          </w:tcPr>
          <w:p w14:paraId="6981172D" w14:textId="77777777" w:rsidR="00EB08A6" w:rsidRPr="00EB08A6" w:rsidRDefault="00EB08A6" w:rsidP="006643DE">
            <w:pPr>
              <w:keepNext/>
              <w:rPr>
                <w:szCs w:val="22"/>
                <w:lang w:val="lt-LT"/>
              </w:rPr>
            </w:pPr>
            <w:r w:rsidRPr="00EB08A6">
              <w:rPr>
                <w:szCs w:val="22"/>
                <w:lang w:val="lt-LT"/>
              </w:rPr>
              <w:t>12,1</w:t>
            </w:r>
          </w:p>
          <w:p w14:paraId="1862F97C" w14:textId="77777777" w:rsidR="00EB08A6" w:rsidRPr="00EB08A6" w:rsidRDefault="00EB08A6" w:rsidP="006643DE">
            <w:pPr>
              <w:keepNext/>
              <w:rPr>
                <w:szCs w:val="22"/>
                <w:lang w:val="lt-LT"/>
              </w:rPr>
            </w:pPr>
            <w:r w:rsidRPr="00EB08A6">
              <w:rPr>
                <w:szCs w:val="22"/>
                <w:lang w:val="lt-LT"/>
              </w:rPr>
              <w:t xml:space="preserve">1,9 </w:t>
            </w:r>
          </w:p>
          <w:p w14:paraId="2809BF3F" w14:textId="77777777" w:rsidR="00EB08A6" w:rsidRPr="00EB08A6" w:rsidRDefault="00EB08A6" w:rsidP="006643DE">
            <w:pPr>
              <w:keepNext/>
              <w:rPr>
                <w:szCs w:val="22"/>
                <w:lang w:val="lt-LT"/>
              </w:rPr>
            </w:pPr>
            <w:r w:rsidRPr="00EB08A6">
              <w:rPr>
                <w:szCs w:val="22"/>
                <w:lang w:val="lt-LT"/>
              </w:rPr>
              <w:t>(16 %)</w:t>
            </w:r>
            <w:r w:rsidRPr="00EB08A6">
              <w:rPr>
                <w:szCs w:val="22"/>
                <w:lang w:val="lt-LT"/>
              </w:rPr>
              <w:br/>
              <w:t>250</w:t>
            </w:r>
            <w:r w:rsidRPr="00EB08A6">
              <w:rPr>
                <w:szCs w:val="22"/>
                <w:lang w:val="lt-LT"/>
              </w:rPr>
              <w:br/>
              <w:t>0,004</w:t>
            </w:r>
          </w:p>
        </w:tc>
      </w:tr>
      <w:tr w:rsidR="00EB08A6" w:rsidRPr="00EB08A6" w14:paraId="1BA19CA2" w14:textId="77777777" w:rsidTr="006643DE">
        <w:tc>
          <w:tcPr>
            <w:tcW w:w="4111" w:type="dxa"/>
            <w:tcBorders>
              <w:top w:val="single" w:sz="4" w:space="0" w:color="auto"/>
              <w:right w:val="nil"/>
            </w:tcBorders>
          </w:tcPr>
          <w:p w14:paraId="63B3CC91" w14:textId="77777777" w:rsidR="00EB08A6" w:rsidRPr="00EB08A6" w:rsidRDefault="00EB08A6" w:rsidP="006643DE">
            <w:pPr>
              <w:keepNext/>
              <w:rPr>
                <w:b/>
                <w:szCs w:val="22"/>
                <w:lang w:val="lt-LT"/>
              </w:rPr>
            </w:pPr>
            <w:r w:rsidRPr="00EB08A6">
              <w:rPr>
                <w:b/>
                <w:color w:val="000000"/>
                <w:szCs w:val="22"/>
                <w:lang w:val="lt-LT"/>
              </w:rPr>
              <w:t xml:space="preserve">Priverstinio </w:t>
            </w:r>
            <w:proofErr w:type="spellStart"/>
            <w:r w:rsidRPr="00EB08A6">
              <w:rPr>
                <w:b/>
                <w:color w:val="000000"/>
                <w:szCs w:val="22"/>
                <w:lang w:val="lt-LT"/>
              </w:rPr>
              <w:t>šlapinimosi</w:t>
            </w:r>
            <w:proofErr w:type="spellEnd"/>
            <w:r w:rsidRPr="00EB08A6">
              <w:rPr>
                <w:b/>
                <w:color w:val="000000"/>
                <w:szCs w:val="22"/>
                <w:lang w:val="lt-LT"/>
              </w:rPr>
              <w:t xml:space="preserve"> epizodų skaičius per 24 val.</w:t>
            </w:r>
          </w:p>
        </w:tc>
        <w:tc>
          <w:tcPr>
            <w:tcW w:w="1275" w:type="dxa"/>
            <w:tcBorders>
              <w:top w:val="single" w:sz="4" w:space="0" w:color="auto"/>
              <w:left w:val="nil"/>
              <w:right w:val="nil"/>
            </w:tcBorders>
          </w:tcPr>
          <w:p w14:paraId="03BBD3E3" w14:textId="77777777" w:rsidR="00EB08A6" w:rsidRPr="00EB08A6" w:rsidRDefault="00EB08A6" w:rsidP="006643DE">
            <w:pPr>
              <w:keepNext/>
              <w:rPr>
                <w:szCs w:val="22"/>
                <w:lang w:val="lt-LT"/>
              </w:rPr>
            </w:pPr>
          </w:p>
        </w:tc>
        <w:tc>
          <w:tcPr>
            <w:tcW w:w="1275" w:type="dxa"/>
            <w:tcBorders>
              <w:top w:val="single" w:sz="4" w:space="0" w:color="auto"/>
              <w:left w:val="nil"/>
              <w:right w:val="nil"/>
            </w:tcBorders>
          </w:tcPr>
          <w:p w14:paraId="57BC4C95" w14:textId="77777777" w:rsidR="00EB08A6" w:rsidRPr="00EB08A6" w:rsidRDefault="00EB08A6" w:rsidP="006643DE">
            <w:pPr>
              <w:keepNext/>
              <w:rPr>
                <w:szCs w:val="22"/>
                <w:lang w:val="lt-LT"/>
              </w:rPr>
            </w:pPr>
          </w:p>
        </w:tc>
        <w:tc>
          <w:tcPr>
            <w:tcW w:w="1276" w:type="dxa"/>
            <w:tcBorders>
              <w:top w:val="single" w:sz="4" w:space="0" w:color="auto"/>
              <w:left w:val="nil"/>
              <w:right w:val="nil"/>
            </w:tcBorders>
          </w:tcPr>
          <w:p w14:paraId="6DD2D4E8" w14:textId="77777777" w:rsidR="00EB08A6" w:rsidRPr="00EB08A6" w:rsidRDefault="00EB08A6" w:rsidP="006643DE">
            <w:pPr>
              <w:keepNext/>
              <w:rPr>
                <w:szCs w:val="22"/>
                <w:lang w:val="lt-LT"/>
              </w:rPr>
            </w:pPr>
          </w:p>
        </w:tc>
        <w:tc>
          <w:tcPr>
            <w:tcW w:w="1419" w:type="dxa"/>
            <w:tcBorders>
              <w:top w:val="single" w:sz="4" w:space="0" w:color="auto"/>
              <w:left w:val="nil"/>
            </w:tcBorders>
          </w:tcPr>
          <w:p w14:paraId="4C3EADE2" w14:textId="77777777" w:rsidR="00EB08A6" w:rsidRPr="00EB08A6" w:rsidRDefault="00EB08A6" w:rsidP="006643DE">
            <w:pPr>
              <w:keepNext/>
              <w:rPr>
                <w:szCs w:val="22"/>
                <w:lang w:val="lt-LT"/>
              </w:rPr>
            </w:pPr>
          </w:p>
        </w:tc>
      </w:tr>
      <w:tr w:rsidR="00EB08A6" w:rsidRPr="00EB08A6" w14:paraId="403D34BE" w14:textId="77777777" w:rsidTr="006643DE">
        <w:tc>
          <w:tcPr>
            <w:tcW w:w="4111" w:type="dxa"/>
            <w:tcBorders>
              <w:bottom w:val="single" w:sz="4" w:space="0" w:color="auto"/>
            </w:tcBorders>
          </w:tcPr>
          <w:p w14:paraId="2202AB0D" w14:textId="77777777" w:rsidR="00EB08A6" w:rsidRPr="00EB08A6" w:rsidRDefault="00EB08A6" w:rsidP="006643DE">
            <w:pPr>
              <w:keepNext/>
              <w:autoSpaceDE w:val="0"/>
              <w:autoSpaceDN w:val="0"/>
              <w:adjustRightInd w:val="0"/>
              <w:rPr>
                <w:color w:val="000000"/>
                <w:szCs w:val="22"/>
                <w:lang w:val="lt-LT"/>
              </w:rPr>
            </w:pPr>
            <w:r w:rsidRPr="00EB08A6">
              <w:rPr>
                <w:color w:val="000000"/>
                <w:szCs w:val="22"/>
                <w:lang w:val="lt-LT"/>
              </w:rPr>
              <w:t>Pradinio įverčio vidurkis</w:t>
            </w:r>
            <w:r w:rsidRPr="00EB08A6">
              <w:rPr>
                <w:color w:val="000000"/>
                <w:szCs w:val="22"/>
                <w:lang w:val="lt-LT"/>
              </w:rPr>
              <w:tab/>
            </w:r>
          </w:p>
          <w:p w14:paraId="5B68CE0A"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Sumažėjimo vidurkis palyginti su pradiniu </w:t>
            </w:r>
          </w:p>
          <w:p w14:paraId="5EB537F0"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 pokytis palyginti su pradiniu </w:t>
            </w:r>
          </w:p>
          <w:p w14:paraId="692FD803" w14:textId="77777777" w:rsidR="00EB08A6" w:rsidRPr="00EB08A6" w:rsidRDefault="00EB08A6" w:rsidP="006643DE">
            <w:pPr>
              <w:keepNext/>
              <w:keepLines/>
              <w:rPr>
                <w:color w:val="000000"/>
                <w:szCs w:val="22"/>
                <w:lang w:val="lt-LT"/>
              </w:rPr>
            </w:pPr>
            <w:r w:rsidRPr="00EB08A6">
              <w:rPr>
                <w:color w:val="000000"/>
                <w:szCs w:val="22"/>
                <w:lang w:val="lt-LT"/>
              </w:rPr>
              <w:t>n</w:t>
            </w:r>
          </w:p>
          <w:p w14:paraId="6B7EE585" w14:textId="77777777" w:rsidR="00EB08A6" w:rsidRPr="00EB08A6" w:rsidRDefault="00EB08A6" w:rsidP="006643DE">
            <w:pPr>
              <w:keepNext/>
              <w:rPr>
                <w:szCs w:val="22"/>
                <w:lang w:val="lt-LT"/>
              </w:rPr>
            </w:pPr>
            <w:r w:rsidRPr="00EB08A6">
              <w:rPr>
                <w:color w:val="000000"/>
                <w:szCs w:val="22"/>
                <w:lang w:val="lt-LT"/>
              </w:rPr>
              <w:t>p vertė*</w:t>
            </w:r>
          </w:p>
        </w:tc>
        <w:tc>
          <w:tcPr>
            <w:tcW w:w="1275" w:type="dxa"/>
            <w:tcBorders>
              <w:bottom w:val="single" w:sz="4" w:space="0" w:color="auto"/>
            </w:tcBorders>
          </w:tcPr>
          <w:p w14:paraId="7E3817DF" w14:textId="77777777" w:rsidR="00EB08A6" w:rsidRPr="00EB08A6" w:rsidRDefault="00EB08A6" w:rsidP="006643DE">
            <w:pPr>
              <w:keepNext/>
              <w:rPr>
                <w:szCs w:val="22"/>
                <w:lang w:val="lt-LT"/>
              </w:rPr>
            </w:pPr>
            <w:r w:rsidRPr="00EB08A6">
              <w:rPr>
                <w:szCs w:val="22"/>
                <w:lang w:val="lt-LT"/>
              </w:rPr>
              <w:t>6,3</w:t>
            </w:r>
          </w:p>
          <w:p w14:paraId="48F8D041" w14:textId="77777777" w:rsidR="00EB08A6" w:rsidRPr="00EB08A6" w:rsidRDefault="00EB08A6" w:rsidP="006643DE">
            <w:pPr>
              <w:keepNext/>
              <w:rPr>
                <w:szCs w:val="22"/>
                <w:lang w:val="lt-LT"/>
              </w:rPr>
            </w:pPr>
            <w:r w:rsidRPr="00EB08A6">
              <w:rPr>
                <w:szCs w:val="22"/>
                <w:lang w:val="lt-LT"/>
              </w:rPr>
              <w:t xml:space="preserve">2,0 </w:t>
            </w:r>
          </w:p>
          <w:p w14:paraId="0C5A2C67" w14:textId="77777777" w:rsidR="00EB08A6" w:rsidRPr="00EB08A6" w:rsidRDefault="00EB08A6" w:rsidP="006643DE">
            <w:pPr>
              <w:keepNext/>
              <w:rPr>
                <w:szCs w:val="22"/>
                <w:lang w:val="lt-LT"/>
              </w:rPr>
            </w:pPr>
            <w:r w:rsidRPr="00EB08A6">
              <w:rPr>
                <w:szCs w:val="22"/>
                <w:lang w:val="lt-LT"/>
              </w:rPr>
              <w:t>(32 %)</w:t>
            </w:r>
            <w:r w:rsidRPr="00EB08A6">
              <w:rPr>
                <w:szCs w:val="22"/>
                <w:lang w:val="lt-LT"/>
              </w:rPr>
              <w:br/>
              <w:t>1 124</w:t>
            </w:r>
          </w:p>
        </w:tc>
        <w:tc>
          <w:tcPr>
            <w:tcW w:w="1275" w:type="dxa"/>
            <w:tcBorders>
              <w:bottom w:val="single" w:sz="4" w:space="0" w:color="auto"/>
            </w:tcBorders>
          </w:tcPr>
          <w:p w14:paraId="7A661646" w14:textId="77777777" w:rsidR="00EB08A6" w:rsidRPr="00EB08A6" w:rsidRDefault="00EB08A6" w:rsidP="006643DE">
            <w:pPr>
              <w:keepNext/>
              <w:rPr>
                <w:szCs w:val="22"/>
                <w:lang w:val="lt-LT"/>
              </w:rPr>
            </w:pPr>
            <w:r w:rsidRPr="00EB08A6">
              <w:rPr>
                <w:szCs w:val="22"/>
                <w:lang w:val="lt-LT"/>
              </w:rPr>
              <w:t>5,9</w:t>
            </w:r>
          </w:p>
          <w:p w14:paraId="397177BD" w14:textId="77777777" w:rsidR="00EB08A6" w:rsidRPr="00EB08A6" w:rsidRDefault="00EB08A6" w:rsidP="006643DE">
            <w:pPr>
              <w:keepNext/>
              <w:rPr>
                <w:szCs w:val="22"/>
                <w:lang w:val="lt-LT"/>
              </w:rPr>
            </w:pPr>
            <w:r w:rsidRPr="00EB08A6">
              <w:rPr>
                <w:szCs w:val="22"/>
                <w:lang w:val="lt-LT"/>
              </w:rPr>
              <w:t xml:space="preserve">2,9 </w:t>
            </w:r>
          </w:p>
          <w:p w14:paraId="510B4E53" w14:textId="77777777" w:rsidR="00EB08A6" w:rsidRPr="00EB08A6" w:rsidRDefault="00EB08A6" w:rsidP="006643DE">
            <w:pPr>
              <w:keepNext/>
              <w:rPr>
                <w:szCs w:val="22"/>
                <w:lang w:val="lt-LT"/>
              </w:rPr>
            </w:pPr>
            <w:r w:rsidRPr="00EB08A6">
              <w:rPr>
                <w:szCs w:val="22"/>
                <w:lang w:val="lt-LT"/>
              </w:rPr>
              <w:t>(49 %)</w:t>
            </w:r>
            <w:r w:rsidRPr="00EB08A6">
              <w:rPr>
                <w:szCs w:val="22"/>
                <w:lang w:val="lt-LT"/>
              </w:rPr>
              <w:br/>
              <w:t>548</w:t>
            </w:r>
            <w:r w:rsidRPr="00EB08A6">
              <w:rPr>
                <w:szCs w:val="22"/>
                <w:lang w:val="lt-LT"/>
              </w:rPr>
              <w:br/>
              <w:t>&lt; 0,001</w:t>
            </w:r>
          </w:p>
        </w:tc>
        <w:tc>
          <w:tcPr>
            <w:tcW w:w="1276" w:type="dxa"/>
            <w:tcBorders>
              <w:bottom w:val="single" w:sz="4" w:space="0" w:color="auto"/>
            </w:tcBorders>
          </w:tcPr>
          <w:p w14:paraId="39C896A0" w14:textId="77777777" w:rsidR="00EB08A6" w:rsidRPr="00EB08A6" w:rsidRDefault="00EB08A6" w:rsidP="006643DE">
            <w:pPr>
              <w:keepNext/>
              <w:rPr>
                <w:szCs w:val="22"/>
                <w:lang w:val="lt-LT"/>
              </w:rPr>
            </w:pPr>
            <w:r w:rsidRPr="00EB08A6">
              <w:rPr>
                <w:szCs w:val="22"/>
                <w:lang w:val="lt-LT"/>
              </w:rPr>
              <w:t>6,2</w:t>
            </w:r>
          </w:p>
          <w:p w14:paraId="5F47551C" w14:textId="77777777" w:rsidR="00EB08A6" w:rsidRPr="00EB08A6" w:rsidRDefault="00EB08A6" w:rsidP="006643DE">
            <w:pPr>
              <w:keepNext/>
              <w:rPr>
                <w:szCs w:val="22"/>
                <w:lang w:val="lt-LT"/>
              </w:rPr>
            </w:pPr>
            <w:r w:rsidRPr="00EB08A6">
              <w:rPr>
                <w:szCs w:val="22"/>
                <w:lang w:val="lt-LT"/>
              </w:rPr>
              <w:t xml:space="preserve">3,4 </w:t>
            </w:r>
          </w:p>
          <w:p w14:paraId="4E98FCF8" w14:textId="77777777" w:rsidR="00EB08A6" w:rsidRPr="00EB08A6" w:rsidRDefault="00EB08A6" w:rsidP="006643DE">
            <w:pPr>
              <w:keepNext/>
              <w:rPr>
                <w:szCs w:val="22"/>
                <w:lang w:val="lt-LT"/>
              </w:rPr>
            </w:pPr>
            <w:r w:rsidRPr="00EB08A6">
              <w:rPr>
                <w:szCs w:val="22"/>
                <w:lang w:val="lt-LT"/>
              </w:rPr>
              <w:t>(55 %)</w:t>
            </w:r>
            <w:r w:rsidRPr="00EB08A6">
              <w:rPr>
                <w:szCs w:val="22"/>
                <w:lang w:val="lt-LT"/>
              </w:rPr>
              <w:br/>
              <w:t>1 151</w:t>
            </w:r>
            <w:r w:rsidRPr="00EB08A6">
              <w:rPr>
                <w:szCs w:val="22"/>
                <w:lang w:val="lt-LT"/>
              </w:rPr>
              <w:br/>
              <w:t>&lt; 0,001</w:t>
            </w:r>
          </w:p>
        </w:tc>
        <w:tc>
          <w:tcPr>
            <w:tcW w:w="1419" w:type="dxa"/>
            <w:tcBorders>
              <w:bottom w:val="single" w:sz="4" w:space="0" w:color="auto"/>
            </w:tcBorders>
          </w:tcPr>
          <w:p w14:paraId="5E2DA237" w14:textId="77777777" w:rsidR="00EB08A6" w:rsidRPr="00EB08A6" w:rsidRDefault="00EB08A6" w:rsidP="006643DE">
            <w:pPr>
              <w:keepNext/>
              <w:rPr>
                <w:szCs w:val="22"/>
                <w:lang w:val="lt-LT"/>
              </w:rPr>
            </w:pPr>
            <w:r w:rsidRPr="00EB08A6">
              <w:rPr>
                <w:szCs w:val="22"/>
                <w:lang w:val="lt-LT"/>
              </w:rPr>
              <w:t>5,4</w:t>
            </w:r>
          </w:p>
          <w:p w14:paraId="17B4F5F1" w14:textId="77777777" w:rsidR="00EB08A6" w:rsidRPr="00EB08A6" w:rsidRDefault="00EB08A6" w:rsidP="006643DE">
            <w:pPr>
              <w:keepNext/>
              <w:rPr>
                <w:szCs w:val="22"/>
                <w:lang w:val="lt-LT"/>
              </w:rPr>
            </w:pPr>
            <w:r w:rsidRPr="00EB08A6">
              <w:rPr>
                <w:szCs w:val="22"/>
                <w:lang w:val="lt-LT"/>
              </w:rPr>
              <w:t xml:space="preserve">2,1 </w:t>
            </w:r>
          </w:p>
          <w:p w14:paraId="144BEFDA" w14:textId="77777777" w:rsidR="00EB08A6" w:rsidRPr="00EB08A6" w:rsidRDefault="00EB08A6" w:rsidP="006643DE">
            <w:pPr>
              <w:keepNext/>
              <w:rPr>
                <w:szCs w:val="22"/>
                <w:lang w:val="lt-LT"/>
              </w:rPr>
            </w:pPr>
            <w:r w:rsidRPr="00EB08A6">
              <w:rPr>
                <w:szCs w:val="22"/>
                <w:lang w:val="lt-LT"/>
              </w:rPr>
              <w:t>(39 %)</w:t>
            </w:r>
            <w:r w:rsidRPr="00EB08A6">
              <w:rPr>
                <w:szCs w:val="22"/>
                <w:lang w:val="lt-LT"/>
              </w:rPr>
              <w:br/>
              <w:t>250</w:t>
            </w:r>
            <w:r w:rsidRPr="00EB08A6">
              <w:rPr>
                <w:szCs w:val="22"/>
                <w:lang w:val="lt-LT"/>
              </w:rPr>
              <w:br/>
              <w:t>0,031</w:t>
            </w:r>
          </w:p>
        </w:tc>
      </w:tr>
      <w:tr w:rsidR="00EB08A6" w:rsidRPr="00EB08A6" w14:paraId="3ED76873" w14:textId="77777777" w:rsidTr="006643DE">
        <w:tc>
          <w:tcPr>
            <w:tcW w:w="4111" w:type="dxa"/>
            <w:tcBorders>
              <w:right w:val="nil"/>
            </w:tcBorders>
          </w:tcPr>
          <w:p w14:paraId="071D3FDC" w14:textId="77777777" w:rsidR="00EB08A6" w:rsidRPr="00EB08A6" w:rsidRDefault="00EB08A6" w:rsidP="006643DE">
            <w:pPr>
              <w:keepNext/>
              <w:autoSpaceDE w:val="0"/>
              <w:autoSpaceDN w:val="0"/>
              <w:adjustRightInd w:val="0"/>
              <w:rPr>
                <w:b/>
                <w:color w:val="000000"/>
                <w:szCs w:val="22"/>
                <w:lang w:val="lt-LT"/>
              </w:rPr>
            </w:pPr>
            <w:r w:rsidRPr="00EB08A6">
              <w:rPr>
                <w:b/>
                <w:color w:val="000000"/>
                <w:szCs w:val="22"/>
                <w:lang w:val="lt-LT"/>
              </w:rPr>
              <w:t>Šlapimo nelaikymo epizodų skaičius per 24 val.</w:t>
            </w:r>
          </w:p>
        </w:tc>
        <w:tc>
          <w:tcPr>
            <w:tcW w:w="1275" w:type="dxa"/>
            <w:tcBorders>
              <w:left w:val="nil"/>
              <w:right w:val="nil"/>
            </w:tcBorders>
          </w:tcPr>
          <w:p w14:paraId="08277E71" w14:textId="77777777" w:rsidR="00EB08A6" w:rsidRPr="00EB08A6" w:rsidRDefault="00EB08A6" w:rsidP="006643DE">
            <w:pPr>
              <w:keepNext/>
              <w:rPr>
                <w:szCs w:val="22"/>
                <w:lang w:val="lt-LT"/>
              </w:rPr>
            </w:pPr>
          </w:p>
        </w:tc>
        <w:tc>
          <w:tcPr>
            <w:tcW w:w="1275" w:type="dxa"/>
            <w:tcBorders>
              <w:left w:val="nil"/>
              <w:right w:val="nil"/>
            </w:tcBorders>
          </w:tcPr>
          <w:p w14:paraId="6E2A6C45" w14:textId="77777777" w:rsidR="00EB08A6" w:rsidRPr="00EB08A6" w:rsidRDefault="00EB08A6" w:rsidP="006643DE">
            <w:pPr>
              <w:keepNext/>
              <w:rPr>
                <w:szCs w:val="22"/>
                <w:lang w:val="lt-LT"/>
              </w:rPr>
            </w:pPr>
          </w:p>
        </w:tc>
        <w:tc>
          <w:tcPr>
            <w:tcW w:w="1276" w:type="dxa"/>
            <w:tcBorders>
              <w:left w:val="nil"/>
              <w:right w:val="nil"/>
            </w:tcBorders>
          </w:tcPr>
          <w:p w14:paraId="6C888E3F" w14:textId="77777777" w:rsidR="00EB08A6" w:rsidRPr="00EB08A6" w:rsidRDefault="00EB08A6" w:rsidP="006643DE">
            <w:pPr>
              <w:keepNext/>
              <w:rPr>
                <w:szCs w:val="22"/>
                <w:lang w:val="lt-LT"/>
              </w:rPr>
            </w:pPr>
          </w:p>
        </w:tc>
        <w:tc>
          <w:tcPr>
            <w:tcW w:w="1419" w:type="dxa"/>
            <w:tcBorders>
              <w:left w:val="nil"/>
            </w:tcBorders>
          </w:tcPr>
          <w:p w14:paraId="4DC5F867" w14:textId="77777777" w:rsidR="00EB08A6" w:rsidRPr="00EB08A6" w:rsidRDefault="00EB08A6" w:rsidP="006643DE">
            <w:pPr>
              <w:keepNext/>
              <w:rPr>
                <w:szCs w:val="22"/>
                <w:lang w:val="lt-LT"/>
              </w:rPr>
            </w:pPr>
          </w:p>
        </w:tc>
      </w:tr>
      <w:tr w:rsidR="00EB08A6" w:rsidRPr="00EB08A6" w14:paraId="79A406DE" w14:textId="77777777" w:rsidTr="006643DE">
        <w:tc>
          <w:tcPr>
            <w:tcW w:w="4111" w:type="dxa"/>
            <w:tcBorders>
              <w:bottom w:val="single" w:sz="4" w:space="0" w:color="auto"/>
            </w:tcBorders>
          </w:tcPr>
          <w:p w14:paraId="68CEE63B" w14:textId="77777777" w:rsidR="00EB08A6" w:rsidRPr="00EB08A6" w:rsidRDefault="00EB08A6" w:rsidP="006643DE">
            <w:pPr>
              <w:keepNext/>
              <w:autoSpaceDE w:val="0"/>
              <w:autoSpaceDN w:val="0"/>
              <w:adjustRightInd w:val="0"/>
              <w:rPr>
                <w:color w:val="000000"/>
                <w:szCs w:val="22"/>
                <w:lang w:val="lt-LT"/>
              </w:rPr>
            </w:pPr>
            <w:r w:rsidRPr="00EB08A6">
              <w:rPr>
                <w:color w:val="000000"/>
                <w:szCs w:val="22"/>
                <w:lang w:val="lt-LT"/>
              </w:rPr>
              <w:t>Pradinio įverčio vidurkis</w:t>
            </w:r>
            <w:r w:rsidRPr="00EB08A6">
              <w:rPr>
                <w:color w:val="000000"/>
                <w:szCs w:val="22"/>
                <w:lang w:val="lt-LT"/>
              </w:rPr>
              <w:tab/>
            </w:r>
          </w:p>
          <w:p w14:paraId="64635932"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Sumažėjimo vidurkis palyginti su pradiniu </w:t>
            </w:r>
          </w:p>
          <w:p w14:paraId="5261C55B"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 pokytis palyginti su pradiniu </w:t>
            </w:r>
          </w:p>
          <w:p w14:paraId="0BDD0702" w14:textId="77777777" w:rsidR="00EB08A6" w:rsidRPr="00EB08A6" w:rsidRDefault="00EB08A6" w:rsidP="006643DE">
            <w:pPr>
              <w:keepNext/>
              <w:keepLines/>
              <w:rPr>
                <w:color w:val="000000"/>
                <w:szCs w:val="22"/>
                <w:lang w:val="lt-LT"/>
              </w:rPr>
            </w:pPr>
            <w:r w:rsidRPr="00EB08A6">
              <w:rPr>
                <w:color w:val="000000"/>
                <w:szCs w:val="22"/>
                <w:lang w:val="lt-LT"/>
              </w:rPr>
              <w:t>n</w:t>
            </w:r>
          </w:p>
          <w:p w14:paraId="39628E20" w14:textId="77777777" w:rsidR="00EB08A6" w:rsidRPr="00EB08A6" w:rsidRDefault="00EB08A6" w:rsidP="006643DE">
            <w:pPr>
              <w:keepNext/>
              <w:rPr>
                <w:szCs w:val="22"/>
                <w:lang w:val="lt-LT"/>
              </w:rPr>
            </w:pPr>
            <w:r w:rsidRPr="00EB08A6">
              <w:rPr>
                <w:color w:val="000000"/>
                <w:szCs w:val="22"/>
                <w:lang w:val="lt-LT"/>
              </w:rPr>
              <w:t>p vertė*</w:t>
            </w:r>
          </w:p>
        </w:tc>
        <w:tc>
          <w:tcPr>
            <w:tcW w:w="1275" w:type="dxa"/>
            <w:tcBorders>
              <w:bottom w:val="single" w:sz="4" w:space="0" w:color="auto"/>
            </w:tcBorders>
          </w:tcPr>
          <w:p w14:paraId="14F33686" w14:textId="77777777" w:rsidR="00EB08A6" w:rsidRPr="00EB08A6" w:rsidRDefault="00EB08A6" w:rsidP="006643DE">
            <w:pPr>
              <w:keepNext/>
              <w:rPr>
                <w:szCs w:val="22"/>
                <w:lang w:val="lt-LT"/>
              </w:rPr>
            </w:pPr>
            <w:r w:rsidRPr="00EB08A6">
              <w:rPr>
                <w:szCs w:val="22"/>
                <w:lang w:val="lt-LT"/>
              </w:rPr>
              <w:t>2,9</w:t>
            </w:r>
          </w:p>
          <w:p w14:paraId="517F5E70" w14:textId="77777777" w:rsidR="00EB08A6" w:rsidRPr="00EB08A6" w:rsidRDefault="00EB08A6" w:rsidP="006643DE">
            <w:pPr>
              <w:keepNext/>
              <w:rPr>
                <w:szCs w:val="22"/>
                <w:lang w:val="lt-LT"/>
              </w:rPr>
            </w:pPr>
            <w:r w:rsidRPr="00EB08A6">
              <w:rPr>
                <w:szCs w:val="22"/>
                <w:lang w:val="lt-LT"/>
              </w:rPr>
              <w:t>1,1</w:t>
            </w:r>
          </w:p>
          <w:p w14:paraId="1E56CB87" w14:textId="77777777" w:rsidR="00EB08A6" w:rsidRPr="00EB08A6" w:rsidRDefault="00EB08A6" w:rsidP="006643DE">
            <w:pPr>
              <w:keepNext/>
              <w:rPr>
                <w:szCs w:val="22"/>
                <w:lang w:val="lt-LT"/>
              </w:rPr>
            </w:pPr>
            <w:r w:rsidRPr="00EB08A6">
              <w:rPr>
                <w:szCs w:val="22"/>
                <w:lang w:val="lt-LT"/>
              </w:rPr>
              <w:t>(38 %)</w:t>
            </w:r>
            <w:r w:rsidRPr="00EB08A6">
              <w:rPr>
                <w:szCs w:val="22"/>
                <w:lang w:val="lt-LT"/>
              </w:rPr>
              <w:br/>
              <w:t>781</w:t>
            </w:r>
          </w:p>
        </w:tc>
        <w:tc>
          <w:tcPr>
            <w:tcW w:w="1275" w:type="dxa"/>
            <w:tcBorders>
              <w:bottom w:val="single" w:sz="4" w:space="0" w:color="auto"/>
            </w:tcBorders>
          </w:tcPr>
          <w:p w14:paraId="02CAAF8C" w14:textId="77777777" w:rsidR="00EB08A6" w:rsidRPr="00EB08A6" w:rsidRDefault="00EB08A6" w:rsidP="006643DE">
            <w:pPr>
              <w:keepNext/>
              <w:rPr>
                <w:szCs w:val="22"/>
                <w:lang w:val="lt-LT"/>
              </w:rPr>
            </w:pPr>
            <w:r w:rsidRPr="00EB08A6">
              <w:rPr>
                <w:szCs w:val="22"/>
                <w:lang w:val="lt-LT"/>
              </w:rPr>
              <w:t>2,6</w:t>
            </w:r>
          </w:p>
          <w:p w14:paraId="34BD357F" w14:textId="77777777" w:rsidR="00EB08A6" w:rsidRPr="00EB08A6" w:rsidRDefault="00EB08A6" w:rsidP="006643DE">
            <w:pPr>
              <w:keepNext/>
              <w:rPr>
                <w:szCs w:val="22"/>
                <w:lang w:val="lt-LT"/>
              </w:rPr>
            </w:pPr>
            <w:r w:rsidRPr="00EB08A6">
              <w:rPr>
                <w:szCs w:val="22"/>
                <w:lang w:val="lt-LT"/>
              </w:rPr>
              <w:t xml:space="preserve">1,5 </w:t>
            </w:r>
          </w:p>
          <w:p w14:paraId="59BA2659" w14:textId="77777777" w:rsidR="00EB08A6" w:rsidRPr="00EB08A6" w:rsidRDefault="00EB08A6" w:rsidP="006643DE">
            <w:pPr>
              <w:keepNext/>
              <w:rPr>
                <w:szCs w:val="22"/>
                <w:lang w:val="lt-LT"/>
              </w:rPr>
            </w:pPr>
            <w:r w:rsidRPr="00EB08A6">
              <w:rPr>
                <w:szCs w:val="22"/>
                <w:lang w:val="lt-LT"/>
              </w:rPr>
              <w:t>(58 %)</w:t>
            </w:r>
            <w:r w:rsidRPr="00EB08A6">
              <w:rPr>
                <w:szCs w:val="22"/>
                <w:lang w:val="lt-LT"/>
              </w:rPr>
              <w:br/>
              <w:t>314</w:t>
            </w:r>
            <w:r w:rsidRPr="00EB08A6">
              <w:rPr>
                <w:szCs w:val="22"/>
                <w:lang w:val="lt-LT"/>
              </w:rPr>
              <w:br/>
              <w:t>&lt; 0,001</w:t>
            </w:r>
          </w:p>
        </w:tc>
        <w:tc>
          <w:tcPr>
            <w:tcW w:w="1276" w:type="dxa"/>
            <w:tcBorders>
              <w:bottom w:val="single" w:sz="4" w:space="0" w:color="auto"/>
            </w:tcBorders>
          </w:tcPr>
          <w:p w14:paraId="555E13AD" w14:textId="77777777" w:rsidR="00EB08A6" w:rsidRPr="00EB08A6" w:rsidRDefault="00EB08A6" w:rsidP="006643DE">
            <w:pPr>
              <w:keepNext/>
              <w:rPr>
                <w:szCs w:val="22"/>
                <w:lang w:val="lt-LT"/>
              </w:rPr>
            </w:pPr>
            <w:r w:rsidRPr="00EB08A6">
              <w:rPr>
                <w:szCs w:val="22"/>
                <w:lang w:val="lt-LT"/>
              </w:rPr>
              <w:t>2,9</w:t>
            </w:r>
          </w:p>
          <w:p w14:paraId="1525AA8B" w14:textId="77777777" w:rsidR="00EB08A6" w:rsidRPr="00EB08A6" w:rsidRDefault="00EB08A6" w:rsidP="006643DE">
            <w:pPr>
              <w:keepNext/>
              <w:rPr>
                <w:szCs w:val="22"/>
                <w:lang w:val="lt-LT"/>
              </w:rPr>
            </w:pPr>
            <w:r w:rsidRPr="00EB08A6">
              <w:rPr>
                <w:szCs w:val="22"/>
                <w:lang w:val="lt-LT"/>
              </w:rPr>
              <w:t xml:space="preserve">1,8 </w:t>
            </w:r>
          </w:p>
          <w:p w14:paraId="610C500A" w14:textId="77777777" w:rsidR="00EB08A6" w:rsidRPr="00EB08A6" w:rsidRDefault="00EB08A6" w:rsidP="006643DE">
            <w:pPr>
              <w:keepNext/>
              <w:rPr>
                <w:szCs w:val="22"/>
                <w:lang w:val="lt-LT"/>
              </w:rPr>
            </w:pPr>
            <w:r w:rsidRPr="00EB08A6">
              <w:rPr>
                <w:szCs w:val="22"/>
                <w:lang w:val="lt-LT"/>
              </w:rPr>
              <w:t>(62 %)</w:t>
            </w:r>
            <w:r w:rsidRPr="00EB08A6">
              <w:rPr>
                <w:szCs w:val="22"/>
                <w:lang w:val="lt-LT"/>
              </w:rPr>
              <w:br/>
              <w:t>778</w:t>
            </w:r>
            <w:r w:rsidRPr="00EB08A6">
              <w:rPr>
                <w:szCs w:val="22"/>
                <w:lang w:val="lt-LT"/>
              </w:rPr>
              <w:br/>
              <w:t>&lt; 0,001</w:t>
            </w:r>
          </w:p>
        </w:tc>
        <w:tc>
          <w:tcPr>
            <w:tcW w:w="1419" w:type="dxa"/>
            <w:tcBorders>
              <w:bottom w:val="single" w:sz="4" w:space="0" w:color="auto"/>
            </w:tcBorders>
          </w:tcPr>
          <w:p w14:paraId="30677CA8" w14:textId="77777777" w:rsidR="00EB08A6" w:rsidRPr="00EB08A6" w:rsidRDefault="00EB08A6" w:rsidP="006643DE">
            <w:pPr>
              <w:keepNext/>
              <w:rPr>
                <w:szCs w:val="22"/>
                <w:lang w:val="lt-LT"/>
              </w:rPr>
            </w:pPr>
            <w:r w:rsidRPr="00EB08A6">
              <w:rPr>
                <w:szCs w:val="22"/>
                <w:lang w:val="lt-LT"/>
              </w:rPr>
              <w:t>2,3</w:t>
            </w:r>
          </w:p>
          <w:p w14:paraId="0D25F786" w14:textId="77777777" w:rsidR="00EB08A6" w:rsidRPr="00EB08A6" w:rsidRDefault="00EB08A6" w:rsidP="006643DE">
            <w:pPr>
              <w:keepNext/>
              <w:rPr>
                <w:szCs w:val="22"/>
                <w:lang w:val="lt-LT"/>
              </w:rPr>
            </w:pPr>
            <w:r w:rsidRPr="00EB08A6">
              <w:rPr>
                <w:szCs w:val="22"/>
                <w:lang w:val="lt-LT"/>
              </w:rPr>
              <w:t xml:space="preserve">1,1 </w:t>
            </w:r>
          </w:p>
          <w:p w14:paraId="049595E4" w14:textId="77777777" w:rsidR="00EB08A6" w:rsidRPr="00EB08A6" w:rsidRDefault="00EB08A6" w:rsidP="006643DE">
            <w:pPr>
              <w:keepNext/>
              <w:rPr>
                <w:szCs w:val="22"/>
                <w:lang w:val="lt-LT"/>
              </w:rPr>
            </w:pPr>
            <w:r w:rsidRPr="00EB08A6">
              <w:rPr>
                <w:szCs w:val="22"/>
                <w:lang w:val="lt-LT"/>
              </w:rPr>
              <w:t>(48 %)</w:t>
            </w:r>
            <w:r w:rsidRPr="00EB08A6">
              <w:rPr>
                <w:szCs w:val="22"/>
                <w:lang w:val="lt-LT"/>
              </w:rPr>
              <w:br/>
              <w:t>157</w:t>
            </w:r>
            <w:r w:rsidRPr="00EB08A6">
              <w:rPr>
                <w:szCs w:val="22"/>
                <w:lang w:val="lt-LT"/>
              </w:rPr>
              <w:br/>
              <w:t>0,009</w:t>
            </w:r>
          </w:p>
        </w:tc>
      </w:tr>
      <w:tr w:rsidR="00EB08A6" w:rsidRPr="00EB08A6" w14:paraId="0A29D19E" w14:textId="77777777" w:rsidTr="006643DE">
        <w:tc>
          <w:tcPr>
            <w:tcW w:w="4111" w:type="dxa"/>
            <w:tcBorders>
              <w:right w:val="nil"/>
            </w:tcBorders>
          </w:tcPr>
          <w:p w14:paraId="24A877F3" w14:textId="77777777" w:rsidR="00EB08A6" w:rsidRPr="00EB08A6" w:rsidRDefault="00EB08A6" w:rsidP="006643DE">
            <w:pPr>
              <w:keepNext/>
              <w:keepLines/>
              <w:rPr>
                <w:b/>
                <w:szCs w:val="22"/>
                <w:lang w:val="lt-LT"/>
              </w:rPr>
            </w:pPr>
            <w:r w:rsidRPr="00EB08A6">
              <w:rPr>
                <w:b/>
                <w:szCs w:val="22"/>
                <w:lang w:val="lt-LT"/>
              </w:rPr>
              <w:t xml:space="preserve">Naktinio </w:t>
            </w:r>
            <w:proofErr w:type="spellStart"/>
            <w:r w:rsidRPr="00EB08A6">
              <w:rPr>
                <w:b/>
                <w:szCs w:val="22"/>
                <w:lang w:val="lt-LT"/>
              </w:rPr>
              <w:t>šlapinimosi</w:t>
            </w:r>
            <w:proofErr w:type="spellEnd"/>
            <w:r w:rsidRPr="00EB08A6">
              <w:rPr>
                <w:b/>
                <w:szCs w:val="22"/>
                <w:lang w:val="lt-LT"/>
              </w:rPr>
              <w:t xml:space="preserve"> epizodai per 24  val.</w:t>
            </w:r>
          </w:p>
        </w:tc>
        <w:tc>
          <w:tcPr>
            <w:tcW w:w="1275" w:type="dxa"/>
            <w:tcBorders>
              <w:left w:val="nil"/>
              <w:right w:val="nil"/>
            </w:tcBorders>
          </w:tcPr>
          <w:p w14:paraId="6E0E5E25" w14:textId="77777777" w:rsidR="00EB08A6" w:rsidRPr="00EB08A6" w:rsidRDefault="00EB08A6" w:rsidP="006643DE">
            <w:pPr>
              <w:keepNext/>
              <w:keepLines/>
              <w:rPr>
                <w:szCs w:val="22"/>
                <w:lang w:val="lt-LT"/>
              </w:rPr>
            </w:pPr>
          </w:p>
        </w:tc>
        <w:tc>
          <w:tcPr>
            <w:tcW w:w="1275" w:type="dxa"/>
            <w:tcBorders>
              <w:left w:val="nil"/>
              <w:right w:val="nil"/>
            </w:tcBorders>
          </w:tcPr>
          <w:p w14:paraId="383EAC79" w14:textId="77777777" w:rsidR="00EB08A6" w:rsidRPr="00EB08A6" w:rsidRDefault="00EB08A6" w:rsidP="006643DE">
            <w:pPr>
              <w:keepNext/>
              <w:keepLines/>
              <w:rPr>
                <w:szCs w:val="22"/>
                <w:lang w:val="lt-LT"/>
              </w:rPr>
            </w:pPr>
          </w:p>
        </w:tc>
        <w:tc>
          <w:tcPr>
            <w:tcW w:w="1276" w:type="dxa"/>
            <w:tcBorders>
              <w:left w:val="nil"/>
              <w:right w:val="nil"/>
            </w:tcBorders>
          </w:tcPr>
          <w:p w14:paraId="576B81AF" w14:textId="77777777" w:rsidR="00EB08A6" w:rsidRPr="00EB08A6" w:rsidRDefault="00EB08A6" w:rsidP="006643DE">
            <w:pPr>
              <w:keepNext/>
              <w:keepLines/>
              <w:rPr>
                <w:szCs w:val="22"/>
                <w:lang w:val="lt-LT"/>
              </w:rPr>
            </w:pPr>
          </w:p>
        </w:tc>
        <w:tc>
          <w:tcPr>
            <w:tcW w:w="1419" w:type="dxa"/>
            <w:tcBorders>
              <w:left w:val="nil"/>
            </w:tcBorders>
          </w:tcPr>
          <w:p w14:paraId="525B0DB6" w14:textId="77777777" w:rsidR="00EB08A6" w:rsidRPr="00EB08A6" w:rsidRDefault="00EB08A6" w:rsidP="006643DE">
            <w:pPr>
              <w:keepNext/>
              <w:keepLines/>
              <w:rPr>
                <w:szCs w:val="22"/>
                <w:lang w:val="lt-LT"/>
              </w:rPr>
            </w:pPr>
          </w:p>
        </w:tc>
      </w:tr>
      <w:tr w:rsidR="00EB08A6" w:rsidRPr="00EB08A6" w14:paraId="668FB258" w14:textId="77777777" w:rsidTr="006643DE">
        <w:tc>
          <w:tcPr>
            <w:tcW w:w="4111" w:type="dxa"/>
            <w:tcBorders>
              <w:bottom w:val="single" w:sz="4" w:space="0" w:color="auto"/>
            </w:tcBorders>
          </w:tcPr>
          <w:p w14:paraId="015B4D5B" w14:textId="77777777" w:rsidR="00EB08A6" w:rsidRPr="00EB08A6" w:rsidRDefault="00EB08A6" w:rsidP="006643DE">
            <w:pPr>
              <w:keepNext/>
              <w:autoSpaceDE w:val="0"/>
              <w:autoSpaceDN w:val="0"/>
              <w:adjustRightInd w:val="0"/>
              <w:rPr>
                <w:color w:val="000000"/>
                <w:szCs w:val="22"/>
                <w:lang w:val="lt-LT"/>
              </w:rPr>
            </w:pPr>
            <w:r w:rsidRPr="00EB08A6">
              <w:rPr>
                <w:color w:val="000000"/>
                <w:szCs w:val="22"/>
                <w:lang w:val="lt-LT"/>
              </w:rPr>
              <w:t>Pradinio įverčio vidurkis</w:t>
            </w:r>
            <w:r w:rsidRPr="00EB08A6">
              <w:rPr>
                <w:color w:val="000000"/>
                <w:szCs w:val="22"/>
                <w:lang w:val="lt-LT"/>
              </w:rPr>
              <w:tab/>
            </w:r>
          </w:p>
          <w:p w14:paraId="26B33CF4"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Sumažėjimo vidurkis palyginti su pradiniu </w:t>
            </w:r>
          </w:p>
          <w:p w14:paraId="45362C84"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 pokytis palyginti su pradiniu </w:t>
            </w:r>
          </w:p>
          <w:p w14:paraId="4A569B0F" w14:textId="77777777" w:rsidR="00EB08A6" w:rsidRPr="00EB08A6" w:rsidRDefault="00EB08A6" w:rsidP="006643DE">
            <w:pPr>
              <w:keepNext/>
              <w:keepLines/>
              <w:rPr>
                <w:color w:val="000000"/>
                <w:szCs w:val="22"/>
                <w:lang w:val="lt-LT"/>
              </w:rPr>
            </w:pPr>
            <w:r w:rsidRPr="00EB08A6">
              <w:rPr>
                <w:color w:val="000000"/>
                <w:szCs w:val="22"/>
                <w:lang w:val="lt-LT"/>
              </w:rPr>
              <w:t>n</w:t>
            </w:r>
          </w:p>
          <w:p w14:paraId="77875B2C" w14:textId="77777777" w:rsidR="00EB08A6" w:rsidRPr="00EB08A6" w:rsidRDefault="00EB08A6" w:rsidP="006643DE">
            <w:pPr>
              <w:keepNext/>
              <w:keepLines/>
              <w:rPr>
                <w:szCs w:val="22"/>
                <w:lang w:val="lt-LT"/>
              </w:rPr>
            </w:pPr>
            <w:r w:rsidRPr="00EB08A6">
              <w:rPr>
                <w:color w:val="000000"/>
                <w:szCs w:val="22"/>
                <w:lang w:val="lt-LT"/>
              </w:rPr>
              <w:t>p vertė*</w:t>
            </w:r>
          </w:p>
        </w:tc>
        <w:tc>
          <w:tcPr>
            <w:tcW w:w="1275" w:type="dxa"/>
            <w:tcBorders>
              <w:bottom w:val="single" w:sz="4" w:space="0" w:color="auto"/>
            </w:tcBorders>
          </w:tcPr>
          <w:p w14:paraId="1EC1A730" w14:textId="77777777" w:rsidR="00EB08A6" w:rsidRPr="00EB08A6" w:rsidRDefault="00EB08A6" w:rsidP="006643DE">
            <w:pPr>
              <w:keepNext/>
              <w:keepLines/>
              <w:rPr>
                <w:szCs w:val="22"/>
                <w:lang w:val="lt-LT"/>
              </w:rPr>
            </w:pPr>
            <w:r w:rsidRPr="00EB08A6">
              <w:rPr>
                <w:szCs w:val="22"/>
                <w:lang w:val="lt-LT"/>
              </w:rPr>
              <w:t>1,8</w:t>
            </w:r>
          </w:p>
          <w:p w14:paraId="0637AE30" w14:textId="77777777" w:rsidR="00EB08A6" w:rsidRPr="00EB08A6" w:rsidRDefault="00EB08A6" w:rsidP="006643DE">
            <w:pPr>
              <w:keepNext/>
              <w:keepLines/>
              <w:rPr>
                <w:szCs w:val="22"/>
                <w:lang w:val="lt-LT"/>
              </w:rPr>
            </w:pPr>
            <w:r w:rsidRPr="00EB08A6">
              <w:rPr>
                <w:szCs w:val="22"/>
                <w:lang w:val="lt-LT"/>
              </w:rPr>
              <w:t xml:space="preserve">0,4 </w:t>
            </w:r>
          </w:p>
          <w:p w14:paraId="2122216F" w14:textId="77777777" w:rsidR="00EB08A6" w:rsidRPr="00EB08A6" w:rsidRDefault="00EB08A6" w:rsidP="006643DE">
            <w:pPr>
              <w:keepNext/>
              <w:keepLines/>
              <w:rPr>
                <w:szCs w:val="22"/>
                <w:lang w:val="lt-LT"/>
              </w:rPr>
            </w:pPr>
            <w:r w:rsidRPr="00EB08A6">
              <w:rPr>
                <w:szCs w:val="22"/>
                <w:lang w:val="lt-LT"/>
              </w:rPr>
              <w:t>(22 %)</w:t>
            </w:r>
            <w:r w:rsidRPr="00EB08A6">
              <w:rPr>
                <w:szCs w:val="22"/>
                <w:lang w:val="lt-LT"/>
              </w:rPr>
              <w:br/>
              <w:t>1 005</w:t>
            </w:r>
          </w:p>
        </w:tc>
        <w:tc>
          <w:tcPr>
            <w:tcW w:w="1275" w:type="dxa"/>
            <w:tcBorders>
              <w:bottom w:val="single" w:sz="4" w:space="0" w:color="auto"/>
            </w:tcBorders>
          </w:tcPr>
          <w:p w14:paraId="3569696E" w14:textId="77777777" w:rsidR="00EB08A6" w:rsidRPr="00EB08A6" w:rsidRDefault="00EB08A6" w:rsidP="006643DE">
            <w:pPr>
              <w:keepNext/>
              <w:keepLines/>
              <w:rPr>
                <w:szCs w:val="22"/>
                <w:lang w:val="lt-LT"/>
              </w:rPr>
            </w:pPr>
            <w:r w:rsidRPr="00EB08A6">
              <w:rPr>
                <w:szCs w:val="22"/>
                <w:lang w:val="lt-LT"/>
              </w:rPr>
              <w:t>2,0</w:t>
            </w:r>
          </w:p>
          <w:p w14:paraId="27FE6D17" w14:textId="77777777" w:rsidR="00EB08A6" w:rsidRPr="00EB08A6" w:rsidRDefault="00EB08A6" w:rsidP="006643DE">
            <w:pPr>
              <w:keepNext/>
              <w:keepLines/>
              <w:rPr>
                <w:szCs w:val="22"/>
                <w:lang w:val="lt-LT"/>
              </w:rPr>
            </w:pPr>
            <w:r w:rsidRPr="00EB08A6">
              <w:rPr>
                <w:szCs w:val="22"/>
                <w:lang w:val="lt-LT"/>
              </w:rPr>
              <w:t xml:space="preserve">0,6 </w:t>
            </w:r>
          </w:p>
          <w:p w14:paraId="66ABD3CF" w14:textId="77777777" w:rsidR="00EB08A6" w:rsidRPr="00EB08A6" w:rsidRDefault="00EB08A6" w:rsidP="006643DE">
            <w:pPr>
              <w:keepNext/>
              <w:keepLines/>
              <w:rPr>
                <w:szCs w:val="22"/>
                <w:lang w:val="lt-LT"/>
              </w:rPr>
            </w:pPr>
            <w:r w:rsidRPr="00EB08A6">
              <w:rPr>
                <w:szCs w:val="22"/>
                <w:lang w:val="lt-LT"/>
              </w:rPr>
              <w:t>(30 %)</w:t>
            </w:r>
            <w:r w:rsidRPr="00EB08A6">
              <w:rPr>
                <w:szCs w:val="22"/>
                <w:lang w:val="lt-LT"/>
              </w:rPr>
              <w:br/>
              <w:t>494</w:t>
            </w:r>
            <w:r w:rsidRPr="00EB08A6">
              <w:rPr>
                <w:szCs w:val="22"/>
                <w:lang w:val="lt-LT"/>
              </w:rPr>
              <w:br/>
              <w:t>0,025</w:t>
            </w:r>
          </w:p>
        </w:tc>
        <w:tc>
          <w:tcPr>
            <w:tcW w:w="1276" w:type="dxa"/>
            <w:tcBorders>
              <w:bottom w:val="single" w:sz="4" w:space="0" w:color="auto"/>
            </w:tcBorders>
          </w:tcPr>
          <w:p w14:paraId="68E99ED6" w14:textId="77777777" w:rsidR="00EB08A6" w:rsidRPr="00EB08A6" w:rsidRDefault="00EB08A6" w:rsidP="006643DE">
            <w:pPr>
              <w:keepNext/>
              <w:keepLines/>
              <w:rPr>
                <w:szCs w:val="22"/>
                <w:lang w:val="lt-LT"/>
              </w:rPr>
            </w:pPr>
            <w:r w:rsidRPr="00EB08A6">
              <w:rPr>
                <w:szCs w:val="22"/>
                <w:lang w:val="lt-LT"/>
              </w:rPr>
              <w:t>1,8</w:t>
            </w:r>
          </w:p>
          <w:p w14:paraId="657F747F" w14:textId="77777777" w:rsidR="00EB08A6" w:rsidRPr="00EB08A6" w:rsidRDefault="00EB08A6" w:rsidP="006643DE">
            <w:pPr>
              <w:keepNext/>
              <w:keepLines/>
              <w:rPr>
                <w:szCs w:val="22"/>
                <w:lang w:val="lt-LT"/>
              </w:rPr>
            </w:pPr>
            <w:r w:rsidRPr="00EB08A6">
              <w:rPr>
                <w:szCs w:val="22"/>
                <w:lang w:val="lt-LT"/>
              </w:rPr>
              <w:t>0,6</w:t>
            </w:r>
          </w:p>
          <w:p w14:paraId="65A51688" w14:textId="77777777" w:rsidR="00EB08A6" w:rsidRPr="00EB08A6" w:rsidRDefault="00EB08A6" w:rsidP="006643DE">
            <w:pPr>
              <w:keepNext/>
              <w:keepLines/>
              <w:rPr>
                <w:szCs w:val="22"/>
                <w:lang w:val="lt-LT"/>
              </w:rPr>
            </w:pPr>
            <w:r w:rsidRPr="00EB08A6">
              <w:rPr>
                <w:szCs w:val="22"/>
                <w:lang w:val="lt-LT"/>
              </w:rPr>
              <w:t>(33 %)</w:t>
            </w:r>
            <w:r w:rsidRPr="00EB08A6">
              <w:rPr>
                <w:szCs w:val="22"/>
                <w:lang w:val="lt-LT"/>
              </w:rPr>
              <w:br/>
              <w:t>1 035</w:t>
            </w:r>
            <w:r w:rsidRPr="00EB08A6">
              <w:rPr>
                <w:szCs w:val="22"/>
                <w:lang w:val="lt-LT"/>
              </w:rPr>
              <w:br/>
              <w:t>&lt; 0,001</w:t>
            </w:r>
          </w:p>
        </w:tc>
        <w:tc>
          <w:tcPr>
            <w:tcW w:w="1419" w:type="dxa"/>
            <w:tcBorders>
              <w:bottom w:val="single" w:sz="4" w:space="0" w:color="auto"/>
            </w:tcBorders>
          </w:tcPr>
          <w:p w14:paraId="095E5CEA" w14:textId="77777777" w:rsidR="00EB08A6" w:rsidRPr="00EB08A6" w:rsidRDefault="00EB08A6" w:rsidP="006643DE">
            <w:pPr>
              <w:keepNext/>
              <w:keepLines/>
              <w:rPr>
                <w:szCs w:val="22"/>
                <w:lang w:val="lt-LT"/>
              </w:rPr>
            </w:pPr>
            <w:r w:rsidRPr="00EB08A6">
              <w:rPr>
                <w:szCs w:val="22"/>
                <w:lang w:val="lt-LT"/>
              </w:rPr>
              <w:t>1,9</w:t>
            </w:r>
          </w:p>
          <w:p w14:paraId="041F3A01" w14:textId="77777777" w:rsidR="00EB08A6" w:rsidRPr="00EB08A6" w:rsidRDefault="00EB08A6" w:rsidP="006643DE">
            <w:pPr>
              <w:keepNext/>
              <w:keepLines/>
              <w:rPr>
                <w:szCs w:val="22"/>
                <w:lang w:val="lt-LT"/>
              </w:rPr>
            </w:pPr>
            <w:r w:rsidRPr="00EB08A6">
              <w:rPr>
                <w:szCs w:val="22"/>
                <w:lang w:val="lt-LT"/>
              </w:rPr>
              <w:t xml:space="preserve">0,5 </w:t>
            </w:r>
          </w:p>
          <w:p w14:paraId="3D00E64B" w14:textId="77777777" w:rsidR="00EB08A6" w:rsidRPr="00EB08A6" w:rsidRDefault="00EB08A6" w:rsidP="006643DE">
            <w:pPr>
              <w:keepNext/>
              <w:keepLines/>
              <w:rPr>
                <w:szCs w:val="22"/>
                <w:lang w:val="lt-LT"/>
              </w:rPr>
            </w:pPr>
            <w:r w:rsidRPr="00EB08A6">
              <w:rPr>
                <w:szCs w:val="22"/>
                <w:lang w:val="lt-LT"/>
              </w:rPr>
              <w:t>(26 %)</w:t>
            </w:r>
            <w:r w:rsidRPr="00EB08A6">
              <w:rPr>
                <w:szCs w:val="22"/>
                <w:lang w:val="lt-LT"/>
              </w:rPr>
              <w:br/>
              <w:t>232</w:t>
            </w:r>
            <w:r w:rsidRPr="00EB08A6">
              <w:rPr>
                <w:szCs w:val="22"/>
                <w:lang w:val="lt-LT"/>
              </w:rPr>
              <w:br/>
              <w:t>0,199</w:t>
            </w:r>
          </w:p>
        </w:tc>
      </w:tr>
      <w:tr w:rsidR="00EB08A6" w:rsidRPr="00EB08A6" w14:paraId="4BC2E2CF" w14:textId="77777777" w:rsidTr="006643DE">
        <w:tc>
          <w:tcPr>
            <w:tcW w:w="4111" w:type="dxa"/>
            <w:tcBorders>
              <w:right w:val="nil"/>
            </w:tcBorders>
          </w:tcPr>
          <w:p w14:paraId="31B9D7C6" w14:textId="77777777" w:rsidR="00EB08A6" w:rsidRPr="00EB08A6" w:rsidRDefault="00EB08A6" w:rsidP="006643DE">
            <w:pPr>
              <w:autoSpaceDE w:val="0"/>
              <w:autoSpaceDN w:val="0"/>
              <w:adjustRightInd w:val="0"/>
              <w:rPr>
                <w:b/>
                <w:color w:val="000000"/>
                <w:szCs w:val="22"/>
                <w:lang w:val="lt-LT"/>
              </w:rPr>
            </w:pPr>
            <w:r w:rsidRPr="00EB08A6">
              <w:rPr>
                <w:b/>
                <w:color w:val="000000"/>
                <w:szCs w:val="22"/>
                <w:lang w:val="lt-LT"/>
              </w:rPr>
              <w:t xml:space="preserve">Šlapimo tūris vieno </w:t>
            </w:r>
            <w:proofErr w:type="spellStart"/>
            <w:r w:rsidRPr="00EB08A6">
              <w:rPr>
                <w:b/>
                <w:color w:val="000000"/>
                <w:szCs w:val="22"/>
                <w:lang w:val="lt-LT"/>
              </w:rPr>
              <w:t>šlapinimosi</w:t>
            </w:r>
            <w:proofErr w:type="spellEnd"/>
            <w:r w:rsidRPr="00EB08A6">
              <w:rPr>
                <w:b/>
                <w:color w:val="000000"/>
                <w:szCs w:val="22"/>
                <w:lang w:val="lt-LT"/>
              </w:rPr>
              <w:t xml:space="preserve"> metu</w:t>
            </w:r>
          </w:p>
        </w:tc>
        <w:tc>
          <w:tcPr>
            <w:tcW w:w="1275" w:type="dxa"/>
            <w:tcBorders>
              <w:left w:val="nil"/>
              <w:right w:val="nil"/>
            </w:tcBorders>
          </w:tcPr>
          <w:p w14:paraId="41979FCB" w14:textId="77777777" w:rsidR="00EB08A6" w:rsidRPr="00EB08A6" w:rsidRDefault="00EB08A6" w:rsidP="006643DE">
            <w:pPr>
              <w:keepNext/>
              <w:keepLines/>
              <w:rPr>
                <w:szCs w:val="22"/>
                <w:lang w:val="lt-LT"/>
              </w:rPr>
            </w:pPr>
          </w:p>
        </w:tc>
        <w:tc>
          <w:tcPr>
            <w:tcW w:w="1275" w:type="dxa"/>
            <w:tcBorders>
              <w:left w:val="nil"/>
              <w:right w:val="nil"/>
            </w:tcBorders>
          </w:tcPr>
          <w:p w14:paraId="70DA18EB" w14:textId="77777777" w:rsidR="00EB08A6" w:rsidRPr="00EB08A6" w:rsidRDefault="00EB08A6" w:rsidP="006643DE">
            <w:pPr>
              <w:keepNext/>
              <w:keepLines/>
              <w:rPr>
                <w:szCs w:val="22"/>
                <w:lang w:val="lt-LT"/>
              </w:rPr>
            </w:pPr>
          </w:p>
        </w:tc>
        <w:tc>
          <w:tcPr>
            <w:tcW w:w="1276" w:type="dxa"/>
            <w:tcBorders>
              <w:left w:val="nil"/>
              <w:right w:val="nil"/>
            </w:tcBorders>
          </w:tcPr>
          <w:p w14:paraId="79FAD7F8" w14:textId="77777777" w:rsidR="00EB08A6" w:rsidRPr="00EB08A6" w:rsidRDefault="00EB08A6" w:rsidP="006643DE">
            <w:pPr>
              <w:keepNext/>
              <w:keepLines/>
              <w:rPr>
                <w:szCs w:val="22"/>
                <w:lang w:val="lt-LT"/>
              </w:rPr>
            </w:pPr>
          </w:p>
        </w:tc>
        <w:tc>
          <w:tcPr>
            <w:tcW w:w="1419" w:type="dxa"/>
            <w:tcBorders>
              <w:left w:val="nil"/>
            </w:tcBorders>
          </w:tcPr>
          <w:p w14:paraId="273C34D0" w14:textId="77777777" w:rsidR="00EB08A6" w:rsidRPr="00EB08A6" w:rsidRDefault="00EB08A6" w:rsidP="006643DE">
            <w:pPr>
              <w:keepNext/>
              <w:keepLines/>
              <w:rPr>
                <w:szCs w:val="22"/>
                <w:lang w:val="lt-LT"/>
              </w:rPr>
            </w:pPr>
          </w:p>
        </w:tc>
      </w:tr>
      <w:tr w:rsidR="00EB08A6" w:rsidRPr="00EB08A6" w14:paraId="13C546B1" w14:textId="77777777" w:rsidTr="006643DE">
        <w:tc>
          <w:tcPr>
            <w:tcW w:w="4111" w:type="dxa"/>
            <w:tcBorders>
              <w:bottom w:val="single" w:sz="4" w:space="0" w:color="auto"/>
            </w:tcBorders>
          </w:tcPr>
          <w:p w14:paraId="0E83F179" w14:textId="77777777" w:rsidR="00EB08A6" w:rsidRPr="00EB08A6" w:rsidRDefault="00EB08A6" w:rsidP="006643DE">
            <w:pPr>
              <w:keepNext/>
              <w:autoSpaceDE w:val="0"/>
              <w:autoSpaceDN w:val="0"/>
              <w:adjustRightInd w:val="0"/>
              <w:rPr>
                <w:color w:val="000000"/>
                <w:szCs w:val="22"/>
                <w:lang w:val="lt-LT"/>
              </w:rPr>
            </w:pPr>
            <w:r w:rsidRPr="00EB08A6">
              <w:rPr>
                <w:color w:val="000000"/>
                <w:szCs w:val="22"/>
                <w:lang w:val="lt-LT"/>
              </w:rPr>
              <w:t>Pradinio įverčio vidurkis</w:t>
            </w:r>
            <w:r w:rsidRPr="00EB08A6">
              <w:rPr>
                <w:color w:val="000000"/>
                <w:szCs w:val="22"/>
                <w:lang w:val="lt-LT"/>
              </w:rPr>
              <w:tab/>
            </w:r>
          </w:p>
          <w:p w14:paraId="76D3735D"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Padidėjimo vidurkis palyginti su pradiniu </w:t>
            </w:r>
          </w:p>
          <w:p w14:paraId="28FDB0C5"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 pokytis palyginti su pradiniu </w:t>
            </w:r>
          </w:p>
          <w:p w14:paraId="27734451" w14:textId="77777777" w:rsidR="00EB08A6" w:rsidRPr="00EB08A6" w:rsidRDefault="00EB08A6" w:rsidP="006643DE">
            <w:pPr>
              <w:keepNext/>
              <w:keepLines/>
              <w:rPr>
                <w:color w:val="000000"/>
                <w:szCs w:val="22"/>
                <w:lang w:val="lt-LT"/>
              </w:rPr>
            </w:pPr>
            <w:r w:rsidRPr="00EB08A6">
              <w:rPr>
                <w:color w:val="000000"/>
                <w:szCs w:val="22"/>
                <w:lang w:val="lt-LT"/>
              </w:rPr>
              <w:t>n</w:t>
            </w:r>
          </w:p>
          <w:p w14:paraId="0C10AD99" w14:textId="77777777" w:rsidR="00EB08A6" w:rsidRPr="00EB08A6" w:rsidRDefault="00EB08A6" w:rsidP="006643DE">
            <w:pPr>
              <w:keepNext/>
              <w:keepLines/>
              <w:rPr>
                <w:szCs w:val="22"/>
                <w:lang w:val="lt-LT"/>
              </w:rPr>
            </w:pPr>
            <w:r w:rsidRPr="00EB08A6">
              <w:rPr>
                <w:color w:val="000000"/>
                <w:szCs w:val="22"/>
                <w:lang w:val="lt-LT"/>
              </w:rPr>
              <w:t>p vertė*</w:t>
            </w:r>
          </w:p>
        </w:tc>
        <w:tc>
          <w:tcPr>
            <w:tcW w:w="1275" w:type="dxa"/>
            <w:tcBorders>
              <w:bottom w:val="single" w:sz="4" w:space="0" w:color="auto"/>
            </w:tcBorders>
          </w:tcPr>
          <w:p w14:paraId="76E075B5" w14:textId="77777777" w:rsidR="00EB08A6" w:rsidRPr="00EB08A6" w:rsidRDefault="00EB08A6" w:rsidP="006643DE">
            <w:pPr>
              <w:keepNext/>
              <w:keepLines/>
              <w:rPr>
                <w:szCs w:val="22"/>
                <w:lang w:val="lt-LT"/>
              </w:rPr>
            </w:pPr>
            <w:r w:rsidRPr="00EB08A6">
              <w:rPr>
                <w:szCs w:val="22"/>
                <w:lang w:val="lt-LT"/>
              </w:rPr>
              <w:t>166 ml</w:t>
            </w:r>
          </w:p>
          <w:p w14:paraId="1C10AAA0" w14:textId="77777777" w:rsidR="00EB08A6" w:rsidRPr="00EB08A6" w:rsidRDefault="00EB08A6" w:rsidP="006643DE">
            <w:pPr>
              <w:keepNext/>
              <w:keepLines/>
              <w:rPr>
                <w:szCs w:val="22"/>
                <w:lang w:val="lt-LT"/>
              </w:rPr>
            </w:pPr>
            <w:r w:rsidRPr="00EB08A6">
              <w:rPr>
                <w:szCs w:val="22"/>
                <w:lang w:val="lt-LT"/>
              </w:rPr>
              <w:t xml:space="preserve">9 ml </w:t>
            </w:r>
          </w:p>
          <w:p w14:paraId="466E77FE" w14:textId="77777777" w:rsidR="00EB08A6" w:rsidRPr="00EB08A6" w:rsidRDefault="00EB08A6" w:rsidP="006643DE">
            <w:pPr>
              <w:keepNext/>
              <w:keepLines/>
              <w:rPr>
                <w:szCs w:val="22"/>
                <w:lang w:val="lt-LT"/>
              </w:rPr>
            </w:pPr>
            <w:r w:rsidRPr="00EB08A6">
              <w:rPr>
                <w:szCs w:val="22"/>
                <w:lang w:val="lt-LT"/>
              </w:rPr>
              <w:t>(5 %)</w:t>
            </w:r>
            <w:r w:rsidRPr="00EB08A6">
              <w:rPr>
                <w:szCs w:val="22"/>
                <w:lang w:val="lt-LT"/>
              </w:rPr>
              <w:br/>
              <w:t>1 135</w:t>
            </w:r>
          </w:p>
        </w:tc>
        <w:tc>
          <w:tcPr>
            <w:tcW w:w="1275" w:type="dxa"/>
            <w:tcBorders>
              <w:bottom w:val="single" w:sz="4" w:space="0" w:color="auto"/>
            </w:tcBorders>
          </w:tcPr>
          <w:p w14:paraId="16FE2A23" w14:textId="77777777" w:rsidR="00EB08A6" w:rsidRPr="00EB08A6" w:rsidRDefault="00EB08A6" w:rsidP="006643DE">
            <w:pPr>
              <w:keepNext/>
              <w:keepLines/>
              <w:rPr>
                <w:szCs w:val="22"/>
                <w:lang w:val="lt-LT"/>
              </w:rPr>
            </w:pPr>
            <w:r w:rsidRPr="00EB08A6">
              <w:rPr>
                <w:szCs w:val="22"/>
                <w:lang w:val="lt-LT"/>
              </w:rPr>
              <w:t>146 ml</w:t>
            </w:r>
          </w:p>
          <w:p w14:paraId="2FA3328B" w14:textId="77777777" w:rsidR="00EB08A6" w:rsidRPr="00EB08A6" w:rsidRDefault="00EB08A6" w:rsidP="006643DE">
            <w:pPr>
              <w:keepNext/>
              <w:keepLines/>
              <w:rPr>
                <w:szCs w:val="22"/>
                <w:lang w:val="lt-LT"/>
              </w:rPr>
            </w:pPr>
            <w:r w:rsidRPr="00EB08A6">
              <w:rPr>
                <w:szCs w:val="22"/>
                <w:lang w:val="lt-LT"/>
              </w:rPr>
              <w:t xml:space="preserve">32 ml </w:t>
            </w:r>
          </w:p>
          <w:p w14:paraId="22D6D052" w14:textId="77777777" w:rsidR="00EB08A6" w:rsidRPr="00EB08A6" w:rsidRDefault="00EB08A6" w:rsidP="006643DE">
            <w:pPr>
              <w:keepNext/>
              <w:keepLines/>
              <w:rPr>
                <w:szCs w:val="22"/>
                <w:lang w:val="lt-LT"/>
              </w:rPr>
            </w:pPr>
            <w:r w:rsidRPr="00EB08A6">
              <w:rPr>
                <w:szCs w:val="22"/>
                <w:lang w:val="lt-LT"/>
              </w:rPr>
              <w:t>(21 %)</w:t>
            </w:r>
            <w:r w:rsidRPr="00EB08A6">
              <w:rPr>
                <w:szCs w:val="22"/>
                <w:lang w:val="lt-LT"/>
              </w:rPr>
              <w:br/>
              <w:t>552</w:t>
            </w:r>
            <w:r w:rsidRPr="00EB08A6">
              <w:rPr>
                <w:szCs w:val="22"/>
                <w:lang w:val="lt-LT"/>
              </w:rPr>
              <w:br/>
              <w:t>&lt; 0,001</w:t>
            </w:r>
          </w:p>
        </w:tc>
        <w:tc>
          <w:tcPr>
            <w:tcW w:w="1276" w:type="dxa"/>
            <w:tcBorders>
              <w:bottom w:val="single" w:sz="4" w:space="0" w:color="auto"/>
            </w:tcBorders>
          </w:tcPr>
          <w:p w14:paraId="26029AC1" w14:textId="77777777" w:rsidR="00EB08A6" w:rsidRPr="00EB08A6" w:rsidRDefault="00EB08A6" w:rsidP="006643DE">
            <w:pPr>
              <w:keepNext/>
              <w:keepLines/>
              <w:rPr>
                <w:szCs w:val="22"/>
                <w:lang w:val="lt-LT"/>
              </w:rPr>
            </w:pPr>
            <w:r w:rsidRPr="00EB08A6">
              <w:rPr>
                <w:szCs w:val="22"/>
                <w:lang w:val="lt-LT"/>
              </w:rPr>
              <w:t>163 ml</w:t>
            </w:r>
          </w:p>
          <w:p w14:paraId="4CF7A419" w14:textId="77777777" w:rsidR="00EB08A6" w:rsidRPr="00EB08A6" w:rsidRDefault="00EB08A6" w:rsidP="006643DE">
            <w:pPr>
              <w:keepNext/>
              <w:keepLines/>
              <w:rPr>
                <w:szCs w:val="22"/>
                <w:lang w:val="lt-LT"/>
              </w:rPr>
            </w:pPr>
            <w:r w:rsidRPr="00EB08A6">
              <w:rPr>
                <w:szCs w:val="22"/>
                <w:lang w:val="lt-LT"/>
              </w:rPr>
              <w:t xml:space="preserve">43 ml </w:t>
            </w:r>
          </w:p>
          <w:p w14:paraId="535F1F95" w14:textId="77777777" w:rsidR="00EB08A6" w:rsidRPr="00EB08A6" w:rsidRDefault="00EB08A6" w:rsidP="006643DE">
            <w:pPr>
              <w:keepNext/>
              <w:keepLines/>
              <w:rPr>
                <w:szCs w:val="22"/>
                <w:lang w:val="lt-LT"/>
              </w:rPr>
            </w:pPr>
            <w:r w:rsidRPr="00EB08A6">
              <w:rPr>
                <w:szCs w:val="22"/>
                <w:lang w:val="lt-LT"/>
              </w:rPr>
              <w:t>(26 %)</w:t>
            </w:r>
            <w:r w:rsidRPr="00EB08A6">
              <w:rPr>
                <w:szCs w:val="22"/>
                <w:lang w:val="lt-LT"/>
              </w:rPr>
              <w:br/>
              <w:t>1 156</w:t>
            </w:r>
            <w:r w:rsidRPr="00EB08A6">
              <w:rPr>
                <w:szCs w:val="22"/>
                <w:lang w:val="lt-LT"/>
              </w:rPr>
              <w:br/>
              <w:t>&lt; 0,001</w:t>
            </w:r>
          </w:p>
        </w:tc>
        <w:tc>
          <w:tcPr>
            <w:tcW w:w="1419" w:type="dxa"/>
            <w:tcBorders>
              <w:bottom w:val="single" w:sz="4" w:space="0" w:color="auto"/>
            </w:tcBorders>
          </w:tcPr>
          <w:p w14:paraId="034B826E" w14:textId="77777777" w:rsidR="00EB08A6" w:rsidRPr="00EB08A6" w:rsidRDefault="00EB08A6" w:rsidP="006643DE">
            <w:pPr>
              <w:keepNext/>
              <w:keepLines/>
              <w:rPr>
                <w:szCs w:val="22"/>
                <w:lang w:val="lt-LT"/>
              </w:rPr>
            </w:pPr>
            <w:r w:rsidRPr="00EB08A6">
              <w:rPr>
                <w:szCs w:val="22"/>
                <w:lang w:val="lt-LT"/>
              </w:rPr>
              <w:t>147 ml</w:t>
            </w:r>
          </w:p>
          <w:p w14:paraId="02D76DA3" w14:textId="77777777" w:rsidR="00EB08A6" w:rsidRPr="00EB08A6" w:rsidRDefault="00EB08A6" w:rsidP="006643DE">
            <w:pPr>
              <w:keepNext/>
              <w:keepLines/>
              <w:rPr>
                <w:szCs w:val="22"/>
                <w:lang w:val="lt-LT"/>
              </w:rPr>
            </w:pPr>
            <w:r w:rsidRPr="00EB08A6">
              <w:rPr>
                <w:szCs w:val="22"/>
                <w:lang w:val="lt-LT"/>
              </w:rPr>
              <w:t xml:space="preserve">24 ml </w:t>
            </w:r>
          </w:p>
          <w:p w14:paraId="1D95B81F" w14:textId="77777777" w:rsidR="00EB08A6" w:rsidRPr="00EB08A6" w:rsidRDefault="00EB08A6" w:rsidP="006643DE">
            <w:pPr>
              <w:keepNext/>
              <w:keepLines/>
              <w:rPr>
                <w:szCs w:val="22"/>
                <w:lang w:val="lt-LT"/>
              </w:rPr>
            </w:pPr>
            <w:r w:rsidRPr="00EB08A6">
              <w:rPr>
                <w:szCs w:val="22"/>
                <w:lang w:val="lt-LT"/>
              </w:rPr>
              <w:t>(16 %)</w:t>
            </w:r>
            <w:r w:rsidRPr="00EB08A6">
              <w:rPr>
                <w:szCs w:val="22"/>
                <w:lang w:val="lt-LT"/>
              </w:rPr>
              <w:br/>
              <w:t>250</w:t>
            </w:r>
            <w:r w:rsidRPr="00EB08A6">
              <w:rPr>
                <w:szCs w:val="22"/>
                <w:lang w:val="lt-LT"/>
              </w:rPr>
              <w:br/>
              <w:t>&lt; 0,001</w:t>
            </w:r>
          </w:p>
        </w:tc>
      </w:tr>
      <w:tr w:rsidR="00EB08A6" w:rsidRPr="00EB08A6" w14:paraId="795ACF7A" w14:textId="77777777" w:rsidTr="006643DE">
        <w:tc>
          <w:tcPr>
            <w:tcW w:w="4111" w:type="dxa"/>
            <w:tcBorders>
              <w:right w:val="nil"/>
            </w:tcBorders>
          </w:tcPr>
          <w:p w14:paraId="1235A070" w14:textId="77777777" w:rsidR="00EB08A6" w:rsidRPr="00EB08A6" w:rsidRDefault="00EB08A6" w:rsidP="006643DE">
            <w:pPr>
              <w:autoSpaceDE w:val="0"/>
              <w:autoSpaceDN w:val="0"/>
              <w:adjustRightInd w:val="0"/>
              <w:rPr>
                <w:b/>
                <w:color w:val="000000"/>
                <w:szCs w:val="22"/>
                <w:lang w:val="lt-LT"/>
              </w:rPr>
            </w:pPr>
            <w:r w:rsidRPr="00EB08A6">
              <w:rPr>
                <w:b/>
                <w:color w:val="000000"/>
                <w:szCs w:val="22"/>
                <w:lang w:val="lt-LT"/>
              </w:rPr>
              <w:t xml:space="preserve">Tamponų skaičius per 24 val. </w:t>
            </w:r>
          </w:p>
        </w:tc>
        <w:tc>
          <w:tcPr>
            <w:tcW w:w="1275" w:type="dxa"/>
            <w:tcBorders>
              <w:left w:val="nil"/>
              <w:right w:val="nil"/>
            </w:tcBorders>
          </w:tcPr>
          <w:p w14:paraId="2E589BA4" w14:textId="77777777" w:rsidR="00EB08A6" w:rsidRPr="00EB08A6" w:rsidRDefault="00EB08A6" w:rsidP="006643DE">
            <w:pPr>
              <w:keepNext/>
              <w:keepLines/>
              <w:rPr>
                <w:szCs w:val="22"/>
                <w:lang w:val="lt-LT"/>
              </w:rPr>
            </w:pPr>
          </w:p>
        </w:tc>
        <w:tc>
          <w:tcPr>
            <w:tcW w:w="1275" w:type="dxa"/>
            <w:tcBorders>
              <w:left w:val="nil"/>
              <w:right w:val="nil"/>
            </w:tcBorders>
          </w:tcPr>
          <w:p w14:paraId="1857A9D6" w14:textId="77777777" w:rsidR="00EB08A6" w:rsidRPr="00EB08A6" w:rsidRDefault="00EB08A6" w:rsidP="006643DE">
            <w:pPr>
              <w:keepNext/>
              <w:keepLines/>
              <w:rPr>
                <w:szCs w:val="22"/>
                <w:lang w:val="lt-LT"/>
              </w:rPr>
            </w:pPr>
          </w:p>
        </w:tc>
        <w:tc>
          <w:tcPr>
            <w:tcW w:w="1276" w:type="dxa"/>
            <w:tcBorders>
              <w:left w:val="nil"/>
              <w:right w:val="nil"/>
            </w:tcBorders>
          </w:tcPr>
          <w:p w14:paraId="761B469D" w14:textId="77777777" w:rsidR="00EB08A6" w:rsidRPr="00EB08A6" w:rsidRDefault="00EB08A6" w:rsidP="006643DE">
            <w:pPr>
              <w:keepNext/>
              <w:keepLines/>
              <w:rPr>
                <w:szCs w:val="22"/>
                <w:lang w:val="lt-LT"/>
              </w:rPr>
            </w:pPr>
          </w:p>
        </w:tc>
        <w:tc>
          <w:tcPr>
            <w:tcW w:w="1419" w:type="dxa"/>
            <w:tcBorders>
              <w:left w:val="nil"/>
            </w:tcBorders>
          </w:tcPr>
          <w:p w14:paraId="0F70E701" w14:textId="77777777" w:rsidR="00EB08A6" w:rsidRPr="00EB08A6" w:rsidRDefault="00EB08A6" w:rsidP="006643DE">
            <w:pPr>
              <w:keepNext/>
              <w:keepLines/>
              <w:rPr>
                <w:szCs w:val="22"/>
                <w:lang w:val="lt-LT"/>
              </w:rPr>
            </w:pPr>
          </w:p>
        </w:tc>
      </w:tr>
      <w:tr w:rsidR="00EB08A6" w:rsidRPr="00EB08A6" w14:paraId="795D9534" w14:textId="77777777" w:rsidTr="006643DE">
        <w:tc>
          <w:tcPr>
            <w:tcW w:w="4111" w:type="dxa"/>
          </w:tcPr>
          <w:p w14:paraId="2BD66B6A" w14:textId="77777777" w:rsidR="00EB08A6" w:rsidRPr="00EB08A6" w:rsidRDefault="00EB08A6" w:rsidP="006643DE">
            <w:pPr>
              <w:keepNext/>
              <w:autoSpaceDE w:val="0"/>
              <w:autoSpaceDN w:val="0"/>
              <w:adjustRightInd w:val="0"/>
              <w:rPr>
                <w:color w:val="000000"/>
                <w:szCs w:val="22"/>
                <w:lang w:val="lt-LT"/>
              </w:rPr>
            </w:pPr>
            <w:r w:rsidRPr="00EB08A6">
              <w:rPr>
                <w:color w:val="000000"/>
                <w:szCs w:val="22"/>
                <w:lang w:val="lt-LT"/>
              </w:rPr>
              <w:t>Pradinio įverčio vidurkis</w:t>
            </w:r>
            <w:r w:rsidRPr="00EB08A6">
              <w:rPr>
                <w:color w:val="000000"/>
                <w:szCs w:val="22"/>
                <w:lang w:val="lt-LT"/>
              </w:rPr>
              <w:tab/>
            </w:r>
          </w:p>
          <w:p w14:paraId="5BE39128"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Sumažėjimo vidurkis palyginti su pradiniu </w:t>
            </w:r>
          </w:p>
          <w:p w14:paraId="44448898" w14:textId="77777777" w:rsidR="00EB08A6" w:rsidRPr="00EB08A6" w:rsidRDefault="00EB08A6" w:rsidP="006643DE">
            <w:pPr>
              <w:keepNext/>
              <w:tabs>
                <w:tab w:val="left" w:pos="900"/>
                <w:tab w:val="left" w:pos="1305"/>
              </w:tabs>
              <w:autoSpaceDE w:val="0"/>
              <w:autoSpaceDN w:val="0"/>
              <w:adjustRightInd w:val="0"/>
              <w:rPr>
                <w:color w:val="000000"/>
                <w:szCs w:val="22"/>
                <w:lang w:val="lt-LT"/>
              </w:rPr>
            </w:pPr>
            <w:r w:rsidRPr="00EB08A6">
              <w:rPr>
                <w:color w:val="000000"/>
                <w:szCs w:val="22"/>
                <w:lang w:val="lt-LT"/>
              </w:rPr>
              <w:t xml:space="preserve">% pokytis palyginti su pradiniu </w:t>
            </w:r>
          </w:p>
          <w:p w14:paraId="1438F9A0" w14:textId="77777777" w:rsidR="00EB08A6" w:rsidRPr="00EB08A6" w:rsidRDefault="00EB08A6" w:rsidP="006643DE">
            <w:pPr>
              <w:keepNext/>
              <w:keepLines/>
              <w:rPr>
                <w:color w:val="000000"/>
                <w:szCs w:val="22"/>
                <w:lang w:val="lt-LT"/>
              </w:rPr>
            </w:pPr>
            <w:r w:rsidRPr="00EB08A6">
              <w:rPr>
                <w:color w:val="000000"/>
                <w:szCs w:val="22"/>
                <w:lang w:val="lt-LT"/>
              </w:rPr>
              <w:t>n</w:t>
            </w:r>
          </w:p>
          <w:p w14:paraId="68CD30C3" w14:textId="77777777" w:rsidR="00EB08A6" w:rsidRPr="00EB08A6" w:rsidRDefault="00EB08A6" w:rsidP="006643DE">
            <w:pPr>
              <w:keepNext/>
              <w:keepLines/>
              <w:rPr>
                <w:szCs w:val="22"/>
                <w:lang w:val="lt-LT"/>
              </w:rPr>
            </w:pPr>
            <w:r w:rsidRPr="00EB08A6">
              <w:rPr>
                <w:color w:val="000000"/>
                <w:szCs w:val="22"/>
                <w:lang w:val="lt-LT"/>
              </w:rPr>
              <w:t>p vertė*</w:t>
            </w:r>
          </w:p>
        </w:tc>
        <w:tc>
          <w:tcPr>
            <w:tcW w:w="1275" w:type="dxa"/>
          </w:tcPr>
          <w:p w14:paraId="22D4872D" w14:textId="77777777" w:rsidR="00EB08A6" w:rsidRPr="00EB08A6" w:rsidRDefault="00EB08A6" w:rsidP="006643DE">
            <w:pPr>
              <w:keepNext/>
              <w:keepLines/>
              <w:rPr>
                <w:szCs w:val="22"/>
                <w:lang w:val="lt-LT"/>
              </w:rPr>
            </w:pPr>
            <w:r w:rsidRPr="00EB08A6">
              <w:rPr>
                <w:szCs w:val="22"/>
                <w:lang w:val="lt-LT"/>
              </w:rPr>
              <w:t>3,0</w:t>
            </w:r>
          </w:p>
          <w:p w14:paraId="4E52971F" w14:textId="77777777" w:rsidR="00EB08A6" w:rsidRPr="00EB08A6" w:rsidRDefault="00EB08A6" w:rsidP="006643DE">
            <w:pPr>
              <w:keepNext/>
              <w:keepLines/>
              <w:rPr>
                <w:szCs w:val="22"/>
                <w:lang w:val="lt-LT"/>
              </w:rPr>
            </w:pPr>
            <w:r w:rsidRPr="00EB08A6">
              <w:rPr>
                <w:szCs w:val="22"/>
                <w:lang w:val="lt-LT"/>
              </w:rPr>
              <w:t xml:space="preserve">0,8 </w:t>
            </w:r>
          </w:p>
          <w:p w14:paraId="517C6EEE" w14:textId="77777777" w:rsidR="00EB08A6" w:rsidRPr="00EB08A6" w:rsidRDefault="00EB08A6" w:rsidP="006643DE">
            <w:pPr>
              <w:keepNext/>
              <w:keepLines/>
              <w:rPr>
                <w:szCs w:val="22"/>
                <w:lang w:val="lt-LT"/>
              </w:rPr>
            </w:pPr>
            <w:r w:rsidRPr="00EB08A6">
              <w:rPr>
                <w:szCs w:val="22"/>
                <w:lang w:val="lt-LT"/>
              </w:rPr>
              <w:t>(27 %)</w:t>
            </w:r>
            <w:r w:rsidRPr="00EB08A6">
              <w:rPr>
                <w:szCs w:val="22"/>
                <w:lang w:val="lt-LT"/>
              </w:rPr>
              <w:br/>
              <w:t>238</w:t>
            </w:r>
          </w:p>
        </w:tc>
        <w:tc>
          <w:tcPr>
            <w:tcW w:w="1275" w:type="dxa"/>
          </w:tcPr>
          <w:p w14:paraId="2DB8852A" w14:textId="77777777" w:rsidR="00EB08A6" w:rsidRPr="00EB08A6" w:rsidRDefault="00EB08A6" w:rsidP="006643DE">
            <w:pPr>
              <w:keepNext/>
              <w:keepLines/>
              <w:rPr>
                <w:szCs w:val="22"/>
                <w:lang w:val="lt-LT"/>
              </w:rPr>
            </w:pPr>
            <w:r w:rsidRPr="00EB08A6">
              <w:rPr>
                <w:szCs w:val="22"/>
                <w:lang w:val="lt-LT"/>
              </w:rPr>
              <w:t>2,8</w:t>
            </w:r>
          </w:p>
          <w:p w14:paraId="1AD97AE5" w14:textId="77777777" w:rsidR="00EB08A6" w:rsidRPr="00EB08A6" w:rsidRDefault="00EB08A6" w:rsidP="006643DE">
            <w:pPr>
              <w:keepNext/>
              <w:keepLines/>
              <w:rPr>
                <w:szCs w:val="22"/>
                <w:lang w:val="lt-LT"/>
              </w:rPr>
            </w:pPr>
            <w:r w:rsidRPr="00EB08A6">
              <w:rPr>
                <w:szCs w:val="22"/>
                <w:lang w:val="lt-LT"/>
              </w:rPr>
              <w:t>1,3</w:t>
            </w:r>
          </w:p>
          <w:p w14:paraId="244C667B" w14:textId="77777777" w:rsidR="00EB08A6" w:rsidRPr="00EB08A6" w:rsidRDefault="00EB08A6" w:rsidP="006643DE">
            <w:pPr>
              <w:keepNext/>
              <w:keepLines/>
              <w:rPr>
                <w:szCs w:val="22"/>
                <w:lang w:val="lt-LT"/>
              </w:rPr>
            </w:pPr>
            <w:r w:rsidRPr="00EB08A6">
              <w:rPr>
                <w:szCs w:val="22"/>
                <w:lang w:val="lt-LT"/>
              </w:rPr>
              <w:t>(46 %)</w:t>
            </w:r>
            <w:r w:rsidRPr="00EB08A6">
              <w:rPr>
                <w:szCs w:val="22"/>
                <w:lang w:val="lt-LT"/>
              </w:rPr>
              <w:br/>
              <w:t>236</w:t>
            </w:r>
            <w:r w:rsidRPr="00EB08A6">
              <w:rPr>
                <w:szCs w:val="22"/>
                <w:lang w:val="lt-LT"/>
              </w:rPr>
              <w:br/>
              <w:t>&lt; 0,001</w:t>
            </w:r>
          </w:p>
        </w:tc>
        <w:tc>
          <w:tcPr>
            <w:tcW w:w="1276" w:type="dxa"/>
          </w:tcPr>
          <w:p w14:paraId="22043482" w14:textId="77777777" w:rsidR="00EB08A6" w:rsidRPr="00EB08A6" w:rsidRDefault="00EB08A6" w:rsidP="006643DE">
            <w:pPr>
              <w:keepNext/>
              <w:keepLines/>
              <w:rPr>
                <w:szCs w:val="22"/>
                <w:lang w:val="lt-LT"/>
              </w:rPr>
            </w:pPr>
            <w:r w:rsidRPr="00EB08A6">
              <w:rPr>
                <w:szCs w:val="22"/>
                <w:lang w:val="lt-LT"/>
              </w:rPr>
              <w:t>2,7</w:t>
            </w:r>
          </w:p>
          <w:p w14:paraId="165F1F11" w14:textId="77777777" w:rsidR="00EB08A6" w:rsidRPr="00EB08A6" w:rsidRDefault="00EB08A6" w:rsidP="006643DE">
            <w:pPr>
              <w:keepNext/>
              <w:keepLines/>
              <w:rPr>
                <w:szCs w:val="22"/>
                <w:lang w:val="lt-LT"/>
              </w:rPr>
            </w:pPr>
            <w:r w:rsidRPr="00EB08A6">
              <w:rPr>
                <w:szCs w:val="22"/>
                <w:lang w:val="lt-LT"/>
              </w:rPr>
              <w:t xml:space="preserve">1,3 </w:t>
            </w:r>
          </w:p>
          <w:p w14:paraId="5A379FB9" w14:textId="77777777" w:rsidR="00EB08A6" w:rsidRPr="00EB08A6" w:rsidRDefault="00EB08A6" w:rsidP="006643DE">
            <w:pPr>
              <w:keepNext/>
              <w:keepLines/>
              <w:rPr>
                <w:szCs w:val="22"/>
                <w:lang w:val="lt-LT"/>
              </w:rPr>
            </w:pPr>
            <w:r w:rsidRPr="00EB08A6">
              <w:rPr>
                <w:szCs w:val="22"/>
                <w:lang w:val="lt-LT"/>
              </w:rPr>
              <w:t>(48 %)</w:t>
            </w:r>
            <w:r w:rsidRPr="00EB08A6">
              <w:rPr>
                <w:szCs w:val="22"/>
                <w:lang w:val="lt-LT"/>
              </w:rPr>
              <w:br/>
              <w:t>242</w:t>
            </w:r>
            <w:r w:rsidRPr="00EB08A6">
              <w:rPr>
                <w:szCs w:val="22"/>
                <w:lang w:val="lt-LT"/>
              </w:rPr>
              <w:br/>
              <w:t>&lt; 0,001</w:t>
            </w:r>
          </w:p>
        </w:tc>
        <w:tc>
          <w:tcPr>
            <w:tcW w:w="1419" w:type="dxa"/>
          </w:tcPr>
          <w:p w14:paraId="22F7602A" w14:textId="77777777" w:rsidR="00EB08A6" w:rsidRPr="00EB08A6" w:rsidRDefault="00EB08A6" w:rsidP="006643DE">
            <w:pPr>
              <w:keepNext/>
              <w:keepLines/>
              <w:rPr>
                <w:szCs w:val="22"/>
                <w:lang w:val="lt-LT"/>
              </w:rPr>
            </w:pPr>
            <w:r w:rsidRPr="00EB08A6">
              <w:rPr>
                <w:szCs w:val="22"/>
                <w:lang w:val="lt-LT"/>
              </w:rPr>
              <w:t>2,7</w:t>
            </w:r>
          </w:p>
          <w:p w14:paraId="0730EA93" w14:textId="77777777" w:rsidR="00EB08A6" w:rsidRPr="00EB08A6" w:rsidRDefault="00EB08A6" w:rsidP="006643DE">
            <w:pPr>
              <w:keepNext/>
              <w:keepLines/>
              <w:rPr>
                <w:szCs w:val="22"/>
                <w:lang w:val="lt-LT"/>
              </w:rPr>
            </w:pPr>
            <w:r w:rsidRPr="00EB08A6">
              <w:rPr>
                <w:szCs w:val="22"/>
                <w:lang w:val="lt-LT"/>
              </w:rPr>
              <w:t xml:space="preserve">1,0 </w:t>
            </w:r>
          </w:p>
          <w:p w14:paraId="7AA3CF88" w14:textId="77777777" w:rsidR="00EB08A6" w:rsidRPr="00EB08A6" w:rsidRDefault="00EB08A6" w:rsidP="006643DE">
            <w:pPr>
              <w:keepNext/>
              <w:keepLines/>
              <w:rPr>
                <w:szCs w:val="22"/>
                <w:lang w:val="lt-LT"/>
              </w:rPr>
            </w:pPr>
            <w:r w:rsidRPr="00EB08A6">
              <w:rPr>
                <w:szCs w:val="22"/>
                <w:lang w:val="lt-LT"/>
              </w:rPr>
              <w:t>(37 %)</w:t>
            </w:r>
            <w:r w:rsidRPr="00EB08A6">
              <w:rPr>
                <w:szCs w:val="22"/>
                <w:lang w:val="lt-LT"/>
              </w:rPr>
              <w:br/>
              <w:t>250</w:t>
            </w:r>
            <w:r w:rsidRPr="00EB08A6">
              <w:rPr>
                <w:szCs w:val="22"/>
                <w:lang w:val="lt-LT"/>
              </w:rPr>
              <w:br/>
              <w:t>0,010</w:t>
            </w:r>
          </w:p>
        </w:tc>
      </w:tr>
    </w:tbl>
    <w:p w14:paraId="1631F563" w14:textId="77777777" w:rsidR="00EB08A6" w:rsidRPr="00EB08A6" w:rsidRDefault="00EB08A6" w:rsidP="00EB08A6">
      <w:pPr>
        <w:autoSpaceDE w:val="0"/>
        <w:autoSpaceDN w:val="0"/>
        <w:adjustRightInd w:val="0"/>
        <w:ind w:left="900" w:hanging="900"/>
        <w:rPr>
          <w:color w:val="000000"/>
          <w:szCs w:val="22"/>
          <w:lang w:val="lt-LT"/>
        </w:rPr>
      </w:pPr>
      <w:r w:rsidRPr="00EB08A6">
        <w:rPr>
          <w:color w:val="000000"/>
          <w:szCs w:val="22"/>
          <w:u w:val="single"/>
          <w:lang w:val="lt-LT"/>
        </w:rPr>
        <w:t>Pastaba:</w:t>
      </w:r>
      <w:r w:rsidRPr="00EB08A6">
        <w:rPr>
          <w:color w:val="000000"/>
          <w:szCs w:val="22"/>
          <w:lang w:val="lt-LT"/>
        </w:rPr>
        <w:t xml:space="preserve"> </w:t>
      </w:r>
      <w:r w:rsidRPr="00EB08A6">
        <w:rPr>
          <w:color w:val="000000"/>
          <w:szCs w:val="22"/>
          <w:lang w:val="lt-LT"/>
        </w:rPr>
        <w:tab/>
        <w:t xml:space="preserve">4 pagrindinių tyrimų metu vartota </w:t>
      </w:r>
      <w:proofErr w:type="spellStart"/>
      <w:r w:rsidRPr="00EB08A6">
        <w:rPr>
          <w:color w:val="000000"/>
          <w:szCs w:val="22"/>
          <w:lang w:val="lt-LT"/>
        </w:rPr>
        <w:t>Vesicare</w:t>
      </w:r>
      <w:proofErr w:type="spellEnd"/>
      <w:r w:rsidRPr="00EB08A6">
        <w:rPr>
          <w:color w:val="000000"/>
          <w:szCs w:val="22"/>
          <w:lang w:val="lt-LT"/>
        </w:rPr>
        <w:t xml:space="preserve"> 10 mg ir </w:t>
      </w:r>
      <w:proofErr w:type="spellStart"/>
      <w:r w:rsidRPr="00EB08A6">
        <w:rPr>
          <w:color w:val="000000"/>
          <w:szCs w:val="22"/>
          <w:lang w:val="lt-LT"/>
        </w:rPr>
        <w:t>placebo</w:t>
      </w:r>
      <w:proofErr w:type="spellEnd"/>
      <w:r w:rsidRPr="00EB08A6">
        <w:rPr>
          <w:color w:val="000000"/>
          <w:szCs w:val="22"/>
          <w:lang w:val="lt-LT"/>
        </w:rPr>
        <w:t xml:space="preserve">. Dviejų iš 4 tyrimų metu vartota ir </w:t>
      </w:r>
      <w:proofErr w:type="spellStart"/>
      <w:r w:rsidRPr="00EB08A6">
        <w:rPr>
          <w:color w:val="000000"/>
          <w:szCs w:val="22"/>
          <w:lang w:val="lt-LT"/>
        </w:rPr>
        <w:t>Vesicare</w:t>
      </w:r>
      <w:proofErr w:type="spellEnd"/>
      <w:r w:rsidRPr="00EB08A6">
        <w:rPr>
          <w:color w:val="000000"/>
          <w:szCs w:val="22"/>
          <w:lang w:val="lt-LT"/>
        </w:rPr>
        <w:t xml:space="preserve"> 5 mg, o vieno tyrimo metu ir 2 mg </w:t>
      </w:r>
      <w:proofErr w:type="spellStart"/>
      <w:r w:rsidRPr="00EB08A6">
        <w:rPr>
          <w:color w:val="000000"/>
          <w:szCs w:val="22"/>
          <w:lang w:val="lt-LT"/>
        </w:rPr>
        <w:t>tolterodino</w:t>
      </w:r>
      <w:proofErr w:type="spellEnd"/>
      <w:r w:rsidRPr="00EB08A6">
        <w:rPr>
          <w:color w:val="000000"/>
          <w:szCs w:val="22"/>
          <w:lang w:val="lt-LT"/>
        </w:rPr>
        <w:t xml:space="preserve"> 2 kartus per parą. </w:t>
      </w:r>
    </w:p>
    <w:p w14:paraId="159F966F" w14:textId="77777777" w:rsidR="00EB08A6" w:rsidRPr="00EB08A6" w:rsidRDefault="00EB08A6" w:rsidP="00EB08A6">
      <w:pPr>
        <w:autoSpaceDE w:val="0"/>
        <w:autoSpaceDN w:val="0"/>
        <w:adjustRightInd w:val="0"/>
        <w:ind w:left="900"/>
        <w:rPr>
          <w:color w:val="000000"/>
          <w:szCs w:val="22"/>
          <w:lang w:val="lt-LT"/>
        </w:rPr>
      </w:pPr>
      <w:r w:rsidRPr="00EB08A6">
        <w:rPr>
          <w:color w:val="000000"/>
          <w:szCs w:val="22"/>
          <w:lang w:val="lt-LT"/>
        </w:rPr>
        <w:t xml:space="preserve">Kiekviename atskirame tyrime dalyvavo ne visos ligonių grupės ir vertinti ne visi parametrai, todėl skirtingų parametrų ir gydytų pacientų skaičius gali būti skirtingas. </w:t>
      </w:r>
    </w:p>
    <w:p w14:paraId="265ACE08" w14:textId="77777777" w:rsidR="00EB08A6" w:rsidRPr="00EB08A6" w:rsidRDefault="00EB08A6" w:rsidP="00EB08A6">
      <w:pPr>
        <w:ind w:left="900" w:hanging="900"/>
        <w:rPr>
          <w:color w:val="000000"/>
          <w:szCs w:val="22"/>
          <w:lang w:val="lt-LT"/>
        </w:rPr>
      </w:pPr>
      <w:r w:rsidRPr="00EB08A6">
        <w:rPr>
          <w:color w:val="000000"/>
          <w:szCs w:val="22"/>
          <w:lang w:val="lt-LT"/>
        </w:rPr>
        <w:t>*</w:t>
      </w:r>
      <w:r w:rsidRPr="00EB08A6">
        <w:rPr>
          <w:color w:val="000000"/>
          <w:szCs w:val="22"/>
          <w:lang w:val="lt-LT"/>
        </w:rPr>
        <w:tab/>
        <w:t xml:space="preserve">p vertė porinei imčiai vaistinio preparato ir </w:t>
      </w:r>
      <w:proofErr w:type="spellStart"/>
      <w:r w:rsidRPr="00EB08A6">
        <w:rPr>
          <w:color w:val="000000"/>
          <w:szCs w:val="22"/>
          <w:lang w:val="lt-LT"/>
        </w:rPr>
        <w:t>placebo</w:t>
      </w:r>
      <w:proofErr w:type="spellEnd"/>
      <w:r w:rsidRPr="00EB08A6">
        <w:rPr>
          <w:color w:val="000000"/>
          <w:szCs w:val="22"/>
          <w:lang w:val="lt-LT"/>
        </w:rPr>
        <w:t xml:space="preserve"> poveikiui palyginti.</w:t>
      </w:r>
    </w:p>
    <w:p w14:paraId="049EDB1B" w14:textId="77777777" w:rsidR="00EB08A6" w:rsidRPr="00EB08A6" w:rsidRDefault="00EB08A6" w:rsidP="00EB08A6">
      <w:pPr>
        <w:rPr>
          <w:color w:val="000000"/>
          <w:szCs w:val="22"/>
          <w:lang w:val="lt-LT"/>
        </w:rPr>
      </w:pPr>
    </w:p>
    <w:p w14:paraId="5D485840" w14:textId="77777777" w:rsidR="00EB08A6" w:rsidRPr="00EB08A6" w:rsidRDefault="00EB08A6" w:rsidP="00EB08A6">
      <w:pPr>
        <w:rPr>
          <w:i/>
          <w:color w:val="000000"/>
          <w:szCs w:val="22"/>
          <w:u w:val="single"/>
          <w:lang w:val="lt-LT"/>
        </w:rPr>
      </w:pPr>
      <w:r w:rsidRPr="00EB08A6">
        <w:rPr>
          <w:i/>
          <w:color w:val="000000"/>
          <w:szCs w:val="22"/>
          <w:u w:val="single"/>
          <w:lang w:val="lt-LT"/>
        </w:rPr>
        <w:t>Vaikų populiacija</w:t>
      </w:r>
    </w:p>
    <w:p w14:paraId="3B6E66FE" w14:textId="77777777" w:rsidR="00EB08A6" w:rsidRPr="00EB08A6" w:rsidRDefault="00EB08A6" w:rsidP="00EB08A6">
      <w:pPr>
        <w:rPr>
          <w:color w:val="000000"/>
          <w:szCs w:val="22"/>
          <w:lang w:val="lt-LT"/>
        </w:rPr>
      </w:pPr>
    </w:p>
    <w:p w14:paraId="1571ECA7" w14:textId="77777777" w:rsidR="00EB08A6" w:rsidRPr="00EB08A6" w:rsidRDefault="00EB08A6" w:rsidP="00EB08A6">
      <w:pPr>
        <w:rPr>
          <w:color w:val="000000"/>
          <w:szCs w:val="22"/>
          <w:u w:val="single"/>
          <w:lang w:val="lt-LT"/>
        </w:rPr>
      </w:pPr>
      <w:r w:rsidRPr="00EB08A6">
        <w:rPr>
          <w:color w:val="000000"/>
          <w:szCs w:val="22"/>
          <w:u w:val="single"/>
          <w:lang w:val="lt-LT"/>
        </w:rPr>
        <w:t>Padidėjęs šlapimo pūslės aktyvumas</w:t>
      </w:r>
    </w:p>
    <w:p w14:paraId="4E9075FE" w14:textId="77777777" w:rsidR="00EB08A6" w:rsidRPr="00EB08A6" w:rsidRDefault="00EB08A6" w:rsidP="00EB08A6">
      <w:pPr>
        <w:rPr>
          <w:color w:val="000000"/>
          <w:szCs w:val="22"/>
          <w:lang w:val="lt-LT"/>
        </w:rPr>
      </w:pPr>
    </w:p>
    <w:p w14:paraId="170B7B60" w14:textId="77777777" w:rsidR="00EB08A6" w:rsidRPr="00EB08A6" w:rsidRDefault="00EB08A6" w:rsidP="00EB08A6">
      <w:pPr>
        <w:rPr>
          <w:i/>
          <w:color w:val="000000"/>
          <w:szCs w:val="22"/>
          <w:lang w:val="lt-LT"/>
        </w:rPr>
      </w:pPr>
      <w:r w:rsidRPr="00EB08A6">
        <w:rPr>
          <w:i/>
          <w:color w:val="000000"/>
          <w:szCs w:val="22"/>
          <w:lang w:val="lt-LT"/>
        </w:rPr>
        <w:t>Vaikai ir paaugliai (5 metų ir vyresni):</w:t>
      </w:r>
    </w:p>
    <w:p w14:paraId="2E88CD25" w14:textId="77777777" w:rsidR="00EB08A6" w:rsidRPr="00EB08A6" w:rsidRDefault="00EB08A6" w:rsidP="00EB08A6">
      <w:pPr>
        <w:rPr>
          <w:color w:val="000000"/>
          <w:szCs w:val="22"/>
          <w:lang w:val="lt-LT"/>
        </w:rPr>
      </w:pPr>
      <w:r w:rsidRPr="00EB08A6">
        <w:rPr>
          <w:color w:val="000000"/>
          <w:szCs w:val="22"/>
          <w:lang w:val="lt-LT"/>
        </w:rPr>
        <w:lastRenderedPageBreak/>
        <w:t xml:space="preserve">Gydymas </w:t>
      </w:r>
      <w:proofErr w:type="spellStart"/>
      <w:r w:rsidRPr="00EB08A6">
        <w:rPr>
          <w:color w:val="000000"/>
          <w:szCs w:val="22"/>
          <w:lang w:val="lt-LT"/>
        </w:rPr>
        <w:t>Vesicare</w:t>
      </w:r>
      <w:proofErr w:type="spellEnd"/>
      <w:r w:rsidRPr="00EB08A6">
        <w:rPr>
          <w:color w:val="000000"/>
          <w:szCs w:val="22"/>
          <w:lang w:val="lt-LT"/>
        </w:rPr>
        <w:t xml:space="preserve"> geriamąja suspensija buvo tiriamas dviejuose klinikiniuose tyrimuose. Buvo atliktas 12 savaičių trukmės dvigubai aklas, atsitiktinių imčių, </w:t>
      </w:r>
      <w:proofErr w:type="spellStart"/>
      <w:r w:rsidRPr="00EB08A6">
        <w:rPr>
          <w:color w:val="000000"/>
          <w:szCs w:val="22"/>
          <w:lang w:val="lt-LT"/>
        </w:rPr>
        <w:t>placebu</w:t>
      </w:r>
      <w:proofErr w:type="spellEnd"/>
      <w:r w:rsidRPr="00EB08A6">
        <w:rPr>
          <w:color w:val="000000"/>
          <w:szCs w:val="22"/>
          <w:lang w:val="lt-LT"/>
        </w:rPr>
        <w:t xml:space="preserve"> kontroliuojamas klinikinis tyrimas (905-CL-076), kuriame dalyvavo 189 pediatriniai pacientai, kuriems nustatyta </w:t>
      </w:r>
      <w:proofErr w:type="spellStart"/>
      <w:r w:rsidRPr="00EB08A6">
        <w:rPr>
          <w:color w:val="000000"/>
          <w:szCs w:val="22"/>
          <w:lang w:val="lt-LT"/>
        </w:rPr>
        <w:t>hiperaktyvi</w:t>
      </w:r>
      <w:proofErr w:type="spellEnd"/>
      <w:r w:rsidRPr="00EB08A6">
        <w:rPr>
          <w:color w:val="000000"/>
          <w:szCs w:val="22"/>
          <w:lang w:val="lt-LT"/>
        </w:rPr>
        <w:t xml:space="preserve"> šlapimo pūslė (73 vaikai nuo 5 iki 11 metų amžiaus ir 22 paaugliai nuo 12 iki 17 metų amžiaus buvo gydomi </w:t>
      </w:r>
      <w:proofErr w:type="spellStart"/>
      <w:r w:rsidRPr="00EB08A6">
        <w:rPr>
          <w:color w:val="000000"/>
          <w:szCs w:val="22"/>
          <w:lang w:val="lt-LT"/>
        </w:rPr>
        <w:t>solifenacinu</w:t>
      </w:r>
      <w:proofErr w:type="spellEnd"/>
      <w:r w:rsidRPr="00EB08A6">
        <w:rPr>
          <w:color w:val="000000"/>
          <w:szCs w:val="22"/>
          <w:lang w:val="lt-LT"/>
        </w:rPr>
        <w:t>). Po to buvo atliktas 40 savaičių ilgalaikis atviras tęstinis tyrimas (905-CL-077), kuriame dalyvavo 148</w:t>
      </w:r>
      <w:r w:rsidRPr="00EB08A6">
        <w:rPr>
          <w:szCs w:val="22"/>
          <w:lang w:val="lt-LT"/>
        </w:rPr>
        <w:t> </w:t>
      </w:r>
      <w:r w:rsidRPr="00EB08A6">
        <w:rPr>
          <w:color w:val="000000"/>
          <w:szCs w:val="22"/>
          <w:lang w:val="lt-LT"/>
        </w:rPr>
        <w:t xml:space="preserve">pediatriniai pacientai (119 vaikų ir 29 paaugliai buvo gydomi </w:t>
      </w:r>
      <w:proofErr w:type="spellStart"/>
      <w:r w:rsidRPr="00EB08A6">
        <w:rPr>
          <w:color w:val="000000"/>
          <w:szCs w:val="22"/>
          <w:lang w:val="lt-LT"/>
        </w:rPr>
        <w:t>solifenacinu</w:t>
      </w:r>
      <w:proofErr w:type="spellEnd"/>
      <w:r w:rsidRPr="00EB08A6">
        <w:rPr>
          <w:color w:val="000000"/>
          <w:szCs w:val="22"/>
          <w:lang w:val="lt-LT"/>
        </w:rPr>
        <w:t>). Abiejuose tyrimuose daugumai pacientų dozė, ekvivalentiška 10 mg suaugusiojo, buvo titruojama pagal svorį.</w:t>
      </w:r>
    </w:p>
    <w:p w14:paraId="5132D1EB" w14:textId="77777777" w:rsidR="00EB08A6" w:rsidRPr="00EB08A6" w:rsidRDefault="00EB08A6" w:rsidP="00EB08A6">
      <w:pPr>
        <w:rPr>
          <w:color w:val="000000"/>
          <w:szCs w:val="22"/>
          <w:lang w:val="lt-LT"/>
        </w:rPr>
      </w:pPr>
    </w:p>
    <w:p w14:paraId="25ABF72B" w14:textId="77777777" w:rsidR="00EB08A6" w:rsidRPr="00EB08A6" w:rsidRDefault="00EB08A6" w:rsidP="00EB08A6">
      <w:pPr>
        <w:rPr>
          <w:color w:val="000000"/>
          <w:szCs w:val="22"/>
          <w:lang w:val="lt-LT"/>
        </w:rPr>
      </w:pPr>
      <w:r w:rsidRPr="00EB08A6">
        <w:rPr>
          <w:color w:val="000000"/>
          <w:szCs w:val="22"/>
          <w:lang w:val="lt-LT"/>
        </w:rPr>
        <w:t xml:space="preserve">905-CL-076 tyrime </w:t>
      </w:r>
      <w:proofErr w:type="spellStart"/>
      <w:r w:rsidRPr="00EB08A6">
        <w:rPr>
          <w:color w:val="000000"/>
          <w:szCs w:val="22"/>
          <w:lang w:val="lt-LT"/>
        </w:rPr>
        <w:t>Vesicare</w:t>
      </w:r>
      <w:proofErr w:type="spellEnd"/>
      <w:r w:rsidRPr="00EB08A6">
        <w:rPr>
          <w:color w:val="000000"/>
          <w:szCs w:val="22"/>
          <w:lang w:val="lt-LT"/>
        </w:rPr>
        <w:t xml:space="preserve"> geriamoji suspensija neparodė statistiškai reikšmingo pagerėjimo vertinant pagrindinę vertinamąją baigtį – vidutinį šlapimo tūrį vieno </w:t>
      </w:r>
      <w:proofErr w:type="spellStart"/>
      <w:r w:rsidRPr="00EB08A6">
        <w:rPr>
          <w:color w:val="000000"/>
          <w:szCs w:val="22"/>
          <w:lang w:val="lt-LT"/>
        </w:rPr>
        <w:t>šlapinimosi</w:t>
      </w:r>
      <w:proofErr w:type="spellEnd"/>
      <w:r w:rsidRPr="00EB08A6">
        <w:rPr>
          <w:color w:val="000000"/>
          <w:szCs w:val="22"/>
          <w:lang w:val="lt-LT"/>
        </w:rPr>
        <w:t xml:space="preserve"> metu, lyginant su </w:t>
      </w:r>
      <w:proofErr w:type="spellStart"/>
      <w:r w:rsidRPr="00EB08A6">
        <w:rPr>
          <w:color w:val="000000"/>
          <w:szCs w:val="22"/>
          <w:lang w:val="lt-LT"/>
        </w:rPr>
        <w:t>placebu</w:t>
      </w:r>
      <w:proofErr w:type="spellEnd"/>
      <w:r w:rsidRPr="00EB08A6">
        <w:rPr>
          <w:color w:val="000000"/>
          <w:szCs w:val="22"/>
          <w:lang w:val="lt-LT"/>
        </w:rPr>
        <w:t xml:space="preserve"> bendrojoje populiacijoje. </w:t>
      </w:r>
    </w:p>
    <w:p w14:paraId="5135FB72" w14:textId="77777777" w:rsidR="00EB08A6" w:rsidRPr="00EB08A6" w:rsidRDefault="00EB08A6" w:rsidP="00EB08A6">
      <w:pPr>
        <w:rPr>
          <w:color w:val="000000"/>
          <w:szCs w:val="22"/>
          <w:lang w:val="lt-LT"/>
        </w:rPr>
      </w:pPr>
    </w:p>
    <w:p w14:paraId="1EFC218D" w14:textId="77777777" w:rsidR="00EB08A6" w:rsidRPr="00EB08A6" w:rsidRDefault="00EB08A6" w:rsidP="00EB08A6">
      <w:pPr>
        <w:rPr>
          <w:color w:val="000000"/>
          <w:szCs w:val="22"/>
          <w:lang w:val="lt-LT"/>
        </w:rPr>
      </w:pPr>
      <w:r w:rsidRPr="00EB08A6">
        <w:rPr>
          <w:color w:val="000000"/>
          <w:szCs w:val="22"/>
          <w:lang w:val="lt-LT"/>
        </w:rPr>
        <w:t xml:space="preserve">Vaikams (5–11 metų amžiaus) buvo pastebėtas statistiškai reikšmingas skirtumas vertinant pagrindinę vertinamąją baigtį. Nebuvo pastebėta statistiškai reikšmingo pagerėjimo vertinant antrinę vertinamąją baigtį – </w:t>
      </w:r>
      <w:proofErr w:type="spellStart"/>
      <w:r w:rsidRPr="00EB08A6">
        <w:rPr>
          <w:color w:val="000000"/>
          <w:szCs w:val="22"/>
          <w:lang w:val="lt-LT"/>
        </w:rPr>
        <w:t>šlapinimosi</w:t>
      </w:r>
      <w:proofErr w:type="spellEnd"/>
      <w:r w:rsidRPr="00EB08A6">
        <w:rPr>
          <w:color w:val="000000"/>
          <w:szCs w:val="22"/>
          <w:lang w:val="lt-LT"/>
        </w:rPr>
        <w:t xml:space="preserve"> dažnį, šlapimo nelaikymo epizodų skaičių per dieną ir sausų dienų skaičių per savaitę. Nebuvo pranešta apie jokį netikėtą ar nenurodytą nepageidaujamą poveikį visų tyrime naudotų dozių.</w:t>
      </w:r>
    </w:p>
    <w:p w14:paraId="499FEF98" w14:textId="77777777" w:rsidR="00EB08A6" w:rsidRPr="00EB08A6" w:rsidRDefault="00EB08A6" w:rsidP="00EB08A6">
      <w:pPr>
        <w:rPr>
          <w:color w:val="000000"/>
          <w:szCs w:val="22"/>
          <w:lang w:val="lt-LT"/>
        </w:rPr>
      </w:pPr>
    </w:p>
    <w:p w14:paraId="17B77E1A" w14:textId="77777777" w:rsidR="00EB08A6" w:rsidRPr="00EB08A6" w:rsidRDefault="00EB08A6" w:rsidP="00EB08A6">
      <w:pPr>
        <w:rPr>
          <w:color w:val="000000"/>
          <w:szCs w:val="22"/>
          <w:lang w:val="lt-LT"/>
        </w:rPr>
      </w:pPr>
      <w:r w:rsidRPr="00EB08A6">
        <w:rPr>
          <w:color w:val="000000"/>
          <w:szCs w:val="22"/>
          <w:lang w:val="lt-LT"/>
        </w:rPr>
        <w:t xml:space="preserve">Nebuvo pranešta apie jokį netikėtą ar nenurodytą nepageidaujamą poveikį atvirame tęstiniame tyrime. </w:t>
      </w:r>
      <w:proofErr w:type="spellStart"/>
      <w:r w:rsidRPr="00EB08A6">
        <w:rPr>
          <w:color w:val="000000"/>
          <w:szCs w:val="22"/>
          <w:lang w:val="lt-LT"/>
        </w:rPr>
        <w:t>Solifenacino</w:t>
      </w:r>
      <w:proofErr w:type="spellEnd"/>
      <w:r w:rsidRPr="00EB08A6">
        <w:rPr>
          <w:color w:val="000000"/>
          <w:szCs w:val="22"/>
          <w:lang w:val="lt-LT"/>
        </w:rPr>
        <w:t xml:space="preserve"> saugumo duomenys pediatriniams pacientams ilgalaikio poveikio metu yra panašūs kaip ir suaugusiųjų.</w:t>
      </w:r>
    </w:p>
    <w:p w14:paraId="756D63CA" w14:textId="77777777" w:rsidR="00EB08A6" w:rsidRPr="00EB08A6" w:rsidRDefault="00EB08A6" w:rsidP="00EB08A6">
      <w:pPr>
        <w:rPr>
          <w:color w:val="000000"/>
          <w:szCs w:val="22"/>
          <w:u w:val="single"/>
          <w:lang w:val="lt-LT"/>
        </w:rPr>
      </w:pPr>
    </w:p>
    <w:p w14:paraId="009A2D01" w14:textId="77777777" w:rsidR="00EB08A6" w:rsidRPr="00EB08A6" w:rsidRDefault="00EB08A6" w:rsidP="00EB08A6">
      <w:pPr>
        <w:rPr>
          <w:color w:val="000000"/>
          <w:szCs w:val="22"/>
          <w:u w:val="single"/>
          <w:lang w:val="lt-LT"/>
        </w:rPr>
      </w:pPr>
      <w:proofErr w:type="spellStart"/>
      <w:r w:rsidRPr="00EB08A6">
        <w:rPr>
          <w:color w:val="000000"/>
          <w:szCs w:val="22"/>
          <w:u w:val="single"/>
          <w:lang w:val="lt-LT"/>
        </w:rPr>
        <w:t>Neurogeninis</w:t>
      </w:r>
      <w:proofErr w:type="spellEnd"/>
      <w:r w:rsidRPr="00EB08A6">
        <w:rPr>
          <w:color w:val="000000"/>
          <w:szCs w:val="22"/>
          <w:u w:val="single"/>
          <w:lang w:val="lt-LT"/>
        </w:rPr>
        <w:t xml:space="preserve"> padidėjęs </w:t>
      </w:r>
      <w:proofErr w:type="spellStart"/>
      <w:r w:rsidRPr="00EB08A6">
        <w:rPr>
          <w:color w:val="000000"/>
          <w:szCs w:val="22"/>
          <w:u w:val="single"/>
          <w:lang w:val="lt-LT"/>
        </w:rPr>
        <w:t>detruzoriaus</w:t>
      </w:r>
      <w:proofErr w:type="spellEnd"/>
      <w:r w:rsidRPr="00EB08A6">
        <w:rPr>
          <w:color w:val="000000"/>
          <w:szCs w:val="22"/>
          <w:u w:val="single"/>
          <w:lang w:val="lt-LT"/>
        </w:rPr>
        <w:t xml:space="preserve"> aktyvumas</w:t>
      </w:r>
    </w:p>
    <w:p w14:paraId="35BD3324" w14:textId="77777777" w:rsidR="00EB08A6" w:rsidRPr="00EB08A6" w:rsidRDefault="00EB08A6" w:rsidP="00EB08A6">
      <w:pPr>
        <w:rPr>
          <w:color w:val="000000"/>
          <w:szCs w:val="22"/>
          <w:lang w:val="lt-LT"/>
        </w:rPr>
      </w:pPr>
    </w:p>
    <w:p w14:paraId="365FB343" w14:textId="77777777" w:rsidR="00EB08A6" w:rsidRPr="00EB08A6" w:rsidRDefault="00EB08A6" w:rsidP="00EB08A6">
      <w:pPr>
        <w:rPr>
          <w:i/>
          <w:color w:val="000000"/>
          <w:szCs w:val="22"/>
          <w:lang w:val="lt-LT"/>
        </w:rPr>
      </w:pPr>
      <w:r w:rsidRPr="00EB08A6">
        <w:rPr>
          <w:i/>
          <w:color w:val="000000"/>
          <w:szCs w:val="22"/>
          <w:lang w:val="lt-LT"/>
        </w:rPr>
        <w:t>Vaikai ir paaugliai (nuo 6 mėnesių iki 18 metų):</w:t>
      </w:r>
    </w:p>
    <w:p w14:paraId="106CE5B6" w14:textId="77777777" w:rsidR="00EB08A6" w:rsidRPr="00EB08A6" w:rsidRDefault="00EB08A6" w:rsidP="00EB08A6">
      <w:pPr>
        <w:jc w:val="both"/>
        <w:rPr>
          <w:color w:val="000000"/>
          <w:szCs w:val="22"/>
          <w:lang w:val="lt-LT"/>
        </w:rPr>
      </w:pPr>
      <w:r w:rsidRPr="00EB08A6">
        <w:rPr>
          <w:color w:val="000000"/>
          <w:szCs w:val="22"/>
          <w:lang w:val="lt-LT"/>
        </w:rPr>
        <w:t xml:space="preserve">Geriamoji </w:t>
      </w:r>
      <w:proofErr w:type="spellStart"/>
      <w:r w:rsidRPr="00EB08A6">
        <w:rPr>
          <w:color w:val="000000"/>
          <w:szCs w:val="22"/>
          <w:lang w:val="lt-LT"/>
        </w:rPr>
        <w:t>Vesicare</w:t>
      </w:r>
      <w:proofErr w:type="spellEnd"/>
      <w:r w:rsidRPr="00EB08A6">
        <w:rPr>
          <w:color w:val="000000"/>
          <w:szCs w:val="22"/>
          <w:lang w:val="lt-LT"/>
        </w:rPr>
        <w:t xml:space="preserve"> suspensija buvo tiriama dviejuose 52 savaičių trukmės atviruose nuo pradžios kontroliuojamuose, nuosekliai titruojamos dozės tyrimuose, kuriuose dalyvavo </w:t>
      </w:r>
      <w:proofErr w:type="spellStart"/>
      <w:r w:rsidRPr="00EB08A6">
        <w:rPr>
          <w:color w:val="000000"/>
          <w:szCs w:val="22"/>
          <w:lang w:val="lt-LT"/>
        </w:rPr>
        <w:t>neurogeninį</w:t>
      </w:r>
      <w:proofErr w:type="spellEnd"/>
      <w:r w:rsidRPr="00EB08A6">
        <w:rPr>
          <w:color w:val="000000"/>
          <w:szCs w:val="22"/>
          <w:lang w:val="lt-LT"/>
        </w:rPr>
        <w:t xml:space="preserve"> padidėjusį šlapimo pūslės aktyvumą patiriantys vaikai nuo 6 mėnesių iki 18 metų (tyrimai 905-CL-074 ir 905-CL-047).</w:t>
      </w:r>
    </w:p>
    <w:p w14:paraId="3CB53ED3" w14:textId="77777777" w:rsidR="00EB08A6" w:rsidRPr="00EB08A6" w:rsidRDefault="00EB08A6" w:rsidP="00EB08A6">
      <w:pPr>
        <w:rPr>
          <w:color w:val="000000"/>
          <w:szCs w:val="22"/>
          <w:lang w:val="lt-LT"/>
        </w:rPr>
      </w:pPr>
    </w:p>
    <w:p w14:paraId="1037F7FA" w14:textId="77777777" w:rsidR="00EB08A6" w:rsidRPr="00EB08A6" w:rsidRDefault="00EB08A6" w:rsidP="00EB08A6">
      <w:pPr>
        <w:jc w:val="both"/>
        <w:rPr>
          <w:color w:val="000000"/>
          <w:szCs w:val="22"/>
          <w:lang w:val="lt-LT"/>
        </w:rPr>
      </w:pPr>
      <w:r w:rsidRPr="00EB08A6">
        <w:rPr>
          <w:color w:val="000000"/>
          <w:szCs w:val="22"/>
          <w:lang w:val="lt-LT"/>
        </w:rPr>
        <w:t xml:space="preserve">Tyrime 905-CL-074 geriamosios </w:t>
      </w:r>
      <w:proofErr w:type="spellStart"/>
      <w:r w:rsidRPr="00EB08A6">
        <w:rPr>
          <w:color w:val="000000"/>
          <w:szCs w:val="22"/>
          <w:lang w:val="lt-LT"/>
        </w:rPr>
        <w:t>Vesicare</w:t>
      </w:r>
      <w:proofErr w:type="spellEnd"/>
      <w:r w:rsidRPr="00EB08A6">
        <w:rPr>
          <w:color w:val="000000"/>
          <w:szCs w:val="22"/>
          <w:lang w:val="lt-LT"/>
        </w:rPr>
        <w:t xml:space="preserve"> suspensijos vartojo iš viso 4 tiriamieji asmenys nuo 6 mėnesių iki 2 metų ir 19 tiriamųjų asmenų nuo 2 metų iki 5 metų. Tyrime 905</w:t>
      </w:r>
      <w:r w:rsidRPr="00EB08A6">
        <w:rPr>
          <w:color w:val="000000"/>
          <w:szCs w:val="22"/>
          <w:lang w:val="lt-LT"/>
        </w:rPr>
        <w:noBreakHyphen/>
        <w:t>CL</w:t>
      </w:r>
      <w:r w:rsidRPr="00EB08A6">
        <w:rPr>
          <w:color w:val="000000"/>
          <w:szCs w:val="22"/>
          <w:lang w:val="lt-LT"/>
        </w:rPr>
        <w:noBreakHyphen/>
        <w:t xml:space="preserve">047 iš viso dalyvavo ir geriamosios </w:t>
      </w:r>
      <w:proofErr w:type="spellStart"/>
      <w:r w:rsidRPr="00EB08A6">
        <w:rPr>
          <w:color w:val="000000"/>
          <w:szCs w:val="22"/>
          <w:lang w:val="lt-LT"/>
        </w:rPr>
        <w:t>Vesicare</w:t>
      </w:r>
      <w:proofErr w:type="spellEnd"/>
      <w:r w:rsidRPr="00EB08A6">
        <w:rPr>
          <w:color w:val="000000"/>
          <w:szCs w:val="22"/>
          <w:lang w:val="lt-LT"/>
        </w:rPr>
        <w:t xml:space="preserve"> suspensijos vartojo 76 tiriamieji asmenys nuo 5 iki 18 metų.</w:t>
      </w:r>
    </w:p>
    <w:p w14:paraId="4E30E4B2" w14:textId="77777777" w:rsidR="00EB08A6" w:rsidRPr="00EB08A6" w:rsidRDefault="00EB08A6" w:rsidP="00EB08A6">
      <w:pPr>
        <w:rPr>
          <w:color w:val="000000"/>
          <w:szCs w:val="22"/>
          <w:lang w:val="lt-LT"/>
        </w:rPr>
      </w:pPr>
    </w:p>
    <w:p w14:paraId="44C26751" w14:textId="77777777" w:rsidR="00EB08A6" w:rsidRPr="00EB08A6" w:rsidRDefault="00EB08A6" w:rsidP="00EB08A6">
      <w:pPr>
        <w:jc w:val="both"/>
        <w:rPr>
          <w:color w:val="000000"/>
          <w:szCs w:val="22"/>
          <w:lang w:val="lt-LT"/>
        </w:rPr>
      </w:pPr>
      <w:r w:rsidRPr="00EB08A6">
        <w:rPr>
          <w:color w:val="000000"/>
          <w:szCs w:val="22"/>
          <w:lang w:val="lt-LT"/>
        </w:rPr>
        <w:t xml:space="preserve">Abiejuose tyrimuose pagrindinis kriterijus buvo didžiausios </w:t>
      </w:r>
      <w:proofErr w:type="spellStart"/>
      <w:r w:rsidRPr="00EB08A6">
        <w:rPr>
          <w:color w:val="000000"/>
          <w:szCs w:val="22"/>
          <w:lang w:val="lt-LT"/>
        </w:rPr>
        <w:t>cistometrinės</w:t>
      </w:r>
      <w:proofErr w:type="spellEnd"/>
      <w:r w:rsidRPr="00EB08A6">
        <w:rPr>
          <w:color w:val="000000"/>
          <w:szCs w:val="22"/>
          <w:lang w:val="lt-LT"/>
        </w:rPr>
        <w:t xml:space="preserve"> šlapimo pūslės talpos (DCT) pokytis nuo tyrimo pradžios iki 24-tos gydymo </w:t>
      </w:r>
      <w:proofErr w:type="spellStart"/>
      <w:r w:rsidRPr="00EB08A6">
        <w:rPr>
          <w:color w:val="000000"/>
          <w:szCs w:val="22"/>
          <w:lang w:val="lt-LT"/>
        </w:rPr>
        <w:t>Vesicare</w:t>
      </w:r>
      <w:proofErr w:type="spellEnd"/>
      <w:r w:rsidRPr="00EB08A6">
        <w:rPr>
          <w:color w:val="000000"/>
          <w:szCs w:val="22"/>
          <w:lang w:val="lt-LT"/>
        </w:rPr>
        <w:t xml:space="preserve"> suspensija savaitės. Geriamosios </w:t>
      </w:r>
      <w:proofErr w:type="spellStart"/>
      <w:r w:rsidRPr="00EB08A6">
        <w:rPr>
          <w:color w:val="000000"/>
          <w:szCs w:val="22"/>
          <w:lang w:val="lt-LT"/>
        </w:rPr>
        <w:t>Vesicare</w:t>
      </w:r>
      <w:proofErr w:type="spellEnd"/>
      <w:r w:rsidRPr="00EB08A6">
        <w:rPr>
          <w:color w:val="000000"/>
          <w:szCs w:val="22"/>
          <w:lang w:val="lt-LT"/>
        </w:rPr>
        <w:t xml:space="preserve"> suspensijos vartojusių vaikų grupėje po 24 savaičių nustatytas statistiniu požiūriu reikšmingas DCT padidėjimas, palyginti su tyrimo pradžia. Pastebėtų pokyčių mastas vertinant pirminius ir antrinius kriterijus vaikų (nuo 5 iki 12 metų) ir paauglių (nuo 12 iki 18 metų) grupėse buvo panašus.</w:t>
      </w:r>
    </w:p>
    <w:p w14:paraId="7102626B" w14:textId="77777777" w:rsidR="00EB08A6" w:rsidRPr="00EB08A6" w:rsidRDefault="00EB08A6" w:rsidP="00EB08A6">
      <w:pPr>
        <w:jc w:val="both"/>
        <w:rPr>
          <w:color w:val="000000"/>
          <w:szCs w:val="22"/>
          <w:lang w:val="lt-LT"/>
        </w:rPr>
      </w:pPr>
    </w:p>
    <w:p w14:paraId="03869477" w14:textId="77777777" w:rsidR="00EB08A6" w:rsidRPr="00EB08A6" w:rsidRDefault="00EB08A6" w:rsidP="00EB08A6">
      <w:pPr>
        <w:jc w:val="both"/>
        <w:rPr>
          <w:color w:val="000000"/>
          <w:szCs w:val="22"/>
          <w:lang w:val="lt-LT"/>
        </w:rPr>
      </w:pPr>
      <w:r w:rsidRPr="00EB08A6">
        <w:rPr>
          <w:color w:val="000000"/>
          <w:szCs w:val="22"/>
          <w:lang w:val="lt-LT"/>
        </w:rPr>
        <w:t xml:space="preserve">Pagrindinės (pirminės) vertinamosios baigties  rezultatai iš geriamosios </w:t>
      </w:r>
      <w:proofErr w:type="spellStart"/>
      <w:r w:rsidRPr="00EB08A6">
        <w:rPr>
          <w:color w:val="000000"/>
          <w:szCs w:val="22"/>
          <w:lang w:val="lt-LT"/>
        </w:rPr>
        <w:t>Vesicare</w:t>
      </w:r>
      <w:proofErr w:type="spellEnd"/>
      <w:r w:rsidRPr="00EB08A6">
        <w:rPr>
          <w:color w:val="000000"/>
          <w:szCs w:val="22"/>
          <w:lang w:val="lt-LT"/>
        </w:rPr>
        <w:t xml:space="preserve"> suspensijos klinikinių tyrimų, kuriuose dalyvavo NDA patiriantys vaikai, pateikti lentelėje toliau. Gydomasis poveikis buvo išlaikytas 52 savaites.</w:t>
      </w:r>
    </w:p>
    <w:p w14:paraId="5CFA5ACB" w14:textId="77777777" w:rsidR="00EB08A6" w:rsidRPr="00EB08A6" w:rsidRDefault="00EB08A6" w:rsidP="00EB08A6">
      <w:pPr>
        <w:jc w:val="both"/>
        <w:rPr>
          <w:color w:val="000000"/>
          <w:szCs w:val="22"/>
          <w:lang w:val="lt-LT"/>
        </w:rPr>
      </w:pPr>
    </w:p>
    <w:p w14:paraId="0B79F51E" w14:textId="77777777" w:rsidR="00EB08A6" w:rsidRPr="00EB08A6" w:rsidRDefault="00EB08A6" w:rsidP="00EB08A6">
      <w:pPr>
        <w:rPr>
          <w:i/>
          <w:color w:val="000000"/>
          <w:szCs w:val="22"/>
          <w:lang w:val="lt-LT"/>
        </w:rPr>
      </w:pPr>
      <w:r w:rsidRPr="00EB08A6">
        <w:rPr>
          <w:i/>
          <w:color w:val="000000"/>
          <w:szCs w:val="22"/>
          <w:lang w:val="lt-LT"/>
        </w:rPr>
        <w:t xml:space="preserve">Pokytis nuo tyrimo pradžios iki 24-tos savaitės vartojant geriamąją </w:t>
      </w:r>
      <w:proofErr w:type="spellStart"/>
      <w:r w:rsidRPr="00EB08A6">
        <w:rPr>
          <w:i/>
          <w:color w:val="000000"/>
          <w:szCs w:val="22"/>
          <w:lang w:val="lt-LT"/>
        </w:rPr>
        <w:t>Vesicare</w:t>
      </w:r>
      <w:proofErr w:type="spellEnd"/>
      <w:r w:rsidRPr="00EB08A6">
        <w:rPr>
          <w:i/>
          <w:color w:val="000000"/>
          <w:szCs w:val="22"/>
          <w:lang w:val="lt-LT"/>
        </w:rPr>
        <w:t xml:space="preserve"> suspensiją</w:t>
      </w:r>
    </w:p>
    <w:p w14:paraId="60BD2B6E" w14:textId="77777777" w:rsidR="00EB08A6" w:rsidRPr="00EB08A6" w:rsidRDefault="00EB08A6" w:rsidP="00EB08A6">
      <w:pPr>
        <w:rPr>
          <w:color w:val="000000"/>
          <w:szCs w:val="22"/>
          <w:lang w:val="lt-LT"/>
        </w:rPr>
      </w:pPr>
    </w:p>
    <w:tbl>
      <w:tblPr>
        <w:tblW w:w="8658" w:type="dxa"/>
        <w:tblInd w:w="257" w:type="dxa"/>
        <w:tblBorders>
          <w:top w:val="single" w:sz="8" w:space="0" w:color="000000"/>
          <w:left w:val="single" w:sz="8" w:space="0" w:color="000000"/>
          <w:bottom w:val="single" w:sz="8" w:space="0" w:color="000000"/>
          <w:right w:val="single" w:sz="8" w:space="0" w:color="000000"/>
        </w:tblBorders>
        <w:tblLayout w:type="fixed"/>
        <w:tblCellMar>
          <w:left w:w="115" w:type="dxa"/>
          <w:right w:w="115" w:type="dxa"/>
        </w:tblCellMar>
        <w:tblLook w:val="0000" w:firstRow="0" w:lastRow="0" w:firstColumn="0" w:lastColumn="0" w:noHBand="0" w:noVBand="0"/>
      </w:tblPr>
      <w:tblGrid>
        <w:gridCol w:w="4268"/>
        <w:gridCol w:w="2250"/>
        <w:gridCol w:w="2140"/>
      </w:tblGrid>
      <w:tr w:rsidR="00EB08A6" w:rsidRPr="00EB08A6" w14:paraId="4E49ED3B" w14:textId="77777777" w:rsidTr="006643DE">
        <w:trPr>
          <w:trHeight w:val="785"/>
          <w:tblHeader/>
        </w:trPr>
        <w:tc>
          <w:tcPr>
            <w:tcW w:w="4268" w:type="dxa"/>
            <w:tcBorders>
              <w:top w:val="single" w:sz="2" w:space="0" w:color="auto"/>
              <w:left w:val="single" w:sz="2" w:space="0" w:color="auto"/>
              <w:bottom w:val="single" w:sz="2" w:space="0" w:color="auto"/>
              <w:right w:val="single" w:sz="2" w:space="0" w:color="auto"/>
            </w:tcBorders>
          </w:tcPr>
          <w:p w14:paraId="54380941" w14:textId="77777777" w:rsidR="00EB08A6" w:rsidRPr="00EB08A6" w:rsidRDefault="00EB08A6" w:rsidP="006643DE">
            <w:pPr>
              <w:rPr>
                <w:b/>
                <w:color w:val="000000"/>
                <w:szCs w:val="22"/>
                <w:lang w:val="lt-LT"/>
              </w:rPr>
            </w:pPr>
            <w:r w:rsidRPr="00EB08A6">
              <w:rPr>
                <w:b/>
                <w:color w:val="000000"/>
                <w:szCs w:val="22"/>
                <w:lang w:val="lt-LT"/>
              </w:rPr>
              <w:t>Parametras</w:t>
            </w:r>
          </w:p>
        </w:tc>
        <w:tc>
          <w:tcPr>
            <w:tcW w:w="2250" w:type="dxa"/>
            <w:tcBorders>
              <w:top w:val="single" w:sz="2" w:space="0" w:color="auto"/>
              <w:left w:val="nil"/>
              <w:bottom w:val="single" w:sz="4" w:space="0" w:color="auto"/>
              <w:right w:val="single" w:sz="2" w:space="0" w:color="auto"/>
            </w:tcBorders>
          </w:tcPr>
          <w:p w14:paraId="04C7EAD8" w14:textId="77777777" w:rsidR="00EB08A6" w:rsidRPr="00EB08A6" w:rsidRDefault="00EB08A6" w:rsidP="006643DE">
            <w:pPr>
              <w:jc w:val="center"/>
              <w:rPr>
                <w:b/>
                <w:color w:val="000000"/>
                <w:szCs w:val="22"/>
                <w:lang w:val="lt-LT"/>
              </w:rPr>
            </w:pPr>
            <w:r w:rsidRPr="00EB08A6">
              <w:rPr>
                <w:b/>
                <w:color w:val="000000"/>
                <w:szCs w:val="22"/>
                <w:lang w:val="lt-LT"/>
              </w:rPr>
              <w:t xml:space="preserve">Nuo 6 mėn. iki 5 metų </w:t>
            </w:r>
          </w:p>
          <w:p w14:paraId="048906FC" w14:textId="77777777" w:rsidR="00EB08A6" w:rsidRPr="00EB08A6" w:rsidRDefault="00EB08A6" w:rsidP="006643DE">
            <w:pPr>
              <w:jc w:val="center"/>
              <w:rPr>
                <w:b/>
                <w:color w:val="000000"/>
                <w:szCs w:val="22"/>
                <w:lang w:val="lt-LT"/>
              </w:rPr>
            </w:pPr>
            <w:r w:rsidRPr="00EB08A6">
              <w:rPr>
                <w:b/>
                <w:color w:val="000000"/>
                <w:szCs w:val="22"/>
                <w:lang w:val="lt-LT"/>
              </w:rPr>
              <w:t xml:space="preserve">Vidutinė vertė </w:t>
            </w:r>
          </w:p>
          <w:p w14:paraId="17DDB2F6" w14:textId="77777777" w:rsidR="00EB08A6" w:rsidRPr="00EB08A6" w:rsidRDefault="00EB08A6" w:rsidP="006643DE">
            <w:pPr>
              <w:jc w:val="center"/>
              <w:rPr>
                <w:b/>
                <w:color w:val="000000"/>
                <w:szCs w:val="22"/>
                <w:lang w:val="lt-LT"/>
              </w:rPr>
            </w:pPr>
            <w:r w:rsidRPr="00EB08A6">
              <w:rPr>
                <w:b/>
                <w:color w:val="000000"/>
                <w:szCs w:val="22"/>
                <w:lang w:val="lt-LT"/>
              </w:rPr>
              <w:t>(SN, n)</w:t>
            </w:r>
          </w:p>
        </w:tc>
        <w:tc>
          <w:tcPr>
            <w:tcW w:w="2140" w:type="dxa"/>
            <w:tcBorders>
              <w:top w:val="single" w:sz="2" w:space="0" w:color="auto"/>
              <w:left w:val="nil"/>
              <w:bottom w:val="single" w:sz="2" w:space="0" w:color="auto"/>
              <w:right w:val="single" w:sz="2" w:space="0" w:color="auto"/>
            </w:tcBorders>
          </w:tcPr>
          <w:p w14:paraId="2F2750CC" w14:textId="77777777" w:rsidR="00EB08A6" w:rsidRPr="00EB08A6" w:rsidRDefault="00EB08A6" w:rsidP="006643DE">
            <w:pPr>
              <w:jc w:val="center"/>
              <w:rPr>
                <w:b/>
                <w:color w:val="000000"/>
                <w:szCs w:val="22"/>
                <w:lang w:val="lt-LT"/>
              </w:rPr>
            </w:pPr>
            <w:r w:rsidRPr="00EB08A6">
              <w:rPr>
                <w:b/>
                <w:color w:val="000000"/>
                <w:szCs w:val="22"/>
                <w:lang w:val="lt-LT"/>
              </w:rPr>
              <w:t xml:space="preserve">Nuo 5 metų iki 18 metų </w:t>
            </w:r>
          </w:p>
          <w:p w14:paraId="12537C40" w14:textId="77777777" w:rsidR="00EB08A6" w:rsidRPr="00EB08A6" w:rsidRDefault="00EB08A6" w:rsidP="006643DE">
            <w:pPr>
              <w:jc w:val="center"/>
              <w:rPr>
                <w:b/>
                <w:color w:val="000000"/>
                <w:szCs w:val="22"/>
                <w:lang w:val="lt-LT"/>
              </w:rPr>
            </w:pPr>
            <w:r w:rsidRPr="00EB08A6">
              <w:rPr>
                <w:b/>
                <w:color w:val="000000"/>
                <w:szCs w:val="22"/>
                <w:lang w:val="lt-LT"/>
              </w:rPr>
              <w:t xml:space="preserve">Vidutinė vertė </w:t>
            </w:r>
          </w:p>
          <w:p w14:paraId="27D26A6F" w14:textId="77777777" w:rsidR="00EB08A6" w:rsidRPr="00EB08A6" w:rsidRDefault="00EB08A6" w:rsidP="006643DE">
            <w:pPr>
              <w:jc w:val="center"/>
              <w:rPr>
                <w:b/>
                <w:color w:val="000000"/>
                <w:szCs w:val="22"/>
                <w:lang w:val="lt-LT"/>
              </w:rPr>
            </w:pPr>
            <w:r w:rsidRPr="00EB08A6">
              <w:rPr>
                <w:b/>
                <w:color w:val="000000"/>
                <w:szCs w:val="22"/>
                <w:lang w:val="lt-LT"/>
              </w:rPr>
              <w:t>(SN, n)</w:t>
            </w:r>
          </w:p>
        </w:tc>
      </w:tr>
      <w:tr w:rsidR="00EB08A6" w:rsidRPr="00EB08A6" w14:paraId="07BEA290" w14:textId="77777777" w:rsidTr="006643DE">
        <w:trPr>
          <w:trHeight w:hRule="exact" w:val="288"/>
        </w:trPr>
        <w:tc>
          <w:tcPr>
            <w:tcW w:w="8658" w:type="dxa"/>
            <w:gridSpan w:val="3"/>
            <w:tcBorders>
              <w:top w:val="single" w:sz="2" w:space="0" w:color="auto"/>
              <w:left w:val="single" w:sz="2" w:space="0" w:color="auto"/>
              <w:bottom w:val="single" w:sz="2" w:space="0" w:color="auto"/>
              <w:right w:val="single" w:sz="2" w:space="0" w:color="auto"/>
            </w:tcBorders>
          </w:tcPr>
          <w:p w14:paraId="051EC029" w14:textId="77777777" w:rsidR="00EB08A6" w:rsidRPr="00EB08A6" w:rsidRDefault="00EB08A6" w:rsidP="006643DE">
            <w:pPr>
              <w:rPr>
                <w:b/>
                <w:color w:val="000000"/>
                <w:szCs w:val="22"/>
                <w:lang w:val="lt-LT"/>
              </w:rPr>
            </w:pPr>
            <w:r w:rsidRPr="00EB08A6">
              <w:rPr>
                <w:b/>
                <w:color w:val="000000"/>
                <w:szCs w:val="22"/>
                <w:lang w:val="lt-LT"/>
              </w:rPr>
              <w:t>Pagrindinė (pirminė) vertinamoji baigtis</w:t>
            </w:r>
          </w:p>
        </w:tc>
      </w:tr>
      <w:tr w:rsidR="00EB08A6" w:rsidRPr="00EB08A6" w14:paraId="40419398" w14:textId="77777777" w:rsidTr="006643DE">
        <w:trPr>
          <w:trHeight w:hRule="exact" w:val="288"/>
        </w:trPr>
        <w:tc>
          <w:tcPr>
            <w:tcW w:w="8658" w:type="dxa"/>
            <w:gridSpan w:val="3"/>
            <w:tcBorders>
              <w:top w:val="nil"/>
              <w:left w:val="single" w:sz="2" w:space="0" w:color="auto"/>
              <w:bottom w:val="single" w:sz="2" w:space="0" w:color="auto"/>
              <w:right w:val="single" w:sz="2" w:space="0" w:color="auto"/>
            </w:tcBorders>
          </w:tcPr>
          <w:p w14:paraId="376F3499" w14:textId="77777777" w:rsidR="00EB08A6" w:rsidRPr="00EB08A6" w:rsidRDefault="00EB08A6" w:rsidP="006643DE">
            <w:pPr>
              <w:rPr>
                <w:color w:val="000000"/>
                <w:szCs w:val="22"/>
                <w:lang w:val="lt-LT"/>
              </w:rPr>
            </w:pPr>
            <w:r w:rsidRPr="00EB08A6">
              <w:rPr>
                <w:color w:val="000000"/>
                <w:szCs w:val="22"/>
                <w:lang w:val="lt-LT"/>
              </w:rPr>
              <w:t xml:space="preserve">Didžiausia </w:t>
            </w:r>
            <w:proofErr w:type="spellStart"/>
            <w:r w:rsidRPr="00EB08A6">
              <w:rPr>
                <w:color w:val="000000"/>
                <w:szCs w:val="22"/>
                <w:lang w:val="lt-LT"/>
              </w:rPr>
              <w:t>cistometrinė</w:t>
            </w:r>
            <w:proofErr w:type="spellEnd"/>
            <w:r w:rsidRPr="00EB08A6">
              <w:rPr>
                <w:color w:val="000000"/>
                <w:szCs w:val="22"/>
                <w:lang w:val="lt-LT"/>
              </w:rPr>
              <w:t xml:space="preserve"> šlapimo pūslės talpa (ml)</w:t>
            </w:r>
          </w:p>
        </w:tc>
      </w:tr>
      <w:tr w:rsidR="00EB08A6" w:rsidRPr="00EB08A6" w14:paraId="69ECED36" w14:textId="77777777" w:rsidTr="006643DE">
        <w:trPr>
          <w:trHeight w:val="769"/>
        </w:trPr>
        <w:tc>
          <w:tcPr>
            <w:tcW w:w="4268" w:type="dxa"/>
            <w:tcBorders>
              <w:top w:val="nil"/>
              <w:left w:val="single" w:sz="2" w:space="0" w:color="auto"/>
              <w:bottom w:val="single" w:sz="2" w:space="0" w:color="auto"/>
              <w:right w:val="single" w:sz="2" w:space="0" w:color="auto"/>
            </w:tcBorders>
          </w:tcPr>
          <w:p w14:paraId="2EC80909" w14:textId="77777777" w:rsidR="00EB08A6" w:rsidRPr="00EB08A6" w:rsidRDefault="00EB08A6" w:rsidP="006643DE">
            <w:pPr>
              <w:rPr>
                <w:color w:val="000000"/>
                <w:szCs w:val="22"/>
                <w:lang w:val="lt-LT"/>
              </w:rPr>
            </w:pPr>
            <w:r w:rsidRPr="00EB08A6">
              <w:rPr>
                <w:color w:val="000000"/>
                <w:szCs w:val="22"/>
                <w:lang w:val="lt-LT"/>
              </w:rPr>
              <w:lastRenderedPageBreak/>
              <w:t>Tyrimo pradžia</w:t>
            </w:r>
          </w:p>
          <w:p w14:paraId="4B0F5771" w14:textId="77777777" w:rsidR="00EB08A6" w:rsidRPr="00EB08A6" w:rsidRDefault="00EB08A6" w:rsidP="006643DE">
            <w:pPr>
              <w:rPr>
                <w:color w:val="000000"/>
                <w:szCs w:val="22"/>
                <w:lang w:val="lt-LT"/>
              </w:rPr>
            </w:pPr>
            <w:r w:rsidRPr="00EB08A6">
              <w:rPr>
                <w:color w:val="000000"/>
                <w:szCs w:val="22"/>
                <w:lang w:val="lt-LT"/>
              </w:rPr>
              <w:t>24-a savaitė</w:t>
            </w:r>
          </w:p>
          <w:p w14:paraId="269A543B" w14:textId="77777777" w:rsidR="00EB08A6" w:rsidRPr="00EB08A6" w:rsidRDefault="00EB08A6" w:rsidP="006643DE">
            <w:pPr>
              <w:rPr>
                <w:color w:val="000000"/>
                <w:szCs w:val="22"/>
                <w:lang w:val="lt-LT"/>
              </w:rPr>
            </w:pPr>
            <w:r w:rsidRPr="00EB08A6">
              <w:rPr>
                <w:color w:val="000000"/>
                <w:szCs w:val="22"/>
                <w:lang w:val="lt-LT"/>
              </w:rPr>
              <w:t>Pokytis nuo tyrimo pradžios</w:t>
            </w:r>
          </w:p>
          <w:p w14:paraId="099E2E88" w14:textId="77777777" w:rsidR="00EB08A6" w:rsidRPr="00EB08A6" w:rsidRDefault="00EB08A6" w:rsidP="006643DE">
            <w:pPr>
              <w:rPr>
                <w:color w:val="000000"/>
                <w:szCs w:val="22"/>
                <w:lang w:val="lt-LT"/>
              </w:rPr>
            </w:pPr>
          </w:p>
        </w:tc>
        <w:tc>
          <w:tcPr>
            <w:tcW w:w="2250" w:type="dxa"/>
            <w:tcBorders>
              <w:top w:val="nil"/>
              <w:left w:val="nil"/>
              <w:bottom w:val="single" w:sz="2" w:space="0" w:color="auto"/>
              <w:right w:val="single" w:sz="2" w:space="0" w:color="auto"/>
            </w:tcBorders>
          </w:tcPr>
          <w:p w14:paraId="146BDBBE" w14:textId="77777777" w:rsidR="00EB08A6" w:rsidRPr="00EB08A6" w:rsidRDefault="00EB08A6" w:rsidP="006643DE">
            <w:pPr>
              <w:rPr>
                <w:color w:val="000000"/>
                <w:szCs w:val="22"/>
                <w:lang w:val="lt-LT"/>
              </w:rPr>
            </w:pPr>
            <w:r w:rsidRPr="00EB08A6">
              <w:rPr>
                <w:color w:val="000000"/>
                <w:szCs w:val="22"/>
                <w:lang w:val="lt-LT"/>
              </w:rPr>
              <w:t>92,3 (38,2, 21)</w:t>
            </w:r>
          </w:p>
          <w:p w14:paraId="08D9D4AE" w14:textId="77777777" w:rsidR="00EB08A6" w:rsidRPr="00EB08A6" w:rsidRDefault="00EB08A6" w:rsidP="006643DE">
            <w:pPr>
              <w:rPr>
                <w:color w:val="000000"/>
                <w:szCs w:val="22"/>
                <w:lang w:val="lt-LT"/>
              </w:rPr>
            </w:pPr>
            <w:r w:rsidRPr="00EB08A6">
              <w:rPr>
                <w:color w:val="000000"/>
                <w:szCs w:val="22"/>
                <w:lang w:val="lt-LT"/>
              </w:rPr>
              <w:t>129,4 (40,2, 21)</w:t>
            </w:r>
          </w:p>
          <w:p w14:paraId="27C0C3B8" w14:textId="77777777" w:rsidR="00EB08A6" w:rsidRPr="00EB08A6" w:rsidRDefault="00EB08A6" w:rsidP="006643DE">
            <w:pPr>
              <w:rPr>
                <w:color w:val="000000"/>
                <w:szCs w:val="22"/>
                <w:lang w:val="lt-LT"/>
              </w:rPr>
            </w:pPr>
            <w:r w:rsidRPr="00EB08A6">
              <w:rPr>
                <w:color w:val="000000"/>
                <w:szCs w:val="22"/>
                <w:lang w:val="lt-LT"/>
              </w:rPr>
              <w:t>37,0 (35,9, 21)</w:t>
            </w:r>
          </w:p>
          <w:p w14:paraId="29213FA3" w14:textId="77777777" w:rsidR="00EB08A6" w:rsidRPr="00EB08A6" w:rsidRDefault="00EB08A6" w:rsidP="006643DE">
            <w:pPr>
              <w:rPr>
                <w:color w:val="000000"/>
                <w:szCs w:val="22"/>
                <w:lang w:val="lt-LT"/>
              </w:rPr>
            </w:pPr>
            <w:r w:rsidRPr="00EB08A6">
              <w:rPr>
                <w:color w:val="000000"/>
                <w:szCs w:val="22"/>
                <w:lang w:val="lt-LT"/>
              </w:rPr>
              <w:t>p = &lt; 0,001</w:t>
            </w:r>
          </w:p>
          <w:p w14:paraId="7B93293A" w14:textId="77777777" w:rsidR="00EB08A6" w:rsidRPr="00EB08A6" w:rsidRDefault="00EB08A6" w:rsidP="006643DE">
            <w:pPr>
              <w:rPr>
                <w:color w:val="000000"/>
                <w:szCs w:val="22"/>
                <w:lang w:val="lt-LT"/>
              </w:rPr>
            </w:pPr>
            <w:r w:rsidRPr="00EB08A6">
              <w:rPr>
                <w:color w:val="000000"/>
                <w:szCs w:val="22"/>
                <w:lang w:val="lt-LT"/>
              </w:rPr>
              <w:t>95 % PI: 20,7, 53,4</w:t>
            </w:r>
          </w:p>
        </w:tc>
        <w:tc>
          <w:tcPr>
            <w:tcW w:w="2140" w:type="dxa"/>
            <w:tcBorders>
              <w:top w:val="nil"/>
              <w:left w:val="nil"/>
              <w:bottom w:val="single" w:sz="2" w:space="0" w:color="auto"/>
              <w:right w:val="single" w:sz="2" w:space="0" w:color="auto"/>
            </w:tcBorders>
          </w:tcPr>
          <w:p w14:paraId="57A18E2E" w14:textId="77777777" w:rsidR="00EB08A6" w:rsidRPr="00EB08A6" w:rsidRDefault="00EB08A6" w:rsidP="006643DE">
            <w:pPr>
              <w:rPr>
                <w:color w:val="000000"/>
                <w:szCs w:val="22"/>
                <w:lang w:val="lt-LT"/>
              </w:rPr>
            </w:pPr>
            <w:r w:rsidRPr="00EB08A6">
              <w:rPr>
                <w:color w:val="000000"/>
                <w:szCs w:val="22"/>
                <w:lang w:val="lt-LT"/>
              </w:rPr>
              <w:t>223,7 (132,9, 55)</w:t>
            </w:r>
          </w:p>
          <w:p w14:paraId="6BD85B24" w14:textId="77777777" w:rsidR="00EB08A6" w:rsidRPr="00EB08A6" w:rsidRDefault="00EB08A6" w:rsidP="006643DE">
            <w:pPr>
              <w:rPr>
                <w:color w:val="000000"/>
                <w:szCs w:val="22"/>
                <w:lang w:val="lt-LT"/>
              </w:rPr>
            </w:pPr>
            <w:r w:rsidRPr="00EB08A6">
              <w:rPr>
                <w:color w:val="000000"/>
                <w:szCs w:val="22"/>
                <w:lang w:val="lt-LT"/>
              </w:rPr>
              <w:t>279,1 (126,8, 49)</w:t>
            </w:r>
          </w:p>
          <w:p w14:paraId="662D6B83" w14:textId="77777777" w:rsidR="00EB08A6" w:rsidRPr="00EB08A6" w:rsidRDefault="00EB08A6" w:rsidP="006643DE">
            <w:pPr>
              <w:rPr>
                <w:color w:val="000000"/>
                <w:szCs w:val="22"/>
                <w:lang w:val="lt-LT"/>
              </w:rPr>
            </w:pPr>
            <w:r w:rsidRPr="00EB08A6">
              <w:rPr>
                <w:color w:val="000000"/>
                <w:szCs w:val="22"/>
                <w:lang w:val="lt-LT"/>
              </w:rPr>
              <w:t>57,2 (107,7, 49)</w:t>
            </w:r>
          </w:p>
          <w:p w14:paraId="77826F1B" w14:textId="77777777" w:rsidR="00EB08A6" w:rsidRPr="00EB08A6" w:rsidRDefault="00EB08A6" w:rsidP="006643DE">
            <w:pPr>
              <w:rPr>
                <w:color w:val="000000"/>
                <w:szCs w:val="22"/>
                <w:lang w:val="lt-LT"/>
              </w:rPr>
            </w:pPr>
            <w:r w:rsidRPr="00EB08A6">
              <w:rPr>
                <w:color w:val="000000"/>
                <w:szCs w:val="22"/>
                <w:lang w:val="lt-LT"/>
              </w:rPr>
              <w:t>p = &lt; 0,001</w:t>
            </w:r>
          </w:p>
          <w:p w14:paraId="61ED5BF0" w14:textId="77777777" w:rsidR="00EB08A6" w:rsidRPr="00EB08A6" w:rsidRDefault="00EB08A6" w:rsidP="006643DE">
            <w:pPr>
              <w:rPr>
                <w:color w:val="000000"/>
                <w:szCs w:val="22"/>
                <w:lang w:val="lt-LT"/>
              </w:rPr>
            </w:pPr>
            <w:r w:rsidRPr="00EB08A6">
              <w:rPr>
                <w:color w:val="000000"/>
                <w:szCs w:val="22"/>
                <w:lang w:val="lt-LT"/>
              </w:rPr>
              <w:t>95 % PI: 26,3, 88,1</w:t>
            </w:r>
          </w:p>
        </w:tc>
      </w:tr>
    </w:tbl>
    <w:p w14:paraId="41552774" w14:textId="77777777" w:rsidR="00EB08A6" w:rsidRPr="00EB08A6" w:rsidRDefault="00EB08A6" w:rsidP="00EB08A6">
      <w:pPr>
        <w:rPr>
          <w:color w:val="000000"/>
          <w:szCs w:val="22"/>
          <w:lang w:val="lt-LT"/>
        </w:rPr>
      </w:pPr>
    </w:p>
    <w:p w14:paraId="7AD76A20" w14:textId="77777777" w:rsidR="00EB08A6" w:rsidRPr="00EB08A6" w:rsidRDefault="00EB08A6" w:rsidP="00EB08A6">
      <w:pPr>
        <w:rPr>
          <w:color w:val="000000"/>
          <w:szCs w:val="22"/>
          <w:lang w:val="lt-LT"/>
        </w:rPr>
      </w:pPr>
      <w:r w:rsidRPr="00EB08A6">
        <w:rPr>
          <w:color w:val="000000"/>
          <w:szCs w:val="22"/>
          <w:lang w:val="lt-LT"/>
        </w:rPr>
        <w:t xml:space="preserve">Nuo tyrimo pradžios iki 24-tos tyrimo savaitės antriniai </w:t>
      </w:r>
      <w:proofErr w:type="spellStart"/>
      <w:r w:rsidRPr="00EB08A6">
        <w:rPr>
          <w:color w:val="000000"/>
          <w:szCs w:val="22"/>
          <w:lang w:val="lt-LT"/>
        </w:rPr>
        <w:t>urodinamikos</w:t>
      </w:r>
      <w:proofErr w:type="spellEnd"/>
      <w:r w:rsidRPr="00EB08A6">
        <w:rPr>
          <w:color w:val="000000"/>
          <w:szCs w:val="22"/>
          <w:lang w:val="lt-LT"/>
        </w:rPr>
        <w:t xml:space="preserve"> matavimai abiejose grupėse taip pat pagerėjo. Tiriamųjų asmenų nuo 6 mėnesių iki 5 metų grupėje pagerėjo šlapimo pūslės slėgis (vidutinis pokytis – 5,1 ml/cmH</w:t>
      </w:r>
      <w:r w:rsidRPr="00EB08A6">
        <w:rPr>
          <w:color w:val="000000"/>
          <w:szCs w:val="22"/>
          <w:vertAlign w:val="subscript"/>
          <w:lang w:val="lt-LT"/>
        </w:rPr>
        <w:t>2</w:t>
      </w:r>
      <w:r w:rsidRPr="00EB08A6">
        <w:rPr>
          <w:color w:val="000000"/>
          <w:szCs w:val="22"/>
          <w:lang w:val="lt-LT"/>
        </w:rPr>
        <w:t>O; SN – 6,82; 95 % PI – 2,0; 8,2), sumažėjo padidėjusio aktyvumo susitraukimų skaičius &gt; 15 cmH</w:t>
      </w:r>
      <w:r w:rsidRPr="00EB08A6">
        <w:rPr>
          <w:color w:val="000000"/>
          <w:szCs w:val="22"/>
          <w:vertAlign w:val="subscript"/>
          <w:lang w:val="lt-LT"/>
        </w:rPr>
        <w:t>2</w:t>
      </w:r>
      <w:r w:rsidRPr="00EB08A6">
        <w:rPr>
          <w:color w:val="000000"/>
          <w:szCs w:val="22"/>
          <w:lang w:val="lt-LT"/>
        </w:rPr>
        <w:t xml:space="preserve">O (vidutinis pokytis – 7,0; SN – 8,6; 95 % PI – 11,0; –3,1) ir padidėjo šlapimo pūslės tūris iki pirmojo </w:t>
      </w:r>
      <w:proofErr w:type="spellStart"/>
      <w:r w:rsidRPr="00EB08A6">
        <w:rPr>
          <w:color w:val="000000"/>
          <w:szCs w:val="22"/>
          <w:lang w:val="lt-LT"/>
        </w:rPr>
        <w:t>detruzoriaus</w:t>
      </w:r>
      <w:proofErr w:type="spellEnd"/>
      <w:r w:rsidRPr="00EB08A6">
        <w:rPr>
          <w:color w:val="000000"/>
          <w:szCs w:val="22"/>
          <w:lang w:val="lt-LT"/>
        </w:rPr>
        <w:t xml:space="preserve"> susitraukimo &gt; 15 cmH</w:t>
      </w:r>
      <w:r w:rsidRPr="00EB08A6">
        <w:rPr>
          <w:color w:val="000000"/>
          <w:szCs w:val="22"/>
          <w:vertAlign w:val="subscript"/>
          <w:lang w:val="lt-LT"/>
        </w:rPr>
        <w:t>2</w:t>
      </w:r>
      <w:r w:rsidRPr="00EB08A6">
        <w:rPr>
          <w:color w:val="000000"/>
          <w:szCs w:val="22"/>
          <w:lang w:val="lt-LT"/>
        </w:rPr>
        <w:t>O (išreikštas procentais nuo tikėtino šlapimo pūslės tūrio; vidutinė vertė tyrimo pradžioje – 38,00 %, vidutinė vertė 24-ą savaitę – 99,89 %). Nuo 5 iki 18 metų tiriamųjų asmenų grupėje šlapimo pūslės slėgis padidėjo (vidutinis pokytis – 9,1 ml/cmH</w:t>
      </w:r>
      <w:r w:rsidRPr="00EB08A6">
        <w:rPr>
          <w:color w:val="000000"/>
          <w:szCs w:val="22"/>
          <w:vertAlign w:val="subscript"/>
          <w:lang w:val="lt-LT"/>
        </w:rPr>
        <w:t>2</w:t>
      </w:r>
      <w:r w:rsidRPr="00EB08A6">
        <w:rPr>
          <w:color w:val="000000"/>
          <w:szCs w:val="22"/>
          <w:lang w:val="lt-LT"/>
        </w:rPr>
        <w:t>O; SN – 28,6; 95 % PI – 1,0; 17,2), sumažėjo padidėjusio aktyvumo susitraukimų skaičius &gt; 15 cmH</w:t>
      </w:r>
      <w:r w:rsidRPr="00EB08A6">
        <w:rPr>
          <w:color w:val="000000"/>
          <w:szCs w:val="22"/>
          <w:vertAlign w:val="subscript"/>
          <w:lang w:val="lt-LT"/>
        </w:rPr>
        <w:t>2</w:t>
      </w:r>
      <w:r w:rsidRPr="00EB08A6">
        <w:rPr>
          <w:color w:val="000000"/>
          <w:szCs w:val="22"/>
          <w:lang w:val="lt-LT"/>
        </w:rPr>
        <w:t xml:space="preserve">O (vidutinis pokytis – 2,3; SN – 5,1; 95 % PI – 3,7; –0,8) ir padidėjo šlapimo pūslės tūris iki pirmojo </w:t>
      </w:r>
      <w:proofErr w:type="spellStart"/>
      <w:r w:rsidRPr="00EB08A6">
        <w:rPr>
          <w:color w:val="000000"/>
          <w:szCs w:val="22"/>
          <w:lang w:val="lt-LT"/>
        </w:rPr>
        <w:t>detruzoriaus</w:t>
      </w:r>
      <w:proofErr w:type="spellEnd"/>
      <w:r w:rsidRPr="00EB08A6">
        <w:rPr>
          <w:color w:val="000000"/>
          <w:szCs w:val="22"/>
          <w:lang w:val="lt-LT"/>
        </w:rPr>
        <w:t xml:space="preserve"> susitraukimo &gt; 15 cmH</w:t>
      </w:r>
      <w:r w:rsidRPr="00EB08A6">
        <w:rPr>
          <w:color w:val="000000"/>
          <w:szCs w:val="22"/>
          <w:vertAlign w:val="subscript"/>
          <w:lang w:val="lt-LT"/>
        </w:rPr>
        <w:t>2</w:t>
      </w:r>
      <w:r w:rsidRPr="00EB08A6">
        <w:rPr>
          <w:color w:val="000000"/>
          <w:szCs w:val="22"/>
          <w:lang w:val="lt-LT"/>
        </w:rPr>
        <w:t>O (išreikštas procentais nuo tikėtino šlapimo pūslės tūrio; vidutinė vertė tyrimo pradžioje – 28,25 %, vidutinė vertė 24-ą savaitę – 58,28 %).</w:t>
      </w:r>
    </w:p>
    <w:p w14:paraId="350F376D" w14:textId="77777777" w:rsidR="00EB08A6" w:rsidRPr="00EB08A6" w:rsidRDefault="00EB08A6" w:rsidP="00EB08A6">
      <w:pPr>
        <w:rPr>
          <w:color w:val="000000"/>
          <w:szCs w:val="22"/>
          <w:lang w:val="lt-LT"/>
        </w:rPr>
      </w:pPr>
    </w:p>
    <w:p w14:paraId="23CE165C" w14:textId="77777777" w:rsidR="00EB08A6" w:rsidRPr="00EB08A6" w:rsidRDefault="00EB08A6" w:rsidP="00EB08A6">
      <w:pPr>
        <w:jc w:val="both"/>
        <w:rPr>
          <w:color w:val="000000"/>
          <w:szCs w:val="22"/>
          <w:lang w:val="lt-LT"/>
        </w:rPr>
      </w:pPr>
      <w:r w:rsidRPr="00EB08A6">
        <w:rPr>
          <w:color w:val="000000"/>
          <w:szCs w:val="22"/>
          <w:lang w:val="lt-LT"/>
        </w:rPr>
        <w:t xml:space="preserve">Atsižvelgiant į papildomus dienoraščiu grindžiamus </w:t>
      </w:r>
      <w:proofErr w:type="spellStart"/>
      <w:r w:rsidRPr="00EB08A6">
        <w:rPr>
          <w:color w:val="000000"/>
          <w:szCs w:val="22"/>
          <w:lang w:val="lt-LT"/>
        </w:rPr>
        <w:t>matavimus</w:t>
      </w:r>
      <w:proofErr w:type="spellEnd"/>
      <w:r w:rsidRPr="00EB08A6">
        <w:rPr>
          <w:color w:val="000000"/>
          <w:szCs w:val="22"/>
          <w:lang w:val="lt-LT"/>
        </w:rPr>
        <w:t xml:space="preserve"> abiejose grupėse nuo tyrimo pradžios iki 24-os savaitės matyti pagerėjimas. Tiriamųjų asmenų nuo 6 mėnesių iki 5 metų amžiaus grupėje padidėjo vidutinis didžiausias </w:t>
      </w:r>
      <w:proofErr w:type="spellStart"/>
      <w:r w:rsidRPr="00EB08A6">
        <w:rPr>
          <w:color w:val="000000"/>
          <w:szCs w:val="22"/>
          <w:lang w:val="lt-LT"/>
        </w:rPr>
        <w:t>kateterizavimo</w:t>
      </w:r>
      <w:proofErr w:type="spellEnd"/>
      <w:r w:rsidRPr="00EB08A6">
        <w:rPr>
          <w:color w:val="000000"/>
          <w:szCs w:val="22"/>
          <w:lang w:val="lt-LT"/>
        </w:rPr>
        <w:t xml:space="preserve"> tūris per parą (vidutinis pokytis – 40,3 ml; SN – 50,0; 95 % PI – 16,2; 64,4), sumažėjo vidutinis laikotarpių tarp švarių protarpinių </w:t>
      </w:r>
      <w:proofErr w:type="spellStart"/>
      <w:r w:rsidRPr="00EB08A6">
        <w:rPr>
          <w:color w:val="000000"/>
          <w:szCs w:val="22"/>
          <w:lang w:val="lt-LT"/>
        </w:rPr>
        <w:t>kateterizacijų</w:t>
      </w:r>
      <w:proofErr w:type="spellEnd"/>
      <w:r w:rsidRPr="00EB08A6">
        <w:rPr>
          <w:color w:val="000000"/>
          <w:szCs w:val="22"/>
          <w:lang w:val="lt-LT"/>
        </w:rPr>
        <w:t xml:space="preserve">, kai pasireiškia šlapimo nelaikymas, skaičius per 24 valandas (vidutinis pokytis – 1,31; SN – 1,35; 95 % PI – –1,99; –0,64). Tiriamųjų asmenų nuo 5 iki 18 metų amžiaus grupėje padidėjo vidutinis didžiausias </w:t>
      </w:r>
      <w:proofErr w:type="spellStart"/>
      <w:r w:rsidRPr="00EB08A6">
        <w:rPr>
          <w:color w:val="000000"/>
          <w:szCs w:val="22"/>
          <w:lang w:val="lt-LT"/>
        </w:rPr>
        <w:t>kateterizavimo</w:t>
      </w:r>
      <w:proofErr w:type="spellEnd"/>
      <w:r w:rsidRPr="00EB08A6">
        <w:rPr>
          <w:color w:val="000000"/>
          <w:szCs w:val="22"/>
          <w:lang w:val="lt-LT"/>
        </w:rPr>
        <w:t xml:space="preserve"> tūris per parą (vidutinis pokytis – 67,45 ml; SN – 88,07; 95 % PI – 42,68; 92,22), sumažėjo  šlapimo nelaikymo, skaičius per 24 valandas (vidutinis pokytis – 1,60; SN – 2,04; 95 % PI – –2,18; –1,03).</w:t>
      </w:r>
    </w:p>
    <w:p w14:paraId="343C7F05" w14:textId="77777777" w:rsidR="00EB08A6" w:rsidRPr="00EB08A6" w:rsidRDefault="00EB08A6" w:rsidP="00EB08A6">
      <w:pPr>
        <w:jc w:val="both"/>
        <w:rPr>
          <w:color w:val="000000"/>
          <w:szCs w:val="22"/>
          <w:lang w:val="lt-LT"/>
        </w:rPr>
      </w:pPr>
    </w:p>
    <w:p w14:paraId="0FE1B41E" w14:textId="77777777" w:rsidR="00EB08A6" w:rsidRPr="00EB08A6" w:rsidRDefault="00EB08A6" w:rsidP="00EB08A6">
      <w:pPr>
        <w:jc w:val="both"/>
        <w:rPr>
          <w:color w:val="000000"/>
          <w:szCs w:val="22"/>
          <w:lang w:val="lt-LT"/>
        </w:rPr>
      </w:pPr>
      <w:r w:rsidRPr="00EB08A6">
        <w:rPr>
          <w:color w:val="000000"/>
          <w:szCs w:val="22"/>
          <w:lang w:val="lt-LT"/>
        </w:rPr>
        <w:t xml:space="preserve">Vaikai ir paaugliai gerai toleravo gydymą visomis geriamosios </w:t>
      </w:r>
      <w:proofErr w:type="spellStart"/>
      <w:r w:rsidRPr="00EB08A6">
        <w:rPr>
          <w:color w:val="000000"/>
          <w:szCs w:val="22"/>
          <w:lang w:val="lt-LT"/>
        </w:rPr>
        <w:t>Vesicare</w:t>
      </w:r>
      <w:proofErr w:type="spellEnd"/>
      <w:r w:rsidRPr="00EB08A6">
        <w:rPr>
          <w:color w:val="000000"/>
          <w:szCs w:val="22"/>
          <w:lang w:val="lt-LT"/>
        </w:rPr>
        <w:t xml:space="preserve"> suspensijos dozėmis. Palyginti su žinomomis </w:t>
      </w:r>
      <w:proofErr w:type="spellStart"/>
      <w:r w:rsidRPr="00EB08A6">
        <w:rPr>
          <w:szCs w:val="22"/>
          <w:lang w:val="lt-LT"/>
        </w:rPr>
        <w:t>solifenacino</w:t>
      </w:r>
      <w:proofErr w:type="spellEnd"/>
      <w:r w:rsidRPr="00EB08A6">
        <w:rPr>
          <w:szCs w:val="22"/>
          <w:lang w:val="lt-LT"/>
        </w:rPr>
        <w:t xml:space="preserve"> </w:t>
      </w:r>
      <w:r w:rsidRPr="00EB08A6">
        <w:rPr>
          <w:color w:val="000000"/>
          <w:szCs w:val="22"/>
          <w:lang w:val="lt-LT"/>
        </w:rPr>
        <w:t>savybėmis jį skiriant suaugusiesiems, naujų saugumo problemų nepastebėta.</w:t>
      </w:r>
    </w:p>
    <w:p w14:paraId="60C79972" w14:textId="77777777" w:rsidR="00EB08A6" w:rsidRPr="00EB08A6" w:rsidRDefault="00EB08A6" w:rsidP="00EB08A6">
      <w:pPr>
        <w:jc w:val="both"/>
        <w:rPr>
          <w:color w:val="000000"/>
          <w:szCs w:val="22"/>
          <w:lang w:val="lt-LT"/>
        </w:rPr>
      </w:pPr>
    </w:p>
    <w:p w14:paraId="64568D3E" w14:textId="77777777" w:rsidR="00EB08A6" w:rsidRPr="00EB08A6" w:rsidRDefault="00EB08A6" w:rsidP="00EB08A6">
      <w:pPr>
        <w:jc w:val="both"/>
        <w:rPr>
          <w:color w:val="000000"/>
          <w:szCs w:val="22"/>
          <w:lang w:val="lt-LT"/>
        </w:rPr>
      </w:pPr>
      <w:r w:rsidRPr="00EB08A6">
        <w:rPr>
          <w:color w:val="000000"/>
          <w:szCs w:val="22"/>
          <w:lang w:val="lt-LT"/>
        </w:rPr>
        <w:t>Klinikinių tyrimų duomenų apie ilgiau kaip metus trukusį NDA patiriančių vaikų ir paauglių gydymą nėra.</w:t>
      </w:r>
    </w:p>
    <w:p w14:paraId="677573C4" w14:textId="77777777" w:rsidR="00EB08A6" w:rsidRPr="00EB08A6" w:rsidRDefault="00EB08A6" w:rsidP="00EB08A6">
      <w:pPr>
        <w:jc w:val="both"/>
        <w:rPr>
          <w:color w:val="000000"/>
          <w:szCs w:val="22"/>
          <w:lang w:val="lt-LT"/>
        </w:rPr>
      </w:pPr>
    </w:p>
    <w:p w14:paraId="1FE703CA" w14:textId="77777777" w:rsidR="00EB08A6" w:rsidRPr="00EB08A6" w:rsidRDefault="00EB08A6" w:rsidP="00EB08A6">
      <w:pPr>
        <w:rPr>
          <w:color w:val="000000"/>
          <w:szCs w:val="22"/>
          <w:lang w:val="lt-LT"/>
        </w:rPr>
      </w:pPr>
      <w:r w:rsidRPr="00EB08A6">
        <w:rPr>
          <w:color w:val="000000"/>
          <w:szCs w:val="22"/>
          <w:lang w:val="lt-LT"/>
        </w:rPr>
        <w:t>Klinikinės patirties gydant jaunesnius kaip 2 metų amžiaus NDA patiriančius vaikus nepakanka. Klinikiniuose tyrimuose jaunesni kaip 6 mėnesių amžiaus NDA patiriantys kūdikiai nedalyvavo.</w:t>
      </w:r>
    </w:p>
    <w:p w14:paraId="7C893133" w14:textId="77777777" w:rsidR="00EB08A6" w:rsidRPr="00EB08A6" w:rsidRDefault="00EB08A6" w:rsidP="00EB08A6">
      <w:pPr>
        <w:rPr>
          <w:color w:val="000000"/>
          <w:szCs w:val="22"/>
          <w:lang w:val="lt-LT"/>
        </w:rPr>
      </w:pPr>
    </w:p>
    <w:p w14:paraId="3631630B" w14:textId="77777777" w:rsidR="00EB08A6" w:rsidRPr="00EB08A6" w:rsidRDefault="00EB08A6" w:rsidP="00EB08A6">
      <w:pPr>
        <w:rPr>
          <w:color w:val="000000"/>
          <w:szCs w:val="22"/>
          <w:lang w:val="lt-LT"/>
        </w:rPr>
      </w:pPr>
    </w:p>
    <w:p w14:paraId="1FB17E08" w14:textId="77777777" w:rsidR="00EB08A6" w:rsidRPr="00EB08A6" w:rsidRDefault="00EB08A6" w:rsidP="00EB08A6">
      <w:pPr>
        <w:pStyle w:val="Antrat2"/>
        <w:spacing w:before="0"/>
        <w:rPr>
          <w:rFonts w:ascii="Times New Roman" w:hAnsi="Times New Roman"/>
          <w:i w:val="0"/>
          <w:sz w:val="22"/>
          <w:szCs w:val="22"/>
          <w:lang w:val="lt-LT"/>
        </w:rPr>
      </w:pPr>
      <w:bookmarkStart w:id="31" w:name="_i4i6nbamO3IKiYFOL8kvPr1P6"/>
      <w:bookmarkStart w:id="32" w:name="_i4i03eSlQtmottGXleutc8yyd"/>
      <w:bookmarkStart w:id="33" w:name="_i4i1fS31t6e5QyLKaACMXDn83"/>
      <w:bookmarkStart w:id="34" w:name="_i4i2nqwaoU9lj1M48twMGDwrM"/>
      <w:bookmarkStart w:id="35" w:name="_i4i3WkgOUGy1Udj9luzJ2H7vL"/>
      <w:bookmarkEnd w:id="31"/>
      <w:bookmarkEnd w:id="32"/>
      <w:bookmarkEnd w:id="33"/>
      <w:bookmarkEnd w:id="34"/>
      <w:bookmarkEnd w:id="35"/>
      <w:r w:rsidRPr="00EB08A6">
        <w:rPr>
          <w:rFonts w:ascii="Times New Roman" w:hAnsi="Times New Roman"/>
          <w:i w:val="0"/>
          <w:sz w:val="22"/>
          <w:szCs w:val="22"/>
          <w:lang w:val="lt-LT"/>
        </w:rPr>
        <w:t>5.2</w:t>
      </w:r>
      <w:r w:rsidRPr="00EB08A6">
        <w:rPr>
          <w:rFonts w:ascii="Times New Roman" w:hAnsi="Times New Roman"/>
          <w:i w:val="0"/>
          <w:sz w:val="22"/>
          <w:szCs w:val="22"/>
          <w:lang w:val="lt-LT"/>
        </w:rPr>
        <w:tab/>
      </w:r>
      <w:proofErr w:type="spellStart"/>
      <w:r w:rsidRPr="00EB08A6">
        <w:rPr>
          <w:rFonts w:ascii="Times New Roman" w:hAnsi="Times New Roman"/>
          <w:i w:val="0"/>
          <w:sz w:val="22"/>
          <w:szCs w:val="22"/>
          <w:lang w:val="lt-LT"/>
        </w:rPr>
        <w:t>Farmakokinetinės</w:t>
      </w:r>
      <w:proofErr w:type="spellEnd"/>
      <w:r w:rsidRPr="00EB08A6">
        <w:rPr>
          <w:rFonts w:ascii="Times New Roman" w:hAnsi="Times New Roman"/>
          <w:i w:val="0"/>
          <w:sz w:val="22"/>
          <w:szCs w:val="22"/>
          <w:lang w:val="lt-LT"/>
        </w:rPr>
        <w:t xml:space="preserve"> savybės</w:t>
      </w:r>
    </w:p>
    <w:p w14:paraId="773CB4FF" w14:textId="77777777" w:rsidR="00EB08A6" w:rsidRPr="00EB08A6" w:rsidRDefault="00EB08A6" w:rsidP="00EB08A6">
      <w:pPr>
        <w:pStyle w:val="Antrat3"/>
        <w:rPr>
          <w:rFonts w:ascii="Times New Roman" w:hAnsi="Times New Roman"/>
          <w:sz w:val="22"/>
          <w:szCs w:val="22"/>
          <w:lang w:val="lt-LT"/>
        </w:rPr>
      </w:pPr>
      <w:r w:rsidRPr="00EB08A6">
        <w:rPr>
          <w:rFonts w:ascii="Times New Roman" w:hAnsi="Times New Roman"/>
          <w:sz w:val="22"/>
          <w:szCs w:val="22"/>
          <w:lang w:val="lt-LT"/>
        </w:rPr>
        <w:t xml:space="preserve">Absorbcija </w:t>
      </w:r>
    </w:p>
    <w:p w14:paraId="6EF88E66" w14:textId="77777777" w:rsidR="00EB08A6" w:rsidRPr="00EB08A6" w:rsidRDefault="00EB08A6" w:rsidP="00EB08A6">
      <w:pPr>
        <w:rPr>
          <w:szCs w:val="22"/>
          <w:lang w:val="lt-LT"/>
        </w:rPr>
      </w:pPr>
      <w:r w:rsidRPr="00EB08A6">
        <w:rPr>
          <w:szCs w:val="22"/>
          <w:lang w:val="lt-LT"/>
        </w:rPr>
        <w:t xml:space="preserve">Suaugusiesiems išgėrus </w:t>
      </w:r>
      <w:proofErr w:type="spellStart"/>
      <w:r w:rsidRPr="00EB08A6">
        <w:rPr>
          <w:szCs w:val="22"/>
          <w:lang w:val="lt-LT"/>
        </w:rPr>
        <w:t>solifenacino</w:t>
      </w:r>
      <w:proofErr w:type="spellEnd"/>
      <w:r w:rsidRPr="00EB08A6">
        <w:rPr>
          <w:szCs w:val="22"/>
          <w:lang w:val="lt-LT"/>
        </w:rPr>
        <w:t xml:space="preserve">, didžiausia </w:t>
      </w:r>
      <w:proofErr w:type="spellStart"/>
      <w:r w:rsidRPr="00EB08A6">
        <w:rPr>
          <w:szCs w:val="22"/>
          <w:lang w:val="lt-LT"/>
        </w:rPr>
        <w:t>solifenacino</w:t>
      </w:r>
      <w:proofErr w:type="spellEnd"/>
      <w:r w:rsidRPr="00EB08A6">
        <w:rPr>
          <w:szCs w:val="22"/>
          <w:lang w:val="lt-LT"/>
        </w:rPr>
        <w:t xml:space="preserve"> koncentracija kraujo plazmoje (</w:t>
      </w:r>
      <w:proofErr w:type="spellStart"/>
      <w:r w:rsidRPr="00EB08A6">
        <w:rPr>
          <w:szCs w:val="22"/>
          <w:lang w:val="lt-LT"/>
        </w:rPr>
        <w:t>C</w:t>
      </w:r>
      <w:r w:rsidRPr="00EB08A6">
        <w:rPr>
          <w:szCs w:val="22"/>
          <w:vertAlign w:val="subscript"/>
          <w:lang w:val="lt-LT"/>
        </w:rPr>
        <w:t>max</w:t>
      </w:r>
      <w:proofErr w:type="spellEnd"/>
      <w:r w:rsidRPr="00EB08A6">
        <w:rPr>
          <w:szCs w:val="22"/>
          <w:lang w:val="lt-LT"/>
        </w:rPr>
        <w:t xml:space="preserve">) susidaro po 4–12 val. </w:t>
      </w:r>
      <w:proofErr w:type="spellStart"/>
      <w:r w:rsidRPr="00EB08A6">
        <w:rPr>
          <w:szCs w:val="22"/>
          <w:lang w:val="lt-LT"/>
        </w:rPr>
        <w:t>t</w:t>
      </w:r>
      <w:r w:rsidRPr="00EB08A6">
        <w:rPr>
          <w:szCs w:val="22"/>
          <w:vertAlign w:val="subscript"/>
          <w:lang w:val="lt-LT"/>
        </w:rPr>
        <w:t>max</w:t>
      </w:r>
      <w:proofErr w:type="spellEnd"/>
      <w:r w:rsidRPr="00EB08A6">
        <w:rPr>
          <w:szCs w:val="22"/>
          <w:lang w:val="lt-LT"/>
        </w:rPr>
        <w:t xml:space="preserve"> nuo dozės nepriklauso. </w:t>
      </w:r>
      <w:proofErr w:type="spellStart"/>
      <w:r w:rsidRPr="00EB08A6">
        <w:rPr>
          <w:szCs w:val="22"/>
          <w:lang w:val="lt-LT"/>
        </w:rPr>
        <w:t>C</w:t>
      </w:r>
      <w:r w:rsidRPr="00EB08A6">
        <w:rPr>
          <w:szCs w:val="22"/>
          <w:vertAlign w:val="subscript"/>
          <w:lang w:val="lt-LT"/>
        </w:rPr>
        <w:t>max</w:t>
      </w:r>
      <w:proofErr w:type="spellEnd"/>
      <w:r w:rsidRPr="00EB08A6">
        <w:rPr>
          <w:szCs w:val="22"/>
          <w:lang w:val="lt-LT"/>
        </w:rPr>
        <w:t xml:space="preserve"> ir plotas, kurį atriboja koncentracijos kreivė (AUC), didėja proporcingai, didinant dozę nuo 5 mg iki 40 mg. Absoliutus biologinis prieinamumas yra maždaug 90 %.</w:t>
      </w:r>
    </w:p>
    <w:p w14:paraId="507BD152" w14:textId="77777777" w:rsidR="00EB08A6" w:rsidRPr="00EB08A6" w:rsidRDefault="00EB08A6" w:rsidP="00EB08A6">
      <w:pPr>
        <w:rPr>
          <w:szCs w:val="22"/>
          <w:lang w:val="lt-LT"/>
        </w:rPr>
      </w:pPr>
    </w:p>
    <w:p w14:paraId="391A10C7" w14:textId="77777777" w:rsidR="00EB08A6" w:rsidRPr="00EB08A6" w:rsidRDefault="00EB08A6" w:rsidP="00EB08A6">
      <w:pPr>
        <w:rPr>
          <w:szCs w:val="22"/>
          <w:lang w:val="lt-LT"/>
        </w:rPr>
      </w:pPr>
      <w:r w:rsidRPr="00EB08A6">
        <w:rPr>
          <w:szCs w:val="22"/>
          <w:lang w:val="lt-LT"/>
        </w:rPr>
        <w:t xml:space="preserve">Maistas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C</w:t>
      </w:r>
      <w:r w:rsidRPr="00EB08A6">
        <w:rPr>
          <w:szCs w:val="22"/>
          <w:vertAlign w:val="subscript"/>
          <w:lang w:val="lt-LT"/>
        </w:rPr>
        <w:t>max</w:t>
      </w:r>
      <w:proofErr w:type="spellEnd"/>
      <w:r w:rsidRPr="00EB08A6">
        <w:rPr>
          <w:szCs w:val="22"/>
          <w:lang w:val="lt-LT"/>
        </w:rPr>
        <w:t xml:space="preserve"> ir AUC nekeičia.</w:t>
      </w:r>
    </w:p>
    <w:p w14:paraId="380281E7" w14:textId="77777777" w:rsidR="00EB08A6" w:rsidRPr="00EB08A6" w:rsidRDefault="00EB08A6" w:rsidP="00EB08A6">
      <w:pPr>
        <w:rPr>
          <w:szCs w:val="22"/>
          <w:lang w:val="lt-LT"/>
        </w:rPr>
      </w:pPr>
    </w:p>
    <w:p w14:paraId="533E4C11" w14:textId="77777777" w:rsidR="00EB08A6" w:rsidRPr="00EB08A6" w:rsidRDefault="00EB08A6" w:rsidP="00EB08A6">
      <w:pPr>
        <w:pStyle w:val="Antrat3"/>
        <w:spacing w:before="0"/>
        <w:rPr>
          <w:rFonts w:ascii="Times New Roman" w:hAnsi="Times New Roman"/>
          <w:sz w:val="22"/>
          <w:szCs w:val="22"/>
          <w:lang w:val="lt-LT"/>
        </w:rPr>
      </w:pPr>
      <w:r w:rsidRPr="00EB08A6">
        <w:rPr>
          <w:rFonts w:ascii="Times New Roman" w:hAnsi="Times New Roman"/>
          <w:sz w:val="22"/>
          <w:szCs w:val="22"/>
          <w:lang w:val="lt-LT"/>
        </w:rPr>
        <w:lastRenderedPageBreak/>
        <w:t xml:space="preserve">Pasiskirstymas </w:t>
      </w:r>
    </w:p>
    <w:p w14:paraId="17F8F727" w14:textId="77777777" w:rsidR="00EB08A6" w:rsidRPr="00EB08A6" w:rsidRDefault="00EB08A6" w:rsidP="00EB08A6">
      <w:pPr>
        <w:rPr>
          <w:szCs w:val="22"/>
          <w:lang w:val="lt-LT"/>
        </w:rPr>
      </w:pPr>
      <w:proofErr w:type="spellStart"/>
      <w:r w:rsidRPr="00EB08A6">
        <w:rPr>
          <w:szCs w:val="22"/>
          <w:lang w:val="lt-LT"/>
        </w:rPr>
        <w:t>Solifenacino</w:t>
      </w:r>
      <w:proofErr w:type="spellEnd"/>
      <w:r w:rsidRPr="00EB08A6">
        <w:rPr>
          <w:szCs w:val="22"/>
          <w:lang w:val="lt-LT"/>
        </w:rPr>
        <w:t xml:space="preserve"> suleidus į veną, tariamasis pasiskirstymo tūris yra maždaug 600 l. Daug (apie 98 %) </w:t>
      </w:r>
      <w:proofErr w:type="spellStart"/>
      <w:r w:rsidRPr="00EB08A6">
        <w:rPr>
          <w:szCs w:val="22"/>
          <w:lang w:val="lt-LT"/>
        </w:rPr>
        <w:t>solifenacino</w:t>
      </w:r>
      <w:proofErr w:type="spellEnd"/>
      <w:r w:rsidRPr="00EB08A6">
        <w:rPr>
          <w:szCs w:val="22"/>
          <w:lang w:val="lt-LT"/>
        </w:rPr>
        <w:t xml:space="preserve"> jungiasi su kraujo plazmos baltymais, visų pirma su α1-rūgšties </w:t>
      </w:r>
      <w:proofErr w:type="spellStart"/>
      <w:r w:rsidRPr="00EB08A6">
        <w:rPr>
          <w:szCs w:val="22"/>
          <w:lang w:val="lt-LT"/>
        </w:rPr>
        <w:t>glikoproteinu</w:t>
      </w:r>
      <w:proofErr w:type="spellEnd"/>
      <w:r w:rsidRPr="00EB08A6">
        <w:rPr>
          <w:szCs w:val="22"/>
          <w:lang w:val="lt-LT"/>
        </w:rPr>
        <w:t xml:space="preserve">. </w:t>
      </w:r>
    </w:p>
    <w:p w14:paraId="452E57E1" w14:textId="77777777" w:rsidR="00EB08A6" w:rsidRPr="00EB08A6" w:rsidRDefault="00EB08A6" w:rsidP="00EB08A6">
      <w:pPr>
        <w:rPr>
          <w:szCs w:val="22"/>
          <w:lang w:val="lt-LT"/>
        </w:rPr>
      </w:pPr>
    </w:p>
    <w:p w14:paraId="1DEE1BDF" w14:textId="77777777" w:rsidR="00EB08A6" w:rsidRPr="00EB08A6" w:rsidRDefault="00EB08A6" w:rsidP="00EB08A6">
      <w:pPr>
        <w:pStyle w:val="Antrat3"/>
        <w:spacing w:before="0"/>
        <w:rPr>
          <w:rFonts w:ascii="Times New Roman" w:hAnsi="Times New Roman"/>
          <w:sz w:val="22"/>
          <w:szCs w:val="22"/>
          <w:lang w:val="lt-LT"/>
        </w:rPr>
      </w:pPr>
      <w:proofErr w:type="spellStart"/>
      <w:r w:rsidRPr="00EB08A6">
        <w:rPr>
          <w:rFonts w:ascii="Times New Roman" w:hAnsi="Times New Roman"/>
          <w:sz w:val="22"/>
          <w:szCs w:val="22"/>
          <w:lang w:val="lt-LT"/>
        </w:rPr>
        <w:t>Biotransformacija</w:t>
      </w:r>
      <w:proofErr w:type="spellEnd"/>
      <w:r w:rsidRPr="00EB08A6">
        <w:rPr>
          <w:rFonts w:ascii="Times New Roman" w:hAnsi="Times New Roman"/>
          <w:sz w:val="22"/>
          <w:szCs w:val="22"/>
          <w:lang w:val="lt-LT"/>
        </w:rPr>
        <w:t xml:space="preserve"> </w:t>
      </w:r>
    </w:p>
    <w:p w14:paraId="52AFF847" w14:textId="77777777" w:rsidR="00EB08A6" w:rsidRPr="00EB08A6" w:rsidRDefault="00EB08A6" w:rsidP="00EB08A6">
      <w:pPr>
        <w:rPr>
          <w:szCs w:val="22"/>
          <w:lang w:val="lt-LT"/>
        </w:rPr>
      </w:pPr>
      <w:r w:rsidRPr="00EB08A6">
        <w:rPr>
          <w:szCs w:val="22"/>
          <w:lang w:val="lt-LT"/>
        </w:rPr>
        <w:t xml:space="preserve">Didžioji dalis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metabolizuojama</w:t>
      </w:r>
      <w:proofErr w:type="spellEnd"/>
      <w:r w:rsidRPr="00EB08A6">
        <w:rPr>
          <w:szCs w:val="22"/>
          <w:lang w:val="lt-LT"/>
        </w:rPr>
        <w:t xml:space="preserve"> kepenyse, visų pirma </w:t>
      </w:r>
      <w:proofErr w:type="spellStart"/>
      <w:r w:rsidRPr="00EB08A6">
        <w:rPr>
          <w:szCs w:val="22"/>
          <w:lang w:val="lt-LT"/>
        </w:rPr>
        <w:t>citochromo</w:t>
      </w:r>
      <w:proofErr w:type="spellEnd"/>
      <w:r w:rsidRPr="00EB08A6">
        <w:rPr>
          <w:szCs w:val="22"/>
          <w:lang w:val="lt-LT"/>
        </w:rPr>
        <w:t xml:space="preserve"> P450 3A4 (CYP3A4). Tačiau egzistuoja ir kitokie metabolizmo būdai, kurie gali turėti įtakos </w:t>
      </w:r>
      <w:proofErr w:type="spellStart"/>
      <w:r w:rsidRPr="00EB08A6">
        <w:rPr>
          <w:szCs w:val="22"/>
          <w:lang w:val="lt-LT"/>
        </w:rPr>
        <w:t>solifenacino</w:t>
      </w:r>
      <w:proofErr w:type="spellEnd"/>
      <w:r w:rsidRPr="00EB08A6">
        <w:rPr>
          <w:szCs w:val="22"/>
          <w:lang w:val="lt-LT"/>
        </w:rPr>
        <w:t xml:space="preserve"> metabolizmui. Sisteminis </w:t>
      </w:r>
      <w:proofErr w:type="spellStart"/>
      <w:r w:rsidRPr="00EB08A6">
        <w:rPr>
          <w:szCs w:val="22"/>
          <w:lang w:val="lt-LT"/>
        </w:rPr>
        <w:t>solifenacino</w:t>
      </w:r>
      <w:proofErr w:type="spellEnd"/>
      <w:r w:rsidRPr="00EB08A6">
        <w:rPr>
          <w:szCs w:val="22"/>
          <w:lang w:val="lt-LT"/>
        </w:rPr>
        <w:t xml:space="preserve"> klirensas – maždaug 9,5 l/val., o galutinės pusinės eliminacijos laikas – 45–68 val. Išgėrus </w:t>
      </w:r>
      <w:proofErr w:type="spellStart"/>
      <w:r w:rsidRPr="00EB08A6">
        <w:rPr>
          <w:szCs w:val="22"/>
          <w:lang w:val="lt-LT"/>
        </w:rPr>
        <w:t>solifenacino</w:t>
      </w:r>
      <w:proofErr w:type="spellEnd"/>
      <w:r w:rsidRPr="00EB08A6">
        <w:rPr>
          <w:szCs w:val="22"/>
          <w:lang w:val="lt-LT"/>
        </w:rPr>
        <w:t>, be jo, kraujo plazmoje nustatomas vienas farmakologiškai aktyvus ir (4R-hidroksisolifenacinas) ir trys neaktyvūs metabolitai (</w:t>
      </w:r>
      <w:proofErr w:type="spellStart"/>
      <w:r w:rsidRPr="00EB08A6">
        <w:rPr>
          <w:szCs w:val="22"/>
          <w:lang w:val="lt-LT"/>
        </w:rPr>
        <w:t>solifenacino</w:t>
      </w:r>
      <w:proofErr w:type="spellEnd"/>
      <w:r w:rsidRPr="00EB08A6">
        <w:rPr>
          <w:szCs w:val="22"/>
          <w:lang w:val="lt-LT"/>
        </w:rPr>
        <w:t xml:space="preserve"> N-</w:t>
      </w:r>
      <w:proofErr w:type="spellStart"/>
      <w:r w:rsidRPr="00EB08A6">
        <w:rPr>
          <w:szCs w:val="22"/>
          <w:lang w:val="lt-LT"/>
        </w:rPr>
        <w:t>gliukuronidas</w:t>
      </w:r>
      <w:proofErr w:type="spellEnd"/>
      <w:r w:rsidRPr="00EB08A6">
        <w:rPr>
          <w:szCs w:val="22"/>
          <w:lang w:val="lt-LT"/>
        </w:rPr>
        <w:t xml:space="preserve">, N-oksidas ir 4R-hidroksi-N-oksidas). </w:t>
      </w:r>
    </w:p>
    <w:p w14:paraId="43D49376" w14:textId="77777777" w:rsidR="00EB08A6" w:rsidRPr="00EB08A6" w:rsidRDefault="00EB08A6" w:rsidP="00EB08A6">
      <w:pPr>
        <w:rPr>
          <w:szCs w:val="22"/>
          <w:lang w:val="lt-LT"/>
        </w:rPr>
      </w:pPr>
    </w:p>
    <w:p w14:paraId="4D29DD46" w14:textId="77777777" w:rsidR="00EB08A6" w:rsidRPr="00EB08A6" w:rsidRDefault="00EB08A6" w:rsidP="00EB08A6">
      <w:pPr>
        <w:pStyle w:val="Antrat3"/>
        <w:spacing w:before="0"/>
        <w:rPr>
          <w:rFonts w:ascii="Times New Roman" w:hAnsi="Times New Roman"/>
          <w:sz w:val="22"/>
          <w:szCs w:val="22"/>
          <w:lang w:val="lt-LT"/>
        </w:rPr>
      </w:pPr>
      <w:r w:rsidRPr="00EB08A6">
        <w:rPr>
          <w:rFonts w:ascii="Times New Roman" w:hAnsi="Times New Roman"/>
          <w:sz w:val="22"/>
          <w:szCs w:val="22"/>
          <w:lang w:val="lt-LT"/>
        </w:rPr>
        <w:t xml:space="preserve">Eliminacija </w:t>
      </w:r>
    </w:p>
    <w:p w14:paraId="5A1AA43D" w14:textId="77777777" w:rsidR="00EB08A6" w:rsidRPr="00EB08A6" w:rsidRDefault="00EB08A6" w:rsidP="00EB08A6">
      <w:pPr>
        <w:rPr>
          <w:szCs w:val="22"/>
          <w:lang w:val="lt-LT"/>
        </w:rPr>
      </w:pPr>
      <w:r w:rsidRPr="00EB08A6">
        <w:rPr>
          <w:szCs w:val="22"/>
          <w:lang w:val="lt-LT"/>
        </w:rPr>
        <w:t>Pavartojus vienkartinę 10 mg [</w:t>
      </w:r>
      <w:r w:rsidRPr="00EB08A6">
        <w:rPr>
          <w:szCs w:val="22"/>
          <w:vertAlign w:val="superscript"/>
          <w:lang w:val="lt-LT"/>
        </w:rPr>
        <w:t>14</w:t>
      </w:r>
      <w:r w:rsidRPr="00EB08A6">
        <w:rPr>
          <w:szCs w:val="22"/>
          <w:lang w:val="lt-LT"/>
        </w:rPr>
        <w:t>C-ženklinto]-</w:t>
      </w:r>
      <w:proofErr w:type="spellStart"/>
      <w:r w:rsidRPr="00EB08A6">
        <w:rPr>
          <w:szCs w:val="22"/>
          <w:lang w:val="lt-LT"/>
        </w:rPr>
        <w:t>solifenacino</w:t>
      </w:r>
      <w:proofErr w:type="spellEnd"/>
      <w:r w:rsidRPr="00EB08A6">
        <w:rPr>
          <w:szCs w:val="22"/>
          <w:lang w:val="lt-LT"/>
        </w:rPr>
        <w:t xml:space="preserve"> dozę, per 26 paras su šlapimu išsiskyrė maždaug 70 % radioaktyvios medžiagos, o su išmatomis – 23 %. Šlapime maždaug 11 % radioaktyvios medžiagos sudarė nepakitusi veiklioji medžiaga, maždaug 18 % - N-oksido metabolitas, 9 % - 4R-hidroksi-N-oksido metabolitas ir 8 % - 4R-hidroksimetabolitas (aktyvus metabolitas). </w:t>
      </w:r>
    </w:p>
    <w:p w14:paraId="4B1BA1E2" w14:textId="77777777" w:rsidR="00EB08A6" w:rsidRPr="00EB08A6" w:rsidRDefault="00EB08A6" w:rsidP="00EB08A6">
      <w:pPr>
        <w:keepNext/>
        <w:keepLines/>
        <w:rPr>
          <w:szCs w:val="22"/>
          <w:lang w:val="lt-LT"/>
        </w:rPr>
      </w:pPr>
    </w:p>
    <w:p w14:paraId="7E1E4040" w14:textId="77777777" w:rsidR="00EB08A6" w:rsidRPr="00EB08A6" w:rsidRDefault="00EB08A6" w:rsidP="00EB08A6">
      <w:pPr>
        <w:pStyle w:val="Antrat3"/>
        <w:keepNext w:val="0"/>
        <w:spacing w:before="0"/>
        <w:rPr>
          <w:rFonts w:ascii="Times New Roman" w:hAnsi="Times New Roman"/>
          <w:noProof/>
          <w:sz w:val="22"/>
          <w:szCs w:val="22"/>
        </w:rPr>
      </w:pPr>
      <w:r w:rsidRPr="00EB08A6">
        <w:rPr>
          <w:rFonts w:ascii="Times New Roman" w:hAnsi="Times New Roman"/>
          <w:sz w:val="22"/>
          <w:szCs w:val="22"/>
          <w:lang w:val="lt-LT"/>
        </w:rPr>
        <w:t>Tiesinis / netiesinis pobūdis</w:t>
      </w:r>
      <w:r w:rsidRPr="00EB08A6">
        <w:rPr>
          <w:rFonts w:ascii="Times New Roman" w:hAnsi="Times New Roman"/>
          <w:noProof/>
          <w:sz w:val="22"/>
          <w:szCs w:val="22"/>
        </w:rPr>
        <w:t xml:space="preserve"> </w:t>
      </w:r>
    </w:p>
    <w:p w14:paraId="6993DFB1" w14:textId="77777777" w:rsidR="00EB08A6" w:rsidRPr="00EB08A6" w:rsidRDefault="00EB08A6" w:rsidP="00EB08A6">
      <w:pPr>
        <w:keepLines/>
        <w:rPr>
          <w:szCs w:val="22"/>
          <w:lang w:val="lt-LT"/>
        </w:rPr>
      </w:pPr>
      <w:r w:rsidRPr="00EB08A6">
        <w:rPr>
          <w:szCs w:val="22"/>
          <w:lang w:val="lt-LT"/>
        </w:rPr>
        <w:t xml:space="preserve">Vartojant gydomąsias vaistinio preparato dozes, </w:t>
      </w:r>
      <w:proofErr w:type="spellStart"/>
      <w:r w:rsidRPr="00EB08A6">
        <w:rPr>
          <w:szCs w:val="22"/>
          <w:lang w:val="lt-LT"/>
        </w:rPr>
        <w:t>farmakokinetika</w:t>
      </w:r>
      <w:proofErr w:type="spellEnd"/>
      <w:r w:rsidRPr="00EB08A6">
        <w:rPr>
          <w:szCs w:val="22"/>
          <w:lang w:val="lt-LT"/>
        </w:rPr>
        <w:t xml:space="preserve"> yra tiesinė.</w:t>
      </w:r>
    </w:p>
    <w:p w14:paraId="68F980A9" w14:textId="77777777" w:rsidR="00EB08A6" w:rsidRPr="00EB08A6" w:rsidRDefault="00EB08A6" w:rsidP="00EB08A6">
      <w:pPr>
        <w:rPr>
          <w:noProof/>
          <w:szCs w:val="22"/>
        </w:rPr>
      </w:pPr>
    </w:p>
    <w:p w14:paraId="46C9BACC" w14:textId="77777777" w:rsidR="00EB08A6" w:rsidRPr="00EB08A6" w:rsidRDefault="00EB08A6" w:rsidP="00EB08A6">
      <w:pPr>
        <w:rPr>
          <w:szCs w:val="22"/>
          <w:u w:val="single"/>
          <w:lang w:val="lt-LT"/>
        </w:rPr>
      </w:pPr>
      <w:r w:rsidRPr="00EB08A6">
        <w:rPr>
          <w:szCs w:val="22"/>
          <w:u w:val="single"/>
          <w:lang w:val="lt-LT"/>
        </w:rPr>
        <w:t>Ypatingos populiacijos</w:t>
      </w:r>
    </w:p>
    <w:p w14:paraId="440FF110" w14:textId="77777777" w:rsidR="00EB08A6" w:rsidRPr="00EB08A6" w:rsidRDefault="00EB08A6" w:rsidP="00EB08A6">
      <w:pPr>
        <w:rPr>
          <w:i/>
          <w:szCs w:val="22"/>
          <w:lang w:val="lt-LT"/>
        </w:rPr>
      </w:pPr>
    </w:p>
    <w:p w14:paraId="329FBB32" w14:textId="77777777" w:rsidR="00EB08A6" w:rsidRPr="00EB08A6" w:rsidRDefault="00EB08A6" w:rsidP="00EB08A6">
      <w:pPr>
        <w:rPr>
          <w:i/>
          <w:szCs w:val="22"/>
          <w:lang w:val="lt-LT"/>
        </w:rPr>
      </w:pPr>
      <w:r w:rsidRPr="00EB08A6">
        <w:rPr>
          <w:i/>
          <w:szCs w:val="22"/>
          <w:lang w:val="lt-LT"/>
        </w:rPr>
        <w:t>Senyvi pacientai</w:t>
      </w:r>
    </w:p>
    <w:p w14:paraId="34DD3279" w14:textId="77777777" w:rsidR="00EB08A6" w:rsidRPr="00EB08A6" w:rsidRDefault="00EB08A6" w:rsidP="00EB08A6">
      <w:pPr>
        <w:rPr>
          <w:szCs w:val="22"/>
          <w:lang w:val="lt-LT"/>
        </w:rPr>
      </w:pPr>
      <w:r w:rsidRPr="00EB08A6">
        <w:rPr>
          <w:szCs w:val="22"/>
          <w:lang w:val="lt-LT"/>
        </w:rPr>
        <w:t xml:space="preserve">Dozės korekcijos atsižvelgiant į paciento amžių nereikia. Tyrimų, atliktų su senyvo amžiaus žmonėmis, rezultatai parodė, kad </w:t>
      </w:r>
      <w:proofErr w:type="spellStart"/>
      <w:r w:rsidRPr="00EB08A6">
        <w:rPr>
          <w:szCs w:val="22"/>
          <w:lang w:val="lt-LT"/>
        </w:rPr>
        <w:t>solifenacino</w:t>
      </w:r>
      <w:proofErr w:type="spellEnd"/>
      <w:r w:rsidRPr="00EB08A6">
        <w:rPr>
          <w:szCs w:val="22"/>
          <w:lang w:val="lt-LT"/>
        </w:rPr>
        <w:t xml:space="preserve"> ekspozicija, išreikšta AUC, pavartojus 5 mg ar 10 mg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sukcinato</w:t>
      </w:r>
      <w:proofErr w:type="spellEnd"/>
      <w:r w:rsidRPr="00EB08A6">
        <w:rPr>
          <w:szCs w:val="22"/>
          <w:lang w:val="lt-LT"/>
        </w:rPr>
        <w:t xml:space="preserve"> kartą per parą, sveikų senyvų žmonių (65</w:t>
      </w:r>
      <w:r w:rsidRPr="00EB08A6">
        <w:rPr>
          <w:szCs w:val="22"/>
          <w:lang w:val="lt-LT"/>
        </w:rPr>
        <w:sym w:font="Symbol" w:char="F02D"/>
      </w:r>
      <w:r w:rsidRPr="00EB08A6">
        <w:rPr>
          <w:szCs w:val="22"/>
          <w:lang w:val="lt-LT"/>
        </w:rPr>
        <w:t xml:space="preserve">80 m.) ir sveikų jaunesnių žmonių (jaunesnių kaip 55 metų) buvo panaši. Senyvų žmonių organizme vidutinis absorbcijos greitis, išreikštas </w:t>
      </w:r>
      <w:proofErr w:type="spellStart"/>
      <w:r w:rsidRPr="00EB08A6">
        <w:rPr>
          <w:szCs w:val="22"/>
          <w:lang w:val="lt-LT"/>
        </w:rPr>
        <w:t>t</w:t>
      </w:r>
      <w:r w:rsidRPr="00EB08A6">
        <w:rPr>
          <w:szCs w:val="22"/>
          <w:vertAlign w:val="subscript"/>
          <w:lang w:val="lt-LT"/>
        </w:rPr>
        <w:t>max</w:t>
      </w:r>
      <w:proofErr w:type="spellEnd"/>
      <w:r w:rsidRPr="00EB08A6">
        <w:rPr>
          <w:szCs w:val="22"/>
          <w:lang w:val="lt-LT"/>
        </w:rPr>
        <w:t xml:space="preserve">, buvo šiek tiek lėtesnis, o galutinės pusinės eliminacijos laikas maždaug 20 % ilgesnis. Šis nedidelis skirtumas laikomas kliniškai nereikšmingu. </w:t>
      </w:r>
    </w:p>
    <w:p w14:paraId="24E62679" w14:textId="77777777" w:rsidR="00EB08A6" w:rsidRPr="00EB08A6" w:rsidRDefault="00EB08A6" w:rsidP="00EB08A6">
      <w:pPr>
        <w:rPr>
          <w:szCs w:val="22"/>
          <w:lang w:val="lt-LT"/>
        </w:rPr>
      </w:pPr>
    </w:p>
    <w:p w14:paraId="2C5EB39E" w14:textId="77777777" w:rsidR="00EB08A6" w:rsidRPr="00EB08A6" w:rsidRDefault="00EB08A6" w:rsidP="00EB08A6">
      <w:pPr>
        <w:rPr>
          <w:i/>
          <w:szCs w:val="22"/>
          <w:lang w:val="lt-LT"/>
        </w:rPr>
      </w:pPr>
      <w:r w:rsidRPr="00EB08A6">
        <w:rPr>
          <w:i/>
          <w:szCs w:val="22"/>
          <w:lang w:val="lt-LT"/>
        </w:rPr>
        <w:t>Vaikai ir paaugliai (2–18 metų)</w:t>
      </w:r>
    </w:p>
    <w:p w14:paraId="481D8F10" w14:textId="77777777" w:rsidR="00EB08A6" w:rsidRPr="00EB08A6" w:rsidRDefault="00EB08A6" w:rsidP="00EB08A6">
      <w:pPr>
        <w:rPr>
          <w:szCs w:val="22"/>
          <w:lang w:val="lt-LT"/>
        </w:rPr>
      </w:pPr>
      <w:proofErr w:type="spellStart"/>
      <w:r w:rsidRPr="00EB08A6">
        <w:rPr>
          <w:szCs w:val="22"/>
          <w:lang w:val="lt-LT"/>
        </w:rPr>
        <w:t>Farmakokinetika</w:t>
      </w:r>
      <w:proofErr w:type="spellEnd"/>
      <w:r w:rsidRPr="00EB08A6">
        <w:rPr>
          <w:szCs w:val="22"/>
          <w:lang w:val="lt-LT"/>
        </w:rPr>
        <w:t xml:space="preserve"> </w:t>
      </w:r>
      <w:proofErr w:type="spellStart"/>
      <w:r w:rsidRPr="00EB08A6">
        <w:rPr>
          <w:szCs w:val="22"/>
          <w:lang w:val="lt-LT"/>
        </w:rPr>
        <w:t>solifenacino</w:t>
      </w:r>
      <w:proofErr w:type="spellEnd"/>
      <w:r w:rsidRPr="00EB08A6">
        <w:rPr>
          <w:szCs w:val="22"/>
          <w:lang w:val="lt-LT"/>
        </w:rPr>
        <w:t xml:space="preserve">, dozuojant pagal svorį vaikams ir paaugliams, kuriems nustatyta </w:t>
      </w:r>
      <w:proofErr w:type="spellStart"/>
      <w:r w:rsidRPr="00EB08A6">
        <w:rPr>
          <w:szCs w:val="22"/>
          <w:lang w:val="lt-LT"/>
        </w:rPr>
        <w:t>hiperaktyvi</w:t>
      </w:r>
      <w:proofErr w:type="spellEnd"/>
      <w:r w:rsidRPr="00EB08A6">
        <w:rPr>
          <w:szCs w:val="22"/>
          <w:lang w:val="lt-LT"/>
        </w:rPr>
        <w:t xml:space="preserve"> šlapimo pūslė (5 metų ir vyresniems) ir NDA (2–18 metų), koreguojant pagal kūno svorį buvo panaši į suaugusiųjų, su šiek tiek trumpesniu </w:t>
      </w:r>
      <w:proofErr w:type="spellStart"/>
      <w:r w:rsidRPr="00EB08A6">
        <w:rPr>
          <w:szCs w:val="22"/>
          <w:lang w:val="lt-LT"/>
        </w:rPr>
        <w:t>t</w:t>
      </w:r>
      <w:r w:rsidRPr="00EB08A6">
        <w:rPr>
          <w:szCs w:val="22"/>
          <w:vertAlign w:val="subscript"/>
          <w:lang w:val="lt-LT"/>
        </w:rPr>
        <w:t>max</w:t>
      </w:r>
      <w:proofErr w:type="spellEnd"/>
      <w:r w:rsidRPr="00EB08A6">
        <w:rPr>
          <w:szCs w:val="22"/>
          <w:lang w:val="lt-LT"/>
        </w:rPr>
        <w:t xml:space="preserve"> ir t</w:t>
      </w:r>
      <w:r w:rsidRPr="00EB08A6">
        <w:rPr>
          <w:szCs w:val="22"/>
          <w:vertAlign w:val="subscript"/>
          <w:lang w:val="lt-LT"/>
        </w:rPr>
        <w:t>1/2</w:t>
      </w:r>
      <w:r w:rsidRPr="00EB08A6">
        <w:rPr>
          <w:szCs w:val="22"/>
          <w:lang w:val="lt-LT"/>
        </w:rPr>
        <w:t>; šie skirtumai nelaikomi kliniškai reikšmingais.</w:t>
      </w:r>
    </w:p>
    <w:p w14:paraId="31062A69" w14:textId="77777777" w:rsidR="00EB08A6" w:rsidRPr="00EB08A6" w:rsidRDefault="00EB08A6" w:rsidP="00EB08A6">
      <w:pPr>
        <w:rPr>
          <w:szCs w:val="22"/>
          <w:lang w:val="lt-LT"/>
        </w:rPr>
      </w:pPr>
    </w:p>
    <w:p w14:paraId="5495D091" w14:textId="77777777" w:rsidR="00EB08A6" w:rsidRPr="00EB08A6" w:rsidRDefault="00EB08A6" w:rsidP="00EB08A6">
      <w:pPr>
        <w:rPr>
          <w:i/>
          <w:szCs w:val="22"/>
          <w:lang w:val="lt-LT"/>
        </w:rPr>
      </w:pPr>
      <w:r w:rsidRPr="00EB08A6">
        <w:rPr>
          <w:i/>
          <w:szCs w:val="22"/>
          <w:lang w:val="lt-LT"/>
        </w:rPr>
        <w:t>Lytis</w:t>
      </w:r>
    </w:p>
    <w:p w14:paraId="126F1D06" w14:textId="77777777" w:rsidR="00EB08A6" w:rsidRPr="00EB08A6" w:rsidRDefault="00EB08A6" w:rsidP="00EB08A6">
      <w:pPr>
        <w:rPr>
          <w:szCs w:val="22"/>
          <w:lang w:val="lt-LT"/>
        </w:rPr>
      </w:pPr>
      <w:proofErr w:type="spellStart"/>
      <w:r w:rsidRPr="00EB08A6">
        <w:rPr>
          <w:szCs w:val="22"/>
          <w:lang w:val="lt-LT"/>
        </w:rPr>
        <w:t>Farmakokinetinėms</w:t>
      </w:r>
      <w:proofErr w:type="spellEnd"/>
      <w:r w:rsidRPr="00EB08A6">
        <w:rPr>
          <w:szCs w:val="22"/>
          <w:lang w:val="lt-LT"/>
        </w:rPr>
        <w:t xml:space="preserve"> </w:t>
      </w:r>
      <w:proofErr w:type="spellStart"/>
      <w:r w:rsidRPr="00EB08A6">
        <w:rPr>
          <w:szCs w:val="22"/>
          <w:lang w:val="lt-LT"/>
        </w:rPr>
        <w:t>solifenacino</w:t>
      </w:r>
      <w:proofErr w:type="spellEnd"/>
      <w:r w:rsidRPr="00EB08A6">
        <w:rPr>
          <w:szCs w:val="22"/>
          <w:lang w:val="lt-LT"/>
        </w:rPr>
        <w:t xml:space="preserve"> savybėms lytis įtakos neturi. </w:t>
      </w:r>
    </w:p>
    <w:p w14:paraId="4BB93A8F" w14:textId="77777777" w:rsidR="00EB08A6" w:rsidRPr="00EB08A6" w:rsidRDefault="00EB08A6" w:rsidP="00EB08A6">
      <w:pPr>
        <w:rPr>
          <w:szCs w:val="22"/>
          <w:lang w:val="lt-LT"/>
        </w:rPr>
      </w:pPr>
    </w:p>
    <w:p w14:paraId="1C084F73" w14:textId="77777777" w:rsidR="00EB08A6" w:rsidRPr="00EB08A6" w:rsidRDefault="00EB08A6" w:rsidP="00EB08A6">
      <w:pPr>
        <w:rPr>
          <w:i/>
          <w:szCs w:val="22"/>
          <w:lang w:val="lt-LT"/>
        </w:rPr>
      </w:pPr>
      <w:r w:rsidRPr="00EB08A6">
        <w:rPr>
          <w:i/>
          <w:szCs w:val="22"/>
          <w:lang w:val="lt-LT"/>
        </w:rPr>
        <w:t xml:space="preserve">Rasė </w:t>
      </w:r>
    </w:p>
    <w:p w14:paraId="05DCBDE8" w14:textId="77777777" w:rsidR="00EB08A6" w:rsidRPr="00EB08A6" w:rsidRDefault="00EB08A6" w:rsidP="00EB08A6">
      <w:pPr>
        <w:rPr>
          <w:szCs w:val="22"/>
          <w:lang w:val="lt-LT"/>
        </w:rPr>
      </w:pPr>
      <w:proofErr w:type="spellStart"/>
      <w:r w:rsidRPr="00EB08A6">
        <w:rPr>
          <w:szCs w:val="22"/>
          <w:lang w:val="lt-LT"/>
        </w:rPr>
        <w:t>Farmakokinetinėms</w:t>
      </w:r>
      <w:proofErr w:type="spellEnd"/>
      <w:r w:rsidRPr="00EB08A6">
        <w:rPr>
          <w:szCs w:val="22"/>
          <w:lang w:val="lt-LT"/>
        </w:rPr>
        <w:t xml:space="preserve"> </w:t>
      </w:r>
      <w:proofErr w:type="spellStart"/>
      <w:r w:rsidRPr="00EB08A6">
        <w:rPr>
          <w:szCs w:val="22"/>
          <w:lang w:val="lt-LT"/>
        </w:rPr>
        <w:t>solifenacino</w:t>
      </w:r>
      <w:proofErr w:type="spellEnd"/>
      <w:r w:rsidRPr="00EB08A6">
        <w:rPr>
          <w:szCs w:val="22"/>
          <w:lang w:val="lt-LT"/>
        </w:rPr>
        <w:t xml:space="preserve"> savybėms rasė įtakos neturi. </w:t>
      </w:r>
    </w:p>
    <w:p w14:paraId="006E1991" w14:textId="77777777" w:rsidR="00EB08A6" w:rsidRPr="00EB08A6" w:rsidRDefault="00EB08A6" w:rsidP="00EB08A6">
      <w:pPr>
        <w:rPr>
          <w:szCs w:val="22"/>
          <w:lang w:val="lt-LT"/>
        </w:rPr>
      </w:pPr>
    </w:p>
    <w:p w14:paraId="1AD79091" w14:textId="77777777" w:rsidR="00EB08A6" w:rsidRPr="00EB08A6" w:rsidRDefault="00EB08A6" w:rsidP="00EB08A6">
      <w:pPr>
        <w:rPr>
          <w:i/>
          <w:szCs w:val="22"/>
          <w:lang w:val="lt-LT"/>
        </w:rPr>
      </w:pPr>
      <w:r w:rsidRPr="00EB08A6">
        <w:rPr>
          <w:i/>
          <w:szCs w:val="22"/>
          <w:lang w:val="lt-LT"/>
        </w:rPr>
        <w:t>Sutrikusi inkstų funkcija</w:t>
      </w:r>
    </w:p>
    <w:p w14:paraId="5AD1C9B1" w14:textId="77777777" w:rsidR="00EB08A6" w:rsidRPr="00EB08A6" w:rsidRDefault="00EB08A6" w:rsidP="00EB08A6">
      <w:pPr>
        <w:rPr>
          <w:szCs w:val="22"/>
          <w:lang w:val="lt-LT"/>
        </w:rPr>
      </w:pPr>
      <w:proofErr w:type="spellStart"/>
      <w:r w:rsidRPr="00EB08A6">
        <w:rPr>
          <w:szCs w:val="22"/>
          <w:lang w:val="lt-LT"/>
        </w:rPr>
        <w:t>Solifenacino</w:t>
      </w:r>
      <w:proofErr w:type="spellEnd"/>
      <w:r w:rsidRPr="00EB08A6">
        <w:rPr>
          <w:szCs w:val="22"/>
          <w:lang w:val="lt-LT"/>
        </w:rPr>
        <w:t xml:space="preserve"> AUC ir </w:t>
      </w:r>
      <w:proofErr w:type="spellStart"/>
      <w:r w:rsidRPr="00EB08A6">
        <w:rPr>
          <w:szCs w:val="22"/>
          <w:lang w:val="lt-LT"/>
        </w:rPr>
        <w:t>C</w:t>
      </w:r>
      <w:r w:rsidRPr="00EB08A6">
        <w:rPr>
          <w:szCs w:val="22"/>
          <w:vertAlign w:val="subscript"/>
          <w:lang w:val="lt-LT"/>
        </w:rPr>
        <w:t>max</w:t>
      </w:r>
      <w:proofErr w:type="spellEnd"/>
      <w:r w:rsidRPr="00EB08A6">
        <w:rPr>
          <w:szCs w:val="22"/>
          <w:lang w:val="lt-LT"/>
        </w:rPr>
        <w:t xml:space="preserve"> pacientų, kurių inkstų funkcijos sutrikimas yra lengvas ar vidutinio sunkumo, organizme reikšmingai nesiskyrė nuo sveikų savanorių. Pacientų, kurie serga sunkiu inkstų funkcijos sutrikimu (</w:t>
      </w:r>
      <w:proofErr w:type="spellStart"/>
      <w:r w:rsidRPr="00EB08A6">
        <w:rPr>
          <w:szCs w:val="22"/>
          <w:lang w:val="lt-LT"/>
        </w:rPr>
        <w:t>kreatinino</w:t>
      </w:r>
      <w:proofErr w:type="spellEnd"/>
      <w:r w:rsidRPr="00EB08A6">
        <w:rPr>
          <w:szCs w:val="22"/>
          <w:lang w:val="lt-LT"/>
        </w:rPr>
        <w:t xml:space="preserve"> klirensas ≤ 30 ml/min.), organizme </w:t>
      </w:r>
      <w:proofErr w:type="spellStart"/>
      <w:r w:rsidRPr="00EB08A6">
        <w:rPr>
          <w:szCs w:val="22"/>
          <w:lang w:val="lt-LT"/>
        </w:rPr>
        <w:t>solifenacino</w:t>
      </w:r>
      <w:proofErr w:type="spellEnd"/>
      <w:r w:rsidRPr="00EB08A6">
        <w:rPr>
          <w:szCs w:val="22"/>
          <w:lang w:val="lt-LT"/>
        </w:rPr>
        <w:t xml:space="preserve"> ekspozicija buvo reikšmingai didesnė negu kontrolinės grupės tiriamųjų: </w:t>
      </w:r>
      <w:proofErr w:type="spellStart"/>
      <w:r w:rsidRPr="00EB08A6">
        <w:rPr>
          <w:szCs w:val="22"/>
          <w:lang w:val="lt-LT"/>
        </w:rPr>
        <w:t>C</w:t>
      </w:r>
      <w:r w:rsidRPr="00EB08A6">
        <w:rPr>
          <w:szCs w:val="22"/>
          <w:vertAlign w:val="subscript"/>
          <w:lang w:val="lt-LT"/>
        </w:rPr>
        <w:t>max</w:t>
      </w:r>
      <w:proofErr w:type="spellEnd"/>
      <w:r w:rsidRPr="00EB08A6">
        <w:rPr>
          <w:szCs w:val="22"/>
          <w:lang w:val="lt-LT"/>
        </w:rPr>
        <w:t xml:space="preserve"> buvo didesnė maždaug 30 %, AUC – daugiau kaip 100 %, t</w:t>
      </w:r>
      <w:r w:rsidRPr="00EB08A6">
        <w:rPr>
          <w:szCs w:val="22"/>
          <w:vertAlign w:val="subscript"/>
          <w:lang w:val="lt-LT"/>
        </w:rPr>
        <w:t>1/2</w:t>
      </w:r>
      <w:r w:rsidRPr="00EB08A6">
        <w:rPr>
          <w:szCs w:val="22"/>
          <w:lang w:val="lt-LT"/>
        </w:rPr>
        <w:t xml:space="preserve"> – daugiau kaip 60 %. Nustatytas statistiškai reikšmingas ryšys tarp </w:t>
      </w:r>
      <w:proofErr w:type="spellStart"/>
      <w:r w:rsidRPr="00EB08A6">
        <w:rPr>
          <w:szCs w:val="22"/>
          <w:lang w:val="lt-LT"/>
        </w:rPr>
        <w:t>kreatinino</w:t>
      </w:r>
      <w:proofErr w:type="spellEnd"/>
      <w:r w:rsidRPr="00EB08A6">
        <w:rPr>
          <w:szCs w:val="22"/>
          <w:lang w:val="lt-LT"/>
        </w:rPr>
        <w:t xml:space="preserve"> klirenso ir </w:t>
      </w:r>
      <w:proofErr w:type="spellStart"/>
      <w:r w:rsidRPr="00EB08A6">
        <w:rPr>
          <w:szCs w:val="22"/>
          <w:lang w:val="lt-LT"/>
        </w:rPr>
        <w:t>solifenacino</w:t>
      </w:r>
      <w:proofErr w:type="spellEnd"/>
      <w:r w:rsidRPr="00EB08A6">
        <w:rPr>
          <w:szCs w:val="22"/>
          <w:lang w:val="lt-LT"/>
        </w:rPr>
        <w:t xml:space="preserve"> klirenso. </w:t>
      </w:r>
    </w:p>
    <w:p w14:paraId="3D33676D" w14:textId="77777777" w:rsidR="00EB08A6" w:rsidRPr="00EB08A6" w:rsidRDefault="00EB08A6" w:rsidP="00EB08A6">
      <w:pPr>
        <w:rPr>
          <w:szCs w:val="22"/>
          <w:lang w:val="lt-LT"/>
        </w:rPr>
      </w:pPr>
    </w:p>
    <w:p w14:paraId="781393C4" w14:textId="77777777" w:rsidR="00EB08A6" w:rsidRPr="00EB08A6" w:rsidRDefault="00EB08A6" w:rsidP="00EB08A6">
      <w:pPr>
        <w:rPr>
          <w:szCs w:val="22"/>
          <w:lang w:val="lt-LT"/>
        </w:rPr>
      </w:pP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farmakokinetinės</w:t>
      </w:r>
      <w:proofErr w:type="spellEnd"/>
      <w:r w:rsidRPr="00EB08A6">
        <w:rPr>
          <w:szCs w:val="22"/>
          <w:lang w:val="lt-LT"/>
        </w:rPr>
        <w:t xml:space="preserve"> savybės pacientams, kuriems atliekamos hemodializės, netirtos. </w:t>
      </w:r>
    </w:p>
    <w:p w14:paraId="2218B7DF" w14:textId="77777777" w:rsidR="00EB08A6" w:rsidRPr="00EB08A6" w:rsidRDefault="00EB08A6" w:rsidP="00EB08A6">
      <w:pPr>
        <w:rPr>
          <w:i/>
          <w:szCs w:val="22"/>
          <w:lang w:val="lt-LT"/>
        </w:rPr>
      </w:pPr>
    </w:p>
    <w:p w14:paraId="2952AE9E" w14:textId="77777777" w:rsidR="00EB08A6" w:rsidRPr="00EB08A6" w:rsidRDefault="00EB08A6" w:rsidP="00EB08A6">
      <w:pPr>
        <w:rPr>
          <w:i/>
          <w:szCs w:val="22"/>
          <w:lang w:val="lt-LT"/>
        </w:rPr>
      </w:pPr>
      <w:r w:rsidRPr="00EB08A6">
        <w:rPr>
          <w:i/>
          <w:szCs w:val="22"/>
          <w:lang w:val="lt-LT"/>
        </w:rPr>
        <w:t xml:space="preserve">Sutrikusi kepenų funkcija </w:t>
      </w:r>
    </w:p>
    <w:p w14:paraId="6401BD9C" w14:textId="77777777" w:rsidR="00EB08A6" w:rsidRPr="00EB08A6" w:rsidRDefault="00EB08A6" w:rsidP="00EB08A6">
      <w:pPr>
        <w:rPr>
          <w:szCs w:val="22"/>
          <w:lang w:val="lt-LT"/>
        </w:rPr>
      </w:pPr>
      <w:r w:rsidRPr="00EB08A6">
        <w:rPr>
          <w:szCs w:val="22"/>
          <w:lang w:val="lt-LT"/>
        </w:rPr>
        <w:lastRenderedPageBreak/>
        <w:t>Pacientų, kurie serga vidutinio sunkumo kepenų funkcijos sutrikimu (7</w:t>
      </w:r>
      <w:r w:rsidRPr="00EB08A6">
        <w:rPr>
          <w:szCs w:val="22"/>
          <w:lang w:val="lt-LT"/>
        </w:rPr>
        <w:sym w:font="Symbol" w:char="F02D"/>
      </w:r>
      <w:r w:rsidRPr="00EB08A6">
        <w:rPr>
          <w:szCs w:val="22"/>
          <w:lang w:val="lt-LT"/>
        </w:rPr>
        <w:t>9 balai pagal „</w:t>
      </w:r>
      <w:proofErr w:type="spellStart"/>
      <w:r w:rsidRPr="00EB08A6">
        <w:rPr>
          <w:i/>
          <w:szCs w:val="22"/>
          <w:lang w:val="lt-LT"/>
        </w:rPr>
        <w:t>Child-Pugh</w:t>
      </w:r>
      <w:proofErr w:type="spellEnd"/>
      <w:r w:rsidRPr="00EB08A6">
        <w:rPr>
          <w:szCs w:val="22"/>
          <w:lang w:val="lt-LT"/>
        </w:rPr>
        <w:t xml:space="preserve">“), organizme </w:t>
      </w:r>
      <w:proofErr w:type="spellStart"/>
      <w:r w:rsidRPr="00EB08A6">
        <w:rPr>
          <w:szCs w:val="22"/>
          <w:lang w:val="lt-LT"/>
        </w:rPr>
        <w:t>C</w:t>
      </w:r>
      <w:r w:rsidRPr="00EB08A6">
        <w:rPr>
          <w:szCs w:val="22"/>
          <w:vertAlign w:val="subscript"/>
          <w:lang w:val="lt-LT"/>
        </w:rPr>
        <w:t>max</w:t>
      </w:r>
      <w:proofErr w:type="spellEnd"/>
      <w:r w:rsidRPr="00EB08A6">
        <w:rPr>
          <w:szCs w:val="22"/>
          <w:lang w:val="lt-LT"/>
        </w:rPr>
        <w:t xml:space="preserve"> nepakinta, AUC padidėja 60 %, o t</w:t>
      </w:r>
      <w:r w:rsidRPr="00EB08A6">
        <w:rPr>
          <w:szCs w:val="22"/>
          <w:vertAlign w:val="subscript"/>
          <w:lang w:val="lt-LT"/>
        </w:rPr>
        <w:t>1/2</w:t>
      </w:r>
      <w:r w:rsidRPr="00EB08A6">
        <w:rPr>
          <w:szCs w:val="22"/>
          <w:lang w:val="lt-LT"/>
        </w:rPr>
        <w:t xml:space="preserve"> padvigubėja.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farmakokinetika</w:t>
      </w:r>
      <w:proofErr w:type="spellEnd"/>
      <w:r w:rsidRPr="00EB08A6">
        <w:rPr>
          <w:szCs w:val="22"/>
          <w:lang w:val="lt-LT"/>
        </w:rPr>
        <w:t xml:space="preserve"> pacientų, kurie serga sunkiu kepenų funkcijos sutrikimu, organizme netirta.</w:t>
      </w:r>
    </w:p>
    <w:p w14:paraId="31D3FE30" w14:textId="77777777" w:rsidR="00EB08A6" w:rsidRPr="00EB08A6" w:rsidRDefault="00EB08A6" w:rsidP="00EB08A6">
      <w:pPr>
        <w:rPr>
          <w:szCs w:val="22"/>
          <w:lang w:val="lt-LT"/>
        </w:rPr>
      </w:pPr>
    </w:p>
    <w:p w14:paraId="2CCB3C39" w14:textId="77777777" w:rsidR="00EB08A6" w:rsidRPr="00EB08A6" w:rsidRDefault="00EB08A6" w:rsidP="00EB08A6">
      <w:pPr>
        <w:pStyle w:val="Antrat2"/>
        <w:spacing w:before="0" w:after="0"/>
        <w:rPr>
          <w:rFonts w:ascii="Times New Roman" w:hAnsi="Times New Roman"/>
          <w:i w:val="0"/>
          <w:sz w:val="22"/>
          <w:szCs w:val="22"/>
          <w:lang w:val="lt-LT"/>
        </w:rPr>
      </w:pPr>
      <w:bookmarkStart w:id="36" w:name="_i4i05dZ9RtpiRwMaVLtjPokR8"/>
      <w:bookmarkEnd w:id="36"/>
      <w:r w:rsidRPr="00EB08A6">
        <w:rPr>
          <w:rFonts w:ascii="Times New Roman" w:hAnsi="Times New Roman"/>
          <w:i w:val="0"/>
          <w:sz w:val="22"/>
          <w:szCs w:val="22"/>
          <w:lang w:val="lt-LT"/>
        </w:rPr>
        <w:t>5.3</w:t>
      </w:r>
      <w:r w:rsidRPr="00EB08A6">
        <w:rPr>
          <w:rFonts w:ascii="Times New Roman" w:hAnsi="Times New Roman"/>
          <w:i w:val="0"/>
          <w:sz w:val="22"/>
          <w:szCs w:val="22"/>
          <w:lang w:val="lt-LT"/>
        </w:rPr>
        <w:tab/>
      </w:r>
      <w:proofErr w:type="spellStart"/>
      <w:r w:rsidRPr="00EB08A6">
        <w:rPr>
          <w:rFonts w:ascii="Times New Roman" w:hAnsi="Times New Roman"/>
          <w:i w:val="0"/>
          <w:sz w:val="22"/>
          <w:szCs w:val="22"/>
          <w:lang w:val="lt-LT"/>
        </w:rPr>
        <w:t>Ikiklinikinių</w:t>
      </w:r>
      <w:proofErr w:type="spellEnd"/>
      <w:r w:rsidRPr="00EB08A6">
        <w:rPr>
          <w:rFonts w:ascii="Times New Roman" w:hAnsi="Times New Roman"/>
          <w:i w:val="0"/>
          <w:sz w:val="22"/>
          <w:szCs w:val="22"/>
          <w:lang w:val="lt-LT"/>
        </w:rPr>
        <w:t xml:space="preserve"> saugumo tyrimų duomenys </w:t>
      </w:r>
    </w:p>
    <w:p w14:paraId="0BD226CF" w14:textId="77777777" w:rsidR="00EB08A6" w:rsidRPr="00EB08A6" w:rsidRDefault="00EB08A6" w:rsidP="00EB08A6">
      <w:pPr>
        <w:rPr>
          <w:szCs w:val="22"/>
          <w:lang w:val="lt-LT"/>
        </w:rPr>
      </w:pPr>
      <w:bookmarkStart w:id="37" w:name="_i4i157h7XMhIvvLoAEekCF6iY"/>
      <w:bookmarkEnd w:id="37"/>
    </w:p>
    <w:p w14:paraId="18278D59" w14:textId="77777777" w:rsidR="00EB08A6" w:rsidRPr="00EB08A6" w:rsidRDefault="00EB08A6" w:rsidP="00EB08A6">
      <w:pPr>
        <w:rPr>
          <w:szCs w:val="22"/>
          <w:lang w:val="lt-LT"/>
        </w:rPr>
      </w:pPr>
      <w:r w:rsidRPr="00EB08A6">
        <w:rPr>
          <w:szCs w:val="22"/>
          <w:lang w:val="lt-LT"/>
        </w:rPr>
        <w:t xml:space="preserve">Įprastų farmakologinio saugumo, kartotinių dozių </w:t>
      </w:r>
      <w:proofErr w:type="spellStart"/>
      <w:r w:rsidRPr="00EB08A6">
        <w:rPr>
          <w:szCs w:val="22"/>
          <w:lang w:val="lt-LT"/>
        </w:rPr>
        <w:t>toksiškumo</w:t>
      </w:r>
      <w:proofErr w:type="spellEnd"/>
      <w:r w:rsidRPr="00EB08A6">
        <w:rPr>
          <w:szCs w:val="22"/>
          <w:lang w:val="lt-LT"/>
        </w:rPr>
        <w:t xml:space="preserve">, </w:t>
      </w:r>
      <w:proofErr w:type="spellStart"/>
      <w:r w:rsidRPr="00EB08A6">
        <w:rPr>
          <w:szCs w:val="22"/>
          <w:lang w:val="lt-LT"/>
        </w:rPr>
        <w:t>genotoksiškumo</w:t>
      </w:r>
      <w:proofErr w:type="spellEnd"/>
      <w:r w:rsidRPr="00EB08A6">
        <w:rPr>
          <w:szCs w:val="22"/>
          <w:lang w:val="lt-LT"/>
        </w:rPr>
        <w:t xml:space="preserve">, galimo </w:t>
      </w:r>
      <w:proofErr w:type="spellStart"/>
      <w:r w:rsidRPr="00EB08A6">
        <w:rPr>
          <w:szCs w:val="22"/>
          <w:lang w:val="lt-LT"/>
        </w:rPr>
        <w:t>kancerogeniškumo</w:t>
      </w:r>
      <w:proofErr w:type="spellEnd"/>
      <w:r w:rsidRPr="00EB08A6">
        <w:rPr>
          <w:szCs w:val="22"/>
          <w:lang w:val="lt-LT"/>
        </w:rPr>
        <w:t xml:space="preserve">, toksinio poveikio reprodukcijai ir vaisiaus vystymuisi </w:t>
      </w:r>
      <w:proofErr w:type="spellStart"/>
      <w:r w:rsidRPr="00EB08A6">
        <w:rPr>
          <w:szCs w:val="22"/>
          <w:lang w:val="lt-LT"/>
        </w:rPr>
        <w:t>ikiklinikinių</w:t>
      </w:r>
      <w:proofErr w:type="spellEnd"/>
      <w:r w:rsidRPr="00EB08A6">
        <w:rPr>
          <w:szCs w:val="22"/>
          <w:lang w:val="lt-LT"/>
        </w:rPr>
        <w:t xml:space="preserve"> tyrimų duomenys specifinio pavojaus žmogui nerodo. </w:t>
      </w:r>
      <w:proofErr w:type="spellStart"/>
      <w:r w:rsidRPr="00EB08A6">
        <w:rPr>
          <w:szCs w:val="22"/>
          <w:lang w:val="lt-LT"/>
        </w:rPr>
        <w:t>Prenatalinio</w:t>
      </w:r>
      <w:proofErr w:type="spellEnd"/>
      <w:r w:rsidRPr="00EB08A6">
        <w:rPr>
          <w:szCs w:val="22"/>
          <w:lang w:val="lt-LT"/>
        </w:rPr>
        <w:t xml:space="preserve"> ir </w:t>
      </w:r>
      <w:proofErr w:type="spellStart"/>
      <w:r w:rsidRPr="00EB08A6">
        <w:rPr>
          <w:szCs w:val="22"/>
          <w:lang w:val="lt-LT"/>
        </w:rPr>
        <w:t>postnatalinio</w:t>
      </w:r>
      <w:proofErr w:type="spellEnd"/>
      <w:r w:rsidRPr="00EB08A6">
        <w:rPr>
          <w:szCs w:val="22"/>
          <w:lang w:val="lt-LT"/>
        </w:rPr>
        <w:t xml:space="preserve"> vystymosi tyrimų su pelėmis duomenimis, patelės gydymas </w:t>
      </w:r>
      <w:proofErr w:type="spellStart"/>
      <w:r w:rsidRPr="00EB08A6">
        <w:rPr>
          <w:szCs w:val="22"/>
          <w:lang w:val="lt-LT"/>
        </w:rPr>
        <w:t>solifenacinu</w:t>
      </w:r>
      <w:proofErr w:type="spellEnd"/>
      <w:r w:rsidRPr="00EB08A6">
        <w:rPr>
          <w:szCs w:val="22"/>
          <w:lang w:val="lt-LT"/>
        </w:rPr>
        <w:t xml:space="preserve"> žindymo laikotarpiu sukėlė kliniškai reikšmingą, nuo dozės priklausomą jauniklių </w:t>
      </w:r>
      <w:proofErr w:type="spellStart"/>
      <w:r w:rsidRPr="00EB08A6">
        <w:rPr>
          <w:szCs w:val="22"/>
          <w:lang w:val="lt-LT"/>
        </w:rPr>
        <w:t>išgyvenamumo</w:t>
      </w:r>
      <w:proofErr w:type="spellEnd"/>
      <w:r w:rsidRPr="00EB08A6">
        <w:rPr>
          <w:szCs w:val="22"/>
          <w:lang w:val="lt-LT"/>
        </w:rPr>
        <w:t xml:space="preserve"> ir kūno svorio sumažėjimą bei fizinio vystymosi sulėtėjimą. Padidėjo jaunų pelių, kurioms nuo 10 arba 21 paros po gimimo buvo skirtos farmakologinį poveikį sukeliančios dozės, gaišimo dažnis (toks poveikis priklausė nuo dozės, prieš gaišimą klinikinių požymių neatsirasdavo), be to, abiejose grupėse gaišimo dažnis buvo didesnis, palyginti su suaugusių pelių rodmeniu. Jaunų pelių, kurioms vaistinio preparato buvo pradėta skirti praėjus 10 parų po atsivedimo, plazmoje ekspozicija buvo didesnė, palyginti su suaugusių pelių rodmeniu, tačiau, vaistinio preparato skiriant po 21 paros, sisteminė ekspozicija tapo panaši į esančią suaugusių pelių organizme. Klinikinė jaunų peliukų gaišimo dažnio padidėjimo reikšmė nėra žinoma. </w:t>
      </w:r>
      <w:proofErr w:type="spellStart"/>
      <w:r w:rsidRPr="00EB08A6">
        <w:rPr>
          <w:szCs w:val="22"/>
          <w:lang w:val="lt-LT"/>
        </w:rPr>
        <w:t>Vesicare</w:t>
      </w:r>
      <w:proofErr w:type="spellEnd"/>
      <w:r w:rsidRPr="00EB08A6">
        <w:rPr>
          <w:szCs w:val="22"/>
          <w:lang w:val="lt-LT"/>
        </w:rPr>
        <w:t xml:space="preserve"> geriamoji suspensija tyrimų su triušiais metu neparodė potencialaus akis dirginančio poveikio.</w:t>
      </w:r>
    </w:p>
    <w:p w14:paraId="40664103" w14:textId="77777777" w:rsidR="00EB08A6" w:rsidRPr="00EB08A6" w:rsidRDefault="00EB08A6" w:rsidP="00EB08A6">
      <w:pPr>
        <w:rPr>
          <w:szCs w:val="22"/>
          <w:lang w:val="lt-LT"/>
        </w:rPr>
      </w:pPr>
    </w:p>
    <w:p w14:paraId="2DD8D3FA" w14:textId="77777777" w:rsidR="00EB08A6" w:rsidRPr="00EB08A6" w:rsidRDefault="00EB08A6" w:rsidP="00EB08A6">
      <w:pPr>
        <w:rPr>
          <w:szCs w:val="22"/>
          <w:lang w:val="lt-LT"/>
        </w:rPr>
      </w:pPr>
    </w:p>
    <w:p w14:paraId="7248E706" w14:textId="77777777" w:rsidR="00EB08A6" w:rsidRPr="00EB08A6" w:rsidRDefault="00EB08A6" w:rsidP="00EB08A6">
      <w:pPr>
        <w:pStyle w:val="Antrat1"/>
        <w:spacing w:before="0"/>
        <w:rPr>
          <w:rFonts w:ascii="Times New Roman" w:hAnsi="Times New Roman"/>
          <w:sz w:val="22"/>
          <w:szCs w:val="22"/>
          <w:lang w:val="lt-LT"/>
        </w:rPr>
      </w:pPr>
      <w:bookmarkStart w:id="38" w:name="_i4i5wMByPQs1uPAIvHgkwyXix"/>
      <w:bookmarkStart w:id="39" w:name="_i4i4f6BMrn37rqk4h6rh4dFEy"/>
      <w:bookmarkStart w:id="40" w:name="_i4i5LhY7T24k1czF4nVs8TxMm"/>
      <w:bookmarkEnd w:id="38"/>
      <w:bookmarkEnd w:id="39"/>
      <w:bookmarkEnd w:id="40"/>
      <w:r w:rsidRPr="00EB08A6">
        <w:rPr>
          <w:rFonts w:ascii="Times New Roman" w:hAnsi="Times New Roman"/>
          <w:sz w:val="22"/>
          <w:szCs w:val="22"/>
          <w:lang w:val="lt-LT"/>
        </w:rPr>
        <w:t>6.</w:t>
      </w:r>
      <w:r w:rsidRPr="00EB08A6">
        <w:rPr>
          <w:rFonts w:ascii="Times New Roman" w:hAnsi="Times New Roman"/>
          <w:sz w:val="22"/>
          <w:szCs w:val="22"/>
          <w:lang w:val="lt-LT"/>
        </w:rPr>
        <w:tab/>
        <w:t xml:space="preserve">FARMACINĖ INFORMACIJA </w:t>
      </w:r>
    </w:p>
    <w:p w14:paraId="71D3BCC6" w14:textId="77777777" w:rsidR="00EB08A6" w:rsidRPr="00EB08A6" w:rsidRDefault="00EB08A6" w:rsidP="00EB08A6">
      <w:pPr>
        <w:pStyle w:val="Antrat2"/>
        <w:keepNext w:val="0"/>
        <w:spacing w:after="0"/>
        <w:rPr>
          <w:rFonts w:ascii="Times New Roman" w:hAnsi="Times New Roman"/>
          <w:i w:val="0"/>
          <w:sz w:val="22"/>
          <w:szCs w:val="22"/>
          <w:lang w:val="lt-LT"/>
        </w:rPr>
      </w:pPr>
      <w:bookmarkStart w:id="41" w:name="_i4i0Ft4pw7GhLE1eWypaB1Kyi"/>
      <w:bookmarkEnd w:id="41"/>
      <w:r w:rsidRPr="00EB08A6">
        <w:rPr>
          <w:rFonts w:ascii="Times New Roman" w:hAnsi="Times New Roman"/>
          <w:i w:val="0"/>
          <w:sz w:val="22"/>
          <w:szCs w:val="22"/>
          <w:lang w:val="lt-LT"/>
        </w:rPr>
        <w:t>6.1</w:t>
      </w:r>
      <w:r w:rsidRPr="00EB08A6">
        <w:rPr>
          <w:rFonts w:ascii="Times New Roman" w:hAnsi="Times New Roman"/>
          <w:i w:val="0"/>
          <w:sz w:val="22"/>
          <w:szCs w:val="22"/>
          <w:lang w:val="lt-LT"/>
        </w:rPr>
        <w:tab/>
        <w:t xml:space="preserve">Pagalbinių medžiagų sąrašas </w:t>
      </w:r>
    </w:p>
    <w:p w14:paraId="62FDF1D6" w14:textId="77777777" w:rsidR="00EB08A6" w:rsidRPr="00EB08A6" w:rsidRDefault="00EB08A6" w:rsidP="00EB08A6">
      <w:pPr>
        <w:keepLines/>
        <w:rPr>
          <w:szCs w:val="22"/>
          <w:lang w:val="lt-LT"/>
        </w:rPr>
      </w:pPr>
      <w:bookmarkStart w:id="42" w:name="_i4i1PymoEwd474Z5FTU2awpv7"/>
      <w:bookmarkEnd w:id="42"/>
    </w:p>
    <w:p w14:paraId="43338CF6" w14:textId="77777777" w:rsidR="00EB08A6" w:rsidRPr="00EB08A6" w:rsidRDefault="00EB08A6" w:rsidP="00EB08A6">
      <w:pPr>
        <w:rPr>
          <w:szCs w:val="22"/>
          <w:lang w:val="lt-LT"/>
        </w:rPr>
      </w:pPr>
      <w:proofErr w:type="spellStart"/>
      <w:r w:rsidRPr="00EB08A6">
        <w:rPr>
          <w:szCs w:val="22"/>
          <w:lang w:val="lt-LT"/>
        </w:rPr>
        <w:t>Polakrilino</w:t>
      </w:r>
      <w:proofErr w:type="spellEnd"/>
      <w:r w:rsidRPr="00EB08A6">
        <w:rPr>
          <w:szCs w:val="22"/>
          <w:lang w:val="lt-LT"/>
        </w:rPr>
        <w:t xml:space="preserve"> kalio druska</w:t>
      </w:r>
    </w:p>
    <w:p w14:paraId="2BB39AA0" w14:textId="77777777" w:rsidR="00EB08A6" w:rsidRPr="00EB08A6" w:rsidRDefault="00EB08A6" w:rsidP="00EB08A6">
      <w:pPr>
        <w:rPr>
          <w:szCs w:val="22"/>
          <w:lang w:val="lt-LT"/>
        </w:rPr>
      </w:pPr>
      <w:r w:rsidRPr="00EB08A6">
        <w:rPr>
          <w:szCs w:val="22"/>
          <w:lang w:val="lt-LT"/>
        </w:rPr>
        <w:t xml:space="preserve">Metilo </w:t>
      </w:r>
      <w:proofErr w:type="spellStart"/>
      <w:r w:rsidRPr="00EB08A6">
        <w:rPr>
          <w:szCs w:val="22"/>
          <w:lang w:val="lt-LT"/>
        </w:rPr>
        <w:t>parahidroksibenzoatas</w:t>
      </w:r>
      <w:proofErr w:type="spellEnd"/>
      <w:r w:rsidRPr="00EB08A6">
        <w:rPr>
          <w:szCs w:val="22"/>
          <w:lang w:val="lt-LT"/>
        </w:rPr>
        <w:t xml:space="preserve"> (E218)</w:t>
      </w:r>
    </w:p>
    <w:p w14:paraId="243FBD20" w14:textId="77777777" w:rsidR="00EB08A6" w:rsidRPr="00EB08A6" w:rsidRDefault="00EB08A6" w:rsidP="00EB08A6">
      <w:pPr>
        <w:rPr>
          <w:szCs w:val="22"/>
          <w:lang w:val="lt-LT"/>
        </w:rPr>
      </w:pP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parahidroksibenzoatas</w:t>
      </w:r>
      <w:proofErr w:type="spellEnd"/>
      <w:r w:rsidRPr="00EB08A6">
        <w:rPr>
          <w:szCs w:val="22"/>
          <w:lang w:val="lt-LT"/>
        </w:rPr>
        <w:t xml:space="preserve"> (E216)</w:t>
      </w:r>
    </w:p>
    <w:p w14:paraId="3C4735AA" w14:textId="77777777" w:rsidR="00EB08A6" w:rsidRPr="00EB08A6" w:rsidRDefault="00EB08A6" w:rsidP="00EB08A6">
      <w:pPr>
        <w:rPr>
          <w:szCs w:val="22"/>
          <w:lang w:val="lt-LT"/>
        </w:rPr>
      </w:pPr>
      <w:proofErr w:type="spellStart"/>
      <w:r w:rsidRPr="00EB08A6">
        <w:rPr>
          <w:szCs w:val="22"/>
          <w:lang w:val="lt-LT"/>
        </w:rPr>
        <w:t>Propilenglikolis</w:t>
      </w:r>
      <w:proofErr w:type="spellEnd"/>
      <w:r w:rsidRPr="00EB08A6">
        <w:rPr>
          <w:szCs w:val="22"/>
          <w:lang w:val="lt-LT"/>
        </w:rPr>
        <w:t xml:space="preserve"> (E1520)</w:t>
      </w:r>
    </w:p>
    <w:p w14:paraId="12E287B6" w14:textId="77777777" w:rsidR="00EB08A6" w:rsidRPr="00EB08A6" w:rsidRDefault="00EB08A6" w:rsidP="00EB08A6">
      <w:pPr>
        <w:rPr>
          <w:szCs w:val="22"/>
          <w:lang w:val="lt-LT"/>
        </w:rPr>
      </w:pPr>
      <w:proofErr w:type="spellStart"/>
      <w:r w:rsidRPr="00EB08A6">
        <w:rPr>
          <w:szCs w:val="22"/>
          <w:lang w:val="lt-LT"/>
        </w:rPr>
        <w:t>Simetikono</w:t>
      </w:r>
      <w:proofErr w:type="spellEnd"/>
      <w:r w:rsidRPr="00EB08A6">
        <w:rPr>
          <w:szCs w:val="22"/>
          <w:lang w:val="lt-LT"/>
        </w:rPr>
        <w:t xml:space="preserve"> emulsija 30 % (susidedanti iš </w:t>
      </w:r>
      <w:proofErr w:type="spellStart"/>
      <w:r w:rsidRPr="00EB08A6">
        <w:rPr>
          <w:szCs w:val="22"/>
          <w:lang w:val="lt-LT"/>
        </w:rPr>
        <w:t>simetikono</w:t>
      </w:r>
      <w:proofErr w:type="spellEnd"/>
      <w:r w:rsidRPr="00EB08A6">
        <w:rPr>
          <w:szCs w:val="22"/>
          <w:lang w:val="lt-LT"/>
        </w:rPr>
        <w:t xml:space="preserve">, </w:t>
      </w:r>
      <w:proofErr w:type="spellStart"/>
      <w:r w:rsidRPr="00EB08A6">
        <w:rPr>
          <w:szCs w:val="22"/>
          <w:lang w:val="lt-LT"/>
        </w:rPr>
        <w:t>polietilenglikolio</w:t>
      </w:r>
      <w:proofErr w:type="spellEnd"/>
      <w:r w:rsidRPr="00EB08A6">
        <w:rPr>
          <w:szCs w:val="22"/>
          <w:lang w:val="lt-LT"/>
        </w:rPr>
        <w:t xml:space="preserve"> </w:t>
      </w:r>
      <w:proofErr w:type="spellStart"/>
      <w:r w:rsidRPr="00EB08A6">
        <w:rPr>
          <w:szCs w:val="22"/>
          <w:lang w:val="lt-LT"/>
        </w:rPr>
        <w:t>sorbitano</w:t>
      </w:r>
      <w:proofErr w:type="spellEnd"/>
      <w:r w:rsidRPr="00EB08A6">
        <w:rPr>
          <w:szCs w:val="22"/>
          <w:lang w:val="lt-LT"/>
        </w:rPr>
        <w:t xml:space="preserve"> </w:t>
      </w:r>
      <w:proofErr w:type="spellStart"/>
      <w:r w:rsidRPr="00EB08A6">
        <w:rPr>
          <w:szCs w:val="22"/>
          <w:lang w:val="lt-LT"/>
        </w:rPr>
        <w:t>tristearato</w:t>
      </w:r>
      <w:proofErr w:type="spellEnd"/>
      <w:r w:rsidRPr="00EB08A6">
        <w:rPr>
          <w:szCs w:val="22"/>
          <w:lang w:val="lt-LT"/>
        </w:rPr>
        <w:t xml:space="preserve"> (E436), </w:t>
      </w:r>
      <w:proofErr w:type="spellStart"/>
      <w:r w:rsidRPr="00EB08A6">
        <w:rPr>
          <w:szCs w:val="22"/>
          <w:lang w:val="lt-LT"/>
        </w:rPr>
        <w:t>metilceliuliozės</w:t>
      </w:r>
      <w:proofErr w:type="spellEnd"/>
      <w:r w:rsidRPr="00EB08A6">
        <w:rPr>
          <w:szCs w:val="22"/>
          <w:lang w:val="lt-LT"/>
        </w:rPr>
        <w:t xml:space="preserve"> (E461), </w:t>
      </w:r>
      <w:proofErr w:type="spellStart"/>
      <w:r w:rsidRPr="00EB08A6">
        <w:rPr>
          <w:szCs w:val="22"/>
          <w:lang w:val="lt-LT"/>
        </w:rPr>
        <w:t>polietilenglikolio</w:t>
      </w:r>
      <w:proofErr w:type="spellEnd"/>
      <w:r w:rsidRPr="00EB08A6">
        <w:rPr>
          <w:szCs w:val="22"/>
          <w:lang w:val="lt-LT"/>
        </w:rPr>
        <w:t xml:space="preserve"> </w:t>
      </w:r>
      <w:proofErr w:type="spellStart"/>
      <w:r w:rsidRPr="00EB08A6">
        <w:rPr>
          <w:szCs w:val="22"/>
          <w:lang w:val="lt-LT"/>
        </w:rPr>
        <w:t>stearato</w:t>
      </w:r>
      <w:proofErr w:type="spellEnd"/>
      <w:r w:rsidRPr="00EB08A6">
        <w:rPr>
          <w:szCs w:val="22"/>
          <w:lang w:val="lt-LT"/>
        </w:rPr>
        <w:t xml:space="preserve">, </w:t>
      </w:r>
      <w:proofErr w:type="spellStart"/>
      <w:r w:rsidRPr="00EB08A6">
        <w:rPr>
          <w:szCs w:val="22"/>
          <w:lang w:val="lt-LT"/>
        </w:rPr>
        <w:t>gliceridų</w:t>
      </w:r>
      <w:proofErr w:type="spellEnd"/>
      <w:r w:rsidRPr="00EB08A6">
        <w:rPr>
          <w:szCs w:val="22"/>
          <w:lang w:val="lt-LT"/>
        </w:rPr>
        <w:t xml:space="preserve">, </w:t>
      </w:r>
      <w:proofErr w:type="spellStart"/>
      <w:r w:rsidRPr="00EB08A6">
        <w:rPr>
          <w:szCs w:val="22"/>
          <w:lang w:val="lt-LT"/>
        </w:rPr>
        <w:t>ksantano</w:t>
      </w:r>
      <w:proofErr w:type="spellEnd"/>
      <w:r w:rsidRPr="00EB08A6">
        <w:rPr>
          <w:szCs w:val="22"/>
          <w:lang w:val="lt-LT"/>
        </w:rPr>
        <w:t xml:space="preserve"> lipų (E415), </w:t>
      </w:r>
      <w:proofErr w:type="spellStart"/>
      <w:r w:rsidRPr="00EB08A6">
        <w:rPr>
          <w:szCs w:val="22"/>
          <w:lang w:val="lt-LT"/>
        </w:rPr>
        <w:t>benzenkarboksirūgšties</w:t>
      </w:r>
      <w:proofErr w:type="spellEnd"/>
      <w:r w:rsidRPr="00EB08A6">
        <w:rPr>
          <w:szCs w:val="22"/>
          <w:lang w:val="lt-LT"/>
        </w:rPr>
        <w:t xml:space="preserve"> (E210), sorbo rūgšties (E200), sulfato rūgšties (E513) ir vandens)</w:t>
      </w:r>
    </w:p>
    <w:p w14:paraId="177D1980" w14:textId="77777777" w:rsidR="00EB08A6" w:rsidRPr="00EB08A6" w:rsidRDefault="00EB08A6" w:rsidP="00EB08A6">
      <w:pPr>
        <w:rPr>
          <w:szCs w:val="22"/>
          <w:lang w:val="lt-LT"/>
        </w:rPr>
      </w:pPr>
      <w:proofErr w:type="spellStart"/>
      <w:r w:rsidRPr="00EB08A6">
        <w:rPr>
          <w:szCs w:val="22"/>
          <w:lang w:val="lt-LT"/>
        </w:rPr>
        <w:t>Karbomerai</w:t>
      </w:r>
      <w:proofErr w:type="spellEnd"/>
    </w:p>
    <w:p w14:paraId="354808CF" w14:textId="77777777" w:rsidR="00EB08A6" w:rsidRPr="00EB08A6" w:rsidRDefault="00EB08A6" w:rsidP="00EB08A6">
      <w:pPr>
        <w:rPr>
          <w:szCs w:val="22"/>
          <w:lang w:val="lt-LT"/>
        </w:rPr>
      </w:pPr>
      <w:proofErr w:type="spellStart"/>
      <w:r w:rsidRPr="00EB08A6">
        <w:rPr>
          <w:szCs w:val="22"/>
          <w:lang w:val="lt-LT"/>
        </w:rPr>
        <w:t>Ksilitolis</w:t>
      </w:r>
      <w:proofErr w:type="spellEnd"/>
      <w:r w:rsidRPr="00EB08A6">
        <w:rPr>
          <w:szCs w:val="22"/>
          <w:lang w:val="lt-LT"/>
        </w:rPr>
        <w:t xml:space="preserve"> (E967)</w:t>
      </w:r>
    </w:p>
    <w:p w14:paraId="2786C7B7" w14:textId="77777777" w:rsidR="00EB08A6" w:rsidRPr="00EB08A6" w:rsidRDefault="00EB08A6" w:rsidP="00EB08A6">
      <w:pPr>
        <w:rPr>
          <w:szCs w:val="22"/>
          <w:lang w:val="lt-LT"/>
        </w:rPr>
      </w:pPr>
      <w:proofErr w:type="spellStart"/>
      <w:r w:rsidRPr="00EB08A6">
        <w:rPr>
          <w:szCs w:val="22"/>
          <w:lang w:val="lt-LT"/>
        </w:rPr>
        <w:t>Acesulfamo</w:t>
      </w:r>
      <w:proofErr w:type="spellEnd"/>
      <w:r w:rsidRPr="00EB08A6">
        <w:rPr>
          <w:szCs w:val="22"/>
          <w:lang w:val="lt-LT"/>
        </w:rPr>
        <w:t xml:space="preserve"> kalio druska (E950)</w:t>
      </w:r>
    </w:p>
    <w:p w14:paraId="78A87B23" w14:textId="77777777" w:rsidR="00EB08A6" w:rsidRPr="00EB08A6" w:rsidRDefault="00EB08A6" w:rsidP="00EB08A6">
      <w:pPr>
        <w:rPr>
          <w:szCs w:val="22"/>
          <w:lang w:val="lt-LT"/>
        </w:rPr>
      </w:pPr>
      <w:r w:rsidRPr="00EB08A6">
        <w:rPr>
          <w:szCs w:val="22"/>
          <w:lang w:val="lt-LT"/>
        </w:rPr>
        <w:t xml:space="preserve">Apelsinų natūrali aromatinė medžiaga (susidedanti iš apelsinų eterinio aliejaus, natūralių aromatinių medžiagų, etanolio, </w:t>
      </w:r>
      <w:proofErr w:type="spellStart"/>
      <w:r w:rsidRPr="00EB08A6">
        <w:rPr>
          <w:szCs w:val="22"/>
          <w:lang w:val="lt-LT"/>
        </w:rPr>
        <w:t>propilenglikolio</w:t>
      </w:r>
      <w:proofErr w:type="spellEnd"/>
      <w:r w:rsidRPr="00EB08A6">
        <w:rPr>
          <w:szCs w:val="22"/>
          <w:lang w:val="lt-LT"/>
        </w:rPr>
        <w:t xml:space="preserve"> (E1520), </w:t>
      </w:r>
      <w:proofErr w:type="spellStart"/>
      <w:r w:rsidRPr="00EB08A6">
        <w:rPr>
          <w:szCs w:val="22"/>
          <w:lang w:val="lt-LT"/>
        </w:rPr>
        <w:t>butilhidroksianizolo</w:t>
      </w:r>
      <w:proofErr w:type="spellEnd"/>
      <w:r w:rsidRPr="00EB08A6">
        <w:rPr>
          <w:szCs w:val="22"/>
          <w:lang w:val="lt-LT"/>
        </w:rPr>
        <w:t xml:space="preserve"> (E320) ir vandens)</w:t>
      </w:r>
    </w:p>
    <w:p w14:paraId="7288EEBD" w14:textId="77777777" w:rsidR="00EB08A6" w:rsidRPr="00EB08A6" w:rsidRDefault="00EB08A6" w:rsidP="00EB08A6">
      <w:pPr>
        <w:rPr>
          <w:szCs w:val="22"/>
          <w:lang w:val="lt-LT"/>
        </w:rPr>
      </w:pPr>
      <w:r w:rsidRPr="00EB08A6">
        <w:rPr>
          <w:szCs w:val="22"/>
          <w:lang w:val="lt-LT"/>
        </w:rPr>
        <w:t xml:space="preserve">Natrio </w:t>
      </w:r>
      <w:proofErr w:type="spellStart"/>
      <w:r w:rsidRPr="00EB08A6">
        <w:rPr>
          <w:szCs w:val="22"/>
          <w:lang w:val="lt-LT"/>
        </w:rPr>
        <w:t>hidroksidas</w:t>
      </w:r>
      <w:proofErr w:type="spellEnd"/>
    </w:p>
    <w:p w14:paraId="0A3BC0C6" w14:textId="77777777" w:rsidR="00EB08A6" w:rsidRPr="00EB08A6" w:rsidRDefault="00EB08A6" w:rsidP="00EB08A6">
      <w:pPr>
        <w:rPr>
          <w:szCs w:val="22"/>
          <w:lang w:val="lt-LT"/>
        </w:rPr>
      </w:pPr>
      <w:r w:rsidRPr="00EB08A6">
        <w:rPr>
          <w:szCs w:val="22"/>
          <w:lang w:val="lt-LT"/>
        </w:rPr>
        <w:t xml:space="preserve">Išgrynintas vanduo </w:t>
      </w:r>
    </w:p>
    <w:p w14:paraId="315F2600" w14:textId="77777777" w:rsidR="00EB08A6" w:rsidRPr="00EB08A6" w:rsidRDefault="00EB08A6" w:rsidP="00EB08A6">
      <w:pPr>
        <w:rPr>
          <w:szCs w:val="22"/>
          <w:lang w:val="lt-LT"/>
        </w:rPr>
      </w:pPr>
    </w:p>
    <w:p w14:paraId="2A419F13" w14:textId="77777777" w:rsidR="00EB08A6" w:rsidRPr="00EB08A6" w:rsidRDefault="00EB08A6" w:rsidP="00EB08A6">
      <w:pPr>
        <w:pStyle w:val="Antrat2"/>
        <w:spacing w:before="0" w:after="0"/>
        <w:rPr>
          <w:rFonts w:ascii="Times New Roman" w:hAnsi="Times New Roman"/>
          <w:i w:val="0"/>
          <w:sz w:val="22"/>
          <w:szCs w:val="22"/>
        </w:rPr>
      </w:pPr>
      <w:bookmarkStart w:id="43" w:name="_i4i2EetrZ6XA7TS7Ltmbdr4iI"/>
      <w:bookmarkEnd w:id="43"/>
      <w:r w:rsidRPr="00EB08A6">
        <w:rPr>
          <w:rFonts w:ascii="Times New Roman" w:hAnsi="Times New Roman"/>
          <w:i w:val="0"/>
          <w:sz w:val="22"/>
          <w:szCs w:val="22"/>
        </w:rPr>
        <w:t>6.2</w:t>
      </w:r>
      <w:r w:rsidRPr="00EB08A6">
        <w:rPr>
          <w:rFonts w:ascii="Times New Roman" w:hAnsi="Times New Roman"/>
          <w:i w:val="0"/>
          <w:sz w:val="22"/>
          <w:szCs w:val="22"/>
        </w:rPr>
        <w:tab/>
      </w:r>
      <w:proofErr w:type="spellStart"/>
      <w:r w:rsidRPr="00EB08A6">
        <w:rPr>
          <w:rFonts w:ascii="Times New Roman" w:hAnsi="Times New Roman"/>
          <w:i w:val="0"/>
          <w:sz w:val="22"/>
          <w:szCs w:val="22"/>
        </w:rPr>
        <w:t>Nesuderinamumas</w:t>
      </w:r>
      <w:proofErr w:type="spellEnd"/>
    </w:p>
    <w:p w14:paraId="328063E9" w14:textId="77777777" w:rsidR="00EB08A6" w:rsidRPr="00EB08A6" w:rsidRDefault="00EB08A6" w:rsidP="00EB08A6">
      <w:pPr>
        <w:rPr>
          <w:szCs w:val="22"/>
        </w:rPr>
      </w:pPr>
      <w:bookmarkStart w:id="44" w:name="_i4i287ZrGDbDyeO5DsKChWpFe"/>
      <w:bookmarkEnd w:id="44"/>
    </w:p>
    <w:p w14:paraId="0285AA7B" w14:textId="77777777" w:rsidR="00EB08A6" w:rsidRPr="00EB08A6" w:rsidRDefault="00EB08A6" w:rsidP="00EB08A6">
      <w:pPr>
        <w:rPr>
          <w:szCs w:val="22"/>
          <w:lang w:val="lt-LT"/>
        </w:rPr>
      </w:pPr>
      <w:r w:rsidRPr="00EB08A6">
        <w:rPr>
          <w:szCs w:val="22"/>
          <w:lang w:val="lt-LT"/>
        </w:rPr>
        <w:t>Suderinamumo tyrimų neatlikta, todėl šio vaistinio preparato maišyti su kitais vaistiniais preparatais ar maistu negalima.</w:t>
      </w:r>
    </w:p>
    <w:p w14:paraId="5CE9D313" w14:textId="77777777" w:rsidR="00EB08A6" w:rsidRPr="00EB08A6" w:rsidRDefault="00EB08A6" w:rsidP="00EB08A6">
      <w:pPr>
        <w:rPr>
          <w:szCs w:val="22"/>
          <w:lang w:val="lt-LT"/>
        </w:rPr>
      </w:pPr>
    </w:p>
    <w:p w14:paraId="1153680F" w14:textId="77777777" w:rsidR="00EB08A6" w:rsidRPr="00EB08A6" w:rsidRDefault="00EB08A6" w:rsidP="00EB08A6">
      <w:pPr>
        <w:pStyle w:val="Antrat2"/>
        <w:spacing w:before="0" w:after="0"/>
        <w:rPr>
          <w:rFonts w:ascii="Times New Roman" w:hAnsi="Times New Roman"/>
          <w:i w:val="0"/>
          <w:sz w:val="22"/>
          <w:szCs w:val="22"/>
          <w:lang w:val="lt-LT"/>
        </w:rPr>
      </w:pPr>
      <w:bookmarkStart w:id="45" w:name="_i4i5xItxM3HeUdOo6RcU9kmJ8"/>
      <w:bookmarkEnd w:id="45"/>
      <w:r w:rsidRPr="00EB08A6">
        <w:rPr>
          <w:rFonts w:ascii="Times New Roman" w:hAnsi="Times New Roman"/>
          <w:i w:val="0"/>
          <w:sz w:val="22"/>
          <w:szCs w:val="22"/>
          <w:lang w:val="lt-LT"/>
        </w:rPr>
        <w:t>6.3</w:t>
      </w:r>
      <w:r w:rsidRPr="00EB08A6">
        <w:rPr>
          <w:rFonts w:ascii="Times New Roman" w:hAnsi="Times New Roman"/>
          <w:i w:val="0"/>
          <w:sz w:val="22"/>
          <w:szCs w:val="22"/>
          <w:lang w:val="lt-LT"/>
        </w:rPr>
        <w:tab/>
        <w:t xml:space="preserve">Tinkamumo laikas </w:t>
      </w:r>
    </w:p>
    <w:p w14:paraId="47CBBDFF" w14:textId="77777777" w:rsidR="00EB08A6" w:rsidRPr="00EB08A6" w:rsidRDefault="00EB08A6" w:rsidP="00EB08A6">
      <w:pPr>
        <w:rPr>
          <w:szCs w:val="22"/>
        </w:rPr>
      </w:pPr>
    </w:p>
    <w:p w14:paraId="6E44C277" w14:textId="77777777" w:rsidR="00EB08A6" w:rsidRPr="00EB08A6" w:rsidRDefault="00EB08A6" w:rsidP="00EB08A6">
      <w:pPr>
        <w:rPr>
          <w:szCs w:val="22"/>
          <w:lang w:val="lt-LT"/>
        </w:rPr>
      </w:pPr>
      <w:r w:rsidRPr="00EB08A6">
        <w:rPr>
          <w:szCs w:val="22"/>
          <w:lang w:val="lt-LT"/>
        </w:rPr>
        <w:t>3 metai</w:t>
      </w:r>
    </w:p>
    <w:p w14:paraId="5EE53F79" w14:textId="77777777" w:rsidR="00EB08A6" w:rsidRPr="00EB08A6" w:rsidRDefault="00EB08A6" w:rsidP="00EB08A6">
      <w:pPr>
        <w:rPr>
          <w:szCs w:val="22"/>
          <w:lang w:val="lt-LT"/>
        </w:rPr>
      </w:pPr>
      <w:r w:rsidRPr="00EB08A6">
        <w:rPr>
          <w:szCs w:val="22"/>
          <w:lang w:val="lt-LT"/>
        </w:rPr>
        <w:t>Pirmą kartą atidarius buteliuką, geriamosios suspensijos tinkamumo laikas yra 28 dienos.</w:t>
      </w:r>
    </w:p>
    <w:p w14:paraId="1BC0E2B2" w14:textId="77777777" w:rsidR="00EB08A6" w:rsidRPr="00EB08A6" w:rsidRDefault="00EB08A6" w:rsidP="00EB08A6">
      <w:pPr>
        <w:rPr>
          <w:szCs w:val="22"/>
          <w:lang w:val="lt-LT"/>
        </w:rPr>
      </w:pPr>
      <w:bookmarkStart w:id="46" w:name="_i4i1cSnxmkxI9DivFeBCjXt6N"/>
      <w:bookmarkEnd w:id="46"/>
    </w:p>
    <w:p w14:paraId="51C5830E" w14:textId="77777777" w:rsidR="00EB08A6" w:rsidRPr="00EB08A6" w:rsidRDefault="00EB08A6" w:rsidP="00EB08A6">
      <w:pPr>
        <w:pStyle w:val="Antrat2"/>
        <w:spacing w:before="0" w:after="0"/>
        <w:rPr>
          <w:rFonts w:ascii="Times New Roman" w:hAnsi="Times New Roman"/>
          <w:i w:val="0"/>
          <w:sz w:val="22"/>
          <w:szCs w:val="22"/>
          <w:lang w:val="lt-LT"/>
        </w:rPr>
      </w:pPr>
      <w:bookmarkStart w:id="47" w:name="_i4i4VfrX9xEK71mbBzmTcQMbs"/>
      <w:bookmarkEnd w:id="47"/>
      <w:r w:rsidRPr="00EB08A6">
        <w:rPr>
          <w:rFonts w:ascii="Times New Roman" w:hAnsi="Times New Roman"/>
          <w:i w:val="0"/>
          <w:sz w:val="22"/>
          <w:szCs w:val="22"/>
          <w:lang w:val="lt-LT"/>
        </w:rPr>
        <w:t>6.4</w:t>
      </w:r>
      <w:r w:rsidRPr="00EB08A6">
        <w:rPr>
          <w:rFonts w:ascii="Times New Roman" w:hAnsi="Times New Roman"/>
          <w:i w:val="0"/>
          <w:sz w:val="22"/>
          <w:szCs w:val="22"/>
          <w:lang w:val="lt-LT"/>
        </w:rPr>
        <w:tab/>
        <w:t xml:space="preserve">Specialios laikymo sąlygos </w:t>
      </w:r>
    </w:p>
    <w:p w14:paraId="2141995D" w14:textId="77777777" w:rsidR="00EB08A6" w:rsidRPr="00EB08A6" w:rsidRDefault="00EB08A6" w:rsidP="00EB08A6">
      <w:pPr>
        <w:rPr>
          <w:noProof/>
          <w:szCs w:val="22"/>
        </w:rPr>
      </w:pPr>
    </w:p>
    <w:p w14:paraId="6CA54020" w14:textId="77777777" w:rsidR="00EB08A6" w:rsidRPr="00EB08A6" w:rsidRDefault="00EB08A6" w:rsidP="00EB08A6">
      <w:pPr>
        <w:rPr>
          <w:szCs w:val="22"/>
          <w:lang w:val="lt-LT"/>
        </w:rPr>
      </w:pPr>
      <w:r w:rsidRPr="00EB08A6">
        <w:rPr>
          <w:szCs w:val="22"/>
          <w:lang w:val="lt-LT"/>
        </w:rPr>
        <w:t>Laikyti gamintojo buteliuke, kad vaistinis preparatas būtų apsaugotas nuo šviesos.</w:t>
      </w:r>
    </w:p>
    <w:p w14:paraId="1A9A066F" w14:textId="77777777" w:rsidR="00EB08A6" w:rsidRPr="00EB08A6" w:rsidRDefault="00EB08A6" w:rsidP="00EB08A6">
      <w:pPr>
        <w:rPr>
          <w:szCs w:val="22"/>
          <w:lang w:val="lt-LT"/>
        </w:rPr>
      </w:pPr>
      <w:r w:rsidRPr="00EB08A6">
        <w:rPr>
          <w:szCs w:val="22"/>
          <w:lang w:val="lt-LT"/>
        </w:rPr>
        <w:t>Geriamąjį švirkštą laikyti švarioje ir sausoje vietoje, saugoti nuo tiesioginių saulės spindulių ir šilumos.</w:t>
      </w:r>
    </w:p>
    <w:p w14:paraId="21F59F13" w14:textId="77777777" w:rsidR="00EB08A6" w:rsidRPr="00EB08A6" w:rsidRDefault="00EB08A6" w:rsidP="00EB08A6">
      <w:pPr>
        <w:rPr>
          <w:szCs w:val="22"/>
          <w:lang w:val="lt-LT"/>
        </w:rPr>
      </w:pPr>
      <w:r w:rsidRPr="00EB08A6">
        <w:rPr>
          <w:szCs w:val="22"/>
          <w:lang w:val="lt-LT"/>
        </w:rPr>
        <w:lastRenderedPageBreak/>
        <w:t xml:space="preserve">Šio vaistinio preparato laikymui specialių temperatūros sąlygų nereikalaujama. </w:t>
      </w:r>
      <w:r w:rsidRPr="00EB08A6">
        <w:rPr>
          <w:szCs w:val="22"/>
          <w:lang w:val="lt-LT"/>
        </w:rPr>
        <w:br/>
      </w:r>
      <w:bookmarkStart w:id="48" w:name="_i4i4YEuSYdNGoheZpLo4dp8Bq"/>
      <w:bookmarkEnd w:id="48"/>
    </w:p>
    <w:p w14:paraId="66E47211" w14:textId="77777777" w:rsidR="00EB08A6" w:rsidRPr="00EB08A6" w:rsidRDefault="00EB08A6" w:rsidP="00EB08A6">
      <w:pPr>
        <w:pStyle w:val="Antrat2"/>
        <w:spacing w:before="0" w:after="0"/>
        <w:rPr>
          <w:rFonts w:ascii="Times New Roman" w:hAnsi="Times New Roman"/>
          <w:i w:val="0"/>
          <w:sz w:val="22"/>
          <w:szCs w:val="22"/>
          <w:lang w:val="lt-LT"/>
        </w:rPr>
      </w:pPr>
      <w:r w:rsidRPr="00EB08A6">
        <w:rPr>
          <w:rFonts w:ascii="Times New Roman" w:hAnsi="Times New Roman"/>
          <w:i w:val="0"/>
          <w:sz w:val="22"/>
          <w:szCs w:val="22"/>
          <w:lang w:val="lt-LT"/>
        </w:rPr>
        <w:t>6.5</w:t>
      </w:r>
      <w:r w:rsidRPr="00EB08A6">
        <w:rPr>
          <w:rFonts w:ascii="Times New Roman" w:hAnsi="Times New Roman"/>
          <w:i w:val="0"/>
          <w:sz w:val="22"/>
          <w:szCs w:val="22"/>
          <w:lang w:val="lt-LT"/>
        </w:rPr>
        <w:tab/>
      </w:r>
      <w:proofErr w:type="spellStart"/>
      <w:r w:rsidRPr="00EB08A6">
        <w:rPr>
          <w:rFonts w:ascii="Times New Roman" w:hAnsi="Times New Roman"/>
          <w:i w:val="0"/>
          <w:sz w:val="22"/>
          <w:szCs w:val="22"/>
          <w:lang w:val="lt-LT"/>
        </w:rPr>
        <w:t>Talpyklės</w:t>
      </w:r>
      <w:proofErr w:type="spellEnd"/>
      <w:r w:rsidRPr="00EB08A6">
        <w:rPr>
          <w:rFonts w:ascii="Times New Roman" w:hAnsi="Times New Roman"/>
          <w:i w:val="0"/>
          <w:sz w:val="22"/>
          <w:szCs w:val="22"/>
          <w:lang w:val="lt-LT"/>
        </w:rPr>
        <w:t xml:space="preserve"> pobūdis ir jos turinys </w:t>
      </w:r>
    </w:p>
    <w:p w14:paraId="64F8F208" w14:textId="77777777" w:rsidR="00EB08A6" w:rsidRPr="00EB08A6" w:rsidRDefault="00EB08A6" w:rsidP="00EB08A6">
      <w:pPr>
        <w:rPr>
          <w:szCs w:val="22"/>
          <w:lang w:val="lt-LT"/>
        </w:rPr>
      </w:pPr>
      <w:bookmarkStart w:id="49" w:name="_i4i29prKxCLdTN894jum0kNoU"/>
      <w:bookmarkEnd w:id="49"/>
    </w:p>
    <w:p w14:paraId="3D6A0069" w14:textId="77777777" w:rsidR="00EB08A6" w:rsidRPr="00EB08A6" w:rsidRDefault="00EB08A6" w:rsidP="00EB08A6">
      <w:pPr>
        <w:rPr>
          <w:szCs w:val="22"/>
          <w:lang w:val="lt-LT"/>
        </w:rPr>
      </w:pPr>
      <w:r w:rsidRPr="00EB08A6">
        <w:rPr>
          <w:szCs w:val="22"/>
          <w:lang w:val="lt-LT"/>
        </w:rPr>
        <w:t xml:space="preserve">Gintaro spalvos polietileno </w:t>
      </w:r>
      <w:proofErr w:type="spellStart"/>
      <w:r w:rsidRPr="00EB08A6">
        <w:rPr>
          <w:szCs w:val="22"/>
          <w:lang w:val="lt-LT"/>
        </w:rPr>
        <w:t>tereftalato</w:t>
      </w:r>
      <w:proofErr w:type="spellEnd"/>
      <w:r w:rsidRPr="00EB08A6">
        <w:rPr>
          <w:szCs w:val="22"/>
          <w:lang w:val="lt-LT"/>
        </w:rPr>
        <w:t xml:space="preserve"> (PET) buteliukas su vaikų neatidaromu didelio tankio polietileno</w:t>
      </w:r>
      <w:r w:rsidRPr="00EB08A6">
        <w:rPr>
          <w:szCs w:val="22"/>
          <w:lang w:val="lt-LT"/>
        </w:rPr>
        <w:noBreakHyphen/>
        <w:t xml:space="preserve">polipropileno dangteliu su </w:t>
      </w:r>
      <w:proofErr w:type="spellStart"/>
      <w:r w:rsidRPr="00EB08A6">
        <w:rPr>
          <w:szCs w:val="22"/>
          <w:lang w:val="lt-LT"/>
        </w:rPr>
        <w:t>minkštikliu</w:t>
      </w:r>
      <w:proofErr w:type="spellEnd"/>
      <w:r w:rsidRPr="00EB08A6">
        <w:rPr>
          <w:szCs w:val="22"/>
          <w:lang w:val="lt-LT"/>
        </w:rPr>
        <w:t xml:space="preserve"> ir vinilo sandariu įdėklu, kuriame yra 150 ml </w:t>
      </w:r>
      <w:proofErr w:type="spellStart"/>
      <w:r w:rsidRPr="00EB08A6">
        <w:rPr>
          <w:szCs w:val="22"/>
          <w:lang w:val="lt-LT"/>
        </w:rPr>
        <w:t>Vesicare</w:t>
      </w:r>
      <w:proofErr w:type="spellEnd"/>
      <w:r w:rsidRPr="00EB08A6">
        <w:rPr>
          <w:szCs w:val="22"/>
          <w:lang w:val="lt-LT"/>
        </w:rPr>
        <w:t xml:space="preserve"> geriamosios suspensijos. Buteliukas supakuotas kartono dėžutėje. Priemonės dozavimui ir vartojimui: 5 ml geriamasis švirkštas ir adapteris, užspaudžiamas ant buteliuko kaklelio, yra supakuotos kartoninėje dėžutėje.</w:t>
      </w:r>
    </w:p>
    <w:p w14:paraId="269E9E61" w14:textId="77777777" w:rsidR="00EB08A6" w:rsidRPr="00EB08A6" w:rsidRDefault="00EB08A6" w:rsidP="00EB08A6">
      <w:pPr>
        <w:rPr>
          <w:szCs w:val="22"/>
          <w:lang w:val="lt-LT"/>
        </w:rPr>
      </w:pPr>
    </w:p>
    <w:p w14:paraId="2E2EA7BC" w14:textId="77777777" w:rsidR="00EB08A6" w:rsidRPr="00EB08A6" w:rsidRDefault="00EB08A6" w:rsidP="00EB08A6">
      <w:pPr>
        <w:pStyle w:val="Antrat2"/>
        <w:spacing w:before="0" w:after="0"/>
        <w:rPr>
          <w:rFonts w:ascii="Times New Roman" w:hAnsi="Times New Roman"/>
          <w:i w:val="0"/>
          <w:sz w:val="22"/>
          <w:szCs w:val="22"/>
          <w:lang w:val="lt-LT"/>
        </w:rPr>
      </w:pPr>
      <w:bookmarkStart w:id="50" w:name="_i4i79BWPytl1jN5URrZEFbQ6q"/>
      <w:bookmarkStart w:id="51" w:name="_i4i74MxYe1SG2TqJocFC1UUPR"/>
      <w:bookmarkEnd w:id="50"/>
      <w:bookmarkEnd w:id="51"/>
      <w:r w:rsidRPr="00EB08A6">
        <w:rPr>
          <w:rFonts w:ascii="Times New Roman" w:hAnsi="Times New Roman"/>
          <w:i w:val="0"/>
          <w:noProof/>
          <w:sz w:val="22"/>
          <w:szCs w:val="22"/>
          <w:lang w:val="lt-LT"/>
        </w:rPr>
        <w:t>6.6</w:t>
      </w:r>
      <w:r w:rsidRPr="00EB08A6">
        <w:rPr>
          <w:rFonts w:ascii="Times New Roman" w:hAnsi="Times New Roman"/>
          <w:i w:val="0"/>
          <w:sz w:val="22"/>
          <w:szCs w:val="22"/>
          <w:lang w:val="lt-LT"/>
        </w:rPr>
        <w:tab/>
        <w:t xml:space="preserve">Specialūs reikalavimai atliekoms tvarkyti ir vaistiniam preparatui ruošti </w:t>
      </w:r>
    </w:p>
    <w:p w14:paraId="4EE5AF7D" w14:textId="77777777" w:rsidR="00EB08A6" w:rsidRPr="00EB08A6" w:rsidRDefault="00EB08A6" w:rsidP="00EB08A6">
      <w:pPr>
        <w:rPr>
          <w:szCs w:val="22"/>
        </w:rPr>
      </w:pPr>
    </w:p>
    <w:p w14:paraId="5C8A203B" w14:textId="77777777" w:rsidR="00EB08A6" w:rsidRPr="00EB08A6" w:rsidRDefault="00EB08A6" w:rsidP="00EB08A6">
      <w:pPr>
        <w:rPr>
          <w:b/>
          <w:bCs/>
          <w:szCs w:val="22"/>
          <w:lang w:val="lt-LT"/>
        </w:rPr>
      </w:pPr>
      <w:r w:rsidRPr="00EB08A6">
        <w:rPr>
          <w:b/>
          <w:bCs/>
          <w:szCs w:val="22"/>
          <w:lang w:val="lt-LT"/>
        </w:rPr>
        <w:t xml:space="preserve">Tinkamai atmatuoti dozę geriamasis švirkštas, pridėtas prie </w:t>
      </w:r>
      <w:proofErr w:type="spellStart"/>
      <w:r w:rsidRPr="00EB08A6">
        <w:rPr>
          <w:b/>
          <w:bCs/>
          <w:szCs w:val="22"/>
          <w:lang w:val="lt-LT"/>
        </w:rPr>
        <w:t>Vesicare</w:t>
      </w:r>
      <w:proofErr w:type="spellEnd"/>
      <w:r w:rsidRPr="00EB08A6">
        <w:rPr>
          <w:b/>
          <w:bCs/>
          <w:szCs w:val="22"/>
          <w:lang w:val="lt-LT"/>
        </w:rPr>
        <w:t xml:space="preserve"> geriamosios suspensijos, turi būti naudojamas kartu su adapteriu.</w:t>
      </w:r>
    </w:p>
    <w:p w14:paraId="3A035EC3" w14:textId="77777777" w:rsidR="00EB08A6" w:rsidRPr="00EB08A6" w:rsidRDefault="00EB08A6" w:rsidP="00EB08A6">
      <w:pPr>
        <w:rPr>
          <w:szCs w:val="22"/>
          <w:u w:val="single"/>
          <w:lang w:val="lt-LT"/>
        </w:rPr>
      </w:pPr>
    </w:p>
    <w:p w14:paraId="2E5724D3" w14:textId="77777777" w:rsidR="00EB08A6" w:rsidRPr="00EB08A6" w:rsidRDefault="00EB08A6" w:rsidP="00EB08A6">
      <w:pPr>
        <w:rPr>
          <w:szCs w:val="22"/>
          <w:u w:val="single"/>
          <w:lang w:val="lt-LT"/>
        </w:rPr>
      </w:pPr>
      <w:r w:rsidRPr="00EB08A6">
        <w:rPr>
          <w:szCs w:val="22"/>
          <w:u w:val="single"/>
          <w:lang w:val="lt-LT"/>
        </w:rPr>
        <w:t xml:space="preserve">Paruošimas pirmajam </w:t>
      </w:r>
      <w:proofErr w:type="spellStart"/>
      <w:r w:rsidRPr="00EB08A6">
        <w:rPr>
          <w:szCs w:val="22"/>
          <w:u w:val="single"/>
          <w:lang w:val="lt-LT"/>
        </w:rPr>
        <w:t>Vesicare</w:t>
      </w:r>
      <w:proofErr w:type="spellEnd"/>
      <w:r w:rsidRPr="00EB08A6">
        <w:rPr>
          <w:szCs w:val="22"/>
          <w:u w:val="single"/>
          <w:lang w:val="lt-LT"/>
        </w:rPr>
        <w:t xml:space="preserve"> geriamosios suspensijos buteliuko vartojimui</w:t>
      </w:r>
    </w:p>
    <w:p w14:paraId="602C7F27" w14:textId="77777777" w:rsidR="00EB08A6" w:rsidRPr="00EB08A6" w:rsidRDefault="00EB08A6" w:rsidP="00EB08A6">
      <w:pPr>
        <w:numPr>
          <w:ilvl w:val="0"/>
          <w:numId w:val="15"/>
        </w:numPr>
        <w:tabs>
          <w:tab w:val="clear" w:pos="567"/>
          <w:tab w:val="left" w:pos="426"/>
        </w:tabs>
        <w:ind w:left="0" w:firstLine="0"/>
        <w:rPr>
          <w:szCs w:val="22"/>
          <w:u w:val="single"/>
          <w:lang w:val="lt-LT"/>
        </w:rPr>
      </w:pPr>
      <w:r w:rsidRPr="00EB08A6">
        <w:rPr>
          <w:szCs w:val="22"/>
          <w:lang w:val="lt-LT"/>
        </w:rPr>
        <w:t xml:space="preserve">Dėmesingai nusiplaukite rankas. </w:t>
      </w:r>
    </w:p>
    <w:p w14:paraId="2616E678" w14:textId="77777777" w:rsidR="00EB08A6" w:rsidRPr="00EB08A6" w:rsidRDefault="00EB08A6" w:rsidP="00EB08A6">
      <w:pPr>
        <w:numPr>
          <w:ilvl w:val="0"/>
          <w:numId w:val="15"/>
        </w:numPr>
        <w:tabs>
          <w:tab w:val="clear" w:pos="567"/>
          <w:tab w:val="left" w:pos="426"/>
        </w:tabs>
        <w:ind w:left="0" w:firstLine="0"/>
        <w:rPr>
          <w:szCs w:val="22"/>
          <w:u w:val="single"/>
          <w:lang w:val="lt-LT"/>
        </w:rPr>
      </w:pPr>
      <w:r w:rsidRPr="00EB08A6">
        <w:rPr>
          <w:szCs w:val="22"/>
          <w:lang w:val="lt-LT"/>
        </w:rPr>
        <w:t xml:space="preserve">Atidarykite kartoninę dėžutę ir išimkite buteliuką, švirkštą ir adapterį. </w:t>
      </w:r>
    </w:p>
    <w:p w14:paraId="57944144" w14:textId="77777777" w:rsidR="00EB08A6" w:rsidRPr="00EB08A6" w:rsidRDefault="00EB08A6" w:rsidP="00EB08A6">
      <w:pPr>
        <w:numPr>
          <w:ilvl w:val="0"/>
          <w:numId w:val="15"/>
        </w:numPr>
        <w:tabs>
          <w:tab w:val="clear" w:pos="567"/>
          <w:tab w:val="left" w:pos="426"/>
        </w:tabs>
        <w:ind w:left="0" w:firstLine="0"/>
        <w:rPr>
          <w:szCs w:val="22"/>
          <w:u w:val="single"/>
          <w:lang w:val="lt-LT"/>
        </w:rPr>
      </w:pPr>
      <w:r w:rsidRPr="00EB08A6">
        <w:rPr>
          <w:szCs w:val="22"/>
          <w:lang w:val="lt-LT"/>
        </w:rPr>
        <w:t xml:space="preserve">Padėkite buteliuką ant lygaus paviršiaus ir nuimkite dangtelį. </w:t>
      </w:r>
    </w:p>
    <w:p w14:paraId="6D98A5F7" w14:textId="77777777" w:rsidR="00EB08A6" w:rsidRPr="00EB08A6" w:rsidRDefault="00EB08A6" w:rsidP="00EB08A6">
      <w:pPr>
        <w:numPr>
          <w:ilvl w:val="0"/>
          <w:numId w:val="15"/>
        </w:numPr>
        <w:tabs>
          <w:tab w:val="clear" w:pos="567"/>
          <w:tab w:val="left" w:pos="426"/>
        </w:tabs>
        <w:ind w:left="0" w:firstLine="0"/>
        <w:rPr>
          <w:szCs w:val="22"/>
          <w:u w:val="single"/>
          <w:lang w:val="lt-LT"/>
        </w:rPr>
      </w:pPr>
      <w:r w:rsidRPr="00EB08A6">
        <w:rPr>
          <w:szCs w:val="22"/>
          <w:lang w:val="lt-LT"/>
        </w:rPr>
        <w:t xml:space="preserve">Tvirtai užspauskite adapterį ant buteliuko kaklelio. </w:t>
      </w:r>
    </w:p>
    <w:p w14:paraId="1423F3E3" w14:textId="77777777" w:rsidR="00EB08A6" w:rsidRPr="00EB08A6" w:rsidRDefault="00EB08A6" w:rsidP="00EB08A6">
      <w:pPr>
        <w:numPr>
          <w:ilvl w:val="0"/>
          <w:numId w:val="15"/>
        </w:numPr>
        <w:tabs>
          <w:tab w:val="clear" w:pos="567"/>
          <w:tab w:val="left" w:pos="426"/>
        </w:tabs>
        <w:ind w:left="0" w:firstLine="0"/>
        <w:rPr>
          <w:szCs w:val="22"/>
          <w:u w:val="single"/>
          <w:lang w:val="lt-LT"/>
        </w:rPr>
      </w:pPr>
      <w:r w:rsidRPr="00EB08A6">
        <w:rPr>
          <w:szCs w:val="22"/>
          <w:lang w:val="lt-LT"/>
        </w:rPr>
        <w:t xml:space="preserve">Įsitikinkite, kad adapterio viršus yra viename lygyje su butelio kaklelio viršumi. </w:t>
      </w:r>
    </w:p>
    <w:p w14:paraId="42500862" w14:textId="77777777" w:rsidR="00EB08A6" w:rsidRPr="00EB08A6" w:rsidRDefault="00EB08A6" w:rsidP="00EB08A6">
      <w:pPr>
        <w:numPr>
          <w:ilvl w:val="0"/>
          <w:numId w:val="15"/>
        </w:numPr>
        <w:tabs>
          <w:tab w:val="clear" w:pos="567"/>
          <w:tab w:val="left" w:pos="426"/>
        </w:tabs>
        <w:ind w:left="0" w:firstLine="0"/>
        <w:rPr>
          <w:szCs w:val="22"/>
          <w:u w:val="single"/>
          <w:lang w:val="lt-LT"/>
        </w:rPr>
      </w:pPr>
      <w:r w:rsidRPr="00EB08A6">
        <w:rPr>
          <w:szCs w:val="22"/>
          <w:lang w:val="lt-LT"/>
        </w:rPr>
        <w:t>Adapteris turi likti ant buteliuko kaklelio iki 28 dienų galiojimo termino pabaigos.</w:t>
      </w:r>
    </w:p>
    <w:p w14:paraId="135E64EE" w14:textId="77777777" w:rsidR="00EB08A6" w:rsidRPr="00EB08A6" w:rsidRDefault="00EB08A6" w:rsidP="00EB08A6">
      <w:pPr>
        <w:numPr>
          <w:ilvl w:val="0"/>
          <w:numId w:val="15"/>
        </w:numPr>
        <w:tabs>
          <w:tab w:val="clear" w:pos="567"/>
          <w:tab w:val="left" w:pos="426"/>
        </w:tabs>
        <w:ind w:left="0" w:firstLine="0"/>
        <w:rPr>
          <w:szCs w:val="22"/>
          <w:lang w:val="lt-LT"/>
        </w:rPr>
      </w:pPr>
      <w:r w:rsidRPr="00EB08A6">
        <w:rPr>
          <w:szCs w:val="22"/>
          <w:lang w:val="lt-LT"/>
        </w:rPr>
        <w:t>Uždėkite buteliuko dangtelį atgal.</w:t>
      </w:r>
    </w:p>
    <w:p w14:paraId="2752C352" w14:textId="77777777" w:rsidR="00EB08A6" w:rsidRPr="00EB08A6" w:rsidRDefault="00EB08A6" w:rsidP="00EB08A6">
      <w:pPr>
        <w:rPr>
          <w:szCs w:val="22"/>
          <w:lang w:val="lt-LT"/>
        </w:rPr>
      </w:pPr>
    </w:p>
    <w:p w14:paraId="2D1BF7DB" w14:textId="77777777" w:rsidR="00EB08A6" w:rsidRPr="00EB08A6" w:rsidRDefault="00EB08A6" w:rsidP="00EB08A6">
      <w:pPr>
        <w:rPr>
          <w:szCs w:val="22"/>
          <w:u w:val="single"/>
          <w:lang w:val="lt-LT"/>
        </w:rPr>
      </w:pPr>
      <w:r w:rsidRPr="00EB08A6">
        <w:rPr>
          <w:szCs w:val="22"/>
          <w:u w:val="single"/>
          <w:lang w:val="lt-LT"/>
        </w:rPr>
        <w:t>Prieš kiekvieną vartojimą</w:t>
      </w:r>
    </w:p>
    <w:p w14:paraId="250068F2" w14:textId="77777777" w:rsidR="00EB08A6" w:rsidRPr="00EB08A6" w:rsidRDefault="00EB08A6" w:rsidP="00EB08A6">
      <w:pPr>
        <w:keepLines/>
        <w:numPr>
          <w:ilvl w:val="0"/>
          <w:numId w:val="16"/>
        </w:numPr>
        <w:tabs>
          <w:tab w:val="clear" w:pos="567"/>
        </w:tabs>
        <w:spacing w:line="240" w:lineRule="auto"/>
        <w:ind w:left="425" w:hanging="425"/>
        <w:rPr>
          <w:szCs w:val="22"/>
          <w:lang w:val="lt-LT"/>
        </w:rPr>
      </w:pPr>
      <w:r w:rsidRPr="00EB08A6">
        <w:rPr>
          <w:szCs w:val="22"/>
          <w:lang w:val="lt-LT"/>
        </w:rPr>
        <w:t>Dėmesingai nusiplaukite rankas.</w:t>
      </w:r>
    </w:p>
    <w:p w14:paraId="1BC6E455" w14:textId="77777777" w:rsidR="00EB08A6" w:rsidRPr="00EB08A6" w:rsidRDefault="00EB08A6" w:rsidP="00EB08A6">
      <w:pPr>
        <w:keepLines/>
        <w:numPr>
          <w:ilvl w:val="0"/>
          <w:numId w:val="16"/>
        </w:numPr>
        <w:tabs>
          <w:tab w:val="clear" w:pos="567"/>
        </w:tabs>
        <w:spacing w:line="240" w:lineRule="auto"/>
        <w:ind w:left="425" w:hanging="425"/>
        <w:rPr>
          <w:szCs w:val="22"/>
          <w:lang w:val="lt-LT"/>
        </w:rPr>
      </w:pPr>
      <w:r w:rsidRPr="00EB08A6">
        <w:rPr>
          <w:szCs w:val="22"/>
          <w:lang w:val="lt-LT"/>
        </w:rPr>
        <w:t xml:space="preserve">Papurtykite </w:t>
      </w:r>
      <w:proofErr w:type="spellStart"/>
      <w:r w:rsidRPr="00EB08A6">
        <w:rPr>
          <w:szCs w:val="22"/>
          <w:lang w:val="lt-LT"/>
        </w:rPr>
        <w:t>Vesicare</w:t>
      </w:r>
      <w:proofErr w:type="spellEnd"/>
      <w:r w:rsidRPr="00EB08A6">
        <w:rPr>
          <w:szCs w:val="22"/>
          <w:lang w:val="lt-LT"/>
        </w:rPr>
        <w:t xml:space="preserve"> geriamosios suspensijos buteliuką bent 20 kartų.</w:t>
      </w:r>
    </w:p>
    <w:p w14:paraId="3832513E"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Nuimkite buteliuko dangtelį ir įsitikinkite, kad ant buteliuko kaklelio yra adapteris. Geriamojo švirkšto galiuką įstatykite į buteliuko adapterio centrinę angą, kol jis gerai įsitvirtins.</w:t>
      </w:r>
    </w:p>
    <w:p w14:paraId="7D63927C"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Atsargiai apverskite buteliuką ir švirkštą, užtikrindami, kad adapteris liktų vietoje.</w:t>
      </w:r>
    </w:p>
    <w:p w14:paraId="6FF78C84"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Lėtai traukite švirkšto stūmoklį, kad iš apversto buteliuko ištrauktumėte gydytojo nurodytą kiekį.</w:t>
      </w:r>
    </w:p>
    <w:p w14:paraId="06D68C55"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 xml:space="preserve">Jei netyčia ištraukėte per daug vaistinio preparato, pašalinkite </w:t>
      </w:r>
      <w:proofErr w:type="spellStart"/>
      <w:r w:rsidRPr="00EB08A6">
        <w:rPr>
          <w:szCs w:val="22"/>
          <w:lang w:val="lt-LT"/>
        </w:rPr>
        <w:t>pereteklių</w:t>
      </w:r>
      <w:proofErr w:type="spellEnd"/>
      <w:r w:rsidRPr="00EB08A6">
        <w:rPr>
          <w:szCs w:val="22"/>
          <w:lang w:val="lt-LT"/>
        </w:rPr>
        <w:t>.</w:t>
      </w:r>
    </w:p>
    <w:p w14:paraId="6FD24D67"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Įsitikinkite, kad švirkšte nėra oro burbuliukų. Jei atsiranda oro burbulas, stumkite stūmoklį aukštyn, kad pašalintumėte galimą burbulą.</w:t>
      </w:r>
    </w:p>
    <w:p w14:paraId="71F04EEB"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Palikite švirkštą vietoje, apverskite buteliuką stačiai ir įsitikinkite, kad švirkšto stūmoklis nejuda. Švelniai ištraukite švirkštą iš adapterio. Adapteris turėtų likti vietoje.</w:t>
      </w:r>
    </w:p>
    <w:p w14:paraId="2B1079CB"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Patikrinkite, ar pamatuota tinkama dozė. Įdėkite švirkštą į burną ir švelniai stumkite stūmoklį žemyn, kad pacientui būtų suleistas vaistinis preparatas.</w:t>
      </w:r>
    </w:p>
    <w:p w14:paraId="321D344B"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Baigę dozavimą, uždarykite buteliuką su dangteliu.</w:t>
      </w:r>
    </w:p>
    <w:p w14:paraId="256BE908" w14:textId="77777777" w:rsidR="00EB08A6" w:rsidRPr="00EB08A6" w:rsidRDefault="00EB08A6" w:rsidP="00EB08A6">
      <w:pPr>
        <w:numPr>
          <w:ilvl w:val="0"/>
          <w:numId w:val="16"/>
        </w:numPr>
        <w:tabs>
          <w:tab w:val="clear" w:pos="567"/>
        </w:tabs>
        <w:spacing w:line="240" w:lineRule="auto"/>
        <w:ind w:left="426" w:hanging="426"/>
        <w:rPr>
          <w:szCs w:val="22"/>
          <w:lang w:val="lt-LT"/>
        </w:rPr>
      </w:pPr>
      <w:r w:rsidRPr="00EB08A6">
        <w:rPr>
          <w:szCs w:val="22"/>
          <w:lang w:val="lt-LT"/>
        </w:rPr>
        <w:t>Nuplaukite švirkštą šiltu vandeniu. Leiskite išdžiūti.</w:t>
      </w:r>
    </w:p>
    <w:p w14:paraId="37D78BD5" w14:textId="77777777" w:rsidR="00EB08A6" w:rsidRPr="00EB08A6" w:rsidRDefault="00EB08A6" w:rsidP="00EB08A6">
      <w:pPr>
        <w:rPr>
          <w:szCs w:val="22"/>
          <w:lang w:val="lt-LT"/>
        </w:rPr>
      </w:pPr>
    </w:p>
    <w:p w14:paraId="631C3F7F" w14:textId="77777777" w:rsidR="00EB08A6" w:rsidRPr="00EB08A6" w:rsidRDefault="00EB08A6" w:rsidP="00EB08A6">
      <w:pPr>
        <w:rPr>
          <w:szCs w:val="22"/>
          <w:lang w:val="lt-LT"/>
        </w:rPr>
      </w:pPr>
      <w:r w:rsidRPr="00EB08A6">
        <w:rPr>
          <w:szCs w:val="22"/>
          <w:lang w:val="lt-LT"/>
        </w:rPr>
        <w:t>Pastaba: jei pacientui reikia didesnės nei 5 ml dozės, prieš pakartotinį švirkšto naudojimą jo galiuką praskalaukite šiltu vandeniu.</w:t>
      </w:r>
    </w:p>
    <w:p w14:paraId="4DBCD22A" w14:textId="77777777" w:rsidR="00EB08A6" w:rsidRPr="00EB08A6" w:rsidRDefault="00EB08A6" w:rsidP="00EB08A6">
      <w:pPr>
        <w:rPr>
          <w:szCs w:val="22"/>
          <w:lang w:val="lt-LT"/>
        </w:rPr>
      </w:pPr>
    </w:p>
    <w:p w14:paraId="5FD765BB" w14:textId="77777777" w:rsidR="00EB08A6" w:rsidRPr="00EB08A6" w:rsidRDefault="00EB08A6" w:rsidP="00EB08A6">
      <w:pPr>
        <w:rPr>
          <w:szCs w:val="22"/>
          <w:u w:val="single"/>
          <w:lang w:val="lt-LT"/>
        </w:rPr>
      </w:pPr>
      <w:r w:rsidRPr="00EB08A6">
        <w:rPr>
          <w:szCs w:val="22"/>
          <w:u w:val="single"/>
          <w:lang w:val="lt-LT"/>
        </w:rPr>
        <w:t>Geriamojo švirkšto valymas</w:t>
      </w:r>
    </w:p>
    <w:p w14:paraId="656693EB" w14:textId="77777777" w:rsidR="00EB08A6" w:rsidRPr="00EB08A6" w:rsidRDefault="00EB08A6" w:rsidP="00EB08A6">
      <w:pPr>
        <w:rPr>
          <w:szCs w:val="22"/>
          <w:lang w:val="lt-LT"/>
        </w:rPr>
      </w:pPr>
      <w:r w:rsidRPr="00EB08A6">
        <w:rPr>
          <w:szCs w:val="22"/>
          <w:lang w:val="lt-LT"/>
        </w:rPr>
        <w:t>Po naudojimo geriamąjį švirkštą plaukite tik šiltu vandeniu.</w:t>
      </w:r>
    </w:p>
    <w:p w14:paraId="2B45882C" w14:textId="77777777" w:rsidR="00EB08A6" w:rsidRPr="00EB08A6" w:rsidRDefault="00EB08A6" w:rsidP="00EB08A6">
      <w:pPr>
        <w:rPr>
          <w:szCs w:val="22"/>
          <w:lang w:val="lt-LT"/>
        </w:rPr>
      </w:pPr>
      <w:r w:rsidRPr="00EB08A6">
        <w:rPr>
          <w:szCs w:val="22"/>
          <w:lang w:val="lt-LT"/>
        </w:rPr>
        <w:t>Geriamasis švirkštas gali būti naudojamas 28 dienas po pirmojo atidarymo (žr. 6.3 skyrių).</w:t>
      </w:r>
    </w:p>
    <w:p w14:paraId="2585C5BF" w14:textId="77777777" w:rsidR="00EB08A6" w:rsidRPr="00EB08A6" w:rsidRDefault="00EB08A6" w:rsidP="00EB08A6">
      <w:pPr>
        <w:rPr>
          <w:szCs w:val="22"/>
          <w:lang w:val="lt-LT"/>
        </w:rPr>
      </w:pPr>
    </w:p>
    <w:p w14:paraId="17FFE7FC" w14:textId="77777777" w:rsidR="00EB08A6" w:rsidRPr="00EB08A6" w:rsidRDefault="00EB08A6" w:rsidP="00EB08A6">
      <w:pPr>
        <w:rPr>
          <w:szCs w:val="22"/>
          <w:u w:val="single"/>
          <w:lang w:val="lt-LT"/>
        </w:rPr>
      </w:pPr>
      <w:r w:rsidRPr="00EB08A6">
        <w:rPr>
          <w:szCs w:val="22"/>
          <w:u w:val="single"/>
          <w:lang w:val="lt-LT"/>
        </w:rPr>
        <w:t>Išmetimas</w:t>
      </w:r>
    </w:p>
    <w:p w14:paraId="4F737FD8" w14:textId="77777777" w:rsidR="00EB08A6" w:rsidRPr="00EB08A6" w:rsidRDefault="00EB08A6" w:rsidP="00EB08A6">
      <w:pPr>
        <w:rPr>
          <w:szCs w:val="22"/>
          <w:lang w:val="lt-LT"/>
        </w:rPr>
      </w:pPr>
      <w:r w:rsidRPr="00EB08A6">
        <w:rPr>
          <w:szCs w:val="22"/>
          <w:lang w:val="lt-LT"/>
        </w:rPr>
        <w:t>Buteliuką, švirkštą, adapterį ir nesuvartotą vaistinį preparatą ar atliekas reikia išmesti laikantis vietinių reikalavimų. Išmeskite visą vaistinį preparatą, kuris liko praėjus 28 dienoms po buteliuko atidarymo Vaistinių preparatų negalima išmesti į kanalizaciją ar su buitinėmis atliekomis. Šios priemonės padės apsaugoti aplinką.</w:t>
      </w:r>
    </w:p>
    <w:p w14:paraId="1CFC5E62" w14:textId="77777777" w:rsidR="00EB08A6" w:rsidRPr="00EB08A6" w:rsidRDefault="00EB08A6" w:rsidP="00EB08A6">
      <w:pPr>
        <w:rPr>
          <w:szCs w:val="22"/>
          <w:lang w:val="lt-LT"/>
        </w:rPr>
      </w:pPr>
    </w:p>
    <w:p w14:paraId="18BD9212" w14:textId="77777777" w:rsidR="00EB08A6" w:rsidRPr="00EB08A6" w:rsidRDefault="00EB08A6" w:rsidP="00EB08A6">
      <w:pPr>
        <w:rPr>
          <w:szCs w:val="22"/>
          <w:lang w:val="lt-LT"/>
        </w:rPr>
      </w:pPr>
    </w:p>
    <w:p w14:paraId="3B99866B" w14:textId="77777777" w:rsidR="00EB08A6" w:rsidRPr="00EB08A6" w:rsidRDefault="00EB08A6" w:rsidP="00EB08A6">
      <w:pPr>
        <w:pStyle w:val="Antrat1"/>
        <w:spacing w:before="0" w:after="0"/>
        <w:rPr>
          <w:rFonts w:ascii="Times New Roman" w:hAnsi="Times New Roman"/>
          <w:sz w:val="22"/>
          <w:szCs w:val="22"/>
          <w:lang w:val="lt-LT"/>
        </w:rPr>
      </w:pPr>
      <w:bookmarkStart w:id="52" w:name="_i4i2i70zPFxv0ABQ77z6gov66"/>
      <w:bookmarkEnd w:id="52"/>
      <w:r w:rsidRPr="00EB08A6">
        <w:rPr>
          <w:rFonts w:ascii="Times New Roman" w:hAnsi="Times New Roman"/>
          <w:sz w:val="22"/>
          <w:szCs w:val="22"/>
          <w:lang w:val="lt-LT"/>
        </w:rPr>
        <w:t>7.</w:t>
      </w:r>
      <w:r w:rsidRPr="00EB08A6">
        <w:rPr>
          <w:rFonts w:ascii="Times New Roman" w:hAnsi="Times New Roman"/>
          <w:sz w:val="22"/>
          <w:szCs w:val="22"/>
          <w:lang w:val="lt-LT"/>
        </w:rPr>
        <w:tab/>
        <w:t xml:space="preserve">REGISTRUOTOJAS </w:t>
      </w:r>
    </w:p>
    <w:p w14:paraId="0BC69476" w14:textId="77777777" w:rsidR="00EB08A6" w:rsidRPr="00EB08A6" w:rsidRDefault="00EB08A6" w:rsidP="00EB08A6">
      <w:pPr>
        <w:rPr>
          <w:szCs w:val="22"/>
        </w:rPr>
      </w:pPr>
      <w:bookmarkStart w:id="53" w:name="_i4i5XnMPG6fNnOaAeN1AtXjS2"/>
      <w:bookmarkEnd w:id="53"/>
    </w:p>
    <w:p w14:paraId="5C3A2152" w14:textId="77777777" w:rsidR="00EB08A6" w:rsidRPr="00EB08A6" w:rsidRDefault="00EB08A6" w:rsidP="00EB08A6">
      <w:pPr>
        <w:rPr>
          <w:szCs w:val="22"/>
          <w:lang w:val="fi-FI"/>
        </w:rPr>
      </w:pPr>
      <w:r w:rsidRPr="00EB08A6">
        <w:rPr>
          <w:szCs w:val="22"/>
          <w:lang w:val="fi-FI"/>
        </w:rPr>
        <w:t xml:space="preserve">Astellas Pharma d.o.o. </w:t>
      </w:r>
    </w:p>
    <w:p w14:paraId="3D1D384E" w14:textId="77777777" w:rsidR="00EB08A6" w:rsidRPr="00EB08A6" w:rsidRDefault="00EB08A6" w:rsidP="00EB08A6">
      <w:pPr>
        <w:rPr>
          <w:szCs w:val="22"/>
          <w:lang w:val="fi-FI"/>
        </w:rPr>
      </w:pPr>
      <w:r w:rsidRPr="00EB08A6">
        <w:rPr>
          <w:szCs w:val="22"/>
          <w:lang w:val="fi-FI"/>
        </w:rPr>
        <w:t xml:space="preserve">Šmartinska cesta 53 </w:t>
      </w:r>
    </w:p>
    <w:p w14:paraId="2505E94C" w14:textId="77777777" w:rsidR="00EB08A6" w:rsidRPr="00EB08A6" w:rsidRDefault="00EB08A6" w:rsidP="00EB08A6">
      <w:pPr>
        <w:rPr>
          <w:szCs w:val="22"/>
          <w:lang w:val="fi-FI"/>
        </w:rPr>
      </w:pPr>
      <w:r w:rsidRPr="00EB08A6">
        <w:rPr>
          <w:szCs w:val="22"/>
          <w:lang w:val="fi-FI"/>
        </w:rPr>
        <w:t xml:space="preserve">1000 Ljubljana </w:t>
      </w:r>
    </w:p>
    <w:p w14:paraId="6ED3BDBB" w14:textId="77777777" w:rsidR="00EB08A6" w:rsidRPr="00EB08A6" w:rsidRDefault="00EB08A6" w:rsidP="00EB08A6">
      <w:pPr>
        <w:rPr>
          <w:szCs w:val="22"/>
          <w:lang w:val="fi-FI"/>
        </w:rPr>
      </w:pPr>
      <w:r w:rsidRPr="00EB08A6">
        <w:rPr>
          <w:szCs w:val="22"/>
          <w:lang w:val="fi-FI"/>
        </w:rPr>
        <w:t>Slovėnija</w:t>
      </w:r>
    </w:p>
    <w:p w14:paraId="4C22A6D2" w14:textId="77777777" w:rsidR="00EB08A6" w:rsidRPr="00EB08A6" w:rsidRDefault="00EB08A6" w:rsidP="00EB08A6">
      <w:pPr>
        <w:rPr>
          <w:szCs w:val="22"/>
          <w:lang w:val="lt-LT"/>
        </w:rPr>
      </w:pPr>
    </w:p>
    <w:p w14:paraId="686691BD" w14:textId="77777777" w:rsidR="00EB08A6" w:rsidRPr="00EB08A6" w:rsidRDefault="00EB08A6" w:rsidP="00EB08A6">
      <w:pPr>
        <w:rPr>
          <w:szCs w:val="22"/>
          <w:lang w:val="lt-LT"/>
        </w:rPr>
      </w:pPr>
    </w:p>
    <w:p w14:paraId="41F1FC7E" w14:textId="77777777" w:rsidR="00EB08A6" w:rsidRPr="00EB08A6" w:rsidRDefault="00EB08A6" w:rsidP="00EB08A6">
      <w:pPr>
        <w:pStyle w:val="Antrat1"/>
        <w:spacing w:before="0" w:after="0"/>
        <w:rPr>
          <w:rFonts w:ascii="Times New Roman" w:hAnsi="Times New Roman"/>
          <w:sz w:val="22"/>
          <w:szCs w:val="22"/>
        </w:rPr>
      </w:pPr>
      <w:bookmarkStart w:id="54" w:name="_i4i2EQo2D2UByPkPUsN8dLIJp"/>
      <w:bookmarkEnd w:id="54"/>
      <w:r w:rsidRPr="00EB08A6">
        <w:rPr>
          <w:rFonts w:ascii="Times New Roman" w:hAnsi="Times New Roman"/>
          <w:sz w:val="22"/>
          <w:szCs w:val="22"/>
        </w:rPr>
        <w:t>8.</w:t>
      </w:r>
      <w:r w:rsidRPr="00EB08A6">
        <w:rPr>
          <w:rFonts w:ascii="Times New Roman" w:hAnsi="Times New Roman"/>
          <w:sz w:val="22"/>
          <w:szCs w:val="22"/>
        </w:rPr>
        <w:tab/>
        <w:t xml:space="preserve">REGISTRACIJOS PAŽYMĖJIMO </w:t>
      </w:r>
      <w:r w:rsidRPr="00EB08A6">
        <w:rPr>
          <w:rFonts w:ascii="Times New Roman" w:eastAsia="Times New Roman" w:hAnsi="Times New Roman"/>
          <w:bCs w:val="0"/>
          <w:sz w:val="22"/>
          <w:szCs w:val="22"/>
          <w:lang w:val="lt-LT"/>
        </w:rPr>
        <w:t>NUMERIS (-IAI)</w:t>
      </w:r>
      <w:r w:rsidRPr="00EB08A6">
        <w:rPr>
          <w:rFonts w:ascii="Times New Roman" w:hAnsi="Times New Roman"/>
          <w:sz w:val="22"/>
          <w:szCs w:val="22"/>
        </w:rPr>
        <w:t xml:space="preserve"> </w:t>
      </w:r>
    </w:p>
    <w:p w14:paraId="7B7038C6" w14:textId="77777777" w:rsidR="00EB08A6" w:rsidRPr="00EB08A6" w:rsidRDefault="00EB08A6" w:rsidP="00EB08A6">
      <w:pPr>
        <w:rPr>
          <w:szCs w:val="22"/>
        </w:rPr>
      </w:pPr>
    </w:p>
    <w:p w14:paraId="1B3EFD51" w14:textId="77777777" w:rsidR="00EB08A6" w:rsidRPr="00EB08A6" w:rsidRDefault="00EB08A6" w:rsidP="00EB08A6">
      <w:pPr>
        <w:rPr>
          <w:szCs w:val="22"/>
        </w:rPr>
      </w:pPr>
      <w:r w:rsidRPr="00EB08A6">
        <w:rPr>
          <w:szCs w:val="22"/>
          <w:lang w:val="lt-LT"/>
        </w:rPr>
        <w:t>LT/1/05/0465/021</w:t>
      </w:r>
      <w:r w:rsidRPr="00EB08A6">
        <w:rPr>
          <w:szCs w:val="22"/>
        </w:rPr>
        <w:t xml:space="preserve"> </w:t>
      </w:r>
    </w:p>
    <w:p w14:paraId="5A88C9CA" w14:textId="77777777" w:rsidR="00EB08A6" w:rsidRPr="00EB08A6" w:rsidRDefault="00EB08A6" w:rsidP="00EB08A6">
      <w:pPr>
        <w:rPr>
          <w:szCs w:val="22"/>
        </w:rPr>
      </w:pPr>
    </w:p>
    <w:p w14:paraId="4CB24185" w14:textId="77777777" w:rsidR="00EB08A6" w:rsidRPr="00EB08A6" w:rsidRDefault="00EB08A6" w:rsidP="00EB08A6">
      <w:pPr>
        <w:rPr>
          <w:color w:val="808080"/>
          <w:szCs w:val="22"/>
        </w:rPr>
      </w:pPr>
    </w:p>
    <w:p w14:paraId="6D885DCF" w14:textId="77777777" w:rsidR="00EB08A6" w:rsidRPr="00EB08A6" w:rsidRDefault="00EB08A6" w:rsidP="00EB08A6">
      <w:pPr>
        <w:pStyle w:val="Antrat1"/>
        <w:spacing w:before="0"/>
        <w:rPr>
          <w:rFonts w:ascii="Times New Roman" w:hAnsi="Times New Roman"/>
          <w:sz w:val="22"/>
          <w:szCs w:val="22"/>
        </w:rPr>
      </w:pPr>
      <w:bookmarkStart w:id="55" w:name="_i4i7JAE6tk6k5Owt4nmk2ke1w"/>
      <w:bookmarkEnd w:id="55"/>
      <w:r w:rsidRPr="00EB08A6">
        <w:rPr>
          <w:rFonts w:ascii="Times New Roman" w:hAnsi="Times New Roman"/>
          <w:sz w:val="22"/>
          <w:szCs w:val="22"/>
        </w:rPr>
        <w:t>9.</w:t>
      </w:r>
      <w:r w:rsidRPr="00EB08A6">
        <w:rPr>
          <w:rFonts w:ascii="Times New Roman" w:hAnsi="Times New Roman"/>
          <w:sz w:val="22"/>
          <w:szCs w:val="22"/>
        </w:rPr>
        <w:tab/>
        <w:t>REGISTRAVIMO/ PERREGISTRAVIMO DATA</w:t>
      </w:r>
    </w:p>
    <w:p w14:paraId="2383CDE1" w14:textId="77777777" w:rsidR="00EB08A6" w:rsidRPr="00EB08A6" w:rsidRDefault="00EB08A6" w:rsidP="00EB08A6">
      <w:pPr>
        <w:rPr>
          <w:szCs w:val="22"/>
        </w:rPr>
      </w:pPr>
      <w:bookmarkStart w:id="56" w:name="_i4i2XGUc2EMaKZUX6AsEVdHC3"/>
      <w:bookmarkEnd w:id="56"/>
      <w:r w:rsidRPr="00EB08A6">
        <w:rPr>
          <w:noProof/>
          <w:szCs w:val="22"/>
        </w:rPr>
        <w:t>Registravimo data</w:t>
      </w:r>
      <w:r w:rsidRPr="00EB08A6">
        <w:rPr>
          <w:szCs w:val="22"/>
        </w:rPr>
        <w:t xml:space="preserve"> </w:t>
      </w:r>
      <w:r w:rsidRPr="00EB08A6">
        <w:rPr>
          <w:szCs w:val="22"/>
          <w:lang w:val="lt-LT"/>
        </w:rPr>
        <w:t>2015 m. spalio 12 d.</w:t>
      </w:r>
      <w:bookmarkStart w:id="57" w:name="_i4i09TrtFh6Edh9Q8qTG3ZOWb"/>
      <w:bookmarkEnd w:id="57"/>
    </w:p>
    <w:p w14:paraId="127DF800" w14:textId="77777777" w:rsidR="00EB08A6" w:rsidRPr="00EB08A6" w:rsidRDefault="00EB08A6" w:rsidP="00EB08A6">
      <w:pPr>
        <w:rPr>
          <w:szCs w:val="22"/>
          <w:lang w:val="lt-LT"/>
        </w:rPr>
      </w:pPr>
      <w:r w:rsidRPr="00EB08A6">
        <w:rPr>
          <w:szCs w:val="22"/>
          <w:lang w:val="lt-LT"/>
        </w:rPr>
        <w:t>Paskutinio perregistravimo data 2020 m. spalio 23 d.</w:t>
      </w:r>
    </w:p>
    <w:p w14:paraId="059FC184" w14:textId="167809AC" w:rsidR="00EB08A6" w:rsidRDefault="00EB08A6" w:rsidP="00EB08A6">
      <w:pPr>
        <w:rPr>
          <w:szCs w:val="22"/>
        </w:rPr>
      </w:pPr>
    </w:p>
    <w:p w14:paraId="1617BB11" w14:textId="77777777" w:rsidR="00EB08A6" w:rsidRPr="00EB08A6" w:rsidRDefault="00EB08A6" w:rsidP="00EB08A6">
      <w:pPr>
        <w:rPr>
          <w:szCs w:val="22"/>
        </w:rPr>
      </w:pPr>
    </w:p>
    <w:p w14:paraId="5CCF8A31" w14:textId="77777777" w:rsidR="00EB08A6" w:rsidRPr="00EB08A6" w:rsidRDefault="00EB08A6" w:rsidP="00EB08A6">
      <w:pPr>
        <w:pStyle w:val="Antrat1"/>
        <w:spacing w:before="0" w:after="0"/>
        <w:rPr>
          <w:rFonts w:ascii="Times New Roman" w:hAnsi="Times New Roman"/>
          <w:sz w:val="22"/>
          <w:szCs w:val="22"/>
        </w:rPr>
      </w:pPr>
      <w:bookmarkStart w:id="58" w:name="_i4i56votZJ0uHntSsXq5jo7mu"/>
      <w:bookmarkEnd w:id="58"/>
      <w:r w:rsidRPr="00EB08A6">
        <w:rPr>
          <w:rFonts w:ascii="Times New Roman" w:hAnsi="Times New Roman"/>
          <w:sz w:val="22"/>
          <w:szCs w:val="22"/>
        </w:rPr>
        <w:t>10.</w:t>
      </w:r>
      <w:r w:rsidRPr="00EB08A6">
        <w:rPr>
          <w:rFonts w:ascii="Times New Roman" w:hAnsi="Times New Roman"/>
          <w:sz w:val="22"/>
          <w:szCs w:val="22"/>
        </w:rPr>
        <w:tab/>
        <w:t>TEKSTO PERŽIŪROS DATA</w:t>
      </w:r>
    </w:p>
    <w:p w14:paraId="20F55E35" w14:textId="77777777" w:rsidR="00EB08A6" w:rsidRPr="00EB08A6" w:rsidRDefault="00EB08A6" w:rsidP="00EB08A6">
      <w:pPr>
        <w:numPr>
          <w:ilvl w:val="12"/>
          <w:numId w:val="0"/>
        </w:numPr>
        <w:ind w:right="-2"/>
        <w:rPr>
          <w:szCs w:val="22"/>
        </w:rPr>
      </w:pPr>
      <w:bookmarkStart w:id="59" w:name="_i4i204uRCIGxY588adIY8FA0Y"/>
      <w:bookmarkEnd w:id="59"/>
    </w:p>
    <w:p w14:paraId="002BDA05" w14:textId="77777777" w:rsidR="00EB08A6" w:rsidRPr="00EB08A6" w:rsidRDefault="00EB08A6" w:rsidP="00EB08A6">
      <w:pPr>
        <w:numPr>
          <w:ilvl w:val="12"/>
          <w:numId w:val="0"/>
        </w:numPr>
        <w:ind w:right="-2"/>
        <w:rPr>
          <w:szCs w:val="22"/>
          <w:lang w:val="lt-LT"/>
        </w:rPr>
      </w:pPr>
      <w:r w:rsidRPr="00EB08A6">
        <w:rPr>
          <w:szCs w:val="22"/>
          <w:lang w:val="lt-LT"/>
        </w:rPr>
        <w:t>2023 m. rugsėjo 14 d.</w:t>
      </w:r>
    </w:p>
    <w:p w14:paraId="2D579F39" w14:textId="77777777" w:rsidR="00EB08A6" w:rsidRPr="00EB08A6" w:rsidRDefault="00EB08A6" w:rsidP="00EB08A6">
      <w:pPr>
        <w:numPr>
          <w:ilvl w:val="12"/>
          <w:numId w:val="0"/>
        </w:numPr>
        <w:ind w:right="-2"/>
        <w:rPr>
          <w:szCs w:val="22"/>
          <w:lang w:val="lt-LT"/>
        </w:rPr>
      </w:pPr>
    </w:p>
    <w:p w14:paraId="15842A66" w14:textId="77777777" w:rsidR="00EB08A6" w:rsidRPr="00EB08A6" w:rsidRDefault="00EB08A6" w:rsidP="00EB08A6">
      <w:pPr>
        <w:numPr>
          <w:ilvl w:val="12"/>
          <w:numId w:val="0"/>
        </w:numPr>
        <w:ind w:right="-2"/>
        <w:rPr>
          <w:szCs w:val="22"/>
          <w:lang w:val="lt-LT"/>
        </w:rPr>
      </w:pPr>
      <w:r w:rsidRPr="00EB08A6">
        <w:rPr>
          <w:iCs/>
          <w:szCs w:val="22"/>
          <w:lang w:val="lt-LT"/>
        </w:rPr>
        <w:t xml:space="preserve">Išsami informacija apie šį vaistinį preparatą </w:t>
      </w:r>
      <w:r w:rsidRPr="00EB08A6">
        <w:rPr>
          <w:szCs w:val="22"/>
          <w:lang w:val="lt-LT"/>
        </w:rPr>
        <w:t xml:space="preserve">pateikiama </w:t>
      </w:r>
      <w:hyperlink r:id="rId26" w:history="1">
        <w:r w:rsidRPr="00EB08A6">
          <w:rPr>
            <w:szCs w:val="22"/>
            <w:lang w:val="lt-LT"/>
          </w:rPr>
          <w:t>Valstybinės</w:t>
        </w:r>
      </w:hyperlink>
      <w:r w:rsidRPr="00EB08A6">
        <w:rPr>
          <w:szCs w:val="22"/>
          <w:lang w:val="lt-LT"/>
        </w:rPr>
        <w:t xml:space="preserve"> vaistų kontrolės tarnybos prie Lietuvos Respublikos sveikatos apsaugos ministerijos tinklalapyje </w:t>
      </w:r>
      <w:hyperlink r:id="rId27" w:history="1">
        <w:r w:rsidRPr="00EB08A6">
          <w:rPr>
            <w:color w:val="0000FF"/>
            <w:szCs w:val="22"/>
            <w:u w:val="single"/>
            <w:lang w:val="lt-LT"/>
          </w:rPr>
          <w:t>http://www.vvkt.lt</w:t>
        </w:r>
      </w:hyperlink>
    </w:p>
    <w:p w14:paraId="5B394321" w14:textId="0181E987" w:rsidR="005B54AC" w:rsidRPr="00EB08A6" w:rsidRDefault="005B54AC" w:rsidP="00EB08A6">
      <w:pPr>
        <w:keepNext/>
        <w:tabs>
          <w:tab w:val="clear" w:pos="567"/>
        </w:tabs>
        <w:spacing w:line="240" w:lineRule="auto"/>
        <w:rPr>
          <w:szCs w:val="22"/>
          <w:lang w:val="lt-LT"/>
        </w:rPr>
      </w:pPr>
    </w:p>
    <w:p w14:paraId="6F105011" w14:textId="77777777" w:rsidR="005B54AC" w:rsidRPr="00EB08A6" w:rsidRDefault="005B54AC" w:rsidP="005B54AC">
      <w:pPr>
        <w:rPr>
          <w:szCs w:val="22"/>
          <w:lang w:val="lt-LT"/>
        </w:rPr>
      </w:pPr>
    </w:p>
    <w:p w14:paraId="5FDC999B" w14:textId="77777777" w:rsidR="005B54AC" w:rsidRPr="00EB08A6" w:rsidRDefault="005B54AC" w:rsidP="005B54AC">
      <w:pPr>
        <w:rPr>
          <w:szCs w:val="22"/>
          <w:lang w:val="lt-LT"/>
        </w:rPr>
      </w:pPr>
    </w:p>
    <w:p w14:paraId="2CFDABD9" w14:textId="77777777" w:rsidR="005B54AC" w:rsidRPr="00EB08A6" w:rsidRDefault="005B54AC" w:rsidP="005B54AC">
      <w:pPr>
        <w:rPr>
          <w:szCs w:val="22"/>
          <w:lang w:val="lt-LT"/>
        </w:rPr>
      </w:pPr>
    </w:p>
    <w:p w14:paraId="1AB663D3" w14:textId="77777777" w:rsidR="005B54AC" w:rsidRPr="00EB08A6" w:rsidRDefault="005B54AC" w:rsidP="005B54AC">
      <w:pPr>
        <w:rPr>
          <w:szCs w:val="22"/>
          <w:lang w:val="lt-LT"/>
        </w:rPr>
      </w:pPr>
    </w:p>
    <w:p w14:paraId="62204DC6" w14:textId="77777777" w:rsidR="005B54AC" w:rsidRPr="00EB08A6" w:rsidRDefault="005B54AC" w:rsidP="005B54AC">
      <w:pPr>
        <w:rPr>
          <w:szCs w:val="22"/>
          <w:lang w:val="lt-LT"/>
        </w:rPr>
      </w:pPr>
    </w:p>
    <w:p w14:paraId="0C5480A5" w14:textId="77777777" w:rsidR="005B54AC" w:rsidRPr="00EB08A6" w:rsidRDefault="005B54AC" w:rsidP="005B54AC">
      <w:pPr>
        <w:rPr>
          <w:szCs w:val="22"/>
          <w:lang w:val="lt-LT"/>
        </w:rPr>
      </w:pPr>
    </w:p>
    <w:p w14:paraId="20D7FA02" w14:textId="77777777" w:rsidR="005B54AC" w:rsidRPr="00EB08A6" w:rsidRDefault="005B54AC" w:rsidP="005B54AC">
      <w:pPr>
        <w:rPr>
          <w:szCs w:val="22"/>
          <w:lang w:val="lt-LT"/>
        </w:rPr>
      </w:pPr>
    </w:p>
    <w:p w14:paraId="189EDDD2" w14:textId="77777777" w:rsidR="005B54AC" w:rsidRPr="00EB08A6" w:rsidRDefault="005B54AC" w:rsidP="005B54AC">
      <w:pPr>
        <w:rPr>
          <w:szCs w:val="22"/>
          <w:lang w:val="lt-LT"/>
        </w:rPr>
      </w:pPr>
    </w:p>
    <w:p w14:paraId="21B07285" w14:textId="77777777" w:rsidR="005B54AC" w:rsidRPr="00EB08A6" w:rsidRDefault="005B54AC" w:rsidP="005B54AC">
      <w:pPr>
        <w:rPr>
          <w:szCs w:val="22"/>
          <w:lang w:val="lt-LT"/>
        </w:rPr>
      </w:pPr>
    </w:p>
    <w:p w14:paraId="092618C2" w14:textId="77777777" w:rsidR="005B54AC" w:rsidRPr="00EB08A6" w:rsidRDefault="005B54AC" w:rsidP="005B54AC">
      <w:pPr>
        <w:rPr>
          <w:szCs w:val="22"/>
          <w:lang w:val="lt-LT"/>
        </w:rPr>
      </w:pPr>
    </w:p>
    <w:p w14:paraId="1590860C" w14:textId="77777777" w:rsidR="005B54AC" w:rsidRPr="00EB08A6" w:rsidRDefault="005B54AC" w:rsidP="005B54AC">
      <w:pPr>
        <w:rPr>
          <w:szCs w:val="22"/>
          <w:lang w:val="lt-LT"/>
        </w:rPr>
      </w:pPr>
    </w:p>
    <w:p w14:paraId="64733D58" w14:textId="77777777" w:rsidR="005B54AC" w:rsidRPr="00EB08A6" w:rsidRDefault="005B54AC" w:rsidP="005B54AC">
      <w:pPr>
        <w:rPr>
          <w:szCs w:val="22"/>
          <w:lang w:val="lt-LT"/>
        </w:rPr>
      </w:pPr>
    </w:p>
    <w:p w14:paraId="340541A5" w14:textId="77777777" w:rsidR="005B54AC" w:rsidRPr="00EB08A6" w:rsidRDefault="005B54AC" w:rsidP="005B54AC">
      <w:pPr>
        <w:rPr>
          <w:szCs w:val="22"/>
          <w:lang w:val="lt-LT"/>
        </w:rPr>
      </w:pPr>
    </w:p>
    <w:p w14:paraId="48B42744" w14:textId="77777777" w:rsidR="005B54AC" w:rsidRPr="00EB08A6" w:rsidRDefault="005B54AC" w:rsidP="005B54AC">
      <w:pPr>
        <w:rPr>
          <w:szCs w:val="22"/>
          <w:lang w:val="lt-LT"/>
        </w:rPr>
      </w:pPr>
    </w:p>
    <w:p w14:paraId="42532AC1" w14:textId="77777777" w:rsidR="005B54AC" w:rsidRPr="00EB08A6" w:rsidRDefault="005B54AC" w:rsidP="005B54AC">
      <w:pPr>
        <w:rPr>
          <w:szCs w:val="22"/>
          <w:lang w:val="lt-LT"/>
        </w:rPr>
      </w:pPr>
    </w:p>
    <w:p w14:paraId="0B9BF9CB" w14:textId="77777777" w:rsidR="005B54AC" w:rsidRPr="00EB08A6" w:rsidRDefault="005B54AC" w:rsidP="005B54AC">
      <w:pPr>
        <w:rPr>
          <w:szCs w:val="22"/>
          <w:lang w:val="lt-LT"/>
        </w:rPr>
      </w:pPr>
    </w:p>
    <w:p w14:paraId="79CAA5C0" w14:textId="77777777" w:rsidR="005B54AC" w:rsidRPr="00EB08A6" w:rsidRDefault="005B54AC" w:rsidP="005B54AC">
      <w:pPr>
        <w:rPr>
          <w:szCs w:val="22"/>
          <w:lang w:val="lt-LT"/>
        </w:rPr>
      </w:pPr>
    </w:p>
    <w:p w14:paraId="6E45C21D" w14:textId="77777777" w:rsidR="005B54AC" w:rsidRPr="00EB08A6" w:rsidRDefault="005B54AC" w:rsidP="005B54AC">
      <w:pPr>
        <w:rPr>
          <w:szCs w:val="22"/>
          <w:lang w:val="lt-LT"/>
        </w:rPr>
      </w:pPr>
    </w:p>
    <w:p w14:paraId="0534CD0C" w14:textId="77777777" w:rsidR="005B54AC" w:rsidRPr="00EB08A6" w:rsidRDefault="005B54AC" w:rsidP="005B54AC">
      <w:pPr>
        <w:rPr>
          <w:szCs w:val="22"/>
          <w:lang w:val="lt-LT"/>
        </w:rPr>
      </w:pPr>
    </w:p>
    <w:p w14:paraId="55AAF83C" w14:textId="77777777" w:rsidR="005B54AC" w:rsidRPr="00EB08A6" w:rsidRDefault="005B54AC" w:rsidP="005B54AC">
      <w:pPr>
        <w:rPr>
          <w:szCs w:val="22"/>
          <w:lang w:val="lt-LT"/>
        </w:rPr>
      </w:pPr>
    </w:p>
    <w:p w14:paraId="1B01FC74" w14:textId="77777777" w:rsidR="005B54AC" w:rsidRPr="00EB08A6" w:rsidRDefault="005B54AC" w:rsidP="005B54AC">
      <w:pPr>
        <w:rPr>
          <w:szCs w:val="22"/>
          <w:lang w:val="lt-LT"/>
        </w:rPr>
      </w:pPr>
    </w:p>
    <w:p w14:paraId="363E9BC6" w14:textId="77777777" w:rsidR="005B54AC" w:rsidRPr="00EB08A6" w:rsidRDefault="005B54AC" w:rsidP="005B54AC">
      <w:pPr>
        <w:rPr>
          <w:szCs w:val="22"/>
          <w:lang w:val="lt-LT"/>
        </w:rPr>
      </w:pPr>
    </w:p>
    <w:p w14:paraId="785F1588"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6CA50576"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7DBB691F"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00D670CB"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3AC5B090"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3BC6C98D"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3A7AC3CF"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4A99B58F"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21C92593"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65F1D347"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703150B6"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6B5F722B"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2FA5A867"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2DE4EE61"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44B57F6D"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0CAE8A59"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38E3B701"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4DC5FDB9"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27ADD86F"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0414749D"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1EA26AAF"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215DE014"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38B29371" w14:textId="77777777" w:rsidR="00EB08A6" w:rsidRDefault="00EB08A6" w:rsidP="005B54AC">
      <w:pPr>
        <w:pStyle w:val="Antrat2"/>
        <w:spacing w:before="0" w:after="0" w:line="240" w:lineRule="auto"/>
        <w:jc w:val="center"/>
        <w:rPr>
          <w:rFonts w:ascii="Times New Roman" w:hAnsi="Times New Roman"/>
          <w:i w:val="0"/>
          <w:iCs w:val="0"/>
          <w:sz w:val="22"/>
          <w:szCs w:val="22"/>
          <w:lang w:val="lt-LT"/>
        </w:rPr>
      </w:pPr>
    </w:p>
    <w:p w14:paraId="1AEAC629" w14:textId="170BBF32" w:rsidR="005B54AC" w:rsidRPr="00EB08A6" w:rsidRDefault="005B54AC" w:rsidP="005B54AC">
      <w:pPr>
        <w:pStyle w:val="Antrat2"/>
        <w:spacing w:before="0" w:after="0" w:line="240" w:lineRule="auto"/>
        <w:jc w:val="center"/>
        <w:rPr>
          <w:rFonts w:ascii="Times New Roman" w:hAnsi="Times New Roman"/>
          <w:i w:val="0"/>
          <w:iCs w:val="0"/>
          <w:sz w:val="22"/>
          <w:szCs w:val="22"/>
          <w:lang w:val="lt-LT"/>
        </w:rPr>
      </w:pPr>
      <w:r w:rsidRPr="00EB08A6">
        <w:rPr>
          <w:rFonts w:ascii="Times New Roman" w:hAnsi="Times New Roman"/>
          <w:i w:val="0"/>
          <w:iCs w:val="0"/>
          <w:sz w:val="22"/>
          <w:szCs w:val="22"/>
          <w:lang w:val="lt-LT"/>
        </w:rPr>
        <w:t>II PRIEDAS</w:t>
      </w:r>
    </w:p>
    <w:p w14:paraId="3BC0D475" w14:textId="77777777" w:rsidR="005B54AC" w:rsidRPr="00EB08A6" w:rsidRDefault="005B54AC" w:rsidP="005B54AC">
      <w:pPr>
        <w:rPr>
          <w:szCs w:val="22"/>
          <w:lang w:val="lt-LT"/>
        </w:rPr>
      </w:pPr>
    </w:p>
    <w:p w14:paraId="6FA363DE" w14:textId="77777777" w:rsidR="005B54AC" w:rsidRPr="00EB08A6" w:rsidRDefault="005B54AC" w:rsidP="005B54AC">
      <w:pPr>
        <w:jc w:val="center"/>
        <w:rPr>
          <w:b/>
          <w:szCs w:val="22"/>
          <w:lang w:val="lt-LT"/>
        </w:rPr>
      </w:pPr>
      <w:r w:rsidRPr="00EB08A6">
        <w:rPr>
          <w:b/>
          <w:szCs w:val="22"/>
          <w:lang w:val="lt-LT"/>
        </w:rPr>
        <w:t>REGISTRACIJOS SĄLYGOS</w:t>
      </w:r>
    </w:p>
    <w:p w14:paraId="6A3B33E8" w14:textId="77777777" w:rsidR="005B54AC" w:rsidRPr="00EB08A6" w:rsidRDefault="005B54AC" w:rsidP="005B54AC">
      <w:pPr>
        <w:tabs>
          <w:tab w:val="clear" w:pos="567"/>
          <w:tab w:val="left" w:pos="993"/>
        </w:tabs>
        <w:rPr>
          <w:szCs w:val="22"/>
          <w:lang w:val="lt-LT"/>
        </w:rPr>
      </w:pPr>
    </w:p>
    <w:p w14:paraId="7C4339A6" w14:textId="77777777" w:rsidR="005B54AC" w:rsidRPr="00EB08A6" w:rsidRDefault="005B54AC" w:rsidP="005B54AC">
      <w:pPr>
        <w:tabs>
          <w:tab w:val="clear" w:pos="567"/>
        </w:tabs>
        <w:spacing w:line="240" w:lineRule="auto"/>
        <w:ind w:left="1701" w:right="849" w:hanging="708"/>
        <w:rPr>
          <w:b/>
          <w:szCs w:val="22"/>
          <w:lang w:val="lt-LT"/>
        </w:rPr>
      </w:pPr>
      <w:r w:rsidRPr="00EB08A6">
        <w:rPr>
          <w:b/>
          <w:szCs w:val="22"/>
          <w:lang w:val="lt-LT"/>
        </w:rPr>
        <w:t>A.</w:t>
      </w:r>
      <w:r w:rsidRPr="00EB08A6">
        <w:rPr>
          <w:b/>
          <w:szCs w:val="22"/>
          <w:lang w:val="lt-LT"/>
        </w:rPr>
        <w:tab/>
        <w:t>GAMINTOJAS (-AI), ATSAKINGAS (-I) UŽ SERIJŲ IŠLEIDIMĄ</w:t>
      </w:r>
    </w:p>
    <w:p w14:paraId="3A078480" w14:textId="77777777" w:rsidR="005B54AC" w:rsidRPr="00EB08A6" w:rsidRDefault="005B54AC" w:rsidP="005B54AC">
      <w:pPr>
        <w:tabs>
          <w:tab w:val="clear" w:pos="567"/>
        </w:tabs>
        <w:ind w:right="849" w:hanging="708"/>
        <w:rPr>
          <w:szCs w:val="22"/>
          <w:lang w:val="lt-LT"/>
        </w:rPr>
      </w:pPr>
    </w:p>
    <w:p w14:paraId="4D72EB41" w14:textId="77777777" w:rsidR="005B54AC" w:rsidRPr="00EB08A6" w:rsidRDefault="005B54AC" w:rsidP="005B54AC">
      <w:pPr>
        <w:suppressLineNumbers/>
        <w:tabs>
          <w:tab w:val="clear" w:pos="567"/>
        </w:tabs>
        <w:spacing w:line="240" w:lineRule="auto"/>
        <w:ind w:left="1701" w:right="849" w:hanging="708"/>
        <w:rPr>
          <w:szCs w:val="22"/>
          <w:lang w:val="lt-LT"/>
        </w:rPr>
      </w:pPr>
      <w:r w:rsidRPr="00EB08A6">
        <w:rPr>
          <w:b/>
          <w:szCs w:val="22"/>
          <w:lang w:val="lt-LT"/>
        </w:rPr>
        <w:t>B.</w:t>
      </w:r>
      <w:r w:rsidRPr="00EB08A6">
        <w:rPr>
          <w:b/>
          <w:szCs w:val="22"/>
          <w:lang w:val="lt-LT"/>
        </w:rPr>
        <w:tab/>
        <w:t>TIEKIMO IR VARTOJIMO SĄLYGOS AR APRIBOJIMAI</w:t>
      </w:r>
    </w:p>
    <w:p w14:paraId="4CB804C3" w14:textId="77777777" w:rsidR="005B54AC" w:rsidRPr="00EB08A6" w:rsidRDefault="005B54AC" w:rsidP="005B54AC">
      <w:pPr>
        <w:tabs>
          <w:tab w:val="clear" w:pos="567"/>
        </w:tabs>
        <w:ind w:right="849" w:hanging="708"/>
        <w:rPr>
          <w:szCs w:val="22"/>
          <w:lang w:val="lt-LT"/>
        </w:rPr>
      </w:pPr>
    </w:p>
    <w:p w14:paraId="4A9B991C" w14:textId="77777777" w:rsidR="005B54AC" w:rsidRPr="00EB08A6" w:rsidRDefault="005B54AC" w:rsidP="005B54AC">
      <w:pPr>
        <w:rPr>
          <w:szCs w:val="22"/>
          <w:lang w:val="lt-LT"/>
        </w:rPr>
      </w:pPr>
    </w:p>
    <w:p w14:paraId="4E4DB311" w14:textId="77777777" w:rsidR="005B54AC" w:rsidRPr="00EB08A6" w:rsidRDefault="005B54AC" w:rsidP="005B54AC">
      <w:pPr>
        <w:rPr>
          <w:b/>
          <w:szCs w:val="22"/>
          <w:lang w:val="lt-LT"/>
        </w:rPr>
      </w:pPr>
      <w:r w:rsidRPr="00EB08A6">
        <w:rPr>
          <w:szCs w:val="22"/>
          <w:lang w:val="lt-LT"/>
        </w:rPr>
        <w:br w:type="page"/>
      </w:r>
      <w:r w:rsidRPr="00EB08A6">
        <w:rPr>
          <w:b/>
          <w:szCs w:val="22"/>
          <w:lang w:val="lt-LT"/>
        </w:rPr>
        <w:lastRenderedPageBreak/>
        <w:t>A.</w:t>
      </w:r>
      <w:r w:rsidRPr="00EB08A6">
        <w:rPr>
          <w:b/>
          <w:szCs w:val="22"/>
          <w:lang w:val="lt-LT"/>
        </w:rPr>
        <w:tab/>
        <w:t>GAMINTOJAS (-AI), ATSAKINGAS (-I) UŽ SERIJŲ IŠLEIDIMĄ</w:t>
      </w:r>
    </w:p>
    <w:p w14:paraId="15DB8299" w14:textId="77777777" w:rsidR="005B54AC" w:rsidRPr="00EB08A6" w:rsidRDefault="005B54AC" w:rsidP="005B54AC">
      <w:pPr>
        <w:rPr>
          <w:szCs w:val="22"/>
          <w:lang w:val="lt-LT"/>
        </w:rPr>
      </w:pPr>
    </w:p>
    <w:p w14:paraId="212DDEE2" w14:textId="77777777" w:rsidR="005B54AC" w:rsidRPr="00EB08A6" w:rsidRDefault="005B54AC" w:rsidP="005B54AC">
      <w:pPr>
        <w:tabs>
          <w:tab w:val="clear" w:pos="567"/>
        </w:tabs>
        <w:spacing w:line="240" w:lineRule="auto"/>
        <w:rPr>
          <w:szCs w:val="22"/>
          <w:u w:val="single"/>
          <w:lang w:val="lt-LT"/>
        </w:rPr>
      </w:pPr>
      <w:r w:rsidRPr="00EB08A6">
        <w:rPr>
          <w:szCs w:val="22"/>
          <w:u w:val="single"/>
          <w:lang w:val="lt-LT"/>
        </w:rPr>
        <w:t>Gamintojo (-ų), atsakingo (-ų) už serijų išleidimą, pavadinimas (-ai) ir adresas (-ai)</w:t>
      </w:r>
    </w:p>
    <w:p w14:paraId="77CC3986" w14:textId="77777777" w:rsidR="005B54AC" w:rsidRPr="00EB08A6" w:rsidRDefault="005B54AC" w:rsidP="005B54AC">
      <w:pPr>
        <w:tabs>
          <w:tab w:val="clear" w:pos="567"/>
        </w:tabs>
        <w:spacing w:line="240" w:lineRule="auto"/>
        <w:rPr>
          <w:szCs w:val="22"/>
          <w:lang w:val="lt-LT"/>
        </w:rPr>
      </w:pPr>
    </w:p>
    <w:p w14:paraId="749B4EC4" w14:textId="77777777" w:rsidR="00E2780D" w:rsidRPr="00E2780D" w:rsidRDefault="00E2780D" w:rsidP="00E2780D">
      <w:pPr>
        <w:keepNext/>
        <w:tabs>
          <w:tab w:val="clear" w:pos="567"/>
        </w:tabs>
        <w:spacing w:line="240" w:lineRule="auto"/>
        <w:rPr>
          <w:rFonts w:eastAsia="SimSun" w:cs="Myanmar Text"/>
          <w:szCs w:val="22"/>
          <w:lang w:val="lt-LT"/>
        </w:rPr>
      </w:pPr>
      <w:proofErr w:type="spellStart"/>
      <w:r w:rsidRPr="00E2780D">
        <w:rPr>
          <w:rFonts w:eastAsia="SimSun" w:cs="Myanmar Text"/>
          <w:szCs w:val="22"/>
          <w:lang w:val="lt-LT"/>
        </w:rPr>
        <w:t>Delpharm</w:t>
      </w:r>
      <w:proofErr w:type="spellEnd"/>
      <w:r w:rsidRPr="00E2780D">
        <w:rPr>
          <w:rFonts w:eastAsia="SimSun" w:cs="Myanmar Text"/>
          <w:szCs w:val="22"/>
          <w:lang w:val="lt-LT"/>
        </w:rPr>
        <w:t xml:space="preserve"> </w:t>
      </w:r>
      <w:proofErr w:type="spellStart"/>
      <w:r w:rsidRPr="00E2780D">
        <w:rPr>
          <w:rFonts w:eastAsia="SimSun" w:cs="Myanmar Text"/>
          <w:szCs w:val="22"/>
          <w:lang w:val="lt-LT"/>
        </w:rPr>
        <w:t>Meppel</w:t>
      </w:r>
      <w:proofErr w:type="spellEnd"/>
      <w:r w:rsidRPr="00E2780D">
        <w:rPr>
          <w:rFonts w:eastAsia="SimSun" w:cs="Myanmar Text"/>
          <w:szCs w:val="22"/>
          <w:lang w:val="lt-LT"/>
        </w:rPr>
        <w:t xml:space="preserve"> B.V.</w:t>
      </w:r>
    </w:p>
    <w:p w14:paraId="0529AAC5" w14:textId="77777777" w:rsidR="00E2780D" w:rsidRPr="00E2780D" w:rsidRDefault="00E2780D" w:rsidP="00E2780D">
      <w:pPr>
        <w:rPr>
          <w:rFonts w:eastAsia="SimSun" w:cs="Myanmar Text"/>
          <w:szCs w:val="22"/>
          <w:lang w:val="lt-LT"/>
        </w:rPr>
      </w:pPr>
      <w:proofErr w:type="spellStart"/>
      <w:r w:rsidRPr="00E2780D">
        <w:rPr>
          <w:rFonts w:eastAsia="SimSun" w:cs="Myanmar Text"/>
          <w:szCs w:val="22"/>
          <w:lang w:val="lt-LT"/>
        </w:rPr>
        <w:t>Hogemaat</w:t>
      </w:r>
      <w:proofErr w:type="spellEnd"/>
      <w:r w:rsidRPr="00E2780D">
        <w:rPr>
          <w:rFonts w:eastAsia="SimSun" w:cs="Myanmar Text"/>
          <w:szCs w:val="22"/>
          <w:lang w:val="lt-LT"/>
        </w:rPr>
        <w:t xml:space="preserve"> 2</w:t>
      </w:r>
    </w:p>
    <w:p w14:paraId="2A88FAE5" w14:textId="77777777" w:rsidR="00E2780D" w:rsidRPr="00E2780D" w:rsidRDefault="00E2780D" w:rsidP="00E2780D">
      <w:pPr>
        <w:rPr>
          <w:rFonts w:eastAsia="SimSun" w:cs="Myanmar Text"/>
          <w:szCs w:val="22"/>
          <w:lang w:val="lt-LT"/>
        </w:rPr>
      </w:pPr>
      <w:r w:rsidRPr="00E2780D">
        <w:rPr>
          <w:rFonts w:eastAsia="SimSun" w:cs="Myanmar Text"/>
          <w:szCs w:val="22"/>
          <w:lang w:val="lt-LT"/>
        </w:rPr>
        <w:t xml:space="preserve">7942 JG </w:t>
      </w:r>
      <w:proofErr w:type="spellStart"/>
      <w:r w:rsidRPr="00E2780D">
        <w:rPr>
          <w:rFonts w:eastAsia="SimSun" w:cs="Myanmar Text"/>
          <w:szCs w:val="22"/>
          <w:lang w:val="lt-LT"/>
        </w:rPr>
        <w:t>Meppel</w:t>
      </w:r>
      <w:proofErr w:type="spellEnd"/>
    </w:p>
    <w:p w14:paraId="640DE6ED" w14:textId="77777777" w:rsidR="00E2780D" w:rsidRPr="00E2780D" w:rsidRDefault="00E2780D" w:rsidP="00E2780D">
      <w:pPr>
        <w:tabs>
          <w:tab w:val="clear" w:pos="567"/>
        </w:tabs>
        <w:spacing w:line="240" w:lineRule="auto"/>
        <w:rPr>
          <w:rFonts w:eastAsia="SimSun" w:cs="Myanmar Text"/>
          <w:szCs w:val="22"/>
          <w:lang w:val="lt-LT"/>
        </w:rPr>
      </w:pPr>
      <w:r w:rsidRPr="00E2780D">
        <w:rPr>
          <w:rFonts w:eastAsia="SimSun" w:cs="Myanmar Text"/>
          <w:szCs w:val="22"/>
          <w:lang w:val="lt-LT"/>
        </w:rPr>
        <w:t>Nyderlandai</w:t>
      </w:r>
    </w:p>
    <w:p w14:paraId="617D4E7A" w14:textId="77777777" w:rsidR="005B54AC" w:rsidRPr="00EB08A6" w:rsidRDefault="005B54AC" w:rsidP="005B54AC">
      <w:pPr>
        <w:rPr>
          <w:szCs w:val="22"/>
          <w:lang w:val="lt-LT"/>
        </w:rPr>
      </w:pPr>
    </w:p>
    <w:p w14:paraId="1F3889EB" w14:textId="77777777" w:rsidR="005B54AC" w:rsidRPr="00EB08A6" w:rsidRDefault="005B54AC" w:rsidP="005B54AC">
      <w:pPr>
        <w:rPr>
          <w:szCs w:val="22"/>
          <w:lang w:val="lt-LT"/>
        </w:rPr>
      </w:pPr>
    </w:p>
    <w:p w14:paraId="570FCFEA" w14:textId="77777777" w:rsidR="005B54AC" w:rsidRPr="00EB08A6" w:rsidRDefault="005B54AC" w:rsidP="005B54AC">
      <w:pPr>
        <w:suppressLineNumbers/>
        <w:spacing w:line="240" w:lineRule="auto"/>
        <w:ind w:left="567" w:hanging="567"/>
        <w:rPr>
          <w:szCs w:val="22"/>
          <w:lang w:val="lt-LT"/>
        </w:rPr>
      </w:pPr>
      <w:r w:rsidRPr="00EB08A6">
        <w:rPr>
          <w:b/>
          <w:szCs w:val="22"/>
          <w:lang w:val="lt-LT"/>
        </w:rPr>
        <w:t>B.</w:t>
      </w:r>
      <w:r w:rsidRPr="00EB08A6">
        <w:rPr>
          <w:b/>
          <w:szCs w:val="22"/>
          <w:lang w:val="lt-LT"/>
        </w:rPr>
        <w:tab/>
        <w:t>TIEKIMO IR VARTOJIMO SĄLYGOS AR APRIBOJIMAI</w:t>
      </w:r>
    </w:p>
    <w:p w14:paraId="14A83228" w14:textId="77777777" w:rsidR="005B54AC" w:rsidRPr="00EB08A6" w:rsidRDefault="005B54AC" w:rsidP="005B54AC">
      <w:pPr>
        <w:rPr>
          <w:szCs w:val="22"/>
          <w:lang w:val="lt-LT"/>
        </w:rPr>
      </w:pPr>
    </w:p>
    <w:p w14:paraId="1398DC76" w14:textId="77777777" w:rsidR="005B54AC" w:rsidRPr="00EB08A6" w:rsidRDefault="005B54AC" w:rsidP="005B54AC">
      <w:pPr>
        <w:rPr>
          <w:szCs w:val="22"/>
          <w:lang w:val="lt-LT"/>
        </w:rPr>
      </w:pPr>
      <w:r w:rsidRPr="00EB08A6">
        <w:rPr>
          <w:szCs w:val="22"/>
          <w:lang w:val="lt-LT"/>
        </w:rPr>
        <w:t>Receptinis vaistinis preparatas.</w:t>
      </w:r>
    </w:p>
    <w:p w14:paraId="6A4E499F" w14:textId="77777777" w:rsidR="005B54AC" w:rsidRPr="00EB08A6" w:rsidRDefault="005B54AC" w:rsidP="005B54AC">
      <w:pPr>
        <w:rPr>
          <w:szCs w:val="22"/>
          <w:lang w:val="lt-LT"/>
        </w:rPr>
      </w:pPr>
    </w:p>
    <w:p w14:paraId="586B3FC9" w14:textId="77777777" w:rsidR="005B54AC" w:rsidRPr="00EB08A6" w:rsidRDefault="005B54AC" w:rsidP="005B54AC">
      <w:pPr>
        <w:rPr>
          <w:szCs w:val="22"/>
          <w:lang w:val="lt-LT"/>
        </w:rPr>
      </w:pPr>
    </w:p>
    <w:p w14:paraId="257AF8DC" w14:textId="77777777" w:rsidR="005B54AC" w:rsidRPr="00EB08A6" w:rsidRDefault="005B54AC" w:rsidP="005B54AC">
      <w:pPr>
        <w:spacing w:line="240" w:lineRule="auto"/>
        <w:jc w:val="center"/>
        <w:rPr>
          <w:szCs w:val="22"/>
          <w:lang w:val="lt-LT"/>
        </w:rPr>
      </w:pPr>
      <w:r w:rsidRPr="00EB08A6">
        <w:rPr>
          <w:szCs w:val="22"/>
          <w:lang w:val="lt-LT"/>
        </w:rPr>
        <w:br w:type="page"/>
      </w:r>
    </w:p>
    <w:p w14:paraId="79A9C68B" w14:textId="77777777" w:rsidR="005B54AC" w:rsidRPr="00EB08A6" w:rsidRDefault="005B54AC" w:rsidP="005B54AC">
      <w:pPr>
        <w:spacing w:line="240" w:lineRule="auto"/>
        <w:jc w:val="center"/>
        <w:rPr>
          <w:szCs w:val="22"/>
          <w:lang w:val="lt-LT"/>
        </w:rPr>
      </w:pPr>
    </w:p>
    <w:p w14:paraId="0132AC4D" w14:textId="77777777" w:rsidR="005B54AC" w:rsidRPr="00EB08A6" w:rsidRDefault="005B54AC" w:rsidP="005B54AC">
      <w:pPr>
        <w:spacing w:line="240" w:lineRule="auto"/>
        <w:jc w:val="center"/>
        <w:rPr>
          <w:szCs w:val="22"/>
          <w:lang w:val="lt-LT"/>
        </w:rPr>
      </w:pPr>
    </w:p>
    <w:p w14:paraId="1008A55F" w14:textId="77777777" w:rsidR="005B54AC" w:rsidRPr="00EB08A6" w:rsidRDefault="005B54AC" w:rsidP="005B54AC">
      <w:pPr>
        <w:spacing w:line="240" w:lineRule="auto"/>
        <w:jc w:val="center"/>
        <w:rPr>
          <w:szCs w:val="22"/>
          <w:lang w:val="lt-LT"/>
        </w:rPr>
      </w:pPr>
    </w:p>
    <w:p w14:paraId="36BCE51C" w14:textId="77777777" w:rsidR="005B54AC" w:rsidRPr="00EB08A6" w:rsidRDefault="005B54AC" w:rsidP="005B54AC">
      <w:pPr>
        <w:spacing w:line="240" w:lineRule="auto"/>
        <w:jc w:val="center"/>
        <w:rPr>
          <w:szCs w:val="22"/>
          <w:lang w:val="lt-LT"/>
        </w:rPr>
      </w:pPr>
    </w:p>
    <w:p w14:paraId="07AE3FF9" w14:textId="77777777" w:rsidR="005B54AC" w:rsidRPr="00EB08A6" w:rsidRDefault="005B54AC" w:rsidP="005B54AC">
      <w:pPr>
        <w:spacing w:line="240" w:lineRule="auto"/>
        <w:jc w:val="center"/>
        <w:rPr>
          <w:szCs w:val="22"/>
          <w:lang w:val="lt-LT"/>
        </w:rPr>
      </w:pPr>
    </w:p>
    <w:p w14:paraId="42D8F8B1" w14:textId="77777777" w:rsidR="005B54AC" w:rsidRPr="00EB08A6" w:rsidRDefault="005B54AC" w:rsidP="005B54AC">
      <w:pPr>
        <w:spacing w:line="240" w:lineRule="auto"/>
        <w:jc w:val="center"/>
        <w:rPr>
          <w:szCs w:val="22"/>
          <w:lang w:val="lt-LT"/>
        </w:rPr>
      </w:pPr>
    </w:p>
    <w:p w14:paraId="18C971D9" w14:textId="77777777" w:rsidR="005B54AC" w:rsidRPr="00EB08A6" w:rsidRDefault="005B54AC" w:rsidP="005B54AC">
      <w:pPr>
        <w:spacing w:line="240" w:lineRule="auto"/>
        <w:jc w:val="center"/>
        <w:rPr>
          <w:szCs w:val="22"/>
          <w:lang w:val="lt-LT"/>
        </w:rPr>
      </w:pPr>
    </w:p>
    <w:p w14:paraId="0321599E" w14:textId="77777777" w:rsidR="005B54AC" w:rsidRPr="00EB08A6" w:rsidRDefault="005B54AC" w:rsidP="005B54AC">
      <w:pPr>
        <w:spacing w:line="240" w:lineRule="auto"/>
        <w:jc w:val="center"/>
        <w:rPr>
          <w:szCs w:val="22"/>
          <w:lang w:val="lt-LT"/>
        </w:rPr>
      </w:pPr>
    </w:p>
    <w:p w14:paraId="3177B653" w14:textId="77777777" w:rsidR="005B54AC" w:rsidRPr="00EB08A6" w:rsidRDefault="005B54AC" w:rsidP="005B54AC">
      <w:pPr>
        <w:spacing w:line="240" w:lineRule="auto"/>
        <w:jc w:val="center"/>
        <w:rPr>
          <w:szCs w:val="22"/>
          <w:lang w:val="lt-LT"/>
        </w:rPr>
      </w:pPr>
    </w:p>
    <w:p w14:paraId="589A6346" w14:textId="77777777" w:rsidR="005B54AC" w:rsidRPr="00EB08A6" w:rsidRDefault="005B54AC" w:rsidP="005B54AC">
      <w:pPr>
        <w:spacing w:line="240" w:lineRule="auto"/>
        <w:jc w:val="center"/>
        <w:rPr>
          <w:szCs w:val="22"/>
          <w:lang w:val="lt-LT"/>
        </w:rPr>
      </w:pPr>
    </w:p>
    <w:p w14:paraId="35DF4C19" w14:textId="77777777" w:rsidR="005B54AC" w:rsidRPr="00EB08A6" w:rsidRDefault="005B54AC" w:rsidP="005B54AC">
      <w:pPr>
        <w:spacing w:line="240" w:lineRule="auto"/>
        <w:jc w:val="center"/>
        <w:rPr>
          <w:szCs w:val="22"/>
          <w:lang w:val="lt-LT"/>
        </w:rPr>
      </w:pPr>
    </w:p>
    <w:p w14:paraId="5277227D" w14:textId="77777777" w:rsidR="005B54AC" w:rsidRPr="00EB08A6" w:rsidRDefault="005B54AC" w:rsidP="005B54AC">
      <w:pPr>
        <w:spacing w:line="240" w:lineRule="auto"/>
        <w:jc w:val="center"/>
        <w:rPr>
          <w:szCs w:val="22"/>
          <w:lang w:val="lt-LT"/>
        </w:rPr>
      </w:pPr>
    </w:p>
    <w:p w14:paraId="3F72F339" w14:textId="77777777" w:rsidR="005B54AC" w:rsidRPr="00EB08A6" w:rsidRDefault="005B54AC" w:rsidP="005B54AC">
      <w:pPr>
        <w:spacing w:line="240" w:lineRule="auto"/>
        <w:jc w:val="center"/>
        <w:rPr>
          <w:szCs w:val="22"/>
          <w:lang w:val="lt-LT"/>
        </w:rPr>
      </w:pPr>
    </w:p>
    <w:p w14:paraId="37E99512" w14:textId="77777777" w:rsidR="005B54AC" w:rsidRPr="00EB08A6" w:rsidRDefault="005B54AC" w:rsidP="005B54AC">
      <w:pPr>
        <w:spacing w:line="240" w:lineRule="auto"/>
        <w:jc w:val="center"/>
        <w:rPr>
          <w:szCs w:val="22"/>
          <w:lang w:val="lt-LT"/>
        </w:rPr>
      </w:pPr>
    </w:p>
    <w:p w14:paraId="17089255" w14:textId="77777777" w:rsidR="005B54AC" w:rsidRPr="00EB08A6" w:rsidRDefault="005B54AC" w:rsidP="005B54AC">
      <w:pPr>
        <w:spacing w:line="240" w:lineRule="auto"/>
        <w:jc w:val="center"/>
        <w:rPr>
          <w:szCs w:val="22"/>
          <w:lang w:val="lt-LT"/>
        </w:rPr>
      </w:pPr>
    </w:p>
    <w:p w14:paraId="3EE28299" w14:textId="77777777" w:rsidR="005B54AC" w:rsidRPr="00EB08A6" w:rsidRDefault="005B54AC" w:rsidP="005B54AC">
      <w:pPr>
        <w:spacing w:line="240" w:lineRule="auto"/>
        <w:jc w:val="center"/>
        <w:outlineLvl w:val="0"/>
        <w:rPr>
          <w:szCs w:val="22"/>
          <w:lang w:val="lt-LT"/>
        </w:rPr>
      </w:pPr>
    </w:p>
    <w:p w14:paraId="12B8F882" w14:textId="77777777" w:rsidR="005B54AC" w:rsidRPr="00EB08A6" w:rsidRDefault="005B54AC" w:rsidP="005B54AC">
      <w:pPr>
        <w:spacing w:line="240" w:lineRule="auto"/>
        <w:jc w:val="center"/>
        <w:outlineLvl w:val="0"/>
        <w:rPr>
          <w:szCs w:val="22"/>
          <w:lang w:val="lt-LT"/>
        </w:rPr>
      </w:pPr>
    </w:p>
    <w:p w14:paraId="5D224D4B" w14:textId="77777777" w:rsidR="005B54AC" w:rsidRPr="00EB08A6" w:rsidRDefault="005B54AC" w:rsidP="005B54AC">
      <w:pPr>
        <w:spacing w:line="240" w:lineRule="auto"/>
        <w:jc w:val="center"/>
        <w:outlineLvl w:val="0"/>
        <w:rPr>
          <w:szCs w:val="22"/>
          <w:lang w:val="lt-LT"/>
        </w:rPr>
      </w:pPr>
    </w:p>
    <w:p w14:paraId="07FC2DAF" w14:textId="77777777" w:rsidR="005B54AC" w:rsidRPr="00EB08A6" w:rsidRDefault="005B54AC" w:rsidP="005B54AC">
      <w:pPr>
        <w:spacing w:line="240" w:lineRule="auto"/>
        <w:jc w:val="center"/>
        <w:outlineLvl w:val="0"/>
        <w:rPr>
          <w:szCs w:val="22"/>
          <w:lang w:val="lt-LT"/>
        </w:rPr>
      </w:pPr>
    </w:p>
    <w:p w14:paraId="70715A94" w14:textId="77777777" w:rsidR="005B54AC" w:rsidRPr="00EB08A6" w:rsidRDefault="005B54AC" w:rsidP="005B54AC">
      <w:pPr>
        <w:spacing w:line="240" w:lineRule="auto"/>
        <w:jc w:val="center"/>
        <w:outlineLvl w:val="0"/>
        <w:rPr>
          <w:szCs w:val="22"/>
          <w:lang w:val="lt-LT"/>
        </w:rPr>
      </w:pPr>
    </w:p>
    <w:p w14:paraId="47ACCEF6" w14:textId="77777777" w:rsidR="005B54AC" w:rsidRPr="00EB08A6" w:rsidRDefault="005B54AC" w:rsidP="005B54AC">
      <w:pPr>
        <w:spacing w:line="240" w:lineRule="auto"/>
        <w:jc w:val="center"/>
        <w:outlineLvl w:val="0"/>
        <w:rPr>
          <w:b/>
          <w:szCs w:val="22"/>
          <w:lang w:val="lt-LT"/>
        </w:rPr>
      </w:pPr>
    </w:p>
    <w:p w14:paraId="4B8C7C1F" w14:textId="77777777" w:rsidR="005B54AC" w:rsidRPr="00EB08A6" w:rsidRDefault="005B54AC" w:rsidP="005B54AC">
      <w:pPr>
        <w:spacing w:line="240" w:lineRule="auto"/>
        <w:jc w:val="center"/>
        <w:outlineLvl w:val="0"/>
        <w:rPr>
          <w:b/>
          <w:szCs w:val="22"/>
          <w:lang w:val="lt-LT"/>
        </w:rPr>
      </w:pPr>
    </w:p>
    <w:p w14:paraId="67829969" w14:textId="77777777" w:rsidR="005B54AC" w:rsidRPr="00EB08A6" w:rsidRDefault="005B54AC" w:rsidP="005B54AC">
      <w:pPr>
        <w:spacing w:line="240" w:lineRule="auto"/>
        <w:jc w:val="center"/>
        <w:outlineLvl w:val="0"/>
        <w:rPr>
          <w:b/>
          <w:szCs w:val="22"/>
          <w:lang w:val="lt-LT"/>
        </w:rPr>
      </w:pPr>
      <w:r w:rsidRPr="00EB08A6">
        <w:rPr>
          <w:b/>
          <w:szCs w:val="22"/>
          <w:lang w:val="lt-LT"/>
        </w:rPr>
        <w:t>III PRIEDAS</w:t>
      </w:r>
    </w:p>
    <w:p w14:paraId="18443D6B" w14:textId="77777777" w:rsidR="005B54AC" w:rsidRPr="00EB08A6" w:rsidRDefault="005B54AC" w:rsidP="005B54AC">
      <w:pPr>
        <w:spacing w:line="240" w:lineRule="auto"/>
        <w:jc w:val="center"/>
        <w:rPr>
          <w:b/>
          <w:szCs w:val="22"/>
          <w:highlight w:val="yellow"/>
          <w:lang w:val="lt-LT"/>
        </w:rPr>
      </w:pPr>
    </w:p>
    <w:p w14:paraId="0CF4F768" w14:textId="77777777" w:rsidR="005B54AC" w:rsidRPr="00EB08A6" w:rsidRDefault="005B54AC" w:rsidP="005B54AC">
      <w:pPr>
        <w:spacing w:line="240" w:lineRule="auto"/>
        <w:jc w:val="center"/>
        <w:outlineLvl w:val="0"/>
        <w:rPr>
          <w:b/>
          <w:szCs w:val="22"/>
          <w:lang w:val="lt-LT"/>
        </w:rPr>
      </w:pPr>
      <w:r w:rsidRPr="00EB08A6">
        <w:rPr>
          <w:b/>
          <w:szCs w:val="22"/>
          <w:lang w:val="lt-LT"/>
        </w:rPr>
        <w:t>ŽENKLINIMAS IR PAKUOTĖS LAPELIS</w:t>
      </w:r>
    </w:p>
    <w:p w14:paraId="2CC419D6" w14:textId="77777777" w:rsidR="005B54AC" w:rsidRPr="00EB08A6" w:rsidRDefault="005B54AC" w:rsidP="005B54AC">
      <w:pPr>
        <w:numPr>
          <w:ilvl w:val="12"/>
          <w:numId w:val="0"/>
        </w:numPr>
        <w:tabs>
          <w:tab w:val="clear" w:pos="567"/>
        </w:tabs>
        <w:spacing w:line="240" w:lineRule="auto"/>
        <w:ind w:right="-2"/>
        <w:rPr>
          <w:szCs w:val="22"/>
          <w:lang w:val="lt-LT"/>
        </w:rPr>
      </w:pPr>
    </w:p>
    <w:p w14:paraId="7A200466" w14:textId="77777777" w:rsidR="005B54AC" w:rsidRPr="00EB08A6" w:rsidRDefault="005B54AC" w:rsidP="005B54AC">
      <w:pPr>
        <w:tabs>
          <w:tab w:val="clear" w:pos="567"/>
        </w:tabs>
        <w:spacing w:line="240" w:lineRule="auto"/>
        <w:jc w:val="center"/>
        <w:rPr>
          <w:szCs w:val="22"/>
          <w:lang w:val="lt-LT"/>
        </w:rPr>
      </w:pPr>
      <w:r w:rsidRPr="00EB08A6">
        <w:rPr>
          <w:szCs w:val="22"/>
          <w:lang w:val="lt-LT"/>
        </w:rPr>
        <w:br w:type="page"/>
      </w:r>
    </w:p>
    <w:p w14:paraId="3955BF35" w14:textId="77777777" w:rsidR="005B54AC" w:rsidRPr="00EB08A6" w:rsidRDefault="005B54AC" w:rsidP="005B54AC">
      <w:pPr>
        <w:tabs>
          <w:tab w:val="clear" w:pos="567"/>
        </w:tabs>
        <w:spacing w:line="240" w:lineRule="auto"/>
        <w:jc w:val="center"/>
        <w:rPr>
          <w:szCs w:val="22"/>
          <w:lang w:val="lt-LT"/>
        </w:rPr>
      </w:pPr>
    </w:p>
    <w:p w14:paraId="29951B5D" w14:textId="77777777" w:rsidR="005B54AC" w:rsidRPr="00EB08A6" w:rsidRDefault="005B54AC" w:rsidP="005B54AC">
      <w:pPr>
        <w:tabs>
          <w:tab w:val="clear" w:pos="567"/>
        </w:tabs>
        <w:spacing w:line="240" w:lineRule="auto"/>
        <w:jc w:val="center"/>
        <w:rPr>
          <w:szCs w:val="22"/>
          <w:lang w:val="lt-LT"/>
        </w:rPr>
      </w:pPr>
    </w:p>
    <w:p w14:paraId="584780B9" w14:textId="77777777" w:rsidR="005B54AC" w:rsidRPr="00EB08A6" w:rsidRDefault="005B54AC" w:rsidP="005B54AC">
      <w:pPr>
        <w:tabs>
          <w:tab w:val="clear" w:pos="567"/>
        </w:tabs>
        <w:spacing w:line="240" w:lineRule="auto"/>
        <w:jc w:val="center"/>
        <w:rPr>
          <w:szCs w:val="22"/>
          <w:lang w:val="lt-LT"/>
        </w:rPr>
      </w:pPr>
    </w:p>
    <w:p w14:paraId="4A220D0D" w14:textId="77777777" w:rsidR="005B54AC" w:rsidRPr="00EB08A6" w:rsidRDefault="005B54AC" w:rsidP="005B54AC">
      <w:pPr>
        <w:tabs>
          <w:tab w:val="clear" w:pos="567"/>
        </w:tabs>
        <w:spacing w:line="240" w:lineRule="auto"/>
        <w:jc w:val="center"/>
        <w:rPr>
          <w:szCs w:val="22"/>
          <w:lang w:val="lt-LT"/>
        </w:rPr>
      </w:pPr>
    </w:p>
    <w:p w14:paraId="175B8F61" w14:textId="77777777" w:rsidR="005B54AC" w:rsidRPr="00EB08A6" w:rsidRDefault="005B54AC" w:rsidP="005B54AC">
      <w:pPr>
        <w:tabs>
          <w:tab w:val="clear" w:pos="567"/>
        </w:tabs>
        <w:spacing w:line="240" w:lineRule="auto"/>
        <w:jc w:val="center"/>
        <w:rPr>
          <w:szCs w:val="22"/>
          <w:lang w:val="lt-LT"/>
        </w:rPr>
      </w:pPr>
    </w:p>
    <w:p w14:paraId="2E98460B" w14:textId="77777777" w:rsidR="005B54AC" w:rsidRPr="00EB08A6" w:rsidRDefault="005B54AC" w:rsidP="005B54AC">
      <w:pPr>
        <w:tabs>
          <w:tab w:val="clear" w:pos="567"/>
        </w:tabs>
        <w:spacing w:line="240" w:lineRule="auto"/>
        <w:jc w:val="center"/>
        <w:rPr>
          <w:szCs w:val="22"/>
          <w:lang w:val="lt-LT"/>
        </w:rPr>
      </w:pPr>
    </w:p>
    <w:p w14:paraId="22C3EA9E" w14:textId="77777777" w:rsidR="005B54AC" w:rsidRPr="00EB08A6" w:rsidRDefault="005B54AC" w:rsidP="005B54AC">
      <w:pPr>
        <w:tabs>
          <w:tab w:val="clear" w:pos="567"/>
        </w:tabs>
        <w:spacing w:line="240" w:lineRule="auto"/>
        <w:jc w:val="center"/>
        <w:rPr>
          <w:szCs w:val="22"/>
          <w:lang w:val="lt-LT"/>
        </w:rPr>
      </w:pPr>
    </w:p>
    <w:p w14:paraId="510C61F9" w14:textId="77777777" w:rsidR="005B54AC" w:rsidRPr="00EB08A6" w:rsidRDefault="005B54AC" w:rsidP="005B54AC">
      <w:pPr>
        <w:tabs>
          <w:tab w:val="clear" w:pos="567"/>
        </w:tabs>
        <w:spacing w:line="240" w:lineRule="auto"/>
        <w:jc w:val="center"/>
        <w:rPr>
          <w:szCs w:val="22"/>
          <w:lang w:val="lt-LT"/>
        </w:rPr>
      </w:pPr>
    </w:p>
    <w:p w14:paraId="63177E99" w14:textId="77777777" w:rsidR="005B54AC" w:rsidRPr="00EB08A6" w:rsidRDefault="005B54AC" w:rsidP="005B54AC">
      <w:pPr>
        <w:tabs>
          <w:tab w:val="clear" w:pos="567"/>
        </w:tabs>
        <w:spacing w:line="240" w:lineRule="auto"/>
        <w:jc w:val="center"/>
        <w:rPr>
          <w:szCs w:val="22"/>
          <w:lang w:val="lt-LT"/>
        </w:rPr>
      </w:pPr>
    </w:p>
    <w:p w14:paraId="17609810" w14:textId="77777777" w:rsidR="005B54AC" w:rsidRPr="00EB08A6" w:rsidRDefault="005B54AC" w:rsidP="005B54AC">
      <w:pPr>
        <w:tabs>
          <w:tab w:val="clear" w:pos="567"/>
        </w:tabs>
        <w:spacing w:line="240" w:lineRule="auto"/>
        <w:jc w:val="center"/>
        <w:rPr>
          <w:szCs w:val="22"/>
          <w:lang w:val="lt-LT"/>
        </w:rPr>
      </w:pPr>
    </w:p>
    <w:p w14:paraId="6FB6678A" w14:textId="77777777" w:rsidR="005B54AC" w:rsidRPr="00EB08A6" w:rsidRDefault="005B54AC" w:rsidP="005B54AC">
      <w:pPr>
        <w:tabs>
          <w:tab w:val="clear" w:pos="567"/>
        </w:tabs>
        <w:spacing w:line="240" w:lineRule="auto"/>
        <w:jc w:val="center"/>
        <w:rPr>
          <w:szCs w:val="22"/>
          <w:lang w:val="lt-LT"/>
        </w:rPr>
      </w:pPr>
    </w:p>
    <w:p w14:paraId="43AF0F25" w14:textId="77777777" w:rsidR="005B54AC" w:rsidRPr="00EB08A6" w:rsidRDefault="005B54AC" w:rsidP="005B54AC">
      <w:pPr>
        <w:tabs>
          <w:tab w:val="clear" w:pos="567"/>
        </w:tabs>
        <w:spacing w:line="240" w:lineRule="auto"/>
        <w:jc w:val="center"/>
        <w:rPr>
          <w:szCs w:val="22"/>
          <w:lang w:val="lt-LT"/>
        </w:rPr>
      </w:pPr>
    </w:p>
    <w:p w14:paraId="2DE4DB94" w14:textId="77777777" w:rsidR="005B54AC" w:rsidRPr="00EB08A6" w:rsidRDefault="005B54AC" w:rsidP="005B54AC">
      <w:pPr>
        <w:tabs>
          <w:tab w:val="clear" w:pos="567"/>
        </w:tabs>
        <w:spacing w:line="240" w:lineRule="auto"/>
        <w:jc w:val="center"/>
        <w:rPr>
          <w:szCs w:val="22"/>
          <w:lang w:val="lt-LT"/>
        </w:rPr>
      </w:pPr>
    </w:p>
    <w:p w14:paraId="3FC88E23" w14:textId="77777777" w:rsidR="005B54AC" w:rsidRPr="00EB08A6" w:rsidRDefault="005B54AC" w:rsidP="005B54AC">
      <w:pPr>
        <w:tabs>
          <w:tab w:val="clear" w:pos="567"/>
        </w:tabs>
        <w:spacing w:line="240" w:lineRule="auto"/>
        <w:jc w:val="center"/>
        <w:rPr>
          <w:szCs w:val="22"/>
          <w:lang w:val="lt-LT"/>
        </w:rPr>
      </w:pPr>
    </w:p>
    <w:p w14:paraId="0C01B899" w14:textId="77777777" w:rsidR="005B54AC" w:rsidRPr="00EB08A6" w:rsidRDefault="005B54AC" w:rsidP="005B54AC">
      <w:pPr>
        <w:tabs>
          <w:tab w:val="clear" w:pos="567"/>
        </w:tabs>
        <w:spacing w:line="240" w:lineRule="auto"/>
        <w:jc w:val="center"/>
        <w:rPr>
          <w:szCs w:val="22"/>
          <w:lang w:val="lt-LT"/>
        </w:rPr>
      </w:pPr>
    </w:p>
    <w:p w14:paraId="39137DEE" w14:textId="77777777" w:rsidR="005B54AC" w:rsidRPr="00EB08A6" w:rsidRDefault="005B54AC" w:rsidP="005B54AC">
      <w:pPr>
        <w:tabs>
          <w:tab w:val="clear" w:pos="567"/>
        </w:tabs>
        <w:spacing w:line="240" w:lineRule="auto"/>
        <w:jc w:val="center"/>
        <w:rPr>
          <w:szCs w:val="22"/>
          <w:lang w:val="lt-LT"/>
        </w:rPr>
      </w:pPr>
    </w:p>
    <w:p w14:paraId="3BD2DDB7" w14:textId="77777777" w:rsidR="005B54AC" w:rsidRPr="00EB08A6" w:rsidRDefault="005B54AC" w:rsidP="005B54AC">
      <w:pPr>
        <w:tabs>
          <w:tab w:val="clear" w:pos="567"/>
        </w:tabs>
        <w:spacing w:line="240" w:lineRule="auto"/>
        <w:jc w:val="center"/>
        <w:rPr>
          <w:szCs w:val="22"/>
          <w:lang w:val="lt-LT"/>
        </w:rPr>
      </w:pPr>
    </w:p>
    <w:p w14:paraId="23908F8C" w14:textId="77777777" w:rsidR="005B54AC" w:rsidRPr="00EB08A6" w:rsidRDefault="005B54AC" w:rsidP="005B54AC">
      <w:pPr>
        <w:tabs>
          <w:tab w:val="clear" w:pos="567"/>
        </w:tabs>
        <w:spacing w:line="240" w:lineRule="auto"/>
        <w:jc w:val="center"/>
        <w:rPr>
          <w:szCs w:val="22"/>
          <w:lang w:val="lt-LT"/>
        </w:rPr>
      </w:pPr>
    </w:p>
    <w:p w14:paraId="7BDFAE12" w14:textId="77777777" w:rsidR="005B54AC" w:rsidRPr="00EB08A6" w:rsidRDefault="005B54AC" w:rsidP="005B54AC">
      <w:pPr>
        <w:tabs>
          <w:tab w:val="clear" w:pos="567"/>
        </w:tabs>
        <w:spacing w:line="240" w:lineRule="auto"/>
        <w:jc w:val="center"/>
        <w:rPr>
          <w:szCs w:val="22"/>
          <w:lang w:val="lt-LT"/>
        </w:rPr>
      </w:pPr>
    </w:p>
    <w:p w14:paraId="4F25DBEE" w14:textId="77777777" w:rsidR="005B54AC" w:rsidRPr="00EB08A6" w:rsidRDefault="005B54AC" w:rsidP="005B54AC">
      <w:pPr>
        <w:tabs>
          <w:tab w:val="clear" w:pos="567"/>
        </w:tabs>
        <w:spacing w:line="240" w:lineRule="auto"/>
        <w:jc w:val="center"/>
        <w:rPr>
          <w:szCs w:val="22"/>
          <w:lang w:val="lt-LT"/>
        </w:rPr>
      </w:pPr>
    </w:p>
    <w:p w14:paraId="7A7308CF" w14:textId="77777777" w:rsidR="005B54AC" w:rsidRPr="00EB08A6" w:rsidRDefault="005B54AC" w:rsidP="005B54AC">
      <w:pPr>
        <w:tabs>
          <w:tab w:val="clear" w:pos="567"/>
        </w:tabs>
        <w:spacing w:line="240" w:lineRule="auto"/>
        <w:jc w:val="center"/>
        <w:rPr>
          <w:szCs w:val="22"/>
          <w:lang w:val="lt-LT"/>
        </w:rPr>
      </w:pPr>
    </w:p>
    <w:p w14:paraId="2A25D4C0" w14:textId="77777777" w:rsidR="005B54AC" w:rsidRPr="00EB08A6" w:rsidRDefault="005B54AC" w:rsidP="005B54AC">
      <w:pPr>
        <w:tabs>
          <w:tab w:val="clear" w:pos="567"/>
        </w:tabs>
        <w:spacing w:line="240" w:lineRule="auto"/>
        <w:jc w:val="center"/>
        <w:rPr>
          <w:szCs w:val="22"/>
          <w:lang w:val="lt-LT"/>
        </w:rPr>
      </w:pPr>
    </w:p>
    <w:p w14:paraId="085FA4CB" w14:textId="77777777" w:rsidR="005B54AC" w:rsidRPr="00EB08A6" w:rsidRDefault="005B54AC" w:rsidP="005B54AC">
      <w:pPr>
        <w:tabs>
          <w:tab w:val="clear" w:pos="567"/>
        </w:tabs>
        <w:spacing w:line="240" w:lineRule="auto"/>
        <w:jc w:val="center"/>
        <w:outlineLvl w:val="0"/>
        <w:rPr>
          <w:b/>
          <w:szCs w:val="22"/>
          <w:lang w:val="lt-LT"/>
        </w:rPr>
      </w:pPr>
      <w:r w:rsidRPr="00EB08A6">
        <w:rPr>
          <w:b/>
          <w:szCs w:val="22"/>
          <w:lang w:val="lt-LT"/>
        </w:rPr>
        <w:t xml:space="preserve">A. ŽENKLINIMAS </w:t>
      </w:r>
    </w:p>
    <w:p w14:paraId="5841A775" w14:textId="77777777" w:rsidR="005B54AC" w:rsidRPr="00EB08A6" w:rsidRDefault="005B54AC" w:rsidP="005B54AC">
      <w:pPr>
        <w:shd w:val="clear" w:color="auto" w:fill="FFFFFF"/>
        <w:tabs>
          <w:tab w:val="clear" w:pos="567"/>
        </w:tabs>
        <w:spacing w:line="240" w:lineRule="auto"/>
        <w:rPr>
          <w:szCs w:val="22"/>
          <w:lang w:val="lt-LT"/>
        </w:rPr>
      </w:pPr>
    </w:p>
    <w:p w14:paraId="69C217AE" w14:textId="77777777" w:rsidR="005B54AC" w:rsidRPr="00EB08A6" w:rsidRDefault="005B54AC" w:rsidP="005B54AC">
      <w:pPr>
        <w:shd w:val="clear" w:color="auto" w:fill="FFFFFF"/>
        <w:tabs>
          <w:tab w:val="clear" w:pos="567"/>
        </w:tabs>
        <w:spacing w:line="240" w:lineRule="auto"/>
        <w:rPr>
          <w:szCs w:val="22"/>
          <w:lang w:val="lt-LT"/>
        </w:rPr>
      </w:pPr>
    </w:p>
    <w:p w14:paraId="561368CB" w14:textId="77777777" w:rsidR="005B54AC" w:rsidRPr="00EB08A6" w:rsidRDefault="005B54AC" w:rsidP="005B54AC">
      <w:pPr>
        <w:shd w:val="clear" w:color="auto" w:fill="FFFFFF"/>
        <w:tabs>
          <w:tab w:val="clear" w:pos="567"/>
        </w:tabs>
        <w:spacing w:line="240" w:lineRule="auto"/>
        <w:rPr>
          <w:szCs w:val="22"/>
          <w:lang w:val="lt-LT"/>
        </w:rPr>
      </w:pPr>
    </w:p>
    <w:p w14:paraId="41A813E1" w14:textId="77777777" w:rsidR="005B54AC" w:rsidRPr="00EB08A6" w:rsidRDefault="005B54AC" w:rsidP="005B54AC">
      <w:pPr>
        <w:shd w:val="clear" w:color="auto" w:fill="FFFFFF"/>
        <w:tabs>
          <w:tab w:val="clear" w:pos="567"/>
        </w:tabs>
        <w:spacing w:line="240" w:lineRule="auto"/>
        <w:rPr>
          <w:szCs w:val="22"/>
          <w:lang w:val="lt-LT"/>
        </w:rPr>
      </w:pPr>
    </w:p>
    <w:p w14:paraId="680F7A4C" w14:textId="77777777" w:rsidR="005B54AC" w:rsidRPr="00EB08A6" w:rsidRDefault="005B54AC" w:rsidP="005B54AC">
      <w:pPr>
        <w:shd w:val="clear" w:color="auto" w:fill="FFFFFF"/>
        <w:tabs>
          <w:tab w:val="clear" w:pos="567"/>
        </w:tabs>
        <w:spacing w:line="240" w:lineRule="auto"/>
        <w:rPr>
          <w:szCs w:val="22"/>
          <w:lang w:val="lt-LT"/>
        </w:rPr>
      </w:pPr>
    </w:p>
    <w:p w14:paraId="34D3B477" w14:textId="77777777" w:rsidR="005B54AC" w:rsidRPr="00EB08A6" w:rsidRDefault="005B54AC" w:rsidP="005B54AC">
      <w:pPr>
        <w:shd w:val="clear" w:color="auto" w:fill="FFFFFF"/>
        <w:tabs>
          <w:tab w:val="clear" w:pos="567"/>
        </w:tabs>
        <w:spacing w:line="240" w:lineRule="auto"/>
        <w:rPr>
          <w:szCs w:val="22"/>
          <w:lang w:val="lt-LT"/>
        </w:rPr>
      </w:pPr>
    </w:p>
    <w:p w14:paraId="38BF0090" w14:textId="77777777" w:rsidR="005B54AC" w:rsidRPr="00EB08A6" w:rsidRDefault="005B54AC" w:rsidP="005B54AC">
      <w:pPr>
        <w:shd w:val="clear" w:color="auto" w:fill="FFFFFF"/>
        <w:tabs>
          <w:tab w:val="clear" w:pos="567"/>
        </w:tabs>
        <w:spacing w:line="240" w:lineRule="auto"/>
        <w:rPr>
          <w:szCs w:val="22"/>
          <w:lang w:val="lt-LT"/>
        </w:rPr>
      </w:pPr>
    </w:p>
    <w:p w14:paraId="12856B28" w14:textId="77777777" w:rsidR="005B54AC" w:rsidRPr="00EB08A6" w:rsidRDefault="005B54AC" w:rsidP="005B54AC">
      <w:pPr>
        <w:shd w:val="clear" w:color="auto" w:fill="FFFFFF"/>
        <w:tabs>
          <w:tab w:val="clear" w:pos="567"/>
        </w:tabs>
        <w:spacing w:line="240" w:lineRule="auto"/>
        <w:rPr>
          <w:szCs w:val="22"/>
          <w:lang w:val="lt-LT"/>
        </w:rPr>
      </w:pPr>
    </w:p>
    <w:p w14:paraId="236CA504" w14:textId="77777777" w:rsidR="005B54AC" w:rsidRPr="00EB08A6" w:rsidRDefault="005B54AC" w:rsidP="005B54AC">
      <w:pPr>
        <w:shd w:val="clear" w:color="auto" w:fill="FFFFFF"/>
        <w:tabs>
          <w:tab w:val="clear" w:pos="567"/>
        </w:tabs>
        <w:spacing w:line="240" w:lineRule="auto"/>
        <w:rPr>
          <w:szCs w:val="22"/>
          <w:lang w:val="lt-LT"/>
        </w:rPr>
      </w:pPr>
    </w:p>
    <w:p w14:paraId="1A0348DF" w14:textId="77777777" w:rsidR="005B54AC" w:rsidRPr="00EB08A6" w:rsidRDefault="005B54AC" w:rsidP="005B54AC">
      <w:pPr>
        <w:shd w:val="clear" w:color="auto" w:fill="FFFFFF"/>
        <w:tabs>
          <w:tab w:val="clear" w:pos="567"/>
        </w:tabs>
        <w:spacing w:line="240" w:lineRule="auto"/>
        <w:rPr>
          <w:szCs w:val="22"/>
          <w:lang w:val="lt-LT"/>
        </w:rPr>
      </w:pPr>
    </w:p>
    <w:p w14:paraId="0B0F5241" w14:textId="77777777" w:rsidR="005B54AC" w:rsidRPr="00EB08A6" w:rsidRDefault="005B54AC" w:rsidP="005B54AC">
      <w:pPr>
        <w:shd w:val="clear" w:color="auto" w:fill="FFFFFF"/>
        <w:tabs>
          <w:tab w:val="clear" w:pos="567"/>
        </w:tabs>
        <w:spacing w:line="240" w:lineRule="auto"/>
        <w:rPr>
          <w:szCs w:val="22"/>
          <w:lang w:val="lt-LT"/>
        </w:rPr>
      </w:pPr>
    </w:p>
    <w:p w14:paraId="65D346C7" w14:textId="77777777" w:rsidR="005B54AC" w:rsidRPr="00EB08A6" w:rsidRDefault="005B54AC" w:rsidP="005B54AC">
      <w:pPr>
        <w:shd w:val="clear" w:color="auto" w:fill="FFFFFF"/>
        <w:tabs>
          <w:tab w:val="clear" w:pos="567"/>
        </w:tabs>
        <w:spacing w:line="240" w:lineRule="auto"/>
        <w:rPr>
          <w:szCs w:val="22"/>
          <w:lang w:val="lt-LT"/>
        </w:rPr>
      </w:pPr>
    </w:p>
    <w:p w14:paraId="754F1ED9" w14:textId="77777777" w:rsidR="005B54AC" w:rsidRPr="00EB08A6" w:rsidRDefault="005B54AC" w:rsidP="005B54AC">
      <w:pPr>
        <w:shd w:val="clear" w:color="auto" w:fill="FFFFFF"/>
        <w:tabs>
          <w:tab w:val="clear" w:pos="567"/>
        </w:tabs>
        <w:spacing w:line="240" w:lineRule="auto"/>
        <w:rPr>
          <w:szCs w:val="22"/>
          <w:lang w:val="lt-LT"/>
        </w:rPr>
      </w:pPr>
    </w:p>
    <w:p w14:paraId="775F73DF" w14:textId="77777777" w:rsidR="005B54AC" w:rsidRPr="00EB08A6" w:rsidRDefault="005B54AC" w:rsidP="005B54AC">
      <w:pPr>
        <w:shd w:val="clear" w:color="auto" w:fill="FFFFFF"/>
        <w:tabs>
          <w:tab w:val="clear" w:pos="567"/>
        </w:tabs>
        <w:spacing w:line="240" w:lineRule="auto"/>
        <w:rPr>
          <w:szCs w:val="22"/>
          <w:lang w:val="lt-LT"/>
        </w:rPr>
      </w:pPr>
    </w:p>
    <w:p w14:paraId="23ED3AC2" w14:textId="77777777" w:rsidR="005B54AC" w:rsidRPr="00EB08A6" w:rsidRDefault="005B54AC" w:rsidP="005B54AC">
      <w:pPr>
        <w:shd w:val="clear" w:color="auto" w:fill="FFFFFF"/>
        <w:tabs>
          <w:tab w:val="clear" w:pos="567"/>
        </w:tabs>
        <w:spacing w:line="240" w:lineRule="auto"/>
        <w:rPr>
          <w:szCs w:val="22"/>
          <w:lang w:val="lt-LT"/>
        </w:rPr>
      </w:pPr>
    </w:p>
    <w:p w14:paraId="5EF3EAFC" w14:textId="77777777" w:rsidR="005B54AC" w:rsidRPr="00EB08A6" w:rsidRDefault="005B54AC" w:rsidP="005B54AC">
      <w:pPr>
        <w:shd w:val="clear" w:color="auto" w:fill="FFFFFF"/>
        <w:tabs>
          <w:tab w:val="clear" w:pos="567"/>
        </w:tabs>
        <w:spacing w:line="240" w:lineRule="auto"/>
        <w:rPr>
          <w:szCs w:val="22"/>
          <w:lang w:val="lt-LT"/>
        </w:rPr>
      </w:pPr>
    </w:p>
    <w:p w14:paraId="4E8A9C77" w14:textId="77777777" w:rsidR="005B54AC" w:rsidRPr="00EB08A6" w:rsidRDefault="005B54AC" w:rsidP="005B54AC">
      <w:pPr>
        <w:shd w:val="clear" w:color="auto" w:fill="FFFFFF"/>
        <w:tabs>
          <w:tab w:val="clear" w:pos="567"/>
        </w:tabs>
        <w:spacing w:line="240" w:lineRule="auto"/>
        <w:rPr>
          <w:szCs w:val="22"/>
          <w:lang w:val="lt-LT"/>
        </w:rPr>
      </w:pPr>
    </w:p>
    <w:p w14:paraId="36A14FAE" w14:textId="77777777" w:rsidR="005B54AC" w:rsidRPr="00EB08A6" w:rsidRDefault="005B54AC" w:rsidP="005B54AC">
      <w:pPr>
        <w:shd w:val="clear" w:color="auto" w:fill="FFFFFF"/>
        <w:tabs>
          <w:tab w:val="clear" w:pos="567"/>
        </w:tabs>
        <w:spacing w:line="240" w:lineRule="auto"/>
        <w:rPr>
          <w:szCs w:val="22"/>
          <w:lang w:val="lt-LT"/>
        </w:rPr>
      </w:pPr>
    </w:p>
    <w:p w14:paraId="657AA6DE" w14:textId="77777777" w:rsidR="005B54AC" w:rsidRPr="00EB08A6" w:rsidRDefault="005B54AC" w:rsidP="005B54AC">
      <w:pPr>
        <w:shd w:val="clear" w:color="auto" w:fill="FFFFFF"/>
        <w:tabs>
          <w:tab w:val="clear" w:pos="567"/>
        </w:tabs>
        <w:spacing w:line="240" w:lineRule="auto"/>
        <w:rPr>
          <w:szCs w:val="22"/>
          <w:lang w:val="lt-LT"/>
        </w:rPr>
      </w:pPr>
    </w:p>
    <w:p w14:paraId="2D6078A1" w14:textId="77777777" w:rsidR="005B54AC" w:rsidRPr="00EB08A6" w:rsidRDefault="005B54AC" w:rsidP="005B54AC">
      <w:pPr>
        <w:shd w:val="clear" w:color="auto" w:fill="FFFFFF"/>
        <w:tabs>
          <w:tab w:val="clear" w:pos="567"/>
        </w:tabs>
        <w:spacing w:line="240" w:lineRule="auto"/>
        <w:rPr>
          <w:szCs w:val="22"/>
          <w:lang w:val="lt-LT"/>
        </w:rPr>
      </w:pPr>
    </w:p>
    <w:p w14:paraId="69007421" w14:textId="77777777" w:rsidR="005B54AC" w:rsidRPr="00EB08A6" w:rsidRDefault="005B54AC" w:rsidP="005B54AC">
      <w:pPr>
        <w:shd w:val="clear" w:color="auto" w:fill="FFFFFF"/>
        <w:tabs>
          <w:tab w:val="clear" w:pos="567"/>
        </w:tabs>
        <w:spacing w:line="240" w:lineRule="auto"/>
        <w:rPr>
          <w:szCs w:val="22"/>
          <w:lang w:val="lt-LT"/>
        </w:rPr>
      </w:pPr>
    </w:p>
    <w:p w14:paraId="5174064E" w14:textId="77777777" w:rsidR="005B54AC" w:rsidRPr="00EB08A6" w:rsidRDefault="005B54AC" w:rsidP="005B54AC">
      <w:pPr>
        <w:shd w:val="clear" w:color="auto" w:fill="FFFFFF"/>
        <w:tabs>
          <w:tab w:val="clear" w:pos="567"/>
        </w:tabs>
        <w:spacing w:line="240" w:lineRule="auto"/>
        <w:rPr>
          <w:szCs w:val="22"/>
          <w:lang w:val="lt-LT"/>
        </w:rPr>
      </w:pPr>
    </w:p>
    <w:p w14:paraId="6B22C2E3" w14:textId="77777777" w:rsidR="005B54AC" w:rsidRPr="00EB08A6" w:rsidRDefault="005B54AC" w:rsidP="005B54AC">
      <w:pPr>
        <w:shd w:val="clear" w:color="auto" w:fill="FFFFFF"/>
        <w:tabs>
          <w:tab w:val="clear" w:pos="567"/>
        </w:tabs>
        <w:spacing w:line="240" w:lineRule="auto"/>
        <w:rPr>
          <w:szCs w:val="22"/>
          <w:lang w:val="lt-LT"/>
        </w:rPr>
      </w:pPr>
    </w:p>
    <w:p w14:paraId="2F9B7587" w14:textId="77777777" w:rsidR="005B54AC" w:rsidRPr="00EB08A6" w:rsidRDefault="005B54AC" w:rsidP="005B54AC">
      <w:pPr>
        <w:shd w:val="clear" w:color="auto" w:fill="FFFFFF"/>
        <w:tabs>
          <w:tab w:val="clear" w:pos="567"/>
        </w:tabs>
        <w:spacing w:line="240" w:lineRule="auto"/>
        <w:rPr>
          <w:szCs w:val="22"/>
          <w:lang w:val="lt-LT"/>
        </w:rPr>
      </w:pPr>
    </w:p>
    <w:p w14:paraId="79F887A4" w14:textId="77777777" w:rsidR="005B54AC" w:rsidRPr="00EB08A6" w:rsidRDefault="005B54AC" w:rsidP="005B54AC">
      <w:pPr>
        <w:shd w:val="clear" w:color="auto" w:fill="FFFFFF"/>
        <w:tabs>
          <w:tab w:val="clear" w:pos="567"/>
        </w:tabs>
        <w:spacing w:line="240" w:lineRule="auto"/>
        <w:rPr>
          <w:szCs w:val="22"/>
          <w:lang w:val="lt-LT"/>
        </w:rPr>
      </w:pPr>
    </w:p>
    <w:p w14:paraId="4E78A958" w14:textId="77777777" w:rsidR="005B54AC" w:rsidRPr="00EB08A6" w:rsidRDefault="005B54AC" w:rsidP="005B54AC">
      <w:pPr>
        <w:shd w:val="clear" w:color="auto" w:fill="FFFFFF"/>
        <w:tabs>
          <w:tab w:val="clear" w:pos="567"/>
        </w:tabs>
        <w:spacing w:line="240" w:lineRule="auto"/>
        <w:rPr>
          <w:szCs w:val="22"/>
          <w:lang w:val="lt-LT"/>
        </w:rPr>
      </w:pPr>
    </w:p>
    <w:p w14:paraId="06057E19" w14:textId="77777777" w:rsidR="005B54AC" w:rsidRPr="00EB08A6" w:rsidRDefault="005B54AC" w:rsidP="005B54AC">
      <w:pPr>
        <w:shd w:val="clear" w:color="auto" w:fill="FFFFFF"/>
        <w:tabs>
          <w:tab w:val="clear" w:pos="567"/>
        </w:tabs>
        <w:spacing w:line="240" w:lineRule="auto"/>
        <w:rPr>
          <w:szCs w:val="22"/>
          <w:lang w:val="lt-LT"/>
        </w:rPr>
      </w:pPr>
    </w:p>
    <w:p w14:paraId="1BC3327E" w14:textId="77777777" w:rsidR="005B54AC" w:rsidRPr="00EB08A6" w:rsidRDefault="005B54AC" w:rsidP="005B54AC">
      <w:pPr>
        <w:shd w:val="clear" w:color="auto" w:fill="FFFFFF"/>
        <w:tabs>
          <w:tab w:val="clear" w:pos="567"/>
        </w:tabs>
        <w:spacing w:line="240" w:lineRule="auto"/>
        <w:rPr>
          <w:szCs w:val="22"/>
          <w:lang w:val="lt-LT"/>
        </w:rPr>
      </w:pPr>
    </w:p>
    <w:p w14:paraId="2A74C219" w14:textId="77777777" w:rsidR="005B54AC" w:rsidRPr="00EB08A6" w:rsidRDefault="005B54AC" w:rsidP="005B54AC">
      <w:pPr>
        <w:shd w:val="clear" w:color="auto" w:fill="FFFFFF"/>
        <w:tabs>
          <w:tab w:val="clear" w:pos="567"/>
        </w:tabs>
        <w:spacing w:line="240" w:lineRule="auto"/>
        <w:rPr>
          <w:szCs w:val="22"/>
          <w:lang w:val="lt-LT"/>
        </w:rPr>
      </w:pPr>
    </w:p>
    <w:p w14:paraId="5C470702" w14:textId="77777777" w:rsidR="005B54AC" w:rsidRPr="00EB08A6" w:rsidRDefault="005B54AC" w:rsidP="005B54AC">
      <w:pPr>
        <w:shd w:val="clear" w:color="auto" w:fill="FFFFFF"/>
        <w:tabs>
          <w:tab w:val="clear" w:pos="567"/>
        </w:tabs>
        <w:spacing w:line="240" w:lineRule="auto"/>
        <w:rPr>
          <w:szCs w:val="22"/>
          <w:lang w:val="lt-LT"/>
        </w:rPr>
      </w:pPr>
    </w:p>
    <w:p w14:paraId="2BE4ADF8" w14:textId="77777777" w:rsidR="005B54AC" w:rsidRPr="00EB08A6" w:rsidRDefault="005B54AC" w:rsidP="005B54AC">
      <w:pPr>
        <w:shd w:val="clear" w:color="auto" w:fill="FFFFFF"/>
        <w:tabs>
          <w:tab w:val="clear" w:pos="567"/>
        </w:tabs>
        <w:spacing w:line="240" w:lineRule="auto"/>
        <w:rPr>
          <w:szCs w:val="22"/>
          <w:lang w:val="lt-LT"/>
        </w:rPr>
      </w:pPr>
    </w:p>
    <w:p w14:paraId="7EF2DF8D" w14:textId="77777777" w:rsidR="005B54AC" w:rsidRPr="00EB08A6" w:rsidRDefault="005B54AC" w:rsidP="005B54AC">
      <w:pPr>
        <w:shd w:val="clear" w:color="auto" w:fill="FFFFFF"/>
        <w:tabs>
          <w:tab w:val="clear" w:pos="567"/>
        </w:tabs>
        <w:spacing w:line="240" w:lineRule="auto"/>
        <w:rPr>
          <w:szCs w:val="22"/>
          <w:lang w:val="lt-LT"/>
        </w:rPr>
      </w:pPr>
    </w:p>
    <w:p w14:paraId="467729F8" w14:textId="77777777" w:rsidR="005B54AC" w:rsidRPr="00EB08A6" w:rsidRDefault="005B54AC" w:rsidP="005B54AC">
      <w:pPr>
        <w:shd w:val="clear" w:color="auto" w:fill="FFFFFF"/>
        <w:tabs>
          <w:tab w:val="clear" w:pos="567"/>
        </w:tabs>
        <w:spacing w:line="240" w:lineRule="auto"/>
        <w:rPr>
          <w:szCs w:val="22"/>
          <w:lang w:val="lt-LT"/>
        </w:rPr>
      </w:pPr>
    </w:p>
    <w:p w14:paraId="6491F1C6" w14:textId="77777777" w:rsidR="005B54AC" w:rsidRPr="00EB08A6" w:rsidRDefault="005B54AC" w:rsidP="005B54AC">
      <w:pPr>
        <w:shd w:val="clear" w:color="auto" w:fill="FFFFFF"/>
        <w:tabs>
          <w:tab w:val="clear" w:pos="567"/>
        </w:tabs>
        <w:spacing w:line="240" w:lineRule="auto"/>
        <w:rPr>
          <w:szCs w:val="22"/>
          <w:lang w:val="lt-LT"/>
        </w:rPr>
      </w:pPr>
    </w:p>
    <w:p w14:paraId="4DF51B3C"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B08A6">
        <w:rPr>
          <w:b/>
          <w:szCs w:val="22"/>
          <w:lang w:val="lt-LT"/>
        </w:rPr>
        <w:lastRenderedPageBreak/>
        <w:t>INFORMACIJA ANT IŠORINĖS PAKUOTĖS</w:t>
      </w:r>
    </w:p>
    <w:p w14:paraId="4F22B2A0"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012B7833"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sidRPr="00EB08A6">
        <w:rPr>
          <w:b/>
          <w:caps/>
          <w:szCs w:val="22"/>
          <w:lang w:val="lt-LT"/>
        </w:rPr>
        <w:t xml:space="preserve"> KARTONO DĖŽUTĖ</w:t>
      </w:r>
    </w:p>
    <w:p w14:paraId="7BAEE85B" w14:textId="77777777" w:rsidR="005B54AC" w:rsidRPr="00EB08A6" w:rsidRDefault="005B54AC" w:rsidP="005B54AC">
      <w:pPr>
        <w:tabs>
          <w:tab w:val="clear" w:pos="567"/>
        </w:tabs>
        <w:spacing w:line="240" w:lineRule="auto"/>
        <w:rPr>
          <w:szCs w:val="22"/>
          <w:lang w:val="lt-LT"/>
        </w:rPr>
      </w:pPr>
    </w:p>
    <w:p w14:paraId="0014F53B" w14:textId="77777777" w:rsidR="005B54AC" w:rsidRPr="00EB08A6" w:rsidRDefault="005B54AC" w:rsidP="005B54AC">
      <w:pPr>
        <w:tabs>
          <w:tab w:val="clear" w:pos="567"/>
        </w:tabs>
        <w:spacing w:line="240" w:lineRule="auto"/>
        <w:rPr>
          <w:szCs w:val="22"/>
          <w:lang w:val="lt-LT"/>
        </w:rPr>
      </w:pPr>
    </w:p>
    <w:p w14:paraId="3F10955A"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1.</w:t>
      </w:r>
      <w:r w:rsidRPr="00EB08A6">
        <w:rPr>
          <w:b/>
          <w:szCs w:val="22"/>
          <w:lang w:val="lt-LT"/>
        </w:rPr>
        <w:tab/>
        <w:t>VAISTINIO PREPARATO PAVADINIMAS</w:t>
      </w:r>
    </w:p>
    <w:p w14:paraId="7A3E6B05" w14:textId="77777777" w:rsidR="005B54AC" w:rsidRPr="00EB08A6" w:rsidRDefault="005B54AC" w:rsidP="005B54AC">
      <w:pPr>
        <w:tabs>
          <w:tab w:val="clear" w:pos="567"/>
        </w:tabs>
        <w:spacing w:line="240" w:lineRule="auto"/>
        <w:rPr>
          <w:szCs w:val="22"/>
          <w:lang w:val="lt-LT"/>
        </w:rPr>
      </w:pPr>
    </w:p>
    <w:p w14:paraId="479C97AD" w14:textId="77777777" w:rsidR="005B54AC" w:rsidRPr="00EB08A6" w:rsidRDefault="005B54AC" w:rsidP="005B54AC">
      <w:pPr>
        <w:tabs>
          <w:tab w:val="clear" w:pos="567"/>
        </w:tabs>
        <w:spacing w:line="240" w:lineRule="auto"/>
        <w:rPr>
          <w:szCs w:val="22"/>
          <w:lang w:val="lt-LT"/>
        </w:rPr>
      </w:pPr>
      <w:proofErr w:type="spellStart"/>
      <w:r w:rsidRPr="00EB08A6">
        <w:rPr>
          <w:szCs w:val="22"/>
          <w:lang w:val="lt-LT"/>
        </w:rPr>
        <w:t>Vesicare</w:t>
      </w:r>
      <w:proofErr w:type="spellEnd"/>
      <w:r w:rsidRPr="00EB08A6">
        <w:rPr>
          <w:szCs w:val="22"/>
          <w:lang w:val="lt-LT"/>
        </w:rPr>
        <w:t xml:space="preserve"> 1 mg/ml geriamoji suspensija</w:t>
      </w:r>
    </w:p>
    <w:p w14:paraId="5D73A13C" w14:textId="77777777" w:rsidR="005B54AC" w:rsidRPr="00EB08A6" w:rsidRDefault="00FD2045" w:rsidP="005B54AC">
      <w:pPr>
        <w:tabs>
          <w:tab w:val="clear" w:pos="567"/>
        </w:tabs>
        <w:spacing w:line="240" w:lineRule="auto"/>
        <w:rPr>
          <w:szCs w:val="22"/>
          <w:lang w:val="lt-LT"/>
        </w:rPr>
      </w:pPr>
      <w:proofErr w:type="spellStart"/>
      <w:r w:rsidRPr="00EB08A6">
        <w:rPr>
          <w:szCs w:val="22"/>
          <w:lang w:val="lt-LT"/>
        </w:rPr>
        <w:t>s</w:t>
      </w:r>
      <w:r w:rsidR="005B54AC" w:rsidRPr="00EB08A6">
        <w:rPr>
          <w:szCs w:val="22"/>
          <w:lang w:val="lt-LT"/>
        </w:rPr>
        <w:t>olifenacini</w:t>
      </w:r>
      <w:proofErr w:type="spellEnd"/>
      <w:r w:rsidR="005B54AC" w:rsidRPr="00EB08A6">
        <w:rPr>
          <w:szCs w:val="22"/>
          <w:lang w:val="lt-LT"/>
        </w:rPr>
        <w:t xml:space="preserve"> </w:t>
      </w:r>
      <w:proofErr w:type="spellStart"/>
      <w:r w:rsidR="005B54AC" w:rsidRPr="00EB08A6">
        <w:rPr>
          <w:szCs w:val="22"/>
          <w:lang w:val="lt-LT"/>
        </w:rPr>
        <w:t>succinas</w:t>
      </w:r>
      <w:proofErr w:type="spellEnd"/>
    </w:p>
    <w:p w14:paraId="37FD6F63" w14:textId="77777777" w:rsidR="005B54AC" w:rsidRPr="00EB08A6" w:rsidRDefault="005B54AC" w:rsidP="005B54AC">
      <w:pPr>
        <w:tabs>
          <w:tab w:val="clear" w:pos="567"/>
        </w:tabs>
        <w:spacing w:line="240" w:lineRule="auto"/>
        <w:rPr>
          <w:szCs w:val="22"/>
          <w:lang w:val="lt-LT"/>
        </w:rPr>
      </w:pPr>
    </w:p>
    <w:p w14:paraId="10A6F4B8" w14:textId="77777777" w:rsidR="005B54AC" w:rsidRPr="00EB08A6" w:rsidRDefault="005B54AC" w:rsidP="005B54AC">
      <w:pPr>
        <w:tabs>
          <w:tab w:val="clear" w:pos="567"/>
        </w:tabs>
        <w:spacing w:line="240" w:lineRule="auto"/>
        <w:rPr>
          <w:szCs w:val="22"/>
          <w:lang w:val="lt-LT"/>
        </w:rPr>
      </w:pPr>
    </w:p>
    <w:p w14:paraId="700702D2"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2.</w:t>
      </w:r>
      <w:r w:rsidRPr="00EB08A6">
        <w:rPr>
          <w:b/>
          <w:szCs w:val="22"/>
          <w:lang w:val="lt-LT"/>
        </w:rPr>
        <w:tab/>
        <w:t>VEIKLIOJI (-IOS) MEDŽIAGA (-OS) IR JOS (-Ų) KIEKIS (-IAI)</w:t>
      </w:r>
    </w:p>
    <w:p w14:paraId="5804132C" w14:textId="77777777" w:rsidR="005B54AC" w:rsidRPr="00EB08A6" w:rsidRDefault="005B54AC" w:rsidP="005B54AC">
      <w:pPr>
        <w:tabs>
          <w:tab w:val="clear" w:pos="567"/>
        </w:tabs>
        <w:spacing w:line="240" w:lineRule="auto"/>
        <w:rPr>
          <w:szCs w:val="22"/>
          <w:lang w:val="lt-LT"/>
        </w:rPr>
      </w:pPr>
    </w:p>
    <w:p w14:paraId="2F605394" w14:textId="77777777" w:rsidR="005B54AC" w:rsidRPr="00EB08A6" w:rsidRDefault="005B54AC" w:rsidP="005B54AC">
      <w:pPr>
        <w:tabs>
          <w:tab w:val="clear" w:pos="567"/>
        </w:tabs>
        <w:spacing w:line="240" w:lineRule="auto"/>
        <w:rPr>
          <w:szCs w:val="22"/>
          <w:lang w:val="lt-LT"/>
        </w:rPr>
      </w:pPr>
      <w:r w:rsidRPr="00EB08A6">
        <w:rPr>
          <w:szCs w:val="22"/>
          <w:lang w:val="lt-LT"/>
        </w:rPr>
        <w:t xml:space="preserve">1 ml geriamosios suspensijos yra 1 mg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sukcinato</w:t>
      </w:r>
      <w:proofErr w:type="spellEnd"/>
      <w:r w:rsidRPr="00EB08A6">
        <w:rPr>
          <w:szCs w:val="22"/>
          <w:lang w:val="lt-LT"/>
        </w:rPr>
        <w:t xml:space="preserve">, atitinkančio 0,75 mg </w:t>
      </w:r>
      <w:proofErr w:type="spellStart"/>
      <w:r w:rsidRPr="00EB08A6">
        <w:rPr>
          <w:szCs w:val="22"/>
          <w:lang w:val="lt-LT"/>
        </w:rPr>
        <w:t>solifenacino</w:t>
      </w:r>
      <w:proofErr w:type="spellEnd"/>
      <w:r w:rsidRPr="00EB08A6">
        <w:rPr>
          <w:szCs w:val="22"/>
          <w:lang w:val="lt-LT"/>
        </w:rPr>
        <w:t>.</w:t>
      </w:r>
    </w:p>
    <w:p w14:paraId="1D733161" w14:textId="77777777" w:rsidR="005B54AC" w:rsidRPr="00EB08A6" w:rsidRDefault="005B54AC" w:rsidP="005B54AC">
      <w:pPr>
        <w:tabs>
          <w:tab w:val="clear" w:pos="567"/>
        </w:tabs>
        <w:spacing w:line="240" w:lineRule="auto"/>
        <w:rPr>
          <w:szCs w:val="22"/>
          <w:lang w:val="lt-LT"/>
        </w:rPr>
      </w:pPr>
    </w:p>
    <w:p w14:paraId="673A1D31" w14:textId="77777777" w:rsidR="005B54AC" w:rsidRPr="00EB08A6" w:rsidRDefault="005B54AC" w:rsidP="005B54AC">
      <w:pPr>
        <w:tabs>
          <w:tab w:val="clear" w:pos="567"/>
        </w:tabs>
        <w:spacing w:line="240" w:lineRule="auto"/>
        <w:rPr>
          <w:szCs w:val="22"/>
          <w:lang w:val="lt-LT"/>
        </w:rPr>
      </w:pPr>
    </w:p>
    <w:p w14:paraId="3B7EE187"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3.</w:t>
      </w:r>
      <w:r w:rsidRPr="00EB08A6">
        <w:rPr>
          <w:b/>
          <w:szCs w:val="22"/>
          <w:lang w:val="lt-LT"/>
        </w:rPr>
        <w:tab/>
        <w:t>PAGALBINIŲ MEDŽIAGŲ SĄRAŠAS</w:t>
      </w:r>
    </w:p>
    <w:p w14:paraId="0D9ED422" w14:textId="77777777" w:rsidR="005B54AC" w:rsidRPr="00EB08A6" w:rsidRDefault="005B54AC" w:rsidP="005B54AC">
      <w:pPr>
        <w:autoSpaceDE w:val="0"/>
        <w:autoSpaceDN w:val="0"/>
        <w:adjustRightInd w:val="0"/>
        <w:spacing w:line="240" w:lineRule="auto"/>
        <w:rPr>
          <w:szCs w:val="22"/>
          <w:lang w:val="lt-LT"/>
        </w:rPr>
      </w:pPr>
    </w:p>
    <w:p w14:paraId="213CD8E5" w14:textId="77777777" w:rsidR="005B54AC" w:rsidRPr="00EB08A6" w:rsidRDefault="005B54AC" w:rsidP="005B54AC">
      <w:pPr>
        <w:spacing w:line="240" w:lineRule="auto"/>
        <w:rPr>
          <w:szCs w:val="22"/>
          <w:lang w:val="lt-LT"/>
        </w:rPr>
      </w:pPr>
      <w:r w:rsidRPr="00EB08A6">
        <w:rPr>
          <w:szCs w:val="22"/>
          <w:lang w:val="lt-LT"/>
        </w:rPr>
        <w:t xml:space="preserve">Metilo </w:t>
      </w:r>
      <w:proofErr w:type="spellStart"/>
      <w:r w:rsidRPr="00EB08A6">
        <w:rPr>
          <w:szCs w:val="22"/>
          <w:lang w:val="lt-LT"/>
        </w:rPr>
        <w:t>parahidroksibenzoatas</w:t>
      </w:r>
      <w:proofErr w:type="spellEnd"/>
      <w:r w:rsidRPr="00EB08A6">
        <w:rPr>
          <w:szCs w:val="22"/>
          <w:lang w:val="lt-LT"/>
        </w:rPr>
        <w:t xml:space="preserve"> (E218), </w:t>
      </w: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parahidroksibenzoatas</w:t>
      </w:r>
      <w:proofErr w:type="spellEnd"/>
      <w:r w:rsidRPr="00EB08A6">
        <w:rPr>
          <w:szCs w:val="22"/>
          <w:lang w:val="lt-LT"/>
        </w:rPr>
        <w:t xml:space="preserve"> (E216), etanolis</w:t>
      </w:r>
      <w:r w:rsidR="0033798E" w:rsidRPr="00EB08A6">
        <w:rPr>
          <w:szCs w:val="22"/>
          <w:lang w:val="lt-LT"/>
        </w:rPr>
        <w:t xml:space="preserve">, </w:t>
      </w:r>
      <w:proofErr w:type="spellStart"/>
      <w:r w:rsidR="0033798E" w:rsidRPr="00EB08A6">
        <w:rPr>
          <w:szCs w:val="22"/>
          <w:lang w:val="lt-LT"/>
        </w:rPr>
        <w:t>propilenglikolis</w:t>
      </w:r>
      <w:proofErr w:type="spellEnd"/>
      <w:r w:rsidR="0033798E" w:rsidRPr="00EB08A6">
        <w:rPr>
          <w:szCs w:val="22"/>
          <w:lang w:val="lt-LT"/>
        </w:rPr>
        <w:t xml:space="preserve"> (E1520), </w:t>
      </w:r>
      <w:proofErr w:type="spellStart"/>
      <w:r w:rsidR="0033798E" w:rsidRPr="00EB08A6">
        <w:rPr>
          <w:szCs w:val="22"/>
          <w:lang w:val="lt-LT"/>
        </w:rPr>
        <w:t>benzenkarboksirūgštis</w:t>
      </w:r>
      <w:proofErr w:type="spellEnd"/>
      <w:r w:rsidR="0033798E" w:rsidRPr="00EB08A6">
        <w:rPr>
          <w:szCs w:val="22"/>
          <w:lang w:val="lt-LT"/>
        </w:rPr>
        <w:t xml:space="preserve"> (E210).</w:t>
      </w:r>
    </w:p>
    <w:p w14:paraId="36599A0A" w14:textId="77777777" w:rsidR="005B54AC" w:rsidRPr="00EB08A6" w:rsidRDefault="005B54AC" w:rsidP="005B54AC">
      <w:pPr>
        <w:spacing w:line="240" w:lineRule="auto"/>
        <w:rPr>
          <w:szCs w:val="22"/>
          <w:lang w:val="lt-LT"/>
        </w:rPr>
      </w:pPr>
    </w:p>
    <w:p w14:paraId="26774B19" w14:textId="77777777" w:rsidR="005B54AC" w:rsidRPr="00EB08A6" w:rsidRDefault="005B54AC" w:rsidP="005B54AC">
      <w:pPr>
        <w:spacing w:line="240" w:lineRule="auto"/>
        <w:rPr>
          <w:szCs w:val="22"/>
          <w:lang w:val="lt-LT"/>
        </w:rPr>
      </w:pPr>
      <w:r w:rsidRPr="00EB08A6">
        <w:rPr>
          <w:szCs w:val="22"/>
          <w:highlight w:val="lightGray"/>
          <w:lang w:val="lt-LT"/>
        </w:rPr>
        <w:t>Daugiau informacijos pateikta pakuotės lapelyje.</w:t>
      </w:r>
    </w:p>
    <w:p w14:paraId="4988D346" w14:textId="77777777" w:rsidR="005B54AC" w:rsidRPr="00EB08A6" w:rsidRDefault="005B54AC" w:rsidP="005B54AC">
      <w:pPr>
        <w:spacing w:line="240" w:lineRule="auto"/>
        <w:rPr>
          <w:szCs w:val="22"/>
          <w:lang w:val="lt-LT"/>
        </w:rPr>
      </w:pPr>
    </w:p>
    <w:p w14:paraId="211E126D" w14:textId="77777777" w:rsidR="005B54AC" w:rsidRPr="00EB08A6" w:rsidRDefault="005B54AC" w:rsidP="005B54AC">
      <w:pPr>
        <w:spacing w:line="240" w:lineRule="auto"/>
        <w:rPr>
          <w:szCs w:val="22"/>
          <w:lang w:val="lt-LT"/>
        </w:rPr>
      </w:pPr>
    </w:p>
    <w:p w14:paraId="19B5ABF4"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4.</w:t>
      </w:r>
      <w:r w:rsidRPr="00EB08A6">
        <w:rPr>
          <w:b/>
          <w:szCs w:val="22"/>
          <w:lang w:val="lt-LT"/>
        </w:rPr>
        <w:tab/>
        <w:t>FARMACINĖ FORMA IR KIEKIS PAKUOTĖJE</w:t>
      </w:r>
    </w:p>
    <w:p w14:paraId="699266A3" w14:textId="77777777" w:rsidR="005B54AC" w:rsidRPr="00EB08A6" w:rsidRDefault="005B54AC" w:rsidP="005B54AC">
      <w:pPr>
        <w:tabs>
          <w:tab w:val="clear" w:pos="567"/>
        </w:tabs>
        <w:spacing w:line="240" w:lineRule="auto"/>
        <w:rPr>
          <w:szCs w:val="22"/>
          <w:lang w:val="lt-LT"/>
        </w:rPr>
      </w:pPr>
    </w:p>
    <w:p w14:paraId="3078617E" w14:textId="77777777" w:rsidR="005B54AC" w:rsidRPr="00EB08A6" w:rsidRDefault="005B54AC" w:rsidP="005B54AC">
      <w:pPr>
        <w:spacing w:line="240" w:lineRule="auto"/>
        <w:rPr>
          <w:szCs w:val="22"/>
          <w:lang w:val="lt-LT"/>
        </w:rPr>
      </w:pPr>
      <w:r w:rsidRPr="00EB08A6">
        <w:rPr>
          <w:szCs w:val="22"/>
          <w:lang w:val="lt-LT"/>
        </w:rPr>
        <w:t xml:space="preserve">150 ml </w:t>
      </w:r>
      <w:r w:rsidRPr="00EB08A6">
        <w:rPr>
          <w:szCs w:val="22"/>
          <w:highlight w:val="lightGray"/>
          <w:lang w:val="lt-LT"/>
        </w:rPr>
        <w:t>geriamosios suspensijos</w:t>
      </w:r>
    </w:p>
    <w:p w14:paraId="1540F64B" w14:textId="77777777" w:rsidR="005B54AC" w:rsidRPr="00EB08A6" w:rsidRDefault="005B54AC" w:rsidP="005B54AC">
      <w:pPr>
        <w:tabs>
          <w:tab w:val="clear" w:pos="567"/>
        </w:tabs>
        <w:spacing w:line="240" w:lineRule="auto"/>
        <w:rPr>
          <w:szCs w:val="22"/>
          <w:lang w:val="lt-LT"/>
        </w:rPr>
      </w:pPr>
    </w:p>
    <w:p w14:paraId="783554B7" w14:textId="77777777" w:rsidR="005B54AC" w:rsidRPr="00EB08A6" w:rsidRDefault="005B54AC" w:rsidP="005B54AC">
      <w:pPr>
        <w:tabs>
          <w:tab w:val="clear" w:pos="567"/>
        </w:tabs>
        <w:spacing w:line="240" w:lineRule="auto"/>
        <w:rPr>
          <w:szCs w:val="22"/>
          <w:lang w:val="lt-LT"/>
        </w:rPr>
      </w:pPr>
    </w:p>
    <w:p w14:paraId="30FFD689"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5.</w:t>
      </w:r>
      <w:r w:rsidRPr="00EB08A6">
        <w:rPr>
          <w:b/>
          <w:szCs w:val="22"/>
          <w:lang w:val="lt-LT"/>
        </w:rPr>
        <w:tab/>
        <w:t>VARTOJIMO METODAS IR BŪDAS (-AI)</w:t>
      </w:r>
    </w:p>
    <w:p w14:paraId="61D60887" w14:textId="77777777" w:rsidR="006113D8" w:rsidRPr="00EB08A6" w:rsidRDefault="006113D8" w:rsidP="006113D8">
      <w:pPr>
        <w:tabs>
          <w:tab w:val="clear" w:pos="567"/>
        </w:tabs>
        <w:spacing w:line="240" w:lineRule="auto"/>
        <w:rPr>
          <w:szCs w:val="22"/>
          <w:lang w:val="lt-LT"/>
        </w:rPr>
      </w:pPr>
    </w:p>
    <w:p w14:paraId="30F62409" w14:textId="77777777" w:rsidR="005B54AC" w:rsidRPr="00EB08A6" w:rsidRDefault="003E0074" w:rsidP="005B54AC">
      <w:pPr>
        <w:tabs>
          <w:tab w:val="clear" w:pos="567"/>
        </w:tabs>
        <w:spacing w:line="240" w:lineRule="auto"/>
        <w:rPr>
          <w:szCs w:val="22"/>
          <w:lang w:val="lt-LT"/>
        </w:rPr>
      </w:pPr>
      <w:r w:rsidRPr="00EB08A6">
        <w:rPr>
          <w:szCs w:val="22"/>
          <w:lang w:val="lt-LT"/>
        </w:rPr>
        <w:t xml:space="preserve">Prieš </w:t>
      </w:r>
      <w:r w:rsidR="005B54AC" w:rsidRPr="00EB08A6">
        <w:rPr>
          <w:szCs w:val="22"/>
          <w:lang w:val="lt-LT"/>
        </w:rPr>
        <w:t>vartojimą gerai suplakite.</w:t>
      </w:r>
    </w:p>
    <w:p w14:paraId="6DD13B44" w14:textId="77777777" w:rsidR="005B54AC" w:rsidRPr="00EB08A6" w:rsidRDefault="005B54AC" w:rsidP="005B54AC">
      <w:pPr>
        <w:tabs>
          <w:tab w:val="clear" w:pos="567"/>
        </w:tabs>
        <w:spacing w:line="240" w:lineRule="auto"/>
        <w:rPr>
          <w:szCs w:val="22"/>
          <w:lang w:val="lt-LT"/>
        </w:rPr>
      </w:pPr>
      <w:r w:rsidRPr="00EB08A6">
        <w:rPr>
          <w:szCs w:val="22"/>
          <w:lang w:val="lt-LT"/>
        </w:rPr>
        <w:t>Vartoti per burną.</w:t>
      </w:r>
    </w:p>
    <w:p w14:paraId="0EDBA348" w14:textId="77777777" w:rsidR="005B54AC" w:rsidRPr="00EB08A6" w:rsidRDefault="005B54AC" w:rsidP="005B54AC">
      <w:pPr>
        <w:tabs>
          <w:tab w:val="clear" w:pos="567"/>
        </w:tabs>
        <w:spacing w:line="240" w:lineRule="auto"/>
        <w:rPr>
          <w:szCs w:val="22"/>
          <w:lang w:val="lt-LT"/>
        </w:rPr>
      </w:pPr>
      <w:r w:rsidRPr="00EB08A6">
        <w:rPr>
          <w:szCs w:val="22"/>
          <w:lang w:val="lt-LT"/>
        </w:rPr>
        <w:t>Prieš vartojimą perskaitykite pakuotės lapelį.</w:t>
      </w:r>
    </w:p>
    <w:p w14:paraId="1B13B323" w14:textId="77777777" w:rsidR="005B54AC" w:rsidRPr="00EB08A6" w:rsidRDefault="005B54AC" w:rsidP="005B54AC">
      <w:pPr>
        <w:tabs>
          <w:tab w:val="clear" w:pos="567"/>
        </w:tabs>
        <w:spacing w:line="240" w:lineRule="auto"/>
        <w:rPr>
          <w:szCs w:val="22"/>
          <w:lang w:val="lt-LT"/>
        </w:rPr>
      </w:pPr>
    </w:p>
    <w:p w14:paraId="5DCBFF1C" w14:textId="77777777" w:rsidR="005B54AC" w:rsidRPr="00EB08A6" w:rsidRDefault="005B54AC" w:rsidP="005B54AC">
      <w:pPr>
        <w:tabs>
          <w:tab w:val="clear" w:pos="567"/>
        </w:tabs>
        <w:spacing w:line="240" w:lineRule="auto"/>
        <w:rPr>
          <w:szCs w:val="22"/>
          <w:lang w:val="lt-LT"/>
        </w:rPr>
      </w:pPr>
    </w:p>
    <w:p w14:paraId="7606B441"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6.</w:t>
      </w:r>
      <w:r w:rsidRPr="00EB08A6">
        <w:rPr>
          <w:b/>
          <w:szCs w:val="22"/>
          <w:lang w:val="lt-LT"/>
        </w:rPr>
        <w:tab/>
        <w:t>SPECIALUS ĮSPĖJIMAS, KAD VAISTINĮ PREPARATĄ BŪTINA LAIKYTI VAIKAMS NEPASTEBIMOJE IR NEPASIEKIAMOJE VIETOJE</w:t>
      </w:r>
    </w:p>
    <w:p w14:paraId="7A3E0EB5" w14:textId="77777777" w:rsidR="005B54AC" w:rsidRPr="00EB08A6" w:rsidRDefault="005B54AC" w:rsidP="005B54AC">
      <w:pPr>
        <w:tabs>
          <w:tab w:val="clear" w:pos="567"/>
        </w:tabs>
        <w:spacing w:line="240" w:lineRule="auto"/>
        <w:rPr>
          <w:szCs w:val="22"/>
          <w:lang w:val="lt-LT"/>
        </w:rPr>
      </w:pPr>
    </w:p>
    <w:p w14:paraId="39C72194" w14:textId="77777777" w:rsidR="005B54AC" w:rsidRPr="00EB08A6" w:rsidRDefault="005B54AC" w:rsidP="005B54AC">
      <w:pPr>
        <w:tabs>
          <w:tab w:val="clear" w:pos="567"/>
        </w:tabs>
        <w:spacing w:line="240" w:lineRule="auto"/>
        <w:outlineLvl w:val="0"/>
        <w:rPr>
          <w:szCs w:val="22"/>
          <w:lang w:val="lt-LT"/>
        </w:rPr>
      </w:pPr>
      <w:r w:rsidRPr="00EB08A6">
        <w:rPr>
          <w:szCs w:val="22"/>
          <w:lang w:val="lt-LT"/>
        </w:rPr>
        <w:t>Laikyti vaikams nepastebimoje ir nepasiekiamoje vietoje.</w:t>
      </w:r>
    </w:p>
    <w:p w14:paraId="275FECEE" w14:textId="77777777" w:rsidR="005B54AC" w:rsidRPr="00EB08A6" w:rsidRDefault="005B54AC" w:rsidP="005B54AC">
      <w:pPr>
        <w:tabs>
          <w:tab w:val="clear" w:pos="567"/>
        </w:tabs>
        <w:spacing w:line="240" w:lineRule="auto"/>
        <w:rPr>
          <w:szCs w:val="22"/>
          <w:lang w:val="lt-LT"/>
        </w:rPr>
      </w:pPr>
    </w:p>
    <w:p w14:paraId="261128D9" w14:textId="77777777" w:rsidR="005B54AC" w:rsidRPr="00EB08A6" w:rsidRDefault="005B54AC" w:rsidP="005B54AC">
      <w:pPr>
        <w:tabs>
          <w:tab w:val="clear" w:pos="567"/>
        </w:tabs>
        <w:spacing w:line="240" w:lineRule="auto"/>
        <w:rPr>
          <w:szCs w:val="22"/>
          <w:lang w:val="lt-LT"/>
        </w:rPr>
      </w:pPr>
    </w:p>
    <w:p w14:paraId="7B58E41F"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7.</w:t>
      </w:r>
      <w:r w:rsidRPr="00EB08A6">
        <w:rPr>
          <w:b/>
          <w:szCs w:val="22"/>
          <w:lang w:val="lt-LT"/>
        </w:rPr>
        <w:tab/>
        <w:t>KITAS (-I) SPECIALUS (-ŪS) ĮSPĖJIMAS (-AI) (JEI REIKIA)</w:t>
      </w:r>
    </w:p>
    <w:p w14:paraId="1C346A8E" w14:textId="77777777" w:rsidR="005B54AC" w:rsidRPr="00EB08A6" w:rsidRDefault="005B54AC" w:rsidP="005B54AC">
      <w:pPr>
        <w:tabs>
          <w:tab w:val="clear" w:pos="567"/>
        </w:tabs>
        <w:spacing w:line="240" w:lineRule="auto"/>
        <w:rPr>
          <w:szCs w:val="22"/>
          <w:lang w:val="lt-LT"/>
        </w:rPr>
      </w:pPr>
    </w:p>
    <w:p w14:paraId="21E895A4" w14:textId="77777777" w:rsidR="005B54AC" w:rsidRPr="00EB08A6" w:rsidRDefault="005B54AC" w:rsidP="005B54AC">
      <w:pPr>
        <w:tabs>
          <w:tab w:val="clear" w:pos="567"/>
        </w:tabs>
        <w:spacing w:line="240" w:lineRule="auto"/>
        <w:rPr>
          <w:szCs w:val="22"/>
          <w:lang w:val="lt-LT"/>
        </w:rPr>
      </w:pPr>
    </w:p>
    <w:p w14:paraId="72C17610" w14:textId="77777777" w:rsidR="005B54AC" w:rsidRPr="00EB08A6" w:rsidRDefault="005B54AC" w:rsidP="005B54A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8.</w:t>
      </w:r>
      <w:r w:rsidRPr="00EB08A6">
        <w:rPr>
          <w:b/>
          <w:szCs w:val="22"/>
          <w:lang w:val="lt-LT"/>
        </w:rPr>
        <w:tab/>
        <w:t>TINKAMUMO LAIKAS</w:t>
      </w:r>
    </w:p>
    <w:p w14:paraId="02DB3A94" w14:textId="77777777" w:rsidR="005B54AC" w:rsidRPr="00EB08A6" w:rsidRDefault="005B54AC" w:rsidP="005B54AC">
      <w:pPr>
        <w:keepNext/>
        <w:tabs>
          <w:tab w:val="clear" w:pos="567"/>
        </w:tabs>
        <w:spacing w:line="240" w:lineRule="auto"/>
        <w:rPr>
          <w:szCs w:val="22"/>
          <w:lang w:val="lt-LT"/>
        </w:rPr>
      </w:pPr>
    </w:p>
    <w:p w14:paraId="2F62EF7F" w14:textId="77777777" w:rsidR="005B54AC" w:rsidRPr="00EB08A6" w:rsidRDefault="005B54AC" w:rsidP="005B54AC">
      <w:pPr>
        <w:keepNext/>
        <w:spacing w:line="240" w:lineRule="auto"/>
        <w:rPr>
          <w:szCs w:val="22"/>
          <w:lang w:val="lt-LT"/>
        </w:rPr>
      </w:pPr>
      <w:r w:rsidRPr="00EB08A6">
        <w:rPr>
          <w:szCs w:val="22"/>
          <w:lang w:val="lt-LT"/>
        </w:rPr>
        <w:t>Tinka iki {mm MMMM}</w:t>
      </w:r>
    </w:p>
    <w:p w14:paraId="018AA9AB" w14:textId="77777777" w:rsidR="005B54AC" w:rsidRPr="00EB08A6" w:rsidRDefault="005B54AC" w:rsidP="005B54AC">
      <w:pPr>
        <w:tabs>
          <w:tab w:val="clear" w:pos="567"/>
        </w:tabs>
        <w:spacing w:line="240" w:lineRule="auto"/>
        <w:rPr>
          <w:szCs w:val="22"/>
          <w:lang w:val="lt-LT"/>
        </w:rPr>
      </w:pPr>
      <w:r w:rsidRPr="00EB08A6">
        <w:rPr>
          <w:szCs w:val="22"/>
          <w:lang w:val="lt-LT"/>
        </w:rPr>
        <w:t>Pirmą kartą atidarius buteliuką, suspensijos tinkamumo laikas yra 28 dienos.</w:t>
      </w:r>
    </w:p>
    <w:p w14:paraId="3F9BB706" w14:textId="77777777" w:rsidR="005B54AC" w:rsidRPr="00EB08A6" w:rsidRDefault="005B54AC" w:rsidP="005B54AC">
      <w:pPr>
        <w:spacing w:line="240" w:lineRule="auto"/>
        <w:rPr>
          <w:szCs w:val="22"/>
          <w:lang w:val="lt-LT"/>
        </w:rPr>
      </w:pPr>
    </w:p>
    <w:p w14:paraId="53C939F8" w14:textId="77777777" w:rsidR="005B54AC" w:rsidRPr="00EB08A6" w:rsidRDefault="005B54AC" w:rsidP="005B54AC">
      <w:pPr>
        <w:tabs>
          <w:tab w:val="clear" w:pos="567"/>
        </w:tabs>
        <w:spacing w:line="240" w:lineRule="auto"/>
        <w:rPr>
          <w:szCs w:val="22"/>
          <w:lang w:val="lt-LT"/>
        </w:rPr>
      </w:pPr>
    </w:p>
    <w:p w14:paraId="69C1CDC3"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9.</w:t>
      </w:r>
      <w:r w:rsidRPr="00EB08A6">
        <w:rPr>
          <w:b/>
          <w:szCs w:val="22"/>
          <w:lang w:val="lt-LT"/>
        </w:rPr>
        <w:tab/>
        <w:t>SPECIALIOS LAIKYMO SĄLYGOS</w:t>
      </w:r>
    </w:p>
    <w:p w14:paraId="4AFF968B" w14:textId="77777777" w:rsidR="005B54AC" w:rsidRPr="00EB08A6" w:rsidRDefault="005B54AC" w:rsidP="005B54AC">
      <w:pPr>
        <w:spacing w:line="240" w:lineRule="auto"/>
        <w:rPr>
          <w:szCs w:val="22"/>
          <w:lang w:val="lt-LT"/>
        </w:rPr>
      </w:pPr>
    </w:p>
    <w:p w14:paraId="4A3F3121" w14:textId="77777777" w:rsidR="005B54AC" w:rsidRPr="00EB08A6" w:rsidRDefault="005B54AC" w:rsidP="005B54AC">
      <w:pPr>
        <w:tabs>
          <w:tab w:val="clear" w:pos="567"/>
        </w:tabs>
        <w:spacing w:line="240" w:lineRule="auto"/>
        <w:rPr>
          <w:szCs w:val="22"/>
          <w:lang w:val="lt-LT"/>
        </w:rPr>
      </w:pPr>
      <w:r w:rsidRPr="00EB08A6">
        <w:rPr>
          <w:szCs w:val="22"/>
          <w:lang w:val="lt-LT"/>
        </w:rPr>
        <w:t xml:space="preserve">Laikyti gamintojo buteliuke, kad </w:t>
      </w:r>
      <w:r w:rsidR="00FD2045" w:rsidRPr="00EB08A6">
        <w:rPr>
          <w:szCs w:val="22"/>
          <w:lang w:val="lt-LT"/>
        </w:rPr>
        <w:t>vaistas</w:t>
      </w:r>
      <w:r w:rsidRPr="00EB08A6">
        <w:rPr>
          <w:szCs w:val="22"/>
          <w:lang w:val="lt-LT"/>
        </w:rPr>
        <w:t xml:space="preserve"> būtų apsaugotas nuo šviesos.</w:t>
      </w:r>
    </w:p>
    <w:p w14:paraId="754CA8A2" w14:textId="77777777" w:rsidR="005B54AC" w:rsidRPr="00EB08A6" w:rsidRDefault="005B54AC" w:rsidP="005B54AC">
      <w:pPr>
        <w:tabs>
          <w:tab w:val="clear" w:pos="567"/>
        </w:tabs>
        <w:spacing w:line="240" w:lineRule="auto"/>
        <w:ind w:left="567" w:hanging="567"/>
        <w:rPr>
          <w:szCs w:val="22"/>
          <w:lang w:val="lt-LT"/>
        </w:rPr>
      </w:pPr>
    </w:p>
    <w:p w14:paraId="18EE5367"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lastRenderedPageBreak/>
        <w:t>10.</w:t>
      </w:r>
      <w:r w:rsidRPr="00EB08A6">
        <w:rPr>
          <w:b/>
          <w:szCs w:val="22"/>
          <w:lang w:val="lt-LT"/>
        </w:rPr>
        <w:tab/>
        <w:t>SPECIALIOS ATSARGUMO PRIEMONĖS DĖL NESUVARTOTO VAISTINIO PREPARATO AR JO ATLIEKŲ TVARKYMO (JEI REIKIA)</w:t>
      </w:r>
    </w:p>
    <w:p w14:paraId="0A025656" w14:textId="77777777" w:rsidR="005B54AC" w:rsidRPr="00EB08A6" w:rsidRDefault="005B54AC" w:rsidP="005B54AC">
      <w:pPr>
        <w:tabs>
          <w:tab w:val="clear" w:pos="567"/>
        </w:tabs>
        <w:spacing w:line="240" w:lineRule="auto"/>
        <w:rPr>
          <w:szCs w:val="22"/>
          <w:lang w:val="lt-LT"/>
        </w:rPr>
      </w:pPr>
    </w:p>
    <w:p w14:paraId="16B6D266" w14:textId="77777777" w:rsidR="005B54AC" w:rsidRPr="00EB08A6" w:rsidRDefault="005B54AC" w:rsidP="005B54AC">
      <w:pPr>
        <w:tabs>
          <w:tab w:val="clear" w:pos="567"/>
        </w:tabs>
        <w:spacing w:line="240" w:lineRule="auto"/>
        <w:rPr>
          <w:szCs w:val="22"/>
          <w:lang w:val="lt-LT"/>
        </w:rPr>
      </w:pPr>
    </w:p>
    <w:p w14:paraId="7EB24C85"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11.</w:t>
      </w:r>
      <w:r w:rsidRPr="00EB08A6">
        <w:rPr>
          <w:b/>
          <w:szCs w:val="22"/>
          <w:lang w:val="lt-LT"/>
        </w:rPr>
        <w:tab/>
        <w:t>REGISTRUOTOJO PAVADINIMAS IR ADRESAS</w:t>
      </w:r>
    </w:p>
    <w:p w14:paraId="192E96BC" w14:textId="77777777" w:rsidR="005B54AC" w:rsidRPr="00EB08A6" w:rsidRDefault="005B54AC" w:rsidP="005B54AC">
      <w:pPr>
        <w:tabs>
          <w:tab w:val="clear" w:pos="567"/>
        </w:tabs>
        <w:spacing w:line="240" w:lineRule="auto"/>
        <w:rPr>
          <w:szCs w:val="22"/>
          <w:lang w:val="lt-LT"/>
        </w:rPr>
      </w:pPr>
    </w:p>
    <w:p w14:paraId="2B596D0F" w14:textId="77777777" w:rsidR="0057211C" w:rsidRPr="00EB08A6" w:rsidRDefault="0057211C" w:rsidP="0057211C">
      <w:pPr>
        <w:spacing w:line="240" w:lineRule="auto"/>
        <w:rPr>
          <w:szCs w:val="22"/>
          <w:lang w:val="lt-LT"/>
        </w:rPr>
      </w:pPr>
      <w:proofErr w:type="spellStart"/>
      <w:r w:rsidRPr="00EB08A6">
        <w:rPr>
          <w:szCs w:val="22"/>
          <w:lang w:val="lt-LT"/>
        </w:rPr>
        <w:t>Astellas</w:t>
      </w:r>
      <w:proofErr w:type="spellEnd"/>
      <w:r w:rsidRPr="00EB08A6">
        <w:rPr>
          <w:szCs w:val="22"/>
          <w:lang w:val="lt-LT"/>
        </w:rPr>
        <w:t xml:space="preserve"> </w:t>
      </w:r>
      <w:proofErr w:type="spellStart"/>
      <w:r w:rsidRPr="00EB08A6">
        <w:rPr>
          <w:szCs w:val="22"/>
          <w:lang w:val="lt-LT"/>
        </w:rPr>
        <w:t>Pharma</w:t>
      </w:r>
      <w:proofErr w:type="spellEnd"/>
      <w:r w:rsidRPr="00EB08A6">
        <w:rPr>
          <w:szCs w:val="22"/>
          <w:lang w:val="lt-LT"/>
        </w:rPr>
        <w:t xml:space="preserve"> </w:t>
      </w:r>
      <w:proofErr w:type="spellStart"/>
      <w:r w:rsidRPr="00EB08A6">
        <w:rPr>
          <w:szCs w:val="22"/>
          <w:lang w:val="lt-LT"/>
        </w:rPr>
        <w:t>d.o.o</w:t>
      </w:r>
      <w:proofErr w:type="spellEnd"/>
      <w:r w:rsidRPr="00EB08A6">
        <w:rPr>
          <w:szCs w:val="22"/>
          <w:lang w:val="lt-LT"/>
        </w:rPr>
        <w:t xml:space="preserve">. </w:t>
      </w:r>
    </w:p>
    <w:p w14:paraId="20B9AC39" w14:textId="77777777" w:rsidR="0057211C" w:rsidRPr="00EB08A6" w:rsidRDefault="0057211C" w:rsidP="0057211C">
      <w:pPr>
        <w:spacing w:line="240" w:lineRule="auto"/>
        <w:rPr>
          <w:szCs w:val="22"/>
          <w:lang w:val="lt-LT"/>
        </w:rPr>
      </w:pPr>
      <w:proofErr w:type="spellStart"/>
      <w:r w:rsidRPr="00EB08A6">
        <w:rPr>
          <w:szCs w:val="22"/>
          <w:lang w:val="lt-LT"/>
        </w:rPr>
        <w:t>Šmartinska</w:t>
      </w:r>
      <w:proofErr w:type="spellEnd"/>
      <w:r w:rsidRPr="00EB08A6">
        <w:rPr>
          <w:szCs w:val="22"/>
          <w:lang w:val="lt-LT"/>
        </w:rPr>
        <w:t xml:space="preserve"> </w:t>
      </w:r>
      <w:proofErr w:type="spellStart"/>
      <w:r w:rsidRPr="00EB08A6">
        <w:rPr>
          <w:szCs w:val="22"/>
          <w:lang w:val="lt-LT"/>
        </w:rPr>
        <w:t>cesta</w:t>
      </w:r>
      <w:proofErr w:type="spellEnd"/>
      <w:r w:rsidRPr="00EB08A6">
        <w:rPr>
          <w:szCs w:val="22"/>
          <w:lang w:val="lt-LT"/>
        </w:rPr>
        <w:t xml:space="preserve"> 53 </w:t>
      </w:r>
    </w:p>
    <w:p w14:paraId="0E10BD09" w14:textId="77777777" w:rsidR="0057211C" w:rsidRPr="00EB08A6" w:rsidRDefault="0057211C" w:rsidP="0057211C">
      <w:pPr>
        <w:spacing w:line="240" w:lineRule="auto"/>
        <w:rPr>
          <w:szCs w:val="22"/>
          <w:lang w:val="lt-LT"/>
        </w:rPr>
      </w:pPr>
      <w:r w:rsidRPr="00EB08A6">
        <w:rPr>
          <w:szCs w:val="22"/>
          <w:lang w:val="lt-LT"/>
        </w:rPr>
        <w:t xml:space="preserve">1000 </w:t>
      </w:r>
      <w:proofErr w:type="spellStart"/>
      <w:r w:rsidRPr="00EB08A6">
        <w:rPr>
          <w:szCs w:val="22"/>
          <w:lang w:val="lt-LT"/>
        </w:rPr>
        <w:t>Ljubljana</w:t>
      </w:r>
      <w:proofErr w:type="spellEnd"/>
      <w:r w:rsidRPr="00EB08A6">
        <w:rPr>
          <w:szCs w:val="22"/>
          <w:lang w:val="lt-LT"/>
        </w:rPr>
        <w:t xml:space="preserve"> </w:t>
      </w:r>
    </w:p>
    <w:p w14:paraId="3330A9D5" w14:textId="77777777" w:rsidR="0057211C" w:rsidRPr="00EB08A6" w:rsidRDefault="0057211C" w:rsidP="0057211C">
      <w:pPr>
        <w:spacing w:line="240" w:lineRule="auto"/>
        <w:rPr>
          <w:szCs w:val="22"/>
          <w:lang w:val="lt-LT"/>
        </w:rPr>
      </w:pPr>
      <w:r w:rsidRPr="00EB08A6">
        <w:rPr>
          <w:szCs w:val="22"/>
          <w:lang w:val="lt-LT"/>
        </w:rPr>
        <w:t>Slovėnija</w:t>
      </w:r>
    </w:p>
    <w:p w14:paraId="6CF0269E" w14:textId="77777777" w:rsidR="005B54AC" w:rsidRPr="00EB08A6" w:rsidRDefault="005B54AC" w:rsidP="005B54AC">
      <w:pPr>
        <w:tabs>
          <w:tab w:val="clear" w:pos="567"/>
        </w:tabs>
        <w:spacing w:line="240" w:lineRule="auto"/>
        <w:rPr>
          <w:szCs w:val="22"/>
          <w:lang w:val="lt-LT"/>
        </w:rPr>
      </w:pPr>
    </w:p>
    <w:p w14:paraId="54067E39" w14:textId="77777777" w:rsidR="005B54AC" w:rsidRPr="00EB08A6" w:rsidRDefault="005B54AC" w:rsidP="005B54AC">
      <w:pPr>
        <w:tabs>
          <w:tab w:val="clear" w:pos="567"/>
        </w:tabs>
        <w:spacing w:line="240" w:lineRule="auto"/>
        <w:rPr>
          <w:szCs w:val="22"/>
          <w:lang w:val="lt-LT"/>
        </w:rPr>
      </w:pPr>
    </w:p>
    <w:p w14:paraId="1825303E"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12.</w:t>
      </w:r>
      <w:r w:rsidRPr="00EB08A6">
        <w:rPr>
          <w:b/>
          <w:szCs w:val="22"/>
          <w:lang w:val="lt-LT"/>
        </w:rPr>
        <w:tab/>
        <w:t xml:space="preserve">REGISTRACIJOS PAŽYMĖJIMO NUMERIS (-IAI) </w:t>
      </w:r>
    </w:p>
    <w:p w14:paraId="65B884B3" w14:textId="77777777" w:rsidR="005B54AC" w:rsidRPr="00EB08A6" w:rsidRDefault="005B54AC" w:rsidP="005B54AC">
      <w:pPr>
        <w:tabs>
          <w:tab w:val="clear" w:pos="567"/>
        </w:tabs>
        <w:spacing w:line="240" w:lineRule="auto"/>
        <w:rPr>
          <w:szCs w:val="22"/>
          <w:lang w:val="lt-LT"/>
        </w:rPr>
      </w:pPr>
    </w:p>
    <w:p w14:paraId="72C7C07C" w14:textId="77777777" w:rsidR="005B54AC" w:rsidRPr="00EB08A6" w:rsidRDefault="005B54AC" w:rsidP="005B54AC">
      <w:pPr>
        <w:spacing w:line="240" w:lineRule="auto"/>
        <w:rPr>
          <w:szCs w:val="22"/>
          <w:lang w:val="lt-LT"/>
        </w:rPr>
      </w:pPr>
      <w:r w:rsidRPr="00EB08A6">
        <w:rPr>
          <w:szCs w:val="22"/>
          <w:lang w:val="lt-LT"/>
        </w:rPr>
        <w:t>LT/1/05/0465/021</w:t>
      </w:r>
    </w:p>
    <w:p w14:paraId="74303FBE" w14:textId="77777777" w:rsidR="005B54AC" w:rsidRPr="00EB08A6" w:rsidRDefault="005B54AC" w:rsidP="005B54AC">
      <w:pPr>
        <w:tabs>
          <w:tab w:val="clear" w:pos="567"/>
        </w:tabs>
        <w:spacing w:line="240" w:lineRule="auto"/>
        <w:rPr>
          <w:szCs w:val="22"/>
          <w:lang w:val="lt-LT"/>
        </w:rPr>
      </w:pPr>
    </w:p>
    <w:p w14:paraId="7A0A4F09" w14:textId="77777777" w:rsidR="005B54AC" w:rsidRPr="00EB08A6" w:rsidRDefault="005B54AC" w:rsidP="005B54AC">
      <w:pPr>
        <w:tabs>
          <w:tab w:val="clear" w:pos="567"/>
        </w:tabs>
        <w:spacing w:line="240" w:lineRule="auto"/>
        <w:rPr>
          <w:szCs w:val="22"/>
          <w:lang w:val="lt-LT"/>
        </w:rPr>
      </w:pPr>
    </w:p>
    <w:p w14:paraId="78870593"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13.</w:t>
      </w:r>
      <w:r w:rsidRPr="00EB08A6">
        <w:rPr>
          <w:b/>
          <w:szCs w:val="22"/>
          <w:lang w:val="lt-LT"/>
        </w:rPr>
        <w:tab/>
        <w:t>SERIJOS NUMERIS</w:t>
      </w:r>
    </w:p>
    <w:p w14:paraId="6EEDDB99" w14:textId="77777777" w:rsidR="005B54AC" w:rsidRPr="00EB08A6" w:rsidRDefault="005B54AC" w:rsidP="005B54AC">
      <w:pPr>
        <w:tabs>
          <w:tab w:val="clear" w:pos="567"/>
        </w:tabs>
        <w:spacing w:line="240" w:lineRule="auto"/>
        <w:rPr>
          <w:szCs w:val="22"/>
          <w:lang w:val="lt-LT"/>
        </w:rPr>
      </w:pPr>
    </w:p>
    <w:p w14:paraId="360E7EE2" w14:textId="77777777" w:rsidR="005B54AC" w:rsidRPr="00EB08A6" w:rsidRDefault="005B54AC" w:rsidP="005B54AC">
      <w:pPr>
        <w:tabs>
          <w:tab w:val="clear" w:pos="567"/>
        </w:tabs>
        <w:spacing w:line="240" w:lineRule="auto"/>
        <w:rPr>
          <w:szCs w:val="22"/>
          <w:lang w:val="lt-LT"/>
        </w:rPr>
      </w:pPr>
      <w:r w:rsidRPr="00EB08A6">
        <w:rPr>
          <w:szCs w:val="22"/>
          <w:lang w:val="lt-LT"/>
        </w:rPr>
        <w:t>Serija</w:t>
      </w:r>
    </w:p>
    <w:p w14:paraId="65267925" w14:textId="77777777" w:rsidR="005B54AC" w:rsidRPr="00EB08A6" w:rsidRDefault="005B54AC" w:rsidP="005B54AC">
      <w:pPr>
        <w:tabs>
          <w:tab w:val="clear" w:pos="567"/>
        </w:tabs>
        <w:spacing w:line="240" w:lineRule="auto"/>
        <w:rPr>
          <w:szCs w:val="22"/>
          <w:lang w:val="lt-LT"/>
        </w:rPr>
      </w:pPr>
    </w:p>
    <w:p w14:paraId="10026081" w14:textId="77777777" w:rsidR="005B54AC" w:rsidRPr="00EB08A6" w:rsidRDefault="005B54AC" w:rsidP="005B54AC">
      <w:pPr>
        <w:tabs>
          <w:tab w:val="clear" w:pos="567"/>
        </w:tabs>
        <w:spacing w:line="240" w:lineRule="auto"/>
        <w:rPr>
          <w:szCs w:val="22"/>
          <w:lang w:val="lt-LT"/>
        </w:rPr>
      </w:pPr>
    </w:p>
    <w:p w14:paraId="463CE318"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14.</w:t>
      </w:r>
      <w:r w:rsidRPr="00EB08A6">
        <w:rPr>
          <w:b/>
          <w:szCs w:val="22"/>
          <w:lang w:val="lt-LT"/>
        </w:rPr>
        <w:tab/>
        <w:t>PARDAVIMO (IŠDAVIMO) TVARKA</w:t>
      </w:r>
    </w:p>
    <w:p w14:paraId="28E0EC55" w14:textId="77777777" w:rsidR="005B54AC" w:rsidRPr="00EB08A6" w:rsidRDefault="005B54AC" w:rsidP="005B54AC">
      <w:pPr>
        <w:tabs>
          <w:tab w:val="clear" w:pos="567"/>
        </w:tabs>
        <w:spacing w:line="240" w:lineRule="auto"/>
        <w:rPr>
          <w:szCs w:val="22"/>
          <w:lang w:val="lt-LT"/>
        </w:rPr>
      </w:pPr>
    </w:p>
    <w:p w14:paraId="57D73FD6" w14:textId="77777777" w:rsidR="005B54AC" w:rsidRPr="00EB08A6" w:rsidRDefault="005B54AC" w:rsidP="005B54AC">
      <w:pPr>
        <w:tabs>
          <w:tab w:val="clear" w:pos="567"/>
        </w:tabs>
        <w:spacing w:line="240" w:lineRule="auto"/>
        <w:rPr>
          <w:szCs w:val="22"/>
          <w:lang w:val="lt-LT"/>
        </w:rPr>
      </w:pPr>
      <w:r w:rsidRPr="00EB08A6">
        <w:rPr>
          <w:szCs w:val="22"/>
          <w:lang w:val="lt-LT"/>
        </w:rPr>
        <w:t>Receptinis vaist</w:t>
      </w:r>
      <w:r w:rsidR="00FD2045" w:rsidRPr="00EB08A6">
        <w:rPr>
          <w:szCs w:val="22"/>
          <w:lang w:val="lt-LT"/>
        </w:rPr>
        <w:t>as</w:t>
      </w:r>
    </w:p>
    <w:p w14:paraId="77B8CF1A" w14:textId="77777777" w:rsidR="005B54AC" w:rsidRPr="00EB08A6" w:rsidRDefault="005B54AC" w:rsidP="005B54AC">
      <w:pPr>
        <w:tabs>
          <w:tab w:val="clear" w:pos="567"/>
        </w:tabs>
        <w:spacing w:line="240" w:lineRule="auto"/>
        <w:rPr>
          <w:szCs w:val="22"/>
          <w:lang w:val="lt-LT"/>
        </w:rPr>
      </w:pPr>
    </w:p>
    <w:p w14:paraId="07EE1AE6" w14:textId="77777777" w:rsidR="005B54AC" w:rsidRPr="00EB08A6" w:rsidRDefault="005B54AC" w:rsidP="005B54AC">
      <w:pPr>
        <w:tabs>
          <w:tab w:val="clear" w:pos="567"/>
        </w:tabs>
        <w:spacing w:line="240" w:lineRule="auto"/>
        <w:rPr>
          <w:szCs w:val="22"/>
          <w:lang w:val="lt-LT"/>
        </w:rPr>
      </w:pPr>
    </w:p>
    <w:p w14:paraId="548AA62C"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15.</w:t>
      </w:r>
      <w:r w:rsidRPr="00EB08A6">
        <w:rPr>
          <w:b/>
          <w:szCs w:val="22"/>
          <w:lang w:val="lt-LT"/>
        </w:rPr>
        <w:tab/>
        <w:t>VARTOJIMO INSTRUKCIJA</w:t>
      </w:r>
    </w:p>
    <w:p w14:paraId="6615BDCC" w14:textId="77777777" w:rsidR="0033798E" w:rsidRPr="00EB08A6" w:rsidRDefault="0033798E" w:rsidP="005B54AC">
      <w:pPr>
        <w:tabs>
          <w:tab w:val="clear" w:pos="567"/>
        </w:tabs>
        <w:spacing w:line="240" w:lineRule="auto"/>
        <w:rPr>
          <w:szCs w:val="22"/>
          <w:lang w:val="lt-LT"/>
        </w:rPr>
      </w:pPr>
    </w:p>
    <w:p w14:paraId="581D98F4" w14:textId="77777777" w:rsidR="00033066" w:rsidRPr="00EB08A6" w:rsidRDefault="00033066" w:rsidP="00033066">
      <w:pPr>
        <w:tabs>
          <w:tab w:val="clear" w:pos="567"/>
        </w:tabs>
        <w:spacing w:line="240" w:lineRule="auto"/>
        <w:rPr>
          <w:szCs w:val="22"/>
          <w:lang w:val="lt-LT"/>
        </w:rPr>
      </w:pPr>
      <w:r w:rsidRPr="00EB08A6">
        <w:rPr>
          <w:szCs w:val="22"/>
          <w:lang w:val="lt-LT"/>
        </w:rPr>
        <w:t>Prie šio vaisto pridedamos vartojimo priemonės: 5 ml geriamasis švirkštas ir adapteris.</w:t>
      </w:r>
    </w:p>
    <w:p w14:paraId="0281A51B" w14:textId="77777777" w:rsidR="00033066" w:rsidRPr="00EB08A6" w:rsidRDefault="00033066" w:rsidP="00033066">
      <w:pPr>
        <w:tabs>
          <w:tab w:val="clear" w:pos="567"/>
        </w:tabs>
        <w:spacing w:line="240" w:lineRule="auto"/>
        <w:rPr>
          <w:szCs w:val="22"/>
          <w:lang w:val="lt-LT"/>
        </w:rPr>
      </w:pPr>
      <w:r w:rsidRPr="00EB08A6">
        <w:rPr>
          <w:szCs w:val="22"/>
          <w:lang w:val="lt-LT"/>
        </w:rPr>
        <w:t>Prieš vartojimą prašome perskaityti vartojimo instrukciją.</w:t>
      </w:r>
    </w:p>
    <w:p w14:paraId="6B1F36D0" w14:textId="31B7D709" w:rsidR="005B54AC" w:rsidRPr="00EB08A6" w:rsidRDefault="005B54AC" w:rsidP="005B54AC">
      <w:pPr>
        <w:tabs>
          <w:tab w:val="clear" w:pos="567"/>
        </w:tabs>
        <w:spacing w:line="240" w:lineRule="auto"/>
        <w:rPr>
          <w:szCs w:val="22"/>
          <w:lang w:val="lt-LT"/>
        </w:rPr>
      </w:pPr>
    </w:p>
    <w:p w14:paraId="74C149E9" w14:textId="77777777" w:rsidR="00033066" w:rsidRPr="00EB08A6" w:rsidRDefault="00033066" w:rsidP="005B54AC">
      <w:pPr>
        <w:tabs>
          <w:tab w:val="clear" w:pos="567"/>
        </w:tabs>
        <w:spacing w:line="240" w:lineRule="auto"/>
        <w:rPr>
          <w:szCs w:val="22"/>
          <w:lang w:val="lt-LT"/>
        </w:rPr>
      </w:pPr>
    </w:p>
    <w:p w14:paraId="2786C57F"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16.</w:t>
      </w:r>
      <w:r w:rsidRPr="00EB08A6">
        <w:rPr>
          <w:b/>
          <w:szCs w:val="22"/>
          <w:lang w:val="lt-LT"/>
        </w:rPr>
        <w:tab/>
        <w:t>INFORMACIJA BRAILIO RAŠTU</w:t>
      </w:r>
    </w:p>
    <w:p w14:paraId="78535D65" w14:textId="77777777" w:rsidR="005B54AC" w:rsidRPr="00EB08A6" w:rsidRDefault="005B54AC" w:rsidP="005B54AC">
      <w:pPr>
        <w:tabs>
          <w:tab w:val="clear" w:pos="567"/>
        </w:tabs>
        <w:spacing w:line="240" w:lineRule="auto"/>
        <w:rPr>
          <w:szCs w:val="22"/>
          <w:lang w:val="lt-LT"/>
        </w:rPr>
      </w:pPr>
    </w:p>
    <w:p w14:paraId="3132D7BD" w14:textId="77777777" w:rsidR="005B54AC" w:rsidRPr="00EB08A6" w:rsidRDefault="005B54AC" w:rsidP="005B54AC">
      <w:pPr>
        <w:shd w:val="clear" w:color="auto" w:fill="FFFFFF"/>
        <w:tabs>
          <w:tab w:val="clear" w:pos="567"/>
        </w:tabs>
        <w:spacing w:line="240" w:lineRule="auto"/>
        <w:rPr>
          <w:szCs w:val="22"/>
          <w:lang w:val="lt-LT"/>
        </w:rPr>
      </w:pPr>
      <w:proofErr w:type="spellStart"/>
      <w:r w:rsidRPr="00EB08A6">
        <w:rPr>
          <w:szCs w:val="22"/>
          <w:lang w:val="lt-LT"/>
        </w:rPr>
        <w:t>Vesicare</w:t>
      </w:r>
      <w:proofErr w:type="spellEnd"/>
      <w:r w:rsidRPr="00EB08A6">
        <w:rPr>
          <w:szCs w:val="22"/>
          <w:lang w:val="lt-LT"/>
        </w:rPr>
        <w:t xml:space="preserve"> 1 mg/ml </w:t>
      </w:r>
    </w:p>
    <w:p w14:paraId="068B44CE" w14:textId="77777777" w:rsidR="005B54AC" w:rsidRPr="00EB08A6" w:rsidRDefault="005B54AC" w:rsidP="005B54AC">
      <w:pPr>
        <w:shd w:val="clear" w:color="auto" w:fill="FFFFFF"/>
        <w:tabs>
          <w:tab w:val="clear" w:pos="567"/>
        </w:tabs>
        <w:spacing w:line="240" w:lineRule="auto"/>
        <w:rPr>
          <w:szCs w:val="22"/>
          <w:lang w:val="lt-LT"/>
        </w:rPr>
      </w:pPr>
    </w:p>
    <w:p w14:paraId="27DB4FD4" w14:textId="77777777" w:rsidR="003B50C2" w:rsidRPr="00EB08A6" w:rsidRDefault="003B50C2" w:rsidP="00B971EC">
      <w:pPr>
        <w:spacing w:line="240" w:lineRule="auto"/>
        <w:rPr>
          <w:szCs w:val="22"/>
          <w:shd w:val="clear" w:color="auto" w:fill="CCCCCC"/>
          <w:lang w:val="lt-LT"/>
        </w:rPr>
      </w:pPr>
    </w:p>
    <w:p w14:paraId="23924C50" w14:textId="77777777" w:rsidR="003B50C2" w:rsidRPr="00EB08A6" w:rsidRDefault="003B50C2" w:rsidP="005C5165">
      <w:pPr>
        <w:keepNext/>
        <w:numPr>
          <w:ilvl w:val="0"/>
          <w:numId w:val="10"/>
        </w:numPr>
        <w:pBdr>
          <w:top w:val="single" w:sz="4" w:space="1" w:color="auto"/>
          <w:left w:val="single" w:sz="4" w:space="4" w:color="auto"/>
          <w:bottom w:val="single" w:sz="4" w:space="1" w:color="auto"/>
          <w:right w:val="single" w:sz="4" w:space="4" w:color="auto"/>
        </w:pBdr>
        <w:spacing w:line="240" w:lineRule="auto"/>
        <w:ind w:left="357" w:hanging="357"/>
        <w:outlineLvl w:val="0"/>
        <w:rPr>
          <w:i/>
          <w:szCs w:val="22"/>
          <w:lang w:val="lt-LT" w:eastAsia="lt-LT" w:bidi="lt-LT"/>
        </w:rPr>
      </w:pPr>
      <w:r w:rsidRPr="00EB08A6">
        <w:rPr>
          <w:b/>
          <w:szCs w:val="22"/>
          <w:lang w:val="lt-LT" w:eastAsia="lt-LT" w:bidi="lt-LT"/>
        </w:rPr>
        <w:t>UNIKALUS IDENTIFIKATORIUS – 2D BRŪKŠNINIS KODAS</w:t>
      </w:r>
    </w:p>
    <w:p w14:paraId="3E8659CD" w14:textId="77777777" w:rsidR="003B50C2" w:rsidRPr="00EB08A6" w:rsidRDefault="003B50C2" w:rsidP="003B50C2">
      <w:pPr>
        <w:tabs>
          <w:tab w:val="clear" w:pos="567"/>
        </w:tabs>
        <w:spacing w:line="240" w:lineRule="auto"/>
        <w:rPr>
          <w:szCs w:val="22"/>
          <w:lang w:val="lt-LT" w:eastAsia="lt-LT" w:bidi="lt-LT"/>
        </w:rPr>
      </w:pPr>
    </w:p>
    <w:p w14:paraId="432FE4EA" w14:textId="77777777" w:rsidR="003B50C2" w:rsidRPr="00EB08A6" w:rsidRDefault="003B50C2" w:rsidP="003B50C2">
      <w:pPr>
        <w:spacing w:line="240" w:lineRule="auto"/>
        <w:rPr>
          <w:szCs w:val="22"/>
          <w:shd w:val="clear" w:color="auto" w:fill="CCCCCC"/>
          <w:lang w:val="lt-LT" w:eastAsia="lt-LT" w:bidi="lt-LT"/>
        </w:rPr>
      </w:pPr>
      <w:r w:rsidRPr="00EB08A6">
        <w:rPr>
          <w:szCs w:val="22"/>
          <w:highlight w:val="lightGray"/>
          <w:lang w:val="lt-LT" w:eastAsia="lt-LT" w:bidi="lt-LT"/>
        </w:rPr>
        <w:t>2D brūkšninis kodas su nurodytu unikaliu identifikatoriumi</w:t>
      </w:r>
    </w:p>
    <w:p w14:paraId="1F6DBDE0" w14:textId="77777777" w:rsidR="003B50C2" w:rsidRPr="00EB08A6" w:rsidRDefault="003B50C2" w:rsidP="003B50C2">
      <w:pPr>
        <w:spacing w:line="240" w:lineRule="auto"/>
        <w:rPr>
          <w:szCs w:val="22"/>
          <w:shd w:val="clear" w:color="auto" w:fill="CCCCCC"/>
          <w:lang w:val="lt-LT" w:eastAsia="lt-LT" w:bidi="lt-LT"/>
        </w:rPr>
      </w:pPr>
    </w:p>
    <w:p w14:paraId="5019FE2F" w14:textId="77777777" w:rsidR="003B50C2" w:rsidRPr="00EB08A6" w:rsidRDefault="003B50C2" w:rsidP="005C5165">
      <w:pPr>
        <w:keepNext/>
        <w:numPr>
          <w:ilvl w:val="0"/>
          <w:numId w:val="10"/>
        </w:numPr>
        <w:pBdr>
          <w:top w:val="single" w:sz="4" w:space="1" w:color="auto"/>
          <w:left w:val="single" w:sz="4" w:space="4" w:color="auto"/>
          <w:bottom w:val="single" w:sz="4" w:space="1" w:color="auto"/>
          <w:right w:val="single" w:sz="4" w:space="4" w:color="auto"/>
        </w:pBdr>
        <w:spacing w:line="240" w:lineRule="auto"/>
        <w:ind w:left="357" w:hanging="357"/>
        <w:outlineLvl w:val="0"/>
        <w:rPr>
          <w:i/>
          <w:szCs w:val="22"/>
          <w:lang w:val="lt-LT" w:eastAsia="lt-LT" w:bidi="lt-LT"/>
        </w:rPr>
      </w:pPr>
      <w:r w:rsidRPr="00EB08A6">
        <w:rPr>
          <w:b/>
          <w:szCs w:val="22"/>
          <w:lang w:val="lt-LT" w:eastAsia="lt-LT" w:bidi="lt-LT"/>
        </w:rPr>
        <w:t>UNIKALUS IDENTIFIKATORIUS – ŽMONĖMS SUPRANTAMI DUOMENYS</w:t>
      </w:r>
    </w:p>
    <w:p w14:paraId="103939AD" w14:textId="77777777" w:rsidR="003B50C2" w:rsidRPr="00EB08A6" w:rsidRDefault="003B50C2" w:rsidP="003B50C2">
      <w:pPr>
        <w:tabs>
          <w:tab w:val="clear" w:pos="567"/>
        </w:tabs>
        <w:spacing w:line="240" w:lineRule="auto"/>
        <w:rPr>
          <w:szCs w:val="22"/>
          <w:lang w:val="lt-LT" w:eastAsia="lt-LT" w:bidi="lt-LT"/>
        </w:rPr>
      </w:pPr>
    </w:p>
    <w:p w14:paraId="7E666B33" w14:textId="77777777" w:rsidR="003B50C2" w:rsidRPr="00EB08A6" w:rsidRDefault="003B50C2" w:rsidP="003B50C2">
      <w:pPr>
        <w:rPr>
          <w:color w:val="008000"/>
          <w:szCs w:val="22"/>
          <w:lang w:val="lt-LT" w:eastAsia="lt-LT" w:bidi="lt-LT"/>
        </w:rPr>
      </w:pPr>
      <w:r w:rsidRPr="00EB08A6">
        <w:rPr>
          <w:szCs w:val="22"/>
          <w:lang w:val="lt-LT" w:eastAsia="lt-LT" w:bidi="lt-LT"/>
        </w:rPr>
        <w:t xml:space="preserve">PC: {numeris} </w:t>
      </w:r>
    </w:p>
    <w:p w14:paraId="3A2B7D10" w14:textId="77777777" w:rsidR="003B50C2" w:rsidRPr="00EB08A6" w:rsidRDefault="003B50C2" w:rsidP="003B50C2">
      <w:pPr>
        <w:rPr>
          <w:szCs w:val="22"/>
          <w:lang w:val="lt-LT" w:eastAsia="lt-LT" w:bidi="lt-LT"/>
        </w:rPr>
      </w:pPr>
      <w:r w:rsidRPr="00EB08A6">
        <w:rPr>
          <w:szCs w:val="22"/>
          <w:lang w:val="lt-LT" w:eastAsia="lt-LT" w:bidi="lt-LT"/>
        </w:rPr>
        <w:t xml:space="preserve">SN: {numeris} </w:t>
      </w:r>
    </w:p>
    <w:p w14:paraId="31699A44" w14:textId="77777777" w:rsidR="005B54AC" w:rsidRPr="00EB08A6" w:rsidRDefault="005B54AC" w:rsidP="005B54AC">
      <w:pPr>
        <w:shd w:val="clear" w:color="auto" w:fill="FFFFFF"/>
        <w:tabs>
          <w:tab w:val="clear" w:pos="567"/>
        </w:tabs>
        <w:spacing w:line="240" w:lineRule="auto"/>
        <w:rPr>
          <w:szCs w:val="22"/>
          <w:lang w:val="lt-LT"/>
        </w:rPr>
      </w:pPr>
    </w:p>
    <w:p w14:paraId="3B4FF92C"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B08A6">
        <w:rPr>
          <w:szCs w:val="22"/>
          <w:lang w:val="lt-LT"/>
        </w:rPr>
        <w:br w:type="page"/>
      </w:r>
      <w:r w:rsidRPr="00EB08A6">
        <w:rPr>
          <w:b/>
          <w:szCs w:val="22"/>
          <w:lang w:val="lt-LT"/>
        </w:rPr>
        <w:lastRenderedPageBreak/>
        <w:t>INFORMACIJA ANT VIDINĖS PAKUOTĖS</w:t>
      </w:r>
    </w:p>
    <w:p w14:paraId="0616D7FE"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3568D7EF"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sidRPr="00EB08A6">
        <w:rPr>
          <w:b/>
          <w:szCs w:val="22"/>
          <w:lang w:val="lt-LT"/>
        </w:rPr>
        <w:t>BUTELIUKAS</w:t>
      </w:r>
    </w:p>
    <w:p w14:paraId="1230A932" w14:textId="77777777" w:rsidR="005B54AC" w:rsidRPr="00EB08A6" w:rsidRDefault="005B54AC" w:rsidP="005B54AC">
      <w:pPr>
        <w:tabs>
          <w:tab w:val="clear" w:pos="567"/>
        </w:tabs>
        <w:spacing w:line="240" w:lineRule="auto"/>
        <w:rPr>
          <w:szCs w:val="22"/>
          <w:lang w:val="lt-LT"/>
        </w:rPr>
      </w:pPr>
    </w:p>
    <w:p w14:paraId="6FD78D92" w14:textId="77777777" w:rsidR="005B54AC" w:rsidRPr="00EB08A6" w:rsidRDefault="005B54AC" w:rsidP="005B54AC">
      <w:pPr>
        <w:tabs>
          <w:tab w:val="clear" w:pos="567"/>
        </w:tabs>
        <w:spacing w:line="240" w:lineRule="auto"/>
        <w:rPr>
          <w:szCs w:val="22"/>
          <w:lang w:val="lt-LT"/>
        </w:rPr>
      </w:pPr>
    </w:p>
    <w:p w14:paraId="3B5F12E6"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1.</w:t>
      </w:r>
      <w:r w:rsidRPr="00EB08A6">
        <w:rPr>
          <w:b/>
          <w:szCs w:val="22"/>
          <w:lang w:val="lt-LT"/>
        </w:rPr>
        <w:tab/>
        <w:t>VAISTINIO PREPARATO PAVADINIMAS</w:t>
      </w:r>
    </w:p>
    <w:p w14:paraId="4964DAF2" w14:textId="77777777" w:rsidR="005B54AC" w:rsidRPr="00EB08A6" w:rsidRDefault="005B54AC" w:rsidP="005B54AC">
      <w:pPr>
        <w:tabs>
          <w:tab w:val="clear" w:pos="567"/>
        </w:tabs>
        <w:spacing w:line="240" w:lineRule="auto"/>
        <w:rPr>
          <w:szCs w:val="22"/>
          <w:lang w:val="lt-LT"/>
        </w:rPr>
      </w:pPr>
    </w:p>
    <w:p w14:paraId="3D304424" w14:textId="77777777" w:rsidR="005B54AC" w:rsidRPr="00EB08A6" w:rsidRDefault="005B54AC" w:rsidP="005B54AC">
      <w:pPr>
        <w:tabs>
          <w:tab w:val="clear" w:pos="567"/>
        </w:tabs>
        <w:spacing w:line="240" w:lineRule="auto"/>
        <w:rPr>
          <w:szCs w:val="22"/>
          <w:lang w:val="lt-LT"/>
        </w:rPr>
      </w:pPr>
      <w:proofErr w:type="spellStart"/>
      <w:r w:rsidRPr="00EB08A6">
        <w:rPr>
          <w:szCs w:val="22"/>
          <w:lang w:val="lt-LT"/>
        </w:rPr>
        <w:t>Vesicare</w:t>
      </w:r>
      <w:proofErr w:type="spellEnd"/>
      <w:r w:rsidRPr="00EB08A6">
        <w:rPr>
          <w:szCs w:val="22"/>
          <w:lang w:val="lt-LT"/>
        </w:rPr>
        <w:t xml:space="preserve"> 1 mg/ml geriamoji suspensija</w:t>
      </w:r>
    </w:p>
    <w:p w14:paraId="7FB2E4D4" w14:textId="77777777" w:rsidR="005B54AC" w:rsidRPr="00EB08A6" w:rsidRDefault="00FD2045" w:rsidP="005B54AC">
      <w:pPr>
        <w:tabs>
          <w:tab w:val="clear" w:pos="567"/>
        </w:tabs>
        <w:spacing w:line="240" w:lineRule="auto"/>
        <w:rPr>
          <w:szCs w:val="22"/>
          <w:lang w:val="lt-LT"/>
        </w:rPr>
      </w:pPr>
      <w:proofErr w:type="spellStart"/>
      <w:r w:rsidRPr="00EB08A6">
        <w:rPr>
          <w:szCs w:val="22"/>
          <w:lang w:val="lt-LT"/>
        </w:rPr>
        <w:t>s</w:t>
      </w:r>
      <w:r w:rsidR="005B54AC" w:rsidRPr="00EB08A6">
        <w:rPr>
          <w:szCs w:val="22"/>
          <w:lang w:val="lt-LT"/>
        </w:rPr>
        <w:t>olifenacini</w:t>
      </w:r>
      <w:proofErr w:type="spellEnd"/>
      <w:r w:rsidR="005B54AC" w:rsidRPr="00EB08A6">
        <w:rPr>
          <w:szCs w:val="22"/>
          <w:lang w:val="lt-LT"/>
        </w:rPr>
        <w:t xml:space="preserve"> </w:t>
      </w:r>
      <w:proofErr w:type="spellStart"/>
      <w:r w:rsidR="005B54AC" w:rsidRPr="00EB08A6">
        <w:rPr>
          <w:szCs w:val="22"/>
          <w:lang w:val="lt-LT"/>
        </w:rPr>
        <w:t>succinas</w:t>
      </w:r>
      <w:proofErr w:type="spellEnd"/>
    </w:p>
    <w:p w14:paraId="0D018B5C" w14:textId="77777777" w:rsidR="005B54AC" w:rsidRPr="00EB08A6" w:rsidRDefault="005B54AC" w:rsidP="005B54AC">
      <w:pPr>
        <w:tabs>
          <w:tab w:val="clear" w:pos="567"/>
        </w:tabs>
        <w:spacing w:line="240" w:lineRule="auto"/>
        <w:rPr>
          <w:szCs w:val="22"/>
          <w:lang w:val="lt-LT"/>
        </w:rPr>
      </w:pPr>
    </w:p>
    <w:p w14:paraId="0F4C0318" w14:textId="77777777" w:rsidR="005B54AC" w:rsidRPr="00EB08A6" w:rsidRDefault="005B54AC" w:rsidP="005B54AC">
      <w:pPr>
        <w:tabs>
          <w:tab w:val="clear" w:pos="567"/>
        </w:tabs>
        <w:spacing w:line="240" w:lineRule="auto"/>
        <w:rPr>
          <w:szCs w:val="22"/>
          <w:lang w:val="lt-LT"/>
        </w:rPr>
      </w:pPr>
    </w:p>
    <w:p w14:paraId="721F6BCF"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2.</w:t>
      </w:r>
      <w:r w:rsidRPr="00EB08A6">
        <w:rPr>
          <w:b/>
          <w:szCs w:val="22"/>
          <w:lang w:val="lt-LT"/>
        </w:rPr>
        <w:tab/>
        <w:t>VEIKLIOJI (-IOS) MEDŽIAGA (-OS) IR JOS (-Ų) KIEKIS (-IAI)</w:t>
      </w:r>
    </w:p>
    <w:p w14:paraId="3A77D7F7" w14:textId="77777777" w:rsidR="005B54AC" w:rsidRPr="00EB08A6" w:rsidRDefault="005B54AC" w:rsidP="005B54AC">
      <w:pPr>
        <w:tabs>
          <w:tab w:val="clear" w:pos="567"/>
        </w:tabs>
        <w:spacing w:line="240" w:lineRule="auto"/>
        <w:rPr>
          <w:szCs w:val="22"/>
          <w:lang w:val="lt-LT"/>
        </w:rPr>
      </w:pPr>
    </w:p>
    <w:p w14:paraId="22A4EAA3" w14:textId="77777777" w:rsidR="005B54AC" w:rsidRPr="00EB08A6" w:rsidRDefault="005B54AC" w:rsidP="005B54AC">
      <w:pPr>
        <w:tabs>
          <w:tab w:val="clear" w:pos="567"/>
        </w:tabs>
        <w:spacing w:line="240" w:lineRule="auto"/>
        <w:rPr>
          <w:szCs w:val="22"/>
          <w:lang w:val="lt-LT"/>
        </w:rPr>
      </w:pPr>
      <w:r w:rsidRPr="00EB08A6">
        <w:rPr>
          <w:szCs w:val="22"/>
          <w:lang w:val="lt-LT"/>
        </w:rPr>
        <w:t xml:space="preserve">1 ml geriamosios suspensijos yra 1 mg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sukcinato</w:t>
      </w:r>
      <w:proofErr w:type="spellEnd"/>
      <w:r w:rsidRPr="00EB08A6">
        <w:rPr>
          <w:szCs w:val="22"/>
          <w:lang w:val="lt-LT"/>
        </w:rPr>
        <w:t xml:space="preserve">, atitinkančio 0,75 mg </w:t>
      </w:r>
      <w:proofErr w:type="spellStart"/>
      <w:r w:rsidRPr="00EB08A6">
        <w:rPr>
          <w:szCs w:val="22"/>
          <w:lang w:val="lt-LT"/>
        </w:rPr>
        <w:t>solifenacino</w:t>
      </w:r>
      <w:proofErr w:type="spellEnd"/>
      <w:r w:rsidRPr="00EB08A6">
        <w:rPr>
          <w:szCs w:val="22"/>
          <w:lang w:val="lt-LT"/>
        </w:rPr>
        <w:t>.</w:t>
      </w:r>
    </w:p>
    <w:p w14:paraId="2BCA22C4" w14:textId="77777777" w:rsidR="005B54AC" w:rsidRPr="00EB08A6" w:rsidRDefault="005B54AC" w:rsidP="005B54AC">
      <w:pPr>
        <w:tabs>
          <w:tab w:val="clear" w:pos="567"/>
        </w:tabs>
        <w:spacing w:line="240" w:lineRule="auto"/>
        <w:rPr>
          <w:szCs w:val="22"/>
          <w:lang w:val="lt-LT"/>
        </w:rPr>
      </w:pPr>
    </w:p>
    <w:p w14:paraId="04A491D9" w14:textId="77777777" w:rsidR="005B54AC" w:rsidRPr="00EB08A6" w:rsidRDefault="005B54AC" w:rsidP="005B54AC">
      <w:pPr>
        <w:tabs>
          <w:tab w:val="clear" w:pos="567"/>
        </w:tabs>
        <w:spacing w:line="240" w:lineRule="auto"/>
        <w:rPr>
          <w:szCs w:val="22"/>
          <w:lang w:val="lt-LT"/>
        </w:rPr>
      </w:pPr>
    </w:p>
    <w:p w14:paraId="387BE0BD"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3.</w:t>
      </w:r>
      <w:r w:rsidRPr="00EB08A6">
        <w:rPr>
          <w:b/>
          <w:szCs w:val="22"/>
          <w:lang w:val="lt-LT"/>
        </w:rPr>
        <w:tab/>
        <w:t>PAGALBINIŲ MEDŽIAGŲ SĄRAŠAS</w:t>
      </w:r>
    </w:p>
    <w:p w14:paraId="03698144" w14:textId="77777777" w:rsidR="005B54AC" w:rsidRPr="00EB08A6" w:rsidRDefault="005B54AC" w:rsidP="005B54AC">
      <w:pPr>
        <w:spacing w:line="240" w:lineRule="auto"/>
        <w:rPr>
          <w:szCs w:val="22"/>
          <w:lang w:val="lt-LT"/>
        </w:rPr>
      </w:pPr>
    </w:p>
    <w:p w14:paraId="0190AF93" w14:textId="77777777" w:rsidR="005B54AC" w:rsidRPr="00EB08A6" w:rsidRDefault="005B54AC" w:rsidP="005B54AC">
      <w:pPr>
        <w:spacing w:line="240" w:lineRule="auto"/>
        <w:rPr>
          <w:szCs w:val="22"/>
          <w:lang w:val="lt-LT"/>
        </w:rPr>
      </w:pPr>
      <w:r w:rsidRPr="00EB08A6">
        <w:rPr>
          <w:szCs w:val="22"/>
          <w:lang w:val="lt-LT"/>
        </w:rPr>
        <w:t xml:space="preserve">Metilo </w:t>
      </w:r>
      <w:proofErr w:type="spellStart"/>
      <w:r w:rsidRPr="00EB08A6">
        <w:rPr>
          <w:szCs w:val="22"/>
          <w:lang w:val="lt-LT"/>
        </w:rPr>
        <w:t>parahidroksibenzoatas</w:t>
      </w:r>
      <w:proofErr w:type="spellEnd"/>
      <w:r w:rsidRPr="00EB08A6">
        <w:rPr>
          <w:szCs w:val="22"/>
          <w:lang w:val="lt-LT"/>
        </w:rPr>
        <w:t xml:space="preserve"> (E218), </w:t>
      </w: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parahidroksibenzoatas</w:t>
      </w:r>
      <w:proofErr w:type="spellEnd"/>
      <w:r w:rsidRPr="00EB08A6">
        <w:rPr>
          <w:szCs w:val="22"/>
          <w:lang w:val="lt-LT"/>
        </w:rPr>
        <w:t xml:space="preserve"> (E216), etanolis</w:t>
      </w:r>
      <w:r w:rsidR="0033798E" w:rsidRPr="00EB08A6">
        <w:rPr>
          <w:szCs w:val="22"/>
          <w:lang w:val="lt-LT"/>
        </w:rPr>
        <w:t xml:space="preserve">, </w:t>
      </w:r>
      <w:proofErr w:type="spellStart"/>
      <w:r w:rsidR="0033798E" w:rsidRPr="00EB08A6">
        <w:rPr>
          <w:szCs w:val="22"/>
          <w:lang w:val="lt-LT"/>
        </w:rPr>
        <w:t>propilenglikolis</w:t>
      </w:r>
      <w:proofErr w:type="spellEnd"/>
      <w:r w:rsidR="0033798E" w:rsidRPr="00EB08A6">
        <w:rPr>
          <w:szCs w:val="22"/>
          <w:lang w:val="lt-LT"/>
        </w:rPr>
        <w:t xml:space="preserve"> (E1520), </w:t>
      </w:r>
      <w:proofErr w:type="spellStart"/>
      <w:r w:rsidR="0033798E" w:rsidRPr="00EB08A6">
        <w:rPr>
          <w:szCs w:val="22"/>
          <w:lang w:val="lt-LT"/>
        </w:rPr>
        <w:t>benzenkarboksirūgštis</w:t>
      </w:r>
      <w:proofErr w:type="spellEnd"/>
      <w:r w:rsidR="0033798E" w:rsidRPr="00EB08A6">
        <w:rPr>
          <w:szCs w:val="22"/>
          <w:lang w:val="lt-LT"/>
        </w:rPr>
        <w:t xml:space="preserve"> (E210). </w:t>
      </w:r>
    </w:p>
    <w:p w14:paraId="26AC51C7" w14:textId="77777777" w:rsidR="005B54AC" w:rsidRPr="00EB08A6" w:rsidRDefault="005B54AC" w:rsidP="005B54AC">
      <w:pPr>
        <w:spacing w:line="240" w:lineRule="auto"/>
        <w:rPr>
          <w:szCs w:val="22"/>
          <w:lang w:val="lt-LT"/>
        </w:rPr>
      </w:pPr>
    </w:p>
    <w:p w14:paraId="3BC9FBB0" w14:textId="77777777" w:rsidR="005B54AC" w:rsidRPr="00EB08A6" w:rsidRDefault="005B54AC" w:rsidP="005B54AC">
      <w:pPr>
        <w:spacing w:line="240" w:lineRule="auto"/>
        <w:rPr>
          <w:szCs w:val="22"/>
          <w:lang w:val="lt-LT"/>
        </w:rPr>
      </w:pPr>
      <w:r w:rsidRPr="00EB08A6">
        <w:rPr>
          <w:szCs w:val="22"/>
          <w:highlight w:val="lightGray"/>
          <w:lang w:val="lt-LT"/>
        </w:rPr>
        <w:t>Daugiau informacijos pateikta pakuotės lapelyje.</w:t>
      </w:r>
    </w:p>
    <w:p w14:paraId="4EC95D59" w14:textId="77777777" w:rsidR="005B54AC" w:rsidRPr="00EB08A6" w:rsidRDefault="005B54AC" w:rsidP="005B54AC">
      <w:pPr>
        <w:spacing w:line="240" w:lineRule="auto"/>
        <w:rPr>
          <w:szCs w:val="22"/>
          <w:lang w:val="lt-LT"/>
        </w:rPr>
      </w:pPr>
    </w:p>
    <w:p w14:paraId="1E0F0FBA" w14:textId="77777777" w:rsidR="005B54AC" w:rsidRPr="00EB08A6" w:rsidRDefault="005B54AC" w:rsidP="005B54AC">
      <w:pPr>
        <w:tabs>
          <w:tab w:val="clear" w:pos="567"/>
        </w:tabs>
        <w:spacing w:line="240" w:lineRule="auto"/>
        <w:rPr>
          <w:szCs w:val="22"/>
          <w:lang w:val="lt-LT"/>
        </w:rPr>
      </w:pPr>
    </w:p>
    <w:p w14:paraId="42DB17BB"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4.</w:t>
      </w:r>
      <w:r w:rsidRPr="00EB08A6">
        <w:rPr>
          <w:b/>
          <w:szCs w:val="22"/>
          <w:lang w:val="lt-LT"/>
        </w:rPr>
        <w:tab/>
        <w:t>FARMACINĖ FORMA IR KIEKIS PAKUOTĖJE</w:t>
      </w:r>
    </w:p>
    <w:p w14:paraId="6A2A2D82" w14:textId="77777777" w:rsidR="005B54AC" w:rsidRPr="00EB08A6" w:rsidRDefault="005B54AC" w:rsidP="005B54AC">
      <w:pPr>
        <w:tabs>
          <w:tab w:val="clear" w:pos="567"/>
        </w:tabs>
        <w:spacing w:line="240" w:lineRule="auto"/>
        <w:rPr>
          <w:szCs w:val="22"/>
          <w:lang w:val="lt-LT"/>
        </w:rPr>
      </w:pPr>
    </w:p>
    <w:p w14:paraId="6F20C67D" w14:textId="77777777" w:rsidR="005B54AC" w:rsidRPr="00EB08A6" w:rsidRDefault="005B54AC" w:rsidP="005B54AC">
      <w:pPr>
        <w:spacing w:line="240" w:lineRule="auto"/>
        <w:rPr>
          <w:szCs w:val="22"/>
          <w:lang w:val="lt-LT"/>
        </w:rPr>
      </w:pPr>
      <w:r w:rsidRPr="00EB08A6">
        <w:rPr>
          <w:szCs w:val="22"/>
          <w:lang w:val="lt-LT"/>
        </w:rPr>
        <w:t xml:space="preserve">150 ml </w:t>
      </w:r>
      <w:r w:rsidRPr="00EB08A6">
        <w:rPr>
          <w:szCs w:val="22"/>
          <w:highlight w:val="lightGray"/>
          <w:lang w:val="lt-LT"/>
        </w:rPr>
        <w:t>geriamosios suspensijos</w:t>
      </w:r>
    </w:p>
    <w:p w14:paraId="576BA9B0" w14:textId="77777777" w:rsidR="005B54AC" w:rsidRPr="00EB08A6" w:rsidRDefault="005B54AC" w:rsidP="005B54AC">
      <w:pPr>
        <w:tabs>
          <w:tab w:val="clear" w:pos="567"/>
        </w:tabs>
        <w:spacing w:line="240" w:lineRule="auto"/>
        <w:rPr>
          <w:szCs w:val="22"/>
          <w:lang w:val="lt-LT"/>
        </w:rPr>
      </w:pPr>
    </w:p>
    <w:p w14:paraId="58599D94" w14:textId="77777777" w:rsidR="005B54AC" w:rsidRPr="00EB08A6" w:rsidRDefault="005B54AC" w:rsidP="005B54AC">
      <w:pPr>
        <w:tabs>
          <w:tab w:val="clear" w:pos="567"/>
        </w:tabs>
        <w:spacing w:line="240" w:lineRule="auto"/>
        <w:rPr>
          <w:szCs w:val="22"/>
          <w:lang w:val="lt-LT"/>
        </w:rPr>
      </w:pPr>
    </w:p>
    <w:p w14:paraId="00FF0C0A"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5.</w:t>
      </w:r>
      <w:r w:rsidRPr="00EB08A6">
        <w:rPr>
          <w:b/>
          <w:szCs w:val="22"/>
          <w:lang w:val="lt-LT"/>
        </w:rPr>
        <w:tab/>
        <w:t>VARTOJIMO METODAS IR BŪDAS (-AI)</w:t>
      </w:r>
    </w:p>
    <w:p w14:paraId="537D83DE" w14:textId="77777777" w:rsidR="005B54AC" w:rsidRPr="00EB08A6" w:rsidRDefault="005B54AC" w:rsidP="005B54AC">
      <w:pPr>
        <w:tabs>
          <w:tab w:val="clear" w:pos="567"/>
        </w:tabs>
        <w:spacing w:line="240" w:lineRule="auto"/>
        <w:rPr>
          <w:szCs w:val="22"/>
          <w:lang w:val="lt-LT"/>
        </w:rPr>
      </w:pPr>
    </w:p>
    <w:p w14:paraId="1138CA3F" w14:textId="77777777" w:rsidR="005B54AC" w:rsidRPr="00EB08A6" w:rsidRDefault="005B54AC" w:rsidP="005B54AC">
      <w:pPr>
        <w:tabs>
          <w:tab w:val="clear" w:pos="567"/>
        </w:tabs>
        <w:spacing w:line="240" w:lineRule="auto"/>
        <w:rPr>
          <w:szCs w:val="22"/>
          <w:lang w:val="lt-LT"/>
        </w:rPr>
      </w:pPr>
      <w:r w:rsidRPr="00EB08A6">
        <w:rPr>
          <w:szCs w:val="22"/>
          <w:lang w:val="lt-LT"/>
        </w:rPr>
        <w:t>Prieš vartojimą gerai suplakite.</w:t>
      </w:r>
    </w:p>
    <w:p w14:paraId="4AB395B9" w14:textId="77777777" w:rsidR="005B54AC" w:rsidRPr="00EB08A6" w:rsidRDefault="005B54AC" w:rsidP="005B54AC">
      <w:pPr>
        <w:tabs>
          <w:tab w:val="clear" w:pos="567"/>
        </w:tabs>
        <w:spacing w:line="240" w:lineRule="auto"/>
        <w:rPr>
          <w:szCs w:val="22"/>
          <w:lang w:val="lt-LT"/>
        </w:rPr>
      </w:pPr>
      <w:r w:rsidRPr="00EB08A6">
        <w:rPr>
          <w:szCs w:val="22"/>
          <w:lang w:val="lt-LT"/>
        </w:rPr>
        <w:t>Vartoti per burną.</w:t>
      </w:r>
    </w:p>
    <w:p w14:paraId="6683B4F1" w14:textId="77777777" w:rsidR="005B54AC" w:rsidRPr="00EB08A6" w:rsidRDefault="005B54AC" w:rsidP="005B54AC">
      <w:pPr>
        <w:tabs>
          <w:tab w:val="clear" w:pos="567"/>
        </w:tabs>
        <w:spacing w:line="240" w:lineRule="auto"/>
        <w:rPr>
          <w:szCs w:val="22"/>
          <w:lang w:val="lt-LT"/>
        </w:rPr>
      </w:pPr>
      <w:r w:rsidRPr="00EB08A6">
        <w:rPr>
          <w:szCs w:val="22"/>
          <w:lang w:val="lt-LT"/>
        </w:rPr>
        <w:t>Prieš vartojimą perskaitykite pakuotės lapelį.</w:t>
      </w:r>
    </w:p>
    <w:p w14:paraId="65C1807A" w14:textId="77777777" w:rsidR="005B54AC" w:rsidRPr="00EB08A6" w:rsidRDefault="005B54AC" w:rsidP="005B54AC">
      <w:pPr>
        <w:tabs>
          <w:tab w:val="clear" w:pos="567"/>
        </w:tabs>
        <w:spacing w:line="240" w:lineRule="auto"/>
        <w:rPr>
          <w:szCs w:val="22"/>
          <w:lang w:val="lt-LT"/>
        </w:rPr>
      </w:pPr>
    </w:p>
    <w:p w14:paraId="4B6ABCFC" w14:textId="77777777" w:rsidR="005B54AC" w:rsidRPr="00EB08A6" w:rsidRDefault="005B54AC" w:rsidP="005B54AC">
      <w:pPr>
        <w:tabs>
          <w:tab w:val="clear" w:pos="567"/>
        </w:tabs>
        <w:spacing w:line="240" w:lineRule="auto"/>
        <w:rPr>
          <w:szCs w:val="22"/>
          <w:lang w:val="lt-LT"/>
        </w:rPr>
      </w:pPr>
    </w:p>
    <w:p w14:paraId="58E0E244"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6.</w:t>
      </w:r>
      <w:r w:rsidRPr="00EB08A6">
        <w:rPr>
          <w:b/>
          <w:szCs w:val="22"/>
          <w:lang w:val="lt-LT"/>
        </w:rPr>
        <w:tab/>
        <w:t>SPECIALUS ĮSPĖJIMAS, KAD VAISTINĮ PREPARATĄ BŪTINA LAIKYTI VAIKAMS NEPASTEBIMOJE IR NEPASIEKIAMOJE VIETOJE</w:t>
      </w:r>
    </w:p>
    <w:p w14:paraId="465538EC" w14:textId="77777777" w:rsidR="005B54AC" w:rsidRPr="00EB08A6" w:rsidRDefault="005B54AC" w:rsidP="005B54AC">
      <w:pPr>
        <w:tabs>
          <w:tab w:val="clear" w:pos="567"/>
        </w:tabs>
        <w:spacing w:line="240" w:lineRule="auto"/>
        <w:rPr>
          <w:szCs w:val="22"/>
          <w:lang w:val="lt-LT"/>
        </w:rPr>
      </w:pPr>
    </w:p>
    <w:p w14:paraId="4E7596FE" w14:textId="77777777" w:rsidR="005B54AC" w:rsidRPr="00EB08A6" w:rsidRDefault="005B54AC" w:rsidP="005B54AC">
      <w:pPr>
        <w:tabs>
          <w:tab w:val="clear" w:pos="567"/>
        </w:tabs>
        <w:spacing w:line="240" w:lineRule="auto"/>
        <w:outlineLvl w:val="0"/>
        <w:rPr>
          <w:szCs w:val="22"/>
          <w:lang w:val="lt-LT"/>
        </w:rPr>
      </w:pPr>
      <w:r w:rsidRPr="00EB08A6">
        <w:rPr>
          <w:szCs w:val="22"/>
          <w:lang w:val="lt-LT"/>
        </w:rPr>
        <w:t>Laikyti vaikams nepastebimoje ir nepasiekiamoje vietoje.</w:t>
      </w:r>
    </w:p>
    <w:p w14:paraId="102E5F46" w14:textId="77777777" w:rsidR="005B54AC" w:rsidRPr="00EB08A6" w:rsidRDefault="005B54AC" w:rsidP="005B54AC">
      <w:pPr>
        <w:tabs>
          <w:tab w:val="clear" w:pos="567"/>
        </w:tabs>
        <w:spacing w:line="240" w:lineRule="auto"/>
        <w:rPr>
          <w:szCs w:val="22"/>
          <w:lang w:val="lt-LT"/>
        </w:rPr>
      </w:pPr>
    </w:p>
    <w:p w14:paraId="5E09C177" w14:textId="77777777" w:rsidR="005B54AC" w:rsidRPr="00EB08A6" w:rsidRDefault="005B54AC" w:rsidP="005B54AC">
      <w:pPr>
        <w:tabs>
          <w:tab w:val="clear" w:pos="567"/>
        </w:tabs>
        <w:spacing w:line="240" w:lineRule="auto"/>
        <w:rPr>
          <w:szCs w:val="22"/>
          <w:lang w:val="lt-LT"/>
        </w:rPr>
      </w:pPr>
    </w:p>
    <w:p w14:paraId="374FE58C"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7.</w:t>
      </w:r>
      <w:r w:rsidRPr="00EB08A6">
        <w:rPr>
          <w:b/>
          <w:szCs w:val="22"/>
          <w:lang w:val="lt-LT"/>
        </w:rPr>
        <w:tab/>
        <w:t>KITAS (-I) SPECIALUS (-ŪS) ĮSPĖJIMAS (-AI) (JEI REIKIA)</w:t>
      </w:r>
    </w:p>
    <w:p w14:paraId="0F25F43E" w14:textId="77777777" w:rsidR="005B54AC" w:rsidRPr="00EB08A6" w:rsidRDefault="005B54AC" w:rsidP="005B54AC">
      <w:pPr>
        <w:tabs>
          <w:tab w:val="clear" w:pos="567"/>
        </w:tabs>
        <w:spacing w:line="240" w:lineRule="auto"/>
        <w:rPr>
          <w:szCs w:val="22"/>
          <w:lang w:val="lt-LT"/>
        </w:rPr>
      </w:pPr>
    </w:p>
    <w:p w14:paraId="3E17B3D5" w14:textId="77777777" w:rsidR="005B54AC" w:rsidRPr="00EB08A6" w:rsidRDefault="005B54AC" w:rsidP="005B54AC">
      <w:pPr>
        <w:tabs>
          <w:tab w:val="clear" w:pos="567"/>
        </w:tabs>
        <w:spacing w:line="240" w:lineRule="auto"/>
        <w:rPr>
          <w:szCs w:val="22"/>
          <w:lang w:val="lt-LT"/>
        </w:rPr>
      </w:pPr>
    </w:p>
    <w:p w14:paraId="2E5ACCE5" w14:textId="77777777" w:rsidR="005B54AC" w:rsidRPr="00EB08A6" w:rsidRDefault="005B54AC" w:rsidP="005B54A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8.</w:t>
      </w:r>
      <w:r w:rsidRPr="00EB08A6">
        <w:rPr>
          <w:b/>
          <w:szCs w:val="22"/>
          <w:lang w:val="lt-LT"/>
        </w:rPr>
        <w:tab/>
        <w:t>TINKAMUMO LAIKAS</w:t>
      </w:r>
    </w:p>
    <w:p w14:paraId="6C7330D9" w14:textId="77777777" w:rsidR="005B54AC" w:rsidRPr="00EB08A6" w:rsidRDefault="005B54AC" w:rsidP="005B54AC">
      <w:pPr>
        <w:keepNext/>
        <w:tabs>
          <w:tab w:val="clear" w:pos="567"/>
        </w:tabs>
        <w:spacing w:line="240" w:lineRule="auto"/>
        <w:rPr>
          <w:szCs w:val="22"/>
          <w:lang w:val="lt-LT"/>
        </w:rPr>
      </w:pPr>
    </w:p>
    <w:p w14:paraId="1A25F5DC" w14:textId="77777777" w:rsidR="005B54AC" w:rsidRPr="00EB08A6" w:rsidRDefault="005B54AC" w:rsidP="005B54AC">
      <w:pPr>
        <w:keepNext/>
        <w:spacing w:line="240" w:lineRule="auto"/>
        <w:rPr>
          <w:szCs w:val="22"/>
          <w:lang w:val="lt-LT"/>
        </w:rPr>
      </w:pPr>
      <w:r w:rsidRPr="00EB08A6">
        <w:rPr>
          <w:szCs w:val="22"/>
          <w:lang w:val="lt-LT"/>
        </w:rPr>
        <w:t>Tinka iki {mm MMMM}</w:t>
      </w:r>
    </w:p>
    <w:p w14:paraId="3D55CAAB" w14:textId="77777777" w:rsidR="005B54AC" w:rsidRPr="00EB08A6" w:rsidRDefault="005B54AC" w:rsidP="005B54AC">
      <w:pPr>
        <w:tabs>
          <w:tab w:val="clear" w:pos="567"/>
        </w:tabs>
        <w:spacing w:line="240" w:lineRule="auto"/>
        <w:rPr>
          <w:szCs w:val="22"/>
          <w:lang w:val="lt-LT"/>
        </w:rPr>
      </w:pPr>
      <w:r w:rsidRPr="00EB08A6">
        <w:rPr>
          <w:szCs w:val="22"/>
          <w:lang w:val="lt-LT"/>
        </w:rPr>
        <w:t>Pirmą kartą atidarius buteliuką, suspensijos tinkamumo laikas yra 28 dienos.</w:t>
      </w:r>
    </w:p>
    <w:p w14:paraId="1F4CE27B" w14:textId="77777777" w:rsidR="005B54AC" w:rsidRPr="00EB08A6" w:rsidRDefault="005B54AC" w:rsidP="005B54AC">
      <w:pPr>
        <w:spacing w:line="240" w:lineRule="auto"/>
        <w:rPr>
          <w:szCs w:val="22"/>
          <w:lang w:val="lt-LT"/>
        </w:rPr>
      </w:pPr>
    </w:p>
    <w:p w14:paraId="639952C9" w14:textId="77777777" w:rsidR="005B54AC" w:rsidRPr="00EB08A6" w:rsidRDefault="005B54AC" w:rsidP="005B54AC">
      <w:pPr>
        <w:tabs>
          <w:tab w:val="clear" w:pos="567"/>
        </w:tabs>
        <w:spacing w:line="240" w:lineRule="auto"/>
        <w:rPr>
          <w:szCs w:val="22"/>
          <w:lang w:val="lt-LT"/>
        </w:rPr>
      </w:pPr>
    </w:p>
    <w:p w14:paraId="0C09DB83"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8A6">
        <w:rPr>
          <w:b/>
          <w:szCs w:val="22"/>
          <w:lang w:val="lt-LT"/>
        </w:rPr>
        <w:t>9.</w:t>
      </w:r>
      <w:r w:rsidRPr="00EB08A6">
        <w:rPr>
          <w:b/>
          <w:szCs w:val="22"/>
          <w:lang w:val="lt-LT"/>
        </w:rPr>
        <w:tab/>
        <w:t>SPECIALIOS LAIKYMO SĄLYGOS</w:t>
      </w:r>
    </w:p>
    <w:p w14:paraId="7136F90B" w14:textId="77777777" w:rsidR="005B54AC" w:rsidRPr="00EB08A6" w:rsidRDefault="005B54AC" w:rsidP="005B54AC">
      <w:pPr>
        <w:spacing w:line="240" w:lineRule="auto"/>
        <w:rPr>
          <w:szCs w:val="22"/>
          <w:lang w:val="lt-LT"/>
        </w:rPr>
      </w:pPr>
    </w:p>
    <w:p w14:paraId="64FD0DA2" w14:textId="77777777" w:rsidR="005B54AC" w:rsidRPr="00EB08A6" w:rsidRDefault="005B54AC" w:rsidP="005B54AC">
      <w:pPr>
        <w:tabs>
          <w:tab w:val="clear" w:pos="567"/>
        </w:tabs>
        <w:spacing w:line="240" w:lineRule="auto"/>
        <w:rPr>
          <w:szCs w:val="22"/>
          <w:lang w:val="lt-LT"/>
        </w:rPr>
      </w:pPr>
      <w:r w:rsidRPr="00EB08A6">
        <w:rPr>
          <w:szCs w:val="22"/>
          <w:lang w:val="lt-LT"/>
        </w:rPr>
        <w:t xml:space="preserve">Laikyti gamintojo buteliuke, kad </w:t>
      </w:r>
      <w:r w:rsidR="00FD2045" w:rsidRPr="00EB08A6">
        <w:rPr>
          <w:szCs w:val="22"/>
          <w:lang w:val="lt-LT"/>
        </w:rPr>
        <w:t>vaistas</w:t>
      </w:r>
      <w:r w:rsidRPr="00EB08A6">
        <w:rPr>
          <w:szCs w:val="22"/>
          <w:lang w:val="lt-LT"/>
        </w:rPr>
        <w:t xml:space="preserve"> būtų apsaugotas nuo šviesos.</w:t>
      </w:r>
    </w:p>
    <w:p w14:paraId="5B00FCC1"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lastRenderedPageBreak/>
        <w:t>10.</w:t>
      </w:r>
      <w:r w:rsidRPr="00EB08A6">
        <w:rPr>
          <w:b/>
          <w:szCs w:val="22"/>
          <w:lang w:val="lt-LT"/>
        </w:rPr>
        <w:tab/>
        <w:t>SPECIALIOS ATSARGUMO PRIEMONĖS DĖL NESUVARTOTO VAISTINIO PREPARATO AR JO ATLIEKŲ TVARKYMO (JEI REIKIA)</w:t>
      </w:r>
    </w:p>
    <w:p w14:paraId="4FED7073" w14:textId="77777777" w:rsidR="005B54AC" w:rsidRPr="00EB08A6" w:rsidRDefault="005B54AC" w:rsidP="005B54AC">
      <w:pPr>
        <w:tabs>
          <w:tab w:val="clear" w:pos="567"/>
        </w:tabs>
        <w:spacing w:line="240" w:lineRule="auto"/>
        <w:rPr>
          <w:szCs w:val="22"/>
          <w:lang w:val="lt-LT"/>
        </w:rPr>
      </w:pPr>
    </w:p>
    <w:p w14:paraId="62FFBAAD" w14:textId="77777777" w:rsidR="005B54AC" w:rsidRPr="00EB08A6" w:rsidRDefault="005B54AC" w:rsidP="005B54AC">
      <w:pPr>
        <w:tabs>
          <w:tab w:val="clear" w:pos="567"/>
        </w:tabs>
        <w:spacing w:line="240" w:lineRule="auto"/>
        <w:rPr>
          <w:szCs w:val="22"/>
          <w:lang w:val="lt-LT"/>
        </w:rPr>
      </w:pPr>
    </w:p>
    <w:p w14:paraId="07A962F5"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11.</w:t>
      </w:r>
      <w:r w:rsidRPr="00EB08A6">
        <w:rPr>
          <w:b/>
          <w:szCs w:val="22"/>
          <w:lang w:val="lt-LT"/>
        </w:rPr>
        <w:tab/>
        <w:t>REGISTRUOTOJO PAVADINIMAS IR ADRESAS</w:t>
      </w:r>
    </w:p>
    <w:p w14:paraId="0845F7E5" w14:textId="77777777" w:rsidR="005B54AC" w:rsidRPr="00EB08A6" w:rsidRDefault="005B54AC" w:rsidP="005B54AC">
      <w:pPr>
        <w:tabs>
          <w:tab w:val="clear" w:pos="567"/>
        </w:tabs>
        <w:spacing w:line="240" w:lineRule="auto"/>
        <w:rPr>
          <w:szCs w:val="22"/>
          <w:lang w:val="lt-LT"/>
        </w:rPr>
      </w:pPr>
    </w:p>
    <w:p w14:paraId="7F43CA14" w14:textId="77777777" w:rsidR="0057211C" w:rsidRPr="00EB08A6" w:rsidRDefault="0057211C" w:rsidP="0057211C">
      <w:pPr>
        <w:spacing w:line="240" w:lineRule="auto"/>
        <w:rPr>
          <w:szCs w:val="22"/>
          <w:lang w:val="lt-LT"/>
        </w:rPr>
      </w:pPr>
      <w:proofErr w:type="spellStart"/>
      <w:r w:rsidRPr="00EB08A6">
        <w:rPr>
          <w:szCs w:val="22"/>
          <w:lang w:val="lt-LT"/>
        </w:rPr>
        <w:t>Astellas</w:t>
      </w:r>
      <w:proofErr w:type="spellEnd"/>
      <w:r w:rsidRPr="00EB08A6">
        <w:rPr>
          <w:szCs w:val="22"/>
          <w:lang w:val="lt-LT"/>
        </w:rPr>
        <w:t xml:space="preserve"> </w:t>
      </w:r>
      <w:proofErr w:type="spellStart"/>
      <w:r w:rsidRPr="00EB08A6">
        <w:rPr>
          <w:szCs w:val="22"/>
          <w:lang w:val="lt-LT"/>
        </w:rPr>
        <w:t>Pharma</w:t>
      </w:r>
      <w:proofErr w:type="spellEnd"/>
      <w:r w:rsidRPr="00EB08A6">
        <w:rPr>
          <w:szCs w:val="22"/>
          <w:lang w:val="lt-LT"/>
        </w:rPr>
        <w:t xml:space="preserve"> </w:t>
      </w:r>
      <w:proofErr w:type="spellStart"/>
      <w:r w:rsidRPr="00EB08A6">
        <w:rPr>
          <w:szCs w:val="22"/>
          <w:lang w:val="lt-LT"/>
        </w:rPr>
        <w:t>d.o.o</w:t>
      </w:r>
      <w:proofErr w:type="spellEnd"/>
      <w:r w:rsidRPr="00EB08A6">
        <w:rPr>
          <w:szCs w:val="22"/>
          <w:lang w:val="lt-LT"/>
        </w:rPr>
        <w:t xml:space="preserve">. </w:t>
      </w:r>
    </w:p>
    <w:p w14:paraId="66AC62D1" w14:textId="77777777" w:rsidR="0057211C" w:rsidRPr="00EB08A6" w:rsidRDefault="0057211C" w:rsidP="0057211C">
      <w:pPr>
        <w:spacing w:line="240" w:lineRule="auto"/>
        <w:rPr>
          <w:szCs w:val="22"/>
          <w:lang w:val="lt-LT"/>
        </w:rPr>
      </w:pPr>
      <w:proofErr w:type="spellStart"/>
      <w:r w:rsidRPr="00EB08A6">
        <w:rPr>
          <w:szCs w:val="22"/>
          <w:lang w:val="lt-LT"/>
        </w:rPr>
        <w:t>Šmartinska</w:t>
      </w:r>
      <w:proofErr w:type="spellEnd"/>
      <w:r w:rsidRPr="00EB08A6">
        <w:rPr>
          <w:szCs w:val="22"/>
          <w:lang w:val="lt-LT"/>
        </w:rPr>
        <w:t xml:space="preserve"> </w:t>
      </w:r>
      <w:proofErr w:type="spellStart"/>
      <w:r w:rsidRPr="00EB08A6">
        <w:rPr>
          <w:szCs w:val="22"/>
          <w:lang w:val="lt-LT"/>
        </w:rPr>
        <w:t>cesta</w:t>
      </w:r>
      <w:proofErr w:type="spellEnd"/>
      <w:r w:rsidRPr="00EB08A6">
        <w:rPr>
          <w:szCs w:val="22"/>
          <w:lang w:val="lt-LT"/>
        </w:rPr>
        <w:t xml:space="preserve"> 53 </w:t>
      </w:r>
    </w:p>
    <w:p w14:paraId="7E57C802" w14:textId="77777777" w:rsidR="0057211C" w:rsidRPr="00EB08A6" w:rsidRDefault="0057211C" w:rsidP="0057211C">
      <w:pPr>
        <w:spacing w:line="240" w:lineRule="auto"/>
        <w:rPr>
          <w:szCs w:val="22"/>
          <w:lang w:val="lt-LT"/>
        </w:rPr>
      </w:pPr>
      <w:r w:rsidRPr="00EB08A6">
        <w:rPr>
          <w:szCs w:val="22"/>
          <w:lang w:val="lt-LT"/>
        </w:rPr>
        <w:t xml:space="preserve">1000 </w:t>
      </w:r>
      <w:proofErr w:type="spellStart"/>
      <w:r w:rsidRPr="00EB08A6">
        <w:rPr>
          <w:szCs w:val="22"/>
          <w:lang w:val="lt-LT"/>
        </w:rPr>
        <w:t>Ljubljana</w:t>
      </w:r>
      <w:proofErr w:type="spellEnd"/>
      <w:r w:rsidRPr="00EB08A6">
        <w:rPr>
          <w:szCs w:val="22"/>
          <w:lang w:val="lt-LT"/>
        </w:rPr>
        <w:t xml:space="preserve"> </w:t>
      </w:r>
    </w:p>
    <w:p w14:paraId="08A0FE00" w14:textId="77777777" w:rsidR="0057211C" w:rsidRPr="00EB08A6" w:rsidRDefault="0057211C" w:rsidP="0057211C">
      <w:pPr>
        <w:spacing w:line="240" w:lineRule="auto"/>
        <w:rPr>
          <w:szCs w:val="22"/>
          <w:lang w:val="lt-LT"/>
        </w:rPr>
      </w:pPr>
      <w:r w:rsidRPr="00EB08A6">
        <w:rPr>
          <w:szCs w:val="22"/>
          <w:lang w:val="lt-LT"/>
        </w:rPr>
        <w:t>Slovėnija</w:t>
      </w:r>
    </w:p>
    <w:p w14:paraId="233CF07D" w14:textId="77777777" w:rsidR="005B54AC" w:rsidRPr="00EB08A6" w:rsidRDefault="005B54AC" w:rsidP="005B54AC">
      <w:pPr>
        <w:tabs>
          <w:tab w:val="clear" w:pos="567"/>
        </w:tabs>
        <w:spacing w:line="240" w:lineRule="auto"/>
        <w:rPr>
          <w:szCs w:val="22"/>
          <w:lang w:val="lt-LT"/>
        </w:rPr>
      </w:pPr>
    </w:p>
    <w:p w14:paraId="73E29E82" w14:textId="77777777" w:rsidR="005B54AC" w:rsidRPr="00EB08A6" w:rsidRDefault="005B54AC" w:rsidP="005B54AC">
      <w:pPr>
        <w:tabs>
          <w:tab w:val="clear" w:pos="567"/>
        </w:tabs>
        <w:spacing w:line="240" w:lineRule="auto"/>
        <w:rPr>
          <w:szCs w:val="22"/>
          <w:lang w:val="lt-LT"/>
        </w:rPr>
      </w:pPr>
    </w:p>
    <w:p w14:paraId="57E7DCC8"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12.</w:t>
      </w:r>
      <w:r w:rsidRPr="00EB08A6">
        <w:rPr>
          <w:b/>
          <w:szCs w:val="22"/>
          <w:lang w:val="lt-LT"/>
        </w:rPr>
        <w:tab/>
        <w:t xml:space="preserve">REGISTRACIJOS PAŽYMĖJIMO NUMERIS (-IAI) </w:t>
      </w:r>
    </w:p>
    <w:p w14:paraId="750DD2B9" w14:textId="77777777" w:rsidR="005B54AC" w:rsidRPr="00EB08A6" w:rsidRDefault="005B54AC" w:rsidP="005B54AC">
      <w:pPr>
        <w:tabs>
          <w:tab w:val="clear" w:pos="567"/>
        </w:tabs>
        <w:spacing w:line="240" w:lineRule="auto"/>
        <w:rPr>
          <w:szCs w:val="22"/>
          <w:lang w:val="lt-LT"/>
        </w:rPr>
      </w:pPr>
    </w:p>
    <w:p w14:paraId="2E59FCE4" w14:textId="77777777" w:rsidR="005B54AC" w:rsidRPr="00EB08A6" w:rsidRDefault="005B54AC" w:rsidP="005B54AC">
      <w:pPr>
        <w:spacing w:line="240" w:lineRule="auto"/>
        <w:rPr>
          <w:szCs w:val="22"/>
          <w:lang w:val="lt-LT"/>
        </w:rPr>
      </w:pPr>
      <w:r w:rsidRPr="00EB08A6">
        <w:rPr>
          <w:szCs w:val="22"/>
          <w:lang w:val="lt-LT"/>
        </w:rPr>
        <w:t>LT/1/05/0465/021</w:t>
      </w:r>
    </w:p>
    <w:p w14:paraId="4D479011" w14:textId="77777777" w:rsidR="005B54AC" w:rsidRPr="00EB08A6" w:rsidRDefault="005B54AC" w:rsidP="005B54AC">
      <w:pPr>
        <w:tabs>
          <w:tab w:val="clear" w:pos="567"/>
        </w:tabs>
        <w:spacing w:line="240" w:lineRule="auto"/>
        <w:rPr>
          <w:szCs w:val="22"/>
          <w:lang w:val="lt-LT"/>
        </w:rPr>
      </w:pPr>
    </w:p>
    <w:p w14:paraId="4D6EC2D4" w14:textId="77777777" w:rsidR="005B54AC" w:rsidRPr="00EB08A6" w:rsidRDefault="005B54AC" w:rsidP="005B54AC">
      <w:pPr>
        <w:tabs>
          <w:tab w:val="clear" w:pos="567"/>
        </w:tabs>
        <w:spacing w:line="240" w:lineRule="auto"/>
        <w:rPr>
          <w:szCs w:val="22"/>
          <w:lang w:val="lt-LT"/>
        </w:rPr>
      </w:pPr>
    </w:p>
    <w:p w14:paraId="2D351303"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13.</w:t>
      </w:r>
      <w:r w:rsidRPr="00EB08A6">
        <w:rPr>
          <w:b/>
          <w:szCs w:val="22"/>
          <w:lang w:val="lt-LT"/>
        </w:rPr>
        <w:tab/>
        <w:t>SERIJOS NUMERIS</w:t>
      </w:r>
    </w:p>
    <w:p w14:paraId="68272551" w14:textId="77777777" w:rsidR="005B54AC" w:rsidRPr="00EB08A6" w:rsidRDefault="005B54AC" w:rsidP="005B54AC">
      <w:pPr>
        <w:tabs>
          <w:tab w:val="clear" w:pos="567"/>
        </w:tabs>
        <w:spacing w:line="240" w:lineRule="auto"/>
        <w:rPr>
          <w:szCs w:val="22"/>
          <w:lang w:val="lt-LT"/>
        </w:rPr>
      </w:pPr>
    </w:p>
    <w:p w14:paraId="40CF7C5A" w14:textId="77777777" w:rsidR="005B54AC" w:rsidRPr="00EB08A6" w:rsidRDefault="005B54AC" w:rsidP="005B54AC">
      <w:pPr>
        <w:tabs>
          <w:tab w:val="clear" w:pos="567"/>
        </w:tabs>
        <w:spacing w:line="240" w:lineRule="auto"/>
        <w:rPr>
          <w:szCs w:val="22"/>
          <w:lang w:val="lt-LT"/>
        </w:rPr>
      </w:pPr>
      <w:r w:rsidRPr="00EB08A6">
        <w:rPr>
          <w:szCs w:val="22"/>
          <w:lang w:val="lt-LT"/>
        </w:rPr>
        <w:t>Serija</w:t>
      </w:r>
    </w:p>
    <w:p w14:paraId="72E2600F" w14:textId="77777777" w:rsidR="005B54AC" w:rsidRPr="00EB08A6" w:rsidRDefault="005B54AC" w:rsidP="005B54AC">
      <w:pPr>
        <w:tabs>
          <w:tab w:val="clear" w:pos="567"/>
        </w:tabs>
        <w:spacing w:line="240" w:lineRule="auto"/>
        <w:rPr>
          <w:szCs w:val="22"/>
          <w:lang w:val="lt-LT"/>
        </w:rPr>
      </w:pPr>
    </w:p>
    <w:p w14:paraId="718C17B5" w14:textId="77777777" w:rsidR="005B54AC" w:rsidRPr="00EB08A6" w:rsidRDefault="005B54AC" w:rsidP="005B54AC">
      <w:pPr>
        <w:tabs>
          <w:tab w:val="clear" w:pos="567"/>
        </w:tabs>
        <w:spacing w:line="240" w:lineRule="auto"/>
        <w:rPr>
          <w:szCs w:val="22"/>
          <w:lang w:val="lt-LT"/>
        </w:rPr>
      </w:pPr>
    </w:p>
    <w:p w14:paraId="26766920"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14.</w:t>
      </w:r>
      <w:r w:rsidRPr="00EB08A6">
        <w:rPr>
          <w:b/>
          <w:szCs w:val="22"/>
          <w:lang w:val="lt-LT"/>
        </w:rPr>
        <w:tab/>
        <w:t>PARDAVIMO (IŠDAVIMO) TVARKA</w:t>
      </w:r>
    </w:p>
    <w:p w14:paraId="27ABB988" w14:textId="77777777" w:rsidR="005B54AC" w:rsidRPr="00EB08A6" w:rsidRDefault="005B54AC" w:rsidP="005B54AC">
      <w:pPr>
        <w:tabs>
          <w:tab w:val="clear" w:pos="567"/>
        </w:tabs>
        <w:spacing w:line="240" w:lineRule="auto"/>
        <w:rPr>
          <w:szCs w:val="22"/>
          <w:lang w:val="lt-LT"/>
        </w:rPr>
      </w:pPr>
    </w:p>
    <w:p w14:paraId="01F96622" w14:textId="77777777" w:rsidR="005B54AC" w:rsidRPr="00EB08A6" w:rsidRDefault="005B54AC" w:rsidP="005B54AC">
      <w:pPr>
        <w:tabs>
          <w:tab w:val="clear" w:pos="567"/>
        </w:tabs>
        <w:spacing w:line="240" w:lineRule="auto"/>
        <w:rPr>
          <w:szCs w:val="22"/>
          <w:lang w:val="lt-LT"/>
        </w:rPr>
      </w:pPr>
      <w:r w:rsidRPr="00EB08A6">
        <w:rPr>
          <w:szCs w:val="22"/>
          <w:lang w:val="lt-LT"/>
        </w:rPr>
        <w:t>Receptinis vaist</w:t>
      </w:r>
      <w:r w:rsidR="00FD2045" w:rsidRPr="00EB08A6">
        <w:rPr>
          <w:szCs w:val="22"/>
          <w:lang w:val="lt-LT"/>
        </w:rPr>
        <w:t>as</w:t>
      </w:r>
    </w:p>
    <w:p w14:paraId="57CFE404" w14:textId="77777777" w:rsidR="005B54AC" w:rsidRPr="00EB08A6" w:rsidRDefault="005B54AC" w:rsidP="005B54AC">
      <w:pPr>
        <w:tabs>
          <w:tab w:val="clear" w:pos="567"/>
        </w:tabs>
        <w:spacing w:line="240" w:lineRule="auto"/>
        <w:rPr>
          <w:szCs w:val="22"/>
          <w:lang w:val="lt-LT"/>
        </w:rPr>
      </w:pPr>
    </w:p>
    <w:p w14:paraId="5D6B5A1A" w14:textId="77777777" w:rsidR="005B54AC" w:rsidRPr="00EB08A6" w:rsidRDefault="005B54AC" w:rsidP="005B54AC">
      <w:pPr>
        <w:tabs>
          <w:tab w:val="clear" w:pos="567"/>
        </w:tabs>
        <w:spacing w:line="240" w:lineRule="auto"/>
        <w:rPr>
          <w:szCs w:val="22"/>
          <w:lang w:val="lt-LT"/>
        </w:rPr>
      </w:pPr>
    </w:p>
    <w:p w14:paraId="7A6C7075"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15.</w:t>
      </w:r>
      <w:r w:rsidRPr="00EB08A6">
        <w:rPr>
          <w:b/>
          <w:szCs w:val="22"/>
          <w:lang w:val="lt-LT"/>
        </w:rPr>
        <w:tab/>
        <w:t>VARTOJIMO INSTRUKCIJA</w:t>
      </w:r>
    </w:p>
    <w:p w14:paraId="2D23309E" w14:textId="77777777" w:rsidR="005B54AC" w:rsidRPr="00EB08A6" w:rsidRDefault="005B54AC" w:rsidP="005B54AC">
      <w:pPr>
        <w:tabs>
          <w:tab w:val="clear" w:pos="567"/>
        </w:tabs>
        <w:spacing w:line="240" w:lineRule="auto"/>
        <w:rPr>
          <w:szCs w:val="22"/>
          <w:lang w:val="lt-LT"/>
        </w:rPr>
      </w:pPr>
    </w:p>
    <w:p w14:paraId="3A0CD778" w14:textId="77777777" w:rsidR="0033798E" w:rsidRPr="00EB08A6" w:rsidRDefault="0033798E" w:rsidP="005B54AC">
      <w:pPr>
        <w:tabs>
          <w:tab w:val="clear" w:pos="567"/>
        </w:tabs>
        <w:spacing w:line="240" w:lineRule="auto"/>
        <w:rPr>
          <w:szCs w:val="22"/>
          <w:lang w:val="lt-LT"/>
        </w:rPr>
      </w:pPr>
      <w:r w:rsidRPr="00EB08A6">
        <w:rPr>
          <w:szCs w:val="22"/>
          <w:lang w:val="lt-LT"/>
        </w:rPr>
        <w:t>Atidarymo data: ___________</w:t>
      </w:r>
    </w:p>
    <w:p w14:paraId="19B2E7AB" w14:textId="77777777" w:rsidR="005B54AC" w:rsidRPr="00EB08A6" w:rsidRDefault="005B54AC" w:rsidP="005B54AC">
      <w:pPr>
        <w:tabs>
          <w:tab w:val="clear" w:pos="567"/>
        </w:tabs>
        <w:spacing w:line="240" w:lineRule="auto"/>
        <w:rPr>
          <w:szCs w:val="22"/>
          <w:lang w:val="lt-LT"/>
        </w:rPr>
      </w:pPr>
    </w:p>
    <w:p w14:paraId="7F6E5320" w14:textId="77777777" w:rsidR="00AA0523" w:rsidRPr="00EB08A6" w:rsidRDefault="00AA0523" w:rsidP="005B54AC">
      <w:pPr>
        <w:tabs>
          <w:tab w:val="clear" w:pos="567"/>
        </w:tabs>
        <w:spacing w:line="240" w:lineRule="auto"/>
        <w:rPr>
          <w:szCs w:val="22"/>
          <w:lang w:val="lt-LT"/>
        </w:rPr>
      </w:pPr>
    </w:p>
    <w:p w14:paraId="4677E1D2" w14:textId="77777777" w:rsidR="005B54AC" w:rsidRPr="00EB08A6" w:rsidRDefault="005B54AC" w:rsidP="005B54A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EB08A6">
        <w:rPr>
          <w:b/>
          <w:szCs w:val="22"/>
          <w:lang w:val="lt-LT"/>
        </w:rPr>
        <w:t>16.</w:t>
      </w:r>
      <w:r w:rsidRPr="00EB08A6">
        <w:rPr>
          <w:b/>
          <w:szCs w:val="22"/>
          <w:lang w:val="lt-LT"/>
        </w:rPr>
        <w:tab/>
        <w:t>INFORMACIJA BRAILIO RAŠTU</w:t>
      </w:r>
    </w:p>
    <w:p w14:paraId="001EFE0C" w14:textId="77777777" w:rsidR="005B54AC" w:rsidRPr="00EB08A6" w:rsidRDefault="005B54AC" w:rsidP="005B54AC">
      <w:pPr>
        <w:tabs>
          <w:tab w:val="clear" w:pos="567"/>
        </w:tabs>
        <w:spacing w:line="240" w:lineRule="auto"/>
        <w:rPr>
          <w:szCs w:val="22"/>
          <w:lang w:val="lt-LT"/>
        </w:rPr>
      </w:pPr>
    </w:p>
    <w:p w14:paraId="4004D426" w14:textId="77777777" w:rsidR="005B54AC" w:rsidRPr="00EB08A6" w:rsidRDefault="005B54AC" w:rsidP="005B54AC">
      <w:pPr>
        <w:tabs>
          <w:tab w:val="clear" w:pos="567"/>
        </w:tabs>
        <w:spacing w:line="240" w:lineRule="auto"/>
        <w:rPr>
          <w:szCs w:val="22"/>
          <w:lang w:val="lt-LT"/>
        </w:rPr>
      </w:pPr>
    </w:p>
    <w:p w14:paraId="144B7BB8" w14:textId="77777777" w:rsidR="005B54AC" w:rsidRPr="00EB08A6" w:rsidRDefault="005B54AC" w:rsidP="005B54AC">
      <w:pPr>
        <w:tabs>
          <w:tab w:val="clear" w:pos="567"/>
        </w:tabs>
        <w:spacing w:line="240" w:lineRule="auto"/>
        <w:rPr>
          <w:szCs w:val="22"/>
          <w:lang w:val="lt-LT"/>
        </w:rPr>
      </w:pPr>
    </w:p>
    <w:p w14:paraId="2ED5EF67" w14:textId="77777777" w:rsidR="005B54AC" w:rsidRPr="00EB08A6" w:rsidRDefault="005B54AC" w:rsidP="005B54AC">
      <w:pPr>
        <w:spacing w:line="240" w:lineRule="auto"/>
        <w:rPr>
          <w:szCs w:val="22"/>
          <w:lang w:val="lt-LT"/>
        </w:rPr>
      </w:pPr>
      <w:r w:rsidRPr="00EB08A6">
        <w:rPr>
          <w:szCs w:val="22"/>
          <w:lang w:val="lt-LT"/>
        </w:rPr>
        <w:br w:type="page"/>
      </w:r>
    </w:p>
    <w:p w14:paraId="604E06AD" w14:textId="77777777" w:rsidR="005B54AC" w:rsidRPr="00EB08A6" w:rsidRDefault="005B54AC" w:rsidP="005B54AC">
      <w:pPr>
        <w:tabs>
          <w:tab w:val="clear" w:pos="567"/>
        </w:tabs>
        <w:spacing w:line="240" w:lineRule="auto"/>
        <w:jc w:val="center"/>
        <w:rPr>
          <w:szCs w:val="22"/>
          <w:lang w:val="lt-LT"/>
        </w:rPr>
      </w:pPr>
    </w:p>
    <w:p w14:paraId="2C6306E5" w14:textId="77777777" w:rsidR="005B54AC" w:rsidRPr="00EB08A6" w:rsidRDefault="005B54AC" w:rsidP="005B54AC">
      <w:pPr>
        <w:tabs>
          <w:tab w:val="clear" w:pos="567"/>
        </w:tabs>
        <w:spacing w:line="240" w:lineRule="auto"/>
        <w:jc w:val="center"/>
        <w:rPr>
          <w:szCs w:val="22"/>
          <w:lang w:val="lt-LT"/>
        </w:rPr>
      </w:pPr>
    </w:p>
    <w:p w14:paraId="6E0C562E" w14:textId="77777777" w:rsidR="005B54AC" w:rsidRPr="00EB08A6" w:rsidRDefault="005B54AC" w:rsidP="005B54AC">
      <w:pPr>
        <w:tabs>
          <w:tab w:val="clear" w:pos="567"/>
        </w:tabs>
        <w:spacing w:line="240" w:lineRule="auto"/>
        <w:jc w:val="center"/>
        <w:rPr>
          <w:szCs w:val="22"/>
          <w:lang w:val="lt-LT"/>
        </w:rPr>
      </w:pPr>
    </w:p>
    <w:p w14:paraId="6A531E7D" w14:textId="77777777" w:rsidR="005B54AC" w:rsidRPr="00EB08A6" w:rsidRDefault="005B54AC" w:rsidP="005B54AC">
      <w:pPr>
        <w:tabs>
          <w:tab w:val="clear" w:pos="567"/>
        </w:tabs>
        <w:spacing w:line="240" w:lineRule="auto"/>
        <w:jc w:val="center"/>
        <w:rPr>
          <w:szCs w:val="22"/>
          <w:lang w:val="lt-LT"/>
        </w:rPr>
      </w:pPr>
    </w:p>
    <w:p w14:paraId="11C5A450" w14:textId="77777777" w:rsidR="005B54AC" w:rsidRPr="00EB08A6" w:rsidRDefault="005B54AC" w:rsidP="005B54AC">
      <w:pPr>
        <w:tabs>
          <w:tab w:val="clear" w:pos="567"/>
        </w:tabs>
        <w:spacing w:line="240" w:lineRule="auto"/>
        <w:jc w:val="center"/>
        <w:rPr>
          <w:szCs w:val="22"/>
          <w:lang w:val="lt-LT"/>
        </w:rPr>
      </w:pPr>
    </w:p>
    <w:p w14:paraId="663D510D" w14:textId="77777777" w:rsidR="005B54AC" w:rsidRPr="00EB08A6" w:rsidRDefault="005B54AC" w:rsidP="005B54AC">
      <w:pPr>
        <w:tabs>
          <w:tab w:val="clear" w:pos="567"/>
        </w:tabs>
        <w:spacing w:line="240" w:lineRule="auto"/>
        <w:jc w:val="center"/>
        <w:rPr>
          <w:szCs w:val="22"/>
          <w:lang w:val="lt-LT"/>
        </w:rPr>
      </w:pPr>
    </w:p>
    <w:p w14:paraId="595B3E35" w14:textId="77777777" w:rsidR="005B54AC" w:rsidRPr="00EB08A6" w:rsidRDefault="005B54AC" w:rsidP="005B54AC">
      <w:pPr>
        <w:tabs>
          <w:tab w:val="clear" w:pos="567"/>
        </w:tabs>
        <w:spacing w:line="240" w:lineRule="auto"/>
        <w:jc w:val="center"/>
        <w:rPr>
          <w:szCs w:val="22"/>
          <w:lang w:val="lt-LT"/>
        </w:rPr>
      </w:pPr>
    </w:p>
    <w:p w14:paraId="1C6E52F8" w14:textId="77777777" w:rsidR="005B54AC" w:rsidRPr="00EB08A6" w:rsidRDefault="005B54AC" w:rsidP="005B54AC">
      <w:pPr>
        <w:tabs>
          <w:tab w:val="clear" w:pos="567"/>
        </w:tabs>
        <w:spacing w:line="240" w:lineRule="auto"/>
        <w:jc w:val="center"/>
        <w:rPr>
          <w:szCs w:val="22"/>
          <w:lang w:val="lt-LT"/>
        </w:rPr>
      </w:pPr>
    </w:p>
    <w:p w14:paraId="4F71B428" w14:textId="77777777" w:rsidR="005B54AC" w:rsidRPr="00EB08A6" w:rsidRDefault="005B54AC" w:rsidP="005B54AC">
      <w:pPr>
        <w:tabs>
          <w:tab w:val="clear" w:pos="567"/>
        </w:tabs>
        <w:spacing w:line="240" w:lineRule="auto"/>
        <w:jc w:val="center"/>
        <w:rPr>
          <w:szCs w:val="22"/>
          <w:lang w:val="lt-LT"/>
        </w:rPr>
      </w:pPr>
    </w:p>
    <w:p w14:paraId="581947FC" w14:textId="77777777" w:rsidR="005B54AC" w:rsidRPr="00EB08A6" w:rsidRDefault="005B54AC" w:rsidP="005B54AC">
      <w:pPr>
        <w:tabs>
          <w:tab w:val="clear" w:pos="567"/>
        </w:tabs>
        <w:spacing w:line="240" w:lineRule="auto"/>
        <w:jc w:val="center"/>
        <w:rPr>
          <w:szCs w:val="22"/>
          <w:lang w:val="lt-LT"/>
        </w:rPr>
      </w:pPr>
    </w:p>
    <w:p w14:paraId="5CEB6623" w14:textId="77777777" w:rsidR="005B54AC" w:rsidRPr="00EB08A6" w:rsidRDefault="005B54AC" w:rsidP="005B54AC">
      <w:pPr>
        <w:tabs>
          <w:tab w:val="clear" w:pos="567"/>
        </w:tabs>
        <w:spacing w:line="240" w:lineRule="auto"/>
        <w:jc w:val="center"/>
        <w:rPr>
          <w:szCs w:val="22"/>
          <w:lang w:val="lt-LT"/>
        </w:rPr>
      </w:pPr>
    </w:p>
    <w:p w14:paraId="4DBA3384" w14:textId="77777777" w:rsidR="005B54AC" w:rsidRPr="00EB08A6" w:rsidRDefault="005B54AC" w:rsidP="005B54AC">
      <w:pPr>
        <w:tabs>
          <w:tab w:val="clear" w:pos="567"/>
        </w:tabs>
        <w:spacing w:line="240" w:lineRule="auto"/>
        <w:jc w:val="center"/>
        <w:rPr>
          <w:szCs w:val="22"/>
          <w:lang w:val="lt-LT"/>
        </w:rPr>
      </w:pPr>
    </w:p>
    <w:p w14:paraId="7B5730E2" w14:textId="77777777" w:rsidR="005B54AC" w:rsidRPr="00EB08A6" w:rsidRDefault="005B54AC" w:rsidP="005B54AC">
      <w:pPr>
        <w:tabs>
          <w:tab w:val="clear" w:pos="567"/>
        </w:tabs>
        <w:spacing w:line="240" w:lineRule="auto"/>
        <w:jc w:val="center"/>
        <w:rPr>
          <w:szCs w:val="22"/>
          <w:lang w:val="lt-LT"/>
        </w:rPr>
      </w:pPr>
    </w:p>
    <w:p w14:paraId="5AFB3773" w14:textId="77777777" w:rsidR="005B54AC" w:rsidRPr="00EB08A6" w:rsidRDefault="005B54AC" w:rsidP="005B54AC">
      <w:pPr>
        <w:tabs>
          <w:tab w:val="clear" w:pos="567"/>
        </w:tabs>
        <w:spacing w:line="240" w:lineRule="auto"/>
        <w:jc w:val="center"/>
        <w:rPr>
          <w:szCs w:val="22"/>
          <w:lang w:val="lt-LT"/>
        </w:rPr>
      </w:pPr>
    </w:p>
    <w:p w14:paraId="728B1F99" w14:textId="77777777" w:rsidR="005B54AC" w:rsidRPr="00EB08A6" w:rsidRDefault="005B54AC" w:rsidP="005B54AC">
      <w:pPr>
        <w:tabs>
          <w:tab w:val="clear" w:pos="567"/>
        </w:tabs>
        <w:spacing w:line="240" w:lineRule="auto"/>
        <w:jc w:val="center"/>
        <w:rPr>
          <w:szCs w:val="22"/>
          <w:lang w:val="lt-LT"/>
        </w:rPr>
      </w:pPr>
    </w:p>
    <w:p w14:paraId="5E483534" w14:textId="77777777" w:rsidR="005B54AC" w:rsidRPr="00EB08A6" w:rsidRDefault="005B54AC" w:rsidP="005B54AC">
      <w:pPr>
        <w:tabs>
          <w:tab w:val="clear" w:pos="567"/>
        </w:tabs>
        <w:spacing w:line="240" w:lineRule="auto"/>
        <w:jc w:val="center"/>
        <w:rPr>
          <w:szCs w:val="22"/>
          <w:lang w:val="lt-LT"/>
        </w:rPr>
      </w:pPr>
    </w:p>
    <w:p w14:paraId="132DF937" w14:textId="77777777" w:rsidR="005B54AC" w:rsidRPr="00EB08A6" w:rsidRDefault="005B54AC" w:rsidP="005B54AC">
      <w:pPr>
        <w:tabs>
          <w:tab w:val="clear" w:pos="567"/>
        </w:tabs>
        <w:spacing w:line="240" w:lineRule="auto"/>
        <w:jc w:val="center"/>
        <w:rPr>
          <w:szCs w:val="22"/>
          <w:lang w:val="lt-LT"/>
        </w:rPr>
      </w:pPr>
    </w:p>
    <w:p w14:paraId="65BE66FB" w14:textId="77777777" w:rsidR="005B54AC" w:rsidRPr="00EB08A6" w:rsidRDefault="005B54AC" w:rsidP="005B54AC">
      <w:pPr>
        <w:tabs>
          <w:tab w:val="clear" w:pos="567"/>
        </w:tabs>
        <w:spacing w:line="240" w:lineRule="auto"/>
        <w:jc w:val="center"/>
        <w:rPr>
          <w:szCs w:val="22"/>
          <w:lang w:val="lt-LT"/>
        </w:rPr>
      </w:pPr>
    </w:p>
    <w:p w14:paraId="54818745" w14:textId="77777777" w:rsidR="005B54AC" w:rsidRPr="00EB08A6" w:rsidRDefault="005B54AC" w:rsidP="005B54AC">
      <w:pPr>
        <w:tabs>
          <w:tab w:val="clear" w:pos="567"/>
        </w:tabs>
        <w:spacing w:line="240" w:lineRule="auto"/>
        <w:jc w:val="center"/>
        <w:rPr>
          <w:szCs w:val="22"/>
          <w:lang w:val="lt-LT"/>
        </w:rPr>
      </w:pPr>
    </w:p>
    <w:p w14:paraId="082F44FA" w14:textId="77777777" w:rsidR="005B54AC" w:rsidRPr="00EB08A6" w:rsidRDefault="005B54AC" w:rsidP="005B54AC">
      <w:pPr>
        <w:tabs>
          <w:tab w:val="clear" w:pos="567"/>
        </w:tabs>
        <w:spacing w:line="240" w:lineRule="auto"/>
        <w:jc w:val="center"/>
        <w:rPr>
          <w:szCs w:val="22"/>
          <w:lang w:val="lt-LT"/>
        </w:rPr>
      </w:pPr>
    </w:p>
    <w:p w14:paraId="1875D54F" w14:textId="77777777" w:rsidR="005B54AC" w:rsidRPr="00EB08A6" w:rsidRDefault="005B54AC" w:rsidP="005B54AC">
      <w:pPr>
        <w:tabs>
          <w:tab w:val="clear" w:pos="567"/>
        </w:tabs>
        <w:spacing w:line="240" w:lineRule="auto"/>
        <w:jc w:val="center"/>
        <w:rPr>
          <w:szCs w:val="22"/>
          <w:lang w:val="lt-LT"/>
        </w:rPr>
      </w:pPr>
    </w:p>
    <w:p w14:paraId="7B84EACC" w14:textId="77777777" w:rsidR="005B54AC" w:rsidRPr="00EB08A6" w:rsidRDefault="005B54AC" w:rsidP="005B54AC">
      <w:pPr>
        <w:tabs>
          <w:tab w:val="clear" w:pos="567"/>
        </w:tabs>
        <w:spacing w:line="240" w:lineRule="auto"/>
        <w:jc w:val="center"/>
        <w:rPr>
          <w:szCs w:val="22"/>
          <w:lang w:val="lt-LT"/>
        </w:rPr>
      </w:pPr>
    </w:p>
    <w:p w14:paraId="35308FAB" w14:textId="77777777" w:rsidR="005B54AC" w:rsidRPr="00EB08A6" w:rsidRDefault="005B54AC" w:rsidP="005B54AC">
      <w:pPr>
        <w:tabs>
          <w:tab w:val="clear" w:pos="567"/>
        </w:tabs>
        <w:spacing w:line="240" w:lineRule="auto"/>
        <w:jc w:val="center"/>
        <w:outlineLvl w:val="0"/>
        <w:rPr>
          <w:b/>
          <w:szCs w:val="22"/>
          <w:lang w:val="lt-LT"/>
        </w:rPr>
      </w:pPr>
      <w:r w:rsidRPr="00EB08A6">
        <w:rPr>
          <w:b/>
          <w:szCs w:val="22"/>
          <w:lang w:val="lt-LT"/>
        </w:rPr>
        <w:t>B. PAKUOTĖS LAPELIS</w:t>
      </w:r>
    </w:p>
    <w:p w14:paraId="23045AD4" w14:textId="77777777" w:rsidR="005B54AC" w:rsidRPr="00EB08A6" w:rsidRDefault="005B54AC" w:rsidP="005B54AC">
      <w:pPr>
        <w:tabs>
          <w:tab w:val="clear" w:pos="567"/>
        </w:tabs>
        <w:spacing w:line="240" w:lineRule="auto"/>
        <w:jc w:val="center"/>
        <w:rPr>
          <w:szCs w:val="22"/>
          <w:lang w:val="lt-LT"/>
        </w:rPr>
      </w:pPr>
    </w:p>
    <w:p w14:paraId="791D4A55" w14:textId="77777777" w:rsidR="005B54AC" w:rsidRPr="00EB08A6" w:rsidRDefault="005B54AC" w:rsidP="005B54AC">
      <w:pPr>
        <w:tabs>
          <w:tab w:val="clear" w:pos="567"/>
        </w:tabs>
        <w:spacing w:line="240" w:lineRule="auto"/>
        <w:jc w:val="center"/>
        <w:rPr>
          <w:szCs w:val="22"/>
          <w:lang w:val="lt-LT"/>
        </w:rPr>
      </w:pPr>
    </w:p>
    <w:p w14:paraId="4AE8A2D1" w14:textId="77777777" w:rsidR="00EB08A6" w:rsidRPr="00EB08A6" w:rsidRDefault="005B54AC" w:rsidP="00EB08A6">
      <w:pPr>
        <w:pStyle w:val="Heading2Centered"/>
        <w:rPr>
          <w:rFonts w:cs="Times New Roman"/>
          <w:szCs w:val="22"/>
          <w:lang w:val="en-GB"/>
        </w:rPr>
      </w:pPr>
      <w:r w:rsidRPr="00EB08A6">
        <w:rPr>
          <w:rFonts w:cs="Times New Roman"/>
          <w:szCs w:val="22"/>
          <w:lang w:val="lt-LT"/>
        </w:rPr>
        <w:br w:type="page"/>
      </w:r>
      <w:proofErr w:type="spellStart"/>
      <w:r w:rsidR="00EB08A6" w:rsidRPr="00EB08A6">
        <w:rPr>
          <w:rFonts w:cs="Times New Roman"/>
          <w:szCs w:val="22"/>
        </w:rPr>
        <w:lastRenderedPageBreak/>
        <w:t>Pakuotės</w:t>
      </w:r>
      <w:proofErr w:type="spellEnd"/>
      <w:r w:rsidR="00EB08A6" w:rsidRPr="00EB08A6">
        <w:rPr>
          <w:rFonts w:cs="Times New Roman"/>
          <w:szCs w:val="22"/>
        </w:rPr>
        <w:t xml:space="preserve"> </w:t>
      </w:r>
      <w:proofErr w:type="spellStart"/>
      <w:r w:rsidR="00EB08A6" w:rsidRPr="00EB08A6">
        <w:rPr>
          <w:rFonts w:cs="Times New Roman"/>
          <w:szCs w:val="22"/>
        </w:rPr>
        <w:t>lapelis</w:t>
      </w:r>
      <w:proofErr w:type="spellEnd"/>
      <w:r w:rsidR="00EB08A6" w:rsidRPr="00EB08A6">
        <w:rPr>
          <w:rFonts w:cs="Times New Roman"/>
          <w:szCs w:val="22"/>
        </w:rPr>
        <w:t xml:space="preserve">: </w:t>
      </w:r>
      <w:proofErr w:type="spellStart"/>
      <w:r w:rsidR="00EB08A6" w:rsidRPr="00EB08A6">
        <w:rPr>
          <w:rFonts w:cs="Times New Roman"/>
          <w:szCs w:val="22"/>
        </w:rPr>
        <w:t>informacija</w:t>
      </w:r>
      <w:proofErr w:type="spellEnd"/>
      <w:r w:rsidR="00EB08A6" w:rsidRPr="00EB08A6">
        <w:rPr>
          <w:rFonts w:cs="Times New Roman"/>
          <w:szCs w:val="22"/>
        </w:rPr>
        <w:t xml:space="preserve"> </w:t>
      </w:r>
      <w:proofErr w:type="spellStart"/>
      <w:r w:rsidR="00EB08A6" w:rsidRPr="00EB08A6">
        <w:rPr>
          <w:rFonts w:cs="Times New Roman"/>
          <w:szCs w:val="22"/>
        </w:rPr>
        <w:t>vartotojui</w:t>
      </w:r>
      <w:proofErr w:type="spellEnd"/>
      <w:r w:rsidR="00EB08A6" w:rsidRPr="00EB08A6">
        <w:rPr>
          <w:rFonts w:cs="Times New Roman"/>
          <w:szCs w:val="22"/>
          <w:lang w:val="en-GB"/>
        </w:rPr>
        <w:t xml:space="preserve"> </w:t>
      </w:r>
    </w:p>
    <w:p w14:paraId="59BB0FCE" w14:textId="77777777" w:rsidR="00EB08A6" w:rsidRPr="00EB08A6" w:rsidRDefault="00EB08A6" w:rsidP="00EB08A6">
      <w:pPr>
        <w:numPr>
          <w:ilvl w:val="12"/>
          <w:numId w:val="0"/>
        </w:numPr>
        <w:jc w:val="center"/>
        <w:rPr>
          <w:szCs w:val="22"/>
        </w:rPr>
      </w:pPr>
      <w:bookmarkStart w:id="60" w:name="_i4i4Uh5NG7uo6JIytqViIY7dt"/>
      <w:bookmarkStart w:id="61" w:name="_i4i118gyAiLZhYwQRW5k6axkc"/>
      <w:bookmarkStart w:id="62" w:name="_i4i74x7btTVm9T7XAwJrOBTys"/>
      <w:bookmarkEnd w:id="60"/>
      <w:bookmarkEnd w:id="61"/>
      <w:bookmarkEnd w:id="62"/>
    </w:p>
    <w:p w14:paraId="785A308B" w14:textId="77777777" w:rsidR="00EB08A6" w:rsidRPr="00EB08A6" w:rsidRDefault="00EB08A6" w:rsidP="00EB08A6">
      <w:pPr>
        <w:jc w:val="center"/>
        <w:rPr>
          <w:b/>
          <w:szCs w:val="22"/>
          <w:lang w:val="lt-LT"/>
        </w:rPr>
      </w:pPr>
      <w:proofErr w:type="spellStart"/>
      <w:r w:rsidRPr="00EB08A6">
        <w:rPr>
          <w:b/>
          <w:szCs w:val="22"/>
          <w:lang w:val="lt-LT"/>
        </w:rPr>
        <w:t>Vesicare</w:t>
      </w:r>
      <w:proofErr w:type="spellEnd"/>
      <w:r w:rsidRPr="00EB08A6">
        <w:rPr>
          <w:b/>
          <w:szCs w:val="22"/>
          <w:lang w:val="lt-LT"/>
        </w:rPr>
        <w:t xml:space="preserve"> 1 mg/ml geriamoji suspensija </w:t>
      </w:r>
    </w:p>
    <w:p w14:paraId="3705351D" w14:textId="77777777" w:rsidR="00EB08A6" w:rsidRPr="00EB08A6" w:rsidRDefault="00EB08A6" w:rsidP="00EB08A6">
      <w:pPr>
        <w:numPr>
          <w:ilvl w:val="12"/>
          <w:numId w:val="0"/>
        </w:numPr>
        <w:jc w:val="center"/>
        <w:rPr>
          <w:szCs w:val="22"/>
        </w:rPr>
      </w:pPr>
      <w:bookmarkStart w:id="63" w:name="_i4i2HiL1WgrWd3JgxQifsuAy9"/>
      <w:bookmarkEnd w:id="63"/>
    </w:p>
    <w:p w14:paraId="5DD373AC" w14:textId="77777777" w:rsidR="00EB08A6" w:rsidRPr="00EB08A6" w:rsidRDefault="00EB08A6" w:rsidP="00EB08A6">
      <w:pPr>
        <w:jc w:val="center"/>
        <w:rPr>
          <w:szCs w:val="22"/>
          <w:lang w:val="lt-LT"/>
        </w:rPr>
      </w:pP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sukcinatas</w:t>
      </w:r>
      <w:proofErr w:type="spellEnd"/>
    </w:p>
    <w:p w14:paraId="14097B08" w14:textId="77777777" w:rsidR="00EB08A6" w:rsidRPr="00EB08A6" w:rsidRDefault="00EB08A6" w:rsidP="00EB08A6">
      <w:pPr>
        <w:pStyle w:val="Antrat2"/>
        <w:spacing w:before="0"/>
        <w:rPr>
          <w:rFonts w:ascii="Times New Roman" w:hAnsi="Times New Roman"/>
          <w:b w:val="0"/>
          <w:bCs w:val="0"/>
          <w:sz w:val="22"/>
          <w:szCs w:val="22"/>
        </w:rPr>
      </w:pPr>
      <w:bookmarkStart w:id="64" w:name="_i4i2o60CR5YDfFnNMiBCgWpeQ"/>
      <w:bookmarkStart w:id="65" w:name="_i4i0rNs4YheYXvTXvmmytK6ds"/>
      <w:bookmarkStart w:id="66" w:name="_i4i7JBpUi6PqYCiULioxyZclE"/>
      <w:bookmarkStart w:id="67" w:name="_i4i0jSbGBdHOoCTJ9bXbXnPNn"/>
      <w:bookmarkEnd w:id="64"/>
      <w:bookmarkEnd w:id="65"/>
      <w:bookmarkEnd w:id="66"/>
      <w:bookmarkEnd w:id="67"/>
    </w:p>
    <w:p w14:paraId="4AC1AAD0" w14:textId="77777777" w:rsidR="00EB08A6" w:rsidRPr="00EB08A6" w:rsidRDefault="00EB08A6" w:rsidP="00EB08A6">
      <w:pPr>
        <w:pStyle w:val="Antrat2"/>
        <w:spacing w:before="0"/>
        <w:rPr>
          <w:rFonts w:ascii="Times New Roman" w:hAnsi="Times New Roman"/>
          <w:i w:val="0"/>
          <w:sz w:val="22"/>
          <w:szCs w:val="22"/>
        </w:rPr>
      </w:pPr>
      <w:proofErr w:type="spellStart"/>
      <w:r w:rsidRPr="00EB08A6">
        <w:rPr>
          <w:rFonts w:ascii="Times New Roman" w:hAnsi="Times New Roman"/>
          <w:i w:val="0"/>
          <w:sz w:val="22"/>
          <w:szCs w:val="22"/>
        </w:rPr>
        <w:t>Atidžiai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perskaitykite</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visą</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šį</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lapelį</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prieš</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pradėdami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vartoti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vaistą</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nes</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jame</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pateikiama</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Jums</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svarbi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informacija</w:t>
      </w:r>
      <w:proofErr w:type="spellEnd"/>
      <w:r w:rsidRPr="00EB08A6">
        <w:rPr>
          <w:rFonts w:ascii="Times New Roman" w:hAnsi="Times New Roman"/>
          <w:i w:val="0"/>
          <w:sz w:val="22"/>
          <w:szCs w:val="22"/>
        </w:rPr>
        <w:t>.</w:t>
      </w:r>
    </w:p>
    <w:p w14:paraId="02C2BD4A" w14:textId="77777777" w:rsidR="00EB08A6" w:rsidRPr="00EB08A6" w:rsidRDefault="00EB08A6" w:rsidP="00EB08A6">
      <w:pPr>
        <w:numPr>
          <w:ilvl w:val="0"/>
          <w:numId w:val="3"/>
        </w:numPr>
        <w:tabs>
          <w:tab w:val="clear" w:pos="567"/>
        </w:tabs>
        <w:spacing w:line="240" w:lineRule="auto"/>
        <w:ind w:left="567" w:hanging="567"/>
        <w:rPr>
          <w:szCs w:val="22"/>
          <w:lang w:val="lt-LT"/>
        </w:rPr>
      </w:pPr>
      <w:r w:rsidRPr="00EB08A6">
        <w:rPr>
          <w:szCs w:val="22"/>
          <w:lang w:val="lt-LT"/>
        </w:rPr>
        <w:t>Neišmeskite šio lapelio, nes vėl gali prireikti jį perskaityti.</w:t>
      </w:r>
    </w:p>
    <w:p w14:paraId="03E47D8E" w14:textId="77777777" w:rsidR="00EB08A6" w:rsidRPr="00EB08A6" w:rsidRDefault="00EB08A6" w:rsidP="00EB08A6">
      <w:pPr>
        <w:numPr>
          <w:ilvl w:val="0"/>
          <w:numId w:val="3"/>
        </w:numPr>
        <w:tabs>
          <w:tab w:val="clear" w:pos="567"/>
        </w:tabs>
        <w:spacing w:line="240" w:lineRule="auto"/>
        <w:ind w:left="567" w:hanging="567"/>
        <w:rPr>
          <w:szCs w:val="22"/>
          <w:lang w:val="lt-LT"/>
        </w:rPr>
      </w:pPr>
      <w:r w:rsidRPr="00EB08A6">
        <w:rPr>
          <w:szCs w:val="22"/>
          <w:lang w:val="lt-LT"/>
        </w:rPr>
        <w:t>Jeigu kiltų daugiau klausimų, kreipkitės į gydytoją arba vaistininką.</w:t>
      </w:r>
    </w:p>
    <w:p w14:paraId="6FB15081" w14:textId="77777777" w:rsidR="00EB08A6" w:rsidRPr="00EB08A6" w:rsidRDefault="00EB08A6" w:rsidP="00EB08A6">
      <w:pPr>
        <w:numPr>
          <w:ilvl w:val="0"/>
          <w:numId w:val="3"/>
        </w:numPr>
        <w:tabs>
          <w:tab w:val="clear" w:pos="567"/>
        </w:tabs>
        <w:spacing w:line="240" w:lineRule="auto"/>
        <w:ind w:left="567" w:hanging="567"/>
        <w:rPr>
          <w:szCs w:val="22"/>
          <w:lang w:val="lt-LT"/>
        </w:rPr>
      </w:pPr>
      <w:r w:rsidRPr="00EB08A6">
        <w:rPr>
          <w:szCs w:val="22"/>
          <w:lang w:val="lt-LT"/>
        </w:rPr>
        <w:t>Šis vaistas skirtas tik Jums, todėl kitiems žmonėms jo duoti negalima. Vaistas gali jiems pakenkti (net tiems, kurių ligos požymiai yra tokie patys kaip Jūsų).</w:t>
      </w:r>
    </w:p>
    <w:p w14:paraId="006A643C" w14:textId="77777777" w:rsidR="00EB08A6" w:rsidRPr="00EB08A6" w:rsidRDefault="00EB08A6" w:rsidP="00EB08A6">
      <w:pPr>
        <w:numPr>
          <w:ilvl w:val="0"/>
          <w:numId w:val="3"/>
        </w:numPr>
        <w:tabs>
          <w:tab w:val="clear" w:pos="567"/>
        </w:tabs>
        <w:spacing w:line="240" w:lineRule="auto"/>
        <w:ind w:left="567" w:hanging="567"/>
        <w:rPr>
          <w:szCs w:val="22"/>
          <w:lang w:val="lt-LT"/>
        </w:rPr>
      </w:pPr>
      <w:r w:rsidRPr="00EB08A6">
        <w:rPr>
          <w:szCs w:val="22"/>
          <w:lang w:val="lt-LT"/>
        </w:rPr>
        <w:t>Jeigu pasireiškė šalutinis poveikis (net jeigu jis šiame lapelyje nenurodytas), kreipkitės į gydytoją arba vaistininką. Žr. 4 skyrių.</w:t>
      </w:r>
    </w:p>
    <w:p w14:paraId="0C941469" w14:textId="77777777" w:rsidR="00EB08A6" w:rsidRPr="00EB08A6" w:rsidRDefault="00EB08A6" w:rsidP="00EB08A6">
      <w:pPr>
        <w:rPr>
          <w:szCs w:val="22"/>
          <w:lang w:val="lt-LT"/>
        </w:rPr>
      </w:pPr>
    </w:p>
    <w:p w14:paraId="27DFC5FB" w14:textId="77777777" w:rsidR="00EB08A6" w:rsidRPr="00EB08A6" w:rsidRDefault="00EB08A6" w:rsidP="00EB08A6">
      <w:pPr>
        <w:rPr>
          <w:szCs w:val="22"/>
          <w:lang w:val="lt-LT"/>
        </w:rPr>
      </w:pPr>
    </w:p>
    <w:p w14:paraId="4EBAF840" w14:textId="77777777" w:rsidR="00EB08A6" w:rsidRPr="00EB08A6" w:rsidRDefault="00EB08A6" w:rsidP="00EB08A6">
      <w:pPr>
        <w:pStyle w:val="Antrat2"/>
        <w:spacing w:before="0" w:after="220"/>
        <w:rPr>
          <w:rStyle w:val="Antrat2Diagrama"/>
          <w:rFonts w:ascii="Times New Roman" w:hAnsi="Times New Roman"/>
          <w:b/>
          <w:bCs/>
          <w:i/>
          <w:sz w:val="22"/>
          <w:szCs w:val="22"/>
          <w:lang w:val="nl-NL"/>
        </w:rPr>
      </w:pPr>
      <w:r w:rsidRPr="00EB08A6">
        <w:rPr>
          <w:rFonts w:ascii="Times New Roman" w:hAnsi="Times New Roman"/>
          <w:i w:val="0"/>
          <w:sz w:val="22"/>
          <w:szCs w:val="22"/>
          <w:lang w:val="nl-NL"/>
        </w:rPr>
        <w:t>Apie ką rašoma šiame lapelyje?</w:t>
      </w:r>
    </w:p>
    <w:p w14:paraId="75D28B12" w14:textId="77777777" w:rsidR="00EB08A6" w:rsidRPr="00EB08A6" w:rsidRDefault="00EB08A6" w:rsidP="00EB08A6">
      <w:pPr>
        <w:ind w:right="-28"/>
        <w:rPr>
          <w:szCs w:val="22"/>
        </w:rPr>
      </w:pPr>
      <w:r w:rsidRPr="00EB08A6">
        <w:rPr>
          <w:szCs w:val="22"/>
          <w:lang w:val="lt-LT"/>
        </w:rPr>
        <w:t>1.</w:t>
      </w:r>
      <w:r w:rsidRPr="00EB08A6">
        <w:rPr>
          <w:szCs w:val="22"/>
          <w:lang w:val="lt-LT"/>
        </w:rPr>
        <w:tab/>
        <w:t xml:space="preserve">Kas yra </w:t>
      </w:r>
      <w:r w:rsidRPr="00EB08A6">
        <w:rPr>
          <w:noProof/>
          <w:szCs w:val="22"/>
        </w:rPr>
        <w:t>Vesicare</w:t>
      </w:r>
      <w:r w:rsidRPr="00EB08A6">
        <w:rPr>
          <w:szCs w:val="22"/>
        </w:rPr>
        <w:t xml:space="preserve"> </w:t>
      </w:r>
      <w:proofErr w:type="spellStart"/>
      <w:r w:rsidRPr="00EB08A6">
        <w:rPr>
          <w:szCs w:val="22"/>
        </w:rPr>
        <w:t>ir</w:t>
      </w:r>
      <w:proofErr w:type="spellEnd"/>
      <w:r w:rsidRPr="00EB08A6">
        <w:rPr>
          <w:szCs w:val="22"/>
        </w:rPr>
        <w:t xml:space="preserve"> </w:t>
      </w:r>
      <w:proofErr w:type="spellStart"/>
      <w:r w:rsidRPr="00EB08A6">
        <w:rPr>
          <w:szCs w:val="22"/>
        </w:rPr>
        <w:t>kam</w:t>
      </w:r>
      <w:proofErr w:type="spellEnd"/>
      <w:r w:rsidRPr="00EB08A6">
        <w:rPr>
          <w:szCs w:val="22"/>
        </w:rPr>
        <w:t xml:space="preserve"> </w:t>
      </w:r>
      <w:proofErr w:type="spellStart"/>
      <w:r w:rsidRPr="00EB08A6">
        <w:rPr>
          <w:szCs w:val="22"/>
        </w:rPr>
        <w:t>jis</w:t>
      </w:r>
      <w:proofErr w:type="spellEnd"/>
      <w:r w:rsidRPr="00EB08A6">
        <w:rPr>
          <w:szCs w:val="22"/>
        </w:rPr>
        <w:t xml:space="preserve"> </w:t>
      </w:r>
      <w:proofErr w:type="spellStart"/>
      <w:r w:rsidRPr="00EB08A6">
        <w:rPr>
          <w:szCs w:val="22"/>
        </w:rPr>
        <w:t>vartojamas</w:t>
      </w:r>
      <w:bookmarkStart w:id="68" w:name="_i4i54cAwUyXtHFANXaoQ2V7BK"/>
      <w:bookmarkEnd w:id="68"/>
      <w:proofErr w:type="spellEnd"/>
    </w:p>
    <w:p w14:paraId="292E3590" w14:textId="77777777" w:rsidR="00EB08A6" w:rsidRPr="00EB08A6" w:rsidRDefault="00EB08A6" w:rsidP="00EB08A6">
      <w:pPr>
        <w:rPr>
          <w:szCs w:val="22"/>
        </w:rPr>
      </w:pPr>
      <w:bookmarkStart w:id="69" w:name="_i4i36n9ZM8e6FSfx81QxaBhCg"/>
      <w:bookmarkEnd w:id="69"/>
      <w:r w:rsidRPr="00EB08A6">
        <w:rPr>
          <w:szCs w:val="22"/>
        </w:rPr>
        <w:t>2.</w:t>
      </w:r>
      <w:r w:rsidRPr="00EB08A6">
        <w:rPr>
          <w:szCs w:val="22"/>
        </w:rPr>
        <w:tab/>
      </w:r>
      <w:proofErr w:type="spellStart"/>
      <w:r w:rsidRPr="00EB08A6">
        <w:rPr>
          <w:szCs w:val="22"/>
        </w:rPr>
        <w:t>Kas</w:t>
      </w:r>
      <w:proofErr w:type="spellEnd"/>
      <w:r w:rsidRPr="00EB08A6">
        <w:rPr>
          <w:szCs w:val="22"/>
        </w:rPr>
        <w:t xml:space="preserve"> </w:t>
      </w:r>
      <w:proofErr w:type="spellStart"/>
      <w:r w:rsidRPr="00EB08A6">
        <w:rPr>
          <w:szCs w:val="22"/>
        </w:rPr>
        <w:t>žinotina</w:t>
      </w:r>
      <w:proofErr w:type="spellEnd"/>
      <w:r w:rsidRPr="00EB08A6">
        <w:rPr>
          <w:szCs w:val="22"/>
        </w:rPr>
        <w:t xml:space="preserve"> </w:t>
      </w:r>
      <w:proofErr w:type="spellStart"/>
      <w:r w:rsidRPr="00EB08A6">
        <w:rPr>
          <w:szCs w:val="22"/>
        </w:rPr>
        <w:t>prieš</w:t>
      </w:r>
      <w:proofErr w:type="spellEnd"/>
      <w:r w:rsidRPr="00EB08A6">
        <w:rPr>
          <w:szCs w:val="22"/>
        </w:rPr>
        <w:t xml:space="preserve"> </w:t>
      </w:r>
      <w:proofErr w:type="spellStart"/>
      <w:r w:rsidRPr="00EB08A6">
        <w:rPr>
          <w:szCs w:val="22"/>
        </w:rPr>
        <w:t>vartojant</w:t>
      </w:r>
      <w:proofErr w:type="spellEnd"/>
      <w:r w:rsidRPr="00EB08A6">
        <w:rPr>
          <w:szCs w:val="22"/>
        </w:rPr>
        <w:t xml:space="preserve"> </w:t>
      </w:r>
      <w:r w:rsidRPr="00EB08A6">
        <w:rPr>
          <w:noProof/>
          <w:szCs w:val="22"/>
        </w:rPr>
        <w:t>Vesicare</w:t>
      </w:r>
    </w:p>
    <w:p w14:paraId="6CC9B13F" w14:textId="77777777" w:rsidR="00EB08A6" w:rsidRPr="00EB08A6" w:rsidRDefault="00EB08A6" w:rsidP="00EB08A6">
      <w:pPr>
        <w:rPr>
          <w:szCs w:val="22"/>
        </w:rPr>
      </w:pPr>
      <w:bookmarkStart w:id="70" w:name="_i4i7KzFqL0FmOqRruDR37jQH0"/>
      <w:bookmarkEnd w:id="70"/>
      <w:r w:rsidRPr="00EB08A6">
        <w:rPr>
          <w:szCs w:val="22"/>
        </w:rPr>
        <w:t>3.</w:t>
      </w:r>
      <w:r w:rsidRPr="00EB08A6">
        <w:rPr>
          <w:szCs w:val="22"/>
        </w:rPr>
        <w:tab/>
      </w:r>
      <w:proofErr w:type="spellStart"/>
      <w:r w:rsidRPr="00EB08A6">
        <w:rPr>
          <w:szCs w:val="22"/>
        </w:rPr>
        <w:t>Kaip</w:t>
      </w:r>
      <w:proofErr w:type="spellEnd"/>
      <w:r w:rsidRPr="00EB08A6">
        <w:rPr>
          <w:szCs w:val="22"/>
        </w:rPr>
        <w:t xml:space="preserve"> </w:t>
      </w:r>
      <w:proofErr w:type="spellStart"/>
      <w:r w:rsidRPr="00EB08A6">
        <w:rPr>
          <w:szCs w:val="22"/>
        </w:rPr>
        <w:t>vartoti</w:t>
      </w:r>
      <w:proofErr w:type="spellEnd"/>
      <w:r w:rsidRPr="00EB08A6">
        <w:rPr>
          <w:szCs w:val="22"/>
        </w:rPr>
        <w:t xml:space="preserve"> </w:t>
      </w:r>
      <w:r w:rsidRPr="00EB08A6">
        <w:rPr>
          <w:noProof/>
          <w:szCs w:val="22"/>
        </w:rPr>
        <w:t>Vesicare</w:t>
      </w:r>
    </w:p>
    <w:p w14:paraId="10A1B939" w14:textId="77777777" w:rsidR="00EB08A6" w:rsidRPr="00EB08A6" w:rsidRDefault="00EB08A6" w:rsidP="00EB08A6">
      <w:pPr>
        <w:rPr>
          <w:szCs w:val="22"/>
        </w:rPr>
      </w:pPr>
      <w:r w:rsidRPr="00EB08A6">
        <w:rPr>
          <w:szCs w:val="22"/>
        </w:rPr>
        <w:t>4.</w:t>
      </w:r>
      <w:r w:rsidRPr="00EB08A6">
        <w:rPr>
          <w:szCs w:val="22"/>
        </w:rPr>
        <w:tab/>
      </w:r>
      <w:proofErr w:type="spellStart"/>
      <w:r w:rsidRPr="00EB08A6">
        <w:rPr>
          <w:szCs w:val="22"/>
        </w:rPr>
        <w:t>Galimas</w:t>
      </w:r>
      <w:proofErr w:type="spellEnd"/>
      <w:r w:rsidRPr="00EB08A6">
        <w:rPr>
          <w:szCs w:val="22"/>
        </w:rPr>
        <w:t xml:space="preserve"> </w:t>
      </w:r>
      <w:proofErr w:type="spellStart"/>
      <w:r w:rsidRPr="00EB08A6">
        <w:rPr>
          <w:szCs w:val="22"/>
        </w:rPr>
        <w:t>šalutinis</w:t>
      </w:r>
      <w:proofErr w:type="spellEnd"/>
      <w:r w:rsidRPr="00EB08A6">
        <w:rPr>
          <w:szCs w:val="22"/>
        </w:rPr>
        <w:t xml:space="preserve"> </w:t>
      </w:r>
      <w:proofErr w:type="spellStart"/>
      <w:r w:rsidRPr="00EB08A6">
        <w:rPr>
          <w:szCs w:val="22"/>
        </w:rPr>
        <w:t>poveikis</w:t>
      </w:r>
      <w:bookmarkStart w:id="71" w:name="_i4i1dyyclzhTGUXCzjcqcnmjN"/>
      <w:bookmarkEnd w:id="71"/>
      <w:proofErr w:type="spellEnd"/>
    </w:p>
    <w:p w14:paraId="274B7296" w14:textId="77777777" w:rsidR="00EB08A6" w:rsidRPr="00EB08A6" w:rsidRDefault="00EB08A6" w:rsidP="00EB08A6">
      <w:pPr>
        <w:rPr>
          <w:szCs w:val="22"/>
        </w:rPr>
      </w:pPr>
      <w:r w:rsidRPr="00EB08A6">
        <w:rPr>
          <w:szCs w:val="22"/>
        </w:rPr>
        <w:t>5.</w:t>
      </w:r>
      <w:r w:rsidRPr="00EB08A6">
        <w:rPr>
          <w:szCs w:val="22"/>
        </w:rPr>
        <w:tab/>
      </w:r>
      <w:proofErr w:type="spellStart"/>
      <w:r w:rsidRPr="00EB08A6">
        <w:rPr>
          <w:szCs w:val="22"/>
        </w:rPr>
        <w:t>Kaip</w:t>
      </w:r>
      <w:proofErr w:type="spellEnd"/>
      <w:r w:rsidRPr="00EB08A6">
        <w:rPr>
          <w:szCs w:val="22"/>
        </w:rPr>
        <w:t xml:space="preserve"> </w:t>
      </w:r>
      <w:proofErr w:type="spellStart"/>
      <w:r w:rsidRPr="00EB08A6">
        <w:rPr>
          <w:szCs w:val="22"/>
        </w:rPr>
        <w:t>laikyti</w:t>
      </w:r>
      <w:proofErr w:type="spellEnd"/>
      <w:r w:rsidRPr="00EB08A6">
        <w:rPr>
          <w:szCs w:val="22"/>
        </w:rPr>
        <w:t xml:space="preserve"> </w:t>
      </w:r>
      <w:bookmarkStart w:id="72" w:name="_i4i3OtMXVxYieqvoRaIM6Zwl7"/>
      <w:bookmarkEnd w:id="72"/>
      <w:r w:rsidRPr="00EB08A6">
        <w:rPr>
          <w:noProof/>
          <w:szCs w:val="22"/>
        </w:rPr>
        <w:t>Vesicare</w:t>
      </w:r>
    </w:p>
    <w:p w14:paraId="1477A4C9" w14:textId="77777777" w:rsidR="00EB08A6" w:rsidRPr="00EB08A6" w:rsidRDefault="00EB08A6" w:rsidP="00EB08A6">
      <w:pPr>
        <w:rPr>
          <w:szCs w:val="22"/>
        </w:rPr>
      </w:pPr>
      <w:r w:rsidRPr="00EB08A6">
        <w:rPr>
          <w:szCs w:val="22"/>
        </w:rPr>
        <w:t>6.</w:t>
      </w:r>
      <w:r w:rsidRPr="00EB08A6">
        <w:rPr>
          <w:szCs w:val="22"/>
        </w:rPr>
        <w:tab/>
      </w:r>
      <w:proofErr w:type="spellStart"/>
      <w:r w:rsidRPr="00EB08A6">
        <w:rPr>
          <w:szCs w:val="22"/>
        </w:rPr>
        <w:t>Pakuotės</w:t>
      </w:r>
      <w:proofErr w:type="spellEnd"/>
      <w:r w:rsidRPr="00EB08A6">
        <w:rPr>
          <w:szCs w:val="22"/>
        </w:rPr>
        <w:t xml:space="preserve"> </w:t>
      </w:r>
      <w:proofErr w:type="spellStart"/>
      <w:r w:rsidRPr="00EB08A6">
        <w:rPr>
          <w:szCs w:val="22"/>
        </w:rPr>
        <w:t>turinys</w:t>
      </w:r>
      <w:proofErr w:type="spellEnd"/>
      <w:r w:rsidRPr="00EB08A6">
        <w:rPr>
          <w:szCs w:val="22"/>
        </w:rPr>
        <w:t xml:space="preserve"> </w:t>
      </w:r>
      <w:proofErr w:type="spellStart"/>
      <w:r w:rsidRPr="00EB08A6">
        <w:rPr>
          <w:szCs w:val="22"/>
        </w:rPr>
        <w:t>ir</w:t>
      </w:r>
      <w:proofErr w:type="spellEnd"/>
      <w:r w:rsidRPr="00EB08A6">
        <w:rPr>
          <w:szCs w:val="22"/>
        </w:rPr>
        <w:t xml:space="preserve"> </w:t>
      </w:r>
      <w:proofErr w:type="spellStart"/>
      <w:r w:rsidRPr="00EB08A6">
        <w:rPr>
          <w:szCs w:val="22"/>
        </w:rPr>
        <w:t>kita</w:t>
      </w:r>
      <w:proofErr w:type="spellEnd"/>
      <w:r w:rsidRPr="00EB08A6">
        <w:rPr>
          <w:szCs w:val="22"/>
        </w:rPr>
        <w:t xml:space="preserve"> </w:t>
      </w:r>
      <w:proofErr w:type="spellStart"/>
      <w:r w:rsidRPr="00EB08A6">
        <w:rPr>
          <w:szCs w:val="22"/>
        </w:rPr>
        <w:t>informacija</w:t>
      </w:r>
      <w:proofErr w:type="spellEnd"/>
    </w:p>
    <w:p w14:paraId="4CF960A7" w14:textId="77777777" w:rsidR="00EB08A6" w:rsidRPr="00EB08A6" w:rsidRDefault="00EB08A6" w:rsidP="00EB08A6">
      <w:pPr>
        <w:rPr>
          <w:szCs w:val="22"/>
        </w:rPr>
      </w:pPr>
    </w:p>
    <w:p w14:paraId="15FDB1E6" w14:textId="77777777" w:rsidR="00EB08A6" w:rsidRPr="00EB08A6" w:rsidRDefault="00EB08A6" w:rsidP="00EB08A6">
      <w:pPr>
        <w:rPr>
          <w:szCs w:val="22"/>
        </w:rPr>
      </w:pPr>
    </w:p>
    <w:p w14:paraId="409E861E" w14:textId="77777777" w:rsidR="00EB08A6" w:rsidRPr="00EB08A6" w:rsidRDefault="00EB08A6" w:rsidP="00EB08A6">
      <w:pPr>
        <w:pStyle w:val="Antrat1"/>
        <w:spacing w:before="0" w:after="0"/>
        <w:rPr>
          <w:rFonts w:ascii="Times New Roman" w:hAnsi="Times New Roman"/>
          <w:sz w:val="22"/>
          <w:szCs w:val="22"/>
        </w:rPr>
      </w:pPr>
      <w:bookmarkStart w:id="73" w:name="_i4i3XAXcvPohfuKCuPdC7qYY2"/>
      <w:bookmarkStart w:id="74" w:name="_i4i6Oq8gY7Y8fIs8mS5XjFimv"/>
      <w:bookmarkStart w:id="75" w:name="_i4i6fzhJur9attakZYA875tcG"/>
      <w:bookmarkEnd w:id="73"/>
      <w:bookmarkEnd w:id="74"/>
      <w:bookmarkEnd w:id="75"/>
      <w:r w:rsidRPr="00EB08A6">
        <w:rPr>
          <w:rFonts w:ascii="Times New Roman" w:hAnsi="Times New Roman"/>
          <w:sz w:val="22"/>
          <w:szCs w:val="22"/>
        </w:rPr>
        <w:t>1.</w:t>
      </w:r>
      <w:r w:rsidRPr="00EB08A6">
        <w:rPr>
          <w:rFonts w:ascii="Times New Roman" w:hAnsi="Times New Roman"/>
          <w:sz w:val="22"/>
          <w:szCs w:val="22"/>
        </w:rPr>
        <w:tab/>
      </w:r>
      <w:proofErr w:type="spellStart"/>
      <w:r w:rsidRPr="00EB08A6">
        <w:rPr>
          <w:rFonts w:ascii="Times New Roman" w:hAnsi="Times New Roman"/>
          <w:sz w:val="22"/>
          <w:szCs w:val="22"/>
        </w:rPr>
        <w:t>Kas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yra</w:t>
      </w:r>
      <w:proofErr w:type="spellEnd"/>
      <w:r w:rsidRPr="00EB08A6">
        <w:rPr>
          <w:rFonts w:ascii="Times New Roman" w:hAnsi="Times New Roman"/>
          <w:sz w:val="22"/>
          <w:szCs w:val="22"/>
        </w:rPr>
        <w:t xml:space="preserve"> </w:t>
      </w:r>
      <w:r w:rsidRPr="00EB08A6">
        <w:rPr>
          <w:rFonts w:ascii="Times New Roman" w:hAnsi="Times New Roman"/>
          <w:noProof/>
          <w:sz w:val="22"/>
          <w:szCs w:val="22"/>
        </w:rPr>
        <w:t>Vesicare</w:t>
      </w:r>
      <w:r w:rsidRPr="00EB08A6">
        <w:rPr>
          <w:rFonts w:ascii="Times New Roman" w:hAnsi="Times New Roman"/>
          <w:sz w:val="22"/>
          <w:szCs w:val="22"/>
        </w:rPr>
        <w:t xml:space="preserve"> </w:t>
      </w:r>
      <w:proofErr w:type="spellStart"/>
      <w:r w:rsidRPr="00EB08A6">
        <w:rPr>
          <w:rFonts w:ascii="Times New Roman" w:hAnsi="Times New Roman"/>
          <w:sz w:val="22"/>
          <w:szCs w:val="22"/>
        </w:rPr>
        <w:t>ir</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kam</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jis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vartojamas</w:t>
      </w:r>
      <w:proofErr w:type="spellEnd"/>
    </w:p>
    <w:p w14:paraId="1C8C0444" w14:textId="77777777" w:rsidR="00EB08A6" w:rsidRPr="00EB08A6" w:rsidRDefault="00EB08A6" w:rsidP="00EB08A6">
      <w:pPr>
        <w:rPr>
          <w:szCs w:val="22"/>
          <w:lang w:val="en-CA"/>
        </w:rPr>
      </w:pPr>
    </w:p>
    <w:p w14:paraId="428C769A" w14:textId="77777777" w:rsidR="00EB08A6" w:rsidRPr="00EB08A6" w:rsidRDefault="00EB08A6" w:rsidP="00EB08A6">
      <w:pPr>
        <w:autoSpaceDE w:val="0"/>
        <w:autoSpaceDN w:val="0"/>
        <w:adjustRightInd w:val="0"/>
        <w:rPr>
          <w:rFonts w:eastAsia="Yu Mincho"/>
          <w:bCs/>
          <w:color w:val="000000"/>
          <w:szCs w:val="22"/>
          <w:lang w:val="lt-LT"/>
        </w:rPr>
      </w:pPr>
      <w:bookmarkStart w:id="76" w:name="_i4i34iQRMzMgRV8h8S7dmL8rK"/>
      <w:bookmarkEnd w:id="76"/>
      <w:proofErr w:type="spellStart"/>
      <w:r w:rsidRPr="00EB08A6">
        <w:rPr>
          <w:rFonts w:eastAsia="Yu Mincho"/>
          <w:bCs/>
          <w:color w:val="000000"/>
          <w:szCs w:val="22"/>
          <w:lang w:val="lt-LT"/>
        </w:rPr>
        <w:t>Vesicare</w:t>
      </w:r>
      <w:proofErr w:type="spellEnd"/>
      <w:r w:rsidRPr="00EB08A6">
        <w:rPr>
          <w:rFonts w:eastAsia="Yu Mincho"/>
          <w:bCs/>
          <w:color w:val="000000"/>
          <w:szCs w:val="22"/>
          <w:lang w:val="lt-LT"/>
        </w:rPr>
        <w:t xml:space="preserve"> veiklioji medžiaga priklauso </w:t>
      </w:r>
      <w:proofErr w:type="spellStart"/>
      <w:r w:rsidRPr="00EB08A6">
        <w:rPr>
          <w:rFonts w:eastAsia="Yu Mincho"/>
          <w:bCs/>
          <w:color w:val="000000"/>
          <w:szCs w:val="22"/>
          <w:lang w:val="lt-LT"/>
        </w:rPr>
        <w:t>anticholinerginių</w:t>
      </w:r>
      <w:proofErr w:type="spellEnd"/>
      <w:r w:rsidRPr="00EB08A6">
        <w:rPr>
          <w:rFonts w:eastAsia="Yu Mincho"/>
          <w:bCs/>
          <w:color w:val="000000"/>
          <w:szCs w:val="22"/>
          <w:lang w:val="lt-LT"/>
        </w:rPr>
        <w:t xml:space="preserve"> vaistų grupei. Šie vaistai vartojami padidėjusiam šlapimo pūslės aktyvumui mažinti. Vartojant </w:t>
      </w:r>
      <w:proofErr w:type="spellStart"/>
      <w:r w:rsidRPr="00EB08A6">
        <w:rPr>
          <w:rFonts w:eastAsia="Yu Mincho"/>
          <w:bCs/>
          <w:color w:val="000000"/>
          <w:szCs w:val="22"/>
          <w:lang w:val="lt-LT"/>
        </w:rPr>
        <w:t>Vesicare</w:t>
      </w:r>
      <w:proofErr w:type="spellEnd"/>
      <w:r w:rsidRPr="00EB08A6">
        <w:rPr>
          <w:rFonts w:eastAsia="Yu Mincho"/>
          <w:bCs/>
          <w:color w:val="000000"/>
          <w:szCs w:val="22"/>
          <w:lang w:val="lt-LT"/>
        </w:rPr>
        <w:t xml:space="preserve"> padidėja pūslėje sulaikomo šlapimo kiekis, todėl rečiau atsiranda poreikis šlapintis.</w:t>
      </w:r>
    </w:p>
    <w:p w14:paraId="21AEB9E1" w14:textId="77777777" w:rsidR="00EB08A6" w:rsidRPr="00EB08A6" w:rsidRDefault="00EB08A6" w:rsidP="00EB08A6">
      <w:pPr>
        <w:autoSpaceDE w:val="0"/>
        <w:autoSpaceDN w:val="0"/>
        <w:adjustRightInd w:val="0"/>
        <w:rPr>
          <w:rFonts w:eastAsia="Yu Mincho"/>
          <w:bCs/>
          <w:color w:val="000000"/>
          <w:szCs w:val="22"/>
          <w:lang w:val="lt-LT"/>
        </w:rPr>
      </w:pPr>
    </w:p>
    <w:p w14:paraId="471DAE9A" w14:textId="77777777" w:rsidR="00EB08A6" w:rsidRPr="00EB08A6" w:rsidRDefault="00EB08A6" w:rsidP="00EB08A6">
      <w:pPr>
        <w:numPr>
          <w:ilvl w:val="12"/>
          <w:numId w:val="0"/>
        </w:numPr>
        <w:rPr>
          <w:rFonts w:eastAsia="Yu Mincho"/>
          <w:color w:val="000000"/>
          <w:szCs w:val="22"/>
          <w:lang w:val="lt-LT"/>
        </w:rPr>
      </w:pPr>
      <w:proofErr w:type="spellStart"/>
      <w:r w:rsidRPr="00EB08A6">
        <w:rPr>
          <w:rFonts w:eastAsia="Yu Mincho"/>
          <w:color w:val="000000"/>
          <w:szCs w:val="22"/>
          <w:lang w:val="lt-LT"/>
        </w:rPr>
        <w:t>Vesicare</w:t>
      </w:r>
      <w:proofErr w:type="spellEnd"/>
      <w:r w:rsidRPr="00EB08A6">
        <w:rPr>
          <w:rFonts w:eastAsia="Yu Mincho"/>
          <w:color w:val="000000"/>
          <w:szCs w:val="22"/>
          <w:lang w:val="lt-LT"/>
        </w:rPr>
        <w:t xml:space="preserve"> vartojamas:</w:t>
      </w:r>
    </w:p>
    <w:p w14:paraId="58C016D2" w14:textId="77777777" w:rsidR="00EB08A6" w:rsidRPr="00EB08A6" w:rsidRDefault="00EB08A6" w:rsidP="00EB08A6">
      <w:pPr>
        <w:numPr>
          <w:ilvl w:val="0"/>
          <w:numId w:val="11"/>
        </w:numPr>
        <w:tabs>
          <w:tab w:val="clear" w:pos="567"/>
        </w:tabs>
        <w:spacing w:line="240" w:lineRule="auto"/>
        <w:ind w:left="714" w:hanging="357"/>
        <w:rPr>
          <w:szCs w:val="22"/>
          <w:lang w:val="lt-LT"/>
        </w:rPr>
      </w:pPr>
      <w:r w:rsidRPr="00EB08A6">
        <w:rPr>
          <w:color w:val="000000"/>
          <w:szCs w:val="22"/>
          <w:lang w:val="lt-LT"/>
        </w:rPr>
        <w:t xml:space="preserve">padidėjusio šlapimo pūslės veiklos aktyvumo simptomams gydyti suaugusiesiems. </w:t>
      </w:r>
      <w:r w:rsidRPr="00EB08A6">
        <w:rPr>
          <w:szCs w:val="22"/>
          <w:lang w:val="lt-LT"/>
        </w:rPr>
        <w:t xml:space="preserve">Tokie simptomai yra: be perspėjamųjų požymių atsiradęs staigus ir stiprus poreikis šlapintis, </w:t>
      </w:r>
      <w:proofErr w:type="spellStart"/>
      <w:r w:rsidRPr="00EB08A6">
        <w:rPr>
          <w:szCs w:val="22"/>
          <w:lang w:val="lt-LT"/>
        </w:rPr>
        <w:t>šlapinimosi</w:t>
      </w:r>
      <w:proofErr w:type="spellEnd"/>
      <w:r w:rsidRPr="00EB08A6">
        <w:rPr>
          <w:szCs w:val="22"/>
          <w:lang w:val="lt-LT"/>
        </w:rPr>
        <w:t xml:space="preserve"> padažnėjimas, šlapimo nesulaikymas, kai nėra galimybės patekti į tualetą.</w:t>
      </w:r>
      <w:r w:rsidRPr="00EB08A6">
        <w:rPr>
          <w:color w:val="000000"/>
          <w:szCs w:val="22"/>
          <w:lang w:val="lt-LT"/>
        </w:rPr>
        <w:t xml:space="preserve"> </w:t>
      </w:r>
    </w:p>
    <w:p w14:paraId="5C385E10" w14:textId="77777777" w:rsidR="00EB08A6" w:rsidRPr="00EB08A6" w:rsidRDefault="00EB08A6" w:rsidP="00EB08A6">
      <w:pPr>
        <w:ind w:left="1134" w:hanging="567"/>
        <w:rPr>
          <w:szCs w:val="22"/>
          <w:lang w:val="lt-LT"/>
        </w:rPr>
      </w:pPr>
    </w:p>
    <w:p w14:paraId="797D7B9A" w14:textId="77777777" w:rsidR="00EB08A6" w:rsidRPr="00EB08A6" w:rsidRDefault="00EB08A6" w:rsidP="00EB08A6">
      <w:pPr>
        <w:numPr>
          <w:ilvl w:val="0"/>
          <w:numId w:val="11"/>
        </w:numPr>
        <w:tabs>
          <w:tab w:val="clear" w:pos="567"/>
        </w:tabs>
        <w:spacing w:line="240" w:lineRule="auto"/>
        <w:ind w:left="714" w:hanging="357"/>
        <w:jc w:val="both"/>
        <w:rPr>
          <w:szCs w:val="22"/>
          <w:lang w:val="lt-LT"/>
        </w:rPr>
      </w:pPr>
      <w:r w:rsidRPr="00EB08A6">
        <w:rPr>
          <w:color w:val="000000"/>
          <w:szCs w:val="22"/>
          <w:lang w:val="lt-LT"/>
        </w:rPr>
        <w:t xml:space="preserve">2–18 metų vaikams, kuriems pasireiškia būklė, vadinama </w:t>
      </w:r>
      <w:proofErr w:type="spellStart"/>
      <w:r w:rsidRPr="00EB08A6">
        <w:rPr>
          <w:color w:val="000000"/>
          <w:szCs w:val="22"/>
          <w:lang w:val="lt-LT"/>
        </w:rPr>
        <w:t>neurogeniniu</w:t>
      </w:r>
      <w:proofErr w:type="spellEnd"/>
      <w:r w:rsidRPr="00EB08A6">
        <w:rPr>
          <w:color w:val="000000"/>
          <w:szCs w:val="22"/>
          <w:lang w:val="lt-LT"/>
        </w:rPr>
        <w:t xml:space="preserve"> padidėjusiu šlapimo pūslės raumens (</w:t>
      </w:r>
      <w:proofErr w:type="spellStart"/>
      <w:r w:rsidRPr="00EB08A6">
        <w:rPr>
          <w:color w:val="000000"/>
          <w:szCs w:val="22"/>
          <w:lang w:val="lt-LT"/>
        </w:rPr>
        <w:t>detruzoriaus</w:t>
      </w:r>
      <w:proofErr w:type="spellEnd"/>
      <w:r w:rsidRPr="00EB08A6">
        <w:rPr>
          <w:color w:val="000000"/>
          <w:szCs w:val="22"/>
          <w:lang w:val="lt-LT"/>
        </w:rPr>
        <w:t xml:space="preserve">) aktyvumu, gydyti. </w:t>
      </w:r>
      <w:proofErr w:type="spellStart"/>
      <w:r w:rsidRPr="00EB08A6">
        <w:rPr>
          <w:color w:val="000000"/>
          <w:szCs w:val="22"/>
          <w:lang w:val="lt-LT"/>
        </w:rPr>
        <w:t>Neurogeninis</w:t>
      </w:r>
      <w:proofErr w:type="spellEnd"/>
      <w:r w:rsidRPr="00EB08A6">
        <w:rPr>
          <w:color w:val="000000"/>
          <w:szCs w:val="22"/>
          <w:lang w:val="lt-LT"/>
        </w:rPr>
        <w:t xml:space="preserve"> padidėjęs </w:t>
      </w:r>
      <w:proofErr w:type="spellStart"/>
      <w:r w:rsidRPr="00EB08A6">
        <w:rPr>
          <w:color w:val="000000"/>
          <w:szCs w:val="22"/>
          <w:lang w:val="lt-LT"/>
        </w:rPr>
        <w:t>detruzoriaus</w:t>
      </w:r>
      <w:proofErr w:type="spellEnd"/>
      <w:r w:rsidRPr="00EB08A6">
        <w:rPr>
          <w:color w:val="000000"/>
          <w:szCs w:val="22"/>
          <w:lang w:val="lt-LT"/>
        </w:rPr>
        <w:t xml:space="preserve"> aktyvumas yra būklė, kai pasireiškia nevalingi šlapimo pūslės susitraukimai, kuriuos lemia įgimti ar įgyti (dėl nervų pažaidos) šlapimo pūslę kontroliuojančių nervų pažeidimai. Negydant </w:t>
      </w:r>
      <w:proofErr w:type="spellStart"/>
      <w:r w:rsidRPr="00EB08A6">
        <w:rPr>
          <w:color w:val="000000"/>
          <w:szCs w:val="22"/>
          <w:lang w:val="lt-LT"/>
        </w:rPr>
        <w:t>neurogeninis</w:t>
      </w:r>
      <w:proofErr w:type="spellEnd"/>
      <w:r w:rsidRPr="00EB08A6">
        <w:rPr>
          <w:color w:val="000000"/>
          <w:szCs w:val="22"/>
          <w:lang w:val="lt-LT"/>
        </w:rPr>
        <w:t xml:space="preserve"> padidėjęs šlapimo pūslės aktyvumas gali lemti šlapimo pūslės ir (arba) inkstų pažeidimą. </w:t>
      </w:r>
    </w:p>
    <w:p w14:paraId="5DFBC372" w14:textId="77777777" w:rsidR="00EB08A6" w:rsidRPr="00EB08A6" w:rsidRDefault="00EB08A6" w:rsidP="00EB08A6">
      <w:pPr>
        <w:ind w:left="714"/>
        <w:jc w:val="both"/>
        <w:rPr>
          <w:color w:val="000000"/>
          <w:szCs w:val="22"/>
          <w:lang w:val="lt-LT"/>
        </w:rPr>
      </w:pPr>
      <w:proofErr w:type="spellStart"/>
      <w:r w:rsidRPr="00EB08A6">
        <w:rPr>
          <w:color w:val="000000"/>
          <w:szCs w:val="22"/>
          <w:lang w:val="lt-LT"/>
        </w:rPr>
        <w:t>Vesicare</w:t>
      </w:r>
      <w:proofErr w:type="spellEnd"/>
      <w:r w:rsidRPr="00EB08A6">
        <w:rPr>
          <w:color w:val="000000"/>
          <w:szCs w:val="22"/>
          <w:lang w:val="lt-LT"/>
        </w:rPr>
        <w:t xml:space="preserve"> yra vartojamas siekiant padidinti šlapimo tūrį, kurį gali išlaikyti šlapimo pūslė, ir sumažinti šlapimo pratekėjimą.</w:t>
      </w:r>
    </w:p>
    <w:p w14:paraId="1E85DA09" w14:textId="77777777" w:rsidR="00EB08A6" w:rsidRPr="00EB08A6" w:rsidRDefault="00EB08A6" w:rsidP="00EB08A6">
      <w:pPr>
        <w:ind w:left="714"/>
        <w:jc w:val="both"/>
        <w:rPr>
          <w:rStyle w:val="Bold"/>
          <w:b w:val="0"/>
          <w:color w:val="000000"/>
          <w:szCs w:val="22"/>
          <w:lang w:val="lt-LT"/>
        </w:rPr>
      </w:pPr>
    </w:p>
    <w:p w14:paraId="100A5B25" w14:textId="77777777" w:rsidR="00EB08A6" w:rsidRPr="00EB08A6" w:rsidRDefault="00EB08A6" w:rsidP="00EB08A6">
      <w:pPr>
        <w:pStyle w:val="Antrat1"/>
        <w:spacing w:before="0"/>
        <w:rPr>
          <w:rFonts w:ascii="Times New Roman" w:hAnsi="Times New Roman"/>
          <w:sz w:val="22"/>
          <w:szCs w:val="22"/>
        </w:rPr>
      </w:pPr>
      <w:bookmarkStart w:id="77" w:name="_i4i0c8nsEEh6lwEUV6OohYesS"/>
      <w:bookmarkStart w:id="78" w:name="_i4i72ORGV33hB5WU52QsDVN2L"/>
      <w:bookmarkStart w:id="79" w:name="_i4i0vZuI6dwuey5VeSr5PVx0q"/>
      <w:bookmarkStart w:id="80" w:name="_i4i7YJkuTBOdCn7cewDMYdHF6"/>
      <w:bookmarkEnd w:id="77"/>
      <w:bookmarkEnd w:id="78"/>
      <w:bookmarkEnd w:id="79"/>
      <w:bookmarkEnd w:id="80"/>
      <w:r w:rsidRPr="00EB08A6">
        <w:rPr>
          <w:rFonts w:ascii="Times New Roman" w:hAnsi="Times New Roman"/>
          <w:sz w:val="22"/>
          <w:szCs w:val="22"/>
        </w:rPr>
        <w:t>2.</w:t>
      </w:r>
      <w:r w:rsidRPr="00EB08A6">
        <w:rPr>
          <w:rFonts w:ascii="Times New Roman" w:hAnsi="Times New Roman"/>
          <w:sz w:val="22"/>
          <w:szCs w:val="22"/>
        </w:rPr>
        <w:tab/>
      </w:r>
      <w:proofErr w:type="spellStart"/>
      <w:r w:rsidRPr="00EB08A6">
        <w:rPr>
          <w:rFonts w:ascii="Times New Roman" w:hAnsi="Times New Roman"/>
          <w:sz w:val="22"/>
          <w:szCs w:val="22"/>
        </w:rPr>
        <w:t>Kas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žinotina</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prieš</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vartojant</w:t>
      </w:r>
      <w:proofErr w:type="spellEnd"/>
      <w:r w:rsidRPr="00EB08A6">
        <w:rPr>
          <w:rFonts w:ascii="Times New Roman" w:hAnsi="Times New Roman"/>
          <w:sz w:val="22"/>
          <w:szCs w:val="22"/>
        </w:rPr>
        <w:t xml:space="preserve"> </w:t>
      </w:r>
      <w:r w:rsidRPr="00EB08A6">
        <w:rPr>
          <w:rFonts w:ascii="Times New Roman" w:hAnsi="Times New Roman"/>
          <w:noProof/>
          <w:sz w:val="22"/>
          <w:szCs w:val="22"/>
        </w:rPr>
        <w:t>Vesicare</w:t>
      </w:r>
    </w:p>
    <w:p w14:paraId="7857660A" w14:textId="77777777" w:rsidR="00EB08A6" w:rsidRPr="00EB08A6" w:rsidRDefault="00EB08A6" w:rsidP="00EB08A6">
      <w:pPr>
        <w:pStyle w:val="Antrat2"/>
        <w:rPr>
          <w:rFonts w:ascii="Times New Roman" w:hAnsi="Times New Roman"/>
          <w:i w:val="0"/>
          <w:sz w:val="22"/>
          <w:szCs w:val="22"/>
        </w:rPr>
      </w:pPr>
      <w:bookmarkStart w:id="81" w:name="_i4i4pX8AeybR0FEraQHb0oJKd"/>
      <w:bookmarkStart w:id="82" w:name="_i4i30nZvABWB3ZwMohZdWNmbZ"/>
      <w:bookmarkEnd w:id="81"/>
      <w:bookmarkEnd w:id="82"/>
      <w:r w:rsidRPr="00EB08A6">
        <w:rPr>
          <w:rFonts w:ascii="Times New Roman" w:hAnsi="Times New Roman"/>
          <w:i w:val="0"/>
          <w:noProof/>
          <w:sz w:val="22"/>
          <w:szCs w:val="22"/>
        </w:rPr>
        <w:t>Vesicare</w:t>
      </w:r>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vartoti</w:t>
      </w:r>
      <w:proofErr w:type="spellEnd"/>
      <w:r w:rsidRPr="00EB08A6">
        <w:rPr>
          <w:rFonts w:ascii="Times New Roman" w:hAnsi="Times New Roman"/>
          <w:i w:val="0"/>
          <w:sz w:val="22"/>
          <w:szCs w:val="22"/>
        </w:rPr>
        <w:t xml:space="preserve"> </w:t>
      </w:r>
      <w:r w:rsidRPr="00EB08A6">
        <w:rPr>
          <w:rFonts w:ascii="Times New Roman" w:hAnsi="Times New Roman"/>
          <w:i w:val="0"/>
          <w:sz w:val="22"/>
          <w:szCs w:val="22"/>
          <w:lang w:val="lt-LT"/>
        </w:rPr>
        <w:t>draudžiama</w:t>
      </w:r>
    </w:p>
    <w:p w14:paraId="4BF29866" w14:textId="77777777" w:rsidR="00EB08A6" w:rsidRPr="00EB08A6" w:rsidRDefault="00EB08A6" w:rsidP="00EB08A6">
      <w:pPr>
        <w:ind w:left="720" w:hanging="720"/>
        <w:rPr>
          <w:szCs w:val="22"/>
          <w:lang w:val="lt-LT"/>
        </w:rPr>
      </w:pPr>
      <w:r w:rsidRPr="00EB08A6">
        <w:rPr>
          <w:szCs w:val="22"/>
          <w:lang w:val="lt-LT"/>
        </w:rPr>
        <w:t>–</w:t>
      </w:r>
      <w:r w:rsidRPr="00EB08A6">
        <w:rPr>
          <w:szCs w:val="22"/>
          <w:lang w:val="lt-LT"/>
        </w:rPr>
        <w:tab/>
        <w:t xml:space="preserve">jeigu negalite pasišlapinti arba visiškai ištuštinti šlapimo pūslę (šlapimo susilaikymas) ir neatliekate švarios protarpinės </w:t>
      </w:r>
      <w:proofErr w:type="spellStart"/>
      <w:r w:rsidRPr="00EB08A6">
        <w:rPr>
          <w:szCs w:val="22"/>
          <w:lang w:val="lt-LT"/>
        </w:rPr>
        <w:t>kateterizacijos</w:t>
      </w:r>
      <w:proofErr w:type="spellEnd"/>
      <w:r w:rsidRPr="00EB08A6">
        <w:rPr>
          <w:szCs w:val="22"/>
          <w:lang w:val="lt-LT"/>
        </w:rPr>
        <w:t xml:space="preserve"> (ŠPK);</w:t>
      </w:r>
    </w:p>
    <w:p w14:paraId="34CD6A2E" w14:textId="77777777" w:rsidR="00EB08A6" w:rsidRPr="00EB08A6" w:rsidRDefault="00EB08A6" w:rsidP="00EB08A6">
      <w:pPr>
        <w:numPr>
          <w:ilvl w:val="0"/>
          <w:numId w:val="11"/>
        </w:numPr>
        <w:tabs>
          <w:tab w:val="clear" w:pos="567"/>
        </w:tabs>
        <w:spacing w:line="240" w:lineRule="auto"/>
        <w:ind w:hanging="720"/>
        <w:rPr>
          <w:szCs w:val="22"/>
          <w:lang w:val="lt-LT"/>
        </w:rPr>
      </w:pPr>
      <w:r w:rsidRPr="00EB08A6">
        <w:rPr>
          <w:szCs w:val="22"/>
          <w:lang w:val="lt-LT"/>
        </w:rPr>
        <w:t>jeigu sergate sunkia skrandžio ar žarnų liga (įskaitant toksinį gaubtinės žarnos išsiplėtimą, su opiniu kolitu susijusias komplikacijas);</w:t>
      </w:r>
    </w:p>
    <w:p w14:paraId="476F3A7B" w14:textId="77777777" w:rsidR="00EB08A6" w:rsidRPr="00EB08A6" w:rsidRDefault="00EB08A6" w:rsidP="00EB08A6">
      <w:pPr>
        <w:numPr>
          <w:ilvl w:val="0"/>
          <w:numId w:val="11"/>
        </w:numPr>
        <w:tabs>
          <w:tab w:val="clear" w:pos="567"/>
        </w:tabs>
        <w:spacing w:line="240" w:lineRule="auto"/>
        <w:ind w:hanging="720"/>
        <w:rPr>
          <w:szCs w:val="22"/>
          <w:lang w:val="lt-LT"/>
        </w:rPr>
      </w:pPr>
      <w:r w:rsidRPr="00EB08A6">
        <w:rPr>
          <w:szCs w:val="22"/>
          <w:lang w:val="lt-LT"/>
        </w:rPr>
        <w:t xml:space="preserve">jeigu sergate raumenų liga, vadinama </w:t>
      </w:r>
      <w:proofErr w:type="spellStart"/>
      <w:r w:rsidRPr="00EB08A6">
        <w:rPr>
          <w:szCs w:val="22"/>
          <w:lang w:val="lt-LT"/>
        </w:rPr>
        <w:t>generalizuota</w:t>
      </w:r>
      <w:proofErr w:type="spellEnd"/>
      <w:r w:rsidRPr="00EB08A6">
        <w:rPr>
          <w:szCs w:val="22"/>
          <w:lang w:val="lt-LT"/>
        </w:rPr>
        <w:t xml:space="preserve"> </w:t>
      </w:r>
      <w:proofErr w:type="spellStart"/>
      <w:r w:rsidRPr="00EB08A6">
        <w:rPr>
          <w:szCs w:val="22"/>
          <w:lang w:val="lt-LT"/>
        </w:rPr>
        <w:t>miastenija</w:t>
      </w:r>
      <w:proofErr w:type="spellEnd"/>
      <w:r w:rsidRPr="00EB08A6">
        <w:rPr>
          <w:szCs w:val="22"/>
          <w:lang w:val="lt-LT"/>
        </w:rPr>
        <w:t>, dėl kurios labai susilpnėja tam tikri kūno raumenys;</w:t>
      </w:r>
    </w:p>
    <w:p w14:paraId="11235D60" w14:textId="77777777" w:rsidR="00EB08A6" w:rsidRPr="00EB08A6" w:rsidRDefault="00EB08A6" w:rsidP="00EB08A6">
      <w:pPr>
        <w:numPr>
          <w:ilvl w:val="0"/>
          <w:numId w:val="11"/>
        </w:numPr>
        <w:tabs>
          <w:tab w:val="clear" w:pos="567"/>
        </w:tabs>
        <w:spacing w:line="240" w:lineRule="auto"/>
        <w:ind w:hanging="720"/>
        <w:rPr>
          <w:szCs w:val="22"/>
          <w:lang w:val="lt-LT"/>
        </w:rPr>
      </w:pPr>
      <w:r w:rsidRPr="00EB08A6">
        <w:rPr>
          <w:szCs w:val="22"/>
          <w:lang w:val="lt-LT"/>
        </w:rPr>
        <w:t>jeigu Jums yra padidėjęs akispūdis, dėl kurio palaipsniui prarandamas regėjimas (glaukoma);</w:t>
      </w:r>
    </w:p>
    <w:p w14:paraId="14C1D371" w14:textId="77777777" w:rsidR="00EB08A6" w:rsidRPr="00EB08A6" w:rsidRDefault="00EB08A6" w:rsidP="00EB08A6">
      <w:pPr>
        <w:numPr>
          <w:ilvl w:val="0"/>
          <w:numId w:val="11"/>
        </w:numPr>
        <w:tabs>
          <w:tab w:val="clear" w:pos="567"/>
        </w:tabs>
        <w:spacing w:line="240" w:lineRule="auto"/>
        <w:ind w:hanging="720"/>
        <w:rPr>
          <w:szCs w:val="22"/>
          <w:lang w:val="lt-LT"/>
        </w:rPr>
      </w:pPr>
      <w:r w:rsidRPr="00EB08A6">
        <w:rPr>
          <w:szCs w:val="22"/>
          <w:lang w:val="lt-LT"/>
        </w:rPr>
        <w:lastRenderedPageBreak/>
        <w:t xml:space="preserve">jeigu Jums yra alergija </w:t>
      </w:r>
      <w:proofErr w:type="spellStart"/>
      <w:r w:rsidRPr="00EB08A6">
        <w:rPr>
          <w:bCs/>
          <w:color w:val="000000"/>
          <w:szCs w:val="22"/>
          <w:lang w:val="lt-LT"/>
        </w:rPr>
        <w:t>solifenacino</w:t>
      </w:r>
      <w:proofErr w:type="spellEnd"/>
      <w:r w:rsidRPr="00EB08A6">
        <w:rPr>
          <w:bCs/>
          <w:color w:val="000000"/>
          <w:szCs w:val="22"/>
          <w:lang w:val="lt-LT"/>
        </w:rPr>
        <w:t xml:space="preserve"> </w:t>
      </w:r>
      <w:proofErr w:type="spellStart"/>
      <w:r w:rsidRPr="00EB08A6">
        <w:rPr>
          <w:bCs/>
          <w:color w:val="000000"/>
          <w:szCs w:val="22"/>
          <w:lang w:val="lt-LT"/>
        </w:rPr>
        <w:t>sukcinatui</w:t>
      </w:r>
      <w:proofErr w:type="spellEnd"/>
      <w:r w:rsidRPr="00EB08A6">
        <w:rPr>
          <w:bCs/>
          <w:color w:val="000000"/>
          <w:szCs w:val="22"/>
          <w:lang w:val="lt-LT"/>
        </w:rPr>
        <w:t xml:space="preserve"> </w:t>
      </w:r>
      <w:r w:rsidRPr="00EB08A6">
        <w:rPr>
          <w:szCs w:val="22"/>
          <w:lang w:val="lt-LT"/>
        </w:rPr>
        <w:t>arba bet kuriai pagalbinei šio vaisto medžiagai (jos išvardytos 6 skyriuje);</w:t>
      </w:r>
    </w:p>
    <w:p w14:paraId="6AD945ED" w14:textId="77777777" w:rsidR="00EB08A6" w:rsidRPr="00EB08A6" w:rsidRDefault="00EB08A6" w:rsidP="00EB08A6">
      <w:pPr>
        <w:numPr>
          <w:ilvl w:val="0"/>
          <w:numId w:val="11"/>
        </w:numPr>
        <w:tabs>
          <w:tab w:val="clear" w:pos="567"/>
        </w:tabs>
        <w:spacing w:line="240" w:lineRule="auto"/>
        <w:ind w:hanging="720"/>
        <w:rPr>
          <w:szCs w:val="22"/>
          <w:lang w:val="lt-LT"/>
        </w:rPr>
      </w:pPr>
      <w:r w:rsidRPr="00EB08A6">
        <w:rPr>
          <w:szCs w:val="22"/>
          <w:lang w:val="lt-LT"/>
        </w:rPr>
        <w:t>jeigu Jums taikoma hemodializė;</w:t>
      </w:r>
    </w:p>
    <w:p w14:paraId="2C5C97ED" w14:textId="77777777" w:rsidR="00EB08A6" w:rsidRPr="00EB08A6" w:rsidRDefault="00EB08A6" w:rsidP="00EB08A6">
      <w:pPr>
        <w:tabs>
          <w:tab w:val="num" w:pos="720"/>
        </w:tabs>
        <w:rPr>
          <w:szCs w:val="22"/>
          <w:lang w:val="lt-LT"/>
        </w:rPr>
      </w:pPr>
      <w:r w:rsidRPr="00EB08A6">
        <w:rPr>
          <w:szCs w:val="22"/>
          <w:lang w:val="lt-LT"/>
        </w:rPr>
        <w:t>–</w:t>
      </w:r>
      <w:r w:rsidRPr="00EB08A6">
        <w:rPr>
          <w:szCs w:val="22"/>
          <w:lang w:val="lt-LT"/>
        </w:rPr>
        <w:tab/>
        <w:t>jeigu sergate sunkia kepenų liga;</w:t>
      </w:r>
    </w:p>
    <w:p w14:paraId="773D1844" w14:textId="77777777" w:rsidR="00EB08A6" w:rsidRPr="00EB08A6" w:rsidRDefault="00EB08A6" w:rsidP="00EB08A6">
      <w:pPr>
        <w:tabs>
          <w:tab w:val="num" w:pos="720"/>
        </w:tabs>
        <w:ind w:left="709" w:hanging="709"/>
        <w:rPr>
          <w:szCs w:val="22"/>
          <w:lang w:val="lt-LT"/>
        </w:rPr>
      </w:pPr>
      <w:r w:rsidRPr="00EB08A6">
        <w:rPr>
          <w:szCs w:val="22"/>
          <w:lang w:val="lt-LT"/>
        </w:rPr>
        <w:t>–</w:t>
      </w:r>
      <w:r w:rsidRPr="00EB08A6">
        <w:rPr>
          <w:szCs w:val="22"/>
          <w:lang w:val="lt-LT"/>
        </w:rPr>
        <w:tab/>
        <w:t xml:space="preserve">jeigu sergate sunkia inkstų arba vidutinio sunkumo kepenų liga ir tuo pat metu vartojate vaistus, kurie gali slopinti </w:t>
      </w:r>
      <w:proofErr w:type="spellStart"/>
      <w:r w:rsidRPr="00EB08A6">
        <w:rPr>
          <w:szCs w:val="22"/>
          <w:lang w:val="lt-LT"/>
        </w:rPr>
        <w:t>Vesicare</w:t>
      </w:r>
      <w:proofErr w:type="spellEnd"/>
      <w:r w:rsidRPr="00EB08A6">
        <w:rPr>
          <w:szCs w:val="22"/>
          <w:lang w:val="lt-LT"/>
        </w:rPr>
        <w:t xml:space="preserve"> šalinimą iš organizmo (pvz., </w:t>
      </w:r>
      <w:proofErr w:type="spellStart"/>
      <w:r w:rsidRPr="00EB08A6">
        <w:rPr>
          <w:szCs w:val="22"/>
          <w:lang w:val="lt-LT"/>
        </w:rPr>
        <w:t>ketokonazolą</w:t>
      </w:r>
      <w:proofErr w:type="spellEnd"/>
      <w:r w:rsidRPr="00EB08A6">
        <w:rPr>
          <w:szCs w:val="22"/>
          <w:lang w:val="lt-LT"/>
        </w:rPr>
        <w:t>). Apie tai Jus perspės gydantis gydytojas ar vaistininkas.</w:t>
      </w:r>
    </w:p>
    <w:p w14:paraId="7DD8D93E" w14:textId="77777777" w:rsidR="00EB08A6" w:rsidRPr="00EB08A6" w:rsidRDefault="00EB08A6" w:rsidP="00EB08A6">
      <w:pPr>
        <w:rPr>
          <w:szCs w:val="22"/>
          <w:lang w:val="lt-LT"/>
        </w:rPr>
      </w:pPr>
    </w:p>
    <w:p w14:paraId="03131923" w14:textId="77777777" w:rsidR="00EB08A6" w:rsidRPr="00EB08A6" w:rsidRDefault="00EB08A6" w:rsidP="00EB08A6">
      <w:pPr>
        <w:rPr>
          <w:color w:val="000000"/>
          <w:szCs w:val="22"/>
          <w:lang w:val="lt-LT"/>
        </w:rPr>
      </w:pPr>
      <w:r w:rsidRPr="00EB08A6">
        <w:rPr>
          <w:color w:val="000000"/>
          <w:szCs w:val="22"/>
          <w:lang w:val="lt-LT"/>
        </w:rPr>
        <w:t xml:space="preserve">Jeigu Jums yra arba anksčiau buvo pasireiškęs bent vienas iš anksčiau išvardintų sutrikimų, prieš pradėdami vartoti </w:t>
      </w:r>
      <w:proofErr w:type="spellStart"/>
      <w:r w:rsidRPr="00EB08A6">
        <w:rPr>
          <w:color w:val="000000"/>
          <w:szCs w:val="22"/>
          <w:lang w:val="lt-LT"/>
        </w:rPr>
        <w:t>Vesicare</w:t>
      </w:r>
      <w:proofErr w:type="spellEnd"/>
      <w:r w:rsidRPr="00EB08A6">
        <w:rPr>
          <w:color w:val="000000"/>
          <w:szCs w:val="22"/>
          <w:lang w:val="lt-LT"/>
        </w:rPr>
        <w:t xml:space="preserve"> pasakykite apie tai savo gydytojui. </w:t>
      </w:r>
    </w:p>
    <w:p w14:paraId="0EB7FFB3" w14:textId="77777777" w:rsidR="00EB08A6" w:rsidRPr="00EB08A6" w:rsidRDefault="00EB08A6" w:rsidP="00EB08A6">
      <w:pPr>
        <w:rPr>
          <w:color w:val="000000"/>
          <w:szCs w:val="22"/>
          <w:lang w:val="lt-LT"/>
        </w:rPr>
      </w:pPr>
    </w:p>
    <w:p w14:paraId="43D94168" w14:textId="77777777" w:rsidR="00EB08A6" w:rsidRPr="00EB08A6" w:rsidRDefault="00EB08A6" w:rsidP="00EB08A6">
      <w:pPr>
        <w:pStyle w:val="Antrat2"/>
        <w:spacing w:before="0"/>
        <w:rPr>
          <w:rFonts w:ascii="Times New Roman" w:hAnsi="Times New Roman"/>
          <w:i w:val="0"/>
          <w:sz w:val="22"/>
          <w:szCs w:val="22"/>
          <w:lang w:val="lt-LT"/>
        </w:rPr>
      </w:pPr>
      <w:bookmarkStart w:id="83" w:name="_i4i2hOgK3eCqJhZjhSBMZ9aUn"/>
      <w:bookmarkStart w:id="84" w:name="_i4i7dxPtidsc8EslSC2hncKun"/>
      <w:bookmarkEnd w:id="83"/>
      <w:bookmarkEnd w:id="84"/>
      <w:r w:rsidRPr="00EB08A6">
        <w:rPr>
          <w:rFonts w:ascii="Times New Roman" w:hAnsi="Times New Roman"/>
          <w:i w:val="0"/>
          <w:sz w:val="22"/>
          <w:szCs w:val="22"/>
          <w:lang w:val="lt-LT"/>
        </w:rPr>
        <w:t>Įspėjimai ir atsargumo priemonės</w:t>
      </w:r>
    </w:p>
    <w:p w14:paraId="00AF194A" w14:textId="77777777" w:rsidR="00EB08A6" w:rsidRPr="00EB08A6" w:rsidRDefault="00EB08A6" w:rsidP="00EB08A6">
      <w:pPr>
        <w:rPr>
          <w:szCs w:val="22"/>
          <w:lang w:val="lt-LT"/>
        </w:rPr>
      </w:pPr>
      <w:r w:rsidRPr="00EB08A6">
        <w:rPr>
          <w:szCs w:val="22"/>
          <w:lang w:val="lt-LT"/>
        </w:rPr>
        <w:t xml:space="preserve">Pasitarkite su gydytoju arba vaistininku prieš pradėdami vartoti </w:t>
      </w:r>
      <w:proofErr w:type="spellStart"/>
      <w:r w:rsidRPr="00EB08A6">
        <w:rPr>
          <w:szCs w:val="22"/>
          <w:lang w:val="lt-LT"/>
        </w:rPr>
        <w:t>Vesicare</w:t>
      </w:r>
      <w:proofErr w:type="spellEnd"/>
      <w:r w:rsidRPr="00EB08A6">
        <w:rPr>
          <w:szCs w:val="22"/>
          <w:lang w:val="lt-LT"/>
        </w:rPr>
        <w:t>:</w:t>
      </w:r>
    </w:p>
    <w:p w14:paraId="5869CB94"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 xml:space="preserve">jeigu Jums sunku šlapintis (šlapimo pūslės obstrukcija) ar sutrikęs </w:t>
      </w:r>
      <w:proofErr w:type="spellStart"/>
      <w:r w:rsidRPr="00EB08A6">
        <w:rPr>
          <w:szCs w:val="22"/>
          <w:lang w:val="lt-LT"/>
        </w:rPr>
        <w:t>šlapinimasis</w:t>
      </w:r>
      <w:proofErr w:type="spellEnd"/>
      <w:r w:rsidRPr="00EB08A6">
        <w:rPr>
          <w:szCs w:val="22"/>
          <w:lang w:val="lt-LT"/>
        </w:rPr>
        <w:t xml:space="preserve"> (silpna šlapimo srovė) ir neatliekate švarios protarpinės </w:t>
      </w:r>
      <w:proofErr w:type="spellStart"/>
      <w:r w:rsidRPr="00EB08A6">
        <w:rPr>
          <w:szCs w:val="22"/>
          <w:lang w:val="lt-LT"/>
        </w:rPr>
        <w:t>kateterizacijos</w:t>
      </w:r>
      <w:proofErr w:type="spellEnd"/>
      <w:r w:rsidRPr="00EB08A6">
        <w:rPr>
          <w:szCs w:val="22"/>
          <w:lang w:val="lt-LT"/>
        </w:rPr>
        <w:t xml:space="preserve"> (ŠPK). Tokiu atveju Jums gresia didesnė šlapimo kaupimosi šlapimo pūslėje (šlapimo susilaikymo) rizika; </w:t>
      </w:r>
    </w:p>
    <w:p w14:paraId="6DB3C03C"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jeigu Jums yra virškinimo trakto obstrukcija (vidurių užkietėjimas);</w:t>
      </w:r>
    </w:p>
    <w:p w14:paraId="23E2B070"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jeigu yra rizika, kad sulėtės Jūsų virškinimo trakto veikla (skrandžio ir žarnyno peristaltika). Apie tai Jus perspės Jūsų gydytojas;</w:t>
      </w:r>
    </w:p>
    <w:p w14:paraId="4A978F3B"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jeigu sergate bet kokiomis ligomis, dėl kurių gali atsirasti širdies ritmo sutrikimų, ypač sutrikimas, žinomas kaip QT intervalo pailgėjimas;</w:t>
      </w:r>
    </w:p>
    <w:p w14:paraId="335E9C68"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jeigu sergate sunkia inkstų liga;</w:t>
      </w:r>
    </w:p>
    <w:p w14:paraId="4FA310AE"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jeigu sergate vidutinio sunkumo kepenų liga;</w:t>
      </w:r>
    </w:p>
    <w:p w14:paraId="3DC3C751"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r w:rsidRPr="00EB08A6">
        <w:rPr>
          <w:szCs w:val="22"/>
          <w:lang w:val="lt-LT"/>
        </w:rPr>
        <w:t>jeigu turite stemplės angos išvaržą (diafragminė išvarža) ar pasireiškia rėmuo;</w:t>
      </w:r>
    </w:p>
    <w:p w14:paraId="1AC23BAE" w14:textId="77777777" w:rsidR="00EB08A6" w:rsidRPr="00EB08A6" w:rsidRDefault="00EB08A6" w:rsidP="00EB08A6">
      <w:pPr>
        <w:pStyle w:val="Sraopastraipa"/>
        <w:numPr>
          <w:ilvl w:val="0"/>
          <w:numId w:val="37"/>
        </w:numPr>
        <w:tabs>
          <w:tab w:val="clear" w:pos="567"/>
        </w:tabs>
        <w:spacing w:line="240" w:lineRule="auto"/>
        <w:ind w:left="567" w:hanging="567"/>
        <w:contextualSpacing/>
        <w:rPr>
          <w:szCs w:val="22"/>
          <w:lang w:val="lt-LT"/>
        </w:rPr>
      </w:pPr>
      <w:proofErr w:type="spellStart"/>
      <w:r w:rsidRPr="00EB08A6">
        <w:rPr>
          <w:szCs w:val="22"/>
          <w:lang w:val="fr-FR"/>
        </w:rPr>
        <w:t>jeigu</w:t>
      </w:r>
      <w:proofErr w:type="spellEnd"/>
      <w:r w:rsidRPr="00EB08A6">
        <w:rPr>
          <w:szCs w:val="22"/>
          <w:lang w:val="fr-FR"/>
        </w:rPr>
        <w:t xml:space="preserve"> </w:t>
      </w:r>
      <w:proofErr w:type="spellStart"/>
      <w:r w:rsidRPr="00EB08A6">
        <w:rPr>
          <w:szCs w:val="22"/>
          <w:lang w:val="fr-FR"/>
        </w:rPr>
        <w:t>sergate</w:t>
      </w:r>
      <w:proofErr w:type="spellEnd"/>
      <w:r w:rsidRPr="00EB08A6">
        <w:rPr>
          <w:szCs w:val="22"/>
          <w:lang w:val="fr-FR"/>
        </w:rPr>
        <w:t xml:space="preserve"> </w:t>
      </w:r>
      <w:proofErr w:type="spellStart"/>
      <w:r w:rsidRPr="00EB08A6">
        <w:rPr>
          <w:szCs w:val="22"/>
          <w:lang w:val="fr-FR"/>
        </w:rPr>
        <w:t>nervų</w:t>
      </w:r>
      <w:proofErr w:type="spellEnd"/>
      <w:r w:rsidRPr="00EB08A6">
        <w:rPr>
          <w:szCs w:val="22"/>
          <w:lang w:val="fr-FR"/>
        </w:rPr>
        <w:t xml:space="preserve"> </w:t>
      </w:r>
      <w:proofErr w:type="spellStart"/>
      <w:r w:rsidRPr="00EB08A6">
        <w:rPr>
          <w:szCs w:val="22"/>
          <w:lang w:val="fr-FR"/>
        </w:rPr>
        <w:t>sistemos</w:t>
      </w:r>
      <w:proofErr w:type="spellEnd"/>
      <w:r w:rsidRPr="00EB08A6">
        <w:rPr>
          <w:szCs w:val="22"/>
          <w:lang w:val="fr-FR"/>
        </w:rPr>
        <w:t xml:space="preserve"> </w:t>
      </w:r>
      <w:proofErr w:type="spellStart"/>
      <w:r w:rsidRPr="00EB08A6">
        <w:rPr>
          <w:szCs w:val="22"/>
          <w:lang w:val="fr-FR"/>
        </w:rPr>
        <w:t>sutrikimu</w:t>
      </w:r>
      <w:proofErr w:type="spellEnd"/>
      <w:r w:rsidRPr="00EB08A6">
        <w:rPr>
          <w:szCs w:val="22"/>
          <w:lang w:val="fr-FR"/>
        </w:rPr>
        <w:t xml:space="preserve"> (</w:t>
      </w:r>
      <w:proofErr w:type="spellStart"/>
      <w:r w:rsidRPr="00EB08A6">
        <w:rPr>
          <w:szCs w:val="22"/>
          <w:lang w:val="fr-FR"/>
        </w:rPr>
        <w:t>autonomine</w:t>
      </w:r>
      <w:proofErr w:type="spellEnd"/>
      <w:r w:rsidRPr="00EB08A6">
        <w:rPr>
          <w:szCs w:val="22"/>
          <w:lang w:val="fr-FR"/>
        </w:rPr>
        <w:t xml:space="preserve"> </w:t>
      </w:r>
      <w:proofErr w:type="spellStart"/>
      <w:r w:rsidRPr="00EB08A6">
        <w:rPr>
          <w:szCs w:val="22"/>
          <w:lang w:val="fr-FR"/>
        </w:rPr>
        <w:t>neuropatija</w:t>
      </w:r>
      <w:proofErr w:type="spellEnd"/>
      <w:r w:rsidRPr="00EB08A6">
        <w:rPr>
          <w:szCs w:val="22"/>
          <w:lang w:val="fr-FR"/>
        </w:rPr>
        <w:t>).</w:t>
      </w:r>
    </w:p>
    <w:p w14:paraId="2878401A" w14:textId="77777777" w:rsidR="00EB08A6" w:rsidRPr="00EB08A6" w:rsidRDefault="00EB08A6" w:rsidP="00EB08A6">
      <w:pPr>
        <w:ind w:right="-2"/>
        <w:rPr>
          <w:szCs w:val="22"/>
          <w:lang w:val="lt-LT"/>
        </w:rPr>
      </w:pPr>
    </w:p>
    <w:p w14:paraId="284000A3" w14:textId="77777777" w:rsidR="00EB08A6" w:rsidRPr="00EB08A6" w:rsidRDefault="00EB08A6" w:rsidP="00EB08A6">
      <w:pPr>
        <w:ind w:right="-2"/>
        <w:rPr>
          <w:color w:val="000000"/>
          <w:szCs w:val="22"/>
          <w:lang w:val="lt-LT"/>
        </w:rPr>
      </w:pPr>
      <w:r w:rsidRPr="00EB08A6">
        <w:rPr>
          <w:color w:val="000000"/>
          <w:szCs w:val="22"/>
          <w:lang w:val="lt-LT"/>
        </w:rPr>
        <w:t xml:space="preserve">Jeigu Jums yra arba ankščiau buvo pasireiškęs bent vienas iš anksčiau išvardintų sutrikimų, prieš pradėdami vartoti </w:t>
      </w:r>
      <w:proofErr w:type="spellStart"/>
      <w:r w:rsidRPr="00EB08A6">
        <w:rPr>
          <w:color w:val="000000"/>
          <w:szCs w:val="22"/>
          <w:lang w:val="lt-LT"/>
        </w:rPr>
        <w:t>Vesicare</w:t>
      </w:r>
      <w:proofErr w:type="spellEnd"/>
      <w:r w:rsidRPr="00EB08A6">
        <w:rPr>
          <w:color w:val="000000"/>
          <w:szCs w:val="22"/>
          <w:lang w:val="lt-LT"/>
        </w:rPr>
        <w:t xml:space="preserve"> pasakykite apie tai savo gydytojui. </w:t>
      </w:r>
    </w:p>
    <w:p w14:paraId="3A6522DD" w14:textId="77777777" w:rsidR="00EB08A6" w:rsidRPr="00EB08A6" w:rsidRDefault="00EB08A6" w:rsidP="00EB08A6">
      <w:pPr>
        <w:ind w:right="-2"/>
        <w:rPr>
          <w:color w:val="000000"/>
          <w:szCs w:val="22"/>
          <w:lang w:val="lt-LT"/>
        </w:rPr>
      </w:pPr>
    </w:p>
    <w:p w14:paraId="54F75439" w14:textId="77777777" w:rsidR="00EB08A6" w:rsidRPr="00EB08A6" w:rsidRDefault="00EB08A6" w:rsidP="00EB08A6">
      <w:pPr>
        <w:ind w:right="-2"/>
        <w:rPr>
          <w:color w:val="000000"/>
          <w:szCs w:val="22"/>
          <w:lang w:val="lt-LT"/>
        </w:rPr>
      </w:pPr>
      <w:r w:rsidRPr="00EB08A6">
        <w:rPr>
          <w:color w:val="000000"/>
          <w:szCs w:val="22"/>
          <w:lang w:val="lt-LT"/>
        </w:rPr>
        <w:t xml:space="preserve">Prieš pradedant gydymą </w:t>
      </w:r>
      <w:proofErr w:type="spellStart"/>
      <w:r w:rsidRPr="00EB08A6">
        <w:rPr>
          <w:color w:val="000000"/>
          <w:szCs w:val="22"/>
          <w:lang w:val="lt-LT"/>
        </w:rPr>
        <w:t>Vesicare</w:t>
      </w:r>
      <w:proofErr w:type="spellEnd"/>
      <w:r w:rsidRPr="00EB08A6">
        <w:rPr>
          <w:color w:val="000000"/>
          <w:szCs w:val="22"/>
          <w:lang w:val="lt-LT"/>
        </w:rPr>
        <w:t xml:space="preserve">, gydytojas įvertins, ar nėra kokių nors kitų priežasčių, dėl kurių dažniau šlapinatės (pvz., dėl širdies nepakankamumo (nepakankama širdies susitraukimo jėga) ar inkstų ligų). Jeigu sergate šlapimo takų infekcine liga, gydytojas paskirs vartoti antibiotikų (gydymą nuo tam tikros bakterijų sukeltos infekcinės ligos). </w:t>
      </w:r>
    </w:p>
    <w:p w14:paraId="2F66E3AD" w14:textId="77777777" w:rsidR="00EB08A6" w:rsidRPr="00EB08A6" w:rsidRDefault="00EB08A6" w:rsidP="00EB08A6">
      <w:pPr>
        <w:autoSpaceDE w:val="0"/>
        <w:autoSpaceDN w:val="0"/>
        <w:adjustRightInd w:val="0"/>
        <w:rPr>
          <w:szCs w:val="22"/>
          <w:lang w:val="lt-LT"/>
        </w:rPr>
      </w:pPr>
    </w:p>
    <w:p w14:paraId="19393CF1" w14:textId="77777777" w:rsidR="00EB08A6" w:rsidRPr="00EB08A6" w:rsidRDefault="00EB08A6" w:rsidP="00EB08A6">
      <w:pPr>
        <w:pStyle w:val="Antrat2"/>
        <w:spacing w:before="0"/>
        <w:rPr>
          <w:rFonts w:ascii="Times New Roman" w:hAnsi="Times New Roman"/>
          <w:i w:val="0"/>
          <w:sz w:val="22"/>
          <w:szCs w:val="22"/>
          <w:lang w:val="lt-LT"/>
        </w:rPr>
      </w:pPr>
      <w:r w:rsidRPr="00EB08A6">
        <w:rPr>
          <w:rFonts w:ascii="Times New Roman" w:hAnsi="Times New Roman"/>
          <w:i w:val="0"/>
          <w:sz w:val="22"/>
          <w:szCs w:val="22"/>
          <w:lang w:val="lt-LT"/>
        </w:rPr>
        <w:t>Vaikams ir paaugliams</w:t>
      </w:r>
    </w:p>
    <w:p w14:paraId="43E39BE7" w14:textId="77777777" w:rsidR="00EB08A6" w:rsidRPr="00EB08A6" w:rsidRDefault="00EB08A6" w:rsidP="00EB08A6">
      <w:pPr>
        <w:numPr>
          <w:ilvl w:val="12"/>
          <w:numId w:val="0"/>
        </w:numPr>
        <w:ind w:right="-2"/>
        <w:rPr>
          <w:szCs w:val="22"/>
          <w:lang w:val="lt-LT"/>
        </w:rPr>
      </w:pPr>
      <w:proofErr w:type="spellStart"/>
      <w:r w:rsidRPr="00EB08A6">
        <w:rPr>
          <w:bCs/>
          <w:szCs w:val="22"/>
          <w:lang w:val="lt-LT"/>
        </w:rPr>
        <w:t>Vesicare</w:t>
      </w:r>
      <w:proofErr w:type="spellEnd"/>
      <w:r w:rsidRPr="00EB08A6">
        <w:rPr>
          <w:szCs w:val="22"/>
          <w:lang w:val="lt-LT"/>
        </w:rPr>
        <w:t xml:space="preserve"> negalima skirti jaunesniems kaip 2 metų vaikams gydyti nuo </w:t>
      </w:r>
      <w:proofErr w:type="spellStart"/>
      <w:r w:rsidRPr="00EB08A6">
        <w:rPr>
          <w:szCs w:val="22"/>
          <w:lang w:val="lt-LT"/>
        </w:rPr>
        <w:t>neurogeninio</w:t>
      </w:r>
      <w:proofErr w:type="spellEnd"/>
      <w:r w:rsidRPr="00EB08A6">
        <w:rPr>
          <w:szCs w:val="22"/>
          <w:lang w:val="lt-LT"/>
        </w:rPr>
        <w:t xml:space="preserve"> padidėjusio šlapimo pūslės aktyvumo.</w:t>
      </w:r>
    </w:p>
    <w:p w14:paraId="0DE0C928" w14:textId="77777777" w:rsidR="00EB08A6" w:rsidRPr="00EB08A6" w:rsidRDefault="00EB08A6" w:rsidP="00EB08A6">
      <w:pPr>
        <w:numPr>
          <w:ilvl w:val="12"/>
          <w:numId w:val="0"/>
        </w:numPr>
        <w:ind w:right="-2"/>
        <w:rPr>
          <w:szCs w:val="22"/>
          <w:lang w:val="lt-LT"/>
        </w:rPr>
      </w:pPr>
    </w:p>
    <w:p w14:paraId="0391CE04" w14:textId="77777777" w:rsidR="00EB08A6" w:rsidRPr="00EB08A6" w:rsidRDefault="00EB08A6" w:rsidP="00EB08A6">
      <w:pPr>
        <w:numPr>
          <w:ilvl w:val="12"/>
          <w:numId w:val="0"/>
        </w:numPr>
        <w:ind w:right="-2"/>
        <w:rPr>
          <w:szCs w:val="22"/>
          <w:lang w:val="lt-LT"/>
        </w:rPr>
      </w:pPr>
      <w:proofErr w:type="spellStart"/>
      <w:r w:rsidRPr="00EB08A6">
        <w:rPr>
          <w:szCs w:val="22"/>
          <w:lang w:val="lt-LT"/>
        </w:rPr>
        <w:t>Vesicare</w:t>
      </w:r>
      <w:proofErr w:type="spellEnd"/>
      <w:r w:rsidRPr="00EB08A6">
        <w:rPr>
          <w:szCs w:val="22"/>
          <w:lang w:val="lt-LT"/>
        </w:rPr>
        <w:t xml:space="preserve"> negalima skirti jaunesniems kaip 18 metų vaikams gydyti nuo padidėjusio šlapimo pūslės aktyvumo.</w:t>
      </w:r>
    </w:p>
    <w:p w14:paraId="0B9911B3" w14:textId="77777777" w:rsidR="00EB08A6" w:rsidRPr="00EB08A6" w:rsidRDefault="00EB08A6" w:rsidP="00EB08A6">
      <w:pPr>
        <w:numPr>
          <w:ilvl w:val="12"/>
          <w:numId w:val="0"/>
        </w:numPr>
        <w:ind w:right="-2"/>
        <w:rPr>
          <w:szCs w:val="22"/>
          <w:lang w:val="lt-LT"/>
        </w:rPr>
      </w:pPr>
    </w:p>
    <w:p w14:paraId="0A48B3E2" w14:textId="77777777" w:rsidR="00EB08A6" w:rsidRPr="00EB08A6" w:rsidRDefault="00EB08A6" w:rsidP="00EB08A6">
      <w:pPr>
        <w:pStyle w:val="Antrat2"/>
        <w:spacing w:before="0"/>
        <w:rPr>
          <w:rFonts w:ascii="Times New Roman" w:hAnsi="Times New Roman"/>
          <w:i w:val="0"/>
          <w:sz w:val="22"/>
          <w:szCs w:val="22"/>
          <w:lang w:val="lt-LT"/>
        </w:rPr>
      </w:pPr>
      <w:bookmarkStart w:id="85" w:name="_i4i1HKEEFVXMq58qvhDcKB5Bp"/>
      <w:bookmarkStart w:id="86" w:name="_i4i5Im7ag91goObM8wvMhiPGw"/>
      <w:bookmarkEnd w:id="85"/>
      <w:bookmarkEnd w:id="86"/>
      <w:r w:rsidRPr="00EB08A6">
        <w:rPr>
          <w:rFonts w:ascii="Times New Roman" w:hAnsi="Times New Roman"/>
          <w:i w:val="0"/>
          <w:sz w:val="22"/>
          <w:szCs w:val="22"/>
          <w:lang w:val="lt-LT"/>
        </w:rPr>
        <w:t xml:space="preserve">Kiti vaistai ir </w:t>
      </w:r>
      <w:r w:rsidRPr="00EB08A6">
        <w:rPr>
          <w:rFonts w:ascii="Times New Roman" w:hAnsi="Times New Roman"/>
          <w:i w:val="0"/>
          <w:noProof/>
          <w:sz w:val="22"/>
          <w:szCs w:val="22"/>
        </w:rPr>
        <w:t>Vesicare</w:t>
      </w:r>
    </w:p>
    <w:p w14:paraId="22298CE4" w14:textId="77777777" w:rsidR="00EB08A6" w:rsidRPr="00EB08A6" w:rsidRDefault="00EB08A6" w:rsidP="00EB08A6">
      <w:pPr>
        <w:rPr>
          <w:szCs w:val="22"/>
          <w:lang w:val="lt-LT"/>
        </w:rPr>
      </w:pPr>
      <w:r w:rsidRPr="00EB08A6">
        <w:rPr>
          <w:szCs w:val="22"/>
          <w:lang w:val="lt-LT"/>
        </w:rPr>
        <w:t>Jeigu vartojate ar neseniai vartojote kitų vaistų arba dėl to nesate tikri, apie tai pasakykite gydytojui arba vaistininkui.</w:t>
      </w:r>
    </w:p>
    <w:p w14:paraId="2F0ECB9D" w14:textId="77777777" w:rsidR="00EB08A6" w:rsidRPr="00EB08A6" w:rsidRDefault="00EB08A6" w:rsidP="00EB08A6">
      <w:pPr>
        <w:rPr>
          <w:szCs w:val="22"/>
          <w:lang w:val="lt-LT"/>
        </w:rPr>
      </w:pPr>
    </w:p>
    <w:p w14:paraId="65A61622" w14:textId="77777777" w:rsidR="00EB08A6" w:rsidRPr="00EB08A6" w:rsidRDefault="00EB08A6" w:rsidP="00EB08A6">
      <w:pPr>
        <w:rPr>
          <w:szCs w:val="22"/>
          <w:lang w:val="lt-LT"/>
        </w:rPr>
      </w:pPr>
      <w:r w:rsidRPr="00EB08A6">
        <w:rPr>
          <w:szCs w:val="22"/>
          <w:lang w:val="lt-LT"/>
        </w:rPr>
        <w:t>Labai svarbu pasakyti gydytojui, jeigu vartojate:</w:t>
      </w:r>
    </w:p>
    <w:p w14:paraId="2FABF6DC" w14:textId="77777777" w:rsidR="00EB08A6" w:rsidRPr="00EB08A6" w:rsidRDefault="00EB08A6" w:rsidP="00EB08A6">
      <w:pPr>
        <w:numPr>
          <w:ilvl w:val="0"/>
          <w:numId w:val="5"/>
        </w:numPr>
        <w:tabs>
          <w:tab w:val="clear" w:pos="567"/>
          <w:tab w:val="clear" w:pos="720"/>
        </w:tabs>
        <w:spacing w:line="240" w:lineRule="auto"/>
        <w:ind w:left="567" w:hanging="567"/>
        <w:rPr>
          <w:szCs w:val="22"/>
          <w:lang w:val="lt-LT"/>
        </w:rPr>
      </w:pPr>
      <w:r w:rsidRPr="00EB08A6">
        <w:rPr>
          <w:szCs w:val="22"/>
          <w:lang w:val="lt-LT"/>
        </w:rPr>
        <w:t xml:space="preserve">kitų </w:t>
      </w:r>
      <w:proofErr w:type="spellStart"/>
      <w:r w:rsidRPr="00EB08A6">
        <w:rPr>
          <w:szCs w:val="22"/>
          <w:lang w:val="lt-LT"/>
        </w:rPr>
        <w:t>anticholinerginių</w:t>
      </w:r>
      <w:proofErr w:type="spellEnd"/>
      <w:r w:rsidRPr="00EB08A6">
        <w:rPr>
          <w:szCs w:val="22"/>
          <w:lang w:val="lt-LT"/>
        </w:rPr>
        <w:t xml:space="preserve"> vaistų, nes gali sustiprėti abiejų vaistų poveikis ir šalutinis poveikis</w:t>
      </w:r>
      <w:r w:rsidRPr="00EB08A6">
        <w:rPr>
          <w:rFonts w:eastAsia="MS Mincho"/>
          <w:szCs w:val="22"/>
          <w:lang w:val="lt-LT"/>
        </w:rPr>
        <w:t>;</w:t>
      </w:r>
    </w:p>
    <w:p w14:paraId="732A2DF6" w14:textId="77777777" w:rsidR="00EB08A6" w:rsidRPr="00EB08A6" w:rsidRDefault="00EB08A6" w:rsidP="00EB08A6">
      <w:pPr>
        <w:numPr>
          <w:ilvl w:val="0"/>
          <w:numId w:val="5"/>
        </w:numPr>
        <w:tabs>
          <w:tab w:val="clear" w:pos="567"/>
          <w:tab w:val="clear" w:pos="720"/>
        </w:tabs>
        <w:spacing w:line="240" w:lineRule="auto"/>
        <w:ind w:left="567" w:hanging="567"/>
        <w:rPr>
          <w:szCs w:val="22"/>
          <w:lang w:val="lt-LT"/>
        </w:rPr>
      </w:pPr>
      <w:proofErr w:type="spellStart"/>
      <w:r w:rsidRPr="00EB08A6">
        <w:rPr>
          <w:color w:val="000000"/>
          <w:szCs w:val="22"/>
          <w:lang w:val="lt-LT"/>
        </w:rPr>
        <w:t>cholinerginių</w:t>
      </w:r>
      <w:proofErr w:type="spellEnd"/>
      <w:r w:rsidRPr="00EB08A6">
        <w:rPr>
          <w:color w:val="000000"/>
          <w:szCs w:val="22"/>
          <w:lang w:val="lt-LT"/>
        </w:rPr>
        <w:t xml:space="preserve"> vaistų, nes </w:t>
      </w:r>
      <w:proofErr w:type="spellStart"/>
      <w:r w:rsidRPr="00EB08A6">
        <w:rPr>
          <w:color w:val="000000"/>
          <w:szCs w:val="22"/>
          <w:lang w:val="lt-LT"/>
        </w:rPr>
        <w:t>Vesicare</w:t>
      </w:r>
      <w:proofErr w:type="spellEnd"/>
      <w:r w:rsidRPr="00EB08A6">
        <w:rPr>
          <w:color w:val="000000"/>
          <w:szCs w:val="22"/>
          <w:lang w:val="lt-LT"/>
        </w:rPr>
        <w:t xml:space="preserve"> poveikis gali susilpnėti; </w:t>
      </w:r>
    </w:p>
    <w:p w14:paraId="3432209E" w14:textId="77777777" w:rsidR="00EB08A6" w:rsidRPr="00EB08A6" w:rsidRDefault="00EB08A6" w:rsidP="00EB08A6">
      <w:pPr>
        <w:numPr>
          <w:ilvl w:val="0"/>
          <w:numId w:val="5"/>
        </w:numPr>
        <w:tabs>
          <w:tab w:val="clear" w:pos="567"/>
          <w:tab w:val="clear" w:pos="720"/>
        </w:tabs>
        <w:spacing w:line="240" w:lineRule="auto"/>
        <w:ind w:left="567" w:hanging="567"/>
        <w:rPr>
          <w:szCs w:val="22"/>
          <w:lang w:val="lt-LT"/>
        </w:rPr>
      </w:pPr>
      <w:r w:rsidRPr="00EB08A6">
        <w:rPr>
          <w:color w:val="000000"/>
          <w:szCs w:val="22"/>
          <w:lang w:val="lt-LT"/>
        </w:rPr>
        <w:t xml:space="preserve">virškinimo trakto peristaltiką skatinančių vaistų, pvz., </w:t>
      </w:r>
      <w:proofErr w:type="spellStart"/>
      <w:r w:rsidRPr="00EB08A6">
        <w:rPr>
          <w:color w:val="000000"/>
          <w:szCs w:val="22"/>
          <w:lang w:val="lt-LT"/>
        </w:rPr>
        <w:t>metoklopramido</w:t>
      </w:r>
      <w:proofErr w:type="spellEnd"/>
      <w:r w:rsidRPr="00EB08A6">
        <w:rPr>
          <w:color w:val="000000"/>
          <w:szCs w:val="22"/>
          <w:lang w:val="lt-LT"/>
        </w:rPr>
        <w:t xml:space="preserve"> ar </w:t>
      </w:r>
      <w:proofErr w:type="spellStart"/>
      <w:r w:rsidRPr="00EB08A6">
        <w:rPr>
          <w:color w:val="000000"/>
          <w:szCs w:val="22"/>
          <w:lang w:val="lt-LT"/>
        </w:rPr>
        <w:t>cisaprido</w:t>
      </w:r>
      <w:proofErr w:type="spellEnd"/>
      <w:r w:rsidRPr="00EB08A6">
        <w:rPr>
          <w:color w:val="000000"/>
          <w:szCs w:val="22"/>
          <w:lang w:val="lt-LT"/>
        </w:rPr>
        <w:t xml:space="preserve">. </w:t>
      </w:r>
      <w:proofErr w:type="spellStart"/>
      <w:r w:rsidRPr="00EB08A6">
        <w:rPr>
          <w:color w:val="000000"/>
          <w:szCs w:val="22"/>
          <w:lang w:val="lt-LT"/>
        </w:rPr>
        <w:t>Vesicare</w:t>
      </w:r>
      <w:proofErr w:type="spellEnd"/>
      <w:r w:rsidRPr="00EB08A6">
        <w:rPr>
          <w:color w:val="000000"/>
          <w:szCs w:val="22"/>
          <w:lang w:val="lt-LT"/>
        </w:rPr>
        <w:t xml:space="preserve"> gali silpninti šių vaistų poveikį</w:t>
      </w:r>
      <w:r w:rsidRPr="00EB08A6">
        <w:rPr>
          <w:rFonts w:eastAsia="MS Mincho"/>
          <w:szCs w:val="22"/>
          <w:lang w:val="lt-LT"/>
        </w:rPr>
        <w:t>;</w:t>
      </w:r>
    </w:p>
    <w:p w14:paraId="021A16C2" w14:textId="77777777" w:rsidR="00EB08A6" w:rsidRPr="00EB08A6" w:rsidRDefault="00EB08A6" w:rsidP="00EB08A6">
      <w:pPr>
        <w:numPr>
          <w:ilvl w:val="0"/>
          <w:numId w:val="5"/>
        </w:numPr>
        <w:tabs>
          <w:tab w:val="clear" w:pos="567"/>
          <w:tab w:val="clear" w:pos="720"/>
        </w:tabs>
        <w:spacing w:line="240" w:lineRule="auto"/>
        <w:ind w:left="567" w:hanging="567"/>
        <w:rPr>
          <w:szCs w:val="22"/>
          <w:lang w:val="lt-LT"/>
        </w:rPr>
      </w:pPr>
      <w:r w:rsidRPr="00EB08A6">
        <w:rPr>
          <w:color w:val="000000"/>
          <w:szCs w:val="22"/>
          <w:lang w:val="lt-LT"/>
        </w:rPr>
        <w:t xml:space="preserve">vaistų, kurie mažina </w:t>
      </w:r>
      <w:proofErr w:type="spellStart"/>
      <w:r w:rsidRPr="00EB08A6">
        <w:rPr>
          <w:color w:val="000000"/>
          <w:szCs w:val="22"/>
          <w:lang w:val="lt-LT"/>
        </w:rPr>
        <w:t>Vesicare</w:t>
      </w:r>
      <w:proofErr w:type="spellEnd"/>
      <w:r w:rsidRPr="00EB08A6">
        <w:rPr>
          <w:color w:val="000000"/>
          <w:szCs w:val="22"/>
          <w:lang w:val="lt-LT"/>
        </w:rPr>
        <w:t xml:space="preserve"> skaidymo organizme greitį (pvz., </w:t>
      </w:r>
      <w:proofErr w:type="spellStart"/>
      <w:r w:rsidRPr="00EB08A6">
        <w:rPr>
          <w:color w:val="000000"/>
          <w:szCs w:val="22"/>
          <w:lang w:val="lt-LT"/>
        </w:rPr>
        <w:t>ketokonazolo</w:t>
      </w:r>
      <w:proofErr w:type="spellEnd"/>
      <w:r w:rsidRPr="00EB08A6">
        <w:rPr>
          <w:color w:val="000000"/>
          <w:szCs w:val="22"/>
          <w:lang w:val="lt-LT"/>
        </w:rPr>
        <w:t xml:space="preserve">, </w:t>
      </w:r>
      <w:proofErr w:type="spellStart"/>
      <w:r w:rsidRPr="00EB08A6">
        <w:rPr>
          <w:color w:val="000000"/>
          <w:szCs w:val="22"/>
          <w:lang w:val="lt-LT"/>
        </w:rPr>
        <w:t>ritonaviro</w:t>
      </w:r>
      <w:proofErr w:type="spellEnd"/>
      <w:r w:rsidRPr="00EB08A6">
        <w:rPr>
          <w:color w:val="000000"/>
          <w:szCs w:val="22"/>
          <w:lang w:val="lt-LT"/>
        </w:rPr>
        <w:t xml:space="preserve">, </w:t>
      </w:r>
      <w:proofErr w:type="spellStart"/>
      <w:r w:rsidRPr="00EB08A6">
        <w:rPr>
          <w:color w:val="000000"/>
          <w:szCs w:val="22"/>
          <w:lang w:val="lt-LT"/>
        </w:rPr>
        <w:t>nelfinaviro</w:t>
      </w:r>
      <w:proofErr w:type="spellEnd"/>
      <w:r w:rsidRPr="00EB08A6">
        <w:rPr>
          <w:color w:val="000000"/>
          <w:szCs w:val="22"/>
          <w:lang w:val="lt-LT"/>
        </w:rPr>
        <w:t xml:space="preserve">, </w:t>
      </w:r>
      <w:proofErr w:type="spellStart"/>
      <w:r w:rsidRPr="00EB08A6">
        <w:rPr>
          <w:color w:val="000000"/>
          <w:szCs w:val="22"/>
          <w:lang w:val="lt-LT"/>
        </w:rPr>
        <w:t>itrakonazolo</w:t>
      </w:r>
      <w:proofErr w:type="spellEnd"/>
      <w:r w:rsidRPr="00EB08A6">
        <w:rPr>
          <w:color w:val="000000"/>
          <w:szCs w:val="22"/>
          <w:lang w:val="lt-LT"/>
        </w:rPr>
        <w:t xml:space="preserve">, </w:t>
      </w:r>
      <w:proofErr w:type="spellStart"/>
      <w:r w:rsidRPr="00EB08A6">
        <w:rPr>
          <w:color w:val="000000"/>
          <w:szCs w:val="22"/>
          <w:lang w:val="lt-LT"/>
        </w:rPr>
        <w:t>verapamilio</w:t>
      </w:r>
      <w:proofErr w:type="spellEnd"/>
      <w:r w:rsidRPr="00EB08A6">
        <w:rPr>
          <w:color w:val="000000"/>
          <w:szCs w:val="22"/>
          <w:lang w:val="lt-LT"/>
        </w:rPr>
        <w:t xml:space="preserve"> ir </w:t>
      </w:r>
      <w:proofErr w:type="spellStart"/>
      <w:r w:rsidRPr="00EB08A6">
        <w:rPr>
          <w:color w:val="000000"/>
          <w:szCs w:val="22"/>
          <w:lang w:val="lt-LT"/>
        </w:rPr>
        <w:t>diltiazemo</w:t>
      </w:r>
      <w:proofErr w:type="spellEnd"/>
      <w:r w:rsidRPr="00EB08A6">
        <w:rPr>
          <w:color w:val="000000"/>
          <w:szCs w:val="22"/>
          <w:lang w:val="lt-LT"/>
        </w:rPr>
        <w:t>);</w:t>
      </w:r>
    </w:p>
    <w:p w14:paraId="3DE7BD49" w14:textId="77777777" w:rsidR="00EB08A6" w:rsidRPr="00EB08A6" w:rsidRDefault="00EB08A6" w:rsidP="00EB08A6">
      <w:pPr>
        <w:numPr>
          <w:ilvl w:val="0"/>
          <w:numId w:val="5"/>
        </w:numPr>
        <w:tabs>
          <w:tab w:val="clear" w:pos="567"/>
          <w:tab w:val="clear" w:pos="720"/>
        </w:tabs>
        <w:spacing w:line="240" w:lineRule="auto"/>
        <w:ind w:left="567" w:hanging="567"/>
        <w:rPr>
          <w:color w:val="000000"/>
          <w:szCs w:val="22"/>
          <w:lang w:val="lt-LT"/>
        </w:rPr>
      </w:pPr>
      <w:r w:rsidRPr="00EB08A6">
        <w:rPr>
          <w:color w:val="000000"/>
          <w:szCs w:val="22"/>
          <w:lang w:val="lt-LT"/>
        </w:rPr>
        <w:t xml:space="preserve">vaistų, kurie didina </w:t>
      </w:r>
      <w:proofErr w:type="spellStart"/>
      <w:r w:rsidRPr="00EB08A6">
        <w:rPr>
          <w:color w:val="000000"/>
          <w:szCs w:val="22"/>
          <w:lang w:val="lt-LT"/>
        </w:rPr>
        <w:t>Vesicare</w:t>
      </w:r>
      <w:proofErr w:type="spellEnd"/>
      <w:r w:rsidRPr="00EB08A6">
        <w:rPr>
          <w:color w:val="000000"/>
          <w:szCs w:val="22"/>
          <w:lang w:val="lt-LT"/>
        </w:rPr>
        <w:t xml:space="preserve"> skaidymo organizme greitį (pvz., </w:t>
      </w:r>
      <w:proofErr w:type="spellStart"/>
      <w:r w:rsidRPr="00EB08A6">
        <w:rPr>
          <w:color w:val="000000"/>
          <w:szCs w:val="22"/>
          <w:lang w:val="lt-LT"/>
        </w:rPr>
        <w:t>rifampicino</w:t>
      </w:r>
      <w:proofErr w:type="spellEnd"/>
      <w:r w:rsidRPr="00EB08A6">
        <w:rPr>
          <w:color w:val="000000"/>
          <w:szCs w:val="22"/>
          <w:lang w:val="lt-LT"/>
        </w:rPr>
        <w:t xml:space="preserve">, </w:t>
      </w:r>
      <w:proofErr w:type="spellStart"/>
      <w:r w:rsidRPr="00EB08A6">
        <w:rPr>
          <w:color w:val="000000"/>
          <w:szCs w:val="22"/>
          <w:lang w:val="lt-LT"/>
        </w:rPr>
        <w:t>fenitoino</w:t>
      </w:r>
      <w:proofErr w:type="spellEnd"/>
      <w:r w:rsidRPr="00EB08A6">
        <w:rPr>
          <w:color w:val="000000"/>
          <w:szCs w:val="22"/>
          <w:lang w:val="lt-LT"/>
        </w:rPr>
        <w:t xml:space="preserve"> ir </w:t>
      </w:r>
      <w:proofErr w:type="spellStart"/>
      <w:r w:rsidRPr="00EB08A6">
        <w:rPr>
          <w:color w:val="000000"/>
          <w:szCs w:val="22"/>
          <w:lang w:val="lt-LT"/>
        </w:rPr>
        <w:t>karbamazepino</w:t>
      </w:r>
      <w:proofErr w:type="spellEnd"/>
      <w:r w:rsidRPr="00EB08A6">
        <w:rPr>
          <w:color w:val="000000"/>
          <w:szCs w:val="22"/>
          <w:lang w:val="lt-LT"/>
        </w:rPr>
        <w:t>);</w:t>
      </w:r>
    </w:p>
    <w:p w14:paraId="7E5564D2" w14:textId="77777777" w:rsidR="00EB08A6" w:rsidRPr="00EB08A6" w:rsidRDefault="00EB08A6" w:rsidP="00EB08A6">
      <w:pPr>
        <w:numPr>
          <w:ilvl w:val="0"/>
          <w:numId w:val="5"/>
        </w:numPr>
        <w:tabs>
          <w:tab w:val="clear" w:pos="567"/>
          <w:tab w:val="clear" w:pos="720"/>
        </w:tabs>
        <w:spacing w:line="240" w:lineRule="auto"/>
        <w:ind w:left="567" w:hanging="567"/>
        <w:rPr>
          <w:color w:val="000000"/>
          <w:szCs w:val="22"/>
          <w:lang w:val="lt-LT"/>
        </w:rPr>
      </w:pPr>
      <w:r w:rsidRPr="00EB08A6">
        <w:rPr>
          <w:color w:val="000000"/>
          <w:szCs w:val="22"/>
          <w:lang w:val="lt-LT"/>
        </w:rPr>
        <w:t>vaistų, kurie gali sukelti arba pasunkinti stemplės uždegimą (</w:t>
      </w:r>
      <w:proofErr w:type="spellStart"/>
      <w:r w:rsidRPr="00EB08A6">
        <w:rPr>
          <w:color w:val="000000"/>
          <w:szCs w:val="22"/>
          <w:lang w:val="lt-LT"/>
        </w:rPr>
        <w:t>ezofagitą</w:t>
      </w:r>
      <w:proofErr w:type="spellEnd"/>
      <w:r w:rsidRPr="00EB08A6">
        <w:rPr>
          <w:color w:val="000000"/>
          <w:szCs w:val="22"/>
          <w:lang w:val="lt-LT"/>
        </w:rPr>
        <w:t xml:space="preserve">) (pvz., </w:t>
      </w:r>
      <w:proofErr w:type="spellStart"/>
      <w:r w:rsidRPr="00EB08A6">
        <w:rPr>
          <w:color w:val="000000"/>
          <w:szCs w:val="22"/>
          <w:lang w:val="lt-LT"/>
        </w:rPr>
        <w:t>bisfosfonatų</w:t>
      </w:r>
      <w:proofErr w:type="spellEnd"/>
      <w:r w:rsidRPr="00EB08A6">
        <w:rPr>
          <w:color w:val="000000"/>
          <w:szCs w:val="22"/>
          <w:lang w:val="lt-LT"/>
        </w:rPr>
        <w:t>).</w:t>
      </w:r>
    </w:p>
    <w:p w14:paraId="2D09D230" w14:textId="77777777" w:rsidR="00EB08A6" w:rsidRPr="00EB08A6" w:rsidRDefault="00EB08A6" w:rsidP="00EB08A6">
      <w:pPr>
        <w:rPr>
          <w:color w:val="000000"/>
          <w:szCs w:val="22"/>
          <w:lang w:val="lt-LT"/>
        </w:rPr>
      </w:pPr>
    </w:p>
    <w:p w14:paraId="6CD145B0" w14:textId="77777777" w:rsidR="00EB08A6" w:rsidRPr="00EB08A6" w:rsidRDefault="00EB08A6" w:rsidP="00EB08A6">
      <w:pPr>
        <w:pStyle w:val="Antrat2"/>
        <w:spacing w:before="0"/>
        <w:rPr>
          <w:rFonts w:ascii="Times New Roman" w:hAnsi="Times New Roman"/>
          <w:i w:val="0"/>
          <w:sz w:val="22"/>
          <w:szCs w:val="22"/>
          <w:lang w:val="fr-FR"/>
        </w:rPr>
      </w:pPr>
      <w:bookmarkStart w:id="87" w:name="_i4i1zH5E5HuhUasZzNC5iUQfs"/>
      <w:bookmarkStart w:id="88" w:name="_i4i0NeFhpN19wRlT9eNtNwYrq"/>
      <w:bookmarkStart w:id="89" w:name="_i4i5azFCH9wVa8MyvUUvB0lBG"/>
      <w:bookmarkEnd w:id="87"/>
      <w:bookmarkEnd w:id="88"/>
      <w:bookmarkEnd w:id="89"/>
      <w:proofErr w:type="spellStart"/>
      <w:r w:rsidRPr="00EB08A6">
        <w:rPr>
          <w:rFonts w:ascii="Times New Roman" w:hAnsi="Times New Roman"/>
          <w:i w:val="0"/>
          <w:sz w:val="22"/>
          <w:szCs w:val="22"/>
          <w:lang w:val="lt-LT"/>
        </w:rPr>
        <w:lastRenderedPageBreak/>
        <w:t>Vesicare</w:t>
      </w:r>
      <w:proofErr w:type="spellEnd"/>
      <w:r w:rsidRPr="00EB08A6">
        <w:rPr>
          <w:rFonts w:ascii="Times New Roman" w:hAnsi="Times New Roman"/>
          <w:i w:val="0"/>
          <w:sz w:val="22"/>
          <w:szCs w:val="22"/>
          <w:lang w:val="lt-LT"/>
        </w:rPr>
        <w:t xml:space="preserve"> vartojimas su maistu ir gėrimais </w:t>
      </w:r>
      <w:r w:rsidRPr="00EB08A6">
        <w:rPr>
          <w:rFonts w:ascii="Times New Roman" w:hAnsi="Times New Roman"/>
          <w:i w:val="0"/>
          <w:sz w:val="22"/>
          <w:szCs w:val="22"/>
          <w:lang w:val="fr-FR"/>
        </w:rPr>
        <w:t xml:space="preserve"> </w:t>
      </w:r>
    </w:p>
    <w:p w14:paraId="336B715E" w14:textId="77777777" w:rsidR="00EB08A6" w:rsidRPr="00EB08A6" w:rsidRDefault="00EB08A6" w:rsidP="00EB08A6">
      <w:pPr>
        <w:ind w:right="-2"/>
        <w:rPr>
          <w:szCs w:val="22"/>
          <w:lang w:val="lt-LT"/>
        </w:rPr>
      </w:pPr>
      <w:r w:rsidRPr="00EB08A6">
        <w:rPr>
          <w:szCs w:val="22"/>
          <w:lang w:val="lt-LT"/>
        </w:rPr>
        <w:t xml:space="preserve">Geriamosios </w:t>
      </w:r>
      <w:proofErr w:type="spellStart"/>
      <w:r w:rsidRPr="00EB08A6">
        <w:rPr>
          <w:szCs w:val="22"/>
          <w:lang w:val="lt-LT"/>
        </w:rPr>
        <w:t>Vesicare</w:t>
      </w:r>
      <w:proofErr w:type="spellEnd"/>
      <w:r w:rsidRPr="00EB08A6">
        <w:rPr>
          <w:szCs w:val="22"/>
          <w:lang w:val="lt-LT"/>
        </w:rPr>
        <w:t xml:space="preserve"> suspensijos negalima vartoti kartu su maistu ir/arba gėrimais, išskyrus vandenį. Pavartojus suspensijos, išgerkite stiklinę vandens. Žr. 3 skyrių. Jeigu netyčia pavartojote suspensijos su maistu ir/arba gėrimais, Jūs galite jausti kartų skonį ir nutirpimo pojūtį burnoje.</w:t>
      </w:r>
    </w:p>
    <w:p w14:paraId="3BE8E383" w14:textId="77777777" w:rsidR="00EB08A6" w:rsidRPr="00EB08A6" w:rsidRDefault="00EB08A6" w:rsidP="00EB08A6">
      <w:pPr>
        <w:ind w:right="-2"/>
        <w:rPr>
          <w:szCs w:val="22"/>
          <w:lang w:val="lt-LT"/>
        </w:rPr>
      </w:pPr>
    </w:p>
    <w:p w14:paraId="706CF38D" w14:textId="77777777" w:rsidR="00EB08A6" w:rsidRPr="00EB08A6" w:rsidRDefault="00EB08A6" w:rsidP="00EB08A6">
      <w:pPr>
        <w:pStyle w:val="Antrat2"/>
        <w:spacing w:before="0"/>
        <w:rPr>
          <w:rStyle w:val="Antrat2Diagrama"/>
          <w:rFonts w:ascii="Times New Roman" w:hAnsi="Times New Roman"/>
          <w:i/>
          <w:sz w:val="22"/>
          <w:szCs w:val="22"/>
          <w:lang w:val="lt-LT"/>
        </w:rPr>
      </w:pPr>
      <w:bookmarkStart w:id="90" w:name="_i4i7TRhasOzhx0MxFD2ag8iCZ"/>
      <w:bookmarkEnd w:id="90"/>
      <w:r w:rsidRPr="00EB08A6">
        <w:rPr>
          <w:rFonts w:ascii="Times New Roman" w:hAnsi="Times New Roman"/>
          <w:i w:val="0"/>
          <w:sz w:val="22"/>
          <w:szCs w:val="22"/>
          <w:lang w:val="lt-LT"/>
        </w:rPr>
        <w:t>Nėštumas ir žindymo laikotarpis</w:t>
      </w:r>
    </w:p>
    <w:p w14:paraId="1EC855B2" w14:textId="77777777" w:rsidR="00EB08A6" w:rsidRPr="00EB08A6" w:rsidRDefault="00EB08A6" w:rsidP="00EB08A6">
      <w:pPr>
        <w:rPr>
          <w:szCs w:val="22"/>
          <w:lang w:val="lt-LT"/>
        </w:rPr>
      </w:pPr>
      <w:bookmarkStart w:id="91" w:name="_i4i08ibfRXLdNUsWdlcdddzVZ"/>
      <w:bookmarkStart w:id="92" w:name="_i4i0F39DOs7FyiSXv2MbwSbkW"/>
      <w:bookmarkEnd w:id="91"/>
      <w:bookmarkEnd w:id="92"/>
      <w:r w:rsidRPr="00EB08A6">
        <w:rPr>
          <w:szCs w:val="22"/>
          <w:lang w:val="lt-LT"/>
        </w:rPr>
        <w:t>Jeigu esate nėščia, žindote kūdikį, manote, kad galbūt esate nėščia arba planuojate pastoti, tai prieš vartodama šį vaistą, pasitarkite su gydytoju arba vaistininku.</w:t>
      </w:r>
    </w:p>
    <w:p w14:paraId="068C4FAE" w14:textId="77777777" w:rsidR="00EB08A6" w:rsidRPr="00EB08A6" w:rsidRDefault="00EB08A6" w:rsidP="00EB08A6">
      <w:pPr>
        <w:rPr>
          <w:szCs w:val="22"/>
          <w:lang w:val="lt-LT"/>
        </w:rPr>
      </w:pPr>
    </w:p>
    <w:p w14:paraId="4FD97AA9" w14:textId="77777777" w:rsidR="00EB08A6" w:rsidRPr="00EB08A6" w:rsidRDefault="00EB08A6" w:rsidP="00EB08A6">
      <w:pPr>
        <w:rPr>
          <w:szCs w:val="22"/>
          <w:lang w:val="lt-LT"/>
        </w:rPr>
      </w:pPr>
      <w:proofErr w:type="spellStart"/>
      <w:r w:rsidRPr="00EB08A6">
        <w:rPr>
          <w:szCs w:val="22"/>
          <w:lang w:val="lt-LT"/>
        </w:rPr>
        <w:t>Vesicare</w:t>
      </w:r>
      <w:proofErr w:type="spellEnd"/>
      <w:r w:rsidRPr="00EB08A6">
        <w:rPr>
          <w:szCs w:val="22"/>
          <w:lang w:val="lt-LT"/>
        </w:rPr>
        <w:t xml:space="preserve"> nėštumo metu vartoti negalima, išskyrus neabejotinai būtinus atvejus. </w:t>
      </w:r>
    </w:p>
    <w:p w14:paraId="654384ED" w14:textId="77777777" w:rsidR="00EB08A6" w:rsidRPr="00EB08A6" w:rsidRDefault="00EB08A6" w:rsidP="00EB08A6">
      <w:pPr>
        <w:rPr>
          <w:szCs w:val="22"/>
          <w:lang w:val="lt-LT"/>
        </w:rPr>
      </w:pPr>
    </w:p>
    <w:p w14:paraId="6A4F68A3" w14:textId="77777777" w:rsidR="00EB08A6" w:rsidRPr="00EB08A6" w:rsidRDefault="00EB08A6" w:rsidP="00EB08A6">
      <w:pPr>
        <w:rPr>
          <w:szCs w:val="22"/>
          <w:lang w:val="lt-LT"/>
        </w:rPr>
      </w:pPr>
      <w:r w:rsidRPr="00EB08A6">
        <w:rPr>
          <w:szCs w:val="22"/>
          <w:lang w:val="lt-LT"/>
        </w:rPr>
        <w:t xml:space="preserve">Nevartokite </w:t>
      </w:r>
      <w:proofErr w:type="spellStart"/>
      <w:r w:rsidRPr="00EB08A6">
        <w:rPr>
          <w:szCs w:val="22"/>
          <w:lang w:val="lt-LT"/>
        </w:rPr>
        <w:t>Vesicare</w:t>
      </w:r>
      <w:proofErr w:type="spellEnd"/>
      <w:r w:rsidRPr="00EB08A6">
        <w:rPr>
          <w:szCs w:val="22"/>
          <w:lang w:val="lt-LT"/>
        </w:rPr>
        <w:t xml:space="preserve"> jeigu žindote kūdikį, nes </w:t>
      </w:r>
      <w:proofErr w:type="spellStart"/>
      <w:r w:rsidRPr="00EB08A6">
        <w:rPr>
          <w:szCs w:val="22"/>
          <w:lang w:val="lt-LT"/>
        </w:rPr>
        <w:t>solifenacinas</w:t>
      </w:r>
      <w:proofErr w:type="spellEnd"/>
      <w:r w:rsidRPr="00EB08A6">
        <w:rPr>
          <w:szCs w:val="22"/>
          <w:lang w:val="lt-LT"/>
        </w:rPr>
        <w:t xml:space="preserve"> gali patekti į motinos pieną.</w:t>
      </w:r>
    </w:p>
    <w:p w14:paraId="036E2EAD" w14:textId="77777777" w:rsidR="00EB08A6" w:rsidRPr="00EB08A6" w:rsidRDefault="00EB08A6" w:rsidP="00EB08A6">
      <w:pPr>
        <w:rPr>
          <w:szCs w:val="22"/>
          <w:lang w:val="lt-LT"/>
        </w:rPr>
      </w:pPr>
    </w:p>
    <w:p w14:paraId="3501672F" w14:textId="77777777" w:rsidR="00EB08A6" w:rsidRPr="00EB08A6" w:rsidRDefault="00EB08A6" w:rsidP="00EB08A6">
      <w:pPr>
        <w:pStyle w:val="Antrat2"/>
        <w:spacing w:before="0"/>
        <w:rPr>
          <w:rStyle w:val="Antrat2Diagrama"/>
          <w:rFonts w:ascii="Times New Roman" w:hAnsi="Times New Roman"/>
          <w:i/>
          <w:color w:val="000000" w:themeColor="text1"/>
          <w:sz w:val="22"/>
          <w:szCs w:val="22"/>
          <w:lang w:val="lt-LT"/>
        </w:rPr>
      </w:pPr>
      <w:bookmarkStart w:id="93" w:name="_i4i2um9PSo5G6NViK0BiZ1rEv"/>
      <w:bookmarkEnd w:id="93"/>
      <w:r w:rsidRPr="00EB08A6">
        <w:rPr>
          <w:rFonts w:ascii="Times New Roman" w:hAnsi="Times New Roman"/>
          <w:i w:val="0"/>
          <w:sz w:val="22"/>
          <w:szCs w:val="22"/>
          <w:lang w:val="lt-LT"/>
        </w:rPr>
        <w:t>Vairavimas ir mechanizmų valdymas</w:t>
      </w:r>
    </w:p>
    <w:p w14:paraId="11E042BB" w14:textId="77777777" w:rsidR="00EB08A6" w:rsidRPr="00EB08A6" w:rsidRDefault="00EB08A6" w:rsidP="00EB08A6">
      <w:pPr>
        <w:autoSpaceDE w:val="0"/>
        <w:autoSpaceDN w:val="0"/>
        <w:adjustRightInd w:val="0"/>
        <w:rPr>
          <w:szCs w:val="22"/>
          <w:lang w:val="lt-LT"/>
        </w:rPr>
      </w:pPr>
      <w:r w:rsidRPr="00EB08A6">
        <w:rPr>
          <w:szCs w:val="22"/>
          <w:lang w:val="lt-LT"/>
        </w:rPr>
        <w:t xml:space="preserve">Vartojant </w:t>
      </w:r>
      <w:proofErr w:type="spellStart"/>
      <w:r w:rsidRPr="00EB08A6">
        <w:rPr>
          <w:szCs w:val="22"/>
          <w:lang w:val="lt-LT"/>
        </w:rPr>
        <w:t>Vesicare</w:t>
      </w:r>
      <w:proofErr w:type="spellEnd"/>
      <w:r w:rsidRPr="00EB08A6">
        <w:rPr>
          <w:szCs w:val="22"/>
          <w:lang w:val="lt-LT"/>
        </w:rPr>
        <w:t xml:space="preserve">, gali pasireikšti miglotas matymas ir kartais atsirasti mieguistumas ar nuovargis. Jeigu pasireiškė toks šalutinis poveikis, vairuoti ar valdyti mechanizmus negalima. </w:t>
      </w:r>
    </w:p>
    <w:p w14:paraId="636CAC70" w14:textId="77777777" w:rsidR="00EB08A6" w:rsidRPr="00EB08A6" w:rsidRDefault="00EB08A6" w:rsidP="00EB08A6">
      <w:pPr>
        <w:autoSpaceDE w:val="0"/>
        <w:autoSpaceDN w:val="0"/>
        <w:adjustRightInd w:val="0"/>
        <w:rPr>
          <w:rStyle w:val="Vietosrezervavimoenklotekstas"/>
          <w:szCs w:val="22"/>
          <w:lang w:val="lt-LT"/>
        </w:rPr>
      </w:pPr>
      <w:bookmarkStart w:id="94" w:name="_i4i5q3u2Ntj25XjK6aNtd0UeD"/>
      <w:bookmarkEnd w:id="94"/>
    </w:p>
    <w:p w14:paraId="5B2040D8" w14:textId="77777777" w:rsidR="00EB08A6" w:rsidRPr="00EB08A6" w:rsidRDefault="00EB08A6" w:rsidP="00EB08A6">
      <w:pPr>
        <w:numPr>
          <w:ilvl w:val="12"/>
          <w:numId w:val="0"/>
        </w:numPr>
        <w:rPr>
          <w:szCs w:val="22"/>
          <w:lang w:val="lt-LT"/>
        </w:rPr>
      </w:pPr>
      <w:bookmarkStart w:id="95" w:name="_i4i5QGE6UduhFgMJ0q0ojekAe"/>
      <w:bookmarkEnd w:id="95"/>
      <w:proofErr w:type="spellStart"/>
      <w:r w:rsidRPr="00EB08A6">
        <w:rPr>
          <w:b/>
          <w:szCs w:val="22"/>
          <w:lang w:val="lt-LT"/>
        </w:rPr>
        <w:t>Vesicare</w:t>
      </w:r>
      <w:proofErr w:type="spellEnd"/>
      <w:r w:rsidRPr="00EB08A6">
        <w:rPr>
          <w:b/>
          <w:szCs w:val="22"/>
          <w:lang w:val="lt-LT"/>
        </w:rPr>
        <w:t xml:space="preserve"> geriamosios suspensijos sudėtyje yra </w:t>
      </w:r>
      <w:proofErr w:type="spellStart"/>
      <w:r w:rsidRPr="00EB08A6">
        <w:rPr>
          <w:b/>
          <w:szCs w:val="22"/>
          <w:lang w:val="lt-LT"/>
        </w:rPr>
        <w:t>benzenkarboksirūgšties</w:t>
      </w:r>
      <w:proofErr w:type="spellEnd"/>
      <w:r w:rsidRPr="00EB08A6">
        <w:rPr>
          <w:b/>
          <w:szCs w:val="22"/>
          <w:lang w:val="lt-LT"/>
        </w:rPr>
        <w:t>:</w:t>
      </w:r>
      <w:r w:rsidRPr="00EB08A6">
        <w:rPr>
          <w:szCs w:val="22"/>
          <w:lang w:val="lt-LT"/>
        </w:rPr>
        <w:t xml:space="preserve"> Kiekviename šio vaisto ml yra 0,015 mg </w:t>
      </w:r>
      <w:proofErr w:type="spellStart"/>
      <w:r w:rsidRPr="00EB08A6">
        <w:rPr>
          <w:szCs w:val="22"/>
          <w:lang w:val="lt-LT"/>
        </w:rPr>
        <w:t>benzenkarboksirūgšties</w:t>
      </w:r>
      <w:proofErr w:type="spellEnd"/>
      <w:r w:rsidRPr="00EB08A6">
        <w:rPr>
          <w:szCs w:val="22"/>
          <w:lang w:val="lt-LT"/>
        </w:rPr>
        <w:t>, tai atitinka 0,15 mg/10 ml.</w:t>
      </w:r>
    </w:p>
    <w:p w14:paraId="7F64777B" w14:textId="77777777" w:rsidR="00EB08A6" w:rsidRPr="00EB08A6" w:rsidRDefault="00EB08A6" w:rsidP="00EB08A6">
      <w:pPr>
        <w:numPr>
          <w:ilvl w:val="12"/>
          <w:numId w:val="0"/>
        </w:numPr>
        <w:rPr>
          <w:szCs w:val="22"/>
          <w:lang w:val="lt-LT"/>
        </w:rPr>
      </w:pPr>
    </w:p>
    <w:p w14:paraId="4C48A1CB" w14:textId="77777777" w:rsidR="00EB08A6" w:rsidRPr="00EB08A6" w:rsidRDefault="00EB08A6" w:rsidP="00EB08A6">
      <w:pPr>
        <w:outlineLvl w:val="0"/>
        <w:rPr>
          <w:szCs w:val="22"/>
          <w:lang w:val="lt-LT"/>
        </w:rPr>
      </w:pPr>
      <w:r w:rsidRPr="00EB08A6">
        <w:rPr>
          <w:b/>
          <w:szCs w:val="22"/>
          <w:lang w:val="lt-LT"/>
        </w:rPr>
        <w:t xml:space="preserve">Geriamosios </w:t>
      </w:r>
      <w:proofErr w:type="spellStart"/>
      <w:r w:rsidRPr="00EB08A6">
        <w:rPr>
          <w:b/>
          <w:szCs w:val="22"/>
          <w:lang w:val="lt-LT"/>
        </w:rPr>
        <w:t>Vesicare</w:t>
      </w:r>
      <w:proofErr w:type="spellEnd"/>
      <w:r w:rsidRPr="00EB08A6">
        <w:rPr>
          <w:b/>
          <w:szCs w:val="22"/>
          <w:lang w:val="lt-LT"/>
        </w:rPr>
        <w:t xml:space="preserve"> suspensijos sudėtyje yra etanolio:</w:t>
      </w:r>
      <w:r w:rsidRPr="00EB08A6">
        <w:rPr>
          <w:szCs w:val="22"/>
          <w:lang w:val="lt-LT"/>
        </w:rPr>
        <w:t xml:space="preserve"> Etanolis yra apelsinų natūralios aromatinės medžiagos sudėtinė dalis. Didžiausioje 10 ml </w:t>
      </w:r>
      <w:proofErr w:type="spellStart"/>
      <w:r w:rsidRPr="00EB08A6">
        <w:rPr>
          <w:szCs w:val="22"/>
          <w:lang w:val="lt-LT"/>
        </w:rPr>
        <w:t>Vesicare</w:t>
      </w:r>
      <w:proofErr w:type="spellEnd"/>
      <w:r w:rsidRPr="00EB08A6">
        <w:rPr>
          <w:szCs w:val="22"/>
          <w:lang w:val="lt-LT"/>
        </w:rPr>
        <w:t xml:space="preserve"> geriamosios suspensijos dozėje yra 48,4 mg alkoholio (etanolio). Etanolio kiekis 10 ml </w:t>
      </w:r>
      <w:proofErr w:type="spellStart"/>
      <w:r w:rsidRPr="00EB08A6">
        <w:rPr>
          <w:szCs w:val="22"/>
          <w:lang w:val="lt-LT"/>
        </w:rPr>
        <w:t>Vesicare</w:t>
      </w:r>
      <w:proofErr w:type="spellEnd"/>
      <w:r w:rsidRPr="00EB08A6">
        <w:rPr>
          <w:szCs w:val="22"/>
          <w:lang w:val="lt-LT"/>
        </w:rPr>
        <w:t xml:space="preserve"> geriamosios suspensijos atitinka 1 ml alaus (4 % w/v) arba mažiau nei 1 ml vyno (10 % w/v). Mažas alkoholio kiekis šiame vaistiniame preparate nesukelia jokio pastebimo poveikio.</w:t>
      </w:r>
    </w:p>
    <w:p w14:paraId="1973C92E" w14:textId="77777777" w:rsidR="00EB08A6" w:rsidRPr="00EB08A6" w:rsidRDefault="00EB08A6" w:rsidP="00EB08A6">
      <w:pPr>
        <w:numPr>
          <w:ilvl w:val="12"/>
          <w:numId w:val="0"/>
        </w:numPr>
        <w:rPr>
          <w:szCs w:val="22"/>
          <w:lang w:val="lt-LT"/>
        </w:rPr>
      </w:pPr>
    </w:p>
    <w:p w14:paraId="09F9BAC9" w14:textId="77777777" w:rsidR="00EB08A6" w:rsidRPr="00EB08A6" w:rsidRDefault="00EB08A6" w:rsidP="00EB08A6">
      <w:pPr>
        <w:numPr>
          <w:ilvl w:val="12"/>
          <w:numId w:val="0"/>
        </w:numPr>
        <w:rPr>
          <w:szCs w:val="22"/>
          <w:lang w:val="lt-LT"/>
        </w:rPr>
      </w:pPr>
      <w:r w:rsidRPr="00EB08A6">
        <w:rPr>
          <w:b/>
          <w:szCs w:val="22"/>
          <w:lang w:val="lt-LT"/>
        </w:rPr>
        <w:t xml:space="preserve">Geriamosios </w:t>
      </w:r>
      <w:proofErr w:type="spellStart"/>
      <w:r w:rsidRPr="00EB08A6">
        <w:rPr>
          <w:b/>
          <w:szCs w:val="22"/>
          <w:lang w:val="lt-LT"/>
        </w:rPr>
        <w:t>Vesicare</w:t>
      </w:r>
      <w:proofErr w:type="spellEnd"/>
      <w:r w:rsidRPr="00EB08A6">
        <w:rPr>
          <w:b/>
          <w:szCs w:val="22"/>
          <w:lang w:val="lt-LT"/>
        </w:rPr>
        <w:t xml:space="preserve"> suspensijos sudėtyje yra metilo </w:t>
      </w:r>
      <w:proofErr w:type="spellStart"/>
      <w:r w:rsidRPr="00EB08A6">
        <w:rPr>
          <w:b/>
          <w:szCs w:val="22"/>
          <w:lang w:val="lt-LT"/>
        </w:rPr>
        <w:t>parahidroksibenzoato</w:t>
      </w:r>
      <w:proofErr w:type="spellEnd"/>
      <w:r w:rsidRPr="00EB08A6">
        <w:rPr>
          <w:b/>
          <w:szCs w:val="22"/>
          <w:lang w:val="lt-LT"/>
        </w:rPr>
        <w:t xml:space="preserve"> ir </w:t>
      </w:r>
      <w:proofErr w:type="spellStart"/>
      <w:r w:rsidRPr="00EB08A6">
        <w:rPr>
          <w:b/>
          <w:szCs w:val="22"/>
          <w:lang w:val="lt-LT"/>
        </w:rPr>
        <w:t>propilo</w:t>
      </w:r>
      <w:proofErr w:type="spellEnd"/>
      <w:r w:rsidRPr="00EB08A6">
        <w:rPr>
          <w:b/>
          <w:szCs w:val="22"/>
          <w:lang w:val="lt-LT"/>
        </w:rPr>
        <w:t xml:space="preserve"> </w:t>
      </w:r>
      <w:proofErr w:type="spellStart"/>
      <w:r w:rsidRPr="00EB08A6">
        <w:rPr>
          <w:b/>
          <w:szCs w:val="22"/>
          <w:lang w:val="lt-LT"/>
        </w:rPr>
        <w:t>parahidroksibenzoato</w:t>
      </w:r>
      <w:proofErr w:type="spellEnd"/>
      <w:r w:rsidRPr="00EB08A6">
        <w:rPr>
          <w:b/>
          <w:szCs w:val="22"/>
          <w:lang w:val="lt-LT"/>
        </w:rPr>
        <w:t>:</w:t>
      </w:r>
      <w:r w:rsidRPr="00EB08A6">
        <w:rPr>
          <w:szCs w:val="22"/>
          <w:lang w:val="lt-LT"/>
        </w:rPr>
        <w:t xml:space="preserve"> Tai gali sukelti alergines reakcijas (gali būti uždelstos). Galimų alerginių reakcijų požymiai: išbėrimas, rijimo ir kvėpavimo sutrikimai, lūpų, veido, gerklės ir liežuvio patinimas.</w:t>
      </w:r>
    </w:p>
    <w:p w14:paraId="4C7F7906" w14:textId="77777777" w:rsidR="00EB08A6" w:rsidRPr="00EB08A6" w:rsidRDefault="00EB08A6" w:rsidP="00EB08A6">
      <w:pPr>
        <w:numPr>
          <w:ilvl w:val="12"/>
          <w:numId w:val="0"/>
        </w:numPr>
        <w:rPr>
          <w:szCs w:val="22"/>
          <w:lang w:val="lt-LT"/>
        </w:rPr>
      </w:pPr>
    </w:p>
    <w:p w14:paraId="5152CA5F" w14:textId="77777777" w:rsidR="00EB08A6" w:rsidRPr="00EB08A6" w:rsidRDefault="00EB08A6" w:rsidP="00EB08A6">
      <w:pPr>
        <w:numPr>
          <w:ilvl w:val="12"/>
          <w:numId w:val="0"/>
        </w:numPr>
        <w:rPr>
          <w:szCs w:val="22"/>
          <w:lang w:val="lt-LT"/>
        </w:rPr>
      </w:pPr>
      <w:proofErr w:type="spellStart"/>
      <w:r w:rsidRPr="00EB08A6">
        <w:rPr>
          <w:b/>
          <w:szCs w:val="22"/>
          <w:lang w:val="lt-LT"/>
        </w:rPr>
        <w:t>Vesicare</w:t>
      </w:r>
      <w:proofErr w:type="spellEnd"/>
      <w:r w:rsidRPr="00EB08A6">
        <w:rPr>
          <w:b/>
          <w:szCs w:val="22"/>
          <w:lang w:val="lt-LT"/>
        </w:rPr>
        <w:t xml:space="preserve"> geriamosios suspensijos sudėtyje yra </w:t>
      </w:r>
      <w:proofErr w:type="spellStart"/>
      <w:r w:rsidRPr="00EB08A6">
        <w:rPr>
          <w:b/>
          <w:szCs w:val="22"/>
          <w:lang w:val="lt-LT"/>
        </w:rPr>
        <w:t>propilenglikolio</w:t>
      </w:r>
      <w:proofErr w:type="spellEnd"/>
      <w:r w:rsidRPr="00EB08A6">
        <w:rPr>
          <w:b/>
          <w:szCs w:val="22"/>
          <w:lang w:val="lt-LT"/>
        </w:rPr>
        <w:t>.</w:t>
      </w:r>
      <w:r w:rsidRPr="00EB08A6">
        <w:rPr>
          <w:szCs w:val="22"/>
          <w:lang w:val="lt-LT"/>
        </w:rPr>
        <w:t xml:space="preserve"> Kiekviename šio vaisto ml yra 20 mg </w:t>
      </w:r>
      <w:proofErr w:type="spellStart"/>
      <w:r w:rsidRPr="00EB08A6">
        <w:rPr>
          <w:szCs w:val="22"/>
          <w:lang w:val="lt-LT"/>
        </w:rPr>
        <w:t>propilenglikolio</w:t>
      </w:r>
      <w:proofErr w:type="spellEnd"/>
      <w:r w:rsidRPr="00EB08A6">
        <w:rPr>
          <w:szCs w:val="22"/>
          <w:lang w:val="lt-LT"/>
        </w:rPr>
        <w:t>, tai atitinka 200 mg/10 ml.</w:t>
      </w:r>
    </w:p>
    <w:p w14:paraId="702A8DA1" w14:textId="77777777" w:rsidR="00EB08A6" w:rsidRPr="00EB08A6" w:rsidRDefault="00EB08A6" w:rsidP="00EB08A6">
      <w:pPr>
        <w:numPr>
          <w:ilvl w:val="12"/>
          <w:numId w:val="0"/>
        </w:numPr>
        <w:rPr>
          <w:b/>
          <w:szCs w:val="22"/>
          <w:lang w:val="lt-LT"/>
        </w:rPr>
      </w:pPr>
    </w:p>
    <w:p w14:paraId="2B8841A4" w14:textId="77777777" w:rsidR="00EB08A6" w:rsidRPr="00EB08A6" w:rsidRDefault="00EB08A6" w:rsidP="00EB08A6">
      <w:pPr>
        <w:numPr>
          <w:ilvl w:val="12"/>
          <w:numId w:val="0"/>
        </w:numPr>
        <w:rPr>
          <w:szCs w:val="22"/>
          <w:lang w:val="lt-LT"/>
        </w:rPr>
      </w:pPr>
      <w:proofErr w:type="spellStart"/>
      <w:r w:rsidRPr="00EB08A6">
        <w:rPr>
          <w:b/>
          <w:szCs w:val="22"/>
          <w:lang w:val="lt-LT"/>
        </w:rPr>
        <w:t>Vesicare</w:t>
      </w:r>
      <w:proofErr w:type="spellEnd"/>
      <w:r w:rsidRPr="00EB08A6">
        <w:rPr>
          <w:b/>
          <w:szCs w:val="22"/>
          <w:lang w:val="lt-LT"/>
        </w:rPr>
        <w:t xml:space="preserve"> geriamosios suspensijos sudėtyje yra natrio </w:t>
      </w:r>
      <w:proofErr w:type="spellStart"/>
      <w:r w:rsidRPr="00EB08A6">
        <w:rPr>
          <w:b/>
          <w:szCs w:val="22"/>
          <w:lang w:val="lt-LT"/>
        </w:rPr>
        <w:t>hidroksido</w:t>
      </w:r>
      <w:proofErr w:type="spellEnd"/>
      <w:r w:rsidRPr="00EB08A6">
        <w:rPr>
          <w:b/>
          <w:szCs w:val="22"/>
          <w:lang w:val="lt-LT"/>
        </w:rPr>
        <w:t>.</w:t>
      </w:r>
      <w:r w:rsidRPr="00EB08A6">
        <w:rPr>
          <w:szCs w:val="22"/>
          <w:lang w:val="lt-LT"/>
        </w:rPr>
        <w:t xml:space="preserve"> 1ml šio vaisto yra mažiau kaip 1 </w:t>
      </w:r>
      <w:proofErr w:type="spellStart"/>
      <w:r w:rsidRPr="00EB08A6">
        <w:rPr>
          <w:szCs w:val="22"/>
          <w:lang w:val="lt-LT"/>
        </w:rPr>
        <w:t>mmol</w:t>
      </w:r>
      <w:proofErr w:type="spellEnd"/>
      <w:r w:rsidRPr="00EB08A6">
        <w:rPr>
          <w:szCs w:val="22"/>
          <w:lang w:val="lt-LT"/>
        </w:rPr>
        <w:t xml:space="preserve"> natrio (23 mg), </w:t>
      </w:r>
      <w:proofErr w:type="spellStart"/>
      <w:r w:rsidRPr="00EB08A6">
        <w:rPr>
          <w:szCs w:val="22"/>
          <w:lang w:val="lt-LT"/>
        </w:rPr>
        <w:t>t.y</w:t>
      </w:r>
      <w:proofErr w:type="spellEnd"/>
      <w:r w:rsidRPr="00EB08A6">
        <w:rPr>
          <w:szCs w:val="22"/>
          <w:lang w:val="lt-LT"/>
        </w:rPr>
        <w:t>. jis beveik neturi reikšmės.</w:t>
      </w:r>
    </w:p>
    <w:p w14:paraId="254AF6A3" w14:textId="77777777" w:rsidR="00EB08A6" w:rsidRPr="00EB08A6" w:rsidRDefault="00EB08A6" w:rsidP="00EB08A6">
      <w:pPr>
        <w:numPr>
          <w:ilvl w:val="12"/>
          <w:numId w:val="0"/>
        </w:numPr>
        <w:rPr>
          <w:szCs w:val="22"/>
          <w:lang w:val="lt-LT"/>
        </w:rPr>
      </w:pPr>
    </w:p>
    <w:p w14:paraId="47E49EAF" w14:textId="77777777" w:rsidR="00EB08A6" w:rsidRPr="00EB08A6" w:rsidRDefault="00EB08A6" w:rsidP="00EB08A6">
      <w:pPr>
        <w:numPr>
          <w:ilvl w:val="12"/>
          <w:numId w:val="0"/>
        </w:numPr>
        <w:rPr>
          <w:szCs w:val="22"/>
          <w:lang w:val="lt-LT"/>
        </w:rPr>
      </w:pPr>
      <w:r w:rsidRPr="00EB08A6">
        <w:rPr>
          <w:b/>
          <w:szCs w:val="22"/>
          <w:lang w:val="lt-LT"/>
        </w:rPr>
        <w:t xml:space="preserve">Jei geriamosios </w:t>
      </w:r>
      <w:proofErr w:type="spellStart"/>
      <w:r w:rsidRPr="00EB08A6">
        <w:rPr>
          <w:b/>
          <w:szCs w:val="22"/>
          <w:lang w:val="lt-LT"/>
        </w:rPr>
        <w:t>Vesicare</w:t>
      </w:r>
      <w:proofErr w:type="spellEnd"/>
      <w:r w:rsidRPr="00EB08A6">
        <w:rPr>
          <w:b/>
          <w:szCs w:val="22"/>
          <w:lang w:val="lt-LT"/>
        </w:rPr>
        <w:t xml:space="preserve"> suspensijos pateko Jums į akis:</w:t>
      </w:r>
      <w:r w:rsidRPr="00EB08A6">
        <w:rPr>
          <w:szCs w:val="22"/>
          <w:lang w:val="lt-LT"/>
        </w:rPr>
        <w:t xml:space="preserve"> kruopščiai nuplaukite ir nuvalykite akis vandeniu.</w:t>
      </w:r>
    </w:p>
    <w:p w14:paraId="28A886C1" w14:textId="77777777" w:rsidR="00EB08A6" w:rsidRPr="00EB08A6" w:rsidRDefault="00EB08A6" w:rsidP="00EB08A6">
      <w:pPr>
        <w:numPr>
          <w:ilvl w:val="12"/>
          <w:numId w:val="0"/>
        </w:numPr>
        <w:rPr>
          <w:szCs w:val="22"/>
          <w:lang w:val="lt-LT"/>
        </w:rPr>
      </w:pPr>
    </w:p>
    <w:p w14:paraId="64465228" w14:textId="77777777" w:rsidR="00EB08A6" w:rsidRPr="00EB08A6" w:rsidRDefault="00EB08A6" w:rsidP="00EB08A6">
      <w:pPr>
        <w:pStyle w:val="Antrat1"/>
        <w:spacing w:before="0" w:after="0"/>
        <w:rPr>
          <w:rFonts w:ascii="Times New Roman" w:hAnsi="Times New Roman"/>
          <w:sz w:val="22"/>
          <w:szCs w:val="22"/>
          <w:lang w:val="lt-LT"/>
        </w:rPr>
      </w:pPr>
      <w:bookmarkStart w:id="96" w:name="_i4i0lUtq5t22ZzzYl6Vt7lM6l"/>
      <w:bookmarkStart w:id="97" w:name="_i4i4Q0pwnbTM1Gapp1zxuMBKt"/>
      <w:bookmarkEnd w:id="96"/>
      <w:bookmarkEnd w:id="97"/>
      <w:r w:rsidRPr="00EB08A6">
        <w:rPr>
          <w:rFonts w:ascii="Times New Roman" w:hAnsi="Times New Roman"/>
          <w:sz w:val="22"/>
          <w:szCs w:val="22"/>
          <w:lang w:val="lt-LT"/>
        </w:rPr>
        <w:t>3.</w:t>
      </w:r>
      <w:r w:rsidRPr="00EB08A6">
        <w:rPr>
          <w:rFonts w:ascii="Times New Roman" w:hAnsi="Times New Roman"/>
          <w:sz w:val="22"/>
          <w:szCs w:val="22"/>
          <w:lang w:val="lt-LT"/>
        </w:rPr>
        <w:tab/>
        <w:t xml:space="preserve">Kaip vartoti </w:t>
      </w:r>
      <w:r w:rsidRPr="00EB08A6">
        <w:rPr>
          <w:rFonts w:ascii="Times New Roman" w:hAnsi="Times New Roman"/>
          <w:noProof/>
          <w:sz w:val="22"/>
          <w:szCs w:val="22"/>
        </w:rPr>
        <w:t>Vesicare</w:t>
      </w:r>
    </w:p>
    <w:p w14:paraId="78CAC3A3" w14:textId="77777777" w:rsidR="00EB08A6" w:rsidRPr="00EB08A6" w:rsidRDefault="00EB08A6" w:rsidP="00EB08A6">
      <w:pPr>
        <w:rPr>
          <w:rFonts w:eastAsiaTheme="minorHAnsi"/>
          <w:color w:val="000000" w:themeColor="text1"/>
          <w:szCs w:val="22"/>
        </w:rPr>
      </w:pPr>
      <w:bookmarkStart w:id="98" w:name="_i4i6QB4SoQneUsVvfSRLOojnE"/>
      <w:bookmarkEnd w:id="98"/>
    </w:p>
    <w:p w14:paraId="15C02EC4" w14:textId="77777777" w:rsidR="00EB08A6" w:rsidRPr="00EB08A6" w:rsidRDefault="00EB08A6" w:rsidP="00EB08A6">
      <w:pPr>
        <w:rPr>
          <w:szCs w:val="22"/>
          <w:lang w:val="lt-LT"/>
        </w:rPr>
      </w:pPr>
      <w:r w:rsidRPr="00EB08A6">
        <w:rPr>
          <w:szCs w:val="22"/>
          <w:lang w:val="lt-LT"/>
        </w:rPr>
        <w:t xml:space="preserve">Visada vartokite šį vaistą tiksliai taip kaip nurodė gydytojas. Jeigu abejojate, kreipkitės į gydytoją arba vaistininką. </w:t>
      </w:r>
    </w:p>
    <w:p w14:paraId="08CED412" w14:textId="77777777" w:rsidR="00EB08A6" w:rsidRPr="00EB08A6" w:rsidRDefault="00EB08A6" w:rsidP="00EB08A6">
      <w:pPr>
        <w:rPr>
          <w:szCs w:val="22"/>
          <w:lang w:val="lt-LT"/>
        </w:rPr>
      </w:pPr>
    </w:p>
    <w:p w14:paraId="01AA793B" w14:textId="77777777" w:rsidR="00EB08A6" w:rsidRPr="00EB08A6" w:rsidRDefault="00EB08A6" w:rsidP="00EB08A6">
      <w:pPr>
        <w:rPr>
          <w:szCs w:val="22"/>
          <w:lang w:val="lt-LT"/>
        </w:rPr>
      </w:pPr>
      <w:r w:rsidRPr="00EB08A6">
        <w:rPr>
          <w:szCs w:val="22"/>
          <w:lang w:val="lt-LT"/>
        </w:rPr>
        <w:t xml:space="preserve">Vaistą reikia išgerti kartą per parą. Jūs galite vartoti šį vaistą prieš arba po valgio. Suvartoję </w:t>
      </w:r>
      <w:proofErr w:type="spellStart"/>
      <w:r w:rsidRPr="00EB08A6">
        <w:rPr>
          <w:szCs w:val="22"/>
          <w:lang w:val="lt-LT"/>
        </w:rPr>
        <w:t>Vesicare</w:t>
      </w:r>
      <w:proofErr w:type="spellEnd"/>
      <w:r w:rsidRPr="00EB08A6">
        <w:rPr>
          <w:szCs w:val="22"/>
          <w:lang w:val="lt-LT"/>
        </w:rPr>
        <w:t xml:space="preserve"> dozę išgerkite stiklinę vandens. Nevartokite šio vaisto kartu su maistu ir/arba kitais gėrimais. Jei Jūs netyčia pavartojote suspensijos kartu su maistu ir/arba kitais gėrimais, Jūs galite jausti kartų skonį ir nutirpimo jausmą burnoje.</w:t>
      </w:r>
    </w:p>
    <w:p w14:paraId="03F972E0" w14:textId="77777777" w:rsidR="00EB08A6" w:rsidRPr="00EB08A6" w:rsidRDefault="00EB08A6" w:rsidP="00EB08A6">
      <w:pPr>
        <w:rPr>
          <w:szCs w:val="22"/>
          <w:lang w:val="lt-LT"/>
        </w:rPr>
      </w:pPr>
    </w:p>
    <w:p w14:paraId="13B8B5D3" w14:textId="77777777" w:rsidR="00EB08A6" w:rsidRPr="00EB08A6" w:rsidRDefault="00EB08A6" w:rsidP="00EB08A6">
      <w:pPr>
        <w:rPr>
          <w:szCs w:val="22"/>
          <w:u w:val="single"/>
          <w:lang w:val="lt-LT"/>
        </w:rPr>
      </w:pPr>
      <w:r w:rsidRPr="00EB08A6">
        <w:rPr>
          <w:szCs w:val="22"/>
          <w:u w:val="single"/>
          <w:lang w:val="lt-LT"/>
        </w:rPr>
        <w:t>Padidėjusį šlapimo pūslės aktyvumą patiriantys suaugusieji</w:t>
      </w:r>
    </w:p>
    <w:p w14:paraId="30241DD6" w14:textId="77777777" w:rsidR="00EB08A6" w:rsidRPr="00EB08A6" w:rsidRDefault="00EB08A6" w:rsidP="00EB08A6">
      <w:pPr>
        <w:rPr>
          <w:szCs w:val="22"/>
          <w:lang w:val="lt-LT"/>
        </w:rPr>
      </w:pPr>
      <w:r w:rsidRPr="00EB08A6">
        <w:rPr>
          <w:szCs w:val="22"/>
          <w:lang w:val="lt-LT"/>
        </w:rPr>
        <w:t xml:space="preserve">Gydytojas nustatys Jums tinkamą dozę. Norėdami pamatuoti ir suvartoti paskirtą dozę, naudokite geriamąjį švirkštą ir buteliuko adapterį, pridedamus prie </w:t>
      </w:r>
      <w:proofErr w:type="spellStart"/>
      <w:r w:rsidRPr="00EB08A6">
        <w:rPr>
          <w:szCs w:val="22"/>
          <w:lang w:val="lt-LT"/>
        </w:rPr>
        <w:t>Vesicare</w:t>
      </w:r>
      <w:proofErr w:type="spellEnd"/>
      <w:r w:rsidRPr="00EB08A6">
        <w:rPr>
          <w:szCs w:val="22"/>
          <w:lang w:val="lt-LT"/>
        </w:rPr>
        <w:t xml:space="preserve"> geriamosios suspensijos. Jei Jums reikia vartoti 10 mg (10 ml) per parą, Jūs turite naudoti švirkštą du kartus, kad suvartotumėte reikiamą dozę. Prieš pakartotinį naudojimą geriamojo švirkšto galiuką praskalaukite šiltu vandeniu. </w:t>
      </w:r>
    </w:p>
    <w:p w14:paraId="74995C30" w14:textId="77777777" w:rsidR="00EB08A6" w:rsidRPr="00EB08A6" w:rsidRDefault="00EB08A6" w:rsidP="00EB08A6">
      <w:pPr>
        <w:keepLines/>
        <w:rPr>
          <w:szCs w:val="22"/>
          <w:lang w:val="lt-LT"/>
        </w:rPr>
      </w:pPr>
    </w:p>
    <w:p w14:paraId="3A72A3E6" w14:textId="77777777" w:rsidR="00EB08A6" w:rsidRPr="00EB08A6" w:rsidRDefault="00EB08A6" w:rsidP="00EB08A6">
      <w:pPr>
        <w:keepNext/>
        <w:keepLines/>
        <w:rPr>
          <w:szCs w:val="22"/>
          <w:u w:val="single"/>
          <w:lang w:val="lt-LT"/>
        </w:rPr>
      </w:pPr>
      <w:r w:rsidRPr="00EB08A6">
        <w:rPr>
          <w:szCs w:val="22"/>
          <w:u w:val="single"/>
          <w:lang w:val="lt-LT"/>
        </w:rPr>
        <w:t xml:space="preserve">Vaikai ir paaugliai (2–18 metų), kurie patiria padidėjusį </w:t>
      </w:r>
      <w:proofErr w:type="spellStart"/>
      <w:r w:rsidRPr="00EB08A6">
        <w:rPr>
          <w:szCs w:val="22"/>
          <w:u w:val="single"/>
          <w:lang w:val="lt-LT"/>
        </w:rPr>
        <w:t>neurogeninį</w:t>
      </w:r>
      <w:proofErr w:type="spellEnd"/>
      <w:r w:rsidRPr="00EB08A6">
        <w:rPr>
          <w:szCs w:val="22"/>
          <w:u w:val="single"/>
          <w:lang w:val="lt-LT"/>
        </w:rPr>
        <w:t xml:space="preserve"> šlapimo pūslės raumens (</w:t>
      </w:r>
      <w:proofErr w:type="spellStart"/>
      <w:r w:rsidRPr="00EB08A6">
        <w:rPr>
          <w:szCs w:val="22"/>
          <w:u w:val="single"/>
          <w:lang w:val="lt-LT"/>
        </w:rPr>
        <w:t>detruzoriaus</w:t>
      </w:r>
      <w:proofErr w:type="spellEnd"/>
      <w:r w:rsidRPr="00EB08A6">
        <w:rPr>
          <w:szCs w:val="22"/>
          <w:u w:val="single"/>
          <w:lang w:val="lt-LT"/>
        </w:rPr>
        <w:t>) aktyvumą</w:t>
      </w:r>
    </w:p>
    <w:p w14:paraId="5B067390" w14:textId="77777777" w:rsidR="00EB08A6" w:rsidRPr="00EB08A6" w:rsidRDefault="00EB08A6" w:rsidP="00EB08A6">
      <w:pPr>
        <w:rPr>
          <w:szCs w:val="22"/>
          <w:lang w:val="lt-LT"/>
        </w:rPr>
      </w:pPr>
      <w:r w:rsidRPr="00EB08A6">
        <w:rPr>
          <w:szCs w:val="22"/>
          <w:lang w:val="lt-LT"/>
        </w:rPr>
        <w:t>Gydytojas pasakys, kokią dozę turite vartoti (ar kokią dozę turi vartoti Jūsų vaikas). Gydytojas apskaičiuos pacientui tinkamą dozę atsižvelgdamas į paciento svorį. Turite kruopščiai laikytis jų nurodymų.</w:t>
      </w:r>
    </w:p>
    <w:p w14:paraId="218C4051" w14:textId="77777777" w:rsidR="00EB08A6" w:rsidRPr="00EB08A6" w:rsidRDefault="00EB08A6" w:rsidP="00EB08A6">
      <w:pPr>
        <w:spacing w:line="276" w:lineRule="auto"/>
        <w:rPr>
          <w:rStyle w:val="Antrat2Diagrama"/>
          <w:rFonts w:ascii="Times New Roman" w:eastAsiaTheme="minorEastAsia" w:hAnsi="Times New Roman"/>
          <w:b w:val="0"/>
          <w:bCs w:val="0"/>
          <w:sz w:val="22"/>
          <w:szCs w:val="22"/>
          <w:lang w:val="lt-LT"/>
        </w:rPr>
      </w:pPr>
    </w:p>
    <w:p w14:paraId="1C8C3793" w14:textId="77777777" w:rsidR="00EB08A6" w:rsidRPr="00EB08A6" w:rsidRDefault="00EB08A6" w:rsidP="00EB08A6">
      <w:pPr>
        <w:rPr>
          <w:szCs w:val="22"/>
          <w:lang w:val="lt-LT"/>
        </w:rPr>
      </w:pPr>
      <w:r w:rsidRPr="00EB08A6">
        <w:rPr>
          <w:szCs w:val="22"/>
          <w:lang w:val="lt-LT"/>
        </w:rPr>
        <w:t xml:space="preserve">Norėdami pamatuoti ir suvartoti paskirtą dozę, naudokite geriamąjį švirkštą ir buteliuko adapterį, pridedamus prie </w:t>
      </w:r>
      <w:proofErr w:type="spellStart"/>
      <w:r w:rsidRPr="00EB08A6">
        <w:rPr>
          <w:szCs w:val="22"/>
          <w:lang w:val="lt-LT"/>
        </w:rPr>
        <w:t>Vesicare</w:t>
      </w:r>
      <w:proofErr w:type="spellEnd"/>
      <w:r w:rsidRPr="00EB08A6">
        <w:rPr>
          <w:szCs w:val="22"/>
          <w:lang w:val="lt-LT"/>
        </w:rPr>
        <w:t xml:space="preserve"> geriamosios suspensijos. Jei Jums reikia vartoti daugiau nei 5 mg (5 ml) per parą, Jūs turite naudoti švirkštą du kartus, kad suvartotumėte reikiamą dozę. Prieš pakartotinį naudojimą geriamojo švirkšto galiuką praskalaukite šiltu vandeniu. </w:t>
      </w:r>
    </w:p>
    <w:p w14:paraId="4A3CB534" w14:textId="77777777" w:rsidR="00EB08A6" w:rsidRPr="00EB08A6" w:rsidRDefault="00EB08A6" w:rsidP="00EB08A6">
      <w:pPr>
        <w:spacing w:line="276" w:lineRule="auto"/>
        <w:rPr>
          <w:rStyle w:val="Antrat2Diagrama"/>
          <w:rFonts w:ascii="Times New Roman" w:eastAsiaTheme="minorEastAsia" w:hAnsi="Times New Roman"/>
          <w:b w:val="0"/>
          <w:bCs w:val="0"/>
          <w:sz w:val="22"/>
          <w:szCs w:val="22"/>
          <w:lang w:val="lt-LT"/>
        </w:rPr>
      </w:pPr>
    </w:p>
    <w:p w14:paraId="16006B94" w14:textId="77777777" w:rsidR="00EB08A6" w:rsidRPr="00EB08A6" w:rsidRDefault="00EB08A6" w:rsidP="00EB08A6">
      <w:pPr>
        <w:rPr>
          <w:b/>
          <w:szCs w:val="22"/>
          <w:lang w:val="lt-LT"/>
        </w:rPr>
      </w:pPr>
      <w:r w:rsidRPr="00EB08A6">
        <w:rPr>
          <w:b/>
          <w:szCs w:val="22"/>
          <w:lang w:val="lt-LT"/>
        </w:rPr>
        <w:t xml:space="preserve">Kaip vartoti reikalingą </w:t>
      </w:r>
      <w:proofErr w:type="spellStart"/>
      <w:r w:rsidRPr="00EB08A6">
        <w:rPr>
          <w:b/>
          <w:bCs/>
          <w:szCs w:val="22"/>
          <w:lang w:val="lt-LT"/>
        </w:rPr>
        <w:t>Vesicare</w:t>
      </w:r>
      <w:proofErr w:type="spellEnd"/>
      <w:r w:rsidRPr="00EB08A6">
        <w:rPr>
          <w:b/>
          <w:szCs w:val="22"/>
          <w:lang w:val="lt-LT"/>
        </w:rPr>
        <w:t xml:space="preserve"> dozę naudojant geriamąjį švirkštą</w:t>
      </w:r>
    </w:p>
    <w:p w14:paraId="292BBE85" w14:textId="77777777" w:rsidR="00EB08A6" w:rsidRPr="00EB08A6" w:rsidRDefault="00EB08A6" w:rsidP="00EB08A6">
      <w:pPr>
        <w:rPr>
          <w:szCs w:val="22"/>
          <w:lang w:val="lt-LT"/>
        </w:rPr>
      </w:pPr>
      <w:r w:rsidRPr="00EB08A6">
        <w:rPr>
          <w:szCs w:val="22"/>
          <w:lang w:val="lt-LT"/>
        </w:rPr>
        <w:t xml:space="preserve">Kad tinkamai išmatuotumėte reikiamą vaisto kiekį, naudokite geriamosios suspensijos švirkštą ir adapterį, pridedamus prie </w:t>
      </w:r>
      <w:proofErr w:type="spellStart"/>
      <w:r w:rsidRPr="00EB08A6">
        <w:rPr>
          <w:szCs w:val="22"/>
          <w:lang w:val="lt-LT"/>
        </w:rPr>
        <w:t>Vesicare</w:t>
      </w:r>
      <w:proofErr w:type="spellEnd"/>
      <w:r w:rsidRPr="00EB08A6">
        <w:rPr>
          <w:szCs w:val="22"/>
          <w:lang w:val="lt-LT"/>
        </w:rPr>
        <w:t xml:space="preserve"> geriamosios suspensijos.</w:t>
      </w:r>
    </w:p>
    <w:p w14:paraId="0E38BF2C" w14:textId="77777777" w:rsidR="00EB08A6" w:rsidRPr="00EB08A6" w:rsidRDefault="00EB08A6" w:rsidP="00EB08A6">
      <w:pPr>
        <w:rPr>
          <w:szCs w:val="22"/>
          <w:lang w:val="lt-LT"/>
        </w:rPr>
      </w:pPr>
    </w:p>
    <w:p w14:paraId="320AC012" w14:textId="77777777" w:rsidR="00EB08A6" w:rsidRPr="00EB08A6" w:rsidRDefault="00EB08A6" w:rsidP="00EB08A6">
      <w:pPr>
        <w:rPr>
          <w:szCs w:val="22"/>
          <w:u w:val="single"/>
          <w:lang w:val="lt-LT"/>
        </w:rPr>
      </w:pPr>
      <w:r w:rsidRPr="00EB08A6">
        <w:rPr>
          <w:szCs w:val="22"/>
          <w:u w:val="single"/>
          <w:lang w:val="lt-LT"/>
        </w:rPr>
        <w:t xml:space="preserve">Paruošimas pirmajam </w:t>
      </w:r>
      <w:proofErr w:type="spellStart"/>
      <w:r w:rsidRPr="00EB08A6">
        <w:rPr>
          <w:szCs w:val="22"/>
          <w:u w:val="single"/>
          <w:lang w:val="lt-LT"/>
        </w:rPr>
        <w:t>Vesicare</w:t>
      </w:r>
      <w:proofErr w:type="spellEnd"/>
      <w:r w:rsidRPr="00EB08A6">
        <w:rPr>
          <w:szCs w:val="22"/>
          <w:u w:val="single"/>
          <w:lang w:val="lt-LT"/>
        </w:rPr>
        <w:t xml:space="preserve"> geriamosios suspensijos buteliuko vartojimui</w:t>
      </w:r>
    </w:p>
    <w:p w14:paraId="61773825" w14:textId="77777777" w:rsidR="00EB08A6" w:rsidRPr="00EB08A6" w:rsidRDefault="00EB08A6" w:rsidP="00EB08A6">
      <w:pPr>
        <w:numPr>
          <w:ilvl w:val="0"/>
          <w:numId w:val="17"/>
        </w:numPr>
        <w:ind w:left="567" w:hanging="567"/>
        <w:rPr>
          <w:szCs w:val="22"/>
          <w:u w:val="single"/>
          <w:lang w:val="lt-LT"/>
        </w:rPr>
      </w:pPr>
      <w:r w:rsidRPr="00EB08A6">
        <w:rPr>
          <w:szCs w:val="22"/>
          <w:lang w:val="lt-LT"/>
        </w:rPr>
        <w:t xml:space="preserve">Dėmesingai nusiplaukite rankas. </w:t>
      </w:r>
    </w:p>
    <w:p w14:paraId="35B1D9D4" w14:textId="77777777" w:rsidR="00EB08A6" w:rsidRPr="00EB08A6" w:rsidRDefault="00EB08A6" w:rsidP="00EB08A6">
      <w:pPr>
        <w:numPr>
          <w:ilvl w:val="0"/>
          <w:numId w:val="17"/>
        </w:numPr>
        <w:ind w:left="567" w:hanging="567"/>
        <w:rPr>
          <w:szCs w:val="22"/>
          <w:u w:val="single"/>
          <w:lang w:val="lt-LT"/>
        </w:rPr>
      </w:pPr>
      <w:r w:rsidRPr="00EB08A6">
        <w:rPr>
          <w:szCs w:val="22"/>
          <w:lang w:val="lt-LT"/>
        </w:rPr>
        <w:t xml:space="preserve">Atidarykite kartoninę dėžutę ir išimkite buteliuką, švirkštą ir adapterį. </w:t>
      </w:r>
    </w:p>
    <w:p w14:paraId="02FE738F" w14:textId="77777777" w:rsidR="00EB08A6" w:rsidRPr="00EB08A6" w:rsidRDefault="00EB08A6" w:rsidP="00EB08A6">
      <w:pPr>
        <w:numPr>
          <w:ilvl w:val="0"/>
          <w:numId w:val="17"/>
        </w:numPr>
        <w:ind w:left="567" w:hanging="567"/>
        <w:rPr>
          <w:szCs w:val="22"/>
          <w:u w:val="single"/>
          <w:lang w:val="lt-LT"/>
        </w:rPr>
      </w:pPr>
      <w:r w:rsidRPr="00EB08A6">
        <w:rPr>
          <w:szCs w:val="22"/>
          <w:lang w:val="lt-LT"/>
        </w:rPr>
        <w:t xml:space="preserve">Padėkite buteliuką ant lygaus paviršiaus ir nuimkite dangtelį. </w:t>
      </w:r>
    </w:p>
    <w:p w14:paraId="76A3EABF" w14:textId="77777777" w:rsidR="00EB08A6" w:rsidRPr="00EB08A6" w:rsidRDefault="00EB08A6" w:rsidP="00EB08A6">
      <w:pPr>
        <w:numPr>
          <w:ilvl w:val="0"/>
          <w:numId w:val="17"/>
        </w:numPr>
        <w:ind w:left="567" w:hanging="567"/>
        <w:rPr>
          <w:szCs w:val="22"/>
          <w:u w:val="single"/>
          <w:lang w:val="lt-LT"/>
        </w:rPr>
      </w:pPr>
      <w:r w:rsidRPr="00EB08A6">
        <w:rPr>
          <w:szCs w:val="22"/>
          <w:lang w:val="lt-LT"/>
        </w:rPr>
        <w:t xml:space="preserve">Tvirtai užspauskite adapterį ant buteliuko kaklelio. </w:t>
      </w:r>
    </w:p>
    <w:p w14:paraId="09718B44" w14:textId="77777777" w:rsidR="00EB08A6" w:rsidRPr="00EB08A6" w:rsidRDefault="00EB08A6" w:rsidP="00EB08A6">
      <w:pPr>
        <w:numPr>
          <w:ilvl w:val="0"/>
          <w:numId w:val="17"/>
        </w:numPr>
        <w:ind w:left="567" w:hanging="567"/>
        <w:rPr>
          <w:szCs w:val="22"/>
          <w:u w:val="single"/>
          <w:lang w:val="lt-LT"/>
        </w:rPr>
      </w:pPr>
      <w:r w:rsidRPr="00EB08A6">
        <w:rPr>
          <w:szCs w:val="22"/>
          <w:lang w:val="lt-LT"/>
        </w:rPr>
        <w:t xml:space="preserve">Įsitikinkite, kad adapterio viršus yra viename lygyje su butelio kaklelio viršumi. </w:t>
      </w:r>
    </w:p>
    <w:p w14:paraId="63F86D11" w14:textId="77777777" w:rsidR="00EB08A6" w:rsidRPr="00EB08A6" w:rsidRDefault="00EB08A6" w:rsidP="00EB08A6">
      <w:pPr>
        <w:numPr>
          <w:ilvl w:val="0"/>
          <w:numId w:val="17"/>
        </w:numPr>
        <w:ind w:left="567" w:hanging="567"/>
        <w:rPr>
          <w:szCs w:val="22"/>
          <w:u w:val="single"/>
          <w:lang w:val="lt-LT"/>
        </w:rPr>
      </w:pPr>
      <w:r w:rsidRPr="00EB08A6">
        <w:rPr>
          <w:szCs w:val="22"/>
          <w:lang w:val="lt-LT"/>
        </w:rPr>
        <w:t>Adapteris turi likti ant buteliuko kaklelio iki 28 dienų galiojimo termino pabaigos.</w:t>
      </w:r>
    </w:p>
    <w:p w14:paraId="4C7D1C50" w14:textId="77777777" w:rsidR="00EB08A6" w:rsidRPr="00EB08A6" w:rsidRDefault="00EB08A6" w:rsidP="00EB08A6">
      <w:pPr>
        <w:numPr>
          <w:ilvl w:val="0"/>
          <w:numId w:val="17"/>
        </w:numPr>
        <w:ind w:left="567" w:hanging="567"/>
        <w:rPr>
          <w:szCs w:val="22"/>
          <w:u w:val="single"/>
          <w:lang w:val="lt-LT"/>
        </w:rPr>
      </w:pPr>
      <w:r w:rsidRPr="00EB08A6">
        <w:rPr>
          <w:szCs w:val="22"/>
          <w:lang w:val="lt-LT"/>
        </w:rPr>
        <w:t>Uždėkite buteliuko dangtelį atgal.</w:t>
      </w:r>
    </w:p>
    <w:p w14:paraId="76B3FB8E" w14:textId="77777777" w:rsidR="00EB08A6" w:rsidRPr="00EB08A6" w:rsidRDefault="00EB08A6" w:rsidP="00EB08A6">
      <w:pPr>
        <w:rPr>
          <w:rStyle w:val="Antrat2Diagrama"/>
          <w:rFonts w:ascii="Times New Roman" w:eastAsia="Times New Roman" w:hAnsi="Times New Roman"/>
          <w:b w:val="0"/>
          <w:bCs w:val="0"/>
          <w:sz w:val="22"/>
          <w:szCs w:val="22"/>
          <w:lang w:val="lt-LT"/>
        </w:rPr>
      </w:pPr>
    </w:p>
    <w:p w14:paraId="71C67643" w14:textId="77777777" w:rsidR="00EB08A6" w:rsidRPr="00EB08A6" w:rsidRDefault="00EB08A6" w:rsidP="00EB08A6">
      <w:pPr>
        <w:rPr>
          <w:szCs w:val="22"/>
          <w:u w:val="single"/>
          <w:lang w:val="lt-LT"/>
        </w:rPr>
      </w:pPr>
      <w:r w:rsidRPr="00EB08A6">
        <w:rPr>
          <w:szCs w:val="22"/>
          <w:u w:val="single"/>
          <w:lang w:val="lt-LT"/>
        </w:rPr>
        <w:t>Prieš kiekvieną vartojimą</w:t>
      </w:r>
    </w:p>
    <w:p w14:paraId="65B3D5F5"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Dėmesingai nusiplaukite rankas.</w:t>
      </w:r>
    </w:p>
    <w:p w14:paraId="3F240E51"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 xml:space="preserve">Papurtykite </w:t>
      </w:r>
      <w:proofErr w:type="spellStart"/>
      <w:r w:rsidRPr="00EB08A6">
        <w:rPr>
          <w:szCs w:val="22"/>
          <w:lang w:val="lt-LT"/>
        </w:rPr>
        <w:t>Vesicare</w:t>
      </w:r>
      <w:proofErr w:type="spellEnd"/>
      <w:r w:rsidRPr="00EB08A6">
        <w:rPr>
          <w:szCs w:val="22"/>
          <w:lang w:val="lt-LT"/>
        </w:rPr>
        <w:t xml:space="preserve"> geriamosios suspensijos buteliuką bent 20 kartų.</w:t>
      </w:r>
    </w:p>
    <w:p w14:paraId="65460BFF"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Nuimkite buteliuko dangtelį ir įsitikinkite, kad ant buteliuko kaklelio yra adapteris. Geriamojo švirkšto galiuką įstatykite į buteliuko adapterio centrinę angą, kol jis gerai įsitvirtins.</w:t>
      </w:r>
    </w:p>
    <w:p w14:paraId="4B4715EB"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Atsargiai apverskite buteliuką ir švirkštą, užtikrindami, kad adapteris liktų vietoje.</w:t>
      </w:r>
    </w:p>
    <w:p w14:paraId="0120C1E0"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Lėtai traukite švirkšto stūmoklį, kad iš apversto buteliuko ištrauktumėte gydytojo nurodytą kiekį.</w:t>
      </w:r>
    </w:p>
    <w:p w14:paraId="60BA5842"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Jei netyčia ištraukėte per daug vaisto, pašalinkite perteklių.</w:t>
      </w:r>
    </w:p>
    <w:p w14:paraId="67D8CA6C"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Įsitikinkite, kad švirkšte nėra oro burbuliukų. Jei atsiranda oro burbulas, stumkite stūmoklį aukštyn, kad pašalintumėte galimą burbulą.</w:t>
      </w:r>
    </w:p>
    <w:p w14:paraId="02DA6C80"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Palikite švirkštą vietoje, apverskite buteliuką stačiai ir įsitikinkite, kad švirkšto stūmoklis nejuda. Švelniai ištraukite švirkštą iš adapterio. Adapteris turėtų likti vietoje.</w:t>
      </w:r>
    </w:p>
    <w:p w14:paraId="1081271F"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Patikrinkite, ar pamatuota tinkama dozė. Įdėkite švirkštą į burną ir švelniai stumkite stūmoklį žemyn, kad pacientui būtų suleistas vaistinis preparatas.</w:t>
      </w:r>
    </w:p>
    <w:p w14:paraId="45C681B7"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Baigę dozavimą; uždarykite buteliuką su dangteliu.</w:t>
      </w:r>
    </w:p>
    <w:p w14:paraId="6B6B35D3" w14:textId="77777777" w:rsidR="00EB08A6" w:rsidRPr="00EB08A6" w:rsidRDefault="00EB08A6" w:rsidP="00EB08A6">
      <w:pPr>
        <w:numPr>
          <w:ilvl w:val="0"/>
          <w:numId w:val="18"/>
        </w:numPr>
        <w:tabs>
          <w:tab w:val="clear" w:pos="567"/>
        </w:tabs>
        <w:spacing w:line="240" w:lineRule="auto"/>
        <w:ind w:left="567" w:hanging="567"/>
        <w:rPr>
          <w:szCs w:val="22"/>
          <w:lang w:val="lt-LT"/>
        </w:rPr>
      </w:pPr>
      <w:r w:rsidRPr="00EB08A6">
        <w:rPr>
          <w:szCs w:val="22"/>
          <w:lang w:val="lt-LT"/>
        </w:rPr>
        <w:t>Nuplaukite švirkštą šiltu vandeniu. Leiskite išdžiūti.</w:t>
      </w:r>
    </w:p>
    <w:p w14:paraId="0AFCD285" w14:textId="77777777" w:rsidR="00EB08A6" w:rsidRPr="00EB08A6" w:rsidRDefault="00EB08A6" w:rsidP="00EB08A6">
      <w:pPr>
        <w:rPr>
          <w:szCs w:val="22"/>
          <w:lang w:val="lt-LT"/>
        </w:rPr>
      </w:pPr>
    </w:p>
    <w:p w14:paraId="2024FD54" w14:textId="77777777" w:rsidR="00EB08A6" w:rsidRPr="00EB08A6" w:rsidRDefault="00EB08A6" w:rsidP="00EB08A6">
      <w:pPr>
        <w:rPr>
          <w:szCs w:val="22"/>
          <w:lang w:val="lt-LT"/>
        </w:rPr>
      </w:pPr>
      <w:r w:rsidRPr="00EB08A6">
        <w:rPr>
          <w:szCs w:val="22"/>
          <w:lang w:val="lt-LT"/>
        </w:rPr>
        <w:t>Pastaba: jei pacientui reikia didesnės nei 5 ml dozės, prieš pakartotinį švirkšto naudojimą jo galiuką praskalaukite šiltu vandeniu.</w:t>
      </w:r>
    </w:p>
    <w:p w14:paraId="46173E28" w14:textId="77777777" w:rsidR="00EB08A6" w:rsidRPr="00EB08A6" w:rsidRDefault="00EB08A6" w:rsidP="00EB08A6">
      <w:pPr>
        <w:rPr>
          <w:szCs w:val="22"/>
          <w:lang w:val="lt-LT"/>
        </w:rPr>
      </w:pPr>
    </w:p>
    <w:p w14:paraId="04B858AE" w14:textId="77777777" w:rsidR="00EB08A6" w:rsidRPr="00EB08A6" w:rsidRDefault="00EB08A6" w:rsidP="00EB08A6">
      <w:pPr>
        <w:rPr>
          <w:szCs w:val="22"/>
          <w:u w:val="single"/>
          <w:lang w:val="lt-LT"/>
        </w:rPr>
      </w:pPr>
      <w:r w:rsidRPr="00EB08A6">
        <w:rPr>
          <w:szCs w:val="22"/>
          <w:u w:val="single"/>
          <w:lang w:val="lt-LT"/>
        </w:rPr>
        <w:t>Geriamojo švirkšto valymas</w:t>
      </w:r>
    </w:p>
    <w:p w14:paraId="2F2EBE04" w14:textId="77777777" w:rsidR="00EB08A6" w:rsidRPr="00EB08A6" w:rsidRDefault="00EB08A6" w:rsidP="00EB08A6">
      <w:pPr>
        <w:rPr>
          <w:szCs w:val="22"/>
          <w:lang w:val="lt-LT"/>
        </w:rPr>
      </w:pPr>
      <w:r w:rsidRPr="00EB08A6">
        <w:rPr>
          <w:szCs w:val="22"/>
          <w:lang w:val="lt-LT"/>
        </w:rPr>
        <w:t>Po naudojimo geriamąjį švirkštą plaukite tik šiltu vandeniu.</w:t>
      </w:r>
    </w:p>
    <w:p w14:paraId="2F3C58C6" w14:textId="77777777" w:rsidR="00EB08A6" w:rsidRPr="00EB08A6" w:rsidRDefault="00EB08A6" w:rsidP="00EB08A6">
      <w:pPr>
        <w:rPr>
          <w:szCs w:val="22"/>
          <w:lang w:val="lt-LT"/>
        </w:rPr>
      </w:pPr>
    </w:p>
    <w:p w14:paraId="39267C0C" w14:textId="77777777" w:rsidR="00EB08A6" w:rsidRPr="00EB08A6" w:rsidRDefault="00EB08A6" w:rsidP="00EB08A6">
      <w:pPr>
        <w:rPr>
          <w:szCs w:val="22"/>
          <w:lang w:val="lt-LT"/>
        </w:rPr>
      </w:pPr>
      <w:r w:rsidRPr="00EB08A6">
        <w:rPr>
          <w:szCs w:val="22"/>
          <w:lang w:val="lt-LT"/>
        </w:rPr>
        <w:t>Geriamasis švirkštas gali būti naudojamas 28 dienas po pirmojo atidarymo (žr. 5 skyrių).</w:t>
      </w:r>
    </w:p>
    <w:p w14:paraId="1471A337" w14:textId="77777777" w:rsidR="00EB08A6" w:rsidRPr="00EB08A6" w:rsidRDefault="00EB08A6" w:rsidP="00EB08A6">
      <w:pPr>
        <w:rPr>
          <w:rStyle w:val="Antrat2Diagrama"/>
          <w:rFonts w:ascii="Times New Roman" w:eastAsia="Times New Roman" w:hAnsi="Times New Roman"/>
          <w:b w:val="0"/>
          <w:bCs w:val="0"/>
          <w:sz w:val="22"/>
          <w:szCs w:val="22"/>
          <w:lang w:val="lt-LT"/>
        </w:rPr>
      </w:pPr>
    </w:p>
    <w:p w14:paraId="668F3A10" w14:textId="77777777" w:rsidR="00EB08A6" w:rsidRPr="00EB08A6" w:rsidRDefault="00EB08A6" w:rsidP="00EB08A6">
      <w:pPr>
        <w:pStyle w:val="Antrat2"/>
        <w:spacing w:before="0"/>
        <w:rPr>
          <w:rFonts w:ascii="Times New Roman" w:hAnsi="Times New Roman"/>
          <w:i w:val="0"/>
          <w:sz w:val="22"/>
          <w:szCs w:val="22"/>
        </w:rPr>
      </w:pPr>
      <w:proofErr w:type="spellStart"/>
      <w:r w:rsidRPr="00EB08A6">
        <w:rPr>
          <w:rFonts w:ascii="Times New Roman" w:hAnsi="Times New Roman"/>
          <w:i w:val="0"/>
          <w:sz w:val="22"/>
          <w:szCs w:val="22"/>
        </w:rPr>
        <w:t>Ką</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daryti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pavartojus</w:t>
      </w:r>
      <w:proofErr w:type="spellEnd"/>
      <w:r w:rsidRPr="00EB08A6">
        <w:rPr>
          <w:rFonts w:ascii="Times New Roman" w:hAnsi="Times New Roman"/>
          <w:i w:val="0"/>
          <w:sz w:val="22"/>
          <w:szCs w:val="22"/>
        </w:rPr>
        <w:t xml:space="preserve"> per </w:t>
      </w:r>
      <w:proofErr w:type="spellStart"/>
      <w:r w:rsidRPr="00EB08A6">
        <w:rPr>
          <w:rFonts w:ascii="Times New Roman" w:hAnsi="Times New Roman"/>
          <w:i w:val="0"/>
          <w:sz w:val="22"/>
          <w:szCs w:val="22"/>
        </w:rPr>
        <w:t>didelę</w:t>
      </w:r>
      <w:proofErr w:type="spellEnd"/>
      <w:r w:rsidRPr="00EB08A6">
        <w:rPr>
          <w:rFonts w:ascii="Times New Roman" w:hAnsi="Times New Roman"/>
          <w:i w:val="0"/>
          <w:sz w:val="22"/>
          <w:szCs w:val="22"/>
        </w:rPr>
        <w:t xml:space="preserve"> </w:t>
      </w:r>
      <w:r w:rsidRPr="00EB08A6">
        <w:rPr>
          <w:rFonts w:ascii="Times New Roman" w:hAnsi="Times New Roman"/>
          <w:i w:val="0"/>
          <w:noProof/>
          <w:sz w:val="22"/>
          <w:szCs w:val="22"/>
        </w:rPr>
        <w:t>Vesicare</w:t>
      </w:r>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dozę</w:t>
      </w:r>
      <w:proofErr w:type="spellEnd"/>
    </w:p>
    <w:p w14:paraId="1FB363C9" w14:textId="77777777" w:rsidR="00EB08A6" w:rsidRPr="00EB08A6" w:rsidRDefault="00EB08A6" w:rsidP="00EB08A6">
      <w:pPr>
        <w:rPr>
          <w:szCs w:val="22"/>
          <w:lang w:val="lt-LT"/>
        </w:rPr>
      </w:pPr>
      <w:bookmarkStart w:id="99" w:name="_i4i016K1cdyAw1diE0OFG2oLV"/>
      <w:bookmarkEnd w:id="99"/>
      <w:r w:rsidRPr="00EB08A6">
        <w:rPr>
          <w:szCs w:val="22"/>
          <w:lang w:val="lt-LT"/>
        </w:rPr>
        <w:t xml:space="preserve">Jeigu pavartojote daugiau </w:t>
      </w:r>
      <w:proofErr w:type="spellStart"/>
      <w:r w:rsidRPr="00EB08A6">
        <w:rPr>
          <w:szCs w:val="22"/>
          <w:lang w:val="lt-LT"/>
        </w:rPr>
        <w:t>Vesicare</w:t>
      </w:r>
      <w:proofErr w:type="spellEnd"/>
      <w:r w:rsidRPr="00EB08A6">
        <w:rPr>
          <w:szCs w:val="22"/>
          <w:lang w:val="lt-LT"/>
        </w:rPr>
        <w:t xml:space="preserve">, nei jums buvo nurodyta vartoti, arba jeigu </w:t>
      </w:r>
      <w:proofErr w:type="spellStart"/>
      <w:r w:rsidRPr="00EB08A6">
        <w:rPr>
          <w:szCs w:val="22"/>
          <w:lang w:val="lt-LT"/>
        </w:rPr>
        <w:t>Vesicare</w:t>
      </w:r>
      <w:proofErr w:type="spellEnd"/>
      <w:r w:rsidRPr="00EB08A6">
        <w:rPr>
          <w:szCs w:val="22"/>
          <w:lang w:val="lt-LT"/>
        </w:rPr>
        <w:t xml:space="preserve"> netyčia išgėrė vaikas, nedelsdami kreipkitės į gydytoją arba vaistininką.</w:t>
      </w:r>
    </w:p>
    <w:p w14:paraId="4007E60B" w14:textId="77777777" w:rsidR="00EB08A6" w:rsidRPr="00EB08A6" w:rsidRDefault="00EB08A6" w:rsidP="00EB08A6">
      <w:pPr>
        <w:rPr>
          <w:szCs w:val="22"/>
          <w:lang w:val="lt-LT"/>
        </w:rPr>
      </w:pPr>
    </w:p>
    <w:p w14:paraId="0A110D8A" w14:textId="77777777" w:rsidR="00EB08A6" w:rsidRPr="00EB08A6" w:rsidRDefault="00EB08A6" w:rsidP="00EB08A6">
      <w:pPr>
        <w:rPr>
          <w:szCs w:val="22"/>
          <w:lang w:val="lt-LT"/>
        </w:rPr>
      </w:pPr>
      <w:r w:rsidRPr="00EB08A6">
        <w:rPr>
          <w:szCs w:val="22"/>
          <w:lang w:val="lt-LT"/>
        </w:rPr>
        <w:lastRenderedPageBreak/>
        <w:t>Perdozavimo simptomai gali būti tokie: galvos skausmas, burnos džiūvimas, svaigulys, mieguistumas ir neryškus matymas, nesamų daiktų matymas ar jutimas (haliucinacijos), stiprus susijaudinimas, traukuliai (konvulsijos), pasunkėjęs kvėpavimas, padažnėjęs širdies plakimas (</w:t>
      </w:r>
      <w:proofErr w:type="spellStart"/>
      <w:r w:rsidRPr="00EB08A6">
        <w:rPr>
          <w:szCs w:val="22"/>
          <w:lang w:val="lt-LT"/>
        </w:rPr>
        <w:t>tachikardija</w:t>
      </w:r>
      <w:proofErr w:type="spellEnd"/>
      <w:r w:rsidRPr="00EB08A6">
        <w:rPr>
          <w:szCs w:val="22"/>
          <w:lang w:val="lt-LT"/>
        </w:rPr>
        <w:t>), šlapimo kaupimasis šlapimo pūslėje (šlapimo susilaikymas) ir vyzdžių išsiplėtimas (</w:t>
      </w:r>
      <w:proofErr w:type="spellStart"/>
      <w:r w:rsidRPr="00EB08A6">
        <w:rPr>
          <w:szCs w:val="22"/>
          <w:lang w:val="lt-LT"/>
        </w:rPr>
        <w:t>midriazė</w:t>
      </w:r>
      <w:proofErr w:type="spellEnd"/>
      <w:r w:rsidRPr="00EB08A6">
        <w:rPr>
          <w:szCs w:val="22"/>
          <w:lang w:val="lt-LT"/>
        </w:rPr>
        <w:t>).</w:t>
      </w:r>
    </w:p>
    <w:p w14:paraId="4B411CEE" w14:textId="77777777" w:rsidR="00EB08A6" w:rsidRPr="00EB08A6" w:rsidRDefault="00EB08A6" w:rsidP="00EB08A6">
      <w:pPr>
        <w:rPr>
          <w:szCs w:val="22"/>
          <w:lang w:val="lt-LT"/>
        </w:rPr>
      </w:pPr>
      <w:r w:rsidRPr="00EB08A6">
        <w:rPr>
          <w:szCs w:val="22"/>
          <w:lang w:val="lt-LT"/>
        </w:rPr>
        <w:t xml:space="preserve"> </w:t>
      </w:r>
    </w:p>
    <w:p w14:paraId="1BFFC056" w14:textId="77777777" w:rsidR="00EB08A6" w:rsidRPr="00EB08A6" w:rsidRDefault="00EB08A6" w:rsidP="00EB08A6">
      <w:pPr>
        <w:pStyle w:val="Antrat2"/>
        <w:keepNext w:val="0"/>
        <w:spacing w:before="0"/>
        <w:rPr>
          <w:rFonts w:ascii="Times New Roman" w:hAnsi="Times New Roman"/>
          <w:i w:val="0"/>
          <w:sz w:val="22"/>
          <w:szCs w:val="22"/>
          <w:lang w:val="lt-LT"/>
        </w:rPr>
      </w:pPr>
      <w:bookmarkStart w:id="100" w:name="_i4i2qloFNYsvxZWEIf13s1kSC"/>
      <w:bookmarkStart w:id="101" w:name="_i4i5I1TGgpCQy4L9YJyTMOgde"/>
      <w:bookmarkEnd w:id="100"/>
      <w:bookmarkEnd w:id="101"/>
      <w:r w:rsidRPr="00EB08A6">
        <w:rPr>
          <w:rFonts w:ascii="Times New Roman" w:hAnsi="Times New Roman"/>
          <w:i w:val="0"/>
          <w:sz w:val="22"/>
          <w:szCs w:val="22"/>
          <w:lang w:val="lt-LT"/>
        </w:rPr>
        <w:t xml:space="preserve">Pamiršus pavartoti </w:t>
      </w:r>
      <w:r w:rsidRPr="00EB08A6">
        <w:rPr>
          <w:rFonts w:ascii="Times New Roman" w:hAnsi="Times New Roman"/>
          <w:i w:val="0"/>
          <w:noProof/>
          <w:sz w:val="22"/>
          <w:szCs w:val="22"/>
        </w:rPr>
        <w:t>Vesicare</w:t>
      </w:r>
    </w:p>
    <w:p w14:paraId="3D826FF8" w14:textId="77777777" w:rsidR="00EB08A6" w:rsidRPr="00EB08A6" w:rsidRDefault="00EB08A6" w:rsidP="00EB08A6">
      <w:pPr>
        <w:rPr>
          <w:szCs w:val="22"/>
          <w:lang w:val="lt-LT"/>
        </w:rPr>
      </w:pPr>
      <w:r w:rsidRPr="00EB08A6">
        <w:rPr>
          <w:szCs w:val="22"/>
          <w:lang w:val="lt-LT"/>
        </w:rPr>
        <w:t>Jeigu pamiršote išgerti vaistą įprastu laiku, išgerkite jį tuoj pat kai prisiminsite, išskyrus atvejus, kai arti kitos dozės vartojimo laikas. Negalima vartoti daugiau kaip vienos vaisto dozės per parą. Jeigu abejojate, kreipkitės į savo gydytoją arba vaistininką.</w:t>
      </w:r>
    </w:p>
    <w:p w14:paraId="500E56EF" w14:textId="77777777" w:rsidR="00EB08A6" w:rsidRPr="00EB08A6" w:rsidRDefault="00EB08A6" w:rsidP="00EB08A6">
      <w:pPr>
        <w:rPr>
          <w:szCs w:val="22"/>
          <w:lang w:val="lt-LT"/>
        </w:rPr>
      </w:pPr>
    </w:p>
    <w:p w14:paraId="5129E07F" w14:textId="77777777" w:rsidR="00EB08A6" w:rsidRPr="00EB08A6" w:rsidRDefault="00EB08A6" w:rsidP="00EB08A6">
      <w:pPr>
        <w:pStyle w:val="Antrat2"/>
        <w:spacing w:before="0"/>
        <w:rPr>
          <w:rFonts w:ascii="Times New Roman" w:hAnsi="Times New Roman"/>
          <w:i w:val="0"/>
          <w:sz w:val="22"/>
          <w:szCs w:val="22"/>
          <w:lang w:val="lt-LT"/>
        </w:rPr>
      </w:pPr>
      <w:bookmarkStart w:id="102" w:name="_i4i2flybK1oaSlamUmXovzEXU"/>
      <w:bookmarkEnd w:id="102"/>
      <w:r w:rsidRPr="00EB08A6">
        <w:rPr>
          <w:rFonts w:ascii="Times New Roman" w:hAnsi="Times New Roman"/>
          <w:i w:val="0"/>
          <w:sz w:val="22"/>
          <w:szCs w:val="22"/>
          <w:lang w:val="lt-LT"/>
        </w:rPr>
        <w:t xml:space="preserve">Nustojus vartoti </w:t>
      </w:r>
      <w:r w:rsidRPr="00EB08A6">
        <w:rPr>
          <w:rFonts w:ascii="Times New Roman" w:hAnsi="Times New Roman"/>
          <w:i w:val="0"/>
          <w:noProof/>
          <w:sz w:val="22"/>
          <w:szCs w:val="22"/>
        </w:rPr>
        <w:t>Vesicare</w:t>
      </w:r>
    </w:p>
    <w:p w14:paraId="4E964187" w14:textId="77777777" w:rsidR="00EB08A6" w:rsidRPr="00EB08A6" w:rsidRDefault="00EB08A6" w:rsidP="00EB08A6">
      <w:pPr>
        <w:rPr>
          <w:szCs w:val="22"/>
          <w:lang w:val="lt-LT"/>
        </w:rPr>
      </w:pPr>
      <w:bookmarkStart w:id="103" w:name="_i4i4T3w2BHtSYigVrT3Ji7uML"/>
      <w:bookmarkEnd w:id="103"/>
      <w:r w:rsidRPr="00EB08A6">
        <w:rPr>
          <w:szCs w:val="22"/>
          <w:lang w:val="lt-LT"/>
        </w:rPr>
        <w:t xml:space="preserve">Jei nutrauksite </w:t>
      </w:r>
      <w:proofErr w:type="spellStart"/>
      <w:r w:rsidRPr="00EB08A6">
        <w:rPr>
          <w:szCs w:val="22"/>
          <w:lang w:val="lt-LT"/>
        </w:rPr>
        <w:t>Vesicare</w:t>
      </w:r>
      <w:proofErr w:type="spellEnd"/>
      <w:r w:rsidRPr="00EB08A6">
        <w:rPr>
          <w:szCs w:val="22"/>
          <w:lang w:val="lt-LT"/>
        </w:rPr>
        <w:t xml:space="preserve"> vartojimą, šlapimo pūslės ligos simptomai gali atsinaujinti arba pasunkėti. Norėdami baigti gydymą, visada pasitarkite su savo gydytoju. </w:t>
      </w:r>
    </w:p>
    <w:p w14:paraId="755CA644" w14:textId="77777777" w:rsidR="00EB08A6" w:rsidRPr="00EB08A6" w:rsidRDefault="00EB08A6" w:rsidP="00EB08A6">
      <w:pPr>
        <w:rPr>
          <w:szCs w:val="22"/>
          <w:lang w:val="lt-LT"/>
        </w:rPr>
      </w:pPr>
    </w:p>
    <w:p w14:paraId="7E6370D1" w14:textId="77777777" w:rsidR="00EB08A6" w:rsidRPr="00EB08A6" w:rsidRDefault="00EB08A6" w:rsidP="00EB08A6">
      <w:pPr>
        <w:rPr>
          <w:szCs w:val="22"/>
          <w:lang w:val="lt-LT"/>
        </w:rPr>
      </w:pPr>
      <w:r w:rsidRPr="00EB08A6">
        <w:rPr>
          <w:szCs w:val="22"/>
          <w:lang w:val="lt-LT"/>
        </w:rPr>
        <w:t>Jeigu kiltų daugiau klausimų dėl šio vaisto vartojimo, kreipkitės į gydytoją arba vaistininką.</w:t>
      </w:r>
    </w:p>
    <w:p w14:paraId="47EBF457" w14:textId="77777777" w:rsidR="00EB08A6" w:rsidRPr="00EB08A6" w:rsidRDefault="00EB08A6" w:rsidP="00EB08A6">
      <w:pPr>
        <w:rPr>
          <w:szCs w:val="22"/>
          <w:lang w:val="lt-LT"/>
        </w:rPr>
      </w:pPr>
    </w:p>
    <w:p w14:paraId="42099588" w14:textId="77777777" w:rsidR="00EB08A6" w:rsidRPr="00EB08A6" w:rsidRDefault="00EB08A6" w:rsidP="00EB08A6">
      <w:pPr>
        <w:pStyle w:val="Antrat1"/>
        <w:spacing w:before="0" w:after="0"/>
        <w:rPr>
          <w:rFonts w:ascii="Times New Roman" w:hAnsi="Times New Roman"/>
          <w:sz w:val="22"/>
          <w:szCs w:val="22"/>
          <w:lang w:val="lt-LT"/>
        </w:rPr>
      </w:pPr>
      <w:bookmarkStart w:id="104" w:name="_i4i25ZS0MROAFwFtAaiWW8tJQ"/>
      <w:bookmarkEnd w:id="104"/>
      <w:r w:rsidRPr="00EB08A6">
        <w:rPr>
          <w:rFonts w:ascii="Times New Roman" w:hAnsi="Times New Roman"/>
          <w:sz w:val="22"/>
          <w:szCs w:val="22"/>
          <w:lang w:val="lt-LT"/>
        </w:rPr>
        <w:t>4.</w:t>
      </w:r>
      <w:r w:rsidRPr="00EB08A6">
        <w:rPr>
          <w:rFonts w:ascii="Times New Roman" w:hAnsi="Times New Roman"/>
          <w:sz w:val="22"/>
          <w:szCs w:val="22"/>
          <w:lang w:val="lt-LT"/>
        </w:rPr>
        <w:tab/>
        <w:t>Galimas šalutinis poveikis</w:t>
      </w:r>
    </w:p>
    <w:p w14:paraId="04BA59C7" w14:textId="77777777" w:rsidR="00EB08A6" w:rsidRPr="00EB08A6" w:rsidRDefault="00EB08A6" w:rsidP="00EB08A6">
      <w:pPr>
        <w:rPr>
          <w:color w:val="000000" w:themeColor="text1"/>
          <w:szCs w:val="22"/>
          <w:lang w:val="lt-LT"/>
        </w:rPr>
      </w:pPr>
      <w:bookmarkStart w:id="105" w:name="_i4i3Uu0EW6FPq1GBrrNLDwU1r"/>
      <w:bookmarkEnd w:id="105"/>
    </w:p>
    <w:p w14:paraId="7C12D2D3" w14:textId="77777777" w:rsidR="00EB08A6" w:rsidRPr="00EB08A6" w:rsidRDefault="00EB08A6" w:rsidP="00EB08A6">
      <w:pPr>
        <w:rPr>
          <w:color w:val="000000" w:themeColor="text1"/>
          <w:szCs w:val="22"/>
          <w:lang w:val="fi-FI"/>
        </w:rPr>
      </w:pPr>
      <w:r w:rsidRPr="00EB08A6">
        <w:rPr>
          <w:szCs w:val="22"/>
          <w:lang w:val="fi-FI"/>
        </w:rPr>
        <w:t>Šis vaistas, kaip ir visi kiti, gali sukelti šalutinį poveikį, nors jis pasireiškia ne visiems žmonėms.</w:t>
      </w:r>
    </w:p>
    <w:p w14:paraId="792ED6F2" w14:textId="77777777" w:rsidR="00EB08A6" w:rsidRPr="00EB08A6" w:rsidRDefault="00EB08A6" w:rsidP="00EB08A6">
      <w:pPr>
        <w:rPr>
          <w:szCs w:val="22"/>
          <w:lang w:val="lt-LT"/>
        </w:rPr>
      </w:pPr>
    </w:p>
    <w:p w14:paraId="14F8EA24" w14:textId="77777777" w:rsidR="00EB08A6" w:rsidRPr="00EB08A6" w:rsidRDefault="00EB08A6" w:rsidP="00EB08A6">
      <w:pPr>
        <w:rPr>
          <w:szCs w:val="22"/>
          <w:lang w:val="lt-LT"/>
        </w:rPr>
      </w:pPr>
      <w:r w:rsidRPr="00EB08A6">
        <w:rPr>
          <w:szCs w:val="22"/>
          <w:lang w:val="lt-LT"/>
        </w:rPr>
        <w:t xml:space="preserve">Jeigu pasireikštų toliau išvardytas poveikis, </w:t>
      </w:r>
      <w:proofErr w:type="spellStart"/>
      <w:r w:rsidRPr="00EB08A6">
        <w:rPr>
          <w:szCs w:val="22"/>
          <w:lang w:val="lt-LT"/>
        </w:rPr>
        <w:t>Vesicare</w:t>
      </w:r>
      <w:proofErr w:type="spellEnd"/>
      <w:r w:rsidRPr="00EB08A6">
        <w:rPr>
          <w:szCs w:val="22"/>
          <w:lang w:val="lt-LT"/>
        </w:rPr>
        <w:t xml:space="preserve"> vartojimą reikia nutraukti ir nedelsiant kreiptis medicinos pagalbos:</w:t>
      </w:r>
    </w:p>
    <w:p w14:paraId="2C3B3408" w14:textId="77777777" w:rsidR="00EB08A6" w:rsidRPr="00EB08A6" w:rsidRDefault="00EB08A6" w:rsidP="00EB08A6">
      <w:pPr>
        <w:autoSpaceDE w:val="0"/>
        <w:autoSpaceDN w:val="0"/>
        <w:adjustRightInd w:val="0"/>
        <w:ind w:left="567"/>
        <w:rPr>
          <w:szCs w:val="22"/>
          <w:lang w:val="lt-LT"/>
        </w:rPr>
      </w:pPr>
      <w:r w:rsidRPr="00EB08A6">
        <w:rPr>
          <w:szCs w:val="22"/>
          <w:lang w:val="lt-LT"/>
        </w:rPr>
        <w:t xml:space="preserve">jeigu pasireiškė alerginė reakcija (staiga ir greitai išsivystęs nepageidaujamas poveikis – išplitęs niežulys, dilgėlinė, tinimas, apsunkintas kvėpavimas ir (arba) kitos alerginės reakcijos, vadinamoji </w:t>
      </w:r>
      <w:proofErr w:type="spellStart"/>
      <w:r w:rsidRPr="00EB08A6">
        <w:rPr>
          <w:szCs w:val="22"/>
          <w:lang w:val="lt-LT"/>
        </w:rPr>
        <w:t>anafilaksija</w:t>
      </w:r>
      <w:proofErr w:type="spellEnd"/>
      <w:r w:rsidRPr="00EB08A6">
        <w:rPr>
          <w:szCs w:val="22"/>
          <w:lang w:val="lt-LT"/>
        </w:rPr>
        <w:t xml:space="preserve">) arba sunki odos reakcija (pvz., odos </w:t>
      </w:r>
      <w:proofErr w:type="spellStart"/>
      <w:r w:rsidRPr="00EB08A6">
        <w:rPr>
          <w:szCs w:val="22"/>
          <w:lang w:val="lt-LT"/>
        </w:rPr>
        <w:t>pūslėtumas</w:t>
      </w:r>
      <w:proofErr w:type="spellEnd"/>
      <w:r w:rsidRPr="00EB08A6">
        <w:rPr>
          <w:szCs w:val="22"/>
          <w:lang w:val="lt-LT"/>
        </w:rPr>
        <w:t xml:space="preserve"> ir lupimasis);</w:t>
      </w:r>
    </w:p>
    <w:p w14:paraId="7647DF49" w14:textId="77777777" w:rsidR="00EB08A6" w:rsidRPr="00EB08A6" w:rsidRDefault="00EB08A6" w:rsidP="00EB08A6">
      <w:pPr>
        <w:autoSpaceDE w:val="0"/>
        <w:autoSpaceDN w:val="0"/>
        <w:adjustRightInd w:val="0"/>
        <w:ind w:left="567"/>
        <w:rPr>
          <w:szCs w:val="22"/>
          <w:lang w:val="lt-LT"/>
        </w:rPr>
      </w:pPr>
    </w:p>
    <w:p w14:paraId="3E4DDF31" w14:textId="77777777" w:rsidR="00EB08A6" w:rsidRPr="00EB08A6" w:rsidRDefault="00EB08A6" w:rsidP="00EB08A6">
      <w:pPr>
        <w:autoSpaceDE w:val="0"/>
        <w:autoSpaceDN w:val="0"/>
        <w:adjustRightInd w:val="0"/>
        <w:ind w:left="567"/>
        <w:rPr>
          <w:szCs w:val="22"/>
          <w:lang w:val="lt-LT"/>
        </w:rPr>
      </w:pPr>
      <w:r w:rsidRPr="00EB08A6">
        <w:rPr>
          <w:szCs w:val="22"/>
          <w:lang w:val="lt-LT"/>
        </w:rPr>
        <w:t xml:space="preserve">jeigu pasireiškė </w:t>
      </w:r>
      <w:proofErr w:type="spellStart"/>
      <w:r w:rsidRPr="00EB08A6">
        <w:rPr>
          <w:szCs w:val="22"/>
          <w:lang w:val="lt-LT"/>
        </w:rPr>
        <w:t>angioedema</w:t>
      </w:r>
      <w:proofErr w:type="spellEnd"/>
      <w:r w:rsidRPr="00EB08A6">
        <w:rPr>
          <w:szCs w:val="22"/>
          <w:lang w:val="lt-LT"/>
        </w:rPr>
        <w:t xml:space="preserve"> (odos alerginė reakcija, sukelianti poodinio audinio patinimą) kartu su kvėpavimo takų obstrukcija (kvėpavimo pasunkėjimas). </w:t>
      </w:r>
      <w:proofErr w:type="spellStart"/>
      <w:r w:rsidRPr="00EB08A6">
        <w:rPr>
          <w:szCs w:val="22"/>
          <w:lang w:val="lt-LT"/>
        </w:rPr>
        <w:t>Angioedema</w:t>
      </w:r>
      <w:proofErr w:type="spellEnd"/>
      <w:r w:rsidRPr="00EB08A6">
        <w:rPr>
          <w:szCs w:val="22"/>
          <w:lang w:val="lt-LT"/>
        </w:rPr>
        <w:t xml:space="preserve"> buvo diagnozuota kai kuriems </w:t>
      </w:r>
      <w:proofErr w:type="spellStart"/>
      <w:r w:rsidRPr="00EB08A6">
        <w:rPr>
          <w:szCs w:val="22"/>
          <w:lang w:val="lt-LT"/>
        </w:rPr>
        <w:t>Vesicare</w:t>
      </w:r>
      <w:proofErr w:type="spellEnd"/>
      <w:r w:rsidRPr="00EB08A6">
        <w:rPr>
          <w:szCs w:val="22"/>
          <w:lang w:val="lt-LT"/>
        </w:rPr>
        <w:t xml:space="preserve"> vartojusiems pacientams. </w:t>
      </w:r>
    </w:p>
    <w:p w14:paraId="4C783563" w14:textId="77777777" w:rsidR="00EB08A6" w:rsidRPr="00EB08A6" w:rsidRDefault="00EB08A6" w:rsidP="00EB08A6">
      <w:pPr>
        <w:keepNext/>
        <w:rPr>
          <w:szCs w:val="22"/>
          <w:lang w:val="lt-LT"/>
        </w:rPr>
      </w:pPr>
    </w:p>
    <w:p w14:paraId="3AA507F5" w14:textId="77777777" w:rsidR="00EB08A6" w:rsidRPr="00EB08A6" w:rsidRDefault="00EB08A6" w:rsidP="00EB08A6">
      <w:pPr>
        <w:autoSpaceDE w:val="0"/>
        <w:autoSpaceDN w:val="0"/>
        <w:adjustRightInd w:val="0"/>
        <w:rPr>
          <w:szCs w:val="22"/>
          <w:lang w:val="lt-LT"/>
        </w:rPr>
      </w:pPr>
      <w:r w:rsidRPr="00EB08A6">
        <w:rPr>
          <w:szCs w:val="22"/>
          <w:lang w:val="lt-LT"/>
        </w:rPr>
        <w:t xml:space="preserve">Vartojant </w:t>
      </w:r>
      <w:proofErr w:type="spellStart"/>
      <w:r w:rsidRPr="00EB08A6">
        <w:rPr>
          <w:szCs w:val="22"/>
          <w:lang w:val="lt-LT"/>
        </w:rPr>
        <w:t>Vesicare</w:t>
      </w:r>
      <w:proofErr w:type="spellEnd"/>
      <w:r w:rsidRPr="00EB08A6">
        <w:rPr>
          <w:szCs w:val="22"/>
          <w:lang w:val="lt-LT"/>
        </w:rPr>
        <w:t>, gali pasireikšti toliau išvardytas šalutinis poveikis.</w:t>
      </w:r>
    </w:p>
    <w:p w14:paraId="682F188B" w14:textId="77777777" w:rsidR="00EB08A6" w:rsidRPr="00EB08A6" w:rsidRDefault="00EB08A6" w:rsidP="00EB08A6">
      <w:pPr>
        <w:keepNext/>
        <w:rPr>
          <w:szCs w:val="22"/>
          <w:lang w:val="lt-LT"/>
        </w:rPr>
      </w:pPr>
    </w:p>
    <w:p w14:paraId="71CD84D4" w14:textId="77777777" w:rsidR="00EB08A6" w:rsidRPr="00EB08A6" w:rsidRDefault="00EB08A6" w:rsidP="00EB08A6">
      <w:pPr>
        <w:autoSpaceDE w:val="0"/>
        <w:autoSpaceDN w:val="0"/>
        <w:adjustRightInd w:val="0"/>
        <w:rPr>
          <w:b/>
          <w:szCs w:val="22"/>
          <w:lang w:val="lt-LT"/>
        </w:rPr>
      </w:pPr>
      <w:r w:rsidRPr="00EB08A6">
        <w:rPr>
          <w:b/>
          <w:bCs/>
          <w:color w:val="000000"/>
          <w:szCs w:val="22"/>
          <w:lang w:val="lt-LT"/>
        </w:rPr>
        <w:t>Labai dažni šalutinio poveikio reiškiniai (gali pasireikšti ne rečiau kaip 1 iš 10 asmenų)</w:t>
      </w:r>
      <w:r w:rsidRPr="00EB08A6">
        <w:rPr>
          <w:b/>
          <w:szCs w:val="22"/>
          <w:lang w:val="lt-LT"/>
        </w:rPr>
        <w:t>:</w:t>
      </w:r>
    </w:p>
    <w:p w14:paraId="746DAE47" w14:textId="77777777" w:rsidR="00EB08A6" w:rsidRPr="00EB08A6" w:rsidRDefault="00EB08A6" w:rsidP="00EB08A6">
      <w:pPr>
        <w:numPr>
          <w:ilvl w:val="0"/>
          <w:numId w:val="38"/>
        </w:numPr>
        <w:tabs>
          <w:tab w:val="clear" w:pos="567"/>
        </w:tabs>
        <w:autoSpaceDE w:val="0"/>
        <w:autoSpaceDN w:val="0"/>
        <w:adjustRightInd w:val="0"/>
        <w:spacing w:line="240" w:lineRule="auto"/>
        <w:rPr>
          <w:szCs w:val="22"/>
          <w:lang w:val="lt-LT"/>
        </w:rPr>
      </w:pPr>
      <w:r w:rsidRPr="00EB08A6">
        <w:rPr>
          <w:szCs w:val="22"/>
          <w:lang w:val="lt-LT"/>
        </w:rPr>
        <w:t>burnos džiūvimas.</w:t>
      </w:r>
    </w:p>
    <w:p w14:paraId="2EC3BDF9" w14:textId="77777777" w:rsidR="00EB08A6" w:rsidRPr="00EB08A6" w:rsidRDefault="00EB08A6" w:rsidP="00EB08A6">
      <w:pPr>
        <w:autoSpaceDE w:val="0"/>
        <w:autoSpaceDN w:val="0"/>
        <w:adjustRightInd w:val="0"/>
        <w:rPr>
          <w:szCs w:val="22"/>
          <w:lang w:val="lt-LT"/>
        </w:rPr>
      </w:pPr>
    </w:p>
    <w:p w14:paraId="265BCDC1" w14:textId="77777777" w:rsidR="00EB08A6" w:rsidRPr="00EB08A6" w:rsidRDefault="00EB08A6" w:rsidP="00EB08A6">
      <w:pPr>
        <w:autoSpaceDE w:val="0"/>
        <w:autoSpaceDN w:val="0"/>
        <w:adjustRightInd w:val="0"/>
        <w:rPr>
          <w:b/>
          <w:szCs w:val="22"/>
          <w:lang w:val="lt-LT"/>
        </w:rPr>
      </w:pPr>
      <w:r w:rsidRPr="00EB08A6">
        <w:rPr>
          <w:b/>
          <w:szCs w:val="22"/>
          <w:lang w:val="lt-LT"/>
        </w:rPr>
        <w:t xml:space="preserve"> </w:t>
      </w:r>
      <w:r w:rsidRPr="00EB08A6">
        <w:rPr>
          <w:b/>
          <w:bCs/>
          <w:color w:val="000000"/>
          <w:szCs w:val="22"/>
          <w:lang w:val="lt-LT"/>
        </w:rPr>
        <w:t>Dažni šalutinio poveikio reiškiniai (gali pasireikšti rečiau kaip 1 iš 10 asmenų)</w:t>
      </w:r>
      <w:r w:rsidRPr="00EB08A6">
        <w:rPr>
          <w:b/>
          <w:szCs w:val="22"/>
          <w:lang w:val="lt-LT"/>
        </w:rPr>
        <w:t>:</w:t>
      </w:r>
    </w:p>
    <w:p w14:paraId="2AF125DA" w14:textId="77777777" w:rsidR="00EB08A6" w:rsidRPr="00EB08A6" w:rsidRDefault="00EB08A6" w:rsidP="00EB08A6">
      <w:pPr>
        <w:numPr>
          <w:ilvl w:val="0"/>
          <w:numId w:val="39"/>
        </w:numPr>
        <w:tabs>
          <w:tab w:val="clear" w:pos="567"/>
        </w:tabs>
        <w:autoSpaceDE w:val="0"/>
        <w:autoSpaceDN w:val="0"/>
        <w:adjustRightInd w:val="0"/>
        <w:spacing w:line="240" w:lineRule="auto"/>
        <w:rPr>
          <w:szCs w:val="22"/>
          <w:lang w:val="lt-LT"/>
        </w:rPr>
      </w:pPr>
      <w:r w:rsidRPr="00EB08A6">
        <w:rPr>
          <w:szCs w:val="22"/>
          <w:lang w:val="lt-LT"/>
        </w:rPr>
        <w:t>neryškus matymas;</w:t>
      </w:r>
    </w:p>
    <w:p w14:paraId="0045F3A4" w14:textId="77777777" w:rsidR="00EB08A6" w:rsidRPr="00EB08A6" w:rsidRDefault="00EB08A6" w:rsidP="00EB08A6">
      <w:pPr>
        <w:numPr>
          <w:ilvl w:val="0"/>
          <w:numId w:val="39"/>
        </w:numPr>
        <w:tabs>
          <w:tab w:val="clear" w:pos="567"/>
        </w:tabs>
        <w:autoSpaceDE w:val="0"/>
        <w:autoSpaceDN w:val="0"/>
        <w:adjustRightInd w:val="0"/>
        <w:spacing w:line="240" w:lineRule="auto"/>
        <w:rPr>
          <w:szCs w:val="22"/>
          <w:lang w:val="lt-LT"/>
        </w:rPr>
      </w:pPr>
      <w:r w:rsidRPr="00EB08A6">
        <w:rPr>
          <w:szCs w:val="22"/>
          <w:lang w:val="lt-LT"/>
        </w:rPr>
        <w:t>vidurių užkietėjimas, pykinimas, virškinimo sutrikimai (pasireiškia tokiais simptomais kaip pilnumo jausmas pilve, pilvo skausmas, atsirūgimas, rėmuo (dispepsija), skrandžio diskomfortas).</w:t>
      </w:r>
    </w:p>
    <w:p w14:paraId="16A08D15" w14:textId="77777777" w:rsidR="00EB08A6" w:rsidRPr="00EB08A6" w:rsidRDefault="00EB08A6" w:rsidP="00EB08A6">
      <w:pPr>
        <w:autoSpaceDE w:val="0"/>
        <w:autoSpaceDN w:val="0"/>
        <w:adjustRightInd w:val="0"/>
        <w:rPr>
          <w:szCs w:val="22"/>
          <w:lang w:val="lt-LT"/>
        </w:rPr>
      </w:pPr>
    </w:p>
    <w:p w14:paraId="28512271" w14:textId="77777777" w:rsidR="00EB08A6" w:rsidRPr="00EB08A6" w:rsidRDefault="00EB08A6" w:rsidP="00EB08A6">
      <w:pPr>
        <w:autoSpaceDE w:val="0"/>
        <w:autoSpaceDN w:val="0"/>
        <w:adjustRightInd w:val="0"/>
        <w:rPr>
          <w:b/>
          <w:szCs w:val="22"/>
          <w:lang w:val="lt-LT"/>
        </w:rPr>
      </w:pPr>
      <w:r w:rsidRPr="00EB08A6">
        <w:rPr>
          <w:b/>
          <w:bCs/>
          <w:color w:val="000000"/>
          <w:szCs w:val="22"/>
          <w:lang w:val="lt-LT"/>
        </w:rPr>
        <w:t>Nedažni šalutinio poveikio reiškiniai (gali pasireikšti rečiau kaip 1 iš  100 asmenų):</w:t>
      </w:r>
      <w:r w:rsidRPr="00EB08A6" w:rsidDel="00CA125E">
        <w:rPr>
          <w:b/>
          <w:szCs w:val="22"/>
          <w:lang w:val="lt-LT"/>
        </w:rPr>
        <w:t xml:space="preserve"> </w:t>
      </w:r>
    </w:p>
    <w:p w14:paraId="4BA319A8"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šlapimo takų infekcija, šlapimo pūslės infekcija;</w:t>
      </w:r>
    </w:p>
    <w:p w14:paraId="4B1C0E75"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mieguistumas, skonio pojūčio sutrikimas (</w:t>
      </w:r>
      <w:proofErr w:type="spellStart"/>
      <w:r w:rsidRPr="00EB08A6">
        <w:rPr>
          <w:szCs w:val="22"/>
          <w:lang w:val="lt-LT"/>
        </w:rPr>
        <w:t>disgeuzija</w:t>
      </w:r>
      <w:proofErr w:type="spellEnd"/>
      <w:r w:rsidRPr="00EB08A6">
        <w:rPr>
          <w:szCs w:val="22"/>
          <w:lang w:val="lt-LT"/>
        </w:rPr>
        <w:t>);</w:t>
      </w:r>
    </w:p>
    <w:p w14:paraId="0E6382D6"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akių sausumas (jautrumas);</w:t>
      </w:r>
    </w:p>
    <w:p w14:paraId="1A9F078A"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nosies ertmių sausumas;</w:t>
      </w:r>
    </w:p>
    <w:p w14:paraId="61F0EAA9"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proofErr w:type="spellStart"/>
      <w:r w:rsidRPr="00EB08A6">
        <w:rPr>
          <w:szCs w:val="22"/>
          <w:lang w:val="lt-LT"/>
        </w:rPr>
        <w:t>refliukso</w:t>
      </w:r>
      <w:proofErr w:type="spellEnd"/>
      <w:r w:rsidRPr="00EB08A6">
        <w:rPr>
          <w:szCs w:val="22"/>
          <w:lang w:val="lt-LT"/>
        </w:rPr>
        <w:t xml:space="preserve"> liga (</w:t>
      </w:r>
      <w:proofErr w:type="spellStart"/>
      <w:r w:rsidRPr="00EB08A6">
        <w:rPr>
          <w:szCs w:val="22"/>
          <w:lang w:val="lt-LT"/>
        </w:rPr>
        <w:t>gastroezofaginio</w:t>
      </w:r>
      <w:proofErr w:type="spellEnd"/>
      <w:r w:rsidRPr="00EB08A6">
        <w:rPr>
          <w:szCs w:val="22"/>
          <w:lang w:val="lt-LT"/>
        </w:rPr>
        <w:t xml:space="preserve"> </w:t>
      </w:r>
      <w:proofErr w:type="spellStart"/>
      <w:r w:rsidRPr="00EB08A6">
        <w:rPr>
          <w:szCs w:val="22"/>
          <w:lang w:val="lt-LT"/>
        </w:rPr>
        <w:t>refliukso</w:t>
      </w:r>
      <w:proofErr w:type="spellEnd"/>
      <w:r w:rsidRPr="00EB08A6">
        <w:rPr>
          <w:szCs w:val="22"/>
          <w:lang w:val="lt-LT"/>
        </w:rPr>
        <w:t xml:space="preserve"> liga), gerklės džiūvimas;</w:t>
      </w:r>
    </w:p>
    <w:p w14:paraId="726731B4"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odos sausumas;</w:t>
      </w:r>
    </w:p>
    <w:p w14:paraId="7BEABE33"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 xml:space="preserve">pasunkėjęs </w:t>
      </w:r>
      <w:proofErr w:type="spellStart"/>
      <w:r w:rsidRPr="00EB08A6">
        <w:rPr>
          <w:szCs w:val="22"/>
          <w:lang w:val="lt-LT"/>
        </w:rPr>
        <w:t>šlapinimasis</w:t>
      </w:r>
      <w:proofErr w:type="spellEnd"/>
      <w:r w:rsidRPr="00EB08A6">
        <w:rPr>
          <w:szCs w:val="22"/>
          <w:lang w:val="lt-LT"/>
        </w:rPr>
        <w:t>;</w:t>
      </w:r>
    </w:p>
    <w:p w14:paraId="778F9572" w14:textId="77777777" w:rsidR="00EB08A6" w:rsidRPr="00EB08A6" w:rsidRDefault="00EB08A6" w:rsidP="00EB08A6">
      <w:pPr>
        <w:numPr>
          <w:ilvl w:val="0"/>
          <w:numId w:val="40"/>
        </w:numPr>
        <w:tabs>
          <w:tab w:val="clear" w:pos="567"/>
        </w:tabs>
        <w:autoSpaceDE w:val="0"/>
        <w:autoSpaceDN w:val="0"/>
        <w:adjustRightInd w:val="0"/>
        <w:spacing w:line="240" w:lineRule="auto"/>
        <w:rPr>
          <w:szCs w:val="22"/>
          <w:lang w:val="lt-LT"/>
        </w:rPr>
      </w:pPr>
      <w:r w:rsidRPr="00EB08A6">
        <w:rPr>
          <w:szCs w:val="22"/>
          <w:lang w:val="lt-LT"/>
        </w:rPr>
        <w:t>nuovargis; skysčių kaupimasis apatinėse galūnėse (edema).</w:t>
      </w:r>
    </w:p>
    <w:p w14:paraId="5A653E68" w14:textId="77777777" w:rsidR="00EB08A6" w:rsidRPr="00EB08A6" w:rsidRDefault="00EB08A6" w:rsidP="00EB08A6">
      <w:pPr>
        <w:autoSpaceDE w:val="0"/>
        <w:autoSpaceDN w:val="0"/>
        <w:adjustRightInd w:val="0"/>
        <w:rPr>
          <w:szCs w:val="22"/>
          <w:lang w:val="lt-LT"/>
        </w:rPr>
      </w:pPr>
    </w:p>
    <w:p w14:paraId="79180FB1" w14:textId="77777777" w:rsidR="00EB08A6" w:rsidRPr="00EB08A6" w:rsidRDefault="00EB08A6" w:rsidP="00EB08A6">
      <w:pPr>
        <w:autoSpaceDE w:val="0"/>
        <w:autoSpaceDN w:val="0"/>
        <w:adjustRightInd w:val="0"/>
        <w:rPr>
          <w:b/>
          <w:szCs w:val="22"/>
          <w:lang w:val="lt-LT"/>
        </w:rPr>
      </w:pPr>
      <w:r w:rsidRPr="00EB08A6">
        <w:rPr>
          <w:b/>
          <w:bCs/>
          <w:color w:val="000000"/>
          <w:szCs w:val="22"/>
          <w:lang w:val="lt-LT"/>
        </w:rPr>
        <w:t>Reti šalutinio poveikio reiškiniai (gali pasireikšti rečiau kaip 1 iš 1 000 asmenų)</w:t>
      </w:r>
      <w:r w:rsidRPr="00EB08A6">
        <w:rPr>
          <w:b/>
          <w:szCs w:val="22"/>
          <w:lang w:val="lt-LT"/>
        </w:rPr>
        <w:t>:</w:t>
      </w:r>
    </w:p>
    <w:p w14:paraId="2B1EF96E" w14:textId="77777777" w:rsidR="00EB08A6" w:rsidRPr="00EB08A6" w:rsidRDefault="00EB08A6" w:rsidP="00EB08A6">
      <w:pPr>
        <w:numPr>
          <w:ilvl w:val="0"/>
          <w:numId w:val="41"/>
        </w:numPr>
        <w:tabs>
          <w:tab w:val="clear" w:pos="567"/>
        </w:tabs>
        <w:autoSpaceDE w:val="0"/>
        <w:autoSpaceDN w:val="0"/>
        <w:adjustRightInd w:val="0"/>
        <w:spacing w:line="240" w:lineRule="auto"/>
        <w:rPr>
          <w:szCs w:val="22"/>
          <w:lang w:val="lt-LT"/>
        </w:rPr>
      </w:pPr>
      <w:r w:rsidRPr="00EB08A6">
        <w:rPr>
          <w:szCs w:val="22"/>
          <w:lang w:val="lt-LT"/>
        </w:rPr>
        <w:t>didelio sukietėjusių išmatų kiekio kaupimasis storojoje (gaubtinėje) žarnoje (žarnų užkimšimas);</w:t>
      </w:r>
    </w:p>
    <w:p w14:paraId="5E53BBD0" w14:textId="77777777" w:rsidR="00EB08A6" w:rsidRPr="00EB08A6" w:rsidRDefault="00EB08A6" w:rsidP="00EB08A6">
      <w:pPr>
        <w:numPr>
          <w:ilvl w:val="0"/>
          <w:numId w:val="41"/>
        </w:numPr>
        <w:tabs>
          <w:tab w:val="clear" w:pos="567"/>
        </w:tabs>
        <w:autoSpaceDE w:val="0"/>
        <w:autoSpaceDN w:val="0"/>
        <w:adjustRightInd w:val="0"/>
        <w:spacing w:line="240" w:lineRule="auto"/>
        <w:rPr>
          <w:szCs w:val="22"/>
          <w:lang w:val="lt-LT"/>
        </w:rPr>
      </w:pPr>
      <w:r w:rsidRPr="00EB08A6">
        <w:rPr>
          <w:szCs w:val="22"/>
          <w:lang w:val="lt-LT"/>
        </w:rPr>
        <w:t>šlapimo kaupimasis šlapimo pūslėje dėl negalėjimo pasišlapinti (šlapimo susilaikymas);</w:t>
      </w:r>
    </w:p>
    <w:p w14:paraId="4D590602" w14:textId="77777777" w:rsidR="00EB08A6" w:rsidRPr="00EB08A6" w:rsidRDefault="00EB08A6" w:rsidP="00EB08A6">
      <w:pPr>
        <w:numPr>
          <w:ilvl w:val="0"/>
          <w:numId w:val="41"/>
        </w:numPr>
        <w:tabs>
          <w:tab w:val="clear" w:pos="567"/>
        </w:tabs>
        <w:autoSpaceDE w:val="0"/>
        <w:autoSpaceDN w:val="0"/>
        <w:adjustRightInd w:val="0"/>
        <w:spacing w:line="240" w:lineRule="auto"/>
        <w:rPr>
          <w:szCs w:val="22"/>
          <w:lang w:val="lt-LT"/>
        </w:rPr>
      </w:pPr>
      <w:r w:rsidRPr="00EB08A6">
        <w:rPr>
          <w:szCs w:val="22"/>
          <w:lang w:val="lt-LT"/>
        </w:rPr>
        <w:t>svaigulys, galvos skausmas;</w:t>
      </w:r>
    </w:p>
    <w:p w14:paraId="6B4866B2" w14:textId="77777777" w:rsidR="00EB08A6" w:rsidRPr="00EB08A6" w:rsidRDefault="00EB08A6" w:rsidP="00EB08A6">
      <w:pPr>
        <w:numPr>
          <w:ilvl w:val="0"/>
          <w:numId w:val="41"/>
        </w:numPr>
        <w:tabs>
          <w:tab w:val="clear" w:pos="567"/>
        </w:tabs>
        <w:autoSpaceDE w:val="0"/>
        <w:autoSpaceDN w:val="0"/>
        <w:adjustRightInd w:val="0"/>
        <w:spacing w:line="240" w:lineRule="auto"/>
        <w:rPr>
          <w:szCs w:val="22"/>
          <w:lang w:val="lt-LT"/>
        </w:rPr>
      </w:pPr>
      <w:r w:rsidRPr="00EB08A6">
        <w:rPr>
          <w:szCs w:val="22"/>
          <w:lang w:val="lt-LT"/>
        </w:rPr>
        <w:t>vėmimas;</w:t>
      </w:r>
    </w:p>
    <w:p w14:paraId="5398B10D" w14:textId="77777777" w:rsidR="00EB08A6" w:rsidRPr="00EB08A6" w:rsidRDefault="00EB08A6" w:rsidP="00EB08A6">
      <w:pPr>
        <w:numPr>
          <w:ilvl w:val="0"/>
          <w:numId w:val="41"/>
        </w:numPr>
        <w:tabs>
          <w:tab w:val="clear" w:pos="567"/>
        </w:tabs>
        <w:autoSpaceDE w:val="0"/>
        <w:autoSpaceDN w:val="0"/>
        <w:adjustRightInd w:val="0"/>
        <w:spacing w:line="240" w:lineRule="auto"/>
        <w:rPr>
          <w:szCs w:val="22"/>
          <w:lang w:val="lt-LT"/>
        </w:rPr>
      </w:pPr>
      <w:r w:rsidRPr="00EB08A6">
        <w:rPr>
          <w:szCs w:val="22"/>
          <w:lang w:val="lt-LT"/>
        </w:rPr>
        <w:t>niežulys, išbėrimas.</w:t>
      </w:r>
    </w:p>
    <w:p w14:paraId="23CD1944" w14:textId="77777777" w:rsidR="00EB08A6" w:rsidRPr="00EB08A6" w:rsidRDefault="00EB08A6" w:rsidP="00EB08A6">
      <w:pPr>
        <w:autoSpaceDE w:val="0"/>
        <w:autoSpaceDN w:val="0"/>
        <w:adjustRightInd w:val="0"/>
        <w:rPr>
          <w:szCs w:val="22"/>
          <w:lang w:val="lt-LT"/>
        </w:rPr>
      </w:pPr>
    </w:p>
    <w:p w14:paraId="0E4EFB81" w14:textId="77777777" w:rsidR="00EB08A6" w:rsidRPr="00EB08A6" w:rsidRDefault="00EB08A6" w:rsidP="00EB08A6">
      <w:pPr>
        <w:autoSpaceDE w:val="0"/>
        <w:autoSpaceDN w:val="0"/>
        <w:adjustRightInd w:val="0"/>
        <w:rPr>
          <w:b/>
          <w:szCs w:val="22"/>
          <w:lang w:val="lt-LT"/>
        </w:rPr>
      </w:pPr>
      <w:r w:rsidRPr="00EB08A6">
        <w:rPr>
          <w:b/>
          <w:szCs w:val="22"/>
          <w:lang w:val="lt-LT"/>
        </w:rPr>
        <w:t xml:space="preserve">Labai </w:t>
      </w:r>
      <w:r w:rsidRPr="00EB08A6">
        <w:rPr>
          <w:b/>
          <w:bCs/>
          <w:color w:val="000000"/>
          <w:szCs w:val="22"/>
          <w:lang w:val="lt-LT"/>
        </w:rPr>
        <w:t>reti šalutinio poveikio reiškiniai (gali pasireikšti rečiau kaip 1 iš 10 000 asmenų)</w:t>
      </w:r>
      <w:r w:rsidRPr="00EB08A6">
        <w:rPr>
          <w:b/>
          <w:szCs w:val="22"/>
          <w:lang w:val="lt-LT"/>
        </w:rPr>
        <w:t>:</w:t>
      </w:r>
    </w:p>
    <w:p w14:paraId="07134761" w14:textId="77777777" w:rsidR="00EB08A6" w:rsidRPr="00EB08A6" w:rsidRDefault="00EB08A6" w:rsidP="00EB08A6">
      <w:pPr>
        <w:numPr>
          <w:ilvl w:val="0"/>
          <w:numId w:val="42"/>
        </w:numPr>
        <w:tabs>
          <w:tab w:val="clear" w:pos="567"/>
        </w:tabs>
        <w:autoSpaceDE w:val="0"/>
        <w:autoSpaceDN w:val="0"/>
        <w:adjustRightInd w:val="0"/>
        <w:spacing w:line="240" w:lineRule="auto"/>
        <w:rPr>
          <w:szCs w:val="22"/>
          <w:lang w:val="lt-LT"/>
        </w:rPr>
      </w:pPr>
      <w:r w:rsidRPr="00EB08A6">
        <w:rPr>
          <w:szCs w:val="22"/>
          <w:lang w:val="lt-LT"/>
        </w:rPr>
        <w:t>haliucinacijos, sumišimas;</w:t>
      </w:r>
    </w:p>
    <w:p w14:paraId="09A5FA9B" w14:textId="77777777" w:rsidR="00EB08A6" w:rsidRPr="00EB08A6" w:rsidRDefault="00EB08A6" w:rsidP="00EB08A6">
      <w:pPr>
        <w:numPr>
          <w:ilvl w:val="0"/>
          <w:numId w:val="42"/>
        </w:numPr>
        <w:tabs>
          <w:tab w:val="clear" w:pos="567"/>
        </w:tabs>
        <w:autoSpaceDE w:val="0"/>
        <w:autoSpaceDN w:val="0"/>
        <w:adjustRightInd w:val="0"/>
        <w:spacing w:line="240" w:lineRule="auto"/>
        <w:rPr>
          <w:szCs w:val="22"/>
          <w:lang w:val="lt-LT"/>
        </w:rPr>
      </w:pPr>
      <w:r w:rsidRPr="00EB08A6">
        <w:rPr>
          <w:szCs w:val="22"/>
          <w:lang w:val="lt-LT"/>
        </w:rPr>
        <w:t>alerginis išbėrimas.</w:t>
      </w:r>
    </w:p>
    <w:p w14:paraId="3F8BBFC9" w14:textId="77777777" w:rsidR="00EB08A6" w:rsidRPr="00EB08A6" w:rsidRDefault="00EB08A6" w:rsidP="00EB08A6">
      <w:pPr>
        <w:autoSpaceDE w:val="0"/>
        <w:autoSpaceDN w:val="0"/>
        <w:adjustRightInd w:val="0"/>
        <w:rPr>
          <w:szCs w:val="22"/>
          <w:lang w:val="lt-LT"/>
        </w:rPr>
      </w:pPr>
    </w:p>
    <w:p w14:paraId="6F4953B0" w14:textId="77777777" w:rsidR="00EB08A6" w:rsidRPr="00EB08A6" w:rsidRDefault="00EB08A6" w:rsidP="00EB08A6">
      <w:pPr>
        <w:autoSpaceDE w:val="0"/>
        <w:autoSpaceDN w:val="0"/>
        <w:adjustRightInd w:val="0"/>
        <w:rPr>
          <w:b/>
          <w:szCs w:val="22"/>
          <w:lang w:val="lt-LT"/>
        </w:rPr>
      </w:pPr>
      <w:r w:rsidRPr="00EB08A6">
        <w:rPr>
          <w:b/>
          <w:bCs/>
          <w:color w:val="000000"/>
          <w:szCs w:val="22"/>
          <w:lang w:val="lt-LT"/>
        </w:rPr>
        <w:t>Šalutinio poveikio reiškiniai, kurių</w:t>
      </w:r>
      <w:r w:rsidRPr="00EB08A6">
        <w:rPr>
          <w:b/>
          <w:szCs w:val="22"/>
          <w:lang w:val="lt-LT"/>
        </w:rPr>
        <w:t xml:space="preserve"> dažnis nežinomas (negali būti apskaičiuotas pagal turimus duomenis):</w:t>
      </w:r>
    </w:p>
    <w:p w14:paraId="6B1C86B0"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r w:rsidRPr="00EB08A6">
        <w:rPr>
          <w:szCs w:val="22"/>
          <w:lang w:val="lt-LT"/>
        </w:rPr>
        <w:t>apetito sumažėjimas, kalio kiekio padidėjimas kraujyje, galintis sukelti nenormalų širdies ritmą;</w:t>
      </w:r>
    </w:p>
    <w:p w14:paraId="4068029A"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r w:rsidRPr="00EB08A6">
        <w:rPr>
          <w:szCs w:val="22"/>
          <w:lang w:val="lt-LT"/>
        </w:rPr>
        <w:t>padidėjęs akispūdis;</w:t>
      </w:r>
    </w:p>
    <w:p w14:paraId="7138A0BD"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proofErr w:type="spellStart"/>
      <w:r w:rsidRPr="00EB08A6">
        <w:rPr>
          <w:szCs w:val="22"/>
          <w:lang w:val="lt-LT"/>
        </w:rPr>
        <w:t>elektrokardiografiniai</w:t>
      </w:r>
      <w:proofErr w:type="spellEnd"/>
      <w:r w:rsidRPr="00EB08A6">
        <w:rPr>
          <w:szCs w:val="22"/>
          <w:lang w:val="lt-LT"/>
        </w:rPr>
        <w:t xml:space="preserve"> širdies pakitimai, nereguliarus širdies ritmas, širdies plakimo pojūtis, dažnas širdies plakimas;</w:t>
      </w:r>
    </w:p>
    <w:p w14:paraId="247B67DA"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r w:rsidRPr="00EB08A6">
        <w:rPr>
          <w:szCs w:val="22"/>
          <w:lang w:val="lt-LT"/>
        </w:rPr>
        <w:t>balso sutrikimai;</w:t>
      </w:r>
    </w:p>
    <w:p w14:paraId="2D4BCCF8"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r w:rsidRPr="00EB08A6">
        <w:rPr>
          <w:szCs w:val="22"/>
          <w:lang w:val="lt-LT"/>
        </w:rPr>
        <w:t>kepenų funkcijos sutrikimai;</w:t>
      </w:r>
    </w:p>
    <w:p w14:paraId="50031777"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r w:rsidRPr="00EB08A6">
        <w:rPr>
          <w:szCs w:val="22"/>
          <w:lang w:val="lt-LT"/>
        </w:rPr>
        <w:t>raumenų silpnumas;</w:t>
      </w:r>
    </w:p>
    <w:p w14:paraId="21A8141D" w14:textId="77777777" w:rsidR="00EB08A6" w:rsidRPr="00EB08A6" w:rsidRDefault="00EB08A6" w:rsidP="00EB08A6">
      <w:pPr>
        <w:numPr>
          <w:ilvl w:val="0"/>
          <w:numId w:val="43"/>
        </w:numPr>
        <w:tabs>
          <w:tab w:val="clear" w:pos="567"/>
        </w:tabs>
        <w:autoSpaceDE w:val="0"/>
        <w:autoSpaceDN w:val="0"/>
        <w:adjustRightInd w:val="0"/>
        <w:spacing w:line="240" w:lineRule="auto"/>
        <w:rPr>
          <w:szCs w:val="22"/>
          <w:lang w:val="lt-LT"/>
        </w:rPr>
      </w:pPr>
      <w:r w:rsidRPr="00EB08A6">
        <w:rPr>
          <w:szCs w:val="22"/>
          <w:lang w:val="lt-LT"/>
        </w:rPr>
        <w:t>inkstų funkcijos sutrikimai.</w:t>
      </w:r>
    </w:p>
    <w:p w14:paraId="481854E2" w14:textId="77777777" w:rsidR="00EB08A6" w:rsidRPr="00EB08A6" w:rsidRDefault="00EB08A6" w:rsidP="00EB08A6">
      <w:pPr>
        <w:autoSpaceDE w:val="0"/>
        <w:autoSpaceDN w:val="0"/>
        <w:adjustRightInd w:val="0"/>
        <w:rPr>
          <w:szCs w:val="22"/>
          <w:lang w:val="lt-LT"/>
        </w:rPr>
      </w:pPr>
    </w:p>
    <w:p w14:paraId="687D2C5A" w14:textId="77777777" w:rsidR="00EB08A6" w:rsidRPr="00EB08A6" w:rsidRDefault="00EB08A6" w:rsidP="00EB08A6">
      <w:pPr>
        <w:pStyle w:val="Antrat2"/>
        <w:spacing w:before="0"/>
        <w:rPr>
          <w:rFonts w:ascii="Times New Roman" w:hAnsi="Times New Roman"/>
          <w:i w:val="0"/>
          <w:color w:val="000000" w:themeColor="text1"/>
          <w:sz w:val="22"/>
          <w:szCs w:val="22"/>
          <w:lang w:val="lt-LT"/>
        </w:rPr>
      </w:pPr>
      <w:bookmarkStart w:id="106" w:name="_i4i4AkJLH9uMKL1WaANBVCGFU"/>
      <w:bookmarkEnd w:id="106"/>
      <w:r w:rsidRPr="00EB08A6">
        <w:rPr>
          <w:rFonts w:ascii="Times New Roman" w:hAnsi="Times New Roman"/>
          <w:i w:val="0"/>
          <w:sz w:val="22"/>
          <w:szCs w:val="22"/>
          <w:lang w:val="lt-LT"/>
        </w:rPr>
        <w:t>Pranešimas apie šalutinį poveikį</w:t>
      </w:r>
    </w:p>
    <w:p w14:paraId="251B7920" w14:textId="77777777" w:rsidR="00EB08A6" w:rsidRPr="00EB08A6" w:rsidRDefault="00EB08A6" w:rsidP="00EB08A6">
      <w:pPr>
        <w:ind w:right="1"/>
        <w:rPr>
          <w:snapToGrid w:val="0"/>
          <w:szCs w:val="22"/>
          <w:lang w:val="lt-LT"/>
        </w:rPr>
      </w:pPr>
      <w:r w:rsidRPr="00EB08A6">
        <w:rPr>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B08A6">
        <w:rPr>
          <w:snapToGrid w:val="0"/>
          <w:szCs w:val="22"/>
          <w:lang w:val="lt-LT"/>
        </w:rPr>
        <w:t>NepageidaujamaR@vvkt.lt</w:t>
      </w:r>
      <w:proofErr w:type="spellEnd"/>
      <w:r w:rsidRPr="00EB08A6">
        <w:rPr>
          <w:snapToGrid w:val="0"/>
          <w:szCs w:val="22"/>
          <w:lang w:val="lt-LT"/>
        </w:rPr>
        <w:t>) arba nemokamu telefonu 8 800 73 568.</w:t>
      </w:r>
      <w:r w:rsidRPr="00EB08A6" w:rsidDel="00CF1E1F">
        <w:rPr>
          <w:snapToGrid w:val="0"/>
          <w:szCs w:val="22"/>
          <w:lang w:val="lt-LT"/>
        </w:rPr>
        <w:t xml:space="preserve"> </w:t>
      </w:r>
      <w:r w:rsidRPr="00EB08A6">
        <w:rPr>
          <w:snapToGrid w:val="0"/>
          <w:szCs w:val="22"/>
          <w:lang w:val="lt-LT"/>
        </w:rPr>
        <w:t>Pranešdami apie šalutinį poveikį galite mums padėti gauti daugiau informacijos apie šio vaisto saugumą.</w:t>
      </w:r>
    </w:p>
    <w:p w14:paraId="2A0280D7" w14:textId="77777777" w:rsidR="00EB08A6" w:rsidRPr="00EB08A6" w:rsidRDefault="00EB08A6" w:rsidP="00EB08A6">
      <w:pPr>
        <w:ind w:right="1"/>
        <w:rPr>
          <w:snapToGrid w:val="0"/>
          <w:szCs w:val="22"/>
          <w:lang w:val="lt-LT"/>
        </w:rPr>
      </w:pPr>
    </w:p>
    <w:p w14:paraId="3D158522" w14:textId="77777777" w:rsidR="00EB08A6" w:rsidRPr="00EB08A6" w:rsidRDefault="00EB08A6" w:rsidP="00EB08A6">
      <w:pPr>
        <w:pStyle w:val="Antrat1"/>
        <w:spacing w:before="0" w:after="0"/>
        <w:rPr>
          <w:rFonts w:ascii="Times New Roman" w:hAnsi="Times New Roman"/>
          <w:sz w:val="22"/>
          <w:szCs w:val="22"/>
          <w:lang w:val="lt-LT"/>
        </w:rPr>
      </w:pPr>
      <w:bookmarkStart w:id="107" w:name="_i4i76aSgbmE3NTKBh8MxTSFsj"/>
      <w:bookmarkEnd w:id="107"/>
      <w:r w:rsidRPr="00EB08A6">
        <w:rPr>
          <w:rFonts w:ascii="Times New Roman" w:hAnsi="Times New Roman"/>
          <w:sz w:val="22"/>
          <w:szCs w:val="22"/>
          <w:lang w:val="lt-LT"/>
        </w:rPr>
        <w:t>5.</w:t>
      </w:r>
      <w:r w:rsidRPr="00EB08A6">
        <w:rPr>
          <w:rFonts w:ascii="Times New Roman" w:hAnsi="Times New Roman"/>
          <w:sz w:val="22"/>
          <w:szCs w:val="22"/>
          <w:lang w:val="lt-LT"/>
        </w:rPr>
        <w:tab/>
        <w:t xml:space="preserve">Kaip laikyti </w:t>
      </w:r>
      <w:r w:rsidRPr="00EB08A6">
        <w:rPr>
          <w:rFonts w:ascii="Times New Roman" w:hAnsi="Times New Roman"/>
          <w:noProof/>
          <w:sz w:val="22"/>
          <w:szCs w:val="22"/>
        </w:rPr>
        <w:t>Vesicare</w:t>
      </w:r>
    </w:p>
    <w:p w14:paraId="7DA138B2" w14:textId="77777777" w:rsidR="00EB08A6" w:rsidRPr="00EB08A6" w:rsidRDefault="00EB08A6" w:rsidP="00EB08A6">
      <w:pPr>
        <w:rPr>
          <w:b/>
          <w:color w:val="000000" w:themeColor="text1"/>
          <w:szCs w:val="22"/>
        </w:rPr>
      </w:pPr>
    </w:p>
    <w:p w14:paraId="2D091294" w14:textId="77777777" w:rsidR="00EB08A6" w:rsidRPr="00EB08A6" w:rsidRDefault="00EB08A6" w:rsidP="00EB08A6">
      <w:pPr>
        <w:rPr>
          <w:szCs w:val="22"/>
          <w:lang w:val="lt-LT"/>
        </w:rPr>
      </w:pPr>
      <w:r w:rsidRPr="00EB08A6">
        <w:rPr>
          <w:szCs w:val="22"/>
          <w:lang w:val="lt-LT"/>
        </w:rPr>
        <w:t>Šį vaistą laikykite vaikams nepastebimoje ir nepasiekiamoje vietoje.</w:t>
      </w:r>
    </w:p>
    <w:p w14:paraId="501A92CE" w14:textId="77777777" w:rsidR="00EB08A6" w:rsidRPr="00EB08A6" w:rsidRDefault="00EB08A6" w:rsidP="00EB08A6">
      <w:pPr>
        <w:rPr>
          <w:b/>
          <w:color w:val="000000" w:themeColor="text1"/>
          <w:szCs w:val="22"/>
          <w:lang w:val="lt-LT"/>
        </w:rPr>
      </w:pPr>
    </w:p>
    <w:p w14:paraId="267EB6EA" w14:textId="77777777" w:rsidR="00EB08A6" w:rsidRPr="00EB08A6" w:rsidRDefault="00EB08A6" w:rsidP="00EB08A6">
      <w:pPr>
        <w:rPr>
          <w:szCs w:val="22"/>
          <w:lang w:val="lt-LT"/>
        </w:rPr>
      </w:pPr>
      <w:bookmarkStart w:id="108" w:name="_i4i6oadhqpR6yn7BXLycfxyOW"/>
      <w:bookmarkStart w:id="109" w:name="_i4i51zsJLHpdJnyuJSepiSu7V"/>
      <w:bookmarkEnd w:id="108"/>
      <w:bookmarkEnd w:id="109"/>
      <w:r w:rsidRPr="00EB08A6">
        <w:rPr>
          <w:szCs w:val="22"/>
          <w:lang w:val="lt-LT"/>
        </w:rPr>
        <w:t>Geriamąjį švirkštą laikykite švarioje ir sausoje vietoje, saugokite nuo tiesioginių saulės spindulių ir šilumos.</w:t>
      </w:r>
    </w:p>
    <w:p w14:paraId="663BECD2" w14:textId="77777777" w:rsidR="00EB08A6" w:rsidRPr="00EB08A6" w:rsidRDefault="00EB08A6" w:rsidP="00EB08A6">
      <w:pPr>
        <w:rPr>
          <w:szCs w:val="22"/>
          <w:lang w:val="lt-LT"/>
        </w:rPr>
      </w:pPr>
    </w:p>
    <w:p w14:paraId="23F92EE0" w14:textId="77777777" w:rsidR="00EB08A6" w:rsidRPr="00EB08A6" w:rsidRDefault="00EB08A6" w:rsidP="00EB08A6">
      <w:pPr>
        <w:rPr>
          <w:szCs w:val="22"/>
          <w:lang w:val="lt-LT"/>
        </w:rPr>
      </w:pPr>
      <w:r w:rsidRPr="00EB08A6">
        <w:rPr>
          <w:szCs w:val="22"/>
          <w:lang w:val="lt-LT"/>
        </w:rPr>
        <w:t xml:space="preserve">Ant dėžutės ar buteliuko po „Tinka iki“ nurodytam tinkamumo laikui pasibaigus, šio vaisto vartoti negalima. </w:t>
      </w:r>
    </w:p>
    <w:p w14:paraId="29880125" w14:textId="77777777" w:rsidR="00EB08A6" w:rsidRPr="00EB08A6" w:rsidRDefault="00EB08A6" w:rsidP="00EB08A6">
      <w:pPr>
        <w:rPr>
          <w:szCs w:val="22"/>
          <w:lang w:val="lt-LT"/>
        </w:rPr>
      </w:pPr>
    </w:p>
    <w:p w14:paraId="61A0C401" w14:textId="77777777" w:rsidR="00EB08A6" w:rsidRPr="00EB08A6" w:rsidRDefault="00EB08A6" w:rsidP="00EB08A6">
      <w:pPr>
        <w:rPr>
          <w:szCs w:val="22"/>
          <w:lang w:val="lt-LT"/>
        </w:rPr>
      </w:pPr>
      <w:r w:rsidRPr="00EB08A6">
        <w:rPr>
          <w:szCs w:val="22"/>
          <w:lang w:val="lt-LT"/>
        </w:rPr>
        <w:t>Vaistas tinkamas vartoti iki paskutinės nurodyto mėnesio dienos.</w:t>
      </w:r>
    </w:p>
    <w:p w14:paraId="6F8C32DA" w14:textId="77777777" w:rsidR="00EB08A6" w:rsidRPr="00EB08A6" w:rsidRDefault="00EB08A6" w:rsidP="00EB08A6">
      <w:pPr>
        <w:rPr>
          <w:szCs w:val="22"/>
          <w:lang w:val="lt-LT"/>
        </w:rPr>
      </w:pPr>
    </w:p>
    <w:p w14:paraId="7087C2E3" w14:textId="77777777" w:rsidR="00EB08A6" w:rsidRPr="00EB08A6" w:rsidRDefault="00EB08A6" w:rsidP="00EB08A6">
      <w:pPr>
        <w:rPr>
          <w:szCs w:val="22"/>
          <w:lang w:val="lt-LT"/>
        </w:rPr>
      </w:pPr>
      <w:r w:rsidRPr="00EB08A6">
        <w:rPr>
          <w:szCs w:val="22"/>
          <w:lang w:val="lt-LT"/>
        </w:rPr>
        <w:t>Laikyti gamintojo buteliuke, kad vaistas būtų apsaugotas nuo šviesos. Šio vaisto laikymui specialių temperatūros sąlygų nereikalaujama.</w:t>
      </w:r>
      <w:r w:rsidRPr="00EB08A6" w:rsidDel="00C505E1">
        <w:rPr>
          <w:szCs w:val="22"/>
          <w:lang w:val="lt-LT"/>
        </w:rPr>
        <w:t xml:space="preserve"> </w:t>
      </w:r>
      <w:r w:rsidRPr="00EB08A6">
        <w:rPr>
          <w:szCs w:val="22"/>
          <w:lang w:val="lt-LT"/>
        </w:rPr>
        <w:t xml:space="preserve">Pirmą kartą atidarius buteliuką, suspensijos tinkamumo laikas yra 28 dienos. </w:t>
      </w:r>
    </w:p>
    <w:p w14:paraId="234C7BAC" w14:textId="77777777" w:rsidR="00EB08A6" w:rsidRPr="00EB08A6" w:rsidRDefault="00EB08A6" w:rsidP="00EB08A6">
      <w:pPr>
        <w:rPr>
          <w:szCs w:val="22"/>
          <w:lang w:val="lt-LT"/>
        </w:rPr>
      </w:pPr>
    </w:p>
    <w:p w14:paraId="48313D0A" w14:textId="77777777" w:rsidR="00EB08A6" w:rsidRPr="00EB08A6" w:rsidRDefault="00EB08A6" w:rsidP="00EB08A6">
      <w:pPr>
        <w:rPr>
          <w:szCs w:val="22"/>
          <w:lang w:val="lt-LT"/>
        </w:rPr>
      </w:pPr>
      <w:r w:rsidRPr="00EB08A6">
        <w:rPr>
          <w:szCs w:val="22"/>
          <w:lang w:val="lt-LT"/>
        </w:rPr>
        <w:t>Išmeskite vaistą, kuris liko praėjus 28 dienoms po buteliuko atidarymo.</w:t>
      </w:r>
    </w:p>
    <w:p w14:paraId="23FF9462" w14:textId="77777777" w:rsidR="00EB08A6" w:rsidRPr="00EB08A6" w:rsidRDefault="00EB08A6" w:rsidP="00EB08A6">
      <w:pPr>
        <w:rPr>
          <w:color w:val="000000" w:themeColor="text1"/>
          <w:szCs w:val="22"/>
          <w:lang w:eastAsia="en-CA"/>
        </w:rPr>
      </w:pPr>
    </w:p>
    <w:p w14:paraId="1EEC2EB9" w14:textId="77777777" w:rsidR="00EB08A6" w:rsidRPr="00EB08A6" w:rsidRDefault="00EB08A6" w:rsidP="00EB08A6">
      <w:pPr>
        <w:rPr>
          <w:szCs w:val="22"/>
          <w:lang w:val="lt-LT"/>
        </w:rPr>
      </w:pPr>
      <w:r w:rsidRPr="00EB08A6">
        <w:rPr>
          <w:szCs w:val="22"/>
          <w:lang w:val="lt-LT"/>
        </w:rPr>
        <w:t>Vaistų negalima išmesti į kanalizaciją arba su buitinėmis atliekomis. Kaip išmesti nereikalingus vaistus, klauskite vaistininko. Šios priemonės padės apsaugoti aplinką. Buteliuką, švirkštą, adapterį ir nesuvartotą vaistą reikia išmesti laikantis vietinių reikalavimų.</w:t>
      </w:r>
    </w:p>
    <w:p w14:paraId="65C92EBF" w14:textId="77777777" w:rsidR="00EB08A6" w:rsidRPr="00EB08A6" w:rsidRDefault="00EB08A6" w:rsidP="00EB08A6">
      <w:pPr>
        <w:pStyle w:val="Pagrindinistekstas"/>
        <w:rPr>
          <w:szCs w:val="22"/>
          <w:lang w:val="lt-LT"/>
        </w:rPr>
      </w:pPr>
    </w:p>
    <w:p w14:paraId="7213306C" w14:textId="77777777" w:rsidR="00EB08A6" w:rsidRPr="00EB08A6" w:rsidRDefault="00EB08A6" w:rsidP="00EB08A6">
      <w:pPr>
        <w:pStyle w:val="Pagrindinistekstas"/>
        <w:rPr>
          <w:color w:val="000000" w:themeColor="text1"/>
          <w:szCs w:val="22"/>
          <w:lang w:val="lt-LT"/>
        </w:rPr>
      </w:pPr>
    </w:p>
    <w:p w14:paraId="653593AC" w14:textId="77777777" w:rsidR="00EB08A6" w:rsidRPr="00EB08A6" w:rsidRDefault="00EB08A6" w:rsidP="00EB08A6">
      <w:pPr>
        <w:pStyle w:val="Antrat1"/>
        <w:spacing w:before="0"/>
        <w:rPr>
          <w:rStyle w:val="xCCDSDate"/>
          <w:rFonts w:ascii="Times New Roman" w:hAnsi="Times New Roman"/>
          <w:sz w:val="22"/>
          <w:szCs w:val="22"/>
        </w:rPr>
      </w:pPr>
      <w:bookmarkStart w:id="110" w:name="_i4i57SJuXdT9Ji2a36WQcpZv2"/>
      <w:bookmarkEnd w:id="110"/>
      <w:r w:rsidRPr="00EB08A6">
        <w:rPr>
          <w:rStyle w:val="xCCDSDate"/>
          <w:rFonts w:ascii="Times New Roman" w:hAnsi="Times New Roman"/>
          <w:sz w:val="22"/>
          <w:szCs w:val="22"/>
        </w:rPr>
        <w:t>6.</w:t>
      </w:r>
      <w:r w:rsidRPr="00EB08A6">
        <w:rPr>
          <w:rFonts w:ascii="Times New Roman" w:hAnsi="Times New Roman"/>
          <w:sz w:val="22"/>
          <w:szCs w:val="22"/>
        </w:rPr>
        <w:tab/>
      </w:r>
      <w:proofErr w:type="spellStart"/>
      <w:r w:rsidRPr="00EB08A6">
        <w:rPr>
          <w:rFonts w:ascii="Times New Roman" w:hAnsi="Times New Roman"/>
          <w:sz w:val="22"/>
          <w:szCs w:val="22"/>
        </w:rPr>
        <w:t>Pakuotės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turinys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ir</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kita</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informacija</w:t>
      </w:r>
      <w:proofErr w:type="spellEnd"/>
    </w:p>
    <w:p w14:paraId="536F11D0" w14:textId="77777777" w:rsidR="00EB08A6" w:rsidRPr="00EB08A6" w:rsidRDefault="00EB08A6" w:rsidP="00EB08A6">
      <w:pPr>
        <w:pStyle w:val="Antrat2"/>
        <w:rPr>
          <w:rFonts w:ascii="Times New Roman" w:hAnsi="Times New Roman"/>
          <w:i w:val="0"/>
          <w:sz w:val="22"/>
          <w:szCs w:val="22"/>
        </w:rPr>
      </w:pPr>
      <w:bookmarkStart w:id="111" w:name="_i4i0w6mPZJYuwayBEmcXkPK7O"/>
      <w:bookmarkEnd w:id="111"/>
      <w:r w:rsidRPr="00EB08A6">
        <w:rPr>
          <w:rFonts w:ascii="Times New Roman" w:hAnsi="Times New Roman"/>
          <w:i w:val="0"/>
          <w:noProof/>
          <w:sz w:val="22"/>
          <w:szCs w:val="22"/>
        </w:rPr>
        <w:t>Vesicare</w:t>
      </w:r>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sudėtis</w:t>
      </w:r>
      <w:proofErr w:type="spellEnd"/>
    </w:p>
    <w:p w14:paraId="670B3AB7" w14:textId="77777777" w:rsidR="00EB08A6" w:rsidRPr="00EB08A6" w:rsidRDefault="00EB08A6" w:rsidP="00EB08A6">
      <w:pPr>
        <w:numPr>
          <w:ilvl w:val="0"/>
          <w:numId w:val="4"/>
        </w:numPr>
        <w:tabs>
          <w:tab w:val="clear" w:pos="360"/>
          <w:tab w:val="num" w:pos="567"/>
        </w:tabs>
        <w:spacing w:line="240" w:lineRule="auto"/>
        <w:ind w:left="567" w:hanging="567"/>
        <w:rPr>
          <w:szCs w:val="22"/>
          <w:lang w:val="lt-LT"/>
        </w:rPr>
      </w:pPr>
      <w:bookmarkStart w:id="112" w:name="_i4i6EgjscNrhLiZPtPf1XKFBP"/>
      <w:bookmarkEnd w:id="112"/>
      <w:r w:rsidRPr="00EB08A6">
        <w:rPr>
          <w:szCs w:val="22"/>
          <w:lang w:val="lt-LT"/>
        </w:rPr>
        <w:t xml:space="preserve">Veiklioji medžiaga yra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sukcinatas</w:t>
      </w:r>
      <w:proofErr w:type="spellEnd"/>
      <w:r w:rsidRPr="00EB08A6">
        <w:rPr>
          <w:szCs w:val="22"/>
          <w:lang w:val="lt-LT"/>
        </w:rPr>
        <w:t>. 1 mg/ml geriamosios suspensijos.</w:t>
      </w:r>
    </w:p>
    <w:p w14:paraId="34D87CBC" w14:textId="77777777" w:rsidR="00EB08A6" w:rsidRPr="00EB08A6" w:rsidRDefault="00EB08A6" w:rsidP="00EB08A6">
      <w:pPr>
        <w:pStyle w:val="Sraopastraipa"/>
        <w:numPr>
          <w:ilvl w:val="0"/>
          <w:numId w:val="4"/>
        </w:numPr>
        <w:tabs>
          <w:tab w:val="clear" w:pos="360"/>
          <w:tab w:val="clear" w:pos="567"/>
          <w:tab w:val="num" w:pos="709"/>
        </w:tabs>
        <w:spacing w:line="240" w:lineRule="auto"/>
        <w:ind w:left="567" w:hanging="567"/>
        <w:contextualSpacing/>
        <w:rPr>
          <w:szCs w:val="22"/>
          <w:lang w:val="lt-LT"/>
        </w:rPr>
      </w:pPr>
      <w:r w:rsidRPr="00EB08A6">
        <w:rPr>
          <w:szCs w:val="22"/>
          <w:lang w:val="lt-LT"/>
        </w:rPr>
        <w:t xml:space="preserve">Pagalbinės medžiagos yra </w:t>
      </w:r>
      <w:proofErr w:type="spellStart"/>
      <w:r w:rsidRPr="00EB08A6">
        <w:rPr>
          <w:szCs w:val="22"/>
          <w:lang w:val="lt-LT"/>
        </w:rPr>
        <w:t>polakrilino</w:t>
      </w:r>
      <w:proofErr w:type="spellEnd"/>
      <w:r w:rsidRPr="00EB08A6">
        <w:rPr>
          <w:szCs w:val="22"/>
          <w:lang w:val="lt-LT"/>
        </w:rPr>
        <w:t xml:space="preserve"> kalio druska, metilo </w:t>
      </w:r>
      <w:proofErr w:type="spellStart"/>
      <w:r w:rsidRPr="00EB08A6">
        <w:rPr>
          <w:szCs w:val="22"/>
          <w:lang w:val="lt-LT"/>
        </w:rPr>
        <w:t>parahidroksibenzoatas</w:t>
      </w:r>
      <w:proofErr w:type="spellEnd"/>
      <w:r w:rsidRPr="00EB08A6">
        <w:rPr>
          <w:szCs w:val="22"/>
          <w:lang w:val="lt-LT"/>
        </w:rPr>
        <w:t xml:space="preserve"> (E218), </w:t>
      </w: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parahidroksibenzoatas</w:t>
      </w:r>
      <w:proofErr w:type="spellEnd"/>
      <w:r w:rsidRPr="00EB08A6">
        <w:rPr>
          <w:szCs w:val="22"/>
          <w:lang w:val="lt-LT"/>
        </w:rPr>
        <w:t xml:space="preserve"> (E216), </w:t>
      </w:r>
      <w:proofErr w:type="spellStart"/>
      <w:r w:rsidRPr="00EB08A6">
        <w:rPr>
          <w:szCs w:val="22"/>
          <w:lang w:val="lt-LT"/>
        </w:rPr>
        <w:t>propilenglikolis</w:t>
      </w:r>
      <w:proofErr w:type="spellEnd"/>
      <w:r w:rsidRPr="00EB08A6">
        <w:rPr>
          <w:szCs w:val="22"/>
          <w:lang w:val="lt-LT"/>
        </w:rPr>
        <w:t xml:space="preserve"> (E1520), </w:t>
      </w:r>
      <w:proofErr w:type="spellStart"/>
      <w:r w:rsidRPr="00EB08A6">
        <w:rPr>
          <w:szCs w:val="22"/>
          <w:lang w:val="lt-LT"/>
        </w:rPr>
        <w:t>simetikono</w:t>
      </w:r>
      <w:proofErr w:type="spellEnd"/>
      <w:r w:rsidRPr="00EB08A6">
        <w:rPr>
          <w:szCs w:val="22"/>
          <w:lang w:val="lt-LT"/>
        </w:rPr>
        <w:t xml:space="preserve"> emulsija 30 % (susidedanti iš </w:t>
      </w:r>
      <w:proofErr w:type="spellStart"/>
      <w:r w:rsidRPr="00EB08A6">
        <w:rPr>
          <w:szCs w:val="22"/>
          <w:lang w:val="lt-LT"/>
        </w:rPr>
        <w:t>simetikono</w:t>
      </w:r>
      <w:proofErr w:type="spellEnd"/>
      <w:r w:rsidRPr="00EB08A6">
        <w:rPr>
          <w:szCs w:val="22"/>
          <w:lang w:val="lt-LT"/>
        </w:rPr>
        <w:t xml:space="preserve">, </w:t>
      </w:r>
      <w:proofErr w:type="spellStart"/>
      <w:r w:rsidRPr="00EB08A6">
        <w:rPr>
          <w:szCs w:val="22"/>
          <w:lang w:val="lt-LT"/>
        </w:rPr>
        <w:t>polietilenglikolio</w:t>
      </w:r>
      <w:proofErr w:type="spellEnd"/>
      <w:r w:rsidRPr="00EB08A6">
        <w:rPr>
          <w:szCs w:val="22"/>
          <w:lang w:val="lt-LT"/>
        </w:rPr>
        <w:t xml:space="preserve"> </w:t>
      </w:r>
      <w:proofErr w:type="spellStart"/>
      <w:r w:rsidRPr="00EB08A6">
        <w:rPr>
          <w:szCs w:val="22"/>
          <w:lang w:val="lt-LT"/>
        </w:rPr>
        <w:t>sorbitano</w:t>
      </w:r>
      <w:proofErr w:type="spellEnd"/>
      <w:r w:rsidRPr="00EB08A6">
        <w:rPr>
          <w:szCs w:val="22"/>
          <w:lang w:val="lt-LT"/>
        </w:rPr>
        <w:t xml:space="preserve"> </w:t>
      </w:r>
      <w:proofErr w:type="spellStart"/>
      <w:r w:rsidRPr="00EB08A6">
        <w:rPr>
          <w:szCs w:val="22"/>
          <w:lang w:val="lt-LT"/>
        </w:rPr>
        <w:t>tristearato</w:t>
      </w:r>
      <w:proofErr w:type="spellEnd"/>
      <w:r w:rsidRPr="00EB08A6">
        <w:rPr>
          <w:szCs w:val="22"/>
          <w:lang w:val="lt-LT"/>
        </w:rPr>
        <w:t xml:space="preserve"> (E436), </w:t>
      </w:r>
      <w:proofErr w:type="spellStart"/>
      <w:r w:rsidRPr="00EB08A6">
        <w:rPr>
          <w:szCs w:val="22"/>
          <w:lang w:val="lt-LT"/>
        </w:rPr>
        <w:t>metilceliuliozės</w:t>
      </w:r>
      <w:proofErr w:type="spellEnd"/>
      <w:r w:rsidRPr="00EB08A6">
        <w:rPr>
          <w:szCs w:val="22"/>
          <w:lang w:val="lt-LT"/>
        </w:rPr>
        <w:t xml:space="preserve"> </w:t>
      </w:r>
      <w:r w:rsidRPr="00EB08A6">
        <w:rPr>
          <w:szCs w:val="22"/>
          <w:lang w:val="lt-LT"/>
        </w:rPr>
        <w:lastRenderedPageBreak/>
        <w:t xml:space="preserve">(E461), </w:t>
      </w:r>
      <w:proofErr w:type="spellStart"/>
      <w:r w:rsidRPr="00EB08A6">
        <w:rPr>
          <w:szCs w:val="22"/>
          <w:lang w:val="lt-LT"/>
        </w:rPr>
        <w:t>polietilenglikolio</w:t>
      </w:r>
      <w:proofErr w:type="spellEnd"/>
      <w:r w:rsidRPr="00EB08A6">
        <w:rPr>
          <w:szCs w:val="22"/>
          <w:lang w:val="lt-LT"/>
        </w:rPr>
        <w:t xml:space="preserve"> </w:t>
      </w:r>
      <w:proofErr w:type="spellStart"/>
      <w:r w:rsidRPr="00EB08A6">
        <w:rPr>
          <w:szCs w:val="22"/>
          <w:lang w:val="lt-LT"/>
        </w:rPr>
        <w:t>stearato</w:t>
      </w:r>
      <w:proofErr w:type="spellEnd"/>
      <w:r w:rsidRPr="00EB08A6">
        <w:rPr>
          <w:szCs w:val="22"/>
          <w:lang w:val="lt-LT"/>
        </w:rPr>
        <w:t xml:space="preserve">, </w:t>
      </w:r>
      <w:proofErr w:type="spellStart"/>
      <w:r w:rsidRPr="00EB08A6">
        <w:rPr>
          <w:szCs w:val="22"/>
          <w:lang w:val="lt-LT"/>
        </w:rPr>
        <w:t>gliceridų</w:t>
      </w:r>
      <w:proofErr w:type="spellEnd"/>
      <w:r w:rsidRPr="00EB08A6">
        <w:rPr>
          <w:szCs w:val="22"/>
          <w:lang w:val="lt-LT"/>
        </w:rPr>
        <w:t xml:space="preserve">, </w:t>
      </w:r>
      <w:proofErr w:type="spellStart"/>
      <w:r w:rsidRPr="00EB08A6">
        <w:rPr>
          <w:szCs w:val="22"/>
          <w:lang w:val="lt-LT"/>
        </w:rPr>
        <w:t>ksantano</w:t>
      </w:r>
      <w:proofErr w:type="spellEnd"/>
      <w:r w:rsidRPr="00EB08A6">
        <w:rPr>
          <w:szCs w:val="22"/>
          <w:lang w:val="lt-LT"/>
        </w:rPr>
        <w:t xml:space="preserve"> lipų (E415), </w:t>
      </w:r>
      <w:proofErr w:type="spellStart"/>
      <w:r w:rsidRPr="00EB08A6">
        <w:rPr>
          <w:szCs w:val="22"/>
          <w:lang w:val="lt-LT"/>
        </w:rPr>
        <w:t>benzenkarboksirūgšties</w:t>
      </w:r>
      <w:proofErr w:type="spellEnd"/>
      <w:r w:rsidRPr="00EB08A6">
        <w:rPr>
          <w:szCs w:val="22"/>
          <w:lang w:val="lt-LT"/>
        </w:rPr>
        <w:t xml:space="preserve"> (E210), sorbo rūgšties (E200), sulfato rūgšties (E513) ir vandens), </w:t>
      </w:r>
      <w:proofErr w:type="spellStart"/>
      <w:r w:rsidRPr="00EB08A6">
        <w:rPr>
          <w:szCs w:val="22"/>
          <w:lang w:val="lt-LT"/>
        </w:rPr>
        <w:t>karbomerai</w:t>
      </w:r>
      <w:proofErr w:type="spellEnd"/>
      <w:r w:rsidRPr="00EB08A6">
        <w:rPr>
          <w:szCs w:val="22"/>
          <w:lang w:val="lt-LT"/>
        </w:rPr>
        <w:t xml:space="preserve">, </w:t>
      </w:r>
      <w:proofErr w:type="spellStart"/>
      <w:r w:rsidRPr="00EB08A6">
        <w:rPr>
          <w:szCs w:val="22"/>
          <w:lang w:val="lt-LT"/>
        </w:rPr>
        <w:t>ksilitolis</w:t>
      </w:r>
      <w:proofErr w:type="spellEnd"/>
      <w:r w:rsidRPr="00EB08A6">
        <w:rPr>
          <w:szCs w:val="22"/>
          <w:lang w:val="lt-LT"/>
        </w:rPr>
        <w:t xml:space="preserve"> (E967), </w:t>
      </w:r>
      <w:proofErr w:type="spellStart"/>
      <w:r w:rsidRPr="00EB08A6">
        <w:rPr>
          <w:szCs w:val="22"/>
          <w:lang w:val="lt-LT"/>
        </w:rPr>
        <w:t>acesulfamo</w:t>
      </w:r>
      <w:proofErr w:type="spellEnd"/>
      <w:r w:rsidRPr="00EB08A6">
        <w:rPr>
          <w:szCs w:val="22"/>
          <w:lang w:val="lt-LT"/>
        </w:rPr>
        <w:t xml:space="preserve"> kalio druska (E950), apelsinų natūrali aromatinė medžiaga (susidedanti iš apelsinų eterinio aliejaus, natūralių aromatinių medžiagų, etanolio, </w:t>
      </w:r>
      <w:proofErr w:type="spellStart"/>
      <w:r w:rsidRPr="00EB08A6">
        <w:rPr>
          <w:szCs w:val="22"/>
          <w:lang w:val="lt-LT"/>
        </w:rPr>
        <w:t>propilenglikolio</w:t>
      </w:r>
      <w:proofErr w:type="spellEnd"/>
      <w:r w:rsidRPr="00EB08A6">
        <w:rPr>
          <w:szCs w:val="22"/>
          <w:lang w:val="lt-LT"/>
        </w:rPr>
        <w:t xml:space="preserve"> (E1520), </w:t>
      </w:r>
      <w:proofErr w:type="spellStart"/>
      <w:r w:rsidRPr="00EB08A6">
        <w:rPr>
          <w:szCs w:val="22"/>
          <w:lang w:val="lt-LT"/>
        </w:rPr>
        <w:t>butilhidroksianizolo</w:t>
      </w:r>
      <w:proofErr w:type="spellEnd"/>
      <w:r w:rsidRPr="00EB08A6">
        <w:rPr>
          <w:szCs w:val="22"/>
          <w:lang w:val="lt-LT"/>
        </w:rPr>
        <w:t xml:space="preserve"> (E320) ir vandens), natrio </w:t>
      </w:r>
      <w:proofErr w:type="spellStart"/>
      <w:r w:rsidRPr="00EB08A6">
        <w:rPr>
          <w:szCs w:val="22"/>
          <w:lang w:val="lt-LT"/>
        </w:rPr>
        <w:t>hidroksidas</w:t>
      </w:r>
      <w:proofErr w:type="spellEnd"/>
      <w:r w:rsidRPr="00EB08A6">
        <w:rPr>
          <w:szCs w:val="22"/>
          <w:lang w:val="lt-LT"/>
        </w:rPr>
        <w:t xml:space="preserve">, išgrynintas vanduo. </w:t>
      </w:r>
    </w:p>
    <w:p w14:paraId="7036149B" w14:textId="77777777" w:rsidR="00EB08A6" w:rsidRPr="00EB08A6" w:rsidRDefault="00EB08A6" w:rsidP="00EB08A6">
      <w:pPr>
        <w:ind w:left="567" w:hanging="567"/>
        <w:rPr>
          <w:szCs w:val="22"/>
          <w:lang w:val="lt-LT"/>
        </w:rPr>
      </w:pPr>
    </w:p>
    <w:p w14:paraId="65C1761E" w14:textId="77777777" w:rsidR="00EB08A6" w:rsidRPr="00EB08A6" w:rsidRDefault="00EB08A6" w:rsidP="00EB08A6">
      <w:pPr>
        <w:pStyle w:val="Antrat2"/>
        <w:spacing w:before="0"/>
        <w:rPr>
          <w:rFonts w:ascii="Times New Roman" w:hAnsi="Times New Roman"/>
          <w:i w:val="0"/>
          <w:sz w:val="22"/>
          <w:szCs w:val="22"/>
          <w:lang w:val="lt-LT"/>
        </w:rPr>
      </w:pPr>
      <w:bookmarkStart w:id="113" w:name="_i4i1yqShY9mEUCr7twknCAdL9"/>
      <w:bookmarkEnd w:id="113"/>
      <w:r w:rsidRPr="00EB08A6">
        <w:rPr>
          <w:rFonts w:ascii="Times New Roman" w:hAnsi="Times New Roman"/>
          <w:i w:val="0"/>
          <w:noProof/>
          <w:sz w:val="22"/>
          <w:szCs w:val="22"/>
        </w:rPr>
        <w:t>Vesicare</w:t>
      </w:r>
      <w:r w:rsidRPr="00EB08A6">
        <w:rPr>
          <w:rFonts w:ascii="Times New Roman" w:hAnsi="Times New Roman"/>
          <w:i w:val="0"/>
          <w:sz w:val="22"/>
          <w:szCs w:val="22"/>
          <w:lang w:val="lt-LT"/>
        </w:rPr>
        <w:t xml:space="preserve"> išvaizda ir kiekis pakuotėje</w:t>
      </w:r>
    </w:p>
    <w:p w14:paraId="49DD47D2" w14:textId="77777777" w:rsidR="00EB08A6" w:rsidRPr="00EB08A6" w:rsidRDefault="00EB08A6" w:rsidP="00EB08A6">
      <w:pPr>
        <w:keepNext/>
        <w:rPr>
          <w:szCs w:val="22"/>
          <w:lang w:val="lt-LT"/>
        </w:rPr>
      </w:pPr>
      <w:bookmarkStart w:id="114" w:name="_i4i13hHMOq3jJ2OMFiUDFjzyo"/>
      <w:bookmarkEnd w:id="114"/>
      <w:proofErr w:type="spellStart"/>
      <w:r w:rsidRPr="00EB08A6">
        <w:rPr>
          <w:szCs w:val="22"/>
          <w:lang w:val="lt-LT"/>
        </w:rPr>
        <w:t>Vesicare</w:t>
      </w:r>
      <w:proofErr w:type="spellEnd"/>
      <w:r w:rsidRPr="00EB08A6">
        <w:rPr>
          <w:szCs w:val="22"/>
          <w:lang w:val="lt-LT"/>
        </w:rPr>
        <w:t xml:space="preserve"> geriamoji suspensija yra baltos arba beveik baltos spalvos, vandeninė, homogeniška, apelsinų aromato.</w:t>
      </w:r>
    </w:p>
    <w:p w14:paraId="491924D8" w14:textId="77777777" w:rsidR="00EB08A6" w:rsidRPr="00EB08A6" w:rsidRDefault="00EB08A6" w:rsidP="00EB08A6">
      <w:pPr>
        <w:keepNext/>
        <w:rPr>
          <w:szCs w:val="22"/>
          <w:lang w:val="lt-LT"/>
        </w:rPr>
      </w:pPr>
    </w:p>
    <w:p w14:paraId="64A75F56" w14:textId="77777777" w:rsidR="00EB08A6" w:rsidRPr="00EB08A6" w:rsidRDefault="00EB08A6" w:rsidP="00EB08A6">
      <w:pPr>
        <w:keepNext/>
        <w:rPr>
          <w:szCs w:val="22"/>
          <w:lang w:val="lt-LT"/>
        </w:rPr>
      </w:pPr>
      <w:proofErr w:type="spellStart"/>
      <w:r w:rsidRPr="00EB08A6">
        <w:rPr>
          <w:szCs w:val="22"/>
          <w:lang w:val="lt-LT"/>
        </w:rPr>
        <w:t>Vesicare</w:t>
      </w:r>
      <w:proofErr w:type="spellEnd"/>
      <w:r w:rsidRPr="00EB08A6">
        <w:rPr>
          <w:szCs w:val="22"/>
          <w:lang w:val="lt-LT"/>
        </w:rPr>
        <w:t xml:space="preserve"> geriamoji suspensija tiekiama 150 ml gintaro spalvos polietileno </w:t>
      </w:r>
      <w:proofErr w:type="spellStart"/>
      <w:r w:rsidRPr="00EB08A6">
        <w:rPr>
          <w:szCs w:val="22"/>
          <w:lang w:val="lt-LT"/>
        </w:rPr>
        <w:t>tereftalato</w:t>
      </w:r>
      <w:proofErr w:type="spellEnd"/>
      <w:r w:rsidRPr="00EB08A6">
        <w:rPr>
          <w:szCs w:val="22"/>
          <w:lang w:val="lt-LT"/>
        </w:rPr>
        <w:t xml:space="preserve"> (PET) buteliuke su vaikų neatidaromu didelio tankio polietileno</w:t>
      </w:r>
      <w:r w:rsidRPr="00EB08A6">
        <w:rPr>
          <w:szCs w:val="22"/>
          <w:lang w:val="lt-LT"/>
        </w:rPr>
        <w:noBreakHyphen/>
        <w:t>polipropileno (PE) dangteliu.</w:t>
      </w:r>
    </w:p>
    <w:p w14:paraId="04016387" w14:textId="77777777" w:rsidR="00EB08A6" w:rsidRPr="00EB08A6" w:rsidRDefault="00EB08A6" w:rsidP="00EB08A6">
      <w:pPr>
        <w:keepNext/>
        <w:rPr>
          <w:szCs w:val="22"/>
          <w:lang w:val="lt-LT"/>
        </w:rPr>
      </w:pPr>
    </w:p>
    <w:p w14:paraId="4453DA21" w14:textId="77777777" w:rsidR="00EB08A6" w:rsidRPr="00EB08A6" w:rsidRDefault="00EB08A6" w:rsidP="00EB08A6">
      <w:pPr>
        <w:keepNext/>
        <w:rPr>
          <w:szCs w:val="22"/>
          <w:lang w:val="lt-LT"/>
        </w:rPr>
      </w:pPr>
      <w:r w:rsidRPr="00EB08A6">
        <w:rPr>
          <w:szCs w:val="22"/>
          <w:lang w:val="lt-LT"/>
        </w:rPr>
        <w:t>Dozavimo ir vartojimo prietaisai: 5 ml geriamasis švirkštas ir užspaudžiamas buteliuko kaklelio adapteris, yra supakuoti kartoninėje dėžutėje.</w:t>
      </w:r>
    </w:p>
    <w:p w14:paraId="5FE404A5" w14:textId="77777777" w:rsidR="00EB08A6" w:rsidRPr="00EB08A6" w:rsidRDefault="00EB08A6" w:rsidP="00EB08A6">
      <w:pPr>
        <w:keepNext/>
        <w:rPr>
          <w:szCs w:val="22"/>
          <w:lang w:val="lt-LT"/>
        </w:rPr>
      </w:pPr>
    </w:p>
    <w:p w14:paraId="499313EB" w14:textId="77777777" w:rsidR="00EB08A6" w:rsidRPr="00EB08A6" w:rsidRDefault="00EB08A6" w:rsidP="00EB08A6">
      <w:pPr>
        <w:pStyle w:val="Antrat2"/>
        <w:spacing w:before="0"/>
        <w:rPr>
          <w:rFonts w:ascii="Times New Roman" w:hAnsi="Times New Roman"/>
          <w:i w:val="0"/>
          <w:color w:val="000000" w:themeColor="text1"/>
          <w:sz w:val="22"/>
          <w:szCs w:val="22"/>
        </w:rPr>
      </w:pPr>
      <w:bookmarkStart w:id="115" w:name="_i4i6pNV5f52n0sryqUZdgrjwf"/>
      <w:bookmarkEnd w:id="115"/>
      <w:proofErr w:type="spellStart"/>
      <w:r w:rsidRPr="00EB08A6">
        <w:rPr>
          <w:rFonts w:ascii="Times New Roman" w:hAnsi="Times New Roman"/>
          <w:i w:val="0"/>
          <w:sz w:val="22"/>
          <w:szCs w:val="22"/>
        </w:rPr>
        <w:t>Registruotojas</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ir</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gamintojas</w:t>
      </w:r>
      <w:proofErr w:type="spellEnd"/>
    </w:p>
    <w:p w14:paraId="2A700061" w14:textId="77777777" w:rsidR="00EB08A6" w:rsidRPr="00EB08A6" w:rsidRDefault="00EB08A6" w:rsidP="00EB08A6">
      <w:pPr>
        <w:rPr>
          <w:szCs w:val="22"/>
        </w:rPr>
      </w:pPr>
      <w:bookmarkStart w:id="116" w:name="_i4i4WF6mlmcWTyLhMUSBOFboh"/>
      <w:bookmarkEnd w:id="116"/>
    </w:p>
    <w:p w14:paraId="25CB5332" w14:textId="77777777" w:rsidR="00EB08A6" w:rsidRPr="00EB08A6" w:rsidRDefault="00EB08A6" w:rsidP="00EB08A6">
      <w:pPr>
        <w:rPr>
          <w:szCs w:val="22"/>
          <w:lang w:val="lt-LT"/>
        </w:rPr>
      </w:pPr>
      <w:r w:rsidRPr="00EB08A6">
        <w:rPr>
          <w:szCs w:val="22"/>
          <w:lang w:val="lt-LT"/>
        </w:rPr>
        <w:t>Registruotojas</w:t>
      </w:r>
    </w:p>
    <w:p w14:paraId="0443635C" w14:textId="77777777" w:rsidR="00EB08A6" w:rsidRPr="00EB08A6" w:rsidRDefault="00EB08A6" w:rsidP="00EB08A6">
      <w:pPr>
        <w:rPr>
          <w:szCs w:val="22"/>
          <w:lang w:val="lt-LT" w:eastAsia="en-GB"/>
        </w:rPr>
      </w:pPr>
      <w:proofErr w:type="spellStart"/>
      <w:r w:rsidRPr="00EB08A6">
        <w:rPr>
          <w:szCs w:val="22"/>
          <w:lang w:val="lt-LT" w:eastAsia="en-GB"/>
        </w:rPr>
        <w:t>Astellas</w:t>
      </w:r>
      <w:proofErr w:type="spellEnd"/>
      <w:r w:rsidRPr="00EB08A6">
        <w:rPr>
          <w:szCs w:val="22"/>
          <w:lang w:val="lt-LT" w:eastAsia="en-GB"/>
        </w:rPr>
        <w:t xml:space="preserve"> </w:t>
      </w:r>
      <w:proofErr w:type="spellStart"/>
      <w:r w:rsidRPr="00EB08A6">
        <w:rPr>
          <w:szCs w:val="22"/>
          <w:lang w:val="lt-LT" w:eastAsia="en-GB"/>
        </w:rPr>
        <w:t>Pharma</w:t>
      </w:r>
      <w:proofErr w:type="spellEnd"/>
      <w:r w:rsidRPr="00EB08A6">
        <w:rPr>
          <w:szCs w:val="22"/>
          <w:lang w:val="lt-LT" w:eastAsia="en-GB"/>
        </w:rPr>
        <w:t xml:space="preserve"> </w:t>
      </w:r>
      <w:proofErr w:type="spellStart"/>
      <w:r w:rsidRPr="00EB08A6">
        <w:rPr>
          <w:szCs w:val="22"/>
          <w:lang w:val="lt-LT" w:eastAsia="en-GB"/>
        </w:rPr>
        <w:t>d.o.o</w:t>
      </w:r>
      <w:proofErr w:type="spellEnd"/>
      <w:r w:rsidRPr="00EB08A6">
        <w:rPr>
          <w:szCs w:val="22"/>
          <w:lang w:val="lt-LT" w:eastAsia="en-GB"/>
        </w:rPr>
        <w:t xml:space="preserve">. </w:t>
      </w:r>
    </w:p>
    <w:p w14:paraId="28476AC2" w14:textId="77777777" w:rsidR="00EB08A6" w:rsidRPr="00EB08A6" w:rsidRDefault="00EB08A6" w:rsidP="00EB08A6">
      <w:pPr>
        <w:rPr>
          <w:szCs w:val="22"/>
          <w:lang w:val="lt-LT" w:eastAsia="en-GB"/>
        </w:rPr>
      </w:pPr>
      <w:proofErr w:type="spellStart"/>
      <w:r w:rsidRPr="00EB08A6">
        <w:rPr>
          <w:szCs w:val="22"/>
          <w:lang w:val="lt-LT" w:eastAsia="en-GB"/>
        </w:rPr>
        <w:t>Šmartinska</w:t>
      </w:r>
      <w:proofErr w:type="spellEnd"/>
      <w:r w:rsidRPr="00EB08A6">
        <w:rPr>
          <w:szCs w:val="22"/>
          <w:lang w:val="lt-LT" w:eastAsia="en-GB"/>
        </w:rPr>
        <w:t xml:space="preserve"> </w:t>
      </w:r>
      <w:proofErr w:type="spellStart"/>
      <w:r w:rsidRPr="00EB08A6">
        <w:rPr>
          <w:szCs w:val="22"/>
          <w:lang w:val="lt-LT" w:eastAsia="en-GB"/>
        </w:rPr>
        <w:t>cesta</w:t>
      </w:r>
      <w:proofErr w:type="spellEnd"/>
      <w:r w:rsidRPr="00EB08A6">
        <w:rPr>
          <w:szCs w:val="22"/>
          <w:lang w:val="lt-LT" w:eastAsia="en-GB"/>
        </w:rPr>
        <w:t xml:space="preserve"> 53 </w:t>
      </w:r>
    </w:p>
    <w:p w14:paraId="56D76001" w14:textId="77777777" w:rsidR="00EB08A6" w:rsidRPr="00EB08A6" w:rsidRDefault="00EB08A6" w:rsidP="00EB08A6">
      <w:pPr>
        <w:rPr>
          <w:szCs w:val="22"/>
          <w:lang w:val="lt-LT" w:eastAsia="en-GB"/>
        </w:rPr>
      </w:pPr>
      <w:r w:rsidRPr="00EB08A6">
        <w:rPr>
          <w:szCs w:val="22"/>
          <w:lang w:val="lt-LT" w:eastAsia="en-GB"/>
        </w:rPr>
        <w:t xml:space="preserve">1000 </w:t>
      </w:r>
      <w:proofErr w:type="spellStart"/>
      <w:r w:rsidRPr="00EB08A6">
        <w:rPr>
          <w:szCs w:val="22"/>
          <w:lang w:val="lt-LT" w:eastAsia="en-GB"/>
        </w:rPr>
        <w:t>Ljubljana</w:t>
      </w:r>
      <w:proofErr w:type="spellEnd"/>
      <w:r w:rsidRPr="00EB08A6">
        <w:rPr>
          <w:szCs w:val="22"/>
          <w:lang w:val="lt-LT" w:eastAsia="en-GB"/>
        </w:rPr>
        <w:t xml:space="preserve"> </w:t>
      </w:r>
    </w:p>
    <w:p w14:paraId="1F8AE3CD" w14:textId="77777777" w:rsidR="00EB08A6" w:rsidRPr="00EB08A6" w:rsidRDefault="00EB08A6" w:rsidP="00EB08A6">
      <w:pPr>
        <w:rPr>
          <w:szCs w:val="22"/>
          <w:lang w:val="fi-FI" w:eastAsia="en-GB"/>
        </w:rPr>
      </w:pPr>
      <w:r w:rsidRPr="00EB08A6">
        <w:rPr>
          <w:szCs w:val="22"/>
          <w:lang w:val="fi-FI" w:eastAsia="en-GB"/>
        </w:rPr>
        <w:t>Slovėnija</w:t>
      </w:r>
    </w:p>
    <w:p w14:paraId="2E51F65B" w14:textId="77777777" w:rsidR="00EB08A6" w:rsidRPr="00EB08A6" w:rsidRDefault="00EB08A6" w:rsidP="00EB08A6">
      <w:pPr>
        <w:keepNext/>
        <w:numPr>
          <w:ilvl w:val="12"/>
          <w:numId w:val="0"/>
        </w:numPr>
        <w:rPr>
          <w:b/>
          <w:bCs/>
          <w:szCs w:val="22"/>
          <w:lang w:val="lt-LT"/>
        </w:rPr>
      </w:pPr>
    </w:p>
    <w:p w14:paraId="1964D475" w14:textId="77777777" w:rsidR="00EB08A6" w:rsidRPr="00EB08A6" w:rsidRDefault="00EB08A6" w:rsidP="00EB08A6">
      <w:pPr>
        <w:keepNext/>
        <w:numPr>
          <w:ilvl w:val="12"/>
          <w:numId w:val="0"/>
        </w:numPr>
        <w:rPr>
          <w:bCs/>
          <w:szCs w:val="22"/>
          <w:lang w:val="lt-LT"/>
        </w:rPr>
      </w:pPr>
      <w:r w:rsidRPr="00EB08A6">
        <w:rPr>
          <w:bCs/>
          <w:szCs w:val="22"/>
          <w:lang w:val="lt-LT"/>
        </w:rPr>
        <w:t>Gamintojas</w:t>
      </w:r>
    </w:p>
    <w:p w14:paraId="0B0067A1" w14:textId="77777777" w:rsidR="00E2780D" w:rsidRPr="00E2780D" w:rsidRDefault="00E2780D" w:rsidP="00E2780D">
      <w:pPr>
        <w:keepNext/>
        <w:tabs>
          <w:tab w:val="clear" w:pos="567"/>
        </w:tabs>
        <w:spacing w:line="240" w:lineRule="auto"/>
        <w:rPr>
          <w:rFonts w:eastAsia="SimSun" w:cs="Myanmar Text"/>
          <w:szCs w:val="22"/>
          <w:lang w:val="lt-LT"/>
        </w:rPr>
      </w:pPr>
      <w:proofErr w:type="spellStart"/>
      <w:r w:rsidRPr="00E2780D">
        <w:rPr>
          <w:rFonts w:eastAsia="SimSun" w:cs="Myanmar Text"/>
          <w:szCs w:val="22"/>
          <w:lang w:val="lt-LT"/>
        </w:rPr>
        <w:t>Delpharm</w:t>
      </w:r>
      <w:proofErr w:type="spellEnd"/>
      <w:r w:rsidRPr="00E2780D">
        <w:rPr>
          <w:rFonts w:eastAsia="SimSun" w:cs="Myanmar Text"/>
          <w:szCs w:val="22"/>
          <w:lang w:val="lt-LT"/>
        </w:rPr>
        <w:t xml:space="preserve"> </w:t>
      </w:r>
      <w:proofErr w:type="spellStart"/>
      <w:r w:rsidRPr="00E2780D">
        <w:rPr>
          <w:rFonts w:eastAsia="SimSun" w:cs="Myanmar Text"/>
          <w:szCs w:val="22"/>
          <w:lang w:val="lt-LT"/>
        </w:rPr>
        <w:t>Meppel</w:t>
      </w:r>
      <w:proofErr w:type="spellEnd"/>
      <w:r w:rsidRPr="00E2780D">
        <w:rPr>
          <w:rFonts w:eastAsia="SimSun" w:cs="Myanmar Text"/>
          <w:szCs w:val="22"/>
          <w:lang w:val="lt-LT"/>
        </w:rPr>
        <w:t xml:space="preserve"> B.V.</w:t>
      </w:r>
    </w:p>
    <w:p w14:paraId="29943F31" w14:textId="77777777" w:rsidR="00E2780D" w:rsidRPr="00E2780D" w:rsidRDefault="00E2780D" w:rsidP="00E2780D">
      <w:pPr>
        <w:rPr>
          <w:rFonts w:eastAsia="SimSun" w:cs="Myanmar Text"/>
          <w:szCs w:val="22"/>
          <w:lang w:val="lt-LT"/>
        </w:rPr>
      </w:pPr>
      <w:proofErr w:type="spellStart"/>
      <w:r w:rsidRPr="00E2780D">
        <w:rPr>
          <w:rFonts w:eastAsia="SimSun" w:cs="Myanmar Text"/>
          <w:szCs w:val="22"/>
          <w:lang w:val="lt-LT"/>
        </w:rPr>
        <w:t>Hogemaat</w:t>
      </w:r>
      <w:proofErr w:type="spellEnd"/>
      <w:r w:rsidRPr="00E2780D">
        <w:rPr>
          <w:rFonts w:eastAsia="SimSun" w:cs="Myanmar Text"/>
          <w:szCs w:val="22"/>
          <w:lang w:val="lt-LT"/>
        </w:rPr>
        <w:t xml:space="preserve"> 2</w:t>
      </w:r>
    </w:p>
    <w:p w14:paraId="3748FB04" w14:textId="77777777" w:rsidR="00E2780D" w:rsidRPr="00E2780D" w:rsidRDefault="00E2780D" w:rsidP="00E2780D">
      <w:pPr>
        <w:rPr>
          <w:rFonts w:eastAsia="SimSun" w:cs="Myanmar Text"/>
          <w:szCs w:val="22"/>
          <w:lang w:val="lt-LT"/>
        </w:rPr>
      </w:pPr>
      <w:r w:rsidRPr="00E2780D">
        <w:rPr>
          <w:rFonts w:eastAsia="SimSun" w:cs="Myanmar Text"/>
          <w:szCs w:val="22"/>
          <w:lang w:val="lt-LT"/>
        </w:rPr>
        <w:t xml:space="preserve">7942 JG </w:t>
      </w:r>
      <w:proofErr w:type="spellStart"/>
      <w:r w:rsidRPr="00E2780D">
        <w:rPr>
          <w:rFonts w:eastAsia="SimSun" w:cs="Myanmar Text"/>
          <w:szCs w:val="22"/>
          <w:lang w:val="lt-LT"/>
        </w:rPr>
        <w:t>Meppel</w:t>
      </w:r>
      <w:proofErr w:type="spellEnd"/>
    </w:p>
    <w:p w14:paraId="05D2957C" w14:textId="77777777" w:rsidR="00E2780D" w:rsidRPr="00E2780D" w:rsidRDefault="00E2780D" w:rsidP="00E2780D">
      <w:pPr>
        <w:tabs>
          <w:tab w:val="clear" w:pos="567"/>
        </w:tabs>
        <w:spacing w:line="240" w:lineRule="auto"/>
        <w:rPr>
          <w:rFonts w:eastAsia="SimSun" w:cs="Myanmar Text"/>
          <w:szCs w:val="22"/>
          <w:lang w:val="lt-LT"/>
        </w:rPr>
      </w:pPr>
      <w:r w:rsidRPr="00E2780D">
        <w:rPr>
          <w:rFonts w:eastAsia="SimSun" w:cs="Myanmar Text"/>
          <w:szCs w:val="22"/>
          <w:lang w:val="lt-LT"/>
        </w:rPr>
        <w:t>Nyderlandai</w:t>
      </w:r>
    </w:p>
    <w:p w14:paraId="4C7AC9B9" w14:textId="77777777" w:rsidR="00EB08A6" w:rsidRPr="00EB08A6" w:rsidRDefault="00EB08A6" w:rsidP="00EB08A6">
      <w:pPr>
        <w:rPr>
          <w:szCs w:val="22"/>
          <w:lang w:val="lt-LT"/>
        </w:rPr>
      </w:pPr>
    </w:p>
    <w:p w14:paraId="1D998F35" w14:textId="77777777" w:rsidR="00EB08A6" w:rsidRPr="00EB08A6" w:rsidRDefault="00EB08A6" w:rsidP="00EB08A6">
      <w:pPr>
        <w:numPr>
          <w:ilvl w:val="12"/>
          <w:numId w:val="0"/>
        </w:numPr>
        <w:rPr>
          <w:b/>
          <w:szCs w:val="22"/>
          <w:lang w:val="lt-LT"/>
        </w:rPr>
      </w:pPr>
      <w:r w:rsidRPr="00EB08A6">
        <w:rPr>
          <w:b/>
          <w:szCs w:val="22"/>
          <w:lang w:val="lt-LT"/>
        </w:rPr>
        <w:t>Šis vaistas Europos ekonominės erdvės valstybėse narėse ir Jungtinėje Karalystėje (Šiaurės Airijoje) registruotas tokiais pavadinimais:</w:t>
      </w:r>
    </w:p>
    <w:p w14:paraId="2717A54B" w14:textId="77777777" w:rsidR="00EB08A6" w:rsidRPr="00EB08A6" w:rsidRDefault="00EB08A6" w:rsidP="00EB08A6">
      <w:pPr>
        <w:numPr>
          <w:ilvl w:val="12"/>
          <w:numId w:val="0"/>
        </w:numPr>
        <w:rPr>
          <w:szCs w:val="22"/>
          <w:lang w:val="lt-LT"/>
        </w:rPr>
      </w:pPr>
      <w:r w:rsidRPr="00EB08A6">
        <w:rPr>
          <w:szCs w:val="22"/>
          <w:lang w:val="lt-LT"/>
        </w:rPr>
        <w:t xml:space="preserve">Austrija, Belgija, Bulgarija, Kroatija, Kipras, Čekija, Danija, Estija, Suomija, Prancūzija, Graikija, Vengrija, Islandija, Latvija, Lichtenšteinas, Lietuva, Liuksemburgas, Malta, Nyderlandai, Norvegija, Lenkija, Portugalija, Rumunija, Švedija, Slovėnija, Slovakija, Ispanija ir Jungtinė Karalystė (Šiaurės Airija): </w:t>
      </w:r>
      <w:proofErr w:type="spellStart"/>
      <w:r w:rsidRPr="00EB08A6">
        <w:rPr>
          <w:szCs w:val="22"/>
          <w:lang w:val="lt-LT"/>
        </w:rPr>
        <w:t>Vesicare</w:t>
      </w:r>
      <w:proofErr w:type="spellEnd"/>
    </w:p>
    <w:p w14:paraId="512CFB32" w14:textId="77777777" w:rsidR="00EB08A6" w:rsidRPr="00EB08A6" w:rsidRDefault="00EB08A6" w:rsidP="00EB08A6">
      <w:pPr>
        <w:numPr>
          <w:ilvl w:val="12"/>
          <w:numId w:val="0"/>
        </w:numPr>
        <w:rPr>
          <w:szCs w:val="22"/>
          <w:lang w:val="lt-LT"/>
        </w:rPr>
      </w:pPr>
      <w:r w:rsidRPr="00EB08A6">
        <w:rPr>
          <w:szCs w:val="22"/>
          <w:lang w:val="lt-LT"/>
        </w:rPr>
        <w:t xml:space="preserve">Italija: </w:t>
      </w:r>
      <w:proofErr w:type="spellStart"/>
      <w:r w:rsidRPr="00EB08A6">
        <w:rPr>
          <w:szCs w:val="22"/>
          <w:lang w:val="lt-LT"/>
        </w:rPr>
        <w:t>Vesiker</w:t>
      </w:r>
      <w:proofErr w:type="spellEnd"/>
    </w:p>
    <w:p w14:paraId="45AD9BE8" w14:textId="77777777" w:rsidR="00EB08A6" w:rsidRPr="00EB08A6" w:rsidRDefault="00EB08A6" w:rsidP="00EB08A6">
      <w:pPr>
        <w:numPr>
          <w:ilvl w:val="12"/>
          <w:numId w:val="0"/>
        </w:numPr>
        <w:rPr>
          <w:szCs w:val="22"/>
          <w:lang w:val="lt-LT"/>
        </w:rPr>
      </w:pPr>
      <w:r w:rsidRPr="00EB08A6">
        <w:rPr>
          <w:szCs w:val="22"/>
          <w:lang w:val="lt-LT"/>
        </w:rPr>
        <w:t xml:space="preserve">Vokietija: </w:t>
      </w:r>
      <w:proofErr w:type="spellStart"/>
      <w:r w:rsidRPr="00EB08A6">
        <w:rPr>
          <w:szCs w:val="22"/>
          <w:lang w:val="lt-LT"/>
        </w:rPr>
        <w:t>Vesikur</w:t>
      </w:r>
      <w:proofErr w:type="spellEnd"/>
    </w:p>
    <w:p w14:paraId="3042FEF4" w14:textId="77777777" w:rsidR="00EB08A6" w:rsidRPr="00EB08A6" w:rsidRDefault="00EB08A6" w:rsidP="00EB08A6">
      <w:pPr>
        <w:numPr>
          <w:ilvl w:val="12"/>
          <w:numId w:val="0"/>
        </w:numPr>
        <w:rPr>
          <w:szCs w:val="22"/>
          <w:lang w:val="lt-LT"/>
        </w:rPr>
      </w:pPr>
      <w:r w:rsidRPr="00EB08A6">
        <w:rPr>
          <w:szCs w:val="22"/>
          <w:lang w:val="lt-LT"/>
        </w:rPr>
        <w:t xml:space="preserve">Airija: </w:t>
      </w:r>
      <w:proofErr w:type="spellStart"/>
      <w:r w:rsidRPr="00EB08A6">
        <w:rPr>
          <w:szCs w:val="22"/>
          <w:lang w:val="lt-LT"/>
        </w:rPr>
        <w:t>Vesitirim</w:t>
      </w:r>
      <w:proofErr w:type="spellEnd"/>
    </w:p>
    <w:p w14:paraId="153BB128" w14:textId="77777777" w:rsidR="00EB08A6" w:rsidRPr="00EB08A6" w:rsidRDefault="00EB08A6" w:rsidP="00EB08A6">
      <w:pPr>
        <w:numPr>
          <w:ilvl w:val="12"/>
          <w:numId w:val="0"/>
        </w:numPr>
        <w:rPr>
          <w:szCs w:val="22"/>
          <w:lang w:val="lt-LT"/>
        </w:rPr>
      </w:pPr>
    </w:p>
    <w:p w14:paraId="2E080F31" w14:textId="65A1DF23" w:rsidR="00EB08A6" w:rsidRPr="00EB08A6" w:rsidRDefault="00EB08A6" w:rsidP="00EB08A6">
      <w:pPr>
        <w:pStyle w:val="Antrat2"/>
        <w:spacing w:before="0"/>
        <w:rPr>
          <w:rFonts w:ascii="Times New Roman" w:hAnsi="Times New Roman"/>
          <w:i w:val="0"/>
          <w:sz w:val="22"/>
          <w:szCs w:val="22"/>
          <w:lang w:val="lt-LT"/>
        </w:rPr>
      </w:pPr>
      <w:bookmarkStart w:id="117" w:name="_i4i0hCdpHq1Tf08LSBpnlVkZK"/>
      <w:bookmarkEnd w:id="117"/>
      <w:r w:rsidRPr="00EB08A6">
        <w:rPr>
          <w:rFonts w:ascii="Times New Roman" w:hAnsi="Times New Roman"/>
          <w:i w:val="0"/>
          <w:sz w:val="22"/>
          <w:szCs w:val="22"/>
          <w:lang w:val="lt-LT"/>
        </w:rPr>
        <w:t>Šis pakuotės lapelis paskutinį kartą peržiūrėtas 202</w:t>
      </w:r>
      <w:r w:rsidR="00E2780D">
        <w:rPr>
          <w:rFonts w:ascii="Times New Roman" w:hAnsi="Times New Roman"/>
          <w:i w:val="0"/>
          <w:sz w:val="22"/>
          <w:szCs w:val="22"/>
          <w:lang w:val="lt-LT"/>
        </w:rPr>
        <w:t>4</w:t>
      </w:r>
      <w:r w:rsidRPr="00EB08A6">
        <w:rPr>
          <w:rFonts w:ascii="Times New Roman" w:hAnsi="Times New Roman"/>
          <w:i w:val="0"/>
          <w:sz w:val="22"/>
          <w:szCs w:val="22"/>
          <w:lang w:val="lt-LT"/>
        </w:rPr>
        <w:t>-0</w:t>
      </w:r>
      <w:r w:rsidR="00E2780D">
        <w:rPr>
          <w:rFonts w:ascii="Times New Roman" w:hAnsi="Times New Roman"/>
          <w:i w:val="0"/>
          <w:sz w:val="22"/>
          <w:szCs w:val="22"/>
          <w:lang w:val="lt-LT"/>
        </w:rPr>
        <w:t>4</w:t>
      </w:r>
      <w:r w:rsidRPr="00EB08A6">
        <w:rPr>
          <w:rFonts w:ascii="Times New Roman" w:hAnsi="Times New Roman"/>
          <w:i w:val="0"/>
          <w:sz w:val="22"/>
          <w:szCs w:val="22"/>
          <w:lang w:val="lt-LT"/>
        </w:rPr>
        <w:t>-</w:t>
      </w:r>
      <w:r w:rsidR="00E2780D">
        <w:rPr>
          <w:rFonts w:ascii="Times New Roman" w:hAnsi="Times New Roman"/>
          <w:i w:val="0"/>
          <w:sz w:val="22"/>
          <w:szCs w:val="22"/>
          <w:lang w:val="lt-LT"/>
        </w:rPr>
        <w:t>01</w:t>
      </w:r>
      <w:r w:rsidRPr="00EB08A6">
        <w:rPr>
          <w:rFonts w:ascii="Times New Roman" w:eastAsia="Times New Roman" w:hAnsi="Times New Roman"/>
          <w:bCs w:val="0"/>
          <w:i w:val="0"/>
          <w:sz w:val="22"/>
          <w:szCs w:val="22"/>
          <w:lang w:val="lt-LT"/>
        </w:rPr>
        <w:t>.</w:t>
      </w:r>
    </w:p>
    <w:p w14:paraId="063BA578" w14:textId="77777777" w:rsidR="00EB08A6" w:rsidRPr="00EB08A6" w:rsidRDefault="00EB08A6" w:rsidP="00EB08A6">
      <w:pPr>
        <w:rPr>
          <w:iCs/>
          <w:szCs w:val="22"/>
          <w:lang w:val="lt-LT"/>
        </w:rPr>
      </w:pPr>
    </w:p>
    <w:p w14:paraId="394797D4" w14:textId="4B0F72C6" w:rsidR="00EB08A6" w:rsidRDefault="00EB08A6" w:rsidP="00EB08A6">
      <w:pPr>
        <w:numPr>
          <w:ilvl w:val="12"/>
          <w:numId w:val="0"/>
        </w:numPr>
        <w:ind w:right="-2"/>
        <w:rPr>
          <w:iCs/>
          <w:szCs w:val="22"/>
          <w:lang w:val="lt-LT"/>
        </w:rPr>
      </w:pPr>
      <w:bookmarkStart w:id="118" w:name="_i4i03qmHfb1lbaHsFPo3pZG0p"/>
      <w:bookmarkStart w:id="119" w:name="_i4i0htMMFGPZMCpDJf9yi0q4q"/>
      <w:bookmarkStart w:id="120" w:name="_i4i7AmGiHwKzdsCo1kfkmYERH"/>
      <w:bookmarkEnd w:id="118"/>
      <w:bookmarkEnd w:id="119"/>
      <w:bookmarkEnd w:id="120"/>
      <w:r w:rsidRPr="00EB08A6">
        <w:rPr>
          <w:iCs/>
          <w:szCs w:val="22"/>
          <w:lang w:val="lt-LT"/>
        </w:rPr>
        <w:t xml:space="preserve">Išsami informacija apie šį vaistą pateikiama Valstybinės vaistų kontrolės tarnybos prie Lietuvos Respublikos sveikatos apsaugos ministerijos tinklalapyje </w:t>
      </w:r>
      <w:hyperlink r:id="rId28" w:history="1">
        <w:r w:rsidRPr="00EB08A6">
          <w:rPr>
            <w:rFonts w:eastAsia="SimSun"/>
            <w:snapToGrid w:val="0"/>
            <w:color w:val="0000FF"/>
            <w:szCs w:val="22"/>
            <w:u w:val="single"/>
            <w:lang w:val="lt-LT"/>
          </w:rPr>
          <w:t>http://www.vvkt.lt/</w:t>
        </w:r>
      </w:hyperlink>
      <w:r w:rsidRPr="00EB08A6">
        <w:rPr>
          <w:iCs/>
          <w:szCs w:val="22"/>
          <w:lang w:val="lt-LT"/>
        </w:rPr>
        <w:t>.</w:t>
      </w:r>
    </w:p>
    <w:p w14:paraId="2AB2EB0D" w14:textId="77777777" w:rsidR="000C2631" w:rsidRPr="00EB08A6" w:rsidRDefault="000C2631" w:rsidP="00EB08A6">
      <w:pPr>
        <w:numPr>
          <w:ilvl w:val="12"/>
          <w:numId w:val="0"/>
        </w:numPr>
        <w:ind w:right="-2"/>
        <w:rPr>
          <w:iCs/>
          <w:szCs w:val="22"/>
          <w:lang w:val="lt-LT"/>
        </w:rPr>
      </w:pPr>
      <w:bookmarkStart w:id="121" w:name="_GoBack"/>
      <w:bookmarkEnd w:id="121"/>
    </w:p>
    <w:p w14:paraId="120A6BB0" w14:textId="7936EB2A" w:rsidR="00C42CFD" w:rsidRPr="00EB08A6" w:rsidRDefault="00C42CFD" w:rsidP="00EB08A6">
      <w:pPr>
        <w:tabs>
          <w:tab w:val="clear" w:pos="567"/>
        </w:tabs>
        <w:spacing w:line="240" w:lineRule="auto"/>
        <w:jc w:val="center"/>
        <w:outlineLvl w:val="0"/>
        <w:rPr>
          <w:szCs w:val="22"/>
          <w:lang w:val="lt-LT"/>
        </w:rPr>
      </w:pPr>
    </w:p>
    <w:sectPr w:rsidR="00C42CFD" w:rsidRPr="00EB08A6" w:rsidSect="005F5A1C">
      <w:headerReference w:type="default" r:id="rId29"/>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24E0" w14:textId="77777777" w:rsidR="0097607B" w:rsidRDefault="0097607B" w:rsidP="00506762">
      <w:pPr>
        <w:spacing w:line="240" w:lineRule="auto"/>
      </w:pPr>
      <w:r>
        <w:separator/>
      </w:r>
    </w:p>
  </w:endnote>
  <w:endnote w:type="continuationSeparator" w:id="0">
    <w:p w14:paraId="505E021A" w14:textId="77777777" w:rsidR="0097607B" w:rsidRDefault="0097607B" w:rsidP="00506762">
      <w:pPr>
        <w:spacing w:line="240" w:lineRule="auto"/>
      </w:pPr>
      <w:r>
        <w:continuationSeparator/>
      </w:r>
    </w:p>
  </w:endnote>
  <w:endnote w:type="continuationNotice" w:id="1">
    <w:p w14:paraId="6A8BE5CE" w14:textId="77777777" w:rsidR="0097607B" w:rsidRDefault="009760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D6E7" w14:textId="63899AA6" w:rsidR="00EB08A6" w:rsidRDefault="00EB08A6">
    <w:pPr>
      <w:pStyle w:val="Porat"/>
      <w:tabs>
        <w:tab w:val="clear" w:pos="8930"/>
        <w:tab w:val="right" w:pos="8931"/>
      </w:tabs>
      <w:ind w:right="96"/>
      <w:jc w:val="center"/>
    </w:pPr>
    <w:r>
      <w:fldChar w:fldCharType="begin"/>
    </w:r>
    <w:r>
      <w:instrText xml:space="preserve"> EQ </w:instrText>
    </w:r>
    <w:r>
      <w:fldChar w:fldCharType="end"/>
    </w:r>
    <w:r w:rsidRPr="000F0510">
      <w:rPr>
        <w:rStyle w:val="Puslapionumeris"/>
        <w:rFonts w:ascii="Arial" w:hAnsi="Arial" w:cs="Arial"/>
        <w:sz w:val="16"/>
        <w:szCs w:val="16"/>
      </w:rPr>
      <w:fldChar w:fldCharType="begin"/>
    </w:r>
    <w:r w:rsidRPr="000F0510">
      <w:rPr>
        <w:rStyle w:val="Puslapionumeris"/>
        <w:rFonts w:ascii="Arial" w:hAnsi="Arial" w:cs="Arial"/>
        <w:sz w:val="16"/>
        <w:szCs w:val="16"/>
      </w:rPr>
      <w:instrText xml:space="preserve">PAGE  </w:instrText>
    </w:r>
    <w:r w:rsidRPr="000F0510">
      <w:rPr>
        <w:rStyle w:val="Puslapionumeris"/>
        <w:rFonts w:ascii="Arial" w:hAnsi="Arial" w:cs="Arial"/>
        <w:sz w:val="16"/>
        <w:szCs w:val="16"/>
      </w:rPr>
      <w:fldChar w:fldCharType="separate"/>
    </w:r>
    <w:r w:rsidR="000C2631">
      <w:rPr>
        <w:rStyle w:val="Puslapionumeris"/>
        <w:rFonts w:ascii="Arial" w:hAnsi="Arial" w:cs="Arial"/>
        <w:noProof/>
        <w:sz w:val="16"/>
        <w:szCs w:val="16"/>
      </w:rPr>
      <w:t>10</w:t>
    </w:r>
    <w:r w:rsidRPr="000F0510">
      <w:rPr>
        <w:rStyle w:val="Puslapionumeris"/>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E12D" w14:textId="0227BC5F" w:rsidR="00EB08A6" w:rsidRDefault="00EB08A6">
    <w:pPr>
      <w:pStyle w:val="Porat"/>
      <w:tabs>
        <w:tab w:val="clear" w:pos="8930"/>
        <w:tab w:val="right" w:pos="8931"/>
      </w:tabs>
      <w:ind w:right="96"/>
      <w:jc w:val="center"/>
    </w:pPr>
    <w:r>
      <w:fldChar w:fldCharType="begin"/>
    </w:r>
    <w:r>
      <w:instrText xml:space="preserve"> EQ </w:instrText>
    </w:r>
    <w:r>
      <w:fldChar w:fldCharType="end"/>
    </w:r>
    <w:r w:rsidRPr="000F0510">
      <w:rPr>
        <w:rStyle w:val="Puslapionumeris"/>
        <w:rFonts w:ascii="Arial" w:hAnsi="Arial" w:cs="Arial"/>
        <w:sz w:val="16"/>
        <w:szCs w:val="16"/>
      </w:rPr>
      <w:fldChar w:fldCharType="begin"/>
    </w:r>
    <w:r w:rsidRPr="000F0510">
      <w:rPr>
        <w:rStyle w:val="Puslapionumeris"/>
        <w:rFonts w:ascii="Arial" w:hAnsi="Arial" w:cs="Arial"/>
        <w:sz w:val="16"/>
        <w:szCs w:val="16"/>
      </w:rPr>
      <w:instrText xml:space="preserve">PAGE  </w:instrText>
    </w:r>
    <w:r w:rsidRPr="000F0510">
      <w:rPr>
        <w:rStyle w:val="Puslapionumeris"/>
        <w:rFonts w:ascii="Arial" w:hAnsi="Arial" w:cs="Arial"/>
        <w:sz w:val="16"/>
        <w:szCs w:val="16"/>
      </w:rPr>
      <w:fldChar w:fldCharType="separate"/>
    </w:r>
    <w:r w:rsidR="000C2631">
      <w:rPr>
        <w:rStyle w:val="Puslapionumeris"/>
        <w:rFonts w:ascii="Arial" w:hAnsi="Arial" w:cs="Arial"/>
        <w:noProof/>
        <w:sz w:val="16"/>
        <w:szCs w:val="16"/>
      </w:rPr>
      <w:t>1</w:t>
    </w:r>
    <w:r w:rsidRPr="000F0510">
      <w:rPr>
        <w:rStyle w:val="Puslapionumeris"/>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0953" w14:textId="107F2F19" w:rsidR="00805E5C" w:rsidRDefault="00805E5C">
    <w:pPr>
      <w:pStyle w:val="Porat"/>
      <w:tabs>
        <w:tab w:val="clear" w:pos="8930"/>
        <w:tab w:val="right" w:pos="8931"/>
      </w:tabs>
      <w:ind w:right="96"/>
      <w:jc w:val="center"/>
    </w:pPr>
    <w:r>
      <w:fldChar w:fldCharType="begin"/>
    </w:r>
    <w:r>
      <w:instrText xml:space="preserve"> EQ </w:instrText>
    </w:r>
    <w:r>
      <w:fldChar w:fldCharType="end"/>
    </w:r>
    <w:r w:rsidRPr="008D3E15">
      <w:rPr>
        <w:rFonts w:ascii="Arial" w:hAnsi="Arial" w:cs="Arial"/>
        <w:sz w:val="16"/>
        <w:szCs w:val="16"/>
      </w:rPr>
      <w:fldChar w:fldCharType="begin"/>
    </w:r>
    <w:r w:rsidRPr="008D3E15">
      <w:rPr>
        <w:rStyle w:val="Puslapionumeris"/>
        <w:rFonts w:ascii="Arial" w:hAnsi="Arial" w:cs="Arial"/>
        <w:sz w:val="16"/>
        <w:szCs w:val="16"/>
      </w:rPr>
      <w:instrText xml:space="preserve">PAGE  </w:instrText>
    </w:r>
    <w:r w:rsidRPr="008D3E15">
      <w:rPr>
        <w:rFonts w:ascii="Arial" w:hAnsi="Arial" w:cs="Arial"/>
        <w:sz w:val="16"/>
        <w:szCs w:val="16"/>
      </w:rPr>
      <w:fldChar w:fldCharType="separate"/>
    </w:r>
    <w:r w:rsidR="000C2631">
      <w:rPr>
        <w:rStyle w:val="Puslapionumeris"/>
        <w:rFonts w:ascii="Arial" w:hAnsi="Arial" w:cs="Arial"/>
        <w:noProof/>
        <w:sz w:val="16"/>
        <w:szCs w:val="16"/>
      </w:rPr>
      <w:t>33</w:t>
    </w:r>
    <w:r w:rsidRPr="008D3E15">
      <w:rP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AED7" w14:textId="77777777" w:rsidR="00805E5C" w:rsidRDefault="00805E5C">
    <w:pPr>
      <w:pStyle w:val="Porat"/>
      <w:tabs>
        <w:tab w:val="clear" w:pos="8930"/>
        <w:tab w:val="right" w:pos="8931"/>
      </w:tabs>
      <w:ind w:right="96"/>
      <w:jc w:val="center"/>
    </w:pPr>
    <w:r>
      <w:fldChar w:fldCharType="begin"/>
    </w:r>
    <w:r>
      <w:instrText xml:space="preserve"> EQ </w:instrText>
    </w:r>
    <w:r>
      <w:fldChar w:fldCharType="end"/>
    </w:r>
    <w:r w:rsidRPr="001E6609">
      <w:rPr>
        <w:rFonts w:ascii="Arial" w:hAnsi="Arial" w:cs="Arial"/>
        <w:sz w:val="16"/>
        <w:szCs w:val="16"/>
      </w:rPr>
      <w:fldChar w:fldCharType="begin"/>
    </w:r>
    <w:r w:rsidRPr="001E6609">
      <w:rPr>
        <w:rStyle w:val="Puslapionumeris"/>
        <w:rFonts w:ascii="Arial" w:hAnsi="Arial" w:cs="Arial"/>
        <w:sz w:val="16"/>
        <w:szCs w:val="16"/>
      </w:rPr>
      <w:instrText xml:space="preserve">PAGE  </w:instrText>
    </w:r>
    <w:r w:rsidRPr="001E6609">
      <w:rPr>
        <w:rFonts w:ascii="Arial" w:hAnsi="Arial" w:cs="Arial"/>
        <w:sz w:val="16"/>
        <w:szCs w:val="16"/>
      </w:rPr>
      <w:fldChar w:fldCharType="separate"/>
    </w:r>
    <w:r>
      <w:rPr>
        <w:rStyle w:val="Puslapionumeris"/>
        <w:rFonts w:ascii="Arial" w:hAnsi="Arial" w:cs="Arial"/>
        <w:noProof/>
        <w:sz w:val="16"/>
        <w:szCs w:val="16"/>
      </w:rPr>
      <w:t>1</w:t>
    </w:r>
    <w:r w:rsidRPr="001E660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5CB1" w14:textId="77777777" w:rsidR="0097607B" w:rsidRDefault="0097607B" w:rsidP="00506762">
      <w:pPr>
        <w:spacing w:line="240" w:lineRule="auto"/>
      </w:pPr>
      <w:r>
        <w:separator/>
      </w:r>
    </w:p>
  </w:footnote>
  <w:footnote w:type="continuationSeparator" w:id="0">
    <w:p w14:paraId="2F945E13" w14:textId="77777777" w:rsidR="0097607B" w:rsidRDefault="0097607B" w:rsidP="00506762">
      <w:pPr>
        <w:spacing w:line="240" w:lineRule="auto"/>
      </w:pPr>
      <w:r>
        <w:continuationSeparator/>
      </w:r>
    </w:p>
  </w:footnote>
  <w:footnote w:type="continuationNotice" w:id="1">
    <w:p w14:paraId="4B0A443F" w14:textId="77777777" w:rsidR="0097607B" w:rsidRDefault="009760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4102" w14:textId="77777777" w:rsidR="00EB08A6" w:rsidRDefault="00EB08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B40C" w14:textId="77777777" w:rsidR="00EB08A6" w:rsidRDefault="00EB08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68B4" w14:textId="77777777" w:rsidR="00EB08A6" w:rsidRDefault="00EB08A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FBA0" w14:textId="77777777" w:rsidR="0097607B" w:rsidRDefault="009760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EA4AA8"/>
    <w:multiLevelType w:val="hybridMultilevel"/>
    <w:tmpl w:val="8DEE790E"/>
    <w:lvl w:ilvl="0" w:tplc="F9FCF754">
      <w:start w:val="1"/>
      <w:numFmt w:val="decimal"/>
      <w:pStyle w:val="Table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142C"/>
    <w:multiLevelType w:val="hybridMultilevel"/>
    <w:tmpl w:val="BF2EBCAC"/>
    <w:lvl w:ilvl="0" w:tplc="857C865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D2695"/>
    <w:multiLevelType w:val="hybridMultilevel"/>
    <w:tmpl w:val="ACCCC484"/>
    <w:lvl w:ilvl="0" w:tplc="5D747EB2">
      <w:start w:val="1"/>
      <w:numFmt w:val="upperLetter"/>
      <w:pStyle w:val="TableNumber2"/>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10B81C2C"/>
    <w:multiLevelType w:val="hybridMultilevel"/>
    <w:tmpl w:val="A810FDE6"/>
    <w:lvl w:ilvl="0" w:tplc="249A7394">
      <w:start w:val="1"/>
      <w:numFmt w:val="bullet"/>
      <w:pStyle w:val="Bullet3"/>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pStyle w:val="Sraassuenkleliais4"/>
      <w:lvlText w:val="-"/>
      <w:lvlJc w:val="left"/>
      <w:pPr>
        <w:ind w:left="1440" w:hanging="360"/>
      </w:pPr>
      <w:rPr>
        <w:rFonts w:ascii="Lucida Sans Unicode" w:hAnsi="Lucida Sans Unicode" w:hint="default"/>
        <w:color w:val="auto"/>
      </w:rPr>
    </w:lvl>
    <w:lvl w:ilvl="4">
      <w:start w:val="1"/>
      <w:numFmt w:val="bullet"/>
      <w:pStyle w:val="Sraassuenkleliais5"/>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841A90"/>
    <w:multiLevelType w:val="hybridMultilevel"/>
    <w:tmpl w:val="84F406E0"/>
    <w:lvl w:ilvl="0" w:tplc="42CE2EEA">
      <w:start w:val="1"/>
      <w:numFmt w:val="upperRoman"/>
      <w:pStyle w:val="TableNumber3"/>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BEA1580"/>
    <w:multiLevelType w:val="hybridMultilevel"/>
    <w:tmpl w:val="0CDC9168"/>
    <w:lvl w:ilvl="0" w:tplc="2FC28A18">
      <w:start w:val="1"/>
      <w:numFmt w:val="bullet"/>
      <w:pStyle w:val="TableBullet3"/>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FB17C7F"/>
    <w:multiLevelType w:val="hybridMultilevel"/>
    <w:tmpl w:val="F6E446B0"/>
    <w:lvl w:ilvl="0" w:tplc="374E1820">
      <w:start w:val="17"/>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24B40DE"/>
    <w:multiLevelType w:val="hybridMultilevel"/>
    <w:tmpl w:val="7A64E23C"/>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B32DB"/>
    <w:multiLevelType w:val="hybridMultilevel"/>
    <w:tmpl w:val="3C3422E4"/>
    <w:lvl w:ilvl="0" w:tplc="040B000F">
      <w:start w:val="1"/>
      <w:numFmt w:val="decimal"/>
      <w:lvlText w:val="%1."/>
      <w:lvlJc w:val="left"/>
      <w:pPr>
        <w:ind w:left="720" w:hanging="360"/>
      </w:pPr>
      <w:rPr>
        <w:rFonts w:hint="default"/>
        <w:u w:val="no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547A5F"/>
    <w:multiLevelType w:val="hybridMultilevel"/>
    <w:tmpl w:val="C80A9EFE"/>
    <w:lvl w:ilvl="0" w:tplc="B5DEB322">
      <w:start w:val="18"/>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401AD"/>
    <w:multiLevelType w:val="hybridMultilevel"/>
    <w:tmpl w:val="1116D32E"/>
    <w:lvl w:ilvl="0" w:tplc="FFFFFFFF">
      <w:start w:val="1"/>
      <w:numFmt w:val="bullet"/>
      <w:lvlText w:val="-"/>
      <w:lvlJc w:val="left"/>
      <w:pPr>
        <w:tabs>
          <w:tab w:val="num" w:pos="360"/>
        </w:tabs>
        <w:ind w:left="360" w:hanging="360"/>
      </w:pPr>
      <w:rPr>
        <w:rFonts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2003C"/>
    <w:multiLevelType w:val="hybridMultilevel"/>
    <w:tmpl w:val="BFDE63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E7448EC"/>
    <w:multiLevelType w:val="hybridMultilevel"/>
    <w:tmpl w:val="2982C854"/>
    <w:lvl w:ilvl="0" w:tplc="D5D6F03E">
      <w:start w:val="1"/>
      <w:numFmt w:val="decimal"/>
      <w:pStyle w:val="TableNot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E66BF"/>
    <w:multiLevelType w:val="hybridMultilevel"/>
    <w:tmpl w:val="76E803F2"/>
    <w:lvl w:ilvl="0" w:tplc="B5DEB322">
      <w:start w:val="18"/>
      <w:numFmt w:val="bullet"/>
      <w:lvlText w:val="–"/>
      <w:lvlJc w:val="left"/>
      <w:pPr>
        <w:ind w:left="720" w:hanging="360"/>
      </w:pPr>
      <w:rPr>
        <w:rFonts w:ascii="Times New Roman" w:eastAsia="Times New Roman" w:hAnsi="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4E0ECD7E"/>
    <w:lvl w:ilvl="0" w:tplc="E44253E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D21B4"/>
    <w:multiLevelType w:val="hybridMultilevel"/>
    <w:tmpl w:val="656E9C48"/>
    <w:lvl w:ilvl="0" w:tplc="3C9A70D4">
      <w:start w:val="1"/>
      <w:numFmt w:val="decimal"/>
      <w:lvlText w:val="%1."/>
      <w:lvlJc w:val="left"/>
      <w:pPr>
        <w:ind w:left="720" w:hanging="360"/>
      </w:pPr>
      <w:rPr>
        <w:rFonts w:hint="default"/>
        <w:u w:val="no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4CD5775"/>
    <w:multiLevelType w:val="hybridMultilevel"/>
    <w:tmpl w:val="D4D6A258"/>
    <w:lvl w:ilvl="0" w:tplc="149E77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5E43A2D"/>
    <w:multiLevelType w:val="hybridMultilevel"/>
    <w:tmpl w:val="A418AF58"/>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4085E"/>
    <w:multiLevelType w:val="hybridMultilevel"/>
    <w:tmpl w:val="98769636"/>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9043E"/>
    <w:multiLevelType w:val="hybridMultilevel"/>
    <w:tmpl w:val="6B40E902"/>
    <w:lvl w:ilvl="0" w:tplc="FCFABA66">
      <w:start w:val="1"/>
      <w:numFmt w:val="bullet"/>
      <w:pStyle w:val="TableBullet2"/>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4"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373AC3"/>
    <w:multiLevelType w:val="multilevel"/>
    <w:tmpl w:val="5986E9BC"/>
    <w:lvl w:ilvl="0">
      <w:start w:val="1"/>
      <w:numFmt w:val="decimal"/>
      <w:pStyle w:val="Sraassunumeriais"/>
      <w:lvlText w:val="%1."/>
      <w:lvlJc w:val="left"/>
      <w:pPr>
        <w:ind w:left="360" w:hanging="360"/>
      </w:pPr>
      <w:rPr>
        <w:rFonts w:hint="default"/>
      </w:rPr>
    </w:lvl>
    <w:lvl w:ilvl="1">
      <w:start w:val="1"/>
      <w:numFmt w:val="upperLetter"/>
      <w:pStyle w:val="Sraassunumeriais2"/>
      <w:lvlText w:val="%2."/>
      <w:lvlJc w:val="left"/>
      <w:pPr>
        <w:ind w:left="720" w:hanging="360"/>
      </w:pPr>
      <w:rPr>
        <w:rFonts w:hint="default"/>
      </w:rPr>
    </w:lvl>
    <w:lvl w:ilvl="2">
      <w:start w:val="1"/>
      <w:numFmt w:val="upperRoman"/>
      <w:pStyle w:val="Sraassunumeriais3"/>
      <w:lvlText w:val="%3."/>
      <w:lvlJc w:val="left"/>
      <w:pPr>
        <w:ind w:left="1080" w:hanging="360"/>
      </w:pPr>
      <w:rPr>
        <w:rFonts w:hint="default"/>
      </w:rPr>
    </w:lvl>
    <w:lvl w:ilvl="3">
      <w:start w:val="1"/>
      <w:numFmt w:val="lowerLetter"/>
      <w:pStyle w:val="Sraassunumeriais4"/>
      <w:lvlText w:val="%4."/>
      <w:lvlJc w:val="left"/>
      <w:pPr>
        <w:ind w:left="1440" w:hanging="360"/>
      </w:pPr>
      <w:rPr>
        <w:rFonts w:hint="default"/>
      </w:rPr>
    </w:lvl>
    <w:lvl w:ilvl="4">
      <w:start w:val="1"/>
      <w:numFmt w:val="lowerRoman"/>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A70FDB"/>
    <w:multiLevelType w:val="multilevel"/>
    <w:tmpl w:val="4B101D20"/>
    <w:lvl w:ilvl="0">
      <w:start w:val="1"/>
      <w:numFmt w:val="decimal"/>
      <w:pStyle w:val="TableBulle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E31937"/>
    <w:multiLevelType w:val="hybridMultilevel"/>
    <w:tmpl w:val="6EEAA0F0"/>
    <w:lvl w:ilvl="0" w:tplc="B322A1A2">
      <w:start w:val="1"/>
      <w:numFmt w:val="bullet"/>
      <w:pStyle w:val="Sraassuenkleliais2"/>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0755D9E"/>
    <w:multiLevelType w:val="hybridMultilevel"/>
    <w:tmpl w:val="2F70654E"/>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283754"/>
    <w:multiLevelType w:val="hybridMultilevel"/>
    <w:tmpl w:val="BB3C7A06"/>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B0587"/>
    <w:multiLevelType w:val="hybridMultilevel"/>
    <w:tmpl w:val="F31AB8FA"/>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70EC0"/>
    <w:multiLevelType w:val="multilevel"/>
    <w:tmpl w:val="973EBEF0"/>
    <w:lvl w:ilvl="0">
      <w:start w:val="1"/>
      <w:numFmt w:val="bullet"/>
      <w:pStyle w:val="Bullet1"/>
      <w:lvlText w:val=""/>
      <w:lvlJc w:val="left"/>
      <w:pPr>
        <w:ind w:left="720" w:hanging="360"/>
      </w:pPr>
      <w:rPr>
        <w:rFonts w:ascii="Symbol" w:hAnsi="Symbol" w:hint="default"/>
        <w:color w:val="95B3D7"/>
      </w:rPr>
    </w:lvl>
    <w:lvl w:ilvl="1">
      <w:start w:val="1"/>
      <w:numFmt w:val="bullet"/>
      <w:pStyle w:val="Bullet2"/>
      <w:lvlText w:val="—"/>
      <w:lvlJc w:val="left"/>
      <w:pPr>
        <w:ind w:left="1080" w:hanging="360"/>
      </w:pPr>
      <w:rPr>
        <w:rFonts w:ascii="Calibri" w:hAnsi="Calibri" w:hint="default"/>
        <w:color w:val="9CC2E5" w:themeColor="accent1" w:themeTint="99"/>
      </w:rPr>
    </w:lvl>
    <w:lvl w:ilvl="2">
      <w:start w:val="1"/>
      <w:numFmt w:val="bullet"/>
      <w:lvlText w:val=""/>
      <w:lvlJc w:val="left"/>
      <w:pPr>
        <w:ind w:left="1440" w:hanging="360"/>
      </w:pPr>
      <w:rPr>
        <w:rFonts w:ascii="Symbol" w:hAnsi="Symbol" w:hint="default"/>
        <w:color w:val="9CC2E5"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A7C1B79"/>
    <w:multiLevelType w:val="hybridMultilevel"/>
    <w:tmpl w:val="2EAA9A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15244BC"/>
    <w:multiLevelType w:val="hybridMultilevel"/>
    <w:tmpl w:val="8CD2D484"/>
    <w:lvl w:ilvl="0" w:tplc="231E82D0">
      <w:start w:val="1"/>
      <w:numFmt w:val="bullet"/>
      <w:pStyle w:val="Sraassuenkleliais"/>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6756BBC"/>
    <w:multiLevelType w:val="hybridMultilevel"/>
    <w:tmpl w:val="45D0BCD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5147C4"/>
    <w:multiLevelType w:val="hybridMultilevel"/>
    <w:tmpl w:val="76F2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BEC598E"/>
    <w:multiLevelType w:val="hybridMultilevel"/>
    <w:tmpl w:val="8A1CF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D77B49"/>
    <w:multiLevelType w:val="hybridMultilevel"/>
    <w:tmpl w:val="589CB8B6"/>
    <w:lvl w:ilvl="0" w:tplc="FFFFFFFF">
      <w:numFmt w:val="bullet"/>
      <w:lvlText w:val="-"/>
      <w:lvlJc w:val="left"/>
      <w:pPr>
        <w:tabs>
          <w:tab w:val="num" w:pos="360"/>
        </w:tabs>
        <w:ind w:left="36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0"/>
    <w:lvlOverride w:ilvl="0">
      <w:lvl w:ilvl="0">
        <w:start w:val="1"/>
        <w:numFmt w:val="bullet"/>
        <w:lvlText w:val="-"/>
        <w:legacy w:legacy="1" w:legacySpace="0" w:legacyIndent="360"/>
        <w:lvlJc w:val="left"/>
        <w:pPr>
          <w:ind w:left="3621" w:hanging="360"/>
        </w:pPr>
      </w:lvl>
    </w:lvlOverride>
  </w:num>
  <w:num w:numId="4">
    <w:abstractNumId w:val="41"/>
  </w:num>
  <w:num w:numId="5">
    <w:abstractNumId w:val="17"/>
  </w:num>
  <w:num w:numId="6">
    <w:abstractNumId w:val="2"/>
  </w:num>
  <w:num w:numId="7">
    <w:abstractNumId w:val="36"/>
  </w:num>
  <w:num w:numId="8">
    <w:abstractNumId w:val="13"/>
  </w:num>
  <w:num w:numId="9">
    <w:abstractNumId w:val="39"/>
  </w:num>
  <w:num w:numId="10">
    <w:abstractNumId w:val="8"/>
  </w:num>
  <w:num w:numId="11">
    <w:abstractNumId w:val="12"/>
  </w:num>
  <w:num w:numId="12">
    <w:abstractNumId w:val="40"/>
  </w:num>
  <w:num w:numId="13">
    <w:abstractNumId w:val="37"/>
  </w:num>
  <w:num w:numId="14">
    <w:abstractNumId w:val="34"/>
  </w:num>
  <w:num w:numId="15">
    <w:abstractNumId w:val="11"/>
  </w:num>
  <w:num w:numId="16">
    <w:abstractNumId w:val="14"/>
  </w:num>
  <w:num w:numId="17">
    <w:abstractNumId w:val="18"/>
  </w:num>
  <w:num w:numId="18">
    <w:abstractNumId w:val="20"/>
  </w:num>
  <w:num w:numId="19">
    <w:abstractNumId w:val="29"/>
  </w:num>
  <w:num w:numId="20">
    <w:abstractNumId w:val="5"/>
  </w:num>
  <w:num w:numId="21">
    <w:abstractNumId w:val="26"/>
  </w:num>
  <w:num w:numId="22">
    <w:abstractNumId w:val="33"/>
  </w:num>
  <w:num w:numId="23">
    <w:abstractNumId w:val="27"/>
    <w:lvlOverride w:ilvl="0">
      <w:lvl w:ilvl="0">
        <w:start w:val="1"/>
        <w:numFmt w:val="bullet"/>
        <w:pStyle w:val="TableBullet1"/>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4">
    <w:abstractNumId w:val="1"/>
  </w:num>
  <w:num w:numId="25">
    <w:abstractNumId w:val="3"/>
  </w:num>
  <w:num w:numId="26">
    <w:abstractNumId w:val="6"/>
  </w:num>
  <w:num w:numId="27">
    <w:abstractNumId w:val="4"/>
  </w:num>
  <w:num w:numId="28">
    <w:abstractNumId w:val="23"/>
  </w:num>
  <w:num w:numId="29">
    <w:abstractNumId w:val="7"/>
  </w:num>
  <w:num w:numId="30">
    <w:abstractNumId w:val="28"/>
  </w:num>
  <w:num w:numId="31">
    <w:abstractNumId w:val="24"/>
  </w:num>
  <w:num w:numId="32">
    <w:abstractNumId w:val="38"/>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9"/>
  </w:num>
  <w:num w:numId="36">
    <w:abstractNumId w:val="15"/>
    <w:lvlOverride w:ilvl="0">
      <w:startOverride w:val="1"/>
    </w:lvlOverride>
  </w:num>
  <w:num w:numId="37">
    <w:abstractNumId w:val="16"/>
  </w:num>
  <w:num w:numId="38">
    <w:abstractNumId w:val="30"/>
  </w:num>
  <w:num w:numId="39">
    <w:abstractNumId w:val="10"/>
  </w:num>
  <w:num w:numId="40">
    <w:abstractNumId w:val="22"/>
  </w:num>
  <w:num w:numId="41">
    <w:abstractNumId w:val="31"/>
  </w:num>
  <w:num w:numId="42">
    <w:abstractNumId w:val="3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AC"/>
    <w:rsid w:val="00004D63"/>
    <w:rsid w:val="0000547A"/>
    <w:rsid w:val="00005DCD"/>
    <w:rsid w:val="00014B14"/>
    <w:rsid w:val="00022830"/>
    <w:rsid w:val="0002530C"/>
    <w:rsid w:val="00031F12"/>
    <w:rsid w:val="00032A11"/>
    <w:rsid w:val="00033066"/>
    <w:rsid w:val="0003402D"/>
    <w:rsid w:val="000346D1"/>
    <w:rsid w:val="000432F3"/>
    <w:rsid w:val="00043568"/>
    <w:rsid w:val="00043ED0"/>
    <w:rsid w:val="00046EBD"/>
    <w:rsid w:val="00047DCF"/>
    <w:rsid w:val="000519A1"/>
    <w:rsid w:val="00051CC5"/>
    <w:rsid w:val="0005357F"/>
    <w:rsid w:val="000560C7"/>
    <w:rsid w:val="000603DF"/>
    <w:rsid w:val="00064C4C"/>
    <w:rsid w:val="00066143"/>
    <w:rsid w:val="00070A20"/>
    <w:rsid w:val="00076D8E"/>
    <w:rsid w:val="00080D16"/>
    <w:rsid w:val="0008142D"/>
    <w:rsid w:val="00090772"/>
    <w:rsid w:val="00097371"/>
    <w:rsid w:val="000A1614"/>
    <w:rsid w:val="000A237A"/>
    <w:rsid w:val="000A4AD7"/>
    <w:rsid w:val="000A5139"/>
    <w:rsid w:val="000A5FA7"/>
    <w:rsid w:val="000B615E"/>
    <w:rsid w:val="000C07D3"/>
    <w:rsid w:val="000C228E"/>
    <w:rsid w:val="000C2631"/>
    <w:rsid w:val="000C5724"/>
    <w:rsid w:val="000D3B0E"/>
    <w:rsid w:val="000E0CB8"/>
    <w:rsid w:val="000E56F2"/>
    <w:rsid w:val="000F0F7E"/>
    <w:rsid w:val="000F781B"/>
    <w:rsid w:val="000F7BD4"/>
    <w:rsid w:val="00100E43"/>
    <w:rsid w:val="00101F5D"/>
    <w:rsid w:val="00102A14"/>
    <w:rsid w:val="00106FC6"/>
    <w:rsid w:val="0011425E"/>
    <w:rsid w:val="001146E4"/>
    <w:rsid w:val="00120BDC"/>
    <w:rsid w:val="001214F9"/>
    <w:rsid w:val="00130349"/>
    <w:rsid w:val="001359DE"/>
    <w:rsid w:val="001362B5"/>
    <w:rsid w:val="00141673"/>
    <w:rsid w:val="001424D4"/>
    <w:rsid w:val="00144E1F"/>
    <w:rsid w:val="0014639A"/>
    <w:rsid w:val="001548AF"/>
    <w:rsid w:val="001658F8"/>
    <w:rsid w:val="00166E11"/>
    <w:rsid w:val="00174E59"/>
    <w:rsid w:val="00175755"/>
    <w:rsid w:val="00180E38"/>
    <w:rsid w:val="00186387"/>
    <w:rsid w:val="0019055C"/>
    <w:rsid w:val="00190F92"/>
    <w:rsid w:val="00192C97"/>
    <w:rsid w:val="00193664"/>
    <w:rsid w:val="00197FAD"/>
    <w:rsid w:val="001A0CAF"/>
    <w:rsid w:val="001A0D8F"/>
    <w:rsid w:val="001A1C19"/>
    <w:rsid w:val="001A3EA4"/>
    <w:rsid w:val="001B2BD1"/>
    <w:rsid w:val="001B3669"/>
    <w:rsid w:val="001B4118"/>
    <w:rsid w:val="001B64B2"/>
    <w:rsid w:val="001C232E"/>
    <w:rsid w:val="001C421C"/>
    <w:rsid w:val="001C6FFF"/>
    <w:rsid w:val="001D2A94"/>
    <w:rsid w:val="001D6740"/>
    <w:rsid w:val="001E0A0B"/>
    <w:rsid w:val="001E5C25"/>
    <w:rsid w:val="001E6609"/>
    <w:rsid w:val="001E75EF"/>
    <w:rsid w:val="001F6B6F"/>
    <w:rsid w:val="001F7CE6"/>
    <w:rsid w:val="00205558"/>
    <w:rsid w:val="002077FD"/>
    <w:rsid w:val="00207BF2"/>
    <w:rsid w:val="00210D36"/>
    <w:rsid w:val="00213186"/>
    <w:rsid w:val="00214E10"/>
    <w:rsid w:val="002205DE"/>
    <w:rsid w:val="00221397"/>
    <w:rsid w:val="00221E62"/>
    <w:rsid w:val="002229D8"/>
    <w:rsid w:val="00223E73"/>
    <w:rsid w:val="002301C0"/>
    <w:rsid w:val="00233EB3"/>
    <w:rsid w:val="00242865"/>
    <w:rsid w:val="0024764B"/>
    <w:rsid w:val="00251E74"/>
    <w:rsid w:val="0025204D"/>
    <w:rsid w:val="00253F2C"/>
    <w:rsid w:val="00253FD3"/>
    <w:rsid w:val="00256017"/>
    <w:rsid w:val="0026340C"/>
    <w:rsid w:val="00270B63"/>
    <w:rsid w:val="00273E07"/>
    <w:rsid w:val="00273EBC"/>
    <w:rsid w:val="00281E31"/>
    <w:rsid w:val="00296B49"/>
    <w:rsid w:val="00297772"/>
    <w:rsid w:val="002A12D6"/>
    <w:rsid w:val="002A3332"/>
    <w:rsid w:val="002C5DC4"/>
    <w:rsid w:val="002D1BF5"/>
    <w:rsid w:val="002D2DE7"/>
    <w:rsid w:val="002D4B78"/>
    <w:rsid w:val="002D7228"/>
    <w:rsid w:val="002E1008"/>
    <w:rsid w:val="002E522F"/>
    <w:rsid w:val="002E5FE6"/>
    <w:rsid w:val="002E65C4"/>
    <w:rsid w:val="002F570C"/>
    <w:rsid w:val="002F7AF8"/>
    <w:rsid w:val="00303B61"/>
    <w:rsid w:val="0030682B"/>
    <w:rsid w:val="00311FF0"/>
    <w:rsid w:val="00314353"/>
    <w:rsid w:val="00317437"/>
    <w:rsid w:val="0031767B"/>
    <w:rsid w:val="00324AF2"/>
    <w:rsid w:val="00327FAD"/>
    <w:rsid w:val="003313D9"/>
    <w:rsid w:val="003346FF"/>
    <w:rsid w:val="00336FA6"/>
    <w:rsid w:val="0033798E"/>
    <w:rsid w:val="00345486"/>
    <w:rsid w:val="00351940"/>
    <w:rsid w:val="0036030B"/>
    <w:rsid w:val="00360BA9"/>
    <w:rsid w:val="00362A3A"/>
    <w:rsid w:val="00372B65"/>
    <w:rsid w:val="00386571"/>
    <w:rsid w:val="00390154"/>
    <w:rsid w:val="00393C69"/>
    <w:rsid w:val="003979C6"/>
    <w:rsid w:val="003A2737"/>
    <w:rsid w:val="003A2839"/>
    <w:rsid w:val="003A3D74"/>
    <w:rsid w:val="003B1E38"/>
    <w:rsid w:val="003B50C2"/>
    <w:rsid w:val="003E0074"/>
    <w:rsid w:val="003E6676"/>
    <w:rsid w:val="003F1258"/>
    <w:rsid w:val="003F16AA"/>
    <w:rsid w:val="003F7826"/>
    <w:rsid w:val="00403CF1"/>
    <w:rsid w:val="00415266"/>
    <w:rsid w:val="00415A67"/>
    <w:rsid w:val="00417F36"/>
    <w:rsid w:val="00420A9B"/>
    <w:rsid w:val="00422B88"/>
    <w:rsid w:val="0042360C"/>
    <w:rsid w:val="004240FD"/>
    <w:rsid w:val="00424DB4"/>
    <w:rsid w:val="00424EA4"/>
    <w:rsid w:val="00443E1C"/>
    <w:rsid w:val="004443D1"/>
    <w:rsid w:val="00447A36"/>
    <w:rsid w:val="00455AC0"/>
    <w:rsid w:val="004634BB"/>
    <w:rsid w:val="0046562C"/>
    <w:rsid w:val="00473E1B"/>
    <w:rsid w:val="0048064B"/>
    <w:rsid w:val="00483A6D"/>
    <w:rsid w:val="00485245"/>
    <w:rsid w:val="00490365"/>
    <w:rsid w:val="00492D8E"/>
    <w:rsid w:val="004934BF"/>
    <w:rsid w:val="004A0607"/>
    <w:rsid w:val="004A221C"/>
    <w:rsid w:val="004A557B"/>
    <w:rsid w:val="004A55C9"/>
    <w:rsid w:val="004A5820"/>
    <w:rsid w:val="004A6389"/>
    <w:rsid w:val="004B0234"/>
    <w:rsid w:val="004B24A5"/>
    <w:rsid w:val="004B4FC1"/>
    <w:rsid w:val="004C2253"/>
    <w:rsid w:val="004C3597"/>
    <w:rsid w:val="004C5B18"/>
    <w:rsid w:val="004D3212"/>
    <w:rsid w:val="004D4521"/>
    <w:rsid w:val="004D4D94"/>
    <w:rsid w:val="004D4F96"/>
    <w:rsid w:val="004D52D2"/>
    <w:rsid w:val="004D53C3"/>
    <w:rsid w:val="004E07A9"/>
    <w:rsid w:val="004E277F"/>
    <w:rsid w:val="004E4216"/>
    <w:rsid w:val="004E5DEF"/>
    <w:rsid w:val="004E7411"/>
    <w:rsid w:val="004F388D"/>
    <w:rsid w:val="004F3F23"/>
    <w:rsid w:val="00503F5B"/>
    <w:rsid w:val="00506762"/>
    <w:rsid w:val="00506DC0"/>
    <w:rsid w:val="0051086B"/>
    <w:rsid w:val="00513E1E"/>
    <w:rsid w:val="005146B1"/>
    <w:rsid w:val="00514920"/>
    <w:rsid w:val="00515499"/>
    <w:rsid w:val="0051665F"/>
    <w:rsid w:val="00517EDC"/>
    <w:rsid w:val="0052419E"/>
    <w:rsid w:val="00526765"/>
    <w:rsid w:val="005321DF"/>
    <w:rsid w:val="00540254"/>
    <w:rsid w:val="00541BEB"/>
    <w:rsid w:val="005443AC"/>
    <w:rsid w:val="0054482B"/>
    <w:rsid w:val="00546CA5"/>
    <w:rsid w:val="0055254A"/>
    <w:rsid w:val="00557EBA"/>
    <w:rsid w:val="005638D0"/>
    <w:rsid w:val="005640AD"/>
    <w:rsid w:val="005705A0"/>
    <w:rsid w:val="0057211C"/>
    <w:rsid w:val="0057764E"/>
    <w:rsid w:val="00583EB5"/>
    <w:rsid w:val="00586C50"/>
    <w:rsid w:val="005907A1"/>
    <w:rsid w:val="0059522A"/>
    <w:rsid w:val="0059765C"/>
    <w:rsid w:val="005A19A0"/>
    <w:rsid w:val="005A63E9"/>
    <w:rsid w:val="005B05CF"/>
    <w:rsid w:val="005B1439"/>
    <w:rsid w:val="005B54AC"/>
    <w:rsid w:val="005B67F0"/>
    <w:rsid w:val="005C1CEE"/>
    <w:rsid w:val="005C3D08"/>
    <w:rsid w:val="005C5165"/>
    <w:rsid w:val="005C5323"/>
    <w:rsid w:val="005E10B3"/>
    <w:rsid w:val="005E32BB"/>
    <w:rsid w:val="005E5849"/>
    <w:rsid w:val="005E744D"/>
    <w:rsid w:val="005F0445"/>
    <w:rsid w:val="005F4358"/>
    <w:rsid w:val="005F46EE"/>
    <w:rsid w:val="005F5A1C"/>
    <w:rsid w:val="005F6519"/>
    <w:rsid w:val="005F6FBA"/>
    <w:rsid w:val="00600390"/>
    <w:rsid w:val="006010D5"/>
    <w:rsid w:val="00601A68"/>
    <w:rsid w:val="00607D15"/>
    <w:rsid w:val="006113D8"/>
    <w:rsid w:val="00615B12"/>
    <w:rsid w:val="00621AF9"/>
    <w:rsid w:val="006241A4"/>
    <w:rsid w:val="006241DB"/>
    <w:rsid w:val="00624EBE"/>
    <w:rsid w:val="006274F0"/>
    <w:rsid w:val="00630295"/>
    <w:rsid w:val="0063163D"/>
    <w:rsid w:val="00643436"/>
    <w:rsid w:val="00650EAE"/>
    <w:rsid w:val="006548F8"/>
    <w:rsid w:val="006553BC"/>
    <w:rsid w:val="00655886"/>
    <w:rsid w:val="00657357"/>
    <w:rsid w:val="0065764F"/>
    <w:rsid w:val="0066145E"/>
    <w:rsid w:val="00664BED"/>
    <w:rsid w:val="00667029"/>
    <w:rsid w:val="006820F1"/>
    <w:rsid w:val="0068222C"/>
    <w:rsid w:val="00682474"/>
    <w:rsid w:val="00687120"/>
    <w:rsid w:val="00696BC6"/>
    <w:rsid w:val="00697657"/>
    <w:rsid w:val="006A3BDC"/>
    <w:rsid w:val="006A61D4"/>
    <w:rsid w:val="006B1670"/>
    <w:rsid w:val="006B1B03"/>
    <w:rsid w:val="006B2663"/>
    <w:rsid w:val="006B5F6C"/>
    <w:rsid w:val="006B6A8F"/>
    <w:rsid w:val="006C48C2"/>
    <w:rsid w:val="006D22C7"/>
    <w:rsid w:val="006D7C3F"/>
    <w:rsid w:val="006E0F83"/>
    <w:rsid w:val="006E1D22"/>
    <w:rsid w:val="006E35D4"/>
    <w:rsid w:val="006F002D"/>
    <w:rsid w:val="0070616E"/>
    <w:rsid w:val="00706EC8"/>
    <w:rsid w:val="007149A0"/>
    <w:rsid w:val="00716D34"/>
    <w:rsid w:val="00716D77"/>
    <w:rsid w:val="00725913"/>
    <w:rsid w:val="00725ABB"/>
    <w:rsid w:val="00725D0C"/>
    <w:rsid w:val="00727D22"/>
    <w:rsid w:val="00730E44"/>
    <w:rsid w:val="00732119"/>
    <w:rsid w:val="00733C16"/>
    <w:rsid w:val="00734E7D"/>
    <w:rsid w:val="00735B53"/>
    <w:rsid w:val="00742391"/>
    <w:rsid w:val="00742938"/>
    <w:rsid w:val="00756D6C"/>
    <w:rsid w:val="007577C1"/>
    <w:rsid w:val="00761717"/>
    <w:rsid w:val="007674EC"/>
    <w:rsid w:val="00773F7C"/>
    <w:rsid w:val="007812F2"/>
    <w:rsid w:val="00782B15"/>
    <w:rsid w:val="00785935"/>
    <w:rsid w:val="00787782"/>
    <w:rsid w:val="00790F00"/>
    <w:rsid w:val="00791AD2"/>
    <w:rsid w:val="007946AC"/>
    <w:rsid w:val="007A327F"/>
    <w:rsid w:val="007A728E"/>
    <w:rsid w:val="007B0DED"/>
    <w:rsid w:val="007B36C1"/>
    <w:rsid w:val="007C25B0"/>
    <w:rsid w:val="007C5372"/>
    <w:rsid w:val="007D1330"/>
    <w:rsid w:val="007D6E6D"/>
    <w:rsid w:val="007D7A50"/>
    <w:rsid w:val="007E0832"/>
    <w:rsid w:val="007E0833"/>
    <w:rsid w:val="007E4591"/>
    <w:rsid w:val="007E693E"/>
    <w:rsid w:val="007F10E7"/>
    <w:rsid w:val="007F3865"/>
    <w:rsid w:val="007F38CC"/>
    <w:rsid w:val="007F4112"/>
    <w:rsid w:val="007F4796"/>
    <w:rsid w:val="007F4B80"/>
    <w:rsid w:val="007F7851"/>
    <w:rsid w:val="0080185C"/>
    <w:rsid w:val="00802A80"/>
    <w:rsid w:val="00804A04"/>
    <w:rsid w:val="00804EC2"/>
    <w:rsid w:val="00805E5C"/>
    <w:rsid w:val="0080669B"/>
    <w:rsid w:val="008067BC"/>
    <w:rsid w:val="00814219"/>
    <w:rsid w:val="00820B79"/>
    <w:rsid w:val="00820ED8"/>
    <w:rsid w:val="00822E49"/>
    <w:rsid w:val="00824C2E"/>
    <w:rsid w:val="00827281"/>
    <w:rsid w:val="00834A5C"/>
    <w:rsid w:val="008350C9"/>
    <w:rsid w:val="00835898"/>
    <w:rsid w:val="00840D67"/>
    <w:rsid w:val="00844496"/>
    <w:rsid w:val="00860C05"/>
    <w:rsid w:val="00861B9B"/>
    <w:rsid w:val="00864142"/>
    <w:rsid w:val="00865078"/>
    <w:rsid w:val="008654E3"/>
    <w:rsid w:val="008711C4"/>
    <w:rsid w:val="0087339F"/>
    <w:rsid w:val="008778EE"/>
    <w:rsid w:val="00887522"/>
    <w:rsid w:val="0089058B"/>
    <w:rsid w:val="00891C6F"/>
    <w:rsid w:val="0089326D"/>
    <w:rsid w:val="00897978"/>
    <w:rsid w:val="008B143D"/>
    <w:rsid w:val="008B6FC0"/>
    <w:rsid w:val="008C2DFD"/>
    <w:rsid w:val="008D3E15"/>
    <w:rsid w:val="008D6FE6"/>
    <w:rsid w:val="008D7ACD"/>
    <w:rsid w:val="008D7ADE"/>
    <w:rsid w:val="008E0073"/>
    <w:rsid w:val="008E0DB0"/>
    <w:rsid w:val="008E15A8"/>
    <w:rsid w:val="008E2185"/>
    <w:rsid w:val="008E31B7"/>
    <w:rsid w:val="008E5B47"/>
    <w:rsid w:val="008E5F42"/>
    <w:rsid w:val="008F474B"/>
    <w:rsid w:val="00901C2E"/>
    <w:rsid w:val="00906B09"/>
    <w:rsid w:val="00914365"/>
    <w:rsid w:val="0092068D"/>
    <w:rsid w:val="00921CF3"/>
    <w:rsid w:val="00932BDB"/>
    <w:rsid w:val="00942414"/>
    <w:rsid w:val="00944662"/>
    <w:rsid w:val="009455A0"/>
    <w:rsid w:val="009459A0"/>
    <w:rsid w:val="0096355A"/>
    <w:rsid w:val="00964BFD"/>
    <w:rsid w:val="00965BC9"/>
    <w:rsid w:val="00973713"/>
    <w:rsid w:val="00974ADB"/>
    <w:rsid w:val="0097607B"/>
    <w:rsid w:val="00976F4E"/>
    <w:rsid w:val="00992ED1"/>
    <w:rsid w:val="009A2017"/>
    <w:rsid w:val="009A2D41"/>
    <w:rsid w:val="009A3168"/>
    <w:rsid w:val="009A720F"/>
    <w:rsid w:val="009B5D43"/>
    <w:rsid w:val="009C2175"/>
    <w:rsid w:val="009C351B"/>
    <w:rsid w:val="009C75A6"/>
    <w:rsid w:val="009C795A"/>
    <w:rsid w:val="009C7FEE"/>
    <w:rsid w:val="009D2652"/>
    <w:rsid w:val="009E159A"/>
    <w:rsid w:val="009E443D"/>
    <w:rsid w:val="009E4E76"/>
    <w:rsid w:val="009F29A6"/>
    <w:rsid w:val="009F2B5F"/>
    <w:rsid w:val="009F337D"/>
    <w:rsid w:val="009F4CD2"/>
    <w:rsid w:val="009F5B57"/>
    <w:rsid w:val="00A02D9F"/>
    <w:rsid w:val="00A06406"/>
    <w:rsid w:val="00A07658"/>
    <w:rsid w:val="00A14397"/>
    <w:rsid w:val="00A14F74"/>
    <w:rsid w:val="00A20016"/>
    <w:rsid w:val="00A432AC"/>
    <w:rsid w:val="00A50AFE"/>
    <w:rsid w:val="00A51B37"/>
    <w:rsid w:val="00A535AA"/>
    <w:rsid w:val="00A551A3"/>
    <w:rsid w:val="00A60CE8"/>
    <w:rsid w:val="00A66207"/>
    <w:rsid w:val="00A705EC"/>
    <w:rsid w:val="00A71ACC"/>
    <w:rsid w:val="00A72AF8"/>
    <w:rsid w:val="00A85041"/>
    <w:rsid w:val="00A8566E"/>
    <w:rsid w:val="00A8635A"/>
    <w:rsid w:val="00A87733"/>
    <w:rsid w:val="00A928A9"/>
    <w:rsid w:val="00AA0523"/>
    <w:rsid w:val="00AA0FFD"/>
    <w:rsid w:val="00AA27D2"/>
    <w:rsid w:val="00AB0A36"/>
    <w:rsid w:val="00AB13EC"/>
    <w:rsid w:val="00AB2A61"/>
    <w:rsid w:val="00AC0F27"/>
    <w:rsid w:val="00AD2507"/>
    <w:rsid w:val="00AD61DE"/>
    <w:rsid w:val="00AD6C9E"/>
    <w:rsid w:val="00AE3945"/>
    <w:rsid w:val="00AE72E3"/>
    <w:rsid w:val="00AF3939"/>
    <w:rsid w:val="00B0128C"/>
    <w:rsid w:val="00B020A7"/>
    <w:rsid w:val="00B07B37"/>
    <w:rsid w:val="00B07C11"/>
    <w:rsid w:val="00B1035B"/>
    <w:rsid w:val="00B15808"/>
    <w:rsid w:val="00B16CAD"/>
    <w:rsid w:val="00B20C53"/>
    <w:rsid w:val="00B22D90"/>
    <w:rsid w:val="00B25A5D"/>
    <w:rsid w:val="00B26708"/>
    <w:rsid w:val="00B43275"/>
    <w:rsid w:val="00B44710"/>
    <w:rsid w:val="00B47565"/>
    <w:rsid w:val="00B51940"/>
    <w:rsid w:val="00B53E23"/>
    <w:rsid w:val="00B550FC"/>
    <w:rsid w:val="00B56C25"/>
    <w:rsid w:val="00B7131E"/>
    <w:rsid w:val="00B76274"/>
    <w:rsid w:val="00B76D5B"/>
    <w:rsid w:val="00B77515"/>
    <w:rsid w:val="00B779E8"/>
    <w:rsid w:val="00B81793"/>
    <w:rsid w:val="00B81823"/>
    <w:rsid w:val="00B858EF"/>
    <w:rsid w:val="00B86208"/>
    <w:rsid w:val="00B95E8F"/>
    <w:rsid w:val="00B966C4"/>
    <w:rsid w:val="00B96B7B"/>
    <w:rsid w:val="00B971EC"/>
    <w:rsid w:val="00BA038E"/>
    <w:rsid w:val="00BA212C"/>
    <w:rsid w:val="00BA506E"/>
    <w:rsid w:val="00BB20FA"/>
    <w:rsid w:val="00BB586A"/>
    <w:rsid w:val="00BB7128"/>
    <w:rsid w:val="00BC065C"/>
    <w:rsid w:val="00BC4A06"/>
    <w:rsid w:val="00BD6609"/>
    <w:rsid w:val="00BD75F3"/>
    <w:rsid w:val="00BE021B"/>
    <w:rsid w:val="00BE12BB"/>
    <w:rsid w:val="00BE4410"/>
    <w:rsid w:val="00BE5900"/>
    <w:rsid w:val="00BF1992"/>
    <w:rsid w:val="00BF285B"/>
    <w:rsid w:val="00BF68AD"/>
    <w:rsid w:val="00BF7150"/>
    <w:rsid w:val="00C0137B"/>
    <w:rsid w:val="00C01B74"/>
    <w:rsid w:val="00C04054"/>
    <w:rsid w:val="00C11741"/>
    <w:rsid w:val="00C142C6"/>
    <w:rsid w:val="00C14360"/>
    <w:rsid w:val="00C14E83"/>
    <w:rsid w:val="00C17B9A"/>
    <w:rsid w:val="00C20DC4"/>
    <w:rsid w:val="00C20EBB"/>
    <w:rsid w:val="00C2115A"/>
    <w:rsid w:val="00C22458"/>
    <w:rsid w:val="00C22BF3"/>
    <w:rsid w:val="00C24489"/>
    <w:rsid w:val="00C343BF"/>
    <w:rsid w:val="00C415CF"/>
    <w:rsid w:val="00C42CFD"/>
    <w:rsid w:val="00C4532A"/>
    <w:rsid w:val="00C47811"/>
    <w:rsid w:val="00C505E1"/>
    <w:rsid w:val="00C508E3"/>
    <w:rsid w:val="00C509A6"/>
    <w:rsid w:val="00C53E0A"/>
    <w:rsid w:val="00C572B1"/>
    <w:rsid w:val="00C60816"/>
    <w:rsid w:val="00C6128B"/>
    <w:rsid w:val="00C621AA"/>
    <w:rsid w:val="00C630A3"/>
    <w:rsid w:val="00C63744"/>
    <w:rsid w:val="00C65CFF"/>
    <w:rsid w:val="00C94FD5"/>
    <w:rsid w:val="00C95736"/>
    <w:rsid w:val="00CA05A1"/>
    <w:rsid w:val="00CA1205"/>
    <w:rsid w:val="00CA2D8C"/>
    <w:rsid w:val="00CA40D3"/>
    <w:rsid w:val="00CA5507"/>
    <w:rsid w:val="00CA75AD"/>
    <w:rsid w:val="00CB0296"/>
    <w:rsid w:val="00CB2966"/>
    <w:rsid w:val="00CB357E"/>
    <w:rsid w:val="00CD481E"/>
    <w:rsid w:val="00CE2DE7"/>
    <w:rsid w:val="00CE489E"/>
    <w:rsid w:val="00CE62BF"/>
    <w:rsid w:val="00CE7279"/>
    <w:rsid w:val="00CE7321"/>
    <w:rsid w:val="00CF59F0"/>
    <w:rsid w:val="00D13DD0"/>
    <w:rsid w:val="00D15F8E"/>
    <w:rsid w:val="00D26F21"/>
    <w:rsid w:val="00D33E99"/>
    <w:rsid w:val="00D45822"/>
    <w:rsid w:val="00D542B2"/>
    <w:rsid w:val="00D56010"/>
    <w:rsid w:val="00D654FF"/>
    <w:rsid w:val="00D76F3B"/>
    <w:rsid w:val="00D867AB"/>
    <w:rsid w:val="00D86B26"/>
    <w:rsid w:val="00D86B4E"/>
    <w:rsid w:val="00D915AD"/>
    <w:rsid w:val="00D91F96"/>
    <w:rsid w:val="00D9754C"/>
    <w:rsid w:val="00DA16F0"/>
    <w:rsid w:val="00DA4960"/>
    <w:rsid w:val="00DA54E3"/>
    <w:rsid w:val="00DA5716"/>
    <w:rsid w:val="00DB4393"/>
    <w:rsid w:val="00DB52F9"/>
    <w:rsid w:val="00DC3059"/>
    <w:rsid w:val="00DC5856"/>
    <w:rsid w:val="00DC66CA"/>
    <w:rsid w:val="00DC7BE2"/>
    <w:rsid w:val="00DD1936"/>
    <w:rsid w:val="00DD632E"/>
    <w:rsid w:val="00DE3567"/>
    <w:rsid w:val="00DF1CFA"/>
    <w:rsid w:val="00DF40FE"/>
    <w:rsid w:val="00E00107"/>
    <w:rsid w:val="00E015D3"/>
    <w:rsid w:val="00E0355F"/>
    <w:rsid w:val="00E155DE"/>
    <w:rsid w:val="00E163E3"/>
    <w:rsid w:val="00E20CD0"/>
    <w:rsid w:val="00E233D6"/>
    <w:rsid w:val="00E23B50"/>
    <w:rsid w:val="00E24414"/>
    <w:rsid w:val="00E2780D"/>
    <w:rsid w:val="00E327B3"/>
    <w:rsid w:val="00E32F0D"/>
    <w:rsid w:val="00E357CA"/>
    <w:rsid w:val="00E377ED"/>
    <w:rsid w:val="00E41E45"/>
    <w:rsid w:val="00E424F7"/>
    <w:rsid w:val="00E45684"/>
    <w:rsid w:val="00E52EC1"/>
    <w:rsid w:val="00E6420F"/>
    <w:rsid w:val="00E70E2C"/>
    <w:rsid w:val="00E72109"/>
    <w:rsid w:val="00E75FD9"/>
    <w:rsid w:val="00E825EE"/>
    <w:rsid w:val="00E87EB9"/>
    <w:rsid w:val="00E93034"/>
    <w:rsid w:val="00E93F33"/>
    <w:rsid w:val="00E950FB"/>
    <w:rsid w:val="00E95538"/>
    <w:rsid w:val="00EB08A6"/>
    <w:rsid w:val="00ED2C06"/>
    <w:rsid w:val="00ED3541"/>
    <w:rsid w:val="00ED3CF6"/>
    <w:rsid w:val="00ED4D7E"/>
    <w:rsid w:val="00EE5676"/>
    <w:rsid w:val="00EE6F0C"/>
    <w:rsid w:val="00EE7F75"/>
    <w:rsid w:val="00EF1A6D"/>
    <w:rsid w:val="00EF4C48"/>
    <w:rsid w:val="00F019F8"/>
    <w:rsid w:val="00F02E5A"/>
    <w:rsid w:val="00F11222"/>
    <w:rsid w:val="00F11A1E"/>
    <w:rsid w:val="00F1250B"/>
    <w:rsid w:val="00F14096"/>
    <w:rsid w:val="00F15031"/>
    <w:rsid w:val="00F216B2"/>
    <w:rsid w:val="00F22ACE"/>
    <w:rsid w:val="00F238B0"/>
    <w:rsid w:val="00F37374"/>
    <w:rsid w:val="00F41342"/>
    <w:rsid w:val="00F457EA"/>
    <w:rsid w:val="00F558F6"/>
    <w:rsid w:val="00F57DE7"/>
    <w:rsid w:val="00F60E7D"/>
    <w:rsid w:val="00F67147"/>
    <w:rsid w:val="00F7205E"/>
    <w:rsid w:val="00F87B0E"/>
    <w:rsid w:val="00F91149"/>
    <w:rsid w:val="00F9184E"/>
    <w:rsid w:val="00F9585B"/>
    <w:rsid w:val="00F961CA"/>
    <w:rsid w:val="00FA44AC"/>
    <w:rsid w:val="00FC3816"/>
    <w:rsid w:val="00FC64EC"/>
    <w:rsid w:val="00FC7B42"/>
    <w:rsid w:val="00FD2045"/>
    <w:rsid w:val="00FD56C3"/>
    <w:rsid w:val="00FD6C92"/>
    <w:rsid w:val="00FD7711"/>
    <w:rsid w:val="00FD7FA4"/>
    <w:rsid w:val="00FF46A0"/>
    <w:rsid w:val="00FF4785"/>
    <w:rsid w:val="00FF5105"/>
    <w:rsid w:val="00FF53A3"/>
    <w:rsid w:val="00FF7EF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BE4116"/>
  <w15:chartTrackingRefBased/>
  <w15:docId w15:val="{0BEFC786-FEF4-44B7-832D-36D6A9D0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1A1E"/>
    <w:pPr>
      <w:tabs>
        <w:tab w:val="left" w:pos="567"/>
      </w:tabs>
      <w:spacing w:line="260" w:lineRule="exact"/>
    </w:pPr>
    <w:rPr>
      <w:rFonts w:ascii="Times New Roman" w:eastAsia="Times New Roman" w:hAnsi="Times New Roman"/>
      <w:sz w:val="22"/>
      <w:lang w:val="en-GB" w:eastAsia="en-US"/>
    </w:rPr>
  </w:style>
  <w:style w:type="paragraph" w:styleId="Antrat1">
    <w:name w:val="heading 1"/>
    <w:aliases w:val="H1"/>
    <w:basedOn w:val="prastasis"/>
    <w:next w:val="prastasis"/>
    <w:link w:val="Antrat1Diagrama"/>
    <w:uiPriority w:val="9"/>
    <w:qFormat/>
    <w:rsid w:val="005B54AC"/>
    <w:pPr>
      <w:spacing w:before="240" w:after="120"/>
      <w:ind w:left="357" w:hanging="357"/>
      <w:outlineLvl w:val="0"/>
    </w:pPr>
    <w:rPr>
      <w:rFonts w:ascii="Cambria" w:eastAsia="MS Gothic" w:hAnsi="Cambria"/>
      <w:b/>
      <w:bCs/>
      <w:kern w:val="32"/>
      <w:sz w:val="32"/>
      <w:szCs w:val="32"/>
    </w:rPr>
  </w:style>
  <w:style w:type="paragraph" w:styleId="Antrat2">
    <w:name w:val="heading 2"/>
    <w:aliases w:val="H2"/>
    <w:basedOn w:val="prastasis"/>
    <w:next w:val="prastasis"/>
    <w:link w:val="Antrat2Diagrama"/>
    <w:uiPriority w:val="9"/>
    <w:qFormat/>
    <w:rsid w:val="005B54AC"/>
    <w:pPr>
      <w:keepNext/>
      <w:spacing w:before="240" w:after="60"/>
      <w:outlineLvl w:val="1"/>
    </w:pPr>
    <w:rPr>
      <w:rFonts w:ascii="Cambria" w:eastAsia="MS Gothic" w:hAnsi="Cambria"/>
      <w:b/>
      <w:bCs/>
      <w:i/>
      <w:iCs/>
      <w:sz w:val="28"/>
      <w:szCs w:val="28"/>
    </w:rPr>
  </w:style>
  <w:style w:type="paragraph" w:styleId="Antrat3">
    <w:name w:val="heading 3"/>
    <w:aliases w:val="H3"/>
    <w:basedOn w:val="prastasis"/>
    <w:next w:val="prastasis"/>
    <w:link w:val="Antrat3Diagrama"/>
    <w:uiPriority w:val="9"/>
    <w:qFormat/>
    <w:rsid w:val="005B54AC"/>
    <w:pPr>
      <w:keepNext/>
      <w:keepLines/>
      <w:spacing w:before="120" w:after="80"/>
      <w:outlineLvl w:val="2"/>
    </w:pPr>
    <w:rPr>
      <w:rFonts w:ascii="Cambria" w:eastAsia="MS Gothic" w:hAnsi="Cambria"/>
      <w:b/>
      <w:bCs/>
      <w:sz w:val="26"/>
      <w:szCs w:val="26"/>
    </w:rPr>
  </w:style>
  <w:style w:type="paragraph" w:styleId="Antrat4">
    <w:name w:val="heading 4"/>
    <w:basedOn w:val="prastasis"/>
    <w:next w:val="prastasis"/>
    <w:link w:val="Antrat4Diagrama"/>
    <w:uiPriority w:val="9"/>
    <w:qFormat/>
    <w:rsid w:val="005B54AC"/>
    <w:pPr>
      <w:keepNext/>
      <w:jc w:val="both"/>
      <w:outlineLvl w:val="3"/>
    </w:pPr>
    <w:rPr>
      <w:rFonts w:ascii="Calibri" w:eastAsia="MS Mincho" w:hAnsi="Calibri"/>
      <w:b/>
      <w:bCs/>
      <w:sz w:val="28"/>
      <w:szCs w:val="28"/>
    </w:rPr>
  </w:style>
  <w:style w:type="paragraph" w:styleId="Antrat5">
    <w:name w:val="heading 5"/>
    <w:basedOn w:val="prastasis"/>
    <w:next w:val="prastasis"/>
    <w:link w:val="Antrat5Diagrama"/>
    <w:uiPriority w:val="9"/>
    <w:qFormat/>
    <w:rsid w:val="005B54AC"/>
    <w:pPr>
      <w:keepNext/>
      <w:jc w:val="both"/>
      <w:outlineLvl w:val="4"/>
    </w:pPr>
    <w:rPr>
      <w:rFonts w:ascii="Calibri" w:eastAsia="MS Mincho" w:hAnsi="Calibri"/>
      <w:b/>
      <w:bCs/>
      <w:i/>
      <w:iCs/>
      <w:sz w:val="26"/>
      <w:szCs w:val="26"/>
    </w:rPr>
  </w:style>
  <w:style w:type="paragraph" w:styleId="Antrat6">
    <w:name w:val="heading 6"/>
    <w:basedOn w:val="prastasis"/>
    <w:next w:val="prastasis"/>
    <w:link w:val="Antrat6Diagrama"/>
    <w:uiPriority w:val="9"/>
    <w:qFormat/>
    <w:rsid w:val="005B54AC"/>
    <w:pPr>
      <w:keepNext/>
      <w:tabs>
        <w:tab w:val="left" w:pos="-720"/>
        <w:tab w:val="left" w:pos="4536"/>
      </w:tabs>
      <w:suppressAutoHyphens/>
      <w:outlineLvl w:val="5"/>
    </w:pPr>
    <w:rPr>
      <w:rFonts w:ascii="Calibri" w:eastAsia="MS Mincho" w:hAnsi="Calibri"/>
      <w:b/>
      <w:bCs/>
      <w:szCs w:val="22"/>
    </w:rPr>
  </w:style>
  <w:style w:type="paragraph" w:styleId="Antrat7">
    <w:name w:val="heading 7"/>
    <w:basedOn w:val="prastasis"/>
    <w:next w:val="prastasis"/>
    <w:link w:val="Antrat7Diagrama"/>
    <w:uiPriority w:val="9"/>
    <w:qFormat/>
    <w:rsid w:val="005B54AC"/>
    <w:pPr>
      <w:keepNext/>
      <w:tabs>
        <w:tab w:val="left" w:pos="-720"/>
        <w:tab w:val="left" w:pos="4536"/>
      </w:tabs>
      <w:suppressAutoHyphens/>
      <w:jc w:val="both"/>
      <w:outlineLvl w:val="6"/>
    </w:pPr>
    <w:rPr>
      <w:rFonts w:ascii="Calibri" w:eastAsia="MS Mincho" w:hAnsi="Calibri"/>
      <w:sz w:val="24"/>
      <w:szCs w:val="24"/>
    </w:rPr>
  </w:style>
  <w:style w:type="paragraph" w:styleId="Antrat8">
    <w:name w:val="heading 8"/>
    <w:basedOn w:val="prastasis"/>
    <w:next w:val="prastasis"/>
    <w:link w:val="Antrat8Diagrama"/>
    <w:uiPriority w:val="9"/>
    <w:qFormat/>
    <w:rsid w:val="005B54AC"/>
    <w:pPr>
      <w:keepNext/>
      <w:ind w:left="567" w:hanging="567"/>
      <w:jc w:val="both"/>
      <w:outlineLvl w:val="7"/>
    </w:pPr>
    <w:rPr>
      <w:rFonts w:ascii="Calibri" w:eastAsia="MS Mincho" w:hAnsi="Calibri"/>
      <w:i/>
      <w:iCs/>
      <w:sz w:val="24"/>
      <w:szCs w:val="24"/>
    </w:rPr>
  </w:style>
  <w:style w:type="paragraph" w:styleId="Antrat9">
    <w:name w:val="heading 9"/>
    <w:basedOn w:val="prastasis"/>
    <w:next w:val="prastasis"/>
    <w:link w:val="Antrat9Diagrama"/>
    <w:uiPriority w:val="9"/>
    <w:qFormat/>
    <w:rsid w:val="005B54AC"/>
    <w:pPr>
      <w:keepNext/>
      <w:jc w:val="both"/>
      <w:outlineLvl w:val="8"/>
    </w:pPr>
    <w:rPr>
      <w:rFonts w:ascii="Cambria" w:eastAsia="MS Gothic"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link w:val="Antrat1"/>
    <w:uiPriority w:val="9"/>
    <w:rsid w:val="005B54AC"/>
    <w:rPr>
      <w:rFonts w:ascii="Cambria" w:eastAsia="MS Gothic" w:hAnsi="Cambria" w:cs="Times New Roman"/>
      <w:b/>
      <w:bCs/>
      <w:kern w:val="32"/>
      <w:sz w:val="32"/>
      <w:szCs w:val="32"/>
      <w:lang w:val="en-GB"/>
    </w:rPr>
  </w:style>
  <w:style w:type="character" w:customStyle="1" w:styleId="Antrat2Diagrama">
    <w:name w:val="Antraštė 2 Diagrama"/>
    <w:aliases w:val="H2 Diagrama"/>
    <w:link w:val="Antrat2"/>
    <w:uiPriority w:val="9"/>
    <w:rsid w:val="005B54AC"/>
    <w:rPr>
      <w:rFonts w:ascii="Cambria" w:eastAsia="MS Gothic" w:hAnsi="Cambria" w:cs="Times New Roman"/>
      <w:b/>
      <w:bCs/>
      <w:i/>
      <w:iCs/>
      <w:sz w:val="28"/>
      <w:szCs w:val="28"/>
      <w:lang w:val="en-GB"/>
    </w:rPr>
  </w:style>
  <w:style w:type="character" w:customStyle="1" w:styleId="Antrat3Diagrama">
    <w:name w:val="Antraštė 3 Diagrama"/>
    <w:aliases w:val="H3 Diagrama"/>
    <w:link w:val="Antrat3"/>
    <w:uiPriority w:val="9"/>
    <w:rsid w:val="005B54AC"/>
    <w:rPr>
      <w:rFonts w:ascii="Cambria" w:eastAsia="MS Gothic" w:hAnsi="Cambria" w:cs="Times New Roman"/>
      <w:b/>
      <w:bCs/>
      <w:sz w:val="26"/>
      <w:szCs w:val="26"/>
      <w:lang w:val="en-GB"/>
    </w:rPr>
  </w:style>
  <w:style w:type="character" w:customStyle="1" w:styleId="Antrat4Diagrama">
    <w:name w:val="Antraštė 4 Diagrama"/>
    <w:link w:val="Antrat4"/>
    <w:uiPriority w:val="9"/>
    <w:rsid w:val="005B54AC"/>
    <w:rPr>
      <w:rFonts w:ascii="Calibri" w:eastAsia="MS Mincho" w:hAnsi="Calibri" w:cs="Times New Roman"/>
      <w:b/>
      <w:bCs/>
      <w:sz w:val="28"/>
      <w:szCs w:val="28"/>
      <w:lang w:val="en-GB"/>
    </w:rPr>
  </w:style>
  <w:style w:type="character" w:customStyle="1" w:styleId="Antrat5Diagrama">
    <w:name w:val="Antraštė 5 Diagrama"/>
    <w:link w:val="Antrat5"/>
    <w:uiPriority w:val="9"/>
    <w:rsid w:val="005B54AC"/>
    <w:rPr>
      <w:rFonts w:ascii="Calibri" w:eastAsia="MS Mincho" w:hAnsi="Calibri" w:cs="Times New Roman"/>
      <w:b/>
      <w:bCs/>
      <w:i/>
      <w:iCs/>
      <w:sz w:val="26"/>
      <w:szCs w:val="26"/>
      <w:lang w:val="en-GB"/>
    </w:rPr>
  </w:style>
  <w:style w:type="character" w:customStyle="1" w:styleId="Antrat6Diagrama">
    <w:name w:val="Antraštė 6 Diagrama"/>
    <w:link w:val="Antrat6"/>
    <w:uiPriority w:val="9"/>
    <w:rsid w:val="005B54AC"/>
    <w:rPr>
      <w:rFonts w:ascii="Calibri" w:eastAsia="MS Mincho" w:hAnsi="Calibri" w:cs="Times New Roman"/>
      <w:b/>
      <w:bCs/>
      <w:lang w:val="en-GB"/>
    </w:rPr>
  </w:style>
  <w:style w:type="character" w:customStyle="1" w:styleId="Antrat7Diagrama">
    <w:name w:val="Antraštė 7 Diagrama"/>
    <w:link w:val="Antrat7"/>
    <w:uiPriority w:val="9"/>
    <w:rsid w:val="005B54AC"/>
    <w:rPr>
      <w:rFonts w:ascii="Calibri" w:eastAsia="MS Mincho" w:hAnsi="Calibri" w:cs="Times New Roman"/>
      <w:sz w:val="24"/>
      <w:szCs w:val="24"/>
      <w:lang w:val="en-GB"/>
    </w:rPr>
  </w:style>
  <w:style w:type="character" w:customStyle="1" w:styleId="Antrat8Diagrama">
    <w:name w:val="Antraštė 8 Diagrama"/>
    <w:link w:val="Antrat8"/>
    <w:uiPriority w:val="9"/>
    <w:rsid w:val="005B54AC"/>
    <w:rPr>
      <w:rFonts w:ascii="Calibri" w:eastAsia="MS Mincho" w:hAnsi="Calibri" w:cs="Times New Roman"/>
      <w:i/>
      <w:iCs/>
      <w:sz w:val="24"/>
      <w:szCs w:val="24"/>
      <w:lang w:val="en-GB"/>
    </w:rPr>
  </w:style>
  <w:style w:type="character" w:customStyle="1" w:styleId="Antrat9Diagrama">
    <w:name w:val="Antraštė 9 Diagrama"/>
    <w:link w:val="Antrat9"/>
    <w:uiPriority w:val="9"/>
    <w:rsid w:val="005B54AC"/>
    <w:rPr>
      <w:rFonts w:ascii="Cambria" w:eastAsia="MS Gothic" w:hAnsi="Cambria" w:cs="Times New Roman"/>
      <w:lang w:val="en-GB"/>
    </w:rPr>
  </w:style>
  <w:style w:type="paragraph" w:styleId="Antrats">
    <w:name w:val="header"/>
    <w:basedOn w:val="prastasis"/>
    <w:link w:val="AntratsDiagrama"/>
    <w:rsid w:val="005B54AC"/>
    <w:pPr>
      <w:tabs>
        <w:tab w:val="center" w:pos="4153"/>
        <w:tab w:val="right" w:pos="8306"/>
      </w:tabs>
      <w:spacing w:line="240" w:lineRule="auto"/>
    </w:pPr>
  </w:style>
  <w:style w:type="character" w:customStyle="1" w:styleId="AntratsDiagrama">
    <w:name w:val="Antraštės Diagrama"/>
    <w:link w:val="Antrats"/>
    <w:rsid w:val="005B54AC"/>
    <w:rPr>
      <w:rFonts w:ascii="Times New Roman" w:eastAsia="Times New Roman" w:hAnsi="Times New Roman" w:cs="Times New Roman"/>
      <w:szCs w:val="20"/>
      <w:lang w:val="en-GB"/>
    </w:rPr>
  </w:style>
  <w:style w:type="paragraph" w:styleId="Porat">
    <w:name w:val="footer"/>
    <w:basedOn w:val="prastasis"/>
    <w:link w:val="PoratDiagrama"/>
    <w:rsid w:val="005B54AC"/>
    <w:pPr>
      <w:tabs>
        <w:tab w:val="center" w:pos="4536"/>
        <w:tab w:val="center" w:pos="8930"/>
      </w:tabs>
      <w:spacing w:line="240" w:lineRule="auto"/>
    </w:pPr>
  </w:style>
  <w:style w:type="character" w:customStyle="1" w:styleId="PoratDiagrama">
    <w:name w:val="Poraštė Diagrama"/>
    <w:link w:val="Porat"/>
    <w:rsid w:val="005B54AC"/>
    <w:rPr>
      <w:rFonts w:ascii="Times New Roman" w:eastAsia="Times New Roman" w:hAnsi="Times New Roman" w:cs="Times New Roman"/>
      <w:szCs w:val="20"/>
      <w:lang w:val="en-GB"/>
    </w:rPr>
  </w:style>
  <w:style w:type="character" w:styleId="Puslapionumeris">
    <w:name w:val="page number"/>
    <w:rsid w:val="005B54AC"/>
    <w:rPr>
      <w:rFonts w:cs="Times New Roman"/>
    </w:rPr>
  </w:style>
  <w:style w:type="paragraph" w:styleId="Pagrindiniotekstotrauka">
    <w:name w:val="Body Text Indent"/>
    <w:basedOn w:val="prastasis"/>
    <w:link w:val="PagrindiniotekstotraukaDiagrama"/>
    <w:uiPriority w:val="99"/>
    <w:rsid w:val="005B54AC"/>
    <w:pPr>
      <w:tabs>
        <w:tab w:val="clear" w:pos="567"/>
      </w:tabs>
      <w:autoSpaceDE w:val="0"/>
      <w:autoSpaceDN w:val="0"/>
      <w:adjustRightInd w:val="0"/>
      <w:spacing w:line="240" w:lineRule="auto"/>
      <w:ind w:left="720"/>
      <w:jc w:val="both"/>
    </w:pPr>
  </w:style>
  <w:style w:type="character" w:customStyle="1" w:styleId="PagrindiniotekstotraukaDiagrama">
    <w:name w:val="Pagrindinio teksto įtrauka Diagrama"/>
    <w:link w:val="Pagrindiniotekstotrauka"/>
    <w:uiPriority w:val="99"/>
    <w:rsid w:val="005B54AC"/>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5B54AC"/>
    <w:pPr>
      <w:tabs>
        <w:tab w:val="clear" w:pos="567"/>
      </w:tabs>
      <w:autoSpaceDE w:val="0"/>
      <w:autoSpaceDN w:val="0"/>
      <w:adjustRightInd w:val="0"/>
      <w:spacing w:line="240" w:lineRule="auto"/>
      <w:jc w:val="both"/>
    </w:pPr>
    <w:rPr>
      <w:sz w:val="16"/>
      <w:szCs w:val="16"/>
    </w:rPr>
  </w:style>
  <w:style w:type="character" w:customStyle="1" w:styleId="Pagrindinistekstas3Diagrama">
    <w:name w:val="Pagrindinis tekstas 3 Diagrama"/>
    <w:link w:val="Pagrindinistekstas3"/>
    <w:rsid w:val="005B54AC"/>
    <w:rPr>
      <w:rFonts w:ascii="Times New Roman" w:eastAsia="Times New Roman" w:hAnsi="Times New Roman" w:cs="Times New Roman"/>
      <w:sz w:val="16"/>
      <w:szCs w:val="16"/>
      <w:lang w:val="en-GB"/>
    </w:rPr>
  </w:style>
  <w:style w:type="paragraph" w:styleId="Pagrindiniotekstotrauka2">
    <w:name w:val="Body Text Indent 2"/>
    <w:basedOn w:val="prastasis"/>
    <w:link w:val="Pagrindiniotekstotrauka2Diagrama"/>
    <w:uiPriority w:val="99"/>
    <w:rsid w:val="005B54AC"/>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Pagrindiniotekstotrauka2Diagrama">
    <w:name w:val="Pagrindinio teksto įtrauka 2 Diagrama"/>
    <w:link w:val="Pagrindiniotekstotrauka2"/>
    <w:uiPriority w:val="99"/>
    <w:rsid w:val="005B54AC"/>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5B54AC"/>
    <w:pPr>
      <w:tabs>
        <w:tab w:val="clear" w:pos="567"/>
      </w:tabs>
      <w:spacing w:line="240" w:lineRule="auto"/>
    </w:pPr>
  </w:style>
  <w:style w:type="character" w:customStyle="1" w:styleId="PagrindinistekstasDiagrama">
    <w:name w:val="Pagrindinis tekstas Diagrama"/>
    <w:link w:val="Pagrindinistekstas"/>
    <w:rsid w:val="005B54AC"/>
    <w:rPr>
      <w:rFonts w:ascii="Times New Roman" w:eastAsia="Times New Roman" w:hAnsi="Times New Roman" w:cs="Times New Roman"/>
      <w:szCs w:val="20"/>
      <w:lang w:val="en-GB"/>
    </w:rPr>
  </w:style>
  <w:style w:type="paragraph" w:styleId="Pagrindinistekstas2">
    <w:name w:val="Body Text 2"/>
    <w:basedOn w:val="prastasis"/>
    <w:link w:val="Pagrindinistekstas2Diagrama"/>
    <w:uiPriority w:val="99"/>
    <w:rsid w:val="005B54AC"/>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Pagrindinistekstas2Diagrama">
    <w:name w:val="Pagrindinis tekstas 2 Diagrama"/>
    <w:link w:val="Pagrindinistekstas2"/>
    <w:uiPriority w:val="99"/>
    <w:rsid w:val="005B54AC"/>
    <w:rPr>
      <w:rFonts w:ascii="Times New Roman" w:eastAsia="Times New Roman" w:hAnsi="Times New Roman" w:cs="Times New Roman"/>
      <w:szCs w:val="20"/>
      <w:lang w:val="en-GB"/>
    </w:rPr>
  </w:style>
  <w:style w:type="character" w:styleId="Komentaronuoroda">
    <w:name w:val="annotation reference"/>
    <w:rsid w:val="0097607B"/>
    <w:rPr>
      <w:sz w:val="16"/>
    </w:rPr>
  </w:style>
  <w:style w:type="paragraph" w:styleId="Komentarotekstas">
    <w:name w:val="annotation text"/>
    <w:basedOn w:val="prastasis"/>
    <w:link w:val="KomentarotekstasDiagrama"/>
    <w:semiHidden/>
    <w:rsid w:val="005B54AC"/>
    <w:rPr>
      <w:sz w:val="20"/>
    </w:rPr>
  </w:style>
  <w:style w:type="character" w:customStyle="1" w:styleId="KomentarotekstasDiagrama">
    <w:name w:val="Komentaro tekstas Diagrama"/>
    <w:link w:val="Komentarotekstas"/>
    <w:semiHidden/>
    <w:rsid w:val="005B54AC"/>
    <w:rPr>
      <w:rFonts w:ascii="Times New Roman" w:eastAsia="Times New Roman" w:hAnsi="Times New Roman" w:cs="Times New Roman"/>
      <w:sz w:val="20"/>
      <w:szCs w:val="20"/>
      <w:lang w:val="en-GB"/>
    </w:rPr>
  </w:style>
  <w:style w:type="paragraph" w:customStyle="1" w:styleId="EMEAEnBodyText">
    <w:name w:val="EMEA En Body Text"/>
    <w:basedOn w:val="prastasis"/>
    <w:rsid w:val="005B54AC"/>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5B54AC"/>
    <w:pPr>
      <w:shd w:val="clear" w:color="auto" w:fill="000080"/>
    </w:pPr>
    <w:rPr>
      <w:rFonts w:ascii="Tahoma" w:hAnsi="Tahoma"/>
      <w:sz w:val="16"/>
      <w:szCs w:val="16"/>
    </w:rPr>
  </w:style>
  <w:style w:type="character" w:customStyle="1" w:styleId="DokumentostruktraDiagrama">
    <w:name w:val="Dokumento struktūra Diagrama"/>
    <w:link w:val="Dokumentostruktra"/>
    <w:uiPriority w:val="99"/>
    <w:semiHidden/>
    <w:rsid w:val="005B54AC"/>
    <w:rPr>
      <w:rFonts w:ascii="Tahoma" w:eastAsia="Times New Roman" w:hAnsi="Tahoma" w:cs="Times New Roman"/>
      <w:sz w:val="16"/>
      <w:szCs w:val="16"/>
      <w:shd w:val="clear" w:color="auto" w:fill="000080"/>
      <w:lang w:val="en-GB"/>
    </w:rPr>
  </w:style>
  <w:style w:type="character" w:styleId="Hipersaitas">
    <w:name w:val="Hyperlink"/>
    <w:rsid w:val="005B54AC"/>
    <w:rPr>
      <w:color w:val="0000FF"/>
      <w:u w:val="single"/>
    </w:rPr>
  </w:style>
  <w:style w:type="paragraph" w:customStyle="1" w:styleId="AHeader1">
    <w:name w:val="AHeader 1"/>
    <w:basedOn w:val="prastasis"/>
    <w:rsid w:val="005B54AC"/>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5B54AC"/>
    <w:pPr>
      <w:numPr>
        <w:ilvl w:val="1"/>
      </w:numPr>
    </w:pPr>
    <w:rPr>
      <w:sz w:val="22"/>
    </w:rPr>
  </w:style>
  <w:style w:type="paragraph" w:customStyle="1" w:styleId="AHeader3">
    <w:name w:val="AHeader 3"/>
    <w:basedOn w:val="AHeader2"/>
    <w:rsid w:val="005B54AC"/>
    <w:pPr>
      <w:numPr>
        <w:ilvl w:val="2"/>
      </w:numPr>
    </w:pPr>
  </w:style>
  <w:style w:type="paragraph" w:customStyle="1" w:styleId="AHeader2abc">
    <w:name w:val="AHeader 2 abc"/>
    <w:basedOn w:val="AHeader3"/>
    <w:rsid w:val="005B54AC"/>
    <w:pPr>
      <w:numPr>
        <w:ilvl w:val="3"/>
      </w:numPr>
      <w:jc w:val="both"/>
    </w:pPr>
    <w:rPr>
      <w:b w:val="0"/>
      <w:bCs w:val="0"/>
    </w:rPr>
  </w:style>
  <w:style w:type="paragraph" w:customStyle="1" w:styleId="AHeader3abc">
    <w:name w:val="AHeader 3 abc"/>
    <w:basedOn w:val="AHeader2abc"/>
    <w:rsid w:val="005B54AC"/>
    <w:pPr>
      <w:numPr>
        <w:ilvl w:val="4"/>
      </w:numPr>
    </w:pPr>
  </w:style>
  <w:style w:type="paragraph" w:styleId="Pagrindiniotekstotrauka3">
    <w:name w:val="Body Text Indent 3"/>
    <w:basedOn w:val="prastasis"/>
    <w:link w:val="Pagrindiniotekstotrauka3Diagrama"/>
    <w:uiPriority w:val="99"/>
    <w:rsid w:val="005B54AC"/>
    <w:pPr>
      <w:tabs>
        <w:tab w:val="left" w:pos="1134"/>
      </w:tabs>
      <w:autoSpaceDE w:val="0"/>
      <w:autoSpaceDN w:val="0"/>
      <w:adjustRightInd w:val="0"/>
      <w:ind w:left="633"/>
      <w:jc w:val="both"/>
    </w:pPr>
    <w:rPr>
      <w:sz w:val="16"/>
      <w:szCs w:val="16"/>
    </w:rPr>
  </w:style>
  <w:style w:type="character" w:customStyle="1" w:styleId="Pagrindiniotekstotrauka3Diagrama">
    <w:name w:val="Pagrindinio teksto įtrauka 3 Diagrama"/>
    <w:link w:val="Pagrindiniotekstotrauka3"/>
    <w:uiPriority w:val="99"/>
    <w:rsid w:val="005B54AC"/>
    <w:rPr>
      <w:rFonts w:ascii="Times New Roman" w:eastAsia="Times New Roman" w:hAnsi="Times New Roman" w:cs="Times New Roman"/>
      <w:sz w:val="16"/>
      <w:szCs w:val="16"/>
      <w:lang w:val="en-GB"/>
    </w:rPr>
  </w:style>
  <w:style w:type="character" w:styleId="Perirtashipersaitas">
    <w:name w:val="FollowedHyperlink"/>
    <w:uiPriority w:val="99"/>
    <w:rsid w:val="005B54AC"/>
    <w:rPr>
      <w:color w:val="800080"/>
      <w:u w:val="single"/>
    </w:rPr>
  </w:style>
  <w:style w:type="paragraph" w:styleId="prastasiniatinklio">
    <w:name w:val="Normal (Web)"/>
    <w:basedOn w:val="prastasis"/>
    <w:uiPriority w:val="99"/>
    <w:rsid w:val="005B54AC"/>
    <w:pPr>
      <w:tabs>
        <w:tab w:val="clear" w:pos="567"/>
      </w:tabs>
      <w:spacing w:before="100" w:beforeAutospacing="1" w:after="100" w:afterAutospacing="1" w:line="240" w:lineRule="auto"/>
    </w:pPr>
    <w:rPr>
      <w:rFonts w:ascii="Arial Unicode MS" w:eastAsia="Arial Unicode MS" w:hAnsi="Arial Unicode MS"/>
      <w:sz w:val="24"/>
      <w:szCs w:val="24"/>
    </w:rPr>
  </w:style>
  <w:style w:type="paragraph" w:styleId="Debesliotekstas">
    <w:name w:val="Balloon Text"/>
    <w:basedOn w:val="prastasis"/>
    <w:link w:val="DebesliotekstasDiagrama"/>
    <w:uiPriority w:val="99"/>
    <w:semiHidden/>
    <w:rsid w:val="005B54AC"/>
    <w:rPr>
      <w:rFonts w:ascii="Tahoma" w:hAnsi="Tahoma"/>
      <w:sz w:val="16"/>
      <w:szCs w:val="16"/>
    </w:rPr>
  </w:style>
  <w:style w:type="character" w:customStyle="1" w:styleId="DebesliotekstasDiagrama">
    <w:name w:val="Debesėlio tekstas Diagrama"/>
    <w:link w:val="Debesliotekstas"/>
    <w:uiPriority w:val="99"/>
    <w:semiHidden/>
    <w:rsid w:val="005B54AC"/>
    <w:rPr>
      <w:rFonts w:ascii="Tahoma" w:eastAsia="Times New Roman" w:hAnsi="Tahoma" w:cs="Times New Roman"/>
      <w:sz w:val="16"/>
      <w:szCs w:val="16"/>
      <w:lang w:val="en-GB"/>
    </w:rPr>
  </w:style>
  <w:style w:type="paragraph" w:styleId="Antrat">
    <w:name w:val="caption"/>
    <w:basedOn w:val="prastasis"/>
    <w:next w:val="prastasis"/>
    <w:qFormat/>
    <w:rsid w:val="005B54AC"/>
    <w:rPr>
      <w:b/>
      <w:bCs/>
      <w:sz w:val="20"/>
    </w:rPr>
  </w:style>
  <w:style w:type="paragraph" w:styleId="Komentarotema">
    <w:name w:val="annotation subject"/>
    <w:basedOn w:val="Komentarotekstas"/>
    <w:next w:val="Komentarotekstas"/>
    <w:link w:val="KomentarotemaDiagrama"/>
    <w:rsid w:val="005B54AC"/>
    <w:rPr>
      <w:b/>
      <w:bCs/>
    </w:rPr>
  </w:style>
  <w:style w:type="character" w:customStyle="1" w:styleId="KomentarotemaDiagrama">
    <w:name w:val="Komentaro tema Diagrama"/>
    <w:link w:val="Komentarotema"/>
    <w:rsid w:val="005B54AC"/>
    <w:rPr>
      <w:rFonts w:ascii="Times New Roman" w:eastAsia="Times New Roman" w:hAnsi="Times New Roman" w:cs="Times New Roman"/>
      <w:b/>
      <w:bCs/>
      <w:sz w:val="20"/>
      <w:szCs w:val="20"/>
      <w:lang w:val="en-GB"/>
    </w:rPr>
  </w:style>
  <w:style w:type="paragraph" w:customStyle="1" w:styleId="15TableRowColHeader">
    <w:name w:val="15Table Row/Col Header"/>
    <w:link w:val="15TableRowColHeaderChar"/>
    <w:qFormat/>
    <w:rsid w:val="00F11A1E"/>
    <w:pPr>
      <w:keepNext/>
      <w:jc w:val="center"/>
    </w:pPr>
    <w:rPr>
      <w:rFonts w:ascii="Times New Roman" w:eastAsia="MS Mincho" w:hAnsi="Times New Roman"/>
      <w:b/>
      <w:sz w:val="22"/>
      <w:lang w:val="en-US" w:eastAsia="en-US"/>
    </w:rPr>
  </w:style>
  <w:style w:type="character" w:customStyle="1" w:styleId="15TableRowColHeaderChar">
    <w:name w:val="15Table Row/Col Header Char"/>
    <w:link w:val="15TableRowColHeader"/>
    <w:locked/>
    <w:rsid w:val="005B54AC"/>
    <w:rPr>
      <w:rFonts w:ascii="Times New Roman" w:eastAsia="MS Mincho" w:hAnsi="Times New Roman"/>
      <w:b/>
      <w:sz w:val="22"/>
      <w:lang w:val="en-US" w:eastAsia="en-US"/>
    </w:rPr>
  </w:style>
  <w:style w:type="paragraph" w:customStyle="1" w:styleId="17TableEntries10pt">
    <w:name w:val="17Table Entries 10 pt"/>
    <w:link w:val="17TableEntries10ptChar"/>
    <w:qFormat/>
    <w:rsid w:val="00F11A1E"/>
    <w:pPr>
      <w:keepNext/>
      <w:jc w:val="center"/>
    </w:pPr>
    <w:rPr>
      <w:rFonts w:ascii="Times New Roman" w:eastAsia="MS Mincho" w:hAnsi="Times New Roman"/>
      <w:lang w:val="en-US" w:eastAsia="en-US"/>
    </w:rPr>
  </w:style>
  <w:style w:type="character" w:customStyle="1" w:styleId="17TableEntries10ptChar">
    <w:name w:val="17Table Entries 10 pt Char"/>
    <w:link w:val="17TableEntries10pt"/>
    <w:locked/>
    <w:rsid w:val="005B54AC"/>
    <w:rPr>
      <w:rFonts w:ascii="Times New Roman" w:eastAsia="MS Mincho" w:hAnsi="Times New Roman"/>
      <w:lang w:val="en-US" w:eastAsia="en-US"/>
    </w:rPr>
  </w:style>
  <w:style w:type="paragraph" w:customStyle="1" w:styleId="BodytextAgency">
    <w:name w:val="Body text (Agency)"/>
    <w:basedOn w:val="prastasis"/>
    <w:link w:val="BodytextAgencyChar"/>
    <w:qFormat/>
    <w:rsid w:val="005B54AC"/>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5B54AC"/>
    <w:rPr>
      <w:rFonts w:ascii="Verdana" w:eastAsia="Times New Roman" w:hAnsi="Verdana" w:cs="Verdana"/>
      <w:sz w:val="18"/>
      <w:szCs w:val="18"/>
      <w:lang w:val="en-GB" w:eastAsia="en-GB"/>
    </w:rPr>
  </w:style>
  <w:style w:type="paragraph" w:styleId="Pataisymai">
    <w:name w:val="Revision"/>
    <w:hidden/>
    <w:uiPriority w:val="99"/>
    <w:semiHidden/>
    <w:rsid w:val="00F11A1E"/>
    <w:rPr>
      <w:rFonts w:ascii="Times New Roman" w:eastAsia="Times New Roman" w:hAnsi="Times New Roman"/>
      <w:sz w:val="22"/>
      <w:lang w:val="en-GB" w:eastAsia="en-US"/>
    </w:rPr>
  </w:style>
  <w:style w:type="paragraph" w:styleId="Sraopastraipa">
    <w:name w:val="List Paragraph"/>
    <w:basedOn w:val="prastasis"/>
    <w:uiPriority w:val="34"/>
    <w:qFormat/>
    <w:rsid w:val="005B54AC"/>
    <w:pPr>
      <w:ind w:left="720"/>
    </w:pPr>
  </w:style>
  <w:style w:type="paragraph" w:customStyle="1" w:styleId="NormalAgency">
    <w:name w:val="Normal (Agency)"/>
    <w:link w:val="NormalAgencyChar"/>
    <w:rsid w:val="005B54AC"/>
    <w:rPr>
      <w:rFonts w:ascii="Verdana" w:eastAsia="Verdana" w:hAnsi="Verdana" w:cs="Verdana"/>
      <w:sz w:val="18"/>
      <w:szCs w:val="18"/>
      <w:lang w:val="en-GB" w:eastAsia="en-GB"/>
    </w:rPr>
  </w:style>
  <w:style w:type="paragraph" w:customStyle="1" w:styleId="TabletextrowsAgency">
    <w:name w:val="Table text rows (Agency)"/>
    <w:basedOn w:val="prastasis"/>
    <w:rsid w:val="005B54AC"/>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B54AC"/>
    <w:rPr>
      <w:rFonts w:ascii="Verdana" w:eastAsia="Verdana" w:hAnsi="Verdana" w:cs="Verdana"/>
      <w:sz w:val="18"/>
      <w:szCs w:val="18"/>
      <w:lang w:val="en-GB" w:eastAsia="en-GB"/>
    </w:rPr>
  </w:style>
  <w:style w:type="paragraph" w:customStyle="1" w:styleId="Default">
    <w:name w:val="Default"/>
    <w:rsid w:val="005B54AC"/>
    <w:pPr>
      <w:autoSpaceDE w:val="0"/>
      <w:autoSpaceDN w:val="0"/>
      <w:adjustRightInd w:val="0"/>
    </w:pPr>
    <w:rPr>
      <w:rFonts w:ascii="Verdana" w:eastAsia="Times New Roman" w:hAnsi="Verdana" w:cs="Verdana"/>
      <w:color w:val="000000"/>
      <w:sz w:val="24"/>
      <w:szCs w:val="24"/>
      <w:lang w:val="en-GB" w:eastAsia="en-GB"/>
    </w:rPr>
  </w:style>
  <w:style w:type="character" w:customStyle="1" w:styleId="shorttext">
    <w:name w:val="short_text"/>
    <w:rsid w:val="005B54AC"/>
  </w:style>
  <w:style w:type="paragraph" w:customStyle="1" w:styleId="BTEMEASMCA">
    <w:name w:val="BT EMEA_SMCA"/>
    <w:basedOn w:val="prastasis"/>
    <w:link w:val="BTEMEASMCAChar"/>
    <w:autoRedefine/>
    <w:rsid w:val="00F11A1E"/>
    <w:pPr>
      <w:tabs>
        <w:tab w:val="clear" w:pos="567"/>
      </w:tabs>
      <w:spacing w:line="240" w:lineRule="auto"/>
      <w:jc w:val="both"/>
    </w:pPr>
    <w:rPr>
      <w:i/>
      <w:color w:val="000000"/>
      <w:szCs w:val="22"/>
      <w:u w:val="single"/>
      <w:lang w:val="lt-LT"/>
    </w:rPr>
  </w:style>
  <w:style w:type="character" w:customStyle="1" w:styleId="BTEMEASMCAChar">
    <w:name w:val="BT EMEA_SMCA Char"/>
    <w:link w:val="BTEMEASMCA"/>
    <w:rsid w:val="005C5165"/>
    <w:rPr>
      <w:rFonts w:ascii="Times New Roman" w:eastAsia="Times New Roman" w:hAnsi="Times New Roman"/>
      <w:i/>
      <w:color w:val="000000"/>
      <w:sz w:val="22"/>
      <w:szCs w:val="22"/>
      <w:u w:val="single"/>
      <w:lang w:eastAsia="en-US"/>
    </w:rPr>
  </w:style>
  <w:style w:type="paragraph" w:customStyle="1" w:styleId="BT-EMEASMCA">
    <w:name w:val="BT- EMEA_SMCA"/>
    <w:basedOn w:val="prastasis"/>
    <w:autoRedefine/>
    <w:rsid w:val="00F11A1E"/>
    <w:pPr>
      <w:numPr>
        <w:numId w:val="5"/>
      </w:numPr>
      <w:tabs>
        <w:tab w:val="clear" w:pos="567"/>
      </w:tabs>
      <w:spacing w:line="240" w:lineRule="auto"/>
    </w:pPr>
    <w:rPr>
      <w:noProof/>
      <w:szCs w:val="22"/>
      <w:lang w:val="lt-LT"/>
    </w:rPr>
  </w:style>
  <w:style w:type="character" w:customStyle="1" w:styleId="UnresolvedMention">
    <w:name w:val="Unresolved Mention"/>
    <w:basedOn w:val="Numatytasispastraiposriftas"/>
    <w:uiPriority w:val="99"/>
    <w:semiHidden/>
    <w:unhideWhenUsed/>
    <w:rsid w:val="00824C2E"/>
    <w:rPr>
      <w:color w:val="605E5C"/>
      <w:shd w:val="clear" w:color="auto" w:fill="E1DFDD"/>
    </w:rPr>
  </w:style>
  <w:style w:type="character" w:styleId="Puslapioinaosnuoroda">
    <w:name w:val="footnote reference"/>
    <w:basedOn w:val="Numatytasispastraiposriftas"/>
    <w:uiPriority w:val="99"/>
    <w:rsid w:val="00EB08A6"/>
    <w:rPr>
      <w:vertAlign w:val="superscript"/>
    </w:rPr>
  </w:style>
  <w:style w:type="paragraph" w:styleId="Puslapioinaostekstas">
    <w:name w:val="footnote text"/>
    <w:basedOn w:val="prastasis"/>
    <w:link w:val="PuslapioinaostekstasDiagrama"/>
    <w:uiPriority w:val="99"/>
    <w:rsid w:val="00EB08A6"/>
    <w:pPr>
      <w:tabs>
        <w:tab w:val="clear" w:pos="567"/>
      </w:tabs>
      <w:spacing w:line="240" w:lineRule="auto"/>
    </w:pPr>
    <w:rPr>
      <w:rFonts w:eastAsiaTheme="minorEastAsia" w:cstheme="minorBidi"/>
      <w:sz w:val="20"/>
      <w:szCs w:val="22"/>
      <w:lang w:val="en-US"/>
    </w:rPr>
  </w:style>
  <w:style w:type="character" w:customStyle="1" w:styleId="PuslapioinaostekstasDiagrama">
    <w:name w:val="Puslapio išnašos tekstas Diagrama"/>
    <w:basedOn w:val="Numatytasispastraiposriftas"/>
    <w:link w:val="Puslapioinaostekstas"/>
    <w:uiPriority w:val="99"/>
    <w:rsid w:val="00EB08A6"/>
    <w:rPr>
      <w:rFonts w:ascii="Times New Roman" w:eastAsiaTheme="minorEastAsia" w:hAnsi="Times New Roman" w:cstheme="minorBidi"/>
      <w:szCs w:val="22"/>
      <w:lang w:val="en-US" w:eastAsia="en-US"/>
    </w:rPr>
  </w:style>
  <w:style w:type="character" w:styleId="Vietosrezervavimoenklotekstas">
    <w:name w:val="Placeholder Text"/>
    <w:basedOn w:val="Numatytasispastraiposriftas"/>
    <w:uiPriority w:val="99"/>
    <w:rsid w:val="00EB08A6"/>
    <w:rPr>
      <w:color w:val="808080"/>
    </w:rPr>
  </w:style>
  <w:style w:type="paragraph" w:styleId="Pavadinimas">
    <w:name w:val="Title"/>
    <w:basedOn w:val="prastasis"/>
    <w:next w:val="Antrat1"/>
    <w:link w:val="PavadinimasDiagrama"/>
    <w:uiPriority w:val="10"/>
    <w:qFormat/>
    <w:rsid w:val="00EB08A6"/>
    <w:pPr>
      <w:tabs>
        <w:tab w:val="clear" w:pos="567"/>
      </w:tabs>
      <w:spacing w:before="240" w:after="220" w:line="240" w:lineRule="auto"/>
      <w:jc w:val="center"/>
    </w:pPr>
    <w:rPr>
      <w:rFonts w:ascii="Times New Roman Bold" w:eastAsiaTheme="majorEastAsia" w:hAnsi="Times New Roman Bold" w:cstheme="majorBidi"/>
      <w:b/>
      <w:caps/>
      <w:spacing w:val="5"/>
      <w:kern w:val="28"/>
      <w:szCs w:val="52"/>
      <w:lang w:val="en-CA"/>
    </w:rPr>
  </w:style>
  <w:style w:type="character" w:customStyle="1" w:styleId="PavadinimasDiagrama">
    <w:name w:val="Pavadinimas Diagrama"/>
    <w:basedOn w:val="Numatytasispastraiposriftas"/>
    <w:link w:val="Pavadinimas"/>
    <w:uiPriority w:val="10"/>
    <w:rsid w:val="00EB08A6"/>
    <w:rPr>
      <w:rFonts w:ascii="Times New Roman Bold" w:eastAsiaTheme="majorEastAsia" w:hAnsi="Times New Roman Bold" w:cstheme="majorBidi"/>
      <w:b/>
      <w:caps/>
      <w:spacing w:val="5"/>
      <w:kern w:val="28"/>
      <w:sz w:val="22"/>
      <w:szCs w:val="52"/>
      <w:lang w:val="en-CA" w:eastAsia="en-US"/>
    </w:rPr>
  </w:style>
  <w:style w:type="character" w:customStyle="1" w:styleId="Bold">
    <w:name w:val="Bold"/>
    <w:basedOn w:val="Numatytasispastraiposriftas"/>
    <w:locked/>
    <w:rsid w:val="00EB08A6"/>
    <w:rPr>
      <w:b/>
      <w:bCs w:val="0"/>
    </w:rPr>
  </w:style>
  <w:style w:type="character" w:styleId="Dokumentoinaosnumeris">
    <w:name w:val="endnote reference"/>
    <w:basedOn w:val="Numatytasispastraiposriftas"/>
    <w:uiPriority w:val="99"/>
    <w:semiHidden/>
    <w:unhideWhenUsed/>
    <w:rsid w:val="00EB08A6"/>
    <w:rPr>
      <w:vertAlign w:val="superscript"/>
    </w:rPr>
  </w:style>
  <w:style w:type="paragraph" w:styleId="Dokumentoinaostekstas">
    <w:name w:val="endnote text"/>
    <w:basedOn w:val="prastasis"/>
    <w:link w:val="DokumentoinaostekstasDiagrama"/>
    <w:semiHidden/>
    <w:rsid w:val="00EB08A6"/>
    <w:pPr>
      <w:spacing w:line="240" w:lineRule="auto"/>
    </w:pPr>
  </w:style>
  <w:style w:type="character" w:customStyle="1" w:styleId="DokumentoinaostekstasDiagrama">
    <w:name w:val="Dokumento išnašos tekstas Diagrama"/>
    <w:basedOn w:val="Numatytasispastraiposriftas"/>
    <w:link w:val="Dokumentoinaostekstas"/>
    <w:semiHidden/>
    <w:rsid w:val="00EB08A6"/>
    <w:rPr>
      <w:rFonts w:ascii="Times New Roman" w:eastAsia="Times New Roman" w:hAnsi="Times New Roman"/>
      <w:sz w:val="22"/>
      <w:lang w:val="en-GB" w:eastAsia="en-US"/>
    </w:rPr>
  </w:style>
  <w:style w:type="character" w:styleId="Rykuspabraukimas">
    <w:name w:val="Intense Emphasis"/>
    <w:basedOn w:val="Numatytasispastraiposriftas"/>
    <w:uiPriority w:val="21"/>
    <w:qFormat/>
    <w:rsid w:val="00EB08A6"/>
    <w:rPr>
      <w:b/>
      <w:bCs/>
      <w:i/>
      <w:iCs/>
      <w:color w:val="5B9BD5" w:themeColor="accent1"/>
    </w:rPr>
  </w:style>
  <w:style w:type="paragraph" w:styleId="Iskirtacitata">
    <w:name w:val="Intense Quote"/>
    <w:basedOn w:val="prastasis"/>
    <w:next w:val="prastasis"/>
    <w:link w:val="IskirtacitataDiagrama"/>
    <w:uiPriority w:val="30"/>
    <w:qFormat/>
    <w:rsid w:val="00EB08A6"/>
    <w:pPr>
      <w:pBdr>
        <w:bottom w:val="single" w:sz="4" w:space="4" w:color="5B9BD5" w:themeColor="accent1"/>
      </w:pBdr>
      <w:tabs>
        <w:tab w:val="clear" w:pos="567"/>
      </w:tabs>
      <w:spacing w:before="200" w:after="280" w:line="240" w:lineRule="auto"/>
      <w:ind w:left="936" w:right="936"/>
    </w:pPr>
    <w:rPr>
      <w:rFonts w:eastAsiaTheme="minorHAnsi" w:cstheme="minorBidi"/>
      <w:b/>
      <w:bCs/>
      <w:i/>
      <w:iCs/>
      <w:color w:val="5B9BD5" w:themeColor="accent1"/>
      <w:szCs w:val="22"/>
      <w:lang w:val="en-CA"/>
    </w:rPr>
  </w:style>
  <w:style w:type="character" w:customStyle="1" w:styleId="IskirtacitataDiagrama">
    <w:name w:val="Išskirta citata Diagrama"/>
    <w:basedOn w:val="Numatytasispastraiposriftas"/>
    <w:link w:val="Iskirtacitata"/>
    <w:uiPriority w:val="30"/>
    <w:rsid w:val="00EB08A6"/>
    <w:rPr>
      <w:rFonts w:ascii="Times New Roman" w:eastAsiaTheme="minorHAnsi" w:hAnsi="Times New Roman" w:cstheme="minorBidi"/>
      <w:b/>
      <w:bCs/>
      <w:i/>
      <w:iCs/>
      <w:color w:val="5B9BD5" w:themeColor="accent1"/>
      <w:sz w:val="22"/>
      <w:szCs w:val="22"/>
      <w:lang w:val="en-CA" w:eastAsia="en-US"/>
    </w:rPr>
  </w:style>
  <w:style w:type="paragraph" w:styleId="Sraassuenkleliais">
    <w:name w:val="List Bullet"/>
    <w:basedOn w:val="prastasis"/>
    <w:autoRedefine/>
    <w:unhideWhenUsed/>
    <w:rsid w:val="00EB08A6"/>
    <w:pPr>
      <w:numPr>
        <w:numId w:val="33"/>
      </w:numPr>
      <w:spacing w:line="240" w:lineRule="auto"/>
    </w:pPr>
    <w:rPr>
      <w:szCs w:val="24"/>
      <w:lang w:val="en-CA" w:eastAsia="en-CA"/>
    </w:rPr>
  </w:style>
  <w:style w:type="paragraph" w:styleId="Sraassuenkleliais2">
    <w:name w:val="List Bullet 2"/>
    <w:basedOn w:val="Bullet2"/>
    <w:uiPriority w:val="99"/>
    <w:rsid w:val="00EB08A6"/>
    <w:pPr>
      <w:numPr>
        <w:ilvl w:val="0"/>
        <w:numId w:val="30"/>
      </w:numPr>
      <w:ind w:left="720"/>
    </w:pPr>
  </w:style>
  <w:style w:type="paragraph" w:styleId="Sraassuenkleliais3">
    <w:name w:val="List Bullet 3"/>
    <w:basedOn w:val="Bullet3"/>
    <w:uiPriority w:val="99"/>
    <w:rsid w:val="00EB08A6"/>
  </w:style>
  <w:style w:type="paragraph" w:styleId="Sraassuenkleliais4">
    <w:name w:val="List Bullet 4"/>
    <w:basedOn w:val="prastasis"/>
    <w:uiPriority w:val="99"/>
    <w:rsid w:val="00EB08A6"/>
    <w:pPr>
      <w:numPr>
        <w:ilvl w:val="3"/>
        <w:numId w:val="20"/>
      </w:numPr>
      <w:tabs>
        <w:tab w:val="clear" w:pos="567"/>
      </w:tabs>
      <w:spacing w:line="240" w:lineRule="auto"/>
    </w:pPr>
    <w:rPr>
      <w:rFonts w:eastAsiaTheme="minorEastAsia" w:cstheme="minorBidi"/>
      <w:szCs w:val="22"/>
      <w:lang w:val="en-US"/>
    </w:rPr>
  </w:style>
  <w:style w:type="paragraph" w:styleId="Sraassuenkleliais5">
    <w:name w:val="List Bullet 5"/>
    <w:basedOn w:val="prastasis"/>
    <w:uiPriority w:val="99"/>
    <w:rsid w:val="00EB08A6"/>
    <w:pPr>
      <w:numPr>
        <w:ilvl w:val="4"/>
        <w:numId w:val="20"/>
      </w:numPr>
      <w:tabs>
        <w:tab w:val="clear" w:pos="567"/>
      </w:tabs>
      <w:spacing w:line="240" w:lineRule="auto"/>
    </w:pPr>
    <w:rPr>
      <w:rFonts w:eastAsiaTheme="minorEastAsia" w:cstheme="minorBidi"/>
      <w:szCs w:val="22"/>
      <w:lang w:val="en-US"/>
    </w:rPr>
  </w:style>
  <w:style w:type="paragraph" w:styleId="Sraotsinys">
    <w:name w:val="List Continue"/>
    <w:basedOn w:val="prastasis"/>
    <w:uiPriority w:val="99"/>
    <w:rsid w:val="00EB08A6"/>
    <w:pPr>
      <w:tabs>
        <w:tab w:val="clear" w:pos="567"/>
      </w:tabs>
      <w:spacing w:line="240" w:lineRule="auto"/>
    </w:pPr>
    <w:rPr>
      <w:rFonts w:eastAsiaTheme="minorEastAsia" w:cstheme="minorBidi"/>
      <w:szCs w:val="22"/>
      <w:lang w:val="en-US"/>
    </w:rPr>
  </w:style>
  <w:style w:type="paragraph" w:styleId="Sraotsinys2">
    <w:name w:val="List Continue 2"/>
    <w:basedOn w:val="prastasis"/>
    <w:uiPriority w:val="99"/>
    <w:rsid w:val="00EB08A6"/>
    <w:pPr>
      <w:tabs>
        <w:tab w:val="clear" w:pos="567"/>
      </w:tabs>
      <w:spacing w:line="240" w:lineRule="auto"/>
      <w:ind w:left="720"/>
    </w:pPr>
    <w:rPr>
      <w:rFonts w:eastAsiaTheme="minorEastAsia" w:cstheme="minorBidi"/>
      <w:szCs w:val="22"/>
      <w:lang w:val="en-US"/>
    </w:rPr>
  </w:style>
  <w:style w:type="paragraph" w:styleId="Sraassunumeriais">
    <w:name w:val="List Number"/>
    <w:basedOn w:val="prastasis"/>
    <w:uiPriority w:val="99"/>
    <w:rsid w:val="00EB08A6"/>
    <w:pPr>
      <w:numPr>
        <w:numId w:val="21"/>
      </w:numPr>
      <w:tabs>
        <w:tab w:val="clear" w:pos="567"/>
      </w:tabs>
      <w:spacing w:line="240" w:lineRule="auto"/>
      <w:ind w:left="720"/>
    </w:pPr>
    <w:rPr>
      <w:rFonts w:eastAsiaTheme="minorEastAsia" w:cstheme="minorBidi"/>
      <w:szCs w:val="22"/>
      <w:lang w:val="en-US"/>
    </w:rPr>
  </w:style>
  <w:style w:type="paragraph" w:styleId="Sraassunumeriais2">
    <w:name w:val="List Number 2"/>
    <w:basedOn w:val="prastasis"/>
    <w:uiPriority w:val="99"/>
    <w:rsid w:val="00EB08A6"/>
    <w:pPr>
      <w:numPr>
        <w:ilvl w:val="1"/>
        <w:numId w:val="21"/>
      </w:numPr>
      <w:tabs>
        <w:tab w:val="clear" w:pos="567"/>
      </w:tabs>
      <w:spacing w:line="240" w:lineRule="auto"/>
      <w:ind w:left="1080"/>
    </w:pPr>
    <w:rPr>
      <w:rFonts w:eastAsiaTheme="minorEastAsia" w:cstheme="minorBidi"/>
      <w:szCs w:val="22"/>
      <w:lang w:val="en-US"/>
    </w:rPr>
  </w:style>
  <w:style w:type="paragraph" w:styleId="Sraassunumeriais3">
    <w:name w:val="List Number 3"/>
    <w:basedOn w:val="prastasis"/>
    <w:uiPriority w:val="99"/>
    <w:rsid w:val="00EB08A6"/>
    <w:pPr>
      <w:numPr>
        <w:ilvl w:val="2"/>
        <w:numId w:val="21"/>
      </w:numPr>
      <w:tabs>
        <w:tab w:val="clear" w:pos="567"/>
      </w:tabs>
      <w:spacing w:line="240" w:lineRule="auto"/>
      <w:ind w:left="1440"/>
    </w:pPr>
    <w:rPr>
      <w:rFonts w:eastAsiaTheme="minorEastAsia" w:cstheme="minorBidi"/>
      <w:szCs w:val="22"/>
      <w:lang w:val="en-US"/>
    </w:rPr>
  </w:style>
  <w:style w:type="paragraph" w:styleId="Sraassunumeriais4">
    <w:name w:val="List Number 4"/>
    <w:basedOn w:val="prastasis"/>
    <w:uiPriority w:val="99"/>
    <w:rsid w:val="00EB08A6"/>
    <w:pPr>
      <w:numPr>
        <w:ilvl w:val="3"/>
        <w:numId w:val="21"/>
      </w:numPr>
      <w:tabs>
        <w:tab w:val="clear" w:pos="567"/>
      </w:tabs>
      <w:spacing w:line="240" w:lineRule="auto"/>
      <w:ind w:left="1800"/>
    </w:pPr>
    <w:rPr>
      <w:rFonts w:eastAsiaTheme="minorEastAsia" w:cstheme="minorBidi"/>
      <w:szCs w:val="22"/>
      <w:lang w:val="en-US"/>
    </w:rPr>
  </w:style>
  <w:style w:type="paragraph" w:styleId="Sraassunumeriais5">
    <w:name w:val="List Number 5"/>
    <w:basedOn w:val="prastasis"/>
    <w:uiPriority w:val="99"/>
    <w:rsid w:val="00EB08A6"/>
    <w:pPr>
      <w:numPr>
        <w:ilvl w:val="4"/>
        <w:numId w:val="21"/>
      </w:numPr>
      <w:tabs>
        <w:tab w:val="clear" w:pos="567"/>
      </w:tabs>
      <w:spacing w:line="240" w:lineRule="auto"/>
      <w:ind w:left="2160"/>
    </w:pPr>
    <w:rPr>
      <w:rFonts w:eastAsiaTheme="minorEastAsia" w:cstheme="minorBidi"/>
      <w:szCs w:val="22"/>
      <w:lang w:val="en-US"/>
    </w:rPr>
  </w:style>
  <w:style w:type="table" w:styleId="LentelProfesionali">
    <w:name w:val="Table Professional"/>
    <w:basedOn w:val="prastojilentel"/>
    <w:uiPriority w:val="99"/>
    <w:semiHidden/>
    <w:unhideWhenUsed/>
    <w:rsid w:val="00EB08A6"/>
    <w:pPr>
      <w:spacing w:after="200" w:line="276" w:lineRule="auto"/>
    </w:pPr>
    <w:rPr>
      <w:rFonts w:asciiTheme="minorHAnsi" w:eastAsiaTheme="minorEastAsia" w:hAnsiTheme="minorHAnsi" w:cstheme="minorBidi"/>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Grietas">
    <w:name w:val="Strong"/>
    <w:basedOn w:val="Numatytasispastraiposriftas"/>
    <w:uiPriority w:val="22"/>
    <w:qFormat/>
    <w:rsid w:val="00EB08A6"/>
    <w:rPr>
      <w:b/>
      <w:bCs/>
    </w:rPr>
  </w:style>
  <w:style w:type="paragraph" w:styleId="Paantrat">
    <w:name w:val="Subtitle"/>
    <w:basedOn w:val="prastasis"/>
    <w:next w:val="prastasis"/>
    <w:link w:val="PaantratDiagrama"/>
    <w:uiPriority w:val="11"/>
    <w:qFormat/>
    <w:rsid w:val="00EB08A6"/>
    <w:pPr>
      <w:numPr>
        <w:ilvl w:val="1"/>
      </w:numPr>
      <w:tabs>
        <w:tab w:val="clear" w:pos="567"/>
      </w:tabs>
      <w:spacing w:line="240" w:lineRule="auto"/>
    </w:pPr>
    <w:rPr>
      <w:rFonts w:asciiTheme="majorHAnsi" w:eastAsiaTheme="majorEastAsia" w:hAnsiTheme="majorHAnsi" w:cstheme="majorBidi"/>
      <w:i/>
      <w:iCs/>
      <w:color w:val="5B9BD5" w:themeColor="accent1"/>
      <w:spacing w:val="15"/>
      <w:sz w:val="24"/>
      <w:szCs w:val="24"/>
      <w:lang w:val="en-CA"/>
    </w:rPr>
  </w:style>
  <w:style w:type="character" w:customStyle="1" w:styleId="PaantratDiagrama">
    <w:name w:val="Paantraštė Diagrama"/>
    <w:basedOn w:val="Numatytasispastraiposriftas"/>
    <w:link w:val="Paantrat"/>
    <w:uiPriority w:val="11"/>
    <w:rsid w:val="00EB08A6"/>
    <w:rPr>
      <w:rFonts w:asciiTheme="majorHAnsi" w:eastAsiaTheme="majorEastAsia" w:hAnsiTheme="majorHAnsi" w:cstheme="majorBidi"/>
      <w:i/>
      <w:iCs/>
      <w:color w:val="5B9BD5" w:themeColor="accent1"/>
      <w:spacing w:val="15"/>
      <w:sz w:val="24"/>
      <w:szCs w:val="24"/>
      <w:lang w:val="en-CA" w:eastAsia="en-US"/>
    </w:rPr>
  </w:style>
  <w:style w:type="character" w:styleId="Nerykinuoroda">
    <w:name w:val="Subtle Reference"/>
    <w:basedOn w:val="Numatytasispastraiposriftas"/>
    <w:uiPriority w:val="31"/>
    <w:qFormat/>
    <w:rsid w:val="00EB08A6"/>
    <w:rPr>
      <w:smallCaps/>
      <w:color w:val="ED7D31" w:themeColor="accent2"/>
      <w:u w:val="single"/>
    </w:rPr>
  </w:style>
  <w:style w:type="table" w:styleId="Lentelstinklelis">
    <w:name w:val="Table Grid"/>
    <w:basedOn w:val="prastojilentel"/>
    <w:uiPriority w:val="59"/>
    <w:rsid w:val="00EB08A6"/>
    <w:rPr>
      <w:rFonts w:asciiTheme="minorHAnsi" w:eastAsiaTheme="minorHAnsi" w:hAnsiTheme="minorHAnsi" w:cstheme="minorBidi"/>
      <w:sz w:val="22"/>
      <w:szCs w:val="22"/>
      <w:lang w:val="en-CA"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urinys1">
    <w:name w:val="toc 1"/>
    <w:basedOn w:val="prastasis"/>
    <w:next w:val="prastasis"/>
    <w:autoRedefine/>
    <w:uiPriority w:val="39"/>
    <w:unhideWhenUsed/>
    <w:qFormat/>
    <w:rsid w:val="00EB08A6"/>
    <w:pPr>
      <w:tabs>
        <w:tab w:val="clear" w:pos="567"/>
        <w:tab w:val="left" w:pos="440"/>
        <w:tab w:val="right" w:leader="dot" w:pos="9350"/>
      </w:tabs>
      <w:spacing w:after="40" w:line="240" w:lineRule="auto"/>
    </w:pPr>
    <w:rPr>
      <w:rFonts w:eastAsiaTheme="minorHAnsi" w:cstheme="minorBidi"/>
      <w:szCs w:val="22"/>
      <w:lang w:val="en-CA"/>
    </w:rPr>
  </w:style>
  <w:style w:type="paragraph" w:styleId="Turinys2">
    <w:name w:val="toc 2"/>
    <w:basedOn w:val="prastasis"/>
    <w:next w:val="prastasis"/>
    <w:autoRedefine/>
    <w:uiPriority w:val="39"/>
    <w:unhideWhenUsed/>
    <w:qFormat/>
    <w:rsid w:val="00EB08A6"/>
    <w:pPr>
      <w:tabs>
        <w:tab w:val="clear" w:pos="567"/>
      </w:tabs>
      <w:spacing w:after="40" w:line="240" w:lineRule="auto"/>
      <w:ind w:left="221"/>
    </w:pPr>
    <w:rPr>
      <w:rFonts w:eastAsiaTheme="minorHAnsi" w:cstheme="minorBidi"/>
      <w:szCs w:val="22"/>
      <w:lang w:val="en-CA"/>
    </w:rPr>
  </w:style>
  <w:style w:type="paragraph" w:styleId="Turinys3">
    <w:name w:val="toc 3"/>
    <w:basedOn w:val="prastasis"/>
    <w:next w:val="prastasis"/>
    <w:autoRedefine/>
    <w:uiPriority w:val="39"/>
    <w:unhideWhenUsed/>
    <w:qFormat/>
    <w:rsid w:val="00EB08A6"/>
    <w:pPr>
      <w:tabs>
        <w:tab w:val="clear" w:pos="567"/>
      </w:tabs>
      <w:spacing w:after="40" w:line="240" w:lineRule="auto"/>
      <w:ind w:left="442"/>
    </w:pPr>
    <w:rPr>
      <w:rFonts w:eastAsiaTheme="minorEastAsia" w:cstheme="minorBidi"/>
      <w:szCs w:val="22"/>
      <w:lang w:val="en-US"/>
    </w:rPr>
  </w:style>
  <w:style w:type="paragraph" w:styleId="Turinioantrat">
    <w:name w:val="TOC Heading"/>
    <w:basedOn w:val="Antrat1"/>
    <w:next w:val="prastasis"/>
    <w:uiPriority w:val="39"/>
    <w:unhideWhenUsed/>
    <w:qFormat/>
    <w:rsid w:val="00EB08A6"/>
    <w:pPr>
      <w:keepNext/>
      <w:keepLines/>
      <w:tabs>
        <w:tab w:val="clear" w:pos="567"/>
      </w:tabs>
      <w:spacing w:before="480" w:after="0" w:line="360" w:lineRule="auto"/>
      <w:ind w:left="720" w:hanging="720"/>
      <w:outlineLvl w:val="9"/>
    </w:pPr>
    <w:rPr>
      <w:rFonts w:ascii="Times New Roman" w:eastAsiaTheme="majorEastAsia" w:hAnsi="Times New Roman" w:cstheme="majorBidi"/>
      <w:caps/>
      <w:kern w:val="0"/>
      <w:sz w:val="22"/>
      <w:szCs w:val="28"/>
      <w:lang w:val="en-US"/>
    </w:rPr>
  </w:style>
  <w:style w:type="paragraph" w:customStyle="1" w:styleId="NumberText">
    <w:name w:val="Number Text"/>
    <w:basedOn w:val="prastasis"/>
    <w:uiPriority w:val="10"/>
    <w:qFormat/>
    <w:rsid w:val="00EB08A6"/>
    <w:pPr>
      <w:tabs>
        <w:tab w:val="clear" w:pos="567"/>
      </w:tabs>
      <w:spacing w:before="80" w:after="80" w:line="240" w:lineRule="auto"/>
      <w:ind w:hanging="360"/>
    </w:pPr>
    <w:rPr>
      <w:rFonts w:eastAsiaTheme="minorEastAsia" w:cstheme="minorBidi"/>
      <w:sz w:val="19"/>
      <w:szCs w:val="22"/>
      <w:lang w:val="en-US"/>
    </w:rPr>
  </w:style>
  <w:style w:type="paragraph" w:customStyle="1" w:styleId="Bullet1">
    <w:name w:val="Bullet1"/>
    <w:link w:val="Bullet1Char"/>
    <w:qFormat/>
    <w:rsid w:val="00EB08A6"/>
    <w:pPr>
      <w:numPr>
        <w:numId w:val="22"/>
      </w:numPr>
      <w:spacing w:before="60" w:after="60" w:line="264" w:lineRule="auto"/>
    </w:pPr>
    <w:rPr>
      <w:rFonts w:ascii="Arial" w:eastAsia="Arial" w:hAnsi="Arial" w:cs="Arial"/>
      <w:color w:val="000000"/>
      <w:spacing w:val="2"/>
      <w:sz w:val="22"/>
      <w:szCs w:val="22"/>
      <w:lang w:val="en-US" w:eastAsia="en-GB"/>
    </w:rPr>
  </w:style>
  <w:style w:type="character" w:customStyle="1" w:styleId="Bullet1Char">
    <w:name w:val="Bullet1 Char"/>
    <w:basedOn w:val="Numatytasispastraiposriftas"/>
    <w:link w:val="Bullet1"/>
    <w:rsid w:val="00EB08A6"/>
    <w:rPr>
      <w:rFonts w:ascii="Arial" w:eastAsia="Arial" w:hAnsi="Arial" w:cs="Arial"/>
      <w:color w:val="000000"/>
      <w:spacing w:val="2"/>
      <w:sz w:val="22"/>
      <w:szCs w:val="22"/>
      <w:lang w:val="en-US" w:eastAsia="en-GB"/>
    </w:rPr>
  </w:style>
  <w:style w:type="paragraph" w:customStyle="1" w:styleId="Bullet2">
    <w:name w:val="Bullet2"/>
    <w:basedOn w:val="Bullet1"/>
    <w:link w:val="Bullet2Char"/>
    <w:qFormat/>
    <w:rsid w:val="00EB08A6"/>
    <w:pPr>
      <w:numPr>
        <w:ilvl w:val="1"/>
      </w:numPr>
    </w:pPr>
  </w:style>
  <w:style w:type="character" w:customStyle="1" w:styleId="Bullet2Char">
    <w:name w:val="Bullet2 Char"/>
    <w:basedOn w:val="Numatytasispastraiposriftas"/>
    <w:link w:val="Bullet2"/>
    <w:rsid w:val="00EB08A6"/>
    <w:rPr>
      <w:rFonts w:ascii="Arial" w:eastAsia="Arial" w:hAnsi="Arial" w:cs="Arial"/>
      <w:color w:val="000000"/>
      <w:spacing w:val="2"/>
      <w:sz w:val="22"/>
      <w:szCs w:val="22"/>
      <w:lang w:val="en-US" w:eastAsia="en-GB"/>
    </w:rPr>
  </w:style>
  <w:style w:type="paragraph" w:customStyle="1" w:styleId="Bullet3">
    <w:name w:val="Bullet3"/>
    <w:basedOn w:val="Bullet2"/>
    <w:link w:val="Bullet3Char"/>
    <w:qFormat/>
    <w:rsid w:val="00EB08A6"/>
    <w:pPr>
      <w:numPr>
        <w:ilvl w:val="0"/>
        <w:numId w:val="27"/>
      </w:numPr>
      <w:spacing w:before="0"/>
    </w:pPr>
  </w:style>
  <w:style w:type="character" w:customStyle="1" w:styleId="Bullet3Char">
    <w:name w:val="Bullet3 Char"/>
    <w:basedOn w:val="Numatytasispastraiposriftas"/>
    <w:link w:val="Bullet3"/>
    <w:rsid w:val="00EB08A6"/>
    <w:rPr>
      <w:rFonts w:ascii="Arial" w:eastAsia="Arial" w:hAnsi="Arial" w:cs="Arial"/>
      <w:color w:val="000000"/>
      <w:spacing w:val="2"/>
      <w:sz w:val="22"/>
      <w:szCs w:val="22"/>
      <w:lang w:val="en-US" w:eastAsia="en-GB"/>
    </w:rPr>
  </w:style>
  <w:style w:type="character" w:customStyle="1" w:styleId="headertext1">
    <w:name w:val="headertext1"/>
    <w:basedOn w:val="Numatytasispastraiposriftas"/>
    <w:rsid w:val="00EB08A6"/>
    <w:rPr>
      <w:rFonts w:ascii="Arial" w:hAnsi="Arial" w:cs="Arial" w:hint="default"/>
      <w:b w:val="0"/>
      <w:bCs w:val="0"/>
      <w:i w:val="0"/>
      <w:iCs w:val="0"/>
      <w:sz w:val="16"/>
      <w:szCs w:val="16"/>
    </w:rPr>
  </w:style>
  <w:style w:type="paragraph" w:customStyle="1" w:styleId="Mainheading">
    <w:name w:val="Mainheading"/>
    <w:link w:val="MainheadingChar"/>
    <w:qFormat/>
    <w:rsid w:val="00EB08A6"/>
    <w:pPr>
      <w:spacing w:after="480"/>
    </w:pPr>
    <w:rPr>
      <w:rFonts w:ascii="Arial" w:eastAsia="Times New Roman" w:hAnsi="Arial" w:cs="Arial"/>
      <w:b/>
      <w:color w:val="808080"/>
      <w:spacing w:val="4"/>
      <w:sz w:val="36"/>
      <w:lang w:val="en-GB" w:eastAsia="en-US"/>
    </w:rPr>
  </w:style>
  <w:style w:type="character" w:customStyle="1" w:styleId="MainheadingChar">
    <w:name w:val="Mainheading Char"/>
    <w:basedOn w:val="Numatytasispastraiposriftas"/>
    <w:link w:val="Mainheading"/>
    <w:rsid w:val="00EB08A6"/>
    <w:rPr>
      <w:rFonts w:ascii="Arial" w:eastAsia="Times New Roman" w:hAnsi="Arial" w:cs="Arial"/>
      <w:b/>
      <w:color w:val="808080"/>
      <w:spacing w:val="4"/>
      <w:sz w:val="36"/>
      <w:lang w:val="en-GB" w:eastAsia="en-US"/>
    </w:rPr>
  </w:style>
  <w:style w:type="paragraph" w:styleId="Betarp">
    <w:name w:val="No Spacing"/>
    <w:link w:val="BetarpDiagrama"/>
    <w:uiPriority w:val="1"/>
    <w:qFormat/>
    <w:rsid w:val="00EB08A6"/>
    <w:rPr>
      <w:rFonts w:asciiTheme="minorHAnsi" w:eastAsiaTheme="minorEastAsia" w:hAnsiTheme="minorHAnsi" w:cstheme="minorBidi"/>
      <w:sz w:val="22"/>
      <w:szCs w:val="22"/>
      <w:lang w:val="en-US" w:eastAsia="en-US"/>
    </w:rPr>
  </w:style>
  <w:style w:type="character" w:customStyle="1" w:styleId="BetarpDiagrama">
    <w:name w:val="Be tarpų Diagrama"/>
    <w:basedOn w:val="Numatytasispastraiposriftas"/>
    <w:link w:val="Betarp"/>
    <w:uiPriority w:val="1"/>
    <w:rsid w:val="00EB08A6"/>
    <w:rPr>
      <w:rFonts w:asciiTheme="minorHAnsi" w:eastAsiaTheme="minorEastAsia" w:hAnsiTheme="minorHAnsi" w:cstheme="minorBidi"/>
      <w:sz w:val="22"/>
      <w:szCs w:val="22"/>
      <w:lang w:val="en-US" w:eastAsia="en-US"/>
    </w:rPr>
  </w:style>
  <w:style w:type="character" w:styleId="Nerykuspabraukimas">
    <w:name w:val="Subtle Emphasis"/>
    <w:basedOn w:val="Numatytasispastraiposriftas"/>
    <w:uiPriority w:val="19"/>
    <w:qFormat/>
    <w:rsid w:val="00EB08A6"/>
    <w:rPr>
      <w:i/>
      <w:iCs/>
      <w:color w:val="808080"/>
    </w:rPr>
  </w:style>
  <w:style w:type="paragraph" w:customStyle="1" w:styleId="TableBody">
    <w:name w:val="TableBody"/>
    <w:link w:val="TableBodyChar"/>
    <w:qFormat/>
    <w:rsid w:val="00EB08A6"/>
    <w:pPr>
      <w:spacing w:before="60" w:after="60" w:line="264" w:lineRule="auto"/>
    </w:pPr>
    <w:rPr>
      <w:rFonts w:ascii="Arial" w:eastAsia="Times New Roman" w:hAnsi="Arial" w:cs="Arial"/>
      <w:color w:val="000000"/>
      <w:spacing w:val="2"/>
      <w:sz w:val="16"/>
      <w:szCs w:val="18"/>
      <w:lang w:val="en-GB" w:eastAsia="en-US"/>
    </w:rPr>
  </w:style>
  <w:style w:type="character" w:customStyle="1" w:styleId="TableBodyChar">
    <w:name w:val="TableBody Char"/>
    <w:basedOn w:val="Numatytasispastraiposriftas"/>
    <w:link w:val="TableBody"/>
    <w:rsid w:val="00EB08A6"/>
    <w:rPr>
      <w:rFonts w:ascii="Arial" w:eastAsia="Times New Roman" w:hAnsi="Arial" w:cs="Arial"/>
      <w:color w:val="000000"/>
      <w:spacing w:val="2"/>
      <w:sz w:val="16"/>
      <w:szCs w:val="18"/>
      <w:lang w:val="en-GB" w:eastAsia="en-US"/>
    </w:rPr>
  </w:style>
  <w:style w:type="paragraph" w:customStyle="1" w:styleId="TableBullet1">
    <w:name w:val="TableBullet1"/>
    <w:link w:val="TableBullet1Char"/>
    <w:qFormat/>
    <w:rsid w:val="00EB08A6"/>
    <w:pPr>
      <w:numPr>
        <w:numId w:val="23"/>
      </w:numPr>
      <w:spacing w:after="120"/>
      <w:ind w:left="274" w:hanging="274"/>
    </w:pPr>
    <w:rPr>
      <w:rFonts w:ascii="Arial" w:eastAsia="Arial" w:hAnsi="Arial" w:cs="Arial"/>
      <w:color w:val="000000"/>
      <w:spacing w:val="2"/>
      <w:sz w:val="16"/>
      <w:szCs w:val="16"/>
      <w:lang w:val="en-US" w:eastAsia="en-GB"/>
    </w:rPr>
  </w:style>
  <w:style w:type="character" w:customStyle="1" w:styleId="TableBullet1Char">
    <w:name w:val="TableBullet1 Char"/>
    <w:basedOn w:val="Bullet1Char"/>
    <w:link w:val="TableBullet1"/>
    <w:rsid w:val="00EB08A6"/>
    <w:rPr>
      <w:rFonts w:ascii="Arial" w:eastAsia="Arial" w:hAnsi="Arial" w:cs="Arial"/>
      <w:color w:val="000000"/>
      <w:spacing w:val="2"/>
      <w:sz w:val="16"/>
      <w:szCs w:val="16"/>
      <w:lang w:val="en-US" w:eastAsia="en-GB"/>
    </w:rPr>
  </w:style>
  <w:style w:type="paragraph" w:customStyle="1" w:styleId="TableBullet2">
    <w:name w:val="TableBullet2"/>
    <w:basedOn w:val="TableBullet1"/>
    <w:link w:val="TableBullet2Char"/>
    <w:qFormat/>
    <w:rsid w:val="00EB08A6"/>
    <w:pPr>
      <w:numPr>
        <w:numId w:val="28"/>
      </w:numPr>
      <w:spacing w:before="60" w:after="60"/>
      <w:ind w:left="548" w:hanging="274"/>
    </w:pPr>
  </w:style>
  <w:style w:type="paragraph" w:customStyle="1" w:styleId="TableHeading">
    <w:name w:val="TableHeading"/>
    <w:link w:val="TableHeadingChar"/>
    <w:qFormat/>
    <w:rsid w:val="00EB08A6"/>
    <w:pPr>
      <w:spacing w:before="60" w:after="60"/>
      <w:jc w:val="right"/>
    </w:pPr>
    <w:rPr>
      <w:rFonts w:ascii="Arial" w:eastAsia="Times New Roman" w:hAnsi="Arial" w:cs="Arial"/>
      <w:b/>
      <w:color w:val="FFFFFF"/>
      <w:sz w:val="16"/>
      <w:szCs w:val="18"/>
      <w:lang w:val="en-GB" w:eastAsia="en-US"/>
    </w:rPr>
  </w:style>
  <w:style w:type="character" w:customStyle="1" w:styleId="TableHeadingChar">
    <w:name w:val="TableHeading Char"/>
    <w:basedOn w:val="Numatytasispastraiposriftas"/>
    <w:link w:val="TableHeading"/>
    <w:rsid w:val="00EB08A6"/>
    <w:rPr>
      <w:rFonts w:ascii="Arial" w:eastAsia="Times New Roman" w:hAnsi="Arial" w:cs="Arial"/>
      <w:b/>
      <w:color w:val="FFFFFF"/>
      <w:sz w:val="16"/>
      <w:szCs w:val="18"/>
      <w:lang w:val="en-GB" w:eastAsia="en-US"/>
    </w:rPr>
  </w:style>
  <w:style w:type="paragraph" w:customStyle="1" w:styleId="OversightHeading1">
    <w:name w:val="OversightHeading1"/>
    <w:basedOn w:val="prastasis"/>
    <w:qFormat/>
    <w:rsid w:val="00EB08A6"/>
    <w:pPr>
      <w:tabs>
        <w:tab w:val="clear" w:pos="567"/>
      </w:tabs>
      <w:spacing w:before="480" w:line="240" w:lineRule="auto"/>
      <w:ind w:left="547"/>
    </w:pPr>
    <w:rPr>
      <w:rFonts w:eastAsiaTheme="minorEastAsia" w:cstheme="minorBidi"/>
      <w:b/>
      <w:color w:val="548DD4"/>
      <w:sz w:val="26"/>
      <w:szCs w:val="26"/>
      <w:lang w:val="en-US"/>
    </w:rPr>
  </w:style>
  <w:style w:type="character" w:customStyle="1" w:styleId="WebHide">
    <w:name w:val="WebHide"/>
    <w:uiPriority w:val="1"/>
    <w:qFormat/>
    <w:rsid w:val="00EB08A6"/>
    <w:rPr>
      <w:rFonts w:cs="Arial"/>
      <w:vanish w:val="0"/>
      <w:color w:val="auto"/>
      <w:spacing w:val="2"/>
      <w:lang w:val="en-GB"/>
    </w:rPr>
  </w:style>
  <w:style w:type="character" w:customStyle="1" w:styleId="Term">
    <w:name w:val="Term"/>
    <w:uiPriority w:val="1"/>
    <w:qFormat/>
    <w:rsid w:val="00EB08A6"/>
    <w:rPr>
      <w:b/>
      <w:i w:val="0"/>
    </w:rPr>
  </w:style>
  <w:style w:type="paragraph" w:customStyle="1" w:styleId="TableBullet3">
    <w:name w:val="TableBullet3"/>
    <w:basedOn w:val="TableBullet1"/>
    <w:link w:val="TableBullet3Char"/>
    <w:qFormat/>
    <w:rsid w:val="00EB08A6"/>
    <w:pPr>
      <w:numPr>
        <w:numId w:val="29"/>
      </w:numPr>
      <w:tabs>
        <w:tab w:val="left" w:pos="360"/>
        <w:tab w:val="right" w:leader="dot" w:pos="8846"/>
      </w:tabs>
      <w:spacing w:before="60" w:after="60"/>
      <w:ind w:left="821" w:hanging="274"/>
    </w:pPr>
    <w:rPr>
      <w:lang w:val="en-GB"/>
    </w:rPr>
  </w:style>
  <w:style w:type="paragraph" w:customStyle="1" w:styleId="TableNumber1">
    <w:name w:val="TableNumber1"/>
    <w:basedOn w:val="TableBullet1"/>
    <w:qFormat/>
    <w:rsid w:val="00EB08A6"/>
    <w:pPr>
      <w:numPr>
        <w:numId w:val="24"/>
      </w:numPr>
      <w:ind w:left="274" w:hanging="274"/>
    </w:pPr>
  </w:style>
  <w:style w:type="character" w:customStyle="1" w:styleId="TableBullet3Char">
    <w:name w:val="TableBullet3 Char"/>
    <w:basedOn w:val="TableBullet1Char"/>
    <w:link w:val="TableBullet3"/>
    <w:rsid w:val="00EB08A6"/>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EB08A6"/>
    <w:pPr>
      <w:numPr>
        <w:numId w:val="25"/>
      </w:numPr>
      <w:ind w:left="548" w:hanging="274"/>
    </w:pPr>
  </w:style>
  <w:style w:type="paragraph" w:customStyle="1" w:styleId="TableNumber3">
    <w:name w:val="TableNumber3"/>
    <w:basedOn w:val="TableBullet3"/>
    <w:link w:val="TableNumber3Char"/>
    <w:qFormat/>
    <w:rsid w:val="00EB08A6"/>
    <w:pPr>
      <w:numPr>
        <w:numId w:val="26"/>
      </w:numPr>
      <w:ind w:left="821" w:hanging="274"/>
    </w:pPr>
  </w:style>
  <w:style w:type="character" w:customStyle="1" w:styleId="TableNumber3Char">
    <w:name w:val="TableNumber3 Char"/>
    <w:basedOn w:val="TableBullet3Char"/>
    <w:link w:val="TableNumber3"/>
    <w:rsid w:val="00EB08A6"/>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EB08A6"/>
    <w:rPr>
      <w:rFonts w:ascii="Arial" w:eastAsia="Arial" w:hAnsi="Arial" w:cs="Arial"/>
      <w:color w:val="000000"/>
      <w:spacing w:val="2"/>
      <w:sz w:val="16"/>
      <w:szCs w:val="16"/>
      <w:lang w:val="en-US" w:eastAsia="en-GB"/>
    </w:rPr>
  </w:style>
  <w:style w:type="paragraph" w:customStyle="1" w:styleId="MemoHeaderStyle">
    <w:name w:val="MemoHeaderStyle"/>
    <w:basedOn w:val="prastasis"/>
    <w:next w:val="prastasis"/>
    <w:rsid w:val="00EB08A6"/>
    <w:pPr>
      <w:tabs>
        <w:tab w:val="clear" w:pos="567"/>
      </w:tabs>
      <w:spacing w:line="120" w:lineRule="atLeast"/>
      <w:ind w:left="1418"/>
      <w:jc w:val="both"/>
    </w:pPr>
    <w:rPr>
      <w:rFonts w:ascii="Arial" w:eastAsiaTheme="minorEastAsia" w:hAnsi="Arial" w:cstheme="minorBidi"/>
      <w:b/>
      <w:smallCaps/>
      <w:szCs w:val="22"/>
      <w:lang w:val="en-US"/>
    </w:rPr>
  </w:style>
  <w:style w:type="character" w:customStyle="1" w:styleId="DraftingNotesAgencyChar">
    <w:name w:val="Drafting Notes (Agency) Char"/>
    <w:link w:val="DraftingNotesAgency"/>
    <w:locked/>
    <w:rsid w:val="00EB08A6"/>
    <w:rPr>
      <w:rFonts w:ascii="Courier New" w:eastAsia="Verdana" w:hAnsi="Courier New"/>
      <w:i/>
      <w:color w:val="339966"/>
      <w:szCs w:val="18"/>
      <w:lang w:eastAsia="en-GB"/>
    </w:rPr>
  </w:style>
  <w:style w:type="paragraph" w:customStyle="1" w:styleId="DraftingNotesAgency">
    <w:name w:val="Drafting Notes (Agency)"/>
    <w:basedOn w:val="prastasis"/>
    <w:next w:val="BodytextAgency"/>
    <w:link w:val="DraftingNotesAgencyChar"/>
    <w:rsid w:val="00EB08A6"/>
    <w:pPr>
      <w:tabs>
        <w:tab w:val="clear" w:pos="567"/>
      </w:tabs>
      <w:spacing w:after="140" w:line="280" w:lineRule="atLeast"/>
    </w:pPr>
    <w:rPr>
      <w:rFonts w:ascii="Courier New" w:eastAsia="Verdana" w:hAnsi="Courier New"/>
      <w:i/>
      <w:color w:val="339966"/>
      <w:sz w:val="20"/>
      <w:szCs w:val="18"/>
      <w:lang w:val="lt-LT" w:eastAsia="en-GB"/>
    </w:rPr>
  </w:style>
  <w:style w:type="paragraph" w:customStyle="1" w:styleId="TableheadingrowsAgency">
    <w:name w:val="Table heading rows (Agency)"/>
    <w:basedOn w:val="BodytextAgency"/>
    <w:rsid w:val="00EB08A6"/>
    <w:pPr>
      <w:keepNext/>
    </w:pPr>
    <w:rPr>
      <w:b/>
      <w:lang w:val="en-US"/>
    </w:rPr>
  </w:style>
  <w:style w:type="table" w:customStyle="1" w:styleId="TablegridAgencyblack">
    <w:name w:val="Table grid (Agency) black"/>
    <w:basedOn w:val="prastojilentel"/>
    <w:semiHidden/>
    <w:rsid w:val="00EB08A6"/>
    <w:rPr>
      <w:rFonts w:ascii="Verdana" w:eastAsia="SimSun"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DefaultCharacterStyle">
    <w:name w:val="Default Character Style"/>
    <w:locked/>
    <w:rsid w:val="00EB08A6"/>
    <w:rPr>
      <w:rFonts w:ascii="Times New Roman" w:hAnsi="Times New Roman"/>
    </w:rPr>
  </w:style>
  <w:style w:type="paragraph" w:customStyle="1" w:styleId="EMEA1">
    <w:name w:val="EMEA 1"/>
    <w:basedOn w:val="prastasis"/>
    <w:rsid w:val="00EB08A6"/>
    <w:pPr>
      <w:spacing w:line="240" w:lineRule="auto"/>
      <w:jc w:val="center"/>
    </w:pPr>
    <w:rPr>
      <w:b/>
      <w:bCs/>
    </w:rPr>
  </w:style>
  <w:style w:type="paragraph" w:customStyle="1" w:styleId="Hidden">
    <w:name w:val="Hidden"/>
    <w:basedOn w:val="prastasis"/>
    <w:next w:val="prastasis"/>
    <w:link w:val="HiddenChar"/>
    <w:qFormat/>
    <w:rsid w:val="00EB08A6"/>
    <w:pPr>
      <w:tabs>
        <w:tab w:val="clear" w:pos="567"/>
      </w:tabs>
      <w:spacing w:line="240" w:lineRule="auto"/>
    </w:pPr>
    <w:rPr>
      <w:rFonts w:eastAsiaTheme="minorHAnsi" w:cstheme="minorBidi"/>
      <w:vanish/>
      <w:szCs w:val="22"/>
      <w:lang w:val="en-CA"/>
    </w:rPr>
  </w:style>
  <w:style w:type="character" w:customStyle="1" w:styleId="HiddenChar">
    <w:name w:val="Hidden Char"/>
    <w:basedOn w:val="Numatytasispastraiposriftas"/>
    <w:link w:val="Hidden"/>
    <w:rsid w:val="00EB08A6"/>
    <w:rPr>
      <w:rFonts w:ascii="Times New Roman" w:eastAsiaTheme="minorHAnsi" w:hAnsi="Times New Roman" w:cstheme="minorBidi"/>
      <w:vanish/>
      <w:sz w:val="22"/>
      <w:szCs w:val="22"/>
      <w:lang w:val="en-CA" w:eastAsia="en-US"/>
    </w:rPr>
  </w:style>
  <w:style w:type="paragraph" w:customStyle="1" w:styleId="Heading1-Body">
    <w:name w:val="Heading 1 - Body"/>
    <w:basedOn w:val="prastasis"/>
    <w:rsid w:val="00EB08A6"/>
    <w:pPr>
      <w:keepNext/>
      <w:tabs>
        <w:tab w:val="clear" w:pos="567"/>
        <w:tab w:val="num" w:pos="576"/>
      </w:tabs>
      <w:spacing w:before="220" w:after="220" w:line="240" w:lineRule="auto"/>
      <w:outlineLvl w:val="0"/>
    </w:pPr>
    <w:rPr>
      <w:rFonts w:ascii="Times New Roman Bold" w:hAnsi="Times New Roman Bold"/>
      <w:b/>
      <w:caps/>
      <w:szCs w:val="22"/>
    </w:rPr>
  </w:style>
  <w:style w:type="paragraph" w:customStyle="1" w:styleId="Heading2-Body">
    <w:name w:val="Heading 2 - Body"/>
    <w:basedOn w:val="prastasis"/>
    <w:rsid w:val="00EB08A6"/>
    <w:pPr>
      <w:keepNext/>
      <w:tabs>
        <w:tab w:val="clear" w:pos="567"/>
        <w:tab w:val="num" w:pos="576"/>
      </w:tabs>
      <w:spacing w:after="220" w:line="240" w:lineRule="auto"/>
      <w:outlineLvl w:val="1"/>
    </w:pPr>
    <w:rPr>
      <w:b/>
      <w:szCs w:val="24"/>
    </w:rPr>
  </w:style>
  <w:style w:type="numbering" w:styleId="1ai">
    <w:name w:val="Outline List 1"/>
    <w:basedOn w:val="Sraonra"/>
    <w:uiPriority w:val="99"/>
    <w:semiHidden/>
    <w:unhideWhenUsed/>
    <w:rsid w:val="00EB08A6"/>
    <w:pPr>
      <w:numPr>
        <w:numId w:val="32"/>
      </w:numPr>
    </w:pPr>
  </w:style>
  <w:style w:type="paragraph" w:customStyle="1" w:styleId="BibliographyHeading">
    <w:name w:val="Bibliography Heading"/>
    <w:basedOn w:val="Antrat1"/>
    <w:qFormat/>
    <w:locked/>
    <w:rsid w:val="00EB08A6"/>
    <w:pPr>
      <w:keepNext/>
      <w:keepLines/>
      <w:tabs>
        <w:tab w:val="clear" w:pos="567"/>
      </w:tabs>
      <w:spacing w:before="440" w:after="220" w:line="240" w:lineRule="auto"/>
      <w:ind w:left="720" w:hanging="720"/>
    </w:pPr>
    <w:rPr>
      <w:rFonts w:ascii="Times New Roman" w:eastAsiaTheme="majorEastAsia" w:hAnsi="Times New Roman" w:cstheme="majorBidi"/>
      <w:caps/>
      <w:kern w:val="0"/>
      <w:sz w:val="22"/>
      <w:szCs w:val="28"/>
      <w:lang w:val="en-CA"/>
    </w:rPr>
  </w:style>
  <w:style w:type="paragraph" w:customStyle="1" w:styleId="BodyTextCentre">
    <w:name w:val="Body Text Centre"/>
    <w:basedOn w:val="Pagrindinistekstas"/>
    <w:next w:val="Pagrindinistekstas"/>
    <w:rsid w:val="00EB08A6"/>
    <w:pPr>
      <w:spacing w:after="220"/>
      <w:jc w:val="center"/>
    </w:pPr>
    <w:rPr>
      <w:szCs w:val="24"/>
      <w:lang w:val="en-US"/>
    </w:rPr>
  </w:style>
  <w:style w:type="paragraph" w:customStyle="1" w:styleId="BodyTextSpaceAbove">
    <w:name w:val="Body Text Space Above"/>
    <w:basedOn w:val="Pagrindinistekstas"/>
    <w:rsid w:val="00EB08A6"/>
    <w:pPr>
      <w:spacing w:before="360" w:after="220"/>
    </w:pPr>
    <w:rPr>
      <w:szCs w:val="24"/>
    </w:rPr>
  </w:style>
  <w:style w:type="character" w:customStyle="1" w:styleId="BSPBox2">
    <w:name w:val="BSP_Box_2"/>
    <w:basedOn w:val="Numatytasispastraiposriftas"/>
    <w:locked/>
    <w:rsid w:val="00EB08A6"/>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Numatytasispastraiposriftas"/>
    <w:locked/>
    <w:rsid w:val="00EB08A6"/>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prastasis"/>
    <w:rsid w:val="00EB08A6"/>
    <w:pPr>
      <w:tabs>
        <w:tab w:val="clear" w:pos="567"/>
      </w:tabs>
      <w:spacing w:before="240" w:line="240" w:lineRule="exact"/>
    </w:pPr>
    <w:rPr>
      <w:b/>
      <w:kern w:val="28"/>
    </w:rPr>
  </w:style>
  <w:style w:type="paragraph" w:customStyle="1" w:styleId="CaptionCentre">
    <w:name w:val="Caption Centre"/>
    <w:basedOn w:val="Pagrindinistekstas"/>
    <w:locked/>
    <w:rsid w:val="00EB08A6"/>
    <w:pPr>
      <w:spacing w:after="220"/>
      <w:jc w:val="center"/>
    </w:pPr>
    <w:rPr>
      <w:b/>
      <w:szCs w:val="24"/>
      <w:lang w:val="en-US"/>
    </w:rPr>
  </w:style>
  <w:style w:type="table" w:customStyle="1" w:styleId="ColorfulGrid1">
    <w:name w:val="Colorful Grid1"/>
    <w:basedOn w:val="prastojilentel"/>
    <w:uiPriority w:val="73"/>
    <w:locked/>
    <w:rsid w:val="00EB08A6"/>
    <w:rPr>
      <w:rFonts w:asciiTheme="minorHAnsi" w:eastAsiaTheme="minorHAnsi" w:hAnsiTheme="minorHAnsi" w:cstheme="minorBidi"/>
      <w:color w:val="000000" w:themeColor="text1"/>
      <w:sz w:val="22"/>
      <w:szCs w:val="22"/>
      <w:lang w:val="en-CA"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Document-Identity">
    <w:name w:val="Document-Identity"/>
    <w:basedOn w:val="Numatytasispastraiposriftas"/>
    <w:locked/>
    <w:rsid w:val="00EB08A6"/>
    <w:rPr>
      <w:rFonts w:ascii="Times New Roman" w:hAnsi="Times New Roman"/>
      <w:sz w:val="24"/>
    </w:rPr>
  </w:style>
  <w:style w:type="paragraph" w:customStyle="1" w:styleId="DosageFormWrapper">
    <w:name w:val="DosageForm Wrapper"/>
    <w:basedOn w:val="prastasis"/>
    <w:qFormat/>
    <w:locked/>
    <w:rsid w:val="00EB08A6"/>
    <w:pPr>
      <w:tabs>
        <w:tab w:val="clear" w:pos="567"/>
      </w:tabs>
      <w:spacing w:after="120" w:line="240" w:lineRule="auto"/>
      <w:jc w:val="center"/>
    </w:pPr>
    <w:rPr>
      <w:rFonts w:eastAsiaTheme="minorHAnsi" w:cstheme="minorBidi"/>
      <w:b/>
      <w:sz w:val="32"/>
      <w:szCs w:val="22"/>
      <w:lang w:val="en-CA"/>
    </w:rPr>
  </w:style>
  <w:style w:type="character" w:styleId="Emfaz">
    <w:name w:val="Emphasis"/>
    <w:basedOn w:val="Numatytasispastraiposriftas"/>
    <w:uiPriority w:val="20"/>
    <w:qFormat/>
    <w:rsid w:val="00EB08A6"/>
    <w:rPr>
      <w:i/>
      <w:iCs/>
      <w:vanish w:val="0"/>
    </w:rPr>
  </w:style>
  <w:style w:type="paragraph" w:customStyle="1" w:styleId="form">
    <w:name w:val="form"/>
    <w:basedOn w:val="prastasis"/>
    <w:qFormat/>
    <w:locked/>
    <w:rsid w:val="00EB08A6"/>
    <w:pPr>
      <w:shd w:val="pct20" w:color="auto" w:fill="auto"/>
      <w:tabs>
        <w:tab w:val="clear" w:pos="567"/>
      </w:tabs>
      <w:spacing w:line="240" w:lineRule="auto"/>
    </w:pPr>
    <w:rPr>
      <w:rFonts w:eastAsiaTheme="minorHAnsi" w:cstheme="minorBidi"/>
      <w:szCs w:val="22"/>
      <w:lang w:val="en-CA"/>
    </w:rPr>
  </w:style>
  <w:style w:type="paragraph" w:customStyle="1" w:styleId="Fragment">
    <w:name w:val="Fragment"/>
    <w:next w:val="Paprastasistekstas"/>
    <w:link w:val="FragmentChar"/>
    <w:qFormat/>
    <w:locked/>
    <w:rsid w:val="00EB08A6"/>
    <w:pPr>
      <w:shd w:val="clear" w:color="auto" w:fill="EDEDED" w:themeFill="accent3" w:themeFillTint="33"/>
      <w:spacing w:after="200" w:line="276" w:lineRule="auto"/>
    </w:pPr>
    <w:rPr>
      <w:rFonts w:asciiTheme="minorHAnsi" w:eastAsiaTheme="minorHAnsi" w:hAnsiTheme="minorHAnsi" w:cstheme="minorBidi"/>
      <w:color w:val="000000" w:themeColor="text1"/>
      <w:sz w:val="22"/>
      <w:szCs w:val="22"/>
      <w:lang w:val="en-US" w:eastAsia="en-US"/>
    </w:rPr>
  </w:style>
  <w:style w:type="character" w:customStyle="1" w:styleId="FragmentChar">
    <w:name w:val="Fragment Char"/>
    <w:basedOn w:val="Numatytasispastraiposriftas"/>
    <w:link w:val="Fragment"/>
    <w:rsid w:val="00EB08A6"/>
    <w:rPr>
      <w:rFonts w:asciiTheme="minorHAnsi" w:eastAsiaTheme="minorHAnsi" w:hAnsiTheme="minorHAnsi" w:cstheme="minorBidi"/>
      <w:color w:val="000000" w:themeColor="text1"/>
      <w:sz w:val="22"/>
      <w:szCs w:val="22"/>
      <w:shd w:val="clear" w:color="auto" w:fill="EDEDED" w:themeFill="accent3" w:themeFillTint="33"/>
      <w:lang w:val="en-US" w:eastAsia="en-US"/>
    </w:rPr>
  </w:style>
  <w:style w:type="paragraph" w:styleId="Paprastasistekstas">
    <w:name w:val="Plain Text"/>
    <w:basedOn w:val="prastasis"/>
    <w:link w:val="PaprastasistekstasDiagrama"/>
    <w:uiPriority w:val="99"/>
    <w:semiHidden/>
    <w:unhideWhenUsed/>
    <w:rsid w:val="00EB08A6"/>
    <w:pPr>
      <w:tabs>
        <w:tab w:val="clear" w:pos="567"/>
      </w:tabs>
      <w:spacing w:line="240" w:lineRule="auto"/>
    </w:pPr>
    <w:rPr>
      <w:rFonts w:ascii="Consolas" w:eastAsiaTheme="minorHAnsi" w:hAnsi="Consolas" w:cstheme="minorBidi"/>
      <w:sz w:val="21"/>
      <w:szCs w:val="21"/>
      <w:lang w:val="en-CA"/>
    </w:rPr>
  </w:style>
  <w:style w:type="character" w:customStyle="1" w:styleId="PaprastasistekstasDiagrama">
    <w:name w:val="Paprastasis tekstas Diagrama"/>
    <w:basedOn w:val="Numatytasispastraiposriftas"/>
    <w:link w:val="Paprastasistekstas"/>
    <w:uiPriority w:val="99"/>
    <w:semiHidden/>
    <w:rsid w:val="00EB08A6"/>
    <w:rPr>
      <w:rFonts w:ascii="Consolas" w:eastAsiaTheme="minorHAnsi" w:hAnsi="Consolas" w:cstheme="minorBidi"/>
      <w:sz w:val="21"/>
      <w:szCs w:val="21"/>
      <w:lang w:val="en-CA" w:eastAsia="en-US"/>
    </w:rPr>
  </w:style>
  <w:style w:type="paragraph" w:customStyle="1" w:styleId="Heading3-Body">
    <w:name w:val="Heading 3 - Body"/>
    <w:basedOn w:val="prastasis"/>
    <w:rsid w:val="00EB08A6"/>
    <w:pPr>
      <w:keepNext/>
      <w:tabs>
        <w:tab w:val="clear" w:pos="567"/>
      </w:tabs>
      <w:spacing w:after="220" w:line="240" w:lineRule="auto"/>
      <w:outlineLvl w:val="2"/>
    </w:pPr>
    <w:rPr>
      <w:szCs w:val="22"/>
      <w:u w:val="single"/>
    </w:rPr>
  </w:style>
  <w:style w:type="paragraph" w:customStyle="1" w:styleId="Heading2-AnnexII">
    <w:name w:val="Heading2 - AnnexII"/>
    <w:basedOn w:val="Antrat2"/>
    <w:link w:val="Heading2-AnnexIIChar"/>
    <w:qFormat/>
    <w:locked/>
    <w:rsid w:val="00EB08A6"/>
    <w:pPr>
      <w:keepLines/>
      <w:shd w:val="clear" w:color="auto" w:fill="AEAAAA" w:themeFill="background2" w:themeFillShade="BF"/>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AnnexIIChar">
    <w:name w:val="Heading2 - AnnexII Char"/>
    <w:basedOn w:val="Antrat2Diagrama"/>
    <w:link w:val="Heading2-AnnexII"/>
    <w:rsid w:val="00EB08A6"/>
    <w:rPr>
      <w:rFonts w:ascii="Times New Roman" w:eastAsiaTheme="majorEastAsia" w:hAnsi="Times New Roman" w:cstheme="majorBidi"/>
      <w:b/>
      <w:bCs/>
      <w:i w:val="0"/>
      <w:iCs w:val="0"/>
      <w:sz w:val="22"/>
      <w:szCs w:val="26"/>
      <w:shd w:val="clear" w:color="auto" w:fill="AEAAAA" w:themeFill="background2" w:themeFillShade="BF"/>
      <w:lang w:val="en-CA" w:eastAsia="en-US"/>
    </w:rPr>
  </w:style>
  <w:style w:type="paragraph" w:customStyle="1" w:styleId="Heading2-Blister">
    <w:name w:val="Heading2 - Blister"/>
    <w:basedOn w:val="Antrat2"/>
    <w:link w:val="Heading2-BlisterChar"/>
    <w:qFormat/>
    <w:locked/>
    <w:rsid w:val="00EB08A6"/>
    <w:pPr>
      <w:keepLines/>
      <w:shd w:val="clear" w:color="auto" w:fill="B4C6E7" w:themeFill="accent5" w:themeFillTint="66"/>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BlisterChar">
    <w:name w:val="Heading2 - Blister Char"/>
    <w:basedOn w:val="Antrat2Diagrama"/>
    <w:link w:val="Heading2-Blister"/>
    <w:rsid w:val="00EB08A6"/>
    <w:rPr>
      <w:rFonts w:ascii="Times New Roman" w:eastAsiaTheme="majorEastAsia" w:hAnsi="Times New Roman" w:cstheme="majorBidi"/>
      <w:b/>
      <w:bCs/>
      <w:i w:val="0"/>
      <w:iCs w:val="0"/>
      <w:sz w:val="22"/>
      <w:szCs w:val="26"/>
      <w:shd w:val="clear" w:color="auto" w:fill="B4C6E7" w:themeFill="accent5" w:themeFillTint="66"/>
      <w:lang w:val="en-CA" w:eastAsia="en-US"/>
    </w:rPr>
  </w:style>
  <w:style w:type="paragraph" w:customStyle="1" w:styleId="Heading2-Immediate">
    <w:name w:val="Heading2 - Immediate"/>
    <w:basedOn w:val="Antrat2"/>
    <w:link w:val="Heading2-ImmediateChar"/>
    <w:qFormat/>
    <w:locked/>
    <w:rsid w:val="00EB08A6"/>
    <w:pPr>
      <w:keepLines/>
      <w:shd w:val="clear" w:color="auto" w:fill="DBDBDB" w:themeFill="accent3" w:themeFillTint="66"/>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ImmediateChar">
    <w:name w:val="Heading2 - Immediate Char"/>
    <w:basedOn w:val="Antrat2Diagrama"/>
    <w:link w:val="Heading2-Immediate"/>
    <w:rsid w:val="00EB08A6"/>
    <w:rPr>
      <w:rFonts w:ascii="Times New Roman" w:eastAsiaTheme="majorEastAsia" w:hAnsi="Times New Roman" w:cstheme="majorBidi"/>
      <w:b/>
      <w:bCs/>
      <w:i w:val="0"/>
      <w:iCs w:val="0"/>
      <w:sz w:val="22"/>
      <w:szCs w:val="26"/>
      <w:shd w:val="clear" w:color="auto" w:fill="DBDBDB" w:themeFill="accent3" w:themeFillTint="66"/>
      <w:lang w:val="en-CA" w:eastAsia="en-US"/>
    </w:rPr>
  </w:style>
  <w:style w:type="paragraph" w:customStyle="1" w:styleId="Heading2-Outer">
    <w:name w:val="Heading2 - Outer"/>
    <w:basedOn w:val="Antrat2"/>
    <w:link w:val="Heading2-OuterChar"/>
    <w:qFormat/>
    <w:locked/>
    <w:rsid w:val="00EB08A6"/>
    <w:pPr>
      <w:keepLines/>
      <w:shd w:val="clear" w:color="auto" w:fill="FFCCFF"/>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OuterChar">
    <w:name w:val="Heading2 - Outer Char"/>
    <w:basedOn w:val="Antrat2Diagrama"/>
    <w:link w:val="Heading2-Outer"/>
    <w:rsid w:val="00EB08A6"/>
    <w:rPr>
      <w:rFonts w:ascii="Times New Roman" w:eastAsiaTheme="majorEastAsia" w:hAnsi="Times New Roman" w:cstheme="majorBidi"/>
      <w:b/>
      <w:bCs/>
      <w:i w:val="0"/>
      <w:iCs w:val="0"/>
      <w:sz w:val="22"/>
      <w:szCs w:val="26"/>
      <w:shd w:val="clear" w:color="auto" w:fill="FFCCFF"/>
      <w:lang w:val="en-CA" w:eastAsia="en-US"/>
    </w:rPr>
  </w:style>
  <w:style w:type="paragraph" w:customStyle="1" w:styleId="Heading2-PIM">
    <w:name w:val="Heading2 - PIM"/>
    <w:basedOn w:val="Antrat2"/>
    <w:link w:val="Heading2-PIMChar"/>
    <w:qFormat/>
    <w:locked/>
    <w:rsid w:val="00EB08A6"/>
    <w:pPr>
      <w:keepLines/>
      <w:shd w:val="clear" w:color="auto" w:fill="FFFF99"/>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PIMChar">
    <w:name w:val="Heading2 - PIM Char"/>
    <w:basedOn w:val="Antrat2Diagrama"/>
    <w:link w:val="Heading2-PIM"/>
    <w:rsid w:val="00EB08A6"/>
    <w:rPr>
      <w:rFonts w:ascii="Times New Roman" w:eastAsiaTheme="majorEastAsia" w:hAnsi="Times New Roman" w:cstheme="majorBidi"/>
      <w:b/>
      <w:bCs/>
      <w:i w:val="0"/>
      <w:iCs w:val="0"/>
      <w:sz w:val="22"/>
      <w:szCs w:val="26"/>
      <w:shd w:val="clear" w:color="auto" w:fill="FFFF99"/>
      <w:lang w:val="en-CA" w:eastAsia="en-US"/>
    </w:rPr>
  </w:style>
  <w:style w:type="paragraph" w:customStyle="1" w:styleId="Heading2-PL">
    <w:name w:val="Heading2 - PL"/>
    <w:basedOn w:val="Antrat2"/>
    <w:link w:val="Heading2-PLChar"/>
    <w:qFormat/>
    <w:locked/>
    <w:rsid w:val="00EB08A6"/>
    <w:pPr>
      <w:keepLines/>
      <w:shd w:val="clear" w:color="auto" w:fill="ACB9CA" w:themeFill="text2" w:themeFillTint="66"/>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PLChar">
    <w:name w:val="Heading2 - PL Char"/>
    <w:basedOn w:val="Antrat2Diagrama"/>
    <w:link w:val="Heading2-PL"/>
    <w:rsid w:val="00EB08A6"/>
    <w:rPr>
      <w:rFonts w:ascii="Times New Roman" w:eastAsiaTheme="majorEastAsia" w:hAnsi="Times New Roman" w:cstheme="majorBidi"/>
      <w:b/>
      <w:bCs/>
      <w:i w:val="0"/>
      <w:iCs w:val="0"/>
      <w:sz w:val="22"/>
      <w:szCs w:val="26"/>
      <w:shd w:val="clear" w:color="auto" w:fill="ACB9CA" w:themeFill="text2" w:themeFillTint="66"/>
      <w:lang w:val="en-CA" w:eastAsia="en-US"/>
    </w:rPr>
  </w:style>
  <w:style w:type="paragraph" w:customStyle="1" w:styleId="Heading2-SPC">
    <w:name w:val="Heading2 - SPC"/>
    <w:basedOn w:val="Antrat2"/>
    <w:link w:val="Heading2-SPCChar"/>
    <w:qFormat/>
    <w:locked/>
    <w:rsid w:val="00EB08A6"/>
    <w:pPr>
      <w:keepLines/>
      <w:shd w:val="clear" w:color="auto" w:fill="FF9999"/>
      <w:tabs>
        <w:tab w:val="clear" w:pos="567"/>
      </w:tabs>
      <w:spacing w:before="220" w:after="220" w:line="240" w:lineRule="auto"/>
      <w:ind w:left="720" w:hanging="720"/>
    </w:pPr>
    <w:rPr>
      <w:rFonts w:ascii="Times New Roman" w:eastAsiaTheme="majorEastAsia" w:hAnsi="Times New Roman" w:cstheme="majorBidi"/>
      <w:i w:val="0"/>
      <w:iCs w:val="0"/>
      <w:sz w:val="22"/>
      <w:szCs w:val="26"/>
      <w:lang w:val="en-CA"/>
    </w:rPr>
  </w:style>
  <w:style w:type="character" w:customStyle="1" w:styleId="Heading2-SPCChar">
    <w:name w:val="Heading2 - SPC Char"/>
    <w:basedOn w:val="Antrat2Diagrama"/>
    <w:link w:val="Heading2-SPC"/>
    <w:rsid w:val="00EB08A6"/>
    <w:rPr>
      <w:rFonts w:ascii="Times New Roman" w:eastAsiaTheme="majorEastAsia" w:hAnsi="Times New Roman" w:cstheme="majorBidi"/>
      <w:b/>
      <w:bCs/>
      <w:i w:val="0"/>
      <w:iCs w:val="0"/>
      <w:sz w:val="22"/>
      <w:szCs w:val="26"/>
      <w:shd w:val="clear" w:color="auto" w:fill="FF9999"/>
      <w:lang w:val="en-CA" w:eastAsia="en-US"/>
    </w:rPr>
  </w:style>
  <w:style w:type="character" w:customStyle="1" w:styleId="HighlightKeywords">
    <w:name w:val="HighlightKeywords"/>
    <w:basedOn w:val="Numatytasispastraiposriftas"/>
    <w:uiPriority w:val="1"/>
    <w:qFormat/>
    <w:locked/>
    <w:rsid w:val="00EB08A6"/>
    <w:rPr>
      <w:bdr w:val="none" w:sz="0" w:space="0" w:color="auto"/>
      <w:shd w:val="clear" w:color="auto" w:fill="EDEDED" w:themeFill="accent3" w:themeFillTint="33"/>
    </w:rPr>
  </w:style>
  <w:style w:type="character" w:customStyle="1" w:styleId="INN">
    <w:name w:val="INN"/>
    <w:uiPriority w:val="1"/>
    <w:qFormat/>
    <w:locked/>
    <w:rsid w:val="00EB08A6"/>
    <w:rPr>
      <w:rFonts w:ascii="Times New Roman Bold" w:hAnsi="Times New Roman Bold"/>
      <w:b/>
      <w:sz w:val="48"/>
    </w:rPr>
  </w:style>
  <w:style w:type="paragraph" w:customStyle="1" w:styleId="INNWrapper">
    <w:name w:val="INN Wrapper"/>
    <w:basedOn w:val="prastasis"/>
    <w:qFormat/>
    <w:locked/>
    <w:rsid w:val="00EB08A6"/>
    <w:pPr>
      <w:tabs>
        <w:tab w:val="clear" w:pos="567"/>
      </w:tabs>
      <w:spacing w:after="120" w:line="240" w:lineRule="auto"/>
      <w:jc w:val="center"/>
    </w:pPr>
    <w:rPr>
      <w:rFonts w:eastAsiaTheme="minorHAnsi" w:cstheme="minorBidi"/>
      <w:b/>
      <w:sz w:val="48"/>
      <w:szCs w:val="22"/>
      <w:lang w:val="en-CA"/>
    </w:rPr>
  </w:style>
  <w:style w:type="character" w:customStyle="1" w:styleId="Keyword">
    <w:name w:val="Keyword"/>
    <w:locked/>
    <w:rsid w:val="00EB08A6"/>
    <w:rPr>
      <w:bdr w:val="none" w:sz="0" w:space="0" w:color="auto" w:frame="1"/>
      <w:shd w:val="clear" w:color="auto" w:fill="C0C0C0"/>
    </w:rPr>
  </w:style>
  <w:style w:type="paragraph" w:customStyle="1" w:styleId="KeywordDefinition">
    <w:name w:val="Keyword Definition"/>
    <w:basedOn w:val="prastasis"/>
    <w:locked/>
    <w:rsid w:val="00EB08A6"/>
    <w:pPr>
      <w:tabs>
        <w:tab w:val="clear" w:pos="567"/>
      </w:tabs>
      <w:spacing w:after="80" w:line="240" w:lineRule="auto"/>
      <w:ind w:left="3770" w:hanging="3600"/>
    </w:pPr>
    <w:rPr>
      <w:sz w:val="20"/>
      <w:szCs w:val="22"/>
      <w:lang w:val="en-CA" w:eastAsia="en-CA"/>
    </w:rPr>
  </w:style>
  <w:style w:type="paragraph" w:customStyle="1" w:styleId="KeywordEnd">
    <w:name w:val="Keyword End"/>
    <w:basedOn w:val="prastasis"/>
    <w:locked/>
    <w:rsid w:val="00EB08A6"/>
    <w:pPr>
      <w:tabs>
        <w:tab w:val="clear" w:pos="567"/>
      </w:tabs>
      <w:spacing w:before="120" w:after="720" w:line="240" w:lineRule="auto"/>
    </w:pPr>
    <w:rPr>
      <w:szCs w:val="22"/>
      <w:lang w:val="en-CA" w:eastAsia="en-CA"/>
    </w:rPr>
  </w:style>
  <w:style w:type="character" w:customStyle="1" w:styleId="KeywordName">
    <w:name w:val="Keyword Name"/>
    <w:basedOn w:val="Numatytasispastraiposriftas"/>
    <w:locked/>
    <w:rsid w:val="00EB08A6"/>
    <w:rPr>
      <w:rFonts w:ascii="Times New Roman" w:hAnsi="Times New Roman" w:cs="Times New Roman" w:hint="default"/>
      <w:sz w:val="18"/>
    </w:rPr>
  </w:style>
  <w:style w:type="paragraph" w:customStyle="1" w:styleId="KeywordTitle">
    <w:name w:val="Keyword Title"/>
    <w:basedOn w:val="prastasis"/>
    <w:locked/>
    <w:rsid w:val="00EB08A6"/>
    <w:pPr>
      <w:tabs>
        <w:tab w:val="clear" w:pos="567"/>
      </w:tabs>
      <w:spacing w:before="120" w:after="120" w:line="240" w:lineRule="auto"/>
    </w:pPr>
    <w:rPr>
      <w:rFonts w:ascii="Times New Roman Bold" w:hAnsi="Times New Roman Bold"/>
      <w:b/>
      <w:caps/>
      <w:sz w:val="20"/>
      <w:szCs w:val="22"/>
      <w:u w:val="single"/>
      <w:lang w:val="en-CA" w:eastAsia="en-CA"/>
    </w:rPr>
  </w:style>
  <w:style w:type="table" w:styleId="viesusspalvinimas4parykinimas">
    <w:name w:val="Light Shading Accent 4"/>
    <w:basedOn w:val="prastojilentel"/>
    <w:uiPriority w:val="60"/>
    <w:rsid w:val="00EB08A6"/>
    <w:rPr>
      <w:rFonts w:asciiTheme="minorHAnsi" w:eastAsiaTheme="minorHAnsi" w:hAnsiTheme="minorHAnsi" w:cstheme="minorBidi"/>
      <w:color w:val="BF8F00" w:themeColor="accent4" w:themeShade="BF"/>
      <w:sz w:val="22"/>
      <w:szCs w:val="22"/>
      <w:lang w:val="en-CA"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Line">
    <w:name w:val="Line"/>
    <w:basedOn w:val="Pagrindinistekstas"/>
    <w:rsid w:val="00EB08A6"/>
    <w:pPr>
      <w:pBdr>
        <w:bottom w:val="dashed" w:sz="4" w:space="1" w:color="808080"/>
      </w:pBdr>
    </w:pPr>
    <w:rPr>
      <w:sz w:val="2"/>
      <w:szCs w:val="2"/>
    </w:rPr>
  </w:style>
  <w:style w:type="paragraph" w:styleId="Sraas5">
    <w:name w:val="List 5"/>
    <w:basedOn w:val="prastasis"/>
    <w:uiPriority w:val="99"/>
    <w:semiHidden/>
    <w:unhideWhenUsed/>
    <w:rsid w:val="00EB08A6"/>
    <w:pPr>
      <w:tabs>
        <w:tab w:val="clear" w:pos="567"/>
      </w:tabs>
      <w:spacing w:line="240" w:lineRule="auto"/>
      <w:ind w:left="1800" w:hanging="360"/>
    </w:pPr>
    <w:rPr>
      <w:rFonts w:eastAsiaTheme="minorHAnsi" w:cstheme="minorBidi"/>
      <w:szCs w:val="22"/>
      <w:lang w:val="en-CA"/>
    </w:rPr>
  </w:style>
  <w:style w:type="character" w:customStyle="1" w:styleId="Optional">
    <w:name w:val="Optional"/>
    <w:uiPriority w:val="1"/>
    <w:locked/>
    <w:rsid w:val="00EB08A6"/>
    <w:rPr>
      <w:vanish w:val="0"/>
      <w:bdr w:val="none" w:sz="0" w:space="0" w:color="auto"/>
      <w:shd w:val="clear" w:color="auto" w:fill="DEEAF6" w:themeFill="accent1" w:themeFillTint="33"/>
    </w:rPr>
  </w:style>
  <w:style w:type="character" w:customStyle="1" w:styleId="PIMBold">
    <w:name w:val="PIM Bold"/>
    <w:rsid w:val="00EB08A6"/>
    <w:rPr>
      <w:rFonts w:ascii="Arial" w:hAnsi="Arial" w:cs="Arial" w:hint="default"/>
      <w:b/>
      <w:bCs w:val="0"/>
      <w:sz w:val="20"/>
    </w:rPr>
  </w:style>
  <w:style w:type="paragraph" w:customStyle="1" w:styleId="PIMEnvelope">
    <w:name w:val="PIM Envelope"/>
    <w:basedOn w:val="prastasis"/>
    <w:link w:val="PIMEnvelopeChar"/>
    <w:locked/>
    <w:rsid w:val="00EB08A6"/>
    <w:pPr>
      <w:tabs>
        <w:tab w:val="clear" w:pos="567"/>
      </w:tabs>
      <w:spacing w:after="80" w:line="240" w:lineRule="auto"/>
    </w:pPr>
    <w:rPr>
      <w:rFonts w:ascii="Arial" w:hAnsi="Arial"/>
      <w:sz w:val="20"/>
      <w:szCs w:val="24"/>
      <w:lang w:val="en-US"/>
    </w:rPr>
  </w:style>
  <w:style w:type="character" w:customStyle="1" w:styleId="PIMEnvelopeChar">
    <w:name w:val="PIM Envelope Char"/>
    <w:basedOn w:val="Numatytasispastraiposriftas"/>
    <w:link w:val="PIMEnvelope"/>
    <w:rsid w:val="00EB08A6"/>
    <w:rPr>
      <w:rFonts w:ascii="Arial" w:eastAsia="Times New Roman" w:hAnsi="Arial"/>
      <w:szCs w:val="24"/>
      <w:lang w:val="en-US" w:eastAsia="en-US"/>
    </w:rPr>
  </w:style>
  <w:style w:type="character" w:customStyle="1" w:styleId="PPN">
    <w:name w:val="PPN"/>
    <w:uiPriority w:val="1"/>
    <w:qFormat/>
    <w:locked/>
    <w:rsid w:val="00EB08A6"/>
  </w:style>
  <w:style w:type="paragraph" w:customStyle="1" w:styleId="PPNWrapper">
    <w:name w:val="PPN Wrapper"/>
    <w:basedOn w:val="prastasis"/>
    <w:qFormat/>
    <w:locked/>
    <w:rsid w:val="00EB08A6"/>
    <w:pPr>
      <w:tabs>
        <w:tab w:val="clear" w:pos="567"/>
      </w:tabs>
      <w:spacing w:after="480" w:line="240" w:lineRule="auto"/>
      <w:jc w:val="center"/>
    </w:pPr>
    <w:rPr>
      <w:rFonts w:eastAsiaTheme="minorHAnsi" w:cstheme="minorBidi"/>
      <w:i/>
      <w:sz w:val="48"/>
      <w:szCs w:val="22"/>
      <w:lang w:val="en-CA"/>
    </w:rPr>
  </w:style>
  <w:style w:type="character" w:customStyle="1" w:styleId="ShowTagStyle">
    <w:name w:val="ShowTagStyle"/>
    <w:basedOn w:val="Numatytasispastraiposriftas"/>
    <w:locked/>
    <w:rsid w:val="00EB08A6"/>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prastasis"/>
    <w:qFormat/>
    <w:locked/>
    <w:rsid w:val="00EB08A6"/>
    <w:pPr>
      <w:tabs>
        <w:tab w:val="clear" w:pos="567"/>
      </w:tabs>
      <w:spacing w:after="120" w:line="240" w:lineRule="auto"/>
      <w:jc w:val="center"/>
    </w:pPr>
    <w:rPr>
      <w:rFonts w:eastAsiaTheme="minorHAnsi" w:cstheme="minorBidi"/>
      <w:sz w:val="32"/>
      <w:szCs w:val="22"/>
      <w:lang w:val="en-CA"/>
    </w:rPr>
  </w:style>
  <w:style w:type="numbering" w:customStyle="1" w:styleId="Style1">
    <w:name w:val="Style1"/>
    <w:uiPriority w:val="99"/>
    <w:locked/>
    <w:rsid w:val="00EB08A6"/>
    <w:pPr>
      <w:numPr>
        <w:numId w:val="34"/>
      </w:numPr>
    </w:pPr>
  </w:style>
  <w:style w:type="numbering" w:customStyle="1" w:styleId="Style2">
    <w:name w:val="Style2"/>
    <w:uiPriority w:val="99"/>
    <w:locked/>
    <w:rsid w:val="00EB08A6"/>
    <w:pPr>
      <w:numPr>
        <w:numId w:val="35"/>
      </w:numPr>
    </w:pPr>
  </w:style>
  <w:style w:type="paragraph" w:customStyle="1" w:styleId="TableNotes">
    <w:name w:val="Table Notes"/>
    <w:basedOn w:val="Sraopastraipa"/>
    <w:locked/>
    <w:rsid w:val="00EB08A6"/>
    <w:pPr>
      <w:numPr>
        <w:numId w:val="36"/>
      </w:numPr>
      <w:tabs>
        <w:tab w:val="clear" w:pos="567"/>
      </w:tabs>
      <w:spacing w:after="200" w:line="276" w:lineRule="auto"/>
      <w:contextualSpacing/>
    </w:pPr>
    <w:rPr>
      <w:sz w:val="18"/>
      <w:szCs w:val="24"/>
      <w:lang w:val="en-CA"/>
    </w:rPr>
  </w:style>
  <w:style w:type="character" w:customStyle="1" w:styleId="TableNoteMarker">
    <w:name w:val="TableNoteMarker"/>
    <w:basedOn w:val="Numatytasispastraiposriftas"/>
    <w:uiPriority w:val="1"/>
    <w:qFormat/>
    <w:locked/>
    <w:rsid w:val="00EB08A6"/>
    <w:rPr>
      <w:i/>
      <w:vertAlign w:val="superscript"/>
    </w:rPr>
  </w:style>
  <w:style w:type="character" w:customStyle="1" w:styleId="Version">
    <w:name w:val="Version"/>
    <w:uiPriority w:val="1"/>
    <w:qFormat/>
    <w:locked/>
    <w:rsid w:val="00EB08A6"/>
  </w:style>
  <w:style w:type="paragraph" w:customStyle="1" w:styleId="VersionWrapper">
    <w:name w:val="Version Wrapper"/>
    <w:basedOn w:val="prastasis"/>
    <w:qFormat/>
    <w:locked/>
    <w:rsid w:val="00EB08A6"/>
    <w:pPr>
      <w:tabs>
        <w:tab w:val="clear" w:pos="567"/>
      </w:tabs>
      <w:spacing w:before="360" w:after="360" w:line="240" w:lineRule="auto"/>
      <w:jc w:val="center"/>
    </w:pPr>
    <w:rPr>
      <w:rFonts w:eastAsiaTheme="minorHAnsi" w:cstheme="minorBidi"/>
      <w:sz w:val="32"/>
      <w:szCs w:val="22"/>
      <w:lang w:val="en-CA"/>
    </w:rPr>
  </w:style>
  <w:style w:type="character" w:customStyle="1" w:styleId="xCCDSDate">
    <w:name w:val="xCCDSDate"/>
    <w:uiPriority w:val="1"/>
    <w:qFormat/>
    <w:locked/>
    <w:rsid w:val="00EB08A6"/>
  </w:style>
  <w:style w:type="paragraph" w:customStyle="1" w:styleId="xCCDSDateWrapper">
    <w:name w:val="xCCDSDate Wrapper"/>
    <w:basedOn w:val="prastasis"/>
    <w:qFormat/>
    <w:locked/>
    <w:rsid w:val="00EB08A6"/>
    <w:pPr>
      <w:tabs>
        <w:tab w:val="clear" w:pos="567"/>
      </w:tabs>
      <w:spacing w:after="360" w:line="240" w:lineRule="auto"/>
      <w:jc w:val="center"/>
    </w:pPr>
    <w:rPr>
      <w:rFonts w:eastAsiaTheme="minorHAnsi" w:cstheme="minorBidi"/>
      <w:i/>
      <w:sz w:val="32"/>
      <w:szCs w:val="22"/>
      <w:lang w:val="en-CA"/>
    </w:rPr>
  </w:style>
  <w:style w:type="paragraph" w:customStyle="1" w:styleId="TableSource">
    <w:name w:val="Table Source"/>
    <w:basedOn w:val="prastasis"/>
    <w:rsid w:val="00EB08A6"/>
    <w:pPr>
      <w:tabs>
        <w:tab w:val="clear" w:pos="567"/>
      </w:tabs>
      <w:spacing w:line="240" w:lineRule="auto"/>
      <w:ind w:left="288"/>
    </w:pPr>
    <w:rPr>
      <w:sz w:val="20"/>
      <w:szCs w:val="24"/>
      <w:lang w:val="en-US"/>
    </w:rPr>
  </w:style>
  <w:style w:type="paragraph" w:customStyle="1" w:styleId="TitleSPC">
    <w:name w:val="Title SPC"/>
    <w:basedOn w:val="Antrat1"/>
    <w:qFormat/>
    <w:rsid w:val="00EB08A6"/>
    <w:pPr>
      <w:keepNext/>
      <w:keepLines/>
      <w:tabs>
        <w:tab w:val="clear" w:pos="567"/>
      </w:tabs>
      <w:spacing w:before="0" w:after="220"/>
      <w:ind w:left="720" w:hanging="720"/>
      <w:contextualSpacing/>
      <w:jc w:val="center"/>
    </w:pPr>
    <w:rPr>
      <w:rFonts w:ascii="Times New Roman" w:eastAsiaTheme="majorEastAsia" w:hAnsi="Times New Roman" w:cstheme="majorBidi"/>
      <w:caps/>
      <w:kern w:val="0"/>
      <w:sz w:val="22"/>
      <w:szCs w:val="28"/>
      <w:lang w:val="en-CA"/>
    </w:rPr>
  </w:style>
  <w:style w:type="numbering" w:customStyle="1" w:styleId="111111">
    <w:name w:val="111111"/>
    <w:rsid w:val="00EB08A6"/>
    <w:pPr>
      <w:numPr>
        <w:numId w:val="31"/>
      </w:numPr>
    </w:pPr>
  </w:style>
  <w:style w:type="paragraph" w:customStyle="1" w:styleId="TableTextLeft">
    <w:name w:val="Table Text (Left)"/>
    <w:basedOn w:val="prastasis"/>
    <w:rsid w:val="00EB08A6"/>
    <w:pPr>
      <w:keepNext/>
      <w:tabs>
        <w:tab w:val="clear" w:pos="567"/>
      </w:tabs>
      <w:spacing w:before="20" w:after="20" w:line="240" w:lineRule="auto"/>
    </w:pPr>
    <w:rPr>
      <w:lang w:val="en-US"/>
    </w:rPr>
  </w:style>
  <w:style w:type="paragraph" w:customStyle="1" w:styleId="TableTextBoldCenter">
    <w:name w:val="Table Text Bold (Center)"/>
    <w:basedOn w:val="prastasis"/>
    <w:rsid w:val="00EB08A6"/>
    <w:pPr>
      <w:keepNext/>
      <w:tabs>
        <w:tab w:val="clear" w:pos="567"/>
      </w:tabs>
      <w:spacing w:before="40" w:after="40" w:line="240" w:lineRule="auto"/>
      <w:jc w:val="center"/>
    </w:pPr>
    <w:rPr>
      <w:b/>
      <w:lang w:val="en-US"/>
    </w:rPr>
  </w:style>
  <w:style w:type="paragraph" w:customStyle="1" w:styleId="TableTextBoldLeft">
    <w:name w:val="Table Text Bold (Left)"/>
    <w:basedOn w:val="TableTextLeft"/>
    <w:rsid w:val="00EB08A6"/>
    <w:rPr>
      <w:b/>
    </w:rPr>
  </w:style>
  <w:style w:type="paragraph" w:customStyle="1" w:styleId="Subheadingitalic">
    <w:name w:val="Subheading italic"/>
    <w:basedOn w:val="prastasis"/>
    <w:next w:val="prastasis"/>
    <w:rsid w:val="00EB08A6"/>
    <w:pPr>
      <w:keepNext/>
      <w:tabs>
        <w:tab w:val="clear" w:pos="567"/>
      </w:tabs>
      <w:spacing w:before="120" w:line="280" w:lineRule="atLeast"/>
    </w:pPr>
    <w:rPr>
      <w:i/>
      <w:sz w:val="24"/>
      <w:lang w:val="en-US"/>
    </w:rPr>
  </w:style>
  <w:style w:type="character" w:customStyle="1" w:styleId="TableText">
    <w:name w:val="Table Text"/>
    <w:rsid w:val="00EB08A6"/>
    <w:rPr>
      <w:rFonts w:ascii="Times New Roman" w:hAnsi="Times New Roman"/>
      <w:sz w:val="22"/>
    </w:rPr>
  </w:style>
  <w:style w:type="paragraph" w:customStyle="1" w:styleId="TableCaption">
    <w:name w:val="Table Caption"/>
    <w:basedOn w:val="Pagrindinistekstas"/>
    <w:rsid w:val="00EB08A6"/>
    <w:pPr>
      <w:spacing w:before="40"/>
    </w:pPr>
    <w:rPr>
      <w:rFonts w:eastAsia="Batang"/>
      <w:b/>
      <w:szCs w:val="24"/>
      <w:lang w:val="en-US"/>
    </w:rPr>
  </w:style>
  <w:style w:type="paragraph" w:customStyle="1" w:styleId="TableHeader">
    <w:name w:val="Table Header"/>
    <w:basedOn w:val="prastasis"/>
    <w:rsid w:val="00EB08A6"/>
    <w:pPr>
      <w:tabs>
        <w:tab w:val="clear" w:pos="567"/>
      </w:tabs>
      <w:spacing w:line="240" w:lineRule="auto"/>
      <w:jc w:val="center"/>
    </w:pPr>
    <w:rPr>
      <w:rFonts w:ascii="Times New Roman Bold" w:eastAsia="Batang" w:hAnsi="Times New Roman Bold"/>
      <w:b/>
      <w:szCs w:val="22"/>
      <w:lang w:val="en-US"/>
    </w:rPr>
  </w:style>
  <w:style w:type="character" w:customStyle="1" w:styleId="UnresolvedMention1">
    <w:name w:val="Unresolved Mention1"/>
    <w:basedOn w:val="Numatytasispastraiposriftas"/>
    <w:uiPriority w:val="99"/>
    <w:semiHidden/>
    <w:unhideWhenUsed/>
    <w:rsid w:val="00EB08A6"/>
    <w:rPr>
      <w:color w:val="605E5C"/>
      <w:shd w:val="clear" w:color="auto" w:fill="E1DFDD"/>
    </w:rPr>
  </w:style>
  <w:style w:type="paragraph" w:customStyle="1" w:styleId="Heading2Centered">
    <w:name w:val="Heading 2 Centered"/>
    <w:basedOn w:val="Antrat2"/>
    <w:qFormat/>
    <w:rsid w:val="00EB08A6"/>
    <w:pPr>
      <w:keepLines/>
      <w:tabs>
        <w:tab w:val="clear" w:pos="567"/>
      </w:tabs>
      <w:spacing w:before="220" w:after="0" w:line="240" w:lineRule="auto"/>
      <w:jc w:val="center"/>
    </w:pPr>
    <w:rPr>
      <w:rFonts w:ascii="Times New Roman" w:eastAsiaTheme="majorEastAsia" w:hAnsi="Times New Roman" w:cstheme="majorBidi"/>
      <w:i w:val="0"/>
      <w:iCs w:val="0"/>
      <w:color w:val="000000" w:themeColor="text1"/>
      <w:sz w:val="22"/>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3161">
      <w:bodyDiv w:val="1"/>
      <w:marLeft w:val="0"/>
      <w:marRight w:val="0"/>
      <w:marTop w:val="0"/>
      <w:marBottom w:val="0"/>
      <w:divBdr>
        <w:top w:val="none" w:sz="0" w:space="0" w:color="auto"/>
        <w:left w:val="none" w:sz="0" w:space="0" w:color="auto"/>
        <w:bottom w:val="none" w:sz="0" w:space="0" w:color="auto"/>
        <w:right w:val="none" w:sz="0" w:space="0" w:color="auto"/>
      </w:divBdr>
    </w:div>
    <w:div w:id="114175675">
      <w:bodyDiv w:val="1"/>
      <w:marLeft w:val="0"/>
      <w:marRight w:val="0"/>
      <w:marTop w:val="0"/>
      <w:marBottom w:val="0"/>
      <w:divBdr>
        <w:top w:val="none" w:sz="0" w:space="0" w:color="auto"/>
        <w:left w:val="none" w:sz="0" w:space="0" w:color="auto"/>
        <w:bottom w:val="none" w:sz="0" w:space="0" w:color="auto"/>
        <w:right w:val="none" w:sz="0" w:space="0" w:color="auto"/>
      </w:divBdr>
    </w:div>
    <w:div w:id="203367703">
      <w:bodyDiv w:val="1"/>
      <w:marLeft w:val="0"/>
      <w:marRight w:val="0"/>
      <w:marTop w:val="0"/>
      <w:marBottom w:val="0"/>
      <w:divBdr>
        <w:top w:val="none" w:sz="0" w:space="0" w:color="auto"/>
        <w:left w:val="none" w:sz="0" w:space="0" w:color="auto"/>
        <w:bottom w:val="none" w:sz="0" w:space="0" w:color="auto"/>
        <w:right w:val="none" w:sz="0" w:space="0" w:color="auto"/>
      </w:divBdr>
    </w:div>
    <w:div w:id="257716527">
      <w:bodyDiv w:val="1"/>
      <w:marLeft w:val="0"/>
      <w:marRight w:val="0"/>
      <w:marTop w:val="0"/>
      <w:marBottom w:val="0"/>
      <w:divBdr>
        <w:top w:val="none" w:sz="0" w:space="0" w:color="auto"/>
        <w:left w:val="none" w:sz="0" w:space="0" w:color="auto"/>
        <w:bottom w:val="none" w:sz="0" w:space="0" w:color="auto"/>
        <w:right w:val="none" w:sz="0" w:space="0" w:color="auto"/>
      </w:divBdr>
    </w:div>
    <w:div w:id="365253661">
      <w:bodyDiv w:val="1"/>
      <w:marLeft w:val="0"/>
      <w:marRight w:val="0"/>
      <w:marTop w:val="0"/>
      <w:marBottom w:val="0"/>
      <w:divBdr>
        <w:top w:val="none" w:sz="0" w:space="0" w:color="auto"/>
        <w:left w:val="none" w:sz="0" w:space="0" w:color="auto"/>
        <w:bottom w:val="none" w:sz="0" w:space="0" w:color="auto"/>
        <w:right w:val="none" w:sz="0" w:space="0" w:color="auto"/>
      </w:divBdr>
    </w:div>
    <w:div w:id="379212861">
      <w:bodyDiv w:val="1"/>
      <w:marLeft w:val="0"/>
      <w:marRight w:val="0"/>
      <w:marTop w:val="0"/>
      <w:marBottom w:val="0"/>
      <w:divBdr>
        <w:top w:val="none" w:sz="0" w:space="0" w:color="auto"/>
        <w:left w:val="none" w:sz="0" w:space="0" w:color="auto"/>
        <w:bottom w:val="none" w:sz="0" w:space="0" w:color="auto"/>
        <w:right w:val="none" w:sz="0" w:space="0" w:color="auto"/>
      </w:divBdr>
    </w:div>
    <w:div w:id="476800248">
      <w:bodyDiv w:val="1"/>
      <w:marLeft w:val="0"/>
      <w:marRight w:val="0"/>
      <w:marTop w:val="0"/>
      <w:marBottom w:val="0"/>
      <w:divBdr>
        <w:top w:val="none" w:sz="0" w:space="0" w:color="auto"/>
        <w:left w:val="none" w:sz="0" w:space="0" w:color="auto"/>
        <w:bottom w:val="none" w:sz="0" w:space="0" w:color="auto"/>
        <w:right w:val="none" w:sz="0" w:space="0" w:color="auto"/>
      </w:divBdr>
    </w:div>
    <w:div w:id="504828892">
      <w:bodyDiv w:val="1"/>
      <w:marLeft w:val="0"/>
      <w:marRight w:val="0"/>
      <w:marTop w:val="0"/>
      <w:marBottom w:val="0"/>
      <w:divBdr>
        <w:top w:val="none" w:sz="0" w:space="0" w:color="auto"/>
        <w:left w:val="none" w:sz="0" w:space="0" w:color="auto"/>
        <w:bottom w:val="none" w:sz="0" w:space="0" w:color="auto"/>
        <w:right w:val="none" w:sz="0" w:space="0" w:color="auto"/>
      </w:divBdr>
    </w:div>
    <w:div w:id="738943893">
      <w:bodyDiv w:val="1"/>
      <w:marLeft w:val="0"/>
      <w:marRight w:val="0"/>
      <w:marTop w:val="0"/>
      <w:marBottom w:val="0"/>
      <w:divBdr>
        <w:top w:val="none" w:sz="0" w:space="0" w:color="auto"/>
        <w:left w:val="none" w:sz="0" w:space="0" w:color="auto"/>
        <w:bottom w:val="none" w:sz="0" w:space="0" w:color="auto"/>
        <w:right w:val="none" w:sz="0" w:space="0" w:color="auto"/>
      </w:divBdr>
    </w:div>
    <w:div w:id="1054279767">
      <w:bodyDiv w:val="1"/>
      <w:marLeft w:val="0"/>
      <w:marRight w:val="0"/>
      <w:marTop w:val="0"/>
      <w:marBottom w:val="0"/>
      <w:divBdr>
        <w:top w:val="none" w:sz="0" w:space="0" w:color="auto"/>
        <w:left w:val="none" w:sz="0" w:space="0" w:color="auto"/>
        <w:bottom w:val="none" w:sz="0" w:space="0" w:color="auto"/>
        <w:right w:val="none" w:sz="0" w:space="0" w:color="auto"/>
      </w:divBdr>
    </w:div>
    <w:div w:id="1177501940">
      <w:bodyDiv w:val="1"/>
      <w:marLeft w:val="0"/>
      <w:marRight w:val="0"/>
      <w:marTop w:val="0"/>
      <w:marBottom w:val="0"/>
      <w:divBdr>
        <w:top w:val="none" w:sz="0" w:space="0" w:color="auto"/>
        <w:left w:val="none" w:sz="0" w:space="0" w:color="auto"/>
        <w:bottom w:val="none" w:sz="0" w:space="0" w:color="auto"/>
        <w:right w:val="none" w:sz="0" w:space="0" w:color="auto"/>
      </w:divBdr>
    </w:div>
    <w:div w:id="1191798599">
      <w:bodyDiv w:val="1"/>
      <w:marLeft w:val="0"/>
      <w:marRight w:val="0"/>
      <w:marTop w:val="0"/>
      <w:marBottom w:val="0"/>
      <w:divBdr>
        <w:top w:val="none" w:sz="0" w:space="0" w:color="auto"/>
        <w:left w:val="none" w:sz="0" w:space="0" w:color="auto"/>
        <w:bottom w:val="none" w:sz="0" w:space="0" w:color="auto"/>
        <w:right w:val="none" w:sz="0" w:space="0" w:color="auto"/>
      </w:divBdr>
    </w:div>
    <w:div w:id="1410151213">
      <w:bodyDiv w:val="1"/>
      <w:marLeft w:val="0"/>
      <w:marRight w:val="0"/>
      <w:marTop w:val="0"/>
      <w:marBottom w:val="0"/>
      <w:divBdr>
        <w:top w:val="none" w:sz="0" w:space="0" w:color="auto"/>
        <w:left w:val="none" w:sz="0" w:space="0" w:color="auto"/>
        <w:bottom w:val="none" w:sz="0" w:space="0" w:color="auto"/>
        <w:right w:val="none" w:sz="0" w:space="0" w:color="auto"/>
      </w:divBdr>
    </w:div>
    <w:div w:id="1604534032">
      <w:bodyDiv w:val="1"/>
      <w:marLeft w:val="0"/>
      <w:marRight w:val="0"/>
      <w:marTop w:val="0"/>
      <w:marBottom w:val="0"/>
      <w:divBdr>
        <w:top w:val="none" w:sz="0" w:space="0" w:color="auto"/>
        <w:left w:val="none" w:sz="0" w:space="0" w:color="auto"/>
        <w:bottom w:val="none" w:sz="0" w:space="0" w:color="auto"/>
        <w:right w:val="none" w:sz="0" w:space="0" w:color="auto"/>
      </w:divBdr>
    </w:div>
    <w:div w:id="1673334178">
      <w:bodyDiv w:val="1"/>
      <w:marLeft w:val="0"/>
      <w:marRight w:val="0"/>
      <w:marTop w:val="0"/>
      <w:marBottom w:val="0"/>
      <w:divBdr>
        <w:top w:val="none" w:sz="0" w:space="0" w:color="auto"/>
        <w:left w:val="none" w:sz="0" w:space="0" w:color="auto"/>
        <w:bottom w:val="none" w:sz="0" w:space="0" w:color="auto"/>
        <w:right w:val="none" w:sz="0" w:space="0" w:color="auto"/>
      </w:divBdr>
    </w:div>
    <w:div w:id="1780418398">
      <w:bodyDiv w:val="1"/>
      <w:marLeft w:val="0"/>
      <w:marRight w:val="0"/>
      <w:marTop w:val="0"/>
      <w:marBottom w:val="0"/>
      <w:divBdr>
        <w:top w:val="none" w:sz="0" w:space="0" w:color="auto"/>
        <w:left w:val="none" w:sz="0" w:space="0" w:color="auto"/>
        <w:bottom w:val="none" w:sz="0" w:space="0" w:color="auto"/>
        <w:right w:val="none" w:sz="0" w:space="0" w:color="auto"/>
      </w:divBdr>
    </w:div>
    <w:div w:id="1887791523">
      <w:bodyDiv w:val="1"/>
      <w:marLeft w:val="0"/>
      <w:marRight w:val="0"/>
      <w:marTop w:val="0"/>
      <w:marBottom w:val="0"/>
      <w:divBdr>
        <w:top w:val="none" w:sz="0" w:space="0" w:color="auto"/>
        <w:left w:val="none" w:sz="0" w:space="0" w:color="auto"/>
        <w:bottom w:val="none" w:sz="0" w:space="0" w:color="auto"/>
        <w:right w:val="none" w:sz="0" w:space="0" w:color="auto"/>
      </w:divBdr>
    </w:div>
    <w:div w:id="1947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hyperlink" Target="http://www.vvkt.lt" TargetMode="External"/><Relationship Id="rId26" Type="http://schemas.openxmlformats.org/officeDocument/2006/relationships/hyperlink" Target="file:///C:/Users/ru148/Downloads/Valstybin&#279;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www.vvkt.l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28" Type="http://schemas.openxmlformats.org/officeDocument/2006/relationships/hyperlink" Target="http://www.ema.europa.eu" TargetMode="External"/><Relationship Id="rId10" Type="http://schemas.openxmlformats.org/officeDocument/2006/relationships/customXml" Target="../customXml/item10.xml"/><Relationship Id="rId19" Type="http://schemas.openxmlformats.org/officeDocument/2006/relationships/hyperlink" Target="mailto:NepageidaujamaR@vvkt.l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hyperlink" Target="http://www.vvkt.lt" TargetMode="External"/><Relationship Id="rId30" Type="http://schemas.openxmlformats.org/officeDocument/2006/relationships/footer" Target="footer3.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DocTypeID xmlns="8f50927b-c1aa-46a1-a2e1-538f37d56fc0">2</DocTypeID>
    <DocType xmlns="c8f7ef64-a337-4380-87e0-326e9f843981">Translation</DocType>
    <SystemID xmlns="8f50927b-c1aa-46a1-a2e1-538f37d56fc0" xsi:nil="true"/>
    <FormData xmlns="http://schemas.microsoft.com/sharepoint/v3">&lt;?xml version="1.0" encoding="utf-8"?&gt;&lt;FormVariables&gt;&lt;Version /&gt;&lt;/FormVariables&gt;</FormData>
  </documentManagement>
</p: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E05A54F9C270FA49BBD8B79EEAF9C766" ma:contentTypeVersion="0" ma:contentTypeDescription="Create a new document." ma:contentTypeScope="" ma:versionID="a63117ea1df883365e965b0330ffcb62">
  <xsd:schema xmlns:xsd="http://www.w3.org/2001/XMLSchema" xmlns:xs="http://www.w3.org/2001/XMLSchema" xmlns:p="http://schemas.microsoft.com/office/2006/metadata/properties" xmlns:ns2="067d7bbc-f9a8-4af1-8515-3ee4becd704a" targetNamespace="http://schemas.microsoft.com/office/2006/metadata/properties" ma:root="true" ma:fieldsID="85de5ecab8cd60d50d93e3265cae1021" ns2:_="">
    <xsd:import namespace="067d7bbc-f9a8-4af1-8515-3ee4becd70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7bbc-f9a8-4af1-8515-3ee4becd70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AGLE Hub Document" ma:contentTypeID="0x010100208C0351BEE5C3468A085A535416F7410052700C0B1903B345BE5FF810551A1B26" ma:contentTypeVersion="9" ma:contentTypeDescription="" ma:contentTypeScope="" ma:versionID="a5650eb00dd98c16f7d690347713d5c9">
  <xsd:schema xmlns:xsd="http://www.w3.org/2001/XMLSchema" xmlns:xs="http://www.w3.org/2001/XMLSchema" xmlns:p="http://schemas.microsoft.com/office/2006/metadata/properties" xmlns:ns1="http://schemas.microsoft.com/sharepoint/v3" xmlns:ns2="8f50927b-c1aa-46a1-a2e1-538f37d56fc0" xmlns:ns3="c8f7ef64-a337-4380-87e0-326e9f843981" targetNamespace="http://schemas.microsoft.com/office/2006/metadata/properties" ma:root="true" ma:fieldsID="63c2be7df0245f8b22ac703be71ef8af" ns1:_="" ns2:_="" ns3:_="">
    <xsd:import namespace="http://schemas.microsoft.com/sharepoint/v3"/>
    <xsd:import namespace="8f50927b-c1aa-46a1-a2e1-538f37d56fc0"/>
    <xsd:import namespace="c8f7ef64-a337-4380-87e0-326e9f843981"/>
    <xsd:element name="properties">
      <xsd:complexType>
        <xsd:sequence>
          <xsd:element name="documentManagement">
            <xsd:complexType>
              <xsd:all>
                <xsd:element ref="ns2:SystemID" minOccurs="0"/>
                <xsd:element ref="ns2:DocTypeID" minOccurs="0"/>
                <xsd:element ref="ns3:DocType"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1"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0927b-c1aa-46a1-a2e1-538f37d56fc0" elementFormDefault="qualified">
    <xsd:import namespace="http://schemas.microsoft.com/office/2006/documentManagement/types"/>
    <xsd:import namespace="http://schemas.microsoft.com/office/infopath/2007/PartnerControls"/>
    <xsd:element name="SystemID" ma:index="8" nillable="true" ma:displayName="System ID" ma:internalName="SystemID">
      <xsd:simpleType>
        <xsd:restriction base="dms:Text">
          <xsd:maxLength value="255"/>
        </xsd:restriction>
      </xsd:simpleType>
    </xsd:element>
    <xsd:element name="DocTypeID" ma:index="9" nillable="true" ma:displayName="Document Type ID" ma:internalName="DocTyp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7ef64-a337-4380-87e0-326e9f843981" elementFormDefault="qualified">
    <xsd:import namespace="http://schemas.microsoft.com/office/2006/documentManagement/types"/>
    <xsd:import namespace="http://schemas.microsoft.com/office/infopath/2007/PartnerControls"/>
    <xsd:element name="DocType" ma:index="10" nillable="true" ma:displayName="Document 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0</number>
            <property>Expiry_x0020_Date</property>
            <period>days</period>
          </formula>
          <action type="workflow" id="03b42883-0874-4c58-a8ea-315f26039a6d"/>
        </data>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3F9ACD55D1AAA46AAAC3A09D9D36AD1" ma:contentTypeVersion="11" ma:contentTypeDescription="Create a new document." ma:contentTypeScope="" ma:versionID="a484d48bfe61cf9dc98f819afcc9ea37">
  <xsd:schema xmlns:xsd="http://www.w3.org/2001/XMLSchema" xmlns:p="http://schemas.microsoft.com/office/2006/metadata/properties" xmlns:ns2="29d49aca-9341-46c6-bed1-4f98031c265d" targetNamespace="http://schemas.microsoft.com/office/2006/metadata/properties" ma:root="true" ma:fieldsID="7cf5ca78bd61f620ea3b31ee97022d4a" ns2:_="">
    <xsd:import namespace="29d49aca-9341-46c6-bed1-4f98031c265d"/>
    <xsd:element name="properties">
      <xsd:complexType>
        <xsd:sequence>
          <xsd:element name="documentManagement">
            <xsd:complexType>
              <xsd:all>
                <xsd:element ref="ns2:Type_x0020_of_x0020_Document" minOccurs="0"/>
                <xsd:element ref="ns2:Active_x0020_Substance" minOccurs="0"/>
                <xsd:element ref="ns2:Product_x0020_Name" minOccurs="0"/>
                <xsd:element ref="ns2:Country" minOccurs="0"/>
                <xsd:element ref="ns2:Expiry_x0020_Date" minOccurs="0"/>
                <xsd:element ref="ns2:_dlc_Exempt" minOccurs="0"/>
                <xsd:element ref="ns2:_dlc_ExpireDateSaved" minOccurs="0"/>
                <xsd:element ref="ns2:_dlc_ExpireDate" minOccurs="0"/>
              </xsd:all>
            </xsd:complexType>
          </xsd:element>
        </xsd:sequence>
      </xsd:complexType>
    </xsd:element>
  </xsd:schema>
  <xsd:schema xmlns:xsd="http://www.w3.org/2001/XMLSchema" xmlns:dms="http://schemas.microsoft.com/office/2006/documentManagement/types" targetNamespace="29d49aca-9341-46c6-bed1-4f98031c265d" elementFormDefault="qualified">
    <xsd:import namespace="http://schemas.microsoft.com/office/2006/documentManagement/types"/>
    <xsd:element name="Type_x0020_of_x0020_Document" ma:index="8" nillable="true" ma:displayName="Type of Document" ma:internalName="Type_x0020_of_x0020_Document">
      <xsd:complexType>
        <xsd:complexContent>
          <xsd:extension base="dms:MultiChoiceFillIn">
            <xsd:sequence>
              <xsd:element name="Value" maxOccurs="unbounded" minOccurs="0" nillable="true">
                <xsd:simpleType>
                  <xsd:union memberTypes="dms:Text">
                    <xsd:simpleType>
                      <xsd:restriction base="dms:Choice">
                        <xsd:enumeration value="Application form"/>
                        <xsd:enumeration value="Approval/Rejection"/>
                        <xsd:enumeration value="Catalogue text"/>
                        <xsd:enumeration value="Cover letter"/>
                        <xsd:enumeration value="DHCP"/>
                        <xsd:enumeration value="Draft"/>
                        <xsd:enumeration value="General variation documentation"/>
                        <xsd:enumeration value="Generics"/>
                        <xsd:enumeration value="Labelling"/>
                        <xsd:enumeration value="Pack material"/>
                        <xsd:enumeration value="Parallel import"/>
                        <xsd:enumeration value="PIL"/>
                        <xsd:enumeration value="Price/reimbursement"/>
                        <xsd:enumeration value="PSUR"/>
                        <xsd:enumeration value="Renewal"/>
                        <xsd:enumeration value="Safety"/>
                        <xsd:enumeration value="SPC"/>
                      </xsd:restriction>
                    </xsd:simpleType>
                  </xsd:union>
                </xsd:simpleType>
              </xsd:element>
            </xsd:sequence>
          </xsd:extension>
        </xsd:complexContent>
      </xsd:complexType>
    </xsd:element>
    <xsd:element name="Active_x0020_Substance" ma:index="9" nillable="true" ma:displayName="Active Substance" ma:internalName="Active_x0020_Substance">
      <xsd:complexType>
        <xsd:complexContent>
          <xsd:extension base="dms:MultiChoice">
            <xsd:sequence>
              <xsd:element name="Value" maxOccurs="unbounded" minOccurs="0" nillable="true">
                <xsd:simpleType>
                  <xsd:restriction base="dms:Choice">
                    <xsd:enumeration value="Amoxicillin"/>
                    <xsd:enumeration value="Bismuth Trioxide"/>
                    <xsd:enumeration value="Capsaicin"/>
                    <xsd:enumeration value="Clavulanic acid"/>
                    <xsd:enumeration value="Enzalutamid"/>
                    <xsd:enumeration value="Erythromycin"/>
                    <xsd:enumeration value="Fidaxomicin"/>
                    <xsd:enumeration value="Hydrocortisone"/>
                    <xsd:enumeration value="Hydrocortisone butyrate"/>
                    <xsd:enumeration value="Lactic acid"/>
                    <xsd:enumeration value="Leuprorelin"/>
                    <xsd:enumeration value="Micafungin"/>
                    <xsd:enumeration value="Mirabegron"/>
                    <xsd:enumeration value="Natamycin"/>
                    <xsd:enumeration value="Neomycin"/>
                    <xsd:enumeration value="Propylene glycol"/>
                    <xsd:enumeration value="Solifinacin succinate"/>
                    <xsd:enumeration value="Tacrolimus"/>
                    <xsd:enumeration value="Tamsulosin"/>
                    <xsd:enumeration value="Zink acetate"/>
                    <xsd:enumeration value="None"/>
                  </xsd:restriction>
                </xsd:simpleType>
              </xsd:element>
            </xsd:sequence>
          </xsd:extension>
        </xsd:complexContent>
      </xsd:complexType>
    </xsd:element>
    <xsd:element name="Product_x0020_Name" ma:index="10" nillable="true" ma:displayName="Product Name" ma:internalName="Product_x0020_Name">
      <xsd:complexType>
        <xsd:complexContent>
          <xsd:extension base="dms:MultiChoice">
            <xsd:sequence>
              <xsd:element name="Value" maxOccurs="unbounded" minOccurs="0" nillable="true">
                <xsd:simpleType>
                  <xsd:restriction base="dms:Choice">
                    <xsd:enumeration value="Advagraf"/>
                    <xsd:enumeration value="Betmiga"/>
                    <xsd:enumeration value="De-Nol"/>
                    <xsd:enumeration value="Dificlir"/>
                    <xsd:enumeration value="Eligard"/>
                    <xsd:enumeration value="Expros"/>
                    <xsd:enumeration value="Flemoxin"/>
                    <xsd:enumeration value="Forcid"/>
                    <xsd:enumeration value="Locobase"/>
                    <xsd:enumeration value="Locobase fatty cream"/>
                    <xsd:enumeration value="Locobase LPL"/>
                    <xsd:enumeration value="Locobase Repair"/>
                    <xsd:enumeration value="Locoid"/>
                    <xsd:enumeration value="Mildison"/>
                    <xsd:enumeration value="Modigraf"/>
                    <xsd:enumeration value="Mycamine"/>
                    <xsd:enumeration value="Omnic"/>
                    <xsd:enumeration value="Omnic Ocas"/>
                    <xsd:enumeration value="Pimafucin"/>
                    <xsd:enumeration value="Pimafucort"/>
                    <xsd:enumeration value="Prograf"/>
                    <xsd:enumeration value="Protopic"/>
                    <xsd:enumeration value="Qutenza"/>
                    <xsd:enumeration value="Urizia"/>
                    <xsd:enumeration value="Vesicare"/>
                    <xsd:enumeration value="Zineryt"/>
                    <xsd:enumeration value="Xtandi"/>
                  </xsd:restriction>
                </xsd:simpleType>
              </xsd:element>
            </xsd:sequence>
          </xsd:extension>
        </xsd:complexContent>
      </xsd:complexType>
    </xsd:element>
    <xsd:element name="Country" ma:index="11" nillable="true" ma:displayName="Country" ma:internalName="Country">
      <xsd:complexType>
        <xsd:complexContent>
          <xsd:extension base="dms:MultiChoiceFillIn">
            <xsd:sequence>
              <xsd:element name="Value" maxOccurs="unbounded" minOccurs="0" nillable="true">
                <xsd:simpleType>
                  <xsd:union memberTypes="dms:Text">
                    <xsd:simpleType>
                      <xsd:restriction base="dms:Choice">
                        <xsd:enumeration value="DK"/>
                        <xsd:enumeration value="EE"/>
                        <xsd:enumeration value="FI"/>
                        <xsd:enumeration value="IS"/>
                        <xsd:enumeration value="LT"/>
                        <xsd:enumeration value="LV"/>
                        <xsd:enumeration value="NO"/>
                        <xsd:enumeration value="SE"/>
                      </xsd:restriction>
                    </xsd:simpleType>
                  </xsd:union>
                </xsd:simpleType>
              </xsd:element>
            </xsd:sequence>
          </xsd:extension>
        </xsd:complexContent>
      </xsd:complexType>
    </xsd:element>
    <xsd:element name="Expiry_x0020_Date" ma:index="12" nillable="true" ma:displayName="Expiry Date" ma:format="DateOnly" ma:internalName="Expiry_x0020_Date">
      <xsd:simpleType>
        <xsd:restriction base="dms:DateTime"/>
      </xsd:simpleType>
    </xsd:element>
    <xsd:element name="_dlc_Exempt" ma:index="14" nillable="true" ma:displayName="Exempt from Policy" ma:description="" ma:hidden="true" ma:internalName="_dlc_Exempt" ma:readOnly="true">
      <xsd:simpleType>
        <xsd:restriction base="dms:Unknown"/>
      </xsd:simpleType>
    </xsd:element>
    <xsd:element name="_dlc_ExpireDateSaved" ma:index="15" nillable="true" ma:displayName="Original Expiration Date" ma:description="" ma:hidden="true" ma:internalName="_dlc_ExpireDateSaved" ma:readOnly="true">
      <xsd:simpleType>
        <xsd:restriction base="dms:DateTime"/>
      </xsd:simpleType>
    </xsd:element>
    <xsd:element name="_dlc_ExpireDate" ma:index="16"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8.xml><?xml version="1.0" encoding="utf-8"?>
<?mso-contentType ?>
<FormTemplates>
  <Display>DocumentLibraryForm</Display>
  <Edit>DocumentLibraryForm</Edit>
  <New>DocumentLibraryForm</New>
  <MobileDisplayFormUrl/>
  <MobileEditFormUrl/>
  <MobileNewFormUrl/>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B83F21F6-E9E9-4B40-8B65-5794CBB97050}">
  <ds:schemaRefs>
    <ds:schemaRef ds:uri="http://schemas.microsoft.com/office/infopath/2007/PartnerControls"/>
    <ds:schemaRef ds:uri="http://purl.org/dc/elements/1.1/"/>
    <ds:schemaRef ds:uri="8f50927b-c1aa-46a1-a2e1-538f37d56fc0"/>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c8f7ef64-a337-4380-87e0-326e9f843981"/>
    <ds:schemaRef ds:uri="http://schemas.microsoft.com/sharepoint/v3"/>
    <ds:schemaRef ds:uri="http://schemas.microsoft.com/office/2006/metadata/properties"/>
  </ds:schemaRefs>
</ds:datastoreItem>
</file>

<file path=customXml/itemProps10.xml><?xml version="1.0" encoding="utf-8"?>
<ds:datastoreItem xmlns:ds="http://schemas.openxmlformats.org/officeDocument/2006/customXml" ds:itemID="{FF2FA8CE-D2D9-4456-B8FB-E1D847742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d7bbc-f9a8-4af1-8515-3ee4becd7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6AA55772-51F3-4B49-B345-00231A7D6130}">
  <ds:schemaRefs>
    <ds:schemaRef ds:uri="http://schemas.openxmlformats.org/officeDocument/2006/bibliography"/>
  </ds:schemaRefs>
</ds:datastoreItem>
</file>

<file path=customXml/itemProps2.xml><?xml version="1.0" encoding="utf-8"?>
<ds:datastoreItem xmlns:ds="http://schemas.openxmlformats.org/officeDocument/2006/customXml" ds:itemID="{B091DF9D-49EC-45A7-824B-E79994EC4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0927b-c1aa-46a1-a2e1-538f37d56fc0"/>
    <ds:schemaRef ds:uri="c8f7ef64-a337-4380-87e0-326e9f843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3D158-7764-4827-A894-C31EAADE6E39}">
  <ds:schemaRefs>
    <ds:schemaRef ds:uri="http://schemas.microsoft.com/sharepoint/events"/>
  </ds:schemaRefs>
</ds:datastoreItem>
</file>

<file path=customXml/itemProps4.xml><?xml version="1.0" encoding="utf-8"?>
<ds:datastoreItem xmlns:ds="http://schemas.openxmlformats.org/officeDocument/2006/customXml" ds:itemID="{945A8DF9-88A1-4F3C-80D8-2F53C70236E9}">
  <ds:schemaRefs>
    <ds:schemaRef ds:uri="office.server.policy"/>
  </ds:schemaRefs>
</ds:datastoreItem>
</file>

<file path=customXml/itemProps5.xml><?xml version="1.0" encoding="utf-8"?>
<ds:datastoreItem xmlns:ds="http://schemas.openxmlformats.org/officeDocument/2006/customXml" ds:itemID="{7D2119FB-B28C-403E-9578-CB1A02E2DDB5}">
  <ds:schemaRefs>
    <ds:schemaRef ds:uri="http://schemas.microsoft.com/sharepoint/v3/contenttype/forms"/>
  </ds:schemaRefs>
</ds:datastoreItem>
</file>

<file path=customXml/itemProps6.xml><?xml version="1.0" encoding="utf-8"?>
<ds:datastoreItem xmlns:ds="http://schemas.openxmlformats.org/officeDocument/2006/customXml" ds:itemID="{1CA4D91B-4EB8-406B-8059-DD47A88E0F36}">
  <ds:schemaRefs>
    <ds:schemaRef ds:uri="http://schemas.microsoft.com/sharepoint/v3/contenttype/forms"/>
  </ds:schemaRefs>
</ds:datastoreItem>
</file>

<file path=customXml/itemProps7.xml><?xml version="1.0" encoding="utf-8"?>
<ds:datastoreItem xmlns:ds="http://schemas.openxmlformats.org/officeDocument/2006/customXml" ds:itemID="{87A5B9EE-4A6E-4AF4-BB4B-56F36F770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9aca-9341-46c6-bed1-4f98031c265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8.xml><?xml version="1.0" encoding="utf-8"?>
<ds:datastoreItem xmlns:ds="http://schemas.openxmlformats.org/officeDocument/2006/customXml" ds:itemID="{57AFC533-3616-4181-A27E-A2DC380444A1}">
  <ds:schemaRefs/>
</ds:datastoreItem>
</file>

<file path=customXml/itemProps9.xml><?xml version="1.0" encoding="utf-8"?>
<ds:datastoreItem xmlns:ds="http://schemas.openxmlformats.org/officeDocument/2006/customXml" ds:itemID="{A7B119DF-B38C-443E-AFB6-AC4268F0BF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39779</Words>
  <Characters>22675</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Algol</Company>
  <LinksUpToDate>false</LinksUpToDate>
  <CharactersWithSpaces>62330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6160700</vt:i4>
      </vt:variant>
      <vt:variant>
        <vt:i4>9</vt:i4>
      </vt:variant>
      <vt:variant>
        <vt:i4>0</vt:i4>
      </vt:variant>
      <vt:variant>
        <vt:i4>5</vt:i4>
      </vt:variant>
      <vt:variant>
        <vt:lpwstr>C:\Users\ru148\Downloads\Valstybinės</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Kalagina</dc:creator>
  <cp:keywords/>
  <cp:lastModifiedBy>Albina Burkauskaitė</cp:lastModifiedBy>
  <cp:revision>3</cp:revision>
  <dcterms:created xsi:type="dcterms:W3CDTF">2024-06-11T06:45:00Z</dcterms:created>
  <dcterms:modified xsi:type="dcterms:W3CDTF">2024-06-11T06:46:00Z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b8af2973-fdba-4522-bf4f-7d6c728d61b9</vt:lpwstr>
  </property>
  <property fmtid="{D5CDD505-2E9C-101B-9397-08002B2CF9AE}" pid="3" name="ContentTypeId">
    <vt:lpwstr>0x010100208C0351BEE5C3468A085A535416F7410052700C0B1903B345BE5FF810551A1B26</vt:lpwstr>
  </property>
  <property fmtid="{D5CDD505-2E9C-101B-9397-08002B2CF9AE}" pid="4" name="_dlc_DocId">
    <vt:lpwstr>ERNEFWFFZREY-122-546000</vt:lpwstr>
  </property>
  <property fmtid="{D5CDD505-2E9C-101B-9397-08002B2CF9AE}" pid="5" name="_dlc_DocIdUrl">
    <vt:lpwstr>http://eupcphhqsp010/Docs/_layouts/15/DocIdRedir.aspx?ID=ERNEFWFFZREY-122-546000, ERNEFWFFZREY-122-546000</vt:lpwstr>
  </property>
  <property fmtid="{D5CDD505-2E9C-101B-9397-08002B2CF9AE}" pid="6" name="DM_Status">
    <vt:lpwstr/>
  </property>
  <property fmtid="{D5CDD505-2E9C-101B-9397-08002B2CF9AE}" pid="7" name="DM_Authors">
    <vt:lpwstr/>
  </property>
  <property fmtid="{D5CDD505-2E9C-101B-9397-08002B2CF9AE}" pid="8" name="DM_Keywords">
    <vt:lpwstr/>
  </property>
  <property fmtid="{D5CDD505-2E9C-101B-9397-08002B2CF9AE}" pid="9" name="DM_Subject">
    <vt:lpwstr>General-EMA/76626/2009</vt:lpwstr>
  </property>
  <property fmtid="{D5CDD505-2E9C-101B-9397-08002B2CF9AE}" pid="10" name="DM_Title">
    <vt:lpwstr/>
  </property>
  <property fmtid="{D5CDD505-2E9C-101B-9397-08002B2CF9AE}" pid="11" name="DM_Language">
    <vt:lpwstr/>
  </property>
  <property fmtid="{D5CDD505-2E9C-101B-9397-08002B2CF9AE}" pid="12" name="DM_Owner">
    <vt:lpwstr>Espinasse Claire</vt:lpwstr>
  </property>
  <property fmtid="{D5CDD505-2E9C-101B-9397-08002B2CF9AE}" pid="13" name="DM_emea_cc">
    <vt:lpwstr/>
  </property>
  <property fmtid="{D5CDD505-2E9C-101B-9397-08002B2CF9AE}" pid="14" name="DM_emea_message_subject">
    <vt:lpwstr/>
  </property>
  <property fmtid="{D5CDD505-2E9C-101B-9397-08002B2CF9AE}" pid="15" name="DM_emea_doc_number">
    <vt:lpwstr>76626</vt:lpwstr>
  </property>
  <property fmtid="{D5CDD505-2E9C-101B-9397-08002B2CF9AE}" pid="16" name="DM_emea_received_date">
    <vt:lpwstr>nulldate</vt:lpwstr>
  </property>
  <property fmtid="{D5CDD505-2E9C-101B-9397-08002B2CF9AE}" pid="17" name="DM_emea_resp_body">
    <vt:lpwstr/>
  </property>
  <property fmtid="{D5CDD505-2E9C-101B-9397-08002B2CF9AE}" pid="18" name="DM_emea_revision_label">
    <vt:lpwstr/>
  </property>
  <property fmtid="{D5CDD505-2E9C-101B-9397-08002B2CF9AE}" pid="19" name="DM_emea_to">
    <vt:lpwstr/>
  </property>
  <property fmtid="{D5CDD505-2E9C-101B-9397-08002B2CF9AE}" pid="20" name="DM_emea_bcc">
    <vt:lpwstr/>
  </property>
  <property fmtid="{D5CDD505-2E9C-101B-9397-08002B2CF9AE}" pid="21" name="DM_emea_doc_category">
    <vt:lpwstr>General</vt:lpwstr>
  </property>
  <property fmtid="{D5CDD505-2E9C-101B-9397-08002B2CF9AE}" pid="22" name="DM_emea_from">
    <vt:lpwstr/>
  </property>
  <property fmtid="{D5CDD505-2E9C-101B-9397-08002B2CF9AE}" pid="23" name="DM_emea_internal_label">
    <vt:lpwstr>EMA</vt:lpwstr>
  </property>
  <property fmtid="{D5CDD505-2E9C-101B-9397-08002B2CF9AE}" pid="24" name="DM_emea_legal_date">
    <vt:lpwstr>nulldate</vt:lpwstr>
  </property>
  <property fmtid="{D5CDD505-2E9C-101B-9397-08002B2CF9AE}" pid="25" name="DM_emea_year">
    <vt:lpwstr>2009</vt:lpwstr>
  </property>
  <property fmtid="{D5CDD505-2E9C-101B-9397-08002B2CF9AE}" pid="26" name="DM_emea_sent_date">
    <vt:lpwstr>nulldate</vt:lpwstr>
  </property>
  <property fmtid="{D5CDD505-2E9C-101B-9397-08002B2CF9AE}" pid="27" name="DM_emea_doc_lang">
    <vt:lpwstr/>
  </property>
  <property fmtid="{D5CDD505-2E9C-101B-9397-08002B2CF9AE}" pid="28" name="DM_emea_meeting_status">
    <vt:lpwstr/>
  </property>
  <property fmtid="{D5CDD505-2E9C-101B-9397-08002B2CF9AE}" pid="29" name="DM_emea_meeting_action">
    <vt:lpwstr/>
  </property>
  <property fmtid="{D5CDD505-2E9C-101B-9397-08002B2CF9AE}" pid="30" name="DM_emea_meeting_hyperlink">
    <vt:lpwstr/>
  </property>
  <property fmtid="{D5CDD505-2E9C-101B-9397-08002B2CF9AE}" pid="31" name="DM_emea_meeting_title">
    <vt:lpwstr/>
  </property>
  <property fmtid="{D5CDD505-2E9C-101B-9397-08002B2CF9AE}" pid="32" name="DM_emea_meeting_ref">
    <vt:lpwstr/>
  </property>
  <property fmtid="{D5CDD505-2E9C-101B-9397-08002B2CF9AE}" pid="33" name="DM_emea_meeting_flags">
    <vt:lpwstr/>
  </property>
  <property fmtid="{D5CDD505-2E9C-101B-9397-08002B2CF9AE}" pid="34" name="DM_Version">
    <vt:lpwstr>CURRENT,1.1</vt:lpwstr>
  </property>
  <property fmtid="{D5CDD505-2E9C-101B-9397-08002B2CF9AE}" pid="35" name="DM_Name">
    <vt:lpwstr>EN Beten Day 121 PI</vt:lpwstr>
  </property>
  <property fmtid="{D5CDD505-2E9C-101B-9397-08002B2CF9AE}" pid="36" name="DM_Creation_Date">
    <vt:lpwstr>20/06/2012 17:29:59</vt:lpwstr>
  </property>
  <property fmtid="{D5CDD505-2E9C-101B-9397-08002B2CF9AE}" pid="37" name="DM_Modify_Date">
    <vt:lpwstr>20/06/2012 17:29:59</vt:lpwstr>
  </property>
  <property fmtid="{D5CDD505-2E9C-101B-9397-08002B2CF9AE}" pid="38" name="DM_Creator_Name">
    <vt:lpwstr>Chomette Amandine</vt:lpwstr>
  </property>
  <property fmtid="{D5CDD505-2E9C-101B-9397-08002B2CF9AE}" pid="39" name="DM_Modifier_Name">
    <vt:lpwstr>Chomette Amandine</vt:lpwstr>
  </property>
  <property fmtid="{D5CDD505-2E9C-101B-9397-08002B2CF9AE}" pid="40" name="DM_Type">
    <vt:lpwstr>emea_document</vt:lpwstr>
  </property>
  <property fmtid="{D5CDD505-2E9C-101B-9397-08002B2CF9AE}" pid="41" name="DM_DocRefId">
    <vt:lpwstr>EMA/337385/2012</vt:lpwstr>
  </property>
  <property fmtid="{D5CDD505-2E9C-101B-9397-08002B2CF9AE}" pid="42" name="DM_Category">
    <vt:lpwstr>Product Information</vt:lpwstr>
  </property>
  <property fmtid="{D5CDD505-2E9C-101B-9397-08002B2CF9AE}" pid="43" name="DM_Path">
    <vt:lpwstr>/01. Evaluation of Medicine/H-C/A-C/Betanis-002388/10 Translations/Day 121 - Co Post LoQ Prod Info</vt:lpwstr>
  </property>
  <property fmtid="{D5CDD505-2E9C-101B-9397-08002B2CF9AE}" pid="44" name="DM_emea_doc_ref_id">
    <vt:lpwstr>EMA/337385/2012</vt:lpwstr>
  </property>
  <property fmtid="{D5CDD505-2E9C-101B-9397-08002B2CF9AE}" pid="45" name="DM_Modifer_Name">
    <vt:lpwstr>Chomette Amandine</vt:lpwstr>
  </property>
  <property fmtid="{D5CDD505-2E9C-101B-9397-08002B2CF9AE}" pid="46" name="DM_Modified_Date">
    <vt:lpwstr>20/06/2012 17:29:59</vt:lpwstr>
  </property>
  <property fmtid="{D5CDD505-2E9C-101B-9397-08002B2CF9AE}" pid="47" name="Country">
    <vt:lpwstr/>
  </property>
  <property fmtid="{D5CDD505-2E9C-101B-9397-08002B2CF9AE}" pid="48" name="Type of Document">
    <vt:lpwstr/>
  </property>
  <property fmtid="{D5CDD505-2E9C-101B-9397-08002B2CF9AE}" pid="49" name="Active Substance">
    <vt:lpwstr/>
  </property>
  <property fmtid="{D5CDD505-2E9C-101B-9397-08002B2CF9AE}" pid="50" name="Product Name">
    <vt:lpwstr/>
  </property>
  <property fmtid="{D5CDD505-2E9C-101B-9397-08002B2CF9AE}" pid="51" name="Expiry Date">
    <vt:lpwstr/>
  </property>
</Properties>
</file>