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41" w:rsidRDefault="00192F41" w:rsidP="00192F41">
      <w:pPr>
        <w:shd w:val="clear" w:color="auto" w:fill="FFFFFF"/>
        <w:spacing w:line="240" w:lineRule="auto"/>
        <w:jc w:val="center"/>
        <w:rPr>
          <w:b/>
          <w:shd w:val="clear" w:color="auto" w:fill="FFFFFF"/>
          <w:lang w:val="lt-LT"/>
        </w:rPr>
      </w:pPr>
      <w:r w:rsidRPr="00045D19">
        <w:rPr>
          <w:b/>
          <w:bCs/>
          <w:iCs/>
          <w:szCs w:val="28"/>
          <w:lang w:val="lt-LT" w:eastAsia="ja-JP"/>
        </w:rPr>
        <w:t>Pakuotės lapelis: informacija pacientui</w:t>
      </w:r>
    </w:p>
    <w:p w:rsidR="00192F41" w:rsidRDefault="00192F41" w:rsidP="00192F41">
      <w:pPr>
        <w:shd w:val="clear" w:color="auto" w:fill="FFFFFF"/>
        <w:spacing w:line="240" w:lineRule="auto"/>
        <w:jc w:val="center"/>
        <w:rPr>
          <w:b/>
          <w:shd w:val="clear" w:color="auto" w:fill="FFFFFF"/>
          <w:lang w:val="lt-LT"/>
        </w:rPr>
      </w:pPr>
    </w:p>
    <w:p w:rsidR="00192F41" w:rsidRPr="00045D19" w:rsidRDefault="00192F41" w:rsidP="00192F41">
      <w:pPr>
        <w:shd w:val="clear" w:color="auto" w:fill="FFFFFF"/>
        <w:spacing w:line="240" w:lineRule="auto"/>
        <w:jc w:val="center"/>
        <w:rPr>
          <w:b/>
          <w:shd w:val="clear" w:color="auto" w:fill="FFFFFF"/>
          <w:lang w:val="lt-LT"/>
        </w:rPr>
      </w:pPr>
      <w:proofErr w:type="spellStart"/>
      <w:r w:rsidRPr="00045D19">
        <w:rPr>
          <w:b/>
          <w:shd w:val="clear" w:color="auto" w:fill="FFFFFF"/>
          <w:lang w:val="lt-LT"/>
        </w:rPr>
        <w:t>Rezol</w:t>
      </w:r>
      <w:proofErr w:type="spellEnd"/>
      <w:r w:rsidRPr="00045D19">
        <w:rPr>
          <w:b/>
          <w:shd w:val="clear" w:color="auto" w:fill="FFFFFF"/>
          <w:lang w:val="lt-LT"/>
        </w:rPr>
        <w:t xml:space="preserve"> 1 g milteliai injekciniam ar infuziniam tirpalui</w:t>
      </w:r>
    </w:p>
    <w:p w:rsidR="00192F41" w:rsidRPr="00045D19" w:rsidRDefault="00192F41" w:rsidP="00192F41">
      <w:pPr>
        <w:spacing w:line="240" w:lineRule="auto"/>
        <w:jc w:val="center"/>
        <w:rPr>
          <w:lang w:val="lt-LT"/>
        </w:rPr>
      </w:pPr>
      <w:proofErr w:type="spellStart"/>
      <w:r>
        <w:rPr>
          <w:lang w:val="lt-LT"/>
        </w:rPr>
        <w:t>c</w:t>
      </w:r>
      <w:r w:rsidRPr="00045D19">
        <w:rPr>
          <w:lang w:val="lt-LT"/>
        </w:rPr>
        <w:t>efazolinas</w:t>
      </w:r>
      <w:proofErr w:type="spellEnd"/>
    </w:p>
    <w:p w:rsidR="00192F41" w:rsidRPr="00045D19" w:rsidRDefault="00192F41" w:rsidP="00192F41">
      <w:pPr>
        <w:spacing w:line="240" w:lineRule="auto"/>
        <w:rPr>
          <w:b/>
          <w:lang w:val="lt-LT"/>
        </w:rPr>
      </w:pPr>
    </w:p>
    <w:p w:rsidR="00192F41" w:rsidRPr="00045D19" w:rsidRDefault="00192F41" w:rsidP="00192F41">
      <w:pPr>
        <w:spacing w:line="240" w:lineRule="auto"/>
        <w:rPr>
          <w:b/>
          <w:lang w:val="lt-LT"/>
        </w:rPr>
      </w:pPr>
      <w:r w:rsidRPr="00045D19">
        <w:rPr>
          <w:b/>
          <w:lang w:val="lt-LT"/>
        </w:rPr>
        <w:t>Atidžiai perskaitykite visą šį lapelį, prieš pradėdami vartoti vaistą, nes jame pateikiama Jums svarbi informacija.</w:t>
      </w:r>
    </w:p>
    <w:p w:rsidR="00192F41" w:rsidRPr="00045D19" w:rsidRDefault="00192F41" w:rsidP="00192F41">
      <w:pPr>
        <w:numPr>
          <w:ilvl w:val="0"/>
          <w:numId w:val="1"/>
        </w:numPr>
        <w:spacing w:line="240" w:lineRule="auto"/>
        <w:ind w:left="567" w:right="-2" w:hanging="357"/>
        <w:rPr>
          <w:lang w:val="lt-LT"/>
        </w:rPr>
      </w:pPr>
      <w:r w:rsidRPr="00045D19">
        <w:rPr>
          <w:lang w:val="lt-LT"/>
        </w:rPr>
        <w:t xml:space="preserve">Neišmeskite šio lapelio, nes vėl gali prireikti jį perskaityti. </w:t>
      </w:r>
    </w:p>
    <w:p w:rsidR="00192F41" w:rsidRPr="00045D19" w:rsidRDefault="00192F41" w:rsidP="00192F41">
      <w:pPr>
        <w:numPr>
          <w:ilvl w:val="0"/>
          <w:numId w:val="1"/>
        </w:numPr>
        <w:spacing w:line="240" w:lineRule="auto"/>
        <w:ind w:left="567" w:right="-2" w:hanging="357"/>
        <w:rPr>
          <w:lang w:val="lt-LT"/>
        </w:rPr>
      </w:pPr>
      <w:r w:rsidRPr="00045D19">
        <w:rPr>
          <w:lang w:val="lt-LT"/>
        </w:rPr>
        <w:t>Jeigu kiltų daugiau klausimų, kreipkitės į gydytoją, vaistininką arba slaugytoją.</w:t>
      </w:r>
    </w:p>
    <w:p w:rsidR="00192F41" w:rsidRPr="00045D19" w:rsidRDefault="00192F41" w:rsidP="00192F41">
      <w:pPr>
        <w:numPr>
          <w:ilvl w:val="0"/>
          <w:numId w:val="1"/>
        </w:numPr>
        <w:spacing w:line="240" w:lineRule="auto"/>
        <w:ind w:left="567" w:hanging="357"/>
        <w:rPr>
          <w:lang w:val="lt-LT"/>
        </w:rPr>
      </w:pPr>
      <w:r w:rsidRPr="00045D19">
        <w:rPr>
          <w:lang w:val="lt-LT"/>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Apie ką rašoma šiame lapelyje?</w:t>
      </w:r>
    </w:p>
    <w:p w:rsidR="00192F41" w:rsidRPr="00045D19" w:rsidRDefault="00192F41" w:rsidP="00192F41">
      <w:pPr>
        <w:spacing w:line="240" w:lineRule="auto"/>
        <w:ind w:left="284" w:right="-2"/>
        <w:rPr>
          <w:lang w:val="lt-LT"/>
        </w:rPr>
      </w:pPr>
    </w:p>
    <w:p w:rsidR="00192F41" w:rsidRPr="00045D19" w:rsidRDefault="00192F41" w:rsidP="00192F41">
      <w:pPr>
        <w:spacing w:line="240" w:lineRule="auto"/>
        <w:ind w:left="567" w:right="-2" w:hanging="567"/>
        <w:rPr>
          <w:lang w:val="lt-LT"/>
        </w:rPr>
      </w:pPr>
      <w:r w:rsidRPr="00045D19">
        <w:rPr>
          <w:lang w:val="lt-LT"/>
        </w:rPr>
        <w:t>1.</w:t>
      </w:r>
      <w:r w:rsidRPr="00045D19">
        <w:rPr>
          <w:lang w:val="lt-LT"/>
        </w:rPr>
        <w:tab/>
        <w:t xml:space="preserve">Kas yra </w:t>
      </w:r>
      <w:proofErr w:type="spellStart"/>
      <w:r w:rsidRPr="00045D19">
        <w:rPr>
          <w:lang w:val="lt-LT"/>
        </w:rPr>
        <w:t>Rezol</w:t>
      </w:r>
      <w:proofErr w:type="spellEnd"/>
      <w:r w:rsidRPr="00045D19">
        <w:rPr>
          <w:lang w:val="lt-LT"/>
        </w:rPr>
        <w:t xml:space="preserve"> ir kam jis vartojamas </w:t>
      </w:r>
    </w:p>
    <w:p w:rsidR="00192F41" w:rsidRPr="00045D19" w:rsidRDefault="00192F41" w:rsidP="00192F41">
      <w:pPr>
        <w:spacing w:line="240" w:lineRule="auto"/>
        <w:ind w:left="567" w:right="-2" w:hanging="567"/>
        <w:rPr>
          <w:lang w:val="lt-LT"/>
        </w:rPr>
      </w:pPr>
      <w:r w:rsidRPr="00045D19">
        <w:rPr>
          <w:lang w:val="lt-LT"/>
        </w:rPr>
        <w:t>2.</w:t>
      </w:r>
      <w:r w:rsidRPr="00045D19">
        <w:rPr>
          <w:lang w:val="lt-LT"/>
        </w:rPr>
        <w:tab/>
        <w:t xml:space="preserve">Kas žinotina prieš vartojant </w:t>
      </w:r>
      <w:proofErr w:type="spellStart"/>
      <w:r w:rsidRPr="00045D19">
        <w:rPr>
          <w:lang w:val="lt-LT"/>
        </w:rPr>
        <w:t>Rezol</w:t>
      </w:r>
      <w:proofErr w:type="spellEnd"/>
    </w:p>
    <w:p w:rsidR="00192F41" w:rsidRPr="00045D19" w:rsidRDefault="00192F41" w:rsidP="00192F41">
      <w:pPr>
        <w:spacing w:line="240" w:lineRule="auto"/>
        <w:ind w:left="567" w:right="-2" w:hanging="567"/>
        <w:rPr>
          <w:lang w:val="lt-LT"/>
        </w:rPr>
      </w:pPr>
      <w:r w:rsidRPr="00045D19">
        <w:rPr>
          <w:lang w:val="lt-LT"/>
        </w:rPr>
        <w:t>3.</w:t>
      </w:r>
      <w:r w:rsidRPr="00045D19">
        <w:rPr>
          <w:lang w:val="lt-LT"/>
        </w:rPr>
        <w:tab/>
        <w:t xml:space="preserve">Kaip vartoti </w:t>
      </w:r>
      <w:proofErr w:type="spellStart"/>
      <w:r w:rsidRPr="00045D19">
        <w:rPr>
          <w:lang w:val="lt-LT"/>
        </w:rPr>
        <w:t>Rezol</w:t>
      </w:r>
      <w:proofErr w:type="spellEnd"/>
      <w:r w:rsidRPr="00045D19">
        <w:rPr>
          <w:lang w:val="lt-LT"/>
        </w:rPr>
        <w:t xml:space="preserve"> </w:t>
      </w:r>
    </w:p>
    <w:p w:rsidR="00192F41" w:rsidRPr="00045D19" w:rsidRDefault="00192F41" w:rsidP="00192F41">
      <w:pPr>
        <w:spacing w:line="240" w:lineRule="auto"/>
        <w:ind w:left="567" w:right="-2" w:hanging="567"/>
        <w:rPr>
          <w:lang w:val="lt-LT"/>
        </w:rPr>
      </w:pPr>
      <w:r w:rsidRPr="00045D19">
        <w:rPr>
          <w:lang w:val="lt-LT"/>
        </w:rPr>
        <w:t>4.</w:t>
      </w:r>
      <w:r w:rsidRPr="00045D19">
        <w:rPr>
          <w:lang w:val="lt-LT"/>
        </w:rPr>
        <w:tab/>
        <w:t xml:space="preserve">Galimas šalutinis poveikis </w:t>
      </w:r>
    </w:p>
    <w:p w:rsidR="00192F41" w:rsidRPr="00045D19" w:rsidRDefault="00192F41" w:rsidP="00192F41">
      <w:pPr>
        <w:tabs>
          <w:tab w:val="left" w:pos="709"/>
        </w:tabs>
        <w:spacing w:line="240" w:lineRule="auto"/>
        <w:ind w:left="567" w:right="-2" w:hanging="567"/>
        <w:rPr>
          <w:lang w:val="lt-LT"/>
        </w:rPr>
      </w:pPr>
      <w:r w:rsidRPr="00045D19">
        <w:rPr>
          <w:lang w:val="lt-LT"/>
        </w:rPr>
        <w:t>5.</w:t>
      </w:r>
      <w:r w:rsidRPr="00045D19">
        <w:rPr>
          <w:lang w:val="lt-LT"/>
        </w:rPr>
        <w:tab/>
        <w:t xml:space="preserve">Kaip laikyti </w:t>
      </w:r>
      <w:proofErr w:type="spellStart"/>
      <w:r w:rsidRPr="00045D19">
        <w:rPr>
          <w:lang w:val="lt-LT"/>
        </w:rPr>
        <w:t>Rezol</w:t>
      </w:r>
      <w:proofErr w:type="spellEnd"/>
      <w:r w:rsidRPr="00045D19">
        <w:rPr>
          <w:lang w:val="lt-LT"/>
        </w:rPr>
        <w:t xml:space="preserve"> </w:t>
      </w:r>
    </w:p>
    <w:p w:rsidR="00192F41" w:rsidRPr="00045D19" w:rsidRDefault="00192F41" w:rsidP="00192F41">
      <w:pPr>
        <w:spacing w:line="240" w:lineRule="auto"/>
        <w:ind w:left="567" w:right="-2" w:hanging="567"/>
        <w:rPr>
          <w:lang w:val="lt-LT"/>
        </w:rPr>
      </w:pPr>
      <w:r w:rsidRPr="00045D19">
        <w:rPr>
          <w:lang w:val="lt-LT"/>
        </w:rPr>
        <w:t>6.</w:t>
      </w:r>
      <w:r w:rsidRPr="00045D19">
        <w:rPr>
          <w:lang w:val="lt-LT"/>
        </w:rPr>
        <w:tab/>
        <w:t>Pakuotės turinys ir kita informacija</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1.</w:t>
      </w:r>
      <w:r w:rsidRPr="00045D19">
        <w:rPr>
          <w:b/>
          <w:bCs/>
          <w:szCs w:val="28"/>
          <w:lang w:val="lt-LT" w:eastAsia="ja-JP"/>
        </w:rPr>
        <w:tab/>
        <w:t xml:space="preserve">Kas yra </w:t>
      </w:r>
      <w:proofErr w:type="spellStart"/>
      <w:r w:rsidRPr="00045D19">
        <w:rPr>
          <w:b/>
          <w:bCs/>
          <w:szCs w:val="28"/>
          <w:lang w:val="lt-LT" w:eastAsia="ja-JP"/>
        </w:rPr>
        <w:t>Rezol</w:t>
      </w:r>
      <w:proofErr w:type="spellEnd"/>
      <w:r w:rsidRPr="00045D19">
        <w:rPr>
          <w:b/>
          <w:bCs/>
          <w:szCs w:val="28"/>
          <w:lang w:val="lt-LT" w:eastAsia="ja-JP"/>
        </w:rPr>
        <w:t xml:space="preserve"> ir kam jis vartojamas</w:t>
      </w:r>
    </w:p>
    <w:p w:rsidR="00192F41" w:rsidRPr="00045D19" w:rsidRDefault="00192F41" w:rsidP="00192F41">
      <w:pPr>
        <w:spacing w:line="240" w:lineRule="auto"/>
        <w:rPr>
          <w:lang w:val="lt-LT"/>
        </w:rPr>
      </w:pPr>
    </w:p>
    <w:p w:rsidR="00192F41" w:rsidRPr="00045D19" w:rsidRDefault="00192F41" w:rsidP="00192F41">
      <w:pPr>
        <w:spacing w:line="240" w:lineRule="auto"/>
        <w:rPr>
          <w:color w:val="000000"/>
          <w:lang w:val="lt-LT"/>
        </w:rPr>
      </w:pPr>
      <w:proofErr w:type="spellStart"/>
      <w:r w:rsidRPr="00045D19">
        <w:rPr>
          <w:lang w:val="lt-LT"/>
        </w:rPr>
        <w:t>Rezol</w:t>
      </w:r>
      <w:proofErr w:type="spellEnd"/>
      <w:r w:rsidRPr="00045D19">
        <w:rPr>
          <w:lang w:val="lt-LT"/>
        </w:rPr>
        <w:t xml:space="preserve"> </w:t>
      </w:r>
      <w:r w:rsidRPr="00045D19">
        <w:rPr>
          <w:color w:val="000000"/>
          <w:lang w:val="lt-LT"/>
        </w:rPr>
        <w:t xml:space="preserve">sudėtyje yra veikliosios medžiagos </w:t>
      </w:r>
      <w:proofErr w:type="spellStart"/>
      <w:r w:rsidRPr="00045D19">
        <w:rPr>
          <w:color w:val="000000"/>
          <w:lang w:val="lt-LT"/>
        </w:rPr>
        <w:t>cefazolino</w:t>
      </w:r>
      <w:proofErr w:type="spellEnd"/>
      <w:r w:rsidRPr="00045D19">
        <w:rPr>
          <w:color w:val="000000"/>
          <w:lang w:val="lt-LT"/>
        </w:rPr>
        <w:t xml:space="preserve">. </w:t>
      </w:r>
    </w:p>
    <w:p w:rsidR="00192F41" w:rsidRPr="00045D19" w:rsidRDefault="00192F41" w:rsidP="00192F41">
      <w:pPr>
        <w:spacing w:line="240" w:lineRule="auto"/>
        <w:rPr>
          <w:color w:val="000000"/>
          <w:lang w:val="lt-LT"/>
        </w:rPr>
      </w:pPr>
      <w:proofErr w:type="spellStart"/>
      <w:r w:rsidRPr="00045D19">
        <w:rPr>
          <w:color w:val="000000"/>
          <w:lang w:val="lt-LT"/>
        </w:rPr>
        <w:t>Cefazolinas</w:t>
      </w:r>
      <w:proofErr w:type="spellEnd"/>
      <w:r w:rsidRPr="00045D19">
        <w:rPr>
          <w:color w:val="000000"/>
          <w:lang w:val="lt-LT"/>
        </w:rPr>
        <w:t xml:space="preserve"> priklauso </w:t>
      </w:r>
      <w:proofErr w:type="spellStart"/>
      <w:r w:rsidRPr="00045D19">
        <w:rPr>
          <w:color w:val="000000"/>
          <w:lang w:val="lt-LT"/>
        </w:rPr>
        <w:t>cefalosporinais</w:t>
      </w:r>
      <w:proofErr w:type="spellEnd"/>
      <w:r w:rsidRPr="00045D19">
        <w:rPr>
          <w:color w:val="000000"/>
          <w:lang w:val="lt-LT"/>
        </w:rPr>
        <w:t xml:space="preserve"> vadinamų antibiotikų, kurie veikia naikindami bakterijas, grupei.</w:t>
      </w:r>
    </w:p>
    <w:p w:rsidR="00192F41" w:rsidRPr="00045D19" w:rsidRDefault="00192F41" w:rsidP="00192F41">
      <w:pPr>
        <w:spacing w:line="240" w:lineRule="auto"/>
        <w:rPr>
          <w:lang w:val="lt-LT"/>
        </w:rPr>
      </w:pPr>
    </w:p>
    <w:p w:rsidR="00192F41" w:rsidRPr="00045D19" w:rsidRDefault="00192F41" w:rsidP="00192F41">
      <w:pPr>
        <w:spacing w:line="240" w:lineRule="auto"/>
        <w:ind w:right="-2"/>
        <w:rPr>
          <w:lang w:val="lt-LT"/>
        </w:rPr>
      </w:pPr>
      <w:proofErr w:type="spellStart"/>
      <w:r w:rsidRPr="00045D19">
        <w:rPr>
          <w:color w:val="000000"/>
          <w:lang w:val="lt-LT"/>
        </w:rPr>
        <w:t>Cefazolino</w:t>
      </w:r>
      <w:proofErr w:type="spellEnd"/>
      <w:r w:rsidRPr="00045D19">
        <w:rPr>
          <w:color w:val="000000"/>
          <w:lang w:val="lt-LT"/>
        </w:rPr>
        <w:t xml:space="preserve"> vartojama tada, kai yra žinoma ar tikėtina, kad infekcinės ligos sukėlėjas yra bakterija, jautri </w:t>
      </w:r>
      <w:proofErr w:type="spellStart"/>
      <w:r w:rsidRPr="00045D19">
        <w:rPr>
          <w:color w:val="000000"/>
          <w:lang w:val="lt-LT"/>
        </w:rPr>
        <w:t>cefazolino</w:t>
      </w:r>
      <w:proofErr w:type="spellEnd"/>
      <w:r w:rsidRPr="00045D19">
        <w:rPr>
          <w:color w:val="000000"/>
          <w:lang w:val="lt-LT"/>
        </w:rPr>
        <w:t xml:space="preserve"> poveikiui. Jo vartojama gydant:</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odos ir poodinių audinių infekcines ligas;</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kaulų ir sąnarių infekcines ligas.</w:t>
      </w:r>
    </w:p>
    <w:p w:rsidR="00192F41" w:rsidRPr="00045D19" w:rsidRDefault="00192F41" w:rsidP="00192F41">
      <w:pPr>
        <w:spacing w:line="240" w:lineRule="auto"/>
        <w:rPr>
          <w:rFonts w:eastAsia="T1"/>
          <w:lang w:val="lt-LT"/>
        </w:rPr>
      </w:pPr>
    </w:p>
    <w:p w:rsidR="00192F41" w:rsidRPr="00045D19" w:rsidRDefault="00192F41" w:rsidP="00192F41">
      <w:pPr>
        <w:spacing w:line="240" w:lineRule="auto"/>
        <w:rPr>
          <w:color w:val="000000"/>
          <w:lang w:val="lt-LT"/>
        </w:rPr>
      </w:pPr>
      <w:proofErr w:type="spellStart"/>
      <w:r w:rsidRPr="00045D19">
        <w:rPr>
          <w:lang w:val="lt-LT"/>
        </w:rPr>
        <w:t>Rezol</w:t>
      </w:r>
      <w:proofErr w:type="spellEnd"/>
      <w:r w:rsidRPr="00045D19">
        <w:rPr>
          <w:lang w:val="lt-LT"/>
        </w:rPr>
        <w:t xml:space="preserve"> </w:t>
      </w:r>
      <w:r w:rsidRPr="00045D19">
        <w:rPr>
          <w:color w:val="000000"/>
          <w:lang w:val="lt-LT"/>
        </w:rPr>
        <w:t>galima vartoti prieš operaciją ir po jos, siekiant neleisti atsirasti infekcijai.</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2.</w:t>
      </w:r>
      <w:r w:rsidRPr="00045D19">
        <w:rPr>
          <w:b/>
          <w:bCs/>
          <w:szCs w:val="28"/>
          <w:lang w:val="lt-LT" w:eastAsia="ja-JP"/>
        </w:rPr>
        <w:tab/>
        <w:t xml:space="preserve">Kas žinotina prieš vartojant </w:t>
      </w:r>
      <w:proofErr w:type="spellStart"/>
      <w:r w:rsidRPr="00045D19">
        <w:rPr>
          <w:b/>
          <w:bCs/>
          <w:szCs w:val="28"/>
          <w:lang w:val="lt-LT" w:eastAsia="ja-JP"/>
        </w:rPr>
        <w:t>Rezol</w:t>
      </w:r>
      <w:proofErr w:type="spellEnd"/>
      <w:r w:rsidRPr="00045D19">
        <w:rPr>
          <w:b/>
          <w:bCs/>
          <w:szCs w:val="28"/>
          <w:lang w:val="lt-LT" w:eastAsia="ja-JP"/>
        </w:rPr>
        <w:t xml:space="preserve"> </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proofErr w:type="spellStart"/>
      <w:r w:rsidRPr="00045D19">
        <w:rPr>
          <w:b/>
          <w:bCs/>
          <w:szCs w:val="28"/>
          <w:lang w:val="lt-LT" w:eastAsia="ja-JP"/>
        </w:rPr>
        <w:t>Rezol</w:t>
      </w:r>
      <w:proofErr w:type="spellEnd"/>
      <w:r w:rsidRPr="00045D19">
        <w:rPr>
          <w:b/>
          <w:bCs/>
          <w:szCs w:val="28"/>
          <w:lang w:val="lt-LT" w:eastAsia="ja-JP"/>
        </w:rPr>
        <w:t xml:space="preserve"> vartoti </w:t>
      </w:r>
      <w:r>
        <w:rPr>
          <w:b/>
          <w:bCs/>
          <w:szCs w:val="28"/>
          <w:lang w:val="lt-LT" w:eastAsia="ja-JP"/>
        </w:rPr>
        <w:t>draudžiama</w:t>
      </w:r>
      <w:r w:rsidRPr="00045D19">
        <w:rPr>
          <w:b/>
          <w:bCs/>
          <w:szCs w:val="28"/>
          <w:lang w:val="lt-LT" w:eastAsia="ja-JP"/>
        </w:rPr>
        <w:t>:</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 xml:space="preserve">jeigu yra alergija </w:t>
      </w:r>
      <w:proofErr w:type="spellStart"/>
      <w:r w:rsidRPr="00045D19">
        <w:rPr>
          <w:rFonts w:eastAsia="T1"/>
          <w:lang w:val="lt-LT"/>
        </w:rPr>
        <w:t>cefazolinui</w:t>
      </w:r>
      <w:proofErr w:type="spellEnd"/>
      <w:r w:rsidRPr="00045D19">
        <w:rPr>
          <w:rFonts w:eastAsia="T1"/>
          <w:lang w:val="lt-LT"/>
        </w:rPr>
        <w:t xml:space="preserve"> arba bet kuriai pagalbinei šio vaisto medžiagai (jos išvardytos 6 skyriuje);</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buvo pasireiškusi sunki alerginė reakcija į peniciliną ar panašų antibiotiką.</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 xml:space="preserve">Įspėjimai ir atsargumo priemonės </w:t>
      </w:r>
    </w:p>
    <w:p w:rsidR="00192F41" w:rsidRPr="00045D19" w:rsidRDefault="00192F41" w:rsidP="00192F41">
      <w:pPr>
        <w:spacing w:line="240" w:lineRule="auto"/>
        <w:ind w:right="-2"/>
        <w:rPr>
          <w:lang w:val="lt-LT"/>
        </w:rPr>
      </w:pPr>
      <w:r w:rsidRPr="00045D19">
        <w:rPr>
          <w:lang w:val="lt-LT"/>
        </w:rPr>
        <w:t xml:space="preserve">Pasitarkite su gydytoju, vaistininku arba slaugytoju, prieš pradėdami vartoti </w:t>
      </w:r>
      <w:proofErr w:type="spellStart"/>
      <w:r w:rsidRPr="00045D19">
        <w:rPr>
          <w:lang w:val="lt-LT"/>
        </w:rPr>
        <w:t>Rezol</w:t>
      </w:r>
      <w:proofErr w:type="spellEnd"/>
      <w:r w:rsidRPr="00045D19">
        <w:rPr>
          <w:lang w:val="lt-LT"/>
        </w:rPr>
        <w:t>:</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Jums buvo pasireiškusi lengva alerginė reakcija į peniciliną ar panašius antibiotikus (pvz., buvo atsiradęs išbėrimas, kartu galėjo pasireikšti niežėjimas);</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esate alergiški bet kokiai šiame lapelyje nepaminėtai medžiagai;</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Jums kada nors buvo žarnyno sutrikimų, ypač kolitas (storųjų žarnų uždegimas);</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yra inkstų sutrikimų;</w:t>
      </w:r>
    </w:p>
    <w:p w:rsidR="00192F41" w:rsidRPr="00045D19" w:rsidRDefault="00192F41" w:rsidP="00192F41">
      <w:pPr>
        <w:numPr>
          <w:ilvl w:val="0"/>
          <w:numId w:val="3"/>
        </w:numPr>
        <w:spacing w:line="240" w:lineRule="auto"/>
        <w:ind w:left="567"/>
        <w:rPr>
          <w:rFonts w:eastAsia="T1"/>
          <w:lang w:val="lt-LT"/>
        </w:rPr>
      </w:pPr>
      <w:r w:rsidRPr="00045D19">
        <w:rPr>
          <w:rFonts w:eastAsia="T1"/>
          <w:lang w:val="lt-LT"/>
        </w:rPr>
        <w:t>jeigu ribojate natrio kiekį maiste.</w:t>
      </w:r>
    </w:p>
    <w:p w:rsidR="00192F41" w:rsidRPr="00045D19" w:rsidRDefault="00192F41" w:rsidP="00192F41">
      <w:pPr>
        <w:spacing w:line="240" w:lineRule="auto"/>
        <w:rPr>
          <w:lang w:val="lt-LT"/>
        </w:rPr>
      </w:pPr>
    </w:p>
    <w:p w:rsidR="00192F41" w:rsidRPr="00045D19" w:rsidRDefault="00192F41" w:rsidP="00192F41">
      <w:pPr>
        <w:rPr>
          <w:i/>
          <w:lang w:val="lt-LT"/>
        </w:rPr>
      </w:pPr>
      <w:r w:rsidRPr="00045D19">
        <w:rPr>
          <w:i/>
          <w:lang w:val="lt-LT"/>
        </w:rPr>
        <w:lastRenderedPageBreak/>
        <w:t>Rizikos veiksniai, sukeliantys vitamino K stoką, bei rizikos veiksniai, susiję su kitais kraujo krešėjimo sutrikimais</w:t>
      </w:r>
    </w:p>
    <w:p w:rsidR="00192F41" w:rsidRPr="00045D19" w:rsidRDefault="00192F41" w:rsidP="00192F41">
      <w:pPr>
        <w:rPr>
          <w:lang w:val="lt-LT"/>
        </w:rPr>
      </w:pPr>
      <w:r w:rsidRPr="00045D19">
        <w:rPr>
          <w:lang w:val="lt-LT"/>
        </w:rPr>
        <w:t xml:space="preserve">Retais atvejais gydymo </w:t>
      </w:r>
      <w:proofErr w:type="spellStart"/>
      <w:r w:rsidRPr="00045D19">
        <w:rPr>
          <w:lang w:val="lt-LT"/>
        </w:rPr>
        <w:t>cefazolinu</w:t>
      </w:r>
      <w:proofErr w:type="spellEnd"/>
      <w:r w:rsidRPr="00045D19">
        <w:rPr>
          <w:lang w:val="lt-LT"/>
        </w:rPr>
        <w:t xml:space="preserve"> metu gali atsirasti kraujo krešėjimo sutrikimų. Be to, kraujo krešėjimas gali sutrikti pacientams, kurie serga ligomis, sukeliančiomis ar pasunkinančiomis kraujavimą, pvz., </w:t>
      </w:r>
      <w:proofErr w:type="spellStart"/>
      <w:r w:rsidRPr="00045D19">
        <w:rPr>
          <w:lang w:val="lt-LT"/>
        </w:rPr>
        <w:t>hemofilija</w:t>
      </w:r>
      <w:proofErr w:type="spellEnd"/>
      <w:r w:rsidRPr="00045D19">
        <w:rPr>
          <w:lang w:val="lt-LT"/>
        </w:rPr>
        <w:t xml:space="preserve"> ar skrandžio arba žarnų opalige</w:t>
      </w:r>
      <w:r w:rsidRPr="00045D19">
        <w:rPr>
          <w:b/>
          <w:lang w:val="lt-LT"/>
        </w:rPr>
        <w:t>.</w:t>
      </w:r>
      <w:r w:rsidRPr="00045D19">
        <w:rPr>
          <w:lang w:val="lt-LT"/>
        </w:rPr>
        <w:t xml:space="preserve"> Tokiais atvejais bus atidžiai stebimas Jūsų kraujo krešėjimas.</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Šio vaisto negalima švirkšti į nugaros smegenis supančią ertmę (</w:t>
      </w:r>
      <w:proofErr w:type="spellStart"/>
      <w:r w:rsidRPr="00045D19">
        <w:rPr>
          <w:lang w:val="lt-LT"/>
        </w:rPr>
        <w:t>povoratinklinę</w:t>
      </w:r>
      <w:proofErr w:type="spellEnd"/>
      <w:r w:rsidRPr="00045D19">
        <w:rPr>
          <w:lang w:val="lt-LT"/>
        </w:rPr>
        <w:t xml:space="preserve"> ertmę), kadangi gauta pranešimų apie toksinio poveikio centrinei nervų sistemai (įskaitant traukulius) atvejus.</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 xml:space="preserve">Ilgalaikis </w:t>
      </w:r>
      <w:proofErr w:type="spellStart"/>
      <w:r w:rsidRPr="00045D19">
        <w:rPr>
          <w:lang w:val="lt-LT"/>
        </w:rPr>
        <w:t>cefazolino</w:t>
      </w:r>
      <w:proofErr w:type="spellEnd"/>
      <w:r w:rsidRPr="00045D19">
        <w:rPr>
          <w:lang w:val="lt-LT"/>
        </w:rPr>
        <w:t xml:space="preserve"> vartojimas gali sukelti priedinį užkrėtimą (</w:t>
      </w:r>
      <w:proofErr w:type="spellStart"/>
      <w:r w:rsidRPr="00045D19">
        <w:rPr>
          <w:lang w:val="lt-LT"/>
        </w:rPr>
        <w:t>superinfekciją</w:t>
      </w:r>
      <w:proofErr w:type="spellEnd"/>
      <w:r w:rsidRPr="00045D19">
        <w:rPr>
          <w:lang w:val="lt-LT"/>
        </w:rPr>
        <w:t>). Gydytojas Jus atidžiai stebės ir, jei reikia, skirs gydymą.</w:t>
      </w:r>
    </w:p>
    <w:p w:rsidR="00192F41" w:rsidRPr="00045D19" w:rsidRDefault="00192F41" w:rsidP="00192F41">
      <w:pPr>
        <w:spacing w:line="240" w:lineRule="auto"/>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 xml:space="preserve">Vaikams </w:t>
      </w:r>
    </w:p>
    <w:p w:rsidR="00192F41" w:rsidRPr="00045D19" w:rsidRDefault="00192F41" w:rsidP="00192F41">
      <w:pPr>
        <w:spacing w:line="240" w:lineRule="auto"/>
        <w:rPr>
          <w:lang w:val="lt-LT"/>
        </w:rPr>
      </w:pPr>
      <w:proofErr w:type="spellStart"/>
      <w:r w:rsidRPr="00045D19">
        <w:rPr>
          <w:lang w:val="lt-LT"/>
        </w:rPr>
        <w:t>Rezol</w:t>
      </w:r>
      <w:proofErr w:type="spellEnd"/>
      <w:r w:rsidRPr="00045D19">
        <w:rPr>
          <w:lang w:val="lt-LT"/>
        </w:rPr>
        <w:t xml:space="preserve"> negalima vartoti išnešiotiems ir neišnešiotiems naujagimiams. </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 xml:space="preserve">Kiti vaistai ir </w:t>
      </w:r>
      <w:proofErr w:type="spellStart"/>
      <w:r w:rsidRPr="00045D19">
        <w:rPr>
          <w:b/>
          <w:bCs/>
          <w:szCs w:val="28"/>
          <w:lang w:val="lt-LT" w:eastAsia="ja-JP"/>
        </w:rPr>
        <w:t>Rezol</w:t>
      </w:r>
      <w:proofErr w:type="spellEnd"/>
    </w:p>
    <w:p w:rsidR="00192F41" w:rsidRPr="00045D19" w:rsidRDefault="00192F41" w:rsidP="00192F41">
      <w:pPr>
        <w:spacing w:line="240" w:lineRule="auto"/>
        <w:rPr>
          <w:lang w:val="lt-LT"/>
        </w:rPr>
      </w:pPr>
      <w:r w:rsidRPr="00045D19">
        <w:rPr>
          <w:lang w:val="lt-LT"/>
        </w:rPr>
        <w:t xml:space="preserve">Jeigu vartojate ar neseniai vartojote kitų vaistų arba dėl to nesate tikri, apie tai pasakykite gydytojui arba vaistininkui. Tai apima ir vaistus, įsigytus be recepto, ir augalinius </w:t>
      </w:r>
      <w:r>
        <w:rPr>
          <w:lang w:val="lt-LT"/>
        </w:rPr>
        <w:t>vaist</w:t>
      </w:r>
      <w:r w:rsidRPr="00045D19">
        <w:rPr>
          <w:lang w:val="lt-LT"/>
        </w:rPr>
        <w:t xml:space="preserve">us. Apie tai pasakyti reikia todėl, kad </w:t>
      </w:r>
      <w:proofErr w:type="spellStart"/>
      <w:r w:rsidRPr="00045D19">
        <w:rPr>
          <w:lang w:val="lt-LT"/>
        </w:rPr>
        <w:t>Rezol</w:t>
      </w:r>
      <w:proofErr w:type="spellEnd"/>
      <w:r w:rsidRPr="00045D19">
        <w:rPr>
          <w:lang w:val="lt-LT"/>
        </w:rPr>
        <w:t xml:space="preserve"> gali keisti kai kurių vaistų poveikį, o kai kurie vaistai - </w:t>
      </w:r>
      <w:proofErr w:type="spellStart"/>
      <w:r w:rsidRPr="00045D19">
        <w:rPr>
          <w:lang w:val="lt-LT"/>
        </w:rPr>
        <w:t>Rezol</w:t>
      </w:r>
      <w:proofErr w:type="spellEnd"/>
      <w:r w:rsidRPr="00045D19">
        <w:rPr>
          <w:lang w:val="lt-LT"/>
        </w:rPr>
        <w:t xml:space="preserve"> poveikį.</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Ypač svarbu pasakyti gydytojui arba slaugytojui, jeigu vartojate bet kurį iš toliau išvardytų vaistų.</w:t>
      </w:r>
    </w:p>
    <w:p w:rsidR="00192F41" w:rsidRPr="00045D19" w:rsidRDefault="00192F41" w:rsidP="00192F41">
      <w:pPr>
        <w:spacing w:line="240" w:lineRule="auto"/>
        <w:rPr>
          <w:lang w:val="lt-LT"/>
        </w:rPr>
      </w:pPr>
    </w:p>
    <w:p w:rsidR="00192F41" w:rsidRPr="00045D19" w:rsidRDefault="00192F41" w:rsidP="00192F41">
      <w:pPr>
        <w:numPr>
          <w:ilvl w:val="0"/>
          <w:numId w:val="5"/>
        </w:numPr>
        <w:spacing w:line="240" w:lineRule="auto"/>
        <w:ind w:left="567"/>
        <w:rPr>
          <w:sz w:val="20"/>
          <w:lang w:val="lt-LT"/>
        </w:rPr>
      </w:pPr>
      <w:proofErr w:type="spellStart"/>
      <w:r w:rsidRPr="00045D19">
        <w:rPr>
          <w:lang w:val="lt-LT"/>
        </w:rPr>
        <w:t>Aminoglikozidai</w:t>
      </w:r>
      <w:proofErr w:type="spellEnd"/>
      <w:r w:rsidRPr="00045D19">
        <w:rPr>
          <w:lang w:val="lt-LT"/>
        </w:rPr>
        <w:t xml:space="preserve"> ar kitokie antibiotikai (jų vartojama infekcinėms ligoms gydyti</w:t>
      </w:r>
      <w:r w:rsidRPr="00045D19">
        <w:rPr>
          <w:sz w:val="20"/>
          <w:lang w:val="lt-LT"/>
        </w:rPr>
        <w:t>).</w:t>
      </w:r>
    </w:p>
    <w:p w:rsidR="00192F41" w:rsidRPr="00045D19" w:rsidRDefault="00192F41" w:rsidP="00192F41">
      <w:pPr>
        <w:numPr>
          <w:ilvl w:val="0"/>
          <w:numId w:val="5"/>
        </w:numPr>
        <w:spacing w:line="240" w:lineRule="auto"/>
        <w:ind w:left="567"/>
        <w:rPr>
          <w:lang w:val="lt-LT"/>
        </w:rPr>
      </w:pPr>
      <w:proofErr w:type="spellStart"/>
      <w:r w:rsidRPr="00045D19">
        <w:rPr>
          <w:lang w:val="lt-LT"/>
        </w:rPr>
        <w:t>Probenecidas</w:t>
      </w:r>
      <w:proofErr w:type="spellEnd"/>
      <w:r w:rsidRPr="00045D19">
        <w:rPr>
          <w:lang w:val="lt-LT"/>
        </w:rPr>
        <w:t xml:space="preserve"> (juo gydoma podagra).</w:t>
      </w:r>
    </w:p>
    <w:p w:rsidR="00192F41" w:rsidRPr="00045D19" w:rsidRDefault="00192F41" w:rsidP="00192F41">
      <w:pPr>
        <w:numPr>
          <w:ilvl w:val="0"/>
          <w:numId w:val="5"/>
        </w:numPr>
        <w:spacing w:line="240" w:lineRule="auto"/>
        <w:ind w:left="567"/>
        <w:rPr>
          <w:lang w:val="lt-LT"/>
        </w:rPr>
      </w:pPr>
      <w:r w:rsidRPr="00045D19">
        <w:rPr>
          <w:lang w:val="lt-LT"/>
        </w:rPr>
        <w:t>Vitaminas K.</w:t>
      </w:r>
    </w:p>
    <w:p w:rsidR="00192F41" w:rsidRPr="00045D19" w:rsidRDefault="00192F41" w:rsidP="00192F41">
      <w:pPr>
        <w:numPr>
          <w:ilvl w:val="0"/>
          <w:numId w:val="5"/>
        </w:numPr>
        <w:spacing w:line="240" w:lineRule="auto"/>
        <w:ind w:left="567"/>
        <w:rPr>
          <w:lang w:val="lt-LT"/>
        </w:rPr>
      </w:pPr>
      <w:r w:rsidRPr="00045D19">
        <w:rPr>
          <w:lang w:val="lt-LT"/>
        </w:rPr>
        <w:t>Antikoaguliantai (vaistai kraujui skystinti).</w:t>
      </w:r>
    </w:p>
    <w:p w:rsidR="00192F41" w:rsidRPr="00045D19" w:rsidRDefault="00192F41" w:rsidP="00192F41">
      <w:pPr>
        <w:numPr>
          <w:ilvl w:val="0"/>
          <w:numId w:val="5"/>
        </w:numPr>
        <w:spacing w:line="240" w:lineRule="auto"/>
        <w:ind w:left="567"/>
        <w:rPr>
          <w:lang w:val="lt-LT"/>
        </w:rPr>
      </w:pPr>
      <w:proofErr w:type="spellStart"/>
      <w:r w:rsidRPr="00045D19">
        <w:rPr>
          <w:lang w:val="lt-LT"/>
        </w:rPr>
        <w:t>Furozemidas</w:t>
      </w:r>
      <w:proofErr w:type="spellEnd"/>
      <w:r w:rsidRPr="00045D19">
        <w:rPr>
          <w:lang w:val="lt-LT"/>
        </w:rPr>
        <w:t xml:space="preserve"> (šlapimo išsiskyrimą skatinantis vaistas).</w:t>
      </w:r>
    </w:p>
    <w:p w:rsidR="00192F41" w:rsidRPr="00045D19" w:rsidRDefault="00192F41" w:rsidP="00192F41">
      <w:pPr>
        <w:numPr>
          <w:ilvl w:val="0"/>
          <w:numId w:val="5"/>
        </w:numPr>
        <w:spacing w:line="240" w:lineRule="auto"/>
        <w:ind w:left="567"/>
        <w:rPr>
          <w:lang w:val="lt-LT"/>
        </w:rPr>
      </w:pPr>
      <w:r w:rsidRPr="00045D19">
        <w:rPr>
          <w:lang w:val="lt-LT"/>
        </w:rPr>
        <w:t>Geriamieji kontraceptikai.</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r w:rsidRPr="00045D19">
        <w:rPr>
          <w:lang w:val="lt-LT"/>
        </w:rPr>
        <w:t>Turite pasakyti savo gydytojui arba vaistininkui, jei Jums tiriama gliukozė šlapime arba atliekami kraujo tyrimai.</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Nėštumas ir žindymo laikotarpis</w:t>
      </w:r>
    </w:p>
    <w:p w:rsidR="00192F41" w:rsidRPr="00045D19" w:rsidRDefault="00192F41" w:rsidP="00192F41">
      <w:pPr>
        <w:spacing w:line="240" w:lineRule="auto"/>
        <w:rPr>
          <w:lang w:val="lt-LT"/>
        </w:rPr>
      </w:pPr>
      <w:r w:rsidRPr="00045D19">
        <w:rPr>
          <w:lang w:val="lt-LT"/>
        </w:rPr>
        <w:t>Jeigu esate nėščia, žindote kūdikį, manote, kad galbūt esate nėščia, arba planuojate pastoti, tai prieš vartodama šį vaistą, pasitarkite su gydytoju arba vaistininku.</w:t>
      </w:r>
    </w:p>
    <w:p w:rsidR="00192F41" w:rsidRPr="00045D19" w:rsidRDefault="00192F41" w:rsidP="00192F41">
      <w:pPr>
        <w:spacing w:line="240" w:lineRule="auto"/>
        <w:rPr>
          <w:lang w:val="lt-LT"/>
        </w:rPr>
      </w:pPr>
    </w:p>
    <w:p w:rsidR="00192F41" w:rsidRPr="00045D19" w:rsidRDefault="00192F41" w:rsidP="00192F41">
      <w:pPr>
        <w:tabs>
          <w:tab w:val="left" w:pos="284"/>
        </w:tabs>
        <w:rPr>
          <w:color w:val="000000"/>
          <w:lang w:val="lt-LT"/>
        </w:rPr>
      </w:pPr>
      <w:proofErr w:type="spellStart"/>
      <w:r w:rsidRPr="00045D19">
        <w:rPr>
          <w:color w:val="000000"/>
          <w:lang w:val="lt-LT"/>
        </w:rPr>
        <w:t>Cefazolino</w:t>
      </w:r>
      <w:proofErr w:type="spellEnd"/>
      <w:r w:rsidRPr="00045D19">
        <w:rPr>
          <w:color w:val="000000"/>
          <w:lang w:val="lt-LT"/>
        </w:rPr>
        <w:t xml:space="preserve"> nėštumo laikotarpiu galima vartoti tik atidžiai įvertinus riziką ir naudą, kadangi nėščių moterų gydymo patirties trūksta ir </w:t>
      </w:r>
      <w:proofErr w:type="spellStart"/>
      <w:r w:rsidRPr="00045D19">
        <w:rPr>
          <w:color w:val="000000"/>
          <w:lang w:val="lt-LT"/>
        </w:rPr>
        <w:t>cefazolinas</w:t>
      </w:r>
      <w:proofErr w:type="spellEnd"/>
      <w:r w:rsidRPr="00045D19">
        <w:rPr>
          <w:color w:val="000000"/>
          <w:lang w:val="lt-LT"/>
        </w:rPr>
        <w:t xml:space="preserve"> prasiskverbia pro placentą, ypač pirmojo nėštumo trimestro metu. </w:t>
      </w:r>
      <w:proofErr w:type="spellStart"/>
      <w:r w:rsidRPr="00045D19">
        <w:rPr>
          <w:color w:val="000000"/>
          <w:lang w:val="lt-LT"/>
        </w:rPr>
        <w:t>Cefazolino</w:t>
      </w:r>
      <w:proofErr w:type="spellEnd"/>
      <w:r w:rsidRPr="00045D19">
        <w:rPr>
          <w:color w:val="000000"/>
          <w:lang w:val="lt-LT"/>
        </w:rPr>
        <w:t xml:space="preserve"> nėštumo laikotarpiu rekomenduojama nevartoti, nebent tai neabejotinai būtina.</w:t>
      </w:r>
    </w:p>
    <w:p w:rsidR="00192F41" w:rsidRPr="00045D19" w:rsidRDefault="00192F41" w:rsidP="00192F41">
      <w:pPr>
        <w:tabs>
          <w:tab w:val="left" w:pos="284"/>
        </w:tabs>
        <w:rPr>
          <w:color w:val="000000"/>
          <w:lang w:val="lt-LT"/>
        </w:rPr>
      </w:pPr>
    </w:p>
    <w:p w:rsidR="00192F41" w:rsidRPr="00045D19" w:rsidRDefault="00192F41" w:rsidP="00192F41">
      <w:pPr>
        <w:spacing w:line="240" w:lineRule="auto"/>
        <w:rPr>
          <w:lang w:val="lt-LT"/>
        </w:rPr>
      </w:pPr>
      <w:r w:rsidRPr="00045D19">
        <w:rPr>
          <w:lang w:val="lt-LT"/>
        </w:rPr>
        <w:t xml:space="preserve">Žindančioms moterims </w:t>
      </w:r>
      <w:proofErr w:type="spellStart"/>
      <w:r w:rsidRPr="00045D19">
        <w:rPr>
          <w:lang w:val="lt-LT"/>
        </w:rPr>
        <w:t>Rezol</w:t>
      </w:r>
      <w:proofErr w:type="spellEnd"/>
      <w:r w:rsidRPr="00045D19">
        <w:rPr>
          <w:lang w:val="lt-LT"/>
        </w:rPr>
        <w:t xml:space="preserve"> reikia skirti atsargiai, kadangi šiek tiek jo patenka į motinos pieną.</w:t>
      </w:r>
    </w:p>
    <w:p w:rsidR="00192F41" w:rsidRPr="00045D19" w:rsidRDefault="00192F41" w:rsidP="00192F41">
      <w:pPr>
        <w:spacing w:line="240" w:lineRule="auto"/>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Vairavimas ir mechanizmų valdymas</w:t>
      </w:r>
    </w:p>
    <w:p w:rsidR="00192F41" w:rsidRPr="00045D19" w:rsidRDefault="00192F41" w:rsidP="00192F41">
      <w:pPr>
        <w:spacing w:line="240" w:lineRule="auto"/>
        <w:ind w:right="-2"/>
        <w:rPr>
          <w:lang w:val="lt-LT"/>
        </w:rPr>
      </w:pPr>
      <w:proofErr w:type="spellStart"/>
      <w:r w:rsidRPr="00045D19">
        <w:rPr>
          <w:lang w:val="lt-LT"/>
        </w:rPr>
        <w:t>Cefazolinas</w:t>
      </w:r>
      <w:proofErr w:type="spellEnd"/>
      <w:r w:rsidRPr="00045D19">
        <w:rPr>
          <w:lang w:val="lt-LT"/>
        </w:rPr>
        <w:t xml:space="preserve"> nesukelia poveikio gebėjimui vairuoti ir valdyti mechanizmus.</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color w:val="000000"/>
          <w:sz w:val="28"/>
          <w:szCs w:val="28"/>
          <w:lang w:val="lt-LT" w:eastAsia="ja-JP"/>
        </w:rPr>
      </w:pPr>
      <w:proofErr w:type="spellStart"/>
      <w:r w:rsidRPr="00045D19">
        <w:rPr>
          <w:b/>
          <w:bCs/>
          <w:szCs w:val="28"/>
          <w:lang w:val="lt-LT" w:eastAsia="ja-JP"/>
        </w:rPr>
        <w:t>Rezol</w:t>
      </w:r>
      <w:proofErr w:type="spellEnd"/>
      <w:r w:rsidRPr="00045D19">
        <w:rPr>
          <w:b/>
          <w:bCs/>
          <w:szCs w:val="28"/>
          <w:lang w:val="lt-LT" w:eastAsia="ja-JP"/>
        </w:rPr>
        <w:t xml:space="preserve"> sudėtyje yra </w:t>
      </w:r>
      <w:r w:rsidRPr="00045D19">
        <w:rPr>
          <w:b/>
          <w:bCs/>
          <w:color w:val="000000"/>
          <w:szCs w:val="28"/>
          <w:lang w:val="lt-LT" w:eastAsia="ja-JP"/>
        </w:rPr>
        <w:t>natrio</w:t>
      </w:r>
    </w:p>
    <w:p w:rsidR="00192F41" w:rsidRDefault="00192F41" w:rsidP="00192F41">
      <w:pPr>
        <w:tabs>
          <w:tab w:val="clear" w:pos="567"/>
        </w:tabs>
        <w:suppressAutoHyphens w:val="0"/>
        <w:autoSpaceDE w:val="0"/>
        <w:autoSpaceDN w:val="0"/>
        <w:adjustRightInd w:val="0"/>
        <w:spacing w:line="240" w:lineRule="auto"/>
        <w:rPr>
          <w:rFonts w:eastAsiaTheme="minorHAnsi"/>
          <w:color w:val="auto"/>
          <w:szCs w:val="22"/>
          <w:lang w:val="lt-LT"/>
        </w:rPr>
      </w:pPr>
      <w:r w:rsidRPr="00045D19">
        <w:rPr>
          <w:color w:val="000000"/>
          <w:lang w:val="lt-LT"/>
        </w:rPr>
        <w:t xml:space="preserve">Kiekviename 1 g flakone yra maždaug 50,6 mg </w:t>
      </w:r>
      <w:r w:rsidRPr="00045D19">
        <w:rPr>
          <w:lang w:val="lt-LT"/>
        </w:rPr>
        <w:t xml:space="preserve">natrio </w:t>
      </w:r>
      <w:r w:rsidRPr="00045D19">
        <w:rPr>
          <w:rFonts w:eastAsiaTheme="minorHAnsi"/>
          <w:color w:val="auto"/>
          <w:szCs w:val="22"/>
          <w:lang w:val="lt-LT"/>
        </w:rPr>
        <w:t>(valgomosios druskos sudedamosios dalies).</w:t>
      </w:r>
      <w:r>
        <w:rPr>
          <w:rFonts w:eastAsiaTheme="minorHAnsi"/>
          <w:color w:val="auto"/>
          <w:szCs w:val="22"/>
          <w:lang w:val="lt-LT"/>
        </w:rPr>
        <w:t xml:space="preserve"> </w:t>
      </w:r>
      <w:r w:rsidRPr="00045D19">
        <w:rPr>
          <w:rFonts w:eastAsiaTheme="minorHAnsi"/>
          <w:color w:val="auto"/>
          <w:szCs w:val="22"/>
          <w:lang w:val="lt-LT"/>
        </w:rPr>
        <w:t xml:space="preserve">Tai atitinka </w:t>
      </w:r>
      <w:r>
        <w:rPr>
          <w:rFonts w:eastAsiaTheme="minorHAnsi"/>
          <w:color w:val="auto"/>
          <w:szCs w:val="22"/>
          <w:lang w:val="lt-LT"/>
        </w:rPr>
        <w:t>2,53</w:t>
      </w:r>
      <w:r w:rsidRPr="00045D19">
        <w:rPr>
          <w:rFonts w:eastAsiaTheme="minorHAnsi"/>
          <w:color w:val="auto"/>
          <w:szCs w:val="22"/>
          <w:lang w:val="lt-LT"/>
        </w:rPr>
        <w:t xml:space="preserve"> % didžiausios rekomenduojamos</w:t>
      </w:r>
      <w:r>
        <w:rPr>
          <w:rFonts w:eastAsiaTheme="minorHAnsi"/>
          <w:color w:val="auto"/>
          <w:szCs w:val="22"/>
          <w:lang w:val="lt-LT"/>
        </w:rPr>
        <w:t xml:space="preserve"> </w:t>
      </w:r>
      <w:r w:rsidRPr="00045D19">
        <w:rPr>
          <w:rFonts w:eastAsiaTheme="minorHAnsi"/>
          <w:color w:val="auto"/>
          <w:szCs w:val="22"/>
          <w:lang w:val="lt-LT"/>
        </w:rPr>
        <w:t xml:space="preserve">natrio paros normos </w:t>
      </w:r>
      <w:r>
        <w:rPr>
          <w:rFonts w:eastAsiaTheme="minorHAnsi"/>
          <w:color w:val="auto"/>
          <w:szCs w:val="22"/>
          <w:lang w:val="lt-LT"/>
        </w:rPr>
        <w:t>s</w:t>
      </w:r>
      <w:r w:rsidRPr="00045D19">
        <w:rPr>
          <w:rFonts w:eastAsiaTheme="minorHAnsi"/>
          <w:color w:val="auto"/>
          <w:szCs w:val="22"/>
          <w:lang w:val="lt-LT"/>
        </w:rPr>
        <w:t>uaugusiesiems.</w:t>
      </w:r>
    </w:p>
    <w:p w:rsidR="00192F41" w:rsidRDefault="00192F41" w:rsidP="00192F41">
      <w:pPr>
        <w:tabs>
          <w:tab w:val="clear" w:pos="567"/>
        </w:tabs>
        <w:suppressAutoHyphens w:val="0"/>
        <w:autoSpaceDE w:val="0"/>
        <w:autoSpaceDN w:val="0"/>
        <w:adjustRightInd w:val="0"/>
        <w:spacing w:line="240" w:lineRule="auto"/>
        <w:rPr>
          <w:rFonts w:eastAsiaTheme="minorHAnsi"/>
          <w:color w:val="auto"/>
          <w:szCs w:val="22"/>
          <w:lang w:val="lt-LT"/>
        </w:rPr>
      </w:pPr>
    </w:p>
    <w:p w:rsidR="00192F41" w:rsidRPr="00A50073" w:rsidRDefault="00192F41" w:rsidP="00192F41">
      <w:pPr>
        <w:tabs>
          <w:tab w:val="clear" w:pos="567"/>
        </w:tabs>
        <w:suppressAutoHyphens w:val="0"/>
        <w:autoSpaceDE w:val="0"/>
        <w:autoSpaceDN w:val="0"/>
        <w:adjustRightInd w:val="0"/>
        <w:spacing w:line="240" w:lineRule="auto"/>
        <w:rPr>
          <w:szCs w:val="22"/>
          <w:lang w:val="lt-LT"/>
        </w:rPr>
      </w:pPr>
    </w:p>
    <w:p w:rsidR="00192F41" w:rsidRPr="00045D19" w:rsidRDefault="00192F41" w:rsidP="00192F41">
      <w:pPr>
        <w:keepNext/>
        <w:keepLines/>
        <w:spacing w:line="240" w:lineRule="auto"/>
        <w:outlineLvl w:val="2"/>
        <w:rPr>
          <w:rFonts w:ascii="Cambria" w:hAnsi="Cambria"/>
          <w:bCs/>
          <w:sz w:val="26"/>
          <w:szCs w:val="26"/>
          <w:lang w:val="lt-LT" w:eastAsia="ja-JP"/>
        </w:rPr>
      </w:pPr>
      <w:r w:rsidRPr="00045D19">
        <w:rPr>
          <w:b/>
          <w:bCs/>
          <w:szCs w:val="26"/>
          <w:lang w:val="lt-LT" w:eastAsia="ja-JP"/>
        </w:rPr>
        <w:t>3.</w:t>
      </w:r>
      <w:r w:rsidRPr="00045D19">
        <w:rPr>
          <w:b/>
          <w:bCs/>
          <w:szCs w:val="26"/>
          <w:lang w:val="lt-LT" w:eastAsia="ja-JP"/>
        </w:rPr>
        <w:tab/>
        <w:t xml:space="preserve">Kaip vartoti </w:t>
      </w:r>
      <w:proofErr w:type="spellStart"/>
      <w:r w:rsidRPr="00045D19">
        <w:rPr>
          <w:b/>
          <w:bCs/>
          <w:szCs w:val="26"/>
          <w:lang w:val="lt-LT" w:eastAsia="ja-JP"/>
        </w:rPr>
        <w:t>Rezol</w:t>
      </w:r>
      <w:proofErr w:type="spellEnd"/>
    </w:p>
    <w:p w:rsidR="00192F41" w:rsidRPr="00045D19" w:rsidRDefault="00192F41" w:rsidP="00192F41">
      <w:pPr>
        <w:spacing w:line="240" w:lineRule="auto"/>
        <w:ind w:right="-2"/>
        <w:rPr>
          <w:lang w:val="lt-LT"/>
        </w:rPr>
      </w:pPr>
    </w:p>
    <w:p w:rsidR="00192F41" w:rsidRPr="00045D19" w:rsidRDefault="00192F41" w:rsidP="00192F41">
      <w:pPr>
        <w:spacing w:line="240" w:lineRule="auto"/>
        <w:rPr>
          <w:lang w:val="lt-LT"/>
        </w:rPr>
      </w:pPr>
      <w:proofErr w:type="spellStart"/>
      <w:r w:rsidRPr="00045D19">
        <w:rPr>
          <w:lang w:val="lt-LT"/>
        </w:rPr>
        <w:t>Rezol</w:t>
      </w:r>
      <w:proofErr w:type="spellEnd"/>
      <w:r w:rsidRPr="00045D19">
        <w:rPr>
          <w:lang w:val="lt-LT"/>
        </w:rPr>
        <w:t xml:space="preserve"> Jums suleis gydytojas arba slaugytojas. Vaisto bus suleista vienu iš toliau išvardytų metodų.</w:t>
      </w:r>
    </w:p>
    <w:p w:rsidR="00192F41" w:rsidRPr="00045D19" w:rsidRDefault="00192F41" w:rsidP="00192F41">
      <w:pPr>
        <w:numPr>
          <w:ilvl w:val="0"/>
          <w:numId w:val="6"/>
        </w:numPr>
        <w:spacing w:line="240" w:lineRule="auto"/>
        <w:ind w:left="567"/>
        <w:rPr>
          <w:lang w:val="lt-LT"/>
        </w:rPr>
      </w:pPr>
      <w:r w:rsidRPr="00045D19">
        <w:rPr>
          <w:lang w:val="lt-LT"/>
        </w:rPr>
        <w:t>Suleidžiama į raumenis (pvz., į rankos raumenis).</w:t>
      </w:r>
    </w:p>
    <w:p w:rsidR="00192F41" w:rsidRPr="00045D19" w:rsidRDefault="00192F41" w:rsidP="00192F41">
      <w:pPr>
        <w:numPr>
          <w:ilvl w:val="0"/>
          <w:numId w:val="6"/>
        </w:numPr>
        <w:spacing w:line="240" w:lineRule="auto"/>
        <w:ind w:left="567"/>
        <w:rPr>
          <w:lang w:val="lt-LT"/>
        </w:rPr>
      </w:pPr>
      <w:r w:rsidRPr="00045D19">
        <w:rPr>
          <w:lang w:val="lt-LT"/>
        </w:rPr>
        <w:t>Lėtai (per 3</w:t>
      </w:r>
      <w:r w:rsidRPr="00045D19">
        <w:rPr>
          <w:lang w:val="lt-LT"/>
        </w:rPr>
        <w:noBreakHyphen/>
        <w:t>5 minutes) suleidžiama į vieną iš Jūsų venų.</w:t>
      </w:r>
    </w:p>
    <w:p w:rsidR="00192F41" w:rsidRPr="00045D19" w:rsidRDefault="00192F41" w:rsidP="00192F41">
      <w:pPr>
        <w:numPr>
          <w:ilvl w:val="0"/>
          <w:numId w:val="6"/>
        </w:numPr>
        <w:spacing w:line="240" w:lineRule="auto"/>
        <w:ind w:left="567"/>
        <w:rPr>
          <w:lang w:val="lt-LT"/>
        </w:rPr>
      </w:pPr>
      <w:r w:rsidRPr="00045D19">
        <w:rPr>
          <w:lang w:val="lt-LT"/>
        </w:rPr>
        <w:t xml:space="preserve">Sulašinama per mažą vamzdelį, įkištą į vieną iš Jūsų venų (tai vadinama infuzija į veną). </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proofErr w:type="spellStart"/>
      <w:r w:rsidRPr="00045D19">
        <w:rPr>
          <w:lang w:val="lt-LT"/>
        </w:rPr>
        <w:t>Rezol</w:t>
      </w:r>
      <w:proofErr w:type="spellEnd"/>
      <w:r w:rsidRPr="00045D19">
        <w:rPr>
          <w:lang w:val="lt-LT"/>
        </w:rPr>
        <w:t xml:space="preserve"> dozę nustatys gydytojas, atsižvelgdamas į Jūsų amžių, kūno svorį, infekcinės ligos sunkumą ir inkstų veiklą. Gydytojas Jums tai paaiškins.</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i/>
          <w:lang w:val="lt-LT"/>
        </w:rPr>
      </w:pPr>
      <w:r w:rsidRPr="00045D19">
        <w:rPr>
          <w:i/>
          <w:lang w:val="lt-LT"/>
        </w:rPr>
        <w:t>Suaugusieji, įskaitant senyvus žmones</w:t>
      </w:r>
    </w:p>
    <w:p w:rsidR="00192F41" w:rsidRPr="00045D19" w:rsidRDefault="00192F41" w:rsidP="00192F41">
      <w:pPr>
        <w:spacing w:line="240" w:lineRule="auto"/>
        <w:ind w:right="-2"/>
        <w:rPr>
          <w:lang w:val="lt-LT"/>
        </w:rPr>
      </w:pPr>
      <w:r w:rsidRPr="00045D19">
        <w:rPr>
          <w:lang w:val="lt-LT"/>
        </w:rPr>
        <w:t>Didžiausia paros dozė yra 6 g.</w:t>
      </w:r>
    </w:p>
    <w:p w:rsidR="00192F41" w:rsidRPr="00045D19" w:rsidRDefault="00192F41" w:rsidP="00192F41">
      <w:pPr>
        <w:numPr>
          <w:ilvl w:val="0"/>
          <w:numId w:val="7"/>
        </w:numPr>
        <w:spacing w:line="240" w:lineRule="auto"/>
        <w:ind w:left="567"/>
        <w:rPr>
          <w:lang w:val="lt-LT"/>
        </w:rPr>
      </w:pPr>
      <w:r w:rsidRPr="00045D19">
        <w:rPr>
          <w:lang w:val="lt-LT"/>
        </w:rPr>
        <w:t>Jeigu gydoma infekcinė liga, paros dozė gali būti 1</w:t>
      </w:r>
      <w:r w:rsidRPr="00045D19">
        <w:rPr>
          <w:lang w:val="lt-LT"/>
        </w:rPr>
        <w:noBreakHyphen/>
        <w:t>6 g, tai priklauso nuo infekcinės ligos sunkumo.</w:t>
      </w:r>
    </w:p>
    <w:p w:rsidR="00192F41" w:rsidRPr="00045D19" w:rsidRDefault="00192F41" w:rsidP="00192F41">
      <w:pPr>
        <w:numPr>
          <w:ilvl w:val="0"/>
          <w:numId w:val="7"/>
        </w:numPr>
        <w:spacing w:line="240" w:lineRule="auto"/>
        <w:ind w:left="567"/>
        <w:rPr>
          <w:lang w:val="lt-LT"/>
        </w:rPr>
      </w:pPr>
      <w:r w:rsidRPr="00045D19">
        <w:rPr>
          <w:lang w:val="lt-LT"/>
        </w:rPr>
        <w:t>Jeigu Jums bus atliekama operacija, iki operacijos pradžios likus 30</w:t>
      </w:r>
      <w:r w:rsidRPr="00045D19">
        <w:rPr>
          <w:lang w:val="lt-LT"/>
        </w:rPr>
        <w:noBreakHyphen/>
        <w:t>60 minučių Jums gali būti suleista 1 g dozė.</w:t>
      </w:r>
    </w:p>
    <w:p w:rsidR="00192F41" w:rsidRPr="00045D19" w:rsidRDefault="00192F41" w:rsidP="00192F41">
      <w:pPr>
        <w:numPr>
          <w:ilvl w:val="0"/>
          <w:numId w:val="7"/>
        </w:numPr>
        <w:spacing w:line="240" w:lineRule="auto"/>
        <w:ind w:left="567"/>
        <w:rPr>
          <w:lang w:val="lt-LT"/>
        </w:rPr>
      </w:pPr>
      <w:r w:rsidRPr="00045D19">
        <w:rPr>
          <w:lang w:val="lt-LT"/>
        </w:rPr>
        <w:t>Jeigu operacija ilga, jos metu gali būti suleista papildoma 500 mg</w:t>
      </w:r>
      <w:r w:rsidRPr="00045D19">
        <w:rPr>
          <w:lang w:val="lt-LT"/>
        </w:rPr>
        <w:noBreakHyphen/>
        <w:t xml:space="preserve">1 g dozė. Gydymas </w:t>
      </w:r>
      <w:proofErr w:type="spellStart"/>
      <w:r w:rsidRPr="00045D19">
        <w:rPr>
          <w:lang w:val="lt-LT"/>
        </w:rPr>
        <w:t>Rezol</w:t>
      </w:r>
      <w:proofErr w:type="spellEnd"/>
      <w:r w:rsidRPr="00045D19">
        <w:rPr>
          <w:lang w:val="lt-LT"/>
        </w:rPr>
        <w:t xml:space="preserve"> gali būti tęsiamas 24 valandas po operacijos, siekiant neleisti pasireikšti infekcijai.</w:t>
      </w:r>
    </w:p>
    <w:p w:rsidR="00192F41" w:rsidRPr="00045D19" w:rsidRDefault="00192F41" w:rsidP="00192F41">
      <w:pPr>
        <w:spacing w:line="240" w:lineRule="auto"/>
        <w:ind w:right="-2"/>
        <w:rPr>
          <w:lang w:val="lt-LT"/>
        </w:rPr>
      </w:pPr>
    </w:p>
    <w:p w:rsidR="00192F41" w:rsidRPr="00045D19" w:rsidRDefault="00192F41" w:rsidP="00192F41">
      <w:pPr>
        <w:spacing w:line="240" w:lineRule="auto"/>
        <w:rPr>
          <w:i/>
          <w:lang w:val="lt-LT"/>
        </w:rPr>
      </w:pPr>
      <w:r w:rsidRPr="00045D19">
        <w:rPr>
          <w:i/>
          <w:lang w:val="lt-LT"/>
        </w:rPr>
        <w:t>Vartojimas vaikams ir kūdikiams (1 mėnesio ir vyresniems)</w:t>
      </w:r>
    </w:p>
    <w:p w:rsidR="00192F41" w:rsidRPr="00045D19" w:rsidRDefault="00192F41" w:rsidP="00192F41">
      <w:pPr>
        <w:spacing w:line="240" w:lineRule="auto"/>
        <w:rPr>
          <w:b/>
          <w:lang w:val="lt-LT"/>
        </w:rPr>
      </w:pPr>
    </w:p>
    <w:p w:rsidR="00192F41" w:rsidRPr="00045D19" w:rsidRDefault="00192F41" w:rsidP="00192F41">
      <w:pPr>
        <w:spacing w:line="240" w:lineRule="auto"/>
        <w:rPr>
          <w:lang w:val="lt-LT"/>
        </w:rPr>
      </w:pPr>
      <w:r w:rsidRPr="00045D19">
        <w:rPr>
          <w:lang w:val="lt-LT"/>
        </w:rPr>
        <w:t>Dozę nustatys gydytojas, atsižvelgdamas į vaiko kūno svorį. Vaikams paros dozė gali būti 25</w:t>
      </w:r>
      <w:r w:rsidRPr="00045D19">
        <w:rPr>
          <w:lang w:val="lt-LT"/>
        </w:rPr>
        <w:noBreakHyphen/>
        <w:t>50 mg/kg kūno svorio. Atsižvelgiant į infekcinės ligos sunkumą, dozė gali būti didinama iki 100 mg/kg kūno svorio.</w:t>
      </w:r>
    </w:p>
    <w:p w:rsidR="00192F41" w:rsidRPr="00045D19" w:rsidRDefault="00192F41" w:rsidP="00192F41">
      <w:pPr>
        <w:spacing w:line="240" w:lineRule="auto"/>
        <w:rPr>
          <w:b/>
          <w:lang w:val="lt-LT"/>
        </w:rPr>
      </w:pPr>
    </w:p>
    <w:p w:rsidR="00192F41" w:rsidRPr="00045D19" w:rsidRDefault="00192F41" w:rsidP="00192F41">
      <w:pPr>
        <w:spacing w:line="240" w:lineRule="auto"/>
        <w:rPr>
          <w:i/>
          <w:lang w:val="lt-LT"/>
        </w:rPr>
      </w:pPr>
      <w:r w:rsidRPr="00045D19">
        <w:rPr>
          <w:i/>
          <w:lang w:val="lt-LT"/>
        </w:rPr>
        <w:t>Suaugusieji ir vaikai, kuriems yra inkstų sutrikimų</w:t>
      </w:r>
    </w:p>
    <w:p w:rsidR="00192F41" w:rsidRPr="00045D19" w:rsidRDefault="00192F41" w:rsidP="00192F41">
      <w:pPr>
        <w:spacing w:line="240" w:lineRule="auto"/>
        <w:rPr>
          <w:b/>
          <w:lang w:val="lt-LT"/>
        </w:rPr>
      </w:pPr>
    </w:p>
    <w:p w:rsidR="00192F41" w:rsidRPr="00045D19" w:rsidRDefault="00192F41" w:rsidP="00192F41">
      <w:pPr>
        <w:spacing w:line="240" w:lineRule="auto"/>
        <w:rPr>
          <w:lang w:val="lt-LT"/>
        </w:rPr>
      </w:pPr>
      <w:r w:rsidRPr="00045D19">
        <w:rPr>
          <w:lang w:val="lt-LT"/>
        </w:rPr>
        <w:t>Jei Jums yra inkstų sutrikimų, Jums gali reikėti vartoti mažesnę dozę. Gali reikėti atlikti kraujo tyrimus, kad būtų galima patikrinti, ar vartojate reikiamą dozę.</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 xml:space="preserve">Ką daryti pavartojus per didelę </w:t>
      </w:r>
      <w:proofErr w:type="spellStart"/>
      <w:r w:rsidRPr="00045D19">
        <w:rPr>
          <w:b/>
          <w:bCs/>
          <w:szCs w:val="28"/>
          <w:lang w:val="lt-LT" w:eastAsia="ja-JP"/>
        </w:rPr>
        <w:t>Rezol</w:t>
      </w:r>
      <w:proofErr w:type="spellEnd"/>
      <w:r w:rsidRPr="00045D19">
        <w:rPr>
          <w:b/>
          <w:bCs/>
          <w:szCs w:val="28"/>
          <w:lang w:val="lt-LT" w:eastAsia="ja-JP"/>
        </w:rPr>
        <w:t xml:space="preserve"> dozę?</w:t>
      </w:r>
    </w:p>
    <w:p w:rsidR="00192F41" w:rsidRPr="00045D19" w:rsidRDefault="00192F41" w:rsidP="00192F41">
      <w:pPr>
        <w:spacing w:line="240" w:lineRule="auto"/>
        <w:rPr>
          <w:lang w:val="lt-LT"/>
        </w:rPr>
      </w:pPr>
      <w:r w:rsidRPr="00045D19">
        <w:rPr>
          <w:lang w:val="lt-LT"/>
        </w:rPr>
        <w:t>Jei manote, kad Jums suleista per didelė vaisto dozė, pasakykite savo gydytojui arba slaugytojui.</w:t>
      </w:r>
    </w:p>
    <w:p w:rsidR="00192F41" w:rsidRPr="00045D19" w:rsidRDefault="00192F41" w:rsidP="00192F41">
      <w:pPr>
        <w:spacing w:line="240" w:lineRule="auto"/>
        <w:rPr>
          <w:lang w:val="lt-LT"/>
        </w:rPr>
      </w:pPr>
    </w:p>
    <w:p w:rsidR="00192F41" w:rsidRPr="00045D19" w:rsidRDefault="00192F41" w:rsidP="00192F41">
      <w:pPr>
        <w:spacing w:line="240" w:lineRule="auto"/>
        <w:rPr>
          <w:b/>
          <w:lang w:val="lt-LT"/>
        </w:rPr>
      </w:pPr>
      <w:r w:rsidRPr="00045D19">
        <w:rPr>
          <w:b/>
          <w:lang w:val="lt-LT"/>
        </w:rPr>
        <w:t xml:space="preserve">Pamiršus pavartoti </w:t>
      </w:r>
      <w:proofErr w:type="spellStart"/>
      <w:r w:rsidRPr="00045D19">
        <w:rPr>
          <w:b/>
          <w:lang w:val="lt-LT"/>
        </w:rPr>
        <w:t>Rezol</w:t>
      </w:r>
      <w:proofErr w:type="spellEnd"/>
    </w:p>
    <w:p w:rsidR="00192F41" w:rsidRPr="00045D19" w:rsidRDefault="00192F41" w:rsidP="00192F41">
      <w:pPr>
        <w:rPr>
          <w:lang w:val="lt-LT"/>
        </w:rPr>
      </w:pPr>
      <w:r w:rsidRPr="00045D19">
        <w:rPr>
          <w:lang w:val="lt-LT"/>
        </w:rPr>
        <w:t>Jei manote, kad nebuvo laiku suleista vaisto, kreipkit</w:t>
      </w:r>
      <w:r w:rsidRPr="00045D19">
        <w:rPr>
          <w:rFonts w:ascii="TimesNewRoman" w:hAnsi="TimesNewRoman" w:hint="eastAsia"/>
          <w:lang w:val="lt-LT"/>
        </w:rPr>
        <w:t>ė</w:t>
      </w:r>
      <w:r w:rsidRPr="00045D19">
        <w:rPr>
          <w:lang w:val="lt-LT"/>
        </w:rPr>
        <w:t xml:space="preserve">s </w:t>
      </w:r>
      <w:r w:rsidRPr="00045D19">
        <w:rPr>
          <w:rFonts w:ascii="TimesNewRoman" w:hAnsi="TimesNewRoman" w:hint="eastAsia"/>
          <w:lang w:val="lt-LT"/>
        </w:rPr>
        <w:t>į</w:t>
      </w:r>
      <w:r w:rsidRPr="00045D19">
        <w:rPr>
          <w:rFonts w:ascii="TimesNewRoman" w:hAnsi="TimesNewRoman"/>
          <w:lang w:val="lt-LT"/>
        </w:rPr>
        <w:t xml:space="preserve"> </w:t>
      </w:r>
      <w:r w:rsidRPr="00045D19">
        <w:rPr>
          <w:lang w:val="lt-LT"/>
        </w:rPr>
        <w:t>gydytoj</w:t>
      </w:r>
      <w:r w:rsidRPr="00045D19">
        <w:rPr>
          <w:rFonts w:ascii="TimesNewRoman" w:hAnsi="TimesNewRoman" w:hint="eastAsia"/>
          <w:lang w:val="lt-LT"/>
        </w:rPr>
        <w:t>ą</w:t>
      </w:r>
      <w:r w:rsidRPr="00045D19">
        <w:rPr>
          <w:rFonts w:ascii="TimesNewRoman" w:hAnsi="TimesNewRoman"/>
          <w:lang w:val="lt-LT"/>
        </w:rPr>
        <w:t xml:space="preserve"> </w:t>
      </w:r>
      <w:r w:rsidRPr="00045D19">
        <w:rPr>
          <w:lang w:val="lt-LT"/>
        </w:rPr>
        <w:t>ar slaugytoj</w:t>
      </w:r>
      <w:r w:rsidRPr="00045D19">
        <w:rPr>
          <w:rFonts w:ascii="TimesNewRoman" w:hAnsi="TimesNewRoman" w:hint="eastAsia"/>
          <w:lang w:val="lt-LT"/>
        </w:rPr>
        <w:t>ą</w:t>
      </w:r>
      <w:r w:rsidRPr="00045D19">
        <w:rPr>
          <w:lang w:val="lt-LT"/>
        </w:rPr>
        <w:t>.</w:t>
      </w:r>
    </w:p>
    <w:p w:rsidR="00192F41" w:rsidRPr="00045D19" w:rsidRDefault="00192F41" w:rsidP="00192F41">
      <w:pPr>
        <w:spacing w:line="240" w:lineRule="auto"/>
        <w:rPr>
          <w:lang w:val="lt-LT"/>
        </w:rPr>
      </w:pPr>
    </w:p>
    <w:p w:rsidR="00192F41" w:rsidRPr="00045D19" w:rsidRDefault="00192F41" w:rsidP="00192F41">
      <w:pPr>
        <w:spacing w:line="240" w:lineRule="auto"/>
        <w:ind w:right="-29"/>
        <w:rPr>
          <w:lang w:val="lt-LT"/>
        </w:rPr>
      </w:pPr>
      <w:r w:rsidRPr="00045D19">
        <w:rPr>
          <w:lang w:val="lt-LT"/>
        </w:rPr>
        <w:t>Jeigu kiltų daugiau klausimų dėl šio vaisto vartojimo, kreipkitės į gydytoją arba slaugytoją.</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p>
    <w:p w:rsidR="00192F41" w:rsidRPr="00045D19" w:rsidRDefault="00192F41" w:rsidP="00192F41">
      <w:pPr>
        <w:keepNext/>
        <w:keepLines/>
        <w:spacing w:line="240" w:lineRule="auto"/>
        <w:outlineLvl w:val="2"/>
        <w:rPr>
          <w:rFonts w:ascii="Cambria" w:hAnsi="Cambria"/>
          <w:bCs/>
          <w:sz w:val="26"/>
          <w:szCs w:val="26"/>
          <w:lang w:val="lt-LT" w:eastAsia="ja-JP"/>
        </w:rPr>
      </w:pPr>
      <w:r w:rsidRPr="00045D19">
        <w:rPr>
          <w:b/>
          <w:bCs/>
          <w:szCs w:val="26"/>
          <w:lang w:val="lt-LT" w:eastAsia="ja-JP"/>
        </w:rPr>
        <w:t>4.</w:t>
      </w:r>
      <w:r w:rsidRPr="00045D19">
        <w:rPr>
          <w:b/>
          <w:bCs/>
          <w:szCs w:val="26"/>
          <w:lang w:val="lt-LT" w:eastAsia="ja-JP"/>
        </w:rPr>
        <w:tab/>
        <w:t>Galimas šalutinis poveikis</w:t>
      </w:r>
    </w:p>
    <w:p w:rsidR="00192F41" w:rsidRPr="00045D19" w:rsidRDefault="00192F41" w:rsidP="00192F41">
      <w:pPr>
        <w:spacing w:line="240" w:lineRule="auto"/>
        <w:rPr>
          <w:lang w:val="lt-LT"/>
        </w:rPr>
      </w:pPr>
    </w:p>
    <w:p w:rsidR="00192F41" w:rsidRPr="00045D19" w:rsidRDefault="00192F41" w:rsidP="00192F41">
      <w:pPr>
        <w:spacing w:line="240" w:lineRule="auto"/>
        <w:ind w:right="-29"/>
        <w:rPr>
          <w:lang w:val="lt-LT"/>
        </w:rPr>
      </w:pPr>
      <w:r w:rsidRPr="00045D19">
        <w:rPr>
          <w:lang w:val="lt-LT"/>
        </w:rPr>
        <w:t>Šis vaistas, kaip ir visi kiti, gali sukelti šalutinį poveikį, nors jis pasireiškia ne visiems žmonėms.</w:t>
      </w:r>
    </w:p>
    <w:p w:rsidR="00192F41" w:rsidRPr="00045D19" w:rsidRDefault="00192F41" w:rsidP="00192F41">
      <w:pPr>
        <w:spacing w:line="240" w:lineRule="auto"/>
        <w:ind w:right="-29"/>
        <w:rPr>
          <w:lang w:val="lt-LT"/>
        </w:rPr>
      </w:pPr>
    </w:p>
    <w:p w:rsidR="00192F41" w:rsidRPr="00045D19" w:rsidRDefault="00192F41" w:rsidP="00192F41">
      <w:pPr>
        <w:spacing w:line="240" w:lineRule="auto"/>
        <w:rPr>
          <w:lang w:val="lt-LT"/>
        </w:rPr>
      </w:pPr>
      <w:r w:rsidRPr="00045D19">
        <w:rPr>
          <w:b/>
          <w:lang w:val="lt-LT"/>
        </w:rPr>
        <w:t xml:space="preserve">Sunkios alerginės reakcijos </w:t>
      </w:r>
      <w:r w:rsidRPr="00045D19">
        <w:rPr>
          <w:lang w:val="lt-LT"/>
        </w:rPr>
        <w:t>(labai ret</w:t>
      </w:r>
      <w:r>
        <w:rPr>
          <w:lang w:val="lt-LT"/>
        </w:rPr>
        <w:t>i šalutinio poveikio reiškiniai</w:t>
      </w:r>
      <w:r w:rsidRPr="00045D19">
        <w:rPr>
          <w:lang w:val="lt-LT"/>
        </w:rPr>
        <w:t>, gali pasireikšti mažiau kaip 1 žmogui iš 10 000)</w:t>
      </w:r>
    </w:p>
    <w:p w:rsidR="00192F41" w:rsidRPr="00045D19" w:rsidRDefault="00192F41" w:rsidP="00192F41">
      <w:pPr>
        <w:spacing w:line="240" w:lineRule="auto"/>
        <w:rPr>
          <w:lang w:val="lt-LT"/>
        </w:rPr>
      </w:pPr>
      <w:r w:rsidRPr="00045D19">
        <w:rPr>
          <w:lang w:val="lt-LT"/>
        </w:rPr>
        <w:t xml:space="preserve">Jei Jums pasireiškia sunki alerginė reakcija, </w:t>
      </w:r>
      <w:r w:rsidRPr="00045D19">
        <w:rPr>
          <w:b/>
          <w:lang w:val="lt-LT"/>
        </w:rPr>
        <w:t>nedelsdami kreipkitės į gydytoją</w:t>
      </w:r>
      <w:r w:rsidRPr="00045D19">
        <w:rPr>
          <w:lang w:val="lt-LT"/>
        </w:rPr>
        <w:t>.</w:t>
      </w:r>
    </w:p>
    <w:p w:rsidR="00192F41" w:rsidRPr="00045D19" w:rsidRDefault="00192F41" w:rsidP="00192F41">
      <w:pPr>
        <w:spacing w:line="240" w:lineRule="auto"/>
        <w:rPr>
          <w:lang w:val="lt-LT"/>
        </w:rPr>
      </w:pPr>
      <w:r w:rsidRPr="00045D19">
        <w:rPr>
          <w:lang w:val="lt-LT"/>
        </w:rPr>
        <w:t>Toliau išvardyti galimi požymiai.</w:t>
      </w:r>
    </w:p>
    <w:p w:rsidR="00192F41" w:rsidRPr="00045D19" w:rsidRDefault="00192F41" w:rsidP="00192F41">
      <w:pPr>
        <w:numPr>
          <w:ilvl w:val="0"/>
          <w:numId w:val="4"/>
        </w:numPr>
        <w:spacing w:line="240" w:lineRule="auto"/>
        <w:ind w:left="567"/>
        <w:rPr>
          <w:lang w:val="lt-LT"/>
        </w:rPr>
      </w:pPr>
      <w:r w:rsidRPr="00045D19">
        <w:rPr>
          <w:lang w:val="lt-LT"/>
        </w:rPr>
        <w:t>Staigus veido, gerklės, lūpų ar burnos patinimas (gali pasunkėti kvėpavimas ir rijimas).</w:t>
      </w:r>
    </w:p>
    <w:p w:rsidR="00192F41" w:rsidRPr="00045D19" w:rsidRDefault="00192F41" w:rsidP="00192F41">
      <w:pPr>
        <w:numPr>
          <w:ilvl w:val="0"/>
          <w:numId w:val="4"/>
        </w:numPr>
        <w:spacing w:line="240" w:lineRule="auto"/>
        <w:ind w:left="567"/>
        <w:rPr>
          <w:lang w:val="lt-LT"/>
        </w:rPr>
      </w:pPr>
      <w:r w:rsidRPr="00045D19">
        <w:rPr>
          <w:lang w:val="lt-LT"/>
        </w:rPr>
        <w:t>Staigus plaštakų, pėdų ir kulkšnių patinimas.</w:t>
      </w:r>
    </w:p>
    <w:p w:rsidR="00192F41" w:rsidRPr="00045D19" w:rsidRDefault="00192F41" w:rsidP="00192F41">
      <w:pPr>
        <w:spacing w:line="240" w:lineRule="auto"/>
        <w:ind w:right="-2"/>
        <w:rPr>
          <w:lang w:val="lt-LT"/>
        </w:rPr>
      </w:pPr>
    </w:p>
    <w:p w:rsidR="00192F41" w:rsidRPr="00045D19" w:rsidRDefault="00192F41" w:rsidP="00192F41">
      <w:pPr>
        <w:spacing w:line="240" w:lineRule="auto"/>
        <w:rPr>
          <w:i/>
          <w:lang w:val="lt-LT"/>
        </w:rPr>
      </w:pPr>
      <w:r w:rsidRPr="00045D19">
        <w:rPr>
          <w:i/>
          <w:lang w:val="lt-LT"/>
        </w:rPr>
        <w:t>Kitoks galimas šalutinis poveikis</w:t>
      </w:r>
    </w:p>
    <w:p w:rsidR="00192F41" w:rsidRPr="00045D19" w:rsidRDefault="00192F41" w:rsidP="00192F41">
      <w:pPr>
        <w:spacing w:line="240" w:lineRule="auto"/>
        <w:rPr>
          <w:b/>
          <w:lang w:val="lt-LT"/>
        </w:rPr>
      </w:pPr>
    </w:p>
    <w:p w:rsidR="00192F41" w:rsidRPr="00045D19" w:rsidRDefault="00192F41" w:rsidP="00192F41">
      <w:pPr>
        <w:spacing w:line="240" w:lineRule="auto"/>
        <w:rPr>
          <w:i/>
          <w:lang w:val="lt-LT"/>
        </w:rPr>
      </w:pPr>
      <w:r w:rsidRPr="00045D19">
        <w:rPr>
          <w:i/>
          <w:lang w:val="lt-LT"/>
        </w:rPr>
        <w:t>Dažn</w:t>
      </w:r>
      <w:r>
        <w:rPr>
          <w:i/>
          <w:lang w:val="lt-LT"/>
        </w:rPr>
        <w:t>i šalutinio poveikio reiškiniai</w:t>
      </w:r>
      <w:r w:rsidRPr="00045D19">
        <w:rPr>
          <w:i/>
          <w:lang w:val="lt-LT"/>
        </w:rPr>
        <w:t xml:space="preserve"> (gali pasireikšti </w:t>
      </w:r>
      <w:r>
        <w:rPr>
          <w:i/>
          <w:lang w:val="lt-LT"/>
        </w:rPr>
        <w:t>rečiau</w:t>
      </w:r>
      <w:r w:rsidRPr="00045D19">
        <w:rPr>
          <w:i/>
          <w:lang w:val="lt-LT"/>
        </w:rPr>
        <w:t xml:space="preserve"> kaip 1 iš 10</w:t>
      </w:r>
      <w:r>
        <w:rPr>
          <w:i/>
          <w:lang w:val="lt-LT"/>
        </w:rPr>
        <w:t xml:space="preserve"> asmenų</w:t>
      </w:r>
      <w:r w:rsidRPr="00045D19">
        <w:rPr>
          <w:i/>
          <w:lang w:val="lt-LT"/>
        </w:rPr>
        <w:t>)</w:t>
      </w:r>
    </w:p>
    <w:p w:rsidR="00192F41" w:rsidRPr="00045D19" w:rsidRDefault="00192F41" w:rsidP="00192F41">
      <w:pPr>
        <w:numPr>
          <w:ilvl w:val="0"/>
          <w:numId w:val="4"/>
        </w:numPr>
        <w:spacing w:line="240" w:lineRule="auto"/>
        <w:ind w:left="567"/>
        <w:rPr>
          <w:lang w:val="lt-LT"/>
        </w:rPr>
      </w:pPr>
      <w:r w:rsidRPr="00045D19">
        <w:rPr>
          <w:lang w:val="lt-LT"/>
        </w:rPr>
        <w:t>Odos išbėrimas.</w:t>
      </w:r>
    </w:p>
    <w:p w:rsidR="00192F41" w:rsidRPr="00045D19" w:rsidRDefault="00192F41" w:rsidP="00192F41">
      <w:pPr>
        <w:numPr>
          <w:ilvl w:val="0"/>
          <w:numId w:val="4"/>
        </w:numPr>
        <w:spacing w:line="240" w:lineRule="auto"/>
        <w:ind w:left="567"/>
        <w:rPr>
          <w:lang w:val="lt-LT"/>
        </w:rPr>
      </w:pPr>
      <w:r w:rsidRPr="00045D19">
        <w:rPr>
          <w:lang w:val="lt-LT"/>
        </w:rPr>
        <w:t>Pykinimas ir vėmimas.</w:t>
      </w:r>
    </w:p>
    <w:p w:rsidR="00192F41" w:rsidRPr="00045D19" w:rsidRDefault="00192F41" w:rsidP="00192F41">
      <w:pPr>
        <w:numPr>
          <w:ilvl w:val="0"/>
          <w:numId w:val="4"/>
        </w:numPr>
        <w:spacing w:line="240" w:lineRule="auto"/>
        <w:ind w:left="567"/>
        <w:rPr>
          <w:lang w:val="lt-LT"/>
        </w:rPr>
      </w:pPr>
      <w:r w:rsidRPr="00045D19">
        <w:rPr>
          <w:lang w:val="lt-LT"/>
        </w:rPr>
        <w:t>Viduriavimas.</w:t>
      </w:r>
    </w:p>
    <w:p w:rsidR="00192F41" w:rsidRPr="00045D19" w:rsidRDefault="00192F41" w:rsidP="00192F41">
      <w:pPr>
        <w:numPr>
          <w:ilvl w:val="0"/>
          <w:numId w:val="4"/>
        </w:numPr>
        <w:spacing w:line="240" w:lineRule="auto"/>
        <w:ind w:left="567"/>
        <w:rPr>
          <w:lang w:val="lt-LT"/>
        </w:rPr>
      </w:pPr>
      <w:r w:rsidRPr="00045D19">
        <w:rPr>
          <w:lang w:val="lt-LT"/>
        </w:rPr>
        <w:t>Skausmas ir sukietėjimas injekcijos vietoje.</w:t>
      </w:r>
    </w:p>
    <w:p w:rsidR="00192F41" w:rsidRPr="00045D19" w:rsidRDefault="00192F41" w:rsidP="00192F41">
      <w:pPr>
        <w:spacing w:line="240" w:lineRule="auto"/>
        <w:rPr>
          <w:lang w:val="lt-LT"/>
        </w:rPr>
      </w:pPr>
    </w:p>
    <w:p w:rsidR="00192F41" w:rsidRPr="00045D19" w:rsidRDefault="00192F41" w:rsidP="00192F41">
      <w:pPr>
        <w:spacing w:line="240" w:lineRule="auto"/>
        <w:rPr>
          <w:i/>
          <w:lang w:val="lt-LT"/>
        </w:rPr>
      </w:pPr>
      <w:r w:rsidRPr="00045D19">
        <w:rPr>
          <w:i/>
          <w:lang w:val="lt-LT"/>
        </w:rPr>
        <w:t>Nedažn</w:t>
      </w:r>
      <w:r>
        <w:rPr>
          <w:i/>
          <w:lang w:val="lt-LT"/>
        </w:rPr>
        <w:t>i šalutinio poveikio reiškiniai</w:t>
      </w:r>
      <w:r w:rsidRPr="00045D19">
        <w:rPr>
          <w:i/>
          <w:lang w:val="lt-LT"/>
        </w:rPr>
        <w:t xml:space="preserve"> (gali pasireikšti </w:t>
      </w:r>
      <w:r>
        <w:rPr>
          <w:i/>
          <w:lang w:val="lt-LT"/>
        </w:rPr>
        <w:t xml:space="preserve">rečiau </w:t>
      </w:r>
      <w:r w:rsidRPr="00045D19">
        <w:rPr>
          <w:i/>
          <w:lang w:val="lt-LT"/>
        </w:rPr>
        <w:t>kaip 1</w:t>
      </w:r>
      <w:r>
        <w:rPr>
          <w:i/>
          <w:lang w:val="lt-LT"/>
        </w:rPr>
        <w:t xml:space="preserve"> </w:t>
      </w:r>
      <w:r w:rsidRPr="00045D19">
        <w:rPr>
          <w:i/>
          <w:lang w:val="lt-LT"/>
        </w:rPr>
        <w:t>iš 100</w:t>
      </w:r>
      <w:r>
        <w:rPr>
          <w:i/>
          <w:lang w:val="lt-LT"/>
        </w:rPr>
        <w:t xml:space="preserve"> asmenų</w:t>
      </w:r>
      <w:r w:rsidRPr="00045D19">
        <w:rPr>
          <w:i/>
          <w:lang w:val="lt-LT"/>
        </w:rPr>
        <w:t>)</w:t>
      </w:r>
    </w:p>
    <w:p w:rsidR="00192F41" w:rsidRPr="00045D19" w:rsidRDefault="00192F41" w:rsidP="00192F41">
      <w:pPr>
        <w:numPr>
          <w:ilvl w:val="0"/>
          <w:numId w:val="4"/>
        </w:numPr>
        <w:spacing w:line="240" w:lineRule="auto"/>
        <w:ind w:left="567"/>
        <w:rPr>
          <w:lang w:val="lt-LT"/>
        </w:rPr>
      </w:pPr>
      <w:r w:rsidRPr="00045D19">
        <w:rPr>
          <w:lang w:val="lt-LT"/>
        </w:rPr>
        <w:t>Infekcijos – pienligė (įskaitant makšties uždegimą ir burnos pienligę)</w:t>
      </w:r>
    </w:p>
    <w:p w:rsidR="00192F41" w:rsidRPr="00045D19" w:rsidRDefault="00192F41" w:rsidP="00192F41">
      <w:pPr>
        <w:numPr>
          <w:ilvl w:val="0"/>
          <w:numId w:val="4"/>
        </w:numPr>
        <w:spacing w:line="240" w:lineRule="auto"/>
        <w:ind w:left="567"/>
        <w:rPr>
          <w:lang w:val="lt-LT"/>
        </w:rPr>
      </w:pPr>
      <w:r w:rsidRPr="00045D19">
        <w:rPr>
          <w:lang w:val="lt-LT"/>
        </w:rPr>
        <w:t>Karščiavimas.</w:t>
      </w:r>
    </w:p>
    <w:p w:rsidR="00192F41" w:rsidRPr="00045D19" w:rsidRDefault="00192F41" w:rsidP="00192F41">
      <w:pPr>
        <w:numPr>
          <w:ilvl w:val="0"/>
          <w:numId w:val="4"/>
        </w:numPr>
        <w:spacing w:line="240" w:lineRule="auto"/>
        <w:ind w:left="567"/>
        <w:rPr>
          <w:lang w:val="lt-LT"/>
        </w:rPr>
      </w:pPr>
      <w:r w:rsidRPr="00045D19">
        <w:rPr>
          <w:lang w:val="lt-LT"/>
        </w:rPr>
        <w:t>Traukuliai.</w:t>
      </w:r>
    </w:p>
    <w:p w:rsidR="00192F41" w:rsidRPr="00045D19" w:rsidRDefault="00192F41" w:rsidP="00192F41">
      <w:pPr>
        <w:numPr>
          <w:ilvl w:val="0"/>
          <w:numId w:val="4"/>
        </w:numPr>
        <w:spacing w:line="240" w:lineRule="auto"/>
        <w:ind w:left="567"/>
        <w:rPr>
          <w:lang w:val="lt-LT"/>
        </w:rPr>
      </w:pPr>
      <w:r w:rsidRPr="00045D19">
        <w:rPr>
          <w:lang w:val="lt-LT"/>
        </w:rPr>
        <w:t>Venų uždegimas ar trombozė</w:t>
      </w:r>
    </w:p>
    <w:p w:rsidR="00192F41" w:rsidRPr="00045D19" w:rsidRDefault="00192F41" w:rsidP="00192F41">
      <w:pPr>
        <w:numPr>
          <w:ilvl w:val="0"/>
          <w:numId w:val="4"/>
        </w:numPr>
        <w:spacing w:line="240" w:lineRule="auto"/>
        <w:ind w:left="567"/>
        <w:rPr>
          <w:lang w:val="lt-LT"/>
        </w:rPr>
      </w:pPr>
      <w:r w:rsidRPr="00045D19">
        <w:rPr>
          <w:lang w:val="lt-LT"/>
        </w:rPr>
        <w:t>Odos paraudimas, odos niežėjimas, sąnarių maudimas, odos pažeidimas, išplitęs išbėrimas, dilgėlinė.</w:t>
      </w:r>
    </w:p>
    <w:p w:rsidR="00192F41" w:rsidRPr="00045D19" w:rsidRDefault="00192F41" w:rsidP="00192F41">
      <w:pPr>
        <w:spacing w:line="240" w:lineRule="auto"/>
        <w:rPr>
          <w:i/>
          <w:lang w:val="lt-LT"/>
        </w:rPr>
      </w:pPr>
    </w:p>
    <w:p w:rsidR="00192F41" w:rsidRPr="00045D19" w:rsidRDefault="00192F41" w:rsidP="00192F41">
      <w:pPr>
        <w:spacing w:line="240" w:lineRule="auto"/>
        <w:rPr>
          <w:i/>
          <w:lang w:val="lt-LT"/>
        </w:rPr>
      </w:pPr>
      <w:r w:rsidRPr="00045D19">
        <w:rPr>
          <w:i/>
          <w:lang w:val="lt-LT"/>
        </w:rPr>
        <w:t>Ret</w:t>
      </w:r>
      <w:r>
        <w:rPr>
          <w:i/>
          <w:lang w:val="lt-LT"/>
        </w:rPr>
        <w:t>i šalutinio poveikio reiškiniai</w:t>
      </w:r>
      <w:r w:rsidRPr="00045D19">
        <w:rPr>
          <w:i/>
          <w:lang w:val="lt-LT"/>
        </w:rPr>
        <w:t xml:space="preserve"> (gali pasireikšti </w:t>
      </w:r>
      <w:r>
        <w:rPr>
          <w:i/>
          <w:lang w:val="lt-LT"/>
        </w:rPr>
        <w:t xml:space="preserve">rečiau </w:t>
      </w:r>
      <w:r w:rsidRPr="00045D19">
        <w:rPr>
          <w:i/>
          <w:lang w:val="lt-LT"/>
        </w:rPr>
        <w:t>kaip 1 iš 1 000</w:t>
      </w:r>
      <w:r>
        <w:rPr>
          <w:i/>
          <w:lang w:val="lt-LT"/>
        </w:rPr>
        <w:t xml:space="preserve"> asmenų</w:t>
      </w:r>
      <w:r w:rsidRPr="00045D19">
        <w:rPr>
          <w:i/>
          <w:lang w:val="lt-LT"/>
        </w:rPr>
        <w:t>)</w:t>
      </w:r>
    </w:p>
    <w:p w:rsidR="00192F41" w:rsidRPr="00045D19" w:rsidRDefault="00192F41" w:rsidP="00192F41">
      <w:pPr>
        <w:numPr>
          <w:ilvl w:val="0"/>
          <w:numId w:val="4"/>
        </w:numPr>
        <w:spacing w:line="240" w:lineRule="auto"/>
        <w:ind w:left="567"/>
        <w:rPr>
          <w:lang w:val="lt-LT"/>
        </w:rPr>
      </w:pPr>
      <w:r w:rsidRPr="00045D19">
        <w:rPr>
          <w:lang w:val="lt-LT"/>
        </w:rPr>
        <w:t>Makšties niežėjimas ar išskyros.</w:t>
      </w:r>
    </w:p>
    <w:p w:rsidR="00192F41" w:rsidRPr="00045D19" w:rsidRDefault="00192F41" w:rsidP="00192F41">
      <w:pPr>
        <w:numPr>
          <w:ilvl w:val="0"/>
          <w:numId w:val="4"/>
        </w:numPr>
        <w:spacing w:line="240" w:lineRule="auto"/>
        <w:ind w:left="567"/>
        <w:rPr>
          <w:lang w:val="lt-LT"/>
        </w:rPr>
      </w:pPr>
      <w:r w:rsidRPr="00045D19">
        <w:rPr>
          <w:lang w:val="lt-LT"/>
        </w:rPr>
        <w:t>Kitokio tipo infekcinė liga.</w:t>
      </w:r>
    </w:p>
    <w:p w:rsidR="00192F41" w:rsidRPr="00045D19" w:rsidRDefault="00192F41" w:rsidP="00192F41">
      <w:pPr>
        <w:numPr>
          <w:ilvl w:val="0"/>
          <w:numId w:val="4"/>
        </w:numPr>
        <w:spacing w:line="240" w:lineRule="auto"/>
        <w:ind w:left="567"/>
        <w:rPr>
          <w:lang w:val="lt-LT"/>
        </w:rPr>
      </w:pPr>
      <w:r w:rsidRPr="00045D19">
        <w:rPr>
          <w:lang w:val="lt-LT"/>
        </w:rPr>
        <w:t xml:space="preserve">Kraujo ląstelių kiekio </w:t>
      </w:r>
      <w:r>
        <w:rPr>
          <w:lang w:val="lt-LT"/>
        </w:rPr>
        <w:t>pokyčiai</w:t>
      </w:r>
      <w:r w:rsidRPr="00045D19">
        <w:rPr>
          <w:lang w:val="lt-LT"/>
        </w:rPr>
        <w:t>.</w:t>
      </w:r>
    </w:p>
    <w:p w:rsidR="00192F41" w:rsidRPr="00045D19" w:rsidRDefault="00192F41" w:rsidP="00192F41">
      <w:pPr>
        <w:numPr>
          <w:ilvl w:val="0"/>
          <w:numId w:val="4"/>
        </w:numPr>
        <w:spacing w:line="240" w:lineRule="auto"/>
        <w:ind w:left="567"/>
        <w:rPr>
          <w:lang w:val="lt-LT"/>
        </w:rPr>
      </w:pPr>
      <w:r w:rsidRPr="00045D19">
        <w:rPr>
          <w:lang w:val="lt-LT"/>
        </w:rPr>
        <w:t>Svaigulys.</w:t>
      </w:r>
    </w:p>
    <w:p w:rsidR="00192F41" w:rsidRDefault="00192F41" w:rsidP="00192F41">
      <w:pPr>
        <w:numPr>
          <w:ilvl w:val="0"/>
          <w:numId w:val="4"/>
        </w:numPr>
        <w:spacing w:line="240" w:lineRule="auto"/>
        <w:ind w:left="567"/>
        <w:rPr>
          <w:lang w:val="lt-LT"/>
        </w:rPr>
      </w:pPr>
      <w:r w:rsidRPr="00045D19">
        <w:rPr>
          <w:lang w:val="lt-LT"/>
        </w:rPr>
        <w:t>Kvėpavimo sutrikimas.</w:t>
      </w:r>
    </w:p>
    <w:p w:rsidR="00192F41" w:rsidRPr="00045D19" w:rsidRDefault="00192F41" w:rsidP="00192F41">
      <w:pPr>
        <w:numPr>
          <w:ilvl w:val="0"/>
          <w:numId w:val="4"/>
        </w:numPr>
        <w:spacing w:line="240" w:lineRule="auto"/>
        <w:ind w:left="567"/>
        <w:rPr>
          <w:lang w:val="lt-LT"/>
        </w:rPr>
      </w:pPr>
      <w:r w:rsidRPr="00866BFA">
        <w:rPr>
          <w:lang w:val="lt-LT"/>
        </w:rPr>
        <w:t>Kvėpavimo pasunkėjimas (dažnai su kosuliu).</w:t>
      </w:r>
    </w:p>
    <w:p w:rsidR="00192F41" w:rsidRPr="00045D19" w:rsidRDefault="00192F41" w:rsidP="00192F41">
      <w:pPr>
        <w:numPr>
          <w:ilvl w:val="0"/>
          <w:numId w:val="4"/>
        </w:numPr>
        <w:spacing w:line="240" w:lineRule="auto"/>
        <w:ind w:left="567"/>
        <w:rPr>
          <w:lang w:val="lt-LT"/>
        </w:rPr>
      </w:pPr>
      <w:r w:rsidRPr="00045D19">
        <w:rPr>
          <w:lang w:val="lt-LT"/>
        </w:rPr>
        <w:t>Kosulys.</w:t>
      </w:r>
    </w:p>
    <w:p w:rsidR="00192F41" w:rsidRPr="00045D19" w:rsidRDefault="00192F41" w:rsidP="00192F41">
      <w:pPr>
        <w:numPr>
          <w:ilvl w:val="0"/>
          <w:numId w:val="4"/>
        </w:numPr>
        <w:spacing w:line="240" w:lineRule="auto"/>
        <w:ind w:left="567"/>
        <w:rPr>
          <w:lang w:val="lt-LT"/>
        </w:rPr>
      </w:pPr>
      <w:r w:rsidRPr="00045D19">
        <w:rPr>
          <w:lang w:val="lt-LT"/>
        </w:rPr>
        <w:t>Nosies bėgimas (sloga).</w:t>
      </w:r>
    </w:p>
    <w:p w:rsidR="00192F41" w:rsidRDefault="00192F41" w:rsidP="00192F41">
      <w:pPr>
        <w:numPr>
          <w:ilvl w:val="0"/>
          <w:numId w:val="4"/>
        </w:numPr>
        <w:spacing w:line="240" w:lineRule="auto"/>
        <w:ind w:left="567"/>
        <w:rPr>
          <w:lang w:val="lt-LT"/>
        </w:rPr>
      </w:pPr>
      <w:r w:rsidRPr="00045D19">
        <w:rPr>
          <w:lang w:val="lt-LT"/>
        </w:rPr>
        <w:t>Apetito netekimas.</w:t>
      </w:r>
    </w:p>
    <w:p w:rsidR="00192F41" w:rsidRPr="00045D19" w:rsidRDefault="00192F41" w:rsidP="00192F41">
      <w:pPr>
        <w:numPr>
          <w:ilvl w:val="0"/>
          <w:numId w:val="4"/>
        </w:numPr>
        <w:spacing w:line="240" w:lineRule="auto"/>
        <w:ind w:left="567"/>
        <w:rPr>
          <w:lang w:val="lt-LT"/>
        </w:rPr>
      </w:pPr>
      <w:r>
        <w:rPr>
          <w:lang w:val="lt-LT"/>
        </w:rPr>
        <w:t>Cukraus kiekio kraujyje sumažėjimas/ padidėjimas</w:t>
      </w:r>
    </w:p>
    <w:p w:rsidR="00192F41" w:rsidRPr="00045D19" w:rsidRDefault="00192F41" w:rsidP="00192F41">
      <w:pPr>
        <w:numPr>
          <w:ilvl w:val="0"/>
          <w:numId w:val="4"/>
        </w:numPr>
        <w:spacing w:line="240" w:lineRule="auto"/>
        <w:ind w:left="567"/>
        <w:rPr>
          <w:lang w:val="lt-LT"/>
        </w:rPr>
      </w:pPr>
      <w:r w:rsidRPr="00045D19">
        <w:rPr>
          <w:lang w:val="lt-LT"/>
        </w:rPr>
        <w:t>Kepenų sutrikimai (nustatomi kraujo tyrimais).</w:t>
      </w:r>
    </w:p>
    <w:p w:rsidR="00192F41" w:rsidRPr="00045D19" w:rsidRDefault="00192F41" w:rsidP="00192F41">
      <w:pPr>
        <w:numPr>
          <w:ilvl w:val="0"/>
          <w:numId w:val="4"/>
        </w:numPr>
        <w:spacing w:line="240" w:lineRule="auto"/>
        <w:ind w:left="567"/>
        <w:rPr>
          <w:lang w:val="lt-LT"/>
        </w:rPr>
      </w:pPr>
      <w:r w:rsidRPr="00045D19">
        <w:rPr>
          <w:lang w:val="lt-LT"/>
        </w:rPr>
        <w:t>Greitai atsirandantis sunkus išbėrimas, kuris atsiranda greitai, pasireiškiantis odos pūslėmis ir lupimusi (pūslių gali atsirasti ir burnoje).</w:t>
      </w:r>
    </w:p>
    <w:p w:rsidR="00192F41" w:rsidRPr="00045D19" w:rsidRDefault="00192F41" w:rsidP="00192F41">
      <w:pPr>
        <w:numPr>
          <w:ilvl w:val="0"/>
          <w:numId w:val="4"/>
        </w:numPr>
        <w:spacing w:line="240" w:lineRule="auto"/>
        <w:ind w:left="567"/>
        <w:rPr>
          <w:lang w:val="lt-LT"/>
        </w:rPr>
      </w:pPr>
      <w:r w:rsidRPr="00045D19">
        <w:rPr>
          <w:lang w:val="lt-LT"/>
        </w:rPr>
        <w:t>Stiprus nuovargis ar silpnumas.</w:t>
      </w:r>
    </w:p>
    <w:p w:rsidR="00192F41" w:rsidRPr="00045D19" w:rsidRDefault="00192F41" w:rsidP="00192F41">
      <w:pPr>
        <w:numPr>
          <w:ilvl w:val="0"/>
          <w:numId w:val="4"/>
        </w:numPr>
        <w:spacing w:line="240" w:lineRule="auto"/>
        <w:ind w:left="567"/>
        <w:rPr>
          <w:lang w:val="lt-LT"/>
        </w:rPr>
      </w:pPr>
      <w:r w:rsidRPr="00045D19">
        <w:rPr>
          <w:lang w:val="lt-LT"/>
        </w:rPr>
        <w:t>Krūtinės skausmas.</w:t>
      </w:r>
    </w:p>
    <w:p w:rsidR="00192F41" w:rsidRPr="00045D19" w:rsidRDefault="00192F41" w:rsidP="00192F41">
      <w:pPr>
        <w:spacing w:line="240" w:lineRule="auto"/>
        <w:rPr>
          <w:lang w:val="lt-LT"/>
        </w:rPr>
      </w:pPr>
    </w:p>
    <w:p w:rsidR="00192F41" w:rsidRPr="00045D19" w:rsidRDefault="00192F41" w:rsidP="00192F41">
      <w:pPr>
        <w:spacing w:line="240" w:lineRule="auto"/>
        <w:rPr>
          <w:i/>
          <w:lang w:val="lt-LT"/>
        </w:rPr>
      </w:pPr>
      <w:r w:rsidRPr="00045D19">
        <w:rPr>
          <w:i/>
          <w:lang w:val="lt-LT"/>
        </w:rPr>
        <w:t>Labai ret</w:t>
      </w:r>
      <w:r>
        <w:rPr>
          <w:i/>
          <w:lang w:val="lt-LT"/>
        </w:rPr>
        <w:t>i šalutinio poveikio reiškiniai</w:t>
      </w:r>
      <w:r w:rsidRPr="00045D19">
        <w:rPr>
          <w:i/>
          <w:lang w:val="lt-LT"/>
        </w:rPr>
        <w:t xml:space="preserve"> (gali pasireikšti </w:t>
      </w:r>
      <w:r>
        <w:rPr>
          <w:i/>
          <w:lang w:val="lt-LT"/>
        </w:rPr>
        <w:t>rečiau</w:t>
      </w:r>
      <w:r w:rsidRPr="00045D19">
        <w:rPr>
          <w:i/>
          <w:lang w:val="lt-LT"/>
        </w:rPr>
        <w:t xml:space="preserve"> kaip 1 iš 10 000</w:t>
      </w:r>
      <w:r>
        <w:rPr>
          <w:i/>
          <w:lang w:val="lt-LT"/>
        </w:rPr>
        <w:t xml:space="preserve"> asmenų</w:t>
      </w:r>
      <w:r w:rsidRPr="00045D19">
        <w:rPr>
          <w:i/>
          <w:lang w:val="lt-LT"/>
        </w:rPr>
        <w:t>)</w:t>
      </w:r>
    </w:p>
    <w:p w:rsidR="00192F41" w:rsidRPr="00045D19" w:rsidRDefault="00192F41" w:rsidP="00192F41">
      <w:pPr>
        <w:numPr>
          <w:ilvl w:val="0"/>
          <w:numId w:val="4"/>
        </w:numPr>
        <w:spacing w:line="240" w:lineRule="auto"/>
        <w:ind w:left="567"/>
        <w:rPr>
          <w:lang w:val="lt-LT"/>
        </w:rPr>
      </w:pPr>
      <w:r w:rsidRPr="00045D19">
        <w:rPr>
          <w:lang w:val="lt-LT"/>
        </w:rPr>
        <w:t>Kraujo krešėjimo sutrikimas.</w:t>
      </w:r>
    </w:p>
    <w:p w:rsidR="00192F41" w:rsidRPr="00045D19" w:rsidRDefault="00192F41" w:rsidP="00192F41">
      <w:pPr>
        <w:numPr>
          <w:ilvl w:val="0"/>
          <w:numId w:val="4"/>
        </w:numPr>
        <w:spacing w:line="240" w:lineRule="auto"/>
        <w:ind w:left="567"/>
        <w:rPr>
          <w:lang w:val="lt-LT"/>
        </w:rPr>
      </w:pPr>
      <w:r w:rsidRPr="00045D19">
        <w:rPr>
          <w:lang w:val="lt-LT"/>
        </w:rPr>
        <w:t>Storosios (gaubtinės) žarnos uždegimas. Galimi požymiai yra viduriavimas (paprastai išmatose yra kraujo ir gleivių), pilvo skausmas ir karščiavimas.</w:t>
      </w:r>
    </w:p>
    <w:p w:rsidR="00192F41" w:rsidRPr="00045D19" w:rsidRDefault="00192F41" w:rsidP="00192F41">
      <w:pPr>
        <w:numPr>
          <w:ilvl w:val="0"/>
          <w:numId w:val="4"/>
        </w:numPr>
        <w:spacing w:line="240" w:lineRule="auto"/>
        <w:ind w:left="567"/>
        <w:rPr>
          <w:lang w:val="lt-LT"/>
        </w:rPr>
      </w:pPr>
      <w:r w:rsidRPr="00045D19">
        <w:rPr>
          <w:lang w:val="lt-LT"/>
        </w:rPr>
        <w:t>Lytinių organų niežėjimas.</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r w:rsidRPr="00045D19">
        <w:rPr>
          <w:lang w:val="lt-LT"/>
        </w:rPr>
        <w:t>Jeigu pasireiškė šalutinis poveikis, įskaitant šiame lapelyje nenurodytą, pasakykite gydytojui, vaistininkui arba slaugytojui.</w:t>
      </w:r>
    </w:p>
    <w:p w:rsidR="00192F41" w:rsidRPr="00045D19" w:rsidRDefault="00192F41" w:rsidP="00192F41">
      <w:pPr>
        <w:spacing w:line="240" w:lineRule="auto"/>
        <w:rPr>
          <w:b/>
          <w:lang w:val="lt-LT"/>
        </w:rPr>
      </w:pPr>
    </w:p>
    <w:p w:rsidR="00192F41" w:rsidRPr="00045D19" w:rsidRDefault="00192F41" w:rsidP="00192F41">
      <w:pPr>
        <w:spacing w:line="240" w:lineRule="auto"/>
        <w:rPr>
          <w:b/>
          <w:lang w:val="lt-LT"/>
        </w:rPr>
      </w:pPr>
      <w:r w:rsidRPr="00045D19">
        <w:rPr>
          <w:b/>
          <w:lang w:val="lt-LT"/>
        </w:rPr>
        <w:t>Pranešimas apie šalutinį poveikį</w:t>
      </w:r>
    </w:p>
    <w:p w:rsidR="00192F41" w:rsidRPr="00045D19" w:rsidRDefault="00192F41" w:rsidP="00192F41">
      <w:pPr>
        <w:ind w:right="-449"/>
        <w:rPr>
          <w:lang w:val="lt-LT"/>
        </w:rPr>
      </w:pPr>
      <w:r w:rsidRPr="00627827">
        <w:rPr>
          <w:snapToGrid w:val="0"/>
          <w:lang w:val="lt-LT"/>
        </w:rPr>
        <w:t>Jeigu pasireiškė šalutinis poveikis, įskaitant šiame lapelyje nenurodytą, pasakykite gydytojui</w:t>
      </w:r>
      <w:r>
        <w:rPr>
          <w:snapToGrid w:val="0"/>
          <w:lang w:val="lt-LT"/>
        </w:rPr>
        <w:t xml:space="preserve">, </w:t>
      </w:r>
      <w:r w:rsidRPr="00627827">
        <w:rPr>
          <w:snapToGrid w:val="0"/>
          <w:lang w:val="lt-LT"/>
        </w:rPr>
        <w:t>vaistininkui</w:t>
      </w:r>
      <w:r>
        <w:rPr>
          <w:snapToGrid w:val="0"/>
          <w:lang w:val="lt-LT"/>
        </w:rPr>
        <w:t xml:space="preserve"> </w:t>
      </w:r>
      <w:r w:rsidRPr="00627827">
        <w:rPr>
          <w:snapToGrid w:val="0"/>
          <w:lang w:val="lt-LT"/>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Pr>
          <w:snapToGrid w:val="0"/>
          <w:lang w:val="lt-LT"/>
        </w:rPr>
        <w:t xml:space="preserve"> </w:t>
      </w:r>
    </w:p>
    <w:p w:rsidR="00192F41" w:rsidRPr="00045D19" w:rsidRDefault="00192F41" w:rsidP="00192F41">
      <w:pPr>
        <w:ind w:right="-449"/>
        <w:rPr>
          <w:lang w:val="lt-LT"/>
        </w:rPr>
      </w:pPr>
    </w:p>
    <w:p w:rsidR="00192F41" w:rsidRPr="00045D19" w:rsidRDefault="00192F41" w:rsidP="00192F41">
      <w:pPr>
        <w:keepNext/>
        <w:keepLines/>
        <w:spacing w:line="240" w:lineRule="auto"/>
        <w:outlineLvl w:val="2"/>
        <w:rPr>
          <w:rFonts w:ascii="Cambria" w:hAnsi="Cambria"/>
          <w:bCs/>
          <w:sz w:val="26"/>
          <w:szCs w:val="26"/>
          <w:lang w:val="lt-LT" w:eastAsia="ja-JP"/>
        </w:rPr>
      </w:pPr>
      <w:r w:rsidRPr="00045D19">
        <w:rPr>
          <w:b/>
          <w:bCs/>
          <w:szCs w:val="26"/>
          <w:lang w:val="lt-LT" w:eastAsia="ja-JP"/>
        </w:rPr>
        <w:t>5.</w:t>
      </w:r>
      <w:r w:rsidRPr="00045D19">
        <w:rPr>
          <w:b/>
          <w:bCs/>
          <w:szCs w:val="26"/>
          <w:lang w:val="lt-LT" w:eastAsia="ja-JP"/>
        </w:rPr>
        <w:tab/>
        <w:t xml:space="preserve">Kaip laikyti </w:t>
      </w:r>
      <w:proofErr w:type="spellStart"/>
      <w:r w:rsidRPr="00045D19">
        <w:rPr>
          <w:b/>
          <w:bCs/>
          <w:szCs w:val="26"/>
          <w:lang w:val="lt-LT" w:eastAsia="ja-JP"/>
        </w:rPr>
        <w:t>Rezol</w:t>
      </w:r>
      <w:proofErr w:type="spellEnd"/>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r w:rsidRPr="00045D19">
        <w:rPr>
          <w:lang w:val="lt-LT"/>
        </w:rPr>
        <w:t>Šį vaistą laikykite vaikams nepastebimoje ir nepasiekiamoje vietoje.</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r w:rsidRPr="00045D19">
        <w:rPr>
          <w:lang w:val="lt-LT"/>
        </w:rPr>
        <w:t xml:space="preserve">Ant dėžutės ir flakono po </w:t>
      </w:r>
      <w:r w:rsidRPr="00045D19">
        <w:rPr>
          <w:highlight w:val="lightGray"/>
          <w:lang w:val="lt-LT"/>
        </w:rPr>
        <w:t>„Tinka iki“/</w:t>
      </w:r>
      <w:r w:rsidRPr="00045D19">
        <w:rPr>
          <w:lang w:val="lt-LT"/>
        </w:rPr>
        <w:t xml:space="preserve"> „EXP“ nurodytam tinkamumo laikui pasibaigus, šio vaisto vartoti negalima. Vaistas tinkamas vartoti iki paskutinės nurodyto mėnesio dienos.</w:t>
      </w:r>
    </w:p>
    <w:p w:rsidR="00192F41" w:rsidRPr="00045D19" w:rsidRDefault="00192F41" w:rsidP="00192F41">
      <w:pPr>
        <w:spacing w:line="240" w:lineRule="auto"/>
        <w:ind w:right="-2"/>
        <w:rPr>
          <w:lang w:val="lt-LT"/>
        </w:rPr>
      </w:pPr>
    </w:p>
    <w:p w:rsidR="00192F41" w:rsidRPr="00045D19" w:rsidRDefault="00192F41" w:rsidP="00192F41">
      <w:pPr>
        <w:rPr>
          <w:lang w:val="lt-LT"/>
        </w:rPr>
      </w:pPr>
      <w:r w:rsidRPr="00045D19">
        <w:rPr>
          <w:lang w:val="lt-LT"/>
        </w:rPr>
        <w:t>Šio vaisto laikymui specialių temperatūros sąlygų nereikalaujama.</w:t>
      </w:r>
    </w:p>
    <w:p w:rsidR="00192F41" w:rsidRPr="00045D19" w:rsidRDefault="00192F41" w:rsidP="00192F41">
      <w:pPr>
        <w:rPr>
          <w:lang w:val="lt-LT"/>
        </w:rPr>
      </w:pPr>
      <w:r w:rsidRPr="00045D19">
        <w:rPr>
          <w:lang w:val="lt-LT"/>
        </w:rPr>
        <w:t>Flakon</w:t>
      </w:r>
      <w:r>
        <w:rPr>
          <w:lang w:val="lt-LT"/>
        </w:rPr>
        <w:t>ą</w:t>
      </w:r>
      <w:r w:rsidRPr="00045D19">
        <w:rPr>
          <w:lang w:val="lt-LT"/>
        </w:rPr>
        <w:t xml:space="preserve"> laikyti </w:t>
      </w:r>
      <w:r>
        <w:rPr>
          <w:lang w:val="lt-LT"/>
        </w:rPr>
        <w:t>išorinėje</w:t>
      </w:r>
      <w:r w:rsidRPr="00045D19">
        <w:rPr>
          <w:lang w:val="lt-LT"/>
        </w:rPr>
        <w:t xml:space="preserve"> dėžutėje, kad vaistas b</w:t>
      </w:r>
      <w:r w:rsidRPr="00045D19">
        <w:rPr>
          <w:rFonts w:hint="eastAsia"/>
          <w:lang w:val="lt-LT"/>
        </w:rPr>
        <w:t>ū</w:t>
      </w:r>
      <w:r w:rsidRPr="00045D19">
        <w:rPr>
          <w:lang w:val="lt-LT"/>
        </w:rPr>
        <w:t>t</w:t>
      </w:r>
      <w:r w:rsidRPr="00045D19">
        <w:rPr>
          <w:rFonts w:hint="eastAsia"/>
          <w:lang w:val="lt-LT"/>
        </w:rPr>
        <w:t>ų</w:t>
      </w:r>
      <w:r w:rsidRPr="00045D19">
        <w:rPr>
          <w:rFonts w:ascii="TimesNewRoman" w:hAnsi="TimesNewRoman"/>
          <w:lang w:val="lt-LT"/>
        </w:rPr>
        <w:t xml:space="preserve"> </w:t>
      </w:r>
      <w:r w:rsidRPr="00045D19">
        <w:rPr>
          <w:lang w:val="lt-LT"/>
        </w:rPr>
        <w:t>apsaugotas nuo šviesos.</w:t>
      </w:r>
    </w:p>
    <w:p w:rsidR="00192F41" w:rsidRPr="00045D19" w:rsidRDefault="00192F41" w:rsidP="00192F41">
      <w:pPr>
        <w:rPr>
          <w:lang w:val="lt-LT"/>
        </w:rPr>
      </w:pPr>
    </w:p>
    <w:p w:rsidR="00192F41" w:rsidRPr="00045D19" w:rsidRDefault="00192F41" w:rsidP="00192F41">
      <w:pPr>
        <w:spacing w:line="240" w:lineRule="auto"/>
        <w:rPr>
          <w:lang w:val="lt-LT"/>
        </w:rPr>
      </w:pPr>
      <w:r w:rsidRPr="00045D19">
        <w:rPr>
          <w:lang w:val="lt-LT"/>
        </w:rPr>
        <w:t>Vaistų negalima išmesti į kanalizaciją arba su buitinėmis atliekomis. Kaip išmesti vaistus, klauskite vaistininko. Šios priemonės padės apsaugoti aplinką.</w:t>
      </w:r>
    </w:p>
    <w:p w:rsidR="00192F41" w:rsidRPr="00045D19" w:rsidRDefault="00192F41" w:rsidP="00192F41">
      <w:pPr>
        <w:spacing w:line="240" w:lineRule="auto"/>
        <w:rPr>
          <w:lang w:val="lt-LT"/>
        </w:rPr>
      </w:pPr>
    </w:p>
    <w:p w:rsidR="00192F41" w:rsidRPr="00045D19" w:rsidRDefault="00192F41" w:rsidP="00192F41">
      <w:pPr>
        <w:keepNext/>
        <w:keepLines/>
        <w:spacing w:line="240" w:lineRule="auto"/>
        <w:outlineLvl w:val="2"/>
        <w:rPr>
          <w:rFonts w:ascii="Cambria" w:hAnsi="Cambria"/>
          <w:bCs/>
          <w:sz w:val="26"/>
          <w:szCs w:val="26"/>
          <w:lang w:val="lt-LT" w:eastAsia="ja-JP"/>
        </w:rPr>
      </w:pPr>
      <w:r w:rsidRPr="00045D19">
        <w:rPr>
          <w:b/>
          <w:bCs/>
          <w:szCs w:val="26"/>
          <w:lang w:val="lt-LT" w:eastAsia="ja-JP"/>
        </w:rPr>
        <w:t>6.</w:t>
      </w:r>
      <w:r w:rsidRPr="00045D19">
        <w:rPr>
          <w:bCs/>
          <w:szCs w:val="26"/>
          <w:lang w:val="lt-LT" w:eastAsia="ja-JP"/>
        </w:rPr>
        <w:tab/>
      </w:r>
      <w:r w:rsidRPr="00045D19">
        <w:rPr>
          <w:b/>
          <w:bCs/>
          <w:szCs w:val="26"/>
          <w:lang w:val="lt-LT" w:eastAsia="ja-JP"/>
        </w:rPr>
        <w:t>Pakuotės turinys ir kita informacija</w:t>
      </w:r>
    </w:p>
    <w:p w:rsidR="00192F41" w:rsidRPr="00045D19" w:rsidRDefault="00192F41" w:rsidP="00192F41">
      <w:pPr>
        <w:spacing w:line="240" w:lineRule="auto"/>
        <w:rPr>
          <w:lang w:val="lt-LT"/>
        </w:rPr>
      </w:pPr>
    </w:p>
    <w:p w:rsidR="00192F41" w:rsidRPr="00045D19" w:rsidRDefault="00192F41" w:rsidP="00192F41">
      <w:pPr>
        <w:keepNext/>
        <w:jc w:val="both"/>
        <w:outlineLvl w:val="3"/>
        <w:rPr>
          <w:rFonts w:ascii="Calibri" w:hAnsi="Calibri"/>
          <w:bCs/>
          <w:sz w:val="28"/>
          <w:szCs w:val="28"/>
          <w:lang w:val="lt-LT" w:eastAsia="ja-JP"/>
        </w:rPr>
      </w:pPr>
      <w:proofErr w:type="spellStart"/>
      <w:r w:rsidRPr="00045D19">
        <w:rPr>
          <w:b/>
          <w:bCs/>
          <w:szCs w:val="28"/>
          <w:lang w:val="lt-LT" w:eastAsia="ja-JP"/>
        </w:rPr>
        <w:t>Rezol</w:t>
      </w:r>
      <w:proofErr w:type="spellEnd"/>
      <w:r w:rsidRPr="00045D19">
        <w:rPr>
          <w:b/>
          <w:bCs/>
          <w:szCs w:val="28"/>
          <w:lang w:val="lt-LT" w:eastAsia="ja-JP"/>
        </w:rPr>
        <w:t xml:space="preserve"> sudėtis </w:t>
      </w:r>
    </w:p>
    <w:p w:rsidR="00192F41" w:rsidRPr="00045D19" w:rsidRDefault="00192F41" w:rsidP="00192F41">
      <w:pPr>
        <w:numPr>
          <w:ilvl w:val="0"/>
          <w:numId w:val="2"/>
        </w:numPr>
        <w:spacing w:line="240" w:lineRule="auto"/>
        <w:ind w:left="567" w:right="-2"/>
        <w:rPr>
          <w:lang w:val="lt-LT"/>
        </w:rPr>
      </w:pPr>
      <w:r w:rsidRPr="00045D19">
        <w:rPr>
          <w:lang w:val="lt-LT"/>
        </w:rPr>
        <w:t xml:space="preserve">Veiklioji medžiaga yra </w:t>
      </w:r>
      <w:proofErr w:type="spellStart"/>
      <w:r w:rsidRPr="00045D19">
        <w:rPr>
          <w:lang w:val="lt-LT"/>
        </w:rPr>
        <w:t>cefazolinas</w:t>
      </w:r>
      <w:proofErr w:type="spellEnd"/>
      <w:r w:rsidRPr="00045D19">
        <w:rPr>
          <w:lang w:val="lt-LT"/>
        </w:rPr>
        <w:t xml:space="preserve">. Viename flakone yra 1 g </w:t>
      </w:r>
      <w:proofErr w:type="spellStart"/>
      <w:r w:rsidRPr="00045D19">
        <w:rPr>
          <w:lang w:val="lt-LT"/>
        </w:rPr>
        <w:t>cefazolino</w:t>
      </w:r>
      <w:proofErr w:type="spellEnd"/>
      <w:r w:rsidRPr="00045D19">
        <w:rPr>
          <w:lang w:val="lt-LT"/>
        </w:rPr>
        <w:t xml:space="preserve"> (</w:t>
      </w:r>
      <w:proofErr w:type="spellStart"/>
      <w:r w:rsidRPr="00045D19">
        <w:rPr>
          <w:lang w:val="lt-LT"/>
        </w:rPr>
        <w:t>cefazolino</w:t>
      </w:r>
      <w:proofErr w:type="spellEnd"/>
      <w:r w:rsidRPr="00045D19">
        <w:rPr>
          <w:lang w:val="lt-LT"/>
        </w:rPr>
        <w:t xml:space="preserve"> natrio druskos pavidalu).</w:t>
      </w:r>
    </w:p>
    <w:p w:rsidR="00192F41" w:rsidRPr="00045D19" w:rsidRDefault="00192F41" w:rsidP="00192F41">
      <w:pPr>
        <w:numPr>
          <w:ilvl w:val="0"/>
          <w:numId w:val="2"/>
        </w:numPr>
        <w:spacing w:line="240" w:lineRule="auto"/>
        <w:ind w:left="567" w:right="-2"/>
        <w:rPr>
          <w:lang w:val="lt-LT"/>
        </w:rPr>
      </w:pPr>
      <w:r w:rsidRPr="00045D19">
        <w:rPr>
          <w:lang w:val="lt-LT"/>
        </w:rPr>
        <w:t>Pagalbinių medžiagų nėra.</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proofErr w:type="spellStart"/>
      <w:r w:rsidRPr="00045D19">
        <w:rPr>
          <w:b/>
          <w:bCs/>
          <w:szCs w:val="28"/>
          <w:lang w:val="lt-LT" w:eastAsia="ja-JP"/>
        </w:rPr>
        <w:t>Rezol</w:t>
      </w:r>
      <w:proofErr w:type="spellEnd"/>
      <w:r w:rsidRPr="00045D19">
        <w:rPr>
          <w:b/>
          <w:bCs/>
          <w:szCs w:val="28"/>
          <w:lang w:val="lt-LT" w:eastAsia="ja-JP"/>
        </w:rPr>
        <w:t xml:space="preserve"> išvaizda ir kiekis pakuotėje</w:t>
      </w:r>
    </w:p>
    <w:p w:rsidR="00192F41" w:rsidRPr="00045D19" w:rsidRDefault="00192F41" w:rsidP="00192F41">
      <w:pPr>
        <w:spacing w:line="240" w:lineRule="auto"/>
        <w:rPr>
          <w:lang w:val="lt-LT"/>
        </w:rPr>
      </w:pPr>
      <w:proofErr w:type="spellStart"/>
      <w:r w:rsidRPr="00045D19">
        <w:rPr>
          <w:lang w:val="lt-LT"/>
        </w:rPr>
        <w:t>Rezol</w:t>
      </w:r>
      <w:proofErr w:type="spellEnd"/>
      <w:r w:rsidRPr="00045D19">
        <w:rPr>
          <w:lang w:val="lt-LT"/>
        </w:rPr>
        <w:t xml:space="preserve"> yra baltos arba beveik baltos spalvos milteliai. Jis tiekiamas bespalvio stiklo flakone, užkimštame pilku butilo gumos kamščiu užspaustu aliuminio </w:t>
      </w:r>
      <w:proofErr w:type="spellStart"/>
      <w:r w:rsidRPr="00045D19">
        <w:rPr>
          <w:lang w:val="lt-LT"/>
        </w:rPr>
        <w:t>gaubteliu</w:t>
      </w:r>
      <w:proofErr w:type="spellEnd"/>
      <w:r w:rsidRPr="00045D19">
        <w:rPr>
          <w:lang w:val="lt-LT"/>
        </w:rPr>
        <w:t>.</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 xml:space="preserve">Prieš suleidžiant pacientui, </w:t>
      </w:r>
      <w:proofErr w:type="spellStart"/>
      <w:r w:rsidRPr="00045D19">
        <w:rPr>
          <w:lang w:val="lt-LT"/>
        </w:rPr>
        <w:t>Rezol</w:t>
      </w:r>
      <w:proofErr w:type="spellEnd"/>
      <w:r w:rsidRPr="00045D19">
        <w:rPr>
          <w:lang w:val="lt-LT"/>
        </w:rPr>
        <w:t xml:space="preserve"> ištirpinamas, į flakoną sušvirkščiant </w:t>
      </w:r>
      <w:r w:rsidRPr="00045D19">
        <w:rPr>
          <w:color w:val="000000"/>
          <w:lang w:val="lt-LT"/>
        </w:rPr>
        <w:t>injekcinio vandens arba 0,9 % natrio chlorido tirpalo</w:t>
      </w:r>
      <w:r w:rsidRPr="004A69C4">
        <w:rPr>
          <w:lang w:val="lt-LT"/>
        </w:rPr>
        <w:t>.</w:t>
      </w:r>
    </w:p>
    <w:p w:rsidR="00192F41" w:rsidRPr="00045D19" w:rsidRDefault="00192F41" w:rsidP="00192F41">
      <w:pPr>
        <w:spacing w:line="240" w:lineRule="auto"/>
        <w:rPr>
          <w:lang w:val="lt-LT"/>
        </w:rPr>
      </w:pPr>
      <w:r w:rsidRPr="00045D19">
        <w:rPr>
          <w:lang w:val="lt-LT"/>
        </w:rPr>
        <w:t>Po to iš flakono ištraukiama reikiama dozė. Ją pacientui galima arba suleisti injekcijos būdu arba sušvirkšti į infuzijos maišelį ir per ploną vamzdelį sulašinti į veną.</w:t>
      </w:r>
    </w:p>
    <w:p w:rsidR="00192F41" w:rsidRPr="00045D19" w:rsidRDefault="00192F41" w:rsidP="00192F41">
      <w:pPr>
        <w:spacing w:line="240" w:lineRule="auto"/>
        <w:rPr>
          <w:lang w:val="lt-LT"/>
        </w:rPr>
      </w:pPr>
    </w:p>
    <w:p w:rsidR="00192F41" w:rsidRPr="00045D19" w:rsidRDefault="00192F41" w:rsidP="00192F41">
      <w:pPr>
        <w:spacing w:line="240" w:lineRule="auto"/>
        <w:ind w:right="-2"/>
        <w:rPr>
          <w:lang w:val="lt-LT"/>
        </w:rPr>
      </w:pPr>
      <w:proofErr w:type="spellStart"/>
      <w:r w:rsidRPr="00045D19">
        <w:rPr>
          <w:lang w:val="lt-LT"/>
        </w:rPr>
        <w:t>Rezol</w:t>
      </w:r>
      <w:proofErr w:type="spellEnd"/>
      <w:r w:rsidRPr="00045D19">
        <w:rPr>
          <w:lang w:val="lt-LT"/>
        </w:rPr>
        <w:t xml:space="preserve"> tiekiamas pakuotėmis po 1, 5 arba 55 flakonus dėžutėje. </w:t>
      </w:r>
    </w:p>
    <w:p w:rsidR="00192F41" w:rsidRPr="00045D19" w:rsidRDefault="00192F41" w:rsidP="00192F41">
      <w:pPr>
        <w:spacing w:line="240" w:lineRule="auto"/>
        <w:ind w:right="-2"/>
        <w:rPr>
          <w:lang w:val="lt-LT"/>
        </w:rPr>
      </w:pPr>
      <w:r w:rsidRPr="00045D19">
        <w:rPr>
          <w:lang w:val="lt-LT"/>
        </w:rPr>
        <w:t>Gali būti tiekiamos ne visų dydžių pakuotės.</w:t>
      </w:r>
    </w:p>
    <w:p w:rsidR="00192F41" w:rsidRPr="00045D19" w:rsidRDefault="00192F41" w:rsidP="00192F41">
      <w:pPr>
        <w:spacing w:line="240" w:lineRule="auto"/>
        <w:ind w:right="-2"/>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Registruotojas ir gamintojas</w:t>
      </w:r>
    </w:p>
    <w:p w:rsidR="00192F41" w:rsidRPr="00045D19" w:rsidRDefault="00192F41" w:rsidP="00192F41">
      <w:pPr>
        <w:rPr>
          <w:lang w:val="lt-LT"/>
        </w:rPr>
      </w:pPr>
      <w:r w:rsidRPr="00045D19">
        <w:rPr>
          <w:lang w:val="lt-LT"/>
        </w:rPr>
        <w:t>UAB „</w:t>
      </w:r>
      <w:proofErr w:type="spellStart"/>
      <w:r w:rsidRPr="00045D19">
        <w:rPr>
          <w:lang w:val="lt-LT"/>
        </w:rPr>
        <w:t>E</w:t>
      </w:r>
      <w:r>
        <w:rPr>
          <w:lang w:val="lt-LT"/>
        </w:rPr>
        <w:t>letis</w:t>
      </w:r>
      <w:proofErr w:type="spellEnd"/>
      <w:r w:rsidRPr="00045D19">
        <w:rPr>
          <w:lang w:val="lt-LT"/>
        </w:rPr>
        <w:t xml:space="preserve"> </w:t>
      </w:r>
      <w:proofErr w:type="spellStart"/>
      <w:r w:rsidRPr="00045D19">
        <w:rPr>
          <w:lang w:val="lt-LT"/>
        </w:rPr>
        <w:t>Pharma</w:t>
      </w:r>
      <w:proofErr w:type="spellEnd"/>
      <w:r w:rsidRPr="00045D19">
        <w:rPr>
          <w:lang w:val="lt-LT"/>
        </w:rPr>
        <w:t>"</w:t>
      </w:r>
    </w:p>
    <w:p w:rsidR="00192F41" w:rsidRPr="00045D19" w:rsidRDefault="00192F41" w:rsidP="00192F41">
      <w:pPr>
        <w:rPr>
          <w:lang w:val="lt-LT"/>
        </w:rPr>
      </w:pPr>
      <w:r w:rsidRPr="00045D19">
        <w:rPr>
          <w:lang w:val="lt-LT"/>
        </w:rPr>
        <w:t>Sukilėlių pr. 61-2</w:t>
      </w:r>
    </w:p>
    <w:p w:rsidR="00192F41" w:rsidRPr="00045D19" w:rsidRDefault="00192F41" w:rsidP="00192F41">
      <w:pPr>
        <w:rPr>
          <w:lang w:val="lt-LT"/>
        </w:rPr>
      </w:pPr>
      <w:r w:rsidRPr="00045D19">
        <w:rPr>
          <w:lang w:val="lt-LT"/>
        </w:rPr>
        <w:t>LT-49333, Kaunas</w:t>
      </w:r>
    </w:p>
    <w:p w:rsidR="00192F41" w:rsidRPr="00045D19" w:rsidRDefault="00192F41" w:rsidP="00192F41">
      <w:pPr>
        <w:rPr>
          <w:lang w:val="lt-LT"/>
        </w:rPr>
      </w:pPr>
      <w:r w:rsidRPr="00045D19">
        <w:rPr>
          <w:lang w:val="lt-LT"/>
        </w:rPr>
        <w:t>Lietuva</w:t>
      </w:r>
    </w:p>
    <w:p w:rsidR="00192F41" w:rsidRPr="00045D19" w:rsidRDefault="00192F41" w:rsidP="00192F41">
      <w:pPr>
        <w:rPr>
          <w:lang w:val="lt-LT"/>
        </w:rPr>
      </w:pPr>
      <w:r w:rsidRPr="00045D19">
        <w:rPr>
          <w:lang w:val="lt-LT"/>
        </w:rPr>
        <w:t>Tel. +370 37 370054</w:t>
      </w:r>
    </w:p>
    <w:p w:rsidR="00192F41" w:rsidRPr="00045D19" w:rsidRDefault="00192F41" w:rsidP="00192F41">
      <w:pPr>
        <w:rPr>
          <w:lang w:val="lt-LT"/>
        </w:rPr>
      </w:pPr>
      <w:r w:rsidRPr="00045D19">
        <w:rPr>
          <w:lang w:val="lt-LT"/>
        </w:rPr>
        <w:t>Faksas +370 37 370067</w:t>
      </w:r>
    </w:p>
    <w:p w:rsidR="00192F41" w:rsidRPr="00045D19" w:rsidRDefault="00192F41" w:rsidP="00192F41">
      <w:pPr>
        <w:rPr>
          <w:lang w:val="lt-LT"/>
        </w:rPr>
      </w:pPr>
      <w:r w:rsidRPr="00045D19">
        <w:rPr>
          <w:lang w:val="lt-LT"/>
        </w:rPr>
        <w:t>El. paštas info@e</w:t>
      </w:r>
      <w:r>
        <w:rPr>
          <w:lang w:val="lt-LT"/>
        </w:rPr>
        <w:t>letis</w:t>
      </w:r>
      <w:r w:rsidRPr="00045D19">
        <w:rPr>
          <w:lang w:val="lt-LT"/>
        </w:rPr>
        <w:t>pharma.lt</w:t>
      </w:r>
    </w:p>
    <w:p w:rsidR="00192F41" w:rsidRPr="00045D19" w:rsidRDefault="00192F41" w:rsidP="00192F41">
      <w:pPr>
        <w:keepNext/>
        <w:jc w:val="both"/>
        <w:outlineLvl w:val="3"/>
        <w:rPr>
          <w:rFonts w:ascii="Calibri" w:hAnsi="Calibri"/>
          <w:bCs/>
          <w:sz w:val="28"/>
          <w:szCs w:val="28"/>
          <w:lang w:val="lt-LT" w:eastAsia="ja-JP"/>
        </w:rPr>
      </w:pPr>
    </w:p>
    <w:p w:rsidR="00192F41" w:rsidRPr="00045D19" w:rsidRDefault="00192F41" w:rsidP="00192F41">
      <w:pPr>
        <w:spacing w:line="240" w:lineRule="auto"/>
        <w:ind w:right="-2"/>
        <w:rPr>
          <w:b/>
          <w:lang w:val="lt-LT"/>
        </w:rPr>
      </w:pPr>
      <w:r w:rsidRPr="00045D19">
        <w:rPr>
          <w:b/>
          <w:lang w:val="lt-LT"/>
        </w:rPr>
        <w:t>Šis pakuotės lapelis paskutinį kartą peržiūrėtas</w:t>
      </w:r>
      <w:r>
        <w:rPr>
          <w:b/>
          <w:lang w:val="lt-LT"/>
        </w:rPr>
        <w:t xml:space="preserve"> 2024-07-08.</w:t>
      </w:r>
    </w:p>
    <w:p w:rsidR="00192F41" w:rsidRPr="00045D19" w:rsidRDefault="00192F41" w:rsidP="00192F41">
      <w:pPr>
        <w:spacing w:line="240" w:lineRule="auto"/>
        <w:ind w:right="-2"/>
        <w:rPr>
          <w:lang w:val="lt-LT"/>
        </w:rPr>
      </w:pPr>
    </w:p>
    <w:p w:rsidR="00192F41" w:rsidRPr="00045D19" w:rsidRDefault="00192F41" w:rsidP="00192F41">
      <w:pPr>
        <w:spacing w:line="240" w:lineRule="auto"/>
        <w:ind w:right="-2"/>
        <w:rPr>
          <w:lang w:val="lt-LT"/>
        </w:rPr>
      </w:pPr>
      <w:r w:rsidRPr="00045D19">
        <w:rPr>
          <w:lang w:val="lt-LT"/>
        </w:rPr>
        <w:t>Išsami informacija apie šį vaistą pateikiama Valstybinės vaistų kontrolės tarnybos prie Lietuvos Respublikos sveikatos apsaugos ministerijos tinklalapyje</w:t>
      </w:r>
      <w:r w:rsidRPr="00045D19">
        <w:rPr>
          <w:i/>
          <w:lang w:val="lt-LT"/>
        </w:rPr>
        <w:t xml:space="preserve"> </w:t>
      </w:r>
      <w:r>
        <w:rPr>
          <w:color w:val="0000EE"/>
          <w:szCs w:val="22"/>
          <w:u w:val="single"/>
          <w:lang w:eastAsia="lt-LT"/>
        </w:rPr>
        <w:t>https://vvkt.lrv.lt/lt/</w:t>
      </w:r>
      <w:r>
        <w:rPr>
          <w:szCs w:val="22"/>
          <w:lang w:eastAsia="lt-LT"/>
        </w:rPr>
        <w:t>.</w:t>
      </w:r>
      <w:r w:rsidRPr="00045D19">
        <w:rPr>
          <w:lang w:val="lt-LT"/>
        </w:rPr>
        <w:t>---------------------------------------------------------------------------------------------------------------------------</w:t>
      </w:r>
    </w:p>
    <w:p w:rsidR="00192F41" w:rsidRPr="00045D19" w:rsidRDefault="00192F41" w:rsidP="00192F41">
      <w:pPr>
        <w:tabs>
          <w:tab w:val="left" w:pos="2657"/>
        </w:tabs>
        <w:spacing w:line="240" w:lineRule="auto"/>
        <w:ind w:right="-28"/>
        <w:rPr>
          <w:lang w:val="lt-LT"/>
        </w:rPr>
      </w:pPr>
    </w:p>
    <w:p w:rsidR="00192F41" w:rsidRPr="00045D19" w:rsidRDefault="00192F41" w:rsidP="00192F41">
      <w:pPr>
        <w:tabs>
          <w:tab w:val="left" w:pos="2657"/>
        </w:tabs>
        <w:spacing w:line="240" w:lineRule="auto"/>
        <w:ind w:left="-37" w:right="-28"/>
        <w:rPr>
          <w:lang w:val="lt-LT"/>
        </w:rPr>
      </w:pPr>
      <w:r w:rsidRPr="00045D19">
        <w:rPr>
          <w:lang w:val="lt-LT"/>
        </w:rPr>
        <w:t>Toliau pateikta informacija skirta tik sveikatos priežiūros specialistams.</w:t>
      </w: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shd w:val="clear" w:color="auto" w:fill="FFFFFF"/>
        <w:spacing w:line="240" w:lineRule="auto"/>
        <w:jc w:val="center"/>
        <w:rPr>
          <w:b/>
          <w:lang w:val="lt-LT"/>
        </w:rPr>
      </w:pPr>
    </w:p>
    <w:p w:rsidR="00192F41" w:rsidRPr="00045D19" w:rsidRDefault="00192F41" w:rsidP="00192F41">
      <w:pPr>
        <w:jc w:val="center"/>
        <w:rPr>
          <w:b/>
          <w:lang w:val="lt-LT"/>
        </w:rPr>
      </w:pPr>
      <w:proofErr w:type="spellStart"/>
      <w:r w:rsidRPr="00045D19">
        <w:rPr>
          <w:b/>
          <w:lang w:val="lt-LT"/>
        </w:rPr>
        <w:t>Rezol</w:t>
      </w:r>
      <w:proofErr w:type="spellEnd"/>
      <w:r w:rsidRPr="00045D19">
        <w:rPr>
          <w:b/>
          <w:lang w:val="lt-LT"/>
        </w:rPr>
        <w:t xml:space="preserve"> 1 g milteliai injekciniam ar infuziniam tirpalui</w:t>
      </w:r>
    </w:p>
    <w:p w:rsidR="00192F41" w:rsidRPr="00045D19" w:rsidRDefault="00192F41" w:rsidP="00192F41">
      <w:pPr>
        <w:jc w:val="center"/>
        <w:rPr>
          <w:lang w:val="lt-LT"/>
        </w:rPr>
      </w:pP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tabs>
          <w:tab w:val="left" w:pos="2657"/>
        </w:tabs>
        <w:spacing w:line="240" w:lineRule="auto"/>
        <w:ind w:left="-37" w:right="-28"/>
        <w:rPr>
          <w:lang w:val="lt-LT"/>
        </w:rPr>
      </w:pPr>
      <w:r w:rsidRPr="00045D19">
        <w:rPr>
          <w:lang w:val="lt-LT"/>
        </w:rPr>
        <w:t>Visa su vaistinio preparato skyrimu susijusi informacija pateikiama Preparato charakteristikų santraukoje.</w:t>
      </w: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tabs>
          <w:tab w:val="left" w:pos="2657"/>
        </w:tabs>
        <w:spacing w:line="240" w:lineRule="auto"/>
        <w:ind w:left="-37" w:right="-28"/>
        <w:rPr>
          <w:b/>
          <w:u w:val="single"/>
          <w:lang w:val="lt-LT"/>
        </w:rPr>
      </w:pPr>
      <w:r w:rsidRPr="00045D19">
        <w:rPr>
          <w:b/>
          <w:u w:val="single"/>
          <w:lang w:val="lt-LT"/>
        </w:rPr>
        <w:t>Pakuotės</w:t>
      </w: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rPr>
          <w:lang w:val="lt-LT"/>
        </w:rPr>
      </w:pPr>
      <w:r w:rsidRPr="00045D19">
        <w:rPr>
          <w:lang w:val="lt-LT"/>
        </w:rPr>
        <w:t>Bespalvio III tipo stiklo flakonas, užkimštas gumos kamš</w:t>
      </w:r>
      <w:r w:rsidRPr="00045D19">
        <w:rPr>
          <w:rFonts w:ascii="TimesNewRoman" w:hAnsi="TimesNewRoman" w:hint="eastAsia"/>
          <w:lang w:val="lt-LT"/>
        </w:rPr>
        <w:t>č</w:t>
      </w:r>
      <w:r w:rsidRPr="00045D19">
        <w:rPr>
          <w:lang w:val="lt-LT"/>
        </w:rPr>
        <w:t xml:space="preserve">iu ir užspaustas aliuminio </w:t>
      </w:r>
      <w:proofErr w:type="spellStart"/>
      <w:r w:rsidRPr="00045D19">
        <w:rPr>
          <w:lang w:val="lt-LT"/>
        </w:rPr>
        <w:t>gaubteliu</w:t>
      </w:r>
      <w:proofErr w:type="spellEnd"/>
      <w:r w:rsidRPr="00045D19">
        <w:rPr>
          <w:lang w:val="lt-LT"/>
        </w:rPr>
        <w:t>.</w:t>
      </w:r>
    </w:p>
    <w:p w:rsidR="00192F41" w:rsidRPr="00045D19" w:rsidRDefault="00192F41" w:rsidP="00192F41">
      <w:pPr>
        <w:rPr>
          <w:lang w:val="lt-LT"/>
        </w:rPr>
      </w:pPr>
    </w:p>
    <w:p w:rsidR="00192F41" w:rsidRPr="00045D19" w:rsidRDefault="00192F41" w:rsidP="00192F41">
      <w:pPr>
        <w:rPr>
          <w:lang w:val="lt-LT"/>
        </w:rPr>
      </w:pPr>
      <w:r w:rsidRPr="00045D19">
        <w:rPr>
          <w:lang w:val="lt-LT"/>
        </w:rPr>
        <w:t>Flakonuose yra steril</w:t>
      </w:r>
      <w:r w:rsidRPr="00045D19">
        <w:rPr>
          <w:rFonts w:ascii="TimesNewRoman" w:hAnsi="TimesNewRoman" w:hint="eastAsia"/>
          <w:lang w:val="lt-LT"/>
        </w:rPr>
        <w:t>ū</w:t>
      </w:r>
      <w:r w:rsidRPr="00045D19">
        <w:rPr>
          <w:lang w:val="lt-LT"/>
        </w:rPr>
        <w:t>s, beveik balti arba gelsvi, higroskopiniai, kristaliniai milteliai. Pagalbini</w:t>
      </w:r>
      <w:r w:rsidRPr="00045D19">
        <w:rPr>
          <w:rFonts w:ascii="TimesNewRoman" w:hAnsi="TimesNewRoman" w:hint="eastAsia"/>
          <w:lang w:val="lt-LT"/>
        </w:rPr>
        <w:t>ų</w:t>
      </w:r>
      <w:r w:rsidRPr="00045D19">
        <w:rPr>
          <w:rFonts w:ascii="TimesNewRoman" w:hAnsi="TimesNewRoman"/>
          <w:lang w:val="lt-LT"/>
        </w:rPr>
        <w:t xml:space="preserve"> </w:t>
      </w:r>
      <w:r w:rsidRPr="00045D19">
        <w:rPr>
          <w:lang w:val="lt-LT"/>
        </w:rPr>
        <w:t>medžiag</w:t>
      </w:r>
      <w:r w:rsidRPr="00045D19">
        <w:rPr>
          <w:rFonts w:ascii="TimesNewRoman" w:hAnsi="TimesNewRoman" w:hint="eastAsia"/>
          <w:lang w:val="lt-LT"/>
        </w:rPr>
        <w:t>ų</w:t>
      </w:r>
      <w:r w:rsidRPr="00045D19">
        <w:rPr>
          <w:rFonts w:ascii="TimesNewRoman" w:hAnsi="TimesNewRoman"/>
          <w:lang w:val="lt-LT"/>
        </w:rPr>
        <w:t xml:space="preserve"> </w:t>
      </w:r>
      <w:r w:rsidRPr="00045D19">
        <w:rPr>
          <w:lang w:val="lt-LT"/>
        </w:rPr>
        <w:t>n</w:t>
      </w:r>
      <w:r w:rsidRPr="00045D19">
        <w:rPr>
          <w:rFonts w:ascii="TimesNewRoman" w:hAnsi="TimesNewRoman" w:hint="eastAsia"/>
          <w:lang w:val="lt-LT"/>
        </w:rPr>
        <w:t>ė</w:t>
      </w:r>
      <w:r w:rsidRPr="00045D19">
        <w:rPr>
          <w:lang w:val="lt-LT"/>
        </w:rPr>
        <w:t xml:space="preserve">ra. </w:t>
      </w:r>
    </w:p>
    <w:p w:rsidR="00192F41" w:rsidRPr="00045D19" w:rsidRDefault="00192F41" w:rsidP="00192F41">
      <w:pPr>
        <w:rPr>
          <w:color w:val="000000"/>
          <w:lang w:val="lt-LT"/>
        </w:rPr>
      </w:pPr>
      <w:r w:rsidRPr="00045D19">
        <w:rPr>
          <w:color w:val="000000"/>
          <w:lang w:val="lt-LT"/>
        </w:rPr>
        <w:t xml:space="preserve">Kiekviename grame </w:t>
      </w:r>
      <w:proofErr w:type="spellStart"/>
      <w:r w:rsidRPr="00045D19">
        <w:rPr>
          <w:color w:val="000000"/>
          <w:lang w:val="lt-LT"/>
        </w:rPr>
        <w:t>Rezol</w:t>
      </w:r>
      <w:proofErr w:type="spellEnd"/>
      <w:r w:rsidRPr="00045D19">
        <w:rPr>
          <w:color w:val="000000"/>
          <w:lang w:val="lt-LT"/>
        </w:rPr>
        <w:t xml:space="preserve"> yra maždaug 2,2 </w:t>
      </w:r>
      <w:proofErr w:type="spellStart"/>
      <w:r w:rsidRPr="00045D19">
        <w:rPr>
          <w:color w:val="000000"/>
          <w:lang w:val="lt-LT"/>
        </w:rPr>
        <w:t>mmol</w:t>
      </w:r>
      <w:proofErr w:type="spellEnd"/>
      <w:r w:rsidRPr="00045D19">
        <w:rPr>
          <w:color w:val="000000"/>
          <w:lang w:val="lt-LT"/>
        </w:rPr>
        <w:t xml:space="preserve"> (50,6 mg) natrio.</w:t>
      </w:r>
    </w:p>
    <w:p w:rsidR="00192F41" w:rsidRPr="00045D19" w:rsidRDefault="00192F41" w:rsidP="00192F41">
      <w:pPr>
        <w:rPr>
          <w:lang w:val="lt-LT"/>
        </w:rPr>
      </w:pPr>
    </w:p>
    <w:p w:rsidR="00192F41" w:rsidRPr="00045D19" w:rsidRDefault="00192F41" w:rsidP="00192F41">
      <w:pPr>
        <w:rPr>
          <w:color w:val="000000"/>
          <w:lang w:val="lt-LT"/>
        </w:rPr>
      </w:pPr>
      <w:r w:rsidRPr="00045D19">
        <w:rPr>
          <w:lang w:val="lt-LT"/>
        </w:rPr>
        <w:t>Pakuot</w:t>
      </w:r>
      <w:r w:rsidRPr="00045D19">
        <w:rPr>
          <w:rFonts w:ascii="TimesNewRoman" w:hAnsi="TimesNewRoman" w:hint="eastAsia"/>
          <w:lang w:val="lt-LT"/>
        </w:rPr>
        <w:t>ė</w:t>
      </w:r>
      <w:r w:rsidRPr="00045D19">
        <w:rPr>
          <w:lang w:val="lt-LT"/>
        </w:rPr>
        <w:t xml:space="preserve">s dydis: </w:t>
      </w:r>
      <w:r w:rsidRPr="00045D19">
        <w:rPr>
          <w:color w:val="000000"/>
          <w:lang w:val="lt-LT"/>
        </w:rPr>
        <w:t>d</w:t>
      </w:r>
      <w:r w:rsidRPr="00045D19">
        <w:rPr>
          <w:rFonts w:ascii="TimesNewRoman" w:hAnsi="TimesNewRoman" w:hint="eastAsia"/>
          <w:color w:val="000000"/>
          <w:lang w:val="lt-LT"/>
        </w:rPr>
        <w:t>ė</w:t>
      </w:r>
      <w:r w:rsidRPr="00045D19">
        <w:rPr>
          <w:color w:val="000000"/>
          <w:lang w:val="lt-LT"/>
        </w:rPr>
        <w:t>žut</w:t>
      </w:r>
      <w:r w:rsidRPr="00045D19">
        <w:rPr>
          <w:rFonts w:ascii="TimesNewRoman" w:hAnsi="TimesNewRoman" w:hint="eastAsia"/>
          <w:color w:val="000000"/>
          <w:lang w:val="lt-LT"/>
        </w:rPr>
        <w:t>ė</w:t>
      </w:r>
      <w:r w:rsidRPr="00045D19">
        <w:rPr>
          <w:color w:val="000000"/>
          <w:lang w:val="lt-LT"/>
        </w:rPr>
        <w:t>je yra 1, 5 arba 55 flakonai.</w:t>
      </w:r>
    </w:p>
    <w:p w:rsidR="00192F41" w:rsidRPr="00045D19" w:rsidRDefault="00192F41" w:rsidP="00192F41">
      <w:pPr>
        <w:rPr>
          <w:lang w:val="lt-LT"/>
        </w:rPr>
      </w:pPr>
    </w:p>
    <w:p w:rsidR="00192F41" w:rsidRPr="00045D19" w:rsidRDefault="00192F41" w:rsidP="00192F41">
      <w:pPr>
        <w:keepNext/>
        <w:jc w:val="both"/>
        <w:outlineLvl w:val="3"/>
        <w:rPr>
          <w:rFonts w:ascii="Calibri" w:hAnsi="Calibri"/>
          <w:bCs/>
          <w:sz w:val="28"/>
          <w:szCs w:val="28"/>
          <w:lang w:val="lt-LT" w:eastAsia="ja-JP"/>
        </w:rPr>
      </w:pPr>
      <w:r w:rsidRPr="00045D19">
        <w:rPr>
          <w:b/>
          <w:bCs/>
          <w:szCs w:val="28"/>
          <w:lang w:val="lt-LT" w:eastAsia="ja-JP"/>
        </w:rPr>
        <w:t>Dozavimas ir vartojimo metodas</w:t>
      </w:r>
    </w:p>
    <w:p w:rsidR="00192F41" w:rsidRPr="00045D19" w:rsidRDefault="00192F41" w:rsidP="00192F41">
      <w:pPr>
        <w:rPr>
          <w:lang w:val="lt-LT"/>
        </w:rPr>
      </w:pPr>
    </w:p>
    <w:p w:rsidR="00192F41" w:rsidRPr="00045D19" w:rsidRDefault="00192F41" w:rsidP="00192F41">
      <w:pPr>
        <w:spacing w:line="240" w:lineRule="auto"/>
        <w:rPr>
          <w:u w:val="single"/>
          <w:lang w:val="lt-LT"/>
        </w:rPr>
      </w:pPr>
      <w:r w:rsidRPr="00045D19">
        <w:rPr>
          <w:u w:val="single"/>
          <w:lang w:val="lt-LT"/>
        </w:rPr>
        <w:t>Dozavimas</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i/>
          <w:color w:val="000000"/>
          <w:lang w:val="lt-LT"/>
        </w:rPr>
      </w:pPr>
      <w:r w:rsidRPr="00045D19">
        <w:rPr>
          <w:b/>
          <w:i/>
          <w:color w:val="000000"/>
          <w:lang w:val="lt-LT"/>
        </w:rPr>
        <w:t>Suaugusieji, kurių inkstų funkcija normali</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Infekcinės ligos, sukeltos labai jautrių mikroorganizmų</w:t>
      </w:r>
    </w:p>
    <w:p w:rsidR="00192F41" w:rsidRPr="00045D19" w:rsidRDefault="00192F41" w:rsidP="00192F41">
      <w:pPr>
        <w:spacing w:line="240" w:lineRule="auto"/>
        <w:rPr>
          <w:color w:val="000000"/>
          <w:lang w:val="lt-LT"/>
        </w:rPr>
      </w:pPr>
      <w:r w:rsidRPr="00045D19">
        <w:rPr>
          <w:color w:val="000000"/>
          <w:lang w:val="lt-LT"/>
        </w:rPr>
        <w:t>Įprastinė paros dozė suaugusiesiems yra 1</w:t>
      </w:r>
      <w:r w:rsidRPr="00045D19">
        <w:rPr>
          <w:color w:val="000000"/>
          <w:lang w:val="lt-LT"/>
        </w:rPr>
        <w:noBreakHyphen/>
        <w:t xml:space="preserve">2 g, ji suvartojama padalyta į dvi arba tris lygias dozes (viena dozė leidžiama kas 8 arba 12 val.). </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Infekcinės ligos, sukeltos mažiau jautrių mikroorganizmų</w:t>
      </w:r>
    </w:p>
    <w:p w:rsidR="00192F41" w:rsidRPr="00045D19" w:rsidRDefault="00192F41" w:rsidP="00192F41">
      <w:pPr>
        <w:spacing w:line="240" w:lineRule="auto"/>
        <w:rPr>
          <w:color w:val="000000"/>
          <w:lang w:val="lt-LT"/>
        </w:rPr>
      </w:pPr>
      <w:r w:rsidRPr="00045D19">
        <w:rPr>
          <w:color w:val="000000"/>
          <w:lang w:val="lt-LT"/>
        </w:rPr>
        <w:t>Įprastinė paros dozė yra 3</w:t>
      </w:r>
      <w:r w:rsidRPr="00045D19">
        <w:rPr>
          <w:color w:val="000000"/>
          <w:lang w:val="lt-LT"/>
        </w:rPr>
        <w:noBreakHyphen/>
        <w:t xml:space="preserve">4 g, ji suvartojama padalyta į tris arba keturias lygias dozes (viena dozė leidžiama kas 6 arba 8 val.). </w:t>
      </w:r>
    </w:p>
    <w:p w:rsidR="00192F41" w:rsidRPr="00045D19" w:rsidRDefault="00192F41" w:rsidP="00192F41">
      <w:pPr>
        <w:spacing w:line="240" w:lineRule="auto"/>
        <w:rPr>
          <w:color w:val="000000"/>
          <w:lang w:val="lt-LT"/>
        </w:rPr>
      </w:pPr>
      <w:r w:rsidRPr="00045D19">
        <w:rPr>
          <w:color w:val="000000"/>
          <w:lang w:val="lt-LT"/>
        </w:rPr>
        <w:t>Jei pacientas serga sunkia infekcine liga, galima vartoti ne didesnę kaip 6 g paros dozę, kuri suvartojama padalyta į tris arba keturias lygias dozes (viena dozė leidžiama kas 6 arba 8 val.).</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Vartojimas infekcijos profilaktikai operacijos metu</w:t>
      </w:r>
    </w:p>
    <w:p w:rsidR="00192F41" w:rsidRPr="00045D19" w:rsidRDefault="00192F41" w:rsidP="00192F41">
      <w:pPr>
        <w:spacing w:line="240" w:lineRule="auto"/>
        <w:rPr>
          <w:color w:val="000000"/>
          <w:lang w:val="lt-LT"/>
        </w:rPr>
      </w:pPr>
      <w:r w:rsidRPr="00045D19">
        <w:rPr>
          <w:color w:val="000000"/>
          <w:lang w:val="lt-LT"/>
        </w:rPr>
        <w:t>Siekiant apsaugoti nuo pooperacinės infekcijos, kai operacijos metu pasireiškia arba gali pasireikšti užteršimas, rekomenduojamas toliau pateikiamas dozavimas.</w:t>
      </w:r>
    </w:p>
    <w:p w:rsidR="00192F41" w:rsidRPr="00045D19" w:rsidRDefault="00192F41" w:rsidP="00192F41">
      <w:pPr>
        <w:spacing w:after="20" w:line="240" w:lineRule="auto"/>
        <w:rPr>
          <w:color w:val="000000"/>
          <w:lang w:val="lt-LT"/>
        </w:rPr>
      </w:pPr>
      <w:r>
        <w:rPr>
          <w:color w:val="000000"/>
          <w:lang w:val="lt-LT"/>
        </w:rPr>
        <w:t xml:space="preserve">- </w:t>
      </w:r>
      <w:r w:rsidRPr="00045D19">
        <w:rPr>
          <w:color w:val="000000"/>
          <w:lang w:val="lt-LT"/>
        </w:rPr>
        <w:t>1</w:t>
      </w:r>
      <w:r w:rsidRPr="00045D19">
        <w:rPr>
          <w:color w:val="000000"/>
          <w:lang w:val="lt-LT"/>
        </w:rPr>
        <w:noBreakHyphen/>
        <w:t>2 g dozė suleidžiama į veną iki operacijos pradžios likus 30 min.</w:t>
      </w:r>
      <w:r w:rsidRPr="00045D19">
        <w:rPr>
          <w:color w:val="000000"/>
          <w:lang w:val="lt-LT"/>
        </w:rPr>
        <w:noBreakHyphen/>
        <w:t>1 val.</w:t>
      </w:r>
    </w:p>
    <w:p w:rsidR="00192F41" w:rsidRPr="00045D19" w:rsidRDefault="00192F41" w:rsidP="00192F41">
      <w:pPr>
        <w:spacing w:after="20" w:line="240" w:lineRule="auto"/>
        <w:rPr>
          <w:color w:val="000000"/>
          <w:lang w:val="lt-LT"/>
        </w:rPr>
      </w:pPr>
      <w:r>
        <w:rPr>
          <w:color w:val="000000"/>
          <w:lang w:val="lt-LT"/>
        </w:rPr>
        <w:t xml:space="preserve">- </w:t>
      </w:r>
      <w:r w:rsidRPr="00045D19">
        <w:rPr>
          <w:color w:val="000000"/>
          <w:lang w:val="lt-LT"/>
        </w:rPr>
        <w:t>Ilgų chirurginių procedūrų metu 500 mg</w:t>
      </w:r>
      <w:r w:rsidRPr="00045D19">
        <w:rPr>
          <w:color w:val="000000"/>
          <w:lang w:val="lt-LT"/>
        </w:rPr>
        <w:noBreakHyphen/>
        <w:t xml:space="preserve">1 g dozė leidžiama į veną operacijos metu (ji leidžiama atsižvelgiant į chirurginės procedūros trukmę). </w:t>
      </w:r>
    </w:p>
    <w:p w:rsidR="00192F41" w:rsidRPr="00045D19" w:rsidRDefault="00192F41" w:rsidP="00192F41">
      <w:pPr>
        <w:spacing w:line="240" w:lineRule="auto"/>
        <w:rPr>
          <w:color w:val="000000"/>
          <w:lang w:val="lt-LT"/>
        </w:rPr>
      </w:pPr>
      <w:r>
        <w:rPr>
          <w:color w:val="000000"/>
          <w:lang w:val="lt-LT"/>
        </w:rPr>
        <w:t xml:space="preserve">- </w:t>
      </w:r>
      <w:r w:rsidRPr="00045D19">
        <w:rPr>
          <w:color w:val="000000"/>
          <w:lang w:val="lt-LT"/>
        </w:rPr>
        <w:t>500 mg</w:t>
      </w:r>
      <w:r w:rsidRPr="00045D19">
        <w:rPr>
          <w:color w:val="000000"/>
          <w:lang w:val="lt-LT"/>
        </w:rPr>
        <w:noBreakHyphen/>
        <w:t>1 g dozė leidžiama į veną kas 6</w:t>
      </w:r>
      <w:r w:rsidRPr="00045D19">
        <w:rPr>
          <w:color w:val="000000"/>
          <w:lang w:val="lt-LT"/>
        </w:rPr>
        <w:noBreakHyphen/>
        <w:t>8 val. 24 valandų laikotarpiu po operacijos.</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lang w:val="lt-LT"/>
        </w:rPr>
      </w:pPr>
      <w:r w:rsidRPr="00045D19">
        <w:rPr>
          <w:color w:val="000000"/>
          <w:lang w:val="lt-LT"/>
        </w:rPr>
        <w:t xml:space="preserve">Svarbu, kad: (1) </w:t>
      </w:r>
      <w:proofErr w:type="spellStart"/>
      <w:r w:rsidRPr="00045D19">
        <w:rPr>
          <w:color w:val="000000"/>
          <w:lang w:val="lt-LT"/>
        </w:rPr>
        <w:t>ikioperacinė</w:t>
      </w:r>
      <w:proofErr w:type="spellEnd"/>
      <w:r w:rsidRPr="00045D19">
        <w:rPr>
          <w:color w:val="000000"/>
          <w:lang w:val="lt-LT"/>
        </w:rPr>
        <w:t xml:space="preserve"> dozė būtų suleista prieš pat operacijos pradžią (iki jos likus 30 min.</w:t>
      </w:r>
      <w:r w:rsidRPr="00045D19">
        <w:rPr>
          <w:color w:val="000000"/>
          <w:lang w:val="lt-LT"/>
        </w:rPr>
        <w:noBreakHyphen/>
        <w:t xml:space="preserve">1 val.), kad pradinio operacinio pjūvio metu serume ir audiniuose būtų pakankamas antibiotiko kiekis, ir (2) jei reikia, </w:t>
      </w:r>
      <w:proofErr w:type="spellStart"/>
      <w:r w:rsidRPr="00045D19">
        <w:rPr>
          <w:color w:val="000000"/>
          <w:lang w:val="lt-LT"/>
        </w:rPr>
        <w:t>cefazolino</w:t>
      </w:r>
      <w:proofErr w:type="spellEnd"/>
      <w:r w:rsidRPr="00045D19">
        <w:rPr>
          <w:color w:val="000000"/>
          <w:lang w:val="lt-LT"/>
        </w:rPr>
        <w:t xml:space="preserve"> turi būti leidžiama tinkamais intervalais operacijos metu, kad numatomos didžiausios infekciją sukelti galinčių mikroorganizmų ekspozicijos metu antibiotiko kiekis būtų pakankamas. Kartotines dozes rekomenduojama vartoti kas 4 val. (skaičiuojant nuo </w:t>
      </w:r>
      <w:proofErr w:type="spellStart"/>
      <w:r w:rsidRPr="00045D19">
        <w:rPr>
          <w:color w:val="000000"/>
          <w:lang w:val="lt-LT"/>
        </w:rPr>
        <w:t>ikioperacinės</w:t>
      </w:r>
      <w:proofErr w:type="spellEnd"/>
      <w:r w:rsidRPr="00045D19">
        <w:rPr>
          <w:color w:val="000000"/>
          <w:lang w:val="lt-LT"/>
        </w:rPr>
        <w:t xml:space="preserve"> dozės suleidimo). Profilaktinis gydymas </w:t>
      </w:r>
      <w:proofErr w:type="spellStart"/>
      <w:r w:rsidRPr="00045D19">
        <w:rPr>
          <w:color w:val="000000"/>
          <w:lang w:val="lt-LT"/>
        </w:rPr>
        <w:t>cefazolinu</w:t>
      </w:r>
      <w:proofErr w:type="spellEnd"/>
      <w:r w:rsidRPr="00045D19">
        <w:rPr>
          <w:color w:val="000000"/>
          <w:lang w:val="lt-LT"/>
        </w:rPr>
        <w:t xml:space="preserve"> paprastai nutraukiamas 24 val. laikotarpiu po chirurginės procedūros. Jei atliekama širdies operacija, profilaktinis gydymas </w:t>
      </w:r>
      <w:proofErr w:type="spellStart"/>
      <w:r w:rsidRPr="00045D19">
        <w:rPr>
          <w:color w:val="000000"/>
          <w:lang w:val="lt-LT"/>
        </w:rPr>
        <w:t>cefazolinu</w:t>
      </w:r>
      <w:proofErr w:type="spellEnd"/>
      <w:r w:rsidRPr="00045D19">
        <w:rPr>
          <w:color w:val="000000"/>
          <w:lang w:val="lt-LT"/>
        </w:rPr>
        <w:t xml:space="preserve"> gali būti tęsiamas 48 val. po operacijos pabaigos, tai priklauso nuo klinikinės situacijos.</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Suaugusiems pacientams, kurių inkstų funkcija sutrikusi</w:t>
      </w:r>
    </w:p>
    <w:p w:rsidR="00192F41" w:rsidRPr="00045D19" w:rsidRDefault="00192F41" w:rsidP="00192F41">
      <w:pPr>
        <w:spacing w:line="240" w:lineRule="auto"/>
        <w:rPr>
          <w:color w:val="333333"/>
          <w:lang w:val="lt-LT"/>
        </w:rPr>
      </w:pPr>
      <w:r w:rsidRPr="00045D19">
        <w:rPr>
          <w:color w:val="333333"/>
          <w:lang w:val="lt-LT"/>
        </w:rPr>
        <w:t xml:space="preserve">Reikia suleisti tinkamą pradinę dozę. Vėlesnes dozes reikia koreguoti atsižvelgiant į inkstų funkcijos sutrikimo laipsnį, infekcinės ligos sunkumą ir </w:t>
      </w:r>
      <w:proofErr w:type="spellStart"/>
      <w:r w:rsidRPr="00045D19">
        <w:rPr>
          <w:color w:val="333333"/>
          <w:lang w:val="lt-LT"/>
        </w:rPr>
        <w:t>patogeno</w:t>
      </w:r>
      <w:proofErr w:type="spellEnd"/>
      <w:r w:rsidRPr="00045D19">
        <w:rPr>
          <w:color w:val="333333"/>
          <w:lang w:val="lt-LT"/>
        </w:rPr>
        <w:t xml:space="preserve"> jautrumą.</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lang w:val="lt-LT"/>
        </w:rPr>
      </w:pPr>
      <w:r w:rsidRPr="00045D19">
        <w:rPr>
          <w:b/>
          <w:lang w:val="lt-LT"/>
        </w:rPr>
        <w:t xml:space="preserve">Pacientų, kurių inkstų funkcija sutrikusi, palaikomasis gydymas </w:t>
      </w:r>
      <w:proofErr w:type="spellStart"/>
      <w:r w:rsidRPr="00045D19">
        <w:rPr>
          <w:b/>
          <w:lang w:val="lt-LT"/>
        </w:rPr>
        <w:t>cefazolinu</w:t>
      </w:r>
      <w:proofErr w:type="spellEnd"/>
    </w:p>
    <w:p w:rsidR="00192F41" w:rsidRPr="00045D19" w:rsidRDefault="00192F41" w:rsidP="00192F41">
      <w:pPr>
        <w:spacing w:line="240" w:lineRule="auto"/>
        <w:rPr>
          <w:b/>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88"/>
        <w:gridCol w:w="287"/>
        <w:gridCol w:w="2095"/>
        <w:gridCol w:w="235"/>
        <w:gridCol w:w="2152"/>
        <w:gridCol w:w="235"/>
        <w:gridCol w:w="2035"/>
        <w:gridCol w:w="251"/>
      </w:tblGrid>
      <w:tr w:rsidR="00192F41" w:rsidRPr="003878D8" w:rsidTr="009B69D1">
        <w:trPr>
          <w:trHeight w:val="236"/>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92F41" w:rsidRPr="00045D19" w:rsidRDefault="00192F41" w:rsidP="009B69D1">
            <w:pPr>
              <w:spacing w:line="240" w:lineRule="auto"/>
              <w:rPr>
                <w:b/>
                <w:color w:val="000000"/>
                <w:lang w:val="lt-LT"/>
              </w:rPr>
            </w:pPr>
            <w:proofErr w:type="spellStart"/>
            <w:r w:rsidRPr="00045D19">
              <w:rPr>
                <w:b/>
                <w:color w:val="000000"/>
                <w:lang w:val="lt-LT"/>
              </w:rPr>
              <w:t>Kreatinino</w:t>
            </w:r>
            <w:proofErr w:type="spellEnd"/>
            <w:r w:rsidRPr="00045D19">
              <w:rPr>
                <w:b/>
                <w:color w:val="000000"/>
                <w:lang w:val="lt-LT"/>
              </w:rPr>
              <w:t xml:space="preserve"> klirensas (ml/min.)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rPr>
                <w:b/>
                <w:color w:val="000000"/>
                <w:lang w:val="lt-LT"/>
              </w:rPr>
            </w:pPr>
            <w:proofErr w:type="spellStart"/>
            <w:r w:rsidRPr="00045D19">
              <w:rPr>
                <w:b/>
                <w:color w:val="000000"/>
                <w:lang w:val="lt-LT"/>
              </w:rPr>
              <w:t>Kreatinino</w:t>
            </w:r>
            <w:proofErr w:type="spellEnd"/>
            <w:r w:rsidRPr="00045D19">
              <w:rPr>
                <w:b/>
                <w:color w:val="000000"/>
                <w:lang w:val="lt-LT"/>
              </w:rPr>
              <w:t xml:space="preserve"> kiekis serume (mg/100 ml)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ind w:right="-112"/>
              <w:rPr>
                <w:b/>
                <w:color w:val="000000"/>
                <w:lang w:val="lt-LT"/>
              </w:rPr>
            </w:pPr>
            <w:r w:rsidRPr="00045D19">
              <w:rPr>
                <w:b/>
                <w:color w:val="000000"/>
                <w:lang w:val="lt-LT"/>
              </w:rPr>
              <w:t xml:space="preserve">Bendra paros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rPr>
                <w:b/>
                <w:color w:val="000000"/>
                <w:lang w:val="lt-LT"/>
              </w:rPr>
            </w:pPr>
            <w:r w:rsidRPr="00045D19">
              <w:rPr>
                <w:b/>
                <w:color w:val="000000"/>
                <w:lang w:val="lt-LT"/>
              </w:rPr>
              <w:t>Vartojimo intervalas, pagal kurį reikia dalyti dozę</w:t>
            </w:r>
          </w:p>
        </w:tc>
        <w:tc>
          <w:tcPr>
            <w:tcW w:w="251" w:type="dxa"/>
            <w:tcBorders>
              <w:top w:val="nil"/>
              <w:left w:val="single" w:sz="4" w:space="0" w:color="00000A"/>
              <w:bottom w:val="nil"/>
              <w:right w:val="nil"/>
            </w:tcBorders>
            <w:shd w:val="clear" w:color="auto" w:fill="FFFFFF"/>
            <w:tcMar>
              <w:left w:w="88" w:type="dxa"/>
            </w:tcMar>
          </w:tcPr>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tc>
      </w:tr>
      <w:tr w:rsidR="00192F41" w:rsidRPr="00267744" w:rsidTr="009B69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92F41" w:rsidRPr="00045D19" w:rsidRDefault="00192F41" w:rsidP="009B69D1">
            <w:pPr>
              <w:spacing w:line="240" w:lineRule="auto"/>
              <w:rPr>
                <w:color w:val="000000"/>
                <w:lang w:val="lt-LT"/>
              </w:rPr>
            </w:pPr>
            <w:r w:rsidRPr="00045D19">
              <w:rPr>
                <w:color w:val="000000"/>
                <w:lang w:val="lt-LT"/>
              </w:rPr>
              <w:t xml:space="preserve">≥ </w:t>
            </w:r>
            <w:r>
              <w:rPr>
                <w:color w:val="000000"/>
                <w:lang w:val="lt-LT"/>
              </w:rPr>
              <w:t>5</w:t>
            </w:r>
            <w:r w:rsidRPr="00045D19">
              <w:rPr>
                <w:color w:val="000000"/>
                <w:lang w:val="lt-LT"/>
              </w:rPr>
              <w:t xml:space="preserve">5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Įprastinė doze*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rsidR="00192F41" w:rsidRPr="00045D19" w:rsidRDefault="00192F41" w:rsidP="009B69D1">
            <w:pPr>
              <w:spacing w:line="240" w:lineRule="auto"/>
              <w:rPr>
                <w:color w:val="000000"/>
                <w:lang w:val="lt-LT"/>
              </w:rPr>
            </w:pPr>
          </w:p>
        </w:tc>
      </w:tr>
      <w:tr w:rsidR="00192F41" w:rsidRPr="00267744" w:rsidTr="009B69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92F41" w:rsidRPr="00045D19" w:rsidRDefault="00192F41" w:rsidP="009B69D1">
            <w:pPr>
              <w:spacing w:line="240" w:lineRule="auto"/>
              <w:rPr>
                <w:color w:val="000000"/>
                <w:lang w:val="lt-LT"/>
              </w:rPr>
            </w:pPr>
            <w:r w:rsidRPr="00045D19">
              <w:rPr>
                <w:color w:val="000000"/>
                <w:lang w:val="lt-LT"/>
              </w:rPr>
              <w:t>35</w:t>
            </w:r>
            <w:r w:rsidRPr="00045D19">
              <w:rPr>
                <w:color w:val="000000"/>
                <w:lang w:val="lt-LT"/>
              </w:rPr>
              <w:noBreakHyphen/>
              <w:t xml:space="preserve">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1,6</w:t>
            </w:r>
            <w:r w:rsidRPr="00045D19">
              <w:rPr>
                <w:color w:val="000000"/>
                <w:lang w:val="lt-LT"/>
              </w:rPr>
              <w:noBreakHyphen/>
              <w:t xml:space="preserve">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Įprastinė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Mažiausiai 8 val.</w:t>
            </w:r>
          </w:p>
        </w:tc>
        <w:tc>
          <w:tcPr>
            <w:tcW w:w="251" w:type="dxa"/>
            <w:tcBorders>
              <w:top w:val="nil"/>
              <w:left w:val="single" w:sz="4" w:space="0" w:color="00000A"/>
              <w:bottom w:val="nil"/>
              <w:right w:val="nil"/>
            </w:tcBorders>
            <w:shd w:val="clear" w:color="auto" w:fill="FFFFFF"/>
            <w:tcMar>
              <w:left w:w="88" w:type="dxa"/>
            </w:tcMar>
          </w:tcPr>
          <w:p w:rsidR="00192F41" w:rsidRPr="00045D19" w:rsidRDefault="00192F41" w:rsidP="009B69D1">
            <w:pPr>
              <w:spacing w:line="240" w:lineRule="auto"/>
              <w:rPr>
                <w:color w:val="000000"/>
                <w:lang w:val="lt-LT"/>
              </w:rPr>
            </w:pPr>
          </w:p>
        </w:tc>
      </w:tr>
      <w:tr w:rsidR="00192F41" w:rsidRPr="00267744" w:rsidTr="009B69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92F41" w:rsidRPr="00045D19" w:rsidRDefault="00192F41" w:rsidP="009B69D1">
            <w:pPr>
              <w:spacing w:line="240" w:lineRule="auto"/>
              <w:rPr>
                <w:color w:val="000000"/>
                <w:lang w:val="lt-LT"/>
              </w:rPr>
            </w:pPr>
            <w:r w:rsidRPr="00045D19">
              <w:rPr>
                <w:color w:val="000000"/>
                <w:lang w:val="lt-LT"/>
              </w:rPr>
              <w:t>11</w:t>
            </w:r>
            <w:r w:rsidRPr="00045D19">
              <w:rPr>
                <w:color w:val="000000"/>
                <w:lang w:val="lt-LT"/>
              </w:rPr>
              <w:noBreakHyphen/>
              <w:t xml:space="preserve">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3,1</w:t>
            </w:r>
            <w:r w:rsidRPr="00045D19">
              <w:rPr>
                <w:color w:val="000000"/>
                <w:lang w:val="lt-LT"/>
              </w:rPr>
              <w:noBreakHyphen/>
              <w:t xml:space="preserve">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12 val. </w:t>
            </w:r>
          </w:p>
        </w:tc>
        <w:tc>
          <w:tcPr>
            <w:tcW w:w="251" w:type="dxa"/>
            <w:tcBorders>
              <w:top w:val="nil"/>
              <w:left w:val="single" w:sz="4" w:space="0" w:color="00000A"/>
              <w:bottom w:val="nil"/>
              <w:right w:val="nil"/>
            </w:tcBorders>
            <w:shd w:val="clear" w:color="auto" w:fill="FFFFFF"/>
            <w:tcMar>
              <w:left w:w="88" w:type="dxa"/>
            </w:tcMar>
          </w:tcPr>
          <w:p w:rsidR="00192F41" w:rsidRPr="00045D19" w:rsidRDefault="00192F41" w:rsidP="009B69D1">
            <w:pPr>
              <w:spacing w:line="240" w:lineRule="auto"/>
              <w:rPr>
                <w:color w:val="000000"/>
                <w:lang w:val="lt-LT"/>
              </w:rPr>
            </w:pPr>
          </w:p>
        </w:tc>
      </w:tr>
      <w:tr w:rsidR="00192F41" w:rsidRPr="00267744" w:rsidTr="009B69D1">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192F41" w:rsidRPr="00045D19" w:rsidRDefault="00192F41" w:rsidP="009B69D1">
            <w:pPr>
              <w:spacing w:line="240" w:lineRule="auto"/>
              <w:rPr>
                <w:color w:val="000000"/>
                <w:lang w:val="lt-LT"/>
              </w:rPr>
            </w:pPr>
            <w:r w:rsidRPr="00045D19">
              <w:rPr>
                <w:color w:val="000000"/>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Ketvirtis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rsidR="00192F41" w:rsidRPr="00045D19" w:rsidRDefault="00192F41" w:rsidP="009B69D1">
            <w:pPr>
              <w:spacing w:line="240" w:lineRule="auto"/>
              <w:jc w:val="center"/>
              <w:rPr>
                <w:color w:val="000000"/>
                <w:lang w:val="lt-LT"/>
              </w:rPr>
            </w:pPr>
            <w:r w:rsidRPr="00045D19">
              <w:rPr>
                <w:color w:val="000000"/>
                <w:lang w:val="lt-LT"/>
              </w:rPr>
              <w:t xml:space="preserve">18-24 val. </w:t>
            </w:r>
          </w:p>
        </w:tc>
        <w:tc>
          <w:tcPr>
            <w:tcW w:w="251" w:type="dxa"/>
            <w:tcBorders>
              <w:top w:val="nil"/>
              <w:left w:val="single" w:sz="4" w:space="0" w:color="00000A"/>
              <w:bottom w:val="nil"/>
              <w:right w:val="nil"/>
            </w:tcBorders>
            <w:shd w:val="clear" w:color="auto" w:fill="FFFFFF"/>
            <w:tcMar>
              <w:left w:w="88" w:type="dxa"/>
            </w:tcMar>
          </w:tcPr>
          <w:p w:rsidR="00192F41" w:rsidRPr="00045D19" w:rsidRDefault="00192F41" w:rsidP="009B69D1">
            <w:pPr>
              <w:spacing w:line="240" w:lineRule="auto"/>
              <w:rPr>
                <w:color w:val="000000"/>
                <w:lang w:val="lt-LT"/>
              </w:rPr>
            </w:pPr>
          </w:p>
        </w:tc>
      </w:tr>
    </w:tbl>
    <w:p w:rsidR="00192F41" w:rsidRPr="00045D19" w:rsidRDefault="00192F41" w:rsidP="00192F41">
      <w:pPr>
        <w:spacing w:line="240" w:lineRule="auto"/>
        <w:rPr>
          <w:u w:val="single"/>
          <w:lang w:val="lt-LT"/>
        </w:rPr>
      </w:pPr>
      <w:r w:rsidRPr="00045D19">
        <w:rPr>
          <w:u w:val="single"/>
          <w:lang w:val="lt-LT"/>
        </w:rPr>
        <w:t>*Paros dozė suaugusiems pacientams, kurių inkstų funkcija normali</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Jei pacientas gydomas hemodializėmis, dozavimo schema priklauso nuo dializės būklės.</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Taip pat žr. 4.4 skyrių.</w:t>
      </w:r>
    </w:p>
    <w:p w:rsidR="00192F41" w:rsidRPr="00045D19" w:rsidRDefault="00192F41" w:rsidP="00192F41">
      <w:pPr>
        <w:spacing w:line="240" w:lineRule="auto"/>
        <w:rPr>
          <w:lang w:val="lt-LT"/>
        </w:rPr>
      </w:pPr>
    </w:p>
    <w:p w:rsidR="00192F41" w:rsidRPr="00045D19" w:rsidRDefault="00192F41" w:rsidP="00192F41">
      <w:pPr>
        <w:spacing w:line="240" w:lineRule="auto"/>
        <w:rPr>
          <w:b/>
          <w:i/>
          <w:color w:val="000000"/>
          <w:lang w:val="lt-LT"/>
        </w:rPr>
      </w:pPr>
    </w:p>
    <w:p w:rsidR="00192F41" w:rsidRPr="00045D19" w:rsidRDefault="00192F41" w:rsidP="00192F41">
      <w:pPr>
        <w:spacing w:line="240" w:lineRule="auto"/>
        <w:rPr>
          <w:b/>
          <w:i/>
          <w:color w:val="000000"/>
          <w:lang w:val="lt-LT"/>
        </w:rPr>
      </w:pPr>
      <w:r w:rsidRPr="00045D19">
        <w:rPr>
          <w:b/>
          <w:i/>
          <w:color w:val="000000"/>
          <w:lang w:val="lt-LT"/>
        </w:rPr>
        <w:t>Vaikų populiacija</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Infekcinės ligos, sukeltos labai jautrių mikroorganizmų</w:t>
      </w:r>
    </w:p>
    <w:p w:rsidR="00192F41" w:rsidRPr="00045D19" w:rsidRDefault="00192F41" w:rsidP="00192F41">
      <w:pPr>
        <w:spacing w:line="240" w:lineRule="auto"/>
        <w:rPr>
          <w:color w:val="000000"/>
          <w:lang w:val="lt-LT"/>
        </w:rPr>
      </w:pPr>
      <w:r w:rsidRPr="00045D19">
        <w:rPr>
          <w:color w:val="000000"/>
          <w:lang w:val="lt-LT"/>
        </w:rPr>
        <w:t>Paros dozė yra 25</w:t>
      </w:r>
      <w:r w:rsidRPr="00045D19">
        <w:rPr>
          <w:color w:val="000000"/>
          <w:lang w:val="lt-LT"/>
        </w:rPr>
        <w:noBreakHyphen/>
        <w:t xml:space="preserve">50 mg/kg kūno svorio, ją rekomenduojama padalyti į dvi-keturias lygias dozes (vieną dozę vartoti kas 6, 8 ar 12 val.). </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Infekcinės ligos, sukeltos mažiau jautrių mikroorganizmų</w:t>
      </w:r>
    </w:p>
    <w:p w:rsidR="00192F41" w:rsidRPr="00045D19" w:rsidRDefault="00192F41" w:rsidP="00192F41">
      <w:pPr>
        <w:spacing w:line="240" w:lineRule="auto"/>
        <w:rPr>
          <w:color w:val="000000"/>
          <w:lang w:val="lt-LT"/>
        </w:rPr>
      </w:pPr>
      <w:r w:rsidRPr="00045D19">
        <w:rPr>
          <w:color w:val="000000"/>
          <w:lang w:val="lt-LT"/>
        </w:rPr>
        <w:t xml:space="preserve">Paros dozė yra iki 100 mg/kg kūno svorio, ją rekomenduojama padalyti į tris ar keturias lygias dozes (vieną dozę vartoti kas 6 ar 8 val.). </w:t>
      </w:r>
    </w:p>
    <w:p w:rsidR="00192F41" w:rsidRPr="00045D19" w:rsidRDefault="00192F41" w:rsidP="00192F41">
      <w:pPr>
        <w:spacing w:line="240" w:lineRule="auto"/>
        <w:rPr>
          <w:u w:val="single"/>
          <w:lang w:val="lt-LT"/>
        </w:rPr>
      </w:pPr>
    </w:p>
    <w:p w:rsidR="00192F41" w:rsidRPr="00045D19" w:rsidRDefault="00192F41" w:rsidP="00192F41">
      <w:pPr>
        <w:spacing w:line="240" w:lineRule="auto"/>
        <w:rPr>
          <w:b/>
          <w:color w:val="000000"/>
          <w:lang w:val="lt-LT"/>
        </w:rPr>
      </w:pPr>
      <w:r w:rsidRPr="00045D19">
        <w:rPr>
          <w:b/>
          <w:color w:val="000000"/>
          <w:lang w:val="lt-LT"/>
        </w:rPr>
        <w:t xml:space="preserve">Neišnešiotiems naujagimiams ir jaunesniems kaip 1 mėnesio kūdikiams </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lang w:val="lt-LT"/>
        </w:rPr>
      </w:pPr>
      <w:r w:rsidRPr="00045D19">
        <w:rPr>
          <w:color w:val="000000"/>
          <w:lang w:val="lt-LT"/>
        </w:rPr>
        <w:t xml:space="preserve">Neišnešiotų naujagimių ir jaunesnių kaip vieno mėnesio kūdikių gydymo saugumas neištirtas, todėl </w:t>
      </w:r>
      <w:proofErr w:type="spellStart"/>
      <w:r w:rsidRPr="00045D19">
        <w:rPr>
          <w:color w:val="000000"/>
          <w:lang w:val="lt-LT"/>
        </w:rPr>
        <w:t>cefazolinu</w:t>
      </w:r>
      <w:proofErr w:type="spellEnd"/>
      <w:r w:rsidRPr="00045D19">
        <w:rPr>
          <w:color w:val="000000"/>
          <w:lang w:val="lt-LT"/>
        </w:rPr>
        <w:t xml:space="preserve"> tokių pacientų gydyti nerekomenduojama. Taip pat žr. 4.4 skyrių. </w:t>
      </w:r>
    </w:p>
    <w:p w:rsidR="00192F41" w:rsidRPr="00045D19" w:rsidRDefault="00192F41" w:rsidP="00192F41">
      <w:pPr>
        <w:spacing w:line="240" w:lineRule="auto"/>
        <w:rPr>
          <w:b/>
          <w:color w:val="000000"/>
          <w:lang w:val="lt-LT"/>
        </w:rPr>
      </w:pPr>
    </w:p>
    <w:p w:rsidR="00192F41" w:rsidRPr="00045D19" w:rsidRDefault="00192F41" w:rsidP="00192F41">
      <w:pPr>
        <w:spacing w:line="240" w:lineRule="auto"/>
        <w:rPr>
          <w:lang w:val="lt-LT"/>
        </w:rPr>
      </w:pPr>
    </w:p>
    <w:p w:rsidR="00192F41" w:rsidRPr="00045D19" w:rsidRDefault="00192F41" w:rsidP="00192F41">
      <w:pPr>
        <w:spacing w:line="240" w:lineRule="auto"/>
        <w:rPr>
          <w:b/>
          <w:color w:val="000000"/>
          <w:lang w:val="lt-LT"/>
        </w:rPr>
      </w:pPr>
      <w:r w:rsidRPr="00045D19">
        <w:rPr>
          <w:b/>
          <w:color w:val="000000"/>
          <w:lang w:val="lt-LT"/>
        </w:rPr>
        <w:t>Dozavimo vaikams gairės</w:t>
      </w:r>
    </w:p>
    <w:p w:rsidR="00192F41" w:rsidRPr="00045D19" w:rsidRDefault="00192F41" w:rsidP="00192F41">
      <w:pPr>
        <w:spacing w:line="240" w:lineRule="auto"/>
        <w:rPr>
          <w:b/>
          <w:color w:val="333333"/>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192F41" w:rsidRPr="00267744" w:rsidTr="009B69D1">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color w:val="000000"/>
                <w:lang w:val="lt-LT"/>
              </w:rPr>
            </w:pPr>
            <w:r w:rsidRPr="00045D19">
              <w:rPr>
                <w:color w:val="000000"/>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color w:val="000000"/>
                <w:lang w:val="lt-LT"/>
              </w:rPr>
            </w:pPr>
            <w:r w:rsidRPr="00045D19">
              <w:rPr>
                <w:color w:val="000000"/>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color w:val="000000"/>
                <w:lang w:val="lt-LT"/>
              </w:rPr>
            </w:pPr>
            <w:r w:rsidRPr="00045D19">
              <w:rPr>
                <w:color w:val="000000"/>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color w:val="000000"/>
                <w:lang w:val="lt-LT"/>
              </w:rPr>
            </w:pPr>
            <w:r w:rsidRPr="00045D19">
              <w:rPr>
                <w:color w:val="000000"/>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color w:val="000000"/>
                <w:lang w:val="lt-LT"/>
              </w:rPr>
            </w:pPr>
            <w:r w:rsidRPr="00045D19">
              <w:rPr>
                <w:color w:val="000000"/>
                <w:lang w:val="lt-LT"/>
              </w:rPr>
              <w:t xml:space="preserve">25 kg </w:t>
            </w:r>
          </w:p>
        </w:tc>
      </w:tr>
      <w:tr w:rsidR="00192F41" w:rsidRPr="00267744" w:rsidTr="009B69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 xml:space="preserve">Dozė vartojama kas 12 val., paros dozė 25 mg/kg kūno svorio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313 mg </w:t>
            </w:r>
          </w:p>
        </w:tc>
      </w:tr>
      <w:tr w:rsidR="00192F41" w:rsidRPr="00267744" w:rsidTr="009B69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8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208 mg </w:t>
            </w:r>
          </w:p>
        </w:tc>
      </w:tr>
      <w:tr w:rsidR="00192F41" w:rsidRPr="00267744" w:rsidTr="009B69D1">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6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156 mg </w:t>
            </w:r>
          </w:p>
        </w:tc>
      </w:tr>
      <w:tr w:rsidR="00192F41" w:rsidRPr="00267744" w:rsidTr="009B69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12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625 mg </w:t>
            </w:r>
          </w:p>
        </w:tc>
      </w:tr>
      <w:tr w:rsidR="00192F41" w:rsidRPr="00267744" w:rsidTr="009B69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8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417 mg </w:t>
            </w:r>
          </w:p>
        </w:tc>
      </w:tr>
      <w:tr w:rsidR="00192F41" w:rsidRPr="00267744" w:rsidTr="009B69D1">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6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313 mg </w:t>
            </w:r>
          </w:p>
        </w:tc>
      </w:tr>
      <w:tr w:rsidR="00192F41" w:rsidRPr="00267744" w:rsidTr="009B69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8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833 mg </w:t>
            </w:r>
          </w:p>
        </w:tc>
      </w:tr>
      <w:tr w:rsidR="00192F41" w:rsidRPr="00267744" w:rsidTr="009B69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rPr>
                <w:b/>
                <w:color w:val="000000"/>
                <w:lang w:val="lt-LT"/>
              </w:rPr>
            </w:pPr>
            <w:r w:rsidRPr="00045D19">
              <w:rPr>
                <w:b/>
                <w:color w:val="000000"/>
                <w:lang w:val="lt-LT"/>
              </w:rPr>
              <w:t>Dozė vartojama kas 6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92F41" w:rsidRPr="00045D19" w:rsidRDefault="00192F41" w:rsidP="009B69D1">
            <w:pPr>
              <w:spacing w:line="240" w:lineRule="auto"/>
              <w:jc w:val="center"/>
              <w:rPr>
                <w:color w:val="000000"/>
                <w:lang w:val="lt-LT"/>
              </w:rPr>
            </w:pPr>
            <w:r w:rsidRPr="00045D19">
              <w:rPr>
                <w:color w:val="000000"/>
                <w:lang w:val="lt-LT"/>
              </w:rPr>
              <w:t xml:space="preserve">625 mg </w:t>
            </w:r>
          </w:p>
        </w:tc>
      </w:tr>
    </w:tbl>
    <w:p w:rsidR="00192F41" w:rsidRPr="00045D19" w:rsidRDefault="00192F41" w:rsidP="00192F41">
      <w:pPr>
        <w:spacing w:line="240" w:lineRule="auto"/>
        <w:rPr>
          <w:color w:val="333333"/>
          <w:lang w:val="lt-LT"/>
        </w:rPr>
      </w:pPr>
    </w:p>
    <w:p w:rsidR="00192F41" w:rsidRPr="00045D19" w:rsidRDefault="00192F41" w:rsidP="00192F41">
      <w:pPr>
        <w:spacing w:line="240" w:lineRule="auto"/>
        <w:rPr>
          <w:b/>
          <w:color w:val="000000"/>
          <w:u w:val="single"/>
          <w:lang w:val="lt-LT"/>
        </w:rPr>
      </w:pPr>
      <w:r w:rsidRPr="00045D19">
        <w:rPr>
          <w:b/>
          <w:color w:val="000000"/>
          <w:u w:val="single"/>
          <w:lang w:val="lt-LT"/>
        </w:rPr>
        <w:t>Vaikai, kurių inkstų funkcija sutrikusi</w:t>
      </w:r>
    </w:p>
    <w:p w:rsidR="00192F41" w:rsidRPr="00045D19" w:rsidRDefault="00192F41" w:rsidP="00192F41">
      <w:pPr>
        <w:spacing w:line="240" w:lineRule="auto"/>
        <w:rPr>
          <w:color w:val="333333"/>
          <w:lang w:val="lt-LT"/>
        </w:rPr>
      </w:pPr>
      <w:r w:rsidRPr="00045D19">
        <w:rPr>
          <w:color w:val="333333"/>
          <w:lang w:val="lt-LT"/>
        </w:rPr>
        <w:t xml:space="preserve">Reikia suleisti tinkamą pradinę dozę. Vėlesnes dozes reikia koreguoti atsižvelgiant į inkstų funkcijos sutrikimo laipsnį, infekcinės ligos sunkumą ir </w:t>
      </w:r>
      <w:proofErr w:type="spellStart"/>
      <w:r w:rsidRPr="00045D19">
        <w:rPr>
          <w:color w:val="333333"/>
          <w:lang w:val="lt-LT"/>
        </w:rPr>
        <w:t>patogeno</w:t>
      </w:r>
      <w:proofErr w:type="spellEnd"/>
      <w:r w:rsidRPr="00045D19">
        <w:rPr>
          <w:color w:val="333333"/>
          <w:lang w:val="lt-LT"/>
        </w:rPr>
        <w:t xml:space="preserve"> jautrumą.</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lang w:val="lt-LT"/>
        </w:rPr>
      </w:pPr>
      <w:r w:rsidRPr="00045D19">
        <w:rPr>
          <w:color w:val="000000"/>
          <w:lang w:val="lt-LT"/>
        </w:rPr>
        <w:t>Jei vaikui yra lengvas inkstų funkcijos sutrikimas (</w:t>
      </w:r>
      <w:proofErr w:type="spellStart"/>
      <w:r w:rsidRPr="00045D19">
        <w:rPr>
          <w:color w:val="000000"/>
          <w:lang w:val="lt-LT"/>
        </w:rPr>
        <w:t>kreatinino</w:t>
      </w:r>
      <w:proofErr w:type="spellEnd"/>
      <w:r w:rsidRPr="00045D19">
        <w:rPr>
          <w:color w:val="000000"/>
          <w:lang w:val="lt-LT"/>
        </w:rPr>
        <w:t xml:space="preserve"> klirensas 70-40 ml/min.), pakanka vartoti 60 % įprastos paros dozės, kuri padalijama į lygias dalis ir vartojama kas 12 val.</w:t>
      </w:r>
    </w:p>
    <w:p w:rsidR="00192F41" w:rsidRPr="00045D19" w:rsidRDefault="00192F41" w:rsidP="00192F41">
      <w:pPr>
        <w:spacing w:line="240" w:lineRule="auto"/>
        <w:rPr>
          <w:color w:val="000000"/>
          <w:lang w:val="lt-LT"/>
        </w:rPr>
      </w:pPr>
      <w:r w:rsidRPr="00045D19">
        <w:rPr>
          <w:color w:val="000000"/>
          <w:lang w:val="lt-LT"/>
        </w:rPr>
        <w:t>Jei vaikui yra vidutinio sunkumo inkstų funkcijos sutrikimas (</w:t>
      </w:r>
      <w:proofErr w:type="spellStart"/>
      <w:r w:rsidRPr="00045D19">
        <w:rPr>
          <w:color w:val="000000"/>
          <w:lang w:val="lt-LT"/>
        </w:rPr>
        <w:t>kreatinino</w:t>
      </w:r>
      <w:proofErr w:type="spellEnd"/>
      <w:r w:rsidRPr="00045D19">
        <w:rPr>
          <w:color w:val="000000"/>
          <w:lang w:val="lt-LT"/>
        </w:rPr>
        <w:t xml:space="preserve"> klirensas 40-20 ml/min.), pakanka vartoti 25 % įprastos paros dozės, kuri padalijama į lygias dalis ir vartojama kas 12 val.</w:t>
      </w:r>
    </w:p>
    <w:p w:rsidR="00192F41" w:rsidRPr="00045D19" w:rsidRDefault="00192F41" w:rsidP="00192F41">
      <w:pPr>
        <w:spacing w:line="240" w:lineRule="auto"/>
        <w:rPr>
          <w:color w:val="000000"/>
          <w:lang w:val="lt-LT"/>
        </w:rPr>
      </w:pPr>
      <w:r w:rsidRPr="00045D19">
        <w:rPr>
          <w:color w:val="000000"/>
          <w:lang w:val="lt-LT"/>
        </w:rPr>
        <w:t>Jei vaikui yra sunkus inkstų funkcijos sutrikimas (</w:t>
      </w:r>
      <w:proofErr w:type="spellStart"/>
      <w:r w:rsidRPr="00045D19">
        <w:rPr>
          <w:color w:val="000000"/>
          <w:lang w:val="lt-LT"/>
        </w:rPr>
        <w:t>kreatinino</w:t>
      </w:r>
      <w:proofErr w:type="spellEnd"/>
      <w:r w:rsidRPr="00045D19">
        <w:rPr>
          <w:color w:val="000000"/>
          <w:lang w:val="lt-LT"/>
        </w:rPr>
        <w:t xml:space="preserve"> klirensas 20-5 ml/min.), pakanka vartoti 10 % įprastos paros dozės, kuri vartojama kas 24 val.</w:t>
      </w:r>
    </w:p>
    <w:p w:rsidR="00192F41" w:rsidRPr="00045D19" w:rsidRDefault="00192F41" w:rsidP="00192F41">
      <w:pPr>
        <w:spacing w:line="240" w:lineRule="auto"/>
        <w:rPr>
          <w:color w:val="000000"/>
          <w:lang w:val="lt-LT"/>
        </w:rPr>
      </w:pPr>
      <w:r w:rsidRPr="00045D19">
        <w:rPr>
          <w:color w:val="000000"/>
          <w:lang w:val="lt-LT"/>
        </w:rPr>
        <w:t>Visos šios gairės taikomos po to, kai pavartojama pradinė dozė. Taip pat žr. 4.4 skyrių.</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i/>
          <w:color w:val="000000"/>
          <w:lang w:val="lt-LT"/>
        </w:rPr>
      </w:pPr>
      <w:r w:rsidRPr="00045D19">
        <w:rPr>
          <w:b/>
          <w:i/>
          <w:color w:val="000000"/>
          <w:lang w:val="lt-LT"/>
        </w:rPr>
        <w:t>Senyviems pacientams</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lang w:val="lt-LT"/>
        </w:rPr>
      </w:pPr>
      <w:r w:rsidRPr="00045D19">
        <w:rPr>
          <w:color w:val="000000"/>
          <w:lang w:val="lt-LT"/>
        </w:rPr>
        <w:t>Jei inkstų funkcija normali, senyviems pacientams dozės koreguoti nereikia.</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b/>
          <w:color w:val="000000"/>
          <w:lang w:val="lt-LT"/>
        </w:rPr>
      </w:pPr>
      <w:r w:rsidRPr="00045D19">
        <w:rPr>
          <w:b/>
          <w:color w:val="000000"/>
          <w:lang w:val="lt-LT"/>
        </w:rPr>
        <w:t>Gydymo trukmė</w:t>
      </w:r>
    </w:p>
    <w:p w:rsidR="00192F41" w:rsidRPr="00045D19" w:rsidRDefault="00192F41" w:rsidP="00192F41">
      <w:pPr>
        <w:spacing w:line="240" w:lineRule="auto"/>
        <w:rPr>
          <w:color w:val="000000"/>
          <w:lang w:val="lt-LT"/>
        </w:rPr>
      </w:pPr>
      <w:r w:rsidRPr="00045D19">
        <w:rPr>
          <w:color w:val="000000"/>
          <w:lang w:val="lt-LT"/>
        </w:rPr>
        <w:t xml:space="preserve">Gydymo trukmė priklauso nuo ligos eigos. Atsižvelgiant į bendruosius gydymo antibiotikais principus, gydymą </w:t>
      </w:r>
      <w:proofErr w:type="spellStart"/>
      <w:r w:rsidRPr="00045D19">
        <w:rPr>
          <w:color w:val="000000"/>
          <w:lang w:val="lt-LT"/>
        </w:rPr>
        <w:t>cefazolinu</w:t>
      </w:r>
      <w:proofErr w:type="spellEnd"/>
      <w:r w:rsidRPr="00045D19">
        <w:rPr>
          <w:color w:val="000000"/>
          <w:lang w:val="lt-LT"/>
        </w:rPr>
        <w:t xml:space="preserve"> reikia tęsti dar mažiausiai 2</w:t>
      </w:r>
      <w:r w:rsidRPr="00045D19">
        <w:rPr>
          <w:color w:val="000000"/>
          <w:lang w:val="lt-LT"/>
        </w:rPr>
        <w:noBreakHyphen/>
        <w:t>3 dienas po to, kai išnyksta karščiavimas, arba kol nustatoma, kad infekcija išnyko.</w:t>
      </w:r>
    </w:p>
    <w:p w:rsidR="00192F41" w:rsidRPr="00045D19" w:rsidRDefault="00192F41" w:rsidP="00192F41">
      <w:pPr>
        <w:spacing w:line="240" w:lineRule="auto"/>
        <w:rPr>
          <w:u w:val="single"/>
          <w:lang w:val="lt-LT"/>
        </w:rPr>
      </w:pPr>
    </w:p>
    <w:p w:rsidR="00192F41" w:rsidRPr="00045D19" w:rsidRDefault="00192F41" w:rsidP="00192F41">
      <w:pPr>
        <w:spacing w:line="240" w:lineRule="auto"/>
        <w:rPr>
          <w:u w:val="single"/>
          <w:lang w:val="lt-LT"/>
        </w:rPr>
      </w:pPr>
      <w:r w:rsidRPr="00045D19">
        <w:rPr>
          <w:u w:val="single"/>
          <w:lang w:val="lt-LT"/>
        </w:rPr>
        <w:t>Vartojimo metodas</w:t>
      </w:r>
    </w:p>
    <w:p w:rsidR="00192F41" w:rsidRPr="00045D19" w:rsidRDefault="00192F41" w:rsidP="00192F41">
      <w:pPr>
        <w:spacing w:line="240" w:lineRule="auto"/>
        <w:rPr>
          <w:b/>
          <w:lang w:val="lt-LT"/>
        </w:rPr>
      </w:pPr>
    </w:p>
    <w:p w:rsidR="00192F41" w:rsidRPr="00045D19" w:rsidRDefault="00192F41" w:rsidP="00192F41">
      <w:pPr>
        <w:spacing w:line="240" w:lineRule="auto"/>
        <w:rPr>
          <w:lang w:val="lt-LT"/>
        </w:rPr>
      </w:pPr>
      <w:proofErr w:type="spellStart"/>
      <w:r w:rsidRPr="00045D19">
        <w:rPr>
          <w:lang w:val="lt-LT"/>
        </w:rPr>
        <w:t>Rezol</w:t>
      </w:r>
      <w:proofErr w:type="spellEnd"/>
      <w:r w:rsidRPr="00045D19">
        <w:rPr>
          <w:lang w:val="lt-LT"/>
        </w:rPr>
        <w:t xml:space="preserve"> 1 g miltelių injekciniam ar infuziniam tirpalui galima leisti giliai į raumenis, lėtai į veną arba lėtai </w:t>
      </w:r>
      <w:proofErr w:type="spellStart"/>
      <w:r w:rsidRPr="00045D19">
        <w:rPr>
          <w:lang w:val="lt-LT"/>
        </w:rPr>
        <w:t>infuzuoti</w:t>
      </w:r>
      <w:proofErr w:type="spellEnd"/>
      <w:r w:rsidRPr="00045D19">
        <w:rPr>
          <w:lang w:val="lt-LT"/>
        </w:rPr>
        <w:t xml:space="preserve"> į veną.</w:t>
      </w:r>
    </w:p>
    <w:p w:rsidR="00192F41" w:rsidRPr="00045D19" w:rsidRDefault="00192F41" w:rsidP="00192F41">
      <w:pPr>
        <w:spacing w:line="240" w:lineRule="auto"/>
        <w:rPr>
          <w:lang w:val="lt-LT"/>
        </w:rPr>
      </w:pPr>
    </w:p>
    <w:p w:rsidR="00192F41" w:rsidRPr="00045D19" w:rsidRDefault="00192F41" w:rsidP="00192F41">
      <w:pPr>
        <w:tabs>
          <w:tab w:val="left" w:pos="2657"/>
        </w:tabs>
        <w:spacing w:line="240" w:lineRule="auto"/>
        <w:ind w:left="-37" w:right="-28"/>
        <w:rPr>
          <w:b/>
          <w:u w:val="single"/>
          <w:lang w:val="lt-LT"/>
        </w:rPr>
      </w:pPr>
      <w:r w:rsidRPr="00045D19">
        <w:rPr>
          <w:b/>
          <w:u w:val="single"/>
          <w:lang w:val="lt-LT"/>
        </w:rPr>
        <w:t>Vartojimo instrukcija</w:t>
      </w: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spacing w:line="240" w:lineRule="auto"/>
        <w:rPr>
          <w:i/>
          <w:color w:val="000000"/>
          <w:lang w:val="lt-LT"/>
        </w:rPr>
      </w:pPr>
      <w:r w:rsidRPr="00045D19">
        <w:rPr>
          <w:i/>
          <w:color w:val="000000"/>
          <w:lang w:val="lt-LT"/>
        </w:rPr>
        <w:t>Injekcinio ir infuzinio tirpalo paruošimas</w:t>
      </w:r>
    </w:p>
    <w:p w:rsidR="00192F41" w:rsidRPr="00045D19" w:rsidRDefault="00192F41" w:rsidP="00192F41">
      <w:pPr>
        <w:spacing w:line="240" w:lineRule="auto"/>
        <w:rPr>
          <w:b/>
          <w:i/>
          <w:color w:val="000000"/>
          <w:lang w:val="lt-LT"/>
        </w:rPr>
      </w:pPr>
    </w:p>
    <w:p w:rsidR="00192F41" w:rsidRPr="00045D19" w:rsidRDefault="00192F41" w:rsidP="00192F41">
      <w:pPr>
        <w:rPr>
          <w:color w:val="333333"/>
          <w:lang w:val="lt-LT"/>
        </w:rPr>
      </w:pPr>
      <w:proofErr w:type="spellStart"/>
      <w:r w:rsidRPr="00045D19">
        <w:rPr>
          <w:color w:val="333333"/>
          <w:lang w:val="lt-LT"/>
        </w:rPr>
        <w:t>Rezol</w:t>
      </w:r>
      <w:proofErr w:type="spellEnd"/>
      <w:r w:rsidRPr="00045D19">
        <w:rPr>
          <w:color w:val="333333"/>
          <w:lang w:val="lt-LT"/>
        </w:rPr>
        <w:t xml:space="preserve"> yra sterilūs injekciniai milteliai, todėl prieš švirkštimą pacientui juos reikia ištirpinti. Tirpinimui naudojamo tirpiklio tūris priklauso nuo vartojimo metodo.</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lang w:val="lt-LT"/>
        </w:rPr>
      </w:pPr>
      <w:r w:rsidRPr="00045D19">
        <w:rPr>
          <w:color w:val="000000"/>
          <w:lang w:val="lt-LT"/>
        </w:rPr>
        <w:t>Rekomenduojama vartoti ką tik paruoštą tirpalą. Paruošto vaistinio preparato poveikio stiprumas išlieka mažiausiai 12 val., laikant 25°C temperatūroje arba 24 val. laikant šaldytuve (2°</w:t>
      </w:r>
      <w:r w:rsidRPr="00045D19">
        <w:rPr>
          <w:color w:val="000000"/>
          <w:lang w:val="lt-LT"/>
        </w:rPr>
        <w:noBreakHyphen/>
        <w:t xml:space="preserve">8°C temperatūroje). </w:t>
      </w:r>
    </w:p>
    <w:p w:rsidR="00192F41" w:rsidRPr="00045D19" w:rsidRDefault="00192F41" w:rsidP="00192F41">
      <w:pPr>
        <w:spacing w:line="240" w:lineRule="auto"/>
        <w:rPr>
          <w:color w:val="000000"/>
          <w:lang w:val="lt-LT"/>
        </w:rPr>
      </w:pPr>
      <w:r w:rsidRPr="00045D19">
        <w:rPr>
          <w:color w:val="000000"/>
          <w:lang w:val="lt-LT"/>
        </w:rPr>
        <w:t>Ištirpinus injekciniame vandenyje, gautas tirpalas yra skaidrus, šviesiai geltonas arba geltonas.</w:t>
      </w:r>
    </w:p>
    <w:p w:rsidR="00192F41" w:rsidRPr="00045D19" w:rsidRDefault="00192F41" w:rsidP="00192F41">
      <w:pPr>
        <w:spacing w:line="240" w:lineRule="auto"/>
        <w:rPr>
          <w:color w:val="000000"/>
          <w:lang w:val="lt-LT"/>
        </w:rPr>
      </w:pPr>
    </w:p>
    <w:p w:rsidR="00192F41" w:rsidRPr="00045D19" w:rsidRDefault="00192F41" w:rsidP="00192F41">
      <w:pPr>
        <w:spacing w:line="240" w:lineRule="auto"/>
        <w:rPr>
          <w:color w:val="000000"/>
          <w:u w:val="single"/>
          <w:lang w:val="lt-LT"/>
        </w:rPr>
      </w:pPr>
      <w:r w:rsidRPr="00045D19">
        <w:rPr>
          <w:color w:val="000000"/>
          <w:u w:val="single"/>
          <w:lang w:val="lt-LT"/>
        </w:rPr>
        <w:t>Injekcija į raumenis</w:t>
      </w:r>
    </w:p>
    <w:p w:rsidR="00192F41" w:rsidRPr="00045D19" w:rsidRDefault="00192F41" w:rsidP="00192F41">
      <w:pPr>
        <w:spacing w:line="240" w:lineRule="auto"/>
        <w:rPr>
          <w:color w:val="000000"/>
          <w:u w:val="single"/>
          <w:lang w:val="lt-LT"/>
        </w:rPr>
      </w:pPr>
    </w:p>
    <w:p w:rsidR="00192F41" w:rsidRPr="00045D19" w:rsidRDefault="00192F41" w:rsidP="00192F41">
      <w:pPr>
        <w:spacing w:line="240" w:lineRule="auto"/>
        <w:rPr>
          <w:color w:val="000000"/>
          <w:lang w:val="lt-LT"/>
        </w:rPr>
      </w:pPr>
      <w:proofErr w:type="spellStart"/>
      <w:r w:rsidRPr="00045D19">
        <w:rPr>
          <w:color w:val="000000"/>
          <w:lang w:val="lt-LT"/>
        </w:rPr>
        <w:t>Rezol</w:t>
      </w:r>
      <w:proofErr w:type="spellEnd"/>
      <w:r w:rsidRPr="00045D19">
        <w:rPr>
          <w:color w:val="000000"/>
          <w:lang w:val="lt-LT"/>
        </w:rPr>
        <w:t xml:space="preserve"> 1 g ištirpinamas 4 ml injekcinio vandens arba 0,9 % natrio chlorido tirpalo.</w:t>
      </w:r>
    </w:p>
    <w:p w:rsidR="00192F41" w:rsidRPr="00045D19" w:rsidRDefault="00192F41" w:rsidP="00192F41">
      <w:pPr>
        <w:spacing w:line="240" w:lineRule="auto"/>
        <w:rPr>
          <w:color w:val="000000"/>
          <w:lang w:val="lt-LT"/>
        </w:rPr>
      </w:pPr>
      <w:r w:rsidRPr="00045D19">
        <w:rPr>
          <w:color w:val="000000"/>
          <w:lang w:val="lt-LT"/>
        </w:rPr>
        <w:t>Kratyti, kol milteliai visiškai ištirps.</w:t>
      </w:r>
    </w:p>
    <w:p w:rsidR="00192F41" w:rsidRPr="00045D19" w:rsidRDefault="00192F41" w:rsidP="00192F41">
      <w:pPr>
        <w:spacing w:line="240" w:lineRule="auto"/>
        <w:rPr>
          <w:sz w:val="24"/>
          <w:lang w:val="lt-LT"/>
        </w:rPr>
      </w:pPr>
      <w:proofErr w:type="spellStart"/>
      <w:r w:rsidRPr="00045D19">
        <w:rPr>
          <w:lang w:val="lt-LT"/>
        </w:rPr>
        <w:t>Cefazolino</w:t>
      </w:r>
      <w:proofErr w:type="spellEnd"/>
      <w:r w:rsidRPr="00045D19">
        <w:rPr>
          <w:lang w:val="lt-LT"/>
        </w:rPr>
        <w:t xml:space="preserve"> koncentracija tirpale maždaug 250 mg/ml.</w:t>
      </w:r>
    </w:p>
    <w:p w:rsidR="00192F41" w:rsidRPr="00045D19" w:rsidRDefault="00192F41" w:rsidP="00192F41">
      <w:pPr>
        <w:spacing w:line="240" w:lineRule="auto"/>
        <w:rPr>
          <w:sz w:val="24"/>
          <w:lang w:val="lt-LT"/>
        </w:rPr>
      </w:pPr>
    </w:p>
    <w:p w:rsidR="00192F41" w:rsidRPr="00045D19" w:rsidRDefault="00192F41" w:rsidP="00192F41">
      <w:pPr>
        <w:spacing w:line="240" w:lineRule="auto"/>
        <w:rPr>
          <w:color w:val="000000"/>
          <w:u w:val="single"/>
          <w:lang w:val="lt-LT"/>
        </w:rPr>
      </w:pPr>
      <w:r w:rsidRPr="00045D19">
        <w:rPr>
          <w:color w:val="000000"/>
          <w:u w:val="single"/>
          <w:lang w:val="lt-LT"/>
        </w:rPr>
        <w:t>Injekcija į veną</w:t>
      </w:r>
    </w:p>
    <w:p w:rsidR="00192F41" w:rsidRPr="00045D19" w:rsidRDefault="00192F41" w:rsidP="00192F41">
      <w:pPr>
        <w:spacing w:line="240" w:lineRule="auto"/>
        <w:rPr>
          <w:color w:val="000000"/>
          <w:u w:val="single"/>
          <w:lang w:val="lt-LT"/>
        </w:rPr>
      </w:pPr>
    </w:p>
    <w:p w:rsidR="00192F41" w:rsidRPr="00045D19" w:rsidRDefault="00192F41" w:rsidP="00192F41">
      <w:pPr>
        <w:spacing w:line="240" w:lineRule="auto"/>
        <w:rPr>
          <w:color w:val="000000"/>
          <w:lang w:val="lt-LT"/>
        </w:rPr>
      </w:pPr>
      <w:proofErr w:type="spellStart"/>
      <w:r w:rsidRPr="00045D19">
        <w:rPr>
          <w:color w:val="000000"/>
          <w:lang w:val="lt-LT"/>
        </w:rPr>
        <w:t>Rezol</w:t>
      </w:r>
      <w:proofErr w:type="spellEnd"/>
      <w:r w:rsidRPr="00045D19">
        <w:rPr>
          <w:color w:val="000000"/>
          <w:lang w:val="lt-LT"/>
        </w:rPr>
        <w:t xml:space="preserve"> 1 g ištirpinamas 4 ml injekcinio vandens arba 0,9 % natrio chlorido tirpalo. </w:t>
      </w:r>
    </w:p>
    <w:p w:rsidR="00192F41" w:rsidRPr="00045D19" w:rsidRDefault="00192F41" w:rsidP="00192F41">
      <w:pPr>
        <w:spacing w:line="240" w:lineRule="auto"/>
        <w:rPr>
          <w:color w:val="000000"/>
          <w:lang w:val="lt-LT"/>
        </w:rPr>
      </w:pPr>
      <w:r w:rsidRPr="00045D19">
        <w:rPr>
          <w:color w:val="000000"/>
          <w:lang w:val="lt-LT"/>
        </w:rPr>
        <w:t>Kratyti, kol milteliai visiškai ištirps.</w:t>
      </w:r>
    </w:p>
    <w:p w:rsidR="00192F41" w:rsidRPr="00045D19" w:rsidRDefault="00192F41" w:rsidP="00192F41">
      <w:pPr>
        <w:spacing w:line="240" w:lineRule="auto"/>
        <w:rPr>
          <w:color w:val="000000"/>
          <w:lang w:val="lt-LT"/>
        </w:rPr>
      </w:pPr>
      <w:proofErr w:type="spellStart"/>
      <w:r w:rsidRPr="00045D19">
        <w:rPr>
          <w:color w:val="000000"/>
          <w:lang w:val="lt-LT"/>
        </w:rPr>
        <w:t>Cefazolino</w:t>
      </w:r>
      <w:proofErr w:type="spellEnd"/>
      <w:r w:rsidRPr="00045D19">
        <w:rPr>
          <w:color w:val="000000"/>
          <w:lang w:val="lt-LT"/>
        </w:rPr>
        <w:t xml:space="preserve"> koncentracija tirpale maždaug 250 mg/ml.</w:t>
      </w:r>
    </w:p>
    <w:tbl>
      <w:tblPr>
        <w:tblW w:w="0" w:type="auto"/>
        <w:tblInd w:w="10" w:type="dxa"/>
        <w:tblBorders>
          <w:top w:val="nil"/>
          <w:left w:val="nil"/>
          <w:bottom w:val="nil"/>
          <w:right w:val="nil"/>
          <w:insideH w:val="nil"/>
          <w:insideV w:val="nil"/>
        </w:tblBorders>
        <w:tblLook w:val="04A0" w:firstRow="1" w:lastRow="0" w:firstColumn="1" w:lastColumn="0" w:noHBand="0" w:noVBand="1"/>
      </w:tblPr>
      <w:tblGrid>
        <w:gridCol w:w="8831"/>
        <w:gridCol w:w="280"/>
        <w:gridCol w:w="283"/>
      </w:tblGrid>
      <w:tr w:rsidR="00192F41" w:rsidRPr="003878D8" w:rsidTr="009B69D1">
        <w:trPr>
          <w:trHeight w:val="102"/>
        </w:trPr>
        <w:tc>
          <w:tcPr>
            <w:tcW w:w="9299" w:type="dxa"/>
            <w:tcBorders>
              <w:top w:val="nil"/>
              <w:left w:val="nil"/>
              <w:bottom w:val="nil"/>
              <w:right w:val="nil"/>
            </w:tcBorders>
            <w:shd w:val="clear" w:color="auto" w:fill="FFFFFF"/>
          </w:tcPr>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proofErr w:type="spellStart"/>
            <w:r w:rsidRPr="00045D19">
              <w:rPr>
                <w:color w:val="000000"/>
                <w:lang w:val="lt-LT"/>
              </w:rPr>
              <w:t>Rezol</w:t>
            </w:r>
            <w:proofErr w:type="spellEnd"/>
            <w:r w:rsidRPr="00045D19">
              <w:rPr>
                <w:color w:val="000000"/>
                <w:lang w:val="lt-LT"/>
              </w:rPr>
              <w:t xml:space="preserve"> 1 g lėtai suleidžiamas per tris-penkias minutes. Jokiu būdu vaistinio preparato negalima suleisti greičiau kaip per 3 minutes. Injekciją galima atlikti tiesiai į veną arba per intraveninės jungties vamzdelį.</w:t>
            </w:r>
          </w:p>
          <w:p w:rsidR="00192F41" w:rsidRPr="00045D19" w:rsidRDefault="00192F41" w:rsidP="009B69D1">
            <w:pPr>
              <w:spacing w:line="240" w:lineRule="auto"/>
              <w:rPr>
                <w:lang w:val="lt-LT"/>
              </w:rPr>
            </w:pPr>
          </w:p>
          <w:p w:rsidR="00192F41" w:rsidRPr="00045D19" w:rsidRDefault="00192F41" w:rsidP="009B69D1">
            <w:pPr>
              <w:spacing w:line="240" w:lineRule="auto"/>
              <w:rPr>
                <w:color w:val="000000"/>
                <w:u w:val="single"/>
                <w:lang w:val="lt-LT"/>
              </w:rPr>
            </w:pPr>
            <w:r w:rsidRPr="00045D19">
              <w:rPr>
                <w:color w:val="000000"/>
                <w:u w:val="single"/>
                <w:lang w:val="lt-LT"/>
              </w:rPr>
              <w:t>Infuzija į veną</w:t>
            </w:r>
          </w:p>
          <w:p w:rsidR="00192F41" w:rsidRPr="00045D19" w:rsidRDefault="00192F41" w:rsidP="009B69D1">
            <w:pPr>
              <w:spacing w:line="240" w:lineRule="auto"/>
              <w:rPr>
                <w:color w:val="000000"/>
                <w:u w:val="single"/>
                <w:lang w:val="lt-LT"/>
              </w:rPr>
            </w:pPr>
          </w:p>
          <w:p w:rsidR="00192F41" w:rsidRPr="00045D19" w:rsidRDefault="00192F41" w:rsidP="009B69D1">
            <w:pPr>
              <w:spacing w:line="240" w:lineRule="auto"/>
              <w:rPr>
                <w:color w:val="000000"/>
                <w:lang w:val="lt-LT"/>
              </w:rPr>
            </w:pPr>
            <w:proofErr w:type="spellStart"/>
            <w:r w:rsidRPr="00045D19">
              <w:rPr>
                <w:color w:val="000000"/>
                <w:lang w:val="lt-LT"/>
              </w:rPr>
              <w:t>Cefazoliną</w:t>
            </w:r>
            <w:proofErr w:type="spellEnd"/>
            <w:r w:rsidRPr="00045D19">
              <w:rPr>
                <w:color w:val="000000"/>
                <w:lang w:val="lt-LT"/>
              </w:rPr>
              <w:t xml:space="preserve"> galima vartoti tiesiai į veną arba nuolatinės, arba protarpinės infuzijos metodu.</w:t>
            </w:r>
          </w:p>
          <w:p w:rsidR="00192F41" w:rsidRPr="00045D19" w:rsidRDefault="00192F41" w:rsidP="009B69D1">
            <w:pPr>
              <w:spacing w:line="240" w:lineRule="auto"/>
              <w:rPr>
                <w:color w:val="000000"/>
                <w:lang w:val="lt-LT"/>
              </w:rPr>
            </w:pPr>
            <w:proofErr w:type="spellStart"/>
            <w:r w:rsidRPr="00045D19">
              <w:rPr>
                <w:color w:val="000000"/>
                <w:lang w:val="lt-LT"/>
              </w:rPr>
              <w:t>Rezol</w:t>
            </w:r>
            <w:proofErr w:type="spellEnd"/>
            <w:r w:rsidRPr="00045D19">
              <w:rPr>
                <w:color w:val="000000"/>
                <w:lang w:val="lt-LT"/>
              </w:rPr>
              <w:t xml:space="preserve"> galima </w:t>
            </w:r>
            <w:proofErr w:type="spellStart"/>
            <w:r w:rsidRPr="00045D19">
              <w:rPr>
                <w:color w:val="000000"/>
                <w:lang w:val="lt-LT"/>
              </w:rPr>
              <w:t>infuzuoti</w:t>
            </w:r>
            <w:proofErr w:type="spellEnd"/>
            <w:r w:rsidRPr="00045D19">
              <w:rPr>
                <w:color w:val="000000"/>
                <w:lang w:val="lt-LT"/>
              </w:rPr>
              <w:t xml:space="preserve"> kartu su intraveniniais preparatais, naudojant prijungtą infuzinę </w:t>
            </w:r>
            <w:proofErr w:type="spellStart"/>
            <w:r w:rsidRPr="00045D19">
              <w:rPr>
                <w:color w:val="000000"/>
                <w:lang w:val="lt-LT"/>
              </w:rPr>
              <w:t>talpyklę</w:t>
            </w:r>
            <w:proofErr w:type="spellEnd"/>
            <w:r w:rsidRPr="00045D19">
              <w:rPr>
                <w:color w:val="000000"/>
                <w:lang w:val="lt-LT"/>
              </w:rPr>
              <w:t>.</w:t>
            </w:r>
          </w:p>
          <w:p w:rsidR="00192F41" w:rsidRPr="00045D19" w:rsidRDefault="00192F41" w:rsidP="009B69D1">
            <w:pPr>
              <w:spacing w:line="240" w:lineRule="auto"/>
              <w:rPr>
                <w:color w:val="000000"/>
                <w:lang w:val="lt-LT"/>
              </w:rPr>
            </w:pPr>
            <w:proofErr w:type="spellStart"/>
            <w:r w:rsidRPr="00045D19">
              <w:rPr>
                <w:color w:val="000000"/>
                <w:lang w:val="lt-LT"/>
              </w:rPr>
              <w:t>Rezol</w:t>
            </w:r>
            <w:proofErr w:type="spellEnd"/>
            <w:r w:rsidRPr="00045D19">
              <w:rPr>
                <w:color w:val="000000"/>
                <w:lang w:val="lt-LT"/>
              </w:rPr>
              <w:t xml:space="preserve"> 1 g pirmiausia ištirpinamas 4 ml injekcinio vandens arba 0,9 % natrio chlorido tirpalo. Kratyti, kol milteliai visiškai ištirps.</w:t>
            </w:r>
          </w:p>
          <w:p w:rsidR="00192F41" w:rsidRPr="00045D19" w:rsidRDefault="00192F41" w:rsidP="009B69D1">
            <w:pPr>
              <w:spacing w:line="240" w:lineRule="auto"/>
              <w:rPr>
                <w:color w:val="000000"/>
                <w:lang w:val="lt-LT"/>
              </w:rPr>
            </w:pPr>
            <w:r w:rsidRPr="00045D19">
              <w:rPr>
                <w:color w:val="000000"/>
                <w:lang w:val="lt-LT"/>
              </w:rPr>
              <w:t xml:space="preserve">Toliau </w:t>
            </w:r>
            <w:r>
              <w:rPr>
                <w:color w:val="000000"/>
                <w:lang w:val="lt-LT"/>
              </w:rPr>
              <w:t xml:space="preserve">vaistinis </w:t>
            </w:r>
            <w:r w:rsidRPr="00045D19">
              <w:rPr>
                <w:color w:val="000000"/>
                <w:lang w:val="lt-LT"/>
              </w:rPr>
              <w:t xml:space="preserve">preparatas skiedžiamas 50-100 ml 0,9 % natrio chlorido, 5% arba 10% gliukozės, </w:t>
            </w:r>
            <w:proofErr w:type="spellStart"/>
            <w:r w:rsidRPr="00045D19">
              <w:rPr>
                <w:color w:val="000000"/>
                <w:lang w:val="lt-LT"/>
              </w:rPr>
              <w:t>Ringerio</w:t>
            </w:r>
            <w:proofErr w:type="spellEnd"/>
            <w:r w:rsidRPr="00045D19">
              <w:rPr>
                <w:color w:val="000000"/>
                <w:lang w:val="lt-LT"/>
              </w:rPr>
              <w:t xml:space="preserve">-laktato infuziniu tirpalu arba injekciniu vandeniu. </w:t>
            </w:r>
          </w:p>
          <w:p w:rsidR="00192F41" w:rsidRPr="00045D19" w:rsidRDefault="00192F41" w:rsidP="009B69D1">
            <w:pPr>
              <w:spacing w:line="240" w:lineRule="auto"/>
              <w:rPr>
                <w:color w:val="000000"/>
                <w:lang w:val="lt-LT"/>
              </w:rPr>
            </w:pPr>
            <w:proofErr w:type="spellStart"/>
            <w:r w:rsidRPr="00045D19">
              <w:rPr>
                <w:color w:val="000000"/>
                <w:lang w:val="lt-LT"/>
              </w:rPr>
              <w:t>Cefazolino</w:t>
            </w:r>
            <w:proofErr w:type="spellEnd"/>
            <w:r w:rsidRPr="00045D19">
              <w:rPr>
                <w:color w:val="000000"/>
                <w:lang w:val="lt-LT"/>
              </w:rPr>
              <w:t xml:space="preserve"> koncentracija infuziniame tirpale bus 10-19 mg/ml.</w:t>
            </w:r>
          </w:p>
          <w:p w:rsidR="00192F41" w:rsidRPr="00045D19" w:rsidRDefault="00192F41" w:rsidP="009B69D1">
            <w:pPr>
              <w:rPr>
                <w:color w:val="000000"/>
                <w:lang w:val="lt-LT"/>
              </w:rPr>
            </w:pPr>
            <w:r w:rsidRPr="00045D19">
              <w:rPr>
                <w:color w:val="000000"/>
                <w:lang w:val="lt-LT"/>
              </w:rPr>
              <w:t>Ruošdami infuzinį tirpalą, naudokite ką tik iš miltelių paruoštą tirpalą.</w:t>
            </w:r>
          </w:p>
          <w:p w:rsidR="00192F41" w:rsidRPr="00045D19" w:rsidRDefault="00192F41" w:rsidP="009B69D1">
            <w:pPr>
              <w:spacing w:line="240" w:lineRule="auto"/>
              <w:rPr>
                <w:color w:val="000000"/>
                <w:lang w:val="lt-LT"/>
              </w:rPr>
            </w:pPr>
          </w:p>
          <w:p w:rsidR="00192F41" w:rsidRPr="00045D19" w:rsidRDefault="00192F41" w:rsidP="009B69D1">
            <w:pPr>
              <w:spacing w:line="240" w:lineRule="auto"/>
              <w:rPr>
                <w:color w:val="000000"/>
                <w:lang w:val="lt-LT"/>
              </w:rPr>
            </w:pPr>
            <w:r w:rsidRPr="00045D19">
              <w:rPr>
                <w:color w:val="000000"/>
                <w:lang w:val="lt-LT"/>
              </w:rPr>
              <w:t xml:space="preserve">Tik vienkartiniam vartojimui. Visus tirpalo likučius sunaikinti. </w:t>
            </w:r>
          </w:p>
          <w:p w:rsidR="00192F41" w:rsidRPr="00045D19" w:rsidRDefault="00192F41" w:rsidP="009B69D1">
            <w:pPr>
              <w:spacing w:line="240" w:lineRule="auto"/>
              <w:rPr>
                <w:color w:val="000000"/>
                <w:lang w:val="lt-LT"/>
              </w:rPr>
            </w:pPr>
          </w:p>
          <w:p w:rsidR="00192F41" w:rsidRPr="00045D19" w:rsidRDefault="00192F41" w:rsidP="009B69D1">
            <w:pPr>
              <w:spacing w:line="240" w:lineRule="auto"/>
              <w:ind w:right="175"/>
              <w:rPr>
                <w:color w:val="000000"/>
                <w:lang w:val="lt-LT"/>
              </w:rPr>
            </w:pPr>
            <w:r w:rsidRPr="00045D19">
              <w:rPr>
                <w:color w:val="000000"/>
                <w:lang w:val="lt-LT"/>
              </w:rPr>
              <w:t>Nesuvartotą vaistinį preparatą ar atliekas reikia tvarkyti laikantis vietinių reikalavimų.</w:t>
            </w:r>
          </w:p>
        </w:tc>
        <w:tc>
          <w:tcPr>
            <w:tcW w:w="284" w:type="dxa"/>
            <w:tcBorders>
              <w:top w:val="nil"/>
              <w:left w:val="nil"/>
              <w:bottom w:val="nil"/>
              <w:right w:val="nil"/>
            </w:tcBorders>
            <w:shd w:val="clear" w:color="auto" w:fill="FFFFFF"/>
          </w:tcPr>
          <w:p w:rsidR="00192F41" w:rsidRPr="00045D19" w:rsidRDefault="00192F41" w:rsidP="009B69D1">
            <w:pPr>
              <w:spacing w:line="240" w:lineRule="auto"/>
              <w:rPr>
                <w:color w:val="000000"/>
                <w:lang w:val="lt-LT"/>
              </w:rPr>
            </w:pPr>
          </w:p>
        </w:tc>
        <w:tc>
          <w:tcPr>
            <w:tcW w:w="287" w:type="dxa"/>
            <w:tcBorders>
              <w:top w:val="nil"/>
              <w:left w:val="nil"/>
              <w:bottom w:val="nil"/>
              <w:right w:val="nil"/>
            </w:tcBorders>
            <w:shd w:val="clear" w:color="auto" w:fill="FFFFFF"/>
          </w:tcPr>
          <w:p w:rsidR="00192F41" w:rsidRPr="00045D19" w:rsidRDefault="00192F41" w:rsidP="009B69D1">
            <w:pPr>
              <w:spacing w:line="240" w:lineRule="auto"/>
              <w:rPr>
                <w:color w:val="000000"/>
                <w:lang w:val="lt-LT"/>
              </w:rPr>
            </w:pPr>
          </w:p>
        </w:tc>
      </w:tr>
    </w:tbl>
    <w:p w:rsidR="00192F41" w:rsidRPr="00045D19" w:rsidRDefault="00192F41" w:rsidP="00192F41">
      <w:pPr>
        <w:spacing w:line="240" w:lineRule="auto"/>
        <w:rPr>
          <w:lang w:val="lt-LT"/>
        </w:rPr>
      </w:pPr>
    </w:p>
    <w:p w:rsidR="00192F41" w:rsidRPr="00045D19" w:rsidRDefault="00192F41" w:rsidP="00192F41">
      <w:pPr>
        <w:tabs>
          <w:tab w:val="left" w:pos="2657"/>
        </w:tabs>
        <w:spacing w:line="240" w:lineRule="auto"/>
        <w:ind w:left="-37" w:right="-28"/>
        <w:rPr>
          <w:lang w:val="lt-LT"/>
        </w:rPr>
      </w:pPr>
    </w:p>
    <w:p w:rsidR="00192F41" w:rsidRPr="00045D19" w:rsidRDefault="00192F41" w:rsidP="00192F41">
      <w:pPr>
        <w:keepNext/>
        <w:jc w:val="both"/>
        <w:outlineLvl w:val="3"/>
        <w:rPr>
          <w:rFonts w:ascii="Calibri" w:hAnsi="Calibri"/>
          <w:bCs/>
          <w:sz w:val="28"/>
          <w:szCs w:val="28"/>
          <w:u w:val="single"/>
          <w:lang w:val="lt-LT" w:eastAsia="ja-JP"/>
        </w:rPr>
      </w:pPr>
      <w:r w:rsidRPr="00045D19">
        <w:rPr>
          <w:b/>
          <w:bCs/>
          <w:szCs w:val="28"/>
          <w:u w:val="single"/>
          <w:lang w:val="lt-LT" w:eastAsia="ja-JP"/>
        </w:rPr>
        <w:t>Nesuderinamumas</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lang w:val="lt-LT"/>
        </w:rPr>
        <w:t>Šio vaistinio preparato negalima maišyti su kitais, išskyrus nurodytus vartojimo instrukcijoje.</w:t>
      </w:r>
    </w:p>
    <w:p w:rsidR="00192F41" w:rsidRPr="00045D19" w:rsidRDefault="00192F41" w:rsidP="00192F41">
      <w:pPr>
        <w:spacing w:line="240" w:lineRule="auto"/>
        <w:rPr>
          <w:lang w:val="lt-LT"/>
        </w:rPr>
      </w:pPr>
      <w:r w:rsidRPr="00045D19">
        <w:rPr>
          <w:lang w:val="lt-LT"/>
        </w:rPr>
        <w:t xml:space="preserve">Tirpalų, kuriuose yra </w:t>
      </w:r>
      <w:proofErr w:type="spellStart"/>
      <w:r w:rsidRPr="00045D19">
        <w:rPr>
          <w:lang w:val="lt-LT"/>
        </w:rPr>
        <w:t>cefazolino</w:t>
      </w:r>
      <w:proofErr w:type="spellEnd"/>
      <w:r w:rsidRPr="00045D19">
        <w:rPr>
          <w:lang w:val="lt-LT"/>
        </w:rPr>
        <w:t xml:space="preserve">, negalima maišyti su krauju ar kitų baltymų </w:t>
      </w:r>
      <w:proofErr w:type="spellStart"/>
      <w:r w:rsidRPr="00045D19">
        <w:rPr>
          <w:lang w:val="lt-LT"/>
        </w:rPr>
        <w:t>hidrolizatais</w:t>
      </w:r>
      <w:proofErr w:type="spellEnd"/>
      <w:r w:rsidRPr="00045D19">
        <w:rPr>
          <w:lang w:val="lt-LT"/>
        </w:rPr>
        <w:t xml:space="preserve">. </w:t>
      </w:r>
      <w:proofErr w:type="spellStart"/>
      <w:r w:rsidRPr="00045D19">
        <w:rPr>
          <w:lang w:val="lt-LT"/>
        </w:rPr>
        <w:t>Cefazolinas</w:t>
      </w:r>
      <w:proofErr w:type="spellEnd"/>
      <w:r w:rsidRPr="00045D19">
        <w:rPr>
          <w:lang w:val="lt-LT"/>
        </w:rPr>
        <w:t xml:space="preserve"> yra nesuderinamas su </w:t>
      </w:r>
      <w:proofErr w:type="spellStart"/>
      <w:r w:rsidRPr="00045D19">
        <w:rPr>
          <w:lang w:val="lt-LT"/>
        </w:rPr>
        <w:t>aminoglikozidais</w:t>
      </w:r>
      <w:proofErr w:type="spellEnd"/>
      <w:r w:rsidRPr="00045D19">
        <w:rPr>
          <w:lang w:val="lt-LT"/>
        </w:rPr>
        <w:t xml:space="preserve">, </w:t>
      </w:r>
      <w:proofErr w:type="spellStart"/>
      <w:r w:rsidRPr="00045D19">
        <w:rPr>
          <w:lang w:val="lt-LT"/>
        </w:rPr>
        <w:t>tetraciklinais</w:t>
      </w:r>
      <w:proofErr w:type="spellEnd"/>
      <w:r w:rsidRPr="00045D19">
        <w:rPr>
          <w:lang w:val="lt-LT"/>
        </w:rPr>
        <w:t xml:space="preserve">, </w:t>
      </w:r>
      <w:proofErr w:type="spellStart"/>
      <w:r w:rsidRPr="00045D19">
        <w:rPr>
          <w:lang w:val="lt-LT"/>
        </w:rPr>
        <w:t>eritromicinu</w:t>
      </w:r>
      <w:proofErr w:type="spellEnd"/>
      <w:r w:rsidRPr="00045D19">
        <w:rPr>
          <w:lang w:val="lt-LT"/>
        </w:rPr>
        <w:t xml:space="preserve">, </w:t>
      </w:r>
      <w:proofErr w:type="spellStart"/>
      <w:r w:rsidRPr="00045D19">
        <w:rPr>
          <w:lang w:val="lt-LT"/>
        </w:rPr>
        <w:t>askorbo</w:t>
      </w:r>
      <w:proofErr w:type="spellEnd"/>
      <w:r w:rsidRPr="00045D19">
        <w:rPr>
          <w:lang w:val="lt-LT"/>
        </w:rPr>
        <w:t xml:space="preserve"> rūgštimi, vitamino B kompleksu, </w:t>
      </w:r>
      <w:proofErr w:type="spellStart"/>
      <w:r w:rsidRPr="00045D19">
        <w:rPr>
          <w:lang w:val="lt-LT"/>
        </w:rPr>
        <w:t>bleomicino</w:t>
      </w:r>
      <w:proofErr w:type="spellEnd"/>
      <w:r w:rsidRPr="00045D19">
        <w:rPr>
          <w:lang w:val="lt-LT"/>
        </w:rPr>
        <w:t xml:space="preserve"> sulfatu, </w:t>
      </w:r>
      <w:proofErr w:type="spellStart"/>
      <w:r w:rsidRPr="00045D19">
        <w:rPr>
          <w:lang w:val="lt-LT"/>
        </w:rPr>
        <w:t>gliuceptato</w:t>
      </w:r>
      <w:proofErr w:type="spellEnd"/>
      <w:r w:rsidRPr="00045D19">
        <w:rPr>
          <w:lang w:val="lt-LT"/>
        </w:rPr>
        <w:t xml:space="preserve"> kalcio </w:t>
      </w:r>
      <w:proofErr w:type="spellStart"/>
      <w:r w:rsidRPr="00045D19">
        <w:rPr>
          <w:lang w:val="lt-LT"/>
        </w:rPr>
        <w:t>gliukonatu</w:t>
      </w:r>
      <w:proofErr w:type="spellEnd"/>
      <w:r w:rsidRPr="00045D19">
        <w:rPr>
          <w:lang w:val="lt-LT"/>
        </w:rPr>
        <w:t xml:space="preserve">, kalciu ir </w:t>
      </w:r>
      <w:proofErr w:type="spellStart"/>
      <w:r w:rsidRPr="00045D19">
        <w:rPr>
          <w:lang w:val="lt-LT"/>
        </w:rPr>
        <w:t>cimetidino</w:t>
      </w:r>
      <w:proofErr w:type="spellEnd"/>
      <w:r w:rsidRPr="00045D19">
        <w:rPr>
          <w:lang w:val="lt-LT"/>
        </w:rPr>
        <w:t xml:space="preserve"> hidrochloridu.</w:t>
      </w:r>
    </w:p>
    <w:p w:rsidR="00192F41" w:rsidRPr="00045D19" w:rsidRDefault="00192F41" w:rsidP="00192F41">
      <w:pPr>
        <w:spacing w:line="240" w:lineRule="auto"/>
        <w:rPr>
          <w:lang w:val="lt-LT"/>
        </w:rPr>
      </w:pPr>
    </w:p>
    <w:p w:rsidR="00192F41" w:rsidRPr="00045D19" w:rsidRDefault="00192F41" w:rsidP="00192F41">
      <w:pPr>
        <w:keepNext/>
        <w:jc w:val="both"/>
        <w:outlineLvl w:val="3"/>
        <w:rPr>
          <w:rFonts w:ascii="Calibri" w:hAnsi="Calibri"/>
          <w:bCs/>
          <w:sz w:val="28"/>
          <w:szCs w:val="28"/>
          <w:u w:val="single"/>
          <w:lang w:val="lt-LT" w:eastAsia="ja-JP"/>
        </w:rPr>
      </w:pPr>
      <w:r w:rsidRPr="00045D19">
        <w:rPr>
          <w:b/>
          <w:bCs/>
          <w:szCs w:val="28"/>
          <w:u w:val="single"/>
          <w:lang w:val="lt-LT" w:eastAsia="ja-JP"/>
        </w:rPr>
        <w:t>Tinkamumo laikas</w:t>
      </w:r>
    </w:p>
    <w:p w:rsidR="00192F41" w:rsidRPr="00045D19" w:rsidRDefault="00192F41" w:rsidP="00192F41">
      <w:pPr>
        <w:rPr>
          <w:i/>
          <w:lang w:val="lt-LT"/>
        </w:rPr>
      </w:pPr>
    </w:p>
    <w:p w:rsidR="00192F41" w:rsidRPr="00045D19" w:rsidRDefault="00192F41" w:rsidP="00192F41">
      <w:pPr>
        <w:rPr>
          <w:i/>
          <w:lang w:val="lt-LT"/>
        </w:rPr>
      </w:pPr>
      <w:r w:rsidRPr="00045D19">
        <w:rPr>
          <w:i/>
          <w:lang w:val="lt-LT"/>
        </w:rPr>
        <w:t>Neatidaryta pakuotė</w:t>
      </w:r>
    </w:p>
    <w:p w:rsidR="00192F41" w:rsidRPr="00045D19" w:rsidRDefault="00192F41" w:rsidP="00192F41">
      <w:pPr>
        <w:rPr>
          <w:lang w:val="lt-LT"/>
        </w:rPr>
      </w:pPr>
      <w:r w:rsidRPr="00045D19">
        <w:rPr>
          <w:lang w:val="lt-LT"/>
        </w:rPr>
        <w:t>3 metai</w:t>
      </w:r>
    </w:p>
    <w:p w:rsidR="00192F41" w:rsidRPr="00045D19" w:rsidRDefault="00192F41" w:rsidP="00192F41">
      <w:pPr>
        <w:rPr>
          <w:lang w:val="lt-LT"/>
        </w:rPr>
      </w:pPr>
    </w:p>
    <w:p w:rsidR="00192F41" w:rsidRPr="00045D19" w:rsidRDefault="00192F41" w:rsidP="00192F41">
      <w:pPr>
        <w:rPr>
          <w:i/>
          <w:lang w:val="lt-LT"/>
        </w:rPr>
      </w:pPr>
      <w:r w:rsidRPr="00045D19">
        <w:rPr>
          <w:i/>
          <w:lang w:val="lt-LT"/>
        </w:rPr>
        <w:t>Po ištirpinimo ir (ar) praskiedimo:</w:t>
      </w:r>
    </w:p>
    <w:p w:rsidR="00192F41" w:rsidRPr="00045D19" w:rsidRDefault="00192F41" w:rsidP="00192F41">
      <w:pPr>
        <w:rPr>
          <w:i/>
          <w:lang w:val="lt-LT"/>
        </w:rPr>
      </w:pPr>
    </w:p>
    <w:p w:rsidR="00192F41" w:rsidRPr="00045D19" w:rsidRDefault="00192F41" w:rsidP="00192F41">
      <w:pPr>
        <w:spacing w:line="240" w:lineRule="auto"/>
        <w:rPr>
          <w:color w:val="000000"/>
          <w:lang w:val="lt-LT"/>
        </w:rPr>
      </w:pPr>
      <w:r w:rsidRPr="00045D19">
        <w:rPr>
          <w:color w:val="000000"/>
          <w:lang w:val="lt-LT"/>
        </w:rPr>
        <w:t>Cheminiu ir fizikiniu požiūriu paruoštas tirpalas išlieka stabilus ne ilgiau kaip 12 val. 25 °C temperatūroje ir ne ilgiau kaip 24 val. šaldytuve (2 °C </w:t>
      </w:r>
      <w:r w:rsidRPr="00045D19">
        <w:rPr>
          <w:color w:val="000000"/>
          <w:lang w:val="lt-LT"/>
        </w:rPr>
        <w:noBreakHyphen/>
        <w:t xml:space="preserve"> 8 °C temperatūroje). </w:t>
      </w:r>
    </w:p>
    <w:p w:rsidR="00192F41" w:rsidRPr="00045D19" w:rsidRDefault="00192F41" w:rsidP="00192F41">
      <w:pPr>
        <w:rPr>
          <w:lang w:val="lt-LT"/>
        </w:rPr>
      </w:pPr>
    </w:p>
    <w:p w:rsidR="00192F41" w:rsidRPr="00045D19" w:rsidRDefault="00192F41" w:rsidP="00192F41">
      <w:pPr>
        <w:rPr>
          <w:lang w:val="lt-LT"/>
        </w:rPr>
      </w:pPr>
      <w:r w:rsidRPr="00045D19">
        <w:rPr>
          <w:lang w:val="lt-LT"/>
        </w:rPr>
        <w:t xml:space="preserve">Mikrobiologiniu požiūriu atidarius/ištirpinus/praskiedus vaistinį preparatą reikia vartoti nedelsiant,. Jei vaistinis preparatas nevartojamas nedelsiant, už laikymo sąlygas ir trukmę atsako vartotojas. Paprastai ilgiau, nei nurodyta aukščiau paminėtoje informacijoje apie cheminį ir fizikinį stabilumą laikyti negalima, nebent tirpinimas ir praskiedimas buvo atliktas kontroliuojamomis ir patvirtintomis </w:t>
      </w:r>
      <w:proofErr w:type="spellStart"/>
      <w:r w:rsidRPr="00045D19">
        <w:rPr>
          <w:lang w:val="lt-LT"/>
        </w:rPr>
        <w:t>aseptinėmis</w:t>
      </w:r>
      <w:proofErr w:type="spellEnd"/>
      <w:r w:rsidRPr="00045D19">
        <w:rPr>
          <w:lang w:val="lt-LT"/>
        </w:rPr>
        <w:t xml:space="preserve"> sąlygomis.</w:t>
      </w:r>
    </w:p>
    <w:p w:rsidR="00192F41" w:rsidRPr="00045D19" w:rsidRDefault="00192F41" w:rsidP="00192F41">
      <w:pPr>
        <w:rPr>
          <w:lang w:val="lt-LT"/>
        </w:rPr>
      </w:pPr>
    </w:p>
    <w:p w:rsidR="00192F41" w:rsidRPr="00045D19" w:rsidRDefault="00192F41" w:rsidP="00192F41">
      <w:pPr>
        <w:keepNext/>
        <w:jc w:val="both"/>
        <w:outlineLvl w:val="3"/>
        <w:rPr>
          <w:rFonts w:ascii="Calibri" w:hAnsi="Calibri"/>
          <w:bCs/>
          <w:sz w:val="28"/>
          <w:szCs w:val="28"/>
          <w:shd w:val="clear" w:color="auto" w:fill="FFFFFF"/>
          <w:lang w:val="lt-LT" w:eastAsia="ja-JP"/>
        </w:rPr>
      </w:pPr>
      <w:r w:rsidRPr="00045D19">
        <w:rPr>
          <w:b/>
          <w:bCs/>
          <w:szCs w:val="28"/>
          <w:shd w:val="clear" w:color="auto" w:fill="FFFFFF"/>
          <w:lang w:val="lt-LT" w:eastAsia="ja-JP"/>
        </w:rPr>
        <w:t>Specialios laikymo sąlygos</w:t>
      </w:r>
    </w:p>
    <w:p w:rsidR="00192F41" w:rsidRPr="00045D19" w:rsidRDefault="00192F41" w:rsidP="00192F41">
      <w:pPr>
        <w:spacing w:line="240" w:lineRule="auto"/>
        <w:rPr>
          <w:lang w:val="lt-LT"/>
        </w:rPr>
      </w:pPr>
    </w:p>
    <w:p w:rsidR="00192F41" w:rsidRPr="00045D19" w:rsidRDefault="00192F41" w:rsidP="00192F41">
      <w:pPr>
        <w:spacing w:line="240" w:lineRule="auto"/>
        <w:rPr>
          <w:lang w:val="lt-LT"/>
        </w:rPr>
      </w:pPr>
      <w:r w:rsidRPr="00045D19">
        <w:rPr>
          <w:color w:val="0D0D0D"/>
          <w:lang w:val="lt-LT"/>
        </w:rPr>
        <w:t>Šio vaistinio preparato laikymui specialių temperatūros sąlygų nereikalaujama.</w:t>
      </w:r>
    </w:p>
    <w:p w:rsidR="00192F41" w:rsidRPr="00045D19" w:rsidRDefault="00192F41" w:rsidP="00192F41">
      <w:pPr>
        <w:rPr>
          <w:lang w:val="lt-LT"/>
        </w:rPr>
      </w:pPr>
      <w:r w:rsidRPr="00045D19">
        <w:rPr>
          <w:lang w:val="lt-LT"/>
        </w:rPr>
        <w:t xml:space="preserve">Flakonus laikyti </w:t>
      </w:r>
      <w:r>
        <w:rPr>
          <w:lang w:val="lt-LT"/>
        </w:rPr>
        <w:t>išorinėje</w:t>
      </w:r>
      <w:r w:rsidRPr="00045D19">
        <w:rPr>
          <w:lang w:val="lt-LT"/>
        </w:rPr>
        <w:t xml:space="preserve"> dėžutėje, kad </w:t>
      </w:r>
      <w:r>
        <w:rPr>
          <w:lang w:val="lt-LT"/>
        </w:rPr>
        <w:t xml:space="preserve">vaistinis </w:t>
      </w:r>
      <w:r w:rsidRPr="00045D19">
        <w:rPr>
          <w:lang w:val="lt-LT"/>
        </w:rPr>
        <w:t>preparatas b</w:t>
      </w:r>
      <w:r w:rsidRPr="00045D19">
        <w:rPr>
          <w:rFonts w:hint="eastAsia"/>
          <w:lang w:val="lt-LT"/>
        </w:rPr>
        <w:t>ū</w:t>
      </w:r>
      <w:r w:rsidRPr="00045D19">
        <w:rPr>
          <w:lang w:val="lt-LT"/>
        </w:rPr>
        <w:t>t</w:t>
      </w:r>
      <w:r w:rsidRPr="00045D19">
        <w:rPr>
          <w:rFonts w:hint="eastAsia"/>
          <w:lang w:val="lt-LT"/>
        </w:rPr>
        <w:t>ų</w:t>
      </w:r>
      <w:r w:rsidRPr="00045D19">
        <w:rPr>
          <w:rFonts w:ascii="TimesNewRoman" w:hAnsi="TimesNewRoman"/>
          <w:lang w:val="lt-LT"/>
        </w:rPr>
        <w:t xml:space="preserve"> </w:t>
      </w:r>
      <w:r w:rsidRPr="00045D19">
        <w:rPr>
          <w:lang w:val="lt-LT"/>
        </w:rPr>
        <w:t>apsaugotas nuo šviesos.</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1">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C3ECB"/>
    <w:multiLevelType w:val="multilevel"/>
    <w:tmpl w:val="588C6A4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245C62"/>
    <w:multiLevelType w:val="multilevel"/>
    <w:tmpl w:val="D0BC397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15:restartNumberingAfterBreak="0">
    <w:nsid w:val="27774280"/>
    <w:multiLevelType w:val="multilevel"/>
    <w:tmpl w:val="B004FE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D7630BC"/>
    <w:multiLevelType w:val="multilevel"/>
    <w:tmpl w:val="A3101C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CE856DF"/>
    <w:multiLevelType w:val="multilevel"/>
    <w:tmpl w:val="FCC83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2A475AF"/>
    <w:multiLevelType w:val="multilevel"/>
    <w:tmpl w:val="383CCA2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0BC2C87"/>
    <w:multiLevelType w:val="multilevel"/>
    <w:tmpl w:val="C89ED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41"/>
    <w:rsid w:val="00072F85"/>
    <w:rsid w:val="000A5E72"/>
    <w:rsid w:val="000A7B60"/>
    <w:rsid w:val="00181364"/>
    <w:rsid w:val="00192F41"/>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EAC6-9C8B-4D38-B5EF-108FF2F6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F41"/>
    <w:pPr>
      <w:tabs>
        <w:tab w:val="left" w:pos="567"/>
      </w:tabs>
      <w:suppressAutoHyphens/>
      <w:spacing w:after="0" w:line="260" w:lineRule="exact"/>
    </w:pPr>
    <w:rPr>
      <w:rFonts w:ascii="Times New Roman" w:eastAsia="Times New Roman" w:hAnsi="Times New Roman" w:cs="Times New Roman"/>
      <w:color w:val="00000A"/>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13082</Words>
  <Characters>7458</Characters>
  <Application>Microsoft Office Word</Application>
  <DocSecurity>0</DocSecurity>
  <Lines>62</Lines>
  <Paragraphs>40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Rezol</vt:lpstr>
      <vt:lpstr>        4.	Galimas šalutinis poveikis</vt:lpstr>
      <vt:lpstr>        5.	Kaip laikyti Rezol</vt:lpstr>
      <vt:lpstr>        6.	Pakuotės turinys ir kita informacija</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2024-09-24T06:38:00Z</dcterms:created>
  <dcterms:modified xsi:type="dcterms:W3CDTF">2024-09-24T06:38:00Z</dcterms:modified>
</cp:coreProperties>
</file>