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1EF65" w14:textId="77777777" w:rsidR="002D358F" w:rsidRPr="00C705A4" w:rsidRDefault="002D358F" w:rsidP="002D358F">
      <w:pPr>
        <w:tabs>
          <w:tab w:val="left" w:pos="567"/>
        </w:tabs>
        <w:spacing w:after="0" w:line="260" w:lineRule="exact"/>
        <w:outlineLvl w:val="0"/>
        <w:rPr>
          <w:rFonts w:ascii="Times New Roman" w:hAnsi="Times New Roman"/>
          <w:b/>
          <w:lang w:val="lt-LT"/>
        </w:rPr>
      </w:pPr>
      <w:bookmarkStart w:id="0" w:name="_GoBack"/>
      <w:bookmarkEnd w:id="0"/>
    </w:p>
    <w:p w14:paraId="6B79D5D2" w14:textId="77777777" w:rsidR="002D358F" w:rsidRPr="00C705A4" w:rsidRDefault="002D358F" w:rsidP="002D358F">
      <w:pPr>
        <w:tabs>
          <w:tab w:val="left" w:pos="567"/>
        </w:tabs>
        <w:spacing w:after="0" w:line="260" w:lineRule="exact"/>
        <w:outlineLvl w:val="0"/>
        <w:rPr>
          <w:rFonts w:ascii="Times New Roman" w:hAnsi="Times New Roman"/>
          <w:b/>
          <w:lang w:val="lt-LT"/>
        </w:rPr>
      </w:pPr>
    </w:p>
    <w:p w14:paraId="3C0CDB37" w14:textId="77777777" w:rsidR="002D358F" w:rsidRPr="00C705A4" w:rsidRDefault="002D358F" w:rsidP="002D358F">
      <w:pPr>
        <w:tabs>
          <w:tab w:val="left" w:pos="567"/>
        </w:tabs>
        <w:spacing w:after="0" w:line="260" w:lineRule="exact"/>
        <w:outlineLvl w:val="0"/>
        <w:rPr>
          <w:rFonts w:ascii="Times New Roman" w:hAnsi="Times New Roman"/>
          <w:b/>
          <w:lang w:val="lt-LT"/>
        </w:rPr>
      </w:pPr>
    </w:p>
    <w:p w14:paraId="5442A59F" w14:textId="77777777" w:rsidR="002D358F" w:rsidRPr="00C705A4" w:rsidRDefault="002D358F" w:rsidP="002D358F">
      <w:pPr>
        <w:tabs>
          <w:tab w:val="left" w:pos="567"/>
        </w:tabs>
        <w:spacing w:after="0" w:line="260" w:lineRule="exact"/>
        <w:outlineLvl w:val="0"/>
        <w:rPr>
          <w:rFonts w:ascii="Times New Roman" w:hAnsi="Times New Roman"/>
          <w:b/>
          <w:lang w:val="lt-LT"/>
        </w:rPr>
      </w:pPr>
    </w:p>
    <w:p w14:paraId="1BD89A08"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5F99F381"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301F8A75"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450F883D"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7FEA6EE9"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5FADF048"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2EE7DBF0"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0FED619A"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20C61B80"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6B19CD12"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57DD27FE"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5A54303C"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6ACB5C64"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16A44611"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3720B6A5"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7D0BA1D1"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424BD2E0" w14:textId="77777777" w:rsidR="002D358F" w:rsidRPr="00C705A4" w:rsidRDefault="002D358F" w:rsidP="002D358F">
      <w:pPr>
        <w:keepNext/>
        <w:tabs>
          <w:tab w:val="left" w:pos="567"/>
        </w:tabs>
        <w:spacing w:after="0" w:line="240" w:lineRule="auto"/>
        <w:jc w:val="center"/>
        <w:outlineLvl w:val="1"/>
        <w:rPr>
          <w:rFonts w:ascii="Cambria" w:hAnsi="Cambria"/>
          <w:i/>
          <w:sz w:val="28"/>
          <w:lang w:val="lt-LT"/>
        </w:rPr>
      </w:pPr>
    </w:p>
    <w:p w14:paraId="71E5B044" w14:textId="77777777" w:rsidR="002D358F" w:rsidRPr="00C705A4" w:rsidRDefault="002D358F" w:rsidP="002D358F">
      <w:pPr>
        <w:keepNext/>
        <w:tabs>
          <w:tab w:val="left" w:pos="567"/>
        </w:tabs>
        <w:spacing w:after="0" w:line="240" w:lineRule="auto"/>
        <w:jc w:val="center"/>
        <w:outlineLvl w:val="1"/>
        <w:rPr>
          <w:rFonts w:ascii="Cambria" w:hAnsi="Cambria"/>
          <w:i/>
          <w:sz w:val="28"/>
          <w:lang w:val="lt-LT"/>
        </w:rPr>
      </w:pPr>
    </w:p>
    <w:p w14:paraId="13A81931" w14:textId="77777777" w:rsidR="002D358F" w:rsidRPr="00C705A4" w:rsidRDefault="002D358F" w:rsidP="002D358F">
      <w:pPr>
        <w:keepNext/>
        <w:tabs>
          <w:tab w:val="left" w:pos="567"/>
        </w:tabs>
        <w:spacing w:after="0" w:line="240" w:lineRule="auto"/>
        <w:jc w:val="center"/>
        <w:outlineLvl w:val="1"/>
        <w:rPr>
          <w:rFonts w:ascii="Cambria" w:hAnsi="Cambria"/>
          <w:i/>
          <w:sz w:val="28"/>
          <w:lang w:val="lt-LT"/>
        </w:rPr>
      </w:pPr>
      <w:r w:rsidRPr="00C705A4">
        <w:rPr>
          <w:rFonts w:ascii="Times New Roman" w:hAnsi="Times New Roman"/>
          <w:b/>
          <w:lang w:val="lt-LT"/>
        </w:rPr>
        <w:t>I PRIEDAS</w:t>
      </w:r>
    </w:p>
    <w:p w14:paraId="32DB2346" w14:textId="77777777" w:rsidR="002D358F" w:rsidRPr="00C705A4" w:rsidRDefault="002D358F" w:rsidP="002D358F">
      <w:pPr>
        <w:tabs>
          <w:tab w:val="left" w:pos="-1440"/>
          <w:tab w:val="left" w:pos="-720"/>
          <w:tab w:val="left" w:pos="567"/>
        </w:tabs>
        <w:spacing w:after="0" w:line="260" w:lineRule="exact"/>
        <w:rPr>
          <w:rFonts w:ascii="Times New Roman" w:hAnsi="Times New Roman"/>
          <w:b/>
          <w:lang w:val="lt-LT"/>
        </w:rPr>
      </w:pPr>
    </w:p>
    <w:p w14:paraId="1BE5104B" w14:textId="77777777" w:rsidR="002D358F" w:rsidRPr="00C705A4" w:rsidRDefault="002D358F" w:rsidP="002D358F">
      <w:pPr>
        <w:tabs>
          <w:tab w:val="left" w:pos="-1440"/>
          <w:tab w:val="left" w:pos="-720"/>
          <w:tab w:val="left" w:pos="567"/>
        </w:tabs>
        <w:spacing w:after="0" w:line="260" w:lineRule="exact"/>
        <w:jc w:val="center"/>
        <w:rPr>
          <w:rFonts w:ascii="Calibri" w:hAnsi="Calibri"/>
          <w:b/>
          <w:lang w:val="lt-LT"/>
        </w:rPr>
      </w:pPr>
      <w:r w:rsidRPr="00C705A4">
        <w:rPr>
          <w:rFonts w:ascii="Times New Roman" w:hAnsi="Times New Roman"/>
          <w:b/>
          <w:lang w:val="lt-LT"/>
        </w:rPr>
        <w:t>PREPARATO CHARAKTERISTIKŲ SANTRAUKA</w:t>
      </w:r>
    </w:p>
    <w:p w14:paraId="3DAEDB3F" w14:textId="77777777" w:rsidR="002D358F" w:rsidRPr="00C705A4" w:rsidRDefault="002D358F" w:rsidP="002D358F">
      <w:pPr>
        <w:tabs>
          <w:tab w:val="left" w:pos="-1440"/>
          <w:tab w:val="left" w:pos="-720"/>
          <w:tab w:val="left" w:pos="567"/>
        </w:tabs>
        <w:spacing w:after="0" w:line="260" w:lineRule="exact"/>
        <w:jc w:val="center"/>
        <w:rPr>
          <w:rFonts w:ascii="Times New Roman" w:hAnsi="Times New Roman"/>
          <w:lang w:val="lt-LT"/>
        </w:rPr>
      </w:pPr>
      <w:r w:rsidRPr="00C705A4">
        <w:rPr>
          <w:rFonts w:ascii="Times New Roman" w:hAnsi="Times New Roman"/>
          <w:lang w:val="lt-LT"/>
        </w:rPr>
        <w:br w:type="page"/>
      </w:r>
    </w:p>
    <w:p w14:paraId="781DDD18"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lastRenderedPageBreak/>
        <w:t>1.</w:t>
      </w:r>
      <w:r w:rsidRPr="00C705A4">
        <w:rPr>
          <w:rFonts w:ascii="Times New Roman" w:hAnsi="Times New Roman"/>
          <w:b/>
          <w:lang w:val="lt-LT"/>
        </w:rPr>
        <w:tab/>
        <w:t>VAISTINIO PREPARATO PAVADINIMAS</w:t>
      </w:r>
    </w:p>
    <w:p w14:paraId="2CB7E06D" w14:textId="77777777" w:rsidR="002D358F" w:rsidRPr="00C705A4" w:rsidRDefault="002D358F" w:rsidP="002D358F">
      <w:pPr>
        <w:tabs>
          <w:tab w:val="left" w:pos="567"/>
        </w:tabs>
        <w:spacing w:after="0" w:line="260" w:lineRule="exact"/>
        <w:rPr>
          <w:rFonts w:ascii="Times New Roman" w:hAnsi="Times New Roman"/>
          <w:lang w:val="lt-LT"/>
        </w:rPr>
      </w:pPr>
    </w:p>
    <w:p w14:paraId="25296F1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Tridepos 70 mg + 500 mg/800 TV tabletės</w:t>
      </w:r>
    </w:p>
    <w:p w14:paraId="4196C53A" w14:textId="77777777" w:rsidR="002D358F" w:rsidRPr="00C705A4" w:rsidRDefault="002D358F" w:rsidP="002D358F">
      <w:pPr>
        <w:tabs>
          <w:tab w:val="left" w:pos="567"/>
        </w:tabs>
        <w:spacing w:after="0" w:line="260" w:lineRule="exact"/>
        <w:rPr>
          <w:rFonts w:ascii="Times New Roman" w:hAnsi="Times New Roman"/>
          <w:lang w:val="lt-LT"/>
        </w:rPr>
      </w:pPr>
    </w:p>
    <w:p w14:paraId="50192B0B" w14:textId="77777777" w:rsidR="002D358F" w:rsidRPr="00C705A4" w:rsidRDefault="002D358F" w:rsidP="002D358F">
      <w:pPr>
        <w:tabs>
          <w:tab w:val="left" w:pos="567"/>
        </w:tabs>
        <w:spacing w:after="0" w:line="260" w:lineRule="exact"/>
        <w:rPr>
          <w:rFonts w:ascii="Times New Roman" w:hAnsi="Times New Roman"/>
          <w:lang w:val="lt-LT"/>
        </w:rPr>
      </w:pPr>
    </w:p>
    <w:p w14:paraId="70953131"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t>2.</w:t>
      </w:r>
      <w:r w:rsidRPr="00C705A4">
        <w:rPr>
          <w:rFonts w:ascii="Times New Roman" w:hAnsi="Times New Roman"/>
          <w:b/>
          <w:lang w:val="lt-LT"/>
        </w:rPr>
        <w:tab/>
        <w:t>KOKYBINĖ IR KIEKYBINĖ SUDĖTIS</w:t>
      </w:r>
    </w:p>
    <w:p w14:paraId="268D09BB" w14:textId="77777777" w:rsidR="002D358F" w:rsidRPr="00C705A4" w:rsidRDefault="002D358F" w:rsidP="002D358F">
      <w:pPr>
        <w:tabs>
          <w:tab w:val="left" w:pos="567"/>
        </w:tabs>
        <w:spacing w:after="0" w:line="260" w:lineRule="exact"/>
        <w:rPr>
          <w:rFonts w:ascii="Times New Roman" w:hAnsi="Times New Roman"/>
          <w:lang w:val="lt-LT"/>
        </w:rPr>
      </w:pPr>
    </w:p>
    <w:p w14:paraId="0BBB1830"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Tridepos yra dvejopų tablečių derinio pakuotė: alendronato 70 mg tablečių ir kalcio/kolekalciferolio 500 mg/800 TV tablečių.</w:t>
      </w:r>
    </w:p>
    <w:p w14:paraId="239BA755" w14:textId="77777777" w:rsidR="002D358F" w:rsidRPr="00C705A4" w:rsidRDefault="002D358F" w:rsidP="002D358F">
      <w:pPr>
        <w:tabs>
          <w:tab w:val="left" w:pos="567"/>
        </w:tabs>
        <w:spacing w:after="0" w:line="260" w:lineRule="exact"/>
        <w:rPr>
          <w:rFonts w:ascii="Times New Roman" w:hAnsi="Times New Roman"/>
          <w:lang w:val="lt-LT"/>
        </w:rPr>
      </w:pPr>
    </w:p>
    <w:p w14:paraId="256F1CB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Alendronato tabletės: kiekvienoje tabletėje yra natrio alendronato trihidrato</w:t>
      </w:r>
      <w:r w:rsidRPr="002D358F">
        <w:rPr>
          <w:rFonts w:ascii="Times New Roman" w:eastAsia="Times New Roman" w:hAnsi="Times New Roman" w:cs="Times New Roman"/>
          <w:snapToGrid w:val="0"/>
          <w:szCs w:val="20"/>
          <w:lang w:val="en-GB"/>
        </w:rPr>
        <w:t>, atitinkančio 70 mg alendrono rūgšties.</w:t>
      </w:r>
    </w:p>
    <w:p w14:paraId="32AD0167" w14:textId="77777777" w:rsidR="002D358F" w:rsidRPr="00C705A4" w:rsidRDefault="002D358F" w:rsidP="002D358F">
      <w:pPr>
        <w:tabs>
          <w:tab w:val="left" w:pos="567"/>
        </w:tabs>
        <w:spacing w:after="0" w:line="260" w:lineRule="exact"/>
        <w:rPr>
          <w:rFonts w:ascii="Times New Roman" w:hAnsi="Times New Roman"/>
          <w:lang w:val="lt-LT"/>
        </w:rPr>
      </w:pPr>
    </w:p>
    <w:p w14:paraId="321BA85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Kalcio/kolekalciferolio tabletės: kiekvienoje tabletėje yra kalcio karbonato, atitinkančio 500 mg kalcio ir kolekalciferolio (vitamino D</w:t>
      </w:r>
      <w:r w:rsidRPr="00C705A4">
        <w:rPr>
          <w:rFonts w:ascii="Times New Roman" w:hAnsi="Times New Roman"/>
          <w:vertAlign w:val="subscript"/>
          <w:lang w:val="lt-LT"/>
        </w:rPr>
        <w:t>3</w:t>
      </w:r>
      <w:r w:rsidRPr="00C705A4">
        <w:rPr>
          <w:rFonts w:ascii="Times New Roman" w:hAnsi="Times New Roman"/>
          <w:u w:val="single"/>
          <w:lang w:val="lt-LT"/>
        </w:rPr>
        <w:t>)</w:t>
      </w:r>
      <w:r w:rsidRPr="00C705A4">
        <w:rPr>
          <w:rFonts w:ascii="Times New Roman" w:hAnsi="Times New Roman"/>
          <w:lang w:val="lt-LT"/>
        </w:rPr>
        <w:t xml:space="preserve"> 800 TV (20 mikrogramų).</w:t>
      </w:r>
    </w:p>
    <w:p w14:paraId="6A168006" w14:textId="77777777" w:rsidR="002D358F" w:rsidRPr="00C705A4" w:rsidRDefault="002D358F" w:rsidP="002D358F">
      <w:pPr>
        <w:tabs>
          <w:tab w:val="left" w:pos="567"/>
        </w:tabs>
        <w:spacing w:after="0" w:line="260" w:lineRule="exact"/>
        <w:rPr>
          <w:rFonts w:ascii="Times New Roman" w:hAnsi="Times New Roman"/>
          <w:lang w:val="lt-LT"/>
        </w:rPr>
      </w:pPr>
    </w:p>
    <w:p w14:paraId="7C3A65A1"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Pagalbinės medžiagos, kurių poveikis žinomas:</w:t>
      </w:r>
    </w:p>
    <w:p w14:paraId="6759D09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Alendronato tabletė: kiekvienoje tabletėje yra 122 mg laktozės (monohidrato </w:t>
      </w:r>
      <w:r w:rsidRPr="002D358F">
        <w:rPr>
          <w:rFonts w:ascii="Times New Roman" w:eastAsia="Times New Roman" w:hAnsi="Times New Roman" w:cs="Times New Roman"/>
          <w:snapToGrid w:val="0"/>
          <w:szCs w:val="20"/>
          <w:lang w:val="en-GB"/>
        </w:rPr>
        <w:t>pavidalu).</w:t>
      </w:r>
    </w:p>
    <w:p w14:paraId="7BA326E9"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Kalcio/kolekalciferolio tabletės: kiekvi</w:t>
      </w:r>
      <w:r w:rsidRPr="002D358F">
        <w:rPr>
          <w:rFonts w:ascii="Times New Roman" w:eastAsia="Times New Roman" w:hAnsi="Times New Roman" w:cs="Times New Roman"/>
          <w:snapToGrid w:val="0"/>
          <w:szCs w:val="20"/>
          <w:lang w:val="en-GB"/>
        </w:rPr>
        <w:t>enoje tabletėje yra 1,75 mg sacharozės.</w:t>
      </w:r>
    </w:p>
    <w:p w14:paraId="3D18A97D" w14:textId="77777777" w:rsidR="002D358F" w:rsidRPr="00C705A4" w:rsidRDefault="002D358F" w:rsidP="002D358F">
      <w:pPr>
        <w:tabs>
          <w:tab w:val="left" w:pos="567"/>
        </w:tabs>
        <w:spacing w:after="0" w:line="260" w:lineRule="exact"/>
        <w:rPr>
          <w:rFonts w:ascii="Times New Roman" w:hAnsi="Times New Roman"/>
          <w:lang w:val="lt-LT"/>
        </w:rPr>
      </w:pPr>
    </w:p>
    <w:p w14:paraId="762AE92A"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Visos pagalbinės medžiagos išvardytos 6.1 skyriuje.</w:t>
      </w:r>
    </w:p>
    <w:p w14:paraId="673FD868" w14:textId="77777777" w:rsidR="002D358F" w:rsidRPr="00C705A4" w:rsidRDefault="002D358F" w:rsidP="002D358F">
      <w:pPr>
        <w:tabs>
          <w:tab w:val="left" w:pos="567"/>
        </w:tabs>
        <w:spacing w:after="0" w:line="260" w:lineRule="exact"/>
        <w:rPr>
          <w:rFonts w:ascii="Times New Roman" w:hAnsi="Times New Roman"/>
          <w:lang w:val="lt-LT"/>
        </w:rPr>
      </w:pPr>
    </w:p>
    <w:p w14:paraId="175DFA35" w14:textId="77777777" w:rsidR="002D358F" w:rsidRPr="00C705A4" w:rsidRDefault="002D358F" w:rsidP="002D358F">
      <w:pPr>
        <w:tabs>
          <w:tab w:val="left" w:pos="567"/>
        </w:tabs>
        <w:spacing w:after="0" w:line="260" w:lineRule="exact"/>
        <w:rPr>
          <w:rFonts w:ascii="Times New Roman" w:hAnsi="Times New Roman"/>
          <w:lang w:val="lt-LT"/>
        </w:rPr>
      </w:pPr>
    </w:p>
    <w:p w14:paraId="0B54705D"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t>3.</w:t>
      </w:r>
      <w:r w:rsidRPr="00C705A4">
        <w:rPr>
          <w:rFonts w:ascii="Times New Roman" w:hAnsi="Times New Roman"/>
          <w:b/>
          <w:lang w:val="lt-LT"/>
        </w:rPr>
        <w:tab/>
        <w:t>FARMACINĖ FORMA</w:t>
      </w:r>
    </w:p>
    <w:p w14:paraId="41676099" w14:textId="77777777" w:rsidR="002D358F" w:rsidRPr="00C705A4" w:rsidRDefault="002D358F" w:rsidP="002D358F">
      <w:pPr>
        <w:tabs>
          <w:tab w:val="left" w:pos="567"/>
        </w:tabs>
        <w:spacing w:after="0" w:line="260" w:lineRule="exact"/>
        <w:rPr>
          <w:rFonts w:ascii="Times New Roman" w:hAnsi="Times New Roman"/>
          <w:lang w:val="lt-LT"/>
        </w:rPr>
      </w:pPr>
    </w:p>
    <w:p w14:paraId="35F1ABF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Alendronatas</w:t>
      </w:r>
    </w:p>
    <w:p w14:paraId="1360040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Tabletė.</w:t>
      </w:r>
    </w:p>
    <w:p w14:paraId="6586F800"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Balta, pailga, abipus išgaubta, 5,5 x 11,5 mm.</w:t>
      </w:r>
    </w:p>
    <w:p w14:paraId="05E4FD15" w14:textId="77777777" w:rsidR="002D358F" w:rsidRPr="00C705A4" w:rsidRDefault="002D358F" w:rsidP="002D358F">
      <w:pPr>
        <w:tabs>
          <w:tab w:val="left" w:pos="567"/>
        </w:tabs>
        <w:spacing w:after="0" w:line="260" w:lineRule="exact"/>
        <w:rPr>
          <w:rFonts w:ascii="Times New Roman" w:hAnsi="Times New Roman"/>
          <w:lang w:val="lt-LT"/>
        </w:rPr>
      </w:pPr>
    </w:p>
    <w:p w14:paraId="3CCDC36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Kalcis/kolekalciferolis</w:t>
      </w:r>
    </w:p>
    <w:p w14:paraId="3CCD3548"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Plėvele dengta tabletė [tabletė].</w:t>
      </w:r>
    </w:p>
    <w:p w14:paraId="2781EB3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Balta arba beveik balta, gali būti su taškeliais, ovali, su išraižytu užrašu „R150“, 8,5 x 19 mm.</w:t>
      </w:r>
    </w:p>
    <w:p w14:paraId="3E297193" w14:textId="77777777" w:rsidR="002D358F" w:rsidRPr="00C705A4" w:rsidRDefault="002D358F" w:rsidP="002D358F">
      <w:pPr>
        <w:tabs>
          <w:tab w:val="left" w:pos="567"/>
        </w:tabs>
        <w:spacing w:after="0" w:line="260" w:lineRule="exact"/>
        <w:rPr>
          <w:rFonts w:ascii="Times New Roman" w:hAnsi="Times New Roman"/>
          <w:lang w:val="lt-LT"/>
        </w:rPr>
      </w:pPr>
    </w:p>
    <w:p w14:paraId="56F6F103" w14:textId="77777777" w:rsidR="002D358F" w:rsidRPr="00C705A4" w:rsidRDefault="002D358F" w:rsidP="002D358F">
      <w:pPr>
        <w:tabs>
          <w:tab w:val="left" w:pos="567"/>
        </w:tabs>
        <w:spacing w:after="0" w:line="260" w:lineRule="exact"/>
        <w:rPr>
          <w:rFonts w:ascii="Times New Roman" w:hAnsi="Times New Roman"/>
          <w:lang w:val="lt-LT"/>
        </w:rPr>
      </w:pPr>
    </w:p>
    <w:p w14:paraId="5A88ED69"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t>4.</w:t>
      </w:r>
      <w:r w:rsidRPr="00C705A4">
        <w:rPr>
          <w:rFonts w:ascii="Times New Roman" w:hAnsi="Times New Roman"/>
          <w:b/>
          <w:lang w:val="lt-LT"/>
        </w:rPr>
        <w:tab/>
        <w:t>KLINIKINĖ INFORMACIJA</w:t>
      </w:r>
    </w:p>
    <w:p w14:paraId="5208AF82" w14:textId="77777777" w:rsidR="002D358F" w:rsidRPr="00C705A4" w:rsidRDefault="002D358F" w:rsidP="002D358F">
      <w:pPr>
        <w:tabs>
          <w:tab w:val="left" w:pos="567"/>
        </w:tabs>
        <w:spacing w:after="0" w:line="260" w:lineRule="exact"/>
        <w:rPr>
          <w:rFonts w:ascii="Times New Roman" w:hAnsi="Times New Roman"/>
          <w:lang w:val="lt-LT"/>
        </w:rPr>
      </w:pPr>
    </w:p>
    <w:p w14:paraId="3241EA51"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4.1</w:t>
      </w:r>
      <w:r w:rsidRPr="00C705A4">
        <w:rPr>
          <w:rFonts w:ascii="Times New Roman" w:hAnsi="Times New Roman"/>
          <w:b/>
          <w:lang w:val="lt-LT"/>
        </w:rPr>
        <w:tab/>
        <w:t>Terapinės indikacijos</w:t>
      </w:r>
    </w:p>
    <w:p w14:paraId="25C6E1F8" w14:textId="77777777" w:rsidR="002D358F" w:rsidRPr="00C705A4" w:rsidRDefault="002D358F" w:rsidP="002D358F">
      <w:pPr>
        <w:tabs>
          <w:tab w:val="left" w:pos="567"/>
        </w:tabs>
        <w:spacing w:after="0" w:line="260" w:lineRule="exact"/>
        <w:rPr>
          <w:rFonts w:ascii="Times New Roman" w:hAnsi="Times New Roman"/>
          <w:lang w:val="lt-LT"/>
        </w:rPr>
      </w:pPr>
    </w:p>
    <w:p w14:paraId="59D7B7F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Tridepos skirtas osteoporozei po menopauzės gydyti, siekiant sumažinti stuburo slankstelių ir šlaunikaulių lūžių riziką. </w:t>
      </w:r>
      <w:r w:rsidRPr="002D358F">
        <w:rPr>
          <w:rFonts w:ascii="Times New Roman" w:eastAsia="Times New Roman" w:hAnsi="Times New Roman" w:cs="Times New Roman"/>
          <w:snapToGrid w:val="0"/>
          <w:szCs w:val="20"/>
          <w:lang w:val="en-GB"/>
        </w:rPr>
        <w:t xml:space="preserve">Tridepos </w:t>
      </w:r>
      <w:r w:rsidRPr="00C705A4">
        <w:rPr>
          <w:rFonts w:ascii="Times New Roman" w:hAnsi="Times New Roman"/>
          <w:lang w:val="lt-LT"/>
        </w:rPr>
        <w:t>skirtas</w:t>
      </w:r>
      <w:r w:rsidRPr="002D358F">
        <w:rPr>
          <w:rFonts w:ascii="Times New Roman" w:eastAsia="Times New Roman" w:hAnsi="Times New Roman" w:cs="Times New Roman"/>
          <w:snapToGrid w:val="0"/>
          <w:szCs w:val="20"/>
          <w:lang w:val="en-GB"/>
        </w:rPr>
        <w:t xml:space="preserve"> vartoti pacientams, kuriems gresia kalcio ir vitamino D stokos rizika</w:t>
      </w:r>
      <w:r w:rsidRPr="00C705A4">
        <w:rPr>
          <w:rFonts w:ascii="Times New Roman" w:hAnsi="Times New Roman"/>
          <w:lang w:val="lt-LT"/>
        </w:rPr>
        <w:t>.</w:t>
      </w:r>
    </w:p>
    <w:p w14:paraId="43B87204" w14:textId="77777777" w:rsidR="002D358F" w:rsidRPr="00C705A4" w:rsidRDefault="002D358F" w:rsidP="002D358F">
      <w:pPr>
        <w:tabs>
          <w:tab w:val="left" w:pos="567"/>
        </w:tabs>
        <w:spacing w:after="0" w:line="260" w:lineRule="exact"/>
        <w:rPr>
          <w:rFonts w:ascii="Times New Roman" w:hAnsi="Times New Roman"/>
          <w:lang w:val="lt-LT"/>
        </w:rPr>
      </w:pPr>
    </w:p>
    <w:p w14:paraId="15FAD8A6"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4.2</w:t>
      </w:r>
      <w:r w:rsidRPr="00C705A4">
        <w:rPr>
          <w:rFonts w:ascii="Times New Roman" w:hAnsi="Times New Roman"/>
          <w:b/>
          <w:lang w:val="lt-LT"/>
        </w:rPr>
        <w:tab/>
        <w:t>Dozavimas ir vartojimo metodas</w:t>
      </w:r>
    </w:p>
    <w:p w14:paraId="53561FEF" w14:textId="77777777" w:rsidR="002D358F" w:rsidRPr="00C705A4" w:rsidRDefault="002D358F" w:rsidP="002D358F">
      <w:pPr>
        <w:tabs>
          <w:tab w:val="left" w:pos="567"/>
        </w:tabs>
        <w:spacing w:after="0" w:line="260" w:lineRule="exact"/>
        <w:rPr>
          <w:rFonts w:ascii="Times New Roman" w:hAnsi="Times New Roman"/>
          <w:lang w:val="lt-LT"/>
        </w:rPr>
      </w:pPr>
    </w:p>
    <w:p w14:paraId="2A14068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Kiekvienoje savaitės pakuotėje yra Tridepos dozės septynioms dienoms, tai yra viena alendronato 70 mg tabletė ir 6 kalcio karbonato/kolekalciferolio 500 mg/800 TV tabletės. Pakuotėje yra tabletes vartojantiems pacientams skirta dozavimo instrukcija ir tabletės su pažymėtomis dienomis nuosekliam vartojimui ant kiekvienos pakuotės.</w:t>
      </w:r>
    </w:p>
    <w:p w14:paraId="5D4BB97E" w14:textId="77777777" w:rsidR="002D358F" w:rsidRPr="00C705A4" w:rsidRDefault="002D358F" w:rsidP="002D358F">
      <w:pPr>
        <w:tabs>
          <w:tab w:val="left" w:pos="567"/>
        </w:tabs>
        <w:spacing w:after="0" w:line="260" w:lineRule="exact"/>
        <w:rPr>
          <w:rFonts w:ascii="Times New Roman" w:hAnsi="Times New Roman"/>
          <w:lang w:val="lt-LT"/>
        </w:rPr>
      </w:pPr>
    </w:p>
    <w:p w14:paraId="3D17FD0D"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Dozavimas</w:t>
      </w:r>
    </w:p>
    <w:p w14:paraId="5C53B33D"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lastRenderedPageBreak/>
        <w:t xml:space="preserve">Viena </w:t>
      </w:r>
      <w:r w:rsidRPr="002D358F">
        <w:rPr>
          <w:rFonts w:ascii="Times New Roman" w:eastAsia="Times New Roman" w:hAnsi="Times New Roman" w:cs="Times New Roman"/>
          <w:snapToGrid w:val="0"/>
          <w:szCs w:val="20"/>
          <w:lang w:val="en-GB"/>
        </w:rPr>
        <w:t>a</w:t>
      </w:r>
      <w:r w:rsidRPr="00C705A4">
        <w:rPr>
          <w:rFonts w:ascii="Times New Roman" w:hAnsi="Times New Roman"/>
          <w:lang w:val="lt-LT"/>
        </w:rPr>
        <w:t>lendronat</w:t>
      </w:r>
      <w:r w:rsidRPr="002D358F">
        <w:rPr>
          <w:rFonts w:ascii="Times New Roman" w:eastAsia="Times New Roman" w:hAnsi="Times New Roman" w:cs="Times New Roman"/>
          <w:snapToGrid w:val="0"/>
          <w:szCs w:val="20"/>
          <w:lang w:val="en-GB"/>
        </w:rPr>
        <w:t>o 70 mg tabletė ir 6 kalcio karbonato/kolekalciferolio 500 mg/800 TV tabletės per savaitę, vartojamos savaitės dienomis paeiliui.</w:t>
      </w:r>
    </w:p>
    <w:p w14:paraId="12100AFF"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Gydymą reikia pradėti 70 mg alendronato pirmą gydymo dieną (pacientas ją pasirenka gydymo pradžioje), po to vartoti po vieną kalcio karbonato/kolekalciferolio 500 mg/800 TV tabletę kasdien 6 dienas iš eilės (nuo antros iki septintos dienos).</w:t>
      </w:r>
    </w:p>
    <w:p w14:paraId="0C829854" w14:textId="77777777" w:rsidR="002D358F" w:rsidRPr="00C705A4" w:rsidRDefault="002D358F" w:rsidP="002D358F">
      <w:pPr>
        <w:tabs>
          <w:tab w:val="left" w:pos="567"/>
        </w:tabs>
        <w:spacing w:after="0" w:line="260" w:lineRule="exact"/>
        <w:rPr>
          <w:rFonts w:ascii="Times New Roman" w:hAnsi="Times New Roman"/>
          <w:lang w:val="lt-LT"/>
        </w:rPr>
      </w:pPr>
    </w:p>
    <w:p w14:paraId="091A912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Kitą dieną po to, kai suvartojama šeštoji kalcio/kolekalciferolio tabletė (aštuntą dieną), 7 dienų gydymo seka kartojama, pradedant nuo alendronato 70 mg tabletės.</w:t>
      </w:r>
    </w:p>
    <w:p w14:paraId="5B3E64D2" w14:textId="77777777" w:rsidR="002D358F" w:rsidRPr="00C705A4" w:rsidRDefault="002D358F" w:rsidP="002D358F">
      <w:pPr>
        <w:tabs>
          <w:tab w:val="left" w:pos="567"/>
        </w:tabs>
        <w:spacing w:after="0" w:line="260" w:lineRule="exact"/>
        <w:rPr>
          <w:rFonts w:ascii="Times New Roman" w:hAnsi="Times New Roman"/>
          <w:lang w:val="lt-LT"/>
        </w:rPr>
      </w:pPr>
    </w:p>
    <w:p w14:paraId="03AEB139"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Jeigu alendronato 70 mg dozė praleidžiama, pacientams reikia paaiškinti, kad alendronato 70 mg tabletę reikia išgerti kitos dienos rytą pagal dozavimo instrukcijas. </w:t>
      </w:r>
      <w:r w:rsidRPr="002D358F">
        <w:rPr>
          <w:rFonts w:ascii="Times New Roman" w:eastAsia="Times New Roman" w:hAnsi="Times New Roman" w:cs="Times New Roman"/>
          <w:snapToGrid w:val="0"/>
          <w:szCs w:val="20"/>
          <w:lang w:val="en-GB"/>
        </w:rPr>
        <w:t>K</w:t>
      </w:r>
      <w:r w:rsidRPr="00C705A4">
        <w:rPr>
          <w:rFonts w:ascii="Times New Roman" w:hAnsi="Times New Roman"/>
          <w:lang w:val="lt-LT"/>
        </w:rPr>
        <w:t>alcio</w:t>
      </w:r>
      <w:r w:rsidRPr="002D358F">
        <w:rPr>
          <w:rFonts w:ascii="Times New Roman" w:eastAsia="Times New Roman" w:hAnsi="Times New Roman" w:cs="Times New Roman"/>
          <w:snapToGrid w:val="0"/>
          <w:szCs w:val="20"/>
          <w:lang w:val="en-GB"/>
        </w:rPr>
        <w:t>/kolekalciferolio tabletę reikia išgerti mažiausiai 30 min. po to, kai išgeriama alendronato tabletė, nes kalcis trikdo alendronato rezorbciją.</w:t>
      </w:r>
    </w:p>
    <w:p w14:paraId="5FD17E85" w14:textId="77777777" w:rsidR="002D358F" w:rsidRPr="00C705A4" w:rsidRDefault="002D358F" w:rsidP="002D358F">
      <w:pPr>
        <w:tabs>
          <w:tab w:val="left" w:pos="567"/>
        </w:tabs>
        <w:spacing w:after="0" w:line="260" w:lineRule="exact"/>
        <w:rPr>
          <w:rFonts w:ascii="Times New Roman" w:hAnsi="Times New Roman"/>
          <w:lang w:val="lt-LT"/>
        </w:rPr>
      </w:pPr>
    </w:p>
    <w:p w14:paraId="02EF919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Jeigu praleidžiama kalcio/kolekalciferolio dozė, pacientams reikia paaiškinti, kad jie tęstų kalcio/ kolekalciferolio vartojimą po vieną tabletę per dieną nuo dienos, kai prisimena apie praleistą dozę. Pacientams reikia paaiškinti, kad negalima tą pačią dieną vartoti dviejų kalcio/kolekalciferolio tablečių. </w:t>
      </w:r>
      <w:r w:rsidRPr="002D358F">
        <w:rPr>
          <w:rFonts w:ascii="Times New Roman" w:eastAsia="Times New Roman" w:hAnsi="Times New Roman" w:cs="Times New Roman"/>
          <w:snapToGrid w:val="0"/>
          <w:szCs w:val="20"/>
          <w:lang w:val="en-GB"/>
        </w:rPr>
        <w:t>Visas likusias kalcio/kolekalciferolio tabletes savaitės ciklo pabaigoje reikia išmesti.</w:t>
      </w:r>
    </w:p>
    <w:p w14:paraId="3BB1A041" w14:textId="77777777" w:rsidR="002D358F" w:rsidRPr="00C705A4" w:rsidRDefault="002D358F" w:rsidP="002D358F">
      <w:pPr>
        <w:tabs>
          <w:tab w:val="left" w:pos="567"/>
        </w:tabs>
        <w:spacing w:after="0" w:line="260" w:lineRule="exact"/>
        <w:rPr>
          <w:rFonts w:ascii="Times New Roman" w:hAnsi="Times New Roman"/>
          <w:lang w:val="lt-LT"/>
        </w:rPr>
      </w:pPr>
    </w:p>
    <w:p w14:paraId="285DB94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Optimali osteoporozės gydymo bisfosfonatai</w:t>
      </w:r>
      <w:r w:rsidRPr="002D358F">
        <w:rPr>
          <w:rFonts w:ascii="Times New Roman" w:eastAsia="Times New Roman" w:hAnsi="Times New Roman" w:cs="Times New Roman"/>
          <w:snapToGrid w:val="0"/>
          <w:szCs w:val="20"/>
          <w:lang w:val="en-GB"/>
        </w:rPr>
        <w:t>s trukmė nėra nustatyta. Gydymo tąsos poreikį reguliariai reikia vertinti iš naujo, remiantis konkretaus paciento alendronato vartojimo nauda ir galima</w:t>
      </w:r>
      <w:r w:rsidRPr="00C705A4">
        <w:rPr>
          <w:rFonts w:ascii="Times New Roman" w:hAnsi="Times New Roman"/>
          <w:lang w:val="lt-LT"/>
        </w:rPr>
        <w:t xml:space="preserve"> rizik</w:t>
      </w:r>
      <w:r w:rsidRPr="002D358F">
        <w:rPr>
          <w:rFonts w:ascii="Times New Roman" w:eastAsia="Times New Roman" w:hAnsi="Times New Roman" w:cs="Times New Roman"/>
          <w:snapToGrid w:val="0"/>
          <w:szCs w:val="20"/>
          <w:lang w:val="en-GB"/>
        </w:rPr>
        <w:t>a</w:t>
      </w:r>
      <w:r w:rsidRPr="00C705A4">
        <w:rPr>
          <w:rFonts w:ascii="Times New Roman" w:hAnsi="Times New Roman"/>
          <w:lang w:val="lt-LT"/>
        </w:rPr>
        <w:t>, ypač p</w:t>
      </w:r>
      <w:r w:rsidRPr="002D358F">
        <w:rPr>
          <w:rFonts w:ascii="Times New Roman" w:eastAsia="Times New Roman" w:hAnsi="Times New Roman" w:cs="Times New Roman"/>
          <w:snapToGrid w:val="0"/>
          <w:szCs w:val="20"/>
          <w:lang w:val="en-GB"/>
        </w:rPr>
        <w:t>o</w:t>
      </w:r>
      <w:r w:rsidRPr="00C705A4">
        <w:rPr>
          <w:rFonts w:ascii="Times New Roman" w:hAnsi="Times New Roman"/>
          <w:lang w:val="lt-LT"/>
        </w:rPr>
        <w:t xml:space="preserve"> 5 </w:t>
      </w:r>
      <w:r w:rsidRPr="002D358F">
        <w:rPr>
          <w:rFonts w:ascii="Times New Roman" w:eastAsia="Times New Roman" w:hAnsi="Times New Roman" w:cs="Times New Roman"/>
          <w:snapToGrid w:val="0"/>
          <w:szCs w:val="20"/>
          <w:lang w:val="en-GB"/>
        </w:rPr>
        <w:t>ir daugiau vartojimo metų</w:t>
      </w:r>
      <w:r w:rsidRPr="00C705A4">
        <w:rPr>
          <w:rFonts w:ascii="Times New Roman" w:hAnsi="Times New Roman"/>
          <w:lang w:val="lt-LT"/>
        </w:rPr>
        <w:t>.</w:t>
      </w:r>
    </w:p>
    <w:p w14:paraId="2E98C2B7" w14:textId="77777777" w:rsidR="002D358F" w:rsidRPr="00C705A4" w:rsidRDefault="002D358F" w:rsidP="002D358F">
      <w:pPr>
        <w:tabs>
          <w:tab w:val="left" w:pos="567"/>
        </w:tabs>
        <w:spacing w:after="0" w:line="260" w:lineRule="exact"/>
        <w:rPr>
          <w:rFonts w:ascii="Times New Roman" w:hAnsi="Times New Roman"/>
          <w:lang w:val="lt-LT"/>
        </w:rPr>
      </w:pPr>
    </w:p>
    <w:p w14:paraId="3572A0A0"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Kalcio kiekis kalcio/cholelalciferolio tabletėse yra mažesnis nei rekomenduojama dienos dozė.</w:t>
      </w:r>
    </w:p>
    <w:p w14:paraId="0988F22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Todėl preparatą skiriantis gydytojas tur</w:t>
      </w:r>
      <w:r w:rsidRPr="002D358F">
        <w:rPr>
          <w:rFonts w:ascii="Times New Roman" w:eastAsia="Times New Roman" w:hAnsi="Times New Roman" w:cs="Times New Roman"/>
          <w:snapToGrid w:val="0"/>
          <w:szCs w:val="20"/>
          <w:lang w:val="en-GB"/>
        </w:rPr>
        <w:t>i</w:t>
      </w:r>
      <w:r w:rsidRPr="00C705A4">
        <w:rPr>
          <w:rFonts w:ascii="Times New Roman" w:hAnsi="Times New Roman"/>
          <w:lang w:val="lt-LT"/>
        </w:rPr>
        <w:t xml:space="preserve"> įvertinti pacientų su maistu</w:t>
      </w:r>
      <w:r w:rsidRPr="002D358F">
        <w:rPr>
          <w:rFonts w:ascii="Times New Roman" w:eastAsia="Times New Roman" w:hAnsi="Times New Roman" w:cs="Times New Roman"/>
          <w:snapToGrid w:val="0"/>
          <w:szCs w:val="20"/>
          <w:lang w:val="en-GB"/>
        </w:rPr>
        <w:t xml:space="preserve"> gaunamo kalcio kiekį. Tridepos skiriamas vartoti pacientams, kurie su maistu per dieną suvartoja 500‒</w:t>
      </w:r>
      <w:r w:rsidRPr="00C705A4">
        <w:rPr>
          <w:rFonts w:ascii="Times New Roman" w:hAnsi="Times New Roman"/>
          <w:lang w:val="lt-LT"/>
        </w:rPr>
        <w:t>1000 mg kalcio.</w:t>
      </w:r>
    </w:p>
    <w:p w14:paraId="65BF1F81" w14:textId="77777777" w:rsidR="002D358F" w:rsidRPr="00C705A4" w:rsidRDefault="002D358F" w:rsidP="002D358F">
      <w:pPr>
        <w:tabs>
          <w:tab w:val="left" w:pos="567"/>
        </w:tabs>
        <w:spacing w:after="0" w:line="260" w:lineRule="exact"/>
        <w:rPr>
          <w:rFonts w:ascii="Times New Roman" w:hAnsi="Times New Roman"/>
          <w:lang w:val="lt-LT"/>
        </w:rPr>
      </w:pPr>
    </w:p>
    <w:p w14:paraId="7028876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Tridepos yra kombinuotas</w:t>
      </w:r>
      <w:r w:rsidRPr="002D358F">
        <w:rPr>
          <w:rFonts w:ascii="Times New Roman" w:eastAsia="Times New Roman" w:hAnsi="Times New Roman" w:cs="Times New Roman"/>
          <w:snapToGrid w:val="0"/>
          <w:szCs w:val="20"/>
          <w:lang w:val="en-GB"/>
        </w:rPr>
        <w:t>is preparatas, skirtas nuosekliam - vieną kartą per dieną - alendronato, kalcio ir kolekalciferolio skyrimui palengvinti.</w:t>
      </w:r>
    </w:p>
    <w:p w14:paraId="5DE0728E" w14:textId="77777777" w:rsidR="002D358F" w:rsidRPr="00C705A4" w:rsidRDefault="002D358F" w:rsidP="002D358F">
      <w:pPr>
        <w:tabs>
          <w:tab w:val="left" w:pos="567"/>
        </w:tabs>
        <w:spacing w:after="0" w:line="260" w:lineRule="exact"/>
        <w:rPr>
          <w:rFonts w:ascii="Times New Roman" w:hAnsi="Times New Roman"/>
          <w:lang w:val="lt-LT"/>
        </w:rPr>
      </w:pPr>
    </w:p>
    <w:p w14:paraId="0697AB80"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color w:val="000000"/>
          <w:lang w:val="lt-LT"/>
        </w:rPr>
        <w:t>Senyvi pacientai</w:t>
      </w:r>
    </w:p>
    <w:p w14:paraId="039AEEEC"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Klinikiniuose tyrimuose nebuvo nustatytas su amžiumi susijęs skirtumas, vertinant alendronato veiksmingumo arba saugumo profilius. Tačiau reikia atsižvelgti į senyvų žmonių inkstų funkciją (žr. 4.4 skyrių).</w:t>
      </w:r>
    </w:p>
    <w:p w14:paraId="69CC87A8" w14:textId="77777777" w:rsidR="002D358F" w:rsidRPr="00C705A4" w:rsidRDefault="002D358F" w:rsidP="002D358F">
      <w:pPr>
        <w:tabs>
          <w:tab w:val="left" w:pos="567"/>
        </w:tabs>
        <w:spacing w:after="0" w:line="260" w:lineRule="exact"/>
        <w:rPr>
          <w:rFonts w:ascii="Times New Roman" w:hAnsi="Times New Roman"/>
          <w:lang w:val="lt-LT"/>
        </w:rPr>
      </w:pPr>
    </w:p>
    <w:p w14:paraId="667D3383" w14:textId="77777777" w:rsidR="002D358F" w:rsidRPr="00C705A4" w:rsidRDefault="002D358F" w:rsidP="002D358F">
      <w:pPr>
        <w:tabs>
          <w:tab w:val="left" w:pos="567"/>
        </w:tabs>
        <w:spacing w:after="0" w:line="260" w:lineRule="exact"/>
        <w:rPr>
          <w:rFonts w:ascii="Calibri" w:hAnsi="Calibri"/>
          <w:i/>
          <w:color w:val="000000"/>
          <w:lang w:val="lt-LT"/>
        </w:rPr>
      </w:pPr>
      <w:r w:rsidRPr="00C705A4">
        <w:rPr>
          <w:rFonts w:ascii="Times New Roman" w:hAnsi="Times New Roman"/>
          <w:i/>
          <w:color w:val="000000"/>
          <w:lang w:val="lt-LT"/>
        </w:rPr>
        <w:t>Pacientai, kurių inkstų funkcija sutrikusi</w:t>
      </w:r>
    </w:p>
    <w:p w14:paraId="6C2E0F9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Pacientams, kurių inkstų funkcija sutrikusi, Tridepos turi būti vartojamas atsargiai, o kalcio ir fosfatų lygis serume tikrinamas. Tridepos kontraindikuotinas esant sunkiam inkstų nepakankamumui (žr. 4.3 skyrių).</w:t>
      </w:r>
    </w:p>
    <w:p w14:paraId="3E19F0DF" w14:textId="77777777" w:rsidR="002D358F" w:rsidRPr="00C705A4" w:rsidRDefault="002D358F" w:rsidP="002D358F">
      <w:pPr>
        <w:tabs>
          <w:tab w:val="left" w:pos="567"/>
        </w:tabs>
        <w:spacing w:after="0" w:line="260" w:lineRule="exact"/>
        <w:rPr>
          <w:rFonts w:ascii="Times New Roman" w:hAnsi="Times New Roman"/>
          <w:lang w:val="lt-LT"/>
        </w:rPr>
      </w:pPr>
    </w:p>
    <w:p w14:paraId="043A7827"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Vaikų populiacija</w:t>
      </w:r>
    </w:p>
    <w:p w14:paraId="52201B2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Tridepos nerekomenduojama vartoti vaikams.</w:t>
      </w:r>
    </w:p>
    <w:p w14:paraId="34BF713A"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 xml:space="preserve"> </w:t>
      </w:r>
    </w:p>
    <w:p w14:paraId="2F679CC8"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 xml:space="preserve">Vartojimo metodas </w:t>
      </w:r>
    </w:p>
    <w:p w14:paraId="34F66EE9" w14:textId="77777777" w:rsidR="002D358F" w:rsidRPr="00C705A4" w:rsidRDefault="002D358F" w:rsidP="002D358F">
      <w:pPr>
        <w:tabs>
          <w:tab w:val="left" w:pos="567"/>
        </w:tabs>
        <w:spacing w:after="0" w:line="260" w:lineRule="exact"/>
        <w:rPr>
          <w:rFonts w:ascii="Times New Roman" w:hAnsi="Times New Roman"/>
          <w:lang w:val="lt-LT"/>
        </w:rPr>
      </w:pPr>
    </w:p>
    <w:p w14:paraId="6D09BAB5"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Alendronatas 70 mg</w:t>
      </w:r>
    </w:p>
    <w:p w14:paraId="294C9855" w14:textId="77777777" w:rsidR="002D358F" w:rsidRPr="00C705A4" w:rsidRDefault="002D358F" w:rsidP="002D358F">
      <w:pPr>
        <w:tabs>
          <w:tab w:val="left" w:pos="567"/>
        </w:tabs>
        <w:spacing w:after="0" w:line="260" w:lineRule="exact"/>
        <w:rPr>
          <w:rFonts w:ascii="Times New Roman" w:hAnsi="Times New Roman"/>
          <w:lang w:val="lt-LT"/>
        </w:rPr>
      </w:pPr>
    </w:p>
    <w:p w14:paraId="7A7CC1FA"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lastRenderedPageBreak/>
        <w:t xml:space="preserve">Kad alendronatas būtų tinkamai rezorbuojamas, alendronato 70 mg tabletę būtina suvartoti mažiausiai 30 minučių prieš pirmąjį dienos valgymą, gėrimą arba vaistų vartojimą, užgeriant tik grynu vandeniu. </w:t>
      </w:r>
      <w:r w:rsidRPr="002D358F">
        <w:rPr>
          <w:rFonts w:ascii="Times New Roman" w:eastAsia="Times New Roman" w:hAnsi="Times New Roman" w:cs="Times New Roman"/>
          <w:snapToGrid w:val="0"/>
          <w:szCs w:val="20"/>
          <w:lang w:val="en-GB"/>
        </w:rPr>
        <w:t>Kiti gėrimai (įskaitant mineralinį vandenį), maistas ir kai kurie vaistai gali sumažinti alendronato rezorbciją (žr. 4.5 skyrių).</w:t>
      </w:r>
    </w:p>
    <w:p w14:paraId="1F2A9081" w14:textId="77777777" w:rsidR="002D358F" w:rsidRPr="00C705A4" w:rsidRDefault="002D358F" w:rsidP="002D358F">
      <w:pPr>
        <w:tabs>
          <w:tab w:val="left" w:pos="567"/>
        </w:tabs>
        <w:spacing w:after="0" w:line="260" w:lineRule="exact"/>
        <w:rPr>
          <w:rFonts w:ascii="Times New Roman" w:hAnsi="Times New Roman"/>
          <w:lang w:val="lt-LT"/>
        </w:rPr>
      </w:pPr>
    </w:p>
    <w:p w14:paraId="3EF661EE"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Siekiant pagerinti preparato patekimą į skrandį ir taip sumažinti vietinio ir stemplės sudirginimo ir nepageidaujamų reiškinių riziką (žr. 4.4 skyrių):</w:t>
      </w:r>
    </w:p>
    <w:p w14:paraId="0D17C2BA" w14:textId="77777777" w:rsidR="002D358F" w:rsidRPr="00C705A4" w:rsidRDefault="002D358F" w:rsidP="002D358F">
      <w:pPr>
        <w:numPr>
          <w:ilvl w:val="0"/>
          <w:numId w:val="6"/>
        </w:numPr>
        <w:tabs>
          <w:tab w:val="left" w:pos="567"/>
        </w:tabs>
        <w:spacing w:after="0" w:line="260" w:lineRule="exact"/>
        <w:ind w:left="567" w:hanging="567"/>
        <w:rPr>
          <w:rFonts w:ascii="Times New Roman" w:hAnsi="Times New Roman"/>
          <w:lang w:val="lt-LT"/>
        </w:rPr>
      </w:pPr>
      <w:r w:rsidRPr="00C705A4">
        <w:rPr>
          <w:rFonts w:ascii="Times New Roman" w:hAnsi="Times New Roman"/>
          <w:lang w:val="lt-LT"/>
        </w:rPr>
        <w:t>alendronat</w:t>
      </w:r>
      <w:r w:rsidRPr="002D358F">
        <w:rPr>
          <w:rFonts w:ascii="Times New Roman" w:eastAsia="Times New Roman" w:hAnsi="Times New Roman" w:cs="Times New Roman"/>
          <w:snapToGrid w:val="0"/>
          <w:szCs w:val="20"/>
          <w:lang w:val="en-GB"/>
        </w:rPr>
        <w:t>o</w:t>
      </w:r>
      <w:r w:rsidRPr="00C705A4">
        <w:rPr>
          <w:rFonts w:ascii="Times New Roman" w:hAnsi="Times New Roman"/>
          <w:lang w:val="lt-LT"/>
        </w:rPr>
        <w:t xml:space="preserve"> 70 mg tabletes galima nuryti tik </w:t>
      </w:r>
      <w:r w:rsidRPr="002D358F">
        <w:rPr>
          <w:rFonts w:ascii="Times New Roman" w:eastAsia="Times New Roman" w:hAnsi="Times New Roman" w:cs="Times New Roman"/>
          <w:snapToGrid w:val="0"/>
          <w:szCs w:val="20"/>
          <w:lang w:val="en-GB"/>
        </w:rPr>
        <w:t>visiškai atsikėlus iš lovos (visai dienai), užgeriant pilna stikline vandens (ne mažiau kaip 200 ml);</w:t>
      </w:r>
    </w:p>
    <w:p w14:paraId="6396162F" w14:textId="77777777" w:rsidR="002D358F" w:rsidRPr="00C705A4" w:rsidRDefault="002D358F" w:rsidP="002D358F">
      <w:pPr>
        <w:numPr>
          <w:ilvl w:val="0"/>
          <w:numId w:val="6"/>
        </w:numPr>
        <w:tabs>
          <w:tab w:val="left" w:pos="567"/>
        </w:tabs>
        <w:spacing w:after="0" w:line="260" w:lineRule="exact"/>
        <w:ind w:left="567" w:hanging="567"/>
        <w:rPr>
          <w:rFonts w:ascii="Times New Roman" w:hAnsi="Times New Roman"/>
          <w:lang w:val="lt-LT"/>
        </w:rPr>
      </w:pPr>
      <w:r w:rsidRPr="00C705A4">
        <w:rPr>
          <w:rFonts w:ascii="Times New Roman" w:hAnsi="Times New Roman"/>
          <w:lang w:val="lt-LT"/>
        </w:rPr>
        <w:t xml:space="preserve">pacientai </w:t>
      </w:r>
      <w:r w:rsidRPr="002D358F">
        <w:rPr>
          <w:rFonts w:ascii="Times New Roman" w:eastAsia="Times New Roman" w:hAnsi="Times New Roman" w:cs="Times New Roman"/>
          <w:snapToGrid w:val="0"/>
          <w:szCs w:val="20"/>
          <w:lang w:val="en-GB"/>
        </w:rPr>
        <w:t>a</w:t>
      </w:r>
      <w:r w:rsidRPr="00C705A4">
        <w:rPr>
          <w:rFonts w:ascii="Times New Roman" w:hAnsi="Times New Roman"/>
          <w:lang w:val="lt-LT"/>
        </w:rPr>
        <w:t>lendronat</w:t>
      </w:r>
      <w:r w:rsidRPr="002D358F">
        <w:rPr>
          <w:rFonts w:ascii="Times New Roman" w:eastAsia="Times New Roman" w:hAnsi="Times New Roman" w:cs="Times New Roman"/>
          <w:snapToGrid w:val="0"/>
          <w:szCs w:val="20"/>
          <w:lang w:val="en-GB"/>
        </w:rPr>
        <w:t>o</w:t>
      </w:r>
      <w:r w:rsidRPr="00C705A4">
        <w:rPr>
          <w:rFonts w:ascii="Times New Roman" w:hAnsi="Times New Roman"/>
          <w:lang w:val="lt-LT"/>
        </w:rPr>
        <w:t xml:space="preserve"> 70 mg tabletę tur</w:t>
      </w:r>
      <w:r w:rsidRPr="002D358F">
        <w:rPr>
          <w:rFonts w:ascii="Times New Roman" w:eastAsia="Times New Roman" w:hAnsi="Times New Roman" w:cs="Times New Roman"/>
          <w:snapToGrid w:val="0"/>
          <w:szCs w:val="20"/>
          <w:lang w:val="en-GB"/>
        </w:rPr>
        <w:t>i</w:t>
      </w:r>
      <w:r w:rsidRPr="00C705A4">
        <w:rPr>
          <w:rFonts w:ascii="Times New Roman" w:hAnsi="Times New Roman"/>
          <w:lang w:val="lt-LT"/>
        </w:rPr>
        <w:t xml:space="preserve"> nuryti visą. Pacientams negalima tabletės smulkinti ar kramtyti arba leisti tabletei ištirpti burnoje, nes tai sudaro sąlygas burnai ir ryklei išopėti;</w:t>
      </w:r>
    </w:p>
    <w:p w14:paraId="0FDE0742" w14:textId="77777777" w:rsidR="002D358F" w:rsidRPr="00C705A4" w:rsidRDefault="002D358F" w:rsidP="002D358F">
      <w:pPr>
        <w:numPr>
          <w:ilvl w:val="0"/>
          <w:numId w:val="6"/>
        </w:numPr>
        <w:tabs>
          <w:tab w:val="left" w:pos="567"/>
        </w:tabs>
        <w:spacing w:after="0" w:line="260" w:lineRule="exact"/>
        <w:ind w:left="567" w:hanging="567"/>
        <w:rPr>
          <w:rFonts w:ascii="Times New Roman" w:hAnsi="Times New Roman"/>
          <w:lang w:val="lt-LT"/>
        </w:rPr>
      </w:pPr>
      <w:r w:rsidRPr="00C705A4">
        <w:rPr>
          <w:rFonts w:ascii="Times New Roman" w:hAnsi="Times New Roman"/>
          <w:lang w:val="lt-LT"/>
        </w:rPr>
        <w:t>pacientams negalima atsigulti, kol nesuvalg</w:t>
      </w:r>
      <w:r w:rsidRPr="002D358F">
        <w:rPr>
          <w:rFonts w:ascii="Times New Roman" w:eastAsia="Times New Roman" w:hAnsi="Times New Roman" w:cs="Times New Roman"/>
          <w:snapToGrid w:val="0"/>
          <w:szCs w:val="20"/>
          <w:lang w:val="en-GB"/>
        </w:rPr>
        <w:t>o</w:t>
      </w:r>
      <w:r w:rsidRPr="00C705A4">
        <w:rPr>
          <w:rFonts w:ascii="Times New Roman" w:hAnsi="Times New Roman"/>
          <w:lang w:val="lt-LT"/>
        </w:rPr>
        <w:t xml:space="preserve"> pirmojo dienos maisto</w:t>
      </w:r>
      <w:r w:rsidRPr="002D358F">
        <w:rPr>
          <w:rFonts w:ascii="Times New Roman" w:eastAsia="Times New Roman" w:hAnsi="Times New Roman" w:cs="Times New Roman"/>
          <w:snapToGrid w:val="0"/>
          <w:szCs w:val="20"/>
          <w:lang w:val="en-GB"/>
        </w:rPr>
        <w:t>. Jis turi</w:t>
      </w:r>
      <w:r w:rsidRPr="00C705A4">
        <w:rPr>
          <w:rFonts w:ascii="Times New Roman" w:hAnsi="Times New Roman"/>
          <w:lang w:val="lt-LT"/>
        </w:rPr>
        <w:t xml:space="preserve"> būti valgomas praėjus mažiausiai 30 minučių po tabletės suvartojimo</w:t>
      </w:r>
      <w:r w:rsidRPr="002D358F">
        <w:rPr>
          <w:rFonts w:ascii="Times New Roman" w:eastAsia="Times New Roman" w:hAnsi="Times New Roman" w:cs="Times New Roman"/>
          <w:snapToGrid w:val="0"/>
          <w:szCs w:val="20"/>
          <w:lang w:val="en-GB"/>
        </w:rPr>
        <w:t>;</w:t>
      </w:r>
    </w:p>
    <w:p w14:paraId="53C91DF5" w14:textId="77777777" w:rsidR="002D358F" w:rsidRPr="00C705A4" w:rsidRDefault="002D358F" w:rsidP="002D358F">
      <w:pPr>
        <w:numPr>
          <w:ilvl w:val="0"/>
          <w:numId w:val="6"/>
        </w:numPr>
        <w:tabs>
          <w:tab w:val="left" w:pos="567"/>
        </w:tabs>
        <w:spacing w:after="0" w:line="260" w:lineRule="exact"/>
        <w:ind w:left="567" w:hanging="567"/>
        <w:rPr>
          <w:rFonts w:ascii="Times New Roman" w:hAnsi="Times New Roman"/>
          <w:lang w:val="lt-LT"/>
        </w:rPr>
      </w:pPr>
      <w:r w:rsidRPr="00C705A4">
        <w:rPr>
          <w:rFonts w:ascii="Times New Roman" w:hAnsi="Times New Roman"/>
          <w:lang w:val="lt-LT"/>
        </w:rPr>
        <w:t xml:space="preserve">pacientams negalima gulti mažiausiai 30 minučių po </w:t>
      </w:r>
      <w:r w:rsidRPr="002D358F">
        <w:rPr>
          <w:rFonts w:ascii="Times New Roman" w:eastAsia="Times New Roman" w:hAnsi="Times New Roman" w:cs="Times New Roman"/>
          <w:snapToGrid w:val="0"/>
          <w:szCs w:val="20"/>
          <w:lang w:val="en-GB"/>
        </w:rPr>
        <w:t>a</w:t>
      </w:r>
      <w:r w:rsidRPr="00C705A4">
        <w:rPr>
          <w:rFonts w:ascii="Times New Roman" w:hAnsi="Times New Roman"/>
          <w:lang w:val="lt-LT"/>
        </w:rPr>
        <w:t>lendronat</w:t>
      </w:r>
      <w:r w:rsidRPr="002D358F">
        <w:rPr>
          <w:rFonts w:ascii="Times New Roman" w:eastAsia="Times New Roman" w:hAnsi="Times New Roman" w:cs="Times New Roman"/>
          <w:snapToGrid w:val="0"/>
          <w:szCs w:val="20"/>
          <w:lang w:val="en-GB"/>
        </w:rPr>
        <w:t>o</w:t>
      </w:r>
      <w:r w:rsidRPr="00C705A4">
        <w:rPr>
          <w:rFonts w:ascii="Times New Roman" w:hAnsi="Times New Roman"/>
          <w:lang w:val="lt-LT"/>
        </w:rPr>
        <w:t xml:space="preserve"> 70 mg table</w:t>
      </w:r>
      <w:r w:rsidRPr="002D358F">
        <w:rPr>
          <w:rFonts w:ascii="Times New Roman" w:eastAsia="Times New Roman" w:hAnsi="Times New Roman" w:cs="Times New Roman"/>
          <w:snapToGrid w:val="0"/>
          <w:szCs w:val="20"/>
          <w:lang w:val="en-GB"/>
        </w:rPr>
        <w:t>tės suvartojimo;</w:t>
      </w:r>
    </w:p>
    <w:p w14:paraId="658F1592" w14:textId="77777777" w:rsidR="002D358F" w:rsidRPr="00C705A4" w:rsidRDefault="002D358F" w:rsidP="002D358F">
      <w:pPr>
        <w:numPr>
          <w:ilvl w:val="0"/>
          <w:numId w:val="6"/>
        </w:numPr>
        <w:tabs>
          <w:tab w:val="left" w:pos="567"/>
        </w:tabs>
        <w:spacing w:after="0" w:line="260" w:lineRule="exact"/>
        <w:ind w:left="567" w:hanging="567"/>
        <w:rPr>
          <w:rFonts w:ascii="Times New Roman" w:hAnsi="Times New Roman"/>
          <w:lang w:val="lt-LT"/>
        </w:rPr>
      </w:pPr>
      <w:r w:rsidRPr="00C705A4">
        <w:rPr>
          <w:rFonts w:ascii="Times New Roman" w:hAnsi="Times New Roman"/>
          <w:lang w:val="lt-LT"/>
        </w:rPr>
        <w:t>alendronat</w:t>
      </w:r>
      <w:r w:rsidRPr="002D358F">
        <w:rPr>
          <w:rFonts w:ascii="Times New Roman" w:eastAsia="Times New Roman" w:hAnsi="Times New Roman" w:cs="Times New Roman"/>
          <w:snapToGrid w:val="0"/>
          <w:szCs w:val="20"/>
          <w:lang w:val="en-GB"/>
        </w:rPr>
        <w:t>o</w:t>
      </w:r>
      <w:r w:rsidRPr="00C705A4">
        <w:rPr>
          <w:rFonts w:ascii="Times New Roman" w:hAnsi="Times New Roman"/>
          <w:lang w:val="lt-LT"/>
        </w:rPr>
        <w:t xml:space="preserve"> 70 mg tablečių negalima vartoti prieš einant miegoti arba prieš atsikeliant iš lovos.</w:t>
      </w:r>
    </w:p>
    <w:p w14:paraId="3D3B6C83" w14:textId="77777777" w:rsidR="002D358F" w:rsidRPr="00C705A4" w:rsidRDefault="002D358F" w:rsidP="002D358F">
      <w:pPr>
        <w:tabs>
          <w:tab w:val="left" w:pos="567"/>
        </w:tabs>
        <w:spacing w:after="0" w:line="260" w:lineRule="exact"/>
        <w:rPr>
          <w:rFonts w:ascii="Times New Roman" w:hAnsi="Times New Roman"/>
          <w:lang w:val="lt-LT"/>
        </w:rPr>
      </w:pPr>
    </w:p>
    <w:p w14:paraId="2BBEBBB4"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Kalcis/kolekalciferolis</w:t>
      </w:r>
    </w:p>
    <w:p w14:paraId="4F33A143"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Tabletę išgerti užgeriant vandeniu, visą, nesmulkintą ir nepadalytą.</w:t>
      </w:r>
    </w:p>
    <w:p w14:paraId="0ABE5C03" w14:textId="77777777" w:rsidR="002D358F" w:rsidRPr="00C705A4" w:rsidRDefault="002D358F" w:rsidP="002D358F">
      <w:pPr>
        <w:tabs>
          <w:tab w:val="left" w:pos="567"/>
        </w:tabs>
        <w:spacing w:after="0" w:line="260" w:lineRule="exact"/>
        <w:rPr>
          <w:rFonts w:ascii="Times New Roman" w:hAnsi="Times New Roman"/>
          <w:lang w:val="lt-LT"/>
        </w:rPr>
      </w:pPr>
    </w:p>
    <w:p w14:paraId="43DC9C4E"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4.3</w:t>
      </w:r>
      <w:r w:rsidRPr="00C705A4">
        <w:rPr>
          <w:rFonts w:ascii="Times New Roman" w:hAnsi="Times New Roman"/>
          <w:b/>
          <w:lang w:val="lt-LT"/>
        </w:rPr>
        <w:tab/>
        <w:t>Kontraindikacijos</w:t>
      </w:r>
    </w:p>
    <w:p w14:paraId="0165458A" w14:textId="77777777" w:rsidR="002D358F" w:rsidRPr="00C705A4" w:rsidRDefault="002D358F" w:rsidP="002D358F">
      <w:pPr>
        <w:tabs>
          <w:tab w:val="left" w:pos="567"/>
        </w:tabs>
        <w:spacing w:after="0" w:line="260" w:lineRule="exact"/>
        <w:rPr>
          <w:rFonts w:ascii="Times New Roman" w:hAnsi="Times New Roman"/>
          <w:lang w:val="lt-LT"/>
        </w:rPr>
      </w:pPr>
    </w:p>
    <w:p w14:paraId="25297382"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Stemplės anomalijos ir kiti veiksniai, dėl kurių uždelsiamas stemplės ištuštinimas, pavyzdžiui, striktūra (susiaurėjimas) arba achalazija (neatsidarantis stemplės apatinis raukas);</w:t>
      </w:r>
    </w:p>
    <w:p w14:paraId="42411ACB"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Negebėjimas stovėti arba sėdėti vertikalioje padėtyje mažiausiai 30 minučių;</w:t>
      </w:r>
    </w:p>
    <w:p w14:paraId="56ADB78C"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Sunkus inkstų nepakankamumas;</w:t>
      </w:r>
    </w:p>
    <w:p w14:paraId="61675744"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Hipokalcemija;</w:t>
      </w:r>
    </w:p>
    <w:p w14:paraId="548BAAA3"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Ligos ir (arba) būklės, dėl kurių atsiranda hiperkalcemija ir (arba) hiperkalciurija;</w:t>
      </w:r>
    </w:p>
    <w:p w14:paraId="0D1E0E61"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Inkstų akmenligė;</w:t>
      </w:r>
    </w:p>
    <w:p w14:paraId="551A4693"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D hipervitaminozė;</w:t>
      </w:r>
    </w:p>
    <w:p w14:paraId="6C125D1A"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Padidėjęs jautrumas veikliosi</w:t>
      </w:r>
      <w:r w:rsidRPr="002D358F">
        <w:rPr>
          <w:rFonts w:ascii="Times New Roman" w:eastAsia="Times New Roman" w:hAnsi="Times New Roman" w:cs="Times New Roman"/>
          <w:snapToGrid w:val="0"/>
          <w:szCs w:val="20"/>
          <w:lang w:val="en-GB"/>
        </w:rPr>
        <w:t>oms medžiagoms arba bet kuriai pagalbinei medžiagai.</w:t>
      </w:r>
    </w:p>
    <w:p w14:paraId="178A9746" w14:textId="77777777" w:rsidR="002D358F" w:rsidRPr="00C705A4" w:rsidRDefault="002D358F" w:rsidP="002D358F">
      <w:pPr>
        <w:tabs>
          <w:tab w:val="left" w:pos="567"/>
        </w:tabs>
        <w:spacing w:after="0" w:line="260" w:lineRule="exact"/>
        <w:rPr>
          <w:rFonts w:ascii="Times New Roman" w:hAnsi="Times New Roman"/>
          <w:lang w:val="lt-LT"/>
        </w:rPr>
      </w:pPr>
    </w:p>
    <w:p w14:paraId="3ADA106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Taip pat žiūrėkite 4.4 skyrių.</w:t>
      </w:r>
    </w:p>
    <w:p w14:paraId="5AB40D31" w14:textId="77777777" w:rsidR="002D358F" w:rsidRPr="00C705A4" w:rsidRDefault="002D358F" w:rsidP="002D358F">
      <w:pPr>
        <w:tabs>
          <w:tab w:val="left" w:pos="567"/>
        </w:tabs>
        <w:spacing w:after="0" w:line="260" w:lineRule="exact"/>
        <w:rPr>
          <w:rFonts w:ascii="Times New Roman" w:hAnsi="Times New Roman"/>
          <w:lang w:val="lt-LT"/>
        </w:rPr>
      </w:pPr>
    </w:p>
    <w:p w14:paraId="486AFF78"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4.4</w:t>
      </w:r>
      <w:r w:rsidRPr="00C705A4">
        <w:rPr>
          <w:rFonts w:ascii="Times New Roman" w:hAnsi="Times New Roman"/>
          <w:b/>
          <w:lang w:val="lt-LT"/>
        </w:rPr>
        <w:tab/>
        <w:t>Specialūs įspėjimai ir atsargumo priemonės</w:t>
      </w:r>
    </w:p>
    <w:p w14:paraId="4BD7834C" w14:textId="77777777" w:rsidR="002D358F" w:rsidRPr="00C705A4" w:rsidRDefault="002D358F" w:rsidP="002D358F">
      <w:pPr>
        <w:tabs>
          <w:tab w:val="left" w:pos="567"/>
        </w:tabs>
        <w:spacing w:after="0" w:line="260" w:lineRule="exact"/>
        <w:rPr>
          <w:rFonts w:ascii="Times New Roman" w:hAnsi="Times New Roman"/>
          <w:lang w:val="lt-LT"/>
        </w:rPr>
      </w:pPr>
    </w:p>
    <w:p w14:paraId="25D4D93F"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Nepageidaujami virškinimo trakto reiškiniai</w:t>
      </w:r>
    </w:p>
    <w:p w14:paraId="719F092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Alendronatas gali sukelti vietinį viršutinės virškinamojo trakto dalies gleivinės sudirginimą. Kadangi gali pablogėti esama liga, alendronatą turi atsargiai vartoti pacientai, turintys aktyvių viršutinės virškinamojo trakto dalies sutrikimų, pavyzdžiui, sergantys disfagija, stemplės liga, gastritu, duodenitu, opomis, arba neseniai sirgę (per ankstesnius metus) rimta virškinamojo trakto liga, pavyzdžiui, pepsine opalige, taip pat jei kraujuojama iš virškinamojo trakto arba buvo atlikta viršutinės virškinamojo trakto dalies operacija, bet ne piloroplastika (žr. 4.3 skyrių). Skir</w:t>
      </w:r>
      <w:r w:rsidRPr="002D358F">
        <w:rPr>
          <w:rFonts w:ascii="Times New Roman" w:eastAsia="Times New Roman" w:hAnsi="Times New Roman" w:cs="Times New Roman"/>
          <w:snapToGrid w:val="0"/>
          <w:szCs w:val="20"/>
          <w:lang w:val="en-GB"/>
        </w:rPr>
        <w:t>dami alendronatą</w:t>
      </w:r>
      <w:r w:rsidRPr="00C705A4">
        <w:rPr>
          <w:rFonts w:ascii="Times New Roman" w:hAnsi="Times New Roman"/>
          <w:lang w:val="lt-LT"/>
        </w:rPr>
        <w:t xml:space="preserve"> pacientams</w:t>
      </w:r>
      <w:r w:rsidRPr="002D358F">
        <w:rPr>
          <w:rFonts w:ascii="Times New Roman" w:eastAsia="Times New Roman" w:hAnsi="Times New Roman" w:cs="Times New Roman"/>
          <w:snapToGrid w:val="0"/>
          <w:szCs w:val="20"/>
          <w:lang w:val="en-GB"/>
        </w:rPr>
        <w:t>, kuriems nustatyta patologija, vadinama Bareto stemple, gydytojai turi</w:t>
      </w:r>
      <w:r w:rsidRPr="00C705A4">
        <w:rPr>
          <w:rFonts w:ascii="Times New Roman" w:hAnsi="Times New Roman"/>
          <w:lang w:val="lt-LT"/>
        </w:rPr>
        <w:t xml:space="preserve"> individualiai kiekvienam pacientui įvertinti alendronato naudą ir galim</w:t>
      </w:r>
      <w:r w:rsidRPr="002D358F">
        <w:rPr>
          <w:rFonts w:ascii="Times New Roman" w:eastAsia="Times New Roman" w:hAnsi="Times New Roman" w:cs="Times New Roman"/>
          <w:snapToGrid w:val="0"/>
          <w:szCs w:val="20"/>
          <w:lang w:val="en-GB"/>
        </w:rPr>
        <w:t>ą</w:t>
      </w:r>
      <w:r w:rsidRPr="00C705A4">
        <w:rPr>
          <w:rFonts w:ascii="Times New Roman" w:hAnsi="Times New Roman"/>
          <w:lang w:val="lt-LT"/>
        </w:rPr>
        <w:t xml:space="preserve"> rizik</w:t>
      </w:r>
      <w:r w:rsidRPr="002D358F">
        <w:rPr>
          <w:rFonts w:ascii="Times New Roman" w:eastAsia="Times New Roman" w:hAnsi="Times New Roman" w:cs="Times New Roman"/>
          <w:snapToGrid w:val="0"/>
          <w:szCs w:val="20"/>
          <w:lang w:val="en-GB"/>
        </w:rPr>
        <w:t>ą</w:t>
      </w:r>
      <w:r w:rsidRPr="00C705A4">
        <w:rPr>
          <w:rFonts w:ascii="Times New Roman" w:hAnsi="Times New Roman"/>
          <w:lang w:val="lt-LT"/>
        </w:rPr>
        <w:t>.</w:t>
      </w:r>
    </w:p>
    <w:p w14:paraId="7D2FBB2A" w14:textId="77777777" w:rsidR="002D358F" w:rsidRPr="00C705A4" w:rsidRDefault="002D358F" w:rsidP="002D358F">
      <w:pPr>
        <w:tabs>
          <w:tab w:val="left" w:pos="567"/>
        </w:tabs>
        <w:spacing w:after="0" w:line="260" w:lineRule="exact"/>
        <w:rPr>
          <w:rFonts w:ascii="Times New Roman" w:hAnsi="Times New Roman"/>
          <w:lang w:val="lt-LT"/>
        </w:rPr>
      </w:pPr>
    </w:p>
    <w:p w14:paraId="2B2C46E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Yra aprašyta pacientų, vartojančių alendronatą, stemplės reakcijų (kartais jos būna sunkios ir pacientus reikia hospitalizuoti), pvz., ezofagitas, stemplės opos ir stemplės erozijos, po kurių retais atvejais susidaro stemplės striktūros (susiaurėjimas). Todėl gydytojai turėtų būti budrūs ir atkreipti dėmesį į bet kokius galimos stemplės reakcijos požymius ar simptomus. Reikia pacientams paaiškinti, kad atsiradus stemplės sudirginimo simptomų, pvz., disfagijai, skausmui ryjant arba skausmui už krūtinkaulio, naujai kilusiam arba sustiprėjusiam rėmeniui, būtina nutraukti alendronato vartojimą ir kreiptis į gydytoją.</w:t>
      </w:r>
    </w:p>
    <w:p w14:paraId="5CA8BD25" w14:textId="77777777" w:rsidR="002D358F" w:rsidRPr="00C705A4" w:rsidRDefault="002D358F" w:rsidP="002D358F">
      <w:pPr>
        <w:tabs>
          <w:tab w:val="left" w:pos="567"/>
        </w:tabs>
        <w:spacing w:after="0" w:line="260" w:lineRule="exact"/>
        <w:rPr>
          <w:rFonts w:ascii="Times New Roman" w:hAnsi="Times New Roman"/>
          <w:lang w:val="lt-LT"/>
        </w:rPr>
      </w:pPr>
    </w:p>
    <w:p w14:paraId="506D1B3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Sunkaus nepageidaujamo poveikio stemplei rizika atrodo esanti didesnė tiems pacientams, kurie alendronatą vartoja netinkamai ir (arba) kurie tęsia alendronato vartojimą ir tuomet, kai atsiranda simptomų, leidžiančių įtarti stemplės sudirginimą. Labai svarbu, kad pacientui būtų pateiktos išsamios vaisto vartojimo instrukcijos ir kad jis jas suprastų (žr. 4.2 skyrių). </w:t>
      </w:r>
      <w:r w:rsidRPr="002D358F">
        <w:rPr>
          <w:rFonts w:ascii="Times New Roman" w:eastAsia="Times New Roman" w:hAnsi="Times New Roman" w:cs="Times New Roman"/>
          <w:snapToGrid w:val="0"/>
          <w:szCs w:val="20"/>
          <w:lang w:val="en-GB"/>
        </w:rPr>
        <w:t>Pacientus būtina informuoti, kad šių instrukcijų nesilaikymas gali padidinti poveikio</w:t>
      </w:r>
      <w:r w:rsidRPr="00C705A4">
        <w:rPr>
          <w:rFonts w:ascii="Times New Roman" w:hAnsi="Times New Roman"/>
          <w:lang w:val="lt-LT"/>
        </w:rPr>
        <w:t xml:space="preserve"> stemplei riziką.</w:t>
      </w:r>
    </w:p>
    <w:p w14:paraId="04BAFB75" w14:textId="77777777" w:rsidR="002D358F" w:rsidRPr="00C705A4" w:rsidRDefault="002D358F" w:rsidP="002D358F">
      <w:pPr>
        <w:tabs>
          <w:tab w:val="left" w:pos="567"/>
        </w:tabs>
        <w:spacing w:after="0" w:line="260" w:lineRule="exact"/>
        <w:rPr>
          <w:rFonts w:ascii="Times New Roman" w:hAnsi="Times New Roman"/>
          <w:lang w:val="lt-LT"/>
        </w:rPr>
      </w:pPr>
    </w:p>
    <w:p w14:paraId="144D7A7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Nors didelės apimties klinikiniuose tyrimuose padidėjusios rizikos nepastebėta, retais atvejais pateikta pranešimų (preparatu jau pradėjus prekiauti rinkoje) apie skrandžio ir dvylikapirštės žarnos opas, kartais sunkias ir komplikuotas.</w:t>
      </w:r>
    </w:p>
    <w:p w14:paraId="7B60F615" w14:textId="77777777" w:rsidR="002D358F" w:rsidRPr="00C705A4" w:rsidRDefault="002D358F" w:rsidP="002D358F">
      <w:pPr>
        <w:tabs>
          <w:tab w:val="left" w:pos="567"/>
        </w:tabs>
        <w:spacing w:after="0" w:line="260" w:lineRule="exact"/>
        <w:rPr>
          <w:rFonts w:ascii="Times New Roman" w:hAnsi="Times New Roman"/>
          <w:lang w:val="lt-LT"/>
        </w:rPr>
      </w:pPr>
    </w:p>
    <w:p w14:paraId="51CD7A51"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Inkstų funkcija</w:t>
      </w:r>
    </w:p>
    <w:p w14:paraId="52DA4479"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Alendronato nerekomenduojama vartoti inkstų funkcijos sutrikimu sergantiems pacientams, kai GFG yra mažesnis kaip 35 ml/min. (žr. 4.2 skyrių).</w:t>
      </w:r>
    </w:p>
    <w:p w14:paraId="1A81C800" w14:textId="77777777" w:rsidR="002D358F" w:rsidRPr="00C705A4" w:rsidRDefault="002D358F" w:rsidP="002D358F">
      <w:pPr>
        <w:tabs>
          <w:tab w:val="left" w:pos="567"/>
        </w:tabs>
        <w:spacing w:after="0" w:line="260" w:lineRule="exact"/>
        <w:rPr>
          <w:rFonts w:ascii="Times New Roman" w:hAnsi="Times New Roman"/>
          <w:lang w:val="lt-LT"/>
        </w:rPr>
      </w:pPr>
    </w:p>
    <w:p w14:paraId="7FE26D0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Pacientai, kurių inkstų funkcija sutrikusi, vitaminą D turi vartoti atsargiai, reikia stebėti poveikį kalcio ir fosfato koncentracijai kraujyje. Reikia atsižvelgti į minkštųjų audinių kalcifikacijos riziką. Pacientams, sergantiems sunkiu inkstų nepakankamumu, vitaminas D kolekalciferolio forma normaliai nemetabolizuojamas, todėl reikia vartoti kitų formų vitaminą D (žr. 4.3 skyrių).</w:t>
      </w:r>
    </w:p>
    <w:p w14:paraId="2C7CCABB" w14:textId="77777777" w:rsidR="002D358F" w:rsidRPr="00C705A4" w:rsidRDefault="002D358F" w:rsidP="002D358F">
      <w:pPr>
        <w:tabs>
          <w:tab w:val="left" w:pos="567"/>
        </w:tabs>
        <w:spacing w:after="0" w:line="260" w:lineRule="exact"/>
        <w:rPr>
          <w:rFonts w:ascii="Times New Roman" w:hAnsi="Times New Roman"/>
          <w:lang w:val="lt-LT"/>
        </w:rPr>
      </w:pPr>
    </w:p>
    <w:p w14:paraId="4A7A3C14"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Ilgalaikio gydymo metu reikia stebėti kalcio koncentraciją kraujyje ir inkstų funkciją, atliekant serumo kreatinino tyrimus. Stebėjimas ypač svarbus senyviems pacientams, tuo pačiu metu gydomiems širdį veikiančiais glikozidais ar diuretikais (žr. 4.5 skyrių), ir pacientams, turintiems akmenų formavimosi polinkį. Esant hiperkalciurijai (kai kalcio išskiriama daugiau kaip 300 mg (7,5 mmol)/24 val.) arba sutrikusios inkstų funkcijos požymių, preparato dozę reikia mažinti arba gydymą Tridepos nutraukti.</w:t>
      </w:r>
    </w:p>
    <w:p w14:paraId="4E5FA46E" w14:textId="77777777" w:rsidR="002D358F" w:rsidRPr="00C705A4" w:rsidRDefault="002D358F" w:rsidP="002D358F">
      <w:pPr>
        <w:tabs>
          <w:tab w:val="left" w:pos="567"/>
        </w:tabs>
        <w:spacing w:after="0" w:line="260" w:lineRule="exact"/>
        <w:rPr>
          <w:rFonts w:ascii="Times New Roman" w:hAnsi="Times New Roman"/>
          <w:lang w:val="lt-LT"/>
        </w:rPr>
      </w:pPr>
    </w:p>
    <w:p w14:paraId="4633EFA5"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Kalcio koncentracija</w:t>
      </w:r>
    </w:p>
    <w:p w14:paraId="517D650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Prieš pradedant gydymą alendronatu, būtina koreguoti hipokalcemiją (žr. 4.3 skyrių). Taip pat reikia veiksmingai gydyti kitus sutrikimus, paveikiančius mineralų metabolizmą (pvz., vitamino D stoką ir hipoparatirozę). Gydymo Tridepos laikotarpiu reikia stebėti šiuos sutrikimus turinčių pacientų kalcio koncentraciją kraujo serume ir hipokalcemijos simptomus.</w:t>
      </w:r>
    </w:p>
    <w:p w14:paraId="529ABB4D" w14:textId="77777777" w:rsidR="002D358F" w:rsidRPr="00C705A4" w:rsidRDefault="002D358F" w:rsidP="002D358F">
      <w:pPr>
        <w:tabs>
          <w:tab w:val="left" w:pos="567"/>
        </w:tabs>
        <w:spacing w:after="0" w:line="260" w:lineRule="exact"/>
        <w:rPr>
          <w:rFonts w:ascii="Times New Roman" w:hAnsi="Times New Roman"/>
          <w:b/>
          <w:lang w:val="lt-LT"/>
        </w:rPr>
      </w:pPr>
    </w:p>
    <w:p w14:paraId="1510646C"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Dėl teigiamo alendronato poveikio didinant kaulų mineralų kiekį, gali sumažėti kalcio ir fosfatų kiekis kraujo serume, ypač pacientams, kurie vartoja gliukokortikoidus ir dėl to jų organizme gali būti sumažėjusi kalcio absorbcija. Paprastai šis sumažėjimas esti nedidelis ir besimptomis. Tačiau yra aprašyta retų simptominės hipokalcemijos atvejų, jie retkarčiais gali būti sunkūs ir dažniau pasireiškia pacientams, turintiems predisponuojančių sutrikimų (pvz., esant hipoparatirozei, vitamino D stokai ir kalcio malabsorbcijai).</w:t>
      </w:r>
    </w:p>
    <w:p w14:paraId="30E948D8" w14:textId="77777777" w:rsidR="002D358F" w:rsidRPr="00C705A4" w:rsidRDefault="002D358F" w:rsidP="002D358F">
      <w:pPr>
        <w:tabs>
          <w:tab w:val="left" w:pos="567"/>
        </w:tabs>
        <w:spacing w:after="0" w:line="260" w:lineRule="exact"/>
        <w:rPr>
          <w:rFonts w:ascii="Times New Roman" w:hAnsi="Times New Roman"/>
          <w:b/>
          <w:lang w:val="lt-LT"/>
        </w:rPr>
      </w:pPr>
    </w:p>
    <w:p w14:paraId="009C567F"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lastRenderedPageBreak/>
        <w:t>Pacientams, vartojantiems gliukokortikoidus, ypač svarbu užtikrinti tinkamą kalcio ir vitamino D kiekio suvartojimą.</w:t>
      </w:r>
    </w:p>
    <w:p w14:paraId="08AEF951" w14:textId="77777777" w:rsidR="002D358F" w:rsidRPr="00C705A4" w:rsidRDefault="002D358F" w:rsidP="002D358F">
      <w:pPr>
        <w:tabs>
          <w:tab w:val="left" w:pos="567"/>
        </w:tabs>
        <w:spacing w:after="0" w:line="260" w:lineRule="exact"/>
        <w:rPr>
          <w:rFonts w:ascii="Times New Roman" w:hAnsi="Times New Roman"/>
          <w:b/>
          <w:lang w:val="lt-LT"/>
        </w:rPr>
      </w:pPr>
    </w:p>
    <w:p w14:paraId="3B9F4E3A"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Kalcio/kolekalciferolio tabletes reikia atsargiai skirti pacientams, sergantiems sarkoidoze, dėl padidėjusio vitamino D metabolizmo į jo aktyvią formą rizikos. </w:t>
      </w:r>
      <w:r w:rsidRPr="002D358F">
        <w:rPr>
          <w:rFonts w:ascii="Times New Roman" w:eastAsia="Times New Roman" w:hAnsi="Times New Roman" w:cs="Times New Roman"/>
          <w:snapToGrid w:val="0"/>
          <w:szCs w:val="20"/>
          <w:lang w:val="en-GB"/>
        </w:rPr>
        <w:t>Šiuos pacientus reikia stebėti ir matuoti kalcio koncentraciją kraujo serume ir šlapime.</w:t>
      </w:r>
    </w:p>
    <w:p w14:paraId="6988D614" w14:textId="77777777" w:rsidR="002D358F" w:rsidRPr="00C705A4" w:rsidRDefault="002D358F" w:rsidP="002D358F">
      <w:pPr>
        <w:tabs>
          <w:tab w:val="left" w:pos="567"/>
        </w:tabs>
        <w:spacing w:after="0" w:line="260" w:lineRule="exact"/>
        <w:rPr>
          <w:rFonts w:ascii="Times New Roman" w:hAnsi="Times New Roman"/>
          <w:lang w:val="lt-LT"/>
        </w:rPr>
      </w:pPr>
    </w:p>
    <w:p w14:paraId="4189BF0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Kalcio/kolekalciferolio tabletes turi atsargiai vartoti nejudantys osteoporozės pacientai, nes jiems gresia didesnė hiperkalcemijos rizika.</w:t>
      </w:r>
    </w:p>
    <w:p w14:paraId="5C72D38C" w14:textId="77777777" w:rsidR="002D358F" w:rsidRPr="00C705A4" w:rsidRDefault="002D358F" w:rsidP="002D358F">
      <w:pPr>
        <w:tabs>
          <w:tab w:val="left" w:pos="567"/>
        </w:tabs>
        <w:spacing w:after="0" w:line="260" w:lineRule="exact"/>
        <w:rPr>
          <w:rFonts w:ascii="Times New Roman" w:hAnsi="Times New Roman"/>
          <w:lang w:val="lt-LT"/>
        </w:rPr>
      </w:pPr>
    </w:p>
    <w:p w14:paraId="3C2A97CC"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Skiriant kitus</w:t>
      </w:r>
      <w:r w:rsidRPr="002D358F">
        <w:rPr>
          <w:rFonts w:ascii="Times New Roman" w:eastAsia="Times New Roman" w:hAnsi="Times New Roman" w:cs="Times New Roman"/>
          <w:snapToGrid w:val="0"/>
          <w:szCs w:val="20"/>
          <w:lang w:val="en-GB"/>
        </w:rPr>
        <w:t xml:space="preserve"> vaistinius preparatus, kurių sudėtyje yra vitamino D, reikia atsižvelgti į vitamino D kiekį (800 TV) kalcio/kolekalciferolio tabletėse. Papildomas kalcio ar vitamino D dozes galima vartoti tik atidžiai prižiūrint gydytojui. Šiais atvejais būtina dažnai matuoti kalcio koncentraciją kraujo serume ir kalcio išskyrimą su šlapimu.</w:t>
      </w:r>
    </w:p>
    <w:p w14:paraId="490E4334" w14:textId="77777777" w:rsidR="002D358F" w:rsidRPr="00C705A4" w:rsidRDefault="002D358F" w:rsidP="002D358F">
      <w:pPr>
        <w:tabs>
          <w:tab w:val="left" w:pos="567"/>
        </w:tabs>
        <w:spacing w:after="0" w:line="260" w:lineRule="exact"/>
        <w:rPr>
          <w:rFonts w:ascii="Times New Roman" w:hAnsi="Times New Roman"/>
          <w:lang w:val="lt-LT"/>
        </w:rPr>
      </w:pPr>
    </w:p>
    <w:p w14:paraId="4334F06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u w:val="single"/>
          <w:lang w:val="en-GB"/>
        </w:rPr>
      </w:pPr>
      <w:r w:rsidRPr="00C705A4">
        <w:rPr>
          <w:rFonts w:ascii="Times New Roman" w:hAnsi="Times New Roman"/>
          <w:u w:val="single"/>
          <w:lang w:val="lt-LT"/>
        </w:rPr>
        <w:t>Apatinio žandikaulio osteonekrozė ir išorinis klausos kanalas</w:t>
      </w:r>
    </w:p>
    <w:p w14:paraId="60F7FA22" w14:textId="77777777" w:rsidR="002D358F" w:rsidRPr="00C705A4" w:rsidRDefault="002D358F" w:rsidP="002D358F">
      <w:pPr>
        <w:tabs>
          <w:tab w:val="left" w:pos="567"/>
        </w:tabs>
        <w:spacing w:after="0" w:line="260" w:lineRule="exact"/>
        <w:rPr>
          <w:rFonts w:ascii="Times New Roman" w:hAnsi="Times New Roman"/>
          <w:b/>
          <w:lang w:val="lt-LT"/>
        </w:rPr>
      </w:pPr>
    </w:p>
    <w:p w14:paraId="2443CC3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Yra aprašyta pacientų, sergančių vėžiu ir gaunančių gydymą, apimantį pirmiausia į veną skiriamus bisfosfonatus, apatinio žandikaulio osteonekrozės atvejų, paprastai susijusių su dantų ištraukimu ir (arba) vietine infekcija (įskaitant osteomielitą). </w:t>
      </w:r>
      <w:r w:rsidRPr="002D358F">
        <w:rPr>
          <w:rFonts w:ascii="Times New Roman" w:eastAsia="Times New Roman" w:hAnsi="Times New Roman" w:cs="Times New Roman"/>
          <w:snapToGrid w:val="0"/>
          <w:szCs w:val="20"/>
          <w:lang w:val="en-GB"/>
        </w:rPr>
        <w:t>Dauguma šių pacientų taip pat buvo gydomi chemoterapija ir kortikosteroidais. T</w:t>
      </w:r>
      <w:r w:rsidRPr="00C705A4">
        <w:rPr>
          <w:rFonts w:ascii="Times New Roman" w:hAnsi="Times New Roman"/>
          <w:lang w:val="lt-LT"/>
        </w:rPr>
        <w:t>aip pat aprašyt</w:t>
      </w:r>
      <w:r w:rsidRPr="002D358F">
        <w:rPr>
          <w:rFonts w:ascii="Times New Roman" w:eastAsia="Times New Roman" w:hAnsi="Times New Roman" w:cs="Times New Roman"/>
          <w:snapToGrid w:val="0"/>
          <w:szCs w:val="20"/>
          <w:lang w:val="en-GB"/>
        </w:rPr>
        <w:t>a</w:t>
      </w:r>
      <w:r w:rsidRPr="00C705A4">
        <w:rPr>
          <w:rFonts w:ascii="Times New Roman" w:hAnsi="Times New Roman"/>
          <w:lang w:val="lt-LT"/>
        </w:rPr>
        <w:t xml:space="preserve"> osteoporoze</w:t>
      </w:r>
      <w:r w:rsidRPr="002D358F">
        <w:rPr>
          <w:rFonts w:ascii="Times New Roman" w:eastAsia="Times New Roman" w:hAnsi="Times New Roman" w:cs="Times New Roman"/>
          <w:snapToGrid w:val="0"/>
          <w:szCs w:val="20"/>
          <w:lang w:val="en-GB"/>
        </w:rPr>
        <w:t xml:space="preserve"> sergančių ir geriamuosius bisfosfonatus vartojančių pacientų apatinio žandikaulio nekrozės atvejų</w:t>
      </w:r>
      <w:r w:rsidRPr="00C705A4">
        <w:rPr>
          <w:rFonts w:ascii="Times New Roman" w:hAnsi="Times New Roman"/>
          <w:lang w:val="lt-LT"/>
        </w:rPr>
        <w:t>.</w:t>
      </w:r>
    </w:p>
    <w:p w14:paraId="57FDEFA2" w14:textId="77777777" w:rsidR="002D358F" w:rsidRPr="00C705A4" w:rsidRDefault="002D358F" w:rsidP="002D358F">
      <w:pPr>
        <w:tabs>
          <w:tab w:val="left" w:pos="567"/>
        </w:tabs>
        <w:spacing w:after="0" w:line="260" w:lineRule="exact"/>
        <w:rPr>
          <w:rFonts w:ascii="Times New Roman" w:hAnsi="Times New Roman"/>
          <w:lang w:val="lt-LT"/>
        </w:rPr>
      </w:pPr>
    </w:p>
    <w:p w14:paraId="43DF06A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Vertinant pacientui kylančią apatinio žandikaulio osteonekrozės atsiradimo riziką, reikia apsvarstyti šiuos rizikos veiksnius:</w:t>
      </w:r>
    </w:p>
    <w:p w14:paraId="5E0EDE40"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anti-rezorbcinių preparatų stiprumas, vartojimo būdas (žr. pirmiau) ir kaupiamoji (kumuliacinė) dozė;</w:t>
      </w:r>
    </w:p>
    <w:p w14:paraId="7B71362E" w14:textId="77777777" w:rsidR="002D358F" w:rsidRPr="00C705A4" w:rsidRDefault="002D358F" w:rsidP="002D358F">
      <w:pPr>
        <w:numPr>
          <w:ilvl w:val="0"/>
          <w:numId w:val="6"/>
        </w:numPr>
        <w:tabs>
          <w:tab w:val="left" w:pos="567"/>
        </w:tabs>
        <w:spacing w:after="0" w:line="260" w:lineRule="exact"/>
        <w:ind w:left="567" w:hanging="567"/>
        <w:rPr>
          <w:rFonts w:ascii="Calibri" w:hAnsi="Calibri"/>
          <w:lang w:val="lt-LT"/>
        </w:rPr>
      </w:pPr>
      <w:r w:rsidRPr="00C705A4">
        <w:rPr>
          <w:rFonts w:ascii="Times New Roman" w:hAnsi="Times New Roman"/>
          <w:lang w:val="lt-LT"/>
        </w:rPr>
        <w:t>vėžys, chemoterapij</w:t>
      </w:r>
      <w:r w:rsidRPr="002D358F">
        <w:rPr>
          <w:rFonts w:ascii="Times New Roman" w:eastAsia="Times New Roman" w:hAnsi="Times New Roman" w:cs="Times New Roman"/>
          <w:snapToGrid w:val="0"/>
          <w:szCs w:val="20"/>
          <w:lang w:val="en-GB"/>
        </w:rPr>
        <w:t>a</w:t>
      </w:r>
      <w:r w:rsidRPr="00C705A4">
        <w:rPr>
          <w:rFonts w:ascii="Times New Roman" w:hAnsi="Times New Roman"/>
          <w:lang w:val="lt-LT"/>
        </w:rPr>
        <w:t>, spindulin</w:t>
      </w:r>
      <w:r w:rsidRPr="002D358F">
        <w:rPr>
          <w:rFonts w:ascii="Times New Roman" w:eastAsia="Times New Roman" w:hAnsi="Times New Roman" w:cs="Times New Roman"/>
          <w:snapToGrid w:val="0"/>
          <w:szCs w:val="20"/>
          <w:lang w:val="en-GB"/>
        </w:rPr>
        <w:t>i</w:t>
      </w:r>
      <w:r w:rsidRPr="00C705A4">
        <w:rPr>
          <w:rFonts w:ascii="Times New Roman" w:hAnsi="Times New Roman"/>
          <w:lang w:val="lt-LT"/>
        </w:rPr>
        <w:t>s gydym</w:t>
      </w:r>
      <w:r w:rsidRPr="002D358F">
        <w:rPr>
          <w:rFonts w:ascii="Times New Roman" w:eastAsia="Times New Roman" w:hAnsi="Times New Roman" w:cs="Times New Roman"/>
          <w:snapToGrid w:val="0"/>
          <w:szCs w:val="20"/>
          <w:lang w:val="en-GB"/>
        </w:rPr>
        <w:t>as, kortikosteroidų vartojimas, rūkymas;</w:t>
      </w:r>
    </w:p>
    <w:p w14:paraId="4138895B" w14:textId="77777777" w:rsidR="002D358F" w:rsidRPr="00C705A4" w:rsidRDefault="002D358F" w:rsidP="002D358F">
      <w:pPr>
        <w:numPr>
          <w:ilvl w:val="0"/>
          <w:numId w:val="6"/>
        </w:numPr>
        <w:tabs>
          <w:tab w:val="left" w:pos="567"/>
        </w:tabs>
        <w:spacing w:after="0" w:line="260" w:lineRule="exact"/>
        <w:ind w:left="567" w:hanging="567"/>
        <w:rPr>
          <w:rFonts w:ascii="Times New Roman" w:hAnsi="Times New Roman"/>
          <w:lang w:val="lt-LT"/>
        </w:rPr>
      </w:pPr>
      <w:r w:rsidRPr="00C705A4">
        <w:rPr>
          <w:rFonts w:ascii="Times New Roman" w:hAnsi="Times New Roman"/>
          <w:lang w:val="lt-LT"/>
        </w:rPr>
        <w:t>ankstesnė dantų liga, nepakankama burnos higiena, periodontinė liga, invazinės dantų gydymo procedūros ir prastai pritaikyti dantų protezai.</w:t>
      </w:r>
    </w:p>
    <w:p w14:paraId="30FA51A2" w14:textId="77777777" w:rsidR="002D358F" w:rsidRPr="00C705A4" w:rsidRDefault="002D358F" w:rsidP="002D358F">
      <w:pPr>
        <w:tabs>
          <w:tab w:val="left" w:pos="567"/>
        </w:tabs>
        <w:spacing w:after="0" w:line="260" w:lineRule="exact"/>
        <w:rPr>
          <w:rFonts w:ascii="Times New Roman" w:hAnsi="Times New Roman"/>
          <w:lang w:val="lt-LT"/>
        </w:rPr>
      </w:pPr>
    </w:p>
    <w:p w14:paraId="0E1A8B1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Jei paciento dantų būklė prasta, prieš pradedant gydymą geriamaisiais bisfosfonatais reikia apsvarstyti dantų ištyrimo ir tinkamų prevencinių odontologinių priemonių taikymo galimybę.</w:t>
      </w:r>
    </w:p>
    <w:p w14:paraId="2B55F580" w14:textId="77777777" w:rsidR="002D358F" w:rsidRPr="00C705A4" w:rsidRDefault="002D358F" w:rsidP="002D358F">
      <w:pPr>
        <w:tabs>
          <w:tab w:val="left" w:pos="567"/>
        </w:tabs>
        <w:spacing w:after="0" w:line="260" w:lineRule="exact"/>
        <w:rPr>
          <w:rFonts w:ascii="Times New Roman" w:hAnsi="Times New Roman"/>
          <w:lang w:val="lt-LT"/>
        </w:rPr>
      </w:pPr>
    </w:p>
    <w:p w14:paraId="1BB7FFA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Gydantis šiems pacientams, jei įmanoma, reikėtų vengti invazinių dantų gydymo procedūrų. Pacientams, kuriems gydymosi bifosfonatais metu atsiranda apatinio žandikaulio osteonekrozė, dantų operacijos gali pabloginti būklę. Nėra duomenų, kad pacientams, kuriems reikia dantų gydymo procedūros, būtų galima patarti, ar gydymo bisfosfonatais nutraukimas sumažins apatinio žandikaulio osteonekrozės riziką. Konkrečiam pacientui gydymo planą turi parinkti gydantis gydytojas, remdamasis atskiru naudos ir rizikos santykio ir klinikinės situacijos vertinimu.</w:t>
      </w:r>
    </w:p>
    <w:p w14:paraId="7CD850F5" w14:textId="77777777" w:rsidR="002D358F" w:rsidRPr="00C705A4" w:rsidRDefault="002D358F" w:rsidP="002D358F">
      <w:pPr>
        <w:tabs>
          <w:tab w:val="left" w:pos="567"/>
        </w:tabs>
        <w:spacing w:after="0" w:line="260" w:lineRule="exact"/>
        <w:rPr>
          <w:rFonts w:ascii="Times New Roman" w:hAnsi="Times New Roman"/>
          <w:lang w:val="lt-LT"/>
        </w:rPr>
      </w:pPr>
    </w:p>
    <w:p w14:paraId="11A6C14A"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Gydymo bisfosfonatais laikotarpiu visus pacientus reikia skatinti laikytis geros burnos higienos, reguliariai tikrinti dantų būklę ir pranešti apie bet kokius su burna susijusius simptomus, pavyzdžiui, dantų judėjimą, skausmą ar patinimą.</w:t>
      </w:r>
    </w:p>
    <w:p w14:paraId="4551F824" w14:textId="77777777" w:rsidR="002D358F" w:rsidRPr="00C705A4" w:rsidRDefault="002D358F" w:rsidP="002D358F">
      <w:pPr>
        <w:tabs>
          <w:tab w:val="left" w:pos="567"/>
        </w:tabs>
        <w:spacing w:after="0" w:line="260" w:lineRule="exact"/>
        <w:rPr>
          <w:rFonts w:ascii="Times New Roman" w:hAnsi="Times New Roman"/>
          <w:lang w:val="lt-LT"/>
        </w:rPr>
      </w:pPr>
    </w:p>
    <w:p w14:paraId="74A9691F"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Buvo pranešimų apie išorinio klausos kanalo osteonekrozę, susijusią su ilgalaikiu gydymu bifosfonatais. Galimi išorinio klausos kanalo osteonekrozės rizikos faktoriai susiję su steroidų vartojimu ir chemoterapija ir/ar vietiniais rizikos faktoriais, tokiais kaip </w:t>
      </w:r>
      <w:r w:rsidRPr="00C705A4">
        <w:rPr>
          <w:rFonts w:ascii="Times New Roman" w:hAnsi="Times New Roman"/>
          <w:lang w:val="lt-LT"/>
        </w:rPr>
        <w:lastRenderedPageBreak/>
        <w:t xml:space="preserve">infekcija arba trauma.  Didesnė tikimybė išorinio klausos kanalo osteonekrozei išsivystyti yra pacientams vartojantiems bifosfonatus, kuriems yra ausų simptomai, įskaitant chroniškas ausų infekcijas. </w:t>
      </w:r>
    </w:p>
    <w:p w14:paraId="2232C79E" w14:textId="77777777" w:rsidR="002D358F" w:rsidRPr="00C705A4" w:rsidRDefault="002D358F" w:rsidP="002D358F">
      <w:pPr>
        <w:tabs>
          <w:tab w:val="left" w:pos="567"/>
        </w:tabs>
        <w:spacing w:after="0" w:line="260" w:lineRule="exact"/>
        <w:rPr>
          <w:rFonts w:ascii="Times New Roman" w:hAnsi="Times New Roman"/>
          <w:lang w:val="lt-LT"/>
        </w:rPr>
      </w:pPr>
    </w:p>
    <w:p w14:paraId="1120CDE5"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Atipiniai šlaunikaulio lūžiai</w:t>
      </w:r>
    </w:p>
    <w:p w14:paraId="3287875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Yra aprašyta, gydant bisfosfonatais, apie patirtus atipinių subgūbrinių ir šlaunikaulio diafizės lūžius, pirmiausia pacientams, kuriems skiriamas ilgalaikis osteoporozės gydymas. Šie skersiniai arba trumpi įstrižiniai lūžiai gali įvykti bet kur per visą šlaunikaulio ilgį: nuo srities iškart po mažesniuoju gūbriu iki srities iškart virš virškrumplinio išplatėjimo. Šie lūžiai atsiranda po menkiausios traumos ar net nesant traumos ir kai kuriems pacientams pasireiškia šlaunies arba kirkšnies skausmu, dažnai susijusiu su atliekant vaizdinius tyrimus matomais stresinių lūžių požymiais, atsirandančiais kelias savaites ar mėnesius iki visiško šlaunikaulio lūžio. Lūžiai dažnai esti abipusiai; todėl bisfosfonatais gydomiems pacientams, kuriems yra aptiktas ilgalaikis šlaunikaulio lūžis, būtina ištirti ir kitą šlaunikaulį. Taip pat gauta pranešimų apie prastą šių lūžių gijimą. Laukiant paciento ištyrimo, reikia apsvarstyti gydymo bisfosfonatais nutraukimą pacientams, kuriems įtariamas atipinis šlaunikaulio lūžis, remiantis individualiu naudos ir rizikos vertinimu.</w:t>
      </w:r>
    </w:p>
    <w:p w14:paraId="145FAA1D" w14:textId="77777777" w:rsidR="002D358F" w:rsidRPr="00C705A4" w:rsidRDefault="002D358F" w:rsidP="002D358F">
      <w:pPr>
        <w:tabs>
          <w:tab w:val="left" w:pos="567"/>
        </w:tabs>
        <w:spacing w:after="0" w:line="260" w:lineRule="exact"/>
        <w:rPr>
          <w:rFonts w:ascii="Times New Roman" w:hAnsi="Times New Roman"/>
          <w:lang w:val="lt-LT"/>
        </w:rPr>
      </w:pPr>
    </w:p>
    <w:p w14:paraId="350DD308"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Pacientams reikia patarti gydymo bisfosfonatais metu pranešti apie bet kokį šlaunies, klubo arba kirkšnies skausmą. Visus pacientus, kurie skundžiasi šiais simptomais, reikia ištirti dėl nevisiško šlaunikaulio lūžio.</w:t>
      </w:r>
    </w:p>
    <w:p w14:paraId="6E65B218" w14:textId="77777777" w:rsidR="002D358F" w:rsidRPr="00C705A4" w:rsidRDefault="002D358F" w:rsidP="002D358F">
      <w:pPr>
        <w:tabs>
          <w:tab w:val="left" w:pos="567"/>
        </w:tabs>
        <w:spacing w:after="0" w:line="260" w:lineRule="exact"/>
        <w:rPr>
          <w:rFonts w:ascii="Times New Roman" w:hAnsi="Times New Roman"/>
          <w:lang w:val="lt-LT"/>
        </w:rPr>
      </w:pPr>
    </w:p>
    <w:p w14:paraId="4E6E3AE7" w14:textId="77777777" w:rsidR="002D358F" w:rsidRPr="00C705A4" w:rsidRDefault="002D358F" w:rsidP="002D358F">
      <w:pPr>
        <w:tabs>
          <w:tab w:val="left" w:pos="567"/>
        </w:tabs>
        <w:spacing w:after="0" w:line="260" w:lineRule="exact"/>
        <w:rPr>
          <w:rFonts w:ascii="Calibri" w:hAnsi="Calibri"/>
          <w:u w:val="single"/>
          <w:lang w:val="lt-LT"/>
        </w:rPr>
      </w:pPr>
      <w:r w:rsidRPr="00C705A4">
        <w:rPr>
          <w:rFonts w:ascii="Times New Roman" w:hAnsi="Times New Roman"/>
          <w:u w:val="single"/>
          <w:lang w:val="lt-LT"/>
        </w:rPr>
        <w:t>Bendri įspėjimai</w:t>
      </w:r>
    </w:p>
    <w:p w14:paraId="75D6973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Yra aprašyta pacientų, vartojančių bisfosfonatus, patiriamo kaulų, sąnarių ir (arba) raumenų skausmo atvejų. Preparatui jau patekus į rinką, šie simptomai retais atvejais buvo sunkūs ir (arba) luošinantys (žr. 4.8 skyrių). Simptomų pradžios laikas svyravo nuo vienos dienos iki kelių mėnesių nuo gydymo pradžios. Daugumai pacientų po gydymo nutraukimo simptomai susilpnėjo. Daliai pacientų simptomai atsinaujino, kai jiems buvo vėl paskirtas tas pats preparatas arba kiti bisfosfonatai.</w:t>
      </w:r>
    </w:p>
    <w:p w14:paraId="447511DF" w14:textId="77777777" w:rsidR="002D358F" w:rsidRPr="00C705A4" w:rsidRDefault="002D358F" w:rsidP="002D358F">
      <w:pPr>
        <w:tabs>
          <w:tab w:val="left" w:pos="567"/>
        </w:tabs>
        <w:spacing w:after="0" w:line="260" w:lineRule="exact"/>
        <w:rPr>
          <w:rFonts w:ascii="Times New Roman" w:hAnsi="Times New Roman"/>
          <w:lang w:val="lt-LT"/>
        </w:rPr>
      </w:pPr>
    </w:p>
    <w:p w14:paraId="5A3B64A9"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Preparatui patekus į rinką, buvo gauta retų pranešimų apie sunkias odos reakcijas, įskaitant Stivenso ir Džonsono </w:t>
      </w:r>
      <w:r w:rsidRPr="00C705A4">
        <w:rPr>
          <w:rFonts w:ascii="Times New Roman" w:hAnsi="Times New Roman"/>
          <w:i/>
          <w:lang w:val="lt-LT"/>
        </w:rPr>
        <w:t>(Stevens-Johnson)</w:t>
      </w:r>
      <w:r w:rsidRPr="00C705A4">
        <w:rPr>
          <w:rFonts w:ascii="Times New Roman" w:hAnsi="Times New Roman"/>
          <w:lang w:val="lt-LT"/>
        </w:rPr>
        <w:t xml:space="preserve"> sindromą ir toksinę epidermio nekrolizę.</w:t>
      </w:r>
    </w:p>
    <w:p w14:paraId="3391A0A1" w14:textId="77777777" w:rsidR="002D358F" w:rsidRPr="00C705A4" w:rsidRDefault="002D358F" w:rsidP="002D358F">
      <w:pPr>
        <w:tabs>
          <w:tab w:val="left" w:pos="567"/>
        </w:tabs>
        <w:spacing w:after="0" w:line="260" w:lineRule="exact"/>
        <w:rPr>
          <w:rFonts w:ascii="Times New Roman" w:hAnsi="Times New Roman"/>
          <w:lang w:val="lt-LT"/>
        </w:rPr>
      </w:pPr>
    </w:p>
    <w:p w14:paraId="74CC164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Reikia apsvarstyti kitas osteoporozės priežastis – ne tik estrogenų stoką ir senėjimą ar gliukokortikoidų vartojimą.</w:t>
      </w:r>
    </w:p>
    <w:p w14:paraId="547FA12C" w14:textId="77777777" w:rsidR="002D358F" w:rsidRPr="00C705A4" w:rsidRDefault="002D358F" w:rsidP="002D358F">
      <w:pPr>
        <w:tabs>
          <w:tab w:val="left" w:pos="567"/>
        </w:tabs>
        <w:spacing w:after="0" w:line="260" w:lineRule="exact"/>
        <w:rPr>
          <w:rFonts w:ascii="Times New Roman" w:hAnsi="Times New Roman"/>
          <w:lang w:val="lt-LT"/>
        </w:rPr>
      </w:pPr>
    </w:p>
    <w:p w14:paraId="3F56E6B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Paprastai nerekomenduojama kartu skirti tetraciklinų ar chinolonų arba tai būtina daryti atsargiai (žr. 4.5 skyrių).</w:t>
      </w:r>
    </w:p>
    <w:p w14:paraId="03DE744C" w14:textId="77777777" w:rsidR="002D358F" w:rsidRPr="00C705A4" w:rsidRDefault="002D358F" w:rsidP="002D358F">
      <w:pPr>
        <w:tabs>
          <w:tab w:val="left" w:pos="567"/>
        </w:tabs>
        <w:spacing w:after="0" w:line="260" w:lineRule="exact"/>
        <w:rPr>
          <w:rFonts w:ascii="Times New Roman" w:hAnsi="Times New Roman"/>
          <w:b/>
          <w:lang w:val="lt-LT"/>
        </w:rPr>
      </w:pPr>
    </w:p>
    <w:p w14:paraId="08202B5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Alendronato tabletėse yra 122,21 mg laktozės. Šio vaistinio preparato negalima vartoti pacientams, kuriems nustatytas retas paveldimas sutrikimas – Lapp laktazės stygius arba gliukozės ir galaktozės malabsorbcija.</w:t>
      </w:r>
      <w:r w:rsidRPr="002D358F">
        <w:rPr>
          <w:rFonts w:ascii="Times New Roman" w:eastAsia="Times New Roman" w:hAnsi="Times New Roman" w:cs="Times New Roman"/>
          <w:snapToGrid w:val="0"/>
          <w:szCs w:val="20"/>
          <w:lang w:val="en-GB"/>
        </w:rPr>
        <w:t xml:space="preserve"> </w:t>
      </w:r>
    </w:p>
    <w:p w14:paraId="552BE7D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Kalcio</w:t>
      </w:r>
      <w:r w:rsidRPr="002D358F">
        <w:rPr>
          <w:rFonts w:ascii="Times New Roman" w:eastAsia="Times New Roman" w:hAnsi="Times New Roman" w:cs="Times New Roman"/>
          <w:snapToGrid w:val="0"/>
          <w:szCs w:val="20"/>
          <w:lang w:val="en-GB"/>
        </w:rPr>
        <w:t>/kolekalciferolio tabletėse yra  1,75 mg sacharozės. Pacientai, turintys retą</w:t>
      </w:r>
      <w:r w:rsidRPr="00C705A4">
        <w:rPr>
          <w:rFonts w:ascii="Times New Roman" w:hAnsi="Times New Roman"/>
          <w:lang w:val="lt-LT"/>
        </w:rPr>
        <w:t xml:space="preserve"> paveld</w:t>
      </w:r>
      <w:r w:rsidRPr="002D358F">
        <w:rPr>
          <w:rFonts w:ascii="Times New Roman" w:eastAsia="Times New Roman" w:hAnsi="Times New Roman" w:cs="Times New Roman"/>
          <w:snapToGrid w:val="0"/>
          <w:szCs w:val="20"/>
          <w:lang w:val="en-GB"/>
        </w:rPr>
        <w:t>imą fruktozės netoleravimo problemą, gliukozės ir galaktozės malabsorbcijos ar sacharazės ir izomaltazės stokos problemas šio preparato vartoti negali.</w:t>
      </w:r>
    </w:p>
    <w:p w14:paraId="1069521C" w14:textId="77777777" w:rsidR="002D358F" w:rsidRPr="00C705A4" w:rsidRDefault="002D358F" w:rsidP="002D358F">
      <w:pPr>
        <w:tabs>
          <w:tab w:val="left" w:pos="567"/>
        </w:tabs>
        <w:spacing w:after="0" w:line="260" w:lineRule="exact"/>
        <w:rPr>
          <w:rFonts w:ascii="Times New Roman" w:hAnsi="Times New Roman"/>
          <w:lang w:val="lt-LT"/>
        </w:rPr>
      </w:pPr>
    </w:p>
    <w:p w14:paraId="337FC873"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p>
    <w:p w14:paraId="4839BA2B"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4.5</w:t>
      </w:r>
      <w:r w:rsidRPr="00C705A4">
        <w:rPr>
          <w:rFonts w:ascii="Times New Roman" w:hAnsi="Times New Roman"/>
          <w:b/>
          <w:lang w:val="lt-LT"/>
        </w:rPr>
        <w:tab/>
        <w:t>Sąveika su kitais vaistiniais preparatais ir kitokia sąveika</w:t>
      </w:r>
    </w:p>
    <w:p w14:paraId="69A7EE04" w14:textId="77777777" w:rsidR="002D358F" w:rsidRPr="00C705A4" w:rsidRDefault="002D358F" w:rsidP="002D358F">
      <w:pPr>
        <w:tabs>
          <w:tab w:val="left" w:pos="567"/>
        </w:tabs>
        <w:spacing w:after="0" w:line="260" w:lineRule="exact"/>
        <w:rPr>
          <w:rFonts w:ascii="Times New Roman" w:hAnsi="Times New Roman"/>
          <w:lang w:val="lt-LT"/>
        </w:rPr>
      </w:pPr>
    </w:p>
    <w:p w14:paraId="6A630CF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Alendronatas 70 mg</w:t>
      </w:r>
    </w:p>
    <w:p w14:paraId="74F4F65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lastRenderedPageBreak/>
        <w:t>Jei alendronatas vartojamas tuo pačiu metu kaip ir maistas bei gėrimai (įskaitant mineralinį vandenį), kalcio papildai, antacidai ir kai kurie geriamieji vaistai, gali sutrikti alendronato rezorbcija. Todėl pacientai po alendronato suvartojimo, prieš vartodami bet kokį kitą geriamąjį vaistinį preparatą, turi bent 30 minučių palaukti (žr. 4.2 ir 5.2 skyrius).</w:t>
      </w:r>
    </w:p>
    <w:p w14:paraId="749BFBB7" w14:textId="77777777" w:rsidR="002D358F" w:rsidRPr="00C705A4" w:rsidRDefault="002D358F" w:rsidP="002D358F">
      <w:pPr>
        <w:tabs>
          <w:tab w:val="left" w:pos="567"/>
        </w:tabs>
        <w:spacing w:after="0" w:line="260" w:lineRule="exact"/>
        <w:rPr>
          <w:rFonts w:ascii="Times New Roman" w:hAnsi="Times New Roman"/>
          <w:lang w:val="lt-LT"/>
        </w:rPr>
      </w:pPr>
    </w:p>
    <w:p w14:paraId="1F1482A9"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Jokių kitų kliniškai reikšmingų sąveikų su vaistiniais preparatais</w:t>
      </w:r>
      <w:r w:rsidRPr="002D358F">
        <w:rPr>
          <w:rFonts w:ascii="Times New Roman" w:eastAsia="Times New Roman" w:hAnsi="Times New Roman" w:cs="Times New Roman"/>
          <w:snapToGrid w:val="0"/>
          <w:szCs w:val="20"/>
          <w:lang w:val="en-GB"/>
        </w:rPr>
        <w:t xml:space="preserve"> nenumatoma. Tam tikras skaičius klinikiniuose tyrimuose dalyvavusių pacientų alendronato vartojimo laikotarpiu taip pat vartojo estrogenus (į makštį, per odą arba geriamuosius). Nebuvo nustatyta jokių nepageidaujamų reakcijų, kuria</w:t>
      </w:r>
      <w:r w:rsidRPr="00C705A4">
        <w:rPr>
          <w:rFonts w:ascii="Times New Roman" w:hAnsi="Times New Roman"/>
          <w:lang w:val="lt-LT"/>
        </w:rPr>
        <w:t>s būtų galima priskirti šių p</w:t>
      </w:r>
      <w:r w:rsidRPr="002D358F">
        <w:rPr>
          <w:rFonts w:ascii="Times New Roman" w:eastAsia="Times New Roman" w:hAnsi="Times New Roman" w:cs="Times New Roman"/>
          <w:snapToGrid w:val="0"/>
          <w:szCs w:val="20"/>
          <w:lang w:val="en-GB"/>
        </w:rPr>
        <w:t>reparatų vartojimui tuo pačiu metu.</w:t>
      </w:r>
    </w:p>
    <w:p w14:paraId="70E54583" w14:textId="77777777" w:rsidR="002D358F" w:rsidRPr="00C705A4" w:rsidRDefault="002D358F" w:rsidP="002D358F">
      <w:pPr>
        <w:tabs>
          <w:tab w:val="left" w:pos="567"/>
        </w:tabs>
        <w:spacing w:after="0" w:line="260" w:lineRule="exact"/>
        <w:rPr>
          <w:rFonts w:ascii="Times New Roman" w:hAnsi="Times New Roman"/>
          <w:lang w:val="lt-LT"/>
        </w:rPr>
      </w:pPr>
    </w:p>
    <w:p w14:paraId="26A8B4AB"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Kadangi NVNU yra siejami su virškinamojo trakto sudirginimu, kartu su alendronatu juos reikia vartoti atsargiai.</w:t>
      </w:r>
    </w:p>
    <w:p w14:paraId="3127C430" w14:textId="77777777" w:rsidR="002D358F" w:rsidRPr="00C705A4" w:rsidRDefault="002D358F" w:rsidP="002D358F">
      <w:pPr>
        <w:tabs>
          <w:tab w:val="left" w:pos="567"/>
        </w:tabs>
        <w:spacing w:after="0" w:line="260" w:lineRule="exact"/>
        <w:rPr>
          <w:rFonts w:ascii="Times New Roman" w:hAnsi="Times New Roman"/>
          <w:lang w:val="lt-LT"/>
        </w:rPr>
      </w:pPr>
    </w:p>
    <w:p w14:paraId="5D9E248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Nors neatlikta specifinių sąveikos tyrimų, klinikiniuose tyrimuose alendronatas buvo vartojamas kartu su įvairiais dažnai išrašomais vaistiniais preparatais ir klinikinių nepageidaujamos sąveikos įrodymų nenustatyta.</w:t>
      </w:r>
    </w:p>
    <w:p w14:paraId="16EC26A3" w14:textId="77777777" w:rsidR="002D358F" w:rsidRPr="00C705A4" w:rsidRDefault="002D358F" w:rsidP="002D358F">
      <w:pPr>
        <w:tabs>
          <w:tab w:val="left" w:pos="567"/>
        </w:tabs>
        <w:spacing w:after="0" w:line="260" w:lineRule="exact"/>
        <w:rPr>
          <w:rFonts w:ascii="Times New Roman" w:hAnsi="Times New Roman"/>
          <w:lang w:val="lt-LT"/>
        </w:rPr>
      </w:pPr>
    </w:p>
    <w:p w14:paraId="7C92FBA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Kalcis/kolekalciferolis</w:t>
      </w:r>
    </w:p>
    <w:p w14:paraId="2DCD179A"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Tiazidiniai diuretikai sumažina kalcio išskyrimą su šlapimu. Dėl padidėjusios hiperkalcemijos rizikos kalcį ir kolekalciferolį vartojant kartu su tiazidiniais diuretikais reikia reguliariai stebėti kalcio koncentraciją kraujo serume.</w:t>
      </w:r>
    </w:p>
    <w:p w14:paraId="300F3202" w14:textId="77777777" w:rsidR="002D358F" w:rsidRPr="00C705A4" w:rsidRDefault="002D358F" w:rsidP="002D358F">
      <w:pPr>
        <w:tabs>
          <w:tab w:val="left" w:pos="567"/>
        </w:tabs>
        <w:spacing w:after="0" w:line="260" w:lineRule="exact"/>
        <w:rPr>
          <w:rFonts w:ascii="Times New Roman" w:hAnsi="Times New Roman"/>
          <w:lang w:val="lt-LT"/>
        </w:rPr>
      </w:pPr>
    </w:p>
    <w:p w14:paraId="51FE400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Kartu vartojamas fenitoinas arba barbitūratai gali susilpninti vitamino D</w:t>
      </w:r>
      <w:r w:rsidRPr="00C705A4">
        <w:rPr>
          <w:rFonts w:ascii="Times New Roman" w:hAnsi="Times New Roman"/>
          <w:vertAlign w:val="subscript"/>
          <w:lang w:val="lt-LT"/>
        </w:rPr>
        <w:t>3</w:t>
      </w:r>
      <w:r w:rsidRPr="00C705A4">
        <w:rPr>
          <w:rFonts w:ascii="Times New Roman" w:hAnsi="Times New Roman"/>
          <w:lang w:val="lt-LT"/>
        </w:rPr>
        <w:t xml:space="preserve"> poveikį, nes sustiprėja</w:t>
      </w:r>
      <w:r w:rsidRPr="002D358F">
        <w:rPr>
          <w:rFonts w:ascii="Times New Roman" w:eastAsia="Times New Roman" w:hAnsi="Times New Roman" w:cs="Times New Roman"/>
          <w:snapToGrid w:val="0"/>
          <w:szCs w:val="20"/>
          <w:lang w:val="en-GB"/>
        </w:rPr>
        <w:t xml:space="preserve"> metabolizmas.</w:t>
      </w:r>
    </w:p>
    <w:p w14:paraId="21EA58EE" w14:textId="77777777" w:rsidR="002D358F" w:rsidRPr="00C705A4" w:rsidRDefault="002D358F" w:rsidP="002D358F">
      <w:pPr>
        <w:tabs>
          <w:tab w:val="left" w:pos="567"/>
        </w:tabs>
        <w:spacing w:after="0" w:line="260" w:lineRule="exact"/>
        <w:rPr>
          <w:rFonts w:ascii="Times New Roman" w:hAnsi="Times New Roman"/>
          <w:lang w:val="lt-LT"/>
        </w:rPr>
      </w:pPr>
    </w:p>
    <w:p w14:paraId="366271E3"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Sisteminiai kortikosteroidai sumažina kalcio rezorbciją. Vartojant </w:t>
      </w:r>
      <w:r w:rsidRPr="002D358F">
        <w:rPr>
          <w:rFonts w:ascii="Times New Roman" w:eastAsia="Times New Roman" w:hAnsi="Times New Roman" w:cs="Times New Roman"/>
          <w:snapToGrid w:val="0"/>
          <w:szCs w:val="20"/>
          <w:lang w:val="en-GB"/>
        </w:rPr>
        <w:t>kartu gali prireikti didinti kalcio ir kolekalciferolio dozę.</w:t>
      </w:r>
    </w:p>
    <w:p w14:paraId="79B7D99E" w14:textId="77777777" w:rsidR="002D358F" w:rsidRPr="00C705A4" w:rsidRDefault="002D358F" w:rsidP="002D358F">
      <w:pPr>
        <w:tabs>
          <w:tab w:val="left" w:pos="567"/>
        </w:tabs>
        <w:spacing w:after="0" w:line="260" w:lineRule="exact"/>
        <w:rPr>
          <w:rFonts w:ascii="Times New Roman" w:hAnsi="Times New Roman"/>
          <w:lang w:val="lt-LT"/>
        </w:rPr>
      </w:pPr>
    </w:p>
    <w:p w14:paraId="1D247F88"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Gydymo kalciu ir vitaminu D laikotarpiu susidariusi hiperkalcemija gali padidinti širdį veikiančių glikozidų toksinį poveikį. </w:t>
      </w:r>
      <w:r w:rsidRPr="002D358F">
        <w:rPr>
          <w:rFonts w:ascii="Times New Roman" w:eastAsia="Times New Roman" w:hAnsi="Times New Roman" w:cs="Times New Roman"/>
          <w:snapToGrid w:val="0"/>
          <w:szCs w:val="20"/>
          <w:lang w:val="en-GB"/>
        </w:rPr>
        <w:t>Pacientus būtina stebėti, vertinti jų elektrokardiogramą</w:t>
      </w:r>
      <w:r w:rsidRPr="00C705A4">
        <w:rPr>
          <w:rFonts w:ascii="Times New Roman" w:hAnsi="Times New Roman"/>
          <w:lang w:val="lt-LT"/>
        </w:rPr>
        <w:t xml:space="preserve"> (EKG) ir kalcio koncentraciją kraujo serume.</w:t>
      </w:r>
    </w:p>
    <w:p w14:paraId="1C3D4512" w14:textId="77777777" w:rsidR="002D358F" w:rsidRPr="00C705A4" w:rsidRDefault="002D358F" w:rsidP="002D358F">
      <w:pPr>
        <w:tabs>
          <w:tab w:val="left" w:pos="567"/>
        </w:tabs>
        <w:spacing w:after="0" w:line="260" w:lineRule="exact"/>
        <w:rPr>
          <w:rFonts w:ascii="Times New Roman" w:hAnsi="Times New Roman"/>
          <w:lang w:val="lt-LT"/>
        </w:rPr>
      </w:pPr>
    </w:p>
    <w:p w14:paraId="758F940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Konkurencinis kalcio vartojimas gali sumažinti levotiroksino veiksmingumą dėl sumažėjusios levotiroksino rezorbcijos. Kalcį ir levotiroksiną reikia vartoti mažiausiai keturių valandų skirtumu.</w:t>
      </w:r>
    </w:p>
    <w:p w14:paraId="202E1414" w14:textId="77777777" w:rsidR="002D358F" w:rsidRPr="00C705A4" w:rsidRDefault="002D358F" w:rsidP="002D358F">
      <w:pPr>
        <w:tabs>
          <w:tab w:val="left" w:pos="567"/>
        </w:tabs>
        <w:spacing w:after="0" w:line="260" w:lineRule="exact"/>
        <w:rPr>
          <w:rFonts w:ascii="Times New Roman" w:hAnsi="Times New Roman"/>
          <w:lang w:val="lt-LT"/>
        </w:rPr>
      </w:pPr>
    </w:p>
    <w:p w14:paraId="22C506C7"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Kalcis gali sumažinti alendronato rezorbciją virškinamajame trakte. Pacientams būtina paaiškinti, kad jie niekada nevartotų kalcio ir kolekalciferolio tablečių tą pačią dieną kaip ir alendronato 70 mg tablečių (žr. 4.2 ir 4.4 skyrius).</w:t>
      </w:r>
    </w:p>
    <w:p w14:paraId="7BA1CD04" w14:textId="77777777" w:rsidR="002D358F" w:rsidRPr="00C705A4" w:rsidRDefault="002D358F" w:rsidP="002D358F">
      <w:pPr>
        <w:tabs>
          <w:tab w:val="left" w:pos="567"/>
        </w:tabs>
        <w:spacing w:after="0" w:line="260" w:lineRule="exact"/>
        <w:rPr>
          <w:rFonts w:ascii="Times New Roman" w:hAnsi="Times New Roman"/>
          <w:lang w:val="lt-LT"/>
        </w:rPr>
      </w:pPr>
    </w:p>
    <w:p w14:paraId="094312A9"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Kalcio druskos gali sumažinti geležies, cinko ir stroncio ranelato absorbciją, todėl šie preparatai turi būti vartojami mažiausiai 2 valandos prieš arba po  kalcio/kolekalciferolio pavartojimo.</w:t>
      </w:r>
    </w:p>
    <w:p w14:paraId="6D2F88C7" w14:textId="77777777" w:rsidR="002D358F" w:rsidRPr="00C705A4" w:rsidRDefault="002D358F" w:rsidP="002D358F">
      <w:pPr>
        <w:tabs>
          <w:tab w:val="left" w:pos="567"/>
        </w:tabs>
        <w:spacing w:after="0" w:line="260" w:lineRule="exact"/>
        <w:rPr>
          <w:rFonts w:ascii="Times New Roman" w:hAnsi="Times New Roman"/>
          <w:lang w:val="lt-LT"/>
        </w:rPr>
      </w:pPr>
    </w:p>
    <w:p w14:paraId="539F1AA6"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Tuo pačiu metu vartojant jonų mainų dervas, pvz., kolestiraminą, arba vidurių laisvinamuosius preparatus, pavyzdžiui, parafino aliejų, gali sumažėti vitamino D rezorbcija virškinamajame trakte.</w:t>
      </w:r>
    </w:p>
    <w:p w14:paraId="19CE42ED" w14:textId="77777777" w:rsidR="002D358F" w:rsidRPr="00C705A4" w:rsidRDefault="002D358F" w:rsidP="002D358F">
      <w:pPr>
        <w:tabs>
          <w:tab w:val="left" w:pos="567"/>
        </w:tabs>
        <w:spacing w:after="0" w:line="260" w:lineRule="exact"/>
        <w:rPr>
          <w:rFonts w:ascii="Times New Roman" w:hAnsi="Times New Roman"/>
          <w:lang w:val="lt-LT"/>
        </w:rPr>
      </w:pPr>
    </w:p>
    <w:p w14:paraId="18EA31C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Orlistatas gali potencialiai pabloginti riebaluose tirpių vitaminų (pvz., vitamino</w:t>
      </w:r>
      <w:r w:rsidRPr="00C705A4">
        <w:rPr>
          <w:rFonts w:ascii="Times New Roman" w:hAnsi="Times New Roman"/>
          <w:color w:val="000000"/>
          <w:lang w:val="lt-LT"/>
        </w:rPr>
        <w:t xml:space="preserve"> D</w:t>
      </w:r>
      <w:r w:rsidRPr="00C705A4">
        <w:rPr>
          <w:rFonts w:ascii="Times New Roman" w:hAnsi="Times New Roman"/>
          <w:color w:val="000000"/>
          <w:vertAlign w:val="subscript"/>
          <w:lang w:val="lt-LT"/>
        </w:rPr>
        <w:t>3</w:t>
      </w:r>
      <w:r w:rsidRPr="00C705A4">
        <w:rPr>
          <w:rFonts w:ascii="Times New Roman" w:hAnsi="Times New Roman"/>
          <w:lang w:val="lt-LT"/>
        </w:rPr>
        <w:t xml:space="preserve"> ) absorbciją.</w:t>
      </w:r>
    </w:p>
    <w:p w14:paraId="6B8545AF" w14:textId="77777777" w:rsidR="002D358F" w:rsidRPr="00C705A4" w:rsidRDefault="002D358F" w:rsidP="002D358F">
      <w:pPr>
        <w:tabs>
          <w:tab w:val="left" w:pos="567"/>
        </w:tabs>
        <w:spacing w:after="0" w:line="260" w:lineRule="exact"/>
        <w:rPr>
          <w:rFonts w:ascii="Times New Roman" w:hAnsi="Times New Roman"/>
          <w:lang w:val="lt-LT"/>
        </w:rPr>
      </w:pPr>
    </w:p>
    <w:p w14:paraId="72CF3DF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lastRenderedPageBreak/>
        <w:t xml:space="preserve">Kalcio karbonatas gali sutrikdyti tuo pačiu metu vartojamų tetraciklino preparatų rezorbciją. </w:t>
      </w:r>
      <w:r w:rsidRPr="002D358F">
        <w:rPr>
          <w:rFonts w:ascii="Times New Roman" w:eastAsia="Times New Roman" w:hAnsi="Times New Roman" w:cs="Times New Roman"/>
          <w:snapToGrid w:val="0"/>
          <w:szCs w:val="20"/>
          <w:lang w:val="en-GB"/>
        </w:rPr>
        <w:t>Dėl šios priežasties tetraciklinų preparatus reikia vartoti mažiausiai 2 valandas prieš arba 4‒</w:t>
      </w:r>
      <w:r w:rsidRPr="00C705A4">
        <w:rPr>
          <w:rFonts w:ascii="Times New Roman" w:hAnsi="Times New Roman"/>
          <w:lang w:val="lt-LT"/>
        </w:rPr>
        <w:t xml:space="preserve">6 valandas po </w:t>
      </w:r>
      <w:r w:rsidRPr="002D358F">
        <w:rPr>
          <w:rFonts w:ascii="Times New Roman" w:eastAsia="Times New Roman" w:hAnsi="Times New Roman" w:cs="Times New Roman"/>
          <w:snapToGrid w:val="0"/>
          <w:szCs w:val="20"/>
          <w:lang w:val="en-GB"/>
        </w:rPr>
        <w:t>geriamojo kalcio suvartojimo.</w:t>
      </w:r>
    </w:p>
    <w:p w14:paraId="1388FC15" w14:textId="77777777" w:rsidR="002D358F" w:rsidRPr="00C705A4" w:rsidRDefault="002D358F" w:rsidP="002D358F">
      <w:pPr>
        <w:tabs>
          <w:tab w:val="left" w:pos="567"/>
        </w:tabs>
        <w:spacing w:after="0" w:line="260" w:lineRule="exact"/>
        <w:rPr>
          <w:rFonts w:ascii="Times New Roman" w:hAnsi="Times New Roman"/>
          <w:lang w:val="lt-LT"/>
        </w:rPr>
      </w:pPr>
    </w:p>
    <w:p w14:paraId="093B72E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Vartojant kartu su kalciu, gali sutrikti chinolonų grupės antibiotikų rezorbcija. </w:t>
      </w:r>
      <w:r w:rsidRPr="002D358F">
        <w:rPr>
          <w:rFonts w:ascii="Times New Roman" w:eastAsia="Times New Roman" w:hAnsi="Times New Roman" w:cs="Times New Roman"/>
          <w:snapToGrid w:val="0"/>
          <w:szCs w:val="20"/>
          <w:lang w:val="en-GB"/>
        </w:rPr>
        <w:t>Chinolonų grupės antibiotikus reikia vartoti 2 valandas prieš arba 6 valandas po kalcio suvartojimo.</w:t>
      </w:r>
    </w:p>
    <w:p w14:paraId="48B376AF" w14:textId="77777777" w:rsidR="002D358F" w:rsidRPr="00C705A4" w:rsidRDefault="002D358F" w:rsidP="002D358F">
      <w:pPr>
        <w:tabs>
          <w:tab w:val="left" w:pos="567"/>
        </w:tabs>
        <w:spacing w:after="0" w:line="260" w:lineRule="exact"/>
        <w:rPr>
          <w:rFonts w:ascii="Times New Roman" w:hAnsi="Times New Roman"/>
          <w:lang w:val="lt-LT"/>
        </w:rPr>
      </w:pPr>
    </w:p>
    <w:p w14:paraId="27DCF9F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Oksalo rūgštis (randama špinatuose ir rabarbaruose) ir fitino rūgštis (randama sveikuose grūduose) gali slopinti kalcio absorbciją, suformuodama netirpius junginius su kalcio jonais. Pacientams negalima vartoti kalcio preparatų 2 valandas po to, kai buvo valgytas maistas, kurio sudėtyje yra daug oksalo ir fitino rūgšties.</w:t>
      </w:r>
    </w:p>
    <w:p w14:paraId="636DF26F" w14:textId="77777777" w:rsidR="002D358F" w:rsidRPr="00C705A4" w:rsidRDefault="002D358F" w:rsidP="002D358F">
      <w:pPr>
        <w:tabs>
          <w:tab w:val="left" w:pos="567"/>
        </w:tabs>
        <w:spacing w:after="0" w:line="260" w:lineRule="exact"/>
        <w:rPr>
          <w:rFonts w:ascii="Times New Roman" w:hAnsi="Times New Roman"/>
          <w:lang w:val="lt-LT"/>
        </w:rPr>
      </w:pPr>
    </w:p>
    <w:p w14:paraId="0BFA82A4"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4.6</w:t>
      </w:r>
      <w:r w:rsidRPr="00C705A4">
        <w:rPr>
          <w:rFonts w:ascii="Times New Roman" w:hAnsi="Times New Roman"/>
          <w:b/>
          <w:lang w:val="lt-LT"/>
        </w:rPr>
        <w:tab/>
        <w:t>Vaisingumas, nėštumo ir žindymo laikotarpis</w:t>
      </w:r>
    </w:p>
    <w:p w14:paraId="247279CA" w14:textId="77777777" w:rsidR="002D358F" w:rsidRPr="00C705A4" w:rsidRDefault="002D358F" w:rsidP="002D358F">
      <w:pPr>
        <w:tabs>
          <w:tab w:val="left" w:pos="567"/>
        </w:tabs>
        <w:spacing w:after="0" w:line="260" w:lineRule="exact"/>
        <w:rPr>
          <w:rFonts w:ascii="Times New Roman" w:hAnsi="Times New Roman"/>
          <w:lang w:val="lt-LT"/>
        </w:rPr>
      </w:pPr>
    </w:p>
    <w:p w14:paraId="56B6F44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Tridepos skirtas vartoti moterims po menopauzės, todėl jo negalima vartoti nėštumo ar žindymo laikotarpiu.</w:t>
      </w:r>
    </w:p>
    <w:p w14:paraId="43C71779" w14:textId="77777777" w:rsidR="002D358F" w:rsidRPr="00C705A4" w:rsidRDefault="002D358F" w:rsidP="002D358F">
      <w:pPr>
        <w:tabs>
          <w:tab w:val="left" w:pos="567"/>
        </w:tabs>
        <w:spacing w:after="0" w:line="260" w:lineRule="exact"/>
        <w:rPr>
          <w:rFonts w:ascii="Times New Roman" w:hAnsi="Times New Roman"/>
          <w:lang w:val="lt-LT"/>
        </w:rPr>
      </w:pPr>
    </w:p>
    <w:p w14:paraId="47DC4D35" w14:textId="77777777" w:rsidR="002D358F" w:rsidRPr="00C705A4" w:rsidRDefault="002D358F" w:rsidP="002D358F">
      <w:pPr>
        <w:tabs>
          <w:tab w:val="left" w:pos="567"/>
        </w:tabs>
        <w:spacing w:after="0" w:line="260" w:lineRule="exact"/>
        <w:rPr>
          <w:rFonts w:ascii="Calibri" w:hAnsi="Calibri"/>
          <w:color w:val="0D0D0D"/>
          <w:u w:val="single"/>
          <w:lang w:val="lt-LT"/>
        </w:rPr>
      </w:pPr>
      <w:r w:rsidRPr="00C705A4">
        <w:rPr>
          <w:rFonts w:ascii="Times New Roman" w:hAnsi="Times New Roman"/>
          <w:color w:val="0D0D0D"/>
          <w:u w:val="single"/>
          <w:lang w:val="lt-LT"/>
        </w:rPr>
        <w:t>Nėštumas</w:t>
      </w:r>
    </w:p>
    <w:p w14:paraId="698AB25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color w:val="0D0D0D"/>
          <w:lang w:val="lt-LT"/>
        </w:rPr>
        <w:t xml:space="preserve">Tridepos negalima vartoti nėštumo metu. </w:t>
      </w:r>
      <w:r w:rsidRPr="002D358F">
        <w:rPr>
          <w:rFonts w:ascii="Times New Roman" w:eastAsia="Times New Roman" w:hAnsi="Times New Roman" w:cs="Times New Roman"/>
          <w:snapToGrid w:val="0"/>
          <w:szCs w:val="20"/>
          <w:lang w:val="en-GB"/>
        </w:rPr>
        <w:t>Duomenų apie Tridepos arba alendronato ar kalcio ir vitamino D vartojimą nėštumo metu nėra.</w:t>
      </w:r>
    </w:p>
    <w:p w14:paraId="08E85D0B" w14:textId="77777777" w:rsidR="002D358F" w:rsidRPr="00C705A4" w:rsidRDefault="002D358F" w:rsidP="002D358F">
      <w:pPr>
        <w:tabs>
          <w:tab w:val="left" w:pos="567"/>
        </w:tabs>
        <w:spacing w:after="0" w:line="260" w:lineRule="exact"/>
        <w:rPr>
          <w:rFonts w:ascii="Times New Roman" w:hAnsi="Times New Roman"/>
          <w:lang w:val="lt-LT"/>
        </w:rPr>
      </w:pPr>
    </w:p>
    <w:p w14:paraId="554633A1"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 xml:space="preserve">Tyrimai su gyvūnais </w:t>
      </w:r>
      <w:r w:rsidRPr="002D358F">
        <w:rPr>
          <w:rFonts w:ascii="Times New Roman" w:eastAsia="Times New Roman" w:hAnsi="Times New Roman" w:cs="Times New Roman"/>
          <w:snapToGrid w:val="0"/>
          <w:szCs w:val="20"/>
          <w:lang w:val="en-GB"/>
        </w:rPr>
        <w:t>parodė toksinį</w:t>
      </w:r>
      <w:r w:rsidRPr="00C705A4">
        <w:rPr>
          <w:rFonts w:ascii="Times New Roman" w:hAnsi="Times New Roman"/>
          <w:lang w:val="lt-LT"/>
        </w:rPr>
        <w:t xml:space="preserve"> poveik</w:t>
      </w:r>
      <w:r w:rsidRPr="002D358F">
        <w:rPr>
          <w:rFonts w:ascii="Times New Roman" w:eastAsia="Times New Roman" w:hAnsi="Times New Roman" w:cs="Times New Roman"/>
          <w:snapToGrid w:val="0"/>
          <w:szCs w:val="20"/>
          <w:lang w:val="en-GB"/>
        </w:rPr>
        <w:t>į</w:t>
      </w:r>
      <w:r w:rsidRPr="00C705A4">
        <w:rPr>
          <w:rFonts w:ascii="Times New Roman" w:hAnsi="Times New Roman"/>
          <w:lang w:val="lt-LT"/>
        </w:rPr>
        <w:t xml:space="preserve"> reprodukcijai.</w:t>
      </w:r>
      <w:r w:rsidRPr="002D358F">
        <w:rPr>
          <w:rFonts w:ascii="Times New Roman" w:eastAsia="Times New Roman" w:hAnsi="Times New Roman" w:cs="Times New Roman"/>
          <w:snapToGrid w:val="0"/>
          <w:szCs w:val="20"/>
          <w:lang w:val="en-GB"/>
        </w:rPr>
        <w:t xml:space="preserve"> Nėštumo metu žiurkėms skiriamas alendronatas sukėlė distociją (sunkų arba komplikuotą gimdymą), susijusią su hipokalcemija (žr. 5.3 skyrių).</w:t>
      </w:r>
    </w:p>
    <w:p w14:paraId="01379004" w14:textId="77777777" w:rsidR="002D358F" w:rsidRPr="00C705A4" w:rsidRDefault="002D358F" w:rsidP="002D358F">
      <w:pPr>
        <w:tabs>
          <w:tab w:val="left" w:pos="567"/>
        </w:tabs>
        <w:spacing w:after="0" w:line="260" w:lineRule="exact"/>
        <w:rPr>
          <w:rFonts w:ascii="Times New Roman" w:hAnsi="Times New Roman"/>
          <w:lang w:val="lt-LT"/>
        </w:rPr>
      </w:pPr>
    </w:p>
    <w:p w14:paraId="4B9CABD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Nėštumo metu kasdien reikia suvartoti ne daugiau kaip 1500 mg kalcio ir 600 TV vitamino D. Tyrimai su gyvūnais parodė toksinį poveikį reprodukcijai, kai vartojamos didelės vitamino D dozės (žr. 5.3 skyrių). Nėščios moterys turi vengti kalcio ir vitamino D perdozavimo, nes nuolatinė hiperkalcemija  susijusi su nepageidaujamu poveikiu augančiam vaisiui.</w:t>
      </w:r>
    </w:p>
    <w:p w14:paraId="54792E66" w14:textId="77777777" w:rsidR="002D358F" w:rsidRPr="00C705A4" w:rsidRDefault="002D358F" w:rsidP="002D358F">
      <w:pPr>
        <w:tabs>
          <w:tab w:val="left" w:pos="567"/>
        </w:tabs>
        <w:spacing w:after="0" w:line="260" w:lineRule="exact"/>
        <w:rPr>
          <w:rFonts w:ascii="Times New Roman" w:hAnsi="Times New Roman"/>
          <w:color w:val="0D0D0D"/>
          <w:lang w:val="lt-LT"/>
        </w:rPr>
      </w:pPr>
    </w:p>
    <w:p w14:paraId="47F5D572" w14:textId="77777777" w:rsidR="002D358F" w:rsidRPr="00C705A4" w:rsidRDefault="002D358F" w:rsidP="002D358F">
      <w:pPr>
        <w:tabs>
          <w:tab w:val="left" w:pos="567"/>
        </w:tabs>
        <w:spacing w:after="0" w:line="260" w:lineRule="exact"/>
        <w:rPr>
          <w:rFonts w:ascii="Calibri" w:hAnsi="Calibri"/>
          <w:color w:val="0D0D0D"/>
          <w:u w:val="single"/>
          <w:lang w:val="lt-LT"/>
        </w:rPr>
      </w:pPr>
      <w:r w:rsidRPr="00C705A4">
        <w:rPr>
          <w:rFonts w:ascii="Times New Roman" w:hAnsi="Times New Roman"/>
          <w:color w:val="0D0D0D"/>
          <w:u w:val="single"/>
          <w:lang w:val="lt-LT"/>
        </w:rPr>
        <w:t>Žindymas</w:t>
      </w:r>
    </w:p>
    <w:p w14:paraId="3D0A60D0" w14:textId="77777777" w:rsidR="002D358F" w:rsidRPr="00C705A4" w:rsidRDefault="002D358F" w:rsidP="002D358F">
      <w:pPr>
        <w:tabs>
          <w:tab w:val="left" w:pos="567"/>
        </w:tabs>
        <w:spacing w:after="0" w:line="260" w:lineRule="exact"/>
        <w:rPr>
          <w:rFonts w:ascii="Calibri" w:hAnsi="Calibri"/>
          <w:color w:val="000000"/>
          <w:lang w:val="lt-LT"/>
        </w:rPr>
      </w:pPr>
      <w:r w:rsidRPr="00C705A4">
        <w:rPr>
          <w:rFonts w:ascii="Times New Roman" w:hAnsi="Times New Roman"/>
          <w:color w:val="000000"/>
          <w:lang w:val="lt-LT"/>
        </w:rPr>
        <w:t>Kalcis ir vitaminas D</w:t>
      </w:r>
      <w:r w:rsidRPr="00C705A4">
        <w:rPr>
          <w:rFonts w:ascii="Times New Roman" w:hAnsi="Times New Roman"/>
          <w:color w:val="000000"/>
          <w:vertAlign w:val="subscript"/>
          <w:lang w:val="lt-LT"/>
        </w:rPr>
        <w:t>3</w:t>
      </w:r>
      <w:r w:rsidRPr="00C705A4">
        <w:rPr>
          <w:rFonts w:ascii="Times New Roman" w:hAnsi="Times New Roman"/>
          <w:color w:val="000000"/>
          <w:lang w:val="lt-LT"/>
        </w:rPr>
        <w:t xml:space="preserve"> išsiskiria į motinos pieną.</w:t>
      </w:r>
    </w:p>
    <w:p w14:paraId="5230E2B4" w14:textId="77777777" w:rsidR="002D358F" w:rsidRPr="00C705A4" w:rsidRDefault="002D358F" w:rsidP="002D358F">
      <w:pPr>
        <w:tabs>
          <w:tab w:val="left" w:pos="567"/>
        </w:tabs>
        <w:spacing w:after="0" w:line="260" w:lineRule="exact"/>
        <w:rPr>
          <w:rFonts w:ascii="Calibri" w:hAnsi="Calibri"/>
          <w:color w:val="000000"/>
          <w:lang w:val="lt-LT"/>
        </w:rPr>
      </w:pPr>
      <w:r w:rsidRPr="00C705A4">
        <w:rPr>
          <w:rFonts w:ascii="Times New Roman" w:hAnsi="Times New Roman"/>
          <w:color w:val="000000"/>
          <w:lang w:val="lt-LT"/>
        </w:rPr>
        <w:t>Nežinoma, ar alendronatas/metabolitai</w:t>
      </w:r>
      <w:r w:rsidRPr="002D358F">
        <w:rPr>
          <w:rFonts w:ascii="Times New Roman" w:eastAsia="SimSun" w:hAnsi="Times New Roman" w:cs="Times New Roman"/>
          <w:snapToGrid w:val="0"/>
          <w:color w:val="000000"/>
          <w:szCs w:val="20"/>
          <w:lang w:val="en-GB"/>
        </w:rPr>
        <w:t xml:space="preserve"> išsiskiria į motinos pieną. Negalima atmesti rizikos naujagimiui/kūdikiui. Tridepos negalima vartoti žindymo metu. </w:t>
      </w:r>
    </w:p>
    <w:p w14:paraId="3875F6BF" w14:textId="77777777" w:rsidR="002D358F" w:rsidRPr="00C705A4" w:rsidRDefault="002D358F" w:rsidP="002D358F">
      <w:pPr>
        <w:tabs>
          <w:tab w:val="left" w:pos="567"/>
        </w:tabs>
        <w:spacing w:after="0" w:line="260" w:lineRule="exact"/>
        <w:rPr>
          <w:rFonts w:ascii="Times New Roman" w:hAnsi="Times New Roman"/>
          <w:color w:val="000000"/>
          <w:lang w:val="lt-LT"/>
        </w:rPr>
      </w:pPr>
    </w:p>
    <w:p w14:paraId="2087D1AF" w14:textId="77777777" w:rsidR="002D358F" w:rsidRPr="00C705A4" w:rsidRDefault="002D358F" w:rsidP="002D358F">
      <w:pPr>
        <w:tabs>
          <w:tab w:val="left" w:pos="567"/>
        </w:tabs>
        <w:spacing w:after="0" w:line="260" w:lineRule="exact"/>
        <w:rPr>
          <w:rFonts w:ascii="Calibri" w:hAnsi="Calibri"/>
          <w:color w:val="000000"/>
          <w:u w:val="single"/>
          <w:lang w:val="lt-LT"/>
        </w:rPr>
      </w:pPr>
      <w:r w:rsidRPr="00C705A4">
        <w:rPr>
          <w:rFonts w:ascii="Times New Roman" w:hAnsi="Times New Roman"/>
          <w:color w:val="000000"/>
          <w:u w:val="single"/>
          <w:lang w:val="lt-LT"/>
        </w:rPr>
        <w:t>Vaisingumas</w:t>
      </w:r>
    </w:p>
    <w:p w14:paraId="1583E751" w14:textId="77777777" w:rsidR="002D358F" w:rsidRPr="00C705A4" w:rsidRDefault="002D358F" w:rsidP="002D358F">
      <w:pPr>
        <w:tabs>
          <w:tab w:val="left" w:pos="567"/>
        </w:tabs>
        <w:spacing w:after="0" w:line="260" w:lineRule="exact"/>
        <w:rPr>
          <w:rFonts w:ascii="Calibri" w:hAnsi="Calibri"/>
          <w:i/>
          <w:color w:val="000000"/>
          <w:lang w:val="lt-LT"/>
        </w:rPr>
      </w:pPr>
      <w:r w:rsidRPr="00C705A4">
        <w:rPr>
          <w:rFonts w:ascii="Times New Roman" w:hAnsi="Times New Roman"/>
          <w:i/>
          <w:color w:val="000000"/>
          <w:lang w:val="lt-LT"/>
        </w:rPr>
        <w:t>Alendronatas</w:t>
      </w:r>
    </w:p>
    <w:p w14:paraId="004DBF82" w14:textId="77777777" w:rsidR="002D358F" w:rsidRPr="00C705A4" w:rsidRDefault="002D358F" w:rsidP="002D358F">
      <w:pPr>
        <w:tabs>
          <w:tab w:val="left" w:pos="567"/>
        </w:tabs>
        <w:autoSpaceDE w:val="0"/>
        <w:autoSpaceDN w:val="0"/>
        <w:adjustRightInd w:val="0"/>
        <w:spacing w:after="0" w:line="240" w:lineRule="auto"/>
        <w:rPr>
          <w:rFonts w:ascii="Calibri" w:hAnsi="Calibri"/>
          <w:lang w:val="lt-LT"/>
        </w:rPr>
      </w:pPr>
      <w:r w:rsidRPr="00C705A4">
        <w:rPr>
          <w:rFonts w:ascii="Times New Roman" w:hAnsi="Times New Roman"/>
          <w:lang w:val="lt-LT"/>
        </w:rPr>
        <w:t>Bisfosfonatai susikaupia kaulo matricoje, iš kur jie laipsniškai atpalaiduojami keletą metų. Suaugusio</w:t>
      </w:r>
    </w:p>
    <w:p w14:paraId="41B890BA" w14:textId="77777777" w:rsidR="002D358F" w:rsidRPr="00C705A4" w:rsidRDefault="002D358F" w:rsidP="002D358F">
      <w:pPr>
        <w:tabs>
          <w:tab w:val="left" w:pos="567"/>
        </w:tabs>
        <w:autoSpaceDE w:val="0"/>
        <w:autoSpaceDN w:val="0"/>
        <w:adjustRightInd w:val="0"/>
        <w:spacing w:after="0" w:line="240" w:lineRule="auto"/>
        <w:rPr>
          <w:rFonts w:ascii="Calibri" w:hAnsi="Calibri"/>
          <w:lang w:val="lt-LT"/>
        </w:rPr>
      </w:pPr>
      <w:r w:rsidRPr="00C705A4">
        <w:rPr>
          <w:rFonts w:ascii="Times New Roman" w:hAnsi="Times New Roman"/>
          <w:lang w:val="lt-LT"/>
        </w:rPr>
        <w:t>žmogaus kaule susikaupęs bisfosfonatų kiekis, taigi ir atgal į sisteminę kraujotaką sugrįžtantis kiekis,</w:t>
      </w:r>
    </w:p>
    <w:p w14:paraId="609519BE" w14:textId="77777777" w:rsidR="002D358F" w:rsidRPr="00C705A4" w:rsidRDefault="002D358F" w:rsidP="002D358F">
      <w:pPr>
        <w:tabs>
          <w:tab w:val="left" w:pos="567"/>
        </w:tabs>
        <w:autoSpaceDE w:val="0"/>
        <w:autoSpaceDN w:val="0"/>
        <w:adjustRightInd w:val="0"/>
        <w:spacing w:after="0" w:line="240" w:lineRule="auto"/>
        <w:rPr>
          <w:rFonts w:ascii="Calibri" w:hAnsi="Calibri"/>
          <w:lang w:val="lt-LT"/>
        </w:rPr>
      </w:pPr>
      <w:r w:rsidRPr="00C705A4">
        <w:rPr>
          <w:rFonts w:ascii="Times New Roman" w:hAnsi="Times New Roman"/>
          <w:lang w:val="lt-LT"/>
        </w:rPr>
        <w:t>tiesiogiai priklauso nuo bisfosfonatų dozės ir vartojimo trukmės (žr. 5.2 skyrių). Apie riziką žmogaus</w:t>
      </w:r>
    </w:p>
    <w:p w14:paraId="53098502" w14:textId="77777777" w:rsidR="002D358F" w:rsidRPr="00C705A4" w:rsidRDefault="002D358F" w:rsidP="002D358F">
      <w:pPr>
        <w:tabs>
          <w:tab w:val="left" w:pos="567"/>
        </w:tabs>
        <w:autoSpaceDE w:val="0"/>
        <w:autoSpaceDN w:val="0"/>
        <w:adjustRightInd w:val="0"/>
        <w:spacing w:after="0" w:line="240" w:lineRule="auto"/>
        <w:rPr>
          <w:rFonts w:ascii="Calibri" w:hAnsi="Calibri"/>
          <w:lang w:val="lt-LT"/>
        </w:rPr>
      </w:pPr>
      <w:r w:rsidRPr="00C705A4">
        <w:rPr>
          <w:rFonts w:ascii="Times New Roman" w:hAnsi="Times New Roman"/>
          <w:lang w:val="lt-LT"/>
        </w:rPr>
        <w:t>vaisiui duomenų nėra. Vis dėlto teorinė žalos vaisiui, daugiausiai jo skeletui, rizika yra, jei po gydymo</w:t>
      </w:r>
    </w:p>
    <w:p w14:paraId="2F4088A7" w14:textId="77777777" w:rsidR="002D358F" w:rsidRPr="00C705A4" w:rsidRDefault="002D358F" w:rsidP="002D358F">
      <w:pPr>
        <w:tabs>
          <w:tab w:val="left" w:pos="567"/>
        </w:tabs>
        <w:autoSpaceDE w:val="0"/>
        <w:autoSpaceDN w:val="0"/>
        <w:adjustRightInd w:val="0"/>
        <w:spacing w:after="0" w:line="240" w:lineRule="auto"/>
        <w:rPr>
          <w:rFonts w:ascii="Calibri" w:hAnsi="Calibri"/>
          <w:lang w:val="lt-LT"/>
        </w:rPr>
      </w:pPr>
      <w:r w:rsidRPr="00C705A4">
        <w:rPr>
          <w:rFonts w:ascii="Times New Roman" w:hAnsi="Times New Roman"/>
          <w:lang w:val="lt-LT"/>
        </w:rPr>
        <w:t>bisfosfonatais kurso moteris pastoja. Kintamų veiksnių, tokių kaip trukmė tarp gydymo bisfosfonatais</w:t>
      </w:r>
    </w:p>
    <w:p w14:paraId="59C729DC" w14:textId="77777777" w:rsidR="002D358F" w:rsidRPr="00C705A4" w:rsidRDefault="002D358F" w:rsidP="002D358F">
      <w:pPr>
        <w:tabs>
          <w:tab w:val="left" w:pos="567"/>
        </w:tabs>
        <w:autoSpaceDE w:val="0"/>
        <w:autoSpaceDN w:val="0"/>
        <w:adjustRightInd w:val="0"/>
        <w:spacing w:after="0" w:line="240" w:lineRule="auto"/>
        <w:rPr>
          <w:rFonts w:ascii="Calibri" w:hAnsi="Calibri"/>
          <w:lang w:val="lt-LT"/>
        </w:rPr>
      </w:pPr>
      <w:r w:rsidRPr="002D358F">
        <w:rPr>
          <w:rFonts w:ascii="Times New Roman" w:eastAsia="TimesNewRoman" w:hAnsi="Times New Roman" w:cs="Times New Roman"/>
          <w:snapToGrid w:val="0"/>
          <w:szCs w:val="20"/>
          <w:lang w:val="en-GB"/>
        </w:rPr>
        <w:t>nutraukimo ir pastojimo, konkretus vartotas bisfosfonatas ar vartojimo būdas (į veną arba per burną),</w:t>
      </w:r>
    </w:p>
    <w:p w14:paraId="489DC9CB" w14:textId="77777777" w:rsidR="002D358F" w:rsidRPr="00C705A4" w:rsidRDefault="002D358F" w:rsidP="002D358F">
      <w:pPr>
        <w:tabs>
          <w:tab w:val="left" w:pos="567"/>
        </w:tabs>
        <w:autoSpaceDE w:val="0"/>
        <w:autoSpaceDN w:val="0"/>
        <w:adjustRightInd w:val="0"/>
        <w:spacing w:after="0" w:line="240" w:lineRule="auto"/>
        <w:rPr>
          <w:rFonts w:ascii="Calibri" w:hAnsi="Calibri"/>
          <w:lang w:val="lt-LT"/>
        </w:rPr>
      </w:pPr>
      <w:r w:rsidRPr="002D358F">
        <w:rPr>
          <w:rFonts w:ascii="Times New Roman" w:eastAsia="TimesNewRoman" w:hAnsi="Times New Roman" w:cs="Times New Roman"/>
          <w:snapToGrid w:val="0"/>
          <w:szCs w:val="20"/>
          <w:lang w:val="en-GB"/>
        </w:rPr>
        <w:t>įtaka rizikai netirta.</w:t>
      </w:r>
    </w:p>
    <w:p w14:paraId="685347A9" w14:textId="77777777" w:rsidR="002D358F" w:rsidRPr="002D358F" w:rsidRDefault="002D358F" w:rsidP="002D358F">
      <w:pPr>
        <w:tabs>
          <w:tab w:val="left" w:pos="567"/>
        </w:tabs>
        <w:autoSpaceDE w:val="0"/>
        <w:autoSpaceDN w:val="0"/>
        <w:adjustRightInd w:val="0"/>
        <w:spacing w:after="0" w:line="240" w:lineRule="auto"/>
        <w:rPr>
          <w:rFonts w:ascii="Times New Roman" w:eastAsia="TimesNewRoman" w:hAnsi="Times New Roman" w:cs="Times New Roman"/>
          <w:snapToGrid w:val="0"/>
          <w:szCs w:val="20"/>
          <w:lang w:val="en-GB"/>
        </w:rPr>
      </w:pPr>
    </w:p>
    <w:p w14:paraId="5DF11335" w14:textId="77777777" w:rsidR="002D358F" w:rsidRPr="00C705A4" w:rsidRDefault="002D358F" w:rsidP="002D358F">
      <w:pPr>
        <w:tabs>
          <w:tab w:val="left" w:pos="567"/>
        </w:tabs>
        <w:autoSpaceDE w:val="0"/>
        <w:autoSpaceDN w:val="0"/>
        <w:adjustRightInd w:val="0"/>
        <w:spacing w:after="0" w:line="240" w:lineRule="auto"/>
        <w:rPr>
          <w:rFonts w:ascii="Calibri" w:hAnsi="Calibri"/>
          <w:i/>
          <w:lang w:val="lt-LT"/>
        </w:rPr>
      </w:pPr>
      <w:r w:rsidRPr="00C705A4">
        <w:rPr>
          <w:rFonts w:ascii="Times New Roman" w:hAnsi="Times New Roman"/>
          <w:i/>
          <w:color w:val="000000"/>
          <w:lang w:val="lt-LT"/>
        </w:rPr>
        <w:lastRenderedPageBreak/>
        <w:t>Kalcis/vitaminas D</w:t>
      </w:r>
      <w:r w:rsidRPr="00C705A4">
        <w:rPr>
          <w:rFonts w:ascii="Times New Roman" w:hAnsi="Times New Roman"/>
          <w:i/>
          <w:color w:val="000000"/>
          <w:vertAlign w:val="subscript"/>
          <w:lang w:val="lt-LT"/>
        </w:rPr>
        <w:t>3</w:t>
      </w:r>
    </w:p>
    <w:p w14:paraId="047AB8EA" w14:textId="77777777" w:rsidR="002D358F" w:rsidRPr="00C705A4" w:rsidRDefault="002D358F" w:rsidP="002D358F">
      <w:pPr>
        <w:tabs>
          <w:tab w:val="left" w:pos="567"/>
        </w:tabs>
        <w:spacing w:after="0" w:line="260" w:lineRule="exact"/>
        <w:rPr>
          <w:rFonts w:ascii="Calibri" w:hAnsi="Calibri"/>
          <w:color w:val="000000"/>
          <w:lang w:val="lt-LT"/>
        </w:rPr>
      </w:pPr>
      <w:r w:rsidRPr="00C705A4">
        <w:rPr>
          <w:rFonts w:ascii="Times New Roman" w:hAnsi="Times New Roman"/>
          <w:color w:val="000000"/>
          <w:lang w:val="lt-LT"/>
        </w:rPr>
        <w:t>Mažai tikėtina, kad normalios endogeninės kalcio ir vitamino D koncentracijos serume turėtų kokį nors šalutinį poveikį vaisingumui.</w:t>
      </w:r>
    </w:p>
    <w:p w14:paraId="7314A89F" w14:textId="77777777" w:rsidR="002D358F" w:rsidRPr="00C705A4" w:rsidRDefault="002D358F" w:rsidP="002D358F">
      <w:pPr>
        <w:tabs>
          <w:tab w:val="left" w:pos="567"/>
        </w:tabs>
        <w:spacing w:after="0" w:line="260" w:lineRule="exact"/>
        <w:rPr>
          <w:rFonts w:ascii="Times New Roman" w:hAnsi="Times New Roman"/>
          <w:lang w:val="lt-LT"/>
        </w:rPr>
      </w:pPr>
    </w:p>
    <w:p w14:paraId="7A95BDC4"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4.7</w:t>
      </w:r>
      <w:r w:rsidRPr="00C705A4">
        <w:rPr>
          <w:rFonts w:ascii="Times New Roman" w:hAnsi="Times New Roman"/>
          <w:b/>
          <w:lang w:val="lt-LT"/>
        </w:rPr>
        <w:tab/>
        <w:t>Poveikis gebėjimui vairuoti ir valdyti mechanizmus</w:t>
      </w:r>
    </w:p>
    <w:p w14:paraId="5D9DF885" w14:textId="77777777" w:rsidR="002D358F" w:rsidRPr="00C705A4" w:rsidRDefault="002D358F" w:rsidP="002D358F">
      <w:pPr>
        <w:tabs>
          <w:tab w:val="left" w:pos="567"/>
        </w:tabs>
        <w:spacing w:after="0" w:line="260" w:lineRule="exact"/>
        <w:rPr>
          <w:rFonts w:ascii="Times New Roman" w:hAnsi="Times New Roman"/>
          <w:lang w:val="lt-LT"/>
        </w:rPr>
      </w:pPr>
    </w:p>
    <w:p w14:paraId="1053EAF3"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Preparato poveik</w:t>
      </w:r>
      <w:r w:rsidRPr="002D358F">
        <w:rPr>
          <w:rFonts w:ascii="Times New Roman" w:eastAsia="Times New Roman" w:hAnsi="Times New Roman" w:cs="Times New Roman"/>
          <w:snapToGrid w:val="0"/>
          <w:szCs w:val="20"/>
          <w:lang w:val="en-GB"/>
        </w:rPr>
        <w:t>io gebėjimui vairuoti ir valdyti mechanizmus tyrimų neatlikta. Tačiau kai kurios aprašytos nepageidaujamos reakcijos, patirtos veikiant alendronatui, gali paveikti kai kurių pacientų gebėjimą vairuoti ar valdyti mechanizmus. Individualus atsakas į Tridepos gali skirtis (žr. 4.8 skyrių).</w:t>
      </w:r>
    </w:p>
    <w:p w14:paraId="7E691D94" w14:textId="77777777" w:rsidR="002D358F" w:rsidRPr="00C705A4" w:rsidRDefault="002D358F" w:rsidP="002D358F">
      <w:pPr>
        <w:tabs>
          <w:tab w:val="left" w:pos="567"/>
        </w:tabs>
        <w:spacing w:after="0" w:line="260" w:lineRule="exact"/>
        <w:rPr>
          <w:rFonts w:ascii="Times New Roman" w:hAnsi="Times New Roman"/>
          <w:lang w:val="lt-LT"/>
        </w:rPr>
      </w:pPr>
    </w:p>
    <w:p w14:paraId="21A0A48A" w14:textId="77777777" w:rsidR="002D358F" w:rsidRPr="00C705A4" w:rsidRDefault="002D358F" w:rsidP="002D358F">
      <w:pPr>
        <w:tabs>
          <w:tab w:val="left" w:pos="567"/>
        </w:tabs>
        <w:spacing w:after="0" w:line="240" w:lineRule="auto"/>
        <w:outlineLvl w:val="0"/>
        <w:rPr>
          <w:rFonts w:ascii="Calibri" w:hAnsi="Calibri"/>
          <w:lang w:val="lt-LT"/>
        </w:rPr>
      </w:pPr>
      <w:r w:rsidRPr="00C705A4">
        <w:rPr>
          <w:rFonts w:ascii="Times New Roman" w:hAnsi="Times New Roman"/>
          <w:b/>
          <w:lang w:val="lt-LT"/>
        </w:rPr>
        <w:t>4.8</w:t>
      </w:r>
      <w:r w:rsidRPr="00C705A4">
        <w:rPr>
          <w:rFonts w:ascii="Times New Roman" w:hAnsi="Times New Roman"/>
          <w:b/>
          <w:lang w:val="lt-LT"/>
        </w:rPr>
        <w:tab/>
        <w:t>Nepageidaujamas poveikis</w:t>
      </w:r>
    </w:p>
    <w:p w14:paraId="2AD4F9A8" w14:textId="77777777" w:rsidR="002D358F" w:rsidRPr="00C705A4" w:rsidRDefault="002D358F" w:rsidP="002D358F">
      <w:pPr>
        <w:tabs>
          <w:tab w:val="left" w:pos="567"/>
        </w:tabs>
        <w:spacing w:after="0" w:line="260" w:lineRule="exact"/>
        <w:rPr>
          <w:rFonts w:ascii="Times New Roman" w:hAnsi="Times New Roman"/>
          <w:u w:val="single"/>
          <w:lang w:val="lt-LT"/>
        </w:rPr>
      </w:pPr>
    </w:p>
    <w:p w14:paraId="477A6C5C"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Alendronato 70 mg tabletė</w:t>
      </w:r>
      <w:r w:rsidRPr="002D358F">
        <w:rPr>
          <w:rFonts w:ascii="Times New Roman" w:eastAsia="Times New Roman" w:hAnsi="Times New Roman" w:cs="Times New Roman"/>
          <w:snapToGrid w:val="0"/>
          <w:szCs w:val="20"/>
          <w:u w:val="single"/>
          <w:lang w:val="en-GB"/>
        </w:rPr>
        <w:br/>
      </w:r>
      <w:r w:rsidRPr="00C705A4">
        <w:rPr>
          <w:rFonts w:ascii="Times New Roman" w:hAnsi="Times New Roman"/>
          <w:lang w:val="lt-LT"/>
        </w:rPr>
        <w:t>Klinikinių tyrimų metu ir (arba) preparatui jau patekus į rinką aprašyt</w:t>
      </w:r>
      <w:r w:rsidRPr="002D358F">
        <w:rPr>
          <w:rFonts w:ascii="Times New Roman" w:eastAsia="Times New Roman" w:hAnsi="Times New Roman" w:cs="Times New Roman"/>
          <w:snapToGrid w:val="0"/>
          <w:szCs w:val="20"/>
          <w:lang w:val="en-GB"/>
        </w:rPr>
        <w:t>as ir toks nepageidaujamas poveikis</w:t>
      </w:r>
      <w:r w:rsidRPr="00C705A4">
        <w:rPr>
          <w:rFonts w:ascii="Times New Roman" w:hAnsi="Times New Roman"/>
          <w:lang w:val="lt-LT"/>
        </w:rPr>
        <w:t>:</w:t>
      </w:r>
    </w:p>
    <w:p w14:paraId="3E9BE674" w14:textId="77777777" w:rsidR="002D358F" w:rsidRPr="00C705A4" w:rsidRDefault="002D358F" w:rsidP="002D358F">
      <w:pPr>
        <w:autoSpaceDE w:val="0"/>
        <w:spacing w:after="0" w:line="240" w:lineRule="auto"/>
        <w:contextualSpacing/>
        <w:rPr>
          <w:rFonts w:ascii="Calibri" w:hAnsi="Calibri"/>
          <w:lang w:val="lt-LT"/>
        </w:rPr>
      </w:pPr>
      <w:r w:rsidRPr="00C705A4">
        <w:rPr>
          <w:rFonts w:ascii="Times New Roman" w:hAnsi="Times New Roman"/>
          <w:lang w:val="lt-LT"/>
        </w:rPr>
        <w:t>labai dažnas (≥ 1/10), dažnas (nuo ≥ 1/100 iki &lt; 1/10), nedažnas (nuo ≥ 1/1000 iki &lt; 1/100), retas (nuo ≥ 1/10000 iki &lt; 1/1000), labai retas (&lt; 1/10000, įskaitant pavienius atvejus).</w:t>
      </w:r>
    </w:p>
    <w:p w14:paraId="7DE4D298"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1"/>
        <w:gridCol w:w="5679"/>
      </w:tblGrid>
      <w:tr w:rsidR="002D358F" w:rsidRPr="002D358F" w14:paraId="429D2CB1" w14:textId="77777777" w:rsidTr="00E070F6">
        <w:tc>
          <w:tcPr>
            <w:tcW w:w="3652" w:type="dxa"/>
          </w:tcPr>
          <w:p w14:paraId="4E7004FB"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Imuninės sistemos sutrikimai</w:t>
            </w:r>
          </w:p>
        </w:tc>
        <w:tc>
          <w:tcPr>
            <w:tcW w:w="6202" w:type="dxa"/>
          </w:tcPr>
          <w:p w14:paraId="3A7C0373"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Retas</w:t>
            </w:r>
            <w:r w:rsidRPr="002D358F">
              <w:rPr>
                <w:rFonts w:ascii="Times New Roman" w:eastAsia="Times New Roman" w:hAnsi="Times New Roman" w:cs="Times New Roman"/>
                <w:i/>
                <w:snapToGrid w:val="0"/>
                <w:szCs w:val="20"/>
                <w:lang w:val="en-GB"/>
              </w:rPr>
              <w:t>:</w:t>
            </w:r>
            <w:r w:rsidRPr="00C705A4">
              <w:rPr>
                <w:rFonts w:ascii="Times New Roman" w:hAnsi="Times New Roman"/>
                <w:lang w:val="lt-LT"/>
              </w:rPr>
              <w:t xml:space="preserve"> padidėjusio jautrumo reakcijos, įskaitant dilgėlinę ir angioedemą</w:t>
            </w:r>
          </w:p>
        </w:tc>
      </w:tr>
      <w:tr w:rsidR="002D358F" w:rsidRPr="002D358F" w14:paraId="1FA0DAE4" w14:textId="77777777" w:rsidTr="00E070F6">
        <w:tc>
          <w:tcPr>
            <w:tcW w:w="3652" w:type="dxa"/>
          </w:tcPr>
          <w:p w14:paraId="22C85AF1"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Metabolizmo ir mitybos sutrikimai</w:t>
            </w:r>
          </w:p>
        </w:tc>
        <w:tc>
          <w:tcPr>
            <w:tcW w:w="6202" w:type="dxa"/>
          </w:tcPr>
          <w:p w14:paraId="7B55A4D1"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Retas</w:t>
            </w:r>
            <w:r w:rsidRPr="002D358F">
              <w:rPr>
                <w:rFonts w:ascii="Times New Roman" w:eastAsia="Times New Roman" w:hAnsi="Times New Roman" w:cs="Times New Roman"/>
                <w:i/>
                <w:snapToGrid w:val="0"/>
                <w:szCs w:val="20"/>
                <w:lang w:val="en-GB"/>
              </w:rPr>
              <w:t>:</w:t>
            </w:r>
            <w:r w:rsidRPr="00C705A4">
              <w:rPr>
                <w:rFonts w:ascii="Times New Roman" w:hAnsi="Times New Roman"/>
                <w:lang w:val="lt-LT"/>
              </w:rPr>
              <w:t xml:space="preserve"> simptominė hipokalcemija, dažnai esant predisponuojančių </w:t>
            </w:r>
            <w:r w:rsidRPr="002D358F">
              <w:rPr>
                <w:rFonts w:ascii="Times New Roman" w:eastAsia="Times New Roman" w:hAnsi="Times New Roman" w:cs="Times New Roman"/>
                <w:snapToGrid w:val="0"/>
                <w:szCs w:val="20"/>
                <w:lang w:val="en-GB"/>
              </w:rPr>
              <w:t>sutrikimų</w:t>
            </w:r>
            <w:r w:rsidRPr="002D358F">
              <w:rPr>
                <w:rFonts w:ascii="Times New Roman" w:eastAsia="Times New Roman" w:hAnsi="Times New Roman" w:cs="Times New Roman"/>
                <w:snapToGrid w:val="0"/>
                <w:szCs w:val="20"/>
                <w:vertAlign w:val="superscript"/>
                <w:lang w:val="en-GB"/>
              </w:rPr>
              <w:t>§</w:t>
            </w:r>
          </w:p>
        </w:tc>
      </w:tr>
      <w:tr w:rsidR="002D358F" w:rsidRPr="005179F7" w14:paraId="3CF5957E" w14:textId="77777777" w:rsidTr="00E070F6">
        <w:tc>
          <w:tcPr>
            <w:tcW w:w="3652" w:type="dxa"/>
          </w:tcPr>
          <w:p w14:paraId="78FA2521"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Nervų sistemos sutrikimai</w:t>
            </w:r>
          </w:p>
        </w:tc>
        <w:tc>
          <w:tcPr>
            <w:tcW w:w="6202" w:type="dxa"/>
          </w:tcPr>
          <w:p w14:paraId="2F6F6E0E"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Dažnas:</w:t>
            </w:r>
            <w:r w:rsidRPr="00C705A4">
              <w:rPr>
                <w:rFonts w:ascii="Times New Roman" w:hAnsi="Times New Roman"/>
                <w:lang w:val="lt-LT"/>
              </w:rPr>
              <w:t xml:space="preserve"> galvos skausmas, svaigulys</w:t>
            </w:r>
            <w:r w:rsidRPr="00C705A4">
              <w:rPr>
                <w:rFonts w:ascii="Times New Roman" w:hAnsi="Times New Roman"/>
                <w:vertAlign w:val="superscript"/>
                <w:lang w:val="lt-LT"/>
              </w:rPr>
              <w:t>†</w:t>
            </w:r>
          </w:p>
          <w:p w14:paraId="60DDEDB8"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 xml:space="preserve">Nedažnas: </w:t>
            </w:r>
            <w:r w:rsidRPr="00C705A4">
              <w:rPr>
                <w:rFonts w:ascii="Times New Roman" w:hAnsi="Times New Roman"/>
                <w:lang w:val="lt-LT"/>
              </w:rPr>
              <w:t>disgeuzija (skonio sutrikimas)</w:t>
            </w:r>
            <w:r w:rsidRPr="00C705A4">
              <w:rPr>
                <w:rFonts w:ascii="Times New Roman" w:hAnsi="Times New Roman"/>
                <w:vertAlign w:val="superscript"/>
                <w:lang w:val="lt-LT"/>
              </w:rPr>
              <w:t xml:space="preserve"> †</w:t>
            </w:r>
          </w:p>
        </w:tc>
      </w:tr>
      <w:tr w:rsidR="002D358F" w:rsidRPr="002D358F" w14:paraId="728CAACD" w14:textId="77777777" w:rsidTr="00E070F6">
        <w:tc>
          <w:tcPr>
            <w:tcW w:w="3652" w:type="dxa"/>
          </w:tcPr>
          <w:p w14:paraId="3474E0F6"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Akių sutrikimai</w:t>
            </w:r>
          </w:p>
        </w:tc>
        <w:tc>
          <w:tcPr>
            <w:tcW w:w="6202" w:type="dxa"/>
          </w:tcPr>
          <w:p w14:paraId="02E6FD36"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Nedažnas</w:t>
            </w:r>
            <w:r w:rsidRPr="002D358F">
              <w:rPr>
                <w:rFonts w:ascii="Times New Roman" w:eastAsia="Times New Roman" w:hAnsi="Times New Roman" w:cs="Times New Roman"/>
                <w:i/>
                <w:snapToGrid w:val="0"/>
                <w:szCs w:val="20"/>
                <w:lang w:val="en-GB"/>
              </w:rPr>
              <w:t>:</w:t>
            </w:r>
            <w:r w:rsidRPr="00C705A4">
              <w:rPr>
                <w:rFonts w:ascii="Times New Roman" w:hAnsi="Times New Roman"/>
                <w:lang w:val="lt-LT"/>
              </w:rPr>
              <w:t xml:space="preserve"> akių uždegimas (uveitas, skleritas, episkleritas)</w:t>
            </w:r>
          </w:p>
        </w:tc>
      </w:tr>
      <w:tr w:rsidR="002D358F" w:rsidRPr="002D358F" w14:paraId="79E5FF17" w14:textId="77777777" w:rsidTr="00E070F6">
        <w:tc>
          <w:tcPr>
            <w:tcW w:w="3652" w:type="dxa"/>
          </w:tcPr>
          <w:p w14:paraId="19815E6F"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Ausų ir labirintų sutrikimai</w:t>
            </w:r>
          </w:p>
        </w:tc>
        <w:tc>
          <w:tcPr>
            <w:tcW w:w="6202" w:type="dxa"/>
          </w:tcPr>
          <w:p w14:paraId="1310785B"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Dažnas</w:t>
            </w:r>
            <w:r w:rsidRPr="002D358F">
              <w:rPr>
                <w:rFonts w:ascii="Times New Roman" w:eastAsia="Times New Roman" w:hAnsi="Times New Roman" w:cs="Times New Roman"/>
                <w:i/>
                <w:snapToGrid w:val="0"/>
                <w:szCs w:val="20"/>
                <w:lang w:val="en-GB"/>
              </w:rPr>
              <w:t xml:space="preserve">: </w:t>
            </w:r>
            <w:r w:rsidRPr="002D358F">
              <w:rPr>
                <w:rFonts w:ascii="Times New Roman" w:eastAsia="Times New Roman" w:hAnsi="Times New Roman" w:cs="Times New Roman"/>
                <w:snapToGrid w:val="0"/>
                <w:szCs w:val="20"/>
                <w:lang w:val="en-GB"/>
              </w:rPr>
              <w:t>svaigimas (</w:t>
            </w:r>
            <w:r w:rsidRPr="002D358F">
              <w:rPr>
                <w:rFonts w:ascii="Times New Roman" w:eastAsia="Times New Roman" w:hAnsi="Times New Roman" w:cs="Times New Roman"/>
                <w:i/>
                <w:snapToGrid w:val="0"/>
                <w:szCs w:val="20"/>
                <w:lang w:val="en-GB"/>
              </w:rPr>
              <w:t>vertigo</w:t>
            </w:r>
            <w:r w:rsidRPr="002D358F">
              <w:rPr>
                <w:rFonts w:ascii="Times New Roman" w:eastAsia="Times New Roman" w:hAnsi="Times New Roman" w:cs="Times New Roman"/>
                <w:snapToGrid w:val="0"/>
                <w:szCs w:val="20"/>
                <w:lang w:val="en-GB"/>
              </w:rPr>
              <w:t>)</w:t>
            </w:r>
            <w:r w:rsidRPr="00C705A4">
              <w:rPr>
                <w:rFonts w:ascii="Times New Roman" w:hAnsi="Times New Roman"/>
                <w:vertAlign w:val="superscript"/>
                <w:lang w:val="lt-LT"/>
              </w:rPr>
              <w:t>†</w:t>
            </w:r>
          </w:p>
        </w:tc>
      </w:tr>
      <w:tr w:rsidR="002D358F" w:rsidRPr="005179F7" w14:paraId="39D508F5" w14:textId="77777777" w:rsidTr="00E070F6">
        <w:tc>
          <w:tcPr>
            <w:tcW w:w="3652" w:type="dxa"/>
          </w:tcPr>
          <w:p w14:paraId="077812DD"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lang w:val="lt-LT"/>
              </w:rPr>
            </w:pPr>
          </w:p>
        </w:tc>
        <w:tc>
          <w:tcPr>
            <w:tcW w:w="6202" w:type="dxa"/>
          </w:tcPr>
          <w:p w14:paraId="2478655B" w14:textId="77777777" w:rsidR="002D358F" w:rsidRPr="00C705A4" w:rsidRDefault="002D358F" w:rsidP="002D358F">
            <w:pPr>
              <w:tabs>
                <w:tab w:val="left" w:pos="567"/>
              </w:tabs>
              <w:autoSpaceDE w:val="0"/>
              <w:autoSpaceDN w:val="0"/>
              <w:adjustRightInd w:val="0"/>
              <w:spacing w:after="0" w:line="260" w:lineRule="exact"/>
              <w:rPr>
                <w:rFonts w:ascii="Calibri" w:hAnsi="Calibri"/>
                <w:i/>
                <w:lang w:val="lt-LT"/>
              </w:rPr>
            </w:pPr>
            <w:r w:rsidRPr="00C705A4">
              <w:rPr>
                <w:rFonts w:ascii="Times New Roman" w:hAnsi="Times New Roman"/>
                <w:i/>
                <w:lang w:val="lt-LT"/>
              </w:rPr>
              <w:t>Labai retas:</w:t>
            </w:r>
            <w:r w:rsidRPr="00C705A4">
              <w:rPr>
                <w:rFonts w:ascii="Times New Roman" w:hAnsi="Times New Roman"/>
                <w:lang w:val="lt-LT"/>
              </w:rPr>
              <w:t>išorinio ausies kanalo osteonekrozė (bisfosfonatų klasei būdinga nepageidaujama reakcija)</w:t>
            </w:r>
          </w:p>
        </w:tc>
      </w:tr>
      <w:tr w:rsidR="002D358F" w:rsidRPr="005179F7" w14:paraId="20D18FB3" w14:textId="77777777" w:rsidTr="00E070F6">
        <w:tc>
          <w:tcPr>
            <w:tcW w:w="3652" w:type="dxa"/>
          </w:tcPr>
          <w:p w14:paraId="3CC581FC"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Virškinimo trakto sutrikimai</w:t>
            </w:r>
          </w:p>
        </w:tc>
        <w:tc>
          <w:tcPr>
            <w:tcW w:w="6202" w:type="dxa"/>
          </w:tcPr>
          <w:p w14:paraId="0018785E"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Dažnas:</w:t>
            </w:r>
            <w:r w:rsidRPr="00C705A4">
              <w:rPr>
                <w:rFonts w:ascii="Times New Roman" w:hAnsi="Times New Roman"/>
                <w:lang w:val="lt-LT"/>
              </w:rPr>
              <w:t xml:space="preserve"> pilvo skausmas, dispepsija, vidurių užkietėjimas, viduriavimas, dujų kaupimasis žarnyne, stemplės opa*, disfagija*, pilvo išsipūtimas, rūgščių regurgitacija</w:t>
            </w:r>
          </w:p>
          <w:p w14:paraId="45CE5D21" w14:textId="77777777" w:rsidR="002D358F" w:rsidRPr="00C705A4" w:rsidRDefault="002D358F" w:rsidP="002D358F">
            <w:pPr>
              <w:tabs>
                <w:tab w:val="left" w:pos="567"/>
              </w:tabs>
              <w:autoSpaceDE w:val="0"/>
              <w:autoSpaceDN w:val="0"/>
              <w:adjustRightInd w:val="0"/>
              <w:spacing w:after="0" w:line="260" w:lineRule="exact"/>
              <w:rPr>
                <w:rFonts w:ascii="Calibri" w:hAnsi="Calibri"/>
                <w:vertAlign w:val="superscript"/>
                <w:lang w:val="lt-LT"/>
              </w:rPr>
            </w:pPr>
            <w:r w:rsidRPr="00C705A4">
              <w:rPr>
                <w:rFonts w:ascii="Times New Roman" w:hAnsi="Times New Roman"/>
                <w:i/>
                <w:lang w:val="lt-LT"/>
              </w:rPr>
              <w:t>Nedažnas</w:t>
            </w:r>
            <w:r w:rsidRPr="002D358F">
              <w:rPr>
                <w:rFonts w:ascii="Times New Roman" w:eastAsia="Times New Roman" w:hAnsi="Times New Roman" w:cs="Times New Roman"/>
                <w:i/>
                <w:snapToGrid w:val="0"/>
                <w:szCs w:val="20"/>
                <w:lang w:val="en-GB"/>
              </w:rPr>
              <w:t>:</w:t>
            </w:r>
            <w:r w:rsidRPr="00C705A4">
              <w:rPr>
                <w:rFonts w:ascii="Times New Roman" w:hAnsi="Times New Roman"/>
                <w:lang w:val="lt-LT"/>
              </w:rPr>
              <w:t xml:space="preserve"> pykinimas, vėmimas, gastritas, ezofagitas*, stemplės erozijos*, melena</w:t>
            </w:r>
            <w:r w:rsidRPr="002D358F">
              <w:rPr>
                <w:rFonts w:ascii="Times New Roman" w:eastAsia="Times New Roman" w:hAnsi="Times New Roman" w:cs="Times New Roman"/>
                <w:snapToGrid w:val="0"/>
                <w:szCs w:val="20"/>
                <w:vertAlign w:val="superscript"/>
                <w:lang w:val="en-GB"/>
              </w:rPr>
              <w:t>†</w:t>
            </w:r>
          </w:p>
          <w:p w14:paraId="18D7908F"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 xml:space="preserve">Retas: </w:t>
            </w:r>
            <w:r w:rsidRPr="00C705A4">
              <w:rPr>
                <w:rFonts w:ascii="Times New Roman" w:hAnsi="Times New Roman"/>
                <w:lang w:val="lt-LT"/>
              </w:rPr>
              <w:t>stemplės striktūra (susiaurėjimas)*, burnos ir ryklės išopėjimas*, viršutinės virškinamojo trakto dalies POK (perforacijos, opos, kraujavimas)</w:t>
            </w:r>
            <w:r w:rsidRPr="00C705A4">
              <w:rPr>
                <w:rFonts w:ascii="Times New Roman" w:hAnsi="Times New Roman"/>
                <w:vertAlign w:val="superscript"/>
                <w:lang w:val="lt-LT"/>
              </w:rPr>
              <w:t xml:space="preserve"> §</w:t>
            </w:r>
          </w:p>
        </w:tc>
      </w:tr>
      <w:tr w:rsidR="002D358F" w:rsidRPr="005179F7" w14:paraId="1505991F" w14:textId="77777777" w:rsidTr="00E070F6">
        <w:tc>
          <w:tcPr>
            <w:tcW w:w="3652" w:type="dxa"/>
          </w:tcPr>
          <w:p w14:paraId="22828006"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Odos ir poodinio audinio sutrikimai</w:t>
            </w:r>
          </w:p>
        </w:tc>
        <w:tc>
          <w:tcPr>
            <w:tcW w:w="6202" w:type="dxa"/>
          </w:tcPr>
          <w:p w14:paraId="0376304A" w14:textId="77777777" w:rsidR="002D358F" w:rsidRPr="00C705A4" w:rsidRDefault="002D358F" w:rsidP="002D358F">
            <w:pPr>
              <w:tabs>
                <w:tab w:val="left" w:pos="567"/>
              </w:tabs>
              <w:autoSpaceDE w:val="0"/>
              <w:autoSpaceDN w:val="0"/>
              <w:adjustRightInd w:val="0"/>
              <w:spacing w:after="0" w:line="260" w:lineRule="exact"/>
              <w:rPr>
                <w:rFonts w:ascii="Calibri" w:hAnsi="Calibri"/>
                <w:vertAlign w:val="superscript"/>
                <w:lang w:val="lt-LT"/>
              </w:rPr>
            </w:pPr>
            <w:r w:rsidRPr="00C705A4">
              <w:rPr>
                <w:rFonts w:ascii="Times New Roman" w:hAnsi="Times New Roman"/>
                <w:i/>
                <w:lang w:val="lt-LT"/>
              </w:rPr>
              <w:t>Dažnas</w:t>
            </w:r>
            <w:r w:rsidRPr="002D358F">
              <w:rPr>
                <w:rFonts w:ascii="Times New Roman" w:eastAsia="Times New Roman" w:hAnsi="Times New Roman" w:cs="Times New Roman"/>
                <w:i/>
                <w:snapToGrid w:val="0"/>
                <w:szCs w:val="20"/>
                <w:lang w:val="en-GB"/>
              </w:rPr>
              <w:t>:</w:t>
            </w:r>
            <w:r w:rsidRPr="00C705A4">
              <w:rPr>
                <w:rFonts w:ascii="Times New Roman" w:hAnsi="Times New Roman"/>
                <w:lang w:val="lt-LT"/>
              </w:rPr>
              <w:t xml:space="preserve"> alopecija</w:t>
            </w:r>
            <w:r w:rsidRPr="002D358F">
              <w:rPr>
                <w:rFonts w:ascii="Times New Roman" w:eastAsia="Times New Roman" w:hAnsi="Times New Roman" w:cs="Times New Roman"/>
                <w:snapToGrid w:val="0"/>
                <w:szCs w:val="20"/>
                <w:vertAlign w:val="superscript"/>
                <w:lang w:val="en-GB"/>
              </w:rPr>
              <w:t>†</w:t>
            </w:r>
            <w:r w:rsidRPr="00C705A4">
              <w:rPr>
                <w:rFonts w:ascii="Times New Roman" w:hAnsi="Times New Roman"/>
                <w:lang w:val="lt-LT"/>
              </w:rPr>
              <w:t>, nie</w:t>
            </w:r>
            <w:r w:rsidRPr="002D358F">
              <w:rPr>
                <w:rFonts w:ascii="Times New Roman" w:eastAsia="Times New Roman" w:hAnsi="Times New Roman" w:cs="Times New Roman"/>
                <w:snapToGrid w:val="0"/>
                <w:szCs w:val="20"/>
                <w:lang w:val="en-GB"/>
              </w:rPr>
              <w:t>žėjimas</w:t>
            </w:r>
            <w:r w:rsidRPr="00C705A4">
              <w:rPr>
                <w:rFonts w:ascii="Times New Roman" w:hAnsi="Times New Roman"/>
                <w:vertAlign w:val="superscript"/>
                <w:lang w:val="lt-LT"/>
              </w:rPr>
              <w:t>†</w:t>
            </w:r>
          </w:p>
          <w:p w14:paraId="68272CA5"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Nedažnas</w:t>
            </w:r>
            <w:r w:rsidRPr="002D358F">
              <w:rPr>
                <w:rFonts w:ascii="Times New Roman" w:eastAsia="Times New Roman" w:hAnsi="Times New Roman" w:cs="Times New Roman"/>
                <w:i/>
                <w:snapToGrid w:val="0"/>
                <w:szCs w:val="20"/>
                <w:lang w:val="en-GB"/>
              </w:rPr>
              <w:t>:</w:t>
            </w:r>
            <w:r w:rsidRPr="00C705A4">
              <w:rPr>
                <w:rFonts w:ascii="Times New Roman" w:hAnsi="Times New Roman"/>
                <w:lang w:val="lt-LT"/>
              </w:rPr>
              <w:t xml:space="preserve"> bėrimas, raudonė</w:t>
            </w:r>
          </w:p>
          <w:p w14:paraId="41E8A4C3"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Retas:</w:t>
            </w:r>
            <w:r w:rsidRPr="00C705A4">
              <w:rPr>
                <w:rFonts w:ascii="Times New Roman" w:hAnsi="Times New Roman"/>
                <w:lang w:val="lt-LT"/>
              </w:rPr>
              <w:t xml:space="preserve"> bėrimas, lydimas padidėjusio jautrumo šviesai, sunkios odos reakcijos, įskaitant Stivenso - Džonsono sindromą ir toksinę epidermio nekrolizę</w:t>
            </w:r>
            <w:r w:rsidRPr="00C705A4">
              <w:rPr>
                <w:rFonts w:ascii="Times New Roman" w:hAnsi="Times New Roman"/>
                <w:vertAlign w:val="superscript"/>
                <w:lang w:val="lt-LT"/>
              </w:rPr>
              <w:t>‡</w:t>
            </w:r>
          </w:p>
        </w:tc>
      </w:tr>
      <w:tr w:rsidR="002D358F" w:rsidRPr="005179F7" w14:paraId="41F5BE06" w14:textId="77777777" w:rsidTr="00E070F6">
        <w:tc>
          <w:tcPr>
            <w:tcW w:w="3652" w:type="dxa"/>
          </w:tcPr>
          <w:p w14:paraId="12CFEA4B"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Skeleto, raumenų ir jungiamojo audinio sutrikimai</w:t>
            </w:r>
          </w:p>
        </w:tc>
        <w:tc>
          <w:tcPr>
            <w:tcW w:w="6202" w:type="dxa"/>
          </w:tcPr>
          <w:p w14:paraId="4D5C0348"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Labai dažnas:</w:t>
            </w:r>
            <w:r w:rsidRPr="00C705A4">
              <w:rPr>
                <w:rFonts w:ascii="Times New Roman" w:hAnsi="Times New Roman"/>
                <w:lang w:val="lt-LT"/>
              </w:rPr>
              <w:t xml:space="preserve"> skeleto ir raumenų (kaulų, raumenų ar sąnarių) skausmas, kartais sunkus</w:t>
            </w:r>
            <w:r w:rsidRPr="00C705A4">
              <w:rPr>
                <w:rFonts w:ascii="Times New Roman" w:hAnsi="Times New Roman"/>
                <w:vertAlign w:val="superscript"/>
                <w:lang w:val="lt-LT"/>
              </w:rPr>
              <w:t>†§</w:t>
            </w:r>
          </w:p>
          <w:p w14:paraId="5DF6B84C"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Dažnas:</w:t>
            </w:r>
            <w:r w:rsidRPr="00C705A4">
              <w:rPr>
                <w:rFonts w:ascii="Times New Roman" w:hAnsi="Times New Roman"/>
                <w:lang w:val="lt-LT"/>
              </w:rPr>
              <w:t xml:space="preserve"> sąnarių patinimas</w:t>
            </w:r>
            <w:r w:rsidRPr="00C705A4">
              <w:rPr>
                <w:rFonts w:ascii="Times New Roman" w:hAnsi="Times New Roman"/>
                <w:vertAlign w:val="superscript"/>
                <w:lang w:val="lt-LT"/>
              </w:rPr>
              <w:t>†</w:t>
            </w:r>
          </w:p>
          <w:p w14:paraId="5D091EF6" w14:textId="77777777" w:rsidR="002D358F" w:rsidRPr="00C705A4" w:rsidRDefault="002D358F" w:rsidP="002D358F">
            <w:pPr>
              <w:tabs>
                <w:tab w:val="left" w:pos="567"/>
              </w:tabs>
              <w:autoSpaceDE w:val="0"/>
              <w:autoSpaceDN w:val="0"/>
              <w:adjustRightInd w:val="0"/>
              <w:spacing w:after="0" w:line="260" w:lineRule="exact"/>
              <w:rPr>
                <w:rFonts w:ascii="Calibri" w:hAnsi="Calibri"/>
                <w:u w:val="single"/>
                <w:lang w:val="lt-LT"/>
              </w:rPr>
            </w:pPr>
            <w:r w:rsidRPr="00C705A4">
              <w:rPr>
                <w:rFonts w:ascii="Times New Roman" w:hAnsi="Times New Roman"/>
                <w:i/>
                <w:lang w:val="lt-LT"/>
              </w:rPr>
              <w:t>Retas:</w:t>
            </w:r>
            <w:r w:rsidRPr="00C705A4">
              <w:rPr>
                <w:rFonts w:ascii="Times New Roman" w:hAnsi="Times New Roman"/>
                <w:lang w:val="lt-LT"/>
              </w:rPr>
              <w:t xml:space="preserve"> apatinio žandikaulio osteonekrozė</w:t>
            </w:r>
            <w:r w:rsidRPr="00C705A4">
              <w:rPr>
                <w:rFonts w:ascii="Times New Roman" w:hAnsi="Times New Roman"/>
                <w:vertAlign w:val="superscript"/>
                <w:lang w:val="lt-LT"/>
              </w:rPr>
              <w:t>‡§</w:t>
            </w:r>
            <w:r w:rsidRPr="00C705A4">
              <w:rPr>
                <w:rFonts w:ascii="Times New Roman" w:hAnsi="Times New Roman"/>
                <w:lang w:val="lt-LT"/>
              </w:rPr>
              <w:t>; atipiniai subgūbriniai ir diafiziniai šlaunikaulio lūžiai (bisfosfonatų klasei būdinga nepageidaujama reakcija)</w:t>
            </w:r>
            <w:r w:rsidRPr="00C705A4">
              <w:rPr>
                <w:rFonts w:ascii="Times New Roman" w:hAnsi="Times New Roman"/>
                <w:vertAlign w:val="superscript"/>
                <w:lang w:val="lt-LT"/>
              </w:rPr>
              <w:t xml:space="preserve"> </w:t>
            </w:r>
            <w:r w:rsidRPr="002D358F">
              <w:rPr>
                <w:rFonts w:ascii="Times New Roman" w:eastAsia="Times New Roman" w:hAnsi="Times New Roman" w:cs="Times New Roman"/>
                <w:snapToGrid w:val="0"/>
                <w:szCs w:val="20"/>
                <w:vertAlign w:val="superscript"/>
                <w:lang w:val="en-GB"/>
              </w:rPr>
              <w:sym w:font="Symbol" w:char="F05E"/>
            </w:r>
          </w:p>
        </w:tc>
      </w:tr>
      <w:tr w:rsidR="002D358F" w:rsidRPr="005179F7" w14:paraId="5C6A75BC" w14:textId="77777777" w:rsidTr="00E070F6">
        <w:tc>
          <w:tcPr>
            <w:tcW w:w="3652" w:type="dxa"/>
          </w:tcPr>
          <w:p w14:paraId="0B87D349"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Bendrieji sutrikimai ir vartojimo vietos pažeidimai</w:t>
            </w:r>
          </w:p>
        </w:tc>
        <w:tc>
          <w:tcPr>
            <w:tcW w:w="6202" w:type="dxa"/>
          </w:tcPr>
          <w:p w14:paraId="74C14898"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Dažnas:</w:t>
            </w:r>
            <w:r w:rsidRPr="00C705A4">
              <w:rPr>
                <w:rFonts w:ascii="Times New Roman" w:hAnsi="Times New Roman"/>
                <w:lang w:val="lt-LT"/>
              </w:rPr>
              <w:t xml:space="preserve"> astenija</w:t>
            </w:r>
            <w:r w:rsidRPr="00C705A4">
              <w:rPr>
                <w:rFonts w:ascii="Times New Roman" w:hAnsi="Times New Roman"/>
                <w:vertAlign w:val="superscript"/>
                <w:lang w:val="lt-LT"/>
              </w:rPr>
              <w:t>†</w:t>
            </w:r>
            <w:r w:rsidRPr="00C705A4">
              <w:rPr>
                <w:rFonts w:ascii="Times New Roman" w:hAnsi="Times New Roman"/>
                <w:lang w:val="lt-LT"/>
              </w:rPr>
              <w:t>, periferinė edema</w:t>
            </w:r>
            <w:r w:rsidRPr="00C705A4">
              <w:rPr>
                <w:rFonts w:ascii="Times New Roman" w:hAnsi="Times New Roman"/>
                <w:vertAlign w:val="superscript"/>
                <w:lang w:val="lt-LT"/>
              </w:rPr>
              <w:t>†</w:t>
            </w:r>
          </w:p>
          <w:p w14:paraId="360AEE73" w14:textId="77777777" w:rsidR="002D358F" w:rsidRPr="00C705A4" w:rsidRDefault="002D358F" w:rsidP="002D358F">
            <w:pPr>
              <w:tabs>
                <w:tab w:val="left" w:pos="567"/>
              </w:tabs>
              <w:autoSpaceDE w:val="0"/>
              <w:autoSpaceDN w:val="0"/>
              <w:adjustRightInd w:val="0"/>
              <w:spacing w:after="0" w:line="260" w:lineRule="exact"/>
              <w:rPr>
                <w:rFonts w:ascii="Calibri" w:hAnsi="Calibri"/>
                <w:u w:val="single"/>
                <w:lang w:val="lt-LT"/>
              </w:rPr>
            </w:pPr>
            <w:r w:rsidRPr="00C705A4">
              <w:rPr>
                <w:rFonts w:ascii="Times New Roman" w:hAnsi="Times New Roman"/>
                <w:i/>
                <w:lang w:val="lt-LT"/>
              </w:rPr>
              <w:lastRenderedPageBreak/>
              <w:t>Nedažnas:</w:t>
            </w:r>
            <w:r w:rsidRPr="00C705A4">
              <w:rPr>
                <w:rFonts w:ascii="Times New Roman" w:hAnsi="Times New Roman"/>
                <w:lang w:val="lt-LT"/>
              </w:rPr>
              <w:t xml:space="preserve"> laikini simptomai kaip ūminės fazės atsakas (raumenų skausmas, bendras negalavimas, retai – karščiavimas), paprastai susiję su gydymo pradžia</w:t>
            </w:r>
            <w:r w:rsidRPr="00C705A4">
              <w:rPr>
                <w:rFonts w:ascii="Times New Roman" w:hAnsi="Times New Roman"/>
                <w:vertAlign w:val="superscript"/>
                <w:lang w:val="lt-LT"/>
              </w:rPr>
              <w:t>†</w:t>
            </w:r>
          </w:p>
        </w:tc>
      </w:tr>
      <w:tr w:rsidR="002D358F" w:rsidRPr="002D358F" w14:paraId="54622DDA" w14:textId="77777777" w:rsidTr="00E070F6">
        <w:trPr>
          <w:trHeight w:val="296"/>
        </w:trPr>
        <w:tc>
          <w:tcPr>
            <w:tcW w:w="9854" w:type="dxa"/>
            <w:gridSpan w:val="2"/>
          </w:tcPr>
          <w:p w14:paraId="7B33A3D5"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i/>
                <w:sz w:val="20"/>
                <w:lang w:val="lt-LT"/>
              </w:rPr>
            </w:pPr>
            <w:r w:rsidRPr="00C705A4">
              <w:rPr>
                <w:rFonts w:ascii="Times New Roman" w:hAnsi="Times New Roman"/>
                <w:sz w:val="20"/>
                <w:vertAlign w:val="superscript"/>
                <w:lang w:val="lt-LT"/>
              </w:rPr>
              <w:lastRenderedPageBreak/>
              <w:t xml:space="preserve">§ </w:t>
            </w:r>
            <w:r w:rsidRPr="00C705A4">
              <w:rPr>
                <w:rFonts w:ascii="Times New Roman" w:hAnsi="Times New Roman"/>
                <w:i/>
                <w:sz w:val="20"/>
                <w:lang w:val="lt-LT"/>
              </w:rPr>
              <w:t>Žr. 4.4 skyrių</w:t>
            </w:r>
          </w:p>
          <w:p w14:paraId="072109DC"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i/>
                <w:sz w:val="20"/>
                <w:lang w:val="lt-LT"/>
              </w:rPr>
            </w:pPr>
            <w:r w:rsidRPr="00C705A4">
              <w:rPr>
                <w:rFonts w:ascii="Times New Roman" w:hAnsi="Times New Roman"/>
                <w:sz w:val="20"/>
                <w:vertAlign w:val="superscript"/>
                <w:lang w:val="lt-LT"/>
              </w:rPr>
              <w:t xml:space="preserve">† </w:t>
            </w:r>
            <w:r w:rsidRPr="00C705A4">
              <w:rPr>
                <w:rFonts w:ascii="Times New Roman" w:hAnsi="Times New Roman"/>
                <w:i/>
                <w:sz w:val="20"/>
                <w:lang w:val="lt-LT"/>
              </w:rPr>
              <w:t>Dažnis klinikiniuose tyrimuose panašus tiek preparato, tiek placebo grupėse.</w:t>
            </w:r>
          </w:p>
          <w:p w14:paraId="1983EA8E"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i/>
                <w:sz w:val="20"/>
                <w:lang w:val="lt-LT"/>
              </w:rPr>
            </w:pPr>
            <w:r w:rsidRPr="00C705A4">
              <w:rPr>
                <w:rFonts w:ascii="Times New Roman" w:hAnsi="Times New Roman"/>
                <w:sz w:val="20"/>
                <w:lang w:val="lt-LT"/>
              </w:rPr>
              <w:t xml:space="preserve">* </w:t>
            </w:r>
            <w:r w:rsidRPr="00C705A4">
              <w:rPr>
                <w:rFonts w:ascii="Times New Roman" w:hAnsi="Times New Roman"/>
                <w:i/>
                <w:sz w:val="20"/>
                <w:lang w:val="lt-LT"/>
              </w:rPr>
              <w:t>Žr. 4.2 ir 4.4 skyrius.</w:t>
            </w:r>
          </w:p>
          <w:p w14:paraId="74CA14D0"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i/>
                <w:sz w:val="20"/>
                <w:lang w:val="lt-LT"/>
              </w:rPr>
            </w:pPr>
            <w:r w:rsidRPr="00C705A4">
              <w:rPr>
                <w:rFonts w:ascii="Times New Roman" w:hAnsi="Times New Roman"/>
                <w:sz w:val="20"/>
                <w:vertAlign w:val="superscript"/>
                <w:lang w:val="lt-LT"/>
              </w:rPr>
              <w:t xml:space="preserve">‡ </w:t>
            </w:r>
            <w:r w:rsidRPr="00C705A4">
              <w:rPr>
                <w:rFonts w:ascii="Times New Roman" w:hAnsi="Times New Roman"/>
                <w:i/>
                <w:sz w:val="20"/>
                <w:lang w:val="lt-LT"/>
              </w:rPr>
              <w:t>Ši nepageidaujama reakcija nustatyta vaistui jau patekus į rinką. Re</w:t>
            </w:r>
            <w:r w:rsidRPr="002D358F">
              <w:rPr>
                <w:rFonts w:ascii="Times New Roman" w:eastAsia="Times New Roman" w:hAnsi="Times New Roman" w:cs="Times New Roman"/>
                <w:i/>
                <w:snapToGrid w:val="0"/>
                <w:sz w:val="20"/>
                <w:szCs w:val="20"/>
                <w:lang w:val="en-GB"/>
              </w:rPr>
              <w:t>tas dažnis apskaičiuotas remiantis reikšmingais klinikiniais tyrimais.</w:t>
            </w:r>
          </w:p>
          <w:p w14:paraId="078D577E"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u w:val="single"/>
                <w:lang w:val="lt-LT"/>
              </w:rPr>
            </w:pPr>
            <w:r w:rsidRPr="002D358F">
              <w:rPr>
                <w:rFonts w:ascii="Times New Roman" w:eastAsia="Times New Roman" w:hAnsi="Times New Roman" w:cs="Times New Roman"/>
                <w:snapToGrid w:val="0"/>
                <w:sz w:val="20"/>
                <w:szCs w:val="20"/>
                <w:vertAlign w:val="superscript"/>
                <w:lang w:val="en-GB"/>
              </w:rPr>
              <w:sym w:font="Symbol" w:char="F05E"/>
            </w:r>
            <w:r w:rsidRPr="00C705A4">
              <w:rPr>
                <w:rFonts w:ascii="Times New Roman" w:hAnsi="Times New Roman"/>
                <w:sz w:val="20"/>
                <w:vertAlign w:val="superscript"/>
                <w:lang w:val="lt-LT"/>
              </w:rPr>
              <w:t xml:space="preserve"> </w:t>
            </w:r>
            <w:r w:rsidRPr="00C705A4">
              <w:rPr>
                <w:rFonts w:ascii="Times New Roman" w:hAnsi="Times New Roman"/>
                <w:i/>
                <w:sz w:val="20"/>
                <w:lang w:val="lt-LT"/>
              </w:rPr>
              <w:t>Nustatyta preparatui jau patekus į rinką.</w:t>
            </w:r>
          </w:p>
        </w:tc>
      </w:tr>
    </w:tbl>
    <w:p w14:paraId="5585DD0F"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u w:val="single"/>
          <w:lang w:val="lt-LT"/>
        </w:rPr>
      </w:pPr>
    </w:p>
    <w:p w14:paraId="0B7E72A0"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u w:val="single"/>
          <w:lang w:val="lt-LT"/>
        </w:rPr>
        <w:t>Kalcio/kolekalciferolio tabletės</w:t>
      </w:r>
    </w:p>
    <w:p w14:paraId="0D00265D"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lang w:val="lt-LT"/>
        </w:rPr>
        <w:t>Nepageidaujamos vaisto reakcijos nurodytos toliau.</w:t>
      </w:r>
    </w:p>
    <w:p w14:paraId="59CC8724"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lang w:val="lt-LT"/>
        </w:rPr>
      </w:pPr>
    </w:p>
    <w:p w14:paraId="16694340"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lang w:val="lt-LT"/>
        </w:rPr>
        <w:t>Nepageidaujamo poveikio dažnis apibūdinamas taip: nedažnas (nuo ≥ 1/1000 iki &lt; 1/100), retas (nuo ≥ 1/10000 iki &lt; 1/1000) ir nežinomas (negali būti apskaičiuotas pagal turimus duomenis).</w:t>
      </w:r>
    </w:p>
    <w:p w14:paraId="5F45B98D"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u w:val="single"/>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5672"/>
      </w:tblGrid>
      <w:tr w:rsidR="002D358F" w:rsidRPr="005179F7" w14:paraId="35FC54B7" w14:textId="77777777" w:rsidTr="00E070F6">
        <w:tc>
          <w:tcPr>
            <w:tcW w:w="3461" w:type="dxa"/>
          </w:tcPr>
          <w:p w14:paraId="10EC451F"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Imuninės sistemos sutrikimai</w:t>
            </w:r>
          </w:p>
        </w:tc>
        <w:tc>
          <w:tcPr>
            <w:tcW w:w="5825" w:type="dxa"/>
          </w:tcPr>
          <w:p w14:paraId="53246325"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Dažnis nežinomas (negali būti apskaičiuotas pagal turimus duomenis):</w:t>
            </w:r>
            <w:r w:rsidRPr="00C705A4">
              <w:rPr>
                <w:rFonts w:ascii="Times New Roman" w:hAnsi="Times New Roman"/>
                <w:lang w:val="lt-LT"/>
              </w:rPr>
              <w:t xml:space="preserve"> padidėjusio jautrumo reakcijos, pvz., angioedema arba gerklų edema</w:t>
            </w:r>
          </w:p>
        </w:tc>
      </w:tr>
      <w:tr w:rsidR="002D358F" w:rsidRPr="002D358F" w14:paraId="2E6FA487" w14:textId="77777777" w:rsidTr="00E070F6">
        <w:tc>
          <w:tcPr>
            <w:tcW w:w="3461" w:type="dxa"/>
          </w:tcPr>
          <w:p w14:paraId="2C4AB4E4"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Metabolizmo ir mitybos sutrikimai</w:t>
            </w:r>
          </w:p>
        </w:tc>
        <w:tc>
          <w:tcPr>
            <w:tcW w:w="5825" w:type="dxa"/>
          </w:tcPr>
          <w:p w14:paraId="490A6273"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Nedažnas</w:t>
            </w:r>
            <w:r w:rsidRPr="002D358F">
              <w:rPr>
                <w:rFonts w:ascii="Times New Roman" w:eastAsia="Times New Roman" w:hAnsi="Times New Roman" w:cs="Times New Roman"/>
                <w:i/>
                <w:snapToGrid w:val="0"/>
                <w:szCs w:val="20"/>
                <w:lang w:val="en-GB"/>
              </w:rPr>
              <w:t>:</w:t>
            </w:r>
            <w:r w:rsidRPr="00C705A4">
              <w:rPr>
                <w:rFonts w:ascii="Times New Roman" w:hAnsi="Times New Roman"/>
                <w:lang w:val="lt-LT"/>
              </w:rPr>
              <w:t xml:space="preserve"> hiperkalcemija ir hiperkalciurija</w:t>
            </w:r>
          </w:p>
        </w:tc>
      </w:tr>
      <w:tr w:rsidR="002D358F" w:rsidRPr="005179F7" w14:paraId="3EAABBAD" w14:textId="77777777" w:rsidTr="00E070F6">
        <w:tc>
          <w:tcPr>
            <w:tcW w:w="3461" w:type="dxa"/>
          </w:tcPr>
          <w:p w14:paraId="0C07A537" w14:textId="77777777" w:rsidR="002D358F" w:rsidRPr="00C705A4" w:rsidRDefault="002D358F" w:rsidP="002D358F">
            <w:pPr>
              <w:tabs>
                <w:tab w:val="left" w:pos="567"/>
              </w:tabs>
              <w:autoSpaceDE w:val="0"/>
              <w:autoSpaceDN w:val="0"/>
              <w:adjustRightInd w:val="0"/>
              <w:spacing w:after="0" w:line="260" w:lineRule="exact"/>
              <w:jc w:val="both"/>
              <w:rPr>
                <w:rFonts w:ascii="Times New Roman" w:hAnsi="Times New Roman"/>
                <w:b/>
                <w:i/>
                <w:u w:val="single"/>
                <w:lang w:val="lt-LT"/>
              </w:rPr>
            </w:pPr>
            <w:r w:rsidRPr="00C705A4">
              <w:rPr>
                <w:rFonts w:ascii="Times New Roman" w:hAnsi="Times New Roman"/>
                <w:b/>
                <w:i/>
                <w:lang w:val="lt-LT"/>
              </w:rPr>
              <w:t>Virškinimo trakto sutrikimai</w:t>
            </w:r>
          </w:p>
        </w:tc>
        <w:tc>
          <w:tcPr>
            <w:tcW w:w="5825" w:type="dxa"/>
          </w:tcPr>
          <w:p w14:paraId="1C59DE1D" w14:textId="77777777" w:rsidR="002D358F" w:rsidRPr="00C705A4" w:rsidRDefault="002D358F" w:rsidP="002D358F">
            <w:pPr>
              <w:tabs>
                <w:tab w:val="left" w:pos="567"/>
              </w:tabs>
              <w:autoSpaceDE w:val="0"/>
              <w:autoSpaceDN w:val="0"/>
              <w:adjustRightInd w:val="0"/>
              <w:spacing w:after="0" w:line="260" w:lineRule="exact"/>
              <w:jc w:val="both"/>
              <w:rPr>
                <w:rFonts w:ascii="Calibri" w:hAnsi="Calibri"/>
                <w:lang w:val="lt-LT"/>
              </w:rPr>
            </w:pPr>
            <w:r w:rsidRPr="00C705A4">
              <w:rPr>
                <w:rFonts w:ascii="Times New Roman" w:hAnsi="Times New Roman"/>
                <w:i/>
                <w:lang w:val="lt-LT"/>
              </w:rPr>
              <w:t>Retas:</w:t>
            </w:r>
            <w:r w:rsidRPr="00C705A4">
              <w:rPr>
                <w:rFonts w:ascii="Times New Roman" w:hAnsi="Times New Roman"/>
                <w:lang w:val="lt-LT"/>
              </w:rPr>
              <w:t xml:space="preserve"> vidurių užkietėjimas, dujų kaupimasis žarnyne, pykinimas, pilvo skausmas ir viduriavimas </w:t>
            </w:r>
          </w:p>
        </w:tc>
      </w:tr>
      <w:tr w:rsidR="002D358F" w:rsidRPr="002D358F" w14:paraId="708277D0" w14:textId="77777777" w:rsidTr="00E070F6">
        <w:tc>
          <w:tcPr>
            <w:tcW w:w="3461" w:type="dxa"/>
          </w:tcPr>
          <w:p w14:paraId="36EEBE14"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b/>
                <w:i/>
                <w:u w:val="single"/>
                <w:lang w:val="lt-LT"/>
              </w:rPr>
            </w:pPr>
            <w:r w:rsidRPr="00C705A4">
              <w:rPr>
                <w:rFonts w:ascii="Times New Roman" w:hAnsi="Times New Roman"/>
                <w:b/>
                <w:i/>
                <w:lang w:val="lt-LT"/>
              </w:rPr>
              <w:t>Odos ir poodinio audinio sutrikimai</w:t>
            </w:r>
          </w:p>
        </w:tc>
        <w:tc>
          <w:tcPr>
            <w:tcW w:w="5825" w:type="dxa"/>
          </w:tcPr>
          <w:p w14:paraId="7FFEE41F"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i/>
                <w:lang w:val="lt-LT"/>
              </w:rPr>
              <w:t>Retas</w:t>
            </w:r>
            <w:r w:rsidRPr="002D358F">
              <w:rPr>
                <w:rFonts w:ascii="Times New Roman" w:eastAsia="Times New Roman" w:hAnsi="Times New Roman" w:cs="Times New Roman"/>
                <w:i/>
                <w:snapToGrid w:val="0"/>
                <w:szCs w:val="20"/>
                <w:lang w:val="en-GB"/>
              </w:rPr>
              <w:t>:</w:t>
            </w:r>
            <w:r w:rsidRPr="00C705A4">
              <w:rPr>
                <w:rFonts w:ascii="Times New Roman" w:hAnsi="Times New Roman"/>
                <w:lang w:val="lt-LT"/>
              </w:rPr>
              <w:t xml:space="preserve"> niež</w:t>
            </w:r>
            <w:r w:rsidRPr="002D358F">
              <w:rPr>
                <w:rFonts w:ascii="Times New Roman" w:eastAsia="Times New Roman" w:hAnsi="Times New Roman" w:cs="Times New Roman"/>
                <w:snapToGrid w:val="0"/>
                <w:szCs w:val="20"/>
                <w:lang w:val="en-GB"/>
              </w:rPr>
              <w:t>ėjimas, išbėrimas ir dilgėlinė</w:t>
            </w:r>
          </w:p>
        </w:tc>
      </w:tr>
    </w:tbl>
    <w:p w14:paraId="583B5ED2"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u w:val="single"/>
          <w:lang w:val="lt-LT"/>
        </w:rPr>
      </w:pPr>
    </w:p>
    <w:p w14:paraId="78B18CA8" w14:textId="77777777" w:rsidR="002D358F" w:rsidRPr="00C705A4" w:rsidRDefault="002D358F" w:rsidP="002D358F">
      <w:pPr>
        <w:tabs>
          <w:tab w:val="left" w:pos="567"/>
        </w:tabs>
        <w:autoSpaceDE w:val="0"/>
        <w:autoSpaceDN w:val="0"/>
        <w:adjustRightInd w:val="0"/>
        <w:spacing w:after="0" w:line="260" w:lineRule="exact"/>
        <w:rPr>
          <w:rFonts w:ascii="Calibri" w:hAnsi="Calibri"/>
          <w:u w:val="single"/>
          <w:lang w:val="lt-LT"/>
        </w:rPr>
      </w:pPr>
      <w:r w:rsidRPr="00C705A4">
        <w:rPr>
          <w:rFonts w:ascii="Times New Roman" w:hAnsi="Times New Roman"/>
          <w:u w:val="single"/>
          <w:lang w:val="lt-LT"/>
        </w:rPr>
        <w:t>Ypatingos populiacijos</w:t>
      </w:r>
    </w:p>
    <w:p w14:paraId="4E6DF839"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lang w:val="lt-LT"/>
        </w:rPr>
        <w:t>Pacientams, sergantiems inkstų funkcijos sutrikimu, gali grėsti hiperfosfatemijos, inkstų akmenligės ir nefrokalcinozės rizika.</w:t>
      </w:r>
    </w:p>
    <w:p w14:paraId="6BD891D3"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lang w:val="lt-LT"/>
        </w:rPr>
      </w:pPr>
    </w:p>
    <w:p w14:paraId="6E5F33CD" w14:textId="77777777" w:rsidR="002D358F" w:rsidRPr="00C705A4" w:rsidRDefault="002D358F" w:rsidP="002D358F">
      <w:pPr>
        <w:tabs>
          <w:tab w:val="left" w:pos="567"/>
        </w:tabs>
        <w:autoSpaceDE w:val="0"/>
        <w:autoSpaceDN w:val="0"/>
        <w:adjustRightInd w:val="0"/>
        <w:spacing w:after="0" w:line="260" w:lineRule="exact"/>
        <w:rPr>
          <w:rFonts w:ascii="Calibri" w:hAnsi="Calibri"/>
          <w:u w:val="single"/>
          <w:lang w:val="lt-LT"/>
        </w:rPr>
      </w:pPr>
      <w:r w:rsidRPr="00C705A4">
        <w:rPr>
          <w:rFonts w:ascii="Times New Roman" w:hAnsi="Times New Roman"/>
          <w:u w:val="single"/>
          <w:lang w:val="lt-LT"/>
        </w:rPr>
        <w:t>Pranešimas apie įtariamas nepageidaujamas reakcijas</w:t>
      </w:r>
    </w:p>
    <w:p w14:paraId="55532BE5" w14:textId="77777777" w:rsidR="002D358F" w:rsidRPr="00C705A4" w:rsidRDefault="002D358F" w:rsidP="002D358F">
      <w:pPr>
        <w:tabs>
          <w:tab w:val="left" w:pos="567"/>
        </w:tabs>
        <w:autoSpaceDE w:val="0"/>
        <w:autoSpaceDN w:val="0"/>
        <w:adjustRightInd w:val="0"/>
        <w:spacing w:after="0" w:line="260" w:lineRule="exact"/>
        <w:rPr>
          <w:rFonts w:ascii="Calibri" w:hAnsi="Calibri"/>
          <w:lang w:val="lt-LT"/>
        </w:rPr>
      </w:pPr>
      <w:r w:rsidRPr="00C705A4">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705A4">
          <w:rPr>
            <w:rFonts w:ascii="Times New Roman" w:hAnsi="Times New Roman"/>
            <w:color w:val="0000FF"/>
            <w:u w:val="single"/>
            <w:lang w:val="lt-LT"/>
          </w:rPr>
          <w:t>www.vvkt.lt</w:t>
        </w:r>
      </w:hyperlink>
      <w:r w:rsidRPr="00C705A4">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705A4">
          <w:rPr>
            <w:rFonts w:ascii="Times New Roman" w:hAnsi="Times New Roman"/>
            <w:color w:val="0000FF"/>
            <w:u w:val="single"/>
            <w:lang w:val="lt-LT"/>
          </w:rPr>
          <w:t>NepageidaujamaR@vvkt.lt</w:t>
        </w:r>
      </w:hyperlink>
      <w:r w:rsidRPr="00C705A4">
        <w:rPr>
          <w:rFonts w:ascii="Times New Roman" w:hAnsi="Times New Roman"/>
          <w:lang w:val="lt-LT"/>
        </w:rPr>
        <w:t>), per interneto svetainę (adresu http://www.vvkt.lt).</w:t>
      </w:r>
    </w:p>
    <w:p w14:paraId="72C7C3BC" w14:textId="77777777" w:rsidR="002D358F" w:rsidRPr="00C705A4" w:rsidRDefault="002D358F" w:rsidP="002D358F">
      <w:pPr>
        <w:tabs>
          <w:tab w:val="left" w:pos="567"/>
        </w:tabs>
        <w:autoSpaceDE w:val="0"/>
        <w:autoSpaceDN w:val="0"/>
        <w:adjustRightInd w:val="0"/>
        <w:spacing w:after="0" w:line="260" w:lineRule="exact"/>
        <w:rPr>
          <w:rFonts w:ascii="Times New Roman" w:hAnsi="Times New Roman"/>
          <w:lang w:val="lt-LT"/>
        </w:rPr>
      </w:pPr>
    </w:p>
    <w:p w14:paraId="74ACF170" w14:textId="77777777" w:rsidR="002D358F" w:rsidRPr="00C705A4" w:rsidRDefault="002D358F" w:rsidP="002D358F">
      <w:pPr>
        <w:keepNext/>
        <w:tabs>
          <w:tab w:val="left" w:pos="567"/>
        </w:tabs>
        <w:spacing w:after="0" w:line="260" w:lineRule="exact"/>
        <w:outlineLvl w:val="3"/>
        <w:rPr>
          <w:rFonts w:ascii="Calibri" w:hAnsi="Calibri"/>
          <w:sz w:val="28"/>
          <w:lang w:val="lt-LT"/>
        </w:rPr>
      </w:pPr>
      <w:r w:rsidRPr="00C705A4">
        <w:rPr>
          <w:rFonts w:ascii="Times New Roman" w:hAnsi="Times New Roman"/>
          <w:b/>
          <w:lang w:val="lt-LT"/>
        </w:rPr>
        <w:t>4.9</w:t>
      </w:r>
      <w:r w:rsidRPr="00C705A4">
        <w:rPr>
          <w:rFonts w:ascii="Times New Roman" w:hAnsi="Times New Roman"/>
          <w:b/>
          <w:lang w:val="lt-LT"/>
        </w:rPr>
        <w:tab/>
        <w:t>Perdozavimas</w:t>
      </w:r>
    </w:p>
    <w:p w14:paraId="29B7567E" w14:textId="77777777" w:rsidR="002D358F" w:rsidRPr="00C705A4" w:rsidRDefault="002D358F" w:rsidP="002D358F">
      <w:pPr>
        <w:tabs>
          <w:tab w:val="left" w:pos="567"/>
        </w:tabs>
        <w:spacing w:after="0" w:line="260" w:lineRule="exact"/>
        <w:rPr>
          <w:rFonts w:ascii="Times New Roman" w:hAnsi="Times New Roman"/>
          <w:lang w:val="lt-LT"/>
        </w:rPr>
      </w:pPr>
    </w:p>
    <w:p w14:paraId="797DDC89"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Alendronatas</w:t>
      </w:r>
      <w:r w:rsidRPr="005179F7">
        <w:rPr>
          <w:rFonts w:ascii="Times New Roman" w:eastAsia="Times New Roman" w:hAnsi="Times New Roman" w:cs="Times New Roman"/>
          <w:snapToGrid w:val="0"/>
          <w:szCs w:val="20"/>
          <w:u w:val="single"/>
          <w:lang w:val="lt-LT"/>
        </w:rPr>
        <w:t xml:space="preserve"> 70 mg</w:t>
      </w:r>
    </w:p>
    <w:p w14:paraId="6C827FE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Perdozavus geriamojo alendronato, gali pasireikšti hipokalcemija, hipofosfatemija ir viršutinės virškinamojo trakto dalies nepageidaujamos reakcijos, pvz., skrandžio sudirgimas, rėmuo, ezofagitas, gastritas arba opa.</w:t>
      </w:r>
    </w:p>
    <w:p w14:paraId="6570F4B7" w14:textId="77777777" w:rsidR="002D358F" w:rsidRPr="00C705A4" w:rsidRDefault="002D358F" w:rsidP="002D358F">
      <w:pPr>
        <w:tabs>
          <w:tab w:val="left" w:pos="567"/>
        </w:tabs>
        <w:spacing w:after="0" w:line="260" w:lineRule="exact"/>
        <w:rPr>
          <w:rFonts w:ascii="Times New Roman" w:hAnsi="Times New Roman"/>
          <w:lang w:val="lt-LT"/>
        </w:rPr>
      </w:pPr>
    </w:p>
    <w:p w14:paraId="3968F4CF"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Specifinės informacijos apie alendronato perdozavimo gydymą</w:t>
      </w:r>
      <w:r w:rsidRPr="002D358F">
        <w:rPr>
          <w:rFonts w:ascii="Times New Roman" w:eastAsia="Times New Roman" w:hAnsi="Times New Roman" w:cs="Times New Roman"/>
          <w:snapToGrid w:val="0"/>
          <w:szCs w:val="20"/>
          <w:lang w:val="en-GB"/>
        </w:rPr>
        <w:t xml:space="preserve"> nėra. Reikia skirti pieno arba antacidų, kurie alendronatą sujungia. Dėl stemplės sudirginimo rizikos negalima skatinti vėmimo, pacientas turi išlikti visiškai vertikalioje padėtyje.</w:t>
      </w:r>
    </w:p>
    <w:p w14:paraId="0A848B5C" w14:textId="77777777" w:rsidR="002D358F" w:rsidRPr="00C705A4" w:rsidRDefault="002D358F" w:rsidP="002D358F">
      <w:pPr>
        <w:tabs>
          <w:tab w:val="left" w:pos="567"/>
        </w:tabs>
        <w:spacing w:after="0" w:line="260" w:lineRule="exact"/>
        <w:rPr>
          <w:rFonts w:ascii="Times New Roman" w:hAnsi="Times New Roman"/>
          <w:lang w:val="lt-LT"/>
        </w:rPr>
      </w:pPr>
    </w:p>
    <w:p w14:paraId="19E2F9F4"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Kalcis/kolekalciferolis</w:t>
      </w:r>
    </w:p>
    <w:p w14:paraId="339BBB9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lastRenderedPageBreak/>
        <w:t>Perdozavimas gali sukelti hipervitaminozę ir hiperkalcemiją. Hiperkalcemija gali pasireikšti anoreksija (apetito sumažėjimu), troškuliu, pykinimu, vėmimu, vidurių užkietėjimu, pilvo skausmu, raumenų silpnumu, nuovargiu, psichikos sutrikimais, polidipsija (pernelyg gausiu skysčių vartojimu), poliurija (pernelyg gausiu šlapinimusi), kaulų skausmu, nefrokalcinoze, akmenimis inkstuose, sunkiais atvejais – širdies aritmijomis. Sunki hiperkalcemija gali sukelti komą ir mirtį. Išliekanti didelė kalcio koncentracija gali sukelti negrįžtamą inkstų pažeidimą ir minkštųjų audinių kalcifikaciją.</w:t>
      </w:r>
    </w:p>
    <w:p w14:paraId="7878614D" w14:textId="77777777" w:rsidR="002D358F" w:rsidRPr="00C705A4" w:rsidRDefault="002D358F" w:rsidP="002D358F">
      <w:pPr>
        <w:tabs>
          <w:tab w:val="left" w:pos="567"/>
        </w:tabs>
        <w:spacing w:after="0" w:line="260" w:lineRule="exact"/>
        <w:rPr>
          <w:rFonts w:ascii="Times New Roman" w:hAnsi="Times New Roman"/>
          <w:lang w:val="lt-LT"/>
        </w:rPr>
      </w:pPr>
    </w:p>
    <w:p w14:paraId="3D39B1D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Hiperkalcemijos gydymas: būtina nutraukti kalcio ir vitamino D vartojimą. Taip pat būtina nutraukti gydymą tiazidiniais diuretikais, ličiu, vitaminu A, vitaminu D ir širdį veikiančiais glikozidais. Rehidracija, priklausomai nuo sunkumo: izoliuotas ar kombinuotas gydymas kilpiniais diuretikais, bisfosfonatais, kalcitoninu ir kortikosteroidais arba šių preparatų deriniais. Būtina stebėti serumo elektrolitų koncentraciją, inkstų funkciją ir diurezę. Sunkiais atvejais reikia stebėti EKG ir centrinės venos spaudimą.</w:t>
      </w:r>
    </w:p>
    <w:p w14:paraId="6967A006" w14:textId="77777777" w:rsidR="002D358F" w:rsidRPr="00C705A4" w:rsidRDefault="002D358F" w:rsidP="002D358F">
      <w:pPr>
        <w:tabs>
          <w:tab w:val="left" w:pos="567"/>
        </w:tabs>
        <w:spacing w:after="0" w:line="260" w:lineRule="exact"/>
        <w:rPr>
          <w:rFonts w:ascii="Times New Roman" w:hAnsi="Times New Roman"/>
          <w:lang w:val="lt-LT"/>
        </w:rPr>
      </w:pPr>
    </w:p>
    <w:p w14:paraId="4773051C" w14:textId="77777777" w:rsidR="002D358F" w:rsidRPr="00C705A4" w:rsidRDefault="002D358F" w:rsidP="002D358F">
      <w:pPr>
        <w:tabs>
          <w:tab w:val="left" w:pos="567"/>
        </w:tabs>
        <w:spacing w:after="0" w:line="260" w:lineRule="exact"/>
        <w:rPr>
          <w:rFonts w:ascii="Times New Roman" w:hAnsi="Times New Roman"/>
          <w:lang w:val="lt-LT"/>
        </w:rPr>
      </w:pPr>
    </w:p>
    <w:p w14:paraId="2297D179" w14:textId="77777777" w:rsidR="002D358F" w:rsidRPr="00C705A4" w:rsidRDefault="002D358F" w:rsidP="002D358F">
      <w:pPr>
        <w:keepNext/>
        <w:keepLines/>
        <w:tabs>
          <w:tab w:val="left" w:pos="567"/>
        </w:tabs>
        <w:spacing w:after="0" w:line="240" w:lineRule="auto"/>
        <w:outlineLvl w:val="2"/>
        <w:rPr>
          <w:rFonts w:ascii="Cambria" w:hAnsi="Cambria"/>
          <w:b/>
          <w:sz w:val="26"/>
          <w:lang w:val="lt-LT"/>
        </w:rPr>
      </w:pPr>
      <w:r w:rsidRPr="00C705A4">
        <w:rPr>
          <w:rFonts w:ascii="Times New Roman" w:hAnsi="Times New Roman"/>
          <w:b/>
          <w:lang w:val="lt-LT"/>
        </w:rPr>
        <w:t>5.</w:t>
      </w:r>
      <w:r w:rsidRPr="00C705A4">
        <w:rPr>
          <w:rFonts w:ascii="Times New Roman" w:hAnsi="Times New Roman"/>
          <w:b/>
          <w:lang w:val="lt-LT"/>
        </w:rPr>
        <w:tab/>
        <w:t>FARMAKOLOGINĖS SAVYBĖS</w:t>
      </w:r>
    </w:p>
    <w:p w14:paraId="354BE1AE" w14:textId="77777777" w:rsidR="002D358F" w:rsidRPr="00C705A4" w:rsidRDefault="002D358F" w:rsidP="002D358F">
      <w:pPr>
        <w:tabs>
          <w:tab w:val="left" w:pos="567"/>
        </w:tabs>
        <w:spacing w:after="0" w:line="260" w:lineRule="exact"/>
        <w:rPr>
          <w:rFonts w:ascii="Times New Roman" w:hAnsi="Times New Roman"/>
          <w:lang w:val="lt-LT"/>
        </w:rPr>
      </w:pPr>
    </w:p>
    <w:p w14:paraId="3B1D9811"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 xml:space="preserve">5.1 </w:t>
      </w:r>
      <w:r w:rsidRPr="00C705A4">
        <w:rPr>
          <w:rFonts w:ascii="Times New Roman" w:hAnsi="Times New Roman"/>
          <w:b/>
          <w:lang w:val="lt-LT"/>
        </w:rPr>
        <w:tab/>
        <w:t>Farmakodinaminės savybės</w:t>
      </w:r>
    </w:p>
    <w:p w14:paraId="795FA56E" w14:textId="77777777" w:rsidR="002D358F" w:rsidRPr="00C705A4" w:rsidRDefault="002D358F" w:rsidP="002D358F">
      <w:pPr>
        <w:tabs>
          <w:tab w:val="left" w:pos="567"/>
        </w:tabs>
        <w:spacing w:after="0" w:line="260" w:lineRule="exact"/>
        <w:rPr>
          <w:rFonts w:ascii="Times New Roman" w:hAnsi="Times New Roman"/>
          <w:lang w:val="lt-LT"/>
        </w:rPr>
      </w:pPr>
    </w:p>
    <w:p w14:paraId="655A645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Farmakoterapinė grupė – alendrono rūgštis, kalcis ir cholecalciferolis, skiriami nuosekliai; ATC kodas – M05BB05.</w:t>
      </w:r>
    </w:p>
    <w:p w14:paraId="57C78544" w14:textId="77777777" w:rsidR="002D358F" w:rsidRPr="00C705A4" w:rsidRDefault="002D358F" w:rsidP="002D358F">
      <w:pPr>
        <w:tabs>
          <w:tab w:val="left" w:pos="567"/>
        </w:tabs>
        <w:spacing w:after="0" w:line="260" w:lineRule="exact"/>
        <w:rPr>
          <w:rFonts w:ascii="Times New Roman" w:hAnsi="Times New Roman"/>
          <w:lang w:val="lt-LT"/>
        </w:rPr>
      </w:pPr>
    </w:p>
    <w:p w14:paraId="1C5055A0"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Alendronatas 70 mg</w:t>
      </w:r>
    </w:p>
    <w:p w14:paraId="50F19F6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Alendronatas yra bisfosfonatas, kuris slopina osteoklastinę kaulų rezorbciją, tiesiogiai neveikdamas kaulų formavimosi. Gydant alendronatu susiformavęs kaulas yra normalios kokybės.</w:t>
      </w:r>
    </w:p>
    <w:p w14:paraId="607C5EA6" w14:textId="77777777" w:rsidR="002D358F" w:rsidRPr="00C705A4" w:rsidRDefault="002D358F" w:rsidP="002D358F">
      <w:pPr>
        <w:tabs>
          <w:tab w:val="left" w:pos="567"/>
        </w:tabs>
        <w:spacing w:after="0" w:line="260" w:lineRule="exact"/>
        <w:rPr>
          <w:rFonts w:ascii="Times New Roman" w:hAnsi="Times New Roman"/>
          <w:lang w:val="lt-LT"/>
        </w:rPr>
      </w:pPr>
    </w:p>
    <w:p w14:paraId="1E47DD4C"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i/>
          <w:lang w:val="lt-LT"/>
        </w:rPr>
        <w:t>Pomenopauzinės osteoporozės gydymas</w:t>
      </w:r>
    </w:p>
    <w:p w14:paraId="4601820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Alendronato poveikis kaulų masei ir lūžių dažniui moterims po menopauzės tirtas dviejuose pradiniuose veiksmingumo tyrimuose, kurie buvo to paties modelio (n = 994), taip pat lūžių intervencijos tyrime (LIT: n = 6459).</w:t>
      </w:r>
    </w:p>
    <w:p w14:paraId="42E62314" w14:textId="77777777" w:rsidR="002D358F" w:rsidRPr="00C705A4" w:rsidRDefault="002D358F" w:rsidP="002D358F">
      <w:pPr>
        <w:tabs>
          <w:tab w:val="left" w:pos="567"/>
        </w:tabs>
        <w:spacing w:after="0" w:line="260" w:lineRule="exact"/>
        <w:rPr>
          <w:rFonts w:ascii="Times New Roman" w:hAnsi="Times New Roman"/>
          <w:lang w:val="lt-LT"/>
        </w:rPr>
      </w:pPr>
    </w:p>
    <w:p w14:paraId="11DC9C9F"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Pradinio veiksmingumo tyrimuose kaulų mineralų tankio (KMT) vidurkis trejų metų laikotarpiu, vartojant 10 mg alendronato per dieną, didėjo palyginti su placebu: stuburo, šlaunikaulio kaklo ir gūbrio kaulų tankis buvo didesnis atitinkamai 8,8 %, 5,9 % ir 7,8 %. Bendras kūno KMT taip pat reikšmingai padidėjo. Pacientų, gydytų alendronatu ir patyrusių vieną ar daugiau slankstelių lūžius, proporcija sumažėjo 48 %, palyginti su pacientais, gydytais placebu. Pratęsus šiuos tyrimus dvejais metais, stuburo ir gūbrio KMT toliau didėjo, šlaunikaulio kaklo ir bendras kūno KMT išliko toks pat.</w:t>
      </w:r>
    </w:p>
    <w:p w14:paraId="577137E2" w14:textId="77777777" w:rsidR="002D358F" w:rsidRPr="00C705A4" w:rsidRDefault="002D358F" w:rsidP="002D358F">
      <w:pPr>
        <w:tabs>
          <w:tab w:val="left" w:pos="567"/>
        </w:tabs>
        <w:spacing w:after="0" w:line="260" w:lineRule="exact"/>
        <w:rPr>
          <w:rFonts w:ascii="Times New Roman" w:hAnsi="Times New Roman"/>
          <w:lang w:val="lt-LT"/>
        </w:rPr>
      </w:pPr>
    </w:p>
    <w:p w14:paraId="2D79B4D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LIT susidėjo iš dviejų placebu kontroliuojamų tyrimų: vartojant alendronatą kasdien (5 mg alendronato per parą</w:t>
      </w:r>
      <w:r w:rsidRPr="002D358F">
        <w:rPr>
          <w:rFonts w:ascii="Times New Roman" w:eastAsia="Times New Roman" w:hAnsi="Times New Roman" w:cs="Times New Roman"/>
          <w:snapToGrid w:val="0"/>
          <w:szCs w:val="20"/>
          <w:lang w:val="en-GB"/>
        </w:rPr>
        <w:t xml:space="preserve"> </w:t>
      </w:r>
      <w:r w:rsidRPr="00C705A4">
        <w:rPr>
          <w:rFonts w:ascii="Times New Roman" w:hAnsi="Times New Roman"/>
          <w:lang w:val="lt-LT"/>
        </w:rPr>
        <w:t xml:space="preserve">2 metus ir 10 mg per parą vienerius arba dvejus papildomus </w:t>
      </w:r>
      <w:r w:rsidRPr="002D358F">
        <w:rPr>
          <w:rFonts w:ascii="Times New Roman" w:eastAsia="Times New Roman" w:hAnsi="Times New Roman" w:cs="Times New Roman"/>
          <w:snapToGrid w:val="0"/>
          <w:szCs w:val="20"/>
          <w:lang w:val="en-GB"/>
        </w:rPr>
        <w:t>metus).</w:t>
      </w:r>
    </w:p>
    <w:p w14:paraId="311A75FE" w14:textId="77777777" w:rsidR="002D358F" w:rsidRPr="00C705A4" w:rsidRDefault="002D358F" w:rsidP="002D358F">
      <w:pPr>
        <w:tabs>
          <w:tab w:val="left" w:pos="567"/>
        </w:tabs>
        <w:spacing w:after="0" w:line="260" w:lineRule="exact"/>
        <w:rPr>
          <w:rFonts w:ascii="Times New Roman" w:hAnsi="Times New Roman"/>
          <w:lang w:val="lt-LT"/>
        </w:rPr>
      </w:pPr>
    </w:p>
    <w:p w14:paraId="5F2D505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LIT 1: trejų metų trukmės tyrimo, kuriame dalyvavo 2027 pacientai, patyrę mažiausiai vieną stuburo (kompresinį) lūžį prieš pradedant tyrimą. </w:t>
      </w:r>
      <w:r w:rsidRPr="002D358F">
        <w:rPr>
          <w:rFonts w:ascii="Times New Roman" w:eastAsia="Times New Roman" w:hAnsi="Times New Roman" w:cs="Times New Roman"/>
          <w:snapToGrid w:val="0"/>
          <w:szCs w:val="20"/>
          <w:lang w:val="en-GB"/>
        </w:rPr>
        <w:t>Šiame tyrime alendronatas vartojamas kartą per parą sumažino naujų  stuburo lūžių dažnį (≥ 1)</w:t>
      </w:r>
      <w:r w:rsidRPr="00C705A4">
        <w:rPr>
          <w:rFonts w:ascii="Times New Roman" w:hAnsi="Times New Roman"/>
          <w:lang w:val="lt-LT"/>
        </w:rPr>
        <w:t xml:space="preserve"> 4</w:t>
      </w:r>
      <w:r w:rsidRPr="002D358F">
        <w:rPr>
          <w:rFonts w:ascii="Times New Roman" w:eastAsia="Times New Roman" w:hAnsi="Times New Roman" w:cs="Times New Roman"/>
          <w:snapToGrid w:val="0"/>
          <w:szCs w:val="20"/>
          <w:lang w:val="en-GB"/>
        </w:rPr>
        <w:t>7</w:t>
      </w:r>
      <w:r w:rsidRPr="00C705A4">
        <w:rPr>
          <w:rFonts w:ascii="Times New Roman" w:hAnsi="Times New Roman"/>
          <w:lang w:val="lt-LT"/>
        </w:rPr>
        <w:t> %</w:t>
      </w:r>
      <w:r w:rsidRPr="002D358F">
        <w:rPr>
          <w:rFonts w:ascii="Times New Roman" w:eastAsia="Times New Roman" w:hAnsi="Times New Roman" w:cs="Times New Roman"/>
          <w:snapToGrid w:val="0"/>
          <w:szCs w:val="20"/>
          <w:lang w:val="en-GB"/>
        </w:rPr>
        <w:t xml:space="preserve"> (alendronatas 7,9 </w:t>
      </w:r>
      <w:r w:rsidRPr="00541E3E">
        <w:rPr>
          <w:rFonts w:ascii="Times New Roman" w:hAnsi="Times New Roman"/>
        </w:rPr>
        <w:t xml:space="preserve">% vs. 15,0 % placebo). Be to, buvo nustatytas statistiškai žymus (51%) šlaunikaulių lūžių dažnio sumažėjimas (1,1 % vs. 2,2 % ). </w:t>
      </w:r>
    </w:p>
    <w:p w14:paraId="6870D760" w14:textId="77777777" w:rsidR="002D358F" w:rsidRPr="00C705A4" w:rsidRDefault="002D358F" w:rsidP="002D358F">
      <w:pPr>
        <w:tabs>
          <w:tab w:val="left" w:pos="567"/>
        </w:tabs>
        <w:spacing w:after="0" w:line="260" w:lineRule="exact"/>
        <w:rPr>
          <w:rFonts w:ascii="Times New Roman" w:hAnsi="Times New Roman"/>
          <w:lang w:val="lt-LT"/>
        </w:rPr>
      </w:pPr>
    </w:p>
    <w:p w14:paraId="4C0364AD"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 xml:space="preserve">LIT 2: ketverių metų trukmės tyrimo, kuriame dalyvavo 4432 stuburo lūžio prieš pradedant gydymą nepatyrę mažos kaulų masės pacientai. Šiame tyrime buvo stebėtas </w:t>
      </w:r>
      <w:r w:rsidRPr="00C705A4">
        <w:rPr>
          <w:rFonts w:ascii="Times New Roman" w:hAnsi="Times New Roman"/>
          <w:lang w:val="lt-LT"/>
        </w:rPr>
        <w:lastRenderedPageBreak/>
        <w:t>žymus skirtumas osteoproroze sergančių moterų pogrupiuose, (37 %  sergančių osteoporoze populiacijos, šlaunikaulio lūžių atvejų (alendronatas 1,0 % vs. 2,2 % placebo) rodiklių dažnį sumažino 56 %) ir stuburo lūžių rodiklių ≥ 1 dažnį 50 % (2,9 % vs. 5,8 %).</w:t>
      </w:r>
    </w:p>
    <w:p w14:paraId="393A22C8"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 xml:space="preserve"> </w:t>
      </w:r>
    </w:p>
    <w:p w14:paraId="065515A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Bifosfonatai vartojami kartu su kalciu ir vitamino D papildais parodė, kad toks gydymas sumažina kaulų lūžių riziką.</w:t>
      </w:r>
      <w:r w:rsidRPr="00C705A4" w:rsidDel="008A0173">
        <w:rPr>
          <w:rFonts w:ascii="Times New Roman" w:hAnsi="Times New Roman"/>
          <w:lang w:val="lt-LT"/>
        </w:rPr>
        <w:t xml:space="preserve"> </w:t>
      </w:r>
    </w:p>
    <w:p w14:paraId="092C1D42" w14:textId="77777777" w:rsidR="002D358F" w:rsidRPr="00C705A4" w:rsidRDefault="002D358F" w:rsidP="002D358F">
      <w:pPr>
        <w:tabs>
          <w:tab w:val="left" w:pos="567"/>
        </w:tabs>
        <w:spacing w:after="0" w:line="260" w:lineRule="exact"/>
        <w:rPr>
          <w:rFonts w:ascii="Times New Roman" w:hAnsi="Times New Roman"/>
          <w:lang w:val="lt-LT"/>
        </w:rPr>
      </w:pPr>
    </w:p>
    <w:p w14:paraId="7C6B16EF"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Laboratorinių tyrimų rezultatai</w:t>
      </w:r>
      <w:r w:rsidRPr="005179F7">
        <w:rPr>
          <w:rFonts w:ascii="Times New Roman" w:eastAsia="Times New Roman" w:hAnsi="Times New Roman" w:cs="Times New Roman"/>
          <w:i/>
          <w:snapToGrid w:val="0"/>
          <w:szCs w:val="20"/>
          <w:lang w:val="lt-LT"/>
        </w:rPr>
        <w:t>:</w:t>
      </w:r>
    </w:p>
    <w:p w14:paraId="335BC43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Klinikiniuose tyrimuose besimptomis, lengvas ir laikinas kalcio ir fosfatų koncentracijos kraujo serume sumažėjimas buvo nustatytas atitinkamai maždaug 18 % ir 10 % pacientų, vartojusių alendronatą, palyginti su 12 % ir 3 % pacientų, vartojusių placebą. Tačiau abiejose grupėse buvo panašus kalcio koncentracijos kraujo serume sumažėjimo &lt; 8,0 mg/dl (2,0 mmol/l) ir fosfatų koncentracijos kraujo serume sumažėjimo ≤ 2,0 mg/dl (0,65 mmol/l) dažnis.</w:t>
      </w:r>
    </w:p>
    <w:p w14:paraId="628423E9" w14:textId="77777777" w:rsidR="002D358F" w:rsidRPr="00C705A4" w:rsidRDefault="002D358F" w:rsidP="002D358F">
      <w:pPr>
        <w:tabs>
          <w:tab w:val="left" w:pos="567"/>
        </w:tabs>
        <w:spacing w:after="0" w:line="260" w:lineRule="exact"/>
        <w:rPr>
          <w:rFonts w:ascii="Times New Roman" w:hAnsi="Times New Roman"/>
          <w:lang w:val="lt-LT"/>
        </w:rPr>
      </w:pPr>
    </w:p>
    <w:p w14:paraId="026293FD"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Vaikų populiacija</w:t>
      </w:r>
    </w:p>
    <w:p w14:paraId="1AD40B6F"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Natrio alendronatas tirtas su mažu skaičiumi jaunesnių kaip 18 metų amžiaus pacientų, sergančių trapių kaulų sindromu </w:t>
      </w:r>
      <w:r w:rsidRPr="00C705A4">
        <w:rPr>
          <w:rFonts w:ascii="Times New Roman" w:hAnsi="Times New Roman"/>
          <w:i/>
          <w:lang w:val="lt-LT"/>
        </w:rPr>
        <w:t xml:space="preserve">(osteogenesis imperfecta). </w:t>
      </w:r>
      <w:r w:rsidRPr="00C705A4">
        <w:rPr>
          <w:rFonts w:ascii="Times New Roman" w:hAnsi="Times New Roman"/>
          <w:lang w:val="lt-LT"/>
        </w:rPr>
        <w:t>Rezultatai nėra pakankami, kad pagrįstų natrio alendronato vartojimo tinkamumą vaikams, sergantiems trapių kaulų sindromu</w:t>
      </w:r>
      <w:r w:rsidRPr="00C705A4">
        <w:rPr>
          <w:rFonts w:ascii="Times New Roman" w:hAnsi="Times New Roman"/>
          <w:i/>
          <w:lang w:val="lt-LT"/>
        </w:rPr>
        <w:t>.</w:t>
      </w:r>
    </w:p>
    <w:p w14:paraId="53C74F7B" w14:textId="77777777" w:rsidR="002D358F" w:rsidRPr="00C705A4" w:rsidRDefault="002D358F" w:rsidP="002D358F">
      <w:pPr>
        <w:tabs>
          <w:tab w:val="left" w:pos="567"/>
        </w:tabs>
        <w:spacing w:after="0" w:line="260" w:lineRule="exact"/>
        <w:rPr>
          <w:rFonts w:ascii="Times New Roman" w:hAnsi="Times New Roman"/>
          <w:lang w:val="lt-LT"/>
        </w:rPr>
      </w:pPr>
    </w:p>
    <w:p w14:paraId="20410E5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Kalcis/kolecalciferolis</w:t>
      </w:r>
    </w:p>
    <w:p w14:paraId="7ACF94E3"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 xml:space="preserve">Vitaminas </w:t>
      </w:r>
      <w:r w:rsidRPr="002D358F">
        <w:rPr>
          <w:rFonts w:ascii="Times New Roman" w:eastAsia="Times New Roman" w:hAnsi="Times New Roman" w:cs="Times New Roman"/>
          <w:snapToGrid w:val="0"/>
          <w:szCs w:val="20"/>
          <w:lang w:val="en-GB"/>
        </w:rPr>
        <w:t>D padidina kalcio absorbciją žarnyne.</w:t>
      </w:r>
    </w:p>
    <w:p w14:paraId="088FC9A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Kalcio ir vitamino D</w:t>
      </w:r>
      <w:r w:rsidRPr="00C705A4">
        <w:rPr>
          <w:rFonts w:ascii="Times New Roman" w:hAnsi="Times New Roman"/>
          <w:vertAlign w:val="subscript"/>
          <w:lang w:val="lt-LT"/>
        </w:rPr>
        <w:t xml:space="preserve">3 </w:t>
      </w:r>
      <w:r w:rsidRPr="00C705A4">
        <w:rPr>
          <w:rFonts w:ascii="Times New Roman" w:hAnsi="Times New Roman"/>
          <w:lang w:val="lt-LT"/>
        </w:rPr>
        <w:t>vartojimas neutralizuoja paratiroidinio hormono (PTH) kiekio padidėjimą, kurį sukelia kalcio stoka ir dėl kurio padidėja kaulų rezorbcija.</w:t>
      </w:r>
    </w:p>
    <w:p w14:paraId="0F37781D" w14:textId="77777777" w:rsidR="002D358F" w:rsidRPr="00C705A4" w:rsidRDefault="002D358F" w:rsidP="002D358F">
      <w:pPr>
        <w:tabs>
          <w:tab w:val="left" w:pos="567"/>
        </w:tabs>
        <w:spacing w:after="0" w:line="260" w:lineRule="exact"/>
        <w:rPr>
          <w:rFonts w:ascii="Times New Roman" w:hAnsi="Times New Roman"/>
          <w:lang w:val="lt-LT"/>
        </w:rPr>
      </w:pPr>
    </w:p>
    <w:p w14:paraId="5E07BAB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Klinikinis tyrimas, kuriame dalyvavo institucinėse įstaigose gyvenantys pacientai, stokojantys vitamino D, parodė, kad 6 mėnesius kasdien vartojus 1000 mg kalcio ir 800 TV kolekalciferolio normalizavosi 25-hidroksilinto vitamino D</w:t>
      </w:r>
      <w:r w:rsidRPr="00C705A4">
        <w:rPr>
          <w:rFonts w:ascii="Times New Roman" w:hAnsi="Times New Roman"/>
          <w:vertAlign w:val="subscript"/>
          <w:lang w:val="lt-LT"/>
        </w:rPr>
        <w:t>3</w:t>
      </w:r>
      <w:r w:rsidRPr="00C705A4">
        <w:rPr>
          <w:rFonts w:ascii="Times New Roman" w:hAnsi="Times New Roman"/>
          <w:lang w:val="lt-LT"/>
        </w:rPr>
        <w:t xml:space="preserve"> metabolito kiekis ir sumažėjo antrinė hiperparatirozė bei šarminių fosfatazių aktyvumas.</w:t>
      </w:r>
    </w:p>
    <w:p w14:paraId="6992D193" w14:textId="77777777" w:rsidR="002D358F" w:rsidRPr="00C705A4" w:rsidRDefault="002D358F" w:rsidP="002D358F">
      <w:pPr>
        <w:tabs>
          <w:tab w:val="left" w:pos="567"/>
        </w:tabs>
        <w:spacing w:after="0" w:line="260" w:lineRule="exact"/>
        <w:rPr>
          <w:rFonts w:ascii="Times New Roman" w:hAnsi="Times New Roman"/>
          <w:lang w:val="lt-LT"/>
        </w:rPr>
      </w:pPr>
    </w:p>
    <w:p w14:paraId="407EDF1A"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18 mėnesių trukmės dvigubai koduotame placebu kontroliuojamame tyrime dalyvavo 3270 institucinėse įstaigose gyvenančių moterų, kurių amžius buvo 84 +/- 6 metai. Jos gavo vitamino D (800 TV per dieną) ir kalcio fosfato (atitinkančio 1200 mg per dieną elementinio kalcio) papildų, buvo nus</w:t>
      </w:r>
      <w:r w:rsidRPr="002D358F">
        <w:rPr>
          <w:rFonts w:ascii="Times New Roman" w:eastAsia="Times New Roman" w:hAnsi="Times New Roman" w:cs="Times New Roman"/>
          <w:snapToGrid w:val="0"/>
          <w:szCs w:val="20"/>
          <w:lang w:val="en-GB"/>
        </w:rPr>
        <w:t>tatytas reikšmingas PTH sekrecijos sumažėjimas. Po 18 mėnesių gydytų pacienčių analizė parodė, kad v</w:t>
      </w:r>
      <w:r w:rsidRPr="00C705A4">
        <w:rPr>
          <w:rFonts w:ascii="Times New Roman" w:hAnsi="Times New Roman"/>
          <w:lang w:val="lt-LT"/>
        </w:rPr>
        <w:t>itamin</w:t>
      </w:r>
      <w:r w:rsidRPr="002D358F">
        <w:rPr>
          <w:rFonts w:ascii="Times New Roman" w:eastAsia="Times New Roman" w:hAnsi="Times New Roman" w:cs="Times New Roman"/>
          <w:snapToGrid w:val="0"/>
          <w:szCs w:val="20"/>
          <w:lang w:val="en-GB"/>
        </w:rPr>
        <w:t>o D ir kalcio grupėje įvyko 80 šlaunikaulio lūžių, placebo grupėje – 110 šlaunikaulio lūžių (p = 0,004).</w:t>
      </w:r>
    </w:p>
    <w:p w14:paraId="5E41B518" w14:textId="77777777" w:rsidR="002D358F" w:rsidRPr="00C705A4" w:rsidRDefault="002D358F" w:rsidP="002D358F">
      <w:pPr>
        <w:tabs>
          <w:tab w:val="left" w:pos="567"/>
        </w:tabs>
        <w:spacing w:after="0" w:line="260" w:lineRule="exact"/>
        <w:rPr>
          <w:rFonts w:ascii="Times New Roman" w:hAnsi="Times New Roman"/>
          <w:lang w:val="lt-LT"/>
        </w:rPr>
      </w:pPr>
    </w:p>
    <w:p w14:paraId="19CD52F5"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5.2</w:t>
      </w:r>
      <w:r w:rsidRPr="00C705A4">
        <w:rPr>
          <w:rFonts w:ascii="Times New Roman" w:hAnsi="Times New Roman"/>
          <w:b/>
          <w:lang w:val="lt-LT"/>
        </w:rPr>
        <w:tab/>
        <w:t>Farmakokinetinės savybės</w:t>
      </w:r>
    </w:p>
    <w:p w14:paraId="74F4306E" w14:textId="77777777" w:rsidR="002D358F" w:rsidRPr="00C705A4" w:rsidRDefault="002D358F" w:rsidP="002D358F">
      <w:pPr>
        <w:spacing w:after="0" w:line="240" w:lineRule="auto"/>
        <w:rPr>
          <w:rFonts w:ascii="Times New Roman" w:hAnsi="Times New Roman"/>
          <w:lang w:val="lt-LT"/>
        </w:rPr>
      </w:pPr>
    </w:p>
    <w:p w14:paraId="56F2EB57" w14:textId="77777777" w:rsidR="002D358F" w:rsidRPr="00C705A4" w:rsidRDefault="002D358F" w:rsidP="002D358F">
      <w:pPr>
        <w:spacing w:after="0" w:line="240" w:lineRule="auto"/>
        <w:rPr>
          <w:rFonts w:ascii="Calibri" w:hAnsi="Calibri"/>
          <w:lang w:val="lt-LT"/>
        </w:rPr>
      </w:pPr>
      <w:r w:rsidRPr="00C705A4">
        <w:rPr>
          <w:rFonts w:ascii="Times New Roman" w:hAnsi="Times New Roman"/>
          <w:u w:val="single"/>
          <w:lang w:val="lt-LT"/>
        </w:rPr>
        <w:t>Alendronatas</w:t>
      </w:r>
    </w:p>
    <w:p w14:paraId="403B3A5A" w14:textId="77777777" w:rsidR="002D358F" w:rsidRPr="00C705A4" w:rsidRDefault="002D358F" w:rsidP="002D358F">
      <w:pPr>
        <w:tabs>
          <w:tab w:val="left" w:pos="567"/>
        </w:tabs>
        <w:spacing w:after="0" w:line="260" w:lineRule="exact"/>
        <w:ind w:right="-142"/>
        <w:rPr>
          <w:rFonts w:ascii="Calibri" w:hAnsi="Calibri"/>
          <w:i/>
          <w:lang w:val="lt-LT"/>
        </w:rPr>
      </w:pPr>
      <w:r w:rsidRPr="00C705A4">
        <w:rPr>
          <w:rFonts w:ascii="Times New Roman" w:hAnsi="Times New Roman"/>
          <w:i/>
          <w:lang w:val="lt-LT"/>
        </w:rPr>
        <w:t>Absorbcija</w:t>
      </w:r>
    </w:p>
    <w:p w14:paraId="3B3A6F0E" w14:textId="77777777" w:rsidR="002D358F" w:rsidRPr="00C705A4" w:rsidRDefault="002D358F" w:rsidP="002D358F">
      <w:pPr>
        <w:tabs>
          <w:tab w:val="left" w:pos="567"/>
        </w:tabs>
        <w:spacing w:after="0" w:line="260" w:lineRule="exact"/>
        <w:ind w:right="-142"/>
        <w:rPr>
          <w:rFonts w:ascii="Calibri" w:hAnsi="Calibri"/>
          <w:lang w:val="lt-LT"/>
        </w:rPr>
      </w:pPr>
      <w:r w:rsidRPr="00C705A4">
        <w:rPr>
          <w:rFonts w:ascii="Times New Roman" w:hAnsi="Times New Roman"/>
          <w:lang w:val="lt-LT"/>
        </w:rPr>
        <w:t>Vertinant pagal intraveniniu (IV) būdu sušvirkštą preparato dozę, išgerto alendronato bioprieinamumas moterims buvo 0,7 %, kai dozės svyravo nuo 5 iki 40 mg, suvartojus preparato po naktinio nevalgymo laikotarpio, dvi valandos iki standartinių pusryčių. Išgerto preparato bioprieinamumas vyrams (0,6 %) buvo panašus kaip ir moterims. Panašiai bioprieinamumas mažėjo iki apytikriai 0,46 % ir 0,39 %, kai alendronatas buvo vartojamas vieną valandą arba pusvalandį iki standartinių pusryčių. Osteoporozės tyrimuose alendronatas buvo veiksmingas tuomet, kai buvo suvartojamas likus mažiausiai 30 minučių iki pirmojo dienos valgymo arba gėrimo.</w:t>
      </w:r>
    </w:p>
    <w:p w14:paraId="4BC33631" w14:textId="77777777" w:rsidR="002D358F" w:rsidRPr="00C705A4" w:rsidRDefault="002D358F" w:rsidP="002D358F">
      <w:pPr>
        <w:tabs>
          <w:tab w:val="left" w:pos="567"/>
        </w:tabs>
        <w:spacing w:after="0" w:line="260" w:lineRule="exact"/>
        <w:ind w:right="-142"/>
        <w:rPr>
          <w:rFonts w:ascii="Times New Roman" w:hAnsi="Times New Roman"/>
          <w:lang w:val="lt-LT"/>
        </w:rPr>
      </w:pPr>
    </w:p>
    <w:p w14:paraId="1B02C1EE" w14:textId="77777777" w:rsidR="002D358F" w:rsidRPr="00C705A4" w:rsidRDefault="002D358F" w:rsidP="002D358F">
      <w:pPr>
        <w:tabs>
          <w:tab w:val="left" w:pos="567"/>
        </w:tabs>
        <w:spacing w:after="0" w:line="260" w:lineRule="exact"/>
        <w:ind w:right="-142"/>
        <w:rPr>
          <w:rFonts w:ascii="Calibri" w:hAnsi="Calibri"/>
          <w:lang w:val="lt-LT"/>
        </w:rPr>
      </w:pPr>
      <w:r w:rsidRPr="00C705A4">
        <w:rPr>
          <w:rFonts w:ascii="Times New Roman" w:hAnsi="Times New Roman"/>
          <w:lang w:val="lt-LT"/>
        </w:rPr>
        <w:lastRenderedPageBreak/>
        <w:t>Bioprieinamumas buvo nereikšmingas tuomet, kai alendronatas buvo skiriamas kartu su standartiniais pusryčiais arba iki dviejų valandų laikotarpiu po jų. Alendronato vartojimas kartu su kava arba apelsinų sultimis bioprieinamumą sumažino maždaug 60 %.</w:t>
      </w:r>
    </w:p>
    <w:p w14:paraId="53D68FEA" w14:textId="77777777" w:rsidR="002D358F" w:rsidRPr="00C705A4" w:rsidRDefault="002D358F" w:rsidP="002D358F">
      <w:pPr>
        <w:tabs>
          <w:tab w:val="left" w:pos="567"/>
        </w:tabs>
        <w:spacing w:after="0" w:line="260" w:lineRule="exact"/>
        <w:ind w:right="-142"/>
        <w:rPr>
          <w:rFonts w:ascii="Times New Roman" w:hAnsi="Times New Roman"/>
          <w:lang w:val="lt-LT"/>
        </w:rPr>
      </w:pPr>
    </w:p>
    <w:p w14:paraId="695BF6A5" w14:textId="77777777" w:rsidR="002D358F" w:rsidRPr="00C705A4" w:rsidRDefault="002D358F" w:rsidP="002D358F">
      <w:pPr>
        <w:tabs>
          <w:tab w:val="left" w:pos="567"/>
        </w:tabs>
        <w:spacing w:after="0" w:line="260" w:lineRule="exact"/>
        <w:ind w:right="-142"/>
        <w:rPr>
          <w:rFonts w:ascii="Calibri" w:hAnsi="Calibri"/>
          <w:lang w:val="lt-LT"/>
        </w:rPr>
      </w:pPr>
      <w:r w:rsidRPr="00C705A4">
        <w:rPr>
          <w:rFonts w:ascii="Times New Roman" w:hAnsi="Times New Roman"/>
          <w:lang w:val="lt-LT"/>
        </w:rPr>
        <w:t>Sveikiems asmenims geriamasis prednizonas (20 mg tris kartus per dieną 5 dienas) geriamojo alendronato bioprieinamumo kliniškai reikšmingai nepakeitė (vidutiniškai padidėjo 20-44 %).</w:t>
      </w:r>
    </w:p>
    <w:p w14:paraId="081214B3" w14:textId="77777777" w:rsidR="002D358F" w:rsidRPr="00C705A4" w:rsidRDefault="002D358F" w:rsidP="002D358F">
      <w:pPr>
        <w:tabs>
          <w:tab w:val="left" w:pos="567"/>
        </w:tabs>
        <w:spacing w:after="0" w:line="260" w:lineRule="exact"/>
        <w:ind w:right="-142"/>
        <w:rPr>
          <w:rFonts w:ascii="Times New Roman" w:hAnsi="Times New Roman"/>
          <w:lang w:val="lt-LT"/>
        </w:rPr>
      </w:pPr>
    </w:p>
    <w:p w14:paraId="38B0DB10"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Pasiskirstymas</w:t>
      </w:r>
    </w:p>
    <w:p w14:paraId="73D0CBF4"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Tyrimai su žiurkėmis rodo, kad jei į veną sušvirkščiama 1 mg/kg alendronato, jis laikinai patenka į minkštuosius audinius, tačiau iš ten greitai persiskirsto į kaulus arba išskiriamas su šlapimu. </w:t>
      </w:r>
      <w:r w:rsidRPr="002D358F">
        <w:rPr>
          <w:rFonts w:ascii="Times New Roman" w:eastAsia="Times New Roman" w:hAnsi="Times New Roman" w:cs="Times New Roman"/>
          <w:snapToGrid w:val="0"/>
          <w:szCs w:val="20"/>
          <w:lang w:val="en-GB"/>
        </w:rPr>
        <w:t>Pasiskirstymo tūris išskirtinai kauluose, esant preparato stabilios koncentracijos kraujyje vidurkiui, yra mažiausiai 28 litrai žmogaus organizme. Preparato koncentracija</w:t>
      </w:r>
      <w:r w:rsidRPr="00C705A4">
        <w:rPr>
          <w:rFonts w:ascii="Times New Roman" w:hAnsi="Times New Roman"/>
          <w:lang w:val="lt-LT"/>
        </w:rPr>
        <w:t xml:space="preserve"> kraujo plazmoje, kai j</w:t>
      </w:r>
      <w:r w:rsidRPr="002D358F">
        <w:rPr>
          <w:rFonts w:ascii="Times New Roman" w:eastAsia="Times New Roman" w:hAnsi="Times New Roman" w:cs="Times New Roman"/>
          <w:snapToGrid w:val="0"/>
          <w:szCs w:val="20"/>
          <w:lang w:val="en-GB"/>
        </w:rPr>
        <w:t>is vartojamas</w:t>
      </w:r>
      <w:r w:rsidRPr="00C705A4">
        <w:rPr>
          <w:rFonts w:ascii="Times New Roman" w:hAnsi="Times New Roman"/>
          <w:lang w:val="lt-LT"/>
        </w:rPr>
        <w:t xml:space="preserve"> geriant terapinėmis dozėmis, </w:t>
      </w:r>
      <w:r w:rsidRPr="002D358F">
        <w:rPr>
          <w:rFonts w:ascii="Times New Roman" w:eastAsia="Times New Roman" w:hAnsi="Times New Roman" w:cs="Times New Roman"/>
          <w:snapToGrid w:val="0"/>
          <w:szCs w:val="20"/>
          <w:lang w:val="en-GB"/>
        </w:rPr>
        <w:t>pernelyg maža</w:t>
      </w:r>
      <w:r w:rsidRPr="00C705A4">
        <w:rPr>
          <w:rFonts w:ascii="Times New Roman" w:hAnsi="Times New Roman"/>
          <w:lang w:val="lt-LT"/>
        </w:rPr>
        <w:t>, kad būtų galima nustatyti atliekant analizę (&lt; 5 ng/ml). Sujungimas su baltymais žmogaus plazmoje sudaro maždaug 78 %.</w:t>
      </w:r>
    </w:p>
    <w:p w14:paraId="2C2D32FF" w14:textId="77777777" w:rsidR="002D358F" w:rsidRPr="00C705A4" w:rsidRDefault="002D358F" w:rsidP="002D358F">
      <w:pPr>
        <w:tabs>
          <w:tab w:val="left" w:pos="567"/>
        </w:tabs>
        <w:spacing w:after="0" w:line="260" w:lineRule="exact"/>
        <w:rPr>
          <w:rFonts w:ascii="Times New Roman" w:hAnsi="Times New Roman"/>
          <w:lang w:val="lt-LT"/>
        </w:rPr>
      </w:pPr>
    </w:p>
    <w:p w14:paraId="5D0A3514"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Biotransformacija</w:t>
      </w:r>
    </w:p>
    <w:p w14:paraId="6BA3354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Nėra įrodymų, kad alendronatas metabolizuojamas gyvūnų ar žmonių organizme.</w:t>
      </w:r>
    </w:p>
    <w:p w14:paraId="6F40C088" w14:textId="77777777" w:rsidR="002D358F" w:rsidRPr="00C705A4" w:rsidRDefault="002D358F" w:rsidP="002D358F">
      <w:pPr>
        <w:tabs>
          <w:tab w:val="left" w:pos="567"/>
        </w:tabs>
        <w:spacing w:after="0" w:line="260" w:lineRule="exact"/>
        <w:rPr>
          <w:rFonts w:ascii="Times New Roman" w:hAnsi="Times New Roman"/>
          <w:lang w:val="lt-LT"/>
        </w:rPr>
      </w:pPr>
    </w:p>
    <w:p w14:paraId="22272176"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Eliminacija</w:t>
      </w:r>
    </w:p>
    <w:p w14:paraId="523B6FAD"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Po vienkartinės [</w:t>
      </w:r>
      <w:r w:rsidRPr="00C705A4">
        <w:rPr>
          <w:rFonts w:ascii="Times New Roman" w:hAnsi="Times New Roman"/>
          <w:vertAlign w:val="superscript"/>
          <w:lang w:val="lt-LT"/>
        </w:rPr>
        <w:t>14</w:t>
      </w:r>
      <w:r w:rsidRPr="00C705A4">
        <w:rPr>
          <w:rFonts w:ascii="Times New Roman" w:hAnsi="Times New Roman"/>
          <w:lang w:val="lt-LT"/>
        </w:rPr>
        <w:t xml:space="preserve">C] alendronato dozės į veną per 72 valandas į šlapimą išskiriama maždaug 50 % radioaktyviosios medžiagos. </w:t>
      </w:r>
      <w:r w:rsidRPr="002D358F">
        <w:rPr>
          <w:rFonts w:ascii="Times New Roman" w:eastAsia="Times New Roman" w:hAnsi="Times New Roman" w:cs="Times New Roman"/>
          <w:snapToGrid w:val="0"/>
          <w:szCs w:val="20"/>
          <w:lang w:val="en-GB"/>
        </w:rPr>
        <w:t>Mažai radioaktyviosios medžiagos randama arba visai nerandama išmatose. Po vienkartinės 10 mg preparato dozės į veną alendronato inkstų klirensas buvo 71 ml/min.</w:t>
      </w:r>
      <w:r w:rsidRPr="00C705A4">
        <w:rPr>
          <w:rFonts w:ascii="Times New Roman" w:hAnsi="Times New Roman"/>
          <w:lang w:val="lt-LT"/>
        </w:rPr>
        <w:t>, sisteminis klirensas neviršijo 200 ml/min. Per šešias valandas nuo preparato sušvirkštimo į veną jo koncentracija kraujo plazmoje nukrito daugiau kaip 95 %. Apskaičiuota, kad galutinis pusinės eliminacijos laikotarpis žmogaus organizme viršija 10 metų – tai atspindi alendronato atsipalaidavimo iš skeleto laikotarpį. Alendronatas neišskiriamas per rūgštines ar šarmines transporto sistemas iš žiurkių inkstų, taigi nenumatoma, kad jis trikdytų kitų vaistų išskyrimą per šias sistemas žmogaus organizme.</w:t>
      </w:r>
    </w:p>
    <w:p w14:paraId="4D382872" w14:textId="77777777" w:rsidR="002D358F" w:rsidRPr="00C705A4" w:rsidRDefault="002D358F" w:rsidP="002D358F">
      <w:pPr>
        <w:tabs>
          <w:tab w:val="left" w:pos="567"/>
        </w:tabs>
        <w:spacing w:after="0" w:line="260" w:lineRule="exact"/>
        <w:rPr>
          <w:rFonts w:ascii="Times New Roman" w:hAnsi="Times New Roman"/>
          <w:lang w:val="lt-LT"/>
        </w:rPr>
      </w:pPr>
    </w:p>
    <w:p w14:paraId="7E748D2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i/>
          <w:lang w:val="lt-LT"/>
        </w:rPr>
        <w:t>Savybės pacientų organizme</w:t>
      </w:r>
    </w:p>
    <w:p w14:paraId="58572485"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Ikiklinikiniai tyrimai rodo, kad vaistas, kuris nenusėda kauluose, greitai išskiriamas su šlapimu. Ilgesnį laiką skiriant kaupiamąsias dozes į veną, siekiančias 35 mg/kg, gyvūnų organizme nebuvo nustatyta preparato sunaudojimo kauluose prisotinimo įrodymų. Nors klinikinės informacijos apie tai nėra, tikėtina, kad, kaip ir gyvūnų organizme, pacientams, kuriems sutrikusi inkstų funkcija, alendronato pašalinimas per inkstus bus silpnesnis. Taigi galima tikėtis, kad pacientams, kuriems sutrikusi inkstų funkcija, šiek tiek daugiau alendronato kaupsis kauluose (žr. 4.2 skyrių).</w:t>
      </w:r>
    </w:p>
    <w:p w14:paraId="2220F422" w14:textId="77777777" w:rsidR="002D358F" w:rsidRPr="00C705A4" w:rsidRDefault="002D358F" w:rsidP="002D358F">
      <w:pPr>
        <w:tabs>
          <w:tab w:val="left" w:pos="567"/>
        </w:tabs>
        <w:spacing w:after="0" w:line="260" w:lineRule="exact"/>
        <w:rPr>
          <w:rFonts w:ascii="Times New Roman" w:hAnsi="Times New Roman"/>
          <w:lang w:val="lt-LT"/>
        </w:rPr>
      </w:pPr>
    </w:p>
    <w:p w14:paraId="654292D1"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Kalcis</w:t>
      </w:r>
    </w:p>
    <w:p w14:paraId="46074D4B" w14:textId="77777777" w:rsidR="002D358F" w:rsidRPr="00C705A4" w:rsidRDefault="002D358F" w:rsidP="002D358F">
      <w:pPr>
        <w:tabs>
          <w:tab w:val="left" w:pos="567"/>
        </w:tabs>
        <w:spacing w:after="0" w:line="260" w:lineRule="exact"/>
        <w:ind w:right="-142"/>
        <w:rPr>
          <w:rFonts w:ascii="Calibri" w:hAnsi="Calibri"/>
          <w:i/>
          <w:lang w:val="lt-LT"/>
        </w:rPr>
      </w:pPr>
      <w:r w:rsidRPr="00C705A4">
        <w:rPr>
          <w:rFonts w:ascii="Times New Roman" w:hAnsi="Times New Roman"/>
          <w:i/>
          <w:lang w:val="lt-LT"/>
        </w:rPr>
        <w:t>Absorbcija</w:t>
      </w:r>
    </w:p>
    <w:p w14:paraId="212D0945" w14:textId="77777777" w:rsidR="002D358F" w:rsidRPr="00C705A4" w:rsidRDefault="002D358F" w:rsidP="002D358F">
      <w:pPr>
        <w:tabs>
          <w:tab w:val="left" w:pos="567"/>
        </w:tabs>
        <w:spacing w:after="0" w:line="260" w:lineRule="exact"/>
        <w:rPr>
          <w:rFonts w:ascii="Times New Roman" w:hAnsi="Times New Roman"/>
          <w:lang w:val="lt-LT"/>
        </w:rPr>
      </w:pPr>
      <w:r w:rsidRPr="00C705A4">
        <w:rPr>
          <w:rFonts w:ascii="Times New Roman" w:hAnsi="Times New Roman"/>
          <w:lang w:val="lt-LT"/>
        </w:rPr>
        <w:t>Iš virškinamojo trakto absorbuoto kalcio kiekis sudaro maždaug 30 % nurytos dozės.</w:t>
      </w:r>
    </w:p>
    <w:p w14:paraId="57C9596E" w14:textId="77777777" w:rsidR="002D358F" w:rsidRPr="00C705A4" w:rsidRDefault="002D358F" w:rsidP="002D358F">
      <w:pPr>
        <w:tabs>
          <w:tab w:val="left" w:pos="567"/>
        </w:tabs>
        <w:spacing w:after="0" w:line="260" w:lineRule="exact"/>
        <w:rPr>
          <w:rFonts w:ascii="Times New Roman" w:hAnsi="Times New Roman"/>
          <w:lang w:val="lt-LT"/>
        </w:rPr>
      </w:pPr>
    </w:p>
    <w:p w14:paraId="6278C818"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Pasiskirstymas ir metabolizmas</w:t>
      </w:r>
    </w:p>
    <w:p w14:paraId="4EA13994"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99 % organizmo kalcio </w:t>
      </w:r>
      <w:r w:rsidRPr="002D358F">
        <w:rPr>
          <w:rFonts w:ascii="Times New Roman" w:eastAsia="Times New Roman" w:hAnsi="Times New Roman" w:cs="Times New Roman"/>
          <w:snapToGrid w:val="0"/>
          <w:szCs w:val="20"/>
          <w:lang w:val="en-GB"/>
        </w:rPr>
        <w:t>sukoncentruojama kietose kaulų ir dantų struktūrose. Likęs 1 % kalcio yra ląsteliniame ir tarpląsteliniame skysčiuose. Apie 50 % viso kraujo kalcio yra fiziologiškai aktyvios jonizuotos formos, iš jos apie 10 % susijungę su citratais, fosfatais ar kitais anijonais, likę 40 % susijungę su baltymais, daugiausiai albuminais. Kalcio bioprieinamumas gali šiek tiek padidėti tuo pačiu metu pavartojus maisto.</w:t>
      </w:r>
    </w:p>
    <w:p w14:paraId="1A2ABC15" w14:textId="77777777" w:rsidR="002D358F" w:rsidRPr="00C705A4" w:rsidRDefault="002D358F" w:rsidP="002D358F">
      <w:pPr>
        <w:tabs>
          <w:tab w:val="left" w:pos="567"/>
        </w:tabs>
        <w:spacing w:after="0" w:line="260" w:lineRule="exact"/>
        <w:rPr>
          <w:rFonts w:ascii="Times New Roman" w:hAnsi="Times New Roman"/>
          <w:lang w:val="lt-LT"/>
        </w:rPr>
      </w:pPr>
    </w:p>
    <w:p w14:paraId="747E38E2"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Eliminacija</w:t>
      </w:r>
    </w:p>
    <w:p w14:paraId="29592C5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lastRenderedPageBreak/>
        <w:t>Kalcis pašalinamas su išmatomis, šlapimu ir prakaitu. Išskyrimas per inkstus priklauso nuo glomerulų filtracijos ir kalcio reabsorbcijos kanalėliuose.</w:t>
      </w:r>
    </w:p>
    <w:p w14:paraId="5D06D15B" w14:textId="77777777" w:rsidR="002D358F" w:rsidRPr="00C705A4" w:rsidRDefault="002D358F" w:rsidP="002D358F">
      <w:pPr>
        <w:tabs>
          <w:tab w:val="left" w:pos="567"/>
        </w:tabs>
        <w:spacing w:after="0" w:line="260" w:lineRule="exact"/>
        <w:rPr>
          <w:rFonts w:ascii="Times New Roman" w:hAnsi="Times New Roman"/>
          <w:lang w:val="lt-LT"/>
        </w:rPr>
      </w:pPr>
    </w:p>
    <w:p w14:paraId="699A826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u w:val="single"/>
          <w:lang w:val="lt-LT"/>
        </w:rPr>
        <w:t>Kolecalciferolis</w:t>
      </w:r>
    </w:p>
    <w:p w14:paraId="678963EF" w14:textId="77777777" w:rsidR="002D358F" w:rsidRPr="00C705A4" w:rsidRDefault="002D358F" w:rsidP="002D358F">
      <w:pPr>
        <w:tabs>
          <w:tab w:val="left" w:pos="567"/>
        </w:tabs>
        <w:spacing w:after="0" w:line="260" w:lineRule="exact"/>
        <w:ind w:right="-142"/>
        <w:rPr>
          <w:rFonts w:ascii="Calibri" w:hAnsi="Calibri"/>
          <w:i/>
          <w:lang w:val="lt-LT"/>
        </w:rPr>
      </w:pPr>
      <w:r w:rsidRPr="00C705A4">
        <w:rPr>
          <w:rFonts w:ascii="Times New Roman" w:hAnsi="Times New Roman"/>
          <w:i/>
          <w:lang w:val="lt-LT"/>
        </w:rPr>
        <w:t>Absorbcija</w:t>
      </w:r>
    </w:p>
    <w:p w14:paraId="1CCBC2B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Vitaminas D lengvai absorbuojamas plonajame žarnyne.</w:t>
      </w:r>
    </w:p>
    <w:p w14:paraId="4FF96F65" w14:textId="77777777" w:rsidR="002D358F" w:rsidRPr="00C705A4" w:rsidRDefault="002D358F" w:rsidP="002D358F">
      <w:pPr>
        <w:tabs>
          <w:tab w:val="left" w:pos="567"/>
        </w:tabs>
        <w:spacing w:after="0" w:line="260" w:lineRule="exact"/>
        <w:rPr>
          <w:rFonts w:ascii="Times New Roman" w:hAnsi="Times New Roman"/>
          <w:lang w:val="lt-LT"/>
        </w:rPr>
      </w:pPr>
    </w:p>
    <w:p w14:paraId="2F336722"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Pasiskirstymas ir metabolizmas</w:t>
      </w:r>
    </w:p>
    <w:p w14:paraId="62085D57"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kolekalciferolis ir jo metabolitai kraujyje cirkuliuoja susijungę su specifiniu globulinu. Kolekalciferolis kepenyse hidroksilinimo būdu paverčiamas jo aktyviąja forma 25-hidroksicholekalciferoliu. Vėliau jis inkstuose paverčiamas 1,25-dihidroksicholekalciferoliu. 1,25-dihidroksicholekalciferolis yra metabolitas, lemiantis didesnę kal</w:t>
      </w:r>
      <w:r w:rsidRPr="002D358F">
        <w:rPr>
          <w:rFonts w:ascii="Times New Roman" w:eastAsia="Times New Roman" w:hAnsi="Times New Roman" w:cs="Times New Roman"/>
          <w:snapToGrid w:val="0"/>
          <w:szCs w:val="20"/>
          <w:lang w:val="en-GB"/>
        </w:rPr>
        <w:t>cio absorbciją. Vitaminas D, kuris nėra metabolizuojamas, saugomas riebaliniame ir raumenų audiniuose.</w:t>
      </w:r>
    </w:p>
    <w:p w14:paraId="75F1B236" w14:textId="77777777" w:rsidR="002D358F" w:rsidRPr="00C705A4" w:rsidRDefault="002D358F" w:rsidP="002D358F">
      <w:pPr>
        <w:tabs>
          <w:tab w:val="left" w:pos="567"/>
        </w:tabs>
        <w:spacing w:after="0" w:line="260" w:lineRule="exact"/>
        <w:rPr>
          <w:rFonts w:ascii="Times New Roman" w:hAnsi="Times New Roman"/>
          <w:lang w:val="lt-LT"/>
        </w:rPr>
      </w:pPr>
    </w:p>
    <w:p w14:paraId="544EB920" w14:textId="77777777" w:rsidR="002D358F" w:rsidRPr="00C705A4" w:rsidRDefault="002D358F" w:rsidP="002D358F">
      <w:pPr>
        <w:tabs>
          <w:tab w:val="left" w:pos="567"/>
        </w:tabs>
        <w:spacing w:after="0" w:line="260" w:lineRule="exact"/>
        <w:rPr>
          <w:rFonts w:ascii="Calibri" w:hAnsi="Calibri"/>
          <w:i/>
          <w:lang w:val="lt-LT"/>
        </w:rPr>
      </w:pPr>
      <w:r w:rsidRPr="00C705A4">
        <w:rPr>
          <w:rFonts w:ascii="Times New Roman" w:hAnsi="Times New Roman"/>
          <w:i/>
          <w:lang w:val="lt-LT"/>
        </w:rPr>
        <w:t>Eliminacija</w:t>
      </w:r>
    </w:p>
    <w:p w14:paraId="6B20F609"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Vitaminas D pašalinamas su išmatomis ir šlapimu.</w:t>
      </w:r>
    </w:p>
    <w:p w14:paraId="6A8BA94F" w14:textId="77777777" w:rsidR="002D358F" w:rsidRPr="00C705A4" w:rsidRDefault="002D358F" w:rsidP="002D358F">
      <w:pPr>
        <w:tabs>
          <w:tab w:val="left" w:pos="567"/>
        </w:tabs>
        <w:spacing w:after="0" w:line="260" w:lineRule="exact"/>
        <w:rPr>
          <w:rFonts w:ascii="Times New Roman" w:hAnsi="Times New Roman"/>
          <w:lang w:val="lt-LT"/>
        </w:rPr>
      </w:pPr>
    </w:p>
    <w:p w14:paraId="0AEB273A"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5.3</w:t>
      </w:r>
      <w:r w:rsidRPr="00C705A4">
        <w:rPr>
          <w:rFonts w:ascii="Times New Roman" w:hAnsi="Times New Roman"/>
          <w:b/>
          <w:lang w:val="lt-LT"/>
        </w:rPr>
        <w:tab/>
        <w:t>Ikiklinikinių saugumo tyrimų duomenys</w:t>
      </w:r>
    </w:p>
    <w:p w14:paraId="7A4C8248" w14:textId="77777777" w:rsidR="002D358F" w:rsidRPr="00C705A4" w:rsidRDefault="002D358F" w:rsidP="002D358F">
      <w:pPr>
        <w:spacing w:after="0" w:line="240" w:lineRule="auto"/>
        <w:rPr>
          <w:rFonts w:ascii="Times New Roman" w:hAnsi="Times New Roman"/>
          <w:lang w:val="lt-LT"/>
        </w:rPr>
      </w:pPr>
    </w:p>
    <w:p w14:paraId="642EF66C" w14:textId="77777777" w:rsidR="002D358F" w:rsidRPr="00C705A4" w:rsidRDefault="002D358F" w:rsidP="002D358F">
      <w:pPr>
        <w:spacing w:after="0" w:line="240" w:lineRule="auto"/>
        <w:rPr>
          <w:rFonts w:ascii="Calibri" w:hAnsi="Calibri"/>
          <w:lang w:val="lt-LT"/>
        </w:rPr>
      </w:pPr>
      <w:r w:rsidRPr="00C705A4">
        <w:rPr>
          <w:rFonts w:ascii="Times New Roman" w:hAnsi="Times New Roman"/>
          <w:u w:val="single"/>
          <w:lang w:val="lt-LT"/>
        </w:rPr>
        <w:t>Alendronatas</w:t>
      </w:r>
    </w:p>
    <w:p w14:paraId="78B06738"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 xml:space="preserve">Įprastų farmakologinio saugumo, kartotinių dozių toksiškumo, genotoksiškumo, galimo kancerogeniškumo ikiklinikinių tyrimų duomenys specifinio pavojaus žmogui nerodo. Tyrimai su žiurkėmis rodo, kad gydymas alendrono rūgštimi nėštumo metu buvo susijęs su patelių distocija (sunkiu, komplikuotu gimdymu), kuri siejama su hipokalcemija. </w:t>
      </w:r>
      <w:r w:rsidRPr="002D358F">
        <w:rPr>
          <w:rFonts w:ascii="Times New Roman" w:eastAsia="Times New Roman" w:hAnsi="Times New Roman" w:cs="Times New Roman"/>
          <w:snapToGrid w:val="0"/>
          <w:szCs w:val="20"/>
          <w:lang w:val="en-GB"/>
        </w:rPr>
        <w:t>Tyrimuose pastebėta, kad, žiurkėms skiriant dideles preparato dozes, buvo didesnis nevisiškos vaisiaus osifikacijos atvejų dažnis. Šių duomenų reikšmė žmogui nežinoma.</w:t>
      </w:r>
    </w:p>
    <w:p w14:paraId="2274D551" w14:textId="77777777" w:rsidR="002D358F" w:rsidRPr="00C705A4" w:rsidRDefault="002D358F" w:rsidP="002D358F">
      <w:pPr>
        <w:spacing w:after="0" w:line="240" w:lineRule="auto"/>
        <w:rPr>
          <w:rFonts w:ascii="Times New Roman" w:hAnsi="Times New Roman"/>
          <w:lang w:val="lt-LT"/>
        </w:rPr>
      </w:pPr>
    </w:p>
    <w:p w14:paraId="77285592" w14:textId="77777777" w:rsidR="002D358F" w:rsidRPr="00C705A4" w:rsidRDefault="002D358F" w:rsidP="002D358F">
      <w:pPr>
        <w:spacing w:after="0" w:line="240" w:lineRule="auto"/>
        <w:rPr>
          <w:rFonts w:ascii="Calibri" w:hAnsi="Calibri"/>
          <w:lang w:val="lt-LT"/>
        </w:rPr>
      </w:pPr>
      <w:r w:rsidRPr="00C705A4">
        <w:rPr>
          <w:rFonts w:ascii="Times New Roman" w:hAnsi="Times New Roman"/>
          <w:u w:val="single"/>
          <w:lang w:val="lt-LT"/>
        </w:rPr>
        <w:t>Kalcis/kolekalciferolis</w:t>
      </w:r>
    </w:p>
    <w:p w14:paraId="6167B760"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Tyrimuose su gyvūnais pastebėta, kad, skiriant gerokai viršijančias terapines vitamino D dozes žmogui, pasireiškė teratogeninis poveikis. Daugiau reikšmingos saugumo įvertinimo informacijos, be tos, kuri pateikta kitose šio</w:t>
      </w:r>
      <w:r w:rsidRPr="002D358F">
        <w:rPr>
          <w:rFonts w:ascii="Times New Roman" w:eastAsia="Times New Roman" w:hAnsi="Times New Roman" w:cs="Times New Roman"/>
          <w:snapToGrid w:val="0"/>
          <w:szCs w:val="20"/>
          <w:lang w:val="en-GB"/>
        </w:rPr>
        <w:t>s</w:t>
      </w:r>
      <w:r w:rsidRPr="00C705A4">
        <w:rPr>
          <w:rFonts w:ascii="Times New Roman" w:hAnsi="Times New Roman"/>
          <w:lang w:val="lt-LT"/>
        </w:rPr>
        <w:t xml:space="preserve"> PCS dalyse, nėra. </w:t>
      </w:r>
    </w:p>
    <w:p w14:paraId="62F2C918" w14:textId="77777777" w:rsidR="002D358F" w:rsidRPr="00C705A4" w:rsidRDefault="002D358F" w:rsidP="002D358F">
      <w:pPr>
        <w:spacing w:after="0" w:line="240" w:lineRule="auto"/>
        <w:rPr>
          <w:rFonts w:ascii="Times New Roman" w:hAnsi="Times New Roman"/>
          <w:lang w:val="lt-LT"/>
        </w:rPr>
      </w:pPr>
    </w:p>
    <w:p w14:paraId="17199B27" w14:textId="77777777" w:rsidR="002D358F" w:rsidRPr="00C705A4" w:rsidRDefault="002D358F" w:rsidP="002D358F">
      <w:pPr>
        <w:spacing w:after="0" w:line="240" w:lineRule="auto"/>
        <w:rPr>
          <w:rFonts w:ascii="Times New Roman" w:hAnsi="Times New Roman"/>
          <w:lang w:val="lt-LT"/>
        </w:rPr>
      </w:pPr>
    </w:p>
    <w:p w14:paraId="4C61DD31"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t>6.</w:t>
      </w:r>
      <w:r w:rsidRPr="00C705A4">
        <w:rPr>
          <w:rFonts w:ascii="Times New Roman" w:hAnsi="Times New Roman"/>
          <w:b/>
          <w:lang w:val="lt-LT"/>
        </w:rPr>
        <w:tab/>
        <w:t>FARMACINĖ INFORMACIJA</w:t>
      </w:r>
    </w:p>
    <w:p w14:paraId="616F7937" w14:textId="77777777" w:rsidR="002D358F" w:rsidRPr="00C705A4" w:rsidRDefault="002D358F" w:rsidP="002D358F">
      <w:pPr>
        <w:spacing w:after="0" w:line="240" w:lineRule="auto"/>
        <w:rPr>
          <w:rFonts w:ascii="Times New Roman" w:hAnsi="Times New Roman"/>
          <w:lang w:val="lt-LT"/>
        </w:rPr>
      </w:pPr>
    </w:p>
    <w:p w14:paraId="0C8A19B6"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6.1</w:t>
      </w:r>
      <w:r w:rsidRPr="00C705A4">
        <w:rPr>
          <w:rFonts w:ascii="Times New Roman" w:hAnsi="Times New Roman"/>
          <w:b/>
          <w:lang w:val="lt-LT"/>
        </w:rPr>
        <w:tab/>
        <w:t>Pagalbinių medžiagų sąrašas</w:t>
      </w:r>
    </w:p>
    <w:p w14:paraId="29090FB8" w14:textId="77777777" w:rsidR="002D358F" w:rsidRPr="00C705A4" w:rsidRDefault="002D358F" w:rsidP="002D358F">
      <w:pPr>
        <w:spacing w:after="0" w:line="240" w:lineRule="auto"/>
        <w:rPr>
          <w:rFonts w:ascii="Times New Roman" w:hAnsi="Times New Roman"/>
          <w:lang w:val="lt-LT"/>
        </w:rPr>
      </w:pPr>
    </w:p>
    <w:p w14:paraId="5BACCCF3" w14:textId="77777777" w:rsidR="002D358F" w:rsidRPr="00C705A4" w:rsidRDefault="002D358F" w:rsidP="002D358F">
      <w:pPr>
        <w:spacing w:after="0" w:line="240" w:lineRule="auto"/>
        <w:rPr>
          <w:rFonts w:ascii="Calibri" w:hAnsi="Calibri"/>
          <w:lang w:val="lt-LT"/>
        </w:rPr>
      </w:pPr>
      <w:r w:rsidRPr="00C705A4">
        <w:rPr>
          <w:rFonts w:ascii="Times New Roman" w:hAnsi="Times New Roman"/>
          <w:u w:val="single"/>
          <w:lang w:val="lt-LT"/>
        </w:rPr>
        <w:t>Alendronato tabletė</w:t>
      </w:r>
    </w:p>
    <w:p w14:paraId="0F3F6E95"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Laktozė monohidratas</w:t>
      </w:r>
    </w:p>
    <w:p w14:paraId="0F81F79D"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Mikrokristalinė celiuliozė</w:t>
      </w:r>
    </w:p>
    <w:p w14:paraId="0804FF55" w14:textId="77777777" w:rsidR="002D358F" w:rsidRPr="00C705A4" w:rsidRDefault="002D358F" w:rsidP="002D358F">
      <w:pPr>
        <w:spacing w:after="0" w:line="240" w:lineRule="auto"/>
        <w:rPr>
          <w:rFonts w:ascii="Times New Roman" w:hAnsi="Times New Roman"/>
          <w:lang w:val="lt-LT"/>
        </w:rPr>
      </w:pPr>
      <w:r w:rsidRPr="00C705A4">
        <w:rPr>
          <w:rFonts w:ascii="Times New Roman" w:hAnsi="Times New Roman"/>
          <w:lang w:val="lt-LT"/>
        </w:rPr>
        <w:t>Kroskarmeliozės natrio druska</w:t>
      </w:r>
    </w:p>
    <w:p w14:paraId="42C40352"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Magnio stearatas</w:t>
      </w:r>
    </w:p>
    <w:p w14:paraId="74C03767"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Bevandenis koloidinis silicio dioksidas</w:t>
      </w:r>
    </w:p>
    <w:p w14:paraId="0D1A69B9" w14:textId="77777777" w:rsidR="002D358F" w:rsidRPr="00C705A4" w:rsidRDefault="002D358F" w:rsidP="002D358F">
      <w:pPr>
        <w:spacing w:after="0" w:line="240" w:lineRule="auto"/>
        <w:rPr>
          <w:rFonts w:ascii="Times New Roman" w:hAnsi="Times New Roman"/>
          <w:lang w:val="lt-LT"/>
        </w:rPr>
      </w:pPr>
    </w:p>
    <w:p w14:paraId="4956A90F" w14:textId="77777777" w:rsidR="002D358F" w:rsidRPr="00C705A4" w:rsidRDefault="002D358F" w:rsidP="002D358F">
      <w:pPr>
        <w:spacing w:after="0" w:line="240" w:lineRule="auto"/>
        <w:rPr>
          <w:rFonts w:ascii="Calibri" w:hAnsi="Calibri"/>
          <w:lang w:val="lt-LT"/>
        </w:rPr>
      </w:pPr>
      <w:r w:rsidRPr="00C705A4">
        <w:rPr>
          <w:rFonts w:ascii="Times New Roman" w:hAnsi="Times New Roman"/>
          <w:u w:val="single"/>
          <w:lang w:val="lt-LT"/>
        </w:rPr>
        <w:t>Kalcio /kolekalciferolio</w:t>
      </w:r>
      <w:r w:rsidRPr="002D358F">
        <w:rPr>
          <w:rFonts w:ascii="Times New Roman" w:eastAsia="Times New Roman" w:hAnsi="Times New Roman" w:cs="Times New Roman"/>
          <w:snapToGrid w:val="0"/>
          <w:szCs w:val="20"/>
          <w:u w:val="single"/>
          <w:lang w:val="en-GB"/>
        </w:rPr>
        <w:t xml:space="preserve"> tabletė</w:t>
      </w:r>
    </w:p>
    <w:p w14:paraId="1CA08FE6" w14:textId="77777777" w:rsidR="002D358F" w:rsidRPr="00C705A4" w:rsidRDefault="002D358F" w:rsidP="002D358F">
      <w:pPr>
        <w:spacing w:after="0" w:line="240" w:lineRule="auto"/>
        <w:rPr>
          <w:rFonts w:ascii="Calibri" w:hAnsi="Calibri"/>
          <w:i/>
          <w:lang w:val="lt-LT"/>
        </w:rPr>
      </w:pPr>
      <w:r w:rsidRPr="00C705A4">
        <w:rPr>
          <w:rFonts w:ascii="Times New Roman" w:hAnsi="Times New Roman"/>
          <w:i/>
          <w:lang w:val="lt-LT"/>
        </w:rPr>
        <w:t>Šerdis:</w:t>
      </w:r>
    </w:p>
    <w:p w14:paraId="56BD3029"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Maltodekstrinas</w:t>
      </w:r>
    </w:p>
    <w:p w14:paraId="32ED8B48" w14:textId="77777777" w:rsidR="002D358F" w:rsidRPr="00C705A4" w:rsidRDefault="002D358F" w:rsidP="002D358F">
      <w:pPr>
        <w:spacing w:after="0" w:line="240" w:lineRule="auto"/>
        <w:rPr>
          <w:rFonts w:ascii="Times New Roman" w:hAnsi="Times New Roman"/>
          <w:lang w:val="lt-LT"/>
        </w:rPr>
      </w:pPr>
      <w:r w:rsidRPr="00C705A4">
        <w:rPr>
          <w:rFonts w:ascii="Times New Roman" w:hAnsi="Times New Roman"/>
          <w:lang w:val="lt-LT"/>
        </w:rPr>
        <w:t>Kroskarmeliozė</w:t>
      </w:r>
      <w:r w:rsidRPr="002D358F">
        <w:rPr>
          <w:rFonts w:ascii="Times New Roman" w:eastAsia="Times New Roman" w:hAnsi="Times New Roman" w:cs="Times New Roman"/>
          <w:snapToGrid w:val="0"/>
          <w:szCs w:val="20"/>
          <w:lang w:val="en-GB"/>
        </w:rPr>
        <w:t>s natrio druska</w:t>
      </w:r>
    </w:p>
    <w:p w14:paraId="5E0522B2"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Bevandenis koloidinis silicio dioksidas</w:t>
      </w:r>
    </w:p>
    <w:p w14:paraId="0610E2D4"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Magnio stearatas</w:t>
      </w:r>
    </w:p>
    <w:p w14:paraId="50DAA286"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Visų racematų alfa-tokoferolis</w:t>
      </w:r>
    </w:p>
    <w:p w14:paraId="6E99E1C4"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lastRenderedPageBreak/>
        <w:t>Sacharozė</w:t>
      </w:r>
    </w:p>
    <w:p w14:paraId="20771C68"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Vidutinės</w:t>
      </w:r>
      <w:r w:rsidRPr="002D358F">
        <w:rPr>
          <w:rFonts w:ascii="Times New Roman" w:eastAsia="Times New Roman" w:hAnsi="Times New Roman" w:cs="Times New Roman"/>
          <w:snapToGrid w:val="0"/>
          <w:szCs w:val="20"/>
          <w:lang w:val="en-GB"/>
        </w:rPr>
        <w:t xml:space="preserve"> grandinės trigliceridai</w:t>
      </w:r>
    </w:p>
    <w:p w14:paraId="14899388"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Krakmolo natrio oktenilsukcinatas (E 1450)</w:t>
      </w:r>
    </w:p>
    <w:p w14:paraId="7CED8266"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Silicio dioksidas</w:t>
      </w:r>
    </w:p>
    <w:p w14:paraId="3EB07386"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Natrio askorbatas</w:t>
      </w:r>
    </w:p>
    <w:p w14:paraId="124CA7E3" w14:textId="77777777" w:rsidR="002D358F" w:rsidRPr="00C705A4" w:rsidRDefault="002D358F" w:rsidP="002D358F">
      <w:pPr>
        <w:spacing w:after="0" w:line="240" w:lineRule="auto"/>
        <w:rPr>
          <w:rFonts w:ascii="Calibri" w:hAnsi="Calibri"/>
          <w:i/>
          <w:lang w:val="lt-LT"/>
        </w:rPr>
      </w:pPr>
      <w:r w:rsidRPr="00C705A4">
        <w:rPr>
          <w:rFonts w:ascii="Times New Roman" w:hAnsi="Times New Roman"/>
          <w:i/>
          <w:lang w:val="lt-LT"/>
        </w:rPr>
        <w:t>Plėvelė:</w:t>
      </w:r>
    </w:p>
    <w:p w14:paraId="21D15887"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Hipromeliozė</w:t>
      </w:r>
    </w:p>
    <w:p w14:paraId="773DFB32"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Makrogolis</w:t>
      </w:r>
    </w:p>
    <w:p w14:paraId="1FDAAA4C"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 xml:space="preserve">Parafinas </w:t>
      </w:r>
    </w:p>
    <w:p w14:paraId="22C3E646" w14:textId="77777777" w:rsidR="002D358F" w:rsidRPr="00C705A4" w:rsidRDefault="002D358F" w:rsidP="002D358F">
      <w:pPr>
        <w:spacing w:after="0" w:line="240" w:lineRule="auto"/>
        <w:rPr>
          <w:rFonts w:ascii="Times New Roman" w:hAnsi="Times New Roman"/>
          <w:lang w:val="lt-LT"/>
        </w:rPr>
      </w:pPr>
    </w:p>
    <w:p w14:paraId="5065DBE7"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6.2</w:t>
      </w:r>
      <w:r w:rsidRPr="00C705A4">
        <w:rPr>
          <w:rFonts w:ascii="Times New Roman" w:hAnsi="Times New Roman"/>
          <w:b/>
          <w:lang w:val="lt-LT"/>
        </w:rPr>
        <w:tab/>
        <w:t>Nesuderinamumas</w:t>
      </w:r>
    </w:p>
    <w:p w14:paraId="6EB209E7" w14:textId="77777777" w:rsidR="002D358F" w:rsidRPr="00C705A4" w:rsidRDefault="002D358F" w:rsidP="002D358F">
      <w:pPr>
        <w:spacing w:after="0" w:line="240" w:lineRule="auto"/>
        <w:rPr>
          <w:rFonts w:ascii="Times New Roman" w:hAnsi="Times New Roman"/>
          <w:lang w:val="lt-LT"/>
        </w:rPr>
      </w:pPr>
    </w:p>
    <w:p w14:paraId="3F32CCB8"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Duomenys nebūtini.</w:t>
      </w:r>
    </w:p>
    <w:p w14:paraId="1AE4749B" w14:textId="77777777" w:rsidR="002D358F" w:rsidRPr="00C705A4" w:rsidRDefault="002D358F" w:rsidP="002D358F">
      <w:pPr>
        <w:spacing w:after="0" w:line="240" w:lineRule="auto"/>
        <w:rPr>
          <w:rFonts w:ascii="Times New Roman" w:hAnsi="Times New Roman"/>
          <w:lang w:val="lt-LT"/>
        </w:rPr>
      </w:pPr>
    </w:p>
    <w:p w14:paraId="495A15E8"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6.3</w:t>
      </w:r>
      <w:r w:rsidRPr="00C705A4">
        <w:rPr>
          <w:rFonts w:ascii="Times New Roman" w:hAnsi="Times New Roman"/>
          <w:b/>
          <w:lang w:val="lt-LT"/>
        </w:rPr>
        <w:tab/>
        <w:t>Tinkamumo laikas</w:t>
      </w:r>
    </w:p>
    <w:p w14:paraId="20073695" w14:textId="77777777" w:rsidR="002D358F" w:rsidRPr="00C705A4" w:rsidRDefault="002D358F" w:rsidP="002D358F">
      <w:pPr>
        <w:spacing w:after="0" w:line="240" w:lineRule="auto"/>
        <w:rPr>
          <w:rFonts w:ascii="Times New Roman" w:hAnsi="Times New Roman"/>
          <w:lang w:val="lt-LT"/>
        </w:rPr>
      </w:pPr>
    </w:p>
    <w:p w14:paraId="4FC5A8AD"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30 mėnesių.</w:t>
      </w:r>
    </w:p>
    <w:p w14:paraId="6CE4D7AD" w14:textId="77777777" w:rsidR="002D358F" w:rsidRPr="00C705A4" w:rsidRDefault="002D358F" w:rsidP="002D358F">
      <w:pPr>
        <w:spacing w:after="0" w:line="240" w:lineRule="auto"/>
        <w:rPr>
          <w:rFonts w:ascii="Times New Roman" w:hAnsi="Times New Roman"/>
          <w:lang w:val="lt-LT"/>
        </w:rPr>
      </w:pPr>
    </w:p>
    <w:p w14:paraId="2232F818"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6.4</w:t>
      </w:r>
      <w:r w:rsidRPr="00C705A4">
        <w:rPr>
          <w:rFonts w:ascii="Times New Roman" w:hAnsi="Times New Roman"/>
          <w:b/>
          <w:lang w:val="lt-LT"/>
        </w:rPr>
        <w:tab/>
        <w:t>Specialios laikymo sąlygos</w:t>
      </w:r>
    </w:p>
    <w:p w14:paraId="18646818" w14:textId="77777777" w:rsidR="002D358F" w:rsidRPr="00C705A4" w:rsidRDefault="002D358F" w:rsidP="002D358F">
      <w:pPr>
        <w:spacing w:after="0" w:line="240" w:lineRule="auto"/>
        <w:rPr>
          <w:rFonts w:ascii="Times New Roman" w:hAnsi="Times New Roman"/>
          <w:lang w:val="lt-LT"/>
        </w:rPr>
      </w:pPr>
    </w:p>
    <w:p w14:paraId="5EFA1D1C" w14:textId="77777777" w:rsidR="002D358F" w:rsidRPr="00C705A4" w:rsidRDefault="002D358F" w:rsidP="002D358F">
      <w:pPr>
        <w:tabs>
          <w:tab w:val="left" w:pos="567"/>
        </w:tabs>
        <w:spacing w:after="0" w:line="260" w:lineRule="exact"/>
        <w:rPr>
          <w:rFonts w:ascii="Calibri" w:hAnsi="Calibri"/>
          <w:color w:val="0D0D0D"/>
          <w:lang w:val="lt-LT"/>
        </w:rPr>
      </w:pPr>
      <w:r w:rsidRPr="00C705A4">
        <w:rPr>
          <w:rFonts w:ascii="Times New Roman" w:hAnsi="Times New Roman"/>
          <w:lang w:val="lt-LT"/>
        </w:rPr>
        <w:t>Laikyti žemesnėje kaip 30 </w:t>
      </w:r>
      <w:r w:rsidRPr="002D358F">
        <w:rPr>
          <w:rFonts w:ascii="Times New Roman" w:eastAsia="Times New Roman" w:hAnsi="Times New Roman" w:cs="Times New Roman"/>
          <w:snapToGrid w:val="0"/>
          <w:szCs w:val="20"/>
          <w:lang w:val="en-GB"/>
        </w:rPr>
        <w:sym w:font="Symbol" w:char="F0B0"/>
      </w:r>
      <w:r w:rsidRPr="00C705A4">
        <w:rPr>
          <w:rFonts w:ascii="Times New Roman" w:hAnsi="Times New Roman"/>
          <w:lang w:val="lt-LT"/>
        </w:rPr>
        <w:t>C temperatūroje. Laikyti gamintojo pakuotėje, kad preparatas būtų apsaugotas nuo šviesos ir drėgmės.</w:t>
      </w:r>
    </w:p>
    <w:p w14:paraId="3C3BA472" w14:textId="77777777" w:rsidR="002D358F" w:rsidRPr="00C705A4" w:rsidRDefault="002D358F" w:rsidP="002D358F">
      <w:pPr>
        <w:spacing w:after="0" w:line="240" w:lineRule="auto"/>
        <w:rPr>
          <w:rFonts w:ascii="Times New Roman" w:hAnsi="Times New Roman"/>
          <w:lang w:val="lt-LT"/>
        </w:rPr>
      </w:pPr>
    </w:p>
    <w:p w14:paraId="57208B1F"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r w:rsidRPr="00C705A4">
        <w:rPr>
          <w:rFonts w:ascii="Times New Roman" w:hAnsi="Times New Roman"/>
          <w:b/>
          <w:lang w:val="lt-LT"/>
        </w:rPr>
        <w:t>6.5</w:t>
      </w:r>
      <w:r w:rsidRPr="00C705A4">
        <w:rPr>
          <w:rFonts w:ascii="Times New Roman" w:hAnsi="Times New Roman"/>
          <w:b/>
          <w:lang w:val="lt-LT"/>
        </w:rPr>
        <w:tab/>
        <w:t>Talpyklės pobūdis ir jos turinys</w:t>
      </w:r>
    </w:p>
    <w:p w14:paraId="1685F8B5" w14:textId="77777777" w:rsidR="002D358F" w:rsidRPr="00C705A4" w:rsidRDefault="002D358F" w:rsidP="002D358F">
      <w:pPr>
        <w:spacing w:after="0" w:line="240" w:lineRule="auto"/>
        <w:rPr>
          <w:rFonts w:ascii="Times New Roman" w:hAnsi="Times New Roman"/>
          <w:lang w:val="lt-LT"/>
        </w:rPr>
      </w:pPr>
    </w:p>
    <w:p w14:paraId="2CA3066E"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 xml:space="preserve">Alendronato 70 mg tabletės yra supakuotos į </w:t>
      </w:r>
      <w:r w:rsidRPr="002D358F">
        <w:rPr>
          <w:rFonts w:ascii="Times New Roman" w:eastAsia="Times New Roman" w:hAnsi="Times New Roman" w:cs="Times New Roman"/>
          <w:snapToGrid w:val="0"/>
          <w:szCs w:val="20"/>
          <w:lang w:val="en-GB"/>
        </w:rPr>
        <w:t>matines PVC / aliuminio lizdines plokšteles, kuriose yra 1 tabletė.</w:t>
      </w:r>
    </w:p>
    <w:p w14:paraId="053A792A"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Kalcio/kolekalciferolio</w:t>
      </w:r>
      <w:r w:rsidRPr="002D358F">
        <w:rPr>
          <w:rFonts w:ascii="Times New Roman" w:eastAsia="Times New Roman" w:hAnsi="Times New Roman" w:cs="Times New Roman"/>
          <w:snapToGrid w:val="0"/>
          <w:szCs w:val="20"/>
          <w:lang w:val="en-GB"/>
        </w:rPr>
        <w:t xml:space="preserve"> 500 mg/800 TV tabletės yra supakuotos į a</w:t>
      </w:r>
      <w:r w:rsidRPr="00C705A4">
        <w:rPr>
          <w:rFonts w:ascii="Times New Roman" w:hAnsi="Times New Roman"/>
          <w:lang w:val="lt-LT"/>
        </w:rPr>
        <w:t>liuminio</w:t>
      </w:r>
      <w:r w:rsidRPr="002D358F">
        <w:rPr>
          <w:rFonts w:ascii="Times New Roman" w:eastAsia="Times New Roman" w:hAnsi="Times New Roman" w:cs="Times New Roman"/>
          <w:snapToGrid w:val="0"/>
          <w:szCs w:val="20"/>
          <w:lang w:val="en-GB"/>
        </w:rPr>
        <w:t>/aliuminio lizdines plokšteles ar matines PVC/aliuminio lizdines plokšteles, kuriose yra 6 tabletės.</w:t>
      </w:r>
    </w:p>
    <w:p w14:paraId="2F46F383" w14:textId="77777777" w:rsidR="002D358F" w:rsidRPr="00C705A4" w:rsidRDefault="002D358F" w:rsidP="002D358F">
      <w:pPr>
        <w:spacing w:after="0" w:line="240" w:lineRule="auto"/>
        <w:rPr>
          <w:rFonts w:ascii="Times New Roman" w:hAnsi="Times New Roman"/>
          <w:lang w:val="lt-LT"/>
        </w:rPr>
      </w:pPr>
    </w:p>
    <w:p w14:paraId="4FF8A55B"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Dvi lizdinės plokštelės pateikiamos integruotame kartono dėkle, skirtame vienos savaitės gydymui: šioje pakuotėje yra 1 alendronato tabletė ir 6 kalcio/vitamino D</w:t>
      </w:r>
      <w:r w:rsidRPr="00C705A4">
        <w:rPr>
          <w:rFonts w:ascii="Times New Roman" w:hAnsi="Times New Roman"/>
          <w:vertAlign w:val="subscript"/>
          <w:lang w:val="lt-LT"/>
        </w:rPr>
        <w:t>3</w:t>
      </w:r>
      <w:r w:rsidRPr="00C705A4">
        <w:rPr>
          <w:rFonts w:ascii="Times New Roman" w:hAnsi="Times New Roman"/>
          <w:lang w:val="lt-LT"/>
        </w:rPr>
        <w:t xml:space="preserve"> tabletės. Dozavimo instrukcijos yra atspausdintos ant atitinkamų tablečių pakuočių kartu su pažymėtomis dienomis (1-oji diena, 2-oji diena,....7-oji diena) nuosekliam vartojimui.</w:t>
      </w:r>
    </w:p>
    <w:p w14:paraId="10EC79D0" w14:textId="77777777" w:rsidR="002D358F" w:rsidRPr="00C705A4" w:rsidRDefault="002D358F" w:rsidP="002D358F">
      <w:pPr>
        <w:spacing w:after="0" w:line="240" w:lineRule="auto"/>
        <w:rPr>
          <w:rFonts w:ascii="Times New Roman" w:hAnsi="Times New Roman"/>
          <w:lang w:val="lt-LT"/>
        </w:rPr>
      </w:pPr>
    </w:p>
    <w:p w14:paraId="5B09EDAA"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Pakuočių dydžiai: 4 kartono dėklai (4 alendronato tabletės ir 24 kalcio/kolekalciferolio tabletės) kartono dėžutėje ir 12 kartono dėklų (12 alendronato tablečių ir 72 kalcio/kolekalciferolio tabletės) kartono dėžutėje.</w:t>
      </w:r>
    </w:p>
    <w:p w14:paraId="26EF6914" w14:textId="77777777" w:rsidR="002D358F" w:rsidRPr="00C705A4" w:rsidRDefault="002D358F" w:rsidP="002D358F">
      <w:pPr>
        <w:spacing w:after="0" w:line="240" w:lineRule="auto"/>
        <w:rPr>
          <w:rFonts w:ascii="Times New Roman" w:hAnsi="Times New Roman"/>
          <w:lang w:val="lt-LT"/>
        </w:rPr>
      </w:pPr>
    </w:p>
    <w:p w14:paraId="499EE155"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Gali būti tiekiamos ne visų dydžių pakuotės.</w:t>
      </w:r>
    </w:p>
    <w:p w14:paraId="6F375524" w14:textId="77777777" w:rsidR="002D358F" w:rsidRPr="00C705A4" w:rsidRDefault="002D358F" w:rsidP="002D358F">
      <w:pPr>
        <w:spacing w:after="0" w:line="240" w:lineRule="auto"/>
        <w:rPr>
          <w:rFonts w:ascii="Times New Roman" w:hAnsi="Times New Roman"/>
          <w:lang w:val="lt-LT"/>
        </w:rPr>
      </w:pPr>
    </w:p>
    <w:p w14:paraId="38CA290F" w14:textId="77777777" w:rsidR="002D358F" w:rsidRPr="00C705A4" w:rsidRDefault="002D358F" w:rsidP="002D358F">
      <w:pPr>
        <w:keepNext/>
        <w:tabs>
          <w:tab w:val="left" w:pos="567"/>
        </w:tabs>
        <w:spacing w:after="0" w:line="260" w:lineRule="exact"/>
        <w:jc w:val="both"/>
        <w:outlineLvl w:val="3"/>
        <w:rPr>
          <w:rFonts w:ascii="Calibri" w:hAnsi="Calibri"/>
          <w:sz w:val="28"/>
          <w:lang w:val="lt-LT"/>
        </w:rPr>
      </w:pPr>
      <w:bookmarkStart w:id="1" w:name="OLE_LINK1"/>
      <w:r w:rsidRPr="00C705A4">
        <w:rPr>
          <w:rFonts w:ascii="Times New Roman" w:hAnsi="Times New Roman"/>
          <w:b/>
          <w:lang w:val="lt-LT"/>
        </w:rPr>
        <w:t>6.6</w:t>
      </w:r>
      <w:r w:rsidRPr="00C705A4">
        <w:rPr>
          <w:rFonts w:ascii="Times New Roman" w:hAnsi="Times New Roman"/>
          <w:b/>
          <w:lang w:val="lt-LT"/>
        </w:rPr>
        <w:tab/>
        <w:t xml:space="preserve">Specialūs reikalavimai atliekoms tvarkyti </w:t>
      </w:r>
    </w:p>
    <w:bookmarkEnd w:id="1"/>
    <w:p w14:paraId="3E95FC57" w14:textId="77777777" w:rsidR="002D358F" w:rsidRPr="00C705A4" w:rsidRDefault="002D358F" w:rsidP="002D358F">
      <w:pPr>
        <w:spacing w:after="0" w:line="240" w:lineRule="auto"/>
        <w:rPr>
          <w:rFonts w:ascii="Times New Roman" w:hAnsi="Times New Roman"/>
          <w:lang w:val="lt-LT"/>
        </w:rPr>
      </w:pPr>
    </w:p>
    <w:p w14:paraId="1AFE71EB"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Specialių reikalavimų nėra.</w:t>
      </w:r>
    </w:p>
    <w:p w14:paraId="2E6515D2" w14:textId="77777777" w:rsidR="002D358F" w:rsidRPr="00C705A4" w:rsidRDefault="002D358F" w:rsidP="002D358F">
      <w:pPr>
        <w:spacing w:after="0" w:line="240" w:lineRule="auto"/>
        <w:rPr>
          <w:rFonts w:ascii="Times New Roman" w:hAnsi="Times New Roman"/>
          <w:lang w:val="lt-LT"/>
        </w:rPr>
      </w:pPr>
    </w:p>
    <w:p w14:paraId="7702DDC5" w14:textId="77777777" w:rsidR="002D358F" w:rsidRPr="00C705A4" w:rsidRDefault="002D358F" w:rsidP="002D358F">
      <w:pPr>
        <w:spacing w:after="0" w:line="240" w:lineRule="auto"/>
        <w:rPr>
          <w:rFonts w:ascii="Times New Roman" w:hAnsi="Times New Roman"/>
          <w:lang w:val="lt-LT"/>
        </w:rPr>
      </w:pPr>
    </w:p>
    <w:p w14:paraId="4402CF85"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t>7.</w:t>
      </w:r>
      <w:r w:rsidRPr="00C705A4">
        <w:rPr>
          <w:rFonts w:ascii="Times New Roman" w:hAnsi="Times New Roman"/>
          <w:b/>
          <w:lang w:val="lt-LT"/>
        </w:rPr>
        <w:tab/>
        <w:t>REGISTRUOTOJAS</w:t>
      </w:r>
    </w:p>
    <w:p w14:paraId="3ADFEC05" w14:textId="77777777" w:rsidR="002D358F" w:rsidRPr="00C705A4" w:rsidRDefault="002D358F" w:rsidP="002D358F">
      <w:pPr>
        <w:spacing w:after="0" w:line="240" w:lineRule="auto"/>
        <w:rPr>
          <w:rFonts w:ascii="Times New Roman" w:hAnsi="Times New Roman"/>
          <w:lang w:val="lt-LT"/>
        </w:rPr>
      </w:pPr>
    </w:p>
    <w:p w14:paraId="3B6E5954"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SIA Meda Pharma</w:t>
      </w:r>
    </w:p>
    <w:p w14:paraId="1365B95F" w14:textId="77777777" w:rsidR="002D358F" w:rsidRPr="00541E3E" w:rsidRDefault="002D358F" w:rsidP="002D358F">
      <w:pPr>
        <w:tabs>
          <w:tab w:val="left" w:pos="567"/>
        </w:tabs>
        <w:spacing w:after="0" w:line="260" w:lineRule="exact"/>
        <w:rPr>
          <w:rFonts w:ascii="Times New Roman" w:hAnsi="Times New Roman"/>
        </w:rPr>
      </w:pPr>
      <w:r w:rsidRPr="002D358F">
        <w:rPr>
          <w:rFonts w:ascii="Times New Roman" w:eastAsia="Times New Roman" w:hAnsi="Times New Roman" w:cs="Times New Roman"/>
          <w:bCs/>
          <w:snapToGrid w:val="0"/>
          <w:szCs w:val="20"/>
          <w:lang w:val="en-GB"/>
        </w:rPr>
        <w:t>M</w:t>
      </w:r>
      <w:r w:rsidRPr="00C705A4">
        <w:rPr>
          <w:rFonts w:ascii="Times New Roman" w:hAnsi="Times New Roman"/>
          <w:lang w:val="lt-LT"/>
        </w:rPr>
        <w:t>ū</w:t>
      </w:r>
      <w:r w:rsidRPr="002D358F">
        <w:rPr>
          <w:rFonts w:ascii="Times New Roman" w:eastAsia="Times New Roman" w:hAnsi="Times New Roman" w:cs="Times New Roman"/>
          <w:bCs/>
          <w:snapToGrid w:val="0"/>
          <w:szCs w:val="20"/>
          <w:lang w:val="en-GB"/>
        </w:rPr>
        <w:t>kusalas 101</w:t>
      </w:r>
    </w:p>
    <w:p w14:paraId="40851A6C"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color w:val="000000"/>
          <w:szCs w:val="20"/>
          <w:lang w:val="en-GB"/>
        </w:rPr>
        <w:t>Rīga</w:t>
      </w:r>
      <w:r w:rsidRPr="002D358F">
        <w:rPr>
          <w:rFonts w:ascii="Times New Roman" w:eastAsia="Times New Roman" w:hAnsi="Times New Roman" w:cs="Times New Roman"/>
          <w:snapToGrid w:val="0"/>
          <w:szCs w:val="20"/>
          <w:lang w:val="en-GB"/>
        </w:rPr>
        <w:t xml:space="preserve"> LV-</w:t>
      </w:r>
      <w:r w:rsidRPr="002D358F">
        <w:rPr>
          <w:rFonts w:ascii="Times New Roman" w:eastAsia="Times New Roman" w:hAnsi="Times New Roman" w:cs="Times New Roman"/>
          <w:bCs/>
          <w:snapToGrid w:val="0"/>
          <w:szCs w:val="20"/>
          <w:lang w:val="en-GB"/>
        </w:rPr>
        <w:t>1004</w:t>
      </w:r>
    </w:p>
    <w:p w14:paraId="4D5381D1"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Latvija</w:t>
      </w:r>
    </w:p>
    <w:p w14:paraId="17A80DF0" w14:textId="77777777" w:rsidR="002D358F" w:rsidRPr="00C705A4" w:rsidRDefault="002D358F" w:rsidP="002D358F">
      <w:pPr>
        <w:tabs>
          <w:tab w:val="left" w:pos="1296"/>
        </w:tabs>
        <w:spacing w:after="0" w:line="240" w:lineRule="auto"/>
        <w:rPr>
          <w:rFonts w:ascii="Times New Roman" w:hAnsi="Times New Roman"/>
          <w:lang w:val="lt-LT"/>
        </w:rPr>
      </w:pPr>
      <w:r w:rsidRPr="002D358F">
        <w:rPr>
          <w:rFonts w:ascii="Times New Roman" w:eastAsia="Times New Roman" w:hAnsi="Times New Roman" w:cs="Times New Roman"/>
          <w:snapToGrid w:val="0"/>
          <w:szCs w:val="20"/>
          <w:lang w:val="en-GB"/>
        </w:rPr>
        <w:t>Tel.: +371 67616137</w:t>
      </w:r>
    </w:p>
    <w:p w14:paraId="252B6FF4" w14:textId="77777777" w:rsidR="002D358F" w:rsidRPr="002D358F" w:rsidRDefault="002D358F" w:rsidP="002D358F">
      <w:pPr>
        <w:tabs>
          <w:tab w:val="left" w:pos="1296"/>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 xml:space="preserve">Faksas: +371 66117360 </w:t>
      </w:r>
    </w:p>
    <w:p w14:paraId="0E72AD39" w14:textId="77777777" w:rsidR="002D358F" w:rsidRPr="00C705A4" w:rsidRDefault="002D358F" w:rsidP="002D358F">
      <w:pPr>
        <w:spacing w:after="0" w:line="240" w:lineRule="auto"/>
        <w:rPr>
          <w:rFonts w:ascii="Calibri" w:hAnsi="Calibri"/>
        </w:rPr>
      </w:pPr>
      <w:r w:rsidRPr="00C705A4">
        <w:rPr>
          <w:rFonts w:ascii="Times New Roman" w:hAnsi="Times New Roman"/>
          <w:lang w:val="lt-LT"/>
        </w:rPr>
        <w:t xml:space="preserve">El. paštas: </w:t>
      </w:r>
      <w:hyperlink r:id="rId9" w:history="1">
        <w:r w:rsidRPr="00C705A4">
          <w:rPr>
            <w:rFonts w:ascii="Times New Roman" w:hAnsi="Times New Roman"/>
            <w:color w:val="0000FF"/>
            <w:u w:val="single"/>
            <w:lang w:val="lt-LT"/>
          </w:rPr>
          <w:t>info.bb</w:t>
        </w:r>
        <w:r w:rsidRPr="002D358F">
          <w:rPr>
            <w:rFonts w:ascii="Times New Roman" w:eastAsia="Times New Roman" w:hAnsi="Times New Roman" w:cs="Times New Roman"/>
            <w:snapToGrid w:val="0"/>
            <w:color w:val="0000FF"/>
            <w:szCs w:val="20"/>
            <w:u w:val="single"/>
            <w:lang w:val="en-GB"/>
          </w:rPr>
          <w:t>@medapharma.eu</w:t>
        </w:r>
      </w:hyperlink>
    </w:p>
    <w:p w14:paraId="606C256B" w14:textId="77777777" w:rsidR="002D358F" w:rsidRPr="00541E3E" w:rsidRDefault="002D358F" w:rsidP="002D358F">
      <w:pPr>
        <w:spacing w:after="0" w:line="240" w:lineRule="auto"/>
        <w:rPr>
          <w:rFonts w:ascii="Times New Roman" w:hAnsi="Times New Roman"/>
        </w:rPr>
      </w:pPr>
    </w:p>
    <w:p w14:paraId="2FE45F2D" w14:textId="77777777" w:rsidR="002D358F" w:rsidRPr="00C705A4" w:rsidRDefault="002D358F" w:rsidP="002D358F">
      <w:pPr>
        <w:spacing w:after="0" w:line="240" w:lineRule="auto"/>
        <w:rPr>
          <w:rFonts w:ascii="Times New Roman" w:hAnsi="Times New Roman"/>
          <w:lang w:val="lt-LT"/>
        </w:rPr>
      </w:pPr>
    </w:p>
    <w:p w14:paraId="67240B00"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t>8.</w:t>
      </w:r>
      <w:r w:rsidRPr="00C705A4">
        <w:rPr>
          <w:rFonts w:ascii="Times New Roman" w:hAnsi="Times New Roman"/>
          <w:b/>
          <w:lang w:val="lt-LT"/>
        </w:rPr>
        <w:tab/>
        <w:t xml:space="preserve">REGISTRACIJOS PAŽYMĖJIMO NUMERIS (-IAI) </w:t>
      </w:r>
    </w:p>
    <w:p w14:paraId="6CC6EE0B" w14:textId="77777777" w:rsidR="002D358F" w:rsidRPr="00C705A4" w:rsidRDefault="002D358F" w:rsidP="002D358F">
      <w:pPr>
        <w:spacing w:after="0" w:line="240" w:lineRule="auto"/>
        <w:rPr>
          <w:rFonts w:ascii="Times New Roman" w:hAnsi="Times New Roman"/>
          <w:lang w:val="lt-LT"/>
        </w:rPr>
      </w:pPr>
    </w:p>
    <w:p w14:paraId="26A6FD2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N28 (N4+N24) – LT/1/16/3974/001</w:t>
      </w:r>
    </w:p>
    <w:p w14:paraId="6F4B97D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N84 (N12+N72) – LT/1/16/3974/002</w:t>
      </w:r>
    </w:p>
    <w:p w14:paraId="420BF90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05E568A" w14:textId="77777777" w:rsidR="002D358F" w:rsidRPr="00C705A4" w:rsidRDefault="002D358F" w:rsidP="002D358F">
      <w:pPr>
        <w:spacing w:after="0" w:line="240" w:lineRule="auto"/>
        <w:rPr>
          <w:rFonts w:ascii="Times New Roman" w:hAnsi="Times New Roman"/>
          <w:lang w:val="lt-LT"/>
        </w:rPr>
      </w:pPr>
    </w:p>
    <w:p w14:paraId="1E2ADEC7"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t>9.</w:t>
      </w:r>
      <w:r w:rsidRPr="00C705A4">
        <w:rPr>
          <w:rFonts w:ascii="Times New Roman" w:hAnsi="Times New Roman"/>
          <w:b/>
          <w:lang w:val="lt-LT"/>
        </w:rPr>
        <w:tab/>
        <w:t>REGISTRAVIMO / PERREGISTRAVIMO DATA</w:t>
      </w:r>
    </w:p>
    <w:p w14:paraId="6DB12852" w14:textId="77777777" w:rsidR="002D358F" w:rsidRPr="00C705A4" w:rsidRDefault="002D358F" w:rsidP="002D358F">
      <w:pPr>
        <w:spacing w:after="0" w:line="240" w:lineRule="auto"/>
        <w:rPr>
          <w:rFonts w:ascii="Times New Roman" w:hAnsi="Times New Roman"/>
          <w:lang w:val="lt-LT"/>
        </w:rPr>
      </w:pPr>
    </w:p>
    <w:p w14:paraId="4064BC30"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 xml:space="preserve">Registravimo data </w:t>
      </w:r>
      <w:r w:rsidRPr="002D358F">
        <w:rPr>
          <w:rFonts w:ascii="Times New Roman" w:eastAsia="Times New Roman" w:hAnsi="Times New Roman" w:cs="Times New Roman"/>
          <w:snapToGrid w:val="0"/>
          <w:szCs w:val="20"/>
          <w:lang w:val="en-GB"/>
        </w:rPr>
        <w:t>2016 m. rugsėjo mėn. 26 d.</w:t>
      </w:r>
    </w:p>
    <w:p w14:paraId="73945494" w14:textId="77777777" w:rsidR="002D358F" w:rsidRPr="00C705A4" w:rsidRDefault="002D358F" w:rsidP="002D358F">
      <w:pPr>
        <w:spacing w:after="0" w:line="240" w:lineRule="auto"/>
        <w:rPr>
          <w:rFonts w:ascii="Times New Roman" w:hAnsi="Times New Roman"/>
          <w:lang w:val="lt-LT"/>
        </w:rPr>
      </w:pPr>
    </w:p>
    <w:p w14:paraId="1C7D9520" w14:textId="77777777" w:rsidR="002D358F" w:rsidRPr="00C705A4" w:rsidRDefault="002D358F" w:rsidP="002D358F">
      <w:pPr>
        <w:spacing w:after="0" w:line="240" w:lineRule="auto"/>
        <w:rPr>
          <w:rFonts w:ascii="Times New Roman" w:hAnsi="Times New Roman"/>
          <w:lang w:val="lt-LT"/>
        </w:rPr>
      </w:pPr>
    </w:p>
    <w:p w14:paraId="18CE9AB5" w14:textId="77777777" w:rsidR="002D358F" w:rsidRPr="00C705A4" w:rsidRDefault="002D358F" w:rsidP="002D358F">
      <w:pPr>
        <w:keepNext/>
        <w:keepLines/>
        <w:tabs>
          <w:tab w:val="left" w:pos="567"/>
        </w:tabs>
        <w:spacing w:after="0" w:line="240" w:lineRule="auto"/>
        <w:outlineLvl w:val="2"/>
        <w:rPr>
          <w:rFonts w:ascii="Cambria" w:hAnsi="Cambria"/>
          <w:sz w:val="26"/>
          <w:lang w:val="lt-LT"/>
        </w:rPr>
      </w:pPr>
      <w:r w:rsidRPr="00C705A4">
        <w:rPr>
          <w:rFonts w:ascii="Times New Roman" w:hAnsi="Times New Roman"/>
          <w:b/>
          <w:lang w:val="lt-LT"/>
        </w:rPr>
        <w:t>10.</w:t>
      </w:r>
      <w:r w:rsidRPr="00C705A4">
        <w:rPr>
          <w:rFonts w:ascii="Times New Roman" w:hAnsi="Times New Roman"/>
          <w:b/>
          <w:lang w:val="lt-LT"/>
        </w:rPr>
        <w:tab/>
        <w:t>TEKSTO PERŽIŪROS DATA</w:t>
      </w:r>
    </w:p>
    <w:p w14:paraId="4911E06E" w14:textId="77777777" w:rsidR="002D358F" w:rsidRPr="00C705A4" w:rsidRDefault="002D358F" w:rsidP="002D358F">
      <w:pPr>
        <w:spacing w:after="0" w:line="240" w:lineRule="auto"/>
        <w:rPr>
          <w:rFonts w:ascii="Times New Roman" w:hAnsi="Times New Roman"/>
          <w:lang w:val="lt-LT"/>
        </w:rPr>
      </w:pPr>
    </w:p>
    <w:p w14:paraId="4DDBAB29" w14:textId="77777777" w:rsidR="002D358F" w:rsidRPr="00C705A4" w:rsidRDefault="002D358F" w:rsidP="002D358F">
      <w:pPr>
        <w:spacing w:after="0" w:line="240" w:lineRule="auto"/>
        <w:rPr>
          <w:rFonts w:ascii="Times New Roman" w:hAnsi="Times New Roman"/>
          <w:lang w:val="lt-LT"/>
        </w:rPr>
      </w:pPr>
      <w:r w:rsidRPr="002D358F">
        <w:rPr>
          <w:rFonts w:ascii="Times New Roman" w:eastAsia="Times New Roman" w:hAnsi="Times New Roman" w:cs="Times New Roman"/>
          <w:noProof/>
          <w:snapToGrid w:val="0"/>
          <w:szCs w:val="24"/>
          <w:lang w:val="en-GB"/>
        </w:rPr>
        <w:t>2017 m. gegu</w:t>
      </w:r>
      <w:r w:rsidRPr="00C705A4">
        <w:rPr>
          <w:rFonts w:ascii="Times New Roman" w:hAnsi="Times New Roman"/>
          <w:lang w:val="lt-LT"/>
        </w:rPr>
        <w:t>žės 10 d.</w:t>
      </w:r>
    </w:p>
    <w:p w14:paraId="7F421D81" w14:textId="77777777" w:rsidR="002D358F" w:rsidRPr="00C705A4" w:rsidRDefault="002D358F" w:rsidP="002D358F">
      <w:pPr>
        <w:spacing w:after="0" w:line="240" w:lineRule="auto"/>
        <w:rPr>
          <w:rFonts w:ascii="Times New Roman" w:hAnsi="Times New Roman"/>
          <w:lang w:val="lt-LT"/>
        </w:rPr>
      </w:pPr>
    </w:p>
    <w:p w14:paraId="2672E75C" w14:textId="77777777" w:rsidR="002D358F" w:rsidRPr="00C705A4" w:rsidRDefault="002D358F" w:rsidP="002D358F">
      <w:pPr>
        <w:tabs>
          <w:tab w:val="left" w:pos="5954"/>
          <w:tab w:val="left" w:pos="6237"/>
          <w:tab w:val="left" w:pos="6663"/>
          <w:tab w:val="left" w:pos="6946"/>
        </w:tabs>
        <w:spacing w:after="0" w:line="240" w:lineRule="auto"/>
        <w:rPr>
          <w:rFonts w:ascii="Courier New" w:hAnsi="Courier New"/>
          <w:sz w:val="20"/>
          <w:lang w:val="lt-LT"/>
        </w:rPr>
      </w:pPr>
      <w:r w:rsidRPr="00C705A4">
        <w:rPr>
          <w:rFonts w:ascii="Times New Roman" w:hAnsi="Times New Roman"/>
          <w:lang w:val="lt-LT"/>
        </w:rPr>
        <w:t>Išsami informacija apie šį vaistinį preparatą pateikiama Valstybinės vaistų kontrolės tarnybos prie Lietuvos Respublikos sveikatos apsaugos ministerijos tinklalapyje</w:t>
      </w:r>
      <w:r w:rsidRPr="00C705A4">
        <w:rPr>
          <w:rFonts w:ascii="Times New Roman" w:hAnsi="Times New Roman"/>
          <w:i/>
          <w:lang w:val="lt-LT"/>
        </w:rPr>
        <w:t xml:space="preserve"> </w:t>
      </w:r>
      <w:hyperlink r:id="rId10" w:history="1">
        <w:r w:rsidRPr="00C705A4">
          <w:rPr>
            <w:rFonts w:ascii="Courier New" w:hAnsi="Courier New"/>
            <w:color w:val="0000FF"/>
            <w:sz w:val="20"/>
            <w:u w:val="single"/>
            <w:lang w:val="lt-LT"/>
          </w:rPr>
          <w:t>http://www.vvkt.lt</w:t>
        </w:r>
      </w:hyperlink>
    </w:p>
    <w:p w14:paraId="212273E3"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41C49F89"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2F291CF8"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r w:rsidRPr="00C705A4">
        <w:rPr>
          <w:rFonts w:ascii="Times New Roman" w:hAnsi="Times New Roman"/>
          <w:lang w:val="lt-LT"/>
        </w:rPr>
        <w:br w:type="page"/>
      </w:r>
    </w:p>
    <w:p w14:paraId="57491389"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297F4683"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12C0DDF8"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0C10266C"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629EC0F8"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7F5DCBB9"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4C5D6C0C"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3706DB4E"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1D181C1A"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40FABFFA"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6EA3ABF0"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18081964"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09C2C6E8"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105560E4"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3672BD8E"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6ADEC94C"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7FDD6B35"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6C66C12B"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3D0D84A2"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4AA617FD"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60F31648"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68AAAC09"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7696B3FA"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0E836E71" w14:textId="77777777" w:rsidR="002D358F" w:rsidRPr="00C705A4" w:rsidRDefault="002D358F" w:rsidP="002D358F">
      <w:pPr>
        <w:tabs>
          <w:tab w:val="left" w:pos="567"/>
        </w:tabs>
        <w:spacing w:after="0" w:line="260" w:lineRule="exact"/>
        <w:jc w:val="center"/>
        <w:rPr>
          <w:rFonts w:ascii="Calibri" w:hAnsi="Calibri"/>
          <w:b/>
          <w:lang w:val="lt-LT"/>
        </w:rPr>
      </w:pPr>
      <w:r w:rsidRPr="00C705A4">
        <w:rPr>
          <w:rFonts w:ascii="Times New Roman" w:hAnsi="Times New Roman"/>
          <w:b/>
          <w:lang w:val="lt-LT"/>
        </w:rPr>
        <w:t>II PRIEDAS</w:t>
      </w:r>
    </w:p>
    <w:p w14:paraId="633098D3" w14:textId="77777777" w:rsidR="002D358F" w:rsidRPr="00C705A4" w:rsidRDefault="002D358F" w:rsidP="002D358F">
      <w:pPr>
        <w:tabs>
          <w:tab w:val="left" w:pos="567"/>
        </w:tabs>
        <w:spacing w:after="0" w:line="260" w:lineRule="exact"/>
        <w:ind w:left="1701" w:right="1416" w:hanging="567"/>
        <w:rPr>
          <w:rFonts w:ascii="Times New Roman" w:hAnsi="Times New Roman"/>
          <w:lang w:val="lt-LT"/>
        </w:rPr>
      </w:pPr>
    </w:p>
    <w:p w14:paraId="5A63C432" w14:textId="77777777" w:rsidR="002D358F" w:rsidRPr="00C705A4" w:rsidRDefault="002D358F" w:rsidP="002D358F">
      <w:pPr>
        <w:tabs>
          <w:tab w:val="left" w:pos="567"/>
        </w:tabs>
        <w:spacing w:after="0" w:line="260" w:lineRule="exact"/>
        <w:jc w:val="center"/>
        <w:rPr>
          <w:rFonts w:ascii="Calibri" w:hAnsi="Calibri"/>
          <w:i/>
          <w:lang w:val="lt-LT"/>
        </w:rPr>
      </w:pPr>
      <w:r w:rsidRPr="00C705A4">
        <w:rPr>
          <w:rFonts w:ascii="Times New Roman" w:hAnsi="Times New Roman"/>
          <w:b/>
          <w:lang w:val="lt-LT"/>
        </w:rPr>
        <w:t>REGISTRACIJOS SĄLYGOS</w:t>
      </w:r>
    </w:p>
    <w:p w14:paraId="406AA16F" w14:textId="77777777" w:rsidR="002D358F" w:rsidRPr="00C705A4" w:rsidRDefault="002D358F" w:rsidP="002D358F">
      <w:pPr>
        <w:tabs>
          <w:tab w:val="left" w:pos="567"/>
        </w:tabs>
        <w:spacing w:after="0" w:line="260" w:lineRule="exact"/>
        <w:rPr>
          <w:rFonts w:ascii="Times New Roman" w:hAnsi="Times New Roman"/>
          <w:lang w:val="lt-LT"/>
        </w:rPr>
      </w:pPr>
    </w:p>
    <w:p w14:paraId="55BFEF0C" w14:textId="77777777" w:rsidR="002D358F" w:rsidRPr="00C705A4" w:rsidRDefault="002D358F" w:rsidP="002D358F">
      <w:pPr>
        <w:tabs>
          <w:tab w:val="left" w:pos="1701"/>
        </w:tabs>
        <w:spacing w:after="0" w:line="260" w:lineRule="exact"/>
        <w:ind w:left="1701" w:right="567" w:hanging="567"/>
        <w:rPr>
          <w:rFonts w:ascii="Calibri" w:hAnsi="Calibri"/>
          <w:b/>
          <w:lang w:val="lt-LT"/>
        </w:rPr>
      </w:pPr>
      <w:r w:rsidRPr="00C705A4">
        <w:rPr>
          <w:rFonts w:ascii="Times New Roman" w:hAnsi="Times New Roman"/>
          <w:b/>
          <w:lang w:val="lt-LT"/>
        </w:rPr>
        <w:t>A.</w:t>
      </w:r>
      <w:r w:rsidRPr="00C705A4">
        <w:rPr>
          <w:rFonts w:ascii="Times New Roman" w:hAnsi="Times New Roman"/>
          <w:b/>
          <w:lang w:val="lt-LT"/>
        </w:rPr>
        <w:tab/>
        <w:t xml:space="preserve"> GAMINTOJAS (-AI), ATSAKINGAS (-I) UŽ SERIJŲ IŠLEIDIMĄ</w:t>
      </w:r>
    </w:p>
    <w:p w14:paraId="3F428364" w14:textId="77777777" w:rsidR="002D358F" w:rsidRPr="00C705A4" w:rsidRDefault="002D358F" w:rsidP="002D358F">
      <w:pPr>
        <w:tabs>
          <w:tab w:val="left" w:pos="1701"/>
        </w:tabs>
        <w:spacing w:after="0" w:line="260" w:lineRule="exact"/>
        <w:ind w:left="567" w:right="567" w:hanging="567"/>
        <w:rPr>
          <w:rFonts w:ascii="Times New Roman" w:hAnsi="Times New Roman"/>
          <w:lang w:val="lt-LT"/>
        </w:rPr>
      </w:pPr>
    </w:p>
    <w:p w14:paraId="75B7599C" w14:textId="77777777" w:rsidR="002D358F" w:rsidRPr="00C705A4" w:rsidRDefault="002D358F" w:rsidP="002D358F">
      <w:pPr>
        <w:tabs>
          <w:tab w:val="left" w:pos="1701"/>
        </w:tabs>
        <w:spacing w:after="0" w:line="260" w:lineRule="exact"/>
        <w:ind w:left="1701" w:right="567" w:hanging="567"/>
        <w:rPr>
          <w:rFonts w:ascii="Calibri" w:hAnsi="Calibri"/>
          <w:b/>
          <w:lang w:val="lt-LT"/>
        </w:rPr>
      </w:pPr>
      <w:r w:rsidRPr="00C705A4">
        <w:rPr>
          <w:rFonts w:ascii="Times New Roman" w:hAnsi="Times New Roman"/>
          <w:b/>
          <w:lang w:val="lt-LT"/>
        </w:rPr>
        <w:t>B.</w:t>
      </w:r>
      <w:r w:rsidRPr="00C705A4">
        <w:rPr>
          <w:rFonts w:ascii="Times New Roman" w:hAnsi="Times New Roman"/>
          <w:b/>
          <w:lang w:val="lt-LT"/>
        </w:rPr>
        <w:tab/>
        <w:t>TIEKIMO IR VARTOJIMO SĄLYGOS AR APRIBOJIMAI</w:t>
      </w:r>
    </w:p>
    <w:p w14:paraId="15F59E0D" w14:textId="77777777" w:rsidR="002D358F" w:rsidRPr="00C705A4" w:rsidRDefault="002D358F" w:rsidP="002D358F">
      <w:pPr>
        <w:tabs>
          <w:tab w:val="left" w:pos="1701"/>
        </w:tabs>
        <w:spacing w:after="0" w:line="260" w:lineRule="exact"/>
        <w:ind w:left="567" w:right="567" w:hanging="567"/>
        <w:rPr>
          <w:rFonts w:ascii="Times New Roman" w:hAnsi="Times New Roman"/>
          <w:lang w:val="lt-LT"/>
        </w:rPr>
      </w:pPr>
    </w:p>
    <w:p w14:paraId="0ABD0D40" w14:textId="77777777" w:rsidR="002D358F" w:rsidRPr="00C705A4" w:rsidRDefault="002D358F" w:rsidP="002D358F">
      <w:pPr>
        <w:tabs>
          <w:tab w:val="left" w:pos="567"/>
        </w:tabs>
        <w:spacing w:after="0" w:line="260" w:lineRule="exact"/>
        <w:ind w:left="567" w:hanging="567"/>
        <w:rPr>
          <w:rFonts w:ascii="Times New Roman" w:hAnsi="Times New Roman"/>
          <w:b/>
          <w:lang w:val="lt-LT"/>
        </w:rPr>
      </w:pPr>
      <w:r w:rsidRPr="00C705A4">
        <w:rPr>
          <w:rFonts w:ascii="Times New Roman" w:hAnsi="Times New Roman"/>
          <w:lang w:val="lt-LT"/>
        </w:rPr>
        <w:br w:type="page"/>
      </w:r>
      <w:r w:rsidRPr="00C705A4">
        <w:rPr>
          <w:rFonts w:ascii="Times New Roman" w:hAnsi="Times New Roman"/>
          <w:b/>
          <w:lang w:val="lt-LT"/>
        </w:rPr>
        <w:lastRenderedPageBreak/>
        <w:t>A.</w:t>
      </w:r>
      <w:r w:rsidRPr="002D358F">
        <w:rPr>
          <w:rFonts w:ascii="Times New Roman" w:eastAsia="Times New Roman" w:hAnsi="Times New Roman" w:cs="Times New Roman"/>
          <w:b/>
          <w:snapToGrid w:val="0"/>
          <w:szCs w:val="20"/>
          <w:lang w:val="en-GB"/>
        </w:rPr>
        <w:tab/>
        <w:t>GAMINTOJAS (-AI), ATSAKINGAS (-I) UŽ SERIJŲ IŠLEIDIMĄ</w:t>
      </w:r>
    </w:p>
    <w:p w14:paraId="11B21064" w14:textId="77777777" w:rsidR="002D358F" w:rsidRPr="00C705A4" w:rsidRDefault="002D358F" w:rsidP="002D358F">
      <w:pPr>
        <w:tabs>
          <w:tab w:val="left" w:pos="567"/>
        </w:tabs>
        <w:spacing w:after="0" w:line="260" w:lineRule="exact"/>
        <w:rPr>
          <w:rFonts w:ascii="Times New Roman" w:hAnsi="Times New Roman"/>
          <w:lang w:val="lt-LT"/>
        </w:rPr>
      </w:pPr>
    </w:p>
    <w:p w14:paraId="772B9262" w14:textId="77777777" w:rsidR="002D358F" w:rsidRPr="00C705A4" w:rsidRDefault="002D358F" w:rsidP="002D358F">
      <w:pPr>
        <w:tabs>
          <w:tab w:val="left" w:pos="567"/>
        </w:tabs>
        <w:spacing w:after="0" w:line="240" w:lineRule="auto"/>
        <w:jc w:val="both"/>
        <w:rPr>
          <w:rFonts w:ascii="Calibri" w:hAnsi="Calibri"/>
          <w:u w:val="single"/>
          <w:lang w:val="lt-LT"/>
        </w:rPr>
      </w:pPr>
      <w:r w:rsidRPr="00C705A4">
        <w:rPr>
          <w:rFonts w:ascii="Times New Roman" w:hAnsi="Times New Roman"/>
          <w:u w:val="single"/>
          <w:lang w:val="lt-LT"/>
        </w:rPr>
        <w:t>Gamintojo (-ų), atsakingo (-ų) už serijų išleidimą, pavadinimas (-ai) ir adresas (-ai)</w:t>
      </w:r>
    </w:p>
    <w:p w14:paraId="5D9BB36F" w14:textId="77777777" w:rsidR="002D358F" w:rsidRPr="00C705A4" w:rsidRDefault="002D358F" w:rsidP="002D358F">
      <w:pPr>
        <w:tabs>
          <w:tab w:val="left" w:pos="567"/>
        </w:tabs>
        <w:spacing w:after="0" w:line="240" w:lineRule="auto"/>
        <w:jc w:val="both"/>
        <w:rPr>
          <w:rFonts w:ascii="Times New Roman" w:hAnsi="Times New Roman"/>
          <w:lang w:val="lt-LT"/>
        </w:rPr>
      </w:pPr>
    </w:p>
    <w:p w14:paraId="393F90A7" w14:textId="77777777" w:rsidR="002D358F" w:rsidRPr="00C705A4" w:rsidRDefault="002D358F" w:rsidP="002D358F">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Meda Pharma GmbH &amp; Co. KG</w:t>
      </w:r>
    </w:p>
    <w:p w14:paraId="569D1CA6" w14:textId="77777777" w:rsidR="002D358F" w:rsidRPr="00C705A4" w:rsidRDefault="002D358F" w:rsidP="002D358F">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Benzstrasse 1</w:t>
      </w:r>
    </w:p>
    <w:p w14:paraId="6460FF2B" w14:textId="77777777" w:rsidR="002D358F" w:rsidRPr="00C705A4" w:rsidRDefault="002D358F" w:rsidP="002D358F">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61352 Bad Homburg</w:t>
      </w:r>
    </w:p>
    <w:p w14:paraId="7829FFE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Vokietija</w:t>
      </w:r>
    </w:p>
    <w:p w14:paraId="7E4BB867" w14:textId="77777777" w:rsidR="002D358F" w:rsidRPr="00C705A4" w:rsidRDefault="002D358F" w:rsidP="002D358F">
      <w:pPr>
        <w:tabs>
          <w:tab w:val="left" w:pos="567"/>
        </w:tabs>
        <w:spacing w:after="0" w:line="260" w:lineRule="exact"/>
        <w:rPr>
          <w:rFonts w:ascii="Times New Roman" w:hAnsi="Times New Roman"/>
          <w:lang w:val="lt-LT"/>
        </w:rPr>
      </w:pPr>
    </w:p>
    <w:p w14:paraId="39EE461F" w14:textId="77777777" w:rsidR="002D358F" w:rsidRPr="00C705A4" w:rsidRDefault="002D358F" w:rsidP="002D358F">
      <w:pPr>
        <w:tabs>
          <w:tab w:val="left" w:pos="567"/>
        </w:tabs>
        <w:spacing w:after="0" w:line="260" w:lineRule="exact"/>
        <w:rPr>
          <w:rFonts w:ascii="Times New Roman" w:hAnsi="Times New Roman"/>
          <w:lang w:val="lt-LT"/>
        </w:rPr>
      </w:pPr>
    </w:p>
    <w:p w14:paraId="0504F319" w14:textId="77777777" w:rsidR="002D358F" w:rsidRPr="00C705A4" w:rsidRDefault="002D358F" w:rsidP="002D358F">
      <w:pPr>
        <w:tabs>
          <w:tab w:val="left" w:pos="567"/>
        </w:tabs>
        <w:spacing w:after="0" w:line="240" w:lineRule="auto"/>
        <w:ind w:left="567" w:hanging="567"/>
        <w:rPr>
          <w:rFonts w:ascii="Calibri" w:hAnsi="Calibri"/>
          <w:lang w:val="lt-LT"/>
        </w:rPr>
      </w:pPr>
      <w:r w:rsidRPr="00C705A4">
        <w:rPr>
          <w:rFonts w:ascii="Times New Roman" w:hAnsi="Times New Roman"/>
          <w:b/>
          <w:lang w:val="lt-LT"/>
        </w:rPr>
        <w:t>B.</w:t>
      </w:r>
      <w:r w:rsidRPr="00C705A4">
        <w:rPr>
          <w:rFonts w:ascii="Times New Roman" w:hAnsi="Times New Roman"/>
          <w:b/>
          <w:lang w:val="lt-LT"/>
        </w:rPr>
        <w:tab/>
        <w:t>TIEKIMO IR VARTOJIMO SĄLYGOS AR APRIBOJIMAI</w:t>
      </w:r>
    </w:p>
    <w:p w14:paraId="29EEC5C6" w14:textId="77777777" w:rsidR="002D358F" w:rsidRPr="00C705A4" w:rsidRDefault="002D358F" w:rsidP="002D358F">
      <w:pPr>
        <w:tabs>
          <w:tab w:val="left" w:pos="567"/>
        </w:tabs>
        <w:spacing w:after="0" w:line="260" w:lineRule="exact"/>
        <w:rPr>
          <w:rFonts w:ascii="Times New Roman" w:hAnsi="Times New Roman"/>
          <w:lang w:val="lt-LT"/>
        </w:rPr>
      </w:pPr>
    </w:p>
    <w:p w14:paraId="4825FF8A"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Receptinis vaistinis preparatas.</w:t>
      </w:r>
    </w:p>
    <w:p w14:paraId="74C93D54" w14:textId="77777777" w:rsidR="002D358F" w:rsidRPr="00C705A4" w:rsidRDefault="002D358F" w:rsidP="002D358F">
      <w:pPr>
        <w:tabs>
          <w:tab w:val="left" w:pos="567"/>
        </w:tabs>
        <w:spacing w:after="0" w:line="260" w:lineRule="exact"/>
        <w:rPr>
          <w:rFonts w:ascii="Times New Roman" w:hAnsi="Times New Roman"/>
          <w:lang w:val="lt-LT"/>
        </w:rPr>
      </w:pPr>
    </w:p>
    <w:p w14:paraId="6742A471" w14:textId="77777777" w:rsidR="002D358F" w:rsidRPr="00C705A4" w:rsidRDefault="002D358F" w:rsidP="002D358F">
      <w:pPr>
        <w:tabs>
          <w:tab w:val="left" w:pos="567"/>
        </w:tabs>
        <w:spacing w:after="0" w:line="260" w:lineRule="exact"/>
        <w:rPr>
          <w:rFonts w:ascii="Times New Roman" w:hAnsi="Times New Roman"/>
          <w:lang w:val="lt-LT"/>
        </w:rPr>
      </w:pPr>
    </w:p>
    <w:p w14:paraId="02AB76AB"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b/>
          <w:snapToGrid w:val="0"/>
          <w:szCs w:val="20"/>
          <w:lang w:val="en-GB"/>
        </w:rPr>
      </w:pPr>
      <w:r w:rsidRPr="00C705A4">
        <w:rPr>
          <w:rFonts w:ascii="Times New Roman" w:hAnsi="Times New Roman"/>
          <w:lang w:val="lt-LT"/>
        </w:rPr>
        <w:br w:type="page"/>
      </w:r>
    </w:p>
    <w:p w14:paraId="06F43C04"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b/>
          <w:snapToGrid w:val="0"/>
          <w:szCs w:val="20"/>
          <w:lang w:val="en-GB"/>
        </w:rPr>
      </w:pPr>
    </w:p>
    <w:p w14:paraId="62AF1A47"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b/>
          <w:snapToGrid w:val="0"/>
          <w:szCs w:val="20"/>
          <w:lang w:val="en-GB"/>
        </w:rPr>
      </w:pPr>
    </w:p>
    <w:p w14:paraId="729008CC"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1AAE6410"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2F41674C"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7B248BE6"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4417E6B9"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63FB1DE6"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33B6E077"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09CDFBE4"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3E451852"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7BC2C7FE"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7A7F630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4077BE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E2A38B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4CDD956"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08177576"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0701F2B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0C8BE20"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6032D08D"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1877A60A"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p>
    <w:p w14:paraId="412987E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150751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6A83BE9"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r w:rsidRPr="002D358F">
        <w:rPr>
          <w:rFonts w:ascii="Times New Roman" w:eastAsia="Times New Roman" w:hAnsi="Times New Roman" w:cs="Times New Roman"/>
          <w:b/>
          <w:bCs/>
          <w:iCs/>
          <w:snapToGrid w:val="0"/>
          <w:szCs w:val="28"/>
          <w:lang w:val="en-GB"/>
        </w:rPr>
        <w:t>III PRIEDAS</w:t>
      </w:r>
    </w:p>
    <w:p w14:paraId="6F0F239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2D58923"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r w:rsidRPr="002D358F">
        <w:rPr>
          <w:rFonts w:ascii="Times New Roman" w:eastAsia="Times New Roman" w:hAnsi="Times New Roman" w:cs="Times New Roman"/>
          <w:b/>
          <w:bCs/>
          <w:iCs/>
          <w:snapToGrid w:val="0"/>
          <w:szCs w:val="28"/>
          <w:lang w:val="en-GB"/>
        </w:rPr>
        <w:t>ŽENKLINIMAS IR PAKUOTĖS LAPELIS</w:t>
      </w:r>
    </w:p>
    <w:p w14:paraId="44FAD49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br w:type="page"/>
      </w:r>
    </w:p>
    <w:p w14:paraId="65B971C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64EB47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46EE70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DA25D5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8E3FCB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D61F89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28A1D4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79232F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EBAF9F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6143B5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13564C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868F16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D01C99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89FB50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1F1455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FFD9BB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F4C243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715E5D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E1F21D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B6188B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7C7F33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CCA20B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1557B2C"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7632265"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r w:rsidRPr="002D358F">
        <w:rPr>
          <w:rFonts w:ascii="Times New Roman" w:eastAsia="Times New Roman" w:hAnsi="Times New Roman" w:cs="Times New Roman"/>
          <w:b/>
          <w:bCs/>
          <w:iCs/>
          <w:snapToGrid w:val="0"/>
          <w:szCs w:val="28"/>
          <w:lang w:val="en-GB"/>
        </w:rPr>
        <w:t>A. ŽENKLINIMAS</w:t>
      </w:r>
    </w:p>
    <w:p w14:paraId="112B6D9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br w:type="page"/>
      </w:r>
    </w:p>
    <w:p w14:paraId="4A18C93F"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lastRenderedPageBreak/>
        <w:t>INFORMACIJA ANT IŠORINĖS PAKUOTĖS</w:t>
      </w:r>
    </w:p>
    <w:p w14:paraId="33ED4BFB"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0"/>
          <w:lang w:val="en-GB"/>
        </w:rPr>
      </w:pPr>
    </w:p>
    <w:p w14:paraId="3188AAB6"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Kartono dėžutė</w:t>
      </w:r>
    </w:p>
    <w:p w14:paraId="6309C96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97F701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8FC2B19"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w:t>
      </w:r>
      <w:r w:rsidRPr="002D358F">
        <w:rPr>
          <w:rFonts w:ascii="Times New Roman" w:eastAsia="Times New Roman" w:hAnsi="Times New Roman" w:cs="Times New Roman"/>
          <w:b/>
          <w:snapToGrid w:val="0"/>
          <w:szCs w:val="20"/>
          <w:lang w:val="en-GB"/>
        </w:rPr>
        <w:tab/>
      </w:r>
      <w:r w:rsidRPr="002D358F">
        <w:rPr>
          <w:rFonts w:ascii="Times New Roman" w:eastAsia="Times New Roman" w:hAnsi="Times New Roman" w:cs="Times New Roman"/>
          <w:b/>
          <w:caps/>
          <w:snapToGrid w:val="0"/>
          <w:szCs w:val="20"/>
          <w:lang w:val="en-GB"/>
        </w:rPr>
        <w:t>VAISTINIO</w:t>
      </w:r>
      <w:r w:rsidRPr="002D358F">
        <w:rPr>
          <w:rFonts w:ascii="Times New Roman" w:eastAsia="Times New Roman" w:hAnsi="Times New Roman" w:cs="Times New Roman"/>
          <w:b/>
          <w:snapToGrid w:val="0"/>
          <w:szCs w:val="20"/>
          <w:lang w:val="en-GB"/>
        </w:rPr>
        <w:t xml:space="preserve"> PREPARATO PAVADINIMAS</w:t>
      </w:r>
    </w:p>
    <w:p w14:paraId="7D0E4AE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85B69B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70 mg + 500 mg / 800 TV tabletės</w:t>
      </w:r>
    </w:p>
    <w:p w14:paraId="55F2579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D16D66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Acidum alendronicum + Calcium /Colecalciferolum</w:t>
      </w:r>
    </w:p>
    <w:p w14:paraId="002B2C9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35B7A0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764FCBE"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2.</w:t>
      </w:r>
      <w:r w:rsidRPr="002D358F">
        <w:rPr>
          <w:rFonts w:ascii="Times New Roman" w:eastAsia="Times New Roman" w:hAnsi="Times New Roman" w:cs="Times New Roman"/>
          <w:b/>
          <w:snapToGrid w:val="0"/>
          <w:szCs w:val="20"/>
          <w:lang w:val="en-GB"/>
        </w:rPr>
        <w:tab/>
        <w:t>VEIKLIOJI (-IOS) MEDŽIAGA (-OS) IR JOS (-Ų) KIEKIS (-IAI)</w:t>
      </w:r>
    </w:p>
    <w:p w14:paraId="3840CE9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9421A1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Alendronato tabletė: kiekvienoje tabletėje yra natrio alendronato trihidrato, atitinkančio 70 mg alendrono rūgšties.</w:t>
      </w:r>
    </w:p>
    <w:p w14:paraId="67EF0C9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8C3C85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tabletė: kiekvienoje tabletėje yra kalcio karbonato, atitinkančio 500 mg kalcio ir kolekalciferolio (vitamino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800 TV (20 mikrogramų).</w:t>
      </w:r>
    </w:p>
    <w:p w14:paraId="69E97B4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D2A820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2CADB00"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3.</w:t>
      </w:r>
      <w:r w:rsidRPr="002D358F">
        <w:rPr>
          <w:rFonts w:ascii="Times New Roman" w:eastAsia="Times New Roman" w:hAnsi="Times New Roman" w:cs="Times New Roman"/>
          <w:b/>
          <w:snapToGrid w:val="0"/>
          <w:szCs w:val="20"/>
          <w:lang w:val="en-GB"/>
        </w:rPr>
        <w:tab/>
        <w:t>PAGALBINIŲ MEDŽIAGŲ SĄRAŠAS</w:t>
      </w:r>
    </w:p>
    <w:p w14:paraId="5B40590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EA44D1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Alendronato tabletė: sudėtyje yra laktozės.</w:t>
      </w:r>
    </w:p>
    <w:p w14:paraId="102D51C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5A6250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tabletė: sudėtyje yra sacharozės.</w:t>
      </w:r>
    </w:p>
    <w:p w14:paraId="41E6E45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1D3C2C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3E494A7"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4.</w:t>
      </w:r>
      <w:r w:rsidRPr="002D358F">
        <w:rPr>
          <w:rFonts w:ascii="Times New Roman" w:eastAsia="Times New Roman" w:hAnsi="Times New Roman" w:cs="Times New Roman"/>
          <w:b/>
          <w:snapToGrid w:val="0"/>
          <w:szCs w:val="20"/>
          <w:lang w:val="en-GB"/>
        </w:rPr>
        <w:tab/>
        <w:t>FARMACINĖ FORMA IR KIEKIS PAKUOTĖJE</w:t>
      </w:r>
    </w:p>
    <w:p w14:paraId="3327994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12FB44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28 tabletės </w:t>
      </w:r>
    </w:p>
    <w:p w14:paraId="6E24A55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Keturios savaitinės pakuotės (dėklai).</w:t>
      </w:r>
    </w:p>
    <w:p w14:paraId="0EE803B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Kiekvienoje savaitinėje pakuotėje yra 1 alendronato tabletė ir 6 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tabletės.</w:t>
      </w:r>
    </w:p>
    <w:p w14:paraId="75E3B9A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C55452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highlight w:val="lightGray"/>
          <w:lang w:val="en-GB"/>
        </w:rPr>
      </w:pPr>
      <w:r w:rsidRPr="002D358F">
        <w:rPr>
          <w:rFonts w:ascii="Times New Roman" w:eastAsia="Times New Roman" w:hAnsi="Times New Roman" w:cs="Times New Roman"/>
          <w:snapToGrid w:val="0"/>
          <w:szCs w:val="20"/>
          <w:highlight w:val="lightGray"/>
          <w:lang w:val="en-GB"/>
        </w:rPr>
        <w:t>84 tabletės</w:t>
      </w:r>
    </w:p>
    <w:p w14:paraId="2E49F5B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highlight w:val="lightGray"/>
          <w:lang w:val="en-GB"/>
        </w:rPr>
      </w:pPr>
      <w:r w:rsidRPr="002D358F">
        <w:rPr>
          <w:rFonts w:ascii="Times New Roman" w:eastAsia="Times New Roman" w:hAnsi="Times New Roman" w:cs="Times New Roman"/>
          <w:snapToGrid w:val="0"/>
          <w:szCs w:val="20"/>
          <w:highlight w:val="lightGray"/>
          <w:lang w:val="en-GB"/>
        </w:rPr>
        <w:t>Dvylika savaitinių pakuočių (dėklų).</w:t>
      </w:r>
    </w:p>
    <w:p w14:paraId="6663D7C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highlight w:val="lightGray"/>
          <w:lang w:val="en-GB"/>
        </w:rPr>
        <w:t>Kiekvienoje savaitinėje pakuotėje yra 1 alendronato tabletė ir 6 kalcio/vitamino D</w:t>
      </w:r>
      <w:r w:rsidRPr="002D358F">
        <w:rPr>
          <w:rFonts w:ascii="Times New Roman" w:eastAsia="Times New Roman" w:hAnsi="Times New Roman" w:cs="Times New Roman"/>
          <w:snapToGrid w:val="0"/>
          <w:szCs w:val="20"/>
          <w:highlight w:val="lightGray"/>
          <w:vertAlign w:val="subscript"/>
          <w:lang w:val="en-GB"/>
        </w:rPr>
        <w:t>3</w:t>
      </w:r>
      <w:r w:rsidRPr="002D358F">
        <w:rPr>
          <w:rFonts w:ascii="Times New Roman" w:eastAsia="Times New Roman" w:hAnsi="Times New Roman" w:cs="Times New Roman"/>
          <w:snapToGrid w:val="0"/>
          <w:szCs w:val="20"/>
          <w:highlight w:val="lightGray"/>
          <w:lang w:val="en-GB"/>
        </w:rPr>
        <w:t xml:space="preserve"> tabletės</w:t>
      </w:r>
      <w:r w:rsidRPr="002D358F">
        <w:rPr>
          <w:rFonts w:ascii="Times New Roman" w:eastAsia="Times New Roman" w:hAnsi="Times New Roman" w:cs="Times New Roman"/>
          <w:snapToGrid w:val="0"/>
          <w:szCs w:val="20"/>
          <w:lang w:val="en-GB"/>
        </w:rPr>
        <w:t>.</w:t>
      </w:r>
    </w:p>
    <w:p w14:paraId="1F58C70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BD82F1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F923249"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5.</w:t>
      </w:r>
      <w:r w:rsidRPr="002D358F">
        <w:rPr>
          <w:rFonts w:ascii="Times New Roman" w:eastAsia="Times New Roman" w:hAnsi="Times New Roman" w:cs="Times New Roman"/>
          <w:b/>
          <w:snapToGrid w:val="0"/>
          <w:szCs w:val="20"/>
          <w:lang w:val="en-GB"/>
        </w:rPr>
        <w:tab/>
        <w:t>VARTOJIMO METODAS IR BŪDAS (-AI)</w:t>
      </w:r>
    </w:p>
    <w:p w14:paraId="469FDA3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D830C3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Prieš vartojimą perskaitykite pakuotės lapelį.</w:t>
      </w:r>
    </w:p>
    <w:p w14:paraId="2778F94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Vartoti per burną.</w:t>
      </w:r>
    </w:p>
    <w:p w14:paraId="66FF8AA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476360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Alendronato tabletė: </w:t>
      </w:r>
    </w:p>
    <w:p w14:paraId="760387D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Praryti visą. Burnoje tabletės nekramtyti, nečiulpti, netirpinti. </w:t>
      </w:r>
    </w:p>
    <w:p w14:paraId="007EAF6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71BBEB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E71149B"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lastRenderedPageBreak/>
        <w:t>6.</w:t>
      </w:r>
      <w:r w:rsidRPr="002D358F">
        <w:rPr>
          <w:rFonts w:ascii="Times New Roman" w:eastAsia="Times New Roman" w:hAnsi="Times New Roman" w:cs="Times New Roman"/>
          <w:b/>
          <w:snapToGrid w:val="0"/>
          <w:szCs w:val="20"/>
          <w:lang w:val="en-GB"/>
        </w:rPr>
        <w:tab/>
        <w:t>SPECIALUS ĮSPĖJIMAS, KAD VAISTINĮ PREPARATĄ BŪTINA LAIKYTI VAIKAMS NEPASTEBIMOJE IR  NEPASIEKIAMOJE VIETOJE</w:t>
      </w:r>
    </w:p>
    <w:p w14:paraId="7330494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E77E52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Laikyti vaikams nepastebimoje ir nepasiekiamoje vietoje.</w:t>
      </w:r>
    </w:p>
    <w:p w14:paraId="789EB57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BA3E40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96FC612"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7.</w:t>
      </w:r>
      <w:r w:rsidRPr="002D358F">
        <w:rPr>
          <w:rFonts w:ascii="Times New Roman" w:eastAsia="Times New Roman" w:hAnsi="Times New Roman" w:cs="Times New Roman"/>
          <w:b/>
          <w:snapToGrid w:val="0"/>
          <w:szCs w:val="20"/>
          <w:lang w:val="en-GB"/>
        </w:rPr>
        <w:tab/>
        <w:t>KITAS (-I) SPECIALUS (-ŪS) ĮSPĖJIMAS (-AI) (JEI REIKIA)</w:t>
      </w:r>
    </w:p>
    <w:p w14:paraId="300E7F2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731A4A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685B90A"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8.</w:t>
      </w:r>
      <w:r w:rsidRPr="002D358F">
        <w:rPr>
          <w:rFonts w:ascii="Times New Roman" w:eastAsia="Times New Roman" w:hAnsi="Times New Roman" w:cs="Times New Roman"/>
          <w:b/>
          <w:snapToGrid w:val="0"/>
          <w:szCs w:val="20"/>
          <w:lang w:val="en-GB"/>
        </w:rPr>
        <w:tab/>
        <w:t>TINKAMUMO LAIKAS</w:t>
      </w:r>
    </w:p>
    <w:p w14:paraId="5318747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C391681" w14:textId="615448AB" w:rsidR="002D358F" w:rsidRPr="002D358F" w:rsidRDefault="00052443" w:rsidP="002D358F">
      <w:pPr>
        <w:tabs>
          <w:tab w:val="left" w:pos="567"/>
        </w:tabs>
        <w:spacing w:after="0" w:line="260" w:lineRule="exact"/>
        <w:rPr>
          <w:rFonts w:ascii="Times New Roman" w:eastAsia="Times New Roman" w:hAnsi="Times New Roman" w:cs="Times New Roman"/>
          <w:snapToGrid w:val="0"/>
          <w:szCs w:val="20"/>
          <w:lang w:val="en-GB"/>
        </w:rPr>
      </w:pPr>
      <w:r>
        <w:rPr>
          <w:rFonts w:ascii="Times New Roman" w:eastAsia="Times New Roman" w:hAnsi="Times New Roman" w:cs="Times New Roman"/>
          <w:snapToGrid w:val="0"/>
          <w:szCs w:val="20"/>
          <w:lang w:val="en-GB"/>
        </w:rPr>
        <w:t>EXP</w:t>
      </w:r>
      <w:r w:rsidR="002D358F" w:rsidRPr="002D358F">
        <w:rPr>
          <w:rFonts w:ascii="Times New Roman" w:eastAsia="Times New Roman" w:hAnsi="Times New Roman" w:cs="Times New Roman"/>
          <w:snapToGrid w:val="0"/>
          <w:szCs w:val="20"/>
          <w:lang w:val="en-GB"/>
        </w:rPr>
        <w:t xml:space="preserve"> mm-MMMM</w:t>
      </w:r>
    </w:p>
    <w:p w14:paraId="652136D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640D5C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055212F" w14:textId="77777777" w:rsidR="002D358F" w:rsidRPr="002D358F" w:rsidRDefault="002D358F" w:rsidP="002D358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9.</w:t>
      </w:r>
      <w:r w:rsidRPr="002D358F">
        <w:rPr>
          <w:rFonts w:ascii="Times New Roman" w:eastAsia="Times New Roman" w:hAnsi="Times New Roman" w:cs="Times New Roman"/>
          <w:b/>
          <w:snapToGrid w:val="0"/>
          <w:szCs w:val="20"/>
          <w:lang w:val="en-GB"/>
        </w:rPr>
        <w:tab/>
        <w:t>SPECIALIOS LAIKYMO SĄLYGOS</w:t>
      </w:r>
    </w:p>
    <w:p w14:paraId="1CE6DA4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F506CDF" w14:textId="7974A315"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Laikyti žemesnėje kaip 30 </w:t>
      </w:r>
      <w:r w:rsidRPr="002D358F">
        <w:rPr>
          <w:rFonts w:ascii="Times New Roman" w:eastAsia="Times New Roman" w:hAnsi="Times New Roman" w:cs="Times New Roman"/>
          <w:snapToGrid w:val="0"/>
          <w:szCs w:val="20"/>
          <w:lang w:val="en-GB"/>
        </w:rPr>
        <w:sym w:font="Symbol" w:char="F0B0"/>
      </w:r>
      <w:r w:rsidRPr="002D358F">
        <w:rPr>
          <w:rFonts w:ascii="Times New Roman" w:eastAsia="Times New Roman" w:hAnsi="Times New Roman" w:cs="Times New Roman"/>
          <w:snapToGrid w:val="0"/>
          <w:szCs w:val="20"/>
          <w:lang w:val="en-GB"/>
        </w:rPr>
        <w:t xml:space="preserve">C temperatūroje. Laikyti gamintojo pakuotėje, kad </w:t>
      </w:r>
      <w:r w:rsidR="00541E3E">
        <w:rPr>
          <w:rFonts w:ascii="Times New Roman" w:eastAsia="Times New Roman" w:hAnsi="Times New Roman" w:cs="Times New Roman"/>
          <w:snapToGrid w:val="0"/>
          <w:szCs w:val="20"/>
          <w:lang w:val="en-GB"/>
        </w:rPr>
        <w:t>vaistas</w:t>
      </w:r>
      <w:r w:rsidR="00541E3E" w:rsidRPr="002D358F">
        <w:rPr>
          <w:rFonts w:ascii="Times New Roman" w:eastAsia="Times New Roman" w:hAnsi="Times New Roman" w:cs="Times New Roman"/>
          <w:snapToGrid w:val="0"/>
          <w:szCs w:val="20"/>
          <w:lang w:val="en-GB"/>
        </w:rPr>
        <w:t xml:space="preserve"> </w:t>
      </w:r>
      <w:r w:rsidRPr="002D358F">
        <w:rPr>
          <w:rFonts w:ascii="Times New Roman" w:eastAsia="Times New Roman" w:hAnsi="Times New Roman" w:cs="Times New Roman"/>
          <w:snapToGrid w:val="0"/>
          <w:szCs w:val="20"/>
          <w:lang w:val="en-GB"/>
        </w:rPr>
        <w:t>būtų apsaugotas nuo šviesos ir drėgmės.</w:t>
      </w:r>
    </w:p>
    <w:p w14:paraId="2B6D7EC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2A4807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BE2151A"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10.</w:t>
      </w:r>
      <w:r w:rsidRPr="002D358F">
        <w:rPr>
          <w:rFonts w:ascii="Times New Roman" w:eastAsia="Times New Roman" w:hAnsi="Times New Roman" w:cs="Times New Roman"/>
          <w:b/>
          <w:snapToGrid w:val="0"/>
          <w:szCs w:val="20"/>
          <w:lang w:val="en-GB"/>
        </w:rPr>
        <w:tab/>
        <w:t>SPECIALIOS ATSARGUMO PRIEMONĖS DĖL NESUVARTOTO VAISTINIO PREPARATO AR JO ATLIEKŲ TVARKYMO (JEI REIKIA)</w:t>
      </w:r>
    </w:p>
    <w:p w14:paraId="4B504A2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23AA85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F590571"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11.</w:t>
      </w:r>
      <w:r w:rsidRPr="002D358F">
        <w:rPr>
          <w:rFonts w:ascii="Times New Roman" w:eastAsia="Times New Roman" w:hAnsi="Times New Roman" w:cs="Times New Roman"/>
          <w:b/>
          <w:snapToGrid w:val="0"/>
          <w:szCs w:val="20"/>
          <w:lang w:val="en-GB"/>
        </w:rPr>
        <w:tab/>
        <w:t>REGISTRUOTOJO</w:t>
      </w:r>
      <w:r w:rsidRPr="002D358F">
        <w:rPr>
          <w:rFonts w:ascii="Times New Roman" w:eastAsia="Times New Roman" w:hAnsi="Times New Roman" w:cs="Times New Roman"/>
          <w:b/>
          <w:caps/>
          <w:snapToGrid w:val="0"/>
          <w:szCs w:val="20"/>
          <w:lang w:val="en-GB"/>
        </w:rPr>
        <w:t xml:space="preserve"> PAVADINIMAS IR ADRESAS</w:t>
      </w:r>
    </w:p>
    <w:p w14:paraId="1532B93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5F81B84"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SIA Meda Pharma</w:t>
      </w:r>
    </w:p>
    <w:p w14:paraId="2A447B0F" w14:textId="77777777" w:rsidR="002D358F" w:rsidRPr="00541E3E" w:rsidRDefault="002D358F" w:rsidP="002D358F">
      <w:pPr>
        <w:tabs>
          <w:tab w:val="left" w:pos="567"/>
        </w:tabs>
        <w:spacing w:after="0" w:line="260" w:lineRule="exact"/>
        <w:rPr>
          <w:rFonts w:ascii="Times New Roman" w:hAnsi="Times New Roman"/>
        </w:rPr>
      </w:pPr>
      <w:r w:rsidRPr="002D358F">
        <w:rPr>
          <w:rFonts w:ascii="Times New Roman" w:eastAsia="Times New Roman" w:hAnsi="Times New Roman" w:cs="Times New Roman"/>
          <w:bCs/>
          <w:snapToGrid w:val="0"/>
          <w:szCs w:val="20"/>
          <w:lang w:val="en-GB"/>
        </w:rPr>
        <w:t>Mūkusalas 101</w:t>
      </w:r>
    </w:p>
    <w:p w14:paraId="2031BBB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color w:val="000000"/>
          <w:szCs w:val="20"/>
          <w:lang w:val="en-GB"/>
        </w:rPr>
        <w:t>Rīga</w:t>
      </w:r>
      <w:r w:rsidRPr="002D358F">
        <w:rPr>
          <w:rFonts w:ascii="Times New Roman" w:eastAsia="Times New Roman" w:hAnsi="Times New Roman" w:cs="Times New Roman"/>
          <w:snapToGrid w:val="0"/>
          <w:szCs w:val="20"/>
          <w:lang w:val="en-GB"/>
        </w:rPr>
        <w:t xml:space="preserve"> LV-</w:t>
      </w:r>
      <w:r w:rsidRPr="002D358F">
        <w:rPr>
          <w:rFonts w:ascii="Times New Roman" w:eastAsia="Times New Roman" w:hAnsi="Times New Roman" w:cs="Times New Roman"/>
          <w:bCs/>
          <w:snapToGrid w:val="0"/>
          <w:szCs w:val="20"/>
          <w:lang w:val="en-GB"/>
        </w:rPr>
        <w:t>1004</w:t>
      </w:r>
    </w:p>
    <w:p w14:paraId="2EFAA648"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Latvija</w:t>
      </w:r>
    </w:p>
    <w:p w14:paraId="3541431F" w14:textId="51298AF5" w:rsidR="002D358F" w:rsidRPr="00C705A4" w:rsidRDefault="002D358F" w:rsidP="002D358F">
      <w:pPr>
        <w:tabs>
          <w:tab w:val="left" w:pos="567"/>
        </w:tabs>
        <w:spacing w:after="0" w:line="260" w:lineRule="exact"/>
        <w:rPr>
          <w:rFonts w:ascii="Calibri" w:hAnsi="Calibri"/>
          <w:lang w:val="lt-LT"/>
        </w:rPr>
      </w:pPr>
    </w:p>
    <w:p w14:paraId="23B8D13C"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43F9D8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78AF666"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12.</w:t>
      </w:r>
      <w:r w:rsidRPr="002D358F">
        <w:rPr>
          <w:rFonts w:ascii="Times New Roman" w:eastAsia="Times New Roman" w:hAnsi="Times New Roman" w:cs="Times New Roman"/>
          <w:b/>
          <w:snapToGrid w:val="0"/>
          <w:szCs w:val="20"/>
          <w:lang w:val="en-GB"/>
        </w:rPr>
        <w:tab/>
        <w:t xml:space="preserve">REGISTRACIJOS PAŽYMĖJIMO NUMERIS (-IAI) </w:t>
      </w:r>
    </w:p>
    <w:p w14:paraId="491B5CE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9C8E0F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N28 (N4+N24) – LT/1/16/3974/001</w:t>
      </w:r>
    </w:p>
    <w:p w14:paraId="6A6A462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N84 (N12+N72) – LT/1/16/3974/002</w:t>
      </w:r>
    </w:p>
    <w:p w14:paraId="0A1246C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A30DB8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F6301EB"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13.</w:t>
      </w:r>
      <w:r w:rsidRPr="002D358F">
        <w:rPr>
          <w:rFonts w:ascii="Times New Roman" w:eastAsia="Times New Roman" w:hAnsi="Times New Roman" w:cs="Times New Roman"/>
          <w:b/>
          <w:snapToGrid w:val="0"/>
          <w:szCs w:val="20"/>
          <w:lang w:val="en-GB"/>
        </w:rPr>
        <w:tab/>
        <w:t xml:space="preserve">SERIJOS NUMERIS </w:t>
      </w:r>
    </w:p>
    <w:p w14:paraId="544D649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819EFD8" w14:textId="1EBB16A0" w:rsidR="002D358F" w:rsidRPr="002D358F" w:rsidRDefault="00052443" w:rsidP="002D358F">
      <w:pPr>
        <w:tabs>
          <w:tab w:val="left" w:pos="567"/>
        </w:tabs>
        <w:spacing w:after="0" w:line="260" w:lineRule="exact"/>
        <w:rPr>
          <w:rFonts w:ascii="Times New Roman" w:eastAsia="Times New Roman" w:hAnsi="Times New Roman" w:cs="Times New Roman"/>
          <w:snapToGrid w:val="0"/>
          <w:szCs w:val="20"/>
          <w:lang w:val="en-GB"/>
        </w:rPr>
      </w:pPr>
      <w:r>
        <w:rPr>
          <w:rFonts w:ascii="Times New Roman" w:eastAsia="Times New Roman" w:hAnsi="Times New Roman" w:cs="Times New Roman"/>
          <w:snapToGrid w:val="0"/>
          <w:szCs w:val="20"/>
          <w:lang w:val="en-GB"/>
        </w:rPr>
        <w:t>Lot</w:t>
      </w:r>
    </w:p>
    <w:p w14:paraId="5613014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22478B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C37538E"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14.</w:t>
      </w:r>
      <w:r w:rsidRPr="002D358F">
        <w:rPr>
          <w:rFonts w:ascii="Times New Roman" w:eastAsia="Times New Roman" w:hAnsi="Times New Roman" w:cs="Times New Roman"/>
          <w:b/>
          <w:snapToGrid w:val="0"/>
          <w:szCs w:val="20"/>
          <w:lang w:val="en-GB"/>
        </w:rPr>
        <w:tab/>
        <w:t>PARDAVIMO (IŠDAVIMO) TVARKA</w:t>
      </w:r>
    </w:p>
    <w:p w14:paraId="318D30F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09C97C0" w14:textId="3574D2F5"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Receptinis vaist</w:t>
      </w:r>
      <w:r w:rsidR="00052443">
        <w:rPr>
          <w:rFonts w:ascii="Times New Roman" w:eastAsia="Times New Roman" w:hAnsi="Times New Roman" w:cs="Times New Roman"/>
          <w:snapToGrid w:val="0"/>
          <w:szCs w:val="20"/>
          <w:lang w:val="en-GB"/>
        </w:rPr>
        <w:t>as</w:t>
      </w:r>
    </w:p>
    <w:p w14:paraId="62766BA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40DBE4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E48F831" w14:textId="77777777" w:rsidR="002D358F" w:rsidRPr="002D358F" w:rsidRDefault="002D358F" w:rsidP="002D358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lastRenderedPageBreak/>
        <w:t>15.</w:t>
      </w:r>
      <w:r w:rsidRPr="002D358F">
        <w:rPr>
          <w:rFonts w:ascii="Times New Roman" w:eastAsia="Times New Roman" w:hAnsi="Times New Roman" w:cs="Times New Roman"/>
          <w:b/>
          <w:snapToGrid w:val="0"/>
          <w:szCs w:val="20"/>
          <w:lang w:val="en-GB"/>
        </w:rPr>
        <w:tab/>
        <w:t>VARTOJIMO INSTRUKCIJA</w:t>
      </w:r>
    </w:p>
    <w:p w14:paraId="6066405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DBF7A4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5C32832" w14:textId="77777777" w:rsidR="002D358F" w:rsidRPr="002D358F" w:rsidRDefault="002D358F" w:rsidP="002D35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0"/>
          <w:lang w:val="en-GB"/>
        </w:rPr>
      </w:pPr>
      <w:r w:rsidRPr="002D358F">
        <w:rPr>
          <w:rFonts w:ascii="Times New Roman" w:eastAsia="Times New Roman" w:hAnsi="Times New Roman" w:cs="Times New Roman"/>
          <w:b/>
          <w:snapToGrid w:val="0"/>
          <w:szCs w:val="20"/>
          <w:lang w:val="en-GB"/>
        </w:rPr>
        <w:t>16.</w:t>
      </w:r>
      <w:r w:rsidRPr="002D358F">
        <w:rPr>
          <w:rFonts w:ascii="Times New Roman" w:eastAsia="Times New Roman" w:hAnsi="Times New Roman" w:cs="Times New Roman"/>
          <w:b/>
          <w:snapToGrid w:val="0"/>
          <w:szCs w:val="20"/>
          <w:lang w:val="en-GB"/>
        </w:rPr>
        <w:tab/>
        <w:t>INFORMACIJA BRAILIO RAŠTU</w:t>
      </w:r>
    </w:p>
    <w:p w14:paraId="6AE9F2A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C0F17D6"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TRIDEPOS</w:t>
      </w:r>
    </w:p>
    <w:p w14:paraId="5A122982" w14:textId="77777777" w:rsidR="002D358F" w:rsidRPr="00C705A4" w:rsidRDefault="002D358F" w:rsidP="002D358F">
      <w:pPr>
        <w:tabs>
          <w:tab w:val="left" w:pos="567"/>
        </w:tabs>
        <w:spacing w:after="0" w:line="260" w:lineRule="exact"/>
        <w:rPr>
          <w:rFonts w:ascii="Times New Roman" w:hAnsi="Times New Roman"/>
          <w:lang w:val="lt-LT"/>
        </w:rPr>
      </w:pPr>
    </w:p>
    <w:p w14:paraId="05CF45FC" w14:textId="77777777" w:rsidR="002D358F" w:rsidRPr="00C705A4" w:rsidRDefault="002D358F" w:rsidP="002D358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Calibri" w:hAnsi="Calibri"/>
          <w:i/>
          <w:lang w:val="lt-LT"/>
        </w:rPr>
      </w:pPr>
      <w:r w:rsidRPr="00C705A4">
        <w:rPr>
          <w:rFonts w:ascii="Times New Roman" w:hAnsi="Times New Roman"/>
          <w:b/>
          <w:lang w:val="lt-LT"/>
        </w:rPr>
        <w:t>17.</w:t>
      </w:r>
      <w:r w:rsidRPr="00C705A4">
        <w:rPr>
          <w:rFonts w:ascii="Times New Roman" w:hAnsi="Times New Roman"/>
          <w:b/>
          <w:lang w:val="lt-LT"/>
        </w:rPr>
        <w:tab/>
        <w:t>UNIKALUS IDENTIFIKATORIUS – 2D BRŪKŠNINIS KODAS</w:t>
      </w:r>
    </w:p>
    <w:p w14:paraId="7BBC7B48" w14:textId="77777777" w:rsidR="00052443" w:rsidRPr="00C705A4" w:rsidRDefault="00052443" w:rsidP="00052443">
      <w:pPr>
        <w:keepNext/>
        <w:tabs>
          <w:tab w:val="left" w:pos="1296"/>
        </w:tabs>
        <w:spacing w:after="0" w:line="260" w:lineRule="exact"/>
        <w:rPr>
          <w:rFonts w:ascii="Times New Roman" w:hAnsi="Times New Roman"/>
          <w:lang w:val="en-GB"/>
        </w:rPr>
      </w:pPr>
    </w:p>
    <w:p w14:paraId="08D275D7" w14:textId="77777777" w:rsidR="00052443" w:rsidRPr="00052443" w:rsidRDefault="00052443" w:rsidP="00052443">
      <w:pPr>
        <w:keepNext/>
        <w:tabs>
          <w:tab w:val="left" w:pos="1296"/>
        </w:tabs>
        <w:spacing w:after="0" w:line="260" w:lineRule="exact"/>
        <w:rPr>
          <w:rFonts w:ascii="Times New Roman" w:eastAsia="Times New Roman" w:hAnsi="Times New Roman" w:cs="Times New Roman"/>
          <w:snapToGrid w:val="0"/>
          <w:szCs w:val="20"/>
          <w:lang w:val="en-GB"/>
        </w:rPr>
      </w:pPr>
      <w:r w:rsidRPr="00052443">
        <w:rPr>
          <w:rFonts w:ascii="Times New Roman" w:eastAsia="Times New Roman" w:hAnsi="Times New Roman" w:cs="Times New Roman"/>
          <w:snapToGrid w:val="0"/>
          <w:szCs w:val="20"/>
          <w:highlight w:val="lightGray"/>
          <w:lang w:val="en-GB"/>
        </w:rPr>
        <w:t>2D brūkšninis kodas su nurodytu unikaliu identifikatoriumi.</w:t>
      </w:r>
    </w:p>
    <w:p w14:paraId="0CFF762D" w14:textId="77777777" w:rsidR="00052443" w:rsidRPr="00052443" w:rsidRDefault="00052443" w:rsidP="00052443">
      <w:pPr>
        <w:keepNext/>
        <w:tabs>
          <w:tab w:val="left" w:pos="1296"/>
        </w:tabs>
        <w:spacing w:after="0" w:line="260" w:lineRule="exact"/>
        <w:rPr>
          <w:rFonts w:ascii="Times New Roman" w:eastAsia="Times New Roman" w:hAnsi="Times New Roman" w:cs="Times New Roman"/>
          <w:snapToGrid w:val="0"/>
          <w:szCs w:val="20"/>
          <w:lang w:val="en-GB"/>
        </w:rPr>
      </w:pPr>
    </w:p>
    <w:p w14:paraId="3F65513F" w14:textId="77777777" w:rsidR="002D358F" w:rsidRPr="002D358F" w:rsidRDefault="002D358F" w:rsidP="002D358F">
      <w:pPr>
        <w:keepNext/>
        <w:tabs>
          <w:tab w:val="left" w:pos="1296"/>
        </w:tabs>
        <w:spacing w:after="0" w:line="260" w:lineRule="exact"/>
        <w:rPr>
          <w:rFonts w:ascii="Times New Roman" w:eastAsia="Times New Roman" w:hAnsi="Times New Roman" w:cs="Times New Roman"/>
          <w:snapToGrid w:val="0"/>
          <w:szCs w:val="20"/>
          <w:lang w:val="lt-LT"/>
        </w:rPr>
      </w:pPr>
    </w:p>
    <w:p w14:paraId="2CEAC0DE" w14:textId="77777777" w:rsidR="002D358F" w:rsidRPr="00C705A4" w:rsidRDefault="002D358F" w:rsidP="002D358F">
      <w:pPr>
        <w:tabs>
          <w:tab w:val="left" w:pos="1296"/>
        </w:tabs>
        <w:spacing w:after="0" w:line="260" w:lineRule="exact"/>
        <w:rPr>
          <w:rFonts w:ascii="Times New Roman" w:hAnsi="Times New Roman"/>
          <w:highlight w:val="yellow"/>
          <w:lang w:val="lt-LT"/>
        </w:rPr>
      </w:pPr>
    </w:p>
    <w:p w14:paraId="44F5DC77" w14:textId="77777777" w:rsidR="002D358F" w:rsidRPr="002D358F" w:rsidRDefault="002D358F" w:rsidP="002D358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Calibri" w:eastAsia="Calibri" w:hAnsi="Calibri" w:cs="Times New Roman"/>
          <w:i/>
          <w:lang w:val="lt-LT"/>
        </w:rPr>
      </w:pPr>
      <w:r w:rsidRPr="00C705A4">
        <w:rPr>
          <w:rFonts w:ascii="Times New Roman" w:hAnsi="Times New Roman"/>
          <w:b/>
          <w:lang w:val="lt-LT"/>
        </w:rPr>
        <w:t>18.</w:t>
      </w:r>
      <w:r w:rsidRPr="00C705A4">
        <w:rPr>
          <w:rFonts w:ascii="Times New Roman" w:hAnsi="Times New Roman"/>
          <w:b/>
          <w:lang w:val="lt-LT"/>
        </w:rPr>
        <w:tab/>
        <w:t>UNIKALUS IDENTIFIKATORIUS – ŽMONĖMS SUPRANTAMI DUOMENYS</w:t>
      </w:r>
    </w:p>
    <w:p w14:paraId="27179693" w14:textId="77777777" w:rsidR="002D358F" w:rsidRPr="002D358F" w:rsidRDefault="002D358F" w:rsidP="002D358F">
      <w:pPr>
        <w:keepNext/>
        <w:tabs>
          <w:tab w:val="left" w:pos="1296"/>
        </w:tabs>
        <w:spacing w:after="0" w:line="260" w:lineRule="exact"/>
        <w:rPr>
          <w:rFonts w:ascii="Times New Roman" w:eastAsia="Times New Roman" w:hAnsi="Times New Roman" w:cs="Times New Roman"/>
          <w:snapToGrid w:val="0"/>
          <w:szCs w:val="20"/>
          <w:highlight w:val="yellow"/>
          <w:lang w:val="lt-LT"/>
        </w:rPr>
      </w:pPr>
    </w:p>
    <w:p w14:paraId="4EF85AF8" w14:textId="77777777" w:rsidR="00052443" w:rsidRPr="00052443" w:rsidRDefault="00052443" w:rsidP="00052443">
      <w:pPr>
        <w:tabs>
          <w:tab w:val="left" w:pos="567"/>
        </w:tabs>
        <w:spacing w:after="0" w:line="260" w:lineRule="exact"/>
        <w:rPr>
          <w:rFonts w:ascii="Times New Roman" w:eastAsia="Times New Roman" w:hAnsi="Times New Roman" w:cs="Times New Roman"/>
          <w:snapToGrid w:val="0"/>
          <w:szCs w:val="20"/>
          <w:lang w:val="en-GB"/>
        </w:rPr>
      </w:pPr>
      <w:r>
        <w:rPr>
          <w:rFonts w:ascii="Times New Roman" w:eastAsia="Times New Roman" w:hAnsi="Times New Roman" w:cs="Times New Roman"/>
          <w:snapToGrid w:val="0"/>
          <w:szCs w:val="20"/>
          <w:lang w:val="en-GB"/>
        </w:rPr>
        <w:t>PC:</w:t>
      </w:r>
    </w:p>
    <w:p w14:paraId="28C6C692" w14:textId="77777777" w:rsidR="00052443" w:rsidRPr="00052443" w:rsidRDefault="00052443" w:rsidP="00052443">
      <w:pPr>
        <w:tabs>
          <w:tab w:val="left" w:pos="567"/>
        </w:tabs>
        <w:spacing w:after="0" w:line="260" w:lineRule="exact"/>
        <w:rPr>
          <w:rFonts w:ascii="Times New Roman" w:eastAsia="Times New Roman" w:hAnsi="Times New Roman" w:cs="Times New Roman"/>
          <w:snapToGrid w:val="0"/>
          <w:szCs w:val="20"/>
          <w:lang w:val="en-GB"/>
        </w:rPr>
      </w:pPr>
      <w:r>
        <w:rPr>
          <w:rFonts w:ascii="Times New Roman" w:eastAsia="Times New Roman" w:hAnsi="Times New Roman" w:cs="Times New Roman"/>
          <w:snapToGrid w:val="0"/>
          <w:szCs w:val="20"/>
          <w:lang w:val="en-GB"/>
        </w:rPr>
        <w:t>SN:</w:t>
      </w:r>
    </w:p>
    <w:p w14:paraId="6CBC86C9" w14:textId="77777777" w:rsidR="00052443" w:rsidRPr="00052443" w:rsidRDefault="00052443" w:rsidP="00052443">
      <w:pPr>
        <w:tabs>
          <w:tab w:val="left" w:pos="567"/>
        </w:tabs>
        <w:spacing w:after="0" w:line="260" w:lineRule="exact"/>
        <w:rPr>
          <w:rFonts w:ascii="Times New Roman" w:eastAsia="Times New Roman" w:hAnsi="Times New Roman" w:cs="Times New Roman"/>
          <w:snapToGrid w:val="0"/>
          <w:vanish/>
          <w:szCs w:val="20"/>
          <w:lang w:val="en-GB"/>
        </w:rPr>
      </w:pPr>
      <w:r>
        <w:rPr>
          <w:rFonts w:ascii="Times New Roman" w:eastAsia="Times New Roman" w:hAnsi="Times New Roman" w:cs="Times New Roman"/>
          <w:snapToGrid w:val="0"/>
          <w:szCs w:val="20"/>
          <w:lang w:val="en-GB"/>
        </w:rPr>
        <w:t>NN:</w:t>
      </w:r>
    </w:p>
    <w:p w14:paraId="178BAC42" w14:textId="77777777" w:rsidR="00052443" w:rsidRPr="00C705A4" w:rsidRDefault="00052443" w:rsidP="00C705A4">
      <w:pPr>
        <w:tabs>
          <w:tab w:val="left" w:pos="567"/>
        </w:tabs>
        <w:spacing w:after="0" w:line="260" w:lineRule="exact"/>
        <w:rPr>
          <w:rFonts w:ascii="Times New Roman" w:hAnsi="Times New Roman"/>
          <w:vanish/>
          <w:lang w:val="en-GB"/>
        </w:rPr>
      </w:pPr>
    </w:p>
    <w:p w14:paraId="645C0E5B" w14:textId="77777777" w:rsidR="00052443" w:rsidRPr="00C705A4" w:rsidRDefault="00052443" w:rsidP="00C705A4">
      <w:pPr>
        <w:tabs>
          <w:tab w:val="left" w:pos="567"/>
        </w:tabs>
        <w:spacing w:after="0" w:line="260" w:lineRule="exact"/>
        <w:rPr>
          <w:rFonts w:ascii="Times New Roman" w:hAnsi="Times New Roman"/>
          <w:lang w:val="lt-LT"/>
        </w:rPr>
      </w:pPr>
    </w:p>
    <w:p w14:paraId="3A9FA39B" w14:textId="77777777" w:rsidR="002D358F" w:rsidRPr="00C705A4" w:rsidRDefault="002D358F" w:rsidP="002D358F">
      <w:pPr>
        <w:tabs>
          <w:tab w:val="left" w:pos="567"/>
        </w:tabs>
        <w:spacing w:after="0" w:line="260" w:lineRule="exact"/>
        <w:rPr>
          <w:rFonts w:ascii="Times New Roman" w:hAnsi="Times New Roman"/>
          <w:lang w:val="lt-LT"/>
        </w:rPr>
      </w:pPr>
    </w:p>
    <w:p w14:paraId="1954566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C705A4">
        <w:rPr>
          <w:rFonts w:ascii="Times New Roman" w:hAnsi="Times New Roman"/>
          <w:lang w:val="lt-LT"/>
        </w:rPr>
        <w:br w:type="page"/>
      </w:r>
    </w:p>
    <w:p w14:paraId="5382EF14"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lastRenderedPageBreak/>
        <w:t>INFORMACIJA ANT VIDINĖS PAKUOTĖS</w:t>
      </w:r>
    </w:p>
    <w:p w14:paraId="611AA74F"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0"/>
          <w:lang w:val="en-GB"/>
        </w:rPr>
      </w:pPr>
    </w:p>
    <w:p w14:paraId="569161C2"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Dėklas su integruotomis lizdinių plokštelių juostelėmis, savaitinė pakuotė</w:t>
      </w:r>
    </w:p>
    <w:p w14:paraId="2260241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D54A32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303D621"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w:t>
      </w:r>
      <w:r w:rsidRPr="002D358F">
        <w:rPr>
          <w:rFonts w:ascii="Times New Roman" w:eastAsia="Times New Roman" w:hAnsi="Times New Roman" w:cs="Times New Roman"/>
          <w:b/>
          <w:snapToGrid w:val="0"/>
          <w:szCs w:val="20"/>
          <w:lang w:val="en-GB"/>
        </w:rPr>
        <w:tab/>
      </w:r>
      <w:r w:rsidRPr="002D358F">
        <w:rPr>
          <w:rFonts w:ascii="Times New Roman" w:eastAsia="Times New Roman" w:hAnsi="Times New Roman" w:cs="Times New Roman"/>
          <w:b/>
          <w:caps/>
          <w:snapToGrid w:val="0"/>
          <w:szCs w:val="20"/>
          <w:lang w:val="en-GB"/>
        </w:rPr>
        <w:t>VAISTINIO</w:t>
      </w:r>
      <w:r w:rsidRPr="002D358F">
        <w:rPr>
          <w:rFonts w:ascii="Times New Roman" w:eastAsia="Times New Roman" w:hAnsi="Times New Roman" w:cs="Times New Roman"/>
          <w:b/>
          <w:snapToGrid w:val="0"/>
          <w:szCs w:val="20"/>
          <w:lang w:val="en-GB"/>
        </w:rPr>
        <w:t xml:space="preserve"> PREPARATO PAVADINIMAS</w:t>
      </w:r>
    </w:p>
    <w:p w14:paraId="153A63F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C1ABCF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70 mg + 500 mg / 800 TV tabletės</w:t>
      </w:r>
    </w:p>
    <w:p w14:paraId="28D1658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431565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Acidum alendronicum + Calcium /Colecalciferolum</w:t>
      </w:r>
    </w:p>
    <w:p w14:paraId="73CA476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223428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DBBB007"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2.</w:t>
      </w:r>
      <w:r w:rsidRPr="002D358F">
        <w:rPr>
          <w:rFonts w:ascii="Times New Roman" w:eastAsia="Times New Roman" w:hAnsi="Times New Roman" w:cs="Times New Roman"/>
          <w:b/>
          <w:snapToGrid w:val="0"/>
          <w:szCs w:val="20"/>
          <w:lang w:val="en-GB"/>
        </w:rPr>
        <w:tab/>
        <w:t>VEIKLIOJI (-IOS) MEDŽIAGA (-OS) IR JOS (-Ų) KIEKIS (-IAI)</w:t>
      </w:r>
    </w:p>
    <w:p w14:paraId="745CA97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1DF6CB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Alendronato tabletė: kiekvienoje tabletėje yra natrio alendronato trihidrato</w:t>
      </w:r>
      <w:r w:rsidRPr="002D358F">
        <w:rPr>
          <w:rFonts w:ascii="Times New Roman" w:eastAsia="Times New Roman" w:hAnsi="Times New Roman" w:cs="Times New Roman"/>
          <w:snapToGrid w:val="0"/>
          <w:szCs w:val="20"/>
          <w:lang w:val="en-GB"/>
        </w:rPr>
        <w:t>, atitinkančio 70 mg alendrono rūgšties.</w:t>
      </w:r>
    </w:p>
    <w:p w14:paraId="135B7564" w14:textId="77777777" w:rsidR="002D358F" w:rsidRPr="00C705A4" w:rsidRDefault="002D358F" w:rsidP="002D358F">
      <w:pPr>
        <w:tabs>
          <w:tab w:val="left" w:pos="567"/>
        </w:tabs>
        <w:spacing w:after="0" w:line="260" w:lineRule="exact"/>
        <w:rPr>
          <w:rFonts w:ascii="Times New Roman" w:hAnsi="Times New Roman"/>
          <w:lang w:val="lt-LT"/>
        </w:rPr>
      </w:pPr>
    </w:p>
    <w:p w14:paraId="36B331E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Kalcio/vitamino D</w:t>
      </w:r>
      <w:r w:rsidRPr="00C705A4">
        <w:rPr>
          <w:rFonts w:ascii="Times New Roman" w:hAnsi="Times New Roman"/>
          <w:vertAlign w:val="subscript"/>
          <w:lang w:val="lt-LT"/>
        </w:rPr>
        <w:t xml:space="preserve">3 </w:t>
      </w:r>
      <w:r w:rsidRPr="00C705A4">
        <w:rPr>
          <w:rFonts w:ascii="Times New Roman" w:hAnsi="Times New Roman"/>
          <w:lang w:val="lt-LT"/>
        </w:rPr>
        <w:t>tabletė: kiekvienoje tabletėje yra kalcio karbonato, atitinkančio 500 mg kalcio ir kolekalciferolio (vitamino D</w:t>
      </w:r>
      <w:r w:rsidRPr="00C705A4">
        <w:rPr>
          <w:rFonts w:ascii="Times New Roman" w:hAnsi="Times New Roman"/>
          <w:vertAlign w:val="subscript"/>
          <w:lang w:val="lt-LT"/>
        </w:rPr>
        <w:t>3</w:t>
      </w:r>
      <w:r w:rsidRPr="00C705A4">
        <w:rPr>
          <w:rFonts w:ascii="Times New Roman" w:hAnsi="Times New Roman"/>
          <w:lang w:val="lt-LT"/>
        </w:rPr>
        <w:t xml:space="preserve"> ) 800 TV (20 mikrogramų).</w:t>
      </w:r>
    </w:p>
    <w:p w14:paraId="138F3E92" w14:textId="77777777" w:rsidR="002D358F" w:rsidRPr="00C705A4" w:rsidRDefault="002D358F" w:rsidP="002D358F">
      <w:pPr>
        <w:tabs>
          <w:tab w:val="left" w:pos="567"/>
        </w:tabs>
        <w:spacing w:after="0" w:line="260" w:lineRule="exact"/>
        <w:rPr>
          <w:rFonts w:ascii="Times New Roman" w:hAnsi="Times New Roman"/>
          <w:lang w:val="lt-LT"/>
        </w:rPr>
      </w:pPr>
    </w:p>
    <w:p w14:paraId="796028F9" w14:textId="77777777" w:rsidR="002D358F" w:rsidRPr="00C705A4" w:rsidRDefault="002D358F" w:rsidP="002D358F">
      <w:pPr>
        <w:tabs>
          <w:tab w:val="left" w:pos="567"/>
        </w:tabs>
        <w:spacing w:after="0" w:line="260" w:lineRule="exact"/>
        <w:rPr>
          <w:rFonts w:ascii="Times New Roman" w:hAnsi="Times New Roman"/>
          <w:lang w:val="lt-LT"/>
        </w:rPr>
      </w:pPr>
    </w:p>
    <w:p w14:paraId="7910D2A9" w14:textId="77777777" w:rsidR="002D358F" w:rsidRPr="00C705A4"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Calibri" w:hAnsi="Calibri"/>
          <w:lang w:val="lt-LT"/>
        </w:rPr>
      </w:pPr>
      <w:r w:rsidRPr="00C705A4">
        <w:rPr>
          <w:rFonts w:ascii="Times New Roman" w:hAnsi="Times New Roman"/>
          <w:b/>
          <w:lang w:val="lt-LT"/>
        </w:rPr>
        <w:t>3.</w:t>
      </w:r>
      <w:r w:rsidRPr="00C705A4">
        <w:rPr>
          <w:rFonts w:ascii="Times New Roman" w:hAnsi="Times New Roman"/>
          <w:b/>
          <w:lang w:val="lt-LT"/>
        </w:rPr>
        <w:tab/>
        <w:t>PAGALBINIŲ MEDŽIAGŲ SĄRAŠAS</w:t>
      </w:r>
    </w:p>
    <w:p w14:paraId="156EA77E" w14:textId="77777777" w:rsidR="002D358F" w:rsidRPr="00C705A4" w:rsidRDefault="002D358F" w:rsidP="002D358F">
      <w:pPr>
        <w:tabs>
          <w:tab w:val="left" w:pos="567"/>
        </w:tabs>
        <w:spacing w:after="0" w:line="260" w:lineRule="exact"/>
        <w:rPr>
          <w:rFonts w:ascii="Times New Roman" w:hAnsi="Times New Roman"/>
          <w:lang w:val="lt-LT"/>
        </w:rPr>
      </w:pPr>
    </w:p>
    <w:p w14:paraId="511C3742"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Alendronato tabletė: sudėtyje yra laktozės.</w:t>
      </w:r>
    </w:p>
    <w:p w14:paraId="4280B871" w14:textId="77777777" w:rsidR="002D358F" w:rsidRPr="00C705A4" w:rsidRDefault="002D358F" w:rsidP="002D358F">
      <w:pPr>
        <w:tabs>
          <w:tab w:val="left" w:pos="567"/>
        </w:tabs>
        <w:spacing w:after="0" w:line="260" w:lineRule="exact"/>
        <w:rPr>
          <w:rFonts w:ascii="Times New Roman" w:hAnsi="Times New Roman"/>
          <w:lang w:val="lt-LT"/>
        </w:rPr>
      </w:pPr>
    </w:p>
    <w:p w14:paraId="5F309C3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tabletė: sudėtyje yra sacharozės.</w:t>
      </w:r>
    </w:p>
    <w:p w14:paraId="66E6E48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2D98EA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F43137C"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4.</w:t>
      </w:r>
      <w:r w:rsidRPr="002D358F">
        <w:rPr>
          <w:rFonts w:ascii="Times New Roman" w:eastAsia="Times New Roman" w:hAnsi="Times New Roman" w:cs="Times New Roman"/>
          <w:b/>
          <w:snapToGrid w:val="0"/>
          <w:szCs w:val="20"/>
          <w:lang w:val="en-GB"/>
        </w:rPr>
        <w:tab/>
        <w:t>FARMACINĖ FORMA IR KIEKIS PAKUOTĖJE</w:t>
      </w:r>
    </w:p>
    <w:p w14:paraId="3B4F3BF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9BC23E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Vienoje savaitinėje pakuotėje yra:</w:t>
      </w:r>
    </w:p>
    <w:p w14:paraId="71B974E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1 alendronato tabletė</w:t>
      </w:r>
    </w:p>
    <w:p w14:paraId="72C7DAE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6 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tabletės.</w:t>
      </w:r>
    </w:p>
    <w:p w14:paraId="7824AC7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1FA7E5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savaitinė pakuotė (užrašas ant dėklo pakuotės šono).</w:t>
      </w:r>
    </w:p>
    <w:p w14:paraId="71CDD9B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12578C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598231F"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5.</w:t>
      </w:r>
      <w:r w:rsidRPr="002D358F">
        <w:rPr>
          <w:rFonts w:ascii="Times New Roman" w:eastAsia="Times New Roman" w:hAnsi="Times New Roman" w:cs="Times New Roman"/>
          <w:b/>
          <w:snapToGrid w:val="0"/>
          <w:szCs w:val="20"/>
          <w:lang w:val="en-GB"/>
        </w:rPr>
        <w:tab/>
        <w:t>VARTOJIMO METODAS IR BŪDAS (-AI)</w:t>
      </w:r>
    </w:p>
    <w:p w14:paraId="08881D2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8D32BA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Prieš vartojimą perskaitykite pakuotės lapelį.</w:t>
      </w:r>
    </w:p>
    <w:p w14:paraId="083FB7D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F7CC4C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Alendronato tabletė</w:t>
      </w:r>
    </w:p>
    <w:p w14:paraId="4095713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026096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Viena tabletė savaitei.</w:t>
      </w:r>
    </w:p>
    <w:p w14:paraId="0E44736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30B802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1-oji diena</w:t>
      </w:r>
    </w:p>
    <w:p w14:paraId="1B40DE58" w14:textId="77777777" w:rsidR="002D358F" w:rsidRPr="002D358F" w:rsidRDefault="002D358F" w:rsidP="002D358F">
      <w:pPr>
        <w:numPr>
          <w:ilvl w:val="0"/>
          <w:numId w:val="7"/>
        </w:numPr>
        <w:tabs>
          <w:tab w:val="left" w:pos="567"/>
        </w:tabs>
        <w:spacing w:after="0" w:line="260" w:lineRule="exact"/>
        <w:ind w:left="540"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Išgerkite vieną alendronato tabletę ryte prieš ko nors suvalgydami, išgerdami ar prieš išgerdami kitus vaistus.</w:t>
      </w:r>
    </w:p>
    <w:p w14:paraId="229E9F07" w14:textId="77777777" w:rsidR="002D358F" w:rsidRPr="002D358F" w:rsidRDefault="002D358F" w:rsidP="002D358F">
      <w:pPr>
        <w:numPr>
          <w:ilvl w:val="0"/>
          <w:numId w:val="7"/>
        </w:numPr>
        <w:tabs>
          <w:tab w:val="left" w:pos="567"/>
        </w:tabs>
        <w:spacing w:after="0" w:line="260" w:lineRule="exact"/>
        <w:ind w:left="540"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Nurykite tabletę, užgerdami mažiausiai 200 ml gryno vandens.</w:t>
      </w:r>
    </w:p>
    <w:p w14:paraId="3A4786D7" w14:textId="77777777" w:rsidR="002D358F" w:rsidRPr="002D358F" w:rsidRDefault="002D358F" w:rsidP="002D358F">
      <w:pPr>
        <w:numPr>
          <w:ilvl w:val="0"/>
          <w:numId w:val="7"/>
        </w:numPr>
        <w:tabs>
          <w:tab w:val="left" w:pos="567"/>
        </w:tabs>
        <w:spacing w:after="0" w:line="260" w:lineRule="exact"/>
        <w:ind w:left="540"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Nurykite tabletę visą. Nesmulkinkite, nečiulpkite ir nekramtykite jos.</w:t>
      </w:r>
    </w:p>
    <w:p w14:paraId="650CC1E4" w14:textId="77777777" w:rsidR="002D358F" w:rsidRPr="002D358F" w:rsidRDefault="002D358F" w:rsidP="002D358F">
      <w:pPr>
        <w:numPr>
          <w:ilvl w:val="0"/>
          <w:numId w:val="7"/>
        </w:numPr>
        <w:tabs>
          <w:tab w:val="left" w:pos="567"/>
        </w:tabs>
        <w:spacing w:after="0" w:line="260" w:lineRule="exact"/>
        <w:ind w:left="540"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Išgerkite tabletę, būdami vertikalioje padėtyje (galite stovėti arba sėdėti).</w:t>
      </w:r>
    </w:p>
    <w:p w14:paraId="35773539" w14:textId="77777777" w:rsidR="002D358F" w:rsidRPr="002D358F" w:rsidRDefault="002D358F" w:rsidP="002D358F">
      <w:pPr>
        <w:numPr>
          <w:ilvl w:val="0"/>
          <w:numId w:val="7"/>
        </w:numPr>
        <w:tabs>
          <w:tab w:val="left" w:pos="567"/>
        </w:tabs>
        <w:spacing w:after="0" w:line="260" w:lineRule="exact"/>
        <w:ind w:left="540" w:hanging="54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snapToGrid w:val="0"/>
          <w:szCs w:val="20"/>
          <w:lang w:val="en-GB"/>
        </w:rPr>
        <w:lastRenderedPageBreak/>
        <w:t>Suvartoję tabletę, 30 minučių</w:t>
      </w:r>
      <w:r w:rsidRPr="002D358F">
        <w:rPr>
          <w:rFonts w:ascii="Times New Roman" w:eastAsia="Times New Roman" w:hAnsi="Times New Roman" w:cs="Times New Roman"/>
          <w:b/>
          <w:snapToGrid w:val="0"/>
          <w:szCs w:val="20"/>
          <w:lang w:val="en-GB"/>
        </w:rPr>
        <w:t xml:space="preserve"> nesigulkite, </w:t>
      </w:r>
      <w:r w:rsidRPr="002D358F">
        <w:rPr>
          <w:rFonts w:ascii="Times New Roman" w:eastAsia="Times New Roman" w:hAnsi="Times New Roman" w:cs="Times New Roman"/>
          <w:snapToGrid w:val="0"/>
          <w:szCs w:val="20"/>
          <w:lang w:val="en-GB"/>
        </w:rPr>
        <w:t>nevalgykite ir negerkite.</w:t>
      </w:r>
    </w:p>
    <w:p w14:paraId="3941AD0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798309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NEGERKITE alendronato tabletės ir 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tablečių tą pačią dieną. Kalcis gali susilpninti alendronato įsisavinimą. </w:t>
      </w:r>
    </w:p>
    <w:p w14:paraId="148D40D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9FE2B9D" w14:textId="77777777" w:rsidR="002D358F" w:rsidRPr="002D358F" w:rsidRDefault="002D358F" w:rsidP="002D358F">
      <w:pPr>
        <w:tabs>
          <w:tab w:val="left" w:pos="567"/>
        </w:tabs>
        <w:spacing w:after="0" w:line="260" w:lineRule="exact"/>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snapToGrid w:val="0"/>
          <w:szCs w:val="20"/>
          <w:lang w:val="en-GB"/>
        </w:rPr>
        <w:t>1-oji diena (užrašas ties alendronato tablete).</w:t>
      </w:r>
    </w:p>
    <w:p w14:paraId="76DBEAE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DCF2A4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tabletės</w:t>
      </w:r>
    </w:p>
    <w:p w14:paraId="3F95028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28E420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2–7-a dienos </w:t>
      </w:r>
    </w:p>
    <w:p w14:paraId="368778E8" w14:textId="77777777" w:rsidR="002D358F" w:rsidRPr="002D358F" w:rsidRDefault="002D358F" w:rsidP="002D358F">
      <w:pPr>
        <w:numPr>
          <w:ilvl w:val="0"/>
          <w:numId w:val="7"/>
        </w:numPr>
        <w:tabs>
          <w:tab w:val="left" w:pos="567"/>
        </w:tabs>
        <w:spacing w:after="0" w:line="260" w:lineRule="exact"/>
        <w:ind w:left="540"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Išgerkite po vieną 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tabletę kasdien. </w:t>
      </w:r>
    </w:p>
    <w:p w14:paraId="063633E0" w14:textId="77777777" w:rsidR="002D358F" w:rsidRPr="002D358F" w:rsidRDefault="002D358F" w:rsidP="002D358F">
      <w:pPr>
        <w:numPr>
          <w:ilvl w:val="0"/>
          <w:numId w:val="7"/>
        </w:numPr>
        <w:tabs>
          <w:tab w:val="left" w:pos="567"/>
        </w:tabs>
        <w:spacing w:after="0" w:line="260" w:lineRule="exact"/>
        <w:ind w:left="540"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Išgerkite tabletę, užgerdami vandeniu.</w:t>
      </w:r>
    </w:p>
    <w:p w14:paraId="6870D8D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C3A857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2-oji diena, 3-ioji diena, 4-oji diena, 5-oji diena, 6-oji diena, 7-oji diena (užrašai ties kiekviena kalcio/vitamino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tablete)</w:t>
      </w:r>
    </w:p>
    <w:p w14:paraId="7C201C1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w:t>
      </w:r>
    </w:p>
    <w:p w14:paraId="76E3B9E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960FC97"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6.</w:t>
      </w:r>
      <w:r w:rsidRPr="002D358F">
        <w:rPr>
          <w:rFonts w:ascii="Times New Roman" w:eastAsia="Times New Roman" w:hAnsi="Times New Roman" w:cs="Times New Roman"/>
          <w:b/>
          <w:snapToGrid w:val="0"/>
          <w:szCs w:val="20"/>
          <w:lang w:val="en-GB"/>
        </w:rPr>
        <w:tab/>
        <w:t>SPECIALUS ĮSPĖJIMAS, KAD VAISTINĮ PREPARATĄ BŪTINA LAIKYTI VAIKAMS NEPASTEBIMOJE IR  NEPASIEKIAMOJE VIETOJE</w:t>
      </w:r>
    </w:p>
    <w:p w14:paraId="38C6DC9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009350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Laikyti vaikams nepastebimoje ir nepasiekiamoje vietoje.</w:t>
      </w:r>
    </w:p>
    <w:p w14:paraId="3C43C21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E795B2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0A996A4"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7.</w:t>
      </w:r>
      <w:r w:rsidRPr="002D358F">
        <w:rPr>
          <w:rFonts w:ascii="Times New Roman" w:eastAsia="Times New Roman" w:hAnsi="Times New Roman" w:cs="Times New Roman"/>
          <w:b/>
          <w:snapToGrid w:val="0"/>
          <w:szCs w:val="20"/>
          <w:lang w:val="en-GB"/>
        </w:rPr>
        <w:tab/>
        <w:t>KITAS (-I) SPECIALUS (-ŪS) ĮSPĖJIMAS (-AI) (JEI REIKIA)</w:t>
      </w:r>
    </w:p>
    <w:p w14:paraId="6504FE5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B9F78D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FEB0938"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8.</w:t>
      </w:r>
      <w:r w:rsidRPr="002D358F">
        <w:rPr>
          <w:rFonts w:ascii="Times New Roman" w:eastAsia="Times New Roman" w:hAnsi="Times New Roman" w:cs="Times New Roman"/>
          <w:b/>
          <w:snapToGrid w:val="0"/>
          <w:szCs w:val="20"/>
          <w:lang w:val="en-GB"/>
        </w:rPr>
        <w:tab/>
        <w:t>TINKAMUMO LAIKAS</w:t>
      </w:r>
    </w:p>
    <w:p w14:paraId="76CDAFF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BE5667C" w14:textId="5DCDC556" w:rsidR="002D358F" w:rsidRPr="002D358F" w:rsidRDefault="00052443" w:rsidP="002D358F">
      <w:pPr>
        <w:tabs>
          <w:tab w:val="left" w:pos="567"/>
        </w:tabs>
        <w:spacing w:after="0" w:line="260" w:lineRule="exact"/>
        <w:rPr>
          <w:rFonts w:ascii="Times New Roman" w:eastAsia="Times New Roman" w:hAnsi="Times New Roman" w:cs="Times New Roman"/>
          <w:snapToGrid w:val="0"/>
          <w:szCs w:val="20"/>
          <w:lang w:val="en-GB"/>
        </w:rPr>
      </w:pPr>
      <w:r>
        <w:rPr>
          <w:rFonts w:ascii="Times New Roman" w:eastAsia="Times New Roman" w:hAnsi="Times New Roman" w:cs="Times New Roman"/>
          <w:snapToGrid w:val="0"/>
          <w:szCs w:val="20"/>
          <w:lang w:val="en-GB"/>
        </w:rPr>
        <w:t>EXP</w:t>
      </w:r>
      <w:r w:rsidR="002D358F" w:rsidRPr="002D358F">
        <w:rPr>
          <w:rFonts w:ascii="Times New Roman" w:eastAsia="Times New Roman" w:hAnsi="Times New Roman" w:cs="Times New Roman"/>
          <w:snapToGrid w:val="0"/>
          <w:szCs w:val="20"/>
          <w:lang w:val="en-GB"/>
        </w:rPr>
        <w:t xml:space="preserve"> mm-MMMM</w:t>
      </w:r>
    </w:p>
    <w:p w14:paraId="3A997A5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CF7268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08E21D3" w14:textId="77777777" w:rsidR="002D358F" w:rsidRPr="002D358F" w:rsidRDefault="002D358F" w:rsidP="002D358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9.</w:t>
      </w:r>
      <w:r w:rsidRPr="002D358F">
        <w:rPr>
          <w:rFonts w:ascii="Times New Roman" w:eastAsia="Times New Roman" w:hAnsi="Times New Roman" w:cs="Times New Roman"/>
          <w:b/>
          <w:snapToGrid w:val="0"/>
          <w:szCs w:val="20"/>
          <w:lang w:val="en-GB"/>
        </w:rPr>
        <w:tab/>
        <w:t>SPECIALIOS LAIKYMO SĄLYGOS</w:t>
      </w:r>
    </w:p>
    <w:p w14:paraId="07B45D2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D65FE7A" w14:textId="3A186742"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Laikyti žemesnėje kaip 30 </w:t>
      </w:r>
      <w:r w:rsidRPr="002D358F">
        <w:rPr>
          <w:rFonts w:ascii="Times New Roman" w:eastAsia="Times New Roman" w:hAnsi="Times New Roman" w:cs="Times New Roman"/>
          <w:snapToGrid w:val="0"/>
          <w:szCs w:val="20"/>
          <w:lang w:val="en-GB"/>
        </w:rPr>
        <w:sym w:font="Symbol" w:char="F0B0"/>
      </w:r>
      <w:r w:rsidRPr="002D358F">
        <w:rPr>
          <w:rFonts w:ascii="Times New Roman" w:eastAsia="Times New Roman" w:hAnsi="Times New Roman" w:cs="Times New Roman"/>
          <w:snapToGrid w:val="0"/>
          <w:szCs w:val="20"/>
          <w:lang w:val="en-GB"/>
        </w:rPr>
        <w:t xml:space="preserve">C temperatūroje. Laikyti gamintojo pakuotėje, kad </w:t>
      </w:r>
      <w:r w:rsidR="00541E3E">
        <w:rPr>
          <w:rFonts w:ascii="Times New Roman" w:eastAsia="Times New Roman" w:hAnsi="Times New Roman" w:cs="Times New Roman"/>
          <w:snapToGrid w:val="0"/>
          <w:szCs w:val="20"/>
          <w:lang w:val="en-GB"/>
        </w:rPr>
        <w:t>vaistas</w:t>
      </w:r>
      <w:r w:rsidR="00541E3E" w:rsidRPr="002D358F">
        <w:rPr>
          <w:rFonts w:ascii="Times New Roman" w:eastAsia="Times New Roman" w:hAnsi="Times New Roman" w:cs="Times New Roman"/>
          <w:snapToGrid w:val="0"/>
          <w:szCs w:val="20"/>
          <w:lang w:val="en-GB"/>
        </w:rPr>
        <w:t xml:space="preserve"> </w:t>
      </w:r>
      <w:r w:rsidRPr="002D358F">
        <w:rPr>
          <w:rFonts w:ascii="Times New Roman" w:eastAsia="Times New Roman" w:hAnsi="Times New Roman" w:cs="Times New Roman"/>
          <w:snapToGrid w:val="0"/>
          <w:szCs w:val="20"/>
          <w:lang w:val="en-GB"/>
        </w:rPr>
        <w:t>būtų apsaugotas nuo šviesos ir drėgmės.</w:t>
      </w:r>
    </w:p>
    <w:p w14:paraId="3CE0645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776252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A7C81A4"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10.</w:t>
      </w:r>
      <w:r w:rsidRPr="002D358F">
        <w:rPr>
          <w:rFonts w:ascii="Times New Roman" w:eastAsia="Times New Roman" w:hAnsi="Times New Roman" w:cs="Times New Roman"/>
          <w:b/>
          <w:snapToGrid w:val="0"/>
          <w:szCs w:val="20"/>
          <w:lang w:val="en-GB"/>
        </w:rPr>
        <w:tab/>
        <w:t>SPECIALIOS ATSARGUMO PRIEMONĖS DĖL NESUVARTOTO VAISTINIO PREPARATO AR JO ATLIEKŲ TVARKYMO (JEI REIKIA)</w:t>
      </w:r>
    </w:p>
    <w:p w14:paraId="7586520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D06EF5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E192ABC"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11.</w:t>
      </w:r>
      <w:r w:rsidRPr="002D358F">
        <w:rPr>
          <w:rFonts w:ascii="Times New Roman" w:eastAsia="Times New Roman" w:hAnsi="Times New Roman" w:cs="Times New Roman"/>
          <w:b/>
          <w:snapToGrid w:val="0"/>
          <w:szCs w:val="20"/>
          <w:lang w:val="en-GB"/>
        </w:rPr>
        <w:tab/>
        <w:t xml:space="preserve">REGISTRUOTOJO </w:t>
      </w:r>
      <w:r w:rsidRPr="002D358F">
        <w:rPr>
          <w:rFonts w:ascii="Times New Roman" w:eastAsia="Times New Roman" w:hAnsi="Times New Roman" w:cs="Times New Roman"/>
          <w:b/>
          <w:caps/>
          <w:snapToGrid w:val="0"/>
          <w:szCs w:val="20"/>
          <w:lang w:val="en-GB"/>
        </w:rPr>
        <w:t>PAVADINIMAS IR ADRESAS</w:t>
      </w:r>
    </w:p>
    <w:p w14:paraId="36893C6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9DDECB1"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SIA Meda Pharma</w:t>
      </w:r>
    </w:p>
    <w:p w14:paraId="61CE1685" w14:textId="77777777" w:rsidR="002D358F" w:rsidRPr="00541E3E" w:rsidRDefault="002D358F" w:rsidP="002D358F">
      <w:pPr>
        <w:tabs>
          <w:tab w:val="left" w:pos="567"/>
        </w:tabs>
        <w:spacing w:after="0" w:line="260" w:lineRule="exact"/>
        <w:rPr>
          <w:rFonts w:ascii="Times New Roman" w:hAnsi="Times New Roman"/>
        </w:rPr>
      </w:pPr>
      <w:r w:rsidRPr="002D358F">
        <w:rPr>
          <w:rFonts w:ascii="Times New Roman" w:eastAsia="Times New Roman" w:hAnsi="Times New Roman" w:cs="Times New Roman"/>
          <w:bCs/>
          <w:snapToGrid w:val="0"/>
          <w:szCs w:val="20"/>
          <w:lang w:val="en-GB"/>
        </w:rPr>
        <w:t>Mūkusalas 101</w:t>
      </w:r>
    </w:p>
    <w:p w14:paraId="3A42CC7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color w:val="000000"/>
          <w:szCs w:val="20"/>
          <w:lang w:val="en-GB"/>
        </w:rPr>
        <w:t>Rīga</w:t>
      </w:r>
      <w:r w:rsidRPr="002D358F">
        <w:rPr>
          <w:rFonts w:ascii="Times New Roman" w:eastAsia="Times New Roman" w:hAnsi="Times New Roman" w:cs="Times New Roman"/>
          <w:snapToGrid w:val="0"/>
          <w:szCs w:val="20"/>
          <w:lang w:val="en-GB"/>
        </w:rPr>
        <w:t xml:space="preserve"> LV-</w:t>
      </w:r>
      <w:r w:rsidRPr="002D358F">
        <w:rPr>
          <w:rFonts w:ascii="Times New Roman" w:eastAsia="Times New Roman" w:hAnsi="Times New Roman" w:cs="Times New Roman"/>
          <w:bCs/>
          <w:snapToGrid w:val="0"/>
          <w:szCs w:val="20"/>
          <w:lang w:val="en-GB"/>
        </w:rPr>
        <w:t>1004</w:t>
      </w:r>
    </w:p>
    <w:p w14:paraId="2FAA3357"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Latvija</w:t>
      </w:r>
    </w:p>
    <w:p w14:paraId="52F2CEF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7FBEE45"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12.</w:t>
      </w:r>
      <w:r w:rsidRPr="002D358F">
        <w:rPr>
          <w:rFonts w:ascii="Times New Roman" w:eastAsia="Times New Roman" w:hAnsi="Times New Roman" w:cs="Times New Roman"/>
          <w:b/>
          <w:snapToGrid w:val="0"/>
          <w:szCs w:val="20"/>
          <w:lang w:val="en-GB"/>
        </w:rPr>
        <w:tab/>
        <w:t xml:space="preserve">REGISTRACIJOS PAŽYMĖJIMO NUMERIS (-IAI) </w:t>
      </w:r>
    </w:p>
    <w:p w14:paraId="26F09A8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765994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N28 (N4+N24) – LT/1/16/3974/001</w:t>
      </w:r>
    </w:p>
    <w:p w14:paraId="0FB6A11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N84 (N12+N72) – LT/1/16/3974/002</w:t>
      </w:r>
    </w:p>
    <w:p w14:paraId="6C4E0CAC"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9491A3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47FBA5F"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13.</w:t>
      </w:r>
      <w:r w:rsidRPr="002D358F">
        <w:rPr>
          <w:rFonts w:ascii="Times New Roman" w:eastAsia="Times New Roman" w:hAnsi="Times New Roman" w:cs="Times New Roman"/>
          <w:b/>
          <w:snapToGrid w:val="0"/>
          <w:szCs w:val="20"/>
          <w:lang w:val="en-GB"/>
        </w:rPr>
        <w:tab/>
        <w:t xml:space="preserve">SERIJOS NUMERIS </w:t>
      </w:r>
    </w:p>
    <w:p w14:paraId="431DBB2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6A1D5E8" w14:textId="04BE786C" w:rsidR="002D358F" w:rsidRPr="002D358F" w:rsidRDefault="00052443" w:rsidP="002D358F">
      <w:pPr>
        <w:tabs>
          <w:tab w:val="left" w:pos="567"/>
        </w:tabs>
        <w:spacing w:after="0" w:line="260" w:lineRule="exact"/>
        <w:rPr>
          <w:rFonts w:ascii="Times New Roman" w:eastAsia="Times New Roman" w:hAnsi="Times New Roman" w:cs="Times New Roman"/>
          <w:snapToGrid w:val="0"/>
          <w:szCs w:val="20"/>
          <w:lang w:val="en-GB"/>
        </w:rPr>
      </w:pPr>
      <w:r>
        <w:rPr>
          <w:rFonts w:ascii="Times New Roman" w:eastAsia="Times New Roman" w:hAnsi="Times New Roman" w:cs="Times New Roman"/>
          <w:snapToGrid w:val="0"/>
          <w:szCs w:val="20"/>
          <w:lang w:val="en-GB"/>
        </w:rPr>
        <w:t>Lot</w:t>
      </w:r>
    </w:p>
    <w:p w14:paraId="6998001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748784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23A1FCC"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14.</w:t>
      </w:r>
      <w:r w:rsidRPr="002D358F">
        <w:rPr>
          <w:rFonts w:ascii="Times New Roman" w:eastAsia="Times New Roman" w:hAnsi="Times New Roman" w:cs="Times New Roman"/>
          <w:b/>
          <w:snapToGrid w:val="0"/>
          <w:szCs w:val="20"/>
          <w:lang w:val="en-GB"/>
        </w:rPr>
        <w:tab/>
        <w:t>PARDAVIMO (IŠDAVIMO) TVARKA</w:t>
      </w:r>
    </w:p>
    <w:p w14:paraId="0AE281D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E9BFFC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1B1657B" w14:textId="77777777" w:rsidR="002D358F" w:rsidRPr="002D358F" w:rsidRDefault="002D358F" w:rsidP="002D358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15.</w:t>
      </w:r>
      <w:r w:rsidRPr="002D358F">
        <w:rPr>
          <w:rFonts w:ascii="Times New Roman" w:eastAsia="Times New Roman" w:hAnsi="Times New Roman" w:cs="Times New Roman"/>
          <w:b/>
          <w:snapToGrid w:val="0"/>
          <w:szCs w:val="20"/>
          <w:lang w:val="en-GB"/>
        </w:rPr>
        <w:tab/>
        <w:t>VARTOJIMO INSTRUKCIJA</w:t>
      </w:r>
    </w:p>
    <w:p w14:paraId="7D8F009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216FF2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7467BDD" w14:textId="77777777" w:rsidR="002D358F" w:rsidRPr="002D358F" w:rsidRDefault="002D358F" w:rsidP="002D358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0"/>
          <w:lang w:val="en-GB"/>
        </w:rPr>
      </w:pPr>
      <w:r w:rsidRPr="002D358F">
        <w:rPr>
          <w:rFonts w:ascii="Times New Roman" w:eastAsia="Times New Roman" w:hAnsi="Times New Roman" w:cs="Times New Roman"/>
          <w:b/>
          <w:snapToGrid w:val="0"/>
          <w:szCs w:val="20"/>
          <w:lang w:val="en-GB"/>
        </w:rPr>
        <w:t>16.</w:t>
      </w:r>
      <w:r w:rsidRPr="002D358F">
        <w:rPr>
          <w:rFonts w:ascii="Times New Roman" w:eastAsia="Times New Roman" w:hAnsi="Times New Roman" w:cs="Times New Roman"/>
          <w:b/>
          <w:snapToGrid w:val="0"/>
          <w:szCs w:val="20"/>
          <w:lang w:val="en-GB"/>
        </w:rPr>
        <w:tab/>
        <w:t>INFORMACIJA BRAILIO RAŠTU</w:t>
      </w:r>
    </w:p>
    <w:p w14:paraId="660AB64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3FEEE3F"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Informacija Brailio raštu ant kartono dėklo nepateikiama, tik ant išorinės dėžutės.</w:t>
      </w:r>
    </w:p>
    <w:p w14:paraId="2606D2C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br w:type="page"/>
      </w:r>
    </w:p>
    <w:p w14:paraId="6ED13212"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lastRenderedPageBreak/>
        <w:t>MINIMALI INFORMACIJA ANT LIZDINIŲ PLOKŠTELIŲ ARBA DVISLUOKSNIŲ JUOSTELIŲ</w:t>
      </w:r>
    </w:p>
    <w:p w14:paraId="6A7AE08F"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lang w:val="en-GB"/>
        </w:rPr>
      </w:pPr>
    </w:p>
    <w:p w14:paraId="0705D041"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 xml:space="preserve">Lizdinė plokštelė, kurioje yra 1 alendronato tabletė </w:t>
      </w:r>
    </w:p>
    <w:p w14:paraId="0512FC3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462C96F"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Komentaras:</w:t>
      </w:r>
    </w:p>
    <w:p w14:paraId="1CD6800B"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Lizdinė plokštelė bus integruota į kartono dėklą.</w:t>
      </w:r>
    </w:p>
    <w:p w14:paraId="6BFADBDE"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Informacija pacientui bus išspausdinta ant kartono dėklo.</w:t>
      </w:r>
    </w:p>
    <w:p w14:paraId="11D1C47E"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Lizdinės plokštelės tekstas pacientui nematomas. Jis skirtas tik tam, kad būtų galima identifikuoti produkciją. Tekstas ant lizdinės plokštelės į lietuvių kalbą neverčiamas.</w:t>
      </w:r>
    </w:p>
    <w:p w14:paraId="376BDE88"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p>
    <w:p w14:paraId="4044C93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9E74913"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1.</w:t>
      </w:r>
      <w:r w:rsidRPr="002D358F">
        <w:rPr>
          <w:rFonts w:ascii="Times New Roman" w:eastAsia="Times New Roman" w:hAnsi="Times New Roman" w:cs="Times New Roman"/>
          <w:b/>
          <w:snapToGrid w:val="0"/>
          <w:szCs w:val="20"/>
          <w:lang w:val="en-GB"/>
        </w:rPr>
        <w:tab/>
      </w:r>
      <w:r w:rsidRPr="002D358F">
        <w:rPr>
          <w:rFonts w:ascii="Times New Roman" w:eastAsia="Times New Roman" w:hAnsi="Times New Roman" w:cs="Times New Roman"/>
          <w:b/>
          <w:caps/>
          <w:snapToGrid w:val="0"/>
          <w:szCs w:val="20"/>
          <w:lang w:val="en-GB"/>
        </w:rPr>
        <w:t>VAISTINIO</w:t>
      </w:r>
      <w:r w:rsidRPr="002D358F">
        <w:rPr>
          <w:rFonts w:ascii="Times New Roman" w:eastAsia="Times New Roman" w:hAnsi="Times New Roman" w:cs="Times New Roman"/>
          <w:b/>
          <w:snapToGrid w:val="0"/>
          <w:szCs w:val="20"/>
          <w:lang w:val="en-GB"/>
        </w:rPr>
        <w:t xml:space="preserve"> PREPARATO PAVADINIMAS</w:t>
      </w:r>
    </w:p>
    <w:p w14:paraId="28EB237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FBB48B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Alendronate 70 mg</w:t>
      </w:r>
    </w:p>
    <w:p w14:paraId="2EE27EA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222DB5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E4645D1"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2.</w:t>
      </w:r>
      <w:r w:rsidRPr="002D358F">
        <w:rPr>
          <w:rFonts w:ascii="Times New Roman" w:eastAsia="Times New Roman" w:hAnsi="Times New Roman" w:cs="Times New Roman"/>
          <w:b/>
          <w:snapToGrid w:val="0"/>
          <w:szCs w:val="20"/>
          <w:lang w:val="en-GB"/>
        </w:rPr>
        <w:tab/>
        <w:t>REGISTRUOTOJO</w:t>
      </w:r>
      <w:r w:rsidRPr="002D358F">
        <w:rPr>
          <w:rFonts w:ascii="Times New Roman" w:eastAsia="Times New Roman" w:hAnsi="Times New Roman" w:cs="Times New Roman"/>
          <w:b/>
          <w:caps/>
          <w:snapToGrid w:val="0"/>
          <w:szCs w:val="20"/>
          <w:lang w:val="en-GB"/>
        </w:rPr>
        <w:t xml:space="preserve"> pavadinimas</w:t>
      </w:r>
    </w:p>
    <w:p w14:paraId="78F1444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AD46FF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Meda </w:t>
      </w:r>
    </w:p>
    <w:p w14:paraId="22D753FC"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9BD9F7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A9ABB65" w14:textId="77777777" w:rsidR="002D358F" w:rsidRPr="002D358F" w:rsidRDefault="002D358F" w:rsidP="002D358F">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3.</w:t>
      </w:r>
      <w:r w:rsidRPr="002D358F">
        <w:rPr>
          <w:rFonts w:ascii="Times New Roman" w:eastAsia="Times New Roman" w:hAnsi="Times New Roman" w:cs="Times New Roman"/>
          <w:b/>
          <w:snapToGrid w:val="0"/>
          <w:szCs w:val="20"/>
          <w:lang w:val="en-GB"/>
        </w:rPr>
        <w:tab/>
        <w:t>TINKAMUMO LAIKAS</w:t>
      </w:r>
    </w:p>
    <w:p w14:paraId="5D13E982"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FF1F59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EXP mm- MMMM</w:t>
      </w:r>
    </w:p>
    <w:p w14:paraId="6066B79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F9E9FC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36499C4" w14:textId="77777777" w:rsidR="002D358F" w:rsidRPr="002D358F" w:rsidRDefault="002D358F" w:rsidP="002D35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4.</w:t>
      </w:r>
      <w:r w:rsidRPr="002D358F">
        <w:rPr>
          <w:rFonts w:ascii="Times New Roman" w:eastAsia="Times New Roman" w:hAnsi="Times New Roman" w:cs="Times New Roman"/>
          <w:b/>
          <w:snapToGrid w:val="0"/>
          <w:szCs w:val="20"/>
          <w:lang w:val="en-GB"/>
        </w:rPr>
        <w:tab/>
        <w:t>SERIJOS NUMERIS</w:t>
      </w:r>
    </w:p>
    <w:p w14:paraId="256BD37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49B445C"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Lot</w:t>
      </w:r>
    </w:p>
    <w:p w14:paraId="439A3AA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EC8686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95A853F"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5.</w:t>
      </w:r>
      <w:r w:rsidRPr="002D358F">
        <w:rPr>
          <w:rFonts w:ascii="Times New Roman" w:eastAsia="Times New Roman" w:hAnsi="Times New Roman" w:cs="Times New Roman"/>
          <w:b/>
          <w:snapToGrid w:val="0"/>
          <w:szCs w:val="20"/>
          <w:lang w:val="en-GB"/>
        </w:rPr>
        <w:tab/>
        <w:t>KITA</w:t>
      </w:r>
    </w:p>
    <w:p w14:paraId="60B69A7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850227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5461BC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br w:type="page"/>
      </w:r>
    </w:p>
    <w:p w14:paraId="3DA442C9"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lastRenderedPageBreak/>
        <w:t>MINIMALI INFORMACIJA ANT LIZDINIŲ PLOKŠTELIŲ ARBA DVISLUOKSNIŲ JUOSTELIŲ</w:t>
      </w:r>
    </w:p>
    <w:p w14:paraId="61A2FA46"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lang w:val="en-GB"/>
        </w:rPr>
      </w:pPr>
    </w:p>
    <w:p w14:paraId="446846CA"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 xml:space="preserve">Lizdinė plokštelė, kurioje yra 6 kalcio/vitamino D tabletės </w:t>
      </w:r>
    </w:p>
    <w:p w14:paraId="6F709AC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DEEDDF8"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Komentaras:</w:t>
      </w:r>
    </w:p>
    <w:p w14:paraId="5FC661E9"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Lizdinė plokštelė bus integruota į kartoninį dėklą.</w:t>
      </w:r>
    </w:p>
    <w:p w14:paraId="58A71A49"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Informacija pacientui bus išspausdinta ant dėklo.</w:t>
      </w:r>
    </w:p>
    <w:p w14:paraId="1DA838EA"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Lizdinės plokštelės tekstas pacientui nematomas. Jis skirtas tik tam, kad būtų galima identifikuoti produkciją. Tekstas ant lizdinės plokštelės į lietuvių kalbą neverčiamas.</w:t>
      </w:r>
    </w:p>
    <w:p w14:paraId="599C2D0B" w14:textId="77777777" w:rsidR="002D358F" w:rsidRPr="002D358F" w:rsidRDefault="002D358F" w:rsidP="002D358F">
      <w:pPr>
        <w:tabs>
          <w:tab w:val="left" w:pos="567"/>
        </w:tabs>
        <w:spacing w:after="0" w:line="260" w:lineRule="exact"/>
        <w:rPr>
          <w:rFonts w:ascii="Times New Roman" w:eastAsia="Times New Roman" w:hAnsi="Times New Roman" w:cs="Times New Roman"/>
          <w:i/>
          <w:snapToGrid w:val="0"/>
          <w:szCs w:val="20"/>
          <w:lang w:val="en-GB"/>
        </w:rPr>
      </w:pPr>
    </w:p>
    <w:p w14:paraId="5778D62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1BBE012"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1.</w:t>
      </w:r>
      <w:r w:rsidRPr="002D358F">
        <w:rPr>
          <w:rFonts w:ascii="Times New Roman" w:eastAsia="Times New Roman" w:hAnsi="Times New Roman" w:cs="Times New Roman"/>
          <w:b/>
          <w:snapToGrid w:val="0"/>
          <w:szCs w:val="20"/>
          <w:lang w:val="en-GB"/>
        </w:rPr>
        <w:tab/>
      </w:r>
      <w:r w:rsidRPr="002D358F">
        <w:rPr>
          <w:rFonts w:ascii="Times New Roman" w:eastAsia="Times New Roman" w:hAnsi="Times New Roman" w:cs="Times New Roman"/>
          <w:b/>
          <w:caps/>
          <w:snapToGrid w:val="0"/>
          <w:szCs w:val="20"/>
          <w:lang w:val="en-GB"/>
        </w:rPr>
        <w:t>VAISTINIO</w:t>
      </w:r>
      <w:r w:rsidRPr="002D358F">
        <w:rPr>
          <w:rFonts w:ascii="Times New Roman" w:eastAsia="Times New Roman" w:hAnsi="Times New Roman" w:cs="Times New Roman"/>
          <w:b/>
          <w:snapToGrid w:val="0"/>
          <w:szCs w:val="20"/>
          <w:lang w:val="en-GB"/>
        </w:rPr>
        <w:t xml:space="preserve"> PREPARATO PAVADINIMAS</w:t>
      </w:r>
    </w:p>
    <w:p w14:paraId="2F8FE6D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E97607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Calcium 500 mg / Colecalciferol 800 TV</w:t>
      </w:r>
    </w:p>
    <w:p w14:paraId="505D262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08C727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7110F95"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2.</w:t>
      </w:r>
      <w:r w:rsidRPr="002D358F">
        <w:rPr>
          <w:rFonts w:ascii="Times New Roman" w:eastAsia="Times New Roman" w:hAnsi="Times New Roman" w:cs="Times New Roman"/>
          <w:b/>
          <w:snapToGrid w:val="0"/>
          <w:szCs w:val="20"/>
          <w:lang w:val="en-GB"/>
        </w:rPr>
        <w:tab/>
        <w:t>REGISTRUOTOJO</w:t>
      </w:r>
      <w:r w:rsidRPr="002D358F">
        <w:rPr>
          <w:rFonts w:ascii="Times New Roman" w:eastAsia="Times New Roman" w:hAnsi="Times New Roman" w:cs="Times New Roman"/>
          <w:b/>
          <w:caps/>
          <w:snapToGrid w:val="0"/>
          <w:szCs w:val="20"/>
          <w:lang w:val="en-GB"/>
        </w:rPr>
        <w:t xml:space="preserve"> pavadinimas</w:t>
      </w:r>
    </w:p>
    <w:p w14:paraId="748FAFB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755624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Meda </w:t>
      </w:r>
    </w:p>
    <w:p w14:paraId="31A8842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8E1B843"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666A6BF" w14:textId="77777777" w:rsidR="002D358F" w:rsidRPr="002D358F" w:rsidRDefault="002D358F" w:rsidP="002D358F">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3.</w:t>
      </w:r>
      <w:r w:rsidRPr="002D358F">
        <w:rPr>
          <w:rFonts w:ascii="Times New Roman" w:eastAsia="Times New Roman" w:hAnsi="Times New Roman" w:cs="Times New Roman"/>
          <w:b/>
          <w:snapToGrid w:val="0"/>
          <w:szCs w:val="20"/>
          <w:lang w:val="en-GB"/>
        </w:rPr>
        <w:tab/>
        <w:t>TINKAMUMO LAIKAS</w:t>
      </w:r>
    </w:p>
    <w:p w14:paraId="5B17E75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F13F643" w14:textId="6FC8EC31"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EXP</w:t>
      </w:r>
      <w:r w:rsidR="00052443">
        <w:rPr>
          <w:rFonts w:ascii="Times New Roman" w:eastAsia="Times New Roman" w:hAnsi="Times New Roman" w:cs="Times New Roman"/>
          <w:snapToGrid w:val="0"/>
          <w:szCs w:val="20"/>
          <w:lang w:val="en-GB"/>
        </w:rPr>
        <w:t xml:space="preserve"> </w:t>
      </w:r>
      <w:r w:rsidRPr="002D358F">
        <w:rPr>
          <w:rFonts w:ascii="Times New Roman" w:eastAsia="Times New Roman" w:hAnsi="Times New Roman" w:cs="Times New Roman"/>
          <w:snapToGrid w:val="0"/>
          <w:szCs w:val="20"/>
          <w:lang w:val="en-GB"/>
        </w:rPr>
        <w:t>mm- MMMM</w:t>
      </w:r>
    </w:p>
    <w:p w14:paraId="7BDB3E8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4F9D6B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FAF346D" w14:textId="77777777" w:rsidR="002D358F" w:rsidRPr="002D358F" w:rsidRDefault="002D358F" w:rsidP="002D358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4.</w:t>
      </w:r>
      <w:r w:rsidRPr="002D358F">
        <w:rPr>
          <w:rFonts w:ascii="Times New Roman" w:eastAsia="Times New Roman" w:hAnsi="Times New Roman" w:cs="Times New Roman"/>
          <w:b/>
          <w:snapToGrid w:val="0"/>
          <w:szCs w:val="20"/>
          <w:lang w:val="en-GB"/>
        </w:rPr>
        <w:tab/>
        <w:t>SERIJOS NUMERIS</w:t>
      </w:r>
    </w:p>
    <w:p w14:paraId="1F7AFC7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C33091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Lot</w:t>
      </w:r>
    </w:p>
    <w:p w14:paraId="5CEF836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B8FEE8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BBEF6DB" w14:textId="77777777" w:rsidR="002D358F" w:rsidRPr="002D358F" w:rsidRDefault="002D358F" w:rsidP="002D358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5.</w:t>
      </w:r>
      <w:r w:rsidRPr="002D358F">
        <w:rPr>
          <w:rFonts w:ascii="Times New Roman" w:eastAsia="Times New Roman" w:hAnsi="Times New Roman" w:cs="Times New Roman"/>
          <w:b/>
          <w:snapToGrid w:val="0"/>
          <w:szCs w:val="20"/>
          <w:lang w:val="en-GB"/>
        </w:rPr>
        <w:tab/>
        <w:t>KITA</w:t>
      </w:r>
    </w:p>
    <w:p w14:paraId="3810F76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DF07EC3"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br w:type="page"/>
      </w:r>
    </w:p>
    <w:p w14:paraId="0E3BF634"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2D60EA01"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79FDFC48"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1FC440C8"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46F5FE6A"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662E0677"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0EBAFAE5"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3637D9BD"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17A90A7E"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4B044DA7"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7F23DD40"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1DEBDB6F"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7C4DFC79"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56DBB547"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45C6406E"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61A29B6B"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36314172"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1AA889A2"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4EB4CFD0"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09952EBD"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3B2EC9C6"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0CFF84DA"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41986375" w14:textId="77777777" w:rsidR="002D358F" w:rsidRPr="002D358F" w:rsidRDefault="002D358F" w:rsidP="002D358F">
      <w:pPr>
        <w:tabs>
          <w:tab w:val="left" w:pos="567"/>
        </w:tabs>
        <w:spacing w:after="0" w:line="260" w:lineRule="exact"/>
        <w:outlineLvl w:val="0"/>
        <w:rPr>
          <w:rFonts w:ascii="Times New Roman" w:eastAsia="Times New Roman" w:hAnsi="Times New Roman" w:cs="Times New Roman"/>
          <w:snapToGrid w:val="0"/>
          <w:szCs w:val="20"/>
          <w:lang w:val="en-GB"/>
        </w:rPr>
      </w:pPr>
    </w:p>
    <w:p w14:paraId="0E2C4531" w14:textId="77777777" w:rsidR="002D358F" w:rsidRPr="002D358F" w:rsidRDefault="002D358F" w:rsidP="002D358F">
      <w:pPr>
        <w:tabs>
          <w:tab w:val="left" w:pos="567"/>
        </w:tabs>
        <w:spacing w:after="0" w:line="260" w:lineRule="exact"/>
        <w:jc w:val="center"/>
        <w:outlineLvl w:val="0"/>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B. PAKUOTĖS LAPELIS</w:t>
      </w:r>
    </w:p>
    <w:p w14:paraId="5367196E" w14:textId="77777777" w:rsidR="002D358F" w:rsidRPr="002D358F" w:rsidRDefault="002D358F" w:rsidP="002D358F">
      <w:pPr>
        <w:keepNext/>
        <w:tabs>
          <w:tab w:val="left" w:pos="567"/>
        </w:tabs>
        <w:spacing w:after="0" w:line="240" w:lineRule="auto"/>
        <w:jc w:val="center"/>
        <w:outlineLvl w:val="1"/>
        <w:rPr>
          <w:rFonts w:ascii="Cambria" w:eastAsia="Times New Roman" w:hAnsi="Cambria" w:cs="Times New Roman"/>
          <w:bCs/>
          <w:i/>
          <w:iCs/>
          <w:snapToGrid w:val="0"/>
          <w:sz w:val="28"/>
          <w:szCs w:val="28"/>
          <w:lang w:val="en-GB"/>
        </w:rPr>
      </w:pPr>
      <w:r w:rsidRPr="002D358F">
        <w:rPr>
          <w:rFonts w:ascii="Times New Roman" w:eastAsia="Times New Roman" w:hAnsi="Times New Roman" w:cs="Times New Roman"/>
          <w:b/>
          <w:bCs/>
          <w:iCs/>
          <w:snapToGrid w:val="0"/>
          <w:szCs w:val="28"/>
          <w:lang w:val="en-GB"/>
        </w:rPr>
        <w:br w:type="page"/>
      </w:r>
      <w:r w:rsidRPr="002D358F">
        <w:rPr>
          <w:rFonts w:ascii="Times New Roman" w:eastAsia="Times New Roman" w:hAnsi="Times New Roman" w:cs="Times New Roman"/>
          <w:b/>
          <w:bCs/>
          <w:iCs/>
          <w:snapToGrid w:val="0"/>
          <w:szCs w:val="28"/>
          <w:lang w:val="en-GB"/>
        </w:rPr>
        <w:lastRenderedPageBreak/>
        <w:t>Pakuotės lapelis: informacija pacientui</w:t>
      </w:r>
    </w:p>
    <w:p w14:paraId="35476661" w14:textId="77777777" w:rsidR="002D358F" w:rsidRPr="002D358F" w:rsidRDefault="002D358F" w:rsidP="002D358F">
      <w:pPr>
        <w:numPr>
          <w:ilvl w:val="12"/>
          <w:numId w:val="0"/>
        </w:numPr>
        <w:shd w:val="clear" w:color="auto" w:fill="FFFFFF"/>
        <w:spacing w:after="0" w:line="240" w:lineRule="auto"/>
        <w:jc w:val="center"/>
        <w:rPr>
          <w:rFonts w:ascii="Times New Roman" w:eastAsia="Times New Roman" w:hAnsi="Times New Roman" w:cs="Times New Roman"/>
          <w:snapToGrid w:val="0"/>
          <w:szCs w:val="20"/>
          <w:lang w:val="en-GB"/>
        </w:rPr>
      </w:pPr>
    </w:p>
    <w:p w14:paraId="0F2F73C7" w14:textId="77777777" w:rsidR="002D358F" w:rsidRPr="002D358F" w:rsidRDefault="002D358F" w:rsidP="002D358F">
      <w:pPr>
        <w:tabs>
          <w:tab w:val="left" w:pos="567"/>
        </w:tabs>
        <w:spacing w:after="0" w:line="260" w:lineRule="exact"/>
        <w:jc w:val="center"/>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Tridepos 70 mg + 500 mg / 800 TV tabletės</w:t>
      </w:r>
    </w:p>
    <w:p w14:paraId="2A795949" w14:textId="77777777" w:rsidR="002D358F" w:rsidRPr="002D358F" w:rsidRDefault="002D358F" w:rsidP="002D358F">
      <w:pPr>
        <w:numPr>
          <w:ilvl w:val="12"/>
          <w:numId w:val="0"/>
        </w:numPr>
        <w:spacing w:after="0" w:line="240" w:lineRule="auto"/>
        <w:jc w:val="center"/>
        <w:rPr>
          <w:rFonts w:ascii="Times New Roman" w:eastAsia="Times New Roman" w:hAnsi="Times New Roman" w:cs="Times New Roman"/>
          <w:snapToGrid w:val="0"/>
          <w:szCs w:val="20"/>
          <w:lang w:val="en-GB"/>
        </w:rPr>
      </w:pPr>
    </w:p>
    <w:p w14:paraId="0C62FDA5" w14:textId="77777777" w:rsidR="002D358F" w:rsidRPr="002D358F" w:rsidRDefault="002D358F" w:rsidP="002D358F">
      <w:pPr>
        <w:numPr>
          <w:ilvl w:val="12"/>
          <w:numId w:val="0"/>
        </w:numPr>
        <w:spacing w:after="0" w:line="240" w:lineRule="auto"/>
        <w:jc w:val="center"/>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Alendrono rūgštis + kalcis/kolekalciferolis</w:t>
      </w:r>
    </w:p>
    <w:p w14:paraId="4CA9584A" w14:textId="77777777" w:rsidR="002D358F" w:rsidRPr="002D358F" w:rsidRDefault="002D358F" w:rsidP="002D358F">
      <w:pPr>
        <w:suppressAutoHyphens/>
        <w:spacing w:after="0" w:line="240" w:lineRule="auto"/>
        <w:ind w:left="142" w:hanging="142"/>
        <w:rPr>
          <w:rFonts w:ascii="Times New Roman" w:eastAsia="Times New Roman" w:hAnsi="Times New Roman" w:cs="Times New Roman"/>
          <w:snapToGrid w:val="0"/>
          <w:szCs w:val="20"/>
          <w:lang w:val="en-GB"/>
        </w:rPr>
      </w:pPr>
    </w:p>
    <w:p w14:paraId="17ACF550" w14:textId="77777777" w:rsidR="002D358F" w:rsidRPr="002D358F" w:rsidRDefault="002D358F" w:rsidP="002D358F">
      <w:pPr>
        <w:tabs>
          <w:tab w:val="left" w:pos="540"/>
        </w:tabs>
        <w:suppressAutoHyphen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Atidžiai perskaitykite visą šį lapelį, prieš pradėdami vartoti vaistą, nes jame pateikiama Jums svarbi informacija.</w:t>
      </w:r>
    </w:p>
    <w:p w14:paraId="614BBD27" w14:textId="77777777" w:rsidR="002D358F" w:rsidRPr="002D358F" w:rsidRDefault="002D358F" w:rsidP="002D358F">
      <w:pPr>
        <w:numPr>
          <w:ilvl w:val="0"/>
          <w:numId w:val="3"/>
        </w:numPr>
        <w:tabs>
          <w:tab w:val="left" w:pos="540"/>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Neišmeskite šio lapelio, nes vėl gali prireikti jį perskaityti. </w:t>
      </w:r>
    </w:p>
    <w:p w14:paraId="31A458C3" w14:textId="77777777" w:rsidR="002D358F" w:rsidRPr="002D358F" w:rsidRDefault="002D358F" w:rsidP="002D358F">
      <w:pPr>
        <w:numPr>
          <w:ilvl w:val="0"/>
          <w:numId w:val="3"/>
        </w:numPr>
        <w:tabs>
          <w:tab w:val="left" w:pos="540"/>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kiltų daugiau klausimų, kreipkitės į gydytoją arba vaistininką.</w:t>
      </w:r>
    </w:p>
    <w:p w14:paraId="08EDF148" w14:textId="77777777" w:rsidR="002D358F" w:rsidRPr="002D358F" w:rsidRDefault="002D358F" w:rsidP="002D358F">
      <w:pPr>
        <w:tabs>
          <w:tab w:val="left" w:pos="540"/>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w:t>
      </w:r>
      <w:r w:rsidRPr="002D358F">
        <w:rPr>
          <w:rFonts w:ascii="Times New Roman" w:eastAsia="Times New Roman" w:hAnsi="Times New Roman" w:cs="Times New Roman"/>
          <w:snapToGrid w:val="0"/>
          <w:szCs w:val="20"/>
          <w:lang w:val="en-GB"/>
        </w:rPr>
        <w:tab/>
        <w:t>Šis vaistas skirtas tik Jums, todėl kitiems žmonėms jo duoti negalima. Vaistas gali jiems pakenkti (net tiems, kurių ligos požymiai yra tokie patys kaip Jūsų).</w:t>
      </w:r>
    </w:p>
    <w:p w14:paraId="2B4E12BA" w14:textId="77777777" w:rsidR="002D358F" w:rsidRPr="002D358F" w:rsidRDefault="002D358F" w:rsidP="002D358F">
      <w:pPr>
        <w:numPr>
          <w:ilvl w:val="0"/>
          <w:numId w:val="3"/>
        </w:numPr>
        <w:tabs>
          <w:tab w:val="left" w:pos="540"/>
          <w:tab w:val="left" w:pos="567"/>
        </w:tabs>
        <w:spacing w:after="0" w:line="240" w:lineRule="auto"/>
        <w:ind w:left="567" w:hanging="567"/>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pasireiškė šalutinis poveikis (net jeigu jis šiame lapelyje nenurodytas), kreipkitės į gydytoją arba vaistininką. Žr. 4 skyrių.</w:t>
      </w:r>
    </w:p>
    <w:p w14:paraId="6D312C8E"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12872C44"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Apie ką rašoma šiame lapelyje?</w:t>
      </w:r>
    </w:p>
    <w:p w14:paraId="66B9D6BC" w14:textId="77777777" w:rsidR="002D358F" w:rsidRPr="002D358F" w:rsidRDefault="002D358F" w:rsidP="002D358F">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p>
    <w:p w14:paraId="026FE6AF" w14:textId="77777777" w:rsidR="002D358F" w:rsidRPr="002D358F" w:rsidRDefault="002D358F" w:rsidP="002D358F">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1.</w:t>
      </w:r>
      <w:r w:rsidRPr="002D358F">
        <w:rPr>
          <w:rFonts w:ascii="Times New Roman" w:eastAsia="Times New Roman" w:hAnsi="Times New Roman" w:cs="Times New Roman"/>
          <w:snapToGrid w:val="0"/>
          <w:szCs w:val="20"/>
          <w:lang w:val="en-GB"/>
        </w:rPr>
        <w:tab/>
        <w:t xml:space="preserve">Kas yra Tridepos ir kam jis vartojamas </w:t>
      </w:r>
    </w:p>
    <w:p w14:paraId="19F168C5" w14:textId="77777777" w:rsidR="002D358F" w:rsidRPr="002D358F" w:rsidRDefault="002D358F" w:rsidP="002D358F">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2.</w:t>
      </w:r>
      <w:r w:rsidRPr="002D358F">
        <w:rPr>
          <w:rFonts w:ascii="Times New Roman" w:eastAsia="Times New Roman" w:hAnsi="Times New Roman" w:cs="Times New Roman"/>
          <w:snapToGrid w:val="0"/>
          <w:szCs w:val="20"/>
          <w:lang w:val="en-GB"/>
        </w:rPr>
        <w:tab/>
        <w:t xml:space="preserve">Kas žinotina prieš vartojant Tridepos  </w:t>
      </w:r>
    </w:p>
    <w:p w14:paraId="5D4D12F3" w14:textId="77777777" w:rsidR="002D358F" w:rsidRPr="002D358F" w:rsidRDefault="002D358F" w:rsidP="002D358F">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3.</w:t>
      </w:r>
      <w:r w:rsidRPr="002D358F">
        <w:rPr>
          <w:rFonts w:ascii="Times New Roman" w:eastAsia="Times New Roman" w:hAnsi="Times New Roman" w:cs="Times New Roman"/>
          <w:snapToGrid w:val="0"/>
          <w:szCs w:val="20"/>
          <w:lang w:val="en-GB"/>
        </w:rPr>
        <w:tab/>
        <w:t xml:space="preserve">Kaip vartoti Tridepos </w:t>
      </w:r>
    </w:p>
    <w:p w14:paraId="70DCECC2" w14:textId="77777777" w:rsidR="002D358F" w:rsidRPr="002D358F" w:rsidRDefault="002D358F" w:rsidP="002D358F">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4.</w:t>
      </w:r>
      <w:r w:rsidRPr="002D358F">
        <w:rPr>
          <w:rFonts w:ascii="Times New Roman" w:eastAsia="Times New Roman" w:hAnsi="Times New Roman" w:cs="Times New Roman"/>
          <w:snapToGrid w:val="0"/>
          <w:szCs w:val="20"/>
          <w:lang w:val="en-GB"/>
        </w:rPr>
        <w:tab/>
        <w:t xml:space="preserve">Galimas šalutinis poveikis </w:t>
      </w:r>
    </w:p>
    <w:p w14:paraId="6673D1AD" w14:textId="77777777" w:rsidR="002D358F" w:rsidRPr="002D358F" w:rsidRDefault="002D358F" w:rsidP="002D358F">
      <w:pPr>
        <w:numPr>
          <w:ilvl w:val="12"/>
          <w:numId w:val="0"/>
        </w:numPr>
        <w:tabs>
          <w:tab w:val="left" w:pos="540"/>
          <w:tab w:val="left" w:pos="709"/>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5.</w:t>
      </w:r>
      <w:r w:rsidRPr="002D358F">
        <w:rPr>
          <w:rFonts w:ascii="Times New Roman" w:eastAsia="Times New Roman" w:hAnsi="Times New Roman" w:cs="Times New Roman"/>
          <w:snapToGrid w:val="0"/>
          <w:szCs w:val="20"/>
          <w:lang w:val="en-GB"/>
        </w:rPr>
        <w:tab/>
        <w:t xml:space="preserve">Kaip laikyti Tridepos </w:t>
      </w:r>
    </w:p>
    <w:p w14:paraId="043FB5CA" w14:textId="77777777" w:rsidR="002D358F" w:rsidRPr="002D358F" w:rsidRDefault="002D358F" w:rsidP="002D358F">
      <w:pPr>
        <w:numPr>
          <w:ilvl w:val="12"/>
          <w:numId w:val="0"/>
        </w:numPr>
        <w:tabs>
          <w:tab w:val="left" w:pos="540"/>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6.</w:t>
      </w:r>
      <w:r w:rsidRPr="002D358F">
        <w:rPr>
          <w:rFonts w:ascii="Times New Roman" w:eastAsia="Times New Roman" w:hAnsi="Times New Roman" w:cs="Times New Roman"/>
          <w:snapToGrid w:val="0"/>
          <w:szCs w:val="20"/>
          <w:lang w:val="en-GB"/>
        </w:rPr>
        <w:tab/>
        <w:t>Pakuotės turinys ir kita informacija</w:t>
      </w:r>
    </w:p>
    <w:p w14:paraId="1B2DB4FE"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43852700"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663603B7"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1.</w:t>
      </w:r>
      <w:r w:rsidRPr="002D358F">
        <w:rPr>
          <w:rFonts w:ascii="Times New Roman" w:eastAsia="Times New Roman" w:hAnsi="Times New Roman" w:cs="Times New Roman"/>
          <w:b/>
          <w:bCs/>
          <w:snapToGrid w:val="0"/>
          <w:szCs w:val="28"/>
          <w:lang w:val="en-GB"/>
        </w:rPr>
        <w:tab/>
        <w:t>Kas yra Tridepos ir kam jis vartojamas</w:t>
      </w:r>
    </w:p>
    <w:p w14:paraId="41395FB8"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5119E052"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yra dviejų tipų tablečių derinio pakuotė: alendrono rūgšties tabletė (šiame lapelyje vadinama alendronato tablete) ir kalcio / kolekalciferolio (vitamino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xml:space="preserve">) tabletės (šiame pakuotės lapelyje vadinamos kalcio/vitamino D tabletėmis). </w:t>
      </w:r>
    </w:p>
    <w:p w14:paraId="68BF98C1"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195424B1"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14:paraId="4C106873"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Alendronatas priklauso nehormoninių vaistų grupei, taip vadinamiems bifosfonatams.</w:t>
      </w:r>
    </w:p>
    <w:p w14:paraId="2C83EEED"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Alendronatas apsaugo nuo kaulų audinio nykimo, kuris atsiranda moterims dėl menopauzės.</w:t>
      </w:r>
    </w:p>
    <w:p w14:paraId="5C71CA32"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1466C0AD"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14:paraId="44FA5E86"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Kalcis ir vitaminas D yra svarbūs kaulų formavimo komponentai. Vitaminas D</w:t>
      </w:r>
      <w:r w:rsidRPr="002D358F">
        <w:rPr>
          <w:rFonts w:ascii="Times New Roman" w:eastAsia="Times New Roman" w:hAnsi="Times New Roman" w:cs="Times New Roman"/>
          <w:snapToGrid w:val="0"/>
          <w:szCs w:val="20"/>
          <w:vertAlign w:val="subscript"/>
          <w:lang w:val="en-GB"/>
        </w:rPr>
        <w:t xml:space="preserve">3 </w:t>
      </w:r>
      <w:r w:rsidRPr="002D358F">
        <w:rPr>
          <w:rFonts w:ascii="Times New Roman" w:eastAsia="Times New Roman" w:hAnsi="Times New Roman" w:cs="Times New Roman"/>
          <w:snapToGrid w:val="0"/>
          <w:szCs w:val="20"/>
          <w:lang w:val="en-GB"/>
        </w:rPr>
        <w:t>reguliuoja kalcio įsisavinimą ir metabolizmą taip pat kalcio patekimą į kaulų audinį.</w:t>
      </w:r>
    </w:p>
    <w:p w14:paraId="540924ED"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7DDA87A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Tridepos taikomas gydyti osteoporozę moterims, kurioms jau yra buvusi menopauzė ir kurioms kyla kalcio ir vitamino D žemos koncentracijos rizika. Osteoporozė yra būklė, kuri paveikia kaulus, todėl jie tampa silpni, trapūs ir gali greičiau lūžti. </w:t>
      </w:r>
    </w:p>
    <w:p w14:paraId="4393705B"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0A4A269B"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Kombinuotas gydymas alendronatu ir kalciu/vitaminu D sumažina stuburo ir šlaunikaulių lūžių riziką, padidina kaulų stiprumą ir atkuria kalcio bei vitamino D koncentraciją.</w:t>
      </w:r>
    </w:p>
    <w:p w14:paraId="59B7D017"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7BB6DCA4" w14:textId="77777777" w:rsidR="002D358F" w:rsidRPr="002D358F" w:rsidRDefault="002D358F" w:rsidP="002D358F">
      <w:pPr>
        <w:numPr>
          <w:ilvl w:val="12"/>
          <w:numId w:val="0"/>
        </w:numPr>
        <w:tabs>
          <w:tab w:val="left" w:pos="1296"/>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pateikiamas kartono dėklo pakuotėje vienos savaitės gydymo kursui.</w:t>
      </w:r>
    </w:p>
    <w:p w14:paraId="313B7B10" w14:textId="77777777" w:rsidR="002D358F" w:rsidRPr="002D358F" w:rsidRDefault="002D358F" w:rsidP="002D358F">
      <w:pPr>
        <w:numPr>
          <w:ilvl w:val="12"/>
          <w:numId w:val="0"/>
        </w:numPr>
        <w:tabs>
          <w:tab w:val="left" w:pos="1296"/>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Tridepos sudėtyje yra 1 alendronato tabletė ir 6 kalcio/vitamino D tabletės) ir šio vaisto vartojimo instrukcijos. </w:t>
      </w:r>
    </w:p>
    <w:p w14:paraId="51ECD57A" w14:textId="77777777" w:rsidR="002D358F" w:rsidRPr="002D358F" w:rsidRDefault="002D358F" w:rsidP="002D358F">
      <w:pPr>
        <w:numPr>
          <w:ilvl w:val="12"/>
          <w:numId w:val="0"/>
        </w:numPr>
        <w:tabs>
          <w:tab w:val="left" w:pos="1296"/>
        </w:tabs>
        <w:spacing w:after="0" w:line="240" w:lineRule="auto"/>
        <w:rPr>
          <w:rFonts w:ascii="Times New Roman" w:eastAsia="Times New Roman" w:hAnsi="Times New Roman" w:cs="Times New Roman"/>
          <w:snapToGrid w:val="0"/>
          <w:szCs w:val="20"/>
          <w:lang w:val="en-GB"/>
        </w:rPr>
      </w:pPr>
    </w:p>
    <w:p w14:paraId="05C679CC" w14:textId="77777777" w:rsidR="002D358F" w:rsidRPr="002D358F" w:rsidRDefault="002D358F" w:rsidP="002D358F">
      <w:pPr>
        <w:numPr>
          <w:ilvl w:val="12"/>
          <w:numId w:val="0"/>
        </w:numPr>
        <w:tabs>
          <w:tab w:val="left" w:pos="1296"/>
        </w:tabs>
        <w:spacing w:after="0" w:line="240" w:lineRule="auto"/>
        <w:rPr>
          <w:rFonts w:ascii="Times New Roman" w:eastAsia="Times New Roman" w:hAnsi="Times New Roman" w:cs="Times New Roman"/>
          <w:snapToGrid w:val="0"/>
          <w:szCs w:val="20"/>
          <w:lang w:val="en-GB"/>
        </w:rPr>
      </w:pPr>
    </w:p>
    <w:p w14:paraId="2A3B3DBC"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lastRenderedPageBreak/>
        <w:t>2.</w:t>
      </w:r>
      <w:r w:rsidRPr="002D358F">
        <w:rPr>
          <w:rFonts w:ascii="Times New Roman" w:eastAsia="Times New Roman" w:hAnsi="Times New Roman" w:cs="Times New Roman"/>
          <w:b/>
          <w:bCs/>
          <w:snapToGrid w:val="0"/>
          <w:szCs w:val="28"/>
          <w:lang w:val="en-GB"/>
        </w:rPr>
        <w:tab/>
        <w:t xml:space="preserve">Kas žinotina prieš vartojant Tridepos  </w:t>
      </w:r>
    </w:p>
    <w:p w14:paraId="3DBC18BC"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740DAA0D"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Tridepos vartoti negalima:</w:t>
      </w:r>
    </w:p>
    <w:p w14:paraId="4B41B90C"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364D2C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jeigu yra alergija alendronatui ar kalciui, vitaminui D arba bet kuriai pagalbinei šio vaisto medžiagai (jos išvardytos 6 skyriuje);</w:t>
      </w:r>
    </w:p>
    <w:p w14:paraId="3DF813A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7117FB29" w14:textId="77777777" w:rsidR="002D358F" w:rsidRPr="002D358F" w:rsidRDefault="002D358F" w:rsidP="002D358F">
      <w:pPr>
        <w:numPr>
          <w:ilvl w:val="0"/>
          <w:numId w:val="7"/>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turite bet kokių sveikatos sutrikimų, susijusių su stemple (oseofagus) tokių, kaip stemplės susiaurėjimas ar maistas dažnai užstringa stemplėje, kadangi stemplės raumenys nepakankamai susitraukia (achalazija);</w:t>
      </w:r>
    </w:p>
    <w:p w14:paraId="400B44E3" w14:textId="77777777" w:rsidR="002D358F" w:rsidRPr="002D358F" w:rsidRDefault="002D358F" w:rsidP="002D358F">
      <w:pPr>
        <w:numPr>
          <w:ilvl w:val="0"/>
          <w:numId w:val="7"/>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Jūs negalite stovėti arba sėdėti vertikalioje padėtyje mažiausiai 30 minučių;</w:t>
      </w:r>
    </w:p>
    <w:p w14:paraId="0B5E8F03" w14:textId="77777777" w:rsidR="002D358F" w:rsidRPr="002D358F" w:rsidRDefault="002D358F" w:rsidP="002D358F">
      <w:pPr>
        <w:numPr>
          <w:ilvl w:val="0"/>
          <w:numId w:val="7"/>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Jūsų inkstai </w:t>
      </w:r>
      <w:r w:rsidRPr="002D358F">
        <w:rPr>
          <w:rFonts w:ascii="Times New Roman" w:eastAsia="Times New Roman" w:hAnsi="Times New Roman" w:cs="Times New Roman"/>
          <w:b/>
          <w:snapToGrid w:val="0"/>
          <w:szCs w:val="20"/>
          <w:lang w:val="en-GB"/>
        </w:rPr>
        <w:t>labai prastai</w:t>
      </w:r>
      <w:r w:rsidRPr="002D358F">
        <w:rPr>
          <w:rFonts w:ascii="Times New Roman" w:eastAsia="Times New Roman" w:hAnsi="Times New Roman" w:cs="Times New Roman"/>
          <w:snapToGrid w:val="0"/>
          <w:szCs w:val="20"/>
          <w:lang w:val="en-GB"/>
        </w:rPr>
        <w:t xml:space="preserve"> dirba ar inkstuose yra akmenų;</w:t>
      </w:r>
    </w:p>
    <w:p w14:paraId="45A111B3" w14:textId="77777777" w:rsidR="002D358F" w:rsidRPr="002D358F" w:rsidRDefault="002D358F" w:rsidP="002D358F">
      <w:pPr>
        <w:numPr>
          <w:ilvl w:val="0"/>
          <w:numId w:val="7"/>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gydytojas pasakė, kad Jums yra:</w:t>
      </w:r>
    </w:p>
    <w:p w14:paraId="4F30CEED" w14:textId="77777777" w:rsidR="002D358F" w:rsidRPr="002D358F" w:rsidRDefault="002D358F" w:rsidP="002D358F">
      <w:pPr>
        <w:numPr>
          <w:ilvl w:val="0"/>
          <w:numId w:val="3"/>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hipokalcemija (kraujyje kalcio koncentracija yra žema);</w:t>
      </w:r>
    </w:p>
    <w:p w14:paraId="1E7F3E34" w14:textId="77777777" w:rsidR="002D358F" w:rsidRPr="002D358F" w:rsidRDefault="002D358F" w:rsidP="002D358F">
      <w:pPr>
        <w:numPr>
          <w:ilvl w:val="0"/>
          <w:numId w:val="3"/>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sergate kokia nors liga ir (arba) esate būklės, dėl kurios padidėja kalcio koncentracija Jūsų       kraujyje (hiperkalcemija) arba atsiranda daug kalcio Jūsų šlapime (hiperkalciurija);</w:t>
      </w:r>
    </w:p>
    <w:p w14:paraId="12821E25" w14:textId="77777777" w:rsidR="002D358F" w:rsidRPr="002D358F" w:rsidRDefault="002D358F" w:rsidP="002D358F">
      <w:pPr>
        <w:numPr>
          <w:ilvl w:val="0"/>
          <w:numId w:val="3"/>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hipervitaminozė D (Jūsų organizme yra didelis vitamino D kiekis).</w:t>
      </w:r>
    </w:p>
    <w:p w14:paraId="24CB2F56" w14:textId="77777777" w:rsidR="002D358F" w:rsidRPr="002D358F" w:rsidRDefault="002D358F" w:rsidP="002D358F">
      <w:pPr>
        <w:numPr>
          <w:ilvl w:val="12"/>
          <w:numId w:val="0"/>
        </w:numPr>
        <w:tabs>
          <w:tab w:val="left" w:pos="567"/>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b/>
      </w:r>
    </w:p>
    <w:p w14:paraId="21E3AB12" w14:textId="77777777" w:rsidR="002D358F" w:rsidRPr="002D358F" w:rsidRDefault="002D358F" w:rsidP="002D358F">
      <w:pPr>
        <w:numPr>
          <w:ilvl w:val="12"/>
          <w:numId w:val="0"/>
        </w:numPr>
        <w:tabs>
          <w:tab w:val="left" w:pos="0"/>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Nevartokite šio vaisto, jeigu Jums yra kuri nors iš pirmiau išvardytų būklių. Jeigu nesate tikri, prieš vartodami Tridepos tabletes pasitarkite su gydytoju arba vaistininku.</w:t>
      </w:r>
    </w:p>
    <w:p w14:paraId="36268730"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7F1D185F"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 xml:space="preserve">Įspėjimai ir atsargumo priemonės </w:t>
      </w:r>
    </w:p>
    <w:p w14:paraId="1A3CEFD9" w14:textId="77777777" w:rsidR="002D358F" w:rsidRPr="002D358F" w:rsidRDefault="002D358F" w:rsidP="002D358F">
      <w:pPr>
        <w:tabs>
          <w:tab w:val="left" w:pos="567"/>
        </w:tabs>
        <w:spacing w:after="0" w:line="260" w:lineRule="exact"/>
        <w:rPr>
          <w:rFonts w:ascii="Times New Roman" w:eastAsia="Times New Roman" w:hAnsi="Times New Roman" w:cs="Times New Roman"/>
          <w:b/>
          <w:snapToGrid w:val="0"/>
          <w:szCs w:val="20"/>
          <w:lang w:val="en-GB"/>
        </w:rPr>
      </w:pPr>
    </w:p>
    <w:p w14:paraId="2ECA0AB6" w14:textId="77777777" w:rsidR="002D358F" w:rsidRPr="002D358F" w:rsidRDefault="002D358F" w:rsidP="002D358F">
      <w:pPr>
        <w:tabs>
          <w:tab w:val="left" w:pos="567"/>
        </w:tabs>
        <w:spacing w:after="0" w:line="260" w:lineRule="exact"/>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Prieš pradedant vartoti Tridepos</w:t>
      </w:r>
    </w:p>
    <w:p w14:paraId="1809A869"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Pasitarkite su gydytoju arba vaistininku, prieš pradėdami vartoti Tridepos, jeigu Jums yra kuri nors iš toliau išvardytų būklių, kadangi gali prireikti pakeisti Jūsų vartojamo vaisto dozę arba patį vaistą, arba tiesiog Jus atidžiau stebėti:</w:t>
      </w:r>
    </w:p>
    <w:p w14:paraId="458E71C7"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yra arba neseniai buvo su žarnynu susijusi būklė, tokia kaip:</w:t>
      </w:r>
    </w:p>
    <w:p w14:paraId="04AFAA86" w14:textId="77777777" w:rsidR="002D358F" w:rsidRPr="002D358F" w:rsidRDefault="002D358F" w:rsidP="002D358F">
      <w:pPr>
        <w:numPr>
          <w:ilvl w:val="0"/>
          <w:numId w:val="3"/>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rijimo sunkumai, stemplės liga, žarnyno uždegimas arba opos;</w:t>
      </w:r>
    </w:p>
    <w:p w14:paraId="622D983D" w14:textId="77777777" w:rsidR="002D358F" w:rsidRPr="002D358F" w:rsidRDefault="002D358F" w:rsidP="002D358F">
      <w:pPr>
        <w:numPr>
          <w:ilvl w:val="0"/>
          <w:numId w:val="3"/>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rimta žarnyno liga, pepsinė opa, aktyvus kraujavimas iš žarnyno arba anksčiau buvusi žarnyno operacija;</w:t>
      </w:r>
    </w:p>
    <w:p w14:paraId="0A3659E5" w14:textId="77777777" w:rsidR="002D358F" w:rsidRPr="002D358F" w:rsidRDefault="002D358F" w:rsidP="002D358F">
      <w:pPr>
        <w:numPr>
          <w:ilvl w:val="0"/>
          <w:numId w:val="3"/>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Bareto stemplė (nenormalios ląstelės stemplėje);</w:t>
      </w:r>
    </w:p>
    <w:p w14:paraId="622351B9"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Jūs anksčiau esate sirgę vėžiu;</w:t>
      </w:r>
    </w:p>
    <w:p w14:paraId="00031481"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suplanuota chemoterapija arba spindulinis gydymas;</w:t>
      </w:r>
    </w:p>
    <w:p w14:paraId="11365ABA"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Vartojate kortikosteroidus arba gliukokortikoidus (pvz., prednizoloną, betametazoną);</w:t>
      </w:r>
    </w:p>
    <w:p w14:paraId="6D435E72"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Aktyviai rūkote (kadangi rūkymas gali padidinti dantų problemų riziką);</w:t>
      </w:r>
    </w:p>
    <w:p w14:paraId="4C8B3103"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Jūs turite dantų problemų, tokių kaip danties skausmas, dantų klibėjimas arba kraujavimas iš dantenų, arba:</w:t>
      </w:r>
    </w:p>
    <w:p w14:paraId="12E43069" w14:textId="77777777" w:rsidR="002D358F" w:rsidRPr="002D358F" w:rsidRDefault="002D358F" w:rsidP="002D358F">
      <w:pPr>
        <w:numPr>
          <w:ilvl w:val="0"/>
          <w:numId w:val="3"/>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Jei sergate ar sirgote dantenų ligomis ir nesilaikote tinkamos dantų higienos; </w:t>
      </w:r>
    </w:p>
    <w:p w14:paraId="5721EA55" w14:textId="77777777" w:rsidR="002D358F" w:rsidRPr="002D358F" w:rsidRDefault="002D358F" w:rsidP="002D358F">
      <w:pPr>
        <w:numPr>
          <w:ilvl w:val="0"/>
          <w:numId w:val="3"/>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Nešiojate prastai pritaikytus dantų protezus;</w:t>
      </w:r>
    </w:p>
    <w:p w14:paraId="4B27B5F1" w14:textId="77777777" w:rsidR="002D358F" w:rsidRPr="002D358F" w:rsidRDefault="002D358F" w:rsidP="002D358F">
      <w:pPr>
        <w:numPr>
          <w:ilvl w:val="0"/>
          <w:numId w:val="3"/>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neseniai buvo arba planuojama greitu metu atlikti dantų traukimą arba plombavimą.</w:t>
      </w:r>
    </w:p>
    <w:p w14:paraId="4D7BAA14"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yra hipoparatirozė (būklė, kuriai esant organizmas negali pakankamai pagaminti hormono, vadinamo PTH);</w:t>
      </w:r>
    </w:p>
    <w:p w14:paraId="1C389EB4"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nustatyta vitamino D stoka;</w:t>
      </w:r>
    </w:p>
    <w:p w14:paraId="432D2646"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 sutrikusi inkstų veikla;</w:t>
      </w:r>
    </w:p>
    <w:p w14:paraId="36221ED3"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Sergate sarkoidoze (tai lėtinė uždegiminė būklė, kuri gali paveikti skirtingus Jūsų kūno organus);</w:t>
      </w:r>
    </w:p>
    <w:p w14:paraId="560564DC"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Esate senyvo amžiaus pacientas ir tuo pat metu vartojate vaistus nuo širdies nepakankamumo arba neritmiško širdies plakimo (šie vaistai vadinami širdį veikiančiais glikozidais arba diuretikais);</w:t>
      </w:r>
    </w:p>
    <w:p w14:paraId="27FB2E74"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Vartojate kitų vaistų, kuriuose taip pat yra vitamino D;</w:t>
      </w:r>
    </w:p>
    <w:p w14:paraId="6A31EC82"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Jums fiziškai sunku judėti.</w:t>
      </w:r>
    </w:p>
    <w:p w14:paraId="184B254D"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15E2A7EF" w14:textId="77777777" w:rsidR="002D358F" w:rsidRPr="002D358F" w:rsidRDefault="002D358F" w:rsidP="002D358F">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Vartojant Tridepos</w:t>
      </w:r>
    </w:p>
    <w:p w14:paraId="33512EB4"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Svarbu palaikyti gerą burnos higieną, reguliariai tikrintis dantis ir pranešti savo gydytojui arba odontologui apie bet kokius su burna susijusius simptomus, pavyzdžiui, danties klibėjimą, danties skausmą arba patinusias dantenas.</w:t>
      </w:r>
    </w:p>
    <w:p w14:paraId="4C796FAE"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turite suplanuotą dantų chirurgiją, pasakykite odontologui, kad Jūs gydotės Tridepos;</w:t>
      </w:r>
    </w:p>
    <w:p w14:paraId="69BE3A34"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skauda šlaunį, klubą ar sąnarius, pasakykite gydytojui.</w:t>
      </w:r>
    </w:p>
    <w:p w14:paraId="41CBCE7B"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42BD2C9C"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Vaikams ir paaugliams</w:t>
      </w:r>
    </w:p>
    <w:p w14:paraId="6E653409"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nėra skirtas vartoti vaikams, jaunesniems kaip 18 metų.</w:t>
      </w:r>
    </w:p>
    <w:p w14:paraId="3B8A3588" w14:textId="77777777" w:rsidR="002D358F" w:rsidRPr="002D358F" w:rsidRDefault="002D358F" w:rsidP="002D358F">
      <w:pPr>
        <w:numPr>
          <w:ilvl w:val="12"/>
          <w:numId w:val="0"/>
        </w:numPr>
        <w:spacing w:after="0" w:line="240" w:lineRule="auto"/>
        <w:rPr>
          <w:rFonts w:ascii="Times New Roman" w:eastAsia="Times New Roman" w:hAnsi="Times New Roman" w:cs="Times New Roman"/>
          <w:b/>
          <w:snapToGrid w:val="0"/>
          <w:szCs w:val="20"/>
          <w:lang w:val="en-GB"/>
        </w:rPr>
      </w:pPr>
    </w:p>
    <w:p w14:paraId="40346A6A"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Kiti vaistai ir Tridepos</w:t>
      </w:r>
    </w:p>
    <w:p w14:paraId="35E32D57"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Kai kurie vaistai gali paveikti Tridepos veikimo būdą. Jeigu vartojate ar neseniai vartojote kitų vaistų arba dėl to nesate tikri, apie tai pasakykite gydytojui arba vaistininkui. </w:t>
      </w:r>
    </w:p>
    <w:p w14:paraId="674F2B5C"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633F5092"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14:paraId="0F02DD50"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Tikėtina, kad </w:t>
      </w:r>
      <w:r w:rsidRPr="002D358F">
        <w:rPr>
          <w:rFonts w:ascii="Times New Roman" w:eastAsia="Times New Roman" w:hAnsi="Times New Roman" w:cs="Times New Roman"/>
          <w:b/>
          <w:snapToGrid w:val="0"/>
          <w:szCs w:val="20"/>
          <w:lang w:val="en-GB"/>
        </w:rPr>
        <w:t>kalcio papildai, antacidai</w:t>
      </w:r>
      <w:r w:rsidRPr="002D358F">
        <w:rPr>
          <w:rFonts w:ascii="Times New Roman" w:eastAsia="Times New Roman" w:hAnsi="Times New Roman" w:cs="Times New Roman"/>
          <w:snapToGrid w:val="0"/>
          <w:szCs w:val="20"/>
          <w:lang w:val="en-GB"/>
        </w:rPr>
        <w:t xml:space="preserve"> (vartojami rėmeniui malšinti) ir kiti vaistai, vartojami per burną, gali gali trukdyti alendronato įsisavinimui, jeigu jie vartojami tuo pačiu metu. Todėl yra svarbu vadovautis 3 skyriuje nurodytais patarimais „Kaip vartoti Tridepos”.</w:t>
      </w:r>
    </w:p>
    <w:p w14:paraId="7BF10B98"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6956B5A3"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Tam tikri vaistai reumatui gydyti ar ilgalaikiam skausmui malšinti, taip vadinami </w:t>
      </w:r>
      <w:r w:rsidRPr="002D358F">
        <w:rPr>
          <w:rFonts w:ascii="Times New Roman" w:eastAsia="Times New Roman" w:hAnsi="Times New Roman" w:cs="Times New Roman"/>
          <w:b/>
          <w:snapToGrid w:val="0"/>
          <w:szCs w:val="20"/>
          <w:lang w:val="en-GB"/>
        </w:rPr>
        <w:t>NVNU</w:t>
      </w:r>
      <w:r w:rsidRPr="002D358F">
        <w:rPr>
          <w:rFonts w:ascii="Times New Roman" w:eastAsia="Times New Roman" w:hAnsi="Times New Roman" w:cs="Times New Roman"/>
          <w:snapToGrid w:val="0"/>
          <w:szCs w:val="20"/>
          <w:lang w:val="en-GB"/>
        </w:rPr>
        <w:t xml:space="preserve"> (pvz. acetilsalicilo rūgštis ar ibuprofenas) gali sukelti virškinimo problemų. Todėl būtina pasikonsultuoti su gydytoju ir atsargiai juos vartoti, jeigu šie vaistai vartojami tuo pačiu metu kaip Tridepos. </w:t>
      </w:r>
    </w:p>
    <w:p w14:paraId="3E830BF3"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p>
    <w:p w14:paraId="446E4C08"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14:paraId="5667B82E"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Specialaus stebėjimo reikia, jeigu Jūs vartojate Tridepos ir toliau išvardytų vaistų tuo pačiu metu:</w:t>
      </w:r>
    </w:p>
    <w:p w14:paraId="64119E6A"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b/>
          <w:i/>
          <w:snapToGrid w:val="0"/>
          <w:szCs w:val="20"/>
          <w:lang w:val="en-GB"/>
        </w:rPr>
      </w:pPr>
      <w:r w:rsidRPr="002D358F">
        <w:rPr>
          <w:rFonts w:ascii="Times New Roman" w:eastAsia="Times New Roman" w:hAnsi="Times New Roman" w:cs="Times New Roman"/>
          <w:b/>
          <w:snapToGrid w:val="0"/>
          <w:szCs w:val="20"/>
          <w:lang w:val="en-GB"/>
        </w:rPr>
        <w:t>tiazidiniai diuretikai</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snapToGrid w:val="0"/>
          <w:szCs w:val="20"/>
          <w:lang w:val="en-GB"/>
        </w:rPr>
        <w:t>(pvz., hidrochlortiazidas), taikomi aukštam kraujospūdžiui mažinti;</w:t>
      </w:r>
    </w:p>
    <w:p w14:paraId="12F74351"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b/>
          <w:i/>
          <w:snapToGrid w:val="0"/>
          <w:szCs w:val="20"/>
          <w:lang w:val="en-GB"/>
        </w:rPr>
      </w:pPr>
      <w:r w:rsidRPr="002D358F">
        <w:rPr>
          <w:rFonts w:ascii="Times New Roman" w:eastAsia="Times New Roman" w:hAnsi="Times New Roman" w:cs="Times New Roman"/>
          <w:b/>
          <w:snapToGrid w:val="0"/>
          <w:szCs w:val="20"/>
          <w:lang w:val="en-GB"/>
        </w:rPr>
        <w:t>širdį veikiantys glikozidai (</w:t>
      </w:r>
      <w:r w:rsidRPr="002D358F">
        <w:rPr>
          <w:rFonts w:ascii="Times New Roman" w:eastAsia="Times New Roman" w:hAnsi="Times New Roman" w:cs="Times New Roman"/>
          <w:snapToGrid w:val="0"/>
          <w:szCs w:val="20"/>
          <w:lang w:val="en-GB"/>
        </w:rPr>
        <w:t>pvz., digoksinas),</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snapToGrid w:val="0"/>
          <w:szCs w:val="20"/>
          <w:lang w:val="en-GB"/>
        </w:rPr>
        <w:t>taikomi širdies nepakankamumui ar neritmiškam širdies plakimui gydyti.</w:t>
      </w:r>
    </w:p>
    <w:p w14:paraId="32DE491A" w14:textId="77777777" w:rsidR="002D358F" w:rsidRPr="002D358F" w:rsidRDefault="002D358F" w:rsidP="002D358F">
      <w:pPr>
        <w:spacing w:after="0" w:line="240" w:lineRule="auto"/>
        <w:ind w:right="-2"/>
        <w:rPr>
          <w:rFonts w:ascii="Times New Roman" w:eastAsia="Times New Roman" w:hAnsi="Times New Roman" w:cs="Times New Roman"/>
          <w:b/>
          <w:snapToGrid w:val="0"/>
          <w:szCs w:val="20"/>
          <w:lang w:val="en-GB"/>
        </w:rPr>
      </w:pPr>
    </w:p>
    <w:p w14:paraId="14A739A6"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Kalcio/vitamino D tabletės gali paveikti kitų vaistų veikimo būdą.</w:t>
      </w:r>
      <w:r w:rsidRPr="002D358F">
        <w:rPr>
          <w:rFonts w:ascii="Times New Roman" w:eastAsia="Times New Roman" w:hAnsi="Times New Roman" w:cs="Times New Roman"/>
          <w:snapToGrid w:val="0"/>
          <w:szCs w:val="20"/>
          <w:lang w:val="en-GB"/>
        </w:rPr>
        <w:t xml:space="preserve"> </w:t>
      </w:r>
    </w:p>
    <w:p w14:paraId="6E5B488E"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Svarbu, kad, vartodami kalcio/vitamino D tabletes, vaistus gertumėte praėjus pakankamai laiko tarp jų vartojimo.</w:t>
      </w:r>
    </w:p>
    <w:p w14:paraId="3EFB52B7"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 xml:space="preserve">Levotiroksinas </w:t>
      </w:r>
      <w:r w:rsidRPr="002D358F">
        <w:rPr>
          <w:rFonts w:ascii="Times New Roman" w:eastAsia="Times New Roman" w:hAnsi="Times New Roman" w:cs="Times New Roman"/>
          <w:snapToGrid w:val="0"/>
          <w:szCs w:val="20"/>
          <w:lang w:val="en-GB"/>
        </w:rPr>
        <w:t>(vartojamas žemo skydliaukės aktyvumo simptomams gydyti): palikite mažiausiai 4 valandų tarpą tarp abiejų vaistų vartojimo.</w:t>
      </w:r>
    </w:p>
    <w:p w14:paraId="4AA11C4F"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Geležies druskos</w:t>
      </w:r>
      <w:r w:rsidRPr="002D358F">
        <w:rPr>
          <w:rFonts w:ascii="Times New Roman" w:eastAsia="Times New Roman" w:hAnsi="Times New Roman" w:cs="Times New Roman"/>
          <w:snapToGrid w:val="0"/>
          <w:szCs w:val="20"/>
          <w:lang w:val="en-GB"/>
        </w:rPr>
        <w:t xml:space="preserve"> (mažakraujystei gydyti), </w:t>
      </w:r>
      <w:r w:rsidRPr="002D358F">
        <w:rPr>
          <w:rFonts w:ascii="Times New Roman" w:eastAsia="Times New Roman" w:hAnsi="Times New Roman" w:cs="Times New Roman"/>
          <w:b/>
          <w:snapToGrid w:val="0"/>
          <w:szCs w:val="20"/>
          <w:lang w:val="en-GB"/>
        </w:rPr>
        <w:t>cinkas</w:t>
      </w:r>
      <w:r w:rsidRPr="002D358F">
        <w:rPr>
          <w:rFonts w:ascii="Times New Roman" w:eastAsia="Times New Roman" w:hAnsi="Times New Roman" w:cs="Times New Roman"/>
          <w:snapToGrid w:val="0"/>
          <w:szCs w:val="20"/>
          <w:lang w:val="en-GB"/>
        </w:rPr>
        <w:t xml:space="preserve"> (cinko trūkumui gydyti), </w:t>
      </w:r>
      <w:r w:rsidRPr="002D358F">
        <w:rPr>
          <w:rFonts w:ascii="Times New Roman" w:eastAsia="Times New Roman" w:hAnsi="Times New Roman" w:cs="Times New Roman"/>
          <w:b/>
          <w:snapToGrid w:val="0"/>
          <w:szCs w:val="20"/>
          <w:lang w:val="en-GB"/>
        </w:rPr>
        <w:t>stroncio ranelatas</w:t>
      </w:r>
      <w:r w:rsidRPr="002D358F">
        <w:rPr>
          <w:rFonts w:ascii="Times New Roman" w:eastAsia="Times New Roman" w:hAnsi="Times New Roman" w:cs="Times New Roman"/>
          <w:snapToGrid w:val="0"/>
          <w:szCs w:val="20"/>
          <w:lang w:val="en-GB"/>
        </w:rPr>
        <w:t xml:space="preserve"> (vartojamas sunkiai osteoporozei gydyti): palikite mažiausiai 2 valandų tarpą tarp šių vaistų ir kalcio/vitamino D tablečių vartojimo.</w:t>
      </w:r>
    </w:p>
    <w:p w14:paraId="21C7D6C5"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Tetraciklinų preparatai</w:t>
      </w:r>
      <w:r w:rsidRPr="002D358F">
        <w:rPr>
          <w:rFonts w:ascii="Times New Roman" w:eastAsia="Times New Roman" w:hAnsi="Times New Roman" w:cs="Times New Roman"/>
          <w:snapToGrid w:val="0"/>
          <w:szCs w:val="20"/>
          <w:lang w:val="en-GB"/>
        </w:rPr>
        <w:t xml:space="preserve"> (įvairioms bakterinėms infekcijoms gydyti): palikite mažiausiai 2 valandas iki kalcio/vitamino D tablečių vartojimo arba 4-6 valandas po kalcio/vitamino D tablečių vartojimo.</w:t>
      </w:r>
    </w:p>
    <w:p w14:paraId="0A8715C4"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lastRenderedPageBreak/>
        <w:t>Chinolonai</w:t>
      </w:r>
      <w:r w:rsidRPr="002D358F">
        <w:rPr>
          <w:rFonts w:ascii="Times New Roman" w:eastAsia="Times New Roman" w:hAnsi="Times New Roman" w:cs="Times New Roman"/>
          <w:snapToGrid w:val="0"/>
          <w:szCs w:val="20"/>
          <w:lang w:val="en-GB"/>
        </w:rPr>
        <w:t xml:space="preserve"> (įvairioms bakterinėms infekcijoms gydyti): išgerkite kalcio/vitamino D tabletes praėjus mažiausiai 2 valandoms po chinolonų grupės antibiotiko pavartojimo. Arba vartokite chinolonų grupės antibiotiką praėjus mažiausiai 6 valandoms po kalcio/vitamino D tablečių pavartojimo.</w:t>
      </w:r>
    </w:p>
    <w:p w14:paraId="7B5ABDA4"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 xml:space="preserve">Alendronatas </w:t>
      </w:r>
      <w:r w:rsidRPr="002D358F">
        <w:rPr>
          <w:rFonts w:ascii="Times New Roman" w:eastAsia="Times New Roman" w:hAnsi="Times New Roman" w:cs="Times New Roman"/>
          <w:snapToGrid w:val="0"/>
          <w:szCs w:val="20"/>
          <w:lang w:val="en-GB"/>
        </w:rPr>
        <w:t>(osteoporozei gydyti): nors šis vaistas sudaro dalį Tridepos gydymo, jo negalima vartoti tą pačią dieną, kaip ir kalcio/vitamino D tabletes, kadangi kalcis gali sutrikdyti alendronato pasisavinimą (prašome skaityti 3 skyrių  „Kaip vartoti Tridepos”</w:t>
      </w:r>
    </w:p>
    <w:p w14:paraId="632A3AAE"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661A1A06"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Kai kurie vaistai gali paveikti Tridepos tablečių veikimo būdą</w:t>
      </w:r>
    </w:p>
    <w:p w14:paraId="126538D7"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Prieš pradėdami vartoti Tridepos, pasakykite gydytojui, jeigu vartojate šiuos vaistus:</w:t>
      </w:r>
    </w:p>
    <w:p w14:paraId="50424FB8"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b/>
        <w:t xml:space="preserve">- </w:t>
      </w:r>
      <w:r w:rsidRPr="002D358F">
        <w:rPr>
          <w:rFonts w:ascii="Times New Roman" w:eastAsia="Times New Roman" w:hAnsi="Times New Roman" w:cs="Times New Roman"/>
          <w:b/>
          <w:snapToGrid w:val="0"/>
          <w:szCs w:val="20"/>
          <w:lang w:val="en-GB"/>
        </w:rPr>
        <w:t xml:space="preserve">Fenitoiną </w:t>
      </w:r>
      <w:r w:rsidRPr="002D358F">
        <w:rPr>
          <w:rFonts w:ascii="Times New Roman" w:eastAsia="Times New Roman" w:hAnsi="Times New Roman" w:cs="Times New Roman"/>
          <w:snapToGrid w:val="0"/>
          <w:szCs w:val="20"/>
          <w:lang w:val="en-GB"/>
        </w:rPr>
        <w:t>(taikomą epilepsijai / traukuliams gydyti);</w:t>
      </w:r>
    </w:p>
    <w:p w14:paraId="1AF927DA"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  </w:t>
      </w:r>
      <w:r w:rsidRPr="002D358F">
        <w:rPr>
          <w:rFonts w:ascii="Times New Roman" w:eastAsia="Times New Roman" w:hAnsi="Times New Roman" w:cs="Times New Roman"/>
          <w:b/>
          <w:snapToGrid w:val="0"/>
          <w:szCs w:val="20"/>
          <w:lang w:val="en-GB"/>
        </w:rPr>
        <w:t>Barbitūratus</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snapToGrid w:val="0"/>
          <w:szCs w:val="20"/>
          <w:lang w:val="en-GB"/>
        </w:rPr>
        <w:t>(tai vaistų, taikomų nerimui, depresijai ar kai kuriems miego sutrikimams gydyti, grupė);</w:t>
      </w:r>
    </w:p>
    <w:p w14:paraId="637AA026"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w:t>
      </w:r>
      <w:r w:rsidRPr="002D358F">
        <w:rPr>
          <w:rFonts w:ascii="Times New Roman" w:eastAsia="Times New Roman" w:hAnsi="Times New Roman" w:cs="Times New Roman"/>
          <w:snapToGrid w:val="0"/>
          <w:szCs w:val="20"/>
          <w:lang w:val="en-GB"/>
        </w:rPr>
        <w:tab/>
        <w:t xml:space="preserve"> </w:t>
      </w:r>
      <w:r w:rsidRPr="002D358F">
        <w:rPr>
          <w:rFonts w:ascii="Times New Roman" w:eastAsia="Times New Roman" w:hAnsi="Times New Roman" w:cs="Times New Roman"/>
          <w:b/>
          <w:snapToGrid w:val="0"/>
          <w:szCs w:val="20"/>
          <w:lang w:val="en-GB"/>
        </w:rPr>
        <w:t>Sisteminius kortikosteroidus</w:t>
      </w:r>
      <w:r w:rsidRPr="002D358F">
        <w:rPr>
          <w:rFonts w:ascii="Times New Roman" w:eastAsia="Times New Roman" w:hAnsi="Times New Roman" w:cs="Times New Roman"/>
          <w:snapToGrid w:val="0"/>
          <w:szCs w:val="20"/>
          <w:lang w:val="en-GB"/>
        </w:rPr>
        <w:t xml:space="preserve"> (stiprius vaistus nuo uždegimo</w:t>
      </w:r>
      <w:r w:rsidRPr="002D358F">
        <w:rPr>
          <w:rFonts w:ascii="Times New Roman" w:eastAsia="Times New Roman" w:hAnsi="Times New Roman" w:cs="Times New Roman"/>
          <w:b/>
          <w:snapToGrid w:val="0"/>
          <w:szCs w:val="20"/>
          <w:lang w:val="en-GB"/>
        </w:rPr>
        <w:t xml:space="preserve"> </w:t>
      </w:r>
      <w:r w:rsidRPr="002D358F">
        <w:rPr>
          <w:rFonts w:ascii="Times New Roman" w:eastAsia="Times New Roman" w:hAnsi="Times New Roman" w:cs="Times New Roman"/>
          <w:snapToGrid w:val="0"/>
          <w:szCs w:val="20"/>
          <w:lang w:val="en-GB"/>
        </w:rPr>
        <w:t>vartojamus tokių būklių, kaip artritas, astma ir storosios žarnos uždegimui (kolitui) gydyti);</w:t>
      </w:r>
    </w:p>
    <w:p w14:paraId="725EB65B"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         </w:t>
      </w:r>
      <w:r w:rsidRPr="002D358F">
        <w:rPr>
          <w:rFonts w:ascii="Times New Roman" w:eastAsia="Times New Roman" w:hAnsi="Times New Roman" w:cs="Times New Roman"/>
          <w:b/>
          <w:snapToGrid w:val="0"/>
          <w:szCs w:val="20"/>
          <w:lang w:val="en-GB"/>
        </w:rPr>
        <w:t xml:space="preserve">Orlistatą </w:t>
      </w:r>
      <w:r w:rsidRPr="002D358F">
        <w:rPr>
          <w:rFonts w:ascii="Times New Roman" w:eastAsia="Times New Roman" w:hAnsi="Times New Roman" w:cs="Times New Roman"/>
          <w:snapToGrid w:val="0"/>
          <w:szCs w:val="20"/>
          <w:lang w:val="en-GB"/>
        </w:rPr>
        <w:t>(nutukimui gydyti) , kuris tikėtina gali pabloginti riebaluose tirpių vitamin (pvz., vitamino D</w:t>
      </w:r>
      <w:r w:rsidRPr="002D358F">
        <w:rPr>
          <w:rFonts w:ascii="Times New Roman" w:eastAsia="Times New Roman" w:hAnsi="Times New Roman" w:cs="Times New Roman"/>
          <w:snapToGrid w:val="0"/>
          <w:szCs w:val="20"/>
          <w:vertAlign w:val="subscript"/>
          <w:lang w:val="en-GB"/>
        </w:rPr>
        <w:t xml:space="preserve"> </w:t>
      </w:r>
      <w:r w:rsidRPr="002D358F">
        <w:rPr>
          <w:rFonts w:ascii="Times New Roman" w:eastAsia="Times New Roman" w:hAnsi="Times New Roman" w:cs="Times New Roman"/>
          <w:snapToGrid w:val="0"/>
          <w:szCs w:val="20"/>
          <w:lang w:val="en-GB"/>
        </w:rPr>
        <w:t>pasisavinimą);</w:t>
      </w:r>
    </w:p>
    <w:p w14:paraId="3686B81F"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w:t>
      </w:r>
      <w:r w:rsidRPr="002D358F">
        <w:rPr>
          <w:rFonts w:ascii="Times New Roman" w:eastAsia="Times New Roman" w:hAnsi="Times New Roman" w:cs="Times New Roman"/>
          <w:snapToGrid w:val="0"/>
          <w:szCs w:val="20"/>
          <w:lang w:val="en-GB"/>
        </w:rPr>
        <w:tab/>
      </w:r>
      <w:r w:rsidRPr="002D358F">
        <w:rPr>
          <w:rFonts w:ascii="Times New Roman" w:eastAsia="Times New Roman" w:hAnsi="Times New Roman" w:cs="Times New Roman"/>
          <w:b/>
          <w:snapToGrid w:val="0"/>
          <w:szCs w:val="20"/>
          <w:lang w:val="en-GB"/>
        </w:rPr>
        <w:t>Kolestiraminą</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snapToGrid w:val="0"/>
          <w:szCs w:val="20"/>
          <w:lang w:val="en-GB"/>
        </w:rPr>
        <w:t>(tai cholesterolio koncentraciją mažinantis vaistas);</w:t>
      </w:r>
    </w:p>
    <w:p w14:paraId="695248DD"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w:t>
      </w:r>
      <w:r w:rsidRPr="002D358F">
        <w:rPr>
          <w:rFonts w:ascii="Times New Roman" w:eastAsia="Times New Roman" w:hAnsi="Times New Roman" w:cs="Times New Roman"/>
          <w:snapToGrid w:val="0"/>
          <w:szCs w:val="20"/>
          <w:lang w:val="en-GB"/>
        </w:rPr>
        <w:tab/>
      </w:r>
      <w:r w:rsidRPr="002D358F">
        <w:rPr>
          <w:rFonts w:ascii="Times New Roman" w:eastAsia="Times New Roman" w:hAnsi="Times New Roman" w:cs="Times New Roman"/>
          <w:b/>
          <w:snapToGrid w:val="0"/>
          <w:szCs w:val="20"/>
          <w:lang w:val="en-GB"/>
        </w:rPr>
        <w:t>Vidurius laisvinančius</w:t>
      </w:r>
      <w:r w:rsidRPr="002D358F">
        <w:rPr>
          <w:rFonts w:ascii="Times New Roman" w:eastAsia="Times New Roman" w:hAnsi="Times New Roman" w:cs="Times New Roman"/>
          <w:b/>
          <w:i/>
          <w:snapToGrid w:val="0"/>
          <w:szCs w:val="20"/>
          <w:lang w:val="en-GB"/>
        </w:rPr>
        <w:t xml:space="preserve"> </w:t>
      </w:r>
      <w:r w:rsidRPr="002D358F">
        <w:rPr>
          <w:rFonts w:ascii="Times New Roman" w:eastAsia="Times New Roman" w:hAnsi="Times New Roman" w:cs="Times New Roman"/>
          <w:b/>
          <w:snapToGrid w:val="0"/>
          <w:szCs w:val="20"/>
          <w:lang w:val="en-GB"/>
        </w:rPr>
        <w:t>vaistus</w:t>
      </w:r>
      <w:r w:rsidRPr="002D358F">
        <w:rPr>
          <w:rFonts w:ascii="Times New Roman" w:eastAsia="Times New Roman" w:hAnsi="Times New Roman" w:cs="Times New Roman"/>
          <w:b/>
          <w:i/>
          <w:snapToGrid w:val="0"/>
          <w:szCs w:val="20"/>
          <w:lang w:val="en-GB"/>
        </w:rPr>
        <w:t>,</w:t>
      </w:r>
      <w:r w:rsidRPr="002D358F">
        <w:rPr>
          <w:rFonts w:ascii="Times New Roman" w:eastAsia="Times New Roman" w:hAnsi="Times New Roman" w:cs="Times New Roman"/>
          <w:snapToGrid w:val="0"/>
          <w:szCs w:val="20"/>
          <w:lang w:val="en-GB"/>
        </w:rPr>
        <w:t xml:space="preserve"> tokius kaip parafino aliejus (taikomas vidurių užkietėjimui gydyti).</w:t>
      </w:r>
    </w:p>
    <w:p w14:paraId="14C22AB1"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p>
    <w:p w14:paraId="77EC8B0F"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kiltų bet kokių klausimų, kreipkitės į gydytoją.</w:t>
      </w:r>
    </w:p>
    <w:p w14:paraId="489FB895" w14:textId="77777777" w:rsidR="002D358F" w:rsidRPr="002D358F" w:rsidRDefault="002D358F" w:rsidP="002D358F">
      <w:p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b/>
      </w:r>
    </w:p>
    <w:p w14:paraId="327908F7"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Tridepos vartojimas su maistu ir gėrimais</w:t>
      </w:r>
    </w:p>
    <w:p w14:paraId="6859C79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14:paraId="574AE03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Maistas ir gėrimai (įskaitant mineralinį vandenį) paveiks alendronato tablečių veikimo būdą. </w:t>
      </w:r>
    </w:p>
    <w:p w14:paraId="6E88A18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Todėl prieš valgydami ar gerdami po alendronato pavartojimo turite palaukti mažiausiai 30 minučių.</w:t>
      </w:r>
    </w:p>
    <w:p w14:paraId="0AAA9CEE"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4E530FEE"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
          <w:bCs/>
          <w:snapToGrid w:val="0"/>
          <w:sz w:val="28"/>
          <w:szCs w:val="28"/>
          <w:u w:val="single"/>
          <w:lang w:val="en-GB"/>
        </w:rPr>
      </w:pPr>
      <w:r w:rsidRPr="002D358F">
        <w:rPr>
          <w:rFonts w:ascii="Times New Roman" w:eastAsia="Times New Roman" w:hAnsi="Times New Roman" w:cs="Times New Roman"/>
          <w:bCs/>
          <w:snapToGrid w:val="0"/>
          <w:szCs w:val="28"/>
          <w:u w:val="single"/>
          <w:lang w:val="en-GB"/>
        </w:rPr>
        <w:t>Kalcio/vitamino D tabletės</w:t>
      </w:r>
    </w:p>
    <w:p w14:paraId="63970383"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
          <w:bCs/>
          <w:snapToGrid w:val="0"/>
          <w:sz w:val="28"/>
          <w:szCs w:val="28"/>
          <w:lang w:val="en-GB"/>
        </w:rPr>
      </w:pPr>
      <w:r w:rsidRPr="002D358F">
        <w:rPr>
          <w:rFonts w:ascii="Times New Roman" w:eastAsia="Times New Roman" w:hAnsi="Times New Roman" w:cs="Times New Roman"/>
          <w:bCs/>
          <w:snapToGrid w:val="0"/>
          <w:szCs w:val="28"/>
          <w:lang w:val="en-GB"/>
        </w:rPr>
        <w:t>Maistas, kurio sudėtyje yra oksalo rūgšties (randama šponatuose ir rabarbaruose) ir fitino rūgštis (randama sveikuose grūduose) gali paveikti kalcio pasisavinimą. Turi praeiti ne mažiau kaip 2 valandos tarp</w:t>
      </w:r>
      <w:r w:rsidRPr="002D358F">
        <w:rPr>
          <w:rFonts w:ascii="Calibri" w:eastAsia="Times New Roman" w:hAnsi="Calibri" w:cs="Times New Roman"/>
          <w:b/>
          <w:bCs/>
          <w:snapToGrid w:val="0"/>
          <w:sz w:val="28"/>
          <w:szCs w:val="28"/>
          <w:lang w:val="en-GB"/>
        </w:rPr>
        <w:t xml:space="preserve">  </w:t>
      </w:r>
      <w:r w:rsidRPr="002D358F">
        <w:rPr>
          <w:rFonts w:ascii="Times New Roman" w:eastAsia="Times New Roman" w:hAnsi="Times New Roman" w:cs="Times New Roman"/>
          <w:bCs/>
          <w:snapToGrid w:val="0"/>
          <w:szCs w:val="28"/>
          <w:lang w:val="en-GB"/>
        </w:rPr>
        <w:t>kalcio/vitamino D tablečių pavartojimo ir maisto vartojimo, kuriame yra daug oksalo ar fitino rūgšties.</w:t>
      </w:r>
    </w:p>
    <w:p w14:paraId="336EA19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638FD83"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Nėštumas ir žindymo laikotarpis</w:t>
      </w:r>
    </w:p>
    <w:p w14:paraId="4362492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skiriamas tik moterims po menopauzės.</w:t>
      </w:r>
    </w:p>
    <w:p w14:paraId="2C9D50B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negalima vartoti nėštumo ar žindymo laikotarpiu.</w:t>
      </w:r>
    </w:p>
    <w:p w14:paraId="2A2E0D0B"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Jeigu esate nėščia, žindote kūdikį, manote, kad galbūt esate nėščia, arba planuojate pastoti, prieš vartodama šį vaistą pasitarkite su gydytoju arba vaistininku. </w:t>
      </w:r>
    </w:p>
    <w:p w14:paraId="43B717F1"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621E5430"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Vairavimas ir mechanizmų valdymas</w:t>
      </w:r>
    </w:p>
    <w:p w14:paraId="409094E5"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gali paveikti Jūsų gebėjimą vairuoti ar valdyti mechanizmus, pvz., pusiausvyros praradimas, svaigulys ir stiprus kaulų, raumenų ir sąnarių skausmas. Jeigu Jums pasireiškia kuris nors iš šių simptomų, nevairuokite ir nevaldykite mechanizmų, kol jie nepraeis.</w:t>
      </w:r>
    </w:p>
    <w:p w14:paraId="05ACFEC5"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58B67C6B"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color w:val="000000"/>
          <w:sz w:val="28"/>
          <w:szCs w:val="28"/>
          <w:lang w:val="en-GB"/>
        </w:rPr>
      </w:pPr>
      <w:r w:rsidRPr="002D358F">
        <w:rPr>
          <w:rFonts w:ascii="Times New Roman" w:eastAsia="Times New Roman" w:hAnsi="Times New Roman" w:cs="Times New Roman"/>
          <w:b/>
          <w:bCs/>
          <w:snapToGrid w:val="0"/>
          <w:szCs w:val="28"/>
          <w:lang w:val="en-GB"/>
        </w:rPr>
        <w:lastRenderedPageBreak/>
        <w:t xml:space="preserve">Tridepos sudėtyje yra </w:t>
      </w:r>
      <w:r w:rsidRPr="002D358F">
        <w:rPr>
          <w:rFonts w:ascii="Times New Roman" w:eastAsia="Times New Roman" w:hAnsi="Times New Roman" w:cs="Times New Roman"/>
          <w:b/>
          <w:bCs/>
          <w:snapToGrid w:val="0"/>
          <w:color w:val="000000"/>
          <w:szCs w:val="28"/>
          <w:lang w:val="en-GB"/>
        </w:rPr>
        <w:t>laktozės ir sacharozės</w:t>
      </w:r>
    </w:p>
    <w:p w14:paraId="6BCFFF31"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Kiekvienoje alendronato 70 mg tabletėje yra laktozės, kiekvienoje kalcio/vitamino D tabletėje yra sacharozės. Jeigu gydytojas Jums yra sakęs, kad netoleruojate kokių nors angliavandenių, kreipkitės į jį prieš pradėdami vartoti šį vaistą.</w:t>
      </w:r>
      <w:r w:rsidRPr="002D358F">
        <w:rPr>
          <w:rFonts w:ascii="Times New Roman" w:eastAsia="Times New Roman" w:hAnsi="Times New Roman" w:cs="Times New Roman"/>
          <w:snapToGrid w:val="0"/>
          <w:sz w:val="16"/>
          <w:szCs w:val="20"/>
          <w:lang w:val="en-GB"/>
        </w:rPr>
        <w:t xml:space="preserve"> </w:t>
      </w:r>
    </w:p>
    <w:p w14:paraId="257DF157"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6BA057DE"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0157C182" w14:textId="77777777" w:rsidR="002D358F" w:rsidRPr="002D358F" w:rsidRDefault="002D358F" w:rsidP="002D358F">
      <w:pPr>
        <w:keepNext/>
        <w:keepLines/>
        <w:tabs>
          <w:tab w:val="left" w:pos="567"/>
        </w:tabs>
        <w:spacing w:after="0" w:line="240" w:lineRule="auto"/>
        <w:outlineLvl w:val="2"/>
        <w:rPr>
          <w:rFonts w:ascii="Cambria" w:eastAsia="Times New Roman" w:hAnsi="Cambria" w:cs="Times New Roman"/>
          <w:bCs/>
          <w:snapToGrid w:val="0"/>
          <w:sz w:val="26"/>
          <w:szCs w:val="26"/>
          <w:lang w:val="en-GB"/>
        </w:rPr>
      </w:pPr>
      <w:r w:rsidRPr="002D358F">
        <w:rPr>
          <w:rFonts w:ascii="Times New Roman" w:eastAsia="Times New Roman" w:hAnsi="Times New Roman" w:cs="Times New Roman"/>
          <w:b/>
          <w:bCs/>
          <w:snapToGrid w:val="0"/>
          <w:szCs w:val="26"/>
          <w:lang w:val="en-GB"/>
        </w:rPr>
        <w:t>3.</w:t>
      </w:r>
      <w:r w:rsidRPr="002D358F">
        <w:rPr>
          <w:rFonts w:ascii="Times New Roman" w:eastAsia="Times New Roman" w:hAnsi="Times New Roman" w:cs="Times New Roman"/>
          <w:b/>
          <w:bCs/>
          <w:snapToGrid w:val="0"/>
          <w:szCs w:val="26"/>
          <w:lang w:val="en-GB"/>
        </w:rPr>
        <w:tab/>
        <w:t>Kaip vartoti Tridepos</w:t>
      </w:r>
    </w:p>
    <w:p w14:paraId="1EA75465"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145D7B11"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Visada vartokite šį vaistą tiksliai taip, kaip nurodė gydytojas arba vaistininkas. Jeigu abejojate, kreipkitės į  gydytoją arba vaistininką. </w:t>
      </w:r>
    </w:p>
    <w:p w14:paraId="6146E805"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783FE9C8"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Tridepos tiekiamas dėklo tipo pakuotėje vienos savaitės gydymo kursui, kurioje yra 1 alendronato ir 6 kalcio/vitamino D tabletės kartu su šio vaisto vartojimo instrukcijomis. </w:t>
      </w:r>
    </w:p>
    <w:p w14:paraId="46F89DA2"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4AC432FB"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Kadangi ne visada osteoporozės simptomai yra akivaizdūs, Jūs galite jų nepastebėti. Siekiant </w:t>
      </w:r>
    </w:p>
    <w:p w14:paraId="63E4ACEF"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sumažinti kaulų lūžių riziką svarbu vartoti vaistą taip, kaip Jums patarė Jūsų gydytojas, nes Tridepos gali padėti gydyti osteoporozę tik tol, kol vartosite šias tabletes.</w:t>
      </w:r>
    </w:p>
    <w:p w14:paraId="56CB404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4E6E2D33"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Rekomenduojama dozė</w:t>
      </w:r>
    </w:p>
    <w:p w14:paraId="73C8E0F4"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7C6AF243"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1 diena</w:t>
      </w:r>
      <w:r w:rsidRPr="002D358F">
        <w:rPr>
          <w:rFonts w:ascii="Times New Roman" w:eastAsia="Times New Roman" w:hAnsi="Times New Roman" w:cs="Times New Roman"/>
          <w:snapToGrid w:val="0"/>
          <w:szCs w:val="20"/>
          <w:lang w:val="en-GB"/>
        </w:rPr>
        <w:t>: išgerkite VIENĄ alendronato tabletę vieną kartą per savaitę.</w:t>
      </w:r>
    </w:p>
    <w:p w14:paraId="2DDCFDD6"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Pasirinkite Jums tinkamiausią savaitės dieną. Tai bus Jūsų savaitės ciklo 1 diena.</w:t>
      </w:r>
    </w:p>
    <w:p w14:paraId="1202BA36"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Kiekvieną savaitę vartokite 1 alendronato tabletę Jūsų pasirinktą 1 dieną.</w:t>
      </w:r>
    </w:p>
    <w:p w14:paraId="0DAE5754"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7458DD59"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2-7 dienos:</w:t>
      </w:r>
      <w:r w:rsidRPr="002D358F">
        <w:rPr>
          <w:rFonts w:ascii="Times New Roman" w:eastAsia="Times New Roman" w:hAnsi="Times New Roman" w:cs="Times New Roman"/>
          <w:snapToGrid w:val="0"/>
          <w:szCs w:val="20"/>
          <w:lang w:val="en-GB"/>
        </w:rPr>
        <w:t xml:space="preserve"> kalcio/vitamino D tabletės</w:t>
      </w:r>
    </w:p>
    <w:p w14:paraId="10308324"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Sekančią dieną, kai buvo išgerta alendronato tabletė, gerkite po VIENĄ kalcio/vitamino D tabletę kasdien 6-ias dienas. </w:t>
      </w:r>
    </w:p>
    <w:p w14:paraId="3023AD75"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63C22FE1"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Kiekvieną septintą dieną pradėkite naują savaitės ciklą. Jūs turite pradėti naują vaisto pakuotę, suvartodami vieną alendronato tabletę Jūsų pasirinktą 1 dieną.</w:t>
      </w:r>
    </w:p>
    <w:p w14:paraId="2BB3A46E"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25B7D3B3"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Toliau laikykitės šio tablečių vartojimo plano tiek laiko, kiek Jums nurodys gydytojas.</w:t>
      </w:r>
    </w:p>
    <w:p w14:paraId="1841354C"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18A67217" w14:textId="77777777" w:rsidR="002D358F" w:rsidRPr="002D358F" w:rsidRDefault="002D358F" w:rsidP="002D358F">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Kaip vartoti tabletes</w:t>
      </w:r>
    </w:p>
    <w:p w14:paraId="447388CA"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Alendronato tabletę reikia išgerti vieną kartą per savaitę. Kalcio/vitamino D tablečių negalima vartoti tą pačią dieną, nes tai gali sumažinti alendronato pasisavinimą organizme. Tridepos tiekiamas savaitės pakuotėse, kuriose yra viena alendronato tabletė ir 6 kalcio/vitamino D tabletės kitoms savaitės dienoms.</w:t>
      </w:r>
    </w:p>
    <w:p w14:paraId="1F537C36"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60D0DA63" w14:textId="77777777" w:rsidR="002D358F" w:rsidRPr="002D358F" w:rsidRDefault="002D358F" w:rsidP="002D358F">
      <w:p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14:paraId="4756FFB3"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Kad užtikrintumėte tinkamą alendronato 70 mg tablečių veikimą, laikykitės šių instrukcijų:</w:t>
      </w:r>
    </w:p>
    <w:p w14:paraId="6F9C59E7"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5C31F7FD"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Alendronato tabletę išgerkite ryte, prieš ko nors suvalgydami, išgerdami ar prieš vartodami kitus vaistus.</w:t>
      </w:r>
    </w:p>
    <w:p w14:paraId="04039588"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Užgerkite ją mažiausiai viena stikline (ne mažiau kaip 200 ml) gryno vandens ( mineralinis vanduo ar kiti gėrimai gali sumažinti alendronato pasisavinimą).</w:t>
      </w:r>
    </w:p>
    <w:p w14:paraId="188C361C"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Nurykite ją visą. Nesmulkinkite ir nekramtykite tabletės, taip pat neleiskite jai ištirpti Jūsų burnoje, nes tai gali sukelti burnos ar ryklės opas.</w:t>
      </w:r>
    </w:p>
    <w:p w14:paraId="56049062"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Išgerkite tabletę būdami vertikalioje padėtyje (galite sėdėti arba stovėti), kad išvengtumėte rėmens.</w:t>
      </w:r>
    </w:p>
    <w:p w14:paraId="0823F2FF"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Nevalgykite ir negerkite mažiausiai 30 minučių po tabletės pavartojimo.</w:t>
      </w:r>
    </w:p>
    <w:p w14:paraId="662DC99F"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Nesigulkite 30 minučių po tabletės pavartojimo.</w:t>
      </w:r>
    </w:p>
    <w:p w14:paraId="059CC051"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Niekada negerkite tabletės prieš einant miegoti ar iš ryto prieš keliantis.</w:t>
      </w:r>
    </w:p>
    <w:p w14:paraId="698A97F3"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04F42BC8" w14:textId="77777777" w:rsidR="002D358F" w:rsidRPr="002D358F" w:rsidRDefault="002D358F" w:rsidP="002D358F">
      <w:p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14:paraId="26405DB7"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Nurykite tabletę, užsigerdami vandeniu, sveiką, susmulkintą arba padalytą į dvi dalis.</w:t>
      </w:r>
    </w:p>
    <w:p w14:paraId="0E5808F4"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Apie praleistas dozes žr. sk. “Pamiršus pavartoti Tridepos” </w:t>
      </w:r>
    </w:p>
    <w:p w14:paraId="625C3974"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0714F58E"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Jeigu Jums yra inkstų sutrikimų</w:t>
      </w:r>
    </w:p>
    <w:p w14:paraId="4A1CF6F7"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reikia atsargiai vartoti jeigu Jūsų inkstai nedirba tinkamai, gydytojas gali nuspręsti patikrinti Jūsų kalcio ir fosfatų koncentraciją kraujyje. Jeigu abejojate, kreipkitės į gydytoją arba vaistininką. Tridepos negalima vartoti jeigu yra sunkus inkstų veiklos sutrikimas, žr. 2 skyrių „Kas žinotina prieš vartojant Tridepos”.</w:t>
      </w:r>
    </w:p>
    <w:p w14:paraId="543B4C47"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01EA24E0" w14:textId="77777777" w:rsidR="002D358F" w:rsidRPr="002D358F" w:rsidRDefault="002D358F" w:rsidP="002D358F">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Senyvi pacientai</w:t>
      </w:r>
    </w:p>
    <w:p w14:paraId="0E955A21"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Jūsų gydytojas visada turi atsižvelgti į Jūsų inkstų funkciją.</w:t>
      </w:r>
    </w:p>
    <w:p w14:paraId="12AF52AD"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6B03612E" w14:textId="77777777" w:rsidR="002D358F" w:rsidRPr="002D358F" w:rsidRDefault="002D358F" w:rsidP="002D358F">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Ką daryti pavartojus per didelę Tridepos dozę?</w:t>
      </w:r>
    </w:p>
    <w:p w14:paraId="7BB41399"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pavartojote per daug tablečių ar jeigu, pvz., vaikas netyčia prarijo vaisto, pasakykite gydytojui arba kreipkitės į artimiausios gydymo įstaigos skubios pagalbos skyrių, kad būtų įvertinta rizika ir gautas patarimas.</w:t>
      </w:r>
    </w:p>
    <w:p w14:paraId="4660D861"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0C59EE90" w14:textId="77777777" w:rsidR="002D358F" w:rsidRPr="002D358F" w:rsidRDefault="002D358F" w:rsidP="002D358F">
      <w:p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14:paraId="7121BE4F"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per klaidą pavartojote per daug alendronato tablečių, išgerkite stiklinę pieno ir nedelsiant kreipkitės į savo gydytoją. Nesistenkite sukelkite sau vėmimo ir neatsigulkite.</w:t>
      </w:r>
    </w:p>
    <w:p w14:paraId="368EDF26"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221397CA"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Jūs galite jausti šiuos simptomus:</w:t>
      </w:r>
    </w:p>
    <w:p w14:paraId="64B2D1D5"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maža kalcio koncentracija kraujyje (gali pasireikšti tokie simptomai kaip raumenų mėšlungis, spazmai, pirštų ar srities apie burną trūkčiojimas ir dilgčiojimas);</w:t>
      </w:r>
    </w:p>
    <w:p w14:paraId="3B28D416"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maža fosfatų koncentracija kraujyje (gali pasireikšti tokie simptomai kaip nuovargis, raumenų silpnumas, sumišimas arba haliucinacijos);</w:t>
      </w:r>
    </w:p>
    <w:p w14:paraId="285D2590" w14:textId="77777777" w:rsidR="002D358F" w:rsidRPr="002D358F" w:rsidRDefault="002D358F" w:rsidP="002D358F">
      <w:pPr>
        <w:numPr>
          <w:ilvl w:val="0"/>
          <w:numId w:val="3"/>
        </w:numPr>
        <w:tabs>
          <w:tab w:val="left" w:pos="567"/>
        </w:tabs>
        <w:spacing w:after="0" w:line="240" w:lineRule="auto"/>
        <w:ind w:left="540" w:right="-2"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sutrikusi skrandžio veikla, rėmuo, krūtinės ląstos skausmas, rūgšties skonis burnoje, pilvo išsipūtimas, raugulys ir deginimo pojūtis geriant karštus gėrimus.</w:t>
      </w:r>
    </w:p>
    <w:p w14:paraId="1876C96D"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201A1259" w14:textId="77777777" w:rsidR="002D358F" w:rsidRPr="002D358F" w:rsidRDefault="002D358F" w:rsidP="002D358F">
      <w:p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14:paraId="233E9934"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Nedelsdami kreipkitės į gydytoją ar vaistininką ir daugiau nevartokite jokių tablečių.</w:t>
      </w:r>
    </w:p>
    <w:p w14:paraId="33883490"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0B553588"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Pavartoję per didelę dozę, Jūs galite jausti šiuos simptomus:</w:t>
      </w:r>
    </w:p>
    <w:p w14:paraId="5EF3653E"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apetito sumažėjimas, troškulys, pykinimas, vėmimas, vidurių užkietėjimas, pilvo skausmas;</w:t>
      </w:r>
    </w:p>
    <w:p w14:paraId="3A7FD643"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raumenų silpnumas, nuovargis, kaulų skausmas;</w:t>
      </w:r>
    </w:p>
    <w:p w14:paraId="554BA0E7"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psichikos sutrikimai (gali pasireikšti tokie simptomai kaip sumišimas arba negebėjimas susikaupti, depresija ar nerimas);</w:t>
      </w:r>
    </w:p>
    <w:p w14:paraId="5168B295" w14:textId="77777777" w:rsidR="002D358F" w:rsidRPr="002D358F" w:rsidRDefault="002D358F" w:rsidP="002D358F">
      <w:pPr>
        <w:numPr>
          <w:ilvl w:val="0"/>
          <w:numId w:val="7"/>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poreikis dažniau šlapintis (kartais net naktį) ir didelio šlapimo kiekio išskyrimas.</w:t>
      </w:r>
    </w:p>
    <w:p w14:paraId="3897D0DA"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p>
    <w:p w14:paraId="3334030D" w14:textId="77777777" w:rsidR="002D358F" w:rsidRPr="002D358F" w:rsidRDefault="002D358F" w:rsidP="002D358F">
      <w:p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Pamiršus pavartoti Tridepos</w:t>
      </w:r>
    </w:p>
    <w:p w14:paraId="6D65EAF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79F4702E"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w:t>
      </w:r>
    </w:p>
    <w:p w14:paraId="31807C30"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Jeigu praleidžiama dozė, savaitinę alendronate tabletę reikėtų išgerti kitą dieną ryte pagal dozavimo instrukcijas (žr. 3 skyrių). Alendronato tabletę reikia išgerti kiekvieną savaitę. Kalcis veikia alendronato pasisavinimą, sumažindamas alendronato poveikį. Todėl, palaukite mažiausiai 30 minučių prieš išgerdami kalcio/vitamino D dienos dozę.</w:t>
      </w:r>
    </w:p>
    <w:p w14:paraId="2929116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78E9A8E"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Nekeiskite savaitės ciklo laiko, pvz., toliau vartokite alendronato tabletes Jūsų pasirinktą 1 dieną. Likusias kalcio/vitamino D tabletes savaitės ciklo pabaigoje reikia išmesti (ne į kanalizaciją ir ne su buitinėmis atliekomis, žr. 5 skyrių).  </w:t>
      </w:r>
    </w:p>
    <w:p w14:paraId="24CBFB2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406EB82C"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14:paraId="729C41E1"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praleidote dozę, Jūs turėtumėte toliau tęsti normalų kalcio/vitamino D vartojimo kursą po vieną tabletę per dieną. Negalima vartoti papildomos kalcio/vitamino D tabletės tą pačią dieną, norint kompensuoti praleistą tabletę. Visas likusias kalcio/vitamino D tabletes savaitės ciklo pabaigoje reikia išmesti (ne į kanalizaciją ir ne su buitinėmis atliekomis; žr. 5 skyrių).</w:t>
      </w:r>
    </w:p>
    <w:p w14:paraId="6F984308"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3F507222"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Nustojus vartoti Tridepos</w:t>
      </w:r>
    </w:p>
    <w:p w14:paraId="0C374F4E"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Vartokite vaistą tiek laiko, kiek Jums nurodė gydytojas. Osteoporozė yra būklė be aiškių simptomų ir gydymas paprastai trunka ilgai.</w:t>
      </w:r>
    </w:p>
    <w:p w14:paraId="40EA2BB8"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snapToGrid w:val="0"/>
          <w:szCs w:val="20"/>
          <w:lang w:val="en-GB"/>
        </w:rPr>
      </w:pPr>
    </w:p>
    <w:p w14:paraId="729BF726"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kiltų daugiau klausimų dėl šio vaisto vartojimo, kreipkitės į gydytoją arba vaistininką.</w:t>
      </w:r>
    </w:p>
    <w:p w14:paraId="64656DAE"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222D963D"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49E95676" w14:textId="77777777" w:rsidR="002D358F" w:rsidRPr="002D358F" w:rsidRDefault="002D358F" w:rsidP="002D358F">
      <w:pPr>
        <w:keepNext/>
        <w:keepLines/>
        <w:tabs>
          <w:tab w:val="left" w:pos="567"/>
        </w:tabs>
        <w:spacing w:after="0" w:line="240" w:lineRule="auto"/>
        <w:outlineLvl w:val="2"/>
        <w:rPr>
          <w:rFonts w:ascii="Cambria" w:eastAsia="Times New Roman" w:hAnsi="Cambria" w:cs="Times New Roman"/>
          <w:bCs/>
          <w:snapToGrid w:val="0"/>
          <w:sz w:val="26"/>
          <w:szCs w:val="26"/>
          <w:lang w:val="en-GB"/>
        </w:rPr>
      </w:pPr>
      <w:r w:rsidRPr="002D358F">
        <w:rPr>
          <w:rFonts w:ascii="Times New Roman" w:eastAsia="Times New Roman" w:hAnsi="Times New Roman" w:cs="Times New Roman"/>
          <w:b/>
          <w:bCs/>
          <w:snapToGrid w:val="0"/>
          <w:szCs w:val="26"/>
          <w:lang w:val="en-GB"/>
        </w:rPr>
        <w:t>4.</w:t>
      </w:r>
      <w:r w:rsidRPr="002D358F">
        <w:rPr>
          <w:rFonts w:ascii="Times New Roman" w:eastAsia="Times New Roman" w:hAnsi="Times New Roman" w:cs="Times New Roman"/>
          <w:b/>
          <w:bCs/>
          <w:snapToGrid w:val="0"/>
          <w:szCs w:val="26"/>
          <w:lang w:val="en-GB"/>
        </w:rPr>
        <w:tab/>
        <w:t>Galimas šalutinis poveikis</w:t>
      </w:r>
    </w:p>
    <w:p w14:paraId="17A6BE78"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72E5ADA6"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Šis vaistas, kaip ir visi kiti, gali sukelti šalutinį poveikį, nors jis pasireiškia ne visiems žmonėms.</w:t>
      </w:r>
    </w:p>
    <w:p w14:paraId="7043B203"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snapToGrid w:val="0"/>
          <w:szCs w:val="20"/>
          <w:lang w:val="en-GB"/>
        </w:rPr>
      </w:pPr>
    </w:p>
    <w:p w14:paraId="70110EE7"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Jeigu pastebite kurį nors iš toliau išvardytų retų ir rimtų simptomų, </w:t>
      </w:r>
      <w:r w:rsidRPr="002D358F">
        <w:rPr>
          <w:rFonts w:ascii="Times New Roman" w:eastAsia="Times New Roman" w:hAnsi="Times New Roman" w:cs="Times New Roman"/>
          <w:b/>
          <w:snapToGrid w:val="0"/>
          <w:szCs w:val="20"/>
          <w:lang w:val="en-GB"/>
        </w:rPr>
        <w:t xml:space="preserve">nedelsdami </w:t>
      </w:r>
      <w:r w:rsidRPr="002D358F">
        <w:rPr>
          <w:rFonts w:ascii="Times New Roman" w:eastAsia="Times New Roman" w:hAnsi="Times New Roman" w:cs="Times New Roman"/>
          <w:snapToGrid w:val="0"/>
          <w:szCs w:val="20"/>
          <w:lang w:val="en-GB"/>
        </w:rPr>
        <w:t>kreipkitės į savo gydytoją, nes Jums gali prireikti sumažinti vaisto dozę arba nutraukti jo vartojimą.</w:t>
      </w:r>
    </w:p>
    <w:p w14:paraId="5975B0D2"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b/>
          <w:snapToGrid w:val="0"/>
          <w:szCs w:val="20"/>
          <w:lang w:val="en-GB"/>
        </w:rPr>
      </w:pPr>
    </w:p>
    <w:p w14:paraId="130D60B4"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Dažnas: gali pasireikšti iki 1 iš 10 žmonių </w:t>
      </w:r>
    </w:p>
    <w:p w14:paraId="034388E6"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Naujai atsiradęs ar sustiprėjęs rėmuo, skausmas/sunkumas ryjant, opos stemplėje, pasireiškiančios skausmu krūtinėje;</w:t>
      </w:r>
    </w:p>
    <w:p w14:paraId="50E7992D"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5FEC20F9"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Retas: gali pasireikšti iki 1 iš 1000 žmonių</w:t>
      </w:r>
    </w:p>
    <w:p w14:paraId="00B9E832"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Stemplės susiaurėjimas arba veržimas, dėl to gali būti sunku ryti;</w:t>
      </w:r>
    </w:p>
    <w:p w14:paraId="770D83AD"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Veido, liežuvio ar gerklų patinimas; sunkumas ryjant; dilgėlinė ir pasunkėjęs kvėpavimas (angioedema);</w:t>
      </w:r>
    </w:p>
    <w:p w14:paraId="5C8188EC"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Sunki odos reakcija:</w:t>
      </w:r>
    </w:p>
    <w:p w14:paraId="706E9B86" w14:textId="77777777" w:rsidR="002D358F" w:rsidRPr="002D358F" w:rsidRDefault="002D358F" w:rsidP="002D358F">
      <w:pPr>
        <w:numPr>
          <w:ilvl w:val="0"/>
          <w:numId w:val="3"/>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tai gali prasidėti gripą primenančiais simptomais, po kurių atsiranda skausmingas plintantis raudonas ar rausvai violetinis išbėrimas bei pūslės (tai vadinama Stivenso ir Džonsono sindromu);</w:t>
      </w:r>
    </w:p>
    <w:p w14:paraId="5E51630E" w14:textId="77777777" w:rsidR="002D358F" w:rsidRPr="002D358F" w:rsidRDefault="002D358F" w:rsidP="002D358F">
      <w:pPr>
        <w:numPr>
          <w:ilvl w:val="0"/>
          <w:numId w:val="3"/>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gali atsirasti reta odos būklė, dėl kurios Jums gali pasišalinti išorinis odos sluoksnis. Ji panaši į antrojo laipsnio nudegimą. Iš kitų simptomų gali pasireikšti karščiavimas, nuovargis, kosulys, niežtinti oda, raumenų skausmai ir skausminga ryklė, vėliau atsirandančios odos žaizdos (tai vadinama toksine epidermio nekrolize);</w:t>
      </w:r>
    </w:p>
    <w:p w14:paraId="73520831"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Stiprus apatinio žandikaulio skausmas, patinimas, paraudimas arba kiti dantenų infekcijos požymiai (apatinio žandikaulio osteonekrozė);</w:t>
      </w:r>
    </w:p>
    <w:p w14:paraId="2D114686"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Neįprasti šlaunikaulio lūžiai (atsirandantys iškart žemiau klubo sąnario arba ilgojoje šlaunikaulio dalyje), gali atsirasti pacietams, kuriems ilgai gydyta osteoporozė.</w:t>
      </w:r>
    </w:p>
    <w:p w14:paraId="0ACB4CF0"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Pasitarkite su gydytoju, jeigu jaučiate skausmą silpnumą ar diskomfortą šlaunyje, klubo sąnaryje ar kirkšnyje, nes tai gali būti ankstyvieji galimo šlaunikaulio lūžio požymiai.</w:t>
      </w:r>
    </w:p>
    <w:p w14:paraId="345346E4" w14:textId="77777777" w:rsidR="002D358F" w:rsidRPr="002D358F" w:rsidRDefault="002D358F" w:rsidP="002D358F">
      <w:pPr>
        <w:spacing w:after="0" w:line="240" w:lineRule="auto"/>
        <w:ind w:left="360" w:right="-29"/>
        <w:rPr>
          <w:rFonts w:ascii="Times New Roman" w:eastAsia="Times New Roman" w:hAnsi="Times New Roman" w:cs="Times New Roman"/>
          <w:snapToGrid w:val="0"/>
          <w:szCs w:val="20"/>
          <w:lang w:val="en-GB"/>
        </w:rPr>
      </w:pPr>
    </w:p>
    <w:p w14:paraId="79D3590A"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Labai retas: gali pasireikšti iki 1 iš 10000 žmonių</w:t>
      </w:r>
    </w:p>
    <w:p w14:paraId="3C0BC806"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Ausies skausmas ir/ar ausies infekcija. Tai gali būti ausies kaulo pažeidimo požymis;</w:t>
      </w:r>
    </w:p>
    <w:p w14:paraId="2B055D88"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Gerklės patinimas, apsunkinantis kvėpavimą.</w:t>
      </w:r>
    </w:p>
    <w:p w14:paraId="07E1EB99" w14:textId="77777777" w:rsidR="002D358F" w:rsidRPr="002D358F" w:rsidRDefault="002D358F" w:rsidP="002D358F">
      <w:pPr>
        <w:spacing w:after="0" w:line="240" w:lineRule="auto"/>
        <w:ind w:left="360" w:right="-29"/>
        <w:rPr>
          <w:rFonts w:ascii="Times New Roman" w:eastAsia="Times New Roman" w:hAnsi="Times New Roman" w:cs="Times New Roman"/>
          <w:snapToGrid w:val="0"/>
          <w:szCs w:val="20"/>
          <w:lang w:val="en-GB"/>
        </w:rPr>
      </w:pPr>
    </w:p>
    <w:p w14:paraId="0118011C" w14:textId="77777777" w:rsidR="002D358F" w:rsidRPr="002D358F" w:rsidRDefault="002D358F" w:rsidP="002D358F">
      <w:pPr>
        <w:spacing w:after="0" w:line="240" w:lineRule="auto"/>
        <w:ind w:right="-29"/>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Kitas šalutinis poveikis, kuris gali pasireikšti Jums vartojant alendronatą:</w:t>
      </w:r>
    </w:p>
    <w:p w14:paraId="10EF4F50"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47C2761F"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Labai dažnas: gali pasireikšti daugiau kaip 1 iš 10 žmonių</w:t>
      </w:r>
    </w:p>
    <w:p w14:paraId="0A3A623D" w14:textId="77777777" w:rsidR="002D358F" w:rsidRPr="002D358F" w:rsidRDefault="002D358F" w:rsidP="002D358F">
      <w:pPr>
        <w:numPr>
          <w:ilvl w:val="0"/>
          <w:numId w:val="3"/>
        </w:numPr>
        <w:tabs>
          <w:tab w:val="left" w:pos="567"/>
        </w:tabs>
        <w:spacing w:after="0" w:line="240" w:lineRule="auto"/>
        <w:ind w:left="540" w:right="-29" w:hanging="540"/>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Kaulų, raumenų ar sąnarių skausmas, kuris kartais yra sunkus.</w:t>
      </w:r>
    </w:p>
    <w:p w14:paraId="7CD76738"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6E9FBDDC"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Dažnas: gali pasireikšti iki 1 iš 10 žmonių</w:t>
      </w:r>
    </w:p>
    <w:p w14:paraId="01439E22"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Galvos skausmas, galvos svaigimas arba pusiausvyros praradimas (vertigo);</w:t>
      </w:r>
    </w:p>
    <w:p w14:paraId="1A161F8C"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Virškinimo takto veiklos sutrikimai – pilvo skausmas, virškinimo sutrikimas, vidurių užkietėjimas, viduriavimas, dujų kaupimasis žarnyne, pilvo išsipūtimas;</w:t>
      </w:r>
    </w:p>
    <w:p w14:paraId="5DC5033E"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Alopecija (nuplikimas);</w:t>
      </w:r>
    </w:p>
    <w:p w14:paraId="6A1A4E81"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Niežėjimas;</w:t>
      </w:r>
    </w:p>
    <w:p w14:paraId="0E429F74"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Sąnarių patinimas;</w:t>
      </w:r>
    </w:p>
    <w:p w14:paraId="2CEBF0E5"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Energijos stoka;</w:t>
      </w:r>
    </w:p>
    <w:p w14:paraId="72854D2A"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Rankų ir kojų patinimas.</w:t>
      </w:r>
    </w:p>
    <w:p w14:paraId="7EEE4B80"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16D36876"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Nedažnas: gali pasireikšti iki 1 iš 100 žmonių</w:t>
      </w:r>
    </w:p>
    <w:p w14:paraId="475B2D31"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Skonio pasikeitimas;</w:t>
      </w:r>
    </w:p>
    <w:p w14:paraId="0FE17EBB"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Virškinimo trakto sutrikimai, tokie kaip pykinimas, vėmimas, uždegimas, skrandžio ar gerklės sudirginimas, juodos, degutą primenančios išmatos;</w:t>
      </w:r>
    </w:p>
    <w:p w14:paraId="58C77BD0"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Akies uždegimas;</w:t>
      </w:r>
    </w:p>
    <w:p w14:paraId="77E5B705"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Odos išbėrimas ar paraudimas;</w:t>
      </w:r>
    </w:p>
    <w:p w14:paraId="42AB4090"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Trumpai pasireiškiantys simptomai, tokie kaip raumenų skausmas, raumenų silpnumas ar diskomfortas, retais atvejais – karščiavimas, paprastai pasireiškiantis gydymo pradžioje.</w:t>
      </w:r>
    </w:p>
    <w:p w14:paraId="3ED8B6FE"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1AF11095"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Reti: gali pasireikšti iki 1 iš 1 000 žmonių</w:t>
      </w:r>
    </w:p>
    <w:p w14:paraId="2D15E398"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Žema kalcio koncentracija kraujyje (gali pasireikšti tokie simptomai kaip raumenų mėšlungis, spazmai, pirštų ar srities apie burną trūkčiojimas ir dilgčiojimas; paprastai šiuos simptomus sukelia jau esama būklė);</w:t>
      </w:r>
    </w:p>
    <w:p w14:paraId="3BC9124A"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Burnos, ryklės ar viršutinės virškinimo trakto dalies opos, perforacija (įtrūkusi stemplė) arba kraujavimas iš viršutinės virškinimo trakto dalies;</w:t>
      </w:r>
    </w:p>
    <w:p w14:paraId="2BCF7315"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Odos išbėrimas, kuris tampa jautresnis šviesai;</w:t>
      </w:r>
    </w:p>
    <w:p w14:paraId="507EAA12"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Patinę, blyškiai rausvi kauburėliai odoje (dilgėlinė).</w:t>
      </w:r>
    </w:p>
    <w:p w14:paraId="264F4C48"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4B2E3488"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b/>
          <w:snapToGrid w:val="0"/>
          <w:szCs w:val="20"/>
          <w:lang w:val="en-GB"/>
        </w:rPr>
        <w:t>Kitas šalutinis poveikis, susijęs su kalciu/vitaminu D</w:t>
      </w:r>
    </w:p>
    <w:p w14:paraId="46A21F18"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548FC5D1"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Nedažnas: gali pasireikšti iki 1 iš 100 žmonių</w:t>
      </w:r>
    </w:p>
    <w:p w14:paraId="2AA4C48F"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Didelė kalcio koncentracija kraujyje, dėl to gali norėtis dažniau šlapintis (kartais net naktį) ir labiau nei įprastai norisi gerti;</w:t>
      </w:r>
    </w:p>
    <w:p w14:paraId="0E156F6E"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Didelė kalcio koncentracija šlapime, dėl to šlapime gali atsirasti kraujo, taip pat gali skaudėti nugarą ar pilvą.</w:t>
      </w:r>
    </w:p>
    <w:p w14:paraId="67607B64"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7B6AA083"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Retas: gali pasireikšti iki 1 iš 1 000 žmonių</w:t>
      </w:r>
    </w:p>
    <w:p w14:paraId="449CC517"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Virškinimo sutrikimai, įskaitant vidurių užkietėjimą, pernelyg didelį dujų kaupimąsi, pykinimą, pilvo skausmą ir viduriavimą;</w:t>
      </w:r>
    </w:p>
    <w:p w14:paraId="4D41D4CD" w14:textId="77777777" w:rsidR="002D358F" w:rsidRPr="002D358F" w:rsidRDefault="002D358F" w:rsidP="002D358F">
      <w:pPr>
        <w:numPr>
          <w:ilvl w:val="0"/>
          <w:numId w:val="7"/>
        </w:numPr>
        <w:tabs>
          <w:tab w:val="left" w:pos="567"/>
        </w:tabs>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Niežėjimas, išbėrimas ar patinę, blyškiai rausvi kauburėliai odoje.</w:t>
      </w:r>
    </w:p>
    <w:p w14:paraId="718DA751"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p>
    <w:p w14:paraId="6258CF60" w14:textId="77777777" w:rsidR="002D358F" w:rsidRPr="002D358F" w:rsidRDefault="002D358F" w:rsidP="002D358F">
      <w:pPr>
        <w:spacing w:after="0" w:line="240" w:lineRule="auto"/>
        <w:ind w:right="-29"/>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Ypatingos pacientų populiacijos</w:t>
      </w:r>
    </w:p>
    <w:p w14:paraId="041886F2" w14:textId="77777777" w:rsidR="002D358F" w:rsidRPr="002D358F" w:rsidRDefault="002D358F" w:rsidP="002D358F">
      <w:pPr>
        <w:spacing w:after="0" w:line="240" w:lineRule="auto"/>
        <w:ind w:right="-29"/>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Pacientams, kurių inkstų funkcija sutrikusi, kyla nenormaliai aukštos fosfatų koncentracijos kraujyje (paprastai tokiais atvejais jokie simptomai nepasireiškia, bet gali būti rimti), inkstų akmenų susidarymo ir kalcio koncentracijos padidėjimo inkstuose (gali pasireikšti tokie simptomai kaip kraujas šlapime, nugaros ar pilvo skausmas) rizika. </w:t>
      </w:r>
    </w:p>
    <w:p w14:paraId="3BFDA910" w14:textId="77777777" w:rsidR="002D358F" w:rsidRPr="002D358F" w:rsidRDefault="002D358F" w:rsidP="002D358F">
      <w:pPr>
        <w:numPr>
          <w:ilvl w:val="12"/>
          <w:numId w:val="0"/>
        </w:numPr>
        <w:spacing w:after="0" w:line="240" w:lineRule="auto"/>
        <w:ind w:right="-29"/>
        <w:rPr>
          <w:rFonts w:ascii="Times New Roman" w:eastAsia="Times New Roman" w:hAnsi="Times New Roman" w:cs="Times New Roman"/>
          <w:snapToGrid w:val="0"/>
          <w:szCs w:val="20"/>
          <w:lang w:val="en-GB"/>
        </w:rPr>
      </w:pPr>
    </w:p>
    <w:p w14:paraId="0D4B98AB" w14:textId="77777777" w:rsidR="002D358F" w:rsidRPr="00C705A4" w:rsidRDefault="002D358F" w:rsidP="002D358F">
      <w:pPr>
        <w:tabs>
          <w:tab w:val="left" w:pos="567"/>
        </w:tabs>
        <w:spacing w:after="60" w:line="260" w:lineRule="exact"/>
        <w:rPr>
          <w:rFonts w:ascii="Calibri" w:hAnsi="Calibri"/>
          <w:b/>
          <w:lang w:val="lt-LT"/>
        </w:rPr>
      </w:pPr>
      <w:r w:rsidRPr="00C705A4">
        <w:rPr>
          <w:rFonts w:ascii="Times New Roman" w:hAnsi="Times New Roman"/>
          <w:b/>
          <w:lang w:val="lt-LT"/>
        </w:rPr>
        <w:t>Pranešimas apie šalutinį poveikį</w:t>
      </w:r>
    </w:p>
    <w:p w14:paraId="282C8109" w14:textId="77777777" w:rsidR="002D358F" w:rsidRPr="00C705A4" w:rsidRDefault="002D358F" w:rsidP="002D358F">
      <w:pPr>
        <w:tabs>
          <w:tab w:val="left" w:pos="567"/>
        </w:tabs>
        <w:spacing w:after="0" w:line="260" w:lineRule="exact"/>
        <w:ind w:right="-449"/>
        <w:rPr>
          <w:rFonts w:ascii="Calibri" w:hAnsi="Calibri"/>
          <w:lang w:val="lt-LT"/>
        </w:rPr>
      </w:pPr>
      <w:r w:rsidRPr="00C705A4">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C705A4">
          <w:rPr>
            <w:rFonts w:ascii="Times New Roman" w:hAnsi="Times New Roman"/>
            <w:color w:val="0000FF"/>
            <w:u w:val="single"/>
            <w:lang w:val="lt-LT"/>
          </w:rPr>
          <w:t>www.vvkt.lt</w:t>
        </w:r>
      </w:hyperlink>
      <w:r w:rsidRPr="00C705A4">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12" w:history="1">
        <w:r w:rsidRPr="00C705A4">
          <w:rPr>
            <w:rFonts w:ascii="Times New Roman" w:hAnsi="Times New Roman"/>
            <w:color w:val="0000FF"/>
            <w:u w:val="single"/>
            <w:lang w:val="lt-LT"/>
          </w:rPr>
          <w:t>NepageidaujamaR@vvkt.lt</w:t>
        </w:r>
      </w:hyperlink>
      <w:r w:rsidRPr="00C705A4">
        <w:rPr>
          <w:rFonts w:ascii="Times New Roman" w:hAnsi="Times New Roman"/>
          <w:lang w:val="lt-LT"/>
        </w:rPr>
        <w:t>, taip pat per Valstybinės vaistų kontrolės tarnybos prie Lietuvos Respublikos sveikatos apsaugos ministerijos interneto svetainę (adresu http://www.vvkt.lt). Pranešdami apie šalutinį poveikį galite mums padėti gau</w:t>
      </w:r>
      <w:r w:rsidRPr="002D358F">
        <w:rPr>
          <w:rFonts w:ascii="Times New Roman" w:eastAsia="Times New Roman" w:hAnsi="Times New Roman" w:cs="Times New Roman"/>
          <w:snapToGrid w:val="0"/>
          <w:szCs w:val="20"/>
          <w:lang w:val="en-GB"/>
        </w:rPr>
        <w:t>ti daugiau informacijos apie šio vaisto saugumą.</w:t>
      </w:r>
    </w:p>
    <w:p w14:paraId="4E5EF07D" w14:textId="77777777" w:rsidR="002D358F" w:rsidRPr="002D358F" w:rsidRDefault="002D358F" w:rsidP="002D358F">
      <w:pPr>
        <w:tabs>
          <w:tab w:val="left" w:pos="567"/>
        </w:tabs>
        <w:spacing w:after="0" w:line="260" w:lineRule="exact"/>
        <w:ind w:right="-449"/>
        <w:rPr>
          <w:rFonts w:ascii="Times New Roman" w:eastAsia="Times New Roman" w:hAnsi="Times New Roman" w:cs="Times New Roman"/>
          <w:snapToGrid w:val="0"/>
          <w:szCs w:val="20"/>
          <w:lang w:val="en-GB"/>
        </w:rPr>
      </w:pPr>
    </w:p>
    <w:p w14:paraId="2B3CCA6C" w14:textId="77777777" w:rsidR="002D358F" w:rsidRPr="002D358F" w:rsidRDefault="002D358F" w:rsidP="002D358F">
      <w:pPr>
        <w:tabs>
          <w:tab w:val="left" w:pos="567"/>
        </w:tabs>
        <w:spacing w:after="0" w:line="260" w:lineRule="exact"/>
        <w:ind w:right="-449"/>
        <w:rPr>
          <w:rFonts w:ascii="Times New Roman" w:eastAsia="Times New Roman" w:hAnsi="Times New Roman" w:cs="Times New Roman"/>
          <w:snapToGrid w:val="0"/>
          <w:szCs w:val="20"/>
          <w:lang w:val="en-GB"/>
        </w:rPr>
      </w:pPr>
    </w:p>
    <w:p w14:paraId="562E50FF" w14:textId="77777777" w:rsidR="002D358F" w:rsidRPr="002D358F" w:rsidRDefault="002D358F" w:rsidP="002D358F">
      <w:pPr>
        <w:keepNext/>
        <w:keepLines/>
        <w:tabs>
          <w:tab w:val="left" w:pos="567"/>
        </w:tabs>
        <w:spacing w:after="0" w:line="240" w:lineRule="auto"/>
        <w:outlineLvl w:val="2"/>
        <w:rPr>
          <w:rFonts w:ascii="Cambria" w:eastAsia="Times New Roman" w:hAnsi="Cambria" w:cs="Times New Roman"/>
          <w:bCs/>
          <w:snapToGrid w:val="0"/>
          <w:sz w:val="26"/>
          <w:szCs w:val="26"/>
          <w:lang w:val="en-GB"/>
        </w:rPr>
      </w:pPr>
      <w:r w:rsidRPr="002D358F">
        <w:rPr>
          <w:rFonts w:ascii="Times New Roman" w:eastAsia="Times New Roman" w:hAnsi="Times New Roman" w:cs="Times New Roman"/>
          <w:b/>
          <w:bCs/>
          <w:snapToGrid w:val="0"/>
          <w:szCs w:val="26"/>
          <w:lang w:val="en-GB"/>
        </w:rPr>
        <w:t>5.</w:t>
      </w:r>
      <w:r w:rsidRPr="002D358F">
        <w:rPr>
          <w:rFonts w:ascii="Times New Roman" w:eastAsia="Times New Roman" w:hAnsi="Times New Roman" w:cs="Times New Roman"/>
          <w:b/>
          <w:bCs/>
          <w:snapToGrid w:val="0"/>
          <w:szCs w:val="26"/>
          <w:lang w:val="en-GB"/>
        </w:rPr>
        <w:tab/>
        <w:t>Kaip laikyti Tridepos</w:t>
      </w:r>
    </w:p>
    <w:p w14:paraId="49E63694"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1FC8B3D8"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Šį vaistą laikykite vaikams nepastebimoje ir nepasiekiamoje vietoje.</w:t>
      </w:r>
    </w:p>
    <w:p w14:paraId="71A82468"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5A8999CC" w14:textId="0A1A065F"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Ant dėžutės po „</w:t>
      </w:r>
      <w:r w:rsidR="00052443">
        <w:rPr>
          <w:rFonts w:ascii="Times New Roman" w:eastAsia="Times New Roman" w:hAnsi="Times New Roman" w:cs="Times New Roman"/>
          <w:snapToGrid w:val="0"/>
          <w:szCs w:val="20"/>
          <w:lang w:val="en-GB"/>
        </w:rPr>
        <w:t>EXP</w:t>
      </w:r>
      <w:r w:rsidRPr="002D358F">
        <w:rPr>
          <w:rFonts w:ascii="Times New Roman" w:eastAsia="Times New Roman" w:hAnsi="Times New Roman" w:cs="Times New Roman"/>
          <w:snapToGrid w:val="0"/>
          <w:szCs w:val="20"/>
          <w:lang w:val="en-GB"/>
        </w:rPr>
        <w:t>“ nurodytam tinkamumo laikui pasibaigus, šio vaisto vartoti negalima. Vaistas tinkamas vartoti iki paskutinės nurodyto mėnesio dienos.</w:t>
      </w:r>
    </w:p>
    <w:p w14:paraId="6BDE163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42079739"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Laikyti žemesnėje kaip 30 </w:t>
      </w:r>
      <w:r w:rsidRPr="002D358F">
        <w:rPr>
          <w:rFonts w:ascii="Times New Roman" w:eastAsia="Times New Roman" w:hAnsi="Times New Roman" w:cs="Times New Roman"/>
          <w:snapToGrid w:val="0"/>
          <w:szCs w:val="20"/>
          <w:lang w:val="en-GB"/>
        </w:rPr>
        <w:sym w:font="Symbol" w:char="F0B0"/>
      </w:r>
      <w:r w:rsidRPr="002D358F">
        <w:rPr>
          <w:rFonts w:ascii="Times New Roman" w:eastAsia="Times New Roman" w:hAnsi="Times New Roman" w:cs="Times New Roman"/>
          <w:snapToGrid w:val="0"/>
          <w:szCs w:val="20"/>
          <w:lang w:val="en-GB"/>
        </w:rPr>
        <w:t>C temperatūroje. Laikyti gamintojo pakuotėje, kad preparatas būtų apsaugotas nuo šviesos ir drėgmės.</w:t>
      </w:r>
    </w:p>
    <w:p w14:paraId="38412BC4"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3738D1AD"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snapToGrid w:val="0"/>
          <w:szCs w:val="20"/>
          <w:lang w:val="en-GB"/>
        </w:rPr>
        <w:t>Vaistų negalima išmesti į kanalizaciją arba su buitinėmis atliekomis. Kaip išmesti nereikalingus vaistus, klauskite vaistininko. Šios priemonės padės apsaugoti aplinką.</w:t>
      </w:r>
    </w:p>
    <w:p w14:paraId="19D09AA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72CA23CD"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4FCC6A94" w14:textId="77777777" w:rsidR="002D358F" w:rsidRPr="002D358F" w:rsidRDefault="002D358F" w:rsidP="002D358F">
      <w:pPr>
        <w:keepNext/>
        <w:keepLines/>
        <w:tabs>
          <w:tab w:val="left" w:pos="567"/>
        </w:tabs>
        <w:spacing w:after="0" w:line="240" w:lineRule="auto"/>
        <w:outlineLvl w:val="2"/>
        <w:rPr>
          <w:rFonts w:ascii="Cambria" w:eastAsia="Times New Roman" w:hAnsi="Cambria" w:cs="Times New Roman"/>
          <w:bCs/>
          <w:snapToGrid w:val="0"/>
          <w:sz w:val="26"/>
          <w:szCs w:val="26"/>
          <w:lang w:val="en-GB"/>
        </w:rPr>
      </w:pPr>
      <w:r w:rsidRPr="002D358F">
        <w:rPr>
          <w:rFonts w:ascii="Times New Roman" w:eastAsia="Times New Roman" w:hAnsi="Times New Roman" w:cs="Times New Roman"/>
          <w:b/>
          <w:bCs/>
          <w:snapToGrid w:val="0"/>
          <w:szCs w:val="26"/>
          <w:lang w:val="en-GB"/>
        </w:rPr>
        <w:t>6.</w:t>
      </w:r>
      <w:r w:rsidRPr="002D358F">
        <w:rPr>
          <w:rFonts w:ascii="Times New Roman" w:eastAsia="Times New Roman" w:hAnsi="Times New Roman" w:cs="Times New Roman"/>
          <w:bCs/>
          <w:snapToGrid w:val="0"/>
          <w:szCs w:val="26"/>
          <w:lang w:val="en-GB"/>
        </w:rPr>
        <w:tab/>
      </w:r>
      <w:r w:rsidRPr="002D358F">
        <w:rPr>
          <w:rFonts w:ascii="Times New Roman" w:eastAsia="Times New Roman" w:hAnsi="Times New Roman" w:cs="Times New Roman"/>
          <w:b/>
          <w:bCs/>
          <w:snapToGrid w:val="0"/>
          <w:szCs w:val="26"/>
          <w:lang w:val="en-GB"/>
        </w:rPr>
        <w:t>Pakuotės turinys ir kita informacija</w:t>
      </w:r>
    </w:p>
    <w:p w14:paraId="70219A63" w14:textId="77777777" w:rsidR="002D358F" w:rsidRPr="002D358F" w:rsidRDefault="002D358F" w:rsidP="002D358F">
      <w:pPr>
        <w:numPr>
          <w:ilvl w:val="12"/>
          <w:numId w:val="0"/>
        </w:numPr>
        <w:spacing w:after="0" w:line="240" w:lineRule="auto"/>
        <w:rPr>
          <w:rFonts w:ascii="Times New Roman" w:eastAsia="Times New Roman" w:hAnsi="Times New Roman" w:cs="Times New Roman"/>
          <w:snapToGrid w:val="0"/>
          <w:szCs w:val="20"/>
          <w:lang w:val="en-GB"/>
        </w:rPr>
      </w:pPr>
    </w:p>
    <w:p w14:paraId="542CB403"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 xml:space="preserve">Tridepos sudėtis </w:t>
      </w:r>
    </w:p>
    <w:p w14:paraId="5202AE3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yra dviejų tipų tablečių derinio pakuotė:</w:t>
      </w:r>
    </w:p>
    <w:p w14:paraId="4BE2F0C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5C3C49AD"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Alendronato tabletės</w:t>
      </w:r>
    </w:p>
    <w:p w14:paraId="0FE358F4"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Kiekvienoje tabletėje yra natrio alendronato trihidrato, atitinkančio 70 mg alendrono rūgšties.</w:t>
      </w:r>
    </w:p>
    <w:p w14:paraId="1FD839B9" w14:textId="77777777" w:rsidR="002D358F" w:rsidRPr="002D358F" w:rsidRDefault="002D358F" w:rsidP="002D358F">
      <w:p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Pagalbinės medžiagos yra laktozė monohidratas, mikrokristalinė celiuliozė, kroskarmeliozės natrio druska, magnio stearatas, bevandenis koloidinis silicio dioksidas.</w:t>
      </w:r>
    </w:p>
    <w:p w14:paraId="452B20B5"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2292A9EE"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u w:val="single"/>
          <w:lang w:val="en-GB"/>
        </w:rPr>
      </w:pPr>
      <w:r w:rsidRPr="002D358F">
        <w:rPr>
          <w:rFonts w:ascii="Times New Roman" w:eastAsia="Times New Roman" w:hAnsi="Times New Roman" w:cs="Times New Roman"/>
          <w:snapToGrid w:val="0"/>
          <w:szCs w:val="20"/>
          <w:u w:val="single"/>
          <w:lang w:val="en-GB"/>
        </w:rPr>
        <w:t>Kalcio/vitamino D tabletės</w:t>
      </w:r>
    </w:p>
    <w:p w14:paraId="6F8DD1B2" w14:textId="77777777" w:rsidR="002D358F" w:rsidRPr="002D358F" w:rsidRDefault="002D358F" w:rsidP="002D358F">
      <w:p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Kiekvienoje tabletėje yra kalcio karbonato, atitinkančio 500 mg kalcio, ir kolekalciferolio (vitamino D</w:t>
      </w:r>
      <w:r w:rsidRPr="002D358F">
        <w:rPr>
          <w:rFonts w:ascii="Times New Roman" w:eastAsia="Times New Roman" w:hAnsi="Times New Roman" w:cs="Times New Roman"/>
          <w:snapToGrid w:val="0"/>
          <w:szCs w:val="20"/>
          <w:vertAlign w:val="subscript"/>
          <w:lang w:val="en-GB"/>
        </w:rPr>
        <w:t>3</w:t>
      </w:r>
      <w:r w:rsidRPr="002D358F">
        <w:rPr>
          <w:rFonts w:ascii="Times New Roman" w:eastAsia="Times New Roman" w:hAnsi="Times New Roman" w:cs="Times New Roman"/>
          <w:snapToGrid w:val="0"/>
          <w:szCs w:val="20"/>
          <w:lang w:val="en-GB"/>
        </w:rPr>
        <w:t>) 800 TV (20 mikrogramų).</w:t>
      </w:r>
    </w:p>
    <w:p w14:paraId="2EB28962" w14:textId="77777777" w:rsidR="002D358F" w:rsidRPr="002D358F" w:rsidRDefault="002D358F" w:rsidP="002D358F">
      <w:pPr>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Pagalbinės medžiagos. </w:t>
      </w:r>
      <w:r w:rsidRPr="002D358F">
        <w:rPr>
          <w:rFonts w:ascii="Times New Roman" w:eastAsia="Times New Roman" w:hAnsi="Times New Roman" w:cs="Times New Roman"/>
          <w:i/>
          <w:snapToGrid w:val="0"/>
          <w:szCs w:val="20"/>
          <w:lang w:val="en-GB"/>
        </w:rPr>
        <w:t>Šerdis:</w:t>
      </w:r>
      <w:r w:rsidRPr="002D358F">
        <w:rPr>
          <w:rFonts w:ascii="Times New Roman" w:eastAsia="Times New Roman" w:hAnsi="Times New Roman" w:cs="Times New Roman"/>
          <w:snapToGrid w:val="0"/>
          <w:szCs w:val="20"/>
          <w:lang w:val="en-GB"/>
        </w:rPr>
        <w:t xml:space="preserve"> maltodekstrinas, kroskarmeliozės natrio druska, bevandenis koloidinis silicio dioksidas, magnio stearatas, visų racematų alfa-tokoferolis, sacharozė, vidutinės grandinės trigliceridai, krakmolo natrio oktenilsukcinatas (E 1450), silicio dioksidas, natrio askorbatas; p</w:t>
      </w:r>
      <w:r w:rsidRPr="002D358F">
        <w:rPr>
          <w:rFonts w:ascii="Times New Roman" w:eastAsia="Times New Roman" w:hAnsi="Times New Roman" w:cs="Times New Roman"/>
          <w:i/>
          <w:snapToGrid w:val="0"/>
          <w:szCs w:val="20"/>
          <w:lang w:val="en-GB"/>
        </w:rPr>
        <w:t>lėvelė:</w:t>
      </w:r>
      <w:r w:rsidRPr="002D358F">
        <w:rPr>
          <w:rFonts w:ascii="Times New Roman" w:eastAsia="Times New Roman" w:hAnsi="Times New Roman" w:cs="Times New Roman"/>
          <w:snapToGrid w:val="0"/>
          <w:szCs w:val="20"/>
          <w:lang w:val="en-GB"/>
        </w:rPr>
        <w:t xml:space="preserve"> hipromeliozė, makrogolis, parafinas.</w:t>
      </w:r>
    </w:p>
    <w:p w14:paraId="124D47D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39CA221B"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Tridepos išvaizda ir kiekis pakuotėje</w:t>
      </w:r>
    </w:p>
    <w:p w14:paraId="1A8B2A39"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Tridepos pateikiamas kombinuotoje dėklo tipo pakuotėje, kurioje yra dviejų tipų tabletės vienos savaitės gydymo ciklui. Pakuotėje yra 1 alendronato tabletė ir 6 kalcio/vitamin D tabletės kartu su šio vaisto vartojimo instrukcija.</w:t>
      </w:r>
    </w:p>
    <w:p w14:paraId="67DF79F6"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0356C77C"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1 alendronato tabletė</w:t>
      </w:r>
    </w:p>
    <w:p w14:paraId="332F8FD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Balta, pailga, abipus išgaubtos formos tabletė (5,5 x 11,5 mm). Alendronato tabletės yra mažesnės nei kalcio/vitamino D tabletės.</w:t>
      </w:r>
    </w:p>
    <w:p w14:paraId="42AE73B0"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39990A71"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6 kalcio/vitamino D tabletės</w:t>
      </w:r>
    </w:p>
    <w:p w14:paraId="3F32734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Balta ar beveik balta, gali būti su taškeliais, ovalios formos plėvele dengta tabletė, ant kurios išraižyta „R150“ (8,5 x 19 mm). Kalcio/vitamino D tabletės yra didesnės nei alendronato tabletės.</w:t>
      </w:r>
    </w:p>
    <w:p w14:paraId="0D7D700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03F21A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Tiekiamos pakuotės:</w:t>
      </w:r>
    </w:p>
    <w:p w14:paraId="30FA88C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4-ių dėklų pakuotė (4 alendronato tabletės ir 24 kalcio/kolekalciferolio tabletės).</w:t>
      </w:r>
    </w:p>
    <w:p w14:paraId="165D882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12-os dėklų pakuotė (12 alendronato tablečių ir 72 kalcio/kolekalciferolio tabletės).</w:t>
      </w:r>
    </w:p>
    <w:p w14:paraId="1D3D9F9B"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6020C9CF"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
          <w:bCs/>
          <w:snapToGrid w:val="0"/>
          <w:sz w:val="28"/>
          <w:szCs w:val="28"/>
          <w:lang w:val="en-GB"/>
        </w:rPr>
      </w:pPr>
      <w:r w:rsidRPr="002D358F">
        <w:rPr>
          <w:rFonts w:ascii="Times New Roman" w:eastAsia="Times New Roman" w:hAnsi="Times New Roman" w:cs="Times New Roman"/>
          <w:bCs/>
          <w:snapToGrid w:val="0"/>
          <w:szCs w:val="28"/>
          <w:lang w:val="en-GB"/>
        </w:rPr>
        <w:t>Gali būti tiekiamos ne visų dydžių pakuotės.</w:t>
      </w:r>
    </w:p>
    <w:p w14:paraId="64EAF57F"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24D8E72C" w14:textId="77777777" w:rsidR="002D358F" w:rsidRPr="002D358F" w:rsidRDefault="002D358F" w:rsidP="002D358F">
      <w:pPr>
        <w:keepNext/>
        <w:tabs>
          <w:tab w:val="left" w:pos="567"/>
        </w:tabs>
        <w:spacing w:after="0" w:line="260" w:lineRule="exact"/>
        <w:jc w:val="both"/>
        <w:outlineLvl w:val="3"/>
        <w:rPr>
          <w:rFonts w:ascii="Calibri" w:eastAsia="Times New Roman" w:hAnsi="Calibri" w:cs="Times New Roman"/>
          <w:bCs/>
          <w:snapToGrid w:val="0"/>
          <w:sz w:val="28"/>
          <w:szCs w:val="28"/>
          <w:lang w:val="en-GB"/>
        </w:rPr>
      </w:pPr>
      <w:r w:rsidRPr="002D358F">
        <w:rPr>
          <w:rFonts w:ascii="Times New Roman" w:eastAsia="Times New Roman" w:hAnsi="Times New Roman" w:cs="Times New Roman"/>
          <w:b/>
          <w:bCs/>
          <w:snapToGrid w:val="0"/>
          <w:szCs w:val="28"/>
          <w:lang w:val="en-GB"/>
        </w:rPr>
        <w:t>Registruotojas ir gamintojas</w:t>
      </w:r>
    </w:p>
    <w:p w14:paraId="30295B40"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3D9E7F0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Registruotojas</w:t>
      </w:r>
    </w:p>
    <w:p w14:paraId="047C85D8"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SIA Meda Pharma</w:t>
      </w:r>
    </w:p>
    <w:p w14:paraId="38274F77" w14:textId="77777777" w:rsidR="002D358F" w:rsidRPr="00541E3E" w:rsidRDefault="002D358F" w:rsidP="002D358F">
      <w:pPr>
        <w:tabs>
          <w:tab w:val="left" w:pos="567"/>
        </w:tabs>
        <w:spacing w:after="0" w:line="260" w:lineRule="exact"/>
        <w:rPr>
          <w:rFonts w:ascii="Times New Roman" w:hAnsi="Times New Roman"/>
        </w:rPr>
      </w:pPr>
      <w:r w:rsidRPr="002D358F">
        <w:rPr>
          <w:rFonts w:ascii="Times New Roman" w:eastAsia="Times New Roman" w:hAnsi="Times New Roman" w:cs="Times New Roman"/>
          <w:bCs/>
          <w:snapToGrid w:val="0"/>
          <w:szCs w:val="20"/>
          <w:lang w:val="en-GB"/>
        </w:rPr>
        <w:t>Mūkusalas 101</w:t>
      </w:r>
    </w:p>
    <w:p w14:paraId="57205136"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color w:val="000000"/>
          <w:szCs w:val="20"/>
          <w:lang w:val="en-GB"/>
        </w:rPr>
        <w:t>Rīga</w:t>
      </w:r>
      <w:r w:rsidRPr="002D358F">
        <w:rPr>
          <w:rFonts w:ascii="Times New Roman" w:eastAsia="Times New Roman" w:hAnsi="Times New Roman" w:cs="Times New Roman"/>
          <w:snapToGrid w:val="0"/>
          <w:szCs w:val="20"/>
          <w:lang w:val="en-GB"/>
        </w:rPr>
        <w:t xml:space="preserve"> LV-</w:t>
      </w:r>
      <w:r w:rsidRPr="002D358F">
        <w:rPr>
          <w:rFonts w:ascii="Times New Roman" w:eastAsia="Times New Roman" w:hAnsi="Times New Roman" w:cs="Times New Roman"/>
          <w:bCs/>
          <w:snapToGrid w:val="0"/>
          <w:szCs w:val="20"/>
          <w:lang w:val="en-GB"/>
        </w:rPr>
        <w:t>1004</w:t>
      </w:r>
    </w:p>
    <w:p w14:paraId="0DD85B50" w14:textId="77777777" w:rsidR="002D358F" w:rsidRPr="00C705A4" w:rsidRDefault="002D358F" w:rsidP="002D358F">
      <w:pPr>
        <w:spacing w:after="0" w:line="240" w:lineRule="auto"/>
        <w:rPr>
          <w:rFonts w:ascii="Calibri" w:hAnsi="Calibri"/>
          <w:lang w:val="lt-LT"/>
        </w:rPr>
      </w:pPr>
      <w:r w:rsidRPr="00C705A4">
        <w:rPr>
          <w:rFonts w:ascii="Times New Roman" w:hAnsi="Times New Roman"/>
          <w:lang w:val="lt-LT"/>
        </w:rPr>
        <w:t>Latvija</w:t>
      </w:r>
    </w:p>
    <w:p w14:paraId="4033C59C" w14:textId="77777777" w:rsidR="002D358F" w:rsidRPr="00C705A4" w:rsidRDefault="002D358F" w:rsidP="002D358F">
      <w:pPr>
        <w:tabs>
          <w:tab w:val="left" w:pos="1296"/>
        </w:tabs>
        <w:spacing w:after="0" w:line="240" w:lineRule="auto"/>
        <w:rPr>
          <w:rFonts w:ascii="Times New Roman" w:hAnsi="Times New Roman"/>
          <w:lang w:val="lt-LT"/>
        </w:rPr>
      </w:pPr>
      <w:r w:rsidRPr="002D358F">
        <w:rPr>
          <w:rFonts w:ascii="Times New Roman" w:eastAsia="Times New Roman" w:hAnsi="Times New Roman" w:cs="Times New Roman"/>
          <w:snapToGrid w:val="0"/>
          <w:szCs w:val="20"/>
          <w:lang w:val="en-GB"/>
        </w:rPr>
        <w:t>Tel.: +371 67616137</w:t>
      </w:r>
    </w:p>
    <w:p w14:paraId="1D30B855" w14:textId="77777777" w:rsidR="002D358F" w:rsidRPr="002D358F" w:rsidRDefault="002D358F" w:rsidP="002D358F">
      <w:pPr>
        <w:tabs>
          <w:tab w:val="left" w:pos="1296"/>
        </w:tabs>
        <w:spacing w:after="0" w:line="240" w:lineRule="auto"/>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 xml:space="preserve">Faksas: +371 66117360 </w:t>
      </w:r>
    </w:p>
    <w:p w14:paraId="711C535E" w14:textId="77777777" w:rsidR="002D358F" w:rsidRPr="00C705A4" w:rsidRDefault="002D358F" w:rsidP="002D358F">
      <w:pPr>
        <w:tabs>
          <w:tab w:val="left" w:pos="567"/>
        </w:tabs>
        <w:spacing w:after="0" w:line="260" w:lineRule="exact"/>
        <w:rPr>
          <w:rFonts w:ascii="Calibri" w:hAnsi="Calibri"/>
          <w:lang w:val="lt-LT"/>
        </w:rPr>
      </w:pPr>
      <w:r w:rsidRPr="00C705A4">
        <w:rPr>
          <w:rFonts w:ascii="Times New Roman" w:hAnsi="Times New Roman"/>
          <w:lang w:val="lt-LT"/>
        </w:rPr>
        <w:t xml:space="preserve">El. paštas: </w:t>
      </w:r>
      <w:hyperlink r:id="rId13" w:history="1">
        <w:r w:rsidRPr="00C705A4">
          <w:rPr>
            <w:rFonts w:ascii="Times New Roman" w:hAnsi="Times New Roman"/>
            <w:color w:val="0000FF"/>
            <w:u w:val="single"/>
            <w:lang w:val="lt-LT"/>
          </w:rPr>
          <w:t>info.bb</w:t>
        </w:r>
        <w:r w:rsidRPr="002D358F">
          <w:rPr>
            <w:rFonts w:ascii="Times New Roman" w:eastAsia="Times New Roman" w:hAnsi="Times New Roman" w:cs="Times New Roman"/>
            <w:snapToGrid w:val="0"/>
            <w:color w:val="0000FF"/>
            <w:szCs w:val="20"/>
            <w:u w:val="single"/>
            <w:lang w:val="en-GB"/>
          </w:rPr>
          <w:t>@medapharma.eu</w:t>
        </w:r>
      </w:hyperlink>
    </w:p>
    <w:p w14:paraId="66B729B8"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1BC85954"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i/>
          <w:snapToGrid w:val="0"/>
          <w:szCs w:val="20"/>
          <w:lang w:val="en-GB"/>
        </w:rPr>
      </w:pPr>
      <w:r w:rsidRPr="002D358F">
        <w:rPr>
          <w:rFonts w:ascii="Times New Roman" w:eastAsia="Times New Roman" w:hAnsi="Times New Roman" w:cs="Times New Roman"/>
          <w:i/>
          <w:snapToGrid w:val="0"/>
          <w:szCs w:val="20"/>
          <w:lang w:val="en-GB"/>
        </w:rPr>
        <w:t>Gamintojas</w:t>
      </w:r>
    </w:p>
    <w:p w14:paraId="7017AB0D" w14:textId="77777777" w:rsidR="002D358F" w:rsidRPr="00C705A4" w:rsidRDefault="002D358F" w:rsidP="002D358F">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Meda Pharma GmbH &amp; Co. KG</w:t>
      </w:r>
    </w:p>
    <w:p w14:paraId="570A131F" w14:textId="77777777" w:rsidR="002D358F" w:rsidRPr="00C705A4" w:rsidRDefault="002D358F" w:rsidP="002D358F">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Benzstrasse 1</w:t>
      </w:r>
    </w:p>
    <w:p w14:paraId="388C80C7" w14:textId="77777777" w:rsidR="002D358F" w:rsidRPr="00C705A4" w:rsidRDefault="002D358F" w:rsidP="002D358F">
      <w:pPr>
        <w:autoSpaceDE w:val="0"/>
        <w:autoSpaceDN w:val="0"/>
        <w:adjustRightInd w:val="0"/>
        <w:spacing w:after="0" w:line="240" w:lineRule="auto"/>
        <w:rPr>
          <w:rFonts w:ascii="Times New Roman" w:hAnsi="Times New Roman"/>
          <w:color w:val="000000"/>
          <w:sz w:val="24"/>
          <w:lang w:val="lt-LT"/>
        </w:rPr>
      </w:pPr>
      <w:r w:rsidRPr="00C705A4">
        <w:rPr>
          <w:rFonts w:ascii="Times New Roman" w:hAnsi="Times New Roman"/>
          <w:color w:val="000000"/>
          <w:lang w:val="lt-LT"/>
        </w:rPr>
        <w:t>61352 Bad Homburg</w:t>
      </w:r>
    </w:p>
    <w:p w14:paraId="01351715"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Vokietija</w:t>
      </w:r>
    </w:p>
    <w:p w14:paraId="6CC32A5D"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163D124C" w14:textId="77777777" w:rsidR="002D358F" w:rsidRPr="002D358F" w:rsidRDefault="002D358F" w:rsidP="002D358F">
      <w:pPr>
        <w:numPr>
          <w:ilvl w:val="12"/>
          <w:numId w:val="0"/>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Jeigu apie šį vaistą norite sužinoti daugiau, kreipkitės į vietinį registruotojo atstovą:</w:t>
      </w:r>
    </w:p>
    <w:p w14:paraId="3FF3AAD3" w14:textId="77777777" w:rsidR="002D358F" w:rsidRPr="002D358F" w:rsidRDefault="002D358F" w:rsidP="002D358F">
      <w:pPr>
        <w:tabs>
          <w:tab w:val="left" w:pos="567"/>
        </w:tabs>
        <w:spacing w:after="0" w:line="240" w:lineRule="auto"/>
        <w:rPr>
          <w:rFonts w:ascii="Times New Roman" w:eastAsia="Times New Roman" w:hAnsi="Times New Roman" w:cs="Times New Roman"/>
          <w:snapToGrid w:val="0"/>
          <w:szCs w:val="20"/>
          <w:lang w:val="en-GB"/>
        </w:rPr>
      </w:pPr>
    </w:p>
    <w:p w14:paraId="01ED49DB"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SIA Meda Pharma</w:t>
      </w:r>
    </w:p>
    <w:p w14:paraId="07370AF0"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Ukmergės 369A</w:t>
      </w:r>
    </w:p>
    <w:p w14:paraId="65AB4B64"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lastRenderedPageBreak/>
        <w:t>LT-12142 Vilnius</w:t>
      </w:r>
    </w:p>
    <w:p w14:paraId="7778209E"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Tel.: +370 52059367</w:t>
      </w:r>
    </w:p>
    <w:p w14:paraId="5688547E"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El. paštas: info.bb</w:t>
      </w:r>
      <w:r w:rsidRPr="00541E3E">
        <w:rPr>
          <w:rFonts w:ascii="Times New Roman" w:hAnsi="Times New Roman"/>
        </w:rPr>
        <w:t>@</w:t>
      </w:r>
      <w:r w:rsidRPr="00C705A4">
        <w:rPr>
          <w:rFonts w:ascii="Times New Roman" w:hAnsi="Times New Roman"/>
          <w:lang w:val="lt-LT"/>
        </w:rPr>
        <w:t>medapharma.eu</w:t>
      </w:r>
      <w:r w:rsidRPr="002D358F">
        <w:rPr>
          <w:rFonts w:ascii="Times New Roman" w:eastAsia="Times New Roman" w:hAnsi="Times New Roman" w:cs="Times New Roman"/>
          <w:snapToGrid w:val="0"/>
          <w:szCs w:val="20"/>
          <w:lang w:val="en-GB"/>
        </w:rPr>
        <w:t xml:space="preserve"> </w:t>
      </w:r>
    </w:p>
    <w:p w14:paraId="471E52CB"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snapToGrid w:val="0"/>
          <w:szCs w:val="20"/>
          <w:lang w:val="en-GB"/>
        </w:rPr>
      </w:pPr>
    </w:p>
    <w:p w14:paraId="715B1A99" w14:textId="77777777" w:rsidR="002D358F" w:rsidRPr="00C705A4" w:rsidRDefault="002D358F" w:rsidP="002D358F">
      <w:pPr>
        <w:numPr>
          <w:ilvl w:val="12"/>
          <w:numId w:val="0"/>
        </w:numPr>
        <w:tabs>
          <w:tab w:val="left" w:pos="1296"/>
        </w:tabs>
        <w:spacing w:after="0" w:line="240" w:lineRule="auto"/>
        <w:ind w:right="-2"/>
        <w:rPr>
          <w:rFonts w:ascii="Calibri" w:hAnsi="Calibri"/>
          <w:b/>
          <w:lang w:val="lt-LT"/>
        </w:rPr>
      </w:pPr>
      <w:r w:rsidRPr="00C705A4">
        <w:rPr>
          <w:rFonts w:ascii="Times New Roman" w:hAnsi="Times New Roman"/>
          <w:b/>
          <w:lang w:val="lt-LT"/>
        </w:rPr>
        <w:t>Šis vaistas EEE valstybėse narėse registruotas tokiais pavadinimais</w:t>
      </w:r>
      <w:r w:rsidRPr="002D358F">
        <w:rPr>
          <w:rFonts w:ascii="Times New Roman" w:eastAsia="Times New Roman" w:hAnsi="Times New Roman" w:cs="Times New Roman"/>
          <w:b/>
          <w:snapToGrid w:val="0"/>
          <w:szCs w:val="20"/>
          <w:lang w:val="en-GB"/>
        </w:rPr>
        <w:t>:</w:t>
      </w:r>
    </w:p>
    <w:p w14:paraId="4F184C27"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color w:val="17375E"/>
          <w:szCs w:val="20"/>
          <w:lang w:val="hr-HR"/>
        </w:rPr>
      </w:pPr>
    </w:p>
    <w:p w14:paraId="722E55A6" w14:textId="77777777" w:rsidR="002D358F" w:rsidRPr="00541E3E" w:rsidRDefault="002D358F" w:rsidP="002D358F">
      <w:pPr>
        <w:tabs>
          <w:tab w:val="left" w:pos="567"/>
        </w:tabs>
        <w:spacing w:after="0" w:line="260" w:lineRule="exact"/>
        <w:rPr>
          <w:rFonts w:ascii="Times New Roman" w:hAnsi="Times New Roman"/>
        </w:rPr>
      </w:pPr>
      <w:r w:rsidRPr="002D358F">
        <w:rPr>
          <w:rFonts w:ascii="Times New Roman" w:eastAsia="Times New Roman" w:hAnsi="Times New Roman" w:cs="Times New Roman"/>
          <w:snapToGrid w:val="0"/>
          <w:szCs w:val="20"/>
          <w:lang w:val="hr-HR"/>
        </w:rPr>
        <w:t xml:space="preserve">Austrija: </w:t>
      </w:r>
      <w:r w:rsidRPr="00541E3E">
        <w:rPr>
          <w:rFonts w:ascii="Times New Roman" w:hAnsi="Times New Roman"/>
        </w:rPr>
        <w:t xml:space="preserve">Tridepos 70 mg + 500 mg/800 I.E. Tabletten. </w:t>
      </w:r>
    </w:p>
    <w:p w14:paraId="7698A734"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hr-HR"/>
        </w:rPr>
      </w:pPr>
    </w:p>
    <w:p w14:paraId="5953774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hr-HR"/>
        </w:rPr>
      </w:pPr>
      <w:r w:rsidRPr="002D358F">
        <w:rPr>
          <w:rFonts w:ascii="Times New Roman" w:eastAsia="Times New Roman" w:hAnsi="Times New Roman" w:cs="Times New Roman"/>
          <w:snapToGrid w:val="0"/>
          <w:szCs w:val="20"/>
          <w:lang w:val="hr-HR"/>
        </w:rPr>
        <w:t>Kroatija: Tridepos 70 mg tablete + 500 mg/800 IU filmom obložene tablete</w:t>
      </w:r>
    </w:p>
    <w:p w14:paraId="72144665"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0EDD7BD8" w14:textId="77777777" w:rsidR="002D358F" w:rsidRPr="00541E3E" w:rsidRDefault="002D358F" w:rsidP="002D358F">
      <w:pPr>
        <w:tabs>
          <w:tab w:val="left" w:pos="567"/>
        </w:tabs>
        <w:spacing w:after="0" w:line="260" w:lineRule="exact"/>
        <w:rPr>
          <w:rFonts w:ascii="Times New Roman" w:hAnsi="Times New Roman"/>
        </w:rPr>
      </w:pPr>
      <w:r w:rsidRPr="002D358F">
        <w:rPr>
          <w:rFonts w:ascii="Times New Roman" w:eastAsia="Times New Roman" w:hAnsi="Times New Roman" w:cs="Times New Roman"/>
          <w:snapToGrid w:val="0"/>
          <w:szCs w:val="20"/>
          <w:lang w:val="en-GB"/>
        </w:rPr>
        <w:t xml:space="preserve">Švedija: </w:t>
      </w:r>
      <w:r w:rsidRPr="00541E3E">
        <w:rPr>
          <w:rFonts w:ascii="Times New Roman" w:hAnsi="Times New Roman"/>
        </w:rPr>
        <w:t xml:space="preserve">Tridepos 70 mg + 500 mg/800 IE tabletter. </w:t>
      </w:r>
    </w:p>
    <w:p w14:paraId="61E4B75A"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b/>
          <w:snapToGrid w:val="0"/>
          <w:szCs w:val="20"/>
          <w:lang w:val="en-GB"/>
        </w:rPr>
      </w:pPr>
    </w:p>
    <w:p w14:paraId="1E5AE624" w14:textId="77777777" w:rsidR="002D358F" w:rsidRPr="002D358F" w:rsidRDefault="002D358F" w:rsidP="002D358F">
      <w:pPr>
        <w:numPr>
          <w:ilvl w:val="12"/>
          <w:numId w:val="0"/>
        </w:numPr>
        <w:spacing w:after="0" w:line="240" w:lineRule="auto"/>
        <w:ind w:right="-2"/>
        <w:rPr>
          <w:rFonts w:ascii="Times New Roman" w:eastAsia="Times New Roman" w:hAnsi="Times New Roman" w:cs="Times New Roman"/>
          <w:b/>
          <w:snapToGrid w:val="0"/>
          <w:szCs w:val="20"/>
          <w:lang w:val="en-GB"/>
        </w:rPr>
      </w:pPr>
    </w:p>
    <w:p w14:paraId="203BC2E1" w14:textId="237313A6" w:rsidR="002D358F" w:rsidRPr="002D358F" w:rsidRDefault="002D358F" w:rsidP="002D358F">
      <w:pPr>
        <w:numPr>
          <w:ilvl w:val="12"/>
          <w:numId w:val="0"/>
        </w:numPr>
        <w:spacing w:after="0" w:line="240" w:lineRule="auto"/>
        <w:ind w:right="-2"/>
        <w:rPr>
          <w:rFonts w:ascii="Times New Roman" w:eastAsia="Times New Roman" w:hAnsi="Times New Roman" w:cs="Times New Roman"/>
          <w:b/>
          <w:snapToGrid w:val="0"/>
          <w:szCs w:val="20"/>
          <w:lang w:val="en-GB"/>
        </w:rPr>
      </w:pPr>
      <w:r w:rsidRPr="002D358F">
        <w:rPr>
          <w:rFonts w:ascii="Times New Roman" w:eastAsia="Times New Roman" w:hAnsi="Times New Roman" w:cs="Times New Roman"/>
          <w:b/>
          <w:snapToGrid w:val="0"/>
          <w:szCs w:val="20"/>
          <w:lang w:val="en-GB"/>
        </w:rPr>
        <w:t xml:space="preserve">Šis pakuotės lapelis paskutinį kartą peržiūrėtas </w:t>
      </w:r>
      <w:r w:rsidR="00C705A4">
        <w:rPr>
          <w:rFonts w:ascii="Times New Roman" w:eastAsia="Times New Roman" w:hAnsi="Times New Roman" w:cs="Times New Roman"/>
          <w:b/>
          <w:snapToGrid w:val="0"/>
          <w:szCs w:val="20"/>
          <w:lang w:val="en-GB"/>
        </w:rPr>
        <w:t>2018-10-10.</w:t>
      </w:r>
    </w:p>
    <w:p w14:paraId="2FAFF660" w14:textId="77777777" w:rsidR="002D358F" w:rsidRPr="002D358F" w:rsidRDefault="002D358F" w:rsidP="002D358F">
      <w:pPr>
        <w:numPr>
          <w:ilvl w:val="12"/>
          <w:numId w:val="0"/>
        </w:numPr>
        <w:tabs>
          <w:tab w:val="left" w:pos="567"/>
        </w:tabs>
        <w:spacing w:after="0" w:line="240" w:lineRule="auto"/>
        <w:ind w:right="-2"/>
        <w:rPr>
          <w:rFonts w:ascii="Times New Roman" w:eastAsia="Times New Roman" w:hAnsi="Times New Roman" w:cs="Times New Roman"/>
          <w:i/>
          <w:snapToGrid w:val="0"/>
          <w:color w:val="008000"/>
          <w:szCs w:val="20"/>
          <w:lang w:val="en-GB"/>
        </w:rPr>
      </w:pPr>
    </w:p>
    <w:p w14:paraId="0C8B830A" w14:textId="77777777" w:rsidR="002D358F" w:rsidRPr="002D358F" w:rsidRDefault="002D358F" w:rsidP="002D358F">
      <w:pPr>
        <w:numPr>
          <w:ilvl w:val="12"/>
          <w:numId w:val="0"/>
        </w:numPr>
        <w:tabs>
          <w:tab w:val="left" w:pos="567"/>
        </w:tabs>
        <w:spacing w:after="0" w:line="240" w:lineRule="auto"/>
        <w:ind w:right="-2"/>
        <w:rPr>
          <w:rFonts w:ascii="Times New Roman" w:eastAsia="Times New Roman" w:hAnsi="Times New Roman" w:cs="Times New Roman"/>
          <w:i/>
          <w:snapToGrid w:val="0"/>
          <w:color w:val="008000"/>
          <w:szCs w:val="20"/>
          <w:lang w:val="en-GB"/>
        </w:rPr>
      </w:pPr>
    </w:p>
    <w:p w14:paraId="5F2ED905" w14:textId="77777777" w:rsidR="002D358F" w:rsidRPr="002D358F" w:rsidRDefault="002D358F" w:rsidP="002D358F">
      <w:pPr>
        <w:numPr>
          <w:ilvl w:val="12"/>
          <w:numId w:val="0"/>
        </w:numPr>
        <w:tabs>
          <w:tab w:val="left" w:pos="567"/>
        </w:tabs>
        <w:spacing w:after="0" w:line="240" w:lineRule="auto"/>
        <w:ind w:right="-2"/>
        <w:rPr>
          <w:rFonts w:ascii="Times New Roman" w:eastAsia="Times New Roman" w:hAnsi="Times New Roman" w:cs="Times New Roman"/>
          <w:snapToGrid w:val="0"/>
          <w:szCs w:val="20"/>
          <w:lang w:val="en-GB"/>
        </w:rPr>
      </w:pPr>
      <w:r w:rsidRPr="002D358F">
        <w:rPr>
          <w:rFonts w:ascii="Times New Roman" w:eastAsia="Times New Roman" w:hAnsi="Times New Roman" w:cs="Times New Roman"/>
          <w:snapToGrid w:val="0"/>
          <w:szCs w:val="20"/>
          <w:lang w:val="en-GB"/>
        </w:rPr>
        <w:t>Išsami informacija apie šį vaistą pateikiama Valstybinės vaistų kontrolės tarnybos prie Lietuvos Respublikos sveikatos apsaugos ministerijos tinklalapyje</w:t>
      </w:r>
      <w:r w:rsidRPr="002D358F">
        <w:rPr>
          <w:rFonts w:ascii="Times New Roman" w:eastAsia="Times New Roman" w:hAnsi="Times New Roman" w:cs="Times New Roman"/>
          <w:i/>
          <w:snapToGrid w:val="0"/>
          <w:szCs w:val="20"/>
          <w:lang w:val="en-GB"/>
        </w:rPr>
        <w:t xml:space="preserve"> </w:t>
      </w:r>
      <w:hyperlink r:id="rId14" w:history="1">
        <w:r w:rsidRPr="002D358F">
          <w:rPr>
            <w:rFonts w:ascii="Times New Roman" w:eastAsia="SimSun" w:hAnsi="Times New Roman" w:cs="Times New Roman"/>
            <w:snapToGrid w:val="0"/>
            <w:color w:val="0000FF"/>
            <w:szCs w:val="20"/>
            <w:u w:val="single"/>
            <w:lang w:val="en-GB"/>
          </w:rPr>
          <w:t>http://www.vvkt.lt/</w:t>
        </w:r>
      </w:hyperlink>
      <w:r w:rsidRPr="002D358F">
        <w:rPr>
          <w:rFonts w:ascii="Times New Roman" w:eastAsia="Times New Roman" w:hAnsi="Times New Roman" w:cs="Times New Roman"/>
          <w:snapToGrid w:val="0"/>
          <w:szCs w:val="20"/>
          <w:lang w:val="en-GB"/>
        </w:rPr>
        <w:t>.</w:t>
      </w:r>
    </w:p>
    <w:p w14:paraId="23486C1C" w14:textId="77777777" w:rsidR="002D358F" w:rsidRPr="00C705A4" w:rsidRDefault="002D358F" w:rsidP="002D358F">
      <w:pPr>
        <w:tabs>
          <w:tab w:val="left" w:pos="5954"/>
          <w:tab w:val="left" w:pos="6237"/>
          <w:tab w:val="left" w:pos="6663"/>
          <w:tab w:val="left" w:pos="6946"/>
        </w:tabs>
        <w:spacing w:after="0" w:line="240" w:lineRule="auto"/>
        <w:jc w:val="center"/>
        <w:rPr>
          <w:rFonts w:ascii="Courier New" w:hAnsi="Courier New"/>
          <w:sz w:val="20"/>
          <w:lang w:val="lt-LT"/>
        </w:rPr>
      </w:pPr>
    </w:p>
    <w:p w14:paraId="2C68391A" w14:textId="77777777" w:rsidR="002D358F" w:rsidRPr="002D358F" w:rsidRDefault="002D358F" w:rsidP="002D358F">
      <w:pPr>
        <w:tabs>
          <w:tab w:val="left" w:pos="567"/>
        </w:tabs>
        <w:spacing w:after="0" w:line="260" w:lineRule="exact"/>
        <w:rPr>
          <w:rFonts w:ascii="Times New Roman" w:eastAsia="Times New Roman" w:hAnsi="Times New Roman" w:cs="Times New Roman"/>
          <w:snapToGrid w:val="0"/>
          <w:szCs w:val="20"/>
          <w:lang w:val="en-GB"/>
        </w:rPr>
      </w:pPr>
    </w:p>
    <w:p w14:paraId="35636680" w14:textId="77777777" w:rsidR="00332440" w:rsidRDefault="00332440"/>
    <w:sectPr w:rsidR="00332440" w:rsidSect="000F55E2">
      <w:footerReference w:type="default" r:id="rId15"/>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9561C" w14:textId="77777777" w:rsidR="00541E3E" w:rsidRDefault="00541E3E">
      <w:pPr>
        <w:spacing w:after="0" w:line="240" w:lineRule="auto"/>
      </w:pPr>
      <w:r>
        <w:separator/>
      </w:r>
    </w:p>
  </w:endnote>
  <w:endnote w:type="continuationSeparator" w:id="0">
    <w:p w14:paraId="5D45DB10" w14:textId="77777777" w:rsidR="00541E3E" w:rsidRDefault="00541E3E">
      <w:pPr>
        <w:spacing w:after="0" w:line="240" w:lineRule="auto"/>
      </w:pPr>
      <w:r>
        <w:continuationSeparator/>
      </w:r>
    </w:p>
  </w:endnote>
  <w:endnote w:type="continuationNotice" w:id="1">
    <w:p w14:paraId="223F7ED0" w14:textId="77777777" w:rsidR="00541E3E" w:rsidRDefault="00541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8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801965"/>
      <w:docPartObj>
        <w:docPartGallery w:val="Page Numbers (Bottom of Page)"/>
        <w:docPartUnique/>
      </w:docPartObj>
    </w:sdtPr>
    <w:sdtEndPr/>
    <w:sdtContent>
      <w:p w14:paraId="415FFDFD" w14:textId="77777777" w:rsidR="007E239A" w:rsidRDefault="002D358F">
        <w:pPr>
          <w:pStyle w:val="Porat"/>
          <w:jc w:val="center"/>
        </w:pPr>
        <w:r>
          <w:fldChar w:fldCharType="begin"/>
        </w:r>
        <w:r>
          <w:instrText>PAGE   \* MERGEFORMAT</w:instrText>
        </w:r>
        <w:r>
          <w:fldChar w:fldCharType="separate"/>
        </w:r>
        <w:r w:rsidR="005179F7" w:rsidRPr="005179F7">
          <w:rPr>
            <w:noProof/>
            <w:lang w:val="lt-LT"/>
          </w:rPr>
          <w:t>16</w:t>
        </w:r>
        <w:r>
          <w:fldChar w:fldCharType="end"/>
        </w:r>
      </w:p>
    </w:sdtContent>
  </w:sdt>
  <w:p w14:paraId="1A9FA350" w14:textId="77777777" w:rsidR="007E239A" w:rsidRDefault="005179F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7AEE6" w14:textId="77777777" w:rsidR="00541E3E" w:rsidRDefault="00541E3E">
      <w:pPr>
        <w:spacing w:after="0" w:line="240" w:lineRule="auto"/>
      </w:pPr>
      <w:r>
        <w:separator/>
      </w:r>
    </w:p>
  </w:footnote>
  <w:footnote w:type="continuationSeparator" w:id="0">
    <w:p w14:paraId="73A37091" w14:textId="77777777" w:rsidR="00541E3E" w:rsidRDefault="00541E3E">
      <w:pPr>
        <w:spacing w:after="0" w:line="240" w:lineRule="auto"/>
      </w:pPr>
      <w:r>
        <w:continuationSeparator/>
      </w:r>
    </w:p>
  </w:footnote>
  <w:footnote w:type="continuationNotice" w:id="1">
    <w:p w14:paraId="501F4293" w14:textId="77777777" w:rsidR="00541E3E" w:rsidRDefault="00541E3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E41FE"/>
    <w:multiLevelType w:val="hybridMultilevel"/>
    <w:tmpl w:val="CB42586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50D8A"/>
    <w:multiLevelType w:val="hybridMultilevel"/>
    <w:tmpl w:val="43A6A134"/>
    <w:lvl w:ilvl="0" w:tplc="04270001">
      <w:start w:val="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8A"/>
    <w:rsid w:val="00052443"/>
    <w:rsid w:val="001F2D1B"/>
    <w:rsid w:val="002D358F"/>
    <w:rsid w:val="00332440"/>
    <w:rsid w:val="005179F7"/>
    <w:rsid w:val="00541E3E"/>
    <w:rsid w:val="00756C3C"/>
    <w:rsid w:val="0077127A"/>
    <w:rsid w:val="007E4EFD"/>
    <w:rsid w:val="0089503F"/>
    <w:rsid w:val="00912C1C"/>
    <w:rsid w:val="00981B8A"/>
    <w:rsid w:val="00C705A4"/>
    <w:rsid w:val="00E15EE8"/>
    <w:rsid w:val="00FC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B6953-90C3-4798-9981-D623A657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D358F"/>
    <w:pPr>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qFormat/>
    <w:rsid w:val="002D358F"/>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qFormat/>
    <w:rsid w:val="002D358F"/>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qFormat/>
    <w:rsid w:val="002D358F"/>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qFormat/>
    <w:rsid w:val="002D358F"/>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2D358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qFormat/>
    <w:rsid w:val="002D358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2D358F"/>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rsid w:val="002D358F"/>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358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rsid w:val="002D358F"/>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rsid w:val="002D358F"/>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rsid w:val="002D358F"/>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rsid w:val="002D358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2D358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2D358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2D358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2D358F"/>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2D358F"/>
  </w:style>
  <w:style w:type="paragraph" w:styleId="Porat">
    <w:name w:val="footer"/>
    <w:basedOn w:val="prastasis"/>
    <w:link w:val="PoratDiagrama"/>
    <w:uiPriority w:val="99"/>
    <w:rsid w:val="002D358F"/>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2D358F"/>
    <w:rPr>
      <w:rFonts w:ascii="Times New Roman" w:eastAsia="Times New Roman" w:hAnsi="Times New Roman" w:cs="Times New Roman"/>
      <w:snapToGrid w:val="0"/>
      <w:szCs w:val="20"/>
      <w:lang w:val="en-GB"/>
    </w:rPr>
  </w:style>
  <w:style w:type="character" w:customStyle="1" w:styleId="HeaderChar">
    <w:name w:val="Header Char"/>
    <w:rsid w:val="002D358F"/>
    <w:rPr>
      <w:snapToGrid w:val="0"/>
      <w:sz w:val="22"/>
      <w:lang w:val="en-GB" w:eastAsia="en-US"/>
    </w:rPr>
  </w:style>
  <w:style w:type="character" w:styleId="Puslapionumeris">
    <w:name w:val="page number"/>
    <w:rsid w:val="002D358F"/>
    <w:rPr>
      <w:rFonts w:cs="Times New Roman"/>
    </w:rPr>
  </w:style>
  <w:style w:type="character" w:styleId="Hipersaitas">
    <w:name w:val="Hyperlink"/>
    <w:uiPriority w:val="99"/>
    <w:rsid w:val="002D358F"/>
    <w:rPr>
      <w:color w:val="0000FF"/>
      <w:u w:val="single"/>
    </w:rPr>
  </w:style>
  <w:style w:type="paragraph" w:customStyle="1" w:styleId="BodytextAgency">
    <w:name w:val="Body text (Agency)"/>
    <w:basedOn w:val="prastasis"/>
    <w:link w:val="BodytextAgencyChar"/>
    <w:uiPriority w:val="99"/>
    <w:rsid w:val="002D358F"/>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2D358F"/>
    <w:pPr>
      <w:spacing w:after="0" w:line="240" w:lineRule="auto"/>
    </w:pPr>
    <w:rPr>
      <w:rFonts w:ascii="Verdana" w:eastAsia="Times New Roman" w:hAnsi="Verdana" w:cs="Times New Roman"/>
      <w:snapToGrid w:val="0"/>
      <w:sz w:val="18"/>
      <w:lang w:val="en-GB" w:eastAsia="lv-LV"/>
    </w:rPr>
  </w:style>
  <w:style w:type="paragraph" w:customStyle="1" w:styleId="TabletextrowsAgency">
    <w:name w:val="Table text rows (Agency)"/>
    <w:basedOn w:val="prastasis"/>
    <w:uiPriority w:val="99"/>
    <w:rsid w:val="002D358F"/>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rsid w:val="002D358F"/>
    <w:rPr>
      <w:rFonts w:ascii="Courier New" w:hAnsi="Courier New"/>
      <w:color w:val="00FF00"/>
      <w:sz w:val="40"/>
    </w:rPr>
  </w:style>
  <w:style w:type="character" w:customStyle="1" w:styleId="tw4winTerm">
    <w:name w:val="tw4winTerm"/>
    <w:rsid w:val="002D358F"/>
    <w:rPr>
      <w:color w:val="0000FF"/>
    </w:rPr>
  </w:style>
  <w:style w:type="character" w:customStyle="1" w:styleId="tw4winPopup">
    <w:name w:val="tw4winPopup"/>
    <w:rsid w:val="002D358F"/>
    <w:rPr>
      <w:rFonts w:ascii="Courier New" w:hAnsi="Courier New"/>
      <w:noProof/>
      <w:color w:val="008000"/>
    </w:rPr>
  </w:style>
  <w:style w:type="character" w:customStyle="1" w:styleId="tw4winJump">
    <w:name w:val="tw4winJump"/>
    <w:rsid w:val="002D358F"/>
    <w:rPr>
      <w:rFonts w:ascii="Courier New" w:hAnsi="Courier New"/>
      <w:noProof/>
      <w:color w:val="008080"/>
    </w:rPr>
  </w:style>
  <w:style w:type="character" w:customStyle="1" w:styleId="tw4winExternal">
    <w:name w:val="tw4winExternal"/>
    <w:rsid w:val="002D358F"/>
    <w:rPr>
      <w:rFonts w:ascii="Courier New" w:hAnsi="Courier New"/>
      <w:noProof/>
      <w:color w:val="808080"/>
    </w:rPr>
  </w:style>
  <w:style w:type="character" w:customStyle="1" w:styleId="tw4winInternal">
    <w:name w:val="tw4winInternal"/>
    <w:rsid w:val="002D358F"/>
    <w:rPr>
      <w:rFonts w:ascii="Courier New" w:hAnsi="Courier New"/>
      <w:noProof/>
      <w:color w:val="FF0000"/>
    </w:rPr>
  </w:style>
  <w:style w:type="character" w:customStyle="1" w:styleId="DONOTTRANSLATE">
    <w:name w:val="DO_NOT_TRANSLATE"/>
    <w:rsid w:val="002D358F"/>
    <w:rPr>
      <w:rFonts w:ascii="Courier New" w:hAnsi="Courier New"/>
      <w:noProof/>
      <w:color w:val="800000"/>
    </w:rPr>
  </w:style>
  <w:style w:type="paragraph" w:styleId="Debesliotekstas">
    <w:name w:val="Balloon Text"/>
    <w:basedOn w:val="prastasis"/>
    <w:link w:val="DebesliotekstasDiagrama"/>
    <w:rsid w:val="002D358F"/>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rsid w:val="002D358F"/>
    <w:rPr>
      <w:rFonts w:ascii="Tahoma" w:eastAsia="Times New Roman" w:hAnsi="Tahoma" w:cs="Times New Roman"/>
      <w:snapToGrid w:val="0"/>
      <w:sz w:val="16"/>
      <w:szCs w:val="16"/>
      <w:lang w:val="en-GB"/>
    </w:rPr>
  </w:style>
  <w:style w:type="character" w:styleId="Komentaronuoroda">
    <w:name w:val="annotation reference"/>
    <w:rsid w:val="002D358F"/>
    <w:rPr>
      <w:sz w:val="16"/>
      <w:szCs w:val="16"/>
    </w:rPr>
  </w:style>
  <w:style w:type="paragraph" w:styleId="Komentarotekstas">
    <w:name w:val="annotation text"/>
    <w:basedOn w:val="prastasis"/>
    <w:link w:val="KomentarotekstasDiagrama"/>
    <w:rsid w:val="002D358F"/>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2D358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2D358F"/>
    <w:rPr>
      <w:b/>
      <w:bCs/>
    </w:rPr>
  </w:style>
  <w:style w:type="character" w:customStyle="1" w:styleId="KomentarotemaDiagrama">
    <w:name w:val="Komentaro tema Diagrama"/>
    <w:basedOn w:val="KomentarotekstasDiagrama"/>
    <w:link w:val="Komentarotema"/>
    <w:rsid w:val="002D358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2D358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2D358F"/>
    <w:pPr>
      <w:spacing w:before="120" w:after="120" w:line="240" w:lineRule="auto"/>
      <w:jc w:val="both"/>
    </w:pPr>
    <w:rPr>
      <w:rFonts w:ascii="Times New Roman" w:eastAsia="SimSun" w:hAnsi="Times New Roman" w:cs="Times New Roman"/>
      <w:szCs w:val="20"/>
      <w:lang w:eastAsia="zh-CN"/>
    </w:rPr>
  </w:style>
  <w:style w:type="character" w:customStyle="1" w:styleId="tw4winMark">
    <w:name w:val="tw4winMark"/>
    <w:rsid w:val="002D358F"/>
    <w:rPr>
      <w:rFonts w:ascii="Courier New" w:hAnsi="Courier New"/>
      <w:vanish/>
      <w:color w:val="800080"/>
      <w:sz w:val="24"/>
      <w:vertAlign w:val="subscript"/>
    </w:rPr>
  </w:style>
  <w:style w:type="paragraph" w:styleId="Antrats">
    <w:name w:val="header"/>
    <w:basedOn w:val="prastasis"/>
    <w:link w:val="AntratsDiagrama"/>
    <w:rsid w:val="002D358F"/>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2D358F"/>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2D358F"/>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2D358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2D358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2D358F"/>
    <w:rPr>
      <w:rFonts w:ascii="Times New Roman" w:eastAsia="SimSun" w:hAnsi="Times New Roman" w:cs="Times New Roman"/>
      <w:lang w:val="en-GB" w:eastAsia="en-GB"/>
    </w:rPr>
  </w:style>
  <w:style w:type="paragraph" w:styleId="Pagrindinistekstas3">
    <w:name w:val="Body Text 3"/>
    <w:basedOn w:val="prastasis"/>
    <w:link w:val="Pagrindinistekstas3Diagrama"/>
    <w:rsid w:val="002D358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2D358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2D358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2D358F"/>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2D358F"/>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2D358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2D358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2D358F"/>
    <w:rPr>
      <w:rFonts w:ascii="Times New Roman" w:eastAsia="SimSun" w:hAnsi="Times New Roman" w:cs="Times New Roman"/>
      <w:b/>
      <w:bCs/>
      <w:color w:val="0000FF"/>
      <w:u w:val="single"/>
      <w:lang w:val="en-GB"/>
    </w:rPr>
  </w:style>
  <w:style w:type="paragraph" w:customStyle="1" w:styleId="AHeader1">
    <w:name w:val="AHeader 1"/>
    <w:basedOn w:val="prastasis"/>
    <w:rsid w:val="002D358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2D358F"/>
    <w:pPr>
      <w:tabs>
        <w:tab w:val="clear" w:pos="720"/>
        <w:tab w:val="num" w:pos="360"/>
      </w:tabs>
      <w:ind w:left="709" w:hanging="425"/>
    </w:pPr>
    <w:rPr>
      <w:sz w:val="22"/>
    </w:rPr>
  </w:style>
  <w:style w:type="paragraph" w:customStyle="1" w:styleId="AHeader3">
    <w:name w:val="AHeader 3"/>
    <w:basedOn w:val="AHeader2"/>
    <w:rsid w:val="002D358F"/>
    <w:pPr>
      <w:ind w:left="1276" w:hanging="567"/>
    </w:pPr>
  </w:style>
  <w:style w:type="paragraph" w:customStyle="1" w:styleId="AHeader2abc">
    <w:name w:val="AHeader 2 abc"/>
    <w:basedOn w:val="AHeader3"/>
    <w:rsid w:val="002D358F"/>
    <w:pPr>
      <w:jc w:val="both"/>
    </w:pPr>
    <w:rPr>
      <w:b w:val="0"/>
      <w:bCs w:val="0"/>
    </w:rPr>
  </w:style>
  <w:style w:type="paragraph" w:customStyle="1" w:styleId="AHeader3abc">
    <w:name w:val="AHeader 3 abc"/>
    <w:basedOn w:val="AHeader2abc"/>
    <w:rsid w:val="002D358F"/>
    <w:pPr>
      <w:ind w:left="1701" w:hanging="425"/>
    </w:pPr>
  </w:style>
  <w:style w:type="paragraph" w:styleId="Pagrindiniotekstotrauka3">
    <w:name w:val="Body Text Indent 3"/>
    <w:basedOn w:val="prastasis"/>
    <w:link w:val="Pagrindiniotekstotrauka3Diagrama"/>
    <w:rsid w:val="002D358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2D358F"/>
    <w:rPr>
      <w:rFonts w:ascii="Times New Roman" w:eastAsia="SimSun" w:hAnsi="Times New Roman" w:cs="Times New Roman"/>
      <w:szCs w:val="21"/>
      <w:lang w:val="en-GB"/>
    </w:rPr>
  </w:style>
  <w:style w:type="character" w:styleId="Perirtashipersaitas">
    <w:name w:val="FollowedHyperlink"/>
    <w:rsid w:val="002D358F"/>
    <w:rPr>
      <w:rFonts w:cs="Times New Roman"/>
      <w:color w:val="800080"/>
      <w:u w:val="single"/>
    </w:rPr>
  </w:style>
  <w:style w:type="character" w:styleId="Grietas">
    <w:name w:val="Strong"/>
    <w:qFormat/>
    <w:rsid w:val="002D358F"/>
    <w:rPr>
      <w:rFonts w:cs="Times New Roman"/>
      <w:b/>
      <w:bCs/>
    </w:rPr>
  </w:style>
  <w:style w:type="character" w:customStyle="1" w:styleId="BodytextAgencyChar">
    <w:name w:val="Body text (Agency) Char"/>
    <w:link w:val="BodytextAgency"/>
    <w:uiPriority w:val="99"/>
    <w:locked/>
    <w:rsid w:val="002D358F"/>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2D358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2D358F"/>
    <w:pPr>
      <w:keepNext/>
    </w:pPr>
    <w:rPr>
      <w:rFonts w:eastAsia="SimSun" w:cs="Verdana"/>
      <w:b/>
      <w:snapToGrid/>
      <w:szCs w:val="18"/>
      <w:lang w:eastAsia="en-GB"/>
    </w:rPr>
  </w:style>
  <w:style w:type="character" w:customStyle="1" w:styleId="NormalAgencyChar">
    <w:name w:val="Normal (Agency) Char"/>
    <w:link w:val="NormalAgency"/>
    <w:uiPriority w:val="99"/>
    <w:locked/>
    <w:rsid w:val="002D358F"/>
    <w:rPr>
      <w:rFonts w:ascii="Verdana" w:eastAsia="Times New Roman" w:hAnsi="Verdana" w:cs="Times New Roman"/>
      <w:snapToGrid w:val="0"/>
      <w:sz w:val="18"/>
      <w:lang w:val="en-GB" w:eastAsia="lv-LV"/>
    </w:rPr>
  </w:style>
  <w:style w:type="paragraph" w:styleId="Paprastasistekstas">
    <w:name w:val="Plain Text"/>
    <w:basedOn w:val="prastasis"/>
    <w:link w:val="PaprastasistekstasDiagrama"/>
    <w:uiPriority w:val="99"/>
    <w:rsid w:val="002D358F"/>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2D358F"/>
    <w:rPr>
      <w:rFonts w:ascii="Courier New" w:eastAsia="SimSun" w:hAnsi="Courier New" w:cs="Times New Roman"/>
      <w:sz w:val="20"/>
      <w:szCs w:val="20"/>
    </w:rPr>
  </w:style>
  <w:style w:type="paragraph" w:customStyle="1" w:styleId="Default">
    <w:name w:val="Default"/>
    <w:rsid w:val="002D35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qFormat/>
    <w:rsid w:val="002D358F"/>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2D358F"/>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2D358F"/>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2D358F"/>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2D358F"/>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locked/>
    <w:rsid w:val="002D358F"/>
    <w:rPr>
      <w:rFonts w:ascii="Times New Roman" w:eastAsia="SimSun" w:hAnsi="Times New Roman" w:cs="Times New Roman"/>
      <w:noProof/>
      <w:sz w:val="20"/>
      <w:szCs w:val="20"/>
      <w:lang w:val="en-GB"/>
    </w:rPr>
  </w:style>
  <w:style w:type="character" w:customStyle="1" w:styleId="CharChar12">
    <w:name w:val="Char Char12"/>
    <w:locked/>
    <w:rsid w:val="002D358F"/>
    <w:rPr>
      <w:snapToGrid w:val="0"/>
      <w:lang w:val="en-GB" w:eastAsia="en-US" w:bidi="ar-SA"/>
    </w:rPr>
  </w:style>
  <w:style w:type="table" w:styleId="Lentelstinklelis">
    <w:name w:val="Table Grid"/>
    <w:basedOn w:val="prastojilentel"/>
    <w:uiPriority w:val="59"/>
    <w:rsid w:val="002D358F"/>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hidden/>
    <w:semiHidden/>
    <w:rsid w:val="002D358F"/>
    <w:pPr>
      <w:spacing w:after="0" w:line="240" w:lineRule="auto"/>
    </w:pPr>
    <w:rPr>
      <w:rFonts w:ascii="Times New Roman" w:eastAsia="Times New Roman" w:hAnsi="Times New Roman" w:cs="Times New Roman"/>
      <w:snapToGrid w:val="0"/>
      <w:szCs w:val="20"/>
      <w:lang w:val="en-GB"/>
    </w:rPr>
  </w:style>
  <w:style w:type="numbering" w:customStyle="1" w:styleId="Sraonra1">
    <w:name w:val="Sąrašo nėra1"/>
    <w:next w:val="Sraonra"/>
    <w:uiPriority w:val="99"/>
    <w:semiHidden/>
    <w:unhideWhenUsed/>
    <w:rsid w:val="002D3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info.bb@medapharm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bb@medapharm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45599</Words>
  <Characters>25992</Characters>
  <Application>Microsoft Office Word</Application>
  <DocSecurity>4</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2018-10-12T07:20:00Z</dcterms:created>
  <dcterms:modified xsi:type="dcterms:W3CDTF">2018-10-12T07:20:00Z</dcterms:modified>
</cp:coreProperties>
</file>