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56C" w:rsidRPr="002D358F" w:rsidRDefault="004E756C" w:rsidP="004E756C">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r w:rsidRPr="002D358F">
        <w:rPr>
          <w:rFonts w:ascii="Times New Roman" w:eastAsia="Times New Roman" w:hAnsi="Times New Roman" w:cs="Times New Roman"/>
          <w:b/>
          <w:bCs/>
          <w:iCs/>
          <w:snapToGrid w:val="0"/>
          <w:szCs w:val="28"/>
          <w:lang w:val="en-GB"/>
        </w:rPr>
        <w:t>Pakuotės lapelis: informacija pacientui</w:t>
      </w:r>
    </w:p>
    <w:p w:rsidR="004E756C" w:rsidRPr="002D358F" w:rsidRDefault="004E756C" w:rsidP="004E756C">
      <w:pPr>
        <w:numPr>
          <w:ilvl w:val="12"/>
          <w:numId w:val="0"/>
        </w:numPr>
        <w:shd w:val="clear" w:color="auto" w:fill="FFFFFF"/>
        <w:spacing w:after="0" w:line="240" w:lineRule="auto"/>
        <w:jc w:val="center"/>
        <w:rPr>
          <w:rFonts w:ascii="Times New Roman" w:eastAsia="Times New Roman" w:hAnsi="Times New Roman" w:cs="Times New Roman"/>
          <w:snapToGrid w:val="0"/>
          <w:szCs w:val="20"/>
          <w:lang w:val="en-GB"/>
        </w:rPr>
      </w:pPr>
    </w:p>
    <w:p w:rsidR="004E756C" w:rsidRPr="002D358F" w:rsidRDefault="004E756C" w:rsidP="004E756C">
      <w:pPr>
        <w:tabs>
          <w:tab w:val="left" w:pos="567"/>
        </w:tabs>
        <w:spacing w:after="0" w:line="260" w:lineRule="exact"/>
        <w:jc w:val="center"/>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Tridepos 70 mg + 500 mg / 800 TV tabletės</w:t>
      </w:r>
    </w:p>
    <w:p w:rsidR="004E756C" w:rsidRPr="002D358F" w:rsidRDefault="004E756C" w:rsidP="004E756C">
      <w:pPr>
        <w:numPr>
          <w:ilvl w:val="12"/>
          <w:numId w:val="0"/>
        </w:numPr>
        <w:spacing w:after="0" w:line="240" w:lineRule="auto"/>
        <w:jc w:val="center"/>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jc w:val="center"/>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Alendrono rūgštis + kalcis/kolekalciferolis</w:t>
      </w:r>
    </w:p>
    <w:p w:rsidR="004E756C" w:rsidRPr="002D358F" w:rsidRDefault="004E756C" w:rsidP="004E756C">
      <w:pPr>
        <w:suppressAutoHyphens/>
        <w:spacing w:after="0" w:line="240" w:lineRule="auto"/>
        <w:ind w:left="142" w:hanging="142"/>
        <w:rPr>
          <w:rFonts w:ascii="Times New Roman" w:eastAsia="Times New Roman" w:hAnsi="Times New Roman" w:cs="Times New Roman"/>
          <w:snapToGrid w:val="0"/>
          <w:szCs w:val="20"/>
          <w:lang w:val="en-GB"/>
        </w:rPr>
      </w:pPr>
    </w:p>
    <w:p w:rsidR="004E756C" w:rsidRPr="002D358F" w:rsidRDefault="004E756C" w:rsidP="004E756C">
      <w:pPr>
        <w:tabs>
          <w:tab w:val="left" w:pos="540"/>
        </w:tabs>
        <w:suppressAutoHyphen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Atidžiai perskaitykite visą šį lapelį, prieš pradėdami vartoti vaistą, nes jame pateikiama Jums svarbi informacija.</w:t>
      </w:r>
    </w:p>
    <w:p w:rsidR="004E756C" w:rsidRPr="002D358F" w:rsidRDefault="004E756C" w:rsidP="004E756C">
      <w:pPr>
        <w:numPr>
          <w:ilvl w:val="0"/>
          <w:numId w:val="1"/>
        </w:numPr>
        <w:tabs>
          <w:tab w:val="left" w:pos="540"/>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Neišmeskite šio lapelio, nes vėl gali prireikti jį perskaityti. </w:t>
      </w:r>
    </w:p>
    <w:p w:rsidR="004E756C" w:rsidRPr="002D358F" w:rsidRDefault="004E756C" w:rsidP="004E756C">
      <w:pPr>
        <w:numPr>
          <w:ilvl w:val="0"/>
          <w:numId w:val="1"/>
        </w:numPr>
        <w:tabs>
          <w:tab w:val="left" w:pos="540"/>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kiltų daugiau klausimų, kreipkitės į gydytoją arba vaistininką.</w:t>
      </w:r>
    </w:p>
    <w:p w:rsidR="004E756C" w:rsidRPr="002D358F" w:rsidRDefault="004E756C" w:rsidP="004E756C">
      <w:pPr>
        <w:tabs>
          <w:tab w:val="left" w:pos="540"/>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w:t>
      </w:r>
      <w:r w:rsidRPr="002D358F">
        <w:rPr>
          <w:rFonts w:ascii="Times New Roman" w:eastAsia="Times New Roman" w:hAnsi="Times New Roman" w:cs="Times New Roman"/>
          <w:snapToGrid w:val="0"/>
          <w:szCs w:val="20"/>
          <w:lang w:val="en-GB"/>
        </w:rPr>
        <w:tab/>
        <w:t xml:space="preserve">Šis vaistas skirtas tik Jums, todėl kitiems žmonėms </w:t>
      </w:r>
      <w:proofErr w:type="gramStart"/>
      <w:r w:rsidRPr="002D358F">
        <w:rPr>
          <w:rFonts w:ascii="Times New Roman" w:eastAsia="Times New Roman" w:hAnsi="Times New Roman" w:cs="Times New Roman"/>
          <w:snapToGrid w:val="0"/>
          <w:szCs w:val="20"/>
          <w:lang w:val="en-GB"/>
        </w:rPr>
        <w:t>jo</w:t>
      </w:r>
      <w:proofErr w:type="gramEnd"/>
      <w:r w:rsidRPr="002D358F">
        <w:rPr>
          <w:rFonts w:ascii="Times New Roman" w:eastAsia="Times New Roman" w:hAnsi="Times New Roman" w:cs="Times New Roman"/>
          <w:snapToGrid w:val="0"/>
          <w:szCs w:val="20"/>
          <w:lang w:val="en-GB"/>
        </w:rPr>
        <w:t xml:space="preserve"> duoti negalima. Vaistas gali jiems pakenkti (net tiems, kurių ligos požymiai yra tokie patys kaip Jūsų).</w:t>
      </w:r>
    </w:p>
    <w:p w:rsidR="004E756C" w:rsidRPr="002D358F" w:rsidRDefault="004E756C" w:rsidP="004E756C">
      <w:pPr>
        <w:numPr>
          <w:ilvl w:val="0"/>
          <w:numId w:val="1"/>
        </w:numPr>
        <w:tabs>
          <w:tab w:val="left" w:pos="540"/>
          <w:tab w:val="left" w:pos="567"/>
        </w:tabs>
        <w:spacing w:after="0" w:line="240" w:lineRule="auto"/>
        <w:ind w:left="567" w:hanging="567"/>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pasireiškė šalutinis poveikis (net jeigu jis šiame lapelyje nenurodytas), kreipkitės į gydytoją arba vaistininką. Žr. 4 skyrių.</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Apie ką rašoma šiame lapelyje?</w:t>
      </w:r>
    </w:p>
    <w:p w:rsidR="004E756C" w:rsidRPr="002D358F" w:rsidRDefault="004E756C" w:rsidP="004E756C">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1.</w:t>
      </w:r>
      <w:r w:rsidRPr="002D358F">
        <w:rPr>
          <w:rFonts w:ascii="Times New Roman" w:eastAsia="Times New Roman" w:hAnsi="Times New Roman" w:cs="Times New Roman"/>
          <w:snapToGrid w:val="0"/>
          <w:szCs w:val="20"/>
          <w:lang w:val="en-GB"/>
        </w:rPr>
        <w:tab/>
        <w:t xml:space="preserve">Kas yra Tridepos ir kam jis vartojamas </w:t>
      </w:r>
    </w:p>
    <w:p w:rsidR="004E756C" w:rsidRPr="002D358F" w:rsidRDefault="004E756C" w:rsidP="004E756C">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2.</w:t>
      </w:r>
      <w:r w:rsidRPr="002D358F">
        <w:rPr>
          <w:rFonts w:ascii="Times New Roman" w:eastAsia="Times New Roman" w:hAnsi="Times New Roman" w:cs="Times New Roman"/>
          <w:snapToGrid w:val="0"/>
          <w:szCs w:val="20"/>
          <w:lang w:val="en-GB"/>
        </w:rPr>
        <w:tab/>
        <w:t xml:space="preserve">Kas žinotina prieš vartojant Tridepos  </w:t>
      </w:r>
    </w:p>
    <w:p w:rsidR="004E756C" w:rsidRPr="002D358F" w:rsidRDefault="004E756C" w:rsidP="004E756C">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3.</w:t>
      </w:r>
      <w:r w:rsidRPr="002D358F">
        <w:rPr>
          <w:rFonts w:ascii="Times New Roman" w:eastAsia="Times New Roman" w:hAnsi="Times New Roman" w:cs="Times New Roman"/>
          <w:snapToGrid w:val="0"/>
          <w:szCs w:val="20"/>
          <w:lang w:val="en-GB"/>
        </w:rPr>
        <w:tab/>
        <w:t xml:space="preserve">Kaip vartoti Tridepos </w:t>
      </w:r>
    </w:p>
    <w:p w:rsidR="004E756C" w:rsidRPr="002D358F" w:rsidRDefault="004E756C" w:rsidP="004E756C">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4.</w:t>
      </w:r>
      <w:r w:rsidRPr="002D358F">
        <w:rPr>
          <w:rFonts w:ascii="Times New Roman" w:eastAsia="Times New Roman" w:hAnsi="Times New Roman" w:cs="Times New Roman"/>
          <w:snapToGrid w:val="0"/>
          <w:szCs w:val="20"/>
          <w:lang w:val="en-GB"/>
        </w:rPr>
        <w:tab/>
        <w:t xml:space="preserve">Galimas šalutinis poveikis </w:t>
      </w:r>
    </w:p>
    <w:p w:rsidR="004E756C" w:rsidRPr="002D358F" w:rsidRDefault="004E756C" w:rsidP="004E756C">
      <w:pPr>
        <w:numPr>
          <w:ilvl w:val="12"/>
          <w:numId w:val="0"/>
        </w:numPr>
        <w:tabs>
          <w:tab w:val="left" w:pos="540"/>
          <w:tab w:val="left" w:pos="709"/>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5.</w:t>
      </w:r>
      <w:r w:rsidRPr="002D358F">
        <w:rPr>
          <w:rFonts w:ascii="Times New Roman" w:eastAsia="Times New Roman" w:hAnsi="Times New Roman" w:cs="Times New Roman"/>
          <w:snapToGrid w:val="0"/>
          <w:szCs w:val="20"/>
          <w:lang w:val="en-GB"/>
        </w:rPr>
        <w:tab/>
        <w:t xml:space="preserve">Kaip laikyti Tridepos </w:t>
      </w:r>
    </w:p>
    <w:p w:rsidR="004E756C" w:rsidRPr="002D358F" w:rsidRDefault="004E756C" w:rsidP="004E756C">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6.</w:t>
      </w:r>
      <w:r w:rsidRPr="002D358F">
        <w:rPr>
          <w:rFonts w:ascii="Times New Roman" w:eastAsia="Times New Roman" w:hAnsi="Times New Roman" w:cs="Times New Roman"/>
          <w:snapToGrid w:val="0"/>
          <w:szCs w:val="20"/>
          <w:lang w:val="en-GB"/>
        </w:rPr>
        <w:tab/>
        <w:t>Pakuotės turinys ir kita informacija</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1.</w:t>
      </w:r>
      <w:r w:rsidRPr="002D358F">
        <w:rPr>
          <w:rFonts w:ascii="Times New Roman" w:eastAsia="Times New Roman" w:hAnsi="Times New Roman" w:cs="Times New Roman"/>
          <w:b/>
          <w:bCs/>
          <w:snapToGrid w:val="0"/>
          <w:szCs w:val="28"/>
          <w:lang w:val="en-GB"/>
        </w:rPr>
        <w:tab/>
        <w:t>Kas yra Tridepos ir kam jis vartojamas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yra dviejų tipų tablečių derinio pakuotė: alendrono rūgšties tabletė (šiame lapelyje vadinama alendronato tablete) ir kalcio / kolekalciferolio (vitamino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tabletės (šiame pakuotės lapelyje vadinamos kalcio/vitamino D tabletėmis). </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Alendronatas priklauso nehormoninių vaistų grupei, taip vadinamiems bifosfonatams.</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Alendronatas apsaugo nuo kaulų audinio nykimo, kuris atsiranda moterims </w:t>
      </w:r>
      <w:proofErr w:type="gramStart"/>
      <w:r w:rsidRPr="002D358F">
        <w:rPr>
          <w:rFonts w:ascii="Times New Roman" w:eastAsia="Times New Roman" w:hAnsi="Times New Roman" w:cs="Times New Roman"/>
          <w:snapToGrid w:val="0"/>
          <w:szCs w:val="20"/>
          <w:lang w:val="en-GB"/>
        </w:rPr>
        <w:t>dėl</w:t>
      </w:r>
      <w:proofErr w:type="gramEnd"/>
      <w:r w:rsidRPr="002D358F">
        <w:rPr>
          <w:rFonts w:ascii="Times New Roman" w:eastAsia="Times New Roman" w:hAnsi="Times New Roman" w:cs="Times New Roman"/>
          <w:snapToGrid w:val="0"/>
          <w:szCs w:val="20"/>
          <w:lang w:val="en-GB"/>
        </w:rPr>
        <w:t xml:space="preserve"> menopauzės.</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Kalcis ir vitaminas D yra svarbūs kaulų formavimo komponentai. Vitaminas D</w:t>
      </w:r>
      <w:r w:rsidRPr="002D358F">
        <w:rPr>
          <w:rFonts w:ascii="Times New Roman" w:eastAsia="Times New Roman" w:hAnsi="Times New Roman" w:cs="Times New Roman"/>
          <w:snapToGrid w:val="0"/>
          <w:szCs w:val="20"/>
          <w:vertAlign w:val="subscript"/>
          <w:lang w:val="en-GB"/>
        </w:rPr>
        <w:t xml:space="preserve">3 </w:t>
      </w:r>
      <w:r w:rsidRPr="002D358F">
        <w:rPr>
          <w:rFonts w:ascii="Times New Roman" w:eastAsia="Times New Roman" w:hAnsi="Times New Roman" w:cs="Times New Roman"/>
          <w:snapToGrid w:val="0"/>
          <w:szCs w:val="20"/>
          <w:lang w:val="en-GB"/>
        </w:rPr>
        <w:t>reguliuoja kalcio įsisavinimą ir metabolizmą taip pat kalcio patekimą į kaulų audinį.</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Tridepos taikomas gydyti osteoporozę moterims, kurioms jau yra buvusi menopauzė ir kurioms kyla kalcio ir vitamino D žemos koncentracijos rizika. Osteoporozė yra būklė, kuri paveikia kaulus, todėl jie </w:t>
      </w:r>
      <w:proofErr w:type="gramStart"/>
      <w:r w:rsidRPr="002D358F">
        <w:rPr>
          <w:rFonts w:ascii="Times New Roman" w:eastAsia="Times New Roman" w:hAnsi="Times New Roman" w:cs="Times New Roman"/>
          <w:snapToGrid w:val="0"/>
          <w:szCs w:val="20"/>
          <w:lang w:val="en-GB"/>
        </w:rPr>
        <w:t>tampa</w:t>
      </w:r>
      <w:proofErr w:type="gramEnd"/>
      <w:r w:rsidRPr="002D358F">
        <w:rPr>
          <w:rFonts w:ascii="Times New Roman" w:eastAsia="Times New Roman" w:hAnsi="Times New Roman" w:cs="Times New Roman"/>
          <w:snapToGrid w:val="0"/>
          <w:szCs w:val="20"/>
          <w:lang w:val="en-GB"/>
        </w:rPr>
        <w:t xml:space="preserve"> silpni, trapūs ir gali greičiau lūžti. </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Kombinuotas gydymas alendronatu ir kalciu/vitaminu D sumažina stuburo ir šlaunikaulių lūžių riziką, padidina kaulų stiprumą ir atkuria kalcio bei vitamino D koncentraciją.</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tabs>
          <w:tab w:val="left" w:pos="1296"/>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pateikiamas kartono dėklo pakuotėje vienos savaitės gydymo kursui.</w:t>
      </w:r>
    </w:p>
    <w:p w:rsidR="004E756C" w:rsidRPr="002D358F" w:rsidRDefault="004E756C" w:rsidP="004E756C">
      <w:pPr>
        <w:numPr>
          <w:ilvl w:val="12"/>
          <w:numId w:val="0"/>
        </w:numPr>
        <w:tabs>
          <w:tab w:val="left" w:pos="1296"/>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Tridepos sudėtyje yra 1 alendronato tabletė ir 6 kalcio/vitamino D tabletės) ir šio vaisto vartojimo instrukcijos. </w:t>
      </w:r>
    </w:p>
    <w:p w:rsidR="004E756C" w:rsidRPr="002D358F" w:rsidRDefault="004E756C" w:rsidP="004E756C">
      <w:pPr>
        <w:numPr>
          <w:ilvl w:val="12"/>
          <w:numId w:val="0"/>
        </w:numPr>
        <w:tabs>
          <w:tab w:val="left" w:pos="1296"/>
        </w:tabs>
        <w:spacing w:after="0" w:line="240" w:lineRule="auto"/>
        <w:rPr>
          <w:rFonts w:ascii="Times New Roman" w:eastAsia="Times New Roman" w:hAnsi="Times New Roman" w:cs="Times New Roman"/>
          <w:snapToGrid w:val="0"/>
          <w:szCs w:val="20"/>
          <w:lang w:val="en-GB"/>
        </w:rPr>
      </w:pPr>
    </w:p>
    <w:p w:rsidR="004E756C" w:rsidRPr="002D358F" w:rsidRDefault="004E756C" w:rsidP="004E756C">
      <w:pPr>
        <w:numPr>
          <w:ilvl w:val="12"/>
          <w:numId w:val="0"/>
        </w:numPr>
        <w:tabs>
          <w:tab w:val="left" w:pos="1296"/>
        </w:tabs>
        <w:spacing w:after="0" w:line="240" w:lineRule="auto"/>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2.</w:t>
      </w:r>
      <w:r w:rsidRPr="002D358F">
        <w:rPr>
          <w:rFonts w:ascii="Times New Roman" w:eastAsia="Times New Roman" w:hAnsi="Times New Roman" w:cs="Times New Roman"/>
          <w:b/>
          <w:bCs/>
          <w:snapToGrid w:val="0"/>
          <w:szCs w:val="28"/>
          <w:lang w:val="en-GB"/>
        </w:rPr>
        <w:tab/>
        <w:t xml:space="preserve">Kas žinotina prieš vartojant Tridepos  </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Tridepos vartoti negalima:</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w:t>
      </w:r>
      <w:proofErr w:type="gramStart"/>
      <w:r w:rsidRPr="002D358F">
        <w:rPr>
          <w:rFonts w:ascii="Times New Roman" w:eastAsia="Times New Roman" w:hAnsi="Times New Roman" w:cs="Times New Roman"/>
          <w:snapToGrid w:val="0"/>
          <w:szCs w:val="20"/>
          <w:lang w:val="en-GB"/>
        </w:rPr>
        <w:t>jeigu</w:t>
      </w:r>
      <w:proofErr w:type="gramEnd"/>
      <w:r w:rsidRPr="002D358F">
        <w:rPr>
          <w:rFonts w:ascii="Times New Roman" w:eastAsia="Times New Roman" w:hAnsi="Times New Roman" w:cs="Times New Roman"/>
          <w:snapToGrid w:val="0"/>
          <w:szCs w:val="20"/>
          <w:lang w:val="en-GB"/>
        </w:rPr>
        <w:t xml:space="preserve"> yra alergija alendronatui ar kalciui, vitaminui D arba bet kuriai pagalbinei šio vaisto medžiagai (jos išvardytos 6 skyriuje);</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2D358F" w:rsidRDefault="004E756C" w:rsidP="004E756C">
      <w:pPr>
        <w:numPr>
          <w:ilvl w:val="0"/>
          <w:numId w:val="2"/>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turite bet kokių sveikatos sutrikimų, susijusių su stemple (oseofagus) tokių, kaip stemplės susiaurėjimas ar maistas dažnai užstringa stemplėje, kadangi stemplės raumenys nepakankamai susitraukia (achalazija);</w:t>
      </w:r>
    </w:p>
    <w:p w:rsidR="004E756C" w:rsidRPr="002D358F" w:rsidRDefault="004E756C" w:rsidP="004E756C">
      <w:pPr>
        <w:numPr>
          <w:ilvl w:val="0"/>
          <w:numId w:val="2"/>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Jūs negalite stovėti arba sėdėti vertikalioje padėtyje mažiausiai 30 minučių;</w:t>
      </w:r>
    </w:p>
    <w:p w:rsidR="004E756C" w:rsidRPr="002D358F" w:rsidRDefault="004E756C" w:rsidP="004E756C">
      <w:pPr>
        <w:numPr>
          <w:ilvl w:val="0"/>
          <w:numId w:val="2"/>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Jūsų inkstai </w:t>
      </w:r>
      <w:r w:rsidRPr="002D358F">
        <w:rPr>
          <w:rFonts w:ascii="Times New Roman" w:eastAsia="Times New Roman" w:hAnsi="Times New Roman" w:cs="Times New Roman"/>
          <w:b/>
          <w:snapToGrid w:val="0"/>
          <w:szCs w:val="20"/>
          <w:lang w:val="en-GB"/>
        </w:rPr>
        <w:t>labai prastai</w:t>
      </w:r>
      <w:r w:rsidRPr="002D358F">
        <w:rPr>
          <w:rFonts w:ascii="Times New Roman" w:eastAsia="Times New Roman" w:hAnsi="Times New Roman" w:cs="Times New Roman"/>
          <w:snapToGrid w:val="0"/>
          <w:szCs w:val="20"/>
          <w:lang w:val="en-GB"/>
        </w:rPr>
        <w:t xml:space="preserve"> dirba ar inkstuose yra akmenų;</w:t>
      </w:r>
    </w:p>
    <w:p w:rsidR="004E756C" w:rsidRPr="002D358F" w:rsidRDefault="004E756C" w:rsidP="004E756C">
      <w:pPr>
        <w:numPr>
          <w:ilvl w:val="0"/>
          <w:numId w:val="2"/>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gydytojas pasakė, kad Jums yra:</w:t>
      </w:r>
    </w:p>
    <w:p w:rsidR="004E756C" w:rsidRPr="002D358F" w:rsidRDefault="004E756C" w:rsidP="004E756C">
      <w:pPr>
        <w:numPr>
          <w:ilvl w:val="0"/>
          <w:numId w:val="1"/>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hipokalcemija (kraujyje kalcio koncentracija yra žema);</w:t>
      </w:r>
    </w:p>
    <w:p w:rsidR="004E756C" w:rsidRPr="002D358F" w:rsidRDefault="004E756C" w:rsidP="004E756C">
      <w:pPr>
        <w:numPr>
          <w:ilvl w:val="0"/>
          <w:numId w:val="1"/>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sergate kokia nors liga ir (arba) esate būklės, dėl kurios padidėja kalcio koncentracija Jūsų       kraujyje (hiperkalcemija) arba atsiranda daug kalcio Jūsų šlapime (hiperkalciurija);</w:t>
      </w:r>
    </w:p>
    <w:p w:rsidR="004E756C" w:rsidRPr="002D358F" w:rsidRDefault="004E756C" w:rsidP="004E756C">
      <w:pPr>
        <w:numPr>
          <w:ilvl w:val="0"/>
          <w:numId w:val="1"/>
        </w:numPr>
        <w:tabs>
          <w:tab w:val="left" w:pos="567"/>
        </w:tabs>
        <w:spacing w:after="0" w:line="240" w:lineRule="auto"/>
        <w:rPr>
          <w:rFonts w:ascii="Times New Roman" w:eastAsia="Times New Roman" w:hAnsi="Times New Roman" w:cs="Times New Roman"/>
          <w:snapToGrid w:val="0"/>
          <w:szCs w:val="20"/>
          <w:lang w:val="en-GB"/>
        </w:rPr>
      </w:pPr>
      <w:proofErr w:type="gramStart"/>
      <w:r w:rsidRPr="002D358F">
        <w:rPr>
          <w:rFonts w:ascii="Times New Roman" w:eastAsia="Times New Roman" w:hAnsi="Times New Roman" w:cs="Times New Roman"/>
          <w:snapToGrid w:val="0"/>
          <w:szCs w:val="20"/>
          <w:lang w:val="en-GB"/>
        </w:rPr>
        <w:t>hipervitaminozė</w:t>
      </w:r>
      <w:proofErr w:type="gramEnd"/>
      <w:r w:rsidRPr="002D358F">
        <w:rPr>
          <w:rFonts w:ascii="Times New Roman" w:eastAsia="Times New Roman" w:hAnsi="Times New Roman" w:cs="Times New Roman"/>
          <w:snapToGrid w:val="0"/>
          <w:szCs w:val="20"/>
          <w:lang w:val="en-GB"/>
        </w:rPr>
        <w:t xml:space="preserve"> D (Jūsų organizme yra didelis vitamino D kiekis).</w:t>
      </w:r>
    </w:p>
    <w:p w:rsidR="004E756C" w:rsidRPr="002D358F" w:rsidRDefault="004E756C" w:rsidP="004E756C">
      <w:pPr>
        <w:numPr>
          <w:ilvl w:val="12"/>
          <w:numId w:val="0"/>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b/>
      </w:r>
    </w:p>
    <w:p w:rsidR="004E756C" w:rsidRPr="002D358F" w:rsidRDefault="004E756C" w:rsidP="004E756C">
      <w:pPr>
        <w:numPr>
          <w:ilvl w:val="12"/>
          <w:numId w:val="0"/>
        </w:numPr>
        <w:tabs>
          <w:tab w:val="left" w:pos="0"/>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Nevartokite šio vaisto, jeigu Jums yra kuri nors iš pirmiau išvardytų būklių. Jeigu nesate tikri, prieš vartodami Tridepos tabletes pasitarkite su gydytoju arba vaistininku.</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 xml:space="preserve">Įspėjimai ir atsargumo priemonės </w:t>
      </w:r>
    </w:p>
    <w:p w:rsidR="004E756C" w:rsidRPr="002D358F" w:rsidRDefault="004E756C" w:rsidP="004E756C">
      <w:pPr>
        <w:tabs>
          <w:tab w:val="left" w:pos="567"/>
        </w:tabs>
        <w:spacing w:after="0" w:line="260" w:lineRule="exact"/>
        <w:rPr>
          <w:rFonts w:ascii="Times New Roman" w:eastAsia="Times New Roman" w:hAnsi="Times New Roman" w:cs="Times New Roman"/>
          <w:b/>
          <w:snapToGrid w:val="0"/>
          <w:szCs w:val="20"/>
          <w:lang w:val="en-GB"/>
        </w:rPr>
      </w:pPr>
    </w:p>
    <w:p w:rsidR="004E756C" w:rsidRPr="002D358F" w:rsidRDefault="004E756C" w:rsidP="004E756C">
      <w:pPr>
        <w:tabs>
          <w:tab w:val="left" w:pos="567"/>
        </w:tabs>
        <w:spacing w:after="0" w:line="260" w:lineRule="exact"/>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Prieš pradedant vartoti Tridepos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Pasitarkite su gydytoju arba vaistininku, prieš pradėdami vartoti Tridepos, jeigu Jums yra kuri nors iš toliau išvardytų būklių, kadangi gali prireikti pakeisti Jūsų vartojamo vaisto dozę arba patį vaistą, arba tiesiog Jus atidžiau stebėti:</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yra arba neseniai buvo su žarnynu susijusi būklė, tokia kaip:</w:t>
      </w:r>
    </w:p>
    <w:p w:rsidR="004E756C" w:rsidRPr="002D358F" w:rsidRDefault="004E756C" w:rsidP="004E756C">
      <w:pPr>
        <w:numPr>
          <w:ilvl w:val="0"/>
          <w:numId w:val="1"/>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rijimo sunkumai, stemplės liga, žarnyno uždegimas arba opos;</w:t>
      </w:r>
    </w:p>
    <w:p w:rsidR="004E756C" w:rsidRPr="002D358F" w:rsidRDefault="004E756C" w:rsidP="004E756C">
      <w:pPr>
        <w:numPr>
          <w:ilvl w:val="0"/>
          <w:numId w:val="1"/>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rimta žarnyno liga, pepsinė opa, aktyvus kraujavimas iš žarnyno arba anksčiau buvusi žarnyno operacija;</w:t>
      </w:r>
    </w:p>
    <w:p w:rsidR="004E756C" w:rsidRPr="002D358F" w:rsidRDefault="004E756C" w:rsidP="004E756C">
      <w:pPr>
        <w:numPr>
          <w:ilvl w:val="0"/>
          <w:numId w:val="1"/>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Bareto stemplė (nenormalios ląstelės stemplėje);</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Jūs anksčiau esate sirgę vėžiu;</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suplanuota chemoterapija arba spindulinis gydymas;</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Vartojate kortikosteroidus arba gliukokortikoidus (pvz., prednizoloną, betametazoną);</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Aktyviai rūkote (kadangi rūkymas gali padidinti dantų problemų riziką);</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Jūs turite dantų problemų, tokių kaip danties skausmas, dantų klibėjimas arba kraujavimas iš dantenų, arba:</w:t>
      </w:r>
    </w:p>
    <w:p w:rsidR="004E756C" w:rsidRPr="002D358F" w:rsidRDefault="004E756C" w:rsidP="004E756C">
      <w:pPr>
        <w:numPr>
          <w:ilvl w:val="0"/>
          <w:numId w:val="1"/>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Jei sergate ar sirgote dantenų ligomis ir nesilaikote tinkamos dantų higienos; </w:t>
      </w:r>
    </w:p>
    <w:p w:rsidR="004E756C" w:rsidRPr="002D358F" w:rsidRDefault="004E756C" w:rsidP="004E756C">
      <w:pPr>
        <w:numPr>
          <w:ilvl w:val="0"/>
          <w:numId w:val="1"/>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Nešiojate prastai pritaikytus dantų protezus;</w:t>
      </w:r>
    </w:p>
    <w:p w:rsidR="004E756C" w:rsidRPr="002D358F" w:rsidRDefault="004E756C" w:rsidP="004E756C">
      <w:pPr>
        <w:numPr>
          <w:ilvl w:val="0"/>
          <w:numId w:val="1"/>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neseniai buvo arba planuojama greitu metu atlikti dantų traukimą arba plombavimą.</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yra hipoparatirozė (būklė, kuriai esant organizmas negali pakankamai pagaminti hormono, vadinamo PTH);</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nustatyta vitamino D stoka;</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 sutrikusi inkstų veikla;</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Sergate sarkoidoze (tai lėtinė uždegiminė būklė, kuri gali paveikti skirtingus Jūsų kūno organus);</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Esate senyvo amžiaus pacientas ir tuo pat metu vartojate vaistus nuo širdies nepakankamumo arba neritmiško širdies plakimo (šie vaistai vadinami širdį veikiančiais glikozidais arba diuretikais);</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Vartojate kitų vaistų, kuriuose taip pat yra vitamino D;</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fiziškai sunku judėti.</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Vartojant Tridepos</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Svarbu palaikyti </w:t>
      </w:r>
      <w:proofErr w:type="gramStart"/>
      <w:r w:rsidRPr="002D358F">
        <w:rPr>
          <w:rFonts w:ascii="Times New Roman" w:eastAsia="Times New Roman" w:hAnsi="Times New Roman" w:cs="Times New Roman"/>
          <w:snapToGrid w:val="0"/>
          <w:szCs w:val="20"/>
          <w:lang w:val="en-GB"/>
        </w:rPr>
        <w:t>gerą</w:t>
      </w:r>
      <w:proofErr w:type="gramEnd"/>
      <w:r w:rsidRPr="002D358F">
        <w:rPr>
          <w:rFonts w:ascii="Times New Roman" w:eastAsia="Times New Roman" w:hAnsi="Times New Roman" w:cs="Times New Roman"/>
          <w:snapToGrid w:val="0"/>
          <w:szCs w:val="20"/>
          <w:lang w:val="en-GB"/>
        </w:rPr>
        <w:t xml:space="preserve"> burnos higieną, reguliariai tikrintis dantis ir pranešti savo gydytojui arba odontologui apie bet kokius su burna susijusius simptomus, pavyzdžiui, danties klibėjimą, danties skausmą arba patinusias dantenas.</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turite suplanuotą dantų chirurgiją, pasakykite odontologui, kad Jūs gydotės Tridepos;</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skauda šlaunį, klubą ar sąnarius, pasakykite gydytojui.</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Vaikams ir paaugliams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nėra skirtas vartoti vaikams, jaunesniems kaip 18 metų.</w:t>
      </w:r>
    </w:p>
    <w:p w:rsidR="004E756C" w:rsidRPr="002D358F" w:rsidRDefault="004E756C" w:rsidP="004E756C">
      <w:pPr>
        <w:numPr>
          <w:ilvl w:val="12"/>
          <w:numId w:val="0"/>
        </w:numPr>
        <w:spacing w:after="0" w:line="240" w:lineRule="auto"/>
        <w:rPr>
          <w:rFonts w:ascii="Times New Roman" w:eastAsia="Times New Roman" w:hAnsi="Times New Roman" w:cs="Times New Roman"/>
          <w:b/>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Kiti vaistai ir Tridepos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Kai kurie vaistai gali paveikti Tridepos veikimo būdą. Jeigu vartojate ar neseniai vartojote kitų vaistų arba </w:t>
      </w:r>
      <w:proofErr w:type="gramStart"/>
      <w:r w:rsidRPr="002D358F">
        <w:rPr>
          <w:rFonts w:ascii="Times New Roman" w:eastAsia="Times New Roman" w:hAnsi="Times New Roman" w:cs="Times New Roman"/>
          <w:snapToGrid w:val="0"/>
          <w:szCs w:val="20"/>
          <w:lang w:val="en-GB"/>
        </w:rPr>
        <w:t>dėl</w:t>
      </w:r>
      <w:proofErr w:type="gramEnd"/>
      <w:r w:rsidRPr="002D358F">
        <w:rPr>
          <w:rFonts w:ascii="Times New Roman" w:eastAsia="Times New Roman" w:hAnsi="Times New Roman" w:cs="Times New Roman"/>
          <w:snapToGrid w:val="0"/>
          <w:szCs w:val="20"/>
          <w:lang w:val="en-GB"/>
        </w:rPr>
        <w:t xml:space="preserve"> to nesate tikri, apie tai pasakykite gydytojui arba vaistininkui. </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Tikėtina, kad </w:t>
      </w:r>
      <w:r w:rsidRPr="002D358F">
        <w:rPr>
          <w:rFonts w:ascii="Times New Roman" w:eastAsia="Times New Roman" w:hAnsi="Times New Roman" w:cs="Times New Roman"/>
          <w:b/>
          <w:snapToGrid w:val="0"/>
          <w:szCs w:val="20"/>
          <w:lang w:val="en-GB"/>
        </w:rPr>
        <w:t>kalcio papildai, antacidai</w:t>
      </w:r>
      <w:r w:rsidRPr="002D358F">
        <w:rPr>
          <w:rFonts w:ascii="Times New Roman" w:eastAsia="Times New Roman" w:hAnsi="Times New Roman" w:cs="Times New Roman"/>
          <w:snapToGrid w:val="0"/>
          <w:szCs w:val="20"/>
          <w:lang w:val="en-GB"/>
        </w:rPr>
        <w:t xml:space="preserve"> (vartojami rėmeniui malšinti) ir kiti vaistai, vartojami per burną, gali gali trukdyti alendronato įsisavinimui, jeigu jie vartojami tuo pačiu metu. Todėl yra svarbu vadovautis 3 skyriuje nurodytais patarimais „Kaip vartoti Tridepos”.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Tam tikri vaistai reumatui gydyti ar ilgalaikiam skausmui malšinti, taip vadinami </w:t>
      </w:r>
      <w:r w:rsidRPr="002D358F">
        <w:rPr>
          <w:rFonts w:ascii="Times New Roman" w:eastAsia="Times New Roman" w:hAnsi="Times New Roman" w:cs="Times New Roman"/>
          <w:b/>
          <w:snapToGrid w:val="0"/>
          <w:szCs w:val="20"/>
          <w:lang w:val="en-GB"/>
        </w:rPr>
        <w:t>NVNU</w:t>
      </w:r>
      <w:r w:rsidRPr="002D358F">
        <w:rPr>
          <w:rFonts w:ascii="Times New Roman" w:eastAsia="Times New Roman" w:hAnsi="Times New Roman" w:cs="Times New Roman"/>
          <w:snapToGrid w:val="0"/>
          <w:szCs w:val="20"/>
          <w:lang w:val="en-GB"/>
        </w:rPr>
        <w:t xml:space="preserve"> (pvz. acetilsalicilo rūgštis ar ibuprofenas) gali sukelti virškinimo problemų. Todėl būtina pasikonsultuoti su gydytoju ir atsargiai juos vartoti, jeigu šie vaistai vartojami tuo pačiu metu kaip Tridepos. </w:t>
      </w: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Specialaus stebėjimo reikia, jeigu Jūs vartojate Tridepos ir toliau išvardytų vaistų tuo pačiu metu:</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b/>
          <w:i/>
          <w:snapToGrid w:val="0"/>
          <w:szCs w:val="20"/>
          <w:lang w:val="en-GB"/>
        </w:rPr>
      </w:pPr>
      <w:r w:rsidRPr="002D358F">
        <w:rPr>
          <w:rFonts w:ascii="Times New Roman" w:eastAsia="Times New Roman" w:hAnsi="Times New Roman" w:cs="Times New Roman"/>
          <w:b/>
          <w:snapToGrid w:val="0"/>
          <w:szCs w:val="20"/>
          <w:lang w:val="en-GB"/>
        </w:rPr>
        <w:t>tiazidiniai diuretikai</w:t>
      </w:r>
      <w:r w:rsidRPr="002D358F">
        <w:rPr>
          <w:rFonts w:ascii="Times New Roman" w:eastAsia="Times New Roman" w:hAnsi="Times New Roman" w:cs="Times New Roman"/>
          <w:b/>
          <w:i/>
          <w:snapToGrid w:val="0"/>
          <w:szCs w:val="20"/>
          <w:lang w:val="en-GB"/>
        </w:rPr>
        <w:t xml:space="preserve"> </w:t>
      </w:r>
      <w:r w:rsidRPr="002D358F">
        <w:rPr>
          <w:rFonts w:ascii="Times New Roman" w:eastAsia="Times New Roman" w:hAnsi="Times New Roman" w:cs="Times New Roman"/>
          <w:snapToGrid w:val="0"/>
          <w:szCs w:val="20"/>
          <w:lang w:val="en-GB"/>
        </w:rPr>
        <w:t>(pvz., hidrochlortiazidas), taikomi aukštam kraujospūdžiui mažinti;</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b/>
          <w:i/>
          <w:snapToGrid w:val="0"/>
          <w:szCs w:val="20"/>
          <w:lang w:val="en-GB"/>
        </w:rPr>
      </w:pPr>
      <w:proofErr w:type="gramStart"/>
      <w:r w:rsidRPr="002D358F">
        <w:rPr>
          <w:rFonts w:ascii="Times New Roman" w:eastAsia="Times New Roman" w:hAnsi="Times New Roman" w:cs="Times New Roman"/>
          <w:b/>
          <w:snapToGrid w:val="0"/>
          <w:szCs w:val="20"/>
          <w:lang w:val="en-GB"/>
        </w:rPr>
        <w:t>širdį</w:t>
      </w:r>
      <w:proofErr w:type="gramEnd"/>
      <w:r w:rsidRPr="002D358F">
        <w:rPr>
          <w:rFonts w:ascii="Times New Roman" w:eastAsia="Times New Roman" w:hAnsi="Times New Roman" w:cs="Times New Roman"/>
          <w:b/>
          <w:snapToGrid w:val="0"/>
          <w:szCs w:val="20"/>
          <w:lang w:val="en-GB"/>
        </w:rPr>
        <w:t xml:space="preserve"> veikiantys glikozidai (</w:t>
      </w:r>
      <w:r w:rsidRPr="002D358F">
        <w:rPr>
          <w:rFonts w:ascii="Times New Roman" w:eastAsia="Times New Roman" w:hAnsi="Times New Roman" w:cs="Times New Roman"/>
          <w:snapToGrid w:val="0"/>
          <w:szCs w:val="20"/>
          <w:lang w:val="en-GB"/>
        </w:rPr>
        <w:t>pvz., digoksinas),</w:t>
      </w:r>
      <w:r w:rsidRPr="002D358F">
        <w:rPr>
          <w:rFonts w:ascii="Times New Roman" w:eastAsia="Times New Roman" w:hAnsi="Times New Roman" w:cs="Times New Roman"/>
          <w:b/>
          <w:i/>
          <w:snapToGrid w:val="0"/>
          <w:szCs w:val="20"/>
          <w:lang w:val="en-GB"/>
        </w:rPr>
        <w:t xml:space="preserve"> </w:t>
      </w:r>
      <w:r w:rsidRPr="002D358F">
        <w:rPr>
          <w:rFonts w:ascii="Times New Roman" w:eastAsia="Times New Roman" w:hAnsi="Times New Roman" w:cs="Times New Roman"/>
          <w:snapToGrid w:val="0"/>
          <w:szCs w:val="20"/>
          <w:lang w:val="en-GB"/>
        </w:rPr>
        <w:t>taikomi širdies nepakankamumui ar neritmiškam širdies plakimui gydyti.</w:t>
      </w:r>
    </w:p>
    <w:p w:rsidR="004E756C" w:rsidRPr="002D358F" w:rsidRDefault="004E756C" w:rsidP="004E756C">
      <w:pPr>
        <w:spacing w:after="0" w:line="240" w:lineRule="auto"/>
        <w:ind w:right="-2"/>
        <w:rPr>
          <w:rFonts w:ascii="Times New Roman" w:eastAsia="Times New Roman" w:hAnsi="Times New Roman" w:cs="Times New Roman"/>
          <w:b/>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Kalcio/vitamino D tabletės gali paveikti kitų vaistų veikimo būdą.</w:t>
      </w:r>
      <w:r w:rsidRPr="002D358F">
        <w:rPr>
          <w:rFonts w:ascii="Times New Roman" w:eastAsia="Times New Roman" w:hAnsi="Times New Roman" w:cs="Times New Roman"/>
          <w:snapToGrid w:val="0"/>
          <w:szCs w:val="20"/>
          <w:lang w:val="en-GB"/>
        </w:rPr>
        <w:t xml:space="preserve"> </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Svarbu, kad, vartodami kalcio/vitamino D tabletes, vaistus gertumėte praėjus pakankamai laiko tarp jų vartojimo.</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 xml:space="preserve">Levotiroksinas </w:t>
      </w:r>
      <w:r w:rsidRPr="002D358F">
        <w:rPr>
          <w:rFonts w:ascii="Times New Roman" w:eastAsia="Times New Roman" w:hAnsi="Times New Roman" w:cs="Times New Roman"/>
          <w:snapToGrid w:val="0"/>
          <w:szCs w:val="20"/>
          <w:lang w:val="en-GB"/>
        </w:rPr>
        <w:t>(vartojamas žemo skydliaukės aktyvumo simptomams gydyti): palikite mažiausiai 4 valandų tarpą tarp abiejų vaistų vartojimo.</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Geležies druskos</w:t>
      </w:r>
      <w:r w:rsidRPr="002D358F">
        <w:rPr>
          <w:rFonts w:ascii="Times New Roman" w:eastAsia="Times New Roman" w:hAnsi="Times New Roman" w:cs="Times New Roman"/>
          <w:snapToGrid w:val="0"/>
          <w:szCs w:val="20"/>
          <w:lang w:val="en-GB"/>
        </w:rPr>
        <w:t xml:space="preserve"> (mažakraujystei gydyti), </w:t>
      </w:r>
      <w:r w:rsidRPr="002D358F">
        <w:rPr>
          <w:rFonts w:ascii="Times New Roman" w:eastAsia="Times New Roman" w:hAnsi="Times New Roman" w:cs="Times New Roman"/>
          <w:b/>
          <w:snapToGrid w:val="0"/>
          <w:szCs w:val="20"/>
          <w:lang w:val="en-GB"/>
        </w:rPr>
        <w:t>cinkas</w:t>
      </w:r>
      <w:r w:rsidRPr="002D358F">
        <w:rPr>
          <w:rFonts w:ascii="Times New Roman" w:eastAsia="Times New Roman" w:hAnsi="Times New Roman" w:cs="Times New Roman"/>
          <w:snapToGrid w:val="0"/>
          <w:szCs w:val="20"/>
          <w:lang w:val="en-GB"/>
        </w:rPr>
        <w:t xml:space="preserve"> (cinko trūkumui gydyti), </w:t>
      </w:r>
      <w:r w:rsidRPr="002D358F">
        <w:rPr>
          <w:rFonts w:ascii="Times New Roman" w:eastAsia="Times New Roman" w:hAnsi="Times New Roman" w:cs="Times New Roman"/>
          <w:b/>
          <w:snapToGrid w:val="0"/>
          <w:szCs w:val="20"/>
          <w:lang w:val="en-GB"/>
        </w:rPr>
        <w:t>stroncio ranelatas</w:t>
      </w:r>
      <w:r w:rsidRPr="002D358F">
        <w:rPr>
          <w:rFonts w:ascii="Times New Roman" w:eastAsia="Times New Roman" w:hAnsi="Times New Roman" w:cs="Times New Roman"/>
          <w:snapToGrid w:val="0"/>
          <w:szCs w:val="20"/>
          <w:lang w:val="en-GB"/>
        </w:rPr>
        <w:t xml:space="preserve"> (vartojamas sunkiai osteoporozei gydyti): palikite mažiausiai 2 valandų tarpą tarp šių vaistų ir kalcio/vitamino D tablečių vartojimo.</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Tetraciklinų preparatai</w:t>
      </w:r>
      <w:r w:rsidRPr="002D358F">
        <w:rPr>
          <w:rFonts w:ascii="Times New Roman" w:eastAsia="Times New Roman" w:hAnsi="Times New Roman" w:cs="Times New Roman"/>
          <w:snapToGrid w:val="0"/>
          <w:szCs w:val="20"/>
          <w:lang w:val="en-GB"/>
        </w:rPr>
        <w:t xml:space="preserve"> (įvairioms bakterinėms infekcijoms gydyti): palikite mažiausiai 2 valandas iki kalcio/vitamino D tablečių vartojimo arba 4-6 valandas po kalcio/vitamino D tablečių vartojimo.</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Chinolonai</w:t>
      </w:r>
      <w:r w:rsidRPr="002D358F">
        <w:rPr>
          <w:rFonts w:ascii="Times New Roman" w:eastAsia="Times New Roman" w:hAnsi="Times New Roman" w:cs="Times New Roman"/>
          <w:snapToGrid w:val="0"/>
          <w:szCs w:val="20"/>
          <w:lang w:val="en-GB"/>
        </w:rPr>
        <w:t xml:space="preserve"> (įvairioms bakterinėms infekcijoms gydyti): išgerkite kalcio/vitamino D tabletes praėjus mažiausiai 2 valandoms po chinolonų grupės antibiotiko pavartojimo. Arba vartokite chinolonų grupės antibiotiką praėjus mažiausiai 6 valandoms po kalcio/vitamino D tablečių pavartojimo.</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 xml:space="preserve">Alendronatas </w:t>
      </w:r>
      <w:r w:rsidRPr="002D358F">
        <w:rPr>
          <w:rFonts w:ascii="Times New Roman" w:eastAsia="Times New Roman" w:hAnsi="Times New Roman" w:cs="Times New Roman"/>
          <w:snapToGrid w:val="0"/>
          <w:szCs w:val="20"/>
          <w:lang w:val="en-GB"/>
        </w:rPr>
        <w:t>(osteoporozei gydyti): nors šis vaistas sudaro dalį Tridepos gydymo, jo negalima vartoti tą pačią dieną, kaip ir kalcio/vitamino D tabletes, kadangi kalcis gali sutrikdyti alendronato pasisavinimą (prašome skaityti 3 skyrių  „Kaip vartoti Tridepos”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Kai kurie vaistai gali paveikti Tridepos tablečių veikimo būdą</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Prieš pradėdami vartoti Tridepos, pasakykite gydytojui, jeigu vartojate šiuos vaistus:</w:t>
      </w: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b/>
        <w:t xml:space="preserve">- </w:t>
      </w:r>
      <w:r w:rsidRPr="002D358F">
        <w:rPr>
          <w:rFonts w:ascii="Times New Roman" w:eastAsia="Times New Roman" w:hAnsi="Times New Roman" w:cs="Times New Roman"/>
          <w:b/>
          <w:snapToGrid w:val="0"/>
          <w:szCs w:val="20"/>
          <w:lang w:val="en-GB"/>
        </w:rPr>
        <w:t xml:space="preserve">Fenitoiną </w:t>
      </w:r>
      <w:r w:rsidRPr="002D358F">
        <w:rPr>
          <w:rFonts w:ascii="Times New Roman" w:eastAsia="Times New Roman" w:hAnsi="Times New Roman" w:cs="Times New Roman"/>
          <w:snapToGrid w:val="0"/>
          <w:szCs w:val="20"/>
          <w:lang w:val="en-GB"/>
        </w:rPr>
        <w:t>(taikomą epilepsijai / traukuliams gydyti);</w:t>
      </w: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  </w:t>
      </w:r>
      <w:r w:rsidRPr="002D358F">
        <w:rPr>
          <w:rFonts w:ascii="Times New Roman" w:eastAsia="Times New Roman" w:hAnsi="Times New Roman" w:cs="Times New Roman"/>
          <w:b/>
          <w:snapToGrid w:val="0"/>
          <w:szCs w:val="20"/>
          <w:lang w:val="en-GB"/>
        </w:rPr>
        <w:t>Barbitūratus</w:t>
      </w:r>
      <w:r w:rsidRPr="002D358F">
        <w:rPr>
          <w:rFonts w:ascii="Times New Roman" w:eastAsia="Times New Roman" w:hAnsi="Times New Roman" w:cs="Times New Roman"/>
          <w:b/>
          <w:i/>
          <w:snapToGrid w:val="0"/>
          <w:szCs w:val="20"/>
          <w:lang w:val="en-GB"/>
        </w:rPr>
        <w:t xml:space="preserve"> </w:t>
      </w:r>
      <w:r w:rsidRPr="002D358F">
        <w:rPr>
          <w:rFonts w:ascii="Times New Roman" w:eastAsia="Times New Roman" w:hAnsi="Times New Roman" w:cs="Times New Roman"/>
          <w:snapToGrid w:val="0"/>
          <w:szCs w:val="20"/>
          <w:lang w:val="en-GB"/>
        </w:rPr>
        <w:t>(</w:t>
      </w:r>
      <w:proofErr w:type="gramStart"/>
      <w:r w:rsidRPr="002D358F">
        <w:rPr>
          <w:rFonts w:ascii="Times New Roman" w:eastAsia="Times New Roman" w:hAnsi="Times New Roman" w:cs="Times New Roman"/>
          <w:snapToGrid w:val="0"/>
          <w:szCs w:val="20"/>
          <w:lang w:val="en-GB"/>
        </w:rPr>
        <w:t>tai</w:t>
      </w:r>
      <w:proofErr w:type="gramEnd"/>
      <w:r w:rsidRPr="002D358F">
        <w:rPr>
          <w:rFonts w:ascii="Times New Roman" w:eastAsia="Times New Roman" w:hAnsi="Times New Roman" w:cs="Times New Roman"/>
          <w:snapToGrid w:val="0"/>
          <w:szCs w:val="20"/>
          <w:lang w:val="en-GB"/>
        </w:rPr>
        <w:t xml:space="preserve"> vaistų, taikomų nerimui, depresijai ar kai kuriems miego sutrikimams gydyti, grupė);</w:t>
      </w: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w:t>
      </w:r>
      <w:r w:rsidRPr="002D358F">
        <w:rPr>
          <w:rFonts w:ascii="Times New Roman" w:eastAsia="Times New Roman" w:hAnsi="Times New Roman" w:cs="Times New Roman"/>
          <w:snapToGrid w:val="0"/>
          <w:szCs w:val="20"/>
          <w:lang w:val="en-GB"/>
        </w:rPr>
        <w:tab/>
        <w:t xml:space="preserve"> </w:t>
      </w:r>
      <w:r w:rsidRPr="002D358F">
        <w:rPr>
          <w:rFonts w:ascii="Times New Roman" w:eastAsia="Times New Roman" w:hAnsi="Times New Roman" w:cs="Times New Roman"/>
          <w:b/>
          <w:snapToGrid w:val="0"/>
          <w:szCs w:val="20"/>
          <w:lang w:val="en-GB"/>
        </w:rPr>
        <w:t>Sisteminius kortikosteroidus</w:t>
      </w:r>
      <w:r w:rsidRPr="002D358F">
        <w:rPr>
          <w:rFonts w:ascii="Times New Roman" w:eastAsia="Times New Roman" w:hAnsi="Times New Roman" w:cs="Times New Roman"/>
          <w:snapToGrid w:val="0"/>
          <w:szCs w:val="20"/>
          <w:lang w:val="en-GB"/>
        </w:rPr>
        <w:t xml:space="preserve"> (stiprius vaistus nuo uždegimo</w:t>
      </w:r>
      <w:r w:rsidRPr="002D358F">
        <w:rPr>
          <w:rFonts w:ascii="Times New Roman" w:eastAsia="Times New Roman" w:hAnsi="Times New Roman" w:cs="Times New Roman"/>
          <w:b/>
          <w:snapToGrid w:val="0"/>
          <w:szCs w:val="20"/>
          <w:lang w:val="en-GB"/>
        </w:rPr>
        <w:t xml:space="preserve"> </w:t>
      </w:r>
      <w:r w:rsidRPr="002D358F">
        <w:rPr>
          <w:rFonts w:ascii="Times New Roman" w:eastAsia="Times New Roman" w:hAnsi="Times New Roman" w:cs="Times New Roman"/>
          <w:snapToGrid w:val="0"/>
          <w:szCs w:val="20"/>
          <w:lang w:val="en-GB"/>
        </w:rPr>
        <w:t>vartojamus tokių būklių, kaip artritas, astma ir storosios žarnos uždegimui (kolitui) gydyti);</w:t>
      </w: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w:t>
      </w:r>
      <w:r w:rsidRPr="002D358F">
        <w:rPr>
          <w:rFonts w:ascii="Times New Roman" w:eastAsia="Times New Roman" w:hAnsi="Times New Roman" w:cs="Times New Roman"/>
          <w:b/>
          <w:snapToGrid w:val="0"/>
          <w:szCs w:val="20"/>
          <w:lang w:val="en-GB"/>
        </w:rPr>
        <w:t xml:space="preserve">Orlistatą </w:t>
      </w:r>
      <w:r w:rsidRPr="002D358F">
        <w:rPr>
          <w:rFonts w:ascii="Times New Roman" w:eastAsia="Times New Roman" w:hAnsi="Times New Roman" w:cs="Times New Roman"/>
          <w:snapToGrid w:val="0"/>
          <w:szCs w:val="20"/>
          <w:lang w:val="en-GB"/>
        </w:rPr>
        <w:t>(nutukimui gydyti</w:t>
      </w:r>
      <w:proofErr w:type="gramStart"/>
      <w:r w:rsidRPr="002D358F">
        <w:rPr>
          <w:rFonts w:ascii="Times New Roman" w:eastAsia="Times New Roman" w:hAnsi="Times New Roman" w:cs="Times New Roman"/>
          <w:snapToGrid w:val="0"/>
          <w:szCs w:val="20"/>
          <w:lang w:val="en-GB"/>
        </w:rPr>
        <w:t>) ,</w:t>
      </w:r>
      <w:proofErr w:type="gramEnd"/>
      <w:r w:rsidRPr="002D358F">
        <w:rPr>
          <w:rFonts w:ascii="Times New Roman" w:eastAsia="Times New Roman" w:hAnsi="Times New Roman" w:cs="Times New Roman"/>
          <w:snapToGrid w:val="0"/>
          <w:szCs w:val="20"/>
          <w:lang w:val="en-GB"/>
        </w:rPr>
        <w:t xml:space="preserve"> kuris tikėtina gali pabloginti riebaluose tirpių vitamin (pvz., vitamino D</w:t>
      </w:r>
      <w:r w:rsidRPr="002D358F">
        <w:rPr>
          <w:rFonts w:ascii="Times New Roman" w:eastAsia="Times New Roman" w:hAnsi="Times New Roman" w:cs="Times New Roman"/>
          <w:snapToGrid w:val="0"/>
          <w:szCs w:val="20"/>
          <w:vertAlign w:val="subscript"/>
          <w:lang w:val="en-GB"/>
        </w:rPr>
        <w:t xml:space="preserve"> </w:t>
      </w:r>
      <w:r w:rsidRPr="002D358F">
        <w:rPr>
          <w:rFonts w:ascii="Times New Roman" w:eastAsia="Times New Roman" w:hAnsi="Times New Roman" w:cs="Times New Roman"/>
          <w:snapToGrid w:val="0"/>
          <w:szCs w:val="20"/>
          <w:lang w:val="en-GB"/>
        </w:rPr>
        <w:t>pasisavinimą);</w:t>
      </w: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w:t>
      </w:r>
      <w:r w:rsidRPr="002D358F">
        <w:rPr>
          <w:rFonts w:ascii="Times New Roman" w:eastAsia="Times New Roman" w:hAnsi="Times New Roman" w:cs="Times New Roman"/>
          <w:snapToGrid w:val="0"/>
          <w:szCs w:val="20"/>
          <w:lang w:val="en-GB"/>
        </w:rPr>
        <w:tab/>
      </w:r>
      <w:r w:rsidRPr="002D358F">
        <w:rPr>
          <w:rFonts w:ascii="Times New Roman" w:eastAsia="Times New Roman" w:hAnsi="Times New Roman" w:cs="Times New Roman"/>
          <w:b/>
          <w:snapToGrid w:val="0"/>
          <w:szCs w:val="20"/>
          <w:lang w:val="en-GB"/>
        </w:rPr>
        <w:t>Kolestiraminą</w:t>
      </w:r>
      <w:r w:rsidRPr="002D358F">
        <w:rPr>
          <w:rFonts w:ascii="Times New Roman" w:eastAsia="Times New Roman" w:hAnsi="Times New Roman" w:cs="Times New Roman"/>
          <w:b/>
          <w:i/>
          <w:snapToGrid w:val="0"/>
          <w:szCs w:val="20"/>
          <w:lang w:val="en-GB"/>
        </w:rPr>
        <w:t xml:space="preserve"> </w:t>
      </w:r>
      <w:r w:rsidRPr="002D358F">
        <w:rPr>
          <w:rFonts w:ascii="Times New Roman" w:eastAsia="Times New Roman" w:hAnsi="Times New Roman" w:cs="Times New Roman"/>
          <w:snapToGrid w:val="0"/>
          <w:szCs w:val="20"/>
          <w:lang w:val="en-GB"/>
        </w:rPr>
        <w:t>(</w:t>
      </w:r>
      <w:proofErr w:type="gramStart"/>
      <w:r w:rsidRPr="002D358F">
        <w:rPr>
          <w:rFonts w:ascii="Times New Roman" w:eastAsia="Times New Roman" w:hAnsi="Times New Roman" w:cs="Times New Roman"/>
          <w:snapToGrid w:val="0"/>
          <w:szCs w:val="20"/>
          <w:lang w:val="en-GB"/>
        </w:rPr>
        <w:t>tai</w:t>
      </w:r>
      <w:proofErr w:type="gramEnd"/>
      <w:r w:rsidRPr="002D358F">
        <w:rPr>
          <w:rFonts w:ascii="Times New Roman" w:eastAsia="Times New Roman" w:hAnsi="Times New Roman" w:cs="Times New Roman"/>
          <w:snapToGrid w:val="0"/>
          <w:szCs w:val="20"/>
          <w:lang w:val="en-GB"/>
        </w:rPr>
        <w:t xml:space="preserve"> cholesterolio koncentraciją mažinantis vaistas);</w:t>
      </w: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w:t>
      </w:r>
      <w:r w:rsidRPr="002D358F">
        <w:rPr>
          <w:rFonts w:ascii="Times New Roman" w:eastAsia="Times New Roman" w:hAnsi="Times New Roman" w:cs="Times New Roman"/>
          <w:snapToGrid w:val="0"/>
          <w:szCs w:val="20"/>
          <w:lang w:val="en-GB"/>
        </w:rPr>
        <w:tab/>
      </w:r>
      <w:r w:rsidRPr="002D358F">
        <w:rPr>
          <w:rFonts w:ascii="Times New Roman" w:eastAsia="Times New Roman" w:hAnsi="Times New Roman" w:cs="Times New Roman"/>
          <w:b/>
          <w:snapToGrid w:val="0"/>
          <w:szCs w:val="20"/>
          <w:lang w:val="en-GB"/>
        </w:rPr>
        <w:t>Vidurius laisvinančius</w:t>
      </w:r>
      <w:r w:rsidRPr="002D358F">
        <w:rPr>
          <w:rFonts w:ascii="Times New Roman" w:eastAsia="Times New Roman" w:hAnsi="Times New Roman" w:cs="Times New Roman"/>
          <w:b/>
          <w:i/>
          <w:snapToGrid w:val="0"/>
          <w:szCs w:val="20"/>
          <w:lang w:val="en-GB"/>
        </w:rPr>
        <w:t xml:space="preserve"> </w:t>
      </w:r>
      <w:r w:rsidRPr="002D358F">
        <w:rPr>
          <w:rFonts w:ascii="Times New Roman" w:eastAsia="Times New Roman" w:hAnsi="Times New Roman" w:cs="Times New Roman"/>
          <w:b/>
          <w:snapToGrid w:val="0"/>
          <w:szCs w:val="20"/>
          <w:lang w:val="en-GB"/>
        </w:rPr>
        <w:t>vaistus</w:t>
      </w:r>
      <w:r w:rsidRPr="002D358F">
        <w:rPr>
          <w:rFonts w:ascii="Times New Roman" w:eastAsia="Times New Roman" w:hAnsi="Times New Roman" w:cs="Times New Roman"/>
          <w:b/>
          <w:i/>
          <w:snapToGrid w:val="0"/>
          <w:szCs w:val="20"/>
          <w:lang w:val="en-GB"/>
        </w:rPr>
        <w:t>,</w:t>
      </w:r>
      <w:r w:rsidRPr="002D358F">
        <w:rPr>
          <w:rFonts w:ascii="Times New Roman" w:eastAsia="Times New Roman" w:hAnsi="Times New Roman" w:cs="Times New Roman"/>
          <w:snapToGrid w:val="0"/>
          <w:szCs w:val="20"/>
          <w:lang w:val="en-GB"/>
        </w:rPr>
        <w:t xml:space="preserve"> tokius kaip parafino aliejus (taikomas vidurių užkietėjimui gydyti).</w:t>
      </w: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kiltų bet kokių klausimų, kreipkitės į gydytoją.</w:t>
      </w:r>
    </w:p>
    <w:p w:rsidR="004E756C" w:rsidRPr="002D358F" w:rsidRDefault="004E756C" w:rsidP="004E756C">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b/>
      </w: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Tridepos vartojimas su maistu ir gėrimais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 xml:space="preserve">Maistas ir gėrimai (įskaitant mineralinį vandenį) paveiks alendronato tablečių veikimo būdą. </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Todėl prieš valgydami ar gerdami po alendronato pavartojimo turite palaukti mažiausiai 30 minučių.</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
          <w:bCs/>
          <w:snapToGrid w:val="0"/>
          <w:sz w:val="28"/>
          <w:szCs w:val="28"/>
          <w:u w:val="single"/>
          <w:lang w:val="en-GB"/>
        </w:rPr>
      </w:pPr>
      <w:r w:rsidRPr="002D358F">
        <w:rPr>
          <w:rFonts w:ascii="Times New Roman" w:eastAsia="Times New Roman" w:hAnsi="Times New Roman" w:cs="Times New Roman"/>
          <w:bCs/>
          <w:snapToGrid w:val="0"/>
          <w:szCs w:val="28"/>
          <w:u w:val="single"/>
          <w:lang w:val="en-GB"/>
        </w:rPr>
        <w:t>Kalcio/vitamino D tabletės</w:t>
      </w: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
          <w:bCs/>
          <w:snapToGrid w:val="0"/>
          <w:sz w:val="28"/>
          <w:szCs w:val="28"/>
          <w:lang w:val="en-GB"/>
        </w:rPr>
      </w:pPr>
      <w:r w:rsidRPr="002D358F">
        <w:rPr>
          <w:rFonts w:ascii="Times New Roman" w:eastAsia="Times New Roman" w:hAnsi="Times New Roman" w:cs="Times New Roman"/>
          <w:bCs/>
          <w:snapToGrid w:val="0"/>
          <w:szCs w:val="28"/>
          <w:lang w:val="en-GB"/>
        </w:rPr>
        <w:t xml:space="preserve">Maistas, kurio sudėtyje yra oksalo rūgšties (randama šponatuose ir rabarbaruose) ir fitino rūgštis (randama sveikuose grūduose) gali paveikti kalcio pasisavinimą. Turi praeiti ne mažiau kaip 2 valandos </w:t>
      </w:r>
      <w:proofErr w:type="gramStart"/>
      <w:r w:rsidRPr="002D358F">
        <w:rPr>
          <w:rFonts w:ascii="Times New Roman" w:eastAsia="Times New Roman" w:hAnsi="Times New Roman" w:cs="Times New Roman"/>
          <w:bCs/>
          <w:snapToGrid w:val="0"/>
          <w:szCs w:val="28"/>
          <w:lang w:val="en-GB"/>
        </w:rPr>
        <w:t>tarp</w:t>
      </w:r>
      <w:r w:rsidRPr="002D358F">
        <w:rPr>
          <w:rFonts w:ascii="Calibri" w:eastAsia="Times New Roman" w:hAnsi="Calibri" w:cs="Times New Roman"/>
          <w:b/>
          <w:bCs/>
          <w:snapToGrid w:val="0"/>
          <w:sz w:val="28"/>
          <w:szCs w:val="28"/>
          <w:lang w:val="en-GB"/>
        </w:rPr>
        <w:t xml:space="preserve">  </w:t>
      </w:r>
      <w:r w:rsidRPr="002D358F">
        <w:rPr>
          <w:rFonts w:ascii="Times New Roman" w:eastAsia="Times New Roman" w:hAnsi="Times New Roman" w:cs="Times New Roman"/>
          <w:bCs/>
          <w:snapToGrid w:val="0"/>
          <w:szCs w:val="28"/>
          <w:lang w:val="en-GB"/>
        </w:rPr>
        <w:t>kalcio</w:t>
      </w:r>
      <w:proofErr w:type="gramEnd"/>
      <w:r w:rsidRPr="002D358F">
        <w:rPr>
          <w:rFonts w:ascii="Times New Roman" w:eastAsia="Times New Roman" w:hAnsi="Times New Roman" w:cs="Times New Roman"/>
          <w:bCs/>
          <w:snapToGrid w:val="0"/>
          <w:szCs w:val="28"/>
          <w:lang w:val="en-GB"/>
        </w:rPr>
        <w:t>/vitamino D tablečių pavartojimo ir maisto vartojimo, kuriame yra daug oksalo ar fitino rūgšties.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Nėštumas ir žindymo laikotarpis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skiriamas tik moterims po menopauzės.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negalima vartoti nėštumo ar žindymo laikotarpiu.</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Jeigu esate nėščia, žindote kūdikį, manote, kad galbūt esate nėščia, arba planuojate pastoti, prieš vartodama šį vaistą pasitarkite su gydytoju arba vaistininku. </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Vairavimas ir mechanizmų valdymas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Tridepos gali paveikti Jūsų gebėjimą vairuoti ar valdyti mechanizmus, </w:t>
      </w:r>
      <w:proofErr w:type="gramStart"/>
      <w:r w:rsidRPr="002D358F">
        <w:rPr>
          <w:rFonts w:ascii="Times New Roman" w:eastAsia="Times New Roman" w:hAnsi="Times New Roman" w:cs="Times New Roman"/>
          <w:snapToGrid w:val="0"/>
          <w:szCs w:val="20"/>
          <w:lang w:val="en-GB"/>
        </w:rPr>
        <w:t>pvz.,</w:t>
      </w:r>
      <w:proofErr w:type="gramEnd"/>
      <w:r w:rsidRPr="002D358F">
        <w:rPr>
          <w:rFonts w:ascii="Times New Roman" w:eastAsia="Times New Roman" w:hAnsi="Times New Roman" w:cs="Times New Roman"/>
          <w:snapToGrid w:val="0"/>
          <w:szCs w:val="20"/>
          <w:lang w:val="en-GB"/>
        </w:rPr>
        <w:t xml:space="preserve"> pusiausvyros praradimas, svaigulys ir stiprus kaulų, raumenų ir sąnarių skausmas. Jeigu Jums pasireiškia kuris nors iš šių simptomų, nevairuokite ir nevaldykite mechanizmų, kol jie nepraeis.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color w:val="000000"/>
          <w:sz w:val="28"/>
          <w:szCs w:val="28"/>
          <w:lang w:val="en-GB"/>
        </w:rPr>
      </w:pPr>
      <w:r w:rsidRPr="002D358F">
        <w:rPr>
          <w:rFonts w:ascii="Times New Roman" w:eastAsia="Times New Roman" w:hAnsi="Times New Roman" w:cs="Times New Roman"/>
          <w:b/>
          <w:bCs/>
          <w:snapToGrid w:val="0"/>
          <w:szCs w:val="28"/>
          <w:lang w:val="en-GB"/>
        </w:rPr>
        <w:t xml:space="preserve">Tridepos sudėtyje yra </w:t>
      </w:r>
      <w:r w:rsidRPr="002D358F">
        <w:rPr>
          <w:rFonts w:ascii="Times New Roman" w:eastAsia="Times New Roman" w:hAnsi="Times New Roman" w:cs="Times New Roman"/>
          <w:b/>
          <w:bCs/>
          <w:snapToGrid w:val="0"/>
          <w:color w:val="000000"/>
          <w:szCs w:val="28"/>
          <w:lang w:val="en-GB"/>
        </w:rPr>
        <w:t>laktozės ir sacharozės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Kiekvienoje alendronato 70 mg tabletėje yra laktozės, kiekvienoje kalcio/vitamino D tabletėje yra sacharozės. Jeigu gydytojas Jums yra sakęs, kad netoleruojate kokių nors angliavandenių, kreipkitės į jį prieš pradėdami vartoti šį vaistą.</w:t>
      </w:r>
      <w:r w:rsidRPr="002D358F">
        <w:rPr>
          <w:rFonts w:ascii="Times New Roman" w:eastAsia="Times New Roman" w:hAnsi="Times New Roman" w:cs="Times New Roman"/>
          <w:snapToGrid w:val="0"/>
          <w:sz w:val="16"/>
          <w:szCs w:val="20"/>
          <w:lang w:val="en-GB"/>
        </w:rPr>
        <w:t xml:space="preserve"> </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keepNext/>
        <w:keepLines/>
        <w:tabs>
          <w:tab w:val="left" w:pos="567"/>
        </w:tabs>
        <w:spacing w:after="0" w:line="240" w:lineRule="auto"/>
        <w:outlineLvl w:val="2"/>
        <w:rPr>
          <w:rFonts w:ascii="Cambria" w:eastAsia="Times New Roman" w:hAnsi="Cambria" w:cs="Times New Roman"/>
          <w:bCs/>
          <w:snapToGrid w:val="0"/>
          <w:sz w:val="26"/>
          <w:szCs w:val="26"/>
          <w:lang w:val="en-GB"/>
        </w:rPr>
      </w:pPr>
      <w:r w:rsidRPr="002D358F">
        <w:rPr>
          <w:rFonts w:ascii="Times New Roman" w:eastAsia="Times New Roman" w:hAnsi="Times New Roman" w:cs="Times New Roman"/>
          <w:b/>
          <w:bCs/>
          <w:snapToGrid w:val="0"/>
          <w:szCs w:val="26"/>
          <w:lang w:val="en-GB"/>
        </w:rPr>
        <w:t>3.</w:t>
      </w:r>
      <w:r w:rsidRPr="002D358F">
        <w:rPr>
          <w:rFonts w:ascii="Times New Roman" w:eastAsia="Times New Roman" w:hAnsi="Times New Roman" w:cs="Times New Roman"/>
          <w:b/>
          <w:bCs/>
          <w:snapToGrid w:val="0"/>
          <w:szCs w:val="26"/>
          <w:lang w:val="en-GB"/>
        </w:rPr>
        <w:tab/>
        <w:t>Kaip vartoti Tridepos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Visada vartokite šį vaistą tiksliai taip, kaip nurodė gydytojas arba vaistininkas. Jeigu abejojate, kreipkitės </w:t>
      </w:r>
      <w:proofErr w:type="gramStart"/>
      <w:r w:rsidRPr="002D358F">
        <w:rPr>
          <w:rFonts w:ascii="Times New Roman" w:eastAsia="Times New Roman" w:hAnsi="Times New Roman" w:cs="Times New Roman"/>
          <w:snapToGrid w:val="0"/>
          <w:szCs w:val="20"/>
          <w:lang w:val="en-GB"/>
        </w:rPr>
        <w:t>į  gydytoją</w:t>
      </w:r>
      <w:proofErr w:type="gramEnd"/>
      <w:r w:rsidRPr="002D358F">
        <w:rPr>
          <w:rFonts w:ascii="Times New Roman" w:eastAsia="Times New Roman" w:hAnsi="Times New Roman" w:cs="Times New Roman"/>
          <w:snapToGrid w:val="0"/>
          <w:szCs w:val="20"/>
          <w:lang w:val="en-GB"/>
        </w:rPr>
        <w:t xml:space="preserve"> arba vaistininką. </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Tridepos tiekiamas dėklo tipo pakuotėje vienos savaitės gydymo kursui, kurioje yra 1 alendronato ir 6 kalcio/vitamino D tabletės kartu su šio vaisto vartojimo instrukcijomis. </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Kadangi ne visada osteoporozės simptomai yra akivaizdūs, Jūs galite jų nepastebėti. Siekiant </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sumažinti kaulų lūžių riziką svarbu vartoti vaistą taip, kaip Jums patarė Jūsų gydytojas, nes Tridepos gali padėti gydyti osteoporozę tik tol, kol vartosite šias tabletes.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Rekomenduojama dozė</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 diena</w:t>
      </w:r>
      <w:r w:rsidRPr="002D358F">
        <w:rPr>
          <w:rFonts w:ascii="Times New Roman" w:eastAsia="Times New Roman" w:hAnsi="Times New Roman" w:cs="Times New Roman"/>
          <w:snapToGrid w:val="0"/>
          <w:szCs w:val="20"/>
          <w:lang w:val="en-GB"/>
        </w:rPr>
        <w:t>: išgerkite VIENĄ alendronato tabletę vieną kartą per savaitę.</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Pasirinkite Jums tinkamiausią savaitės dieną. Tai bus Jūsų savaitės ciklo 1 diena.</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Kiekvieną savaitę vartokite 1 alendronato tabletę Jūsų pasirinktą 1 dieną.</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2-7 dienos:</w:t>
      </w:r>
      <w:r w:rsidRPr="002D358F">
        <w:rPr>
          <w:rFonts w:ascii="Times New Roman" w:eastAsia="Times New Roman" w:hAnsi="Times New Roman" w:cs="Times New Roman"/>
          <w:snapToGrid w:val="0"/>
          <w:szCs w:val="20"/>
          <w:lang w:val="en-GB"/>
        </w:rPr>
        <w:t xml:space="preserve"> kalcio/vitamino D tabletės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Sekančią dieną, kai buvo išgerta alendronato tabletė, gerkite po VIENĄ kalcio/vitamino D tabletę kasdien 6-ias dienas. </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Kiekvieną septintą dieną pradėkite naują savaitės ciklą. Jūs turite pradėti naują vaisto pakuotę, suvartodami vieną alendronato tabletę Jūsų pasirinktą 1 dieną.</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Toliau laikykitės šio tablečių vartojimo </w:t>
      </w:r>
      <w:proofErr w:type="gramStart"/>
      <w:r w:rsidRPr="002D358F">
        <w:rPr>
          <w:rFonts w:ascii="Times New Roman" w:eastAsia="Times New Roman" w:hAnsi="Times New Roman" w:cs="Times New Roman"/>
          <w:snapToGrid w:val="0"/>
          <w:szCs w:val="20"/>
          <w:lang w:val="en-GB"/>
        </w:rPr>
        <w:t>plano</w:t>
      </w:r>
      <w:proofErr w:type="gramEnd"/>
      <w:r w:rsidRPr="002D358F">
        <w:rPr>
          <w:rFonts w:ascii="Times New Roman" w:eastAsia="Times New Roman" w:hAnsi="Times New Roman" w:cs="Times New Roman"/>
          <w:snapToGrid w:val="0"/>
          <w:szCs w:val="20"/>
          <w:lang w:val="en-GB"/>
        </w:rPr>
        <w:t xml:space="preserve"> tiek laiko, kiek Jums nurodys gydytojas.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Kaip vartoti tabletes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Alendronato tabletę reikia išgerti vieną kartą per savaitę. Kalcio/vitamino D tablečių negalima vartoti tą pačią dieną, nes </w:t>
      </w:r>
      <w:proofErr w:type="gramStart"/>
      <w:r w:rsidRPr="002D358F">
        <w:rPr>
          <w:rFonts w:ascii="Times New Roman" w:eastAsia="Times New Roman" w:hAnsi="Times New Roman" w:cs="Times New Roman"/>
          <w:snapToGrid w:val="0"/>
          <w:szCs w:val="20"/>
          <w:lang w:val="en-GB"/>
        </w:rPr>
        <w:t>tai</w:t>
      </w:r>
      <w:proofErr w:type="gramEnd"/>
      <w:r w:rsidRPr="002D358F">
        <w:rPr>
          <w:rFonts w:ascii="Times New Roman" w:eastAsia="Times New Roman" w:hAnsi="Times New Roman" w:cs="Times New Roman"/>
          <w:snapToGrid w:val="0"/>
          <w:szCs w:val="20"/>
          <w:lang w:val="en-GB"/>
        </w:rPr>
        <w:t xml:space="preserve"> gali sumažinti alendronato pasisavinimą organizme. Tridepos tiekiamas savaitės </w:t>
      </w:r>
      <w:r w:rsidRPr="002D358F">
        <w:rPr>
          <w:rFonts w:ascii="Times New Roman" w:eastAsia="Times New Roman" w:hAnsi="Times New Roman" w:cs="Times New Roman"/>
          <w:snapToGrid w:val="0"/>
          <w:szCs w:val="20"/>
          <w:lang w:val="en-GB"/>
        </w:rPr>
        <w:lastRenderedPageBreak/>
        <w:t>pakuotėse, kuriose yra viena alendronato tabletė ir 6 kalcio/vitamino D tabletės kitoms savaitės dienoms.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Kad užtikrintumėte tinkamą alendronato 70 mg tablečių veikimą, laikykitės šių instrukcijų:</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Alendronato tabletę išgerkite ryte, prieš </w:t>
      </w:r>
      <w:proofErr w:type="gramStart"/>
      <w:r w:rsidRPr="002D358F">
        <w:rPr>
          <w:rFonts w:ascii="Times New Roman" w:eastAsia="Times New Roman" w:hAnsi="Times New Roman" w:cs="Times New Roman"/>
          <w:snapToGrid w:val="0"/>
          <w:szCs w:val="20"/>
          <w:lang w:val="en-GB"/>
        </w:rPr>
        <w:t>ko</w:t>
      </w:r>
      <w:proofErr w:type="gramEnd"/>
      <w:r w:rsidRPr="002D358F">
        <w:rPr>
          <w:rFonts w:ascii="Times New Roman" w:eastAsia="Times New Roman" w:hAnsi="Times New Roman" w:cs="Times New Roman"/>
          <w:snapToGrid w:val="0"/>
          <w:szCs w:val="20"/>
          <w:lang w:val="en-GB"/>
        </w:rPr>
        <w:t xml:space="preserve"> nors suvalgydami, išgerdami ar prieš vartodami kitus vaistus.</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Užgerkite ją mažiausiai viena stikline (ne mažiau kaip 200 ml) gryno vandens </w:t>
      </w:r>
      <w:proofErr w:type="gramStart"/>
      <w:r w:rsidRPr="002D358F">
        <w:rPr>
          <w:rFonts w:ascii="Times New Roman" w:eastAsia="Times New Roman" w:hAnsi="Times New Roman" w:cs="Times New Roman"/>
          <w:snapToGrid w:val="0"/>
          <w:szCs w:val="20"/>
          <w:lang w:val="en-GB"/>
        </w:rPr>
        <w:t>( mineralinis</w:t>
      </w:r>
      <w:proofErr w:type="gramEnd"/>
      <w:r w:rsidRPr="002D358F">
        <w:rPr>
          <w:rFonts w:ascii="Times New Roman" w:eastAsia="Times New Roman" w:hAnsi="Times New Roman" w:cs="Times New Roman"/>
          <w:snapToGrid w:val="0"/>
          <w:szCs w:val="20"/>
          <w:lang w:val="en-GB"/>
        </w:rPr>
        <w:t xml:space="preserve"> vanduo ar kiti gėrimai gali sumažinti alendronato pasisavinimą).</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Nurykite </w:t>
      </w:r>
      <w:proofErr w:type="gramStart"/>
      <w:r w:rsidRPr="002D358F">
        <w:rPr>
          <w:rFonts w:ascii="Times New Roman" w:eastAsia="Times New Roman" w:hAnsi="Times New Roman" w:cs="Times New Roman"/>
          <w:snapToGrid w:val="0"/>
          <w:szCs w:val="20"/>
          <w:lang w:val="en-GB"/>
        </w:rPr>
        <w:t>ją</w:t>
      </w:r>
      <w:proofErr w:type="gramEnd"/>
      <w:r w:rsidRPr="002D358F">
        <w:rPr>
          <w:rFonts w:ascii="Times New Roman" w:eastAsia="Times New Roman" w:hAnsi="Times New Roman" w:cs="Times New Roman"/>
          <w:snapToGrid w:val="0"/>
          <w:szCs w:val="20"/>
          <w:lang w:val="en-GB"/>
        </w:rPr>
        <w:t xml:space="preserve"> visą. Nesmulkinkite ir nekramtykite tabletės, taip pat neleiskite jai ištirpti Jūsų burnoje, nes </w:t>
      </w:r>
      <w:proofErr w:type="gramStart"/>
      <w:r w:rsidRPr="002D358F">
        <w:rPr>
          <w:rFonts w:ascii="Times New Roman" w:eastAsia="Times New Roman" w:hAnsi="Times New Roman" w:cs="Times New Roman"/>
          <w:snapToGrid w:val="0"/>
          <w:szCs w:val="20"/>
          <w:lang w:val="en-GB"/>
        </w:rPr>
        <w:t>tai</w:t>
      </w:r>
      <w:proofErr w:type="gramEnd"/>
      <w:r w:rsidRPr="002D358F">
        <w:rPr>
          <w:rFonts w:ascii="Times New Roman" w:eastAsia="Times New Roman" w:hAnsi="Times New Roman" w:cs="Times New Roman"/>
          <w:snapToGrid w:val="0"/>
          <w:szCs w:val="20"/>
          <w:lang w:val="en-GB"/>
        </w:rPr>
        <w:t xml:space="preserve"> gali sukelti burnos ar ryklės opas.</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Išgerkite tabletę būdami vertikalioje padėtyje (galite sėdėti arba stovėti), kad išvengtumėte rėmens.</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Nevalgykite ir negerkite mažiausiai 30 minučių po tabletės pavartojimo.</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Nesigulkite 30 minučių po tabletės pavartojimo.</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Niekada negerkite tabletės prieš einant miegoti ar iš ryto prieš keliantis.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Nurykite tabletę, užsigerdami vandeniu, sveiką, susmulkintą arba padalytą į </w:t>
      </w:r>
      <w:proofErr w:type="gramStart"/>
      <w:r w:rsidRPr="002D358F">
        <w:rPr>
          <w:rFonts w:ascii="Times New Roman" w:eastAsia="Times New Roman" w:hAnsi="Times New Roman" w:cs="Times New Roman"/>
          <w:snapToGrid w:val="0"/>
          <w:szCs w:val="20"/>
          <w:lang w:val="en-GB"/>
        </w:rPr>
        <w:t>dvi</w:t>
      </w:r>
      <w:proofErr w:type="gramEnd"/>
      <w:r w:rsidRPr="002D358F">
        <w:rPr>
          <w:rFonts w:ascii="Times New Roman" w:eastAsia="Times New Roman" w:hAnsi="Times New Roman" w:cs="Times New Roman"/>
          <w:snapToGrid w:val="0"/>
          <w:szCs w:val="20"/>
          <w:lang w:val="en-GB"/>
        </w:rPr>
        <w:t xml:space="preserve"> dalis.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Apie praleistas dozes žr. sk. “Pamiršus pavartoti Tridepos” </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Jeigu Jums yra inkstų sutrikimų</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reikia atsargiai vartoti jeigu Jūsų inkstai nedirba tinkamai, gydytojas gali nuspręsti patikrinti Jūsų kalcio ir fosfatų koncentraciją kraujyje. Jeigu abejojate, kreipkitės į gydytoją arba vaistininką. Tridepos negalima vartoti jeigu yra sunkus inkstų veiklos sutrikimas, žr. 2 skyrių „Kas žinotina prieš vartojant Tridepos”.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Senyvi pacientai</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Jūsų gydytojas visada turi atsižvelgti į Jūsų inkstų funkciją.</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Ką daryti pavartojus per didelę Tridepos dozę?</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Jeigu pavartojote per daug tablečių ar jeigu, </w:t>
      </w:r>
      <w:proofErr w:type="gramStart"/>
      <w:r w:rsidRPr="002D358F">
        <w:rPr>
          <w:rFonts w:ascii="Times New Roman" w:eastAsia="Times New Roman" w:hAnsi="Times New Roman" w:cs="Times New Roman"/>
          <w:snapToGrid w:val="0"/>
          <w:szCs w:val="20"/>
          <w:lang w:val="en-GB"/>
        </w:rPr>
        <w:t>pvz.,</w:t>
      </w:r>
      <w:proofErr w:type="gramEnd"/>
      <w:r w:rsidRPr="002D358F">
        <w:rPr>
          <w:rFonts w:ascii="Times New Roman" w:eastAsia="Times New Roman" w:hAnsi="Times New Roman" w:cs="Times New Roman"/>
          <w:snapToGrid w:val="0"/>
          <w:szCs w:val="20"/>
          <w:lang w:val="en-GB"/>
        </w:rPr>
        <w:t xml:space="preserve"> vaikas netyčia prarijo vaisto, pasakykite gydytojui arba kreipkitės į artimiausios gydymo įstaigos skubios pagalbos skyrių, kad būtų įvertinta rizika ir gautas patarimas.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per klaidą pavartojote per daug alendronato tablečių, išgerkite stiklinę pieno ir nedelsiant kreipkitės į savo gydytoją. Nesistenkite sukelkite sau vėmimo ir neatsigulkite.</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Jūs galite jausti šiuos simptomus:</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maža kalcio koncentracija kraujyje (gali pasireikšti tokie simptomai kaip raumenų mėšlungis, spazmai, pirštų ar srities apie burną trūkčiojimas ir dilgčiojimas);</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maža fosfatų koncentracija kraujyje (gali pasireikšti tokie simptomai kaip nuovargis, raumenų silpnumas, sumišimas arba haliucinacijos);</w:t>
      </w:r>
    </w:p>
    <w:p w:rsidR="004E756C" w:rsidRPr="002D358F" w:rsidRDefault="004E756C" w:rsidP="004E756C">
      <w:pPr>
        <w:numPr>
          <w:ilvl w:val="0"/>
          <w:numId w:val="1"/>
        </w:numPr>
        <w:tabs>
          <w:tab w:val="left" w:pos="567"/>
        </w:tabs>
        <w:spacing w:after="0" w:line="240" w:lineRule="auto"/>
        <w:ind w:left="540" w:right="-2" w:hanging="540"/>
        <w:rPr>
          <w:rFonts w:ascii="Times New Roman" w:eastAsia="Times New Roman" w:hAnsi="Times New Roman" w:cs="Times New Roman"/>
          <w:snapToGrid w:val="0"/>
          <w:szCs w:val="20"/>
          <w:lang w:val="en-GB"/>
        </w:rPr>
      </w:pPr>
      <w:proofErr w:type="gramStart"/>
      <w:r w:rsidRPr="002D358F">
        <w:rPr>
          <w:rFonts w:ascii="Times New Roman" w:eastAsia="Times New Roman" w:hAnsi="Times New Roman" w:cs="Times New Roman"/>
          <w:snapToGrid w:val="0"/>
          <w:szCs w:val="20"/>
          <w:lang w:val="en-GB"/>
        </w:rPr>
        <w:t>sutrikusi</w:t>
      </w:r>
      <w:proofErr w:type="gramEnd"/>
      <w:r w:rsidRPr="002D358F">
        <w:rPr>
          <w:rFonts w:ascii="Times New Roman" w:eastAsia="Times New Roman" w:hAnsi="Times New Roman" w:cs="Times New Roman"/>
          <w:snapToGrid w:val="0"/>
          <w:szCs w:val="20"/>
          <w:lang w:val="en-GB"/>
        </w:rPr>
        <w:t xml:space="preserve"> skrandžio veikla, rėmuo, krūtinės ląstos skausmas, rūgšties skonis burnoje, pilvo išsipūtimas, raugulys ir deginimo pojūtis geriant karštus gėrimus.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Nedelsdami kreipkitės į gydytoją ar vaistininką ir daugiau nevartokite jokių tablečių.</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Pavartoję per didelę dozę, Jūs galite jausti šiuos simptomus:</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apetito sumažėjimas, troškulys, pykinimas, vėmimas, vidurių užkietėjimas, pilvo skausmas;</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raumenų silpnumas, nuovargis, kaulų skausmas;</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psichikos sutrikimai (gali pasireikšti tokie simptomai kaip sumišimas arba negebėjimas susikaupti, depresija ar nerimas);</w:t>
      </w:r>
    </w:p>
    <w:p w:rsidR="004E756C" w:rsidRPr="002D358F" w:rsidRDefault="004E756C" w:rsidP="004E756C">
      <w:pPr>
        <w:numPr>
          <w:ilvl w:val="0"/>
          <w:numId w:val="2"/>
        </w:numPr>
        <w:tabs>
          <w:tab w:val="left" w:pos="567"/>
        </w:tabs>
        <w:spacing w:after="0" w:line="240" w:lineRule="auto"/>
        <w:ind w:right="-2"/>
        <w:rPr>
          <w:rFonts w:ascii="Times New Roman" w:eastAsia="Times New Roman" w:hAnsi="Times New Roman" w:cs="Times New Roman"/>
          <w:snapToGrid w:val="0"/>
          <w:szCs w:val="20"/>
          <w:lang w:val="en-GB"/>
        </w:rPr>
      </w:pPr>
      <w:proofErr w:type="gramStart"/>
      <w:r w:rsidRPr="002D358F">
        <w:rPr>
          <w:rFonts w:ascii="Times New Roman" w:eastAsia="Times New Roman" w:hAnsi="Times New Roman" w:cs="Times New Roman"/>
          <w:snapToGrid w:val="0"/>
          <w:szCs w:val="20"/>
          <w:lang w:val="en-GB"/>
        </w:rPr>
        <w:t>poreikis</w:t>
      </w:r>
      <w:proofErr w:type="gramEnd"/>
      <w:r w:rsidRPr="002D358F">
        <w:rPr>
          <w:rFonts w:ascii="Times New Roman" w:eastAsia="Times New Roman" w:hAnsi="Times New Roman" w:cs="Times New Roman"/>
          <w:snapToGrid w:val="0"/>
          <w:szCs w:val="20"/>
          <w:lang w:val="en-GB"/>
        </w:rPr>
        <w:t xml:space="preserve"> dažniau šlapintis (kartais net naktį) ir didelio šlapimo kiekio išskyrimas.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Pamiršus pavartoti Tridepos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praleidžiama dozė, savaitinę alendronate tabletę reikėtų išgerti kitą dieną ryte pagal dozavimo instrukcijas (žr. 3 skyrių). Alendronato tabletę reikia išgerti kiekvieną savaitę. Kalcis veikia alendronato pasisavinimą, sumažindamas alendronato poveikį. Todėl, palaukite mažiausiai 30 minučių prieš išgerdami kalcio/vitamino D dienos dozę.</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Nekeiskite savaitės ciklo laiko, </w:t>
      </w:r>
      <w:proofErr w:type="gramStart"/>
      <w:r w:rsidRPr="002D358F">
        <w:rPr>
          <w:rFonts w:ascii="Times New Roman" w:eastAsia="Times New Roman" w:hAnsi="Times New Roman" w:cs="Times New Roman"/>
          <w:snapToGrid w:val="0"/>
          <w:szCs w:val="20"/>
          <w:lang w:val="en-GB"/>
        </w:rPr>
        <w:t>pvz.,</w:t>
      </w:r>
      <w:proofErr w:type="gramEnd"/>
      <w:r w:rsidRPr="002D358F">
        <w:rPr>
          <w:rFonts w:ascii="Times New Roman" w:eastAsia="Times New Roman" w:hAnsi="Times New Roman" w:cs="Times New Roman"/>
          <w:snapToGrid w:val="0"/>
          <w:szCs w:val="20"/>
          <w:lang w:val="en-GB"/>
        </w:rPr>
        <w:t xml:space="preserve"> toliau vartokite alendronato tabletes Jūsų pasirinktą 1 dieną. Likusias kalcio/vitamino D tabletes savaitės ciklo pabaigoje reikia išmesti (ne į kanalizaciją ir ne su buitinėmis atliekomis, žr. 5 skyrių).  </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praleidote dozę, Jūs turėtumėte toliau tęsti normalų kalcio/vitamino D vartojimo kursą po vieną tabletę per dieną. Negalima vartoti papildomos kalcio/vitamino D tabletės tą pačią dieną, norint kompensuoti praleistą tabletę. Visas likusias kalcio/vitamino D tabletes savaitės ciklo pabaigoje reikia išmesti (ne į kanalizaciją ir ne su buitinėmis atliekomis; žr. 5 skyrių).</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Nustojus vartoti Tridepos</w:t>
      </w:r>
    </w:p>
    <w:p w:rsidR="004E756C" w:rsidRPr="002D358F" w:rsidRDefault="004E756C" w:rsidP="004E756C">
      <w:pPr>
        <w:numPr>
          <w:ilvl w:val="12"/>
          <w:numId w:val="0"/>
        </w:num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Vartokite vaistą tiek laiko, kiek Jums nurodė gydytojas. Osteoporozė yra būklė be aiškių simptomų ir gydymas paprastai trunka ilgai.</w:t>
      </w:r>
    </w:p>
    <w:p w:rsidR="004E756C" w:rsidRPr="002D358F" w:rsidRDefault="004E756C" w:rsidP="004E756C">
      <w:pPr>
        <w:numPr>
          <w:ilvl w:val="12"/>
          <w:numId w:val="0"/>
        </w:num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Jeigu kiltų daugiau klausimų </w:t>
      </w:r>
      <w:proofErr w:type="gramStart"/>
      <w:r w:rsidRPr="002D358F">
        <w:rPr>
          <w:rFonts w:ascii="Times New Roman" w:eastAsia="Times New Roman" w:hAnsi="Times New Roman" w:cs="Times New Roman"/>
          <w:snapToGrid w:val="0"/>
          <w:szCs w:val="20"/>
          <w:lang w:val="en-GB"/>
        </w:rPr>
        <w:t>dėl</w:t>
      </w:r>
      <w:proofErr w:type="gramEnd"/>
      <w:r w:rsidRPr="002D358F">
        <w:rPr>
          <w:rFonts w:ascii="Times New Roman" w:eastAsia="Times New Roman" w:hAnsi="Times New Roman" w:cs="Times New Roman"/>
          <w:snapToGrid w:val="0"/>
          <w:szCs w:val="20"/>
          <w:lang w:val="en-GB"/>
        </w:rPr>
        <w:t xml:space="preserve"> šio vaisto vartojimo, kreipkitės į gydytoją arba vaistininką.</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p>
    <w:p w:rsidR="004E756C" w:rsidRPr="002D358F" w:rsidRDefault="004E756C" w:rsidP="004E756C">
      <w:pPr>
        <w:keepNext/>
        <w:keepLines/>
        <w:tabs>
          <w:tab w:val="left" w:pos="567"/>
        </w:tabs>
        <w:spacing w:after="0" w:line="240" w:lineRule="auto"/>
        <w:outlineLvl w:val="2"/>
        <w:rPr>
          <w:rFonts w:ascii="Cambria" w:eastAsia="Times New Roman" w:hAnsi="Cambria" w:cs="Times New Roman"/>
          <w:bCs/>
          <w:snapToGrid w:val="0"/>
          <w:sz w:val="26"/>
          <w:szCs w:val="26"/>
          <w:lang w:val="en-GB"/>
        </w:rPr>
      </w:pPr>
      <w:r w:rsidRPr="002D358F">
        <w:rPr>
          <w:rFonts w:ascii="Times New Roman" w:eastAsia="Times New Roman" w:hAnsi="Times New Roman" w:cs="Times New Roman"/>
          <w:b/>
          <w:bCs/>
          <w:snapToGrid w:val="0"/>
          <w:szCs w:val="26"/>
          <w:lang w:val="en-GB"/>
        </w:rPr>
        <w:t>4.</w:t>
      </w:r>
      <w:r w:rsidRPr="002D358F">
        <w:rPr>
          <w:rFonts w:ascii="Times New Roman" w:eastAsia="Times New Roman" w:hAnsi="Times New Roman" w:cs="Times New Roman"/>
          <w:b/>
          <w:bCs/>
          <w:snapToGrid w:val="0"/>
          <w:szCs w:val="26"/>
          <w:lang w:val="en-GB"/>
        </w:rPr>
        <w:tab/>
        <w:t>Galimas šalutinis poveikis</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Šis vaistas, kaip ir visi kiti, gali sukelti šalutinį poveikį, nors jis pasireiškia ne visiems žmonėms.</w:t>
      </w:r>
    </w:p>
    <w:p w:rsidR="004E756C" w:rsidRPr="002D358F" w:rsidRDefault="004E756C" w:rsidP="004E756C">
      <w:pPr>
        <w:numPr>
          <w:ilvl w:val="12"/>
          <w:numId w:val="0"/>
        </w:num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Jeigu pastebite kurį nors iš toliau išvardytų retų ir rimtų simptomų, </w:t>
      </w:r>
      <w:r w:rsidRPr="002D358F">
        <w:rPr>
          <w:rFonts w:ascii="Times New Roman" w:eastAsia="Times New Roman" w:hAnsi="Times New Roman" w:cs="Times New Roman"/>
          <w:b/>
          <w:snapToGrid w:val="0"/>
          <w:szCs w:val="20"/>
          <w:lang w:val="en-GB"/>
        </w:rPr>
        <w:t xml:space="preserve">nedelsdami </w:t>
      </w:r>
      <w:r w:rsidRPr="002D358F">
        <w:rPr>
          <w:rFonts w:ascii="Times New Roman" w:eastAsia="Times New Roman" w:hAnsi="Times New Roman" w:cs="Times New Roman"/>
          <w:snapToGrid w:val="0"/>
          <w:szCs w:val="20"/>
          <w:lang w:val="en-GB"/>
        </w:rPr>
        <w:t xml:space="preserve">kreipkitės į savo gydytoją, nes Jums gali prireikti sumažinti vaisto dozę arba nutraukti </w:t>
      </w:r>
      <w:proofErr w:type="gramStart"/>
      <w:r w:rsidRPr="002D358F">
        <w:rPr>
          <w:rFonts w:ascii="Times New Roman" w:eastAsia="Times New Roman" w:hAnsi="Times New Roman" w:cs="Times New Roman"/>
          <w:snapToGrid w:val="0"/>
          <w:szCs w:val="20"/>
          <w:lang w:val="en-GB"/>
        </w:rPr>
        <w:t>jo</w:t>
      </w:r>
      <w:proofErr w:type="gramEnd"/>
      <w:r w:rsidRPr="002D358F">
        <w:rPr>
          <w:rFonts w:ascii="Times New Roman" w:eastAsia="Times New Roman" w:hAnsi="Times New Roman" w:cs="Times New Roman"/>
          <w:snapToGrid w:val="0"/>
          <w:szCs w:val="20"/>
          <w:lang w:val="en-GB"/>
        </w:rPr>
        <w:t xml:space="preserve"> vartojimą.</w:t>
      </w:r>
    </w:p>
    <w:p w:rsidR="004E756C" w:rsidRPr="002D358F" w:rsidRDefault="004E756C" w:rsidP="004E756C">
      <w:pPr>
        <w:numPr>
          <w:ilvl w:val="12"/>
          <w:numId w:val="0"/>
        </w:numPr>
        <w:spacing w:after="0" w:line="240" w:lineRule="auto"/>
        <w:ind w:right="-29"/>
        <w:rPr>
          <w:rFonts w:ascii="Times New Roman" w:eastAsia="Times New Roman" w:hAnsi="Times New Roman" w:cs="Times New Roman"/>
          <w:b/>
          <w:snapToGrid w:val="0"/>
          <w:szCs w:val="20"/>
          <w:lang w:val="en-GB"/>
        </w:rPr>
      </w:pPr>
    </w:p>
    <w:p w:rsidR="004E756C" w:rsidRPr="002D358F" w:rsidRDefault="004E756C" w:rsidP="004E756C">
      <w:pPr>
        <w:numPr>
          <w:ilvl w:val="12"/>
          <w:numId w:val="0"/>
        </w:num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Dažnas: gali pasireikšti iki 1 iš 10 žmonių </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Naujai atsiradęs ar sustiprėjęs rėmuo, skausmas/sunkumas ryjant, opos stemplėje, pasireiškiančios skausmu krūtinėje;</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Retas: gali pasireikšti iki 1 iš 1000 žmonių</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Stemplės susiaurėjimas arba veržimas, dėl to gali būti sunku ryti;</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Veido, liežuvio ar gerklų patinimas; sunkumas ryjant; dilgėlinė ir pasunkėjęs kvėpavimas (angioedema);</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Sunki odos reakcija:</w:t>
      </w:r>
    </w:p>
    <w:p w:rsidR="004E756C" w:rsidRPr="002D358F" w:rsidRDefault="004E756C" w:rsidP="004E756C">
      <w:pPr>
        <w:numPr>
          <w:ilvl w:val="0"/>
          <w:numId w:val="1"/>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tai gali prasidėti gripą primenančiais simptomais, po kurių atsiranda skausmingas plintantis raudonas ar rausvai violetinis išbėrimas bei pūslės (tai vadinama Stivenso ir Džonsono sindromu);</w:t>
      </w:r>
    </w:p>
    <w:p w:rsidR="004E756C" w:rsidRPr="002D358F" w:rsidRDefault="004E756C" w:rsidP="004E756C">
      <w:pPr>
        <w:numPr>
          <w:ilvl w:val="0"/>
          <w:numId w:val="1"/>
        </w:numPr>
        <w:tabs>
          <w:tab w:val="left" w:pos="567"/>
        </w:tabs>
        <w:spacing w:after="0" w:line="240" w:lineRule="auto"/>
        <w:ind w:right="-29"/>
        <w:rPr>
          <w:rFonts w:ascii="Times New Roman" w:eastAsia="Times New Roman" w:hAnsi="Times New Roman" w:cs="Times New Roman"/>
          <w:snapToGrid w:val="0"/>
          <w:szCs w:val="20"/>
          <w:lang w:val="en-GB"/>
        </w:rPr>
      </w:pPr>
      <w:proofErr w:type="gramStart"/>
      <w:r w:rsidRPr="002D358F">
        <w:rPr>
          <w:rFonts w:ascii="Times New Roman" w:eastAsia="Times New Roman" w:hAnsi="Times New Roman" w:cs="Times New Roman"/>
          <w:snapToGrid w:val="0"/>
          <w:szCs w:val="20"/>
          <w:lang w:val="en-GB"/>
        </w:rPr>
        <w:t>gali</w:t>
      </w:r>
      <w:proofErr w:type="gramEnd"/>
      <w:r w:rsidRPr="002D358F">
        <w:rPr>
          <w:rFonts w:ascii="Times New Roman" w:eastAsia="Times New Roman" w:hAnsi="Times New Roman" w:cs="Times New Roman"/>
          <w:snapToGrid w:val="0"/>
          <w:szCs w:val="20"/>
          <w:lang w:val="en-GB"/>
        </w:rPr>
        <w:t xml:space="preserve"> atsirasti reta odos būklė, dėl kurios Jums gali pasišalinti išorinis odos sluoksnis. Ji panaši į antrojo laipsnio nudegimą. Iš kitų simptomų gali pasireikšti karščiavimas, nuovargis, kosulys, niežtinti oda, raumenų skausmai ir skausminga ryklė, vėliau atsirandančios odos žaizdos (tai vadinama toksine epidermio nekrolize);</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Stiprus apatinio žandikaulio skausmas, patinimas, paraudimas arba kiti dantenų infekcijos požymiai (apatinio žandikaulio osteonekrozė);</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Neįprasti šlaunikaulio lūžiai (atsirandantys iškart žemiau klubo sąnario arba ilgojoje šlaunikaulio dalyje), gali atsirasti pacietams, kuriems ilgai gydyta osteoporozė.</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Pasitarkite su gydytoju, jeigu jaučiate skausmą silpnumą ar diskomfortą šlaunyje, klubo sąnaryje ar kirkšnyje, nes </w:t>
      </w:r>
      <w:proofErr w:type="gramStart"/>
      <w:r w:rsidRPr="002D358F">
        <w:rPr>
          <w:rFonts w:ascii="Times New Roman" w:eastAsia="Times New Roman" w:hAnsi="Times New Roman" w:cs="Times New Roman"/>
          <w:snapToGrid w:val="0"/>
          <w:szCs w:val="20"/>
          <w:lang w:val="en-GB"/>
        </w:rPr>
        <w:t>tai</w:t>
      </w:r>
      <w:proofErr w:type="gramEnd"/>
      <w:r w:rsidRPr="002D358F">
        <w:rPr>
          <w:rFonts w:ascii="Times New Roman" w:eastAsia="Times New Roman" w:hAnsi="Times New Roman" w:cs="Times New Roman"/>
          <w:snapToGrid w:val="0"/>
          <w:szCs w:val="20"/>
          <w:lang w:val="en-GB"/>
        </w:rPr>
        <w:t xml:space="preserve"> gali būti ankstyvieji galimo šlaunikaulio lūžio požymiai.</w:t>
      </w:r>
    </w:p>
    <w:p w:rsidR="004E756C" w:rsidRPr="002D358F" w:rsidRDefault="004E756C" w:rsidP="004E756C">
      <w:pPr>
        <w:spacing w:after="0" w:line="240" w:lineRule="auto"/>
        <w:ind w:left="360"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Labai retas: gali pasireikšti iki 1 iš 10000 žmonių</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Ausies skausmas ir/ar ausies infekcija. Tai gali būti ausies kaulo pažeidimo požymis;</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Gerklės patinimas, apsunkinantis kvėpavimą.</w:t>
      </w:r>
    </w:p>
    <w:p w:rsidR="004E756C" w:rsidRPr="002D358F" w:rsidRDefault="004E756C" w:rsidP="004E756C">
      <w:pPr>
        <w:spacing w:after="0" w:line="240" w:lineRule="auto"/>
        <w:ind w:left="360"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Kitas šalutinis poveikis, kuris gali pasireikšti Jums vartojant alendronatą:</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Labai dažnas: gali pasireikšti daugiau kaip 1 iš 10 žmonių</w:t>
      </w:r>
    </w:p>
    <w:p w:rsidR="004E756C" w:rsidRPr="002D358F" w:rsidRDefault="004E756C" w:rsidP="004E756C">
      <w:pPr>
        <w:numPr>
          <w:ilvl w:val="0"/>
          <w:numId w:val="1"/>
        </w:numPr>
        <w:tabs>
          <w:tab w:val="left" w:pos="567"/>
        </w:tabs>
        <w:spacing w:after="0" w:line="240" w:lineRule="auto"/>
        <w:ind w:left="540" w:right="-29"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Kaulų, raumenų ar sąnarių skausmas, kuris kartais yra sunkus.</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Dažnas: gali pasireikšti iki 1 iš 10 žmonių</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Galvos skausmas, galvos svaigimas arba pusiausvyros praradimas (vertigo);</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Virškinimo takto veiklos sutrikimai – pilvo skausmas, virškinimo sutrikimas, vidurių užkietėjimas, viduriavimas, dujų kaupimasis žarnyne, pilvo išsipūtimas;</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Alopecija (nuplikimas);</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Niežėjimas;</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Sąnarių patinimas;</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Energijos stoka;</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Rankų ir kojų patinimas.</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Nedažnas: gali pasireikšti iki 1 iš 100 žmonių</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Skonio pasikeitimas;</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Virškinimo trakto sutrikimai, tokie kaip pykinimas, vėmimas, uždegimas, skrandžio ar gerklės sudirginimas, juodos, degutą primenančios išmatos;</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Akies uždegimas;</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Odos išbėrimas ar paraudimas;</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Trumpai pasireiškiantys simptomai, tokie kaip raumenų skausmas, raumenų silpnumas ar diskomfortas, retais atvejais – karščiavimas, paprastai pasireiškiantis gydymo pradžioje.</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Reti: gali pasireikšti iki 1 iš 1 000 žmonių</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Žema kalcio koncentracija kraujyje (gali pasireikšti tokie simptomai kaip raumenų mėšlungis, spazmai, pirštų ar srities apie burną trūkčiojimas ir dilgčiojimas; paprastai šiuos simptomus sukelia jau esama būklė);</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Burnos, ryklės ar viršutinės virškinimo trakto dalies opos, perforacija (įtrūkusi stemplė) arba kraujavimas iš viršutinės virškinimo trakto dalies;</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Odos išbėrimas, kuris tampa jautresnis šviesai;</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Patinę, blyškiai rausvi kauburėliai odoje (dilgėlinė).</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Kitas šalutinis poveikis, susijęs su kalciu/vitaminu D</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Nedažnas: gali pasireikšti iki 1 iš 100 žmonių</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Didelė kalcio koncentracija kraujyje, dėl to gali norėtis dažniau šlapintis (kartais net naktį) ir labiau nei įprastai norisi gerti;</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Didelė kalcio koncentracija šlapime, </w:t>
      </w:r>
      <w:proofErr w:type="gramStart"/>
      <w:r w:rsidRPr="002D358F">
        <w:rPr>
          <w:rFonts w:ascii="Times New Roman" w:eastAsia="Times New Roman" w:hAnsi="Times New Roman" w:cs="Times New Roman"/>
          <w:snapToGrid w:val="0"/>
          <w:szCs w:val="20"/>
          <w:lang w:val="en-GB"/>
        </w:rPr>
        <w:t>dėl</w:t>
      </w:r>
      <w:proofErr w:type="gramEnd"/>
      <w:r w:rsidRPr="002D358F">
        <w:rPr>
          <w:rFonts w:ascii="Times New Roman" w:eastAsia="Times New Roman" w:hAnsi="Times New Roman" w:cs="Times New Roman"/>
          <w:snapToGrid w:val="0"/>
          <w:szCs w:val="20"/>
          <w:lang w:val="en-GB"/>
        </w:rPr>
        <w:t xml:space="preserve"> to šlapime gali atsirasti kraujo, taip pat gali skaudėti nugarą ar pilvą.</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Retas: gali pasireikšti iki 1 iš 1 000 žmonių</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Virškinimo sutrikimai, įskaitant vidurių užkietėjimą, pernelyg didelį dujų kaupimąsi, pykinimą, pilvo skausmą ir viduriavimą;</w:t>
      </w:r>
    </w:p>
    <w:p w:rsidR="004E756C" w:rsidRPr="002D358F" w:rsidRDefault="004E756C" w:rsidP="004E756C">
      <w:pPr>
        <w:numPr>
          <w:ilvl w:val="0"/>
          <w:numId w:val="2"/>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Niežėjimas, išbėrimas ar patinę, blyškiai rausvi kauburėliai odoje.</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p>
    <w:p w:rsidR="004E756C" w:rsidRPr="002D358F" w:rsidRDefault="004E756C" w:rsidP="004E756C">
      <w:pPr>
        <w:spacing w:after="0" w:line="240" w:lineRule="auto"/>
        <w:ind w:right="-29"/>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Ypatingos pacientų populiacijos</w:t>
      </w:r>
    </w:p>
    <w:p w:rsidR="004E756C" w:rsidRPr="002D358F" w:rsidRDefault="004E756C" w:rsidP="004E756C">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Pacientams, kurių inkstų funkcija sutrikusi, kyla nenormaliai aukštos fosfatų koncentracijos kraujyje (paprastai tokiais atvejais jokie simptomai nepasireiškia, bet gali būti rimti), inkstų akmenų susidarymo ir kalcio koncentracijos padidėjimo inkstuose (gali pasireikšti tokie simptomai kaip kraujas šlapime, nugaros ar pilvo skausmas) rizika. </w:t>
      </w:r>
    </w:p>
    <w:p w:rsidR="004E756C" w:rsidRPr="002D358F" w:rsidRDefault="004E756C" w:rsidP="004E756C">
      <w:pPr>
        <w:numPr>
          <w:ilvl w:val="12"/>
          <w:numId w:val="0"/>
        </w:numPr>
        <w:spacing w:after="0" w:line="240" w:lineRule="auto"/>
        <w:ind w:right="-29"/>
        <w:rPr>
          <w:rFonts w:ascii="Times New Roman" w:eastAsia="Times New Roman" w:hAnsi="Times New Roman" w:cs="Times New Roman"/>
          <w:snapToGrid w:val="0"/>
          <w:szCs w:val="20"/>
          <w:lang w:val="en-GB"/>
        </w:rPr>
      </w:pPr>
    </w:p>
    <w:p w:rsidR="004E756C" w:rsidRPr="00C705A4" w:rsidRDefault="004E756C" w:rsidP="004E756C">
      <w:pPr>
        <w:tabs>
          <w:tab w:val="left" w:pos="567"/>
        </w:tabs>
        <w:spacing w:after="60" w:line="260" w:lineRule="exact"/>
        <w:rPr>
          <w:rFonts w:ascii="Calibri" w:hAnsi="Calibri"/>
          <w:b/>
          <w:lang w:val="lt-LT"/>
        </w:rPr>
      </w:pPr>
      <w:r w:rsidRPr="00C705A4">
        <w:rPr>
          <w:rFonts w:ascii="Times New Roman" w:hAnsi="Times New Roman"/>
          <w:b/>
          <w:lang w:val="lt-LT"/>
        </w:rPr>
        <w:t>Pranešimas apie šalutinį poveikį</w:t>
      </w:r>
    </w:p>
    <w:p w:rsidR="004E756C" w:rsidRPr="00C705A4" w:rsidRDefault="004E756C" w:rsidP="004E756C">
      <w:pPr>
        <w:tabs>
          <w:tab w:val="left" w:pos="567"/>
        </w:tabs>
        <w:spacing w:after="0" w:line="260" w:lineRule="exact"/>
        <w:ind w:right="-449"/>
        <w:rPr>
          <w:rFonts w:ascii="Calibri" w:hAnsi="Calibri"/>
          <w:lang w:val="lt-LT"/>
        </w:rPr>
      </w:pPr>
      <w:r w:rsidRPr="00C705A4">
        <w:rPr>
          <w:rFonts w:ascii="Times New Roman" w:hAnsi="Times New Roman"/>
          <w:lang w:val="lt-LT"/>
        </w:rPr>
        <w:lastRenderedPageBreak/>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C705A4">
          <w:rPr>
            <w:rFonts w:ascii="Times New Roman" w:hAnsi="Times New Roman"/>
            <w:color w:val="0000FF"/>
            <w:u w:val="single"/>
            <w:lang w:val="lt-LT"/>
          </w:rPr>
          <w:t>www.vvkt.lt</w:t>
        </w:r>
      </w:hyperlink>
      <w:r w:rsidRPr="00C705A4">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6" w:history="1">
        <w:r w:rsidRPr="00C705A4">
          <w:rPr>
            <w:rFonts w:ascii="Times New Roman" w:hAnsi="Times New Roman"/>
            <w:color w:val="0000FF"/>
            <w:u w:val="single"/>
            <w:lang w:val="lt-LT"/>
          </w:rPr>
          <w:t>NepageidaujamaR@vvkt.lt</w:t>
        </w:r>
      </w:hyperlink>
      <w:r w:rsidRPr="00C705A4">
        <w:rPr>
          <w:rFonts w:ascii="Times New Roman" w:hAnsi="Times New Roman"/>
          <w:lang w:val="lt-LT"/>
        </w:rPr>
        <w:t>, taip pat per Valstybinės vaistų kontrolės tarnybos prie Lietuvos Respublikos sveikatos apsaugos ministerijos interneto svetainę (adresu http://www.vvkt.lt). Pranešdami apie šalutinį poveikį galite mums padėti gau</w:t>
      </w:r>
      <w:r w:rsidRPr="002D358F">
        <w:rPr>
          <w:rFonts w:ascii="Times New Roman" w:eastAsia="Times New Roman" w:hAnsi="Times New Roman" w:cs="Times New Roman"/>
          <w:snapToGrid w:val="0"/>
          <w:szCs w:val="20"/>
          <w:lang w:val="en-GB"/>
        </w:rPr>
        <w:t>ti daugiau informacijos apie šio vaisto saugumą.</w:t>
      </w:r>
    </w:p>
    <w:p w:rsidR="004E756C" w:rsidRPr="002D358F" w:rsidRDefault="004E756C" w:rsidP="004E756C">
      <w:pPr>
        <w:tabs>
          <w:tab w:val="left" w:pos="567"/>
        </w:tabs>
        <w:spacing w:after="0" w:line="260" w:lineRule="exact"/>
        <w:ind w:right="-449"/>
        <w:rPr>
          <w:rFonts w:ascii="Times New Roman" w:eastAsia="Times New Roman" w:hAnsi="Times New Roman" w:cs="Times New Roman"/>
          <w:snapToGrid w:val="0"/>
          <w:szCs w:val="20"/>
          <w:lang w:val="en-GB"/>
        </w:rPr>
      </w:pPr>
    </w:p>
    <w:p w:rsidR="004E756C" w:rsidRPr="002D358F" w:rsidRDefault="004E756C" w:rsidP="004E756C">
      <w:pPr>
        <w:tabs>
          <w:tab w:val="left" w:pos="567"/>
        </w:tabs>
        <w:spacing w:after="0" w:line="260" w:lineRule="exact"/>
        <w:ind w:right="-449"/>
        <w:rPr>
          <w:rFonts w:ascii="Times New Roman" w:eastAsia="Times New Roman" w:hAnsi="Times New Roman" w:cs="Times New Roman"/>
          <w:snapToGrid w:val="0"/>
          <w:szCs w:val="20"/>
          <w:lang w:val="en-GB"/>
        </w:rPr>
      </w:pPr>
    </w:p>
    <w:p w:rsidR="004E756C" w:rsidRPr="002D358F" w:rsidRDefault="004E756C" w:rsidP="004E756C">
      <w:pPr>
        <w:keepNext/>
        <w:keepLines/>
        <w:tabs>
          <w:tab w:val="left" w:pos="567"/>
        </w:tabs>
        <w:spacing w:after="0" w:line="240" w:lineRule="auto"/>
        <w:outlineLvl w:val="2"/>
        <w:rPr>
          <w:rFonts w:ascii="Cambria" w:eastAsia="Times New Roman" w:hAnsi="Cambria" w:cs="Times New Roman"/>
          <w:bCs/>
          <w:snapToGrid w:val="0"/>
          <w:sz w:val="26"/>
          <w:szCs w:val="26"/>
          <w:lang w:val="en-GB"/>
        </w:rPr>
      </w:pPr>
      <w:r w:rsidRPr="002D358F">
        <w:rPr>
          <w:rFonts w:ascii="Times New Roman" w:eastAsia="Times New Roman" w:hAnsi="Times New Roman" w:cs="Times New Roman"/>
          <w:b/>
          <w:bCs/>
          <w:snapToGrid w:val="0"/>
          <w:szCs w:val="26"/>
          <w:lang w:val="en-GB"/>
        </w:rPr>
        <w:t>5.</w:t>
      </w:r>
      <w:r w:rsidRPr="002D358F">
        <w:rPr>
          <w:rFonts w:ascii="Times New Roman" w:eastAsia="Times New Roman" w:hAnsi="Times New Roman" w:cs="Times New Roman"/>
          <w:b/>
          <w:bCs/>
          <w:snapToGrid w:val="0"/>
          <w:szCs w:val="26"/>
          <w:lang w:val="en-GB"/>
        </w:rPr>
        <w:tab/>
        <w:t>Kaip laikyti Tridepos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Šį vaistą laikykite vaikams nepastebimoje ir nepasiekiamoje vietoje.</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Ant dėžutės po „</w:t>
      </w:r>
      <w:r>
        <w:rPr>
          <w:rFonts w:ascii="Times New Roman" w:eastAsia="Times New Roman" w:hAnsi="Times New Roman" w:cs="Times New Roman"/>
          <w:snapToGrid w:val="0"/>
          <w:szCs w:val="20"/>
          <w:lang w:val="en-GB"/>
        </w:rPr>
        <w:t>EXP</w:t>
      </w:r>
      <w:proofErr w:type="gramStart"/>
      <w:r w:rsidRPr="002D358F">
        <w:rPr>
          <w:rFonts w:ascii="Times New Roman" w:eastAsia="Times New Roman" w:hAnsi="Times New Roman" w:cs="Times New Roman"/>
          <w:snapToGrid w:val="0"/>
          <w:szCs w:val="20"/>
          <w:lang w:val="en-GB"/>
        </w:rPr>
        <w:t>“ nurodytam</w:t>
      </w:r>
      <w:proofErr w:type="gramEnd"/>
      <w:r w:rsidRPr="002D358F">
        <w:rPr>
          <w:rFonts w:ascii="Times New Roman" w:eastAsia="Times New Roman" w:hAnsi="Times New Roman" w:cs="Times New Roman"/>
          <w:snapToGrid w:val="0"/>
          <w:szCs w:val="20"/>
          <w:lang w:val="en-GB"/>
        </w:rPr>
        <w:t xml:space="preserve"> tinkamumo laikui pasibaigus, šio vaisto vartoti negalima. Vaistas tinkamas vartoti iki paskutinės nurodyto mėnesio dienos.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Laikyti žemesnėje kaip 30 </w:t>
      </w:r>
      <w:r w:rsidRPr="002D358F">
        <w:rPr>
          <w:rFonts w:ascii="Times New Roman" w:eastAsia="Times New Roman" w:hAnsi="Times New Roman" w:cs="Times New Roman"/>
          <w:snapToGrid w:val="0"/>
          <w:szCs w:val="20"/>
          <w:lang w:val="en-GB"/>
        </w:rPr>
        <w:sym w:font="Symbol" w:char="F0B0"/>
      </w:r>
      <w:r w:rsidRPr="002D358F">
        <w:rPr>
          <w:rFonts w:ascii="Times New Roman" w:eastAsia="Times New Roman" w:hAnsi="Times New Roman" w:cs="Times New Roman"/>
          <w:snapToGrid w:val="0"/>
          <w:szCs w:val="20"/>
          <w:lang w:val="en-GB"/>
        </w:rPr>
        <w:t>C temperatūroje. Laikyti gamintojo pakuotėje, kad preparatas būtų apsaugotas nuo šviesos ir drėgmės.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snapToGrid w:val="0"/>
          <w:szCs w:val="20"/>
          <w:lang w:val="en-GB"/>
        </w:rPr>
        <w:t>Vaistų negalima išmesti į kanalizaciją arba su buitinėmis atliekomis. Kaip išmesti nereikalingus vaistus, klauskite vaistininko. Šios priemonės padės apsaugoti aplinką.</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keepNext/>
        <w:keepLines/>
        <w:tabs>
          <w:tab w:val="left" w:pos="567"/>
        </w:tabs>
        <w:spacing w:after="0" w:line="240" w:lineRule="auto"/>
        <w:outlineLvl w:val="2"/>
        <w:rPr>
          <w:rFonts w:ascii="Cambria" w:eastAsia="Times New Roman" w:hAnsi="Cambria" w:cs="Times New Roman"/>
          <w:bCs/>
          <w:snapToGrid w:val="0"/>
          <w:sz w:val="26"/>
          <w:szCs w:val="26"/>
          <w:lang w:val="en-GB"/>
        </w:rPr>
      </w:pPr>
      <w:r w:rsidRPr="002D358F">
        <w:rPr>
          <w:rFonts w:ascii="Times New Roman" w:eastAsia="Times New Roman" w:hAnsi="Times New Roman" w:cs="Times New Roman"/>
          <w:b/>
          <w:bCs/>
          <w:snapToGrid w:val="0"/>
          <w:szCs w:val="26"/>
          <w:lang w:val="en-GB"/>
        </w:rPr>
        <w:t>6.</w:t>
      </w:r>
      <w:r w:rsidRPr="002D358F">
        <w:rPr>
          <w:rFonts w:ascii="Times New Roman" w:eastAsia="Times New Roman" w:hAnsi="Times New Roman" w:cs="Times New Roman"/>
          <w:bCs/>
          <w:snapToGrid w:val="0"/>
          <w:szCs w:val="26"/>
          <w:lang w:val="en-GB"/>
        </w:rPr>
        <w:tab/>
      </w:r>
      <w:r w:rsidRPr="002D358F">
        <w:rPr>
          <w:rFonts w:ascii="Times New Roman" w:eastAsia="Times New Roman" w:hAnsi="Times New Roman" w:cs="Times New Roman"/>
          <w:b/>
          <w:bCs/>
          <w:snapToGrid w:val="0"/>
          <w:szCs w:val="26"/>
          <w:lang w:val="en-GB"/>
        </w:rPr>
        <w:t>Pakuotės turinys ir kita informacija</w:t>
      </w:r>
    </w:p>
    <w:p w:rsidR="004E756C" w:rsidRPr="002D358F" w:rsidRDefault="004E756C" w:rsidP="004E756C">
      <w:pPr>
        <w:numPr>
          <w:ilvl w:val="12"/>
          <w:numId w:val="0"/>
        </w:numPr>
        <w:spacing w:after="0" w:line="240" w:lineRule="auto"/>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 xml:space="preserve">Tridepos sudėtis </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yra dviejų tipų tablečių derinio pakuotė:</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Kiekvienoje tabletėje yra natrio alendronato trihidrato, atitinkančio 70 mg alendrono rūgšties.</w:t>
      </w:r>
    </w:p>
    <w:p w:rsidR="004E756C" w:rsidRPr="002D358F" w:rsidRDefault="004E756C" w:rsidP="004E756C">
      <w:p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Pagalbinės medžiagos yra laktozė monohidratas, mikrokristalinė celiuliozė, kroskarmeliozės natrio druska, magnio stearatas, bevandenis koloidinis silicio dioksidas.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rsidR="004E756C" w:rsidRPr="002D358F" w:rsidRDefault="004E756C" w:rsidP="004E756C">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Kiekvienoje tabletėje yra kalcio karbonato, atitinkančio 500 mg kalcio, ir kolekalciferolio (vitamino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800 TV (20 mikrogramų).</w:t>
      </w:r>
    </w:p>
    <w:p w:rsidR="004E756C" w:rsidRPr="002D358F" w:rsidRDefault="004E756C" w:rsidP="004E756C">
      <w:p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Pagalbinės medžiagos. </w:t>
      </w:r>
      <w:r w:rsidRPr="002D358F">
        <w:rPr>
          <w:rFonts w:ascii="Times New Roman" w:eastAsia="Times New Roman" w:hAnsi="Times New Roman" w:cs="Times New Roman"/>
          <w:i/>
          <w:snapToGrid w:val="0"/>
          <w:szCs w:val="20"/>
          <w:lang w:val="en-GB"/>
        </w:rPr>
        <w:t>Šerdis:</w:t>
      </w:r>
      <w:r w:rsidRPr="002D358F">
        <w:rPr>
          <w:rFonts w:ascii="Times New Roman" w:eastAsia="Times New Roman" w:hAnsi="Times New Roman" w:cs="Times New Roman"/>
          <w:snapToGrid w:val="0"/>
          <w:szCs w:val="20"/>
          <w:lang w:val="en-GB"/>
        </w:rPr>
        <w:t xml:space="preserve"> maltodekstrinas, kroskarmeliozės natrio druska, bevandenis koloidinis silicio dioksidas, magnio stearatas, visų racematų alfa-tokoferolis, sacharozė, vidutinės grandinės trigliceridai, krakmolo natrio oktenilsukcinatas (E 1450), silicio dioksidas, natrio askorbatas; p</w:t>
      </w:r>
      <w:r w:rsidRPr="002D358F">
        <w:rPr>
          <w:rFonts w:ascii="Times New Roman" w:eastAsia="Times New Roman" w:hAnsi="Times New Roman" w:cs="Times New Roman"/>
          <w:i/>
          <w:snapToGrid w:val="0"/>
          <w:szCs w:val="20"/>
          <w:lang w:val="en-GB"/>
        </w:rPr>
        <w:t>lėvelė:</w:t>
      </w:r>
      <w:r w:rsidRPr="002D358F">
        <w:rPr>
          <w:rFonts w:ascii="Times New Roman" w:eastAsia="Times New Roman" w:hAnsi="Times New Roman" w:cs="Times New Roman"/>
          <w:snapToGrid w:val="0"/>
          <w:szCs w:val="20"/>
          <w:lang w:val="en-GB"/>
        </w:rPr>
        <w:t xml:space="preserve"> hipromeliozė, makrogolis, parafinas.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Tridepos išvaizda ir kiekis pakuotėje</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pateikiamas kombinuotoje dėklo tipo pakuotėje, kurioje yra dviejų tipų tabletės vienos savaitės gydymo ciklui. Pakuotėje yra 1 alendronato tabletė ir 6 kalcio/vitamin D tabletės kartu su šio vaisto vartojimo instrukcija.</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1 alendronato tabletė</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Balta, pailga, abipus išgaubtos formos tabletė (5</w:t>
      </w:r>
      <w:proofErr w:type="gramStart"/>
      <w:r w:rsidRPr="002D358F">
        <w:rPr>
          <w:rFonts w:ascii="Times New Roman" w:eastAsia="Times New Roman" w:hAnsi="Times New Roman" w:cs="Times New Roman"/>
          <w:snapToGrid w:val="0"/>
          <w:szCs w:val="20"/>
          <w:lang w:val="en-GB"/>
        </w:rPr>
        <w:t>,5</w:t>
      </w:r>
      <w:proofErr w:type="gramEnd"/>
      <w:r w:rsidRPr="002D358F">
        <w:rPr>
          <w:rFonts w:ascii="Times New Roman" w:eastAsia="Times New Roman" w:hAnsi="Times New Roman" w:cs="Times New Roman"/>
          <w:snapToGrid w:val="0"/>
          <w:szCs w:val="20"/>
          <w:lang w:val="en-GB"/>
        </w:rPr>
        <w:t xml:space="preserve"> x 11,5 mm). Alendronato tabletės yra mažesnės nei kalcio/vitamino D tabletės.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6 kalcio/vitamino D tabletės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Balta ar beveik balta, gali būti su taškeliais, ovalios formos plėvele dengta tabletė, ant kurios išraižyta „R150</w:t>
      </w:r>
      <w:proofErr w:type="gramStart"/>
      <w:r w:rsidRPr="002D358F">
        <w:rPr>
          <w:rFonts w:ascii="Times New Roman" w:eastAsia="Times New Roman" w:hAnsi="Times New Roman" w:cs="Times New Roman"/>
          <w:snapToGrid w:val="0"/>
          <w:szCs w:val="20"/>
          <w:lang w:val="en-GB"/>
        </w:rPr>
        <w:t>“ (</w:t>
      </w:r>
      <w:proofErr w:type="gramEnd"/>
      <w:r w:rsidRPr="002D358F">
        <w:rPr>
          <w:rFonts w:ascii="Times New Roman" w:eastAsia="Times New Roman" w:hAnsi="Times New Roman" w:cs="Times New Roman"/>
          <w:snapToGrid w:val="0"/>
          <w:szCs w:val="20"/>
          <w:lang w:val="en-GB"/>
        </w:rPr>
        <w:t>8,5 x 19 mm). Kalcio/vitamino D tabletės yra didesnės nei alendronato tabletės.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Tiekiamos pakuotės: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4-ių dėklų pakuotė (4 alendronato tabletės ir 24 kalcio/kolekalciferolio tabletės).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12-os dėklų pakuotė (12 alendronato tablečių ir 72 kalcio/kolekalciferolio tabletės).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
          <w:bCs/>
          <w:snapToGrid w:val="0"/>
          <w:sz w:val="28"/>
          <w:szCs w:val="28"/>
          <w:lang w:val="en-GB"/>
        </w:rPr>
      </w:pPr>
      <w:r w:rsidRPr="002D358F">
        <w:rPr>
          <w:rFonts w:ascii="Times New Roman" w:eastAsia="Times New Roman" w:hAnsi="Times New Roman" w:cs="Times New Roman"/>
          <w:bCs/>
          <w:snapToGrid w:val="0"/>
          <w:szCs w:val="28"/>
          <w:lang w:val="en-GB"/>
        </w:rPr>
        <w:t>Gali būti tiekiamos ne visų dydžių pakuotės.</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2D358F" w:rsidRDefault="004E756C" w:rsidP="004E756C">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Registruotojas ir gamintojas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Registruotojas</w:t>
      </w:r>
    </w:p>
    <w:p w:rsidR="004E756C" w:rsidRPr="00C705A4" w:rsidRDefault="004E756C" w:rsidP="004E756C">
      <w:pPr>
        <w:spacing w:after="0" w:line="240" w:lineRule="auto"/>
        <w:rPr>
          <w:rFonts w:ascii="Calibri" w:hAnsi="Calibri"/>
          <w:lang w:val="lt-LT"/>
        </w:rPr>
      </w:pPr>
      <w:r w:rsidRPr="00C705A4">
        <w:rPr>
          <w:rFonts w:ascii="Times New Roman" w:hAnsi="Times New Roman"/>
          <w:lang w:val="lt-LT"/>
        </w:rPr>
        <w:t>SIA Meda Pharma</w:t>
      </w:r>
    </w:p>
    <w:p w:rsidR="004E756C" w:rsidRPr="00541E3E" w:rsidRDefault="004E756C" w:rsidP="004E756C">
      <w:pPr>
        <w:tabs>
          <w:tab w:val="left" w:pos="567"/>
        </w:tabs>
        <w:spacing w:after="0" w:line="260" w:lineRule="exact"/>
        <w:rPr>
          <w:rFonts w:ascii="Times New Roman" w:hAnsi="Times New Roman"/>
        </w:rPr>
      </w:pPr>
      <w:r w:rsidRPr="002D358F">
        <w:rPr>
          <w:rFonts w:ascii="Times New Roman" w:eastAsia="Times New Roman" w:hAnsi="Times New Roman" w:cs="Times New Roman"/>
          <w:bCs/>
          <w:snapToGrid w:val="0"/>
          <w:szCs w:val="20"/>
          <w:lang w:val="en-GB"/>
        </w:rPr>
        <w:t>Mūkusalas 101</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color w:val="000000"/>
          <w:szCs w:val="20"/>
          <w:lang w:val="en-GB"/>
        </w:rPr>
        <w:t>Rīga</w:t>
      </w:r>
      <w:r w:rsidRPr="002D358F">
        <w:rPr>
          <w:rFonts w:ascii="Times New Roman" w:eastAsia="Times New Roman" w:hAnsi="Times New Roman" w:cs="Times New Roman"/>
          <w:snapToGrid w:val="0"/>
          <w:szCs w:val="20"/>
          <w:lang w:val="en-GB"/>
        </w:rPr>
        <w:t xml:space="preserve"> LV-</w:t>
      </w:r>
      <w:r w:rsidRPr="002D358F">
        <w:rPr>
          <w:rFonts w:ascii="Times New Roman" w:eastAsia="Times New Roman" w:hAnsi="Times New Roman" w:cs="Times New Roman"/>
          <w:bCs/>
          <w:snapToGrid w:val="0"/>
          <w:szCs w:val="20"/>
          <w:lang w:val="en-GB"/>
        </w:rPr>
        <w:t>1004</w:t>
      </w:r>
    </w:p>
    <w:p w:rsidR="004E756C" w:rsidRPr="00C705A4" w:rsidRDefault="004E756C" w:rsidP="004E756C">
      <w:pPr>
        <w:spacing w:after="0" w:line="240" w:lineRule="auto"/>
        <w:rPr>
          <w:rFonts w:ascii="Calibri" w:hAnsi="Calibri"/>
          <w:lang w:val="lt-LT"/>
        </w:rPr>
      </w:pPr>
      <w:r w:rsidRPr="00C705A4">
        <w:rPr>
          <w:rFonts w:ascii="Times New Roman" w:hAnsi="Times New Roman"/>
          <w:lang w:val="lt-LT"/>
        </w:rPr>
        <w:t>Latvija</w:t>
      </w:r>
    </w:p>
    <w:p w:rsidR="004E756C" w:rsidRPr="00C705A4" w:rsidRDefault="004E756C" w:rsidP="004E756C">
      <w:pPr>
        <w:tabs>
          <w:tab w:val="left" w:pos="1296"/>
        </w:tabs>
        <w:spacing w:after="0" w:line="240" w:lineRule="auto"/>
        <w:rPr>
          <w:rFonts w:ascii="Times New Roman" w:hAnsi="Times New Roman"/>
          <w:lang w:val="lt-LT"/>
        </w:rPr>
      </w:pPr>
      <w:r w:rsidRPr="002D358F">
        <w:rPr>
          <w:rFonts w:ascii="Times New Roman" w:eastAsia="Times New Roman" w:hAnsi="Times New Roman" w:cs="Times New Roman"/>
          <w:snapToGrid w:val="0"/>
          <w:szCs w:val="20"/>
          <w:lang w:val="en-GB"/>
        </w:rPr>
        <w:t>Tel.: +371 67616137</w:t>
      </w:r>
    </w:p>
    <w:p w:rsidR="004E756C" w:rsidRPr="002D358F" w:rsidRDefault="004E756C" w:rsidP="004E756C">
      <w:pPr>
        <w:tabs>
          <w:tab w:val="left" w:pos="1296"/>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Faksas: +371 66117360 </w:t>
      </w:r>
    </w:p>
    <w:p w:rsidR="004E756C" w:rsidRPr="00C705A4" w:rsidRDefault="004E756C" w:rsidP="004E756C">
      <w:pPr>
        <w:tabs>
          <w:tab w:val="left" w:pos="567"/>
        </w:tabs>
        <w:spacing w:after="0" w:line="260" w:lineRule="exact"/>
        <w:rPr>
          <w:rFonts w:ascii="Calibri" w:hAnsi="Calibri"/>
          <w:lang w:val="lt-LT"/>
        </w:rPr>
      </w:pPr>
      <w:r w:rsidRPr="00C705A4">
        <w:rPr>
          <w:rFonts w:ascii="Times New Roman" w:hAnsi="Times New Roman"/>
          <w:lang w:val="lt-LT"/>
        </w:rPr>
        <w:t xml:space="preserve">El. paštas: </w:t>
      </w:r>
      <w:hyperlink r:id="rId7" w:history="1">
        <w:r w:rsidRPr="00C705A4">
          <w:rPr>
            <w:rFonts w:ascii="Times New Roman" w:hAnsi="Times New Roman"/>
            <w:color w:val="0000FF"/>
            <w:u w:val="single"/>
            <w:lang w:val="lt-LT"/>
          </w:rPr>
          <w:t>info.bb</w:t>
        </w:r>
        <w:r w:rsidRPr="002D358F">
          <w:rPr>
            <w:rFonts w:ascii="Times New Roman" w:eastAsia="Times New Roman" w:hAnsi="Times New Roman" w:cs="Times New Roman"/>
            <w:snapToGrid w:val="0"/>
            <w:color w:val="0000FF"/>
            <w:szCs w:val="20"/>
            <w:u w:val="single"/>
            <w:lang w:val="en-GB"/>
          </w:rPr>
          <w:t>@medapharma.eu</w:t>
        </w:r>
      </w:hyperlink>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Gamintojas</w:t>
      </w:r>
    </w:p>
    <w:p w:rsidR="004E756C" w:rsidRPr="00C705A4" w:rsidRDefault="004E756C" w:rsidP="004E756C">
      <w:pPr>
        <w:autoSpaceDE w:val="0"/>
        <w:autoSpaceDN w:val="0"/>
        <w:adjustRightInd w:val="0"/>
        <w:spacing w:after="0" w:line="240" w:lineRule="auto"/>
        <w:rPr>
          <w:rFonts w:ascii="Times New Roman" w:hAnsi="Times New Roman"/>
          <w:color w:val="000000"/>
          <w:sz w:val="24"/>
          <w:lang w:val="lt-LT"/>
        </w:rPr>
      </w:pPr>
      <w:r w:rsidRPr="00C705A4">
        <w:rPr>
          <w:rFonts w:ascii="Times New Roman" w:hAnsi="Times New Roman"/>
          <w:color w:val="000000"/>
          <w:lang w:val="lt-LT"/>
        </w:rPr>
        <w:t>Meda Pharma GmbH &amp; Co. KG</w:t>
      </w:r>
    </w:p>
    <w:p w:rsidR="004E756C" w:rsidRPr="00C705A4" w:rsidRDefault="004E756C" w:rsidP="004E756C">
      <w:pPr>
        <w:autoSpaceDE w:val="0"/>
        <w:autoSpaceDN w:val="0"/>
        <w:adjustRightInd w:val="0"/>
        <w:spacing w:after="0" w:line="240" w:lineRule="auto"/>
        <w:rPr>
          <w:rFonts w:ascii="Times New Roman" w:hAnsi="Times New Roman"/>
          <w:color w:val="000000"/>
          <w:sz w:val="24"/>
          <w:lang w:val="lt-LT"/>
        </w:rPr>
      </w:pPr>
      <w:r w:rsidRPr="00C705A4">
        <w:rPr>
          <w:rFonts w:ascii="Times New Roman" w:hAnsi="Times New Roman"/>
          <w:color w:val="000000"/>
          <w:lang w:val="lt-LT"/>
        </w:rPr>
        <w:t>Benzstrasse 1</w:t>
      </w:r>
    </w:p>
    <w:p w:rsidR="004E756C" w:rsidRPr="00C705A4" w:rsidRDefault="004E756C" w:rsidP="004E756C">
      <w:pPr>
        <w:autoSpaceDE w:val="0"/>
        <w:autoSpaceDN w:val="0"/>
        <w:adjustRightInd w:val="0"/>
        <w:spacing w:after="0" w:line="240" w:lineRule="auto"/>
        <w:rPr>
          <w:rFonts w:ascii="Times New Roman" w:hAnsi="Times New Roman"/>
          <w:color w:val="000000"/>
          <w:sz w:val="24"/>
          <w:lang w:val="lt-LT"/>
        </w:rPr>
      </w:pPr>
      <w:r w:rsidRPr="00C705A4">
        <w:rPr>
          <w:rFonts w:ascii="Times New Roman" w:hAnsi="Times New Roman"/>
          <w:color w:val="000000"/>
          <w:lang w:val="lt-LT"/>
        </w:rPr>
        <w:t>61352 Bad Homburg</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Vokietija</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2D358F" w:rsidRDefault="004E756C" w:rsidP="004E756C">
      <w:pPr>
        <w:numPr>
          <w:ilvl w:val="12"/>
          <w:numId w:val="0"/>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apie šį vaistą norite sužinoti daugiau, kreipkitės į vietinį registruotojo atstovą:</w:t>
      </w:r>
    </w:p>
    <w:p w:rsidR="004E756C" w:rsidRPr="002D358F" w:rsidRDefault="004E756C" w:rsidP="004E756C">
      <w:pPr>
        <w:tabs>
          <w:tab w:val="left" w:pos="567"/>
        </w:tabs>
        <w:spacing w:after="0" w:line="240" w:lineRule="auto"/>
        <w:rPr>
          <w:rFonts w:ascii="Times New Roman" w:eastAsia="Times New Roman" w:hAnsi="Times New Roman" w:cs="Times New Roman"/>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SIA Meda Pharma</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Ukmergės 369A</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LT-12142 Vilnius</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Tel.: +370 52059367</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El. paštas: info.bb</w:t>
      </w:r>
      <w:r w:rsidRPr="00541E3E">
        <w:rPr>
          <w:rFonts w:ascii="Times New Roman" w:hAnsi="Times New Roman"/>
        </w:rPr>
        <w:t>@</w:t>
      </w:r>
      <w:r w:rsidRPr="00C705A4">
        <w:rPr>
          <w:rFonts w:ascii="Times New Roman" w:hAnsi="Times New Roman"/>
          <w:lang w:val="lt-LT"/>
        </w:rPr>
        <w:t>medapharma.eu</w:t>
      </w:r>
      <w:r w:rsidRPr="002D358F">
        <w:rPr>
          <w:rFonts w:ascii="Times New Roman" w:eastAsia="Times New Roman" w:hAnsi="Times New Roman" w:cs="Times New Roman"/>
          <w:snapToGrid w:val="0"/>
          <w:szCs w:val="20"/>
          <w:lang w:val="en-GB"/>
        </w:rPr>
        <w:t xml:space="preserve"> </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snapToGrid w:val="0"/>
          <w:szCs w:val="20"/>
          <w:lang w:val="en-GB"/>
        </w:rPr>
      </w:pPr>
    </w:p>
    <w:p w:rsidR="004E756C" w:rsidRPr="00C705A4" w:rsidRDefault="004E756C" w:rsidP="004E756C">
      <w:pPr>
        <w:numPr>
          <w:ilvl w:val="12"/>
          <w:numId w:val="0"/>
        </w:numPr>
        <w:tabs>
          <w:tab w:val="left" w:pos="1296"/>
        </w:tabs>
        <w:spacing w:after="0" w:line="240" w:lineRule="auto"/>
        <w:ind w:right="-2"/>
        <w:rPr>
          <w:rFonts w:ascii="Calibri" w:hAnsi="Calibri"/>
          <w:b/>
          <w:lang w:val="lt-LT"/>
        </w:rPr>
      </w:pPr>
      <w:r w:rsidRPr="00C705A4">
        <w:rPr>
          <w:rFonts w:ascii="Times New Roman" w:hAnsi="Times New Roman"/>
          <w:b/>
          <w:lang w:val="lt-LT"/>
        </w:rPr>
        <w:t>Šis vaistas EEE valstybėse narėse registruotas tokiais pavadinimais</w:t>
      </w:r>
      <w:r w:rsidRPr="002D358F">
        <w:rPr>
          <w:rFonts w:ascii="Times New Roman" w:eastAsia="Times New Roman" w:hAnsi="Times New Roman" w:cs="Times New Roman"/>
          <w:b/>
          <w:snapToGrid w:val="0"/>
          <w:szCs w:val="20"/>
          <w:lang w:val="en-GB"/>
        </w:rPr>
        <w:t>:</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color w:val="17375E"/>
          <w:szCs w:val="20"/>
          <w:lang w:val="hr-HR"/>
        </w:rPr>
      </w:pPr>
    </w:p>
    <w:p w:rsidR="004E756C" w:rsidRPr="00541E3E" w:rsidRDefault="004E756C" w:rsidP="004E756C">
      <w:pPr>
        <w:tabs>
          <w:tab w:val="left" w:pos="567"/>
        </w:tabs>
        <w:spacing w:after="0" w:line="260" w:lineRule="exact"/>
        <w:rPr>
          <w:rFonts w:ascii="Times New Roman" w:hAnsi="Times New Roman"/>
        </w:rPr>
      </w:pPr>
      <w:r w:rsidRPr="002D358F">
        <w:rPr>
          <w:rFonts w:ascii="Times New Roman" w:eastAsia="Times New Roman" w:hAnsi="Times New Roman" w:cs="Times New Roman"/>
          <w:snapToGrid w:val="0"/>
          <w:szCs w:val="20"/>
          <w:lang w:val="hr-HR"/>
        </w:rPr>
        <w:t xml:space="preserve">Austrija: </w:t>
      </w:r>
      <w:r w:rsidRPr="00541E3E">
        <w:rPr>
          <w:rFonts w:ascii="Times New Roman" w:hAnsi="Times New Roman"/>
        </w:rPr>
        <w:t xml:space="preserve">Tridepos 70 mg + 500 mg/800 I.E. Tabletten. </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hr-HR"/>
        </w:rPr>
      </w:pP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hr-HR"/>
        </w:rPr>
      </w:pPr>
      <w:r w:rsidRPr="002D358F">
        <w:rPr>
          <w:rFonts w:ascii="Times New Roman" w:eastAsia="Times New Roman" w:hAnsi="Times New Roman" w:cs="Times New Roman"/>
          <w:snapToGrid w:val="0"/>
          <w:szCs w:val="20"/>
          <w:lang w:val="hr-HR"/>
        </w:rPr>
        <w:t>Kroatija: Tridepos 70 mg tablete + 500 mg/800 IU filmom obložene tablete</w:t>
      </w: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p>
    <w:p w:rsidR="004E756C" w:rsidRPr="00541E3E" w:rsidRDefault="004E756C" w:rsidP="004E756C">
      <w:pPr>
        <w:tabs>
          <w:tab w:val="left" w:pos="567"/>
        </w:tabs>
        <w:spacing w:after="0" w:line="260" w:lineRule="exact"/>
        <w:rPr>
          <w:rFonts w:ascii="Times New Roman" w:hAnsi="Times New Roman"/>
        </w:rPr>
      </w:pPr>
      <w:r w:rsidRPr="002D358F">
        <w:rPr>
          <w:rFonts w:ascii="Times New Roman" w:eastAsia="Times New Roman" w:hAnsi="Times New Roman" w:cs="Times New Roman"/>
          <w:snapToGrid w:val="0"/>
          <w:szCs w:val="20"/>
          <w:lang w:val="en-GB"/>
        </w:rPr>
        <w:t xml:space="preserve">Švedija: </w:t>
      </w:r>
      <w:r w:rsidRPr="00541E3E">
        <w:rPr>
          <w:rFonts w:ascii="Times New Roman" w:hAnsi="Times New Roman"/>
        </w:rPr>
        <w:t xml:space="preserve">Tridepos 70 mg + 500 mg/800 IE tabletter. </w:t>
      </w:r>
    </w:p>
    <w:p w:rsidR="004E756C" w:rsidRPr="002D358F" w:rsidRDefault="004E756C" w:rsidP="004E756C">
      <w:pPr>
        <w:numPr>
          <w:ilvl w:val="12"/>
          <w:numId w:val="0"/>
        </w:numPr>
        <w:spacing w:after="0" w:line="240" w:lineRule="auto"/>
        <w:ind w:right="-2"/>
        <w:rPr>
          <w:rFonts w:ascii="Times New Roman" w:eastAsia="Times New Roman" w:hAnsi="Times New Roman" w:cs="Times New Roman"/>
          <w:b/>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b/>
          <w:snapToGrid w:val="0"/>
          <w:szCs w:val="20"/>
          <w:lang w:val="en-GB"/>
        </w:rPr>
      </w:pPr>
    </w:p>
    <w:p w:rsidR="004E756C" w:rsidRPr="002D358F" w:rsidRDefault="004E756C" w:rsidP="004E756C">
      <w:pPr>
        <w:numPr>
          <w:ilvl w:val="12"/>
          <w:numId w:val="0"/>
        </w:num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 xml:space="preserve">Šis pakuotės lapelis paskutinį kartą peržiūrėtas </w:t>
      </w:r>
      <w:r>
        <w:rPr>
          <w:rFonts w:ascii="Times New Roman" w:eastAsia="Times New Roman" w:hAnsi="Times New Roman" w:cs="Times New Roman"/>
          <w:b/>
          <w:snapToGrid w:val="0"/>
          <w:szCs w:val="20"/>
          <w:lang w:val="en-GB"/>
        </w:rPr>
        <w:t>2018-10-10.</w:t>
      </w:r>
    </w:p>
    <w:p w:rsidR="004E756C" w:rsidRPr="002D358F" w:rsidRDefault="004E756C" w:rsidP="004E756C">
      <w:pPr>
        <w:numPr>
          <w:ilvl w:val="12"/>
          <w:numId w:val="0"/>
        </w:numPr>
        <w:tabs>
          <w:tab w:val="left" w:pos="567"/>
        </w:tabs>
        <w:spacing w:after="0" w:line="240" w:lineRule="auto"/>
        <w:ind w:right="-2"/>
        <w:rPr>
          <w:rFonts w:ascii="Times New Roman" w:eastAsia="Times New Roman" w:hAnsi="Times New Roman" w:cs="Times New Roman"/>
          <w:i/>
          <w:snapToGrid w:val="0"/>
          <w:color w:val="008000"/>
          <w:szCs w:val="20"/>
          <w:lang w:val="en-GB"/>
        </w:rPr>
      </w:pPr>
    </w:p>
    <w:p w:rsidR="004E756C" w:rsidRPr="002D358F" w:rsidRDefault="004E756C" w:rsidP="004E756C">
      <w:pPr>
        <w:numPr>
          <w:ilvl w:val="12"/>
          <w:numId w:val="0"/>
        </w:numPr>
        <w:tabs>
          <w:tab w:val="left" w:pos="567"/>
        </w:tabs>
        <w:spacing w:after="0" w:line="240" w:lineRule="auto"/>
        <w:ind w:right="-2"/>
        <w:rPr>
          <w:rFonts w:ascii="Times New Roman" w:eastAsia="Times New Roman" w:hAnsi="Times New Roman" w:cs="Times New Roman"/>
          <w:i/>
          <w:snapToGrid w:val="0"/>
          <w:color w:val="008000"/>
          <w:szCs w:val="20"/>
          <w:lang w:val="en-GB"/>
        </w:rPr>
      </w:pPr>
    </w:p>
    <w:p w:rsidR="004E756C" w:rsidRPr="002D358F" w:rsidRDefault="004E756C" w:rsidP="004E756C">
      <w:pPr>
        <w:numPr>
          <w:ilvl w:val="12"/>
          <w:numId w:val="0"/>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Išsami informacija apie šį vaistą pateikiama Valstybinės vaistų kontrolės tarnybos prie Lietuvos Respublikos sveikatos apsaugos ministerijos tinklalapyje</w:t>
      </w:r>
      <w:r w:rsidRPr="002D358F">
        <w:rPr>
          <w:rFonts w:ascii="Times New Roman" w:eastAsia="Times New Roman" w:hAnsi="Times New Roman" w:cs="Times New Roman"/>
          <w:i/>
          <w:snapToGrid w:val="0"/>
          <w:szCs w:val="20"/>
          <w:lang w:val="en-GB"/>
        </w:rPr>
        <w:t xml:space="preserve"> </w:t>
      </w:r>
      <w:hyperlink r:id="rId8" w:history="1">
        <w:r w:rsidRPr="002D358F">
          <w:rPr>
            <w:rFonts w:ascii="Times New Roman" w:eastAsia="SimSun" w:hAnsi="Times New Roman" w:cs="Times New Roman"/>
            <w:snapToGrid w:val="0"/>
            <w:color w:val="0000FF"/>
            <w:szCs w:val="20"/>
            <w:u w:val="single"/>
            <w:lang w:val="en-GB"/>
          </w:rPr>
          <w:t>http://www.vvkt.lt/</w:t>
        </w:r>
      </w:hyperlink>
      <w:r w:rsidRPr="002D358F">
        <w:rPr>
          <w:rFonts w:ascii="Times New Roman" w:eastAsia="Times New Roman" w:hAnsi="Times New Roman" w:cs="Times New Roman"/>
          <w:snapToGrid w:val="0"/>
          <w:szCs w:val="20"/>
          <w:lang w:val="en-GB"/>
        </w:rPr>
        <w:t>.</w:t>
      </w:r>
    </w:p>
    <w:p w:rsidR="004E756C" w:rsidRPr="00C705A4" w:rsidRDefault="004E756C" w:rsidP="004E756C">
      <w:pPr>
        <w:tabs>
          <w:tab w:val="left" w:pos="5954"/>
          <w:tab w:val="left" w:pos="6237"/>
          <w:tab w:val="left" w:pos="6663"/>
          <w:tab w:val="left" w:pos="6946"/>
        </w:tabs>
        <w:spacing w:after="0" w:line="240" w:lineRule="auto"/>
        <w:jc w:val="center"/>
        <w:rPr>
          <w:rFonts w:ascii="Courier New" w:hAnsi="Courier New"/>
          <w:sz w:val="20"/>
          <w:lang w:val="lt-LT"/>
        </w:rPr>
      </w:pPr>
    </w:p>
    <w:p w:rsidR="004E756C" w:rsidRPr="002D358F" w:rsidRDefault="004E756C" w:rsidP="004E756C">
      <w:pPr>
        <w:tabs>
          <w:tab w:val="left" w:pos="567"/>
        </w:tabs>
        <w:spacing w:after="0" w:line="260" w:lineRule="exact"/>
        <w:rPr>
          <w:rFonts w:ascii="Times New Roman" w:eastAsia="Times New Roman" w:hAnsi="Times New Roman" w:cs="Times New Roman"/>
          <w:snapToGrid w:val="0"/>
          <w:szCs w:val="20"/>
          <w:lang w:val="en-GB"/>
        </w:rPr>
      </w:pPr>
      <w:bookmarkStart w:id="0" w:name="_GoBack"/>
      <w:bookmarkEnd w:id="0"/>
    </w:p>
    <w:p w:rsidR="0006415B" w:rsidRPr="004E756C" w:rsidRDefault="0006415B">
      <w:pPr>
        <w:rPr>
          <w:lang w:val="en-GB"/>
        </w:rPr>
      </w:pPr>
    </w:p>
    <w:sectPr w:rsidR="0006415B" w:rsidRPr="004E756C" w:rsidSect="004E756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E41FE"/>
    <w:multiLevelType w:val="hybridMultilevel"/>
    <w:tmpl w:val="CB42586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6C"/>
    <w:rsid w:val="0006415B"/>
    <w:rsid w:val="004E7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38F35-44FD-4F78-A3A9-323DA809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756C"/>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info.bb@medapharm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15828</Words>
  <Characters>9022</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2018-10-12T07:21:00Z</dcterms:created>
  <dcterms:modified xsi:type="dcterms:W3CDTF">2018-10-12T07:22:00Z</dcterms:modified>
</cp:coreProperties>
</file>